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0CD0B" w14:textId="77777777" w:rsidR="00040E25" w:rsidRPr="0035348F" w:rsidRDefault="00040E25" w:rsidP="00040E25">
      <w:pPr>
        <w:spacing w:after="0" w:line="240" w:lineRule="auto"/>
        <w:rPr>
          <w:rFonts w:ascii="Verdana" w:eastAsia="Calibri" w:hAnsi="Verdana" w:cs="Arial"/>
          <w:b/>
          <w:bCs/>
          <w:lang w:val="es-ES" w:eastAsia="es-ES"/>
        </w:rPr>
      </w:pPr>
      <w:bookmarkStart w:id="0" w:name="_Hlk186494164"/>
      <w:bookmarkStart w:id="1" w:name="_Hlk143780582"/>
      <w:r w:rsidRPr="0035348F">
        <w:rPr>
          <w:rFonts w:ascii="Verdana" w:eastAsia="Calibri" w:hAnsi="Verdana" w:cs="Arial"/>
          <w:b/>
          <w:bCs/>
          <w:lang w:val="es-ES" w:eastAsia="es-ES"/>
        </w:rPr>
        <w:t xml:space="preserve">SISTEMA GENERAL DE REGALÍAS – Ley 2056 de 2020 – artículo 37 </w:t>
      </w:r>
    </w:p>
    <w:p w14:paraId="47D6EFEB" w14:textId="77777777" w:rsidR="00040E25" w:rsidRPr="00040E25" w:rsidRDefault="00040E25" w:rsidP="00040E25">
      <w:pPr>
        <w:spacing w:after="0" w:line="240" w:lineRule="auto"/>
        <w:jc w:val="both"/>
        <w:rPr>
          <w:rFonts w:ascii="Verdana" w:hAnsi="Verdana" w:cs="Arial"/>
          <w:noProof/>
          <w:sz w:val="20"/>
          <w:szCs w:val="20"/>
          <w:lang w:val="es-ES_tradnl"/>
        </w:rPr>
      </w:pPr>
    </w:p>
    <w:p w14:paraId="1BBEEACE" w14:textId="77777777" w:rsidR="00040E25" w:rsidRPr="00040E25" w:rsidRDefault="00040E25" w:rsidP="00040E25">
      <w:pPr>
        <w:spacing w:after="0" w:line="240" w:lineRule="auto"/>
        <w:jc w:val="both"/>
        <w:rPr>
          <w:rFonts w:ascii="Verdana" w:hAnsi="Verdana" w:cs="Arial"/>
          <w:noProof/>
          <w:sz w:val="20"/>
          <w:szCs w:val="20"/>
          <w:lang w:val="es-ES_tradnl"/>
        </w:rPr>
      </w:pPr>
      <w:r w:rsidRPr="00040E25">
        <w:rPr>
          <w:rFonts w:ascii="Verdana" w:hAnsi="Verdana" w:cs="Arial"/>
          <w:noProof/>
          <w:sz w:val="20"/>
          <w:szCs w:val="20"/>
          <w:lang w:val="es-ES_tradnl"/>
        </w:rPr>
        <w:t xml:space="preserve">En </w:t>
      </w:r>
      <w:r w:rsidRPr="00040E25">
        <w:rPr>
          <w:rFonts w:ascii="Verdana" w:hAnsi="Verdana" w:cs="Arial"/>
          <w:noProof/>
          <w:sz w:val="20"/>
          <w:szCs w:val="20"/>
        </w:rPr>
        <w:t>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0642B1EA" w14:textId="77777777" w:rsidR="00040E25" w:rsidRPr="00040E25" w:rsidRDefault="00040E25" w:rsidP="00040E25">
      <w:pPr>
        <w:spacing w:after="0" w:line="240" w:lineRule="auto"/>
        <w:jc w:val="both"/>
        <w:rPr>
          <w:rFonts w:ascii="Verdana" w:hAnsi="Verdana" w:cs="Arial"/>
          <w:noProof/>
          <w:sz w:val="20"/>
          <w:szCs w:val="20"/>
        </w:rPr>
      </w:pPr>
    </w:p>
    <w:p w14:paraId="47AFFFA7" w14:textId="77777777" w:rsidR="00040E25" w:rsidRPr="00040E25" w:rsidRDefault="00040E25" w:rsidP="00040E25">
      <w:pPr>
        <w:spacing w:after="0" w:line="240" w:lineRule="auto"/>
        <w:jc w:val="both"/>
        <w:rPr>
          <w:rFonts w:ascii="Verdana" w:hAnsi="Verdana" w:cs="Arial"/>
          <w:noProof/>
          <w:sz w:val="20"/>
          <w:szCs w:val="20"/>
        </w:rPr>
      </w:pPr>
      <w:r w:rsidRPr="00040E25">
        <w:rPr>
          <w:rFonts w:ascii="Verdana" w:hAnsi="Verdana" w:cs="Arial"/>
          <w:noProof/>
          <w:sz w:val="20"/>
          <w:szCs w:val="20"/>
        </w:rPr>
        <w:t xml:space="preserve">Los parágrafos del señalado artículo 37 disponen reglas importantes frente a la designación de los ejecutores de los proyectos y el régimen de contratación que deberá regir su actuación. El parágrafo primero del artículo 37 ibidem dispone que “La ejecución de proyectos de que trata este artículo, se adelantará, con estricta sujeción al régimen presupuestal definido en esta ley, al de contratación pública y las demás normas legales vigentes” . Lo anterior implica que el ejecutor de los proyectos de inversión del SGR deberá someterse a las reglas de contratación pública, es decir, a lo establecido en el Estatuto General de Contratación Pública, así como las normas que lo modifiquen, sustituyan o reglamenten, cuando desarrolle proyectos en el marco de éste sistema. En efecto, el ejecutor debe someterse a las reglas generales de la contratación pública cuando desarrolle proyectos en el marco del Sistema General de Regalías. </w:t>
      </w:r>
    </w:p>
    <w:p w14:paraId="45EF7280" w14:textId="77777777" w:rsidR="00040E25" w:rsidRPr="00040E25" w:rsidRDefault="00040E25" w:rsidP="00040E25">
      <w:pPr>
        <w:spacing w:after="0" w:line="240" w:lineRule="auto"/>
        <w:jc w:val="both"/>
        <w:rPr>
          <w:rFonts w:ascii="Verdana" w:hAnsi="Verdana" w:cs="Arial"/>
          <w:noProof/>
          <w:sz w:val="20"/>
          <w:szCs w:val="20"/>
        </w:rPr>
      </w:pPr>
    </w:p>
    <w:p w14:paraId="0E086142" w14:textId="77777777" w:rsidR="00040E25" w:rsidRPr="00040E25" w:rsidRDefault="00040E25" w:rsidP="00040E25">
      <w:pPr>
        <w:spacing w:after="0" w:line="240" w:lineRule="auto"/>
        <w:jc w:val="both"/>
        <w:rPr>
          <w:rFonts w:ascii="Verdana" w:hAnsi="Verdana" w:cs="Arial"/>
          <w:noProof/>
          <w:sz w:val="20"/>
          <w:szCs w:val="20"/>
        </w:rPr>
      </w:pPr>
      <w:r w:rsidRPr="00040E25">
        <w:rPr>
          <w:rFonts w:ascii="Verdana" w:hAnsi="Verdana" w:cs="Arial"/>
          <w:noProof/>
          <w:sz w:val="20"/>
          <w:szCs w:val="20"/>
        </w:rPr>
        <w:t>Por tanto, conforme a esta previsión normativa en caso de que se realicen proyectos de inversión en el marco del Sistema General de Regalías los ejecutores designados para desarrollarlos deben sujetarse al Estatuto General de Contratación de la Administración Pública. En el evento en que determinados asuntos estén sometidos por norma especial al Estatuto General de Contratación Pública, la ejecución de los contratos deberá realizarse conforme a este régimen</w:t>
      </w:r>
    </w:p>
    <w:p w14:paraId="7287E2C3" w14:textId="77777777" w:rsidR="00040E25" w:rsidRPr="00040E25" w:rsidRDefault="00040E25" w:rsidP="00040E25">
      <w:pPr>
        <w:spacing w:after="0" w:line="240" w:lineRule="auto"/>
        <w:jc w:val="both"/>
        <w:rPr>
          <w:rFonts w:ascii="Verdana" w:hAnsi="Verdana" w:cs="Arial"/>
          <w:noProof/>
          <w:sz w:val="20"/>
          <w:szCs w:val="20"/>
        </w:rPr>
      </w:pPr>
    </w:p>
    <w:p w14:paraId="62133F1C" w14:textId="77777777" w:rsidR="00040E25" w:rsidRPr="00040E25" w:rsidRDefault="00040E25" w:rsidP="00040E25">
      <w:pPr>
        <w:jc w:val="both"/>
        <w:rPr>
          <w:rFonts w:ascii="Verdana" w:eastAsia="Calibri" w:hAnsi="Verdana" w:cs="Arial"/>
          <w:b/>
          <w:bCs/>
          <w:lang w:val="es-ES" w:eastAsia="es-ES"/>
        </w:rPr>
      </w:pPr>
      <w:r w:rsidRPr="00040E25">
        <w:rPr>
          <w:rFonts w:ascii="Verdana" w:eastAsia="Calibri" w:hAnsi="Verdana" w:cs="Arial"/>
          <w:b/>
          <w:bCs/>
          <w:lang w:val="es-ES" w:eastAsia="es-ES"/>
        </w:rPr>
        <w:t xml:space="preserve">RÉGIMEN CONTRACTUAL – Entidades ejecutoras – Régimen especial – Aplicación del Estatuto General de Contratación de la Administración Pública         </w:t>
      </w:r>
    </w:p>
    <w:p w14:paraId="17690125" w14:textId="77777777" w:rsidR="00040E25" w:rsidRPr="00040E25" w:rsidRDefault="00040E25" w:rsidP="00040E25">
      <w:pPr>
        <w:spacing w:after="0" w:line="240" w:lineRule="auto"/>
        <w:jc w:val="both"/>
        <w:rPr>
          <w:rFonts w:ascii="Verdana" w:eastAsia="Calibri" w:hAnsi="Verdana" w:cs="Arial"/>
          <w:color w:val="000000"/>
          <w:sz w:val="20"/>
          <w:szCs w:val="20"/>
          <w:lang w:val="es-ES" w:eastAsia="es-ES"/>
        </w:rPr>
      </w:pPr>
    </w:p>
    <w:p w14:paraId="325DB877" w14:textId="7BC77332" w:rsidR="00040E25" w:rsidRPr="00040E25" w:rsidRDefault="00040E25" w:rsidP="00040E25">
      <w:pPr>
        <w:spacing w:after="0" w:line="240" w:lineRule="auto"/>
        <w:jc w:val="both"/>
        <w:rPr>
          <w:rFonts w:ascii="Verdana" w:eastAsia="Calibri" w:hAnsi="Verdana" w:cs="Arial"/>
          <w:color w:val="000000"/>
          <w:sz w:val="20"/>
          <w:szCs w:val="20"/>
          <w:lang w:val="es-ES" w:eastAsia="es-ES"/>
        </w:rPr>
      </w:pPr>
      <w:r w:rsidRPr="00040E25">
        <w:rPr>
          <w:rFonts w:ascii="Verdana" w:eastAsia="Calibri" w:hAnsi="Verdana" w:cs="Arial"/>
          <w:color w:val="000000"/>
          <w:sz w:val="20"/>
          <w:szCs w:val="20"/>
          <w:lang w:val="es-ES" w:eastAsia="es-ES"/>
        </w:rPr>
        <w:t xml:space="preserve">Así las cosas, se ha sostenido </w:t>
      </w:r>
      <w:r w:rsidR="0035348F" w:rsidRPr="00040E25">
        <w:rPr>
          <w:rFonts w:ascii="Verdana" w:eastAsia="Calibri" w:hAnsi="Verdana" w:cs="Arial"/>
          <w:color w:val="000000"/>
          <w:sz w:val="20"/>
          <w:szCs w:val="20"/>
          <w:lang w:val="es-ES" w:eastAsia="es-ES"/>
        </w:rPr>
        <w:t>que,</w:t>
      </w:r>
      <w:r w:rsidRPr="00040E25">
        <w:rPr>
          <w:rFonts w:ascii="Verdana" w:eastAsia="Calibri" w:hAnsi="Verdana" w:cs="Arial"/>
          <w:color w:val="000000"/>
          <w:sz w:val="20"/>
          <w:szCs w:val="20"/>
          <w:lang w:val="es-ES" w:eastAsia="es-ES"/>
        </w:rPr>
        <w:t xml:space="preserv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507A86C5" w14:textId="77777777" w:rsidR="00040E25" w:rsidRPr="00040E25" w:rsidRDefault="00040E25" w:rsidP="00040E25">
      <w:pPr>
        <w:spacing w:after="0" w:line="240" w:lineRule="auto"/>
        <w:jc w:val="both"/>
        <w:rPr>
          <w:rFonts w:ascii="Verdana" w:eastAsia="Calibri" w:hAnsi="Verdana" w:cs="Arial"/>
          <w:color w:val="000000"/>
          <w:sz w:val="20"/>
          <w:szCs w:val="20"/>
          <w:lang w:val="es-ES" w:eastAsia="es-ES"/>
        </w:rPr>
      </w:pPr>
      <w:r w:rsidRPr="00040E25">
        <w:rPr>
          <w:rFonts w:ascii="Verdana" w:eastAsia="Calibri" w:hAnsi="Verdana" w:cs="Arial"/>
          <w:color w:val="000000"/>
          <w:sz w:val="20"/>
          <w:szCs w:val="20"/>
          <w:lang w:val="es-ES" w:eastAsia="es-ES"/>
        </w:rPr>
        <w:lastRenderedPageBreak/>
        <w:t>Incluso, dicha posición es asumida por la Sala de Consulta y Servicio Civil del Consejo de Estado, pues en Concepto 2563 del 25 de junio de 2026 –con ponencia de la Consejera María del Pilar Bahamón Falla– estima que la expresión ‘estricta sujeción’ contenida en el parágrafo 1º del artículo 37 de la Ley 2056 de 2020 tiene un alcance normativo reforzado y no opera como una remisión subsidiaria al régimen interno de la entidad ejecutora, sino como un mandato especial de sometimiento al régimen público que gobierna la ejecución de los recursos de regalías dada su especialidad. Aunque el análisis de la Sala se realizó respecto de una Universidad Pública, sus consideraciones resultan aplicables, por analogía, a otras entidades estatales sometidas a regímenes especiales, como las ESP cuando estas sean designadas ejecutoras de proyectos financiados con recursos del SGR.</w:t>
      </w:r>
    </w:p>
    <w:p w14:paraId="07910FBB" w14:textId="77777777" w:rsidR="00040E25" w:rsidRPr="00040E25" w:rsidRDefault="00040E25" w:rsidP="00040E25">
      <w:pPr>
        <w:spacing w:after="0" w:line="240" w:lineRule="auto"/>
        <w:jc w:val="both"/>
        <w:rPr>
          <w:rFonts w:ascii="Verdana" w:eastAsia="Calibri" w:hAnsi="Verdana" w:cs="Arial"/>
          <w:color w:val="000000"/>
          <w:sz w:val="20"/>
          <w:szCs w:val="20"/>
          <w:lang w:val="es-ES" w:eastAsia="es-ES"/>
        </w:rPr>
      </w:pPr>
    </w:p>
    <w:p w14:paraId="63153C71" w14:textId="77777777" w:rsidR="00040E25" w:rsidRPr="00040E25" w:rsidRDefault="00040E25" w:rsidP="00040E25">
      <w:pPr>
        <w:spacing w:after="0" w:line="240" w:lineRule="auto"/>
        <w:jc w:val="both"/>
        <w:rPr>
          <w:rFonts w:ascii="Verdana" w:eastAsia="Calibri" w:hAnsi="Verdana" w:cs="Arial"/>
          <w:b/>
          <w:bCs/>
          <w:color w:val="000000"/>
          <w:sz w:val="20"/>
          <w:szCs w:val="20"/>
          <w:lang w:val="es-ES" w:eastAsia="es-ES"/>
        </w:rPr>
      </w:pPr>
      <w:r w:rsidRPr="00040E25">
        <w:rPr>
          <w:rFonts w:ascii="Verdana" w:eastAsia="Calibri" w:hAnsi="Verdana" w:cs="Arial"/>
          <w:b/>
          <w:bCs/>
          <w:lang w:val="es-ES" w:eastAsia="es-ES"/>
        </w:rPr>
        <w:t>ORGANISMOS INTERNACIONALES – Artículo 20 – Ley 1150 de 2007 – Régimen contractual</w:t>
      </w:r>
    </w:p>
    <w:p w14:paraId="40BCAE24" w14:textId="77777777" w:rsidR="00040E25" w:rsidRPr="00040E25" w:rsidRDefault="00040E25" w:rsidP="00040E25">
      <w:pPr>
        <w:spacing w:after="0" w:line="240" w:lineRule="auto"/>
        <w:jc w:val="both"/>
        <w:rPr>
          <w:rFonts w:ascii="Verdana" w:eastAsia="Calibri" w:hAnsi="Verdana" w:cs="Arial"/>
          <w:color w:val="000000"/>
          <w:sz w:val="20"/>
          <w:szCs w:val="20"/>
          <w:lang w:val="es-ES" w:eastAsia="es-ES"/>
        </w:rPr>
      </w:pPr>
    </w:p>
    <w:p w14:paraId="217174EB" w14:textId="77777777" w:rsidR="00040E25" w:rsidRPr="00040E25" w:rsidRDefault="00040E25" w:rsidP="00040E25">
      <w:pPr>
        <w:spacing w:after="0" w:line="240" w:lineRule="auto"/>
        <w:jc w:val="both"/>
        <w:rPr>
          <w:rFonts w:ascii="Verdana" w:eastAsiaTheme="minorEastAsia" w:hAnsi="Verdana" w:cs="Arial"/>
          <w:sz w:val="20"/>
          <w:szCs w:val="20"/>
          <w:lang w:val="es-ES_tradnl" w:eastAsia="es-CO"/>
        </w:rPr>
      </w:pPr>
      <w:r w:rsidRPr="00040E25">
        <w:rPr>
          <w:rFonts w:ascii="Verdana" w:eastAsiaTheme="minorEastAsia" w:hAnsi="Verdana" w:cs="Arial"/>
          <w:sz w:val="20"/>
          <w:szCs w:val="20"/>
          <w:lang w:val="es-ES_tradnl" w:eastAsia="es-CO"/>
        </w:rPr>
        <w:t>[…] en lo que tiene que ver con el inciso primero [del artículo 20 de la Ley 1150 de 2007],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w:t>
      </w:r>
    </w:p>
    <w:p w14:paraId="189F2D0C" w14:textId="77777777" w:rsidR="00040E25" w:rsidRPr="00040E25" w:rsidRDefault="00040E25" w:rsidP="00040E25">
      <w:pPr>
        <w:spacing w:after="0" w:line="240" w:lineRule="auto"/>
        <w:jc w:val="both"/>
        <w:rPr>
          <w:rFonts w:ascii="Verdana" w:eastAsiaTheme="minorEastAsia" w:hAnsi="Verdana" w:cs="Arial"/>
          <w:sz w:val="20"/>
          <w:szCs w:val="20"/>
          <w:lang w:val="es-ES_tradnl" w:eastAsia="es-CO"/>
        </w:rPr>
      </w:pPr>
      <w:r w:rsidRPr="00040E25">
        <w:rPr>
          <w:rFonts w:ascii="Verdana" w:eastAsiaTheme="minorEastAsia" w:hAnsi="Verdana" w:cs="Arial"/>
          <w:sz w:val="20"/>
          <w:szCs w:val="20"/>
          <w:lang w:val="es-ES_tradnl" w:eastAsia="es-CO"/>
        </w:rPr>
        <w:t>[…]</w:t>
      </w:r>
    </w:p>
    <w:p w14:paraId="2D8FD863" w14:textId="77777777" w:rsidR="00040E25" w:rsidRPr="00040E25" w:rsidRDefault="00040E25" w:rsidP="00040E25">
      <w:pPr>
        <w:spacing w:after="0" w:line="240" w:lineRule="auto"/>
        <w:jc w:val="both"/>
        <w:rPr>
          <w:rFonts w:ascii="Verdana" w:eastAsiaTheme="minorEastAsia" w:hAnsi="Verdana" w:cs="Arial"/>
          <w:sz w:val="20"/>
          <w:szCs w:val="20"/>
          <w:lang w:val="es-ES_tradnl" w:eastAsia="es-CO"/>
        </w:rPr>
      </w:pPr>
    </w:p>
    <w:p w14:paraId="026D1C32" w14:textId="77777777" w:rsidR="00040E25" w:rsidRPr="00040E25" w:rsidRDefault="00040E25" w:rsidP="00040E25">
      <w:pPr>
        <w:spacing w:after="0" w:line="240" w:lineRule="auto"/>
        <w:jc w:val="both"/>
        <w:rPr>
          <w:rFonts w:ascii="Verdana" w:eastAsiaTheme="minorEastAsia" w:hAnsi="Verdana" w:cs="Arial"/>
          <w:sz w:val="20"/>
          <w:szCs w:val="20"/>
          <w:lang w:val="es-ES_tradnl" w:eastAsia="es-CO"/>
        </w:rPr>
      </w:pPr>
      <w:r w:rsidRPr="00040E25">
        <w:rPr>
          <w:rFonts w:ascii="Verdana" w:eastAsiaTheme="minorEastAsia" w:hAnsi="Verdana" w:cs="Arial"/>
          <w:sz w:val="20"/>
          <w:szCs w:val="20"/>
          <w:lang w:val="es-ES_tradnl" w:eastAsia="es-CO"/>
        </w:rPr>
        <w:t>En los supuestos anteriores, regulados en el inciso segundo del artículo 20, independientemente del monto de los aportes de cada una de las partes, es posible optar por someter el contrato a los reglamentos de dichos organismos o bien someterlos al EGCAP, es decir, configurado alguno de los presupuestos anteriores es posible elegir cualquiera de los dos (2) regímenes indicados.</w:t>
      </w:r>
    </w:p>
    <w:p w14:paraId="2EDF4F8E" w14:textId="77777777" w:rsidR="00040E25" w:rsidRPr="00040E25" w:rsidRDefault="00040E25" w:rsidP="00040E25">
      <w:pPr>
        <w:spacing w:after="0" w:line="240" w:lineRule="auto"/>
        <w:jc w:val="both"/>
        <w:rPr>
          <w:rFonts w:ascii="Verdana" w:eastAsiaTheme="minorEastAsia" w:hAnsi="Verdana" w:cs="Arial"/>
          <w:sz w:val="20"/>
          <w:szCs w:val="20"/>
          <w:lang w:val="es-ES_tradnl" w:eastAsia="es-CO"/>
        </w:rPr>
      </w:pPr>
      <w:r w:rsidRPr="00040E25">
        <w:rPr>
          <w:rFonts w:ascii="Verdana" w:eastAsiaTheme="minorEastAsia" w:hAnsi="Verdana" w:cs="Arial"/>
          <w:sz w:val="20"/>
          <w:szCs w:val="20"/>
          <w:lang w:val="es-ES_tradnl" w:eastAsia="es-CO"/>
        </w:rPr>
        <w:t>[…]</w:t>
      </w:r>
    </w:p>
    <w:p w14:paraId="47FBC691" w14:textId="77777777" w:rsidR="00040E25" w:rsidRPr="00040E25" w:rsidRDefault="00040E25" w:rsidP="00040E25">
      <w:pPr>
        <w:spacing w:after="0" w:line="240" w:lineRule="auto"/>
        <w:jc w:val="both"/>
        <w:rPr>
          <w:rFonts w:ascii="Verdana" w:eastAsiaTheme="minorEastAsia" w:hAnsi="Verdana" w:cs="Arial"/>
          <w:sz w:val="20"/>
          <w:szCs w:val="20"/>
          <w:lang w:val="es-ES_tradnl" w:eastAsia="es-CO"/>
        </w:rPr>
      </w:pPr>
    </w:p>
    <w:p w14:paraId="20FD7A33" w14:textId="77777777" w:rsidR="00040E25" w:rsidRPr="00040E25" w:rsidRDefault="00040E25" w:rsidP="00040E25">
      <w:pPr>
        <w:spacing w:after="0" w:line="240" w:lineRule="auto"/>
        <w:jc w:val="both"/>
        <w:rPr>
          <w:rFonts w:ascii="Verdana" w:hAnsi="Verdana" w:cs="Arial"/>
          <w:sz w:val="20"/>
          <w:szCs w:val="20"/>
        </w:rPr>
      </w:pPr>
      <w:r w:rsidRPr="00040E25">
        <w:rPr>
          <w:rFonts w:ascii="Verdana" w:eastAsiaTheme="minorEastAsia" w:hAnsi="Verdana" w:cs="Arial"/>
          <w:sz w:val="20"/>
          <w:szCs w:val="20"/>
          <w:lang w:val="es-ES_tradnl" w:eastAsia="es-CO"/>
        </w:rPr>
        <w:t>Asimismo, el parágrafo primero del artículo 20 de la Ley 1150 de 2007 establece un tercer criterio para determinar el régimen contractual aplicable. De acuerdo con la norma, “Los contratos o acuerdos celebrados con personas extranjeras de derecho público, podrán someterse a las reglas de tales organismos”. Estos negocios jurídicos, a diferencia de los contratos del inciso primero ibidem, son independientes del monto de los aportes realizados por el organismo. Igualmente, en contraste con los contratos del inciso segundo ibidem, son negocios jurídicos independientes del objeto convenido. No obstante, al igual de los dos (2) supuestos explicados ut supra, en esta hipótesis también es posible optar por someter el contrato a los reglamentos de dichos organismos o bien someterlos a la Ley 80 de 1993</w:t>
      </w:r>
      <w:r w:rsidRPr="00040E25">
        <w:rPr>
          <w:rFonts w:ascii="Verdana" w:hAnsi="Verdana" w:cs="Arial"/>
          <w:sz w:val="20"/>
          <w:szCs w:val="20"/>
        </w:rPr>
        <w:t xml:space="preserve">. </w:t>
      </w:r>
    </w:p>
    <w:p w14:paraId="3745C1FB" w14:textId="77777777" w:rsidR="00040E25" w:rsidRPr="00040E25" w:rsidRDefault="00040E25" w:rsidP="00040E25">
      <w:pPr>
        <w:spacing w:after="0" w:line="240" w:lineRule="auto"/>
        <w:rPr>
          <w:rFonts w:ascii="Verdana" w:eastAsia="Geomanist Light" w:hAnsi="Verdana" w:cs="Arial"/>
          <w:color w:val="000000" w:themeColor="text1"/>
        </w:rPr>
      </w:pPr>
    </w:p>
    <w:p w14:paraId="0A2F90A8" w14:textId="2D9B4777" w:rsidR="00040E25" w:rsidRPr="00040E25" w:rsidRDefault="00040E25" w:rsidP="00040E25">
      <w:pPr>
        <w:spacing w:after="0" w:line="240" w:lineRule="auto"/>
        <w:jc w:val="both"/>
        <w:rPr>
          <w:rFonts w:ascii="Verdana" w:eastAsia="Calibri" w:hAnsi="Verdana" w:cs="Arial"/>
          <w:b/>
          <w:bCs/>
          <w:lang w:val="es-ES" w:eastAsia="es-ES"/>
        </w:rPr>
      </w:pPr>
      <w:r w:rsidRPr="00040E25">
        <w:rPr>
          <w:rFonts w:ascii="Verdana" w:eastAsia="Calibri" w:hAnsi="Verdana" w:cs="Arial"/>
          <w:b/>
          <w:bCs/>
          <w:lang w:val="es-ES" w:eastAsia="es-ES"/>
        </w:rPr>
        <w:t>SGR – Concurrencia de Recursos –</w:t>
      </w:r>
      <w:r w:rsidR="0035348F">
        <w:rPr>
          <w:rFonts w:ascii="Verdana" w:eastAsia="Calibri" w:hAnsi="Verdana" w:cs="Arial"/>
          <w:b/>
          <w:bCs/>
          <w:lang w:val="es-ES" w:eastAsia="es-ES"/>
        </w:rPr>
        <w:t xml:space="preserve"> </w:t>
      </w:r>
      <w:r w:rsidRPr="00040E25">
        <w:rPr>
          <w:rFonts w:ascii="Verdana" w:eastAsia="Calibri" w:hAnsi="Verdana" w:cs="Arial"/>
          <w:b/>
          <w:bCs/>
          <w:lang w:val="es-ES" w:eastAsia="es-ES"/>
        </w:rPr>
        <w:t>Reglamento organismo internacional – Tesis</w:t>
      </w:r>
    </w:p>
    <w:p w14:paraId="5DCD21AB" w14:textId="77777777" w:rsidR="00040E25" w:rsidRPr="00040E25" w:rsidRDefault="00040E25" w:rsidP="00040E25">
      <w:pPr>
        <w:spacing w:after="0" w:line="240" w:lineRule="auto"/>
        <w:jc w:val="both"/>
        <w:rPr>
          <w:rFonts w:ascii="Verdana" w:hAnsi="Verdana" w:cs="Arial"/>
          <w:noProof/>
          <w:sz w:val="20"/>
          <w:szCs w:val="20"/>
        </w:rPr>
      </w:pPr>
      <w:r w:rsidRPr="00040E25">
        <w:rPr>
          <w:rFonts w:ascii="Verdana" w:hAnsi="Verdana" w:cs="Arial"/>
          <w:noProof/>
          <w:sz w:val="20"/>
          <w:szCs w:val="20"/>
        </w:rPr>
        <w:lastRenderedPageBreak/>
        <w:t>Frente a los proyectos de inversión en los que concurran recursos de organismos internacionales y del SGR, pueden plantearse dos posibles tesis interpretativas a aplicar: Una primera tesis parte de una interpretación restrictiva del parágrafo 1 del artículo 37 de la Ley 2056 de 2020, conforme a la cual los proyectos de inversión financiados con recursos del SGR deben sujetarse al EGCAP, sin que la concurrencia de otras fuentes de financiación permita exceptuar o modificar dicha regla, con independencia de la proporción que representen los recursos aportados por el organismo internacional. Bajo esta tesis, la regla especial prevista para la ejecución de los recursos del SGR prevalecería frente a la posibilidad contemplada en el artículo 20 de la Ley 1150 de 2007, por lo que la concurrencia de fuentes no permitiría, por sí misma, sustraer los contratos de la aplicación del EGCAP.</w:t>
      </w:r>
    </w:p>
    <w:p w14:paraId="21919682" w14:textId="77777777" w:rsidR="00040E25" w:rsidRPr="00040E25" w:rsidRDefault="00040E25" w:rsidP="00040E25">
      <w:pPr>
        <w:spacing w:after="0" w:line="240" w:lineRule="auto"/>
        <w:jc w:val="both"/>
        <w:rPr>
          <w:rFonts w:ascii="Verdana" w:eastAsia="Calibri" w:hAnsi="Verdana" w:cs="Arial"/>
          <w:b/>
          <w:bCs/>
          <w:lang w:val="es-ES" w:eastAsia="es-ES"/>
        </w:rPr>
      </w:pPr>
    </w:p>
    <w:p w14:paraId="6947B697" w14:textId="77777777" w:rsidR="00040E25" w:rsidRPr="00040E25" w:rsidRDefault="00040E25" w:rsidP="00040E25">
      <w:pPr>
        <w:spacing w:after="0" w:line="240" w:lineRule="auto"/>
        <w:jc w:val="both"/>
        <w:rPr>
          <w:rFonts w:ascii="Verdana" w:hAnsi="Verdana" w:cs="Arial"/>
          <w:noProof/>
          <w:sz w:val="20"/>
          <w:szCs w:val="20"/>
        </w:rPr>
      </w:pPr>
      <w:r w:rsidRPr="00040E25">
        <w:rPr>
          <w:rFonts w:ascii="Verdana" w:hAnsi="Verdana" w:cs="Arial"/>
          <w:noProof/>
          <w:sz w:val="20"/>
          <w:szCs w:val="20"/>
        </w:rPr>
        <w:t>Una segunda tesis, que podría considerarse más flexible, parte de la posibilidad de aplicar el artículo 20 de la Ley 1150 de 2007 en aquellos proyectos de inversión en los que concurran recursos del Sistema General de Regalías y recursos provenientes de organismos internacionales. Esta interpretación encuentra fundamento en la integración normativa que se produce a partir de la remisión efectuada por el parágrafo 1 del artículo 37 de la Ley 2056 de 2020 al EGCAP. En consecuencia, si la Ley 2056 de 2020 dispone que la contratación necesaria para la ejecución de los proyectos de inversión financiados con recursos del SGR se rige por el EGCAP, dicha remisión comprendería, en principio, las disposiciones que integran dicho estatuto, entre ellas aquellas que establecen reglas particulares para la contratación financiada con recursos de organismos internacionales.</w:t>
      </w:r>
    </w:p>
    <w:p w14:paraId="7F34B5FD" w14:textId="77777777" w:rsidR="00040E25" w:rsidRPr="00040E25" w:rsidRDefault="00040E25" w:rsidP="00040E25">
      <w:pPr>
        <w:spacing w:after="0" w:line="240" w:lineRule="auto"/>
        <w:rPr>
          <w:rFonts w:ascii="Verdana" w:hAnsi="Verdana" w:cs="Arial"/>
          <w:noProof/>
          <w:sz w:val="20"/>
          <w:szCs w:val="20"/>
        </w:rPr>
      </w:pPr>
    </w:p>
    <w:p w14:paraId="2436A3C6" w14:textId="77777777" w:rsidR="00040E25" w:rsidRPr="00040E25" w:rsidRDefault="00040E25" w:rsidP="00040E25">
      <w:pPr>
        <w:spacing w:after="0" w:line="240" w:lineRule="auto"/>
        <w:rPr>
          <w:rFonts w:ascii="Verdana" w:hAnsi="Verdana" w:cs="Arial"/>
          <w:noProof/>
          <w:sz w:val="20"/>
          <w:szCs w:val="20"/>
        </w:rPr>
      </w:pPr>
    </w:p>
    <w:p w14:paraId="5F3595F4" w14:textId="77777777" w:rsidR="00040E25" w:rsidRPr="00040E25" w:rsidRDefault="00040E25" w:rsidP="00040E25">
      <w:pPr>
        <w:spacing w:after="0" w:line="240" w:lineRule="auto"/>
        <w:rPr>
          <w:rFonts w:ascii="Verdana" w:hAnsi="Verdana" w:cs="Arial"/>
          <w:noProof/>
          <w:sz w:val="20"/>
          <w:szCs w:val="20"/>
        </w:rPr>
      </w:pPr>
    </w:p>
    <w:p w14:paraId="25C6A63B" w14:textId="77777777" w:rsidR="00040E25" w:rsidRPr="00040E25" w:rsidRDefault="00040E25" w:rsidP="00040E25">
      <w:pPr>
        <w:spacing w:after="0" w:line="240" w:lineRule="auto"/>
        <w:rPr>
          <w:rFonts w:ascii="Verdana" w:hAnsi="Verdana" w:cs="Arial"/>
          <w:noProof/>
          <w:sz w:val="20"/>
          <w:szCs w:val="20"/>
        </w:rPr>
      </w:pPr>
    </w:p>
    <w:p w14:paraId="50E3F12F" w14:textId="77777777" w:rsidR="00040E25" w:rsidRPr="00040E25" w:rsidRDefault="00040E25" w:rsidP="00040E25">
      <w:pPr>
        <w:spacing w:after="0" w:line="240" w:lineRule="auto"/>
        <w:rPr>
          <w:rFonts w:ascii="Verdana" w:hAnsi="Verdana" w:cs="Arial"/>
          <w:noProof/>
          <w:sz w:val="20"/>
          <w:szCs w:val="20"/>
        </w:rPr>
      </w:pPr>
    </w:p>
    <w:p w14:paraId="53A88A6A" w14:textId="77777777" w:rsidR="00040E25" w:rsidRPr="00040E25" w:rsidRDefault="00040E25" w:rsidP="00040E25">
      <w:pPr>
        <w:spacing w:after="0" w:line="240" w:lineRule="auto"/>
        <w:rPr>
          <w:rFonts w:ascii="Verdana" w:hAnsi="Verdana" w:cs="Arial"/>
          <w:noProof/>
          <w:sz w:val="20"/>
          <w:szCs w:val="20"/>
        </w:rPr>
      </w:pPr>
    </w:p>
    <w:p w14:paraId="03D2E565" w14:textId="77777777" w:rsidR="00040E25" w:rsidRPr="00040E25" w:rsidRDefault="00040E25" w:rsidP="00040E25">
      <w:pPr>
        <w:spacing w:after="0" w:line="240" w:lineRule="auto"/>
        <w:rPr>
          <w:rFonts w:ascii="Verdana" w:eastAsia="Geomanist Light" w:hAnsi="Verdana" w:cs="Arial"/>
          <w:color w:val="000000" w:themeColor="text1"/>
        </w:rPr>
      </w:pPr>
    </w:p>
    <w:p w14:paraId="4CB701D9" w14:textId="77777777" w:rsidR="00040E25" w:rsidRPr="00040E25" w:rsidRDefault="00040E25" w:rsidP="00040E25">
      <w:pPr>
        <w:spacing w:after="0" w:line="240" w:lineRule="auto"/>
        <w:rPr>
          <w:rFonts w:ascii="Verdana" w:eastAsia="Geomanist Light" w:hAnsi="Verdana" w:cs="Arial"/>
          <w:color w:val="000000" w:themeColor="text1"/>
        </w:rPr>
      </w:pPr>
    </w:p>
    <w:p w14:paraId="23CEB77A" w14:textId="77777777" w:rsidR="00040E25" w:rsidRPr="00040E25" w:rsidRDefault="00040E25" w:rsidP="00040E25">
      <w:pPr>
        <w:spacing w:after="0" w:line="240" w:lineRule="auto"/>
        <w:rPr>
          <w:rFonts w:ascii="Verdana" w:eastAsia="Geomanist Light" w:hAnsi="Verdana" w:cs="Arial"/>
          <w:color w:val="000000" w:themeColor="text1"/>
        </w:rPr>
      </w:pPr>
    </w:p>
    <w:p w14:paraId="4C618E66" w14:textId="77777777" w:rsidR="00040E25" w:rsidRPr="00040E25" w:rsidRDefault="00040E25" w:rsidP="00040E25">
      <w:pPr>
        <w:spacing w:after="0" w:line="240" w:lineRule="auto"/>
        <w:rPr>
          <w:rFonts w:ascii="Verdana" w:eastAsia="Geomanist Light" w:hAnsi="Verdana" w:cs="Arial"/>
          <w:color w:val="000000" w:themeColor="text1"/>
        </w:rPr>
      </w:pPr>
    </w:p>
    <w:p w14:paraId="55A0B90B" w14:textId="77777777" w:rsidR="00040E25" w:rsidRPr="00040E25" w:rsidRDefault="00040E25" w:rsidP="00040E25">
      <w:pPr>
        <w:spacing w:after="0" w:line="240" w:lineRule="auto"/>
        <w:rPr>
          <w:rFonts w:ascii="Verdana" w:eastAsia="Geomanist Light" w:hAnsi="Verdana" w:cs="Arial"/>
          <w:color w:val="000000" w:themeColor="text1"/>
        </w:rPr>
      </w:pPr>
    </w:p>
    <w:p w14:paraId="11E7BA9C" w14:textId="77777777" w:rsidR="00040E25" w:rsidRPr="00040E25" w:rsidRDefault="00040E25" w:rsidP="00040E25">
      <w:pPr>
        <w:spacing w:after="0" w:line="240" w:lineRule="auto"/>
        <w:rPr>
          <w:rFonts w:ascii="Verdana" w:eastAsia="Geomanist Light" w:hAnsi="Verdana" w:cs="Arial"/>
          <w:color w:val="000000" w:themeColor="text1"/>
        </w:rPr>
      </w:pPr>
    </w:p>
    <w:p w14:paraId="01EE9D76" w14:textId="77777777" w:rsidR="00040E25" w:rsidRPr="00040E25" w:rsidRDefault="00040E25" w:rsidP="00040E25">
      <w:pPr>
        <w:spacing w:after="0" w:line="240" w:lineRule="auto"/>
        <w:rPr>
          <w:rFonts w:ascii="Verdana" w:eastAsia="Geomanist Light" w:hAnsi="Verdana" w:cs="Arial"/>
          <w:color w:val="000000" w:themeColor="text1"/>
        </w:rPr>
      </w:pPr>
    </w:p>
    <w:p w14:paraId="3A1B607B" w14:textId="77777777" w:rsidR="00040E25" w:rsidRPr="00040E25" w:rsidRDefault="00040E25" w:rsidP="00040E25">
      <w:pPr>
        <w:spacing w:after="0" w:line="240" w:lineRule="auto"/>
        <w:rPr>
          <w:rFonts w:ascii="Verdana" w:eastAsia="Geomanist Light" w:hAnsi="Verdana" w:cs="Arial"/>
          <w:color w:val="000000" w:themeColor="text1"/>
        </w:rPr>
      </w:pPr>
    </w:p>
    <w:p w14:paraId="47511365" w14:textId="77777777" w:rsidR="00040E25" w:rsidRPr="00040E25" w:rsidRDefault="00040E25" w:rsidP="00040E25">
      <w:pPr>
        <w:spacing w:after="0" w:line="240" w:lineRule="auto"/>
        <w:rPr>
          <w:rFonts w:ascii="Verdana" w:eastAsia="Geomanist Light" w:hAnsi="Verdana" w:cs="Arial"/>
          <w:color w:val="000000" w:themeColor="text1"/>
        </w:rPr>
      </w:pPr>
    </w:p>
    <w:p w14:paraId="0C61E9D4" w14:textId="77777777" w:rsidR="00040E25" w:rsidRPr="00040E25" w:rsidRDefault="00040E25" w:rsidP="00040E25">
      <w:pPr>
        <w:spacing w:after="0" w:line="240" w:lineRule="auto"/>
        <w:rPr>
          <w:rFonts w:ascii="Verdana" w:eastAsia="Geomanist Light" w:hAnsi="Verdana" w:cs="Arial"/>
          <w:color w:val="000000" w:themeColor="text1"/>
        </w:rPr>
      </w:pPr>
    </w:p>
    <w:p w14:paraId="23541F37" w14:textId="77777777" w:rsidR="00040E25" w:rsidRPr="00040E25" w:rsidRDefault="00040E25" w:rsidP="00040E25">
      <w:pPr>
        <w:spacing w:after="0" w:line="240" w:lineRule="auto"/>
        <w:rPr>
          <w:rFonts w:ascii="Verdana" w:eastAsia="Geomanist Light" w:hAnsi="Verdana" w:cs="Arial"/>
          <w:color w:val="000000" w:themeColor="text1"/>
        </w:rPr>
      </w:pPr>
    </w:p>
    <w:p w14:paraId="6D3E5978" w14:textId="77777777" w:rsidR="00040E25" w:rsidRPr="00040E25" w:rsidRDefault="00040E25" w:rsidP="00040E25">
      <w:pPr>
        <w:spacing w:after="0" w:line="240" w:lineRule="auto"/>
        <w:rPr>
          <w:rFonts w:ascii="Verdana" w:eastAsia="Geomanist Light" w:hAnsi="Verdana" w:cs="Arial"/>
          <w:color w:val="000000" w:themeColor="text1"/>
        </w:rPr>
      </w:pPr>
    </w:p>
    <w:p w14:paraId="0BFB3E4B" w14:textId="77777777" w:rsidR="00040E25" w:rsidRPr="00040E25" w:rsidRDefault="00040E25" w:rsidP="00040E25">
      <w:pPr>
        <w:spacing w:after="0" w:line="240" w:lineRule="auto"/>
        <w:rPr>
          <w:rFonts w:ascii="Verdana" w:eastAsia="Geomanist Light" w:hAnsi="Verdana" w:cs="Arial"/>
          <w:color w:val="000000" w:themeColor="text1"/>
        </w:rPr>
      </w:pPr>
    </w:p>
    <w:p w14:paraId="409173BA" w14:textId="77777777" w:rsidR="00040E25" w:rsidRPr="00040E25" w:rsidRDefault="00040E25" w:rsidP="00040E25">
      <w:pPr>
        <w:spacing w:after="0" w:line="240" w:lineRule="auto"/>
        <w:rPr>
          <w:rFonts w:ascii="Verdana" w:eastAsia="Geomanist Light" w:hAnsi="Verdana" w:cs="Arial"/>
          <w:color w:val="000000" w:themeColor="text1"/>
        </w:rPr>
      </w:pPr>
    </w:p>
    <w:p w14:paraId="27116E0E" w14:textId="77777777" w:rsidR="00040E25" w:rsidRPr="00040E25" w:rsidRDefault="00040E25" w:rsidP="00040E25">
      <w:pPr>
        <w:spacing w:after="0" w:line="240" w:lineRule="auto"/>
        <w:rPr>
          <w:rFonts w:ascii="Verdana" w:eastAsia="Geomanist Light" w:hAnsi="Verdana" w:cs="Arial"/>
          <w:color w:val="000000" w:themeColor="text1"/>
        </w:rPr>
      </w:pPr>
    </w:p>
    <w:p w14:paraId="62B7CD80" w14:textId="77777777" w:rsidR="00040E25" w:rsidRPr="00040E25" w:rsidRDefault="00040E25" w:rsidP="00040E25">
      <w:pPr>
        <w:spacing w:after="0" w:line="240" w:lineRule="auto"/>
        <w:rPr>
          <w:rFonts w:ascii="Verdana" w:eastAsia="Geomanist Light" w:hAnsi="Verdana" w:cs="Arial"/>
          <w:color w:val="000000" w:themeColor="text1"/>
        </w:rPr>
      </w:pPr>
    </w:p>
    <w:p w14:paraId="40538D1A" w14:textId="0C990C97" w:rsidR="00040E25" w:rsidRPr="00040E25" w:rsidRDefault="00040E25" w:rsidP="00040E25">
      <w:pPr>
        <w:spacing w:after="0" w:line="240" w:lineRule="auto"/>
        <w:rPr>
          <w:rFonts w:ascii="Verdana" w:eastAsia="Geomanist Light" w:hAnsi="Verdana" w:cs="Arial"/>
          <w:color w:val="201F1E"/>
        </w:rPr>
      </w:pPr>
      <w:r w:rsidRPr="00040E25">
        <w:rPr>
          <w:rFonts w:ascii="Verdana" w:eastAsia="Geomanist Light" w:hAnsi="Verdana" w:cs="Arial"/>
          <w:color w:val="000000" w:themeColor="text1"/>
        </w:rPr>
        <w:lastRenderedPageBreak/>
        <w:t>Bogotá D.C., </w:t>
      </w:r>
      <w:r w:rsidR="009D33F7">
        <w:rPr>
          <w:rFonts w:ascii="Verdana" w:eastAsia="Geomanist Light" w:hAnsi="Verdana" w:cs="Arial"/>
          <w:color w:val="000000" w:themeColor="text1"/>
        </w:rPr>
        <w:t>22 de septiembre de 2026</w:t>
      </w:r>
    </w:p>
    <w:p w14:paraId="605903F9" w14:textId="6E079654" w:rsidR="00040E25" w:rsidRPr="00040E25" w:rsidRDefault="00970CAA" w:rsidP="00970CAA">
      <w:pPr>
        <w:spacing w:after="0" w:line="240" w:lineRule="auto"/>
        <w:jc w:val="right"/>
        <w:rPr>
          <w:rFonts w:ascii="Verdana" w:eastAsia="Calibri" w:hAnsi="Verdana" w:cs="Arial"/>
          <w:color w:val="000000"/>
        </w:rPr>
      </w:pPr>
      <w:r w:rsidRPr="00970CAA">
        <w:rPr>
          <w:rFonts w:ascii="Verdana" w:eastAsia="Calibri" w:hAnsi="Verdana" w:cs="Arial"/>
          <w:noProof/>
          <w:color w:val="000000"/>
        </w:rPr>
        <w:drawing>
          <wp:anchor distT="0" distB="0" distL="114300" distR="114300" simplePos="0" relativeHeight="251658240" behindDoc="0" locked="0" layoutInCell="1" allowOverlap="1" wp14:anchorId="7643906B" wp14:editId="4E74D9D3">
            <wp:simplePos x="0" y="0"/>
            <wp:positionH relativeFrom="column">
              <wp:posOffset>3209925</wp:posOffset>
            </wp:positionH>
            <wp:positionV relativeFrom="paragraph">
              <wp:posOffset>-2540</wp:posOffset>
            </wp:positionV>
            <wp:extent cx="2392680" cy="922020"/>
            <wp:effectExtent l="0" t="0" r="7620" b="0"/>
            <wp:wrapSquare wrapText="bothSides"/>
            <wp:docPr id="1686529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2680" cy="922020"/>
                    </a:xfrm>
                    <a:prstGeom prst="rect">
                      <a:avLst/>
                    </a:prstGeom>
                    <a:noFill/>
                    <a:ln>
                      <a:noFill/>
                    </a:ln>
                  </pic:spPr>
                </pic:pic>
              </a:graphicData>
            </a:graphic>
          </wp:anchor>
        </w:drawing>
      </w:r>
    </w:p>
    <w:p w14:paraId="51FA4604" w14:textId="77777777" w:rsidR="00040E25" w:rsidRPr="00040E25" w:rsidRDefault="00040E25" w:rsidP="00040E25">
      <w:pPr>
        <w:spacing w:after="0" w:line="240" w:lineRule="auto"/>
        <w:jc w:val="both"/>
        <w:rPr>
          <w:rFonts w:ascii="Verdana" w:eastAsia="Calibri" w:hAnsi="Verdana" w:cs="Arial"/>
          <w:color w:val="000000"/>
        </w:rPr>
      </w:pPr>
    </w:p>
    <w:p w14:paraId="095CEA23" w14:textId="77777777" w:rsidR="00040E25" w:rsidRPr="00040E25" w:rsidRDefault="00040E25" w:rsidP="00040E25">
      <w:pPr>
        <w:spacing w:after="0" w:line="240" w:lineRule="auto"/>
        <w:jc w:val="both"/>
        <w:rPr>
          <w:rFonts w:ascii="Verdana" w:eastAsia="Calibri" w:hAnsi="Verdana" w:cs="Arial"/>
          <w:lang w:eastAsia="es-ES"/>
        </w:rPr>
      </w:pPr>
      <w:r w:rsidRPr="00040E25">
        <w:rPr>
          <w:rFonts w:ascii="Verdana" w:eastAsia="Calibri" w:hAnsi="Verdana" w:cs="Arial"/>
          <w:lang w:eastAsia="es-ES"/>
        </w:rPr>
        <w:t>Señora</w:t>
      </w:r>
    </w:p>
    <w:p w14:paraId="4C8EFCA8" w14:textId="77777777" w:rsidR="00040E25" w:rsidRPr="00040E25" w:rsidRDefault="00040E25" w:rsidP="00040E25">
      <w:pPr>
        <w:spacing w:after="0" w:line="240" w:lineRule="auto"/>
        <w:jc w:val="both"/>
        <w:rPr>
          <w:rFonts w:ascii="Verdana" w:eastAsia="Calibri" w:hAnsi="Verdana" w:cs="Arial"/>
          <w:b/>
          <w:bCs/>
          <w:lang w:eastAsia="es-ES"/>
        </w:rPr>
      </w:pPr>
      <w:r w:rsidRPr="00040E25">
        <w:rPr>
          <w:rFonts w:ascii="Verdana" w:eastAsia="Calibri" w:hAnsi="Verdana" w:cs="Arial"/>
          <w:b/>
          <w:bCs/>
          <w:lang w:eastAsia="es-ES"/>
        </w:rPr>
        <w:t>María Marcela Holgín Moreno</w:t>
      </w:r>
    </w:p>
    <w:p w14:paraId="247F9EDC" w14:textId="77777777" w:rsidR="00040E25" w:rsidRPr="00040E25" w:rsidRDefault="00040E25" w:rsidP="00040E25">
      <w:pPr>
        <w:spacing w:after="0" w:line="240" w:lineRule="auto"/>
        <w:jc w:val="both"/>
        <w:rPr>
          <w:rFonts w:ascii="Verdana" w:eastAsia="Calibri" w:hAnsi="Verdana" w:cs="Arial"/>
          <w:lang w:eastAsia="es-ES"/>
        </w:rPr>
      </w:pPr>
      <w:r w:rsidRPr="00040E25">
        <w:rPr>
          <w:rFonts w:ascii="Verdana" w:eastAsia="Calibri" w:hAnsi="Verdana" w:cs="Arial"/>
          <w:lang w:eastAsia="es-ES"/>
        </w:rPr>
        <w:t>Gerente General</w:t>
      </w:r>
    </w:p>
    <w:p w14:paraId="4EFE31FE" w14:textId="77777777" w:rsidR="00040E25" w:rsidRPr="00040E25" w:rsidRDefault="00040E25" w:rsidP="00040E25">
      <w:pPr>
        <w:spacing w:after="0" w:line="240" w:lineRule="auto"/>
        <w:jc w:val="both"/>
        <w:rPr>
          <w:rFonts w:ascii="Verdana" w:eastAsia="Calibri" w:hAnsi="Verdana" w:cs="Arial"/>
          <w:lang w:eastAsia="es-ES"/>
        </w:rPr>
      </w:pPr>
      <w:r w:rsidRPr="00040E25">
        <w:rPr>
          <w:rFonts w:ascii="Verdana" w:eastAsia="Calibri" w:hAnsi="Verdana" w:cs="Arial"/>
          <w:lang w:eastAsia="es-ES"/>
        </w:rPr>
        <w:t>Promotora Ferrocarril de Antioquia S.A.S</w:t>
      </w:r>
    </w:p>
    <w:p w14:paraId="08D0AF79" w14:textId="77777777" w:rsidR="00040E25" w:rsidRPr="00040E25" w:rsidRDefault="00040E25" w:rsidP="00040E25">
      <w:pPr>
        <w:spacing w:after="0" w:line="240" w:lineRule="auto"/>
        <w:rPr>
          <w:rFonts w:ascii="Verdana" w:eastAsia="Calibri" w:hAnsi="Verdana" w:cs="Arial"/>
          <w:bCs/>
          <w:color w:val="000000"/>
          <w:lang w:val="pt-BR" w:eastAsia="es-ES_tradnl"/>
        </w:rPr>
      </w:pPr>
      <w:hyperlink r:id="rId12" w:history="1">
        <w:r w:rsidRPr="00040E25">
          <w:rPr>
            <w:rFonts w:ascii="Verdana" w:eastAsia="Calibri" w:hAnsi="Verdana" w:cs="Arial"/>
            <w:bCs/>
            <w:color w:val="0563C1" w:themeColor="hyperlink"/>
            <w:u w:val="single"/>
            <w:lang w:val="pt-BR" w:eastAsia="es-ES_tradnl"/>
          </w:rPr>
          <w:t>marcela.holguin@ferrocarrildeantioquia.gov.co</w:t>
        </w:r>
      </w:hyperlink>
      <w:r w:rsidRPr="00040E25">
        <w:rPr>
          <w:rFonts w:ascii="Verdana" w:eastAsia="Calibri" w:hAnsi="Verdana" w:cs="Arial"/>
          <w:bCs/>
          <w:color w:val="000000"/>
          <w:lang w:val="pt-BR" w:eastAsia="es-ES_tradnl"/>
        </w:rPr>
        <w:t xml:space="preserve"> </w:t>
      </w:r>
    </w:p>
    <w:p w14:paraId="48E87266" w14:textId="77777777" w:rsidR="00040E25" w:rsidRPr="00040E25" w:rsidRDefault="00040E25" w:rsidP="00040E25">
      <w:pPr>
        <w:spacing w:after="0" w:line="240" w:lineRule="auto"/>
        <w:rPr>
          <w:rFonts w:ascii="Verdana" w:eastAsia="Calibri" w:hAnsi="Verdana" w:cs="Arial"/>
          <w:bCs/>
          <w:color w:val="000000"/>
          <w:lang w:val="pt-BR" w:eastAsia="es-ES_tradnl"/>
        </w:rPr>
      </w:pPr>
      <w:r w:rsidRPr="00040E25">
        <w:rPr>
          <w:rFonts w:ascii="Verdana" w:eastAsia="Calibri" w:hAnsi="Verdana" w:cs="Arial"/>
          <w:bCs/>
          <w:color w:val="000000"/>
          <w:lang w:val="pt-BR" w:eastAsia="es-ES_tradnl"/>
        </w:rPr>
        <w:t>Medellin, Antioquia</w:t>
      </w:r>
    </w:p>
    <w:p w14:paraId="18798ACC" w14:textId="77777777" w:rsidR="00040E25" w:rsidRPr="00040E25" w:rsidRDefault="00040E25" w:rsidP="00040E25">
      <w:pPr>
        <w:spacing w:after="0" w:line="240" w:lineRule="auto"/>
        <w:rPr>
          <w:rFonts w:ascii="Verdana" w:eastAsia="Calibri" w:hAnsi="Verdana" w:cs="Arial"/>
          <w:b/>
          <w:color w:val="000000"/>
          <w:lang w:val="pt-BR" w:eastAsia="es-ES_tradnl"/>
        </w:rPr>
      </w:pPr>
    </w:p>
    <w:p w14:paraId="09CE827D" w14:textId="77777777" w:rsidR="00040E25" w:rsidRPr="00040E25" w:rsidRDefault="00040E25" w:rsidP="00040E25">
      <w:pPr>
        <w:spacing w:after="0" w:line="240" w:lineRule="auto"/>
        <w:rPr>
          <w:rFonts w:ascii="Verdana" w:eastAsia="Calibri" w:hAnsi="Verdana" w:cs="Arial"/>
          <w:b/>
          <w:color w:val="000000"/>
          <w:lang w:val="pt-BR" w:eastAsia="es-ES_tradnl"/>
        </w:rPr>
      </w:pPr>
    </w:p>
    <w:p w14:paraId="5270A8BC" w14:textId="3CA4A10D" w:rsidR="00040E25" w:rsidRPr="00040E25" w:rsidRDefault="00040E25" w:rsidP="00040E25">
      <w:pPr>
        <w:spacing w:after="0" w:line="240" w:lineRule="auto"/>
        <w:jc w:val="center"/>
        <w:rPr>
          <w:rFonts w:ascii="Verdana" w:eastAsia="Calibri" w:hAnsi="Verdana" w:cs="Arial"/>
          <w:b/>
          <w:lang w:val="pt-BR" w:eastAsia="es-ES"/>
        </w:rPr>
      </w:pPr>
      <w:r w:rsidRPr="00040E25">
        <w:rPr>
          <w:rFonts w:ascii="Verdana" w:eastAsia="Calibri" w:hAnsi="Verdana" w:cs="Arial"/>
          <w:b/>
          <w:lang w:val="pt-BR" w:eastAsia="es-ES"/>
        </w:rPr>
        <w:t>Concepto C</w:t>
      </w:r>
      <w:r w:rsidR="0035348F">
        <w:rPr>
          <w:rFonts w:ascii="Verdana" w:eastAsia="Calibri" w:hAnsi="Verdana" w:cs="Arial"/>
          <w:b/>
          <w:lang w:val="pt-BR" w:eastAsia="es-ES"/>
        </w:rPr>
        <w:t>-</w:t>
      </w:r>
      <w:r w:rsidRPr="00040E25">
        <w:rPr>
          <w:rFonts w:ascii="Verdana" w:eastAsia="Calibri" w:hAnsi="Verdana" w:cs="Arial"/>
          <w:b/>
          <w:lang w:val="pt-BR" w:eastAsia="es-ES"/>
        </w:rPr>
        <w:t>1346 de 2026</w:t>
      </w:r>
    </w:p>
    <w:p w14:paraId="47061E65" w14:textId="77777777" w:rsidR="00040E25" w:rsidRPr="00040E25" w:rsidRDefault="00040E25" w:rsidP="00040E25">
      <w:pPr>
        <w:spacing w:after="0" w:line="240" w:lineRule="auto"/>
        <w:rPr>
          <w:rFonts w:ascii="Verdana" w:eastAsia="Calibri" w:hAnsi="Verdana" w:cs="Arial"/>
          <w:b/>
          <w:color w:val="000000"/>
          <w:lang w:val="pt-BR" w:eastAsia="es-ES_tradnl"/>
        </w:rPr>
      </w:pPr>
    </w:p>
    <w:p w14:paraId="50C8EA53" w14:textId="77777777" w:rsidR="00040E25" w:rsidRPr="00040E25" w:rsidRDefault="00040E25" w:rsidP="00040E25">
      <w:pPr>
        <w:spacing w:after="0" w:line="240" w:lineRule="auto"/>
        <w:rPr>
          <w:rFonts w:ascii="Verdana" w:eastAsia="Calibri" w:hAnsi="Verdana" w:cs="Arial"/>
          <w:b/>
          <w:color w:val="000000"/>
          <w:lang w:val="pt-BR"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40E25" w:rsidRPr="00040E25" w14:paraId="6DD1761A" w14:textId="77777777" w:rsidTr="007B55C3">
        <w:trPr>
          <w:trHeight w:val="884"/>
        </w:trPr>
        <w:tc>
          <w:tcPr>
            <w:tcW w:w="2689" w:type="dxa"/>
          </w:tcPr>
          <w:p w14:paraId="46D23FA1" w14:textId="77777777" w:rsidR="00040E25" w:rsidRPr="00040E25" w:rsidRDefault="00040E25" w:rsidP="00040E25">
            <w:pPr>
              <w:jc w:val="both"/>
              <w:rPr>
                <w:rFonts w:ascii="Verdana" w:eastAsia="Calibri" w:hAnsi="Verdana" w:cs="Arial"/>
                <w:color w:val="000000"/>
                <w:lang w:eastAsia="es-ES_tradnl"/>
              </w:rPr>
            </w:pPr>
            <w:r w:rsidRPr="00040E25">
              <w:rPr>
                <w:rFonts w:ascii="Verdana" w:eastAsia="Calibri" w:hAnsi="Verdana" w:cs="Arial"/>
                <w:b/>
                <w:color w:val="000000"/>
                <w:lang w:eastAsia="es-ES_tradnl"/>
              </w:rPr>
              <w:t>Temas:</w:t>
            </w:r>
            <w:r w:rsidRPr="00040E25">
              <w:rPr>
                <w:rFonts w:ascii="Verdana" w:eastAsia="Calibri" w:hAnsi="Verdana" w:cs="Arial"/>
                <w:color w:val="000000"/>
                <w:lang w:eastAsia="es-ES_tradnl"/>
              </w:rPr>
              <w:t xml:space="preserve">                   </w:t>
            </w:r>
          </w:p>
        </w:tc>
        <w:tc>
          <w:tcPr>
            <w:tcW w:w="6100" w:type="dxa"/>
          </w:tcPr>
          <w:p w14:paraId="0ADFD64A" w14:textId="77777777" w:rsidR="00040E25" w:rsidRPr="00040E25" w:rsidRDefault="00040E25" w:rsidP="00040E25">
            <w:pPr>
              <w:spacing w:line="276" w:lineRule="auto"/>
              <w:jc w:val="both"/>
              <w:rPr>
                <w:rFonts w:ascii="Verdana" w:eastAsia="Calibri" w:hAnsi="Verdana" w:cs="Arial"/>
                <w:lang w:val="es-ES" w:eastAsia="es-ES"/>
              </w:rPr>
            </w:pPr>
            <w:r w:rsidRPr="00040E25">
              <w:rPr>
                <w:rFonts w:ascii="Verdana" w:eastAsia="Calibri" w:hAnsi="Verdana" w:cs="Arial"/>
                <w:lang w:val="es-ES" w:eastAsia="es-ES"/>
              </w:rPr>
              <w:t xml:space="preserve">SISTEMA GENERAL DE REGALÍAS – Ley 2056 de 2020 – artículo 37 / RÉGIMEN CONTRACTUAL – Entidades ejecutoras – Régimen especial – Aplicación del Estatuto General de Contratación de la Administración Pública / ORGANISMOS INTERNACIONALES – Artículo 20 – Ley 1150 de 2007 – Régimen contractual Artículo 20 /   SGR – Concurrencia de Recursos –Reglamento organismo internacional – Tesis </w:t>
            </w:r>
          </w:p>
          <w:p w14:paraId="482C7D58" w14:textId="77777777" w:rsidR="00040E25" w:rsidRPr="00040E25" w:rsidRDefault="00040E25" w:rsidP="00040E25">
            <w:pPr>
              <w:jc w:val="both"/>
              <w:rPr>
                <w:rFonts w:ascii="Verdana" w:eastAsia="Calibri" w:hAnsi="Verdana" w:cs="Arial"/>
                <w:lang w:eastAsia="es-ES"/>
              </w:rPr>
            </w:pPr>
          </w:p>
        </w:tc>
      </w:tr>
      <w:tr w:rsidR="00040E25" w:rsidRPr="00040E25" w14:paraId="02B6BA4F" w14:textId="77777777" w:rsidTr="007B55C3">
        <w:tc>
          <w:tcPr>
            <w:tcW w:w="2689" w:type="dxa"/>
          </w:tcPr>
          <w:p w14:paraId="17ACBB2F" w14:textId="77777777" w:rsidR="00040E25" w:rsidRPr="00040E25" w:rsidRDefault="00040E25" w:rsidP="00040E25">
            <w:pPr>
              <w:jc w:val="both"/>
              <w:rPr>
                <w:rFonts w:ascii="Verdana" w:eastAsia="Calibri" w:hAnsi="Verdana" w:cs="Arial"/>
                <w:b/>
                <w:lang w:eastAsia="es-ES_tradnl"/>
              </w:rPr>
            </w:pPr>
            <w:r w:rsidRPr="00040E25">
              <w:rPr>
                <w:rFonts w:ascii="Verdana" w:eastAsia="Calibri" w:hAnsi="Verdana" w:cs="Arial"/>
                <w:b/>
                <w:lang w:eastAsia="es-ES_tradnl"/>
              </w:rPr>
              <w:t>Radicación:</w:t>
            </w:r>
            <w:r w:rsidRPr="00040E25">
              <w:rPr>
                <w:rFonts w:ascii="Verdana" w:eastAsia="Calibri" w:hAnsi="Verdana" w:cs="Arial"/>
                <w:lang w:eastAsia="es-ES_tradnl"/>
              </w:rPr>
              <w:t xml:space="preserve">               </w:t>
            </w:r>
          </w:p>
        </w:tc>
        <w:tc>
          <w:tcPr>
            <w:tcW w:w="6100" w:type="dxa"/>
          </w:tcPr>
          <w:p w14:paraId="5895B7BD" w14:textId="77777777" w:rsidR="00040E25" w:rsidRPr="00040E25" w:rsidRDefault="00040E25" w:rsidP="00040E25">
            <w:pPr>
              <w:spacing w:line="276" w:lineRule="auto"/>
              <w:jc w:val="both"/>
              <w:rPr>
                <w:rFonts w:ascii="Verdana" w:eastAsia="Calibri" w:hAnsi="Verdana" w:cs="Arial"/>
                <w:lang w:eastAsia="es-ES_tradnl"/>
              </w:rPr>
            </w:pPr>
            <w:r w:rsidRPr="00040E25">
              <w:rPr>
                <w:rFonts w:ascii="Verdana" w:eastAsia="Calibri" w:hAnsi="Verdana" w:cs="Arial"/>
                <w:lang w:eastAsia="es-ES_tradnl"/>
              </w:rPr>
              <w:t>Respuesta a la consulta con radicado No.</w:t>
            </w:r>
            <w:r w:rsidRPr="00040E25">
              <w:rPr>
                <w:rFonts w:ascii="Verdana" w:hAnsi="Verdana"/>
              </w:rPr>
              <w:t xml:space="preserve"> 1_2026_08_27_011437, 1_2026_08_27_011439, y 1_2026_08_27_011451 </w:t>
            </w:r>
          </w:p>
        </w:tc>
      </w:tr>
    </w:tbl>
    <w:p w14:paraId="37162AB6" w14:textId="77777777" w:rsidR="00040E25" w:rsidRPr="00040E25" w:rsidRDefault="00040E25" w:rsidP="00040E25">
      <w:pPr>
        <w:spacing w:after="0" w:line="240" w:lineRule="auto"/>
        <w:jc w:val="both"/>
        <w:rPr>
          <w:rFonts w:ascii="Verdana" w:eastAsia="Calibri" w:hAnsi="Verdana" w:cs="Arial"/>
          <w:color w:val="000000"/>
          <w:lang w:eastAsia="es-ES_tradnl"/>
        </w:rPr>
      </w:pPr>
    </w:p>
    <w:p w14:paraId="687162EE" w14:textId="77777777" w:rsidR="00040E25" w:rsidRPr="00040E25" w:rsidRDefault="00040E25" w:rsidP="00040E25">
      <w:pPr>
        <w:spacing w:after="0" w:line="240" w:lineRule="auto"/>
        <w:jc w:val="both"/>
        <w:rPr>
          <w:rFonts w:ascii="Verdana" w:eastAsia="Calibri" w:hAnsi="Verdana" w:cs="Arial"/>
          <w:color w:val="000000"/>
          <w:lang w:eastAsia="es-ES_tradnl"/>
        </w:rPr>
      </w:pPr>
    </w:p>
    <w:p w14:paraId="60ED3AFF" w14:textId="77777777" w:rsidR="00040E25" w:rsidRPr="00040E25" w:rsidRDefault="00040E25" w:rsidP="00040E25">
      <w:pPr>
        <w:spacing w:after="0" w:line="276" w:lineRule="auto"/>
        <w:jc w:val="both"/>
        <w:rPr>
          <w:rFonts w:ascii="Verdana" w:eastAsia="Calibri" w:hAnsi="Verdana" w:cs="Arial"/>
          <w:lang w:eastAsia="es-ES"/>
        </w:rPr>
      </w:pPr>
      <w:r w:rsidRPr="00040E25">
        <w:rPr>
          <w:rFonts w:ascii="Verdana" w:eastAsia="Calibri" w:hAnsi="Verdana" w:cs="Arial"/>
          <w:lang w:eastAsia="es-ES"/>
        </w:rPr>
        <w:t xml:space="preserve">Estimada señora Holguín: </w:t>
      </w:r>
    </w:p>
    <w:p w14:paraId="07FD301E" w14:textId="77777777" w:rsidR="00040E25" w:rsidRPr="00040E25" w:rsidRDefault="00040E25" w:rsidP="00040E25">
      <w:pPr>
        <w:tabs>
          <w:tab w:val="left" w:pos="3768"/>
        </w:tabs>
        <w:spacing w:after="0" w:line="276" w:lineRule="auto"/>
        <w:jc w:val="both"/>
        <w:rPr>
          <w:rFonts w:ascii="Verdana" w:eastAsia="Calibri" w:hAnsi="Verdana" w:cs="Arial"/>
          <w:color w:val="000000" w:themeColor="text1"/>
          <w:lang w:eastAsia="es-ES"/>
        </w:rPr>
      </w:pPr>
      <w:r w:rsidRPr="00040E25">
        <w:rPr>
          <w:rFonts w:ascii="Verdana" w:eastAsia="Calibri" w:hAnsi="Verdana" w:cs="Arial"/>
          <w:color w:val="000000" w:themeColor="text1"/>
          <w:lang w:eastAsia="es-ES"/>
        </w:rPr>
        <w:tab/>
      </w:r>
    </w:p>
    <w:p w14:paraId="172B9C75" w14:textId="77777777" w:rsidR="00040E25" w:rsidRPr="00040E25" w:rsidRDefault="00040E25" w:rsidP="00040E25">
      <w:pPr>
        <w:spacing w:after="0" w:line="276" w:lineRule="auto"/>
        <w:jc w:val="both"/>
        <w:rPr>
          <w:rFonts w:ascii="Verdana" w:eastAsia="Calibri" w:hAnsi="Verdana" w:cs="Arial"/>
          <w:i/>
          <w:iCs/>
          <w:lang w:eastAsia="es-ES"/>
        </w:rPr>
      </w:pPr>
      <w:r w:rsidRPr="00040E25">
        <w:rPr>
          <w:rFonts w:ascii="Verdana" w:eastAsia="Calibri" w:hAnsi="Verdana" w:cs="Arial"/>
          <w:color w:val="000000" w:themeColor="text1"/>
          <w:lang w:eastAsia="es-ES"/>
        </w:rPr>
        <w:t>En ejercicio de la competencia otorgada por los artículos 3, numeral 5º, y 11, numeral 8º, del Decreto Ley 4170 de 2011,</w:t>
      </w:r>
      <w:r w:rsidRPr="00040E25">
        <w:rPr>
          <w:rFonts w:ascii="Verdana" w:eastAsia="Arial MT" w:hAnsi="Verdana" w:cs="Arial MT"/>
          <w:lang w:eastAsia="es-ES"/>
        </w:rPr>
        <w:t xml:space="preserve"> </w:t>
      </w:r>
      <w:r w:rsidRPr="00040E25">
        <w:rPr>
          <w:rFonts w:ascii="Verdana" w:hAnsi="Verdana" w:cs="Arial"/>
        </w:rPr>
        <w:t xml:space="preserve">así como lo establecido en la Resolución 469 de 2025 expedida por esta Entidad, </w:t>
      </w:r>
      <w:r w:rsidRPr="00040E25">
        <w:rPr>
          <w:rFonts w:ascii="Verdana" w:eastAsia="Calibri" w:hAnsi="Verdana" w:cs="Arial"/>
          <w:color w:val="000000" w:themeColor="text1"/>
          <w:lang w:eastAsia="es-ES"/>
        </w:rPr>
        <w:t>la Agencia Nacional de Contratación Pública – Colombia Compra Eficiente responde su solicitud del 27 de agosto de 2026, remitida por competencia por el Departamento Nacional de Planeación,</w:t>
      </w:r>
      <w:r w:rsidRPr="00040E25">
        <w:rPr>
          <w:rFonts w:ascii="Verdana" w:eastAsia="Calibri" w:hAnsi="Verdana" w:cs="Arial"/>
          <w:lang w:eastAsia="es-ES"/>
        </w:rPr>
        <w:t xml:space="preserve"> en la cual consulta sobre lo siguiente:</w:t>
      </w:r>
      <w:r w:rsidRPr="00040E25">
        <w:rPr>
          <w:rFonts w:ascii="Verdana" w:eastAsia="Calibri" w:hAnsi="Verdana" w:cs="Arial"/>
          <w:i/>
          <w:iCs/>
          <w:lang w:eastAsia="es-ES"/>
        </w:rPr>
        <w:t xml:space="preserve"> </w:t>
      </w:r>
      <w:bookmarkStart w:id="2" w:name="_Hlk95313578"/>
    </w:p>
    <w:p w14:paraId="7F1DF8C3" w14:textId="77777777" w:rsidR="00040E25" w:rsidRPr="00040E25" w:rsidRDefault="00040E25" w:rsidP="00040E25">
      <w:pPr>
        <w:spacing w:after="0" w:line="276" w:lineRule="auto"/>
        <w:jc w:val="both"/>
        <w:rPr>
          <w:rFonts w:ascii="Verdana" w:eastAsia="Calibri" w:hAnsi="Verdana" w:cs="Arial"/>
          <w:i/>
          <w:iCs/>
          <w:lang w:eastAsia="es-ES"/>
        </w:rPr>
      </w:pPr>
    </w:p>
    <w:p w14:paraId="3BDD3CE3" w14:textId="77777777" w:rsidR="00040E25" w:rsidRPr="00040E25" w:rsidRDefault="00040E25" w:rsidP="00040E25">
      <w:pPr>
        <w:spacing w:after="0" w:line="240" w:lineRule="auto"/>
        <w:ind w:left="709" w:right="709"/>
        <w:jc w:val="both"/>
        <w:rPr>
          <w:rFonts w:ascii="Verdana" w:hAnsi="Verdana"/>
          <w:sz w:val="20"/>
          <w:szCs w:val="20"/>
        </w:rPr>
      </w:pPr>
      <w:r w:rsidRPr="00040E25">
        <w:rPr>
          <w:rFonts w:ascii="Verdana" w:eastAsia="Arial" w:hAnsi="Verdana" w:cs="Arial"/>
          <w:iCs/>
          <w:color w:val="000000"/>
          <w:sz w:val="20"/>
          <w:szCs w:val="20"/>
        </w:rPr>
        <w:t>“</w:t>
      </w:r>
      <w:bookmarkEnd w:id="2"/>
      <w:r w:rsidRPr="00040E25">
        <w:rPr>
          <w:rFonts w:ascii="Verdana" w:hAnsi="Verdana"/>
          <w:sz w:val="20"/>
          <w:szCs w:val="20"/>
        </w:rPr>
        <w:t>(…)</w:t>
      </w:r>
    </w:p>
    <w:p w14:paraId="3175A79C" w14:textId="77777777" w:rsidR="00040E25" w:rsidRPr="00040E25" w:rsidRDefault="00040E25" w:rsidP="00040E25">
      <w:pPr>
        <w:spacing w:after="0" w:line="240" w:lineRule="auto"/>
        <w:ind w:left="709" w:right="709"/>
        <w:jc w:val="both"/>
        <w:rPr>
          <w:rFonts w:ascii="Verdana" w:hAnsi="Verdana"/>
          <w:sz w:val="20"/>
          <w:szCs w:val="20"/>
        </w:rPr>
      </w:pPr>
    </w:p>
    <w:p w14:paraId="09ABC8AB" w14:textId="77777777" w:rsidR="00040E25" w:rsidRPr="00040E25" w:rsidRDefault="00040E25" w:rsidP="00040E25">
      <w:pPr>
        <w:spacing w:after="0" w:line="240" w:lineRule="auto"/>
        <w:ind w:left="709" w:right="709"/>
        <w:jc w:val="both"/>
        <w:rPr>
          <w:rFonts w:ascii="Verdana" w:hAnsi="Verdana"/>
          <w:sz w:val="20"/>
          <w:szCs w:val="20"/>
        </w:rPr>
      </w:pPr>
      <w:r w:rsidRPr="00040E25">
        <w:rPr>
          <w:rFonts w:ascii="Verdana" w:hAnsi="Verdana"/>
          <w:sz w:val="20"/>
          <w:szCs w:val="20"/>
        </w:rPr>
        <w:lastRenderedPageBreak/>
        <w:t xml:space="preserve">1. ¿El parágrafo primero del artículo 37 de la Ley 2056 de 2020 obliga a las entidades de régimen exceptuado a contratar bajo el Estatuto General de Contratación de la Administración cuando ejecutan recursos del SGR, o pueden conservar su régimen propio de contratación? </w:t>
      </w:r>
    </w:p>
    <w:p w14:paraId="1E3DF60E" w14:textId="77777777" w:rsidR="00040E25" w:rsidRPr="00040E25" w:rsidRDefault="00040E25" w:rsidP="00040E25">
      <w:pPr>
        <w:spacing w:after="0" w:line="240" w:lineRule="auto"/>
        <w:ind w:left="709" w:right="709"/>
        <w:jc w:val="both"/>
        <w:rPr>
          <w:rFonts w:ascii="Verdana" w:hAnsi="Verdana"/>
          <w:sz w:val="20"/>
          <w:szCs w:val="20"/>
        </w:rPr>
      </w:pPr>
    </w:p>
    <w:p w14:paraId="4A1537D3" w14:textId="77777777" w:rsidR="00040E25" w:rsidRPr="00040E25" w:rsidRDefault="00040E25" w:rsidP="00040E25">
      <w:pPr>
        <w:spacing w:after="0" w:line="240" w:lineRule="auto"/>
        <w:ind w:left="709" w:right="709"/>
        <w:jc w:val="both"/>
        <w:rPr>
          <w:rFonts w:ascii="Verdana" w:hAnsi="Verdana"/>
          <w:sz w:val="20"/>
          <w:szCs w:val="20"/>
        </w:rPr>
      </w:pPr>
      <w:r w:rsidRPr="00040E25">
        <w:rPr>
          <w:rFonts w:ascii="Verdana" w:hAnsi="Verdana"/>
          <w:sz w:val="20"/>
          <w:szCs w:val="20"/>
        </w:rPr>
        <w:t xml:space="preserve">2. Cuando un proyecto se financia de manera simultánea con recursos del SGR, con recursos propios de una entidad pública de régimen exceptuado de contratación y con recursos de cooperación internacional no reembolsable, ¿debe adelantarse el proceso de contratación conforme al Estatuto General de Contratación de la Administración Pública, aplicarse el manual de contratación propio de la entidad ejecutora, o someterse a las normas y procedimientos del organismo internacional de cooperación, en los términos del artículo 20 de la Ley 1150 de 2007?” </w:t>
      </w:r>
    </w:p>
    <w:p w14:paraId="2B0B7118" w14:textId="77777777" w:rsidR="00040E25" w:rsidRPr="00040E25" w:rsidRDefault="00040E25" w:rsidP="00040E25">
      <w:pPr>
        <w:spacing w:after="0" w:line="240" w:lineRule="auto"/>
        <w:ind w:right="709"/>
        <w:jc w:val="both"/>
        <w:rPr>
          <w:rFonts w:ascii="Verdana" w:hAnsi="Verdana"/>
          <w:sz w:val="20"/>
          <w:szCs w:val="20"/>
        </w:rPr>
      </w:pPr>
    </w:p>
    <w:p w14:paraId="70FE7E95" w14:textId="77777777" w:rsidR="00040E25" w:rsidRPr="00040E25" w:rsidRDefault="00040E25" w:rsidP="00040E25">
      <w:pPr>
        <w:spacing w:after="0" w:line="240" w:lineRule="auto"/>
        <w:ind w:right="709"/>
        <w:jc w:val="both"/>
      </w:pPr>
    </w:p>
    <w:p w14:paraId="6E4B044D" w14:textId="77777777" w:rsidR="00040E25" w:rsidRPr="00040E25" w:rsidRDefault="00040E25" w:rsidP="00040E25">
      <w:pPr>
        <w:spacing w:after="120" w:line="276" w:lineRule="auto"/>
        <w:ind w:firstLine="709"/>
        <w:jc w:val="both"/>
        <w:rPr>
          <w:rFonts w:ascii="Verdana" w:eastAsia="Calibri" w:hAnsi="Verdana" w:cs="Arial"/>
          <w:color w:val="000000"/>
          <w:lang w:eastAsia="es-ES"/>
        </w:rPr>
      </w:pPr>
      <w:r w:rsidRPr="00040E25">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40E25">
        <w:rPr>
          <w:rFonts w:ascii="Verdana" w:eastAsia="Calibri" w:hAnsi="Verdana" w:cs="Arial"/>
          <w:color w:val="000000"/>
          <w:szCs w:val="24"/>
          <w:lang w:eastAsia="es-ES_tradnl"/>
        </w:rPr>
        <w:tab/>
      </w:r>
    </w:p>
    <w:p w14:paraId="4EF0E6A6" w14:textId="77777777" w:rsidR="00040E25" w:rsidRPr="00040E25" w:rsidRDefault="00040E25" w:rsidP="00040E25">
      <w:pPr>
        <w:spacing w:after="0" w:line="276" w:lineRule="auto"/>
        <w:ind w:firstLine="709"/>
        <w:jc w:val="both"/>
        <w:rPr>
          <w:rFonts w:ascii="Verdana" w:eastAsia="Calibri" w:hAnsi="Verdana" w:cs="Arial"/>
          <w:color w:val="000000"/>
          <w:lang w:eastAsia="es-ES"/>
        </w:rPr>
      </w:pPr>
      <w:r w:rsidRPr="00040E25">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040E25">
        <w:rPr>
          <w:rFonts w:ascii="Verdana" w:eastAsia="Calibri" w:hAnsi="Verdana" w:cs="Arial"/>
          <w:color w:val="7030A0"/>
          <w:lang w:eastAsia="es-ES"/>
        </w:rPr>
        <w:t xml:space="preserve"> </w:t>
      </w:r>
      <w:r w:rsidRPr="00040E25">
        <w:rPr>
          <w:rFonts w:ascii="Verdana" w:eastAsia="Calibri" w:hAnsi="Verdana" w:cs="Arial"/>
          <w:color w:val="000000"/>
          <w:lang w:eastAsia="es-ES"/>
        </w:rPr>
        <w:t>problemas</w:t>
      </w:r>
      <w:r w:rsidRPr="00040E25">
        <w:rPr>
          <w:rFonts w:ascii="Verdana" w:eastAsia="Calibri" w:hAnsi="Verdana" w:cs="Arial"/>
          <w:color w:val="7030A0"/>
          <w:lang w:eastAsia="es-ES"/>
        </w:rPr>
        <w:t xml:space="preserve"> </w:t>
      </w:r>
      <w:r w:rsidRPr="00040E25">
        <w:rPr>
          <w:rFonts w:ascii="Verdana" w:eastAsia="Calibri" w:hAnsi="Verdana" w:cs="Arial"/>
          <w:color w:val="000000"/>
          <w:lang w:eastAsia="es-ES"/>
        </w:rPr>
        <w:t>jurídicos</w:t>
      </w:r>
      <w:r w:rsidRPr="00040E25">
        <w:rPr>
          <w:rFonts w:ascii="Verdana" w:eastAsia="Calibri" w:hAnsi="Verdana" w:cs="Arial"/>
          <w:color w:val="7030A0"/>
          <w:lang w:eastAsia="es-ES"/>
        </w:rPr>
        <w:t xml:space="preserve"> </w:t>
      </w:r>
      <w:r w:rsidRPr="00040E25">
        <w:rPr>
          <w:rFonts w:ascii="Verdana" w:eastAsia="Calibri" w:hAnsi="Verdana" w:cs="Arial"/>
          <w:color w:val="000000"/>
          <w:lang w:eastAsia="es-ES"/>
        </w:rPr>
        <w:t xml:space="preserve">de su consulta. </w:t>
      </w:r>
    </w:p>
    <w:p w14:paraId="0ACD3EB5" w14:textId="77777777" w:rsidR="00040E25" w:rsidRPr="00040E25" w:rsidRDefault="00040E25" w:rsidP="00040E25">
      <w:pPr>
        <w:spacing w:after="0" w:line="276" w:lineRule="auto"/>
        <w:ind w:firstLine="709"/>
        <w:jc w:val="both"/>
        <w:rPr>
          <w:rFonts w:ascii="Verdana" w:eastAsia="Calibri" w:hAnsi="Verdana" w:cs="Arial"/>
          <w:color w:val="000000"/>
          <w:lang w:eastAsia="es-ES"/>
        </w:rPr>
      </w:pPr>
    </w:p>
    <w:p w14:paraId="7EEB5568" w14:textId="77777777" w:rsidR="00040E25" w:rsidRPr="00040E25" w:rsidRDefault="00040E25" w:rsidP="00040E25">
      <w:pPr>
        <w:numPr>
          <w:ilvl w:val="0"/>
          <w:numId w:val="1"/>
        </w:numPr>
        <w:tabs>
          <w:tab w:val="left" w:pos="142"/>
          <w:tab w:val="left" w:pos="284"/>
        </w:tabs>
        <w:spacing w:after="0" w:line="276" w:lineRule="auto"/>
        <w:jc w:val="both"/>
        <w:rPr>
          <w:rFonts w:ascii="Verdana" w:eastAsia="Century Gothic" w:hAnsi="Verdana" w:cs="Century Gothic"/>
          <w:b/>
          <w:bCs/>
        </w:rPr>
      </w:pPr>
      <w:r w:rsidRPr="00040E25">
        <w:rPr>
          <w:rFonts w:ascii="Verdana" w:eastAsia="Century Gothic" w:hAnsi="Verdana" w:cs="Century Gothic"/>
          <w:b/>
          <w:bCs/>
        </w:rPr>
        <w:t>Problemas planteados:</w:t>
      </w:r>
    </w:p>
    <w:p w14:paraId="253864B4" w14:textId="77777777" w:rsidR="00040E25" w:rsidRPr="00040E25" w:rsidRDefault="00040E25" w:rsidP="00040E25">
      <w:pPr>
        <w:tabs>
          <w:tab w:val="left" w:pos="426"/>
        </w:tabs>
        <w:spacing w:after="0" w:line="276" w:lineRule="auto"/>
        <w:jc w:val="both"/>
        <w:rPr>
          <w:rFonts w:ascii="Verdana" w:eastAsia="Century Gothic" w:hAnsi="Verdana" w:cs="Century Gothic"/>
        </w:rPr>
      </w:pPr>
    </w:p>
    <w:p w14:paraId="7F7C12D8" w14:textId="77777777" w:rsidR="00040E25" w:rsidRPr="00040E25" w:rsidRDefault="00040E25" w:rsidP="00040E25">
      <w:pPr>
        <w:spacing w:after="0" w:line="276" w:lineRule="auto"/>
        <w:jc w:val="both"/>
        <w:rPr>
          <w:rFonts w:ascii="Verdana" w:eastAsia="Century Gothic" w:hAnsi="Verdana" w:cs="Century Gothic"/>
        </w:rPr>
      </w:pPr>
      <w:r w:rsidRPr="00040E25">
        <w:rPr>
          <w:rFonts w:ascii="Verdana" w:eastAsia="Century Gothic" w:hAnsi="Verdana" w:cs="Century Gothic"/>
        </w:rPr>
        <w:t>De acuerdo con el contenido de su solicitud, esta Agencia resolverá los siguientes problemas jurídicos: i) ¿De conformidad con el parágrafo del artículo 37 de la Ley 2056 de 2020, cu</w:t>
      </w:r>
      <w:r w:rsidRPr="00040E25">
        <w:rPr>
          <w:rFonts w:ascii="Verdana" w:eastAsia="Calibri" w:hAnsi="Verdana" w:cs="Times New Roman"/>
        </w:rPr>
        <w:t xml:space="preserve">ál es el régimen contractual aplicable en la ejecución de </w:t>
      </w:r>
      <w:r w:rsidRPr="00040E25">
        <w:rPr>
          <w:rFonts w:ascii="Verdana" w:eastAsia="Calibri" w:hAnsi="Verdana" w:cs="Times New Roman"/>
        </w:rPr>
        <w:lastRenderedPageBreak/>
        <w:t>proyectos cuya fuente de financiación es el Sistema General de Regalías, en adelante SGR, cuando la entidad ejecutora se rige por el derecho privado</w:t>
      </w:r>
      <w:r w:rsidRPr="00040E25">
        <w:rPr>
          <w:rFonts w:ascii="Verdana" w:eastAsia="Century Gothic" w:hAnsi="Verdana" w:cs="Century Gothic"/>
        </w:rPr>
        <w:t xml:space="preserve">?,  y </w:t>
      </w:r>
      <w:proofErr w:type="spellStart"/>
      <w:r w:rsidRPr="00040E25">
        <w:rPr>
          <w:rFonts w:ascii="Verdana" w:eastAsia="Century Gothic" w:hAnsi="Verdana" w:cs="Century Gothic"/>
        </w:rPr>
        <w:t>ii</w:t>
      </w:r>
      <w:proofErr w:type="spellEnd"/>
      <w:r w:rsidRPr="00040E25">
        <w:rPr>
          <w:rFonts w:ascii="Verdana" w:eastAsia="Century Gothic" w:hAnsi="Verdana" w:cs="Century Gothic"/>
        </w:rPr>
        <w:t xml:space="preserve">) ¿Cuándo concurren recursos del SGR con recursos de organismos internacionales, puede aplicarse lo dispuesto en el artículo 20 de la Ley 1150 de 2007?” </w:t>
      </w:r>
    </w:p>
    <w:p w14:paraId="55EBF748" w14:textId="77777777" w:rsidR="00040E25" w:rsidRPr="00040E25" w:rsidRDefault="00040E25" w:rsidP="00040E25">
      <w:pPr>
        <w:spacing w:after="0" w:line="276" w:lineRule="auto"/>
        <w:jc w:val="both"/>
        <w:rPr>
          <w:rFonts w:ascii="Verdana" w:eastAsia="Century Gothic" w:hAnsi="Verdana" w:cs="Century Gothic"/>
        </w:rPr>
      </w:pPr>
    </w:p>
    <w:p w14:paraId="587A6716" w14:textId="77777777" w:rsidR="00040E25" w:rsidRPr="00040E25" w:rsidRDefault="00040E25" w:rsidP="00040E25">
      <w:pPr>
        <w:numPr>
          <w:ilvl w:val="0"/>
          <w:numId w:val="1"/>
        </w:numPr>
        <w:tabs>
          <w:tab w:val="left" w:pos="142"/>
          <w:tab w:val="left" w:pos="284"/>
        </w:tabs>
        <w:spacing w:after="0" w:line="276" w:lineRule="auto"/>
        <w:jc w:val="both"/>
        <w:rPr>
          <w:rFonts w:ascii="Verdana" w:eastAsia="Century Gothic" w:hAnsi="Verdana" w:cs="Century Gothic"/>
          <w:b/>
          <w:bCs/>
        </w:rPr>
      </w:pPr>
      <w:r w:rsidRPr="00040E25">
        <w:rPr>
          <w:rFonts w:ascii="Verdana" w:eastAsia="Century Gothic" w:hAnsi="Verdana" w:cs="Century Gothic"/>
          <w:b/>
          <w:bCs/>
        </w:rPr>
        <w:t>Respuestas:</w:t>
      </w:r>
    </w:p>
    <w:p w14:paraId="6AD1A057" w14:textId="77777777" w:rsidR="00040E25" w:rsidRPr="00040E25" w:rsidRDefault="00040E25" w:rsidP="00040E25">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40E25" w:rsidRPr="00040E25" w14:paraId="2B3CAB85" w14:textId="77777777" w:rsidTr="007B55C3">
        <w:trPr>
          <w:trHeight w:val="58"/>
          <w:jc w:val="center"/>
        </w:trPr>
        <w:tc>
          <w:tcPr>
            <w:tcW w:w="8828" w:type="dxa"/>
          </w:tcPr>
          <w:p w14:paraId="07011249" w14:textId="77777777" w:rsidR="00040E25" w:rsidRPr="00040E25" w:rsidRDefault="00040E25" w:rsidP="00040E25">
            <w:pPr>
              <w:spacing w:after="120" w:line="276" w:lineRule="auto"/>
              <w:jc w:val="both"/>
              <w:rPr>
                <w:rFonts w:ascii="Verdana" w:hAnsi="Verdana"/>
              </w:rPr>
            </w:pPr>
            <w:bookmarkStart w:id="3" w:name="_Hlk171694685"/>
            <w:r w:rsidRPr="00040E25">
              <w:rPr>
                <w:rFonts w:ascii="Verdana" w:eastAsia="Calibri" w:hAnsi="Verdana" w:cs="Arial"/>
                <w:color w:val="000000"/>
                <w:lang w:val="es-ES" w:eastAsia="es-ES"/>
              </w:rPr>
              <w:t xml:space="preserve">i. Conforme a la interpretación general de las normas del sistema de compras públicas, esta Subdirección en </w:t>
            </w:r>
            <w:r w:rsidRPr="00040E25">
              <w:rPr>
                <w:rFonts w:ascii="Verdana" w:hAnsi="Verdana" w:cs="Arial"/>
              </w:rPr>
              <w:t>los conceptos</w:t>
            </w:r>
            <w:r w:rsidRPr="00040E25">
              <w:rPr>
                <w:rFonts w:ascii="Verdana" w:hAnsi="Verdana"/>
              </w:rPr>
              <w:t xml:space="preserve"> C-370 del 2021,</w:t>
            </w:r>
            <w:r w:rsidRPr="00040E25">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C-417 del 2026,</w:t>
            </w:r>
            <w:r w:rsidRPr="00040E25">
              <w:rPr>
                <w:rFonts w:ascii="Verdana" w:hAnsi="Verdana" w:cs="Arial"/>
              </w:rPr>
              <w:t xml:space="preserve"> C-764 del 29 de mayo de 2026</w:t>
            </w:r>
            <w:r w:rsidRPr="00040E25">
              <w:rPr>
                <w:rFonts w:ascii="Verdana" w:hAnsi="Verdana"/>
                <w:shd w:val="clear" w:color="auto" w:fill="FFFFFF"/>
              </w:rPr>
              <w:t xml:space="preserve">, C-1050 del 21 de julio de 2026, C-1151, C-1152 del 12 de agosto, C-1249 del 27 de agosto de 2026, entre otros, </w:t>
            </w:r>
            <w:r w:rsidRPr="00040E25">
              <w:rPr>
                <w:rFonts w:ascii="Verdana" w:hAnsi="Verdana" w:cs="Arial"/>
                <w:shd w:val="clear" w:color="auto" w:fill="FFFFFF"/>
              </w:rPr>
              <w:t xml:space="preserve">ha mantenido la postura en virtud de la cual </w:t>
            </w:r>
            <w:r w:rsidRPr="00040E25">
              <w:rPr>
                <w:rFonts w:ascii="Verdana" w:eastAsia="Calibri" w:hAnsi="Verdana" w:cs="Arial"/>
                <w:color w:val="000000"/>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las prescripciones establecidas en el Estatuto General de Contratación de la Administración Pública-EGCAP, así como las normas que lo modifiquen, sustituyan o reglamenten.</w:t>
            </w:r>
          </w:p>
          <w:p w14:paraId="4F27248E" w14:textId="77777777" w:rsidR="00040E25" w:rsidRPr="00040E25" w:rsidRDefault="00040E25" w:rsidP="00040E25">
            <w:pPr>
              <w:spacing w:after="120" w:line="276" w:lineRule="auto"/>
              <w:ind w:firstLine="709"/>
              <w:jc w:val="both"/>
              <w:rPr>
                <w:rFonts w:ascii="Verdana" w:eastAsia="Calibri" w:hAnsi="Verdana" w:cs="Arial"/>
                <w:color w:val="000000"/>
                <w:lang w:val="es-ES" w:eastAsia="es-ES"/>
              </w:rPr>
            </w:pPr>
            <w:r w:rsidRPr="00040E25">
              <w:rPr>
                <w:rFonts w:ascii="Verdana" w:eastAsia="Calibri" w:hAnsi="Verdana" w:cs="Arial"/>
                <w:color w:val="000000"/>
                <w:lang w:val="es-ES" w:eastAsia="es-ES"/>
              </w:rPr>
              <w:t>En este sentido, reiterando la tesis señalada en estos conceptos,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2BB2319B" w14:textId="77777777" w:rsidR="00040E25" w:rsidRPr="00040E25" w:rsidRDefault="00040E25" w:rsidP="00040E25">
            <w:pPr>
              <w:spacing w:after="120" w:line="276" w:lineRule="auto"/>
              <w:ind w:firstLine="709"/>
              <w:jc w:val="both"/>
              <w:rPr>
                <w:rFonts w:ascii="Verdana" w:eastAsia="Calibri" w:hAnsi="Verdana" w:cs="Arial"/>
                <w:color w:val="000000" w:themeColor="text1"/>
                <w:lang w:eastAsia="es-ES"/>
              </w:rPr>
            </w:pPr>
            <w:r w:rsidRPr="00040E25">
              <w:rPr>
                <w:rFonts w:ascii="Verdana" w:eastAsia="Calibri" w:hAnsi="Verdana" w:cs="Arial"/>
                <w:color w:val="000000" w:themeColor="text1"/>
                <w:lang w:eastAsia="es-ES"/>
              </w:rPr>
              <w:t xml:space="preserve">Incluso, dicha posición es asumida por la Sala de Consulta y Servicio Civil del Consejo de Estado, pues en Concepto 2563 del 25 de junio de 2026 </w:t>
            </w:r>
            <w:r w:rsidRPr="00040E25">
              <w:rPr>
                <w:rFonts w:ascii="Verdana" w:eastAsia="Calibri" w:hAnsi="Verdana" w:cs="Arial"/>
                <w:color w:val="000000" w:themeColor="text1"/>
                <w:lang w:eastAsia="es-ES"/>
              </w:rPr>
              <w:lastRenderedPageBreak/>
              <w:t>–con ponencia de la Consejera María del Pilar Bahamón Falla– estima que la expresión ‘estricta sujeción’ contenida en el parágrafo 1º del artículo 37 de la Ley 2056 de 2020 tiene un alcance normativo reforzado y no opera como una remisión subsidiaria al régimen interno de la entidad ejecutora, sino como un mandato especial de sometimiento al régimen público que gobierna la ejecución de los recursos de regalías dada su especialidad. Aunque el análisis de la Sala se realizó respecto de una Universidad Pública, sus consideraciones resultan aplicables, por analogía, a otras entidades estatales sometidas a regímenes especiales, como las ESP cuando estas sean designadas ejecutoras de proyectos financiados con recursos del SGR.</w:t>
            </w:r>
          </w:p>
          <w:p w14:paraId="6E25CEDD" w14:textId="77777777" w:rsidR="00040E25" w:rsidRPr="00040E25" w:rsidRDefault="00040E25" w:rsidP="00040E25">
            <w:pPr>
              <w:spacing w:after="120" w:line="276" w:lineRule="auto"/>
              <w:ind w:firstLine="709"/>
              <w:jc w:val="both"/>
              <w:rPr>
                <w:rFonts w:ascii="Verdana" w:eastAsia="Calibri" w:hAnsi="Verdana" w:cs="Arial"/>
                <w:color w:val="000000" w:themeColor="text1"/>
                <w:lang w:eastAsia="es-ES"/>
              </w:rPr>
            </w:pPr>
            <w:r w:rsidRPr="00040E25">
              <w:rPr>
                <w:rFonts w:ascii="Verdana" w:eastAsia="Calibri" w:hAnsi="Verdana" w:cs="Arial"/>
              </w:rPr>
              <w:t xml:space="preserve">En este contexto, la ANCP – CCE si bien reconoce el régimen de contratación especial de entidades tales como universidades públicas, Fondos Mixtos, EICE, ESP, entre otras, cuando actúan como entidades ejecutoras de proyectos financiados con recursos del SGR, </w:t>
            </w:r>
            <w:r w:rsidRPr="00040E25">
              <w:rPr>
                <w:rFonts w:ascii="Verdana" w:eastAsia="Calibri" w:hAnsi="Verdana" w:cs="Arial"/>
                <w:i/>
                <w:iCs/>
              </w:rPr>
              <w:t>deben</w:t>
            </w:r>
            <w:r w:rsidRPr="00040E25">
              <w:rPr>
                <w:rFonts w:ascii="Verdana" w:eastAsia="Calibri" w:hAnsi="Verdana" w:cs="Arial"/>
              </w:rPr>
              <w:t xml:space="preserve"> sujetarse a la norma especial prevista para dichos recursos, la cual impone la aplicación obligatoria del Estatuto General de Contratación de la Administración Pública, tal como lo establece de forma expresa el artículo 37 de la Ley 2056 de 2020. </w:t>
            </w:r>
          </w:p>
          <w:p w14:paraId="3B7DE008" w14:textId="77777777" w:rsidR="00040E25" w:rsidRPr="00040E25" w:rsidRDefault="00040E25" w:rsidP="00040E25">
            <w:pPr>
              <w:spacing w:after="120" w:line="276" w:lineRule="auto"/>
              <w:ind w:firstLine="709"/>
              <w:jc w:val="both"/>
              <w:rPr>
                <w:rFonts w:ascii="Verdana" w:eastAsia="Calibri" w:hAnsi="Verdana" w:cs="Arial"/>
                <w:color w:val="000000" w:themeColor="text1"/>
                <w:lang w:eastAsia="es-ES"/>
              </w:rPr>
            </w:pPr>
            <w:r w:rsidRPr="00040E25">
              <w:rPr>
                <w:rFonts w:ascii="Verdana" w:eastAsia="Calibri" w:hAnsi="Verdana" w:cs="Arial"/>
                <w:color w:val="000000" w:themeColor="text1"/>
                <w:lang w:eastAsia="es-ES"/>
              </w:rPr>
              <w:t xml:space="preserve">Así las cosas, debido a que la remisión normativa del artículo 37 de la Ley 2056 de 2020 no es una mera referencia </w:t>
            </w:r>
            <w:proofErr w:type="gramStart"/>
            <w:r w:rsidRPr="00040E25">
              <w:rPr>
                <w:rFonts w:ascii="Verdana" w:eastAsia="Calibri" w:hAnsi="Verdana" w:cs="Arial"/>
                <w:color w:val="000000" w:themeColor="text1"/>
                <w:lang w:eastAsia="es-ES"/>
              </w:rPr>
              <w:t>indicativa</w:t>
            </w:r>
            <w:proofErr w:type="gramEnd"/>
            <w:r w:rsidRPr="00040E25">
              <w:rPr>
                <w:rFonts w:ascii="Verdana" w:eastAsia="Calibri" w:hAnsi="Verdana" w:cs="Arial"/>
                <w:color w:val="000000" w:themeColor="text1"/>
                <w:lang w:eastAsia="es-ES"/>
              </w:rPr>
              <w:t xml:space="preserve"> sino que tiene pleno efectos jurídicos, impone la aplicación de régimen de contratación específico en virtud del principio de especialidad y de legalidad. Es decir, mientras actúan como ejecutoras del SGR, dichas entidades deben sujetarse al régimen previsto en la Ley 2056 de 2020, incluyendo su remisión expresa al EGCAP, sin que ello implique una derogatoria general de su régimen contractual ordinario. Por consiguiente, “toda entidad designada ejecutora – </w:t>
            </w:r>
            <w:r w:rsidRPr="00040E25">
              <w:rPr>
                <w:rFonts w:ascii="Verdana" w:eastAsia="Calibri" w:hAnsi="Verdana" w:cs="Arial"/>
                <w:i/>
                <w:iCs/>
                <w:color w:val="000000" w:themeColor="text1"/>
                <w:lang w:eastAsia="es-ES"/>
              </w:rPr>
              <w:t>con independencia de su régimen ordinario de contratación</w:t>
            </w:r>
            <w:r w:rsidRPr="00040E25">
              <w:rPr>
                <w:rFonts w:ascii="Verdana" w:eastAsia="Calibri" w:hAnsi="Verdana" w:cs="Arial"/>
                <w:color w:val="000000" w:themeColor="text1"/>
                <w:lang w:eastAsia="es-ES"/>
              </w:rPr>
              <w:t xml:space="preserve"> – debe aplicar el EGCAG para los contratos que celebre en desarrollo del respectivo proyecto de inversión”. </w:t>
            </w:r>
          </w:p>
          <w:p w14:paraId="67087489" w14:textId="77777777" w:rsidR="00040E25" w:rsidRPr="00040E25" w:rsidRDefault="00040E25" w:rsidP="00040E25">
            <w:pPr>
              <w:spacing w:after="120" w:line="276" w:lineRule="auto"/>
              <w:jc w:val="both"/>
              <w:rPr>
                <w:rFonts w:ascii="Verdana" w:eastAsia="Calibri" w:hAnsi="Verdana" w:cs="Arial"/>
              </w:rPr>
            </w:pPr>
            <w:proofErr w:type="spellStart"/>
            <w:r w:rsidRPr="00040E25">
              <w:rPr>
                <w:rFonts w:ascii="Verdana" w:eastAsia="Calibri" w:hAnsi="Verdana" w:cs="Arial"/>
              </w:rPr>
              <w:t>ii</w:t>
            </w:r>
            <w:proofErr w:type="spellEnd"/>
            <w:r w:rsidRPr="00040E25">
              <w:rPr>
                <w:rFonts w:ascii="Verdana" w:eastAsia="Calibri" w:hAnsi="Verdana" w:cs="Arial"/>
              </w:rPr>
              <w:t xml:space="preserve">. Para dar respuesta a este problema jurídico, de manera preliminar, se debe precisar que el artículo 20 de la Ley 1150 de 2007 contempla distintos supuestos en los cuales los contratos o convenios celebrados con organismos internacionales o personas extranjeras de derecho público pueden someterse a sus reglamentos. En particular, su inciso primero permite esta posibilidad cuando el contrato o convenio sea financiado en su totalidad o en una proporción igual o superior al cincuenta por ciento (50%) con recursos de </w:t>
            </w:r>
            <w:r w:rsidRPr="00040E25">
              <w:rPr>
                <w:rFonts w:ascii="Verdana" w:eastAsia="Calibri" w:hAnsi="Verdana" w:cs="Arial"/>
              </w:rPr>
              <w:lastRenderedPageBreak/>
              <w:t>organismos de cooperación, asistencia o ayudas internacionales. Por su parte, el inciso segundo contempla determinados supuestos vinculados al objeto del contrato o a su fuente de financiación, mientras que el parágrafo primero prevé esta posibilidad respecto de contratos o acuerdos celebrados con personas extranjeras de derecho público, sin atender al porcentaje de participación de sus recursos. En los eventos previstos en la norma, la aplicación de los reglamentos internacionales constituye una alternativa frente al EGCAP, en los términos señalados por la disposición.</w:t>
            </w:r>
          </w:p>
          <w:p w14:paraId="4A6B9F9C" w14:textId="77777777" w:rsidR="00040E25" w:rsidRPr="00040E25" w:rsidRDefault="00040E25" w:rsidP="00040E25">
            <w:pPr>
              <w:spacing w:after="120" w:line="276" w:lineRule="auto"/>
              <w:ind w:firstLine="709"/>
              <w:jc w:val="both"/>
              <w:rPr>
                <w:rFonts w:ascii="Verdana" w:eastAsia="Calibri" w:hAnsi="Verdana" w:cs="Arial"/>
              </w:rPr>
            </w:pPr>
            <w:r w:rsidRPr="00040E25">
              <w:rPr>
                <w:rFonts w:ascii="Verdana" w:eastAsia="Calibri" w:hAnsi="Verdana" w:cs="Arial"/>
              </w:rPr>
              <w:t xml:space="preserve">Así, frente a los proyectos de inversión en los que concurran recursos de organismos internacionales y del SGR, pueden plantearse dos posibles tesis interpretativas a aplicar: </w:t>
            </w:r>
            <w:r w:rsidRPr="00040E25">
              <w:rPr>
                <w:rFonts w:ascii="Verdana" w:hAnsi="Verdana" w:cs="Arial"/>
                <w:lang w:eastAsia="es-ES"/>
              </w:rPr>
              <w:t>Una primera tesis parte de una interpretación restrictiva del parágrafo 1 del artículo 37 de la Ley 2056 de 2020, conforme a la cual los proyectos de inversión financiados con recursos del SGR deben sujetarse al EGCAP, sin que la concurrencia de otras fuentes de financiación permita exceptuar o modificar dicha regla, con independencia de la proporción que representen los recursos aportados por el organismo internacional</w:t>
            </w:r>
            <w:r w:rsidRPr="00040E25">
              <w:rPr>
                <w:rFonts w:ascii="Verdana" w:eastAsia="Calibri" w:hAnsi="Verdana" w:cs="Arial"/>
              </w:rPr>
              <w:t>. Bajo esta tesis, la regla especial prevista para la ejecución de los recursos del SGR prevalecería frente a la posibilidad contemplada en el artículo 20 de la Ley 1150 de 2007, por lo que la concurrencia de fuentes no permitiría, por sí misma, sustraer los contratos de la aplicación del EGCAP.</w:t>
            </w:r>
          </w:p>
          <w:p w14:paraId="1DD6F678" w14:textId="77777777" w:rsidR="00040E25" w:rsidRPr="00040E25" w:rsidRDefault="00040E25" w:rsidP="00040E25">
            <w:pPr>
              <w:spacing w:after="120" w:line="276" w:lineRule="auto"/>
              <w:ind w:firstLine="709"/>
              <w:jc w:val="both"/>
              <w:rPr>
                <w:rFonts w:ascii="Verdana" w:hAnsi="Verdana" w:cs="Arial"/>
                <w:lang w:eastAsia="es-ES"/>
              </w:rPr>
            </w:pPr>
            <w:r w:rsidRPr="00040E25">
              <w:rPr>
                <w:rFonts w:ascii="Verdana" w:hAnsi="Verdana" w:cs="Arial"/>
                <w:lang w:eastAsia="es-ES"/>
              </w:rPr>
              <w:t>Una segunda tesis, que podría considerarse más flexible, parte de la posibilidad de aplicar el artículo 20 de la Ley 1150 de 2007 en aquellos proyectos de inversión en los que concurran recursos del Sistema General de Regalías y recursos provenientes de organismos internacionales. Esta interpretación encuentra fundamento en la integración normativa que se produce a partir de la remisión efectuada por el parágrafo 1 del artículo 37 de la Ley 2056 de 2020 al EGCAP. En consecuencia, si la Ley 2056 de 2020 dispone que la contratación necesaria para la ejecución de los proyectos de inversión financiados con recursos del SGR se rige por el EGCAP, dicha remisión comprendería, en principio, las disposiciones que integran dicho estatuto, entre ellas aquellas que establecen reglas particulares para la contratación financiada con recursos de organismos internacionales.</w:t>
            </w:r>
          </w:p>
          <w:p w14:paraId="5ABA286B" w14:textId="77777777" w:rsidR="00040E25" w:rsidRPr="00040E25" w:rsidRDefault="00040E25" w:rsidP="00040E25">
            <w:pPr>
              <w:spacing w:after="120" w:line="276" w:lineRule="auto"/>
              <w:ind w:firstLine="709"/>
              <w:jc w:val="both"/>
              <w:rPr>
                <w:rFonts w:ascii="Verdana" w:eastAsia="Calibri" w:hAnsi="Verdana" w:cs="Arial"/>
              </w:rPr>
            </w:pPr>
            <w:r w:rsidRPr="00040E25">
              <w:rPr>
                <w:rFonts w:ascii="Verdana" w:eastAsia="Calibri" w:hAnsi="Verdana" w:cs="Arial"/>
              </w:rPr>
              <w:t xml:space="preserve">Desde esta perspectiva, la aplicación del artículo 20 de la Ley 1150 de 2007 no desconocería el régimen especial del SGR, sino que constituiría una aplicación sistemática del propio EGCAP, de modo que, cuando se configure </w:t>
            </w:r>
            <w:r w:rsidRPr="00040E25">
              <w:rPr>
                <w:rFonts w:ascii="Verdana" w:eastAsia="Calibri" w:hAnsi="Verdana" w:cs="Arial"/>
              </w:rPr>
              <w:lastRenderedPageBreak/>
              <w:t xml:space="preserve">alguno de los supuestos previstos en el artículo 20, podría optarse por someter el contrato a los reglamentos del organismo internacional, conforme a las condiciones establecidas en dicha norma. </w:t>
            </w:r>
          </w:p>
          <w:p w14:paraId="32AD6E02" w14:textId="77777777" w:rsidR="00040E25" w:rsidRPr="00040E25" w:rsidRDefault="00040E25" w:rsidP="00040E25">
            <w:pPr>
              <w:spacing w:after="120" w:line="276" w:lineRule="auto"/>
              <w:ind w:firstLine="709"/>
              <w:jc w:val="both"/>
              <w:rPr>
                <w:rFonts w:ascii="Verdana" w:hAnsi="Verdana" w:cs="Arial"/>
                <w:lang w:eastAsia="es-ES"/>
              </w:rPr>
            </w:pPr>
            <w:r w:rsidRPr="00040E25">
              <w:rPr>
                <w:rFonts w:ascii="Verdana" w:hAnsi="Verdana" w:cs="Arial"/>
                <w:lang w:eastAsia="es-ES"/>
              </w:rPr>
              <w:t>Nótese que, bajo esta interpretación, la compatibilidad con el régimen previsto en la Ley 2056 de 2020 deriva de la concurrencia de distintas fuentes de financiación y de la consecuente integración normativa, sin que interfiera en dicho análisis la naturaleza jurídica del organismo internacional. Así, lo determinante para esta tesis es que la remisión efectuada por el artículo 37 de la Ley 2056 de 2020 al EGCAP comprende, igualmente, las disposiciones especiales que este régimen contempla para los contratos financiados con recursos de organismos internacionales. De esta manera, la aplicación del artículo 20 de la Ley 1150 de 2007 no despoja de eficacia al mandato contenido en el artículo 37 de la Ley 2056 de 2020, sino que constituye una consecuencia de su aplicación sistemática y armónica con las demás disposiciones que integran el régimen de contratación estatal.</w:t>
            </w:r>
          </w:p>
          <w:p w14:paraId="42621419" w14:textId="77777777" w:rsidR="00040E25" w:rsidRPr="00040E25" w:rsidRDefault="00040E25" w:rsidP="00040E25">
            <w:pPr>
              <w:spacing w:after="120" w:line="276" w:lineRule="auto"/>
              <w:ind w:firstLine="709"/>
              <w:jc w:val="both"/>
              <w:rPr>
                <w:rFonts w:ascii="Verdana" w:hAnsi="Verdana" w:cs="Arial"/>
                <w:lang w:eastAsia="es-ES"/>
              </w:rPr>
            </w:pPr>
            <w:r w:rsidRPr="00040E25">
              <w:rPr>
                <w:rFonts w:ascii="Verdana" w:hAnsi="Verdana" w:cs="Arial"/>
                <w:lang w:eastAsia="es-ES"/>
              </w:rPr>
              <w:t xml:space="preserve">Esta postura, por tanto, podría armonizarse con la posición adoptada por el Consejo de Estado respecto de la sujeción de la ejecución de los recursos del SGR al régimen de contratación estatal, en la medida en que no pretende excluir la aplicación del artículo 37 de la Ley 2056 de 2020 ni establecer una excepción autónoma a dicho régimen. Por el contrario, parte de la aplicación integral del EGCAP por remisión de la Ley 2056 de 2020 y, dentro de este, de la utilización de una disposición que expresamente contempla un tratamiento especial para determinados esquemas de financiación con organismos internacionales. </w:t>
            </w:r>
          </w:p>
          <w:p w14:paraId="47A9E6F6" w14:textId="77777777" w:rsidR="00040E25" w:rsidRPr="00040E25" w:rsidRDefault="00040E25" w:rsidP="00040E25">
            <w:pPr>
              <w:spacing w:after="120" w:line="276" w:lineRule="auto"/>
              <w:ind w:firstLine="709"/>
              <w:jc w:val="both"/>
              <w:rPr>
                <w:rFonts w:ascii="Verdana" w:hAnsi="Verdana" w:cs="Arial"/>
                <w:lang w:eastAsia="es-ES"/>
              </w:rPr>
            </w:pPr>
            <w:r w:rsidRPr="00040E25">
              <w:rPr>
                <w:rFonts w:ascii="Verdana" w:hAnsi="Verdana" w:cs="Arial"/>
                <w:lang w:eastAsia="es-ES"/>
              </w:rPr>
              <w:t>Bajo estas consideraciones, en el análisis de la viabilidad jurídica de los proyectos de inversión financiados con recursos del SGR deberá identificarse, desde las respectivas etapas del ciclo del proyecto, la concurrencia de las diferentes fuentes de financiación y determinarse la forma en que los recursos serán ejecutados, de conformidad con el marco legal y reglamentario aplicable.</w:t>
            </w:r>
          </w:p>
          <w:p w14:paraId="5C0E4A13" w14:textId="77777777" w:rsidR="00040E25" w:rsidRPr="00040E25" w:rsidRDefault="00040E25" w:rsidP="00040E25">
            <w:pPr>
              <w:spacing w:after="120" w:line="276" w:lineRule="auto"/>
              <w:ind w:firstLine="709"/>
              <w:jc w:val="both"/>
              <w:rPr>
                <w:rFonts w:ascii="Verdana" w:hAnsi="Verdana" w:cs="Arial"/>
                <w:lang w:eastAsia="es-ES"/>
              </w:rPr>
            </w:pPr>
            <w:r w:rsidRPr="00040E25">
              <w:rPr>
                <w:rFonts w:ascii="Verdana" w:hAnsi="Verdana" w:cs="Arial"/>
                <w:lang w:eastAsia="es-ES"/>
              </w:rPr>
              <w:t xml:space="preserve">En ese contexto, las precisiones expuestas en el presente análisis podrán ser consideradas por las entidades y demás actores competentes al momento de estructurar y ejecutar los proyectos, quienes deberán valorar las circunstancias particulares de cada caso y adoptar, dentro del ámbito de sus </w:t>
            </w:r>
            <w:r w:rsidRPr="00040E25">
              <w:rPr>
                <w:rFonts w:ascii="Verdana" w:hAnsi="Verdana" w:cs="Arial"/>
                <w:lang w:eastAsia="es-ES"/>
              </w:rPr>
              <w:lastRenderedPageBreak/>
              <w:t>respectivas competencias, las decisiones que correspondan respecto de la articulación y ejecución de las distintas fuentes de financiación. Lo anterior, sin perjuicio de las competencias atribuidas a las autoridades responsables del Sistema General de Regalías y de las demás disposiciones especiales que regulen la aprobación, ejecución, seguimiento y control de los proyectos financiados con estos recursos.</w:t>
            </w:r>
          </w:p>
        </w:tc>
      </w:tr>
    </w:tbl>
    <w:p w14:paraId="518CE761" w14:textId="77777777" w:rsidR="00040E25" w:rsidRPr="00040E25" w:rsidRDefault="00040E25" w:rsidP="00040E25">
      <w:pPr>
        <w:tabs>
          <w:tab w:val="left" w:pos="142"/>
          <w:tab w:val="left" w:pos="284"/>
        </w:tabs>
        <w:spacing w:after="0" w:line="276" w:lineRule="auto"/>
        <w:jc w:val="both"/>
        <w:rPr>
          <w:rFonts w:ascii="Verdana" w:eastAsia="Century Gothic" w:hAnsi="Verdana" w:cs="Century Gothic"/>
          <w:b/>
          <w:bCs/>
        </w:rPr>
      </w:pPr>
    </w:p>
    <w:bookmarkEnd w:id="3"/>
    <w:p w14:paraId="25955AD1" w14:textId="77777777" w:rsidR="00040E25" w:rsidRPr="00040E25" w:rsidRDefault="00040E25" w:rsidP="00040E25">
      <w:pPr>
        <w:numPr>
          <w:ilvl w:val="0"/>
          <w:numId w:val="1"/>
        </w:numPr>
        <w:tabs>
          <w:tab w:val="left" w:pos="142"/>
          <w:tab w:val="left" w:pos="284"/>
        </w:tabs>
        <w:spacing w:after="0" w:line="276" w:lineRule="auto"/>
        <w:jc w:val="both"/>
        <w:rPr>
          <w:rFonts w:ascii="Verdana" w:eastAsia="Century Gothic" w:hAnsi="Verdana" w:cs="Century Gothic"/>
          <w:b/>
          <w:bCs/>
        </w:rPr>
      </w:pPr>
      <w:r w:rsidRPr="00040E25">
        <w:rPr>
          <w:rFonts w:ascii="Verdana" w:eastAsia="Century Gothic" w:hAnsi="Verdana" w:cs="Century Gothic"/>
          <w:b/>
          <w:bCs/>
        </w:rPr>
        <w:t>Razones de las respuestas:</w:t>
      </w:r>
    </w:p>
    <w:p w14:paraId="6DC9D0F3" w14:textId="77777777" w:rsidR="00040E25" w:rsidRPr="00040E25" w:rsidRDefault="00040E25" w:rsidP="00040E25">
      <w:pPr>
        <w:spacing w:after="0" w:line="276" w:lineRule="auto"/>
        <w:jc w:val="both"/>
        <w:rPr>
          <w:rFonts w:ascii="Verdana" w:eastAsia="Calibri" w:hAnsi="Verdana" w:cs="Arial"/>
          <w:color w:val="7030A0"/>
        </w:rPr>
      </w:pPr>
    </w:p>
    <w:p w14:paraId="7261EFFD" w14:textId="77777777" w:rsidR="00040E25" w:rsidRPr="00040E25" w:rsidRDefault="00040E25" w:rsidP="00040E25">
      <w:pPr>
        <w:spacing w:after="0" w:line="276" w:lineRule="auto"/>
        <w:jc w:val="both"/>
        <w:rPr>
          <w:rFonts w:ascii="Verdana" w:eastAsia="Calibri" w:hAnsi="Verdana" w:cs="Arial"/>
        </w:rPr>
      </w:pPr>
      <w:r w:rsidRPr="00040E25">
        <w:rPr>
          <w:rFonts w:ascii="Verdana" w:eastAsia="Calibri" w:hAnsi="Verdana" w:cs="Arial"/>
        </w:rPr>
        <w:t>Lo anterior se sustenta en las siguientes consideraciones:</w:t>
      </w:r>
    </w:p>
    <w:p w14:paraId="3240A48A" w14:textId="77777777" w:rsidR="00040E25" w:rsidRPr="00040E25" w:rsidRDefault="00040E25" w:rsidP="00040E25">
      <w:pPr>
        <w:spacing w:after="0" w:line="276" w:lineRule="auto"/>
        <w:jc w:val="both"/>
        <w:rPr>
          <w:rFonts w:ascii="Verdana" w:eastAsia="Calibri" w:hAnsi="Verdana" w:cs="Arial"/>
        </w:rPr>
      </w:pPr>
    </w:p>
    <w:p w14:paraId="74F4FDB3" w14:textId="77777777" w:rsidR="00040E25" w:rsidRPr="00040E25" w:rsidRDefault="00040E25" w:rsidP="00040E25">
      <w:pPr>
        <w:spacing w:after="120" w:line="276" w:lineRule="auto"/>
        <w:jc w:val="both"/>
        <w:rPr>
          <w:rFonts w:ascii="Verdana" w:eastAsia="Calibri" w:hAnsi="Verdana" w:cs="Arial"/>
          <w:color w:val="000000" w:themeColor="text1"/>
          <w:lang w:val="es-ES_tradnl"/>
        </w:rPr>
      </w:pPr>
      <w:r w:rsidRPr="00040E25">
        <w:rPr>
          <w:rFonts w:ascii="Verdana" w:eastAsia="Calibri" w:hAnsi="Verdana" w:cs="Arial"/>
          <w:color w:val="000000" w:themeColor="text1"/>
          <w:lang w:val="es-ES_tradnl"/>
        </w:rPr>
        <w:t xml:space="preserve">i. Como punto de partida, es pertinente hacer algunas precisiones sobre la posición que ha sostenido la </w:t>
      </w:r>
      <w:r w:rsidRPr="00040E25">
        <w:rPr>
          <w:rFonts w:ascii="Verdana" w:eastAsia="Calibri" w:hAnsi="Verdana" w:cs="Arial"/>
          <w:color w:val="000000"/>
          <w:lang w:val="es-ES" w:eastAsia="es-ES"/>
        </w:rPr>
        <w:t xml:space="preserve">Subdirección de Gestión Contractual de la ANCP – CCE en ejercicio de su función consultiva, </w:t>
      </w:r>
      <w:r w:rsidRPr="00040E25">
        <w:rPr>
          <w:rFonts w:ascii="Verdana" w:eastAsia="Calibri" w:hAnsi="Verdana" w:cs="Arial"/>
          <w:color w:val="000000" w:themeColor="text1"/>
          <w:lang w:val="es-ES_tradnl"/>
        </w:rPr>
        <w:t>en relación con</w:t>
      </w:r>
      <w:r w:rsidRPr="00040E25">
        <w:rPr>
          <w:rFonts w:ascii="Verdana" w:eastAsia="Calibri" w:hAnsi="Verdana" w:cs="Arial"/>
          <w:color w:val="000000"/>
          <w:lang w:val="es-ES" w:eastAsia="es-ES"/>
        </w:rPr>
        <w:t xml:space="preserve"> el régimen de contratación aplicable a la ejecución de proyectos financiados con recursos del Sistema General de Regalías -SGR-, cuando las entidades ejecutoras de recursos de regalías cuentan con un régimen especial de contratación.</w:t>
      </w:r>
    </w:p>
    <w:p w14:paraId="75B5A560" w14:textId="77777777" w:rsidR="00040E25" w:rsidRPr="00040E25" w:rsidRDefault="00040E25" w:rsidP="00040E25">
      <w:pPr>
        <w:spacing w:after="120" w:line="276" w:lineRule="auto"/>
        <w:ind w:firstLine="709"/>
        <w:jc w:val="both"/>
        <w:rPr>
          <w:rFonts w:ascii="Verdana" w:hAnsi="Verdana"/>
          <w:shd w:val="clear" w:color="auto" w:fill="FFFFFF"/>
        </w:rPr>
      </w:pPr>
      <w:r w:rsidRPr="00040E25">
        <w:rPr>
          <w:rFonts w:ascii="Verdana" w:hAnsi="Verdana"/>
          <w:lang w:val="es-ES" w:eastAsia="es-ES"/>
        </w:rPr>
        <w:t xml:space="preserve">Así, conforme a la interpretación general de las normas del sistema de compras públicas, esta Subdirección en </w:t>
      </w:r>
      <w:r w:rsidRPr="00040E25">
        <w:rPr>
          <w:rFonts w:ascii="Verdana" w:hAnsi="Verdana"/>
        </w:rPr>
        <w:t>los conceptos C-370 del 2021,</w:t>
      </w:r>
      <w:r w:rsidRPr="00040E25">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C-417 del 2026,</w:t>
      </w:r>
      <w:r w:rsidRPr="00040E25">
        <w:rPr>
          <w:rFonts w:ascii="Verdana" w:hAnsi="Verdana" w:cs="Arial"/>
        </w:rPr>
        <w:t xml:space="preserve"> C-764 del 29 de mayo de 2026</w:t>
      </w:r>
      <w:r w:rsidRPr="00040E25">
        <w:rPr>
          <w:rFonts w:ascii="Verdana" w:hAnsi="Verdana"/>
          <w:shd w:val="clear" w:color="auto" w:fill="FFFFFF"/>
        </w:rPr>
        <w:t xml:space="preserve">, C-1050 del 21 de julio de 2026, C-1151, C-1152 del 12 de agosto, C-1249 del 27 de agosto de 2026, ha mantenido la postura en virtud de la cual </w:t>
      </w:r>
      <w:r w:rsidRPr="00040E25">
        <w:rPr>
          <w:rFonts w:ascii="Verdana" w:hAnsi="Verdana"/>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a las prescripciones establecidas en el Estatuto General de Contratación de la Administración Pública-EGCAP, así como las normas que lo modifiquen, sustituyan o reglamenten.</w:t>
      </w:r>
    </w:p>
    <w:p w14:paraId="54963CB3" w14:textId="77777777" w:rsidR="00040E25" w:rsidRPr="00040E25" w:rsidRDefault="00040E25" w:rsidP="00040E25">
      <w:pPr>
        <w:spacing w:after="120" w:line="276" w:lineRule="auto"/>
        <w:ind w:firstLine="709"/>
        <w:jc w:val="both"/>
        <w:rPr>
          <w:rFonts w:ascii="Verdana" w:hAnsi="Verdana" w:cs="Arial"/>
          <w:noProof/>
        </w:rPr>
      </w:pPr>
      <w:r w:rsidRPr="00040E25">
        <w:rPr>
          <w:rFonts w:ascii="Verdana" w:eastAsia="Calibri" w:hAnsi="Verdana" w:cs="Arial"/>
          <w:color w:val="000000"/>
          <w:lang w:val="es-ES" w:eastAsia="es-ES"/>
        </w:rPr>
        <w:t xml:space="preserve">En efecto, conforme se ha explicado en estos conceptos, </w:t>
      </w:r>
      <w:r w:rsidRPr="00040E25">
        <w:rPr>
          <w:rFonts w:ascii="Verdana" w:hAnsi="Verdana" w:cs="Arial"/>
          <w:noProof/>
          <w:lang w:val="es-ES_tradnl"/>
        </w:rPr>
        <w:t xml:space="preserve">en </w:t>
      </w:r>
      <w:r w:rsidRPr="00040E25">
        <w:rPr>
          <w:rFonts w:ascii="Verdana" w:hAnsi="Verdana" w:cs="Arial"/>
          <w:noProof/>
        </w:rPr>
        <w:t xml:space="preserve">el Título IV, Capítulo I, la Ley 2056 de 2020 establece las reglas generales para los proyectos de inversión en el Sistema General de Regalías. En esta línea, regula la </w:t>
      </w:r>
      <w:r w:rsidRPr="00040E25">
        <w:rPr>
          <w:rFonts w:ascii="Verdana" w:hAnsi="Verdana" w:cs="Arial"/>
          <w:noProof/>
        </w:rPr>
        <w:lastRenderedPageBreak/>
        <w:t>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22A37D5D" w14:textId="77777777" w:rsidR="00040E25" w:rsidRPr="00040E25" w:rsidRDefault="00040E25" w:rsidP="00040E25">
      <w:pPr>
        <w:spacing w:after="120" w:line="276" w:lineRule="auto"/>
        <w:ind w:firstLine="709"/>
        <w:jc w:val="both"/>
        <w:rPr>
          <w:rFonts w:ascii="Verdana" w:hAnsi="Verdana" w:cs="Arial"/>
        </w:rPr>
      </w:pPr>
      <w:r w:rsidRPr="00040E25">
        <w:rPr>
          <w:rFonts w:ascii="Verdana" w:hAnsi="Verdana" w:cs="Arial"/>
          <w:noProof/>
        </w:rPr>
        <w:t xml:space="preserve">Particularmente, el artículo 37 </w:t>
      </w:r>
      <w:r w:rsidRPr="00040E25">
        <w:rPr>
          <w:rFonts w:ascii="Verdana" w:hAnsi="Verdana" w:cs="Arial"/>
        </w:rPr>
        <w:t xml:space="preserve">de la Ley 2056 de 2020 dispone que los proyectos de inversión que se financien con cargo al Sistema General de Regalías serán ejecutados por quien designe las entidades u órganos de que tratan los artículos 35 y 36 </w:t>
      </w:r>
      <w:r w:rsidRPr="00040E25">
        <w:rPr>
          <w:rFonts w:ascii="Verdana" w:hAnsi="Verdana" w:cs="Arial"/>
          <w:i/>
          <w:iCs/>
        </w:rPr>
        <w:t>ibidem</w:t>
      </w:r>
      <w:r w:rsidRPr="00040E25">
        <w:rPr>
          <w:rFonts w:ascii="Verdana" w:hAnsi="Verdana" w:cs="Arial"/>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w:t>
      </w:r>
      <w:proofErr w:type="gramStart"/>
      <w:r w:rsidRPr="00040E25">
        <w:rPr>
          <w:rFonts w:ascii="Verdana" w:hAnsi="Verdana" w:cs="Arial"/>
        </w:rPr>
        <w:t>los mismos</w:t>
      </w:r>
      <w:proofErr w:type="gramEnd"/>
      <w:r w:rsidRPr="00040E25">
        <w:rPr>
          <w:rFonts w:ascii="Verdana" w:hAnsi="Verdana" w:cs="Arial"/>
        </w:rPr>
        <w:t xml:space="preserve">, sin perjuicio de las acciones de control a las que haya lugar. </w:t>
      </w:r>
    </w:p>
    <w:p w14:paraId="750D268F" w14:textId="77777777" w:rsidR="00040E25" w:rsidRPr="00040E25" w:rsidRDefault="00040E25" w:rsidP="00040E25">
      <w:pPr>
        <w:spacing w:after="120" w:line="276" w:lineRule="auto"/>
        <w:ind w:firstLine="709"/>
        <w:jc w:val="both"/>
        <w:rPr>
          <w:rFonts w:ascii="Verdana" w:hAnsi="Verdana" w:cs="Arial"/>
        </w:rPr>
      </w:pPr>
      <w:r w:rsidRPr="00040E25">
        <w:rPr>
          <w:rFonts w:ascii="Verdana" w:hAnsi="Verdana" w:cs="Arial"/>
        </w:rPr>
        <w:t xml:space="preserve">El parágrafo primero del artículo 37 </w:t>
      </w:r>
      <w:r w:rsidRPr="00040E25">
        <w:rPr>
          <w:rFonts w:ascii="Verdana" w:hAnsi="Verdana" w:cs="Arial"/>
          <w:i/>
          <w:iCs/>
        </w:rPr>
        <w:t>ibidem</w:t>
      </w:r>
      <w:r w:rsidRPr="00040E25">
        <w:rPr>
          <w:rFonts w:ascii="Verdana" w:hAnsi="Verdana" w:cs="Arial"/>
        </w:rPr>
        <w:t xml:space="preserve"> dispone lo siguiente: “La ejecución de proyectos de que trata este artículo, se adelantará, con estricta sujeción al régimen presupuestal definido en esta ley, </w:t>
      </w:r>
      <w:r w:rsidRPr="00040E25">
        <w:rPr>
          <w:rFonts w:ascii="Verdana" w:hAnsi="Verdana" w:cs="Arial"/>
          <w:i/>
          <w:iCs/>
          <w:u w:val="single"/>
        </w:rPr>
        <w:t>al de contratación pública</w:t>
      </w:r>
      <w:r w:rsidRPr="00040E25">
        <w:rPr>
          <w:rFonts w:ascii="Verdana" w:hAnsi="Verdana" w:cs="Arial"/>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r w:rsidRPr="00040E25">
        <w:rPr>
          <w:rFonts w:ascii="Verdana" w:hAnsi="Verdana" w:cs="Arial"/>
          <w:vertAlign w:val="superscript"/>
        </w:rPr>
        <w:footnoteReference w:id="2"/>
      </w:r>
      <w:r w:rsidRPr="00040E25">
        <w:rPr>
          <w:rFonts w:ascii="Verdana" w:hAnsi="Verdana" w:cs="Arial"/>
        </w:rPr>
        <w:t>.</w:t>
      </w:r>
      <w:r w:rsidRPr="00040E25">
        <w:rPr>
          <w:rFonts w:ascii="Verdana" w:hAnsi="Verdana" w:cs="Arial"/>
          <w:noProof/>
        </w:rPr>
        <w:t xml:space="preserve"> A partir de esta norma, el ejercutor de los proyectos de </w:t>
      </w:r>
      <w:r w:rsidRPr="00040E25">
        <w:rPr>
          <w:rFonts w:ascii="Verdana" w:hAnsi="Verdana" w:cs="Arial"/>
          <w:noProof/>
        </w:rPr>
        <w:lastRenderedPageBreak/>
        <w:t xml:space="preserve">inversion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148D2A9F" w14:textId="77777777" w:rsidR="00040E25" w:rsidRPr="00040E25" w:rsidRDefault="00040E25" w:rsidP="00040E25">
      <w:pPr>
        <w:spacing w:after="120" w:line="276" w:lineRule="auto"/>
        <w:ind w:firstLine="709"/>
        <w:jc w:val="both"/>
        <w:rPr>
          <w:rFonts w:ascii="Verdana" w:hAnsi="Verdana" w:cs="Arial"/>
          <w:bdr w:val="none" w:sz="0" w:space="0" w:color="auto" w:frame="1"/>
        </w:rPr>
      </w:pPr>
      <w:r w:rsidRPr="00040E25">
        <w:rPr>
          <w:rFonts w:ascii="Verdana" w:hAnsi="Verdana" w:cs="Arial"/>
        </w:rPr>
        <w:t xml:space="preserve">Por tanto, en caso de que se realicen proyectos de inversión en el marco del Sistema General de Regalías, como también aquellos proyectos especiales referenciados </w:t>
      </w:r>
      <w:r w:rsidRPr="00040E25">
        <w:rPr>
          <w:rFonts w:ascii="Verdana" w:hAnsi="Verdana" w:cs="Arial"/>
          <w:i/>
          <w:iCs/>
        </w:rPr>
        <w:t>ut supra</w:t>
      </w:r>
      <w:r w:rsidRPr="00040E25">
        <w:rPr>
          <w:rFonts w:ascii="Verdana" w:hAnsi="Verdana" w:cs="Arial"/>
        </w:rPr>
        <w:t>, los ejecutores designados para desarrollarlos deben sujetarse al Estatuto General de Contratación de la Administración Pública</w:t>
      </w:r>
      <w:r w:rsidRPr="00040E25">
        <w:rPr>
          <w:rFonts w:ascii="Verdana" w:eastAsia="Calibri" w:hAnsi="Verdana" w:cs="Arial"/>
        </w:rPr>
        <w:t>.</w:t>
      </w:r>
      <w:r w:rsidRPr="00040E25">
        <w:rPr>
          <w:rFonts w:ascii="Verdana" w:hAnsi="Verdana" w:cs="Arial"/>
        </w:rPr>
        <w:t xml:space="preserve"> </w:t>
      </w:r>
      <w:r w:rsidRPr="00040E25">
        <w:rPr>
          <w:rFonts w:ascii="Verdana" w:hAnsi="Verdana" w:cs="Arial"/>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06A8D42E" w14:textId="77777777" w:rsidR="00040E25" w:rsidRPr="00040E25" w:rsidRDefault="00040E25" w:rsidP="00040E25">
      <w:pPr>
        <w:spacing w:after="120" w:line="276" w:lineRule="auto"/>
        <w:ind w:firstLine="709"/>
        <w:jc w:val="both"/>
        <w:rPr>
          <w:rFonts w:ascii="Verdana" w:eastAsia="Calibri" w:hAnsi="Verdana" w:cs="Arial"/>
          <w:color w:val="000000"/>
          <w:lang w:val="es-ES" w:eastAsia="es-ES"/>
        </w:rPr>
      </w:pPr>
      <w:r w:rsidRPr="00040E25">
        <w:rPr>
          <w:rFonts w:ascii="Verdana" w:eastAsia="Calibri" w:hAnsi="Verdana" w:cs="Arial"/>
          <w:color w:val="000000"/>
          <w:lang w:val="es-ES" w:eastAsia="es-ES"/>
        </w:rPr>
        <w:t xml:space="preserve">Así las cosas, se ha sostenido </w:t>
      </w:r>
      <w:proofErr w:type="gramStart"/>
      <w:r w:rsidRPr="00040E25">
        <w:rPr>
          <w:rFonts w:ascii="Verdana" w:eastAsia="Calibri" w:hAnsi="Verdana" w:cs="Arial"/>
          <w:color w:val="000000"/>
          <w:lang w:val="es-ES" w:eastAsia="es-ES"/>
        </w:rPr>
        <w:t>que</w:t>
      </w:r>
      <w:proofErr w:type="gramEnd"/>
      <w:r w:rsidRPr="00040E25">
        <w:rPr>
          <w:rFonts w:ascii="Verdana" w:eastAsia="Calibri" w:hAnsi="Verdana" w:cs="Arial"/>
          <w:color w:val="000000"/>
          <w:lang w:val="es-ES" w:eastAsia="es-ES"/>
        </w:rPr>
        <w:t xml:space="preserv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15E0A7F4" w14:textId="77777777" w:rsidR="00040E25" w:rsidRPr="00040E25" w:rsidRDefault="00040E25" w:rsidP="00040E25">
      <w:pPr>
        <w:spacing w:after="120" w:line="276" w:lineRule="auto"/>
        <w:ind w:firstLine="709"/>
        <w:jc w:val="both"/>
        <w:rPr>
          <w:rFonts w:ascii="Verdana" w:eastAsia="Calibri" w:hAnsi="Verdana" w:cs="Arial"/>
          <w:color w:val="000000"/>
          <w:szCs w:val="24"/>
          <w:lang w:val="es-ES" w:eastAsia="es-ES_tradnl"/>
        </w:rPr>
      </w:pPr>
      <w:r w:rsidRPr="00040E25">
        <w:rPr>
          <w:rFonts w:ascii="Verdana" w:eastAsia="Calibri" w:hAnsi="Verdana" w:cs="Arial"/>
        </w:rPr>
        <w:lastRenderedPageBreak/>
        <w:t xml:space="preserve">En este contexto, la ANCP – CCE si bien reconoce el régimen de contratación especial de entidades tales como universidades públicas, Fondos Mixtos, EICE, ESP, entre otras, cuando actúan como entidades ejecutoras de proyectos financiados con recursos del SGR, deben sujetarse a la norma especial prevista para dichos recursos, la cual impone la aplicación obligatoria del Estatuto General de Contratación de la Administración Pública, tal como lo establece de forma expresa el artículo 37 de la Ley 2056 de 2020. </w:t>
      </w:r>
    </w:p>
    <w:p w14:paraId="6697FACE" w14:textId="77777777" w:rsidR="00040E25" w:rsidRPr="00040E25" w:rsidRDefault="00040E25" w:rsidP="00040E25">
      <w:pPr>
        <w:spacing w:after="120" w:line="276" w:lineRule="auto"/>
        <w:ind w:firstLine="709"/>
        <w:jc w:val="both"/>
        <w:rPr>
          <w:rFonts w:ascii="Verdana" w:eastAsia="Calibri" w:hAnsi="Verdana" w:cs="Arial"/>
          <w:color w:val="000000" w:themeColor="text1"/>
          <w:lang w:eastAsia="es-ES"/>
        </w:rPr>
      </w:pPr>
      <w:r w:rsidRPr="00040E25">
        <w:rPr>
          <w:rFonts w:ascii="Verdana" w:eastAsia="Calibri" w:hAnsi="Verdana" w:cs="Arial"/>
        </w:rPr>
        <w:t xml:space="preserve">De acuerdo con esta interpretación, esta Subdirección considera que el </w:t>
      </w:r>
      <w:r w:rsidRPr="00040E25">
        <w:rPr>
          <w:rFonts w:ascii="Verdana" w:eastAsia="Calibri" w:hAnsi="Verdana" w:cs="Arial"/>
          <w:color w:val="000000" w:themeColor="text1"/>
          <w:lang w:eastAsia="es-ES"/>
        </w:rPr>
        <w:t>parágrafo primero del artículo 37 de la Ley 2056 de 2020 incorpora una remisión normativa expresa y categórica al régimen de contratación pública, es decir, a las reglas contenidas principalmente en la Ley 80 de 1993 y sus normas complementarias - Ley 1150 de 2007, Decreto 1082 de 2015, entre otras-. Además, el uso de la expresión “estricta sujeción” refuerza la intención del legislador de conferir un carácter obligatorio a dicha remisión.</w:t>
      </w:r>
    </w:p>
    <w:p w14:paraId="6F7D8F65" w14:textId="77777777" w:rsidR="00040E25" w:rsidRPr="00040E25" w:rsidRDefault="00040E25" w:rsidP="00040E25">
      <w:pPr>
        <w:spacing w:after="120" w:line="276" w:lineRule="auto"/>
        <w:ind w:firstLine="709"/>
        <w:jc w:val="both"/>
        <w:rPr>
          <w:rFonts w:ascii="Verdana" w:eastAsia="Calibri" w:hAnsi="Verdana" w:cs="Arial"/>
          <w:color w:val="000000" w:themeColor="text1"/>
          <w:lang w:eastAsia="es-ES"/>
        </w:rPr>
      </w:pPr>
      <w:r w:rsidRPr="00040E25">
        <w:rPr>
          <w:rFonts w:ascii="Verdana" w:eastAsia="Calibri" w:hAnsi="Verdana" w:cs="Arial"/>
          <w:color w:val="000000" w:themeColor="text1"/>
          <w:lang w:eastAsia="es-ES"/>
        </w:rPr>
        <w:t xml:space="preserve">El alcance de esta remisión normativa implica que, para efectos de la ejecución de proyectos financiados con recursos del Sistema General de Regalías, las entidades ejecutoras deben sujetarse a las reglas y principios establecidos en el Estatuto General de Contratación de la Administración Pública y sus disposiciones reglamentarias. En tal sentido, esta remisión impone la aplicación del régimen general de contratación pública como garantía de transparencia y eficiencia configurando un marco jurídico específico que se activa por el uso de los recursos de regalías, lo que excluye la aplicación de regímenes especiales. </w:t>
      </w:r>
    </w:p>
    <w:p w14:paraId="3EF2F85F" w14:textId="77777777" w:rsidR="00040E25" w:rsidRPr="00040E25" w:rsidRDefault="00040E25" w:rsidP="00040E25">
      <w:pPr>
        <w:spacing w:after="120" w:line="276" w:lineRule="auto"/>
        <w:ind w:firstLine="709"/>
        <w:jc w:val="both"/>
        <w:rPr>
          <w:rFonts w:ascii="Verdana" w:eastAsia="Calibri" w:hAnsi="Verdana" w:cs="Arial"/>
          <w:color w:val="000000" w:themeColor="text1"/>
          <w:lang w:eastAsia="es-ES"/>
        </w:rPr>
      </w:pPr>
      <w:r w:rsidRPr="00040E25">
        <w:rPr>
          <w:rFonts w:ascii="Verdana" w:eastAsia="Calibri" w:hAnsi="Verdana" w:cs="Arial"/>
          <w:color w:val="000000" w:themeColor="text1"/>
          <w:lang w:eastAsia="es-ES"/>
        </w:rPr>
        <w:t xml:space="preserve">Así pues, se parte de una lectura literal del texto normativo, en la que la remisión al EGCAP refleja de manera directa la voluntad del legislador de someter tales asuntos a la ley 80 de 1993 y normas reglamentarias vigentes. De igual forma, esta remisión expresa al EGCAP establecida en el parágrafo 1 del artículo 37 se contempla en diferentes disposiciones de la Ley 2056 de 2020, </w:t>
      </w:r>
      <w:r w:rsidRPr="00040E25">
        <w:rPr>
          <w:rFonts w:ascii="Verdana" w:eastAsia="Calibri" w:hAnsi="Verdana" w:cs="Arial"/>
          <w:color w:val="000000" w:themeColor="text1"/>
          <w:lang w:eastAsia="es-ES"/>
        </w:rPr>
        <w:lastRenderedPageBreak/>
        <w:t>como son los artículos 84</w:t>
      </w:r>
      <w:r w:rsidRPr="00040E25">
        <w:rPr>
          <w:rFonts w:ascii="Verdana" w:eastAsia="Calibri" w:hAnsi="Verdana" w:cs="Arial"/>
          <w:color w:val="000000" w:themeColor="text1"/>
          <w:vertAlign w:val="superscript"/>
          <w:lang w:eastAsia="es-ES"/>
        </w:rPr>
        <w:footnoteReference w:id="3"/>
      </w:r>
      <w:r w:rsidRPr="00040E25">
        <w:rPr>
          <w:rFonts w:ascii="Verdana" w:eastAsia="Calibri" w:hAnsi="Verdana" w:cs="Arial"/>
          <w:color w:val="000000" w:themeColor="text1"/>
          <w:lang w:eastAsia="es-ES"/>
        </w:rPr>
        <w:t>, 98</w:t>
      </w:r>
      <w:r w:rsidRPr="00040E25">
        <w:rPr>
          <w:rFonts w:ascii="Verdana" w:eastAsia="Calibri" w:hAnsi="Verdana" w:cs="Arial"/>
          <w:color w:val="000000" w:themeColor="text1"/>
          <w:vertAlign w:val="superscript"/>
          <w:lang w:eastAsia="es-ES"/>
        </w:rPr>
        <w:footnoteReference w:id="4"/>
      </w:r>
      <w:r w:rsidRPr="00040E25">
        <w:rPr>
          <w:rFonts w:ascii="Verdana" w:eastAsia="Calibri" w:hAnsi="Verdana" w:cs="Arial"/>
          <w:color w:val="000000" w:themeColor="text1"/>
          <w:lang w:eastAsia="es-ES"/>
        </w:rPr>
        <w:t>, 99</w:t>
      </w:r>
      <w:r w:rsidRPr="00040E25">
        <w:rPr>
          <w:rFonts w:ascii="Verdana" w:eastAsia="Calibri" w:hAnsi="Verdana" w:cs="Arial"/>
          <w:color w:val="000000" w:themeColor="text1"/>
          <w:vertAlign w:val="superscript"/>
          <w:lang w:eastAsia="es-ES"/>
        </w:rPr>
        <w:footnoteReference w:id="5"/>
      </w:r>
      <w:r w:rsidRPr="00040E25">
        <w:rPr>
          <w:rFonts w:ascii="Verdana" w:eastAsia="Calibri" w:hAnsi="Verdana" w:cs="Arial"/>
          <w:color w:val="000000" w:themeColor="text1"/>
          <w:lang w:eastAsia="es-ES"/>
        </w:rPr>
        <w:t>, 108</w:t>
      </w:r>
      <w:r w:rsidRPr="00040E25">
        <w:rPr>
          <w:rFonts w:ascii="Verdana" w:eastAsia="Calibri" w:hAnsi="Verdana" w:cs="Arial"/>
          <w:color w:val="000000" w:themeColor="text1"/>
          <w:vertAlign w:val="superscript"/>
          <w:lang w:eastAsia="es-ES"/>
        </w:rPr>
        <w:footnoteReference w:id="6"/>
      </w:r>
      <w:r w:rsidRPr="00040E25">
        <w:rPr>
          <w:rFonts w:ascii="Verdana" w:eastAsia="Calibri" w:hAnsi="Verdana" w:cs="Arial"/>
          <w:color w:val="000000" w:themeColor="text1"/>
          <w:lang w:eastAsia="es-ES"/>
        </w:rPr>
        <w:t xml:space="preserve"> y 109</w:t>
      </w:r>
      <w:r w:rsidRPr="00040E25">
        <w:rPr>
          <w:rFonts w:ascii="Verdana" w:eastAsia="Calibri" w:hAnsi="Verdana" w:cs="Arial"/>
          <w:color w:val="000000" w:themeColor="text1"/>
          <w:vertAlign w:val="superscript"/>
          <w:lang w:eastAsia="es-ES"/>
        </w:rPr>
        <w:footnoteReference w:id="7"/>
      </w:r>
      <w:r w:rsidRPr="00040E25">
        <w:rPr>
          <w:rFonts w:ascii="Verdana" w:eastAsia="Calibri" w:hAnsi="Verdana" w:cs="Arial"/>
          <w:color w:val="000000" w:themeColor="text1"/>
          <w:lang w:eastAsia="es-ES"/>
        </w:rPr>
        <w:t>, lo que evidencia una voluntad legislativa clara y reiterada de aplicar el EGCAP, sin distinción o salvedades sobre el régimen de contratación de las entidades ejecutoras.</w:t>
      </w:r>
    </w:p>
    <w:p w14:paraId="0A2F36E5" w14:textId="77777777" w:rsidR="00040E25" w:rsidRPr="00040E25" w:rsidRDefault="00040E25" w:rsidP="00040E25">
      <w:pPr>
        <w:spacing w:after="120" w:line="276" w:lineRule="auto"/>
        <w:ind w:firstLine="709"/>
        <w:jc w:val="both"/>
        <w:rPr>
          <w:rFonts w:ascii="Verdana" w:eastAsia="Calibri" w:hAnsi="Verdana" w:cs="Arial"/>
          <w:color w:val="000000" w:themeColor="text1"/>
          <w:lang w:eastAsia="es-ES"/>
        </w:rPr>
      </w:pPr>
      <w:r w:rsidRPr="00040E25">
        <w:rPr>
          <w:rFonts w:ascii="Verdana" w:eastAsia="Calibri" w:hAnsi="Verdana" w:cs="Arial"/>
          <w:color w:val="000000" w:themeColor="text1"/>
          <w:lang w:eastAsia="es-ES"/>
        </w:rPr>
        <w:t>Desde una lectura sistemática de la Ley 2056 de 2020, estas múltiples remisiones a las normas del régimen general de contratación pública no deben considerarse como simples alusiones formales sin efectos jurídicos. Por el contrario, configuran un mandato normativo concreto que impone la aplicación del EGCAP en la contratación de proyectos financiados con recursos de regalías. De esta manera, una lectura sistemática de todas las normas señaladas conlleva a interpretar la ley en su conjunto, atendiendo no solo a su tenor literal, sino a su estructura interna, lo que permite identificar una intención legislativa de sujetar la ejecución de los recursos del SGR al EGCAP, sin excepciones.</w:t>
      </w:r>
    </w:p>
    <w:p w14:paraId="5059B5A0" w14:textId="77777777" w:rsidR="00040E25" w:rsidRPr="00040E25" w:rsidRDefault="00040E25" w:rsidP="00040E25">
      <w:pPr>
        <w:spacing w:after="120" w:line="276" w:lineRule="auto"/>
        <w:ind w:firstLine="709"/>
        <w:jc w:val="both"/>
        <w:rPr>
          <w:rFonts w:ascii="Verdana" w:eastAsia="Calibri" w:hAnsi="Verdana" w:cs="Arial"/>
          <w:color w:val="000000" w:themeColor="text1"/>
          <w:lang w:eastAsia="es-ES"/>
        </w:rPr>
      </w:pPr>
      <w:r w:rsidRPr="00040E25">
        <w:rPr>
          <w:rFonts w:ascii="Verdana" w:eastAsia="Calibri" w:hAnsi="Verdana" w:cs="Arial"/>
          <w:color w:val="000000" w:themeColor="text1"/>
          <w:lang w:eastAsia="es-ES"/>
        </w:rPr>
        <w:t xml:space="preserve">Aunado a lo anterior, se precisa que el parágrafo 1 del artículo 37 de la Ley 2056 de 2020 no distingue sobre el tipo de régimen de contratación aplicable a las entidades ejecutoras de los recursos del SGR, sin embargo, si realiza la remisión expresa al EGCAP. Por tanto, en desarrollo del principio general de interpretación jurídica según el cual </w:t>
      </w:r>
      <w:r w:rsidRPr="00040E25">
        <w:rPr>
          <w:rFonts w:ascii="Verdana" w:eastAsia="Calibri" w:hAnsi="Verdana" w:cs="Arial"/>
          <w:i/>
          <w:iCs/>
          <w:color w:val="000000" w:themeColor="text1"/>
          <w:lang w:eastAsia="es-ES"/>
        </w:rPr>
        <w:t>donde la norma no distingue, no le corresponde distinguir al intérprete,</w:t>
      </w:r>
      <w:r w:rsidRPr="00040E25">
        <w:rPr>
          <w:rFonts w:ascii="Verdana" w:eastAsia="Calibri" w:hAnsi="Verdana" w:cs="Arial"/>
          <w:color w:val="000000" w:themeColor="text1"/>
          <w:lang w:eastAsia="es-ES"/>
        </w:rPr>
        <w:t xml:space="preserve"> no resulta viable concluir que es posible la aplicación de un régimen distinto al del EGCAP. Esta regla cobra particular relevancia por el carácter público de los recursos, en los que se impone </w:t>
      </w:r>
      <w:r w:rsidRPr="00040E25">
        <w:rPr>
          <w:rFonts w:ascii="Verdana" w:eastAsia="Calibri" w:hAnsi="Verdana" w:cs="Arial"/>
          <w:color w:val="000000" w:themeColor="text1"/>
          <w:lang w:eastAsia="es-ES"/>
        </w:rPr>
        <w:lastRenderedPageBreak/>
        <w:t>garantizar</w:t>
      </w:r>
      <w:r w:rsidRPr="00040E25">
        <w:t xml:space="preserve"> </w:t>
      </w:r>
      <w:r w:rsidRPr="00040E25">
        <w:rPr>
          <w:rFonts w:ascii="Verdana" w:eastAsia="Calibri" w:hAnsi="Verdana" w:cs="Arial"/>
          <w:color w:val="000000" w:themeColor="text1"/>
          <w:lang w:eastAsia="es-ES"/>
        </w:rPr>
        <w:t xml:space="preserve">la eficiencia, transparencia y responsabilidad en la gestión del gasto público.  </w:t>
      </w:r>
    </w:p>
    <w:p w14:paraId="1C998B13" w14:textId="77777777" w:rsidR="00040E25" w:rsidRPr="00040E25" w:rsidRDefault="00040E25" w:rsidP="00040E25">
      <w:pPr>
        <w:spacing w:after="120" w:line="276" w:lineRule="auto"/>
        <w:ind w:firstLine="709"/>
        <w:jc w:val="both"/>
        <w:rPr>
          <w:rFonts w:ascii="Verdana" w:eastAsia="Calibri" w:hAnsi="Verdana" w:cs="Arial"/>
          <w:color w:val="000000" w:themeColor="text1"/>
          <w:lang w:eastAsia="es-ES"/>
        </w:rPr>
      </w:pPr>
      <w:r w:rsidRPr="00040E25">
        <w:rPr>
          <w:rFonts w:ascii="Verdana" w:eastAsia="Calibri" w:hAnsi="Verdana" w:cs="Arial"/>
          <w:color w:val="000000" w:themeColor="text1"/>
          <w:lang w:eastAsia="es-ES"/>
        </w:rPr>
        <w:t xml:space="preserve">En este sentido, con base en la lectura literal y sistemática de las disposiciones contenidas en la Ley 2056 de 2020, así como la aplicación de principios generales del derecho, se colige que la remisión al EGCAP que se consagra en el artículo 37 de la Ley 2056 de 2020 debe entenderse como una disposición con efectos jurídicos y no meramente referencial, lo que significa que somete a todas las entidades ejecutoras, sin distinción de su naturaleza jurídica o régimen de contratación, a la aplicación del EGCAP para la contratación con recursos con cargo al SGR. </w:t>
      </w:r>
    </w:p>
    <w:p w14:paraId="49792A79" w14:textId="77777777" w:rsidR="00040E25" w:rsidRPr="00040E25" w:rsidRDefault="00040E25" w:rsidP="00040E25">
      <w:pPr>
        <w:spacing w:after="120" w:line="276" w:lineRule="auto"/>
        <w:ind w:firstLine="709"/>
        <w:jc w:val="both"/>
        <w:rPr>
          <w:rFonts w:ascii="Verdana" w:eastAsia="Calibri" w:hAnsi="Verdana" w:cs="Arial"/>
          <w:color w:val="000000" w:themeColor="text1"/>
          <w:lang w:eastAsia="es-ES"/>
        </w:rPr>
      </w:pPr>
      <w:r w:rsidRPr="00040E25">
        <w:rPr>
          <w:rFonts w:ascii="Verdana" w:eastAsia="Calibri" w:hAnsi="Verdana" w:cs="Arial"/>
          <w:color w:val="000000" w:themeColor="text1"/>
          <w:lang w:eastAsia="es-ES"/>
        </w:rPr>
        <w:t>Adicionalmente, resulta pertinente indicar que la referencia que estas normas hacen a “las demás normas legales aplicables” no puede interpretarse como una exclusión de la remisión expresa que realiza al EGCAP. En otras palabras, dicha inclusión no niega que hay una remisión expresa y prevalente al EGCAP. Por el contrario, debe entenderse como una manifestación clara de la voluntad del legislador de establecer un marco normativo específico para la ejecución de los recursos del SGR, sin que ello implique desconocer o derogar de manera general los regímenes de contratación propios de las entidades que tienen regímenes especiales. Por lo tanto, lejos de generar una contradicción normativa, la remisión al EGCAP debe entenderse como una disposición especial y prevalente frente a la aplicación de otras normas contractuales, y como un instrumento para garantizar la unidad, el control y la eficiencia en el manejo de los recursos del Sistema General de Regalías.</w:t>
      </w:r>
    </w:p>
    <w:p w14:paraId="485F443D" w14:textId="77777777" w:rsidR="00040E25" w:rsidRPr="00040E25" w:rsidRDefault="00040E25" w:rsidP="00040E25">
      <w:pPr>
        <w:spacing w:after="120" w:line="276" w:lineRule="auto"/>
        <w:ind w:firstLine="709"/>
        <w:jc w:val="both"/>
        <w:rPr>
          <w:rFonts w:ascii="Verdana" w:eastAsia="Calibri" w:hAnsi="Verdana" w:cs="Arial"/>
          <w:color w:val="000000" w:themeColor="text1"/>
          <w:lang w:eastAsia="es-ES"/>
        </w:rPr>
      </w:pPr>
      <w:r w:rsidRPr="00040E25">
        <w:rPr>
          <w:rFonts w:ascii="Verdana" w:eastAsia="Calibri" w:hAnsi="Verdana" w:cs="Arial"/>
          <w:color w:val="000000" w:themeColor="text1"/>
          <w:lang w:eastAsia="es-ES"/>
        </w:rPr>
        <w:t>A lo anterior debe agregarse que en este marco también cobra relevancia el principio de hermenéutica jurídica del efecto útil de las normas, conforme al cual “debe preferir la interpretación que permita dotarlas de sentido y eficacia, frente a otra u otras que lo impidan”</w:t>
      </w:r>
      <w:r w:rsidRPr="00040E25">
        <w:rPr>
          <w:rFonts w:ascii="Verdana" w:eastAsia="Calibri" w:hAnsi="Verdana" w:cs="Arial"/>
          <w:color w:val="000000" w:themeColor="text1"/>
          <w:vertAlign w:val="superscript"/>
          <w:lang w:eastAsia="es-ES"/>
        </w:rPr>
        <w:footnoteReference w:id="8"/>
      </w:r>
      <w:r w:rsidRPr="00040E25">
        <w:rPr>
          <w:rFonts w:ascii="Verdana" w:eastAsia="Calibri" w:hAnsi="Verdana" w:cs="Arial"/>
          <w:color w:val="000000" w:themeColor="text1"/>
          <w:lang w:eastAsia="es-ES"/>
        </w:rPr>
        <w:t xml:space="preserve">, es decir, que su aplicación y efectividad debe estar ligada al propósito para el cual fueron promulgadas. En este sentido, desconocer la aplicación del EGCAP en el marco de la Ley 2056 de 2020 implicaría privar de eficacia la remisión expresa que esta ley establece en materia de contratación pública, contrariando tanto su tenor literal como su finalidad normativa. En este caso, la voluntad del legislador ha sido la de establecer mecanismos que garanticen la transparencia, eficiencia y control en </w:t>
      </w:r>
      <w:r w:rsidRPr="00040E25">
        <w:rPr>
          <w:rFonts w:ascii="Verdana" w:eastAsia="Calibri" w:hAnsi="Verdana" w:cs="Arial"/>
          <w:color w:val="000000" w:themeColor="text1"/>
          <w:lang w:eastAsia="es-ES"/>
        </w:rPr>
        <w:lastRenderedPageBreak/>
        <w:t>la ejecución de los recursos del SGR mediante la aplicación del EGCAP, lo cual se refleja no solo en la redacción del articulado, sino también en los antecedentes legislativos que dieron lugar a su expedición</w:t>
      </w:r>
      <w:r w:rsidRPr="00040E25">
        <w:rPr>
          <w:rFonts w:ascii="Verdana" w:eastAsia="Calibri" w:hAnsi="Verdana" w:cs="Arial"/>
          <w:color w:val="000000" w:themeColor="text1"/>
          <w:vertAlign w:val="superscript"/>
          <w:lang w:eastAsia="es-ES"/>
        </w:rPr>
        <w:footnoteReference w:id="9"/>
      </w:r>
      <w:r w:rsidRPr="00040E25">
        <w:rPr>
          <w:rFonts w:ascii="Verdana" w:eastAsia="Calibri" w:hAnsi="Verdana" w:cs="Arial"/>
          <w:color w:val="000000" w:themeColor="text1"/>
          <w:lang w:eastAsia="es-ES"/>
        </w:rPr>
        <w:t>.</w:t>
      </w:r>
    </w:p>
    <w:p w14:paraId="09C9C1AA" w14:textId="77777777" w:rsidR="00040E25" w:rsidRPr="00040E25" w:rsidRDefault="00040E25" w:rsidP="00040E25">
      <w:pPr>
        <w:spacing w:after="120" w:line="276" w:lineRule="auto"/>
        <w:ind w:firstLine="709"/>
        <w:jc w:val="both"/>
        <w:rPr>
          <w:rFonts w:ascii="Verdana" w:eastAsia="Calibri" w:hAnsi="Verdana" w:cs="Arial"/>
          <w:color w:val="000000" w:themeColor="text1"/>
          <w:lang w:eastAsia="es-ES"/>
        </w:rPr>
      </w:pPr>
      <w:r w:rsidRPr="00040E25">
        <w:rPr>
          <w:rFonts w:ascii="Verdana" w:eastAsia="Calibri" w:hAnsi="Verdana" w:cs="Arial"/>
          <w:color w:val="000000" w:themeColor="text1"/>
          <w:lang w:eastAsia="es-ES"/>
        </w:rPr>
        <w:t xml:space="preserve">De acuerdo con lo señalado, el legislador optó claramente por un criterio funcional o finalista, según el cual el régimen de contratación aplicable se determina por el origen de los recursos públicos y no por la naturaleza orgánica de la entidad ejecutora. Este enfoque parte de la premisa de que los recursos públicos de regalías deben estar sometidos a un marco normativo concreto. De esta forma, el legislador privilegia la naturaleza pública de recursos de regalías como criterio rector, por encima de cualquier particularidad orgánica o régimen especial que pudiera ostentar la entidad ejecutora. Esto se refuerza con el hecho de que la norma no hace ninguna distinción respecto de la ejecución de recurso por parte las entidades con régimen especial. </w:t>
      </w:r>
    </w:p>
    <w:p w14:paraId="1C1740A5" w14:textId="77777777" w:rsidR="00040E25" w:rsidRPr="00040E25" w:rsidRDefault="00040E25" w:rsidP="00040E25">
      <w:pPr>
        <w:spacing w:after="120" w:line="276" w:lineRule="auto"/>
        <w:ind w:firstLine="709"/>
        <w:jc w:val="both"/>
        <w:rPr>
          <w:rFonts w:ascii="Verdana" w:eastAsia="Calibri" w:hAnsi="Verdana" w:cs="Arial"/>
          <w:color w:val="000000" w:themeColor="text1"/>
          <w:lang w:eastAsia="es-ES"/>
        </w:rPr>
      </w:pPr>
      <w:r w:rsidRPr="00040E25">
        <w:rPr>
          <w:rFonts w:ascii="Verdana" w:eastAsia="Calibri" w:hAnsi="Verdana" w:cs="Arial"/>
          <w:color w:val="000000" w:themeColor="text1"/>
          <w:lang w:eastAsia="es-ES"/>
        </w:rPr>
        <w:t xml:space="preserve">Incluso, dicha posición es asumida por la Sala de Consulta y Servicio Civil del Consejo de Estado, pues en Concepto 2563 del 25 de junio de 2026 –con ponencia de la </w:t>
      </w:r>
      <w:proofErr w:type="gramStart"/>
      <w:r w:rsidRPr="00040E25">
        <w:rPr>
          <w:rFonts w:ascii="Verdana" w:eastAsia="Calibri" w:hAnsi="Verdana" w:cs="Arial"/>
          <w:color w:val="000000" w:themeColor="text1"/>
          <w:lang w:eastAsia="es-ES"/>
        </w:rPr>
        <w:t>Consejera</w:t>
      </w:r>
      <w:proofErr w:type="gramEnd"/>
      <w:r w:rsidRPr="00040E25">
        <w:rPr>
          <w:rFonts w:ascii="Verdana" w:eastAsia="Calibri" w:hAnsi="Verdana" w:cs="Arial"/>
          <w:color w:val="000000" w:themeColor="text1"/>
          <w:lang w:eastAsia="es-ES"/>
        </w:rPr>
        <w:t xml:space="preserve"> María del Pilar Bahamón Falla– estima que:</w:t>
      </w:r>
    </w:p>
    <w:p w14:paraId="4317C206" w14:textId="77777777" w:rsidR="00040E25" w:rsidRPr="00040E25" w:rsidRDefault="00040E25" w:rsidP="00040E25">
      <w:pPr>
        <w:spacing w:after="0" w:line="276" w:lineRule="auto"/>
        <w:jc w:val="both"/>
        <w:rPr>
          <w:rFonts w:ascii="Verdana" w:eastAsia="Calibri" w:hAnsi="Verdana" w:cs="Arial"/>
          <w:color w:val="000000" w:themeColor="text1"/>
          <w:lang w:eastAsia="es-ES"/>
        </w:rPr>
      </w:pPr>
    </w:p>
    <w:p w14:paraId="017B2FFC" w14:textId="77777777" w:rsidR="00040E25" w:rsidRPr="00040E25" w:rsidRDefault="00040E25" w:rsidP="00040E25">
      <w:pPr>
        <w:spacing w:after="120" w:line="240" w:lineRule="auto"/>
        <w:ind w:left="709" w:right="709"/>
        <w:jc w:val="both"/>
        <w:rPr>
          <w:rFonts w:ascii="Verdana" w:eastAsia="Calibri" w:hAnsi="Verdana" w:cs="Arial"/>
          <w:color w:val="000000" w:themeColor="text1"/>
          <w:sz w:val="20"/>
          <w:szCs w:val="20"/>
          <w:lang w:eastAsia="es-ES"/>
        </w:rPr>
      </w:pPr>
      <w:r w:rsidRPr="00040E25">
        <w:rPr>
          <w:rFonts w:ascii="Verdana" w:eastAsia="Calibri" w:hAnsi="Verdana" w:cs="Arial"/>
          <w:color w:val="000000" w:themeColor="text1"/>
          <w:sz w:val="20"/>
          <w:szCs w:val="20"/>
          <w:lang w:eastAsia="es-ES"/>
        </w:rPr>
        <w:t xml:space="preserve">“El Sistema General de Regalías constituye un régimen constitucional, legal y presupuestal especial. Sus recursos tienen destinación específica a proyectos de inversión y están sometidos a un ciclo reglado de formulación, viabilidad, registro, priorización, aprobación, ejecución, seguimiento, evaluación y control. </w:t>
      </w:r>
    </w:p>
    <w:p w14:paraId="6DEC74D1" w14:textId="77777777" w:rsidR="00040E25" w:rsidRPr="00040E25" w:rsidRDefault="00040E25" w:rsidP="00040E25">
      <w:pPr>
        <w:spacing w:after="120" w:line="240" w:lineRule="auto"/>
        <w:ind w:left="709" w:right="709"/>
        <w:jc w:val="both"/>
        <w:rPr>
          <w:rFonts w:ascii="Verdana" w:eastAsia="Calibri" w:hAnsi="Verdana" w:cs="Arial"/>
          <w:color w:val="000000" w:themeColor="text1"/>
          <w:sz w:val="20"/>
          <w:szCs w:val="20"/>
          <w:lang w:eastAsia="es-ES"/>
        </w:rPr>
      </w:pPr>
      <w:r w:rsidRPr="00040E25">
        <w:rPr>
          <w:rFonts w:ascii="Verdana" w:eastAsia="Calibri" w:hAnsi="Verdana" w:cs="Arial"/>
          <w:color w:val="000000" w:themeColor="text1"/>
          <w:sz w:val="20"/>
          <w:szCs w:val="20"/>
          <w:lang w:eastAsia="es-ES"/>
        </w:rPr>
        <w:t xml:space="preserve">En esa estructura, el artículo 37 de la Ley 2056 de 2020 regula la etapa de ejecución y asigna a la entidad ejecutora deberes cualificados de correcta ejecución, contratación de la interventoría, suministro y registro de información, verificación de requisitos legales y sujeción al Sistema de Seguimiento, Evaluación y Control. </w:t>
      </w:r>
    </w:p>
    <w:p w14:paraId="234A5E74" w14:textId="77777777" w:rsidR="00040E25" w:rsidRPr="00040E25" w:rsidRDefault="00040E25" w:rsidP="00040E25">
      <w:pPr>
        <w:spacing w:after="120" w:line="240" w:lineRule="auto"/>
        <w:ind w:left="709" w:right="709"/>
        <w:jc w:val="both"/>
        <w:rPr>
          <w:rFonts w:ascii="Verdana" w:eastAsia="Calibri" w:hAnsi="Verdana" w:cs="Arial"/>
          <w:color w:val="000000" w:themeColor="text1"/>
          <w:sz w:val="20"/>
          <w:szCs w:val="20"/>
          <w:lang w:eastAsia="es-ES"/>
        </w:rPr>
      </w:pPr>
      <w:r w:rsidRPr="00040E25">
        <w:rPr>
          <w:rFonts w:ascii="Verdana" w:eastAsia="Calibri" w:hAnsi="Verdana" w:cs="Arial"/>
          <w:color w:val="000000" w:themeColor="text1"/>
          <w:sz w:val="20"/>
          <w:szCs w:val="20"/>
          <w:lang w:eastAsia="es-ES"/>
        </w:rPr>
        <w:t xml:space="preserve">Cuando una universidad pública con régimen contractual especial […] es designada ejecutora de un proyecto financiado con recursos del Sistema General de Regalías, el régimen aplicable no se determina por su régimen contractual ordinario ni por la identidad del beneficiario final del bien, obra </w:t>
      </w:r>
      <w:r w:rsidRPr="00040E25">
        <w:rPr>
          <w:rFonts w:ascii="Verdana" w:eastAsia="Calibri" w:hAnsi="Verdana" w:cs="Arial"/>
          <w:color w:val="000000" w:themeColor="text1"/>
          <w:sz w:val="20"/>
          <w:szCs w:val="20"/>
          <w:lang w:eastAsia="es-ES"/>
        </w:rPr>
        <w:lastRenderedPageBreak/>
        <w:t xml:space="preserve">o servicio, sino por la fuente de financiación y por la regla especial que gobierna la ejecución de esos recursos, esto es el régimen de contratación pública. </w:t>
      </w:r>
    </w:p>
    <w:p w14:paraId="77165623" w14:textId="77777777" w:rsidR="00040E25" w:rsidRPr="00040E25" w:rsidRDefault="00040E25" w:rsidP="00040E25">
      <w:pPr>
        <w:spacing w:after="120" w:line="240" w:lineRule="auto"/>
        <w:ind w:left="709" w:right="709"/>
        <w:jc w:val="both"/>
        <w:rPr>
          <w:rFonts w:ascii="Verdana" w:eastAsia="Calibri" w:hAnsi="Verdana" w:cs="Arial"/>
          <w:color w:val="000000" w:themeColor="text1"/>
          <w:sz w:val="20"/>
          <w:szCs w:val="20"/>
          <w:lang w:eastAsia="es-ES"/>
        </w:rPr>
      </w:pPr>
      <w:r w:rsidRPr="00040E25">
        <w:rPr>
          <w:rFonts w:ascii="Verdana" w:eastAsia="Calibri" w:hAnsi="Verdana" w:cs="Arial"/>
          <w:color w:val="000000" w:themeColor="text1"/>
          <w:sz w:val="20"/>
          <w:szCs w:val="20"/>
          <w:lang w:eastAsia="es-ES"/>
        </w:rPr>
        <w:t xml:space="preserve">La designación del ejecutor es un acto administrativo unilateral expedido por la instancia competente del SGR, cuya finalidad no es celebrar un negocio jurídico con la entidad designada, sino asignarle la responsabilidad pública de ejecutar un proyecto previamente aprobado. De allí que la entidad ejecutora no administre recursos ordinarios propios ni pueda redefinir discrecionalmente el objeto del gasto, pues este ya se encuentra determinado por el proyecto aprobado, su presupuesto, sus actividades, productos, indicadores y soportes. </w:t>
      </w:r>
    </w:p>
    <w:p w14:paraId="2EF3804A" w14:textId="77777777" w:rsidR="00040E25" w:rsidRPr="00040E25" w:rsidRDefault="00040E25" w:rsidP="00040E25">
      <w:pPr>
        <w:spacing w:after="120" w:line="240" w:lineRule="auto"/>
        <w:ind w:left="709" w:right="709"/>
        <w:jc w:val="both"/>
        <w:rPr>
          <w:rFonts w:ascii="Verdana" w:eastAsia="Calibri" w:hAnsi="Verdana" w:cs="Arial"/>
          <w:color w:val="000000" w:themeColor="text1"/>
          <w:sz w:val="20"/>
          <w:szCs w:val="20"/>
          <w:lang w:eastAsia="es-ES"/>
        </w:rPr>
      </w:pPr>
      <w:r w:rsidRPr="00040E25">
        <w:rPr>
          <w:rFonts w:ascii="Verdana" w:eastAsia="Calibri" w:hAnsi="Verdana" w:cs="Arial"/>
          <w:color w:val="000000" w:themeColor="text1"/>
          <w:sz w:val="20"/>
          <w:szCs w:val="20"/>
          <w:lang w:eastAsia="es-ES"/>
        </w:rPr>
        <w:t xml:space="preserve">A partir de esa premisa, la expresión ‘estricta sujeción’ contenida en el parágrafo 1º del artículo 37 de la Ley 2056 de 2020 tiene un alcance normativo reforzado. La ejecución del proyecto debe adelantarse conforme al régimen presupuestal del SGR, al régimen de contratación pública y a las demás normas legales vigentes. Esa regla no opera como una remisión subsidiaria al régimen interno de la entidad ejecutora, sino como un mandato especial de sometimiento al régimen público que gobierna la ejecución de los recursos de regalías dada su especialidad. </w:t>
      </w:r>
    </w:p>
    <w:p w14:paraId="4E8D6F39" w14:textId="77777777" w:rsidR="00040E25" w:rsidRPr="00040E25" w:rsidRDefault="00040E25" w:rsidP="00040E25">
      <w:pPr>
        <w:spacing w:after="0" w:line="240" w:lineRule="auto"/>
        <w:ind w:left="709" w:right="709"/>
        <w:jc w:val="both"/>
        <w:rPr>
          <w:rFonts w:ascii="Verdana" w:eastAsia="Calibri" w:hAnsi="Verdana" w:cs="Arial"/>
          <w:color w:val="000000" w:themeColor="text1"/>
          <w:lang w:eastAsia="es-ES"/>
        </w:rPr>
      </w:pPr>
      <w:r w:rsidRPr="00040E25">
        <w:rPr>
          <w:rFonts w:ascii="Verdana" w:eastAsia="Calibri" w:hAnsi="Verdana" w:cs="Arial"/>
          <w:color w:val="000000" w:themeColor="text1"/>
          <w:sz w:val="20"/>
          <w:szCs w:val="20"/>
          <w:lang w:eastAsia="es-ES"/>
        </w:rPr>
        <w:t>La interpretación gramatical, sistemática, histórica, teleológica y de efecto útil desarrollada en el concepto permite concluir que, cuando el artículo 37 se refiere al régimen de contratación pública, remite al Estatuto General de Contratación de la Administración Pública y a sus normas reglamentarias y complementarias, especialmente cuando la ejecución del proyecto exige contratar con terceros”.</w:t>
      </w:r>
    </w:p>
    <w:p w14:paraId="22F0BD78" w14:textId="77777777" w:rsidR="00040E25" w:rsidRPr="00040E25" w:rsidRDefault="00040E25" w:rsidP="00040E25">
      <w:pPr>
        <w:spacing w:after="120" w:line="276" w:lineRule="auto"/>
        <w:jc w:val="both"/>
        <w:rPr>
          <w:rFonts w:ascii="Verdana" w:eastAsia="Calibri" w:hAnsi="Verdana" w:cs="Arial"/>
          <w:color w:val="000000" w:themeColor="text1"/>
          <w:lang w:eastAsia="es-ES"/>
        </w:rPr>
      </w:pPr>
    </w:p>
    <w:p w14:paraId="08A15D51" w14:textId="77777777" w:rsidR="00040E25" w:rsidRPr="00040E25" w:rsidRDefault="00040E25" w:rsidP="00040E25">
      <w:pPr>
        <w:spacing w:after="120" w:line="276" w:lineRule="auto"/>
        <w:ind w:firstLine="709"/>
        <w:jc w:val="both"/>
        <w:rPr>
          <w:rFonts w:ascii="Verdana" w:eastAsia="Calibri" w:hAnsi="Verdana" w:cs="Arial"/>
          <w:color w:val="000000" w:themeColor="text1"/>
          <w:lang w:eastAsia="es-ES"/>
        </w:rPr>
      </w:pPr>
      <w:r w:rsidRPr="00040E25">
        <w:rPr>
          <w:rFonts w:ascii="Verdana" w:eastAsia="Calibri" w:hAnsi="Verdana" w:cs="Arial"/>
          <w:color w:val="000000" w:themeColor="text1"/>
          <w:lang w:eastAsia="es-ES"/>
        </w:rPr>
        <w:t xml:space="preserve">Si bien la Sala de Consulta y Servicio Civil realizó el análisis respecto de una Universidad Pública, la conclusión expuesta no varía tratándose de otras entidades estatales que cuentan con régimen especial. En efecto, el problema jurídico planteado en el concepto está orientado a determinar cuál es el régimen jurídico aplicable a la contratación que debe adelantar una entidad sometida a un régimen especial o exceptuado cuando es designada como ejecutora de un proyecto financiado con recursos del SGR. De este modo, las consideraciones jurídicas desarrolladas por la Sala resultan aplicables, por analogía, a aquellos supuestos en los que una entidad estatal sometida a un régimen especial de contratación es designada como ejecutora de recursos del SGR. </w:t>
      </w:r>
    </w:p>
    <w:p w14:paraId="3185B329" w14:textId="77777777" w:rsidR="00040E25" w:rsidRPr="00040E25" w:rsidRDefault="00040E25" w:rsidP="00040E25">
      <w:pPr>
        <w:spacing w:after="120" w:line="276" w:lineRule="auto"/>
        <w:ind w:firstLine="709"/>
        <w:jc w:val="both"/>
        <w:rPr>
          <w:rFonts w:ascii="Verdana" w:eastAsia="Calibri" w:hAnsi="Verdana" w:cs="Arial"/>
          <w:color w:val="000000" w:themeColor="text1"/>
          <w:lang w:eastAsia="es-ES"/>
        </w:rPr>
      </w:pPr>
      <w:r w:rsidRPr="00040E25">
        <w:rPr>
          <w:rFonts w:ascii="Verdana" w:eastAsia="Calibri" w:hAnsi="Verdana" w:cs="Arial"/>
          <w:color w:val="000000" w:themeColor="text1"/>
          <w:lang w:eastAsia="es-ES"/>
        </w:rPr>
        <w:t xml:space="preserve">Asimismo, resulta indispensable precisar que la remisión al EGCAP de la ejecución de los proyectos financiados con recursos de regalías no implica una alteración estructural del régimen especial de las entidades ejecutoras ni </w:t>
      </w:r>
      <w:r w:rsidRPr="00040E25">
        <w:rPr>
          <w:rFonts w:ascii="Verdana" w:eastAsia="Calibri" w:hAnsi="Verdana" w:cs="Arial"/>
          <w:color w:val="000000" w:themeColor="text1"/>
          <w:lang w:eastAsia="es-ES"/>
        </w:rPr>
        <w:lastRenderedPageBreak/>
        <w:t xml:space="preserve">desconoce las normas que lo regulan. Tal y como se ha señalado, la interpretación literal, sistemática y teleológica de la norma, armonizada con el principio general del </w:t>
      </w:r>
      <w:r w:rsidRPr="00040E25">
        <w:rPr>
          <w:rFonts w:ascii="Verdana" w:eastAsia="Calibri" w:hAnsi="Verdana" w:cs="Arial"/>
          <w:i/>
          <w:iCs/>
          <w:color w:val="000000" w:themeColor="text1"/>
          <w:lang w:eastAsia="es-ES"/>
        </w:rPr>
        <w:t>efecto útil</w:t>
      </w:r>
      <w:r w:rsidRPr="00040E25">
        <w:rPr>
          <w:rFonts w:ascii="Verdana" w:eastAsia="Calibri" w:hAnsi="Verdana" w:cs="Arial"/>
          <w:color w:val="000000" w:themeColor="text1"/>
          <w:lang w:eastAsia="es-ES"/>
        </w:rPr>
        <w:t xml:space="preserve">, conduce a concluir que cuando estas entidades actúan en calidad de ejecutoras en el marco de la Ley 2056 de 2020, deben sujetarse al EGCAP. De hecho, así fue expuesto en el Concepto C-504 del 1 de octubre de 2024, en el cual se indicó que ello “no </w:t>
      </w:r>
      <w:r w:rsidRPr="00040E25">
        <w:rPr>
          <w:rFonts w:ascii="Verdana" w:hAnsi="Verdana" w:cs="Arial"/>
          <w:color w:val="000000"/>
          <w:bdr w:val="none" w:sz="0" w:space="0" w:color="auto" w:frame="1"/>
          <w:lang w:val="es-MX"/>
        </w:rPr>
        <w:t xml:space="preserve">implica que la designación para la ejecución de proyectos financiados con recursos del Sistema General de Regalías mute a perpetuidad o de manera general el régimen contractual de las entidades estatales ejecutoras sometidas a regímenes especiales de contratación, en la medida en que, mientras sigan vigentes las disposiciones legales que contemplan tales regímenes exceptuados, dichas entidades podrán seguir aplicándolos para la contratación no relacionada con la ejecución de los proyectos a los que se refieren los artículos 35 y 36 de la Ley 2056 de 2020”.  </w:t>
      </w:r>
    </w:p>
    <w:p w14:paraId="7136F15A" w14:textId="77777777" w:rsidR="00040E25" w:rsidRPr="00040E25" w:rsidRDefault="00040E25" w:rsidP="00040E25">
      <w:pPr>
        <w:spacing w:after="120" w:line="276" w:lineRule="auto"/>
        <w:ind w:firstLine="709"/>
        <w:jc w:val="both"/>
        <w:rPr>
          <w:rFonts w:ascii="Verdana" w:eastAsia="Calibri" w:hAnsi="Verdana" w:cs="Arial"/>
          <w:color w:val="000000" w:themeColor="text1"/>
          <w:lang w:eastAsia="es-ES"/>
        </w:rPr>
      </w:pPr>
      <w:r w:rsidRPr="00040E25">
        <w:rPr>
          <w:rFonts w:ascii="Verdana" w:eastAsia="Calibri" w:hAnsi="Verdana" w:cs="Arial"/>
          <w:color w:val="000000" w:themeColor="text1"/>
          <w:lang w:eastAsia="es-ES"/>
        </w:rPr>
        <w:t>Este régimen particular no sustituye ni deroga el régimen especial de contratación al que está sujeta la entidad ejecutora, pero sí superpone válidamente un conjunto de reglas especiales aplicables de manera preferente respecto de los contratos financiados con recursos de regalías, porque la Ley 2056 de 2020 contiene disposiciones específicas que regulan un aspecto puntual. En ese contexto, la remisión al régimen de contratación pública contenida en el artículo 37, y reiterada en otras disposiciones de la ley, despliega un efecto de aplicación preferente, no solo por su especialidad temática, sino también por su carácter imperativo y por estar dirigida a una función específica que es la ejecución de proyectos con recursos de regalías.</w:t>
      </w:r>
    </w:p>
    <w:p w14:paraId="63D5F225" w14:textId="77777777" w:rsidR="00040E25" w:rsidRPr="00040E25" w:rsidRDefault="00040E25" w:rsidP="00040E25">
      <w:pPr>
        <w:spacing w:after="120" w:line="276" w:lineRule="auto"/>
        <w:ind w:firstLine="709"/>
        <w:jc w:val="both"/>
        <w:rPr>
          <w:rFonts w:ascii="Verdana" w:eastAsia="Calibri" w:hAnsi="Verdana" w:cs="Arial"/>
          <w:color w:val="000000" w:themeColor="text1"/>
          <w:lang w:eastAsia="es-ES"/>
        </w:rPr>
      </w:pPr>
      <w:r w:rsidRPr="00040E25">
        <w:rPr>
          <w:rFonts w:ascii="Verdana" w:eastAsia="Calibri" w:hAnsi="Verdana" w:cs="Arial"/>
          <w:color w:val="000000" w:themeColor="text1"/>
          <w:lang w:eastAsia="es-ES"/>
        </w:rPr>
        <w:t xml:space="preserve">Sobre el particular, resulta importante destacar lo señalado por la Sala de Consulta y Servicio Civil del Consejo de Estado en el concepto referido: </w:t>
      </w:r>
    </w:p>
    <w:p w14:paraId="21B75760" w14:textId="77777777" w:rsidR="00040E25" w:rsidRPr="00040E25" w:rsidRDefault="00040E25" w:rsidP="00040E25">
      <w:pPr>
        <w:spacing w:after="0" w:line="240" w:lineRule="auto"/>
        <w:ind w:firstLine="709"/>
        <w:jc w:val="both"/>
        <w:rPr>
          <w:rFonts w:ascii="Verdana" w:eastAsia="Calibri" w:hAnsi="Verdana" w:cs="Arial"/>
          <w:color w:val="000000" w:themeColor="text1"/>
          <w:lang w:eastAsia="es-ES"/>
        </w:rPr>
      </w:pPr>
    </w:p>
    <w:p w14:paraId="119FC0DD" w14:textId="77777777" w:rsidR="00040E25" w:rsidRPr="00040E25" w:rsidRDefault="00040E25" w:rsidP="00040E25">
      <w:pPr>
        <w:spacing w:after="120" w:line="240" w:lineRule="auto"/>
        <w:ind w:left="709" w:right="709"/>
        <w:jc w:val="both"/>
        <w:rPr>
          <w:rFonts w:ascii="Verdana" w:eastAsia="Calibri" w:hAnsi="Verdana" w:cs="Arial"/>
          <w:i/>
          <w:iCs/>
          <w:color w:val="000000" w:themeColor="text1"/>
          <w:sz w:val="20"/>
          <w:szCs w:val="20"/>
          <w:lang w:eastAsia="es-ES"/>
        </w:rPr>
      </w:pPr>
      <w:r w:rsidRPr="00040E25">
        <w:rPr>
          <w:rFonts w:ascii="Verdana" w:eastAsia="Calibri" w:hAnsi="Verdana" w:cs="Arial"/>
          <w:color w:val="000000" w:themeColor="text1"/>
          <w:sz w:val="20"/>
          <w:szCs w:val="20"/>
          <w:lang w:eastAsia="es-ES"/>
        </w:rPr>
        <w:t xml:space="preserve">“El Estatuto General de Contratación de la Administración Pública rige los contratos de las entidades estatales, sin perjuicio de la existencia de regímenes especiales autorizados por la Constitución o por la ley. La jurisprudencia constitucional y administrativa citada </w:t>
      </w:r>
      <w:proofErr w:type="gramStart"/>
      <w:r w:rsidRPr="00040E25">
        <w:rPr>
          <w:rFonts w:ascii="Verdana" w:eastAsia="Calibri" w:hAnsi="Verdana" w:cs="Arial"/>
          <w:i/>
          <w:iCs/>
          <w:color w:val="000000" w:themeColor="text1"/>
          <w:sz w:val="20"/>
          <w:szCs w:val="20"/>
          <w:lang w:eastAsia="es-ES"/>
        </w:rPr>
        <w:t>in extenso</w:t>
      </w:r>
      <w:proofErr w:type="gramEnd"/>
      <w:r w:rsidRPr="00040E25">
        <w:rPr>
          <w:rFonts w:ascii="Verdana" w:eastAsia="Calibri" w:hAnsi="Verdana" w:cs="Arial"/>
          <w:color w:val="000000" w:themeColor="text1"/>
          <w:sz w:val="20"/>
          <w:szCs w:val="20"/>
          <w:lang w:eastAsia="es-ES"/>
        </w:rPr>
        <w:t xml:space="preserve"> en este concepto, ha reconocido que ciertos sectores cuentan con un régimen especial, entre ellos las universidades estatales u oficiales, </w:t>
      </w:r>
      <w:r w:rsidRPr="00040E25">
        <w:rPr>
          <w:rFonts w:ascii="Verdana" w:eastAsia="Calibri" w:hAnsi="Verdana" w:cs="Arial"/>
          <w:i/>
          <w:iCs/>
          <w:color w:val="000000" w:themeColor="text1"/>
          <w:sz w:val="20"/>
          <w:szCs w:val="20"/>
          <w:lang w:eastAsia="es-ES"/>
        </w:rPr>
        <w:t>lo cual no implica que la entidad quede blindada frente a cualquier norma especial o posterior que, para una actividad concreta, imponga reglas diferentes.</w:t>
      </w:r>
    </w:p>
    <w:p w14:paraId="38B6A099" w14:textId="77777777" w:rsidR="00040E25" w:rsidRPr="00040E25" w:rsidRDefault="00040E25" w:rsidP="00040E25">
      <w:pPr>
        <w:spacing w:after="120" w:line="240" w:lineRule="auto"/>
        <w:ind w:left="709" w:right="709"/>
        <w:jc w:val="both"/>
        <w:rPr>
          <w:rFonts w:ascii="Verdana" w:eastAsia="Calibri" w:hAnsi="Verdana" w:cs="Arial"/>
          <w:color w:val="000000" w:themeColor="text1"/>
          <w:sz w:val="20"/>
          <w:szCs w:val="20"/>
          <w:lang w:eastAsia="es-ES"/>
        </w:rPr>
      </w:pPr>
      <w:r w:rsidRPr="00040E25">
        <w:rPr>
          <w:rFonts w:ascii="Verdana" w:eastAsia="Calibri" w:hAnsi="Verdana" w:cs="Arial"/>
          <w:color w:val="000000" w:themeColor="text1"/>
          <w:sz w:val="20"/>
          <w:szCs w:val="20"/>
          <w:lang w:eastAsia="es-ES"/>
        </w:rPr>
        <w:t xml:space="preserve">En ese sentido, una entidad puede tener, en su actividad ordinaria, un régimen especial de contratación, y sin embargo quedar sometida al </w:t>
      </w:r>
      <w:r w:rsidRPr="00040E25">
        <w:rPr>
          <w:rFonts w:ascii="Verdana" w:eastAsia="Calibri" w:hAnsi="Verdana" w:cs="Arial"/>
          <w:color w:val="000000" w:themeColor="text1"/>
          <w:sz w:val="20"/>
          <w:szCs w:val="20"/>
          <w:lang w:eastAsia="es-ES"/>
        </w:rPr>
        <w:lastRenderedPageBreak/>
        <w:t>Estatuto General para una materia específica en la que una ley posterior y especial así lo disponga”. (Énfasis pro fuera de texto)</w:t>
      </w:r>
    </w:p>
    <w:p w14:paraId="513BDDE8" w14:textId="77777777" w:rsidR="00040E25" w:rsidRPr="00040E25" w:rsidRDefault="00040E25" w:rsidP="00040E25">
      <w:pPr>
        <w:spacing w:after="0" w:line="276" w:lineRule="auto"/>
        <w:ind w:firstLine="709"/>
        <w:jc w:val="both"/>
        <w:rPr>
          <w:rFonts w:ascii="Verdana" w:eastAsia="Calibri" w:hAnsi="Verdana" w:cs="Arial"/>
          <w:color w:val="000000" w:themeColor="text1"/>
          <w:lang w:eastAsia="es-ES"/>
        </w:rPr>
      </w:pPr>
    </w:p>
    <w:p w14:paraId="00BCDC56" w14:textId="77777777" w:rsidR="00040E25" w:rsidRPr="00040E25" w:rsidRDefault="00040E25" w:rsidP="00040E25">
      <w:pPr>
        <w:spacing w:after="120" w:line="276" w:lineRule="auto"/>
        <w:ind w:firstLine="709"/>
        <w:jc w:val="both"/>
        <w:rPr>
          <w:rFonts w:ascii="Verdana" w:eastAsia="Calibri" w:hAnsi="Verdana" w:cs="Arial"/>
          <w:color w:val="000000" w:themeColor="text1"/>
          <w:lang w:eastAsia="es-ES"/>
        </w:rPr>
      </w:pPr>
      <w:r w:rsidRPr="00040E25">
        <w:rPr>
          <w:rFonts w:ascii="Verdana" w:eastAsia="Calibri" w:hAnsi="Verdana" w:cs="Arial"/>
          <w:color w:val="000000" w:themeColor="text1"/>
          <w:lang w:eastAsia="es-ES"/>
        </w:rPr>
        <w:t xml:space="preserve">Así las cosas, debido a que la remisión normativa del artículo 37 de la Ley 2056 de 2020 no es una mera referencia </w:t>
      </w:r>
      <w:proofErr w:type="gramStart"/>
      <w:r w:rsidRPr="00040E25">
        <w:rPr>
          <w:rFonts w:ascii="Verdana" w:eastAsia="Calibri" w:hAnsi="Verdana" w:cs="Arial"/>
          <w:color w:val="000000" w:themeColor="text1"/>
          <w:lang w:eastAsia="es-ES"/>
        </w:rPr>
        <w:t>indicativa</w:t>
      </w:r>
      <w:proofErr w:type="gramEnd"/>
      <w:r w:rsidRPr="00040E25">
        <w:rPr>
          <w:rFonts w:ascii="Verdana" w:eastAsia="Calibri" w:hAnsi="Verdana" w:cs="Arial"/>
          <w:color w:val="000000" w:themeColor="text1"/>
          <w:lang w:eastAsia="es-ES"/>
        </w:rPr>
        <w:t xml:space="preserve"> sino que tiene pleno efectos jurídicos, impone la aplicación de régimen de contratación específico en virtud del principio de especialidad y de legalidad. Es decir, mientras actúan como ejecutoras del SGR, dichas entidades deben sujetarse al régimen previsto en la Ley 2056 de 2020, incluyendo su remisión expresa al EGCAP, sin que ello implique una derogatoria general de su régimen contractual ordinario. Por consiguiente, “toda entidad designada ejecutora – </w:t>
      </w:r>
      <w:r w:rsidRPr="00040E25">
        <w:rPr>
          <w:rFonts w:ascii="Verdana" w:eastAsia="Calibri" w:hAnsi="Verdana" w:cs="Arial"/>
          <w:i/>
          <w:iCs/>
          <w:color w:val="000000" w:themeColor="text1"/>
          <w:lang w:eastAsia="es-ES"/>
        </w:rPr>
        <w:t>con independencia de su régimen ordinario de contratación</w:t>
      </w:r>
      <w:r w:rsidRPr="00040E25">
        <w:rPr>
          <w:rFonts w:ascii="Verdana" w:eastAsia="Calibri" w:hAnsi="Verdana" w:cs="Arial"/>
          <w:color w:val="000000" w:themeColor="text1"/>
          <w:lang w:eastAsia="es-ES"/>
        </w:rPr>
        <w:t xml:space="preserve"> – debe aplica el EGCAG para los contratos que celebre en desarrollo del respectivo proyecto de inversión</w:t>
      </w:r>
      <w:r w:rsidRPr="00040E25">
        <w:rPr>
          <w:rFonts w:ascii="Verdana" w:eastAsia="Calibri" w:hAnsi="Verdana" w:cs="Arial"/>
          <w:color w:val="000000" w:themeColor="text1"/>
          <w:vertAlign w:val="superscript"/>
          <w:lang w:eastAsia="es-ES"/>
        </w:rPr>
        <w:footnoteReference w:id="10"/>
      </w:r>
      <w:r w:rsidRPr="00040E25">
        <w:rPr>
          <w:rFonts w:ascii="Verdana" w:eastAsia="Calibri" w:hAnsi="Verdana" w:cs="Arial"/>
          <w:color w:val="000000" w:themeColor="text1"/>
          <w:lang w:eastAsia="es-ES"/>
        </w:rPr>
        <w:t xml:space="preserve">” (Énfasis por fuera de texto). </w:t>
      </w:r>
    </w:p>
    <w:p w14:paraId="685D748E" w14:textId="77777777" w:rsidR="00040E25" w:rsidRPr="00040E25" w:rsidRDefault="00040E25" w:rsidP="00040E25">
      <w:pPr>
        <w:spacing w:after="120" w:line="276" w:lineRule="auto"/>
        <w:jc w:val="both"/>
        <w:rPr>
          <w:rFonts w:ascii="Verdana" w:hAnsi="Verdana" w:cs="Arial"/>
          <w:lang w:eastAsia="es-ES"/>
        </w:rPr>
      </w:pPr>
      <w:proofErr w:type="spellStart"/>
      <w:r w:rsidRPr="00040E25">
        <w:rPr>
          <w:rFonts w:ascii="Verdana" w:hAnsi="Verdana" w:cs="Arial"/>
          <w:lang w:eastAsia="es-ES"/>
        </w:rPr>
        <w:t>ii</w:t>
      </w:r>
      <w:proofErr w:type="spellEnd"/>
      <w:r w:rsidRPr="00040E25">
        <w:rPr>
          <w:rFonts w:ascii="Verdana" w:hAnsi="Verdana" w:cs="Arial"/>
          <w:lang w:eastAsia="es-ES"/>
        </w:rPr>
        <w:t>. Ahora bien, respecto de los proyectos de inversión en los que concurran recursos de cooperación internacional y recursos del SGR, surge la inquietud acerca de la posibilidad de aplicar lo dispuesto en el artículo 20 de la Ley 1150 de 2007, particularmente en lo relacionado con la aplicación de los reglamentos de los organismos internacionales que aporten dichos recursos.</w:t>
      </w:r>
    </w:p>
    <w:p w14:paraId="644D56F5" w14:textId="77777777" w:rsidR="00040E25" w:rsidRPr="00040E25" w:rsidRDefault="00040E25" w:rsidP="00040E25">
      <w:pPr>
        <w:spacing w:before="120" w:after="120" w:line="276" w:lineRule="auto"/>
        <w:ind w:firstLine="709"/>
        <w:jc w:val="both"/>
        <w:rPr>
          <w:rFonts w:ascii="Verdana" w:eastAsia="Calibri" w:hAnsi="Verdana" w:cs="Arial"/>
          <w:lang w:val="es-ES"/>
        </w:rPr>
      </w:pPr>
      <w:r w:rsidRPr="00040E25">
        <w:rPr>
          <w:rFonts w:ascii="Verdana" w:eastAsia="Calibri" w:hAnsi="Verdana" w:cs="Arial"/>
          <w:lang w:val="es-ES"/>
        </w:rPr>
        <w:t>Para comprender el alcance del régimen aplicable a los contratos o convenios que se suscriban con organismos internacionales, de acuerdo con la financiación de estos, resulta necesario analizar el artículo 20 de la Ley 1150 de 2007</w:t>
      </w:r>
      <w:r w:rsidRPr="00040E25">
        <w:rPr>
          <w:rFonts w:ascii="Verdana" w:eastAsia="Calibri" w:hAnsi="Verdana" w:cs="Arial"/>
          <w:vertAlign w:val="superscript"/>
        </w:rPr>
        <w:footnoteReference w:id="11"/>
      </w:r>
      <w:r w:rsidRPr="00040E25">
        <w:rPr>
          <w:rFonts w:ascii="Verdana" w:eastAsia="Calibri" w:hAnsi="Verdana" w:cs="Arial"/>
          <w:lang w:val="es-ES"/>
        </w:rPr>
        <w:t xml:space="preserve">. De conformidad con este artículo, en lo que tiene que ver con el </w:t>
      </w:r>
      <w:r w:rsidRPr="00040E25">
        <w:rPr>
          <w:rFonts w:ascii="Verdana" w:eastAsia="Calibri" w:hAnsi="Verdana" w:cs="Arial"/>
          <w:i/>
          <w:lang w:val="es-ES"/>
        </w:rPr>
        <w:t xml:space="preserve">inciso </w:t>
      </w:r>
      <w:r w:rsidRPr="00040E25">
        <w:rPr>
          <w:rFonts w:ascii="Verdana" w:eastAsia="Calibri" w:hAnsi="Verdana" w:cs="Arial"/>
          <w:i/>
          <w:lang w:val="es-ES"/>
        </w:rPr>
        <w:lastRenderedPageBreak/>
        <w:t>primero</w:t>
      </w:r>
      <w:r w:rsidRPr="00040E25">
        <w:rPr>
          <w:rFonts w:ascii="Verdana" w:eastAsia="Calibri" w:hAnsi="Verdana" w:cs="Arial"/>
          <w:lang w:val="es-ES"/>
        </w:rPr>
        <w:t xml:space="preserve">,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 </w:t>
      </w:r>
    </w:p>
    <w:p w14:paraId="060DE57A" w14:textId="77777777" w:rsidR="00040E25" w:rsidRPr="00040E25" w:rsidRDefault="00040E25" w:rsidP="00040E25">
      <w:pPr>
        <w:spacing w:after="120" w:line="276" w:lineRule="auto"/>
        <w:ind w:firstLine="709"/>
        <w:jc w:val="both"/>
        <w:rPr>
          <w:rFonts w:ascii="Verdana" w:hAnsi="Verdana" w:cs="Arial"/>
        </w:rPr>
      </w:pPr>
      <w:r w:rsidRPr="00040E25">
        <w:rPr>
          <w:rFonts w:ascii="Verdana" w:eastAsia="Calibri" w:hAnsi="Verdana" w:cs="Arial"/>
          <w:lang w:val="es-ES"/>
        </w:rPr>
        <w:t>Conviene mencionar que dentro de la ejecución del contrato o convenio pueden presentarse situaciones en las que el porcentaje de los aportes sea modificado, en virtud de su adición o no ejecución en los términos pactados. Previendo este escenario, el artículo 2.2.1.2.4.4.1 del Decreto 1082 de 2015 dispuso que se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040E25">
        <w:rPr>
          <w:rFonts w:ascii="Verdana" w:eastAsia="Calibri" w:hAnsi="Verdana" w:cs="Arial"/>
          <w:vertAlign w:val="superscript"/>
        </w:rPr>
        <w:footnoteReference w:id="12"/>
      </w:r>
      <w:r w:rsidRPr="00040E25">
        <w:rPr>
          <w:rFonts w:ascii="Verdana" w:eastAsia="Calibri" w:hAnsi="Verdana" w:cs="Arial"/>
          <w:lang w:val="es-ES"/>
        </w:rPr>
        <w:t xml:space="preserve">. Así las cosas, la entidad contratante debe realizar un constante </w:t>
      </w:r>
      <w:r w:rsidRPr="00040E25">
        <w:rPr>
          <w:rFonts w:ascii="Verdana" w:eastAsia="Calibri" w:hAnsi="Verdana" w:cs="Arial"/>
          <w:lang w:val="es-ES"/>
        </w:rPr>
        <w:lastRenderedPageBreak/>
        <w:t>monitoreo respecto de los aportes de cada una de las partes para determinar si se debe realizar un ajuste frente al régimen aplicable, esto es, en relación con los contratos regulados en el inciso primero del artículo 20 de la Ley 1150 de 2007</w:t>
      </w:r>
      <w:r w:rsidRPr="00040E25">
        <w:rPr>
          <w:rFonts w:ascii="Verdana" w:hAnsi="Verdana" w:cs="Arial"/>
        </w:rPr>
        <w:t xml:space="preserve">. </w:t>
      </w:r>
    </w:p>
    <w:p w14:paraId="5E291F15" w14:textId="77777777" w:rsidR="00040E25" w:rsidRPr="00040E25" w:rsidRDefault="00040E25" w:rsidP="00040E25">
      <w:pPr>
        <w:spacing w:before="120" w:after="0" w:line="276" w:lineRule="auto"/>
        <w:ind w:firstLine="709"/>
        <w:jc w:val="both"/>
        <w:rPr>
          <w:rFonts w:ascii="Verdana" w:eastAsia="Calibri" w:hAnsi="Verdana" w:cs="Arial"/>
          <w:lang w:val="es-ES"/>
        </w:rPr>
      </w:pPr>
      <w:r w:rsidRPr="00040E25">
        <w:rPr>
          <w:rFonts w:ascii="Verdana" w:eastAsia="Calibri" w:hAnsi="Verdana" w:cs="Arial"/>
          <w:lang w:val="es-ES"/>
        </w:rPr>
        <w:t xml:space="preserve">Por otro lado, la norma establece un criterio adicional en el </w:t>
      </w:r>
      <w:r w:rsidRPr="00040E25">
        <w:rPr>
          <w:rFonts w:ascii="Verdana" w:eastAsia="Calibri" w:hAnsi="Verdana" w:cs="Arial"/>
          <w:i/>
          <w:lang w:val="es-ES"/>
        </w:rPr>
        <w:t>inciso segundo,</w:t>
      </w:r>
      <w:r w:rsidRPr="00040E25">
        <w:rPr>
          <w:rFonts w:ascii="Verdana" w:eastAsia="Calibri" w:hAnsi="Verdana" w:cs="Arial"/>
          <w:lang w:val="es-ES"/>
        </w:rPr>
        <w:t xml:space="preserve"> para determinar la posible aplicación de los reglamentos de los organismos internacionales. Este segundo criterio depende del objeto del convenio o contrato a celebrar con personas extranjeras de derecho público u organismos de derecho internacional, de manera que en dichos casos puede pactarse el sometimiento a los reglamentos de estas entidades. En tal sentido, los supuestos en que es posible someter el régimen contractual a los reglamentos de los organismos internacionales son los siguientes: </w:t>
      </w:r>
    </w:p>
    <w:p w14:paraId="6A9A5772" w14:textId="77777777" w:rsidR="00040E25" w:rsidRPr="00040E25" w:rsidRDefault="00040E25" w:rsidP="00040E25">
      <w:pPr>
        <w:spacing w:after="0" w:line="276" w:lineRule="auto"/>
        <w:ind w:firstLine="709"/>
        <w:jc w:val="both"/>
        <w:rPr>
          <w:rFonts w:ascii="Verdana" w:eastAsia="Calibri" w:hAnsi="Verdana" w:cs="Arial"/>
          <w:lang w:val="es-ES"/>
        </w:rPr>
      </w:pPr>
    </w:p>
    <w:p w14:paraId="3E19A30E" w14:textId="77777777" w:rsidR="00040E25" w:rsidRPr="00040E25" w:rsidRDefault="00040E25" w:rsidP="00040E25">
      <w:pPr>
        <w:numPr>
          <w:ilvl w:val="0"/>
          <w:numId w:val="40"/>
        </w:numPr>
        <w:spacing w:after="200" w:line="240" w:lineRule="auto"/>
        <w:ind w:left="851" w:right="709" w:hanging="142"/>
        <w:contextualSpacing/>
        <w:jc w:val="both"/>
        <w:rPr>
          <w:rFonts w:ascii="Verdana" w:eastAsia="Calibri" w:hAnsi="Verdana" w:cs="Arial"/>
          <w:sz w:val="21"/>
          <w:szCs w:val="21"/>
          <w:lang w:val="es-ES"/>
        </w:rPr>
      </w:pPr>
      <w:r w:rsidRPr="00040E25">
        <w:rPr>
          <w:rFonts w:ascii="Verdana" w:eastAsia="Calibri" w:hAnsi="Verdana" w:cs="Arial"/>
          <w:sz w:val="21"/>
          <w:szCs w:val="21"/>
          <w:lang w:val="es-MX"/>
        </w:rPr>
        <w:t xml:space="preserve">Desarrollo de programas de promoción, prevención y atención en salud. </w:t>
      </w:r>
    </w:p>
    <w:p w14:paraId="7891267A" w14:textId="77777777" w:rsidR="00040E25" w:rsidRPr="00040E25" w:rsidRDefault="00040E25" w:rsidP="00040E25">
      <w:pPr>
        <w:numPr>
          <w:ilvl w:val="0"/>
          <w:numId w:val="40"/>
        </w:numPr>
        <w:spacing w:after="0" w:line="240" w:lineRule="auto"/>
        <w:ind w:left="851" w:right="709" w:hanging="142"/>
        <w:contextualSpacing/>
        <w:jc w:val="both"/>
        <w:rPr>
          <w:rFonts w:ascii="Verdana" w:hAnsi="Verdana" w:cs="Arial"/>
          <w:sz w:val="21"/>
          <w:szCs w:val="21"/>
          <w:lang w:val="es-MX"/>
        </w:rPr>
      </w:pPr>
      <w:r w:rsidRPr="00040E25">
        <w:rPr>
          <w:rFonts w:ascii="Verdana" w:hAnsi="Verdana" w:cs="Arial"/>
          <w:sz w:val="21"/>
          <w:szCs w:val="21"/>
          <w:lang w:val="es-MX"/>
        </w:rPr>
        <w:t>Contratos y convenios necesarios para la operación de la OIT.</w:t>
      </w:r>
    </w:p>
    <w:p w14:paraId="737E00B7" w14:textId="77777777" w:rsidR="00040E25" w:rsidRPr="00040E25" w:rsidRDefault="00040E25" w:rsidP="00040E25">
      <w:pPr>
        <w:numPr>
          <w:ilvl w:val="0"/>
          <w:numId w:val="40"/>
        </w:numPr>
        <w:spacing w:after="0" w:line="240" w:lineRule="auto"/>
        <w:ind w:left="851" w:right="709" w:hanging="142"/>
        <w:contextualSpacing/>
        <w:jc w:val="both"/>
        <w:rPr>
          <w:rFonts w:ascii="Verdana" w:hAnsi="Verdana" w:cs="Arial"/>
          <w:sz w:val="21"/>
          <w:szCs w:val="21"/>
          <w:lang w:val="es-MX"/>
        </w:rPr>
      </w:pPr>
      <w:r w:rsidRPr="00040E25">
        <w:rPr>
          <w:rFonts w:ascii="Verdana" w:hAnsi="Verdana" w:cs="Arial"/>
          <w:sz w:val="21"/>
          <w:szCs w:val="21"/>
          <w:lang w:val="es-MX"/>
        </w:rPr>
        <w:t>Contratos y convenios que se ejecuten en desarrollo del sistema integrado de monitoreo de cultivos ilícitos.</w:t>
      </w:r>
    </w:p>
    <w:p w14:paraId="43EE69FC" w14:textId="77777777" w:rsidR="00040E25" w:rsidRPr="00040E25" w:rsidRDefault="00040E25" w:rsidP="00040E25">
      <w:pPr>
        <w:numPr>
          <w:ilvl w:val="0"/>
          <w:numId w:val="40"/>
        </w:numPr>
        <w:spacing w:after="0" w:line="240" w:lineRule="auto"/>
        <w:ind w:left="851" w:right="709" w:hanging="142"/>
        <w:contextualSpacing/>
        <w:jc w:val="both"/>
        <w:rPr>
          <w:rFonts w:ascii="Verdana" w:hAnsi="Verdana" w:cs="Arial"/>
          <w:sz w:val="21"/>
          <w:szCs w:val="21"/>
          <w:lang w:val="es-MX"/>
        </w:rPr>
      </w:pPr>
      <w:r w:rsidRPr="00040E25">
        <w:rPr>
          <w:rFonts w:ascii="Verdana" w:hAnsi="Verdana" w:cs="Arial"/>
          <w:sz w:val="21"/>
          <w:szCs w:val="21"/>
          <w:lang w:val="es-MX"/>
        </w:rPr>
        <w:t>Contratos y convenios para la operación del programa mundial de alimentos.</w:t>
      </w:r>
    </w:p>
    <w:p w14:paraId="2C64CBFA" w14:textId="77777777" w:rsidR="00040E25" w:rsidRPr="00040E25" w:rsidRDefault="00040E25" w:rsidP="00040E25">
      <w:pPr>
        <w:numPr>
          <w:ilvl w:val="0"/>
          <w:numId w:val="40"/>
        </w:numPr>
        <w:spacing w:after="0" w:line="240" w:lineRule="auto"/>
        <w:ind w:left="851" w:right="709" w:hanging="142"/>
        <w:contextualSpacing/>
        <w:jc w:val="both"/>
        <w:rPr>
          <w:rFonts w:ascii="Verdana" w:hAnsi="Verdana" w:cs="Arial"/>
          <w:sz w:val="21"/>
          <w:szCs w:val="21"/>
          <w:lang w:val="es-MX"/>
        </w:rPr>
      </w:pPr>
      <w:r w:rsidRPr="00040E25">
        <w:rPr>
          <w:rFonts w:ascii="Verdana" w:hAnsi="Verdana" w:cs="Arial"/>
          <w:sz w:val="21"/>
          <w:szCs w:val="21"/>
          <w:lang w:val="es-MX"/>
        </w:rPr>
        <w:t>Contratos y convenios para el desarrollo de programas de apoyo educativo a población desplazada y vulnerable adelantados por la Unesco y la OIM.</w:t>
      </w:r>
    </w:p>
    <w:p w14:paraId="31F21116" w14:textId="77777777" w:rsidR="00040E25" w:rsidRPr="00040E25" w:rsidRDefault="00040E25" w:rsidP="00040E25">
      <w:pPr>
        <w:numPr>
          <w:ilvl w:val="0"/>
          <w:numId w:val="40"/>
        </w:numPr>
        <w:spacing w:after="0" w:line="240" w:lineRule="auto"/>
        <w:ind w:left="851" w:right="709" w:hanging="142"/>
        <w:contextualSpacing/>
        <w:jc w:val="both"/>
        <w:rPr>
          <w:rFonts w:ascii="Verdana" w:hAnsi="Verdana" w:cs="Arial"/>
          <w:lang w:val="es-MX"/>
        </w:rPr>
      </w:pPr>
      <w:r w:rsidRPr="00040E25">
        <w:rPr>
          <w:rFonts w:ascii="Verdana" w:hAnsi="Verdana" w:cs="Arial"/>
          <w:sz w:val="21"/>
          <w:szCs w:val="21"/>
          <w:lang w:val="es-MX"/>
        </w:rPr>
        <w:t>Los contratos o convenios financiados con fondos de los organismos multilaterales de crédito y entes gubernamentales extranjeros.</w:t>
      </w:r>
      <w:r w:rsidRPr="00040E25">
        <w:rPr>
          <w:rFonts w:ascii="Verdana" w:hAnsi="Verdana" w:cs="Arial"/>
          <w:sz w:val="24"/>
          <w:lang w:val="es-MX"/>
        </w:rPr>
        <w:t xml:space="preserve"> </w:t>
      </w:r>
    </w:p>
    <w:p w14:paraId="2E86359C" w14:textId="77777777" w:rsidR="00040E25" w:rsidRPr="00040E25" w:rsidRDefault="00040E25" w:rsidP="00040E25">
      <w:pPr>
        <w:spacing w:after="0" w:line="276" w:lineRule="auto"/>
        <w:ind w:left="1429"/>
        <w:contextualSpacing/>
        <w:rPr>
          <w:rFonts w:ascii="Verdana" w:hAnsi="Verdana" w:cs="Arial"/>
          <w:sz w:val="24"/>
          <w:lang w:val="es-MX"/>
        </w:rPr>
      </w:pPr>
    </w:p>
    <w:p w14:paraId="6DC3797C" w14:textId="77777777" w:rsidR="00040E25" w:rsidRPr="00040E25" w:rsidRDefault="00040E25" w:rsidP="00040E25">
      <w:pPr>
        <w:spacing w:after="0" w:line="276" w:lineRule="auto"/>
        <w:ind w:firstLine="709"/>
        <w:jc w:val="both"/>
        <w:rPr>
          <w:rFonts w:ascii="Verdana" w:eastAsia="Calibri" w:hAnsi="Verdana" w:cs="Arial"/>
          <w:lang w:val="es-ES"/>
        </w:rPr>
      </w:pPr>
      <w:bookmarkStart w:id="8" w:name="_Hlk148447946"/>
      <w:r w:rsidRPr="00040E25">
        <w:rPr>
          <w:rFonts w:ascii="Verdana" w:eastAsia="Calibri" w:hAnsi="Verdana" w:cs="Arial"/>
          <w:lang w:val="es-ES"/>
        </w:rPr>
        <w:t>En los supuestos anteriores, regulados en el inciso segundo del artículo 20, independientemente del monto de los aportes de cada una de las partes, es posible optar por someter el contrato a los reglamentos de dichos organismos o bien someterlos al EGCAP, es decir, configurado alguno de los presupuestos anteriores es posible elegir cualquiera de los dos (2) regímenes indicados</w:t>
      </w:r>
      <w:bookmarkEnd w:id="8"/>
      <w:r w:rsidRPr="00040E25">
        <w:rPr>
          <w:rFonts w:ascii="Verdana" w:eastAsia="Calibri" w:hAnsi="Verdana" w:cs="Arial"/>
          <w:lang w:val="es-ES"/>
        </w:rPr>
        <w:t xml:space="preserve">. Al </w:t>
      </w:r>
      <w:r w:rsidRPr="00040E25">
        <w:rPr>
          <w:rFonts w:ascii="Verdana" w:eastAsia="Calibri" w:hAnsi="Verdana" w:cs="Arial"/>
          <w:lang w:val="es-ES"/>
        </w:rPr>
        <w:lastRenderedPageBreak/>
        <w:t>respecto, en el Concepto C-374 del 27 de julio de 2020, esta Agencia –después de analizar el artículo 20 de la Ley 1150 de 2007– concluyó que:</w:t>
      </w:r>
    </w:p>
    <w:p w14:paraId="7F1885C0" w14:textId="77777777" w:rsidR="00040E25" w:rsidRPr="00040E25" w:rsidRDefault="00040E25" w:rsidP="00040E25">
      <w:pPr>
        <w:spacing w:after="0" w:line="276" w:lineRule="auto"/>
        <w:ind w:firstLine="709"/>
        <w:jc w:val="both"/>
        <w:rPr>
          <w:rFonts w:ascii="Verdana" w:eastAsia="Calibri" w:hAnsi="Verdana" w:cs="Arial"/>
          <w:lang w:val="es-ES"/>
        </w:rPr>
      </w:pPr>
    </w:p>
    <w:p w14:paraId="6AD012C1" w14:textId="77777777" w:rsidR="00040E25" w:rsidRPr="00040E25" w:rsidRDefault="00040E25" w:rsidP="00040E25">
      <w:pPr>
        <w:spacing w:after="0" w:line="240" w:lineRule="auto"/>
        <w:ind w:left="709" w:right="709"/>
        <w:jc w:val="both"/>
        <w:rPr>
          <w:rFonts w:ascii="Verdana" w:eastAsia="Calibri" w:hAnsi="Verdana" w:cs="Arial"/>
          <w:sz w:val="20"/>
          <w:szCs w:val="20"/>
          <w:lang w:val="es-ES"/>
        </w:rPr>
      </w:pPr>
      <w:r w:rsidRPr="00040E25">
        <w:rPr>
          <w:rFonts w:ascii="Verdana" w:eastAsia="Calibri" w:hAnsi="Verdana" w:cs="Arial"/>
          <w:sz w:val="20"/>
          <w:szCs w:val="20"/>
          <w:lang w:val="es-ES"/>
        </w:rPr>
        <w:t>“[…] 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p>
    <w:p w14:paraId="4B6C67A1" w14:textId="77777777" w:rsidR="00040E25" w:rsidRPr="00040E25" w:rsidRDefault="00040E25" w:rsidP="00040E25">
      <w:pPr>
        <w:spacing w:after="0" w:line="276" w:lineRule="auto"/>
        <w:jc w:val="both"/>
        <w:rPr>
          <w:rFonts w:ascii="Verdana" w:eastAsia="Calibri" w:hAnsi="Verdana" w:cs="Arial"/>
          <w:lang w:val="es-ES"/>
        </w:rPr>
      </w:pPr>
    </w:p>
    <w:p w14:paraId="18D06C86" w14:textId="77777777" w:rsidR="00040E25" w:rsidRPr="00040E25" w:rsidRDefault="00040E25" w:rsidP="00040E25">
      <w:pPr>
        <w:spacing w:after="0" w:line="276" w:lineRule="auto"/>
        <w:ind w:firstLine="709"/>
        <w:jc w:val="both"/>
        <w:rPr>
          <w:rFonts w:ascii="Verdana" w:eastAsia="Calibri" w:hAnsi="Verdana" w:cs="Arial"/>
          <w:lang w:val="es-ES"/>
        </w:rPr>
      </w:pPr>
      <w:r w:rsidRPr="00040E25">
        <w:rPr>
          <w:rFonts w:ascii="Verdana" w:eastAsia="Calibri" w:hAnsi="Verdana" w:cs="Arial"/>
          <w:lang w:val="es-ES"/>
        </w:rPr>
        <w:t xml:space="preserve">Asimismo, el parágrafo primero del artículo 20 de la Ley 1150 de 2007 establece un tercer criterio para determinar el régimen contractual aplicable. De acuerdo con la norma, “Los contratos o acuerdos celebrados con personas extranjeras de derecho público, podrán someterse a las reglas de tales organismos”. Estos negocios jurídicos, a diferencia de los contratos del inciso primero </w:t>
      </w:r>
      <w:r w:rsidRPr="00040E25">
        <w:rPr>
          <w:rFonts w:ascii="Verdana" w:eastAsia="Calibri" w:hAnsi="Verdana" w:cs="Arial"/>
          <w:i/>
          <w:lang w:val="es-ES"/>
        </w:rPr>
        <w:t>ibidem</w:t>
      </w:r>
      <w:r w:rsidRPr="00040E25">
        <w:rPr>
          <w:rFonts w:ascii="Verdana" w:eastAsia="Calibri" w:hAnsi="Verdana" w:cs="Arial"/>
          <w:lang w:val="es-ES"/>
        </w:rPr>
        <w:t xml:space="preserve">, son independientes del monto de los aportes realizados por el organismo. Igualmente, en contraste con los contratos del inciso segundo </w:t>
      </w:r>
      <w:r w:rsidRPr="00040E25">
        <w:rPr>
          <w:rFonts w:ascii="Verdana" w:eastAsia="Calibri" w:hAnsi="Verdana" w:cs="Arial"/>
          <w:i/>
          <w:lang w:val="es-ES"/>
        </w:rPr>
        <w:t>ibidem</w:t>
      </w:r>
      <w:r w:rsidRPr="00040E25">
        <w:rPr>
          <w:rFonts w:ascii="Verdana" w:eastAsia="Calibri" w:hAnsi="Verdana" w:cs="Arial"/>
          <w:lang w:val="es-ES"/>
        </w:rPr>
        <w:t xml:space="preserve">, son negocios jurídicos independientes del objeto convenido. No obstante, al igual de los dos (2) supuestos explicados </w:t>
      </w:r>
      <w:r w:rsidRPr="00040E25">
        <w:rPr>
          <w:rFonts w:ascii="Verdana" w:eastAsia="Calibri" w:hAnsi="Verdana" w:cs="Arial"/>
          <w:i/>
          <w:lang w:val="es-ES"/>
        </w:rPr>
        <w:t>ut supra</w:t>
      </w:r>
      <w:r w:rsidRPr="00040E25">
        <w:rPr>
          <w:rFonts w:ascii="Verdana" w:eastAsia="Calibri" w:hAnsi="Verdana" w:cs="Arial"/>
          <w:lang w:val="es-ES"/>
        </w:rPr>
        <w:t>, en esta hipótesis también es posible optar por someter el contrato a los reglamentos de dichos organismos o bien someterlos a la Ley 80 de 1993.</w:t>
      </w:r>
    </w:p>
    <w:p w14:paraId="0EE00CC7" w14:textId="77777777" w:rsidR="00040E25" w:rsidRPr="00040E25" w:rsidRDefault="00040E25" w:rsidP="00040E25">
      <w:pPr>
        <w:spacing w:before="120" w:after="0" w:line="276" w:lineRule="auto"/>
        <w:ind w:firstLine="708"/>
        <w:jc w:val="both"/>
        <w:rPr>
          <w:rFonts w:ascii="Verdana" w:hAnsi="Verdana" w:cs="Arial"/>
          <w:color w:val="000000" w:themeColor="text1"/>
          <w:lang w:val="es-ES"/>
        </w:rPr>
      </w:pPr>
      <w:r w:rsidRPr="00040E25">
        <w:rPr>
          <w:rFonts w:ascii="Verdana" w:hAnsi="Verdana" w:cs="Arial"/>
          <w:color w:val="000000" w:themeColor="text1"/>
          <w:lang w:val="es-ES"/>
        </w:rPr>
        <w:t xml:space="preserve">Con respecto a la aplicación del régimen jurídico de los organismos internacionales, cuando las entidades optan por someter el convenio o contrato a este, es importante resaltar el legislador no distinguió́ los aspectos sobre los cuales es factible aplicar los reglamentos de dichos organismos. En consecuencia, debe entenderse que dentro de la remisión cabe el procedimiento de celebración y todo lo relacionado con la ejecución del contrato o convenio. Esto significa que las Entidades Estatales pueden contratar siguiendo los procedimientos establecidos en los reglamentos de los organismos internacionales a los que alude el citado artículo 20, no los previstos en el EGCAP. </w:t>
      </w:r>
      <w:r w:rsidRPr="00040E25">
        <w:rPr>
          <w:rFonts w:ascii="Verdana" w:hAnsi="Verdana" w:cs="Arial"/>
          <w:color w:val="000000" w:themeColor="text1"/>
          <w:lang w:val="es-ES"/>
        </w:rPr>
        <w:lastRenderedPageBreak/>
        <w:t xml:space="preserve">En este sentido, la remisión efectuada por la Ley 1150 de 2007 a los reglamentos de dichos organismos es integral, en el sentido de que cuando las partes del contrato se someten a su normativa, las disposiciones reguladas en los reglamentos prevalecen sobre las del EGCAP. </w:t>
      </w:r>
    </w:p>
    <w:p w14:paraId="4456D555" w14:textId="77777777" w:rsidR="00040E25" w:rsidRPr="00040E25" w:rsidRDefault="00040E25" w:rsidP="00040E25">
      <w:pPr>
        <w:spacing w:before="120" w:after="0" w:line="276" w:lineRule="auto"/>
        <w:ind w:firstLine="708"/>
        <w:jc w:val="both"/>
        <w:rPr>
          <w:rFonts w:ascii="Verdana" w:hAnsi="Verdana" w:cs="Arial"/>
          <w:color w:val="000000" w:themeColor="text1"/>
          <w:lang w:val="es-ES"/>
        </w:rPr>
      </w:pPr>
      <w:r w:rsidRPr="00040E25">
        <w:rPr>
          <w:rFonts w:ascii="Verdana" w:hAnsi="Verdana" w:cs="Arial"/>
          <w:color w:val="000000" w:themeColor="text1"/>
          <w:lang w:val="es-ES"/>
        </w:rPr>
        <w:t xml:space="preserve">De conformidad con lo expuesto, los contratos o convenios celebrados con los sujetos y que cumplan los supuestos del artículo 20 pueden someterse a los reglamentos de tales organismos y en consecuencia sustraerse de la aplicación del EGCAP. Esto implica que cuando se sometan a sus reglamentos, convenciones o tratados se regirá por este marco jurídico todo lo referente a los siguientes aspectos: i) el procedimiento de selección; </w:t>
      </w:r>
      <w:proofErr w:type="spellStart"/>
      <w:r w:rsidRPr="00040E25">
        <w:rPr>
          <w:rFonts w:ascii="Verdana" w:hAnsi="Verdana" w:cs="Arial"/>
          <w:color w:val="000000" w:themeColor="text1"/>
          <w:lang w:val="es-ES"/>
        </w:rPr>
        <w:t>ii</w:t>
      </w:r>
      <w:proofErr w:type="spellEnd"/>
      <w:r w:rsidRPr="00040E25">
        <w:rPr>
          <w:rFonts w:ascii="Verdana" w:hAnsi="Verdana" w:cs="Arial"/>
          <w:color w:val="000000" w:themeColor="text1"/>
          <w:lang w:val="es-ES"/>
        </w:rPr>
        <w:t xml:space="preserve">) la celebración del contrato; y </w:t>
      </w:r>
      <w:proofErr w:type="spellStart"/>
      <w:r w:rsidRPr="00040E25">
        <w:rPr>
          <w:rFonts w:ascii="Verdana" w:hAnsi="Verdana" w:cs="Arial"/>
          <w:color w:val="000000" w:themeColor="text1"/>
          <w:lang w:val="es-ES"/>
        </w:rPr>
        <w:t>iii</w:t>
      </w:r>
      <w:proofErr w:type="spellEnd"/>
      <w:r w:rsidRPr="00040E25">
        <w:rPr>
          <w:rFonts w:ascii="Verdana" w:hAnsi="Verdana" w:cs="Arial"/>
          <w:color w:val="000000" w:themeColor="text1"/>
          <w:lang w:val="es-ES"/>
        </w:rPr>
        <w:t>) la ejecución contractual, lo cual incluye los procedimientos, sanciones o recursos aplicables ante posibles incumplimientos por alguna de las partes, en la medida en que la remisión es integral a menos que se disponga lo contrario.</w:t>
      </w:r>
    </w:p>
    <w:p w14:paraId="5242E9B5" w14:textId="77777777" w:rsidR="00040E25" w:rsidRPr="00040E25" w:rsidRDefault="00040E25" w:rsidP="00040E25">
      <w:pPr>
        <w:spacing w:before="120" w:after="120" w:line="276" w:lineRule="auto"/>
        <w:ind w:firstLine="709"/>
        <w:jc w:val="both"/>
        <w:rPr>
          <w:rFonts w:ascii="Verdana" w:hAnsi="Verdana" w:cs="Arial"/>
          <w:color w:val="000000" w:themeColor="text1"/>
          <w:lang w:val="es-ES"/>
        </w:rPr>
      </w:pPr>
      <w:r w:rsidRPr="00040E25">
        <w:rPr>
          <w:rFonts w:ascii="Verdana" w:hAnsi="Verdana" w:cs="Arial"/>
          <w:color w:val="000000" w:themeColor="text1"/>
          <w:lang w:val="es-ES"/>
        </w:rPr>
        <w:t xml:space="preserve">Por otra parte, también se deriva de lo anterior que incluso en los supuestos en los que el contrato se someta a los reglamentos o normativa del organismo internacional, se aplicará la normativa nacional en materia de contratación pública i) con respecto a la etapa de planeación del contrato o convenio; </w:t>
      </w:r>
      <w:proofErr w:type="spellStart"/>
      <w:r w:rsidRPr="00040E25">
        <w:rPr>
          <w:rFonts w:ascii="Verdana" w:hAnsi="Verdana" w:cs="Arial"/>
          <w:color w:val="000000" w:themeColor="text1"/>
          <w:lang w:val="es-ES"/>
        </w:rPr>
        <w:t>ii</w:t>
      </w:r>
      <w:proofErr w:type="spellEnd"/>
      <w:r w:rsidRPr="00040E25">
        <w:rPr>
          <w:rFonts w:ascii="Verdana" w:hAnsi="Verdana" w:cs="Arial"/>
          <w:color w:val="000000" w:themeColor="text1"/>
          <w:lang w:val="es-ES"/>
        </w:rPr>
        <w:t xml:space="preserve">) cuando el contrato, convenio o los reglamentos del organismo internacional lo permitan, porque, por ejemplo, realiza una remisión o autoriza la aplicación del régimen nacional frente a determinadas materias; y </w:t>
      </w:r>
      <w:proofErr w:type="spellStart"/>
      <w:r w:rsidRPr="00040E25">
        <w:rPr>
          <w:rFonts w:ascii="Verdana" w:hAnsi="Verdana" w:cs="Arial"/>
          <w:color w:val="000000" w:themeColor="text1"/>
          <w:lang w:val="es-ES"/>
        </w:rPr>
        <w:t>iii</w:t>
      </w:r>
      <w:proofErr w:type="spellEnd"/>
      <w:r w:rsidRPr="00040E25">
        <w:rPr>
          <w:rFonts w:ascii="Verdana" w:hAnsi="Verdana" w:cs="Arial"/>
          <w:color w:val="000000" w:themeColor="text1"/>
          <w:lang w:val="es-ES"/>
        </w:rPr>
        <w:t xml:space="preserve">) de manera supletiva cuando el convenio, contrato o los reglamentos del organismo internacional guarden silencio respecto a determinados aspectos del proceso contractual o de su ejecución.   </w:t>
      </w:r>
    </w:p>
    <w:p w14:paraId="6C0C97B2" w14:textId="77777777" w:rsidR="00040E25" w:rsidRPr="00040E25" w:rsidRDefault="00040E25" w:rsidP="00040E25">
      <w:pPr>
        <w:spacing w:after="120" w:line="276" w:lineRule="auto"/>
        <w:ind w:firstLine="709"/>
        <w:jc w:val="both"/>
        <w:rPr>
          <w:rFonts w:ascii="Verdana" w:hAnsi="Verdana" w:cs="Arial"/>
          <w:lang w:eastAsia="es-ES"/>
        </w:rPr>
      </w:pPr>
      <w:r w:rsidRPr="00040E25">
        <w:rPr>
          <w:rFonts w:ascii="Verdana" w:hAnsi="Verdana" w:cs="Arial"/>
          <w:lang w:eastAsia="es-ES"/>
        </w:rPr>
        <w:t>Con estas precisiones, de cara al interrogante planteado, resulta pertinente analizar las tesis jurídicas que podrían plantearse cuando en un mismo proyecto de inversión concurren recursos provenientes de organismos internacionales y recursos del Sistema General de Regalías (SGR). Una primera tesis parte de una interpretación restrictiva del parágrafo 1 del artículo 37 de la Ley 2056 de 2020, conforme a la cual los proyectos de inversión financiados con recursos del SGR deben sujetarse al EGCAP, sin que la concurrencia de otras fuentes de financiación permita exceptuar o modificar dicha regla, con independencia de la proporción que representen los recursos aportados por el organismo internacional.</w:t>
      </w:r>
    </w:p>
    <w:p w14:paraId="3A248ACA" w14:textId="77777777" w:rsidR="00040E25" w:rsidRPr="00040E25" w:rsidRDefault="00040E25" w:rsidP="00040E25">
      <w:pPr>
        <w:spacing w:after="120" w:line="276" w:lineRule="auto"/>
        <w:ind w:firstLine="709"/>
        <w:jc w:val="both"/>
        <w:rPr>
          <w:rFonts w:ascii="Verdana" w:hAnsi="Verdana" w:cs="Arial"/>
          <w:lang w:eastAsia="es-ES"/>
        </w:rPr>
      </w:pPr>
      <w:r w:rsidRPr="00040E25">
        <w:rPr>
          <w:rFonts w:ascii="Verdana" w:hAnsi="Verdana" w:cs="Arial"/>
          <w:lang w:eastAsia="es-ES"/>
        </w:rPr>
        <w:lastRenderedPageBreak/>
        <w:t>Bajo esta interpretación, cuando una entidad designada como ejecutora de recursos del SGR adelante un proyecto de inversión en el que concurran recursos de organismos internacionales, los contratos que aquella celebre para la ejecución del proyecto deberán someterse al EGCAP, aun cuando los recursos aportados por el organismo internacional representen un porcentaje superior al cincuenta por ciento (50%) del valor total del proyecto. Lo determinante, para efectos de establecer el régimen jurídico aplicable a la contratación, sería que los contratos se celebren en el marco de la ejecución de un proyecto financiado, total o parcialmente, con recursos del SGR y que la entidad contratante actúe en calidad de ejecutora de dichos recursos.</w:t>
      </w:r>
    </w:p>
    <w:p w14:paraId="26ED3C6E" w14:textId="77777777" w:rsidR="00040E25" w:rsidRPr="00040E25" w:rsidRDefault="00040E25" w:rsidP="00040E25">
      <w:pPr>
        <w:spacing w:after="120" w:line="276" w:lineRule="auto"/>
        <w:ind w:firstLine="709"/>
        <w:jc w:val="both"/>
        <w:rPr>
          <w:rFonts w:ascii="Verdana" w:hAnsi="Verdana" w:cs="Arial"/>
          <w:lang w:eastAsia="es-ES"/>
        </w:rPr>
      </w:pPr>
      <w:r w:rsidRPr="00040E25">
        <w:rPr>
          <w:rFonts w:ascii="Verdana" w:hAnsi="Verdana" w:cs="Arial"/>
          <w:lang w:eastAsia="es-ES"/>
        </w:rPr>
        <w:t>Esta tesis encuentra sustento, principalmente, en el carácter especial de las disposiciones que regulan la ejecución de los recursos del SGR. De esta manera, si el legislador estableció expresamente un régimen de contratación aplicable a los proyectos financiados con recursos del SGR, dicha regulación especial prevalecería frente a las reglas generales que regulan la contratación financiada con recursos de organismos internacionales. Desde esta perspectiva, la concurrencia de fuentes de financiación no tendría, por sí misma, la capacidad de alterar el régimen jurídico de contratación impuesto por la Ley 2056 de 2020, pues la aplicación del EGCAP estaría determinada por la vinculación del contrato con la ejecución de recursos del SGR y no por la participación porcentual que cada fuente represente dentro del proyecto.</w:t>
      </w:r>
    </w:p>
    <w:p w14:paraId="763401A7" w14:textId="77777777" w:rsidR="00040E25" w:rsidRPr="00040E25" w:rsidRDefault="00040E25" w:rsidP="00040E25">
      <w:pPr>
        <w:spacing w:after="120" w:line="276" w:lineRule="auto"/>
        <w:ind w:firstLine="709"/>
        <w:jc w:val="both"/>
        <w:rPr>
          <w:rFonts w:ascii="Verdana" w:hAnsi="Verdana" w:cs="Arial"/>
          <w:lang w:eastAsia="es-ES"/>
        </w:rPr>
      </w:pPr>
      <w:r w:rsidRPr="00040E25">
        <w:rPr>
          <w:rFonts w:ascii="Verdana" w:hAnsi="Verdana" w:cs="Arial"/>
          <w:lang w:eastAsia="es-ES"/>
        </w:rPr>
        <w:t xml:space="preserve">En consecuencia, bajo esta tesis, la regla prevista en el parágrafo primero del artículo 37 de la Ley 2056 de 2020 prevalecería sobre el artículo 20 de la Ley 1150 de 2007, por lo que no podría entenderse como una excepción al régimen especial establecido para la ejecución de los recursos del SGR. Así, la sola circunstancia de que el aporte del organismo internacional sea mayoritario no desplazaría la aplicación del EGCAP cuando el contrato se encuentre destinado a la ejecución de un proyecto que incorpora recursos del SGR. </w:t>
      </w:r>
    </w:p>
    <w:p w14:paraId="44305EA0" w14:textId="77777777" w:rsidR="00040E25" w:rsidRPr="00040E25" w:rsidRDefault="00040E25" w:rsidP="00040E25">
      <w:pPr>
        <w:spacing w:after="120" w:line="276" w:lineRule="auto"/>
        <w:ind w:firstLine="709"/>
        <w:jc w:val="both"/>
        <w:rPr>
          <w:rFonts w:ascii="Verdana" w:hAnsi="Verdana" w:cs="Arial"/>
          <w:lang w:eastAsia="es-ES"/>
        </w:rPr>
      </w:pPr>
      <w:r w:rsidRPr="00040E25">
        <w:rPr>
          <w:rFonts w:ascii="Verdana" w:hAnsi="Verdana" w:cs="Arial"/>
          <w:lang w:eastAsia="es-ES"/>
        </w:rPr>
        <w:t xml:space="preserve">Una segunda tesis, que podría considerarse más flexible, parte de la posibilidad de aplicar el artículo 20 de la Ley 1150 de 2007 en aquellos proyectos de inversión en los que concurran recursos del Sistema General de Regalías y recursos provenientes de organismos internacionales. Esta interpretación encuentra fundamento en la integración normativa que se produce a partir de la remisión efectuada por el parágrafo 1 del artículo 37 de la Ley 2056 de 2020 al EGCAP. En consecuencia, si la Ley 2056 de 2020 dispone que la contratación </w:t>
      </w:r>
      <w:r w:rsidRPr="00040E25">
        <w:rPr>
          <w:rFonts w:ascii="Verdana" w:hAnsi="Verdana" w:cs="Arial"/>
          <w:lang w:eastAsia="es-ES"/>
        </w:rPr>
        <w:lastRenderedPageBreak/>
        <w:t>necesaria para la ejecución de los proyectos de inversión financiados con recursos del SGR se rige por el EGCAP, dicha remisión comprendería, en principio, las disposiciones que integran dicho estatuto, entre ellas aquellas que establecen reglas particulares para la contratación financiada con recursos de organismos internacionales.</w:t>
      </w:r>
    </w:p>
    <w:p w14:paraId="0EAAFCD1" w14:textId="77777777" w:rsidR="00040E25" w:rsidRPr="00040E25" w:rsidRDefault="00040E25" w:rsidP="00040E25">
      <w:pPr>
        <w:spacing w:after="120" w:line="276" w:lineRule="auto"/>
        <w:ind w:firstLine="709"/>
        <w:jc w:val="both"/>
        <w:rPr>
          <w:rFonts w:ascii="Verdana" w:hAnsi="Verdana" w:cs="Arial"/>
          <w:lang w:eastAsia="es-ES"/>
        </w:rPr>
      </w:pPr>
      <w:r w:rsidRPr="00040E25">
        <w:rPr>
          <w:rFonts w:ascii="Verdana" w:hAnsi="Verdana" w:cs="Arial"/>
          <w:lang w:eastAsia="es-ES"/>
        </w:rPr>
        <w:t>En efecto, esta interpretación parte de una lectura sistemática y armónica de las disposiciones señaladas, ya que el parágrafo 1 del artículo 37 de la Ley 2056 de 2020 establece la regla general de sujeción al EGCAP para la contratación requerida en la ejecución de los proyectos de inversión financiados con recursos del SGR y a su vez, el artículo 20 de la Ley 1150 de 2007, como disposición integrante de dicho régimen, contempla un tratamiento particular para determinados contratos o convenios financiados con recursos de organismos internacionales. Por tanto, la aplicación de esta última disposición no implicaría desconocer la regla establecida por la Ley 2056 de 2020, sino precisamente hacer efectiva la remisión que esta realiza al EGCAP, incorporando las excepciones y reglas especiales que el propio estatuto contempla.</w:t>
      </w:r>
    </w:p>
    <w:p w14:paraId="50B1857D" w14:textId="77777777" w:rsidR="00040E25" w:rsidRPr="00040E25" w:rsidRDefault="00040E25" w:rsidP="00040E25">
      <w:pPr>
        <w:spacing w:after="120" w:line="276" w:lineRule="auto"/>
        <w:ind w:firstLine="709"/>
        <w:jc w:val="both"/>
        <w:rPr>
          <w:rFonts w:ascii="Verdana" w:hAnsi="Verdana" w:cs="Arial"/>
          <w:lang w:eastAsia="es-ES"/>
        </w:rPr>
      </w:pPr>
      <w:r w:rsidRPr="00040E25">
        <w:rPr>
          <w:rFonts w:ascii="Verdana" w:hAnsi="Verdana" w:cs="Arial"/>
          <w:lang w:eastAsia="es-ES"/>
        </w:rPr>
        <w:t>Desde esta perspectiva, lo determinante no sería exclusivamente la existencia de recursos del SGR dentro de la financiación del proyecto, sino la concurrencia de diferentes fuentes de financiación y, particularmente, la proporción de los recursos provenientes del organismo internacional frente al valor total del proyecto. Así, cuando en un proyecto concurran recursos del SGR y recursos aportados por un organismo de cooperación internacional y estos últimos representen más del cincuenta por ciento (50%) del valor total de los aportes destinados a su financiación, podría resultar aplicable el artículo 20 de la Ley 1150 de 2007 y, por consiguiente, las reglas de contratación establecidas por el respectivo organismo internacional, en los términos y bajo las condiciones previstas en dicha disposición.</w:t>
      </w:r>
    </w:p>
    <w:p w14:paraId="455AE2A7" w14:textId="77777777" w:rsidR="00040E25" w:rsidRPr="00040E25" w:rsidRDefault="00040E25" w:rsidP="00040E25">
      <w:pPr>
        <w:spacing w:after="120" w:line="276" w:lineRule="auto"/>
        <w:ind w:firstLine="709"/>
        <w:jc w:val="both"/>
        <w:rPr>
          <w:rFonts w:ascii="Verdana" w:hAnsi="Verdana" w:cs="Arial"/>
          <w:lang w:eastAsia="es-ES"/>
        </w:rPr>
      </w:pPr>
      <w:r w:rsidRPr="00040E25">
        <w:rPr>
          <w:rFonts w:ascii="Verdana" w:hAnsi="Verdana" w:cs="Arial"/>
          <w:lang w:eastAsia="es-ES"/>
        </w:rPr>
        <w:t xml:space="preserve">Bajo esta tesis, el porcentaje de participación de cada fuente constituye un elemento determinante para establecer el régimen aplicable, de manera que el reglamento del organismo internacional únicamente se aplicaría cuando se configure el supuesto previsto en inciso primero del artículo 20 de la Ley 1150 de 2007. En otras palabras, no se trataría de afirmar que la sola concurrencia de recursos internacionales permite apartarse del régimen de contratación del SGR, sino de reconocer que el propio EGCAP, al cual remite el parágrafo del artículo 37 de la Ley 2056 de 2020, contempla una regla especial para </w:t>
      </w:r>
      <w:r w:rsidRPr="00040E25">
        <w:rPr>
          <w:rFonts w:ascii="Verdana" w:hAnsi="Verdana" w:cs="Arial"/>
          <w:lang w:eastAsia="es-ES"/>
        </w:rPr>
        <w:lastRenderedPageBreak/>
        <w:t xml:space="preserve">determinados eventos de financiación internacional y permite, bajo las condiciones legalmente establecidas, la aplicación de los reglamentos de los organismos de cooperación. </w:t>
      </w:r>
    </w:p>
    <w:p w14:paraId="4AB5FD21" w14:textId="77777777" w:rsidR="00040E25" w:rsidRPr="00040E25" w:rsidRDefault="00040E25" w:rsidP="00040E25">
      <w:pPr>
        <w:spacing w:after="120" w:line="276" w:lineRule="auto"/>
        <w:ind w:firstLine="709"/>
        <w:jc w:val="both"/>
        <w:rPr>
          <w:rFonts w:ascii="Verdana" w:hAnsi="Verdana" w:cs="Arial"/>
          <w:lang w:eastAsia="es-ES"/>
        </w:rPr>
      </w:pPr>
      <w:r w:rsidRPr="00040E25">
        <w:rPr>
          <w:rFonts w:ascii="Verdana" w:hAnsi="Verdana" w:cs="Arial"/>
          <w:lang w:eastAsia="es-ES"/>
        </w:rPr>
        <w:t>Nótese que, bajo esta interpretación, la compatibilidad con el régimen previsto en la Ley 2056 de 2020 deriva de la concurrencia de distintas fuentes de financiación y de la consecuente integración normativa, sin que interfiera en dicho análisis la naturaleza jurídica del organismo internacional. Así, lo determinante para esta tesis es que la remisión efectuada por el artículo 37 de la Ley 2056 de 2020 al EGCAP comprende, igualmente, las disposiciones especiales que este régimen contempla para los contratos financiados con recursos de organismos internacionales. De esta manera, la aplicación del artículo 20 de la Ley 1150 de 2007 no despoja de eficacia al mandato contenido en el artículo 37 de la Ley 2056 de 2020, sino que constituye una consecuencia de su aplicación sistemática y armónica con las demás disposiciones que integran el régimen de contratación estatal.</w:t>
      </w:r>
    </w:p>
    <w:p w14:paraId="42BCBA5F" w14:textId="77777777" w:rsidR="00040E25" w:rsidRPr="00040E25" w:rsidRDefault="00040E25" w:rsidP="00040E25">
      <w:pPr>
        <w:spacing w:after="120" w:line="276" w:lineRule="auto"/>
        <w:ind w:firstLine="709"/>
        <w:jc w:val="both"/>
        <w:rPr>
          <w:rFonts w:ascii="Verdana" w:hAnsi="Verdana" w:cs="Arial"/>
          <w:lang w:eastAsia="es-ES"/>
        </w:rPr>
      </w:pPr>
      <w:r w:rsidRPr="00040E25">
        <w:rPr>
          <w:rFonts w:ascii="Verdana" w:hAnsi="Verdana" w:cs="Arial"/>
          <w:lang w:eastAsia="es-ES"/>
        </w:rPr>
        <w:t>Esta postura, por tanto, podría armonizarse con la posición adoptada por el Consejo de Estado respecto de la sujeción de la ejecución de los recursos del SGR al régimen de contratación estatal, en la medida en que no pretende excluir la aplicación del artículo 37 de la Ley 2056 de 2020 ni establecer una excepción autónoma a dicho régimen. Por el contrario, parte de la aplicación integral del EGCAP por remisión de la Ley 2056 de 2020 y, dentro de este, de la utilización de una disposición que expresamente contempla un tratamiento especial para determinados esquemas de financiación con organismos internacionales. La diferencia frente a la primera tesis radicaría, en que mientras aquella entiende que la presencia de recursos del SGR determina en todos los casos la aplicación del EGCAP con independencia de la participación de las demás fuentes, esta segunda interpretación considera que, cuando se configure el supuesto especial previsto por el artículo 20 de la Ley 1150 de 2007, la propia remisión al EGCAP permite aplicar el régimen del organismo internacional.</w:t>
      </w:r>
    </w:p>
    <w:p w14:paraId="5D46B11E" w14:textId="77777777" w:rsidR="00040E25" w:rsidRPr="00040E25" w:rsidRDefault="00040E25" w:rsidP="00040E25">
      <w:pPr>
        <w:spacing w:after="120" w:line="276" w:lineRule="auto"/>
        <w:ind w:firstLine="709"/>
        <w:jc w:val="both"/>
        <w:rPr>
          <w:rFonts w:ascii="Verdana" w:hAnsi="Verdana" w:cs="Arial"/>
          <w:lang w:eastAsia="es-ES"/>
        </w:rPr>
      </w:pPr>
      <w:r w:rsidRPr="00040E25">
        <w:rPr>
          <w:rFonts w:ascii="Verdana" w:hAnsi="Verdana" w:cs="Arial"/>
          <w:lang w:eastAsia="es-ES"/>
        </w:rPr>
        <w:t xml:space="preserve">Bajo estas consideraciones, en el análisis de la viabilidad jurídica de los proyectos de inversión financiados con recursos del SGR deberá identificarse, desde las respectivas etapas del ciclo del proyecto, la concurrencia de las diferentes fuentes de financiación y determinarse la forma en que los recursos serán ejecutados, de conformidad con el marco legal y reglamentario aplicable. </w:t>
      </w:r>
    </w:p>
    <w:p w14:paraId="7C05A73C" w14:textId="77777777" w:rsidR="00040E25" w:rsidRPr="00040E25" w:rsidRDefault="00040E25" w:rsidP="00040E25">
      <w:pPr>
        <w:spacing w:after="120" w:line="276" w:lineRule="auto"/>
        <w:ind w:firstLine="709"/>
        <w:jc w:val="both"/>
        <w:rPr>
          <w:rFonts w:ascii="Verdana" w:hAnsi="Verdana" w:cs="Arial"/>
          <w:lang w:eastAsia="es-ES"/>
        </w:rPr>
      </w:pPr>
      <w:r w:rsidRPr="00040E25">
        <w:rPr>
          <w:rFonts w:ascii="Verdana" w:hAnsi="Verdana" w:cs="Arial"/>
          <w:lang w:eastAsia="es-ES"/>
        </w:rPr>
        <w:lastRenderedPageBreak/>
        <w:t>En ese contexto, las precisiones expuestas en el presente análisis podrán ser consideradas por las entidades y demás actores competentes al momento de estructurar y ejecutar los proyectos, quienes deberán valorar las circunstancias particulares de cada caso y adoptar, dentro del ámbito de sus respectivas competencias, las decisiones que correspondan respecto de la articulación y ejecución de las distintas fuentes de financiación. Lo anterior, sin perjuicio de las competencias atribuidas a las autoridades responsables del Sistema General de Regalías y de las demás disposiciones especiales que regulen la aprobación, ejecución, seguimiento y control de los proyectos financiados con estos recursos.</w:t>
      </w:r>
    </w:p>
    <w:p w14:paraId="7FED92BE" w14:textId="77777777" w:rsidR="00040E25" w:rsidRPr="00040E25" w:rsidRDefault="00040E25" w:rsidP="00040E25">
      <w:pPr>
        <w:spacing w:after="120" w:line="276" w:lineRule="auto"/>
        <w:ind w:firstLine="709"/>
        <w:jc w:val="both"/>
        <w:rPr>
          <w:rFonts w:ascii="Verdana" w:hAnsi="Verdana" w:cs="Arial"/>
          <w:lang w:eastAsia="es-ES"/>
        </w:rPr>
      </w:pPr>
      <w:r w:rsidRPr="00040E25">
        <w:rPr>
          <w:rFonts w:ascii="Verdana" w:hAnsi="Verdana" w:cs="Arial"/>
          <w:lang w:eastAsia="es-ES"/>
        </w:rPr>
        <w:t xml:space="preserve">En este contexto, se precisarse que la Agencia Nacional de Contratación Pública –Colombia Compra Eficiente–, en el marco de las competencias que le fueron asignadas por el Decreto-Ley 4170 de 2011, no es la autoridad competente para determinar la viabilidad jurídica de los proyectos de inversión financiados con recursos del SGR ni para definir, en un caso particular, la forma en que deben ejecutarse o articularse las distintas fuentes de financiación. </w:t>
      </w:r>
    </w:p>
    <w:p w14:paraId="58237D3B" w14:textId="77777777" w:rsidR="00040E25" w:rsidRPr="00040E25" w:rsidRDefault="00040E25" w:rsidP="00040E25">
      <w:pPr>
        <w:spacing w:after="120" w:line="276" w:lineRule="auto"/>
        <w:ind w:firstLine="709"/>
        <w:jc w:val="both"/>
        <w:rPr>
          <w:rFonts w:ascii="Verdana" w:hAnsi="Verdana" w:cs="Arial"/>
          <w:lang w:eastAsia="es-ES"/>
        </w:rPr>
      </w:pPr>
      <w:r w:rsidRPr="00040E25">
        <w:rPr>
          <w:rFonts w:ascii="Verdana" w:hAnsi="Verdana" w:cs="Arial"/>
          <w:lang w:eastAsia="es-ES"/>
        </w:rPr>
        <w:t xml:space="preserve">Al respecto, </w:t>
      </w:r>
      <w:r w:rsidRPr="00040E25">
        <w:rPr>
          <w:rFonts w:ascii="Verdana" w:eastAsia="Calibri" w:hAnsi="Verdana" w:cs="Arial"/>
          <w:color w:val="000000"/>
          <w:lang w:val="es-ES" w:eastAsia="es-ES"/>
        </w:rPr>
        <w:t>es importante señalar que los conceptos emitidos por las entidades estatales en virtud del artículo 28 de la Ley 1437 de 2011</w:t>
      </w:r>
      <w:r w:rsidRPr="00040E25">
        <w:rPr>
          <w:rFonts w:ascii="Verdana" w:eastAsia="Calibri" w:hAnsi="Verdana" w:cs="Arial"/>
          <w:bCs/>
          <w:lang w:val="es-ES_tradnl"/>
        </w:rPr>
        <w:t xml:space="preserve">, sustituido por el artículo 1 de la Ley 1755, </w:t>
      </w:r>
      <w:bookmarkStart w:id="9" w:name="_Hlk200718672"/>
      <w:r w:rsidRPr="00040E25">
        <w:rPr>
          <w:rFonts w:ascii="Verdana" w:eastAsia="Calibri" w:hAnsi="Verdana" w:cs="Arial"/>
          <w:color w:val="000000"/>
          <w:lang w:val="es-ES" w:eastAsia="es-ES"/>
        </w:rPr>
        <w:t>representan</w:t>
      </w:r>
      <w:r w:rsidRPr="00040E25">
        <w:rPr>
          <w:rFonts w:ascii="Verdana" w:hAnsi="Verdana" w:cs="Arial"/>
          <w:lang w:eastAsia="es-ES"/>
        </w:rPr>
        <w:t xml:space="preserve"> una </w:t>
      </w:r>
      <w:r w:rsidRPr="00040E25">
        <w:rPr>
          <w:rFonts w:ascii="Verdana" w:eastAsia="Calibri" w:hAnsi="Verdana" w:cs="Arial"/>
          <w:bCs/>
          <w:lang w:val="es-ES_tradnl"/>
        </w:rPr>
        <w:t>posición hermenéutica</w:t>
      </w:r>
      <w:r w:rsidRPr="00040E25">
        <w:rPr>
          <w:rFonts w:ascii="Verdana" w:hAnsi="Verdana" w:cs="Arial"/>
          <w:lang w:eastAsia="es-ES"/>
        </w:rPr>
        <w:t xml:space="preserve"> </w:t>
      </w:r>
      <w:bookmarkStart w:id="10" w:name="_Hlk42100007"/>
      <w:r w:rsidRPr="00040E25">
        <w:rPr>
          <w:rFonts w:ascii="Verdana" w:hAnsi="Verdana" w:cs="Arial"/>
          <w:lang w:eastAsia="es-ES"/>
        </w:rPr>
        <w:t xml:space="preserve">que </w:t>
      </w:r>
      <w:r w:rsidRPr="00040E25">
        <w:rPr>
          <w:rFonts w:ascii="Verdana" w:eastAsia="Calibri" w:hAnsi="Verdana" w:cs="Arial"/>
          <w:bCs/>
          <w:lang w:val="es-ES_tradnl"/>
        </w:rPr>
        <w:t xml:space="preserve">no tienen efectos vinculantes </w:t>
      </w:r>
      <w:bookmarkEnd w:id="9"/>
      <w:r w:rsidRPr="00040E25">
        <w:rPr>
          <w:rFonts w:ascii="Verdana" w:eastAsia="Calibri" w:hAnsi="Verdana" w:cs="Arial"/>
          <w:bCs/>
          <w:lang w:val="es-ES_tradnl"/>
        </w:rPr>
        <w:t>en relación con una situación jurídica particular y concreta, y exponen un criterio que, aunque jurídicamente fundamentado, no representan la única interpretación posible del ordenamiento jurídico.</w:t>
      </w:r>
      <w:bookmarkEnd w:id="10"/>
      <w:r w:rsidRPr="00040E25">
        <w:rPr>
          <w:rFonts w:ascii="Verdana" w:eastAsiaTheme="minorEastAsia" w:hAnsi="Verdana" w:cs="Arial"/>
          <w:szCs w:val="24"/>
          <w:lang w:eastAsia="es-CO"/>
        </w:rPr>
        <w:t xml:space="preserve"> De este modo, las autoridades que ejercen funciones consultivas pueden expresar su</w:t>
      </w:r>
      <w:r w:rsidRPr="00040E25">
        <w:rPr>
          <w:rFonts w:ascii="Verdana" w:eastAsiaTheme="minorEastAsia" w:hAnsi="Verdana" w:cs="Arial"/>
          <w:spacing w:val="1"/>
          <w:szCs w:val="24"/>
          <w:lang w:eastAsia="es-CO"/>
        </w:rPr>
        <w:t xml:space="preserve"> </w:t>
      </w:r>
      <w:r w:rsidRPr="00040E25">
        <w:rPr>
          <w:rFonts w:ascii="Verdana" w:eastAsiaTheme="minorEastAsia" w:hAnsi="Verdana" w:cs="Arial"/>
          <w:szCs w:val="24"/>
          <w:lang w:eastAsia="es-CO"/>
        </w:rPr>
        <w:t>interpretación de un precepto normativo, que no excluye otras interpretaciones posibles, pues el derecho, como sistema normativo, es un lenguaje que, en ocasiones, se tiñe de vaguedad, en</w:t>
      </w:r>
      <w:r w:rsidRPr="00040E25">
        <w:rPr>
          <w:rFonts w:ascii="Verdana" w:eastAsiaTheme="minorEastAsia" w:hAnsi="Verdana" w:cs="Arial"/>
          <w:spacing w:val="1"/>
          <w:szCs w:val="24"/>
          <w:lang w:eastAsia="es-CO"/>
        </w:rPr>
        <w:t xml:space="preserve"> </w:t>
      </w:r>
      <w:r w:rsidRPr="00040E25">
        <w:rPr>
          <w:rFonts w:ascii="Verdana" w:eastAsiaTheme="minorEastAsia" w:hAnsi="Verdana" w:cs="Arial"/>
          <w:szCs w:val="24"/>
          <w:lang w:eastAsia="es-CO"/>
        </w:rPr>
        <w:t>virtud</w:t>
      </w:r>
      <w:r w:rsidRPr="00040E25">
        <w:rPr>
          <w:rFonts w:ascii="Verdana" w:eastAsiaTheme="minorEastAsia" w:hAnsi="Verdana" w:cs="Arial"/>
          <w:spacing w:val="-10"/>
          <w:szCs w:val="24"/>
          <w:lang w:eastAsia="es-CO"/>
        </w:rPr>
        <w:t xml:space="preserve"> </w:t>
      </w:r>
      <w:r w:rsidRPr="00040E25">
        <w:rPr>
          <w:rFonts w:ascii="Verdana" w:eastAsiaTheme="minorEastAsia" w:hAnsi="Verdana" w:cs="Arial"/>
          <w:szCs w:val="24"/>
          <w:lang w:eastAsia="es-CO"/>
        </w:rPr>
        <w:t>de</w:t>
      </w:r>
      <w:r w:rsidRPr="00040E25">
        <w:rPr>
          <w:rFonts w:ascii="Verdana" w:eastAsiaTheme="minorEastAsia" w:hAnsi="Verdana" w:cs="Arial"/>
          <w:spacing w:val="-9"/>
          <w:szCs w:val="24"/>
          <w:lang w:eastAsia="es-CO"/>
        </w:rPr>
        <w:t xml:space="preserve"> </w:t>
      </w:r>
      <w:r w:rsidRPr="00040E25">
        <w:rPr>
          <w:rFonts w:ascii="Verdana" w:eastAsiaTheme="minorEastAsia" w:hAnsi="Verdana" w:cs="Arial"/>
          <w:szCs w:val="24"/>
          <w:lang w:eastAsia="es-CO"/>
        </w:rPr>
        <w:t>la</w:t>
      </w:r>
      <w:r w:rsidRPr="00040E25">
        <w:rPr>
          <w:rFonts w:ascii="Verdana" w:eastAsiaTheme="minorEastAsia" w:hAnsi="Verdana" w:cs="Arial"/>
          <w:spacing w:val="-9"/>
          <w:szCs w:val="24"/>
          <w:lang w:eastAsia="es-CO"/>
        </w:rPr>
        <w:t xml:space="preserve"> </w:t>
      </w:r>
      <w:r w:rsidRPr="00040E25">
        <w:rPr>
          <w:rFonts w:ascii="Verdana" w:eastAsiaTheme="minorEastAsia" w:hAnsi="Verdana" w:cs="Arial"/>
          <w:szCs w:val="24"/>
          <w:lang w:eastAsia="es-CO"/>
        </w:rPr>
        <w:t>utilización</w:t>
      </w:r>
      <w:r w:rsidRPr="00040E25">
        <w:rPr>
          <w:rFonts w:ascii="Verdana" w:eastAsiaTheme="minorEastAsia" w:hAnsi="Verdana" w:cs="Arial"/>
          <w:spacing w:val="-9"/>
          <w:szCs w:val="24"/>
          <w:lang w:eastAsia="es-CO"/>
        </w:rPr>
        <w:t xml:space="preserve"> </w:t>
      </w:r>
      <w:r w:rsidRPr="00040E25">
        <w:rPr>
          <w:rFonts w:ascii="Verdana" w:eastAsiaTheme="minorEastAsia" w:hAnsi="Verdana" w:cs="Arial"/>
          <w:szCs w:val="24"/>
          <w:lang w:eastAsia="es-CO"/>
        </w:rPr>
        <w:t>de</w:t>
      </w:r>
      <w:r w:rsidRPr="00040E25">
        <w:rPr>
          <w:rFonts w:ascii="Verdana" w:eastAsiaTheme="minorEastAsia" w:hAnsi="Verdana" w:cs="Arial"/>
          <w:spacing w:val="-9"/>
          <w:szCs w:val="24"/>
          <w:lang w:eastAsia="es-CO"/>
        </w:rPr>
        <w:t xml:space="preserve"> </w:t>
      </w:r>
      <w:r w:rsidRPr="00040E25">
        <w:rPr>
          <w:rFonts w:ascii="Verdana" w:eastAsiaTheme="minorEastAsia" w:hAnsi="Verdana" w:cs="Arial"/>
          <w:szCs w:val="24"/>
          <w:lang w:eastAsia="es-CO"/>
        </w:rPr>
        <w:t>conceptos</w:t>
      </w:r>
      <w:r w:rsidRPr="00040E25">
        <w:rPr>
          <w:rFonts w:ascii="Verdana" w:eastAsiaTheme="minorEastAsia" w:hAnsi="Verdana" w:cs="Arial"/>
          <w:spacing w:val="-10"/>
          <w:szCs w:val="24"/>
          <w:lang w:eastAsia="es-CO"/>
        </w:rPr>
        <w:t xml:space="preserve"> </w:t>
      </w:r>
      <w:r w:rsidRPr="00040E25">
        <w:rPr>
          <w:rFonts w:ascii="Verdana" w:eastAsiaTheme="minorEastAsia" w:hAnsi="Verdana" w:cs="Arial"/>
          <w:szCs w:val="24"/>
          <w:lang w:eastAsia="es-CO"/>
        </w:rPr>
        <w:t>jurídicos</w:t>
      </w:r>
      <w:r w:rsidRPr="00040E25">
        <w:rPr>
          <w:rFonts w:ascii="Verdana" w:eastAsiaTheme="minorEastAsia" w:hAnsi="Verdana" w:cs="Arial"/>
          <w:spacing w:val="-9"/>
          <w:szCs w:val="24"/>
          <w:lang w:eastAsia="es-CO"/>
        </w:rPr>
        <w:t xml:space="preserve"> </w:t>
      </w:r>
      <w:r w:rsidRPr="00040E25">
        <w:rPr>
          <w:rFonts w:ascii="Verdana" w:eastAsiaTheme="minorEastAsia" w:hAnsi="Verdana" w:cs="Arial"/>
          <w:szCs w:val="24"/>
          <w:lang w:eastAsia="es-CO"/>
        </w:rPr>
        <w:t>indeterminados.</w:t>
      </w:r>
      <w:r w:rsidRPr="00040E25">
        <w:rPr>
          <w:rFonts w:ascii="Verdana" w:eastAsiaTheme="minorEastAsia" w:hAnsi="Verdana" w:cs="Arial"/>
          <w:spacing w:val="-9"/>
          <w:szCs w:val="24"/>
          <w:lang w:eastAsia="es-CO"/>
        </w:rPr>
        <w:t xml:space="preserve"> </w:t>
      </w:r>
    </w:p>
    <w:p w14:paraId="64882429" w14:textId="77777777" w:rsidR="00040E25" w:rsidRPr="00040E25" w:rsidRDefault="00040E25" w:rsidP="00040E25">
      <w:pPr>
        <w:tabs>
          <w:tab w:val="left" w:pos="426"/>
        </w:tabs>
        <w:spacing w:line="276" w:lineRule="auto"/>
        <w:ind w:firstLine="709"/>
        <w:jc w:val="both"/>
        <w:rPr>
          <w:rFonts w:ascii="Verdana" w:eastAsia="Calibri" w:hAnsi="Verdana" w:cs="Arial"/>
          <w:color w:val="000000"/>
          <w:lang w:val="es-ES" w:eastAsia="es-ES"/>
        </w:rPr>
      </w:pPr>
      <w:r w:rsidRPr="00040E25">
        <w:rPr>
          <w:rFonts w:ascii="Verdana" w:eastAsia="Calibri" w:hAnsi="Verdana" w:cs="Arial"/>
          <w:bCs/>
          <w:lang w:val="es-ES_tradnl"/>
        </w:rPr>
        <w:t>En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w:t>
      </w:r>
    </w:p>
    <w:p w14:paraId="55E03008" w14:textId="77777777" w:rsidR="00040E25" w:rsidRPr="00040E25" w:rsidRDefault="00040E25" w:rsidP="00040E25">
      <w:pPr>
        <w:spacing w:after="120" w:line="276" w:lineRule="auto"/>
        <w:ind w:firstLine="709"/>
        <w:jc w:val="both"/>
        <w:rPr>
          <w:rFonts w:ascii="Verdana" w:hAnsi="Verdana" w:cs="Arial"/>
          <w:lang w:eastAsia="es-ES"/>
        </w:rPr>
      </w:pPr>
      <w:r w:rsidRPr="00040E25">
        <w:rPr>
          <w:rFonts w:ascii="Verdana" w:eastAsia="Calibri" w:hAnsi="Verdana" w:cs="Arial"/>
          <w:color w:val="000000"/>
          <w:lang w:val="es-ES" w:eastAsia="es-ES"/>
        </w:rPr>
        <w:lastRenderedPageBreak/>
        <w:t>En consecuencia, esta Subdirección en el marco de la función consultiva</w:t>
      </w:r>
      <w:r w:rsidRPr="00040E25">
        <w:rPr>
          <w:rFonts w:ascii="Verdana" w:eastAsia="Calibri" w:hAnsi="Verdana" w:cs="Arial"/>
          <w:color w:val="000000" w:themeColor="text1"/>
          <w:lang w:val="es-ES"/>
        </w:rPr>
        <w:t xml:space="preserve"> emite conceptos que no constituyen lineamientos de obligatorio cumplimiento, sino orientaciones jurídicas que buscan apoyar a las entidades en el entendimiento e interpretación del régimen normativo aplicable,</w:t>
      </w:r>
      <w:r w:rsidRPr="00040E25">
        <w:rPr>
          <w:rFonts w:ascii="Verdana" w:eastAsiaTheme="minorEastAsia" w:hAnsi="Verdana" w:cs="Arial"/>
          <w:szCs w:val="24"/>
          <w:lang w:eastAsia="es-CO"/>
        </w:rPr>
        <w:t xml:space="preserve"> sin</w:t>
      </w:r>
      <w:r w:rsidRPr="00040E25">
        <w:rPr>
          <w:rFonts w:ascii="Verdana" w:eastAsiaTheme="minorEastAsia" w:hAnsi="Verdana" w:cs="Arial"/>
          <w:spacing w:val="1"/>
          <w:szCs w:val="24"/>
          <w:lang w:eastAsia="es-CO"/>
        </w:rPr>
        <w:t xml:space="preserve"> </w:t>
      </w:r>
      <w:r w:rsidRPr="00040E25">
        <w:rPr>
          <w:rFonts w:ascii="Verdana" w:eastAsiaTheme="minorEastAsia" w:hAnsi="Verdana" w:cs="Arial"/>
          <w:szCs w:val="24"/>
          <w:lang w:eastAsia="es-CO"/>
        </w:rPr>
        <w:t>que ello suponga resolver un problema entre partes o asumir la única posible interpretación de</w:t>
      </w:r>
      <w:r w:rsidRPr="00040E25">
        <w:rPr>
          <w:rFonts w:ascii="Verdana" w:eastAsiaTheme="minorEastAsia" w:hAnsi="Verdana" w:cs="Arial"/>
          <w:spacing w:val="1"/>
          <w:szCs w:val="24"/>
          <w:lang w:eastAsia="es-CO"/>
        </w:rPr>
        <w:t xml:space="preserve"> </w:t>
      </w:r>
      <w:r w:rsidRPr="00040E25">
        <w:rPr>
          <w:rFonts w:ascii="Verdana" w:eastAsiaTheme="minorEastAsia" w:hAnsi="Verdana" w:cs="Arial"/>
          <w:szCs w:val="24"/>
          <w:lang w:eastAsia="es-CO"/>
        </w:rPr>
        <w:t>una disposición normativa.</w:t>
      </w:r>
    </w:p>
    <w:p w14:paraId="149F7568" w14:textId="77777777" w:rsidR="00040E25" w:rsidRPr="00040E25" w:rsidRDefault="00040E25" w:rsidP="00040E25">
      <w:pPr>
        <w:widowControl w:val="0"/>
        <w:autoSpaceDE w:val="0"/>
        <w:autoSpaceDN w:val="0"/>
        <w:spacing w:after="120" w:line="276" w:lineRule="auto"/>
        <w:ind w:right="176" w:firstLine="708"/>
        <w:jc w:val="both"/>
        <w:rPr>
          <w:rFonts w:ascii="Verdana" w:hAnsi="Verdana"/>
        </w:rPr>
      </w:pPr>
      <w:r w:rsidRPr="00040E25">
        <w:rPr>
          <w:rFonts w:ascii="Verdana" w:hAnsi="Verdana"/>
        </w:rPr>
        <w:t xml:space="preserve">Dentro de este marco, corresponde a cada entidad pública, en ejercicio de su competencia y previa valoración de los elementos fácticos y jurídicos, así como de las disposiciones legales mencionadas, determinar su gestión contractual.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ni determinar si estas constituyen una infracción a la Ley. </w:t>
      </w:r>
    </w:p>
    <w:p w14:paraId="4467C9BC" w14:textId="77777777" w:rsidR="00040E25" w:rsidRPr="00040E25" w:rsidRDefault="00040E25" w:rsidP="00040E25">
      <w:pPr>
        <w:widowControl w:val="0"/>
        <w:autoSpaceDE w:val="0"/>
        <w:autoSpaceDN w:val="0"/>
        <w:spacing w:after="0" w:line="276" w:lineRule="auto"/>
        <w:jc w:val="both"/>
        <w:rPr>
          <w:rFonts w:ascii="Verdana" w:eastAsia="Arial" w:hAnsi="Verdana" w:cs="Arial"/>
          <w:lang w:val="es-ES"/>
        </w:rPr>
      </w:pPr>
    </w:p>
    <w:p w14:paraId="5CB2F88D" w14:textId="77777777" w:rsidR="00040E25" w:rsidRPr="00040E25" w:rsidRDefault="00040E25" w:rsidP="00040E25">
      <w:pPr>
        <w:numPr>
          <w:ilvl w:val="0"/>
          <w:numId w:val="1"/>
        </w:numPr>
        <w:tabs>
          <w:tab w:val="left" w:pos="142"/>
          <w:tab w:val="left" w:pos="284"/>
        </w:tabs>
        <w:spacing w:after="0" w:line="276" w:lineRule="auto"/>
        <w:jc w:val="both"/>
        <w:rPr>
          <w:rFonts w:ascii="Verdana" w:eastAsia="Century Gothic" w:hAnsi="Verdana" w:cs="Century Gothic"/>
          <w:b/>
          <w:bCs/>
        </w:rPr>
      </w:pPr>
      <w:r w:rsidRPr="00040E25">
        <w:rPr>
          <w:rFonts w:ascii="Verdana" w:eastAsia="Century Gothic" w:hAnsi="Verdana" w:cs="Century Gothic"/>
          <w:b/>
          <w:bCs/>
        </w:rPr>
        <w:t>Referencias normativas y jurisprudenciales:</w:t>
      </w:r>
    </w:p>
    <w:p w14:paraId="58F62F75" w14:textId="77777777" w:rsidR="00040E25" w:rsidRPr="00040E25" w:rsidRDefault="00040E25" w:rsidP="00040E2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40E25" w:rsidRPr="00040E25" w14:paraId="4E398F72" w14:textId="77777777" w:rsidTr="007B55C3">
        <w:trPr>
          <w:trHeight w:val="410"/>
          <w:jc w:val="center"/>
        </w:trPr>
        <w:tc>
          <w:tcPr>
            <w:tcW w:w="8647" w:type="dxa"/>
          </w:tcPr>
          <w:p w14:paraId="77878D77" w14:textId="77777777" w:rsidR="00040E25" w:rsidRPr="00040E25" w:rsidRDefault="00040E25" w:rsidP="00040E25">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040E25">
              <w:rPr>
                <w:rFonts w:ascii="Verdana" w:hAnsi="Verdana" w:cs="Arial"/>
                <w:lang w:val="es-ES"/>
              </w:rPr>
              <w:t xml:space="preserve">Constitución Política de 1991, artículos 360 y 361. </w:t>
            </w:r>
          </w:p>
          <w:p w14:paraId="264B1900" w14:textId="77777777" w:rsidR="00040E25" w:rsidRPr="00040E25" w:rsidRDefault="00040E25" w:rsidP="00040E25">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040E25">
              <w:rPr>
                <w:rFonts w:ascii="Verdana" w:hAnsi="Verdana" w:cs="Arial"/>
                <w:lang w:val="es-ES"/>
              </w:rPr>
              <w:t>Ley 80 de 1993, artículos 40 y 41</w:t>
            </w:r>
          </w:p>
          <w:p w14:paraId="2A0AD7C3" w14:textId="77777777" w:rsidR="00040E25" w:rsidRPr="00040E25" w:rsidRDefault="00040E25" w:rsidP="00040E25">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040E25">
              <w:rPr>
                <w:rFonts w:ascii="Verdana" w:hAnsi="Verdana" w:cs="Arial"/>
                <w:lang w:val="es-ES"/>
              </w:rPr>
              <w:t>Ley 1474 de 2011, artículo 93</w:t>
            </w:r>
          </w:p>
          <w:p w14:paraId="7D04279B" w14:textId="77777777" w:rsidR="00040E25" w:rsidRPr="00040E25" w:rsidRDefault="00040E25" w:rsidP="00040E25">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040E25">
              <w:rPr>
                <w:rFonts w:ascii="Verdana" w:hAnsi="Verdana" w:cs="Arial"/>
              </w:rPr>
              <w:t>Ley 2056 de 2020, artículos 28 a 37, 83, 87, 98, 99, 101, 108 y 109</w:t>
            </w:r>
          </w:p>
          <w:p w14:paraId="2370685C" w14:textId="77777777" w:rsidR="00040E25" w:rsidRPr="00040E25" w:rsidRDefault="00040E25" w:rsidP="00040E25">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040E25">
              <w:rPr>
                <w:rFonts w:ascii="Verdana" w:eastAsia="Aptos" w:hAnsi="Verdana" w:cs="Arial"/>
              </w:rPr>
              <w:t>Consejo De Estado. Sección tercera. Sentencia del 7 de marzo de 2025. Radicación No.69.941. C.P: José Roberto Sáchica.</w:t>
            </w:r>
          </w:p>
          <w:p w14:paraId="2A605F6D" w14:textId="77777777" w:rsidR="00040E25" w:rsidRPr="00040E25" w:rsidRDefault="00040E25" w:rsidP="00040E25">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040E25">
              <w:rPr>
                <w:rFonts w:ascii="Verdana" w:eastAsia="Calibri" w:hAnsi="Verdana" w:cs="Arial"/>
                <w:color w:val="000000" w:themeColor="text1"/>
                <w:lang w:eastAsia="es-ES"/>
              </w:rPr>
              <w:t>Consejo de Estado. Sala de Consulta y Servicio Civil. Concepto 2563 del 25 de junio de 2026. C.P: María del Pilar Bahamón Falla</w:t>
            </w:r>
          </w:p>
        </w:tc>
      </w:tr>
    </w:tbl>
    <w:p w14:paraId="1140E0C2" w14:textId="77777777" w:rsidR="00040E25" w:rsidRPr="00040E25" w:rsidRDefault="00040E25" w:rsidP="00040E25">
      <w:pPr>
        <w:widowControl w:val="0"/>
        <w:autoSpaceDE w:val="0"/>
        <w:autoSpaceDN w:val="0"/>
        <w:spacing w:after="0" w:line="276" w:lineRule="auto"/>
        <w:jc w:val="both"/>
        <w:rPr>
          <w:rFonts w:ascii="Verdana" w:hAnsi="Verdana" w:cs="Arial"/>
        </w:rPr>
      </w:pPr>
    </w:p>
    <w:p w14:paraId="00FB2BE0" w14:textId="77777777" w:rsidR="00040E25" w:rsidRPr="00040E25" w:rsidRDefault="00040E25" w:rsidP="00040E25">
      <w:pPr>
        <w:numPr>
          <w:ilvl w:val="0"/>
          <w:numId w:val="1"/>
        </w:numPr>
        <w:tabs>
          <w:tab w:val="left" w:pos="142"/>
          <w:tab w:val="left" w:pos="284"/>
        </w:tabs>
        <w:spacing w:after="0" w:line="276" w:lineRule="auto"/>
        <w:jc w:val="both"/>
        <w:rPr>
          <w:rFonts w:ascii="Verdana" w:eastAsia="Century Gothic" w:hAnsi="Verdana" w:cs="Century Gothic"/>
          <w:b/>
          <w:bCs/>
        </w:rPr>
      </w:pPr>
      <w:r w:rsidRPr="00040E25">
        <w:rPr>
          <w:rFonts w:ascii="Verdana" w:eastAsia="Century Gothic" w:hAnsi="Verdana" w:cs="Century Gothic"/>
          <w:b/>
          <w:bCs/>
        </w:rPr>
        <w:t>Doctrina de la Agencia Nacional de Contratación Pública:</w:t>
      </w:r>
    </w:p>
    <w:p w14:paraId="3ECEE919" w14:textId="77777777" w:rsidR="00040E25" w:rsidRPr="00040E25" w:rsidRDefault="00040E25" w:rsidP="00040E25">
      <w:pPr>
        <w:widowControl w:val="0"/>
        <w:autoSpaceDE w:val="0"/>
        <w:autoSpaceDN w:val="0"/>
        <w:spacing w:after="0" w:line="276" w:lineRule="auto"/>
        <w:jc w:val="both"/>
        <w:rPr>
          <w:rFonts w:ascii="Verdana" w:hAnsi="Verdana" w:cs="Arial"/>
        </w:rPr>
      </w:pPr>
    </w:p>
    <w:p w14:paraId="22D12AD1" w14:textId="77777777" w:rsidR="00040E25" w:rsidRPr="00040E25" w:rsidRDefault="00040E25" w:rsidP="00040E25">
      <w:pPr>
        <w:widowControl w:val="0"/>
        <w:autoSpaceDE w:val="0"/>
        <w:autoSpaceDN w:val="0"/>
        <w:spacing w:after="120" w:line="276" w:lineRule="auto"/>
        <w:jc w:val="both"/>
        <w:rPr>
          <w:rFonts w:ascii="Verdana" w:hAnsi="Verdana"/>
          <w:shd w:val="clear" w:color="auto" w:fill="FFFFFF"/>
        </w:rPr>
      </w:pPr>
      <w:r w:rsidRPr="00040E25">
        <w:rPr>
          <w:rFonts w:ascii="Verdana" w:hAnsi="Verdana" w:cs="Arial"/>
          <w:shd w:val="clear" w:color="auto" w:fill="FFFFFF"/>
        </w:rPr>
        <w:t xml:space="preserve">Esta Subdirección se ha pronunciado sobre el régimen de contratación de las entidades ejecutoras cuando ejecutan recursos del SGR en los conceptos </w:t>
      </w:r>
      <w:r w:rsidRPr="00040E25">
        <w:rPr>
          <w:rFonts w:ascii="Verdana" w:hAnsi="Verdana"/>
        </w:rPr>
        <w:t>C-370 del 2021,</w:t>
      </w:r>
      <w:r w:rsidRPr="00040E25">
        <w:rPr>
          <w:rFonts w:ascii="Verdana" w:hAnsi="Verdana"/>
          <w:shd w:val="clear" w:color="auto" w:fill="FFFFFF"/>
        </w:rPr>
        <w:t xml:space="preserve"> C-353 del 2 de junio de 2022, C-918 del 9 de diciembre de 2024, C-504 del 1 de octubre 2024, C-951 del 16 de diciembre de 2024, C-285 del 14 de </w:t>
      </w:r>
      <w:r w:rsidRPr="00040E25">
        <w:rPr>
          <w:rFonts w:ascii="Verdana" w:hAnsi="Verdana"/>
          <w:shd w:val="clear" w:color="auto" w:fill="FFFFFF"/>
        </w:rPr>
        <w:lastRenderedPageBreak/>
        <w:t>abril de 2025, C-348 del 25 de abril de 2025, C-370 del 2 de mayo de 2025, C-680 del 8 de julio de 2025, C-914 del 15 de agosto de 2025, C-1065 del 8 de septiembre de 2025, C-225 del 27 de febrero de 2026, C-417 del 2026,</w:t>
      </w:r>
      <w:r w:rsidRPr="00040E25">
        <w:rPr>
          <w:rFonts w:ascii="Verdana" w:hAnsi="Verdana" w:cs="Arial"/>
        </w:rPr>
        <w:t xml:space="preserve"> C-764 del 29 de mayo de 2026</w:t>
      </w:r>
      <w:r w:rsidRPr="00040E25">
        <w:rPr>
          <w:rFonts w:ascii="Verdana" w:hAnsi="Verdana"/>
          <w:shd w:val="clear" w:color="auto" w:fill="FFFFFF"/>
        </w:rPr>
        <w:t>, C-1050 del 21 de julio de 2026, C-1151, C-1152 del 12 de agosto, C-1249 del 27 de agosto de 2026</w:t>
      </w:r>
      <w:r w:rsidRPr="00040E25">
        <w:rPr>
          <w:rFonts w:ascii="Verdana" w:hAnsi="Verdana"/>
        </w:rPr>
        <w:t>, entre otros</w:t>
      </w:r>
      <w:r w:rsidRPr="00040E25">
        <w:rPr>
          <w:rFonts w:ascii="Verdana" w:hAnsi="Verdana" w:cs="Arial"/>
        </w:rPr>
        <w:t>.</w:t>
      </w:r>
      <w:r w:rsidRPr="00040E25">
        <w:rPr>
          <w:rFonts w:ascii="Verdana" w:hAnsi="Verdana"/>
          <w:shd w:val="clear" w:color="auto" w:fill="FFFFFF"/>
        </w:rPr>
        <w:t xml:space="preserve"> </w:t>
      </w:r>
      <w:r w:rsidRPr="00040E25">
        <w:rPr>
          <w:rFonts w:ascii="Verdana" w:hAnsi="Verdana" w:cs="Arial"/>
          <w:shd w:val="clear" w:color="auto" w:fill="FFFFFF"/>
        </w:rPr>
        <w:t>Es</w:t>
      </w:r>
      <w:r w:rsidRPr="00040E25">
        <w:rPr>
          <w:rFonts w:ascii="Verdana" w:hAnsi="Verdana"/>
        </w:rPr>
        <w:t>tos conceptos se encuentran disponibles para consulta en el Sistema de relatoría de la Agencia, al cual se puede acceder a través del siguiente enlace:</w:t>
      </w:r>
      <w:r w:rsidRPr="00040E25">
        <w:rPr>
          <w:rFonts w:ascii="Verdana" w:hAnsi="Verdana" w:cs="Arial"/>
          <w:shd w:val="clear" w:color="auto" w:fill="FFFFFF"/>
        </w:rPr>
        <w:t xml:space="preserve"> </w:t>
      </w:r>
      <w:hyperlink r:id="rId13" w:history="1">
        <w:r w:rsidRPr="00040E25">
          <w:rPr>
            <w:rFonts w:ascii="Verdana" w:hAnsi="Verdana" w:cs="Arial"/>
            <w:color w:val="0563C1" w:themeColor="hyperlink"/>
            <w:u w:val="single"/>
            <w:shd w:val="clear" w:color="auto" w:fill="FFFFFF"/>
          </w:rPr>
          <w:t>https://relatoria.colombiacompra.gov.co/busqueda/conceptos</w:t>
        </w:r>
      </w:hyperlink>
      <w:r w:rsidRPr="00040E25">
        <w:rPr>
          <w:rFonts w:ascii="Verdana" w:hAnsi="Verdana" w:cs="Arial"/>
          <w:shd w:val="clear" w:color="auto" w:fill="FFFFFF"/>
        </w:rPr>
        <w:t>.</w:t>
      </w:r>
      <w:r w:rsidRPr="00040E25">
        <w:rPr>
          <w:rFonts w:ascii="Verdana" w:hAnsi="Verdana" w:cs="Arial"/>
          <w:color w:val="FF0000"/>
          <w:shd w:val="clear" w:color="auto" w:fill="FFFFFF"/>
        </w:rPr>
        <w:t xml:space="preserve"> </w:t>
      </w:r>
      <w:r w:rsidRPr="00040E25">
        <w:rPr>
          <w:rFonts w:ascii="Verdana" w:hAnsi="Verdana" w:cs="Arial"/>
          <w:color w:val="000000" w:themeColor="text1"/>
          <w:shd w:val="clear" w:color="auto" w:fill="FFFFFF"/>
        </w:rPr>
        <w:t> </w:t>
      </w:r>
    </w:p>
    <w:p w14:paraId="4D6464D9" w14:textId="77777777" w:rsidR="00040E25" w:rsidRPr="00040E25" w:rsidRDefault="00040E25" w:rsidP="00040E25">
      <w:pPr>
        <w:widowControl w:val="0"/>
        <w:autoSpaceDE w:val="0"/>
        <w:autoSpaceDN w:val="0"/>
        <w:spacing w:after="120" w:line="276" w:lineRule="auto"/>
        <w:jc w:val="both"/>
        <w:rPr>
          <w:rFonts w:ascii="Verdana" w:hAnsi="Verdana" w:cs="Arial"/>
          <w:color w:val="000000" w:themeColor="text1"/>
          <w:shd w:val="clear" w:color="auto" w:fill="FFFFFF"/>
        </w:rPr>
      </w:pPr>
      <w:r w:rsidRPr="00040E25">
        <w:rPr>
          <w:rFonts w:ascii="Verdana" w:eastAsia="Times New Roman" w:hAnsi="Verdana" w:cs="Times New Roman"/>
          <w:color w:val="000000"/>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040E25">
        <w:rPr>
          <w:rFonts w:ascii="Verdana" w:eastAsia="Times New Roman" w:hAnsi="Verdana" w:cs="Times New Roman"/>
          <w:b/>
          <w:bCs/>
          <w:color w:val="000000"/>
          <w:lang w:eastAsia="es-CO"/>
        </w:rPr>
        <w:t>Guía para la Exigencia y Constitución de Garantías en los Procesos de Contratación</w:t>
      </w:r>
      <w:r w:rsidRPr="00040E25">
        <w:rPr>
          <w:rFonts w:ascii="Verdana" w:eastAsia="Times New Roman" w:hAnsi="Verdana" w:cs="Times New Roman"/>
          <w:color w:val="000000"/>
          <w:lang w:eastAsia="es-CO"/>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gtFrame="_blank" w:tooltip="Dirección URL original: https://www.colombiacompra.gov.co/archivos/manual/guia-de-garantias-en-procesos-de-contratacion. Haga clic o pulse si confía en este vínculo." w:history="1">
        <w:r w:rsidRPr="00040E25">
          <w:rPr>
            <w:rFonts w:ascii="Verdana" w:eastAsia="Times New Roman" w:hAnsi="Verdana" w:cs="Times New Roman"/>
            <w:color w:val="0000FF"/>
            <w:u w:val="single"/>
            <w:bdr w:val="none" w:sz="0" w:space="0" w:color="auto" w:frame="1"/>
            <w:lang w:eastAsia="es-CO"/>
          </w:rPr>
          <w:t>https://www.colombiacompra.gov.co/archivos/manual/guia-de-garantias-en-procesos-de-contratacion</w:t>
        </w:r>
      </w:hyperlink>
    </w:p>
    <w:p w14:paraId="1F7DB944" w14:textId="77777777" w:rsidR="00040E25" w:rsidRPr="00040E25" w:rsidRDefault="00040E25" w:rsidP="00040E25">
      <w:pPr>
        <w:shd w:val="clear" w:color="auto" w:fill="FFFFFF"/>
        <w:spacing w:after="120" w:line="276" w:lineRule="auto"/>
        <w:jc w:val="both"/>
        <w:textAlignment w:val="baseline"/>
        <w:rPr>
          <w:rFonts w:ascii="Verdana" w:eastAsia="Times New Roman" w:hAnsi="Verdana" w:cs="Times New Roman"/>
          <w:color w:val="000000"/>
          <w:lang w:eastAsia="es-CO"/>
        </w:rPr>
      </w:pPr>
      <w:r w:rsidRPr="00040E25">
        <w:rPr>
          <w:rFonts w:ascii="Verdana" w:eastAsia="Times New Roman" w:hAnsi="Verdana" w:cs="Times New Roman"/>
          <w:color w:val="000000"/>
          <w:lang w:eastAsia="es-CO"/>
        </w:rPr>
        <w:t>De otro lado, te contamos que el Decreto 287 del 19 de marzo de 2026 sustituyó los artículos 2.2.1.2.4.2.6., 2.2.1.2.4.2.7. y 2.2.1.2.4.2.8. del Decreto 1082 de 2015 y estructuró el </w:t>
      </w:r>
      <w:r w:rsidRPr="00040E25">
        <w:rPr>
          <w:rFonts w:ascii="Verdana" w:eastAsia="Times New Roman" w:hAnsi="Verdana" w:cs="Times New Roman"/>
          <w:b/>
          <w:bCs/>
          <w:color w:val="000000"/>
          <w:lang w:eastAsia="es-CO"/>
        </w:rPr>
        <w:t>Sistema Integral de Preferencias en favor de las personas con discapacidad</w:t>
      </w:r>
      <w:r w:rsidRPr="00040E25">
        <w:rPr>
          <w:rFonts w:ascii="Verdana" w:eastAsia="Times New Roman" w:hAnsi="Verdana" w:cs="Times New Roman"/>
          <w:color w:val="000000"/>
          <w:lang w:eastAsia="es-CO"/>
        </w:rPr>
        <w:t>, en cumplimiento del artículo 13 de la Ley Estatutaria 1618 de 2013. Para orientar su aplicación, esta Agencia expidió la </w:t>
      </w:r>
      <w:r w:rsidRPr="00040E25">
        <w:rPr>
          <w:rFonts w:ascii="Verdana" w:eastAsia="Times New Roman" w:hAnsi="Verdana" w:cs="Times New Roman"/>
          <w:b/>
          <w:bCs/>
          <w:color w:val="000000"/>
          <w:lang w:eastAsia="es-CO"/>
        </w:rPr>
        <w:t>Circular Externa 003 del 12 de mayo de 2026, </w:t>
      </w:r>
      <w:r w:rsidRPr="00040E25">
        <w:rPr>
          <w:rFonts w:ascii="Verdana" w:eastAsia="Times New Roman" w:hAnsi="Verdana" w:cs="Times New Roman"/>
          <w:color w:val="000000"/>
          <w:lang w:eastAsia="es-CO"/>
        </w:rPr>
        <w:t>en la que precisa quiénes son los beneficiarios, las cinco medidas que integran el sistema y su obligatoriedad según la modalidad de selección, y el régimen de transición aplicable a los procesos en curso. Consúltala aquí: </w:t>
      </w:r>
      <w:hyperlink r:id="rId15" w:tgtFrame="_blank" w:tooltip="Dirección URL original: https://www.colombiacompra.gov.co/archivos/circular/circular-externa-003-de-2026. Haga clic o pulse si confía en este vínculo." w:history="1">
        <w:r w:rsidRPr="00040E25">
          <w:rPr>
            <w:rFonts w:ascii="Verdana" w:eastAsia="Times New Roman" w:hAnsi="Verdana" w:cs="Times New Roman"/>
            <w:color w:val="0000FF"/>
            <w:u w:val="single"/>
            <w:bdr w:val="none" w:sz="0" w:space="0" w:color="auto" w:frame="1"/>
            <w:lang w:eastAsia="es-CO"/>
          </w:rPr>
          <w:t>https://www.colombiacompra.gov.co/archivos/circular/circular-externa-003-de-2026</w:t>
        </w:r>
      </w:hyperlink>
    </w:p>
    <w:p w14:paraId="353936C7" w14:textId="77777777" w:rsidR="00040E25" w:rsidRPr="00040E25" w:rsidRDefault="00040E25" w:rsidP="00040E25">
      <w:pPr>
        <w:shd w:val="clear" w:color="auto" w:fill="FFFFFF"/>
        <w:spacing w:after="120" w:line="276" w:lineRule="auto"/>
        <w:jc w:val="both"/>
        <w:textAlignment w:val="baseline"/>
        <w:rPr>
          <w:rFonts w:ascii="Verdana" w:eastAsia="Times New Roman" w:hAnsi="Verdana" w:cs="Times New Roman"/>
          <w:color w:val="000000"/>
          <w:lang w:eastAsia="es-CO"/>
        </w:rPr>
      </w:pPr>
      <w:r w:rsidRPr="00040E25">
        <w:rPr>
          <w:rFonts w:ascii="Verdana" w:eastAsia="Times New Roman" w:hAnsi="Verdana" w:cs="Times New Roman"/>
          <w:color w:val="000000"/>
          <w:lang w:eastAsia="es-CO"/>
        </w:rPr>
        <w:t>Recuerda también que la</w:t>
      </w:r>
      <w:r w:rsidRPr="00040E25">
        <w:rPr>
          <w:rFonts w:ascii="Verdana" w:eastAsia="Times New Roman" w:hAnsi="Verdana" w:cs="Times New Roman"/>
          <w:b/>
          <w:bCs/>
          <w:color w:val="000000"/>
          <w:lang w:eastAsia="es-CO"/>
        </w:rPr>
        <w:t> información sobre sanciones e inhabilidades </w:t>
      </w:r>
      <w:r w:rsidRPr="00040E25">
        <w:rPr>
          <w:rFonts w:ascii="Verdana" w:eastAsia="Times New Roman" w:hAnsi="Verdana" w:cs="Times New Roman"/>
          <w:color w:val="000000"/>
          <w:lang w:eastAsia="es-CO"/>
        </w:rPr>
        <w:t>solo cumple su función preventiva si llega oportunamente a los registros públicos. Sobre este deber, esta Agencia expidió la </w:t>
      </w:r>
      <w:r w:rsidRPr="00040E25">
        <w:rPr>
          <w:rFonts w:ascii="Verdana" w:eastAsia="Times New Roman" w:hAnsi="Verdana" w:cs="Times New Roman"/>
          <w:b/>
          <w:bCs/>
          <w:color w:val="000000"/>
          <w:lang w:eastAsia="es-CO"/>
        </w:rPr>
        <w:t>Circular Externa 002 del 5 de mayo de 2026,</w:t>
      </w:r>
      <w:r w:rsidRPr="00040E25">
        <w:rPr>
          <w:rFonts w:ascii="Verdana" w:eastAsia="Times New Roman" w:hAnsi="Verdana" w:cs="Times New Roman"/>
          <w:color w:val="000000"/>
          <w:lang w:eastAsia="es-CO"/>
        </w:rPr>
        <w:t xml:space="preserve"> dirigida a todas las entidades del Estado sin distinción de su régimen contractual, en la que reitera la obligatoriedad de reportar caducidades, multas, </w:t>
      </w:r>
      <w:r w:rsidRPr="00040E25">
        <w:rPr>
          <w:rFonts w:ascii="Verdana" w:eastAsia="Times New Roman" w:hAnsi="Verdana" w:cs="Times New Roman"/>
          <w:color w:val="000000"/>
          <w:lang w:eastAsia="es-CO"/>
        </w:rPr>
        <w:lastRenderedPageBreak/>
        <w:t>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Dirección URL original: https://www.colombiacompra.gov.co/archivos/circular/circular-externa-002-de-2026. Haga clic o pulse si confía en este vínculo." w:history="1">
        <w:r w:rsidRPr="00040E25">
          <w:rPr>
            <w:rFonts w:ascii="Verdana" w:eastAsia="Times New Roman" w:hAnsi="Verdana" w:cs="Times New Roman"/>
            <w:color w:val="0000FF"/>
            <w:u w:val="single"/>
            <w:bdr w:val="none" w:sz="0" w:space="0" w:color="auto" w:frame="1"/>
            <w:lang w:eastAsia="es-CO"/>
          </w:rPr>
          <w:t>https://www.colombiacompra.gov.co/archivos/circular/circular-externa-002-de-2026</w:t>
        </w:r>
      </w:hyperlink>
    </w:p>
    <w:p w14:paraId="6EF7384C" w14:textId="77777777" w:rsidR="00040E25" w:rsidRPr="00040E25" w:rsidRDefault="00040E25" w:rsidP="00040E25">
      <w:pPr>
        <w:shd w:val="clear" w:color="auto" w:fill="FFFFFF"/>
        <w:spacing w:after="120" w:line="276" w:lineRule="auto"/>
        <w:jc w:val="both"/>
        <w:textAlignment w:val="baseline"/>
        <w:rPr>
          <w:rFonts w:ascii="Verdana" w:eastAsia="Times New Roman" w:hAnsi="Verdana" w:cs="Times New Roman"/>
          <w:color w:val="000000"/>
          <w:lang w:eastAsia="es-CO"/>
        </w:rPr>
      </w:pPr>
      <w:r w:rsidRPr="00040E25">
        <w:rPr>
          <w:rFonts w:ascii="Verdana" w:eastAsia="Times New Roman" w:hAnsi="Verdana" w:cs="Times New Roman"/>
          <w:color w:val="000000"/>
          <w:lang w:eastAsia="es-CO"/>
        </w:rPr>
        <w:t>Finalmente, si quieres seguir de cerca la actividad de la Agencia, la tercera edición de 2026 del</w:t>
      </w:r>
      <w:r w:rsidRPr="00040E25">
        <w:rPr>
          <w:rFonts w:ascii="Verdana" w:eastAsia="Times New Roman" w:hAnsi="Verdana" w:cs="Times New Roman"/>
          <w:b/>
          <w:bCs/>
          <w:color w:val="000000"/>
          <w:lang w:eastAsia="es-CO"/>
        </w:rPr>
        <w:t> Radar de la Compra Pública</w:t>
      </w:r>
      <w:r w:rsidRPr="00040E25">
        <w:rPr>
          <w:rFonts w:ascii="Verdana" w:eastAsia="Times New Roman" w:hAnsi="Verdana" w:cs="Times New Roman"/>
          <w:color w:val="000000"/>
          <w:lang w:eastAsia="es-CO"/>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gtFrame="_blank" w:tooltip="Dirección URL original: https://www.colombiacompra.gov.co/archivos/boletin/boletin-edicion-n-3-de-2026-radar-de-la-compra-publica. Haga clic o pulse si confía en este vínculo." w:history="1">
        <w:r w:rsidRPr="00040E25">
          <w:rPr>
            <w:rFonts w:ascii="Verdana" w:eastAsia="Times New Roman" w:hAnsi="Verdana" w:cs="Times New Roman"/>
            <w:color w:val="0000FF"/>
            <w:u w:val="single"/>
            <w:bdr w:val="none" w:sz="0" w:space="0" w:color="auto" w:frame="1"/>
            <w:lang w:eastAsia="es-CO"/>
          </w:rPr>
          <w:t>https://www.colombiacompra.gov.co/archivos/boletin/boletin-edicion-n-3-de-2026-radar-de-la-compra-publica</w:t>
        </w:r>
      </w:hyperlink>
      <w:r w:rsidRPr="00040E25">
        <w:rPr>
          <w:rFonts w:ascii="Verdana" w:eastAsia="Times New Roman" w:hAnsi="Verdana" w:cs="Times New Roman"/>
          <w:color w:val="000000"/>
          <w:lang w:eastAsia="es-CO"/>
        </w:rPr>
        <w:t>"</w:t>
      </w:r>
    </w:p>
    <w:p w14:paraId="1D37AACE" w14:textId="77777777" w:rsidR="00040E25" w:rsidRPr="00040E25" w:rsidRDefault="00040E25" w:rsidP="00040E25">
      <w:pPr>
        <w:spacing w:after="0" w:line="276" w:lineRule="auto"/>
        <w:jc w:val="both"/>
        <w:rPr>
          <w:rFonts w:ascii="Verdana" w:hAnsi="Verdana"/>
          <w:lang w:val="es-ES"/>
        </w:rPr>
      </w:pPr>
      <w:r w:rsidRPr="00040E25">
        <w:rPr>
          <w:rFonts w:ascii="Verdana" w:hAnsi="Verdana"/>
          <w:lang w:val="es-ES"/>
        </w:rPr>
        <w:t xml:space="preserve">Por último, lo invitamos a seguirnos en las redes sociales en las cuales se difunde información institucional: </w:t>
      </w:r>
    </w:p>
    <w:p w14:paraId="7BA06997" w14:textId="77777777" w:rsidR="00040E25" w:rsidRPr="00040E25" w:rsidRDefault="00040E25" w:rsidP="00040E25">
      <w:pPr>
        <w:spacing w:after="0" w:line="276" w:lineRule="auto"/>
        <w:jc w:val="both"/>
        <w:rPr>
          <w:rFonts w:ascii="Verdana" w:hAnsi="Verdana"/>
          <w:lang w:val="es-ES"/>
        </w:rPr>
      </w:pPr>
    </w:p>
    <w:p w14:paraId="53FFAE01" w14:textId="77777777" w:rsidR="00040E25" w:rsidRPr="00040E25" w:rsidRDefault="00040E25" w:rsidP="00040E25">
      <w:pPr>
        <w:spacing w:after="0" w:line="276" w:lineRule="auto"/>
        <w:jc w:val="both"/>
        <w:rPr>
          <w:rFonts w:ascii="Verdana" w:hAnsi="Verdana"/>
          <w:lang w:val="es-ES"/>
        </w:rPr>
      </w:pPr>
      <w:r w:rsidRPr="00040E25">
        <w:rPr>
          <w:rFonts w:ascii="Verdana" w:hAnsi="Verdana"/>
          <w:lang w:val="es-ES"/>
        </w:rPr>
        <w:t xml:space="preserve">Twitter: </w:t>
      </w:r>
      <w:r w:rsidRPr="00040E25">
        <w:rPr>
          <w:rFonts w:ascii="Verdana" w:hAnsi="Verdana" w:cs="Arial"/>
          <w:color w:val="0000FF"/>
          <w:u w:val="single"/>
          <w:shd w:val="clear" w:color="auto" w:fill="FFFFFF"/>
          <w:lang w:val="es-ES"/>
        </w:rPr>
        <w:t>@colombiacompra</w:t>
      </w:r>
      <w:r w:rsidRPr="00040E25">
        <w:rPr>
          <w:rFonts w:ascii="Verdana" w:hAnsi="Verdana"/>
          <w:color w:val="4472C4" w:themeColor="accent1"/>
          <w:lang w:val="es-ES"/>
        </w:rPr>
        <w:t xml:space="preserve"> </w:t>
      </w:r>
    </w:p>
    <w:p w14:paraId="12C348CA" w14:textId="77777777" w:rsidR="00040E25" w:rsidRPr="00040E25" w:rsidRDefault="00040E25" w:rsidP="00040E25">
      <w:pPr>
        <w:spacing w:after="0" w:line="276" w:lineRule="auto"/>
        <w:jc w:val="both"/>
        <w:rPr>
          <w:rFonts w:ascii="Verdana" w:hAnsi="Verdana"/>
          <w:lang w:val="es-ES"/>
        </w:rPr>
      </w:pPr>
      <w:r w:rsidRPr="00040E25">
        <w:rPr>
          <w:rFonts w:ascii="Verdana" w:hAnsi="Verdana"/>
          <w:lang w:val="es-ES"/>
        </w:rPr>
        <w:t xml:space="preserve">Facebook: </w:t>
      </w:r>
      <w:proofErr w:type="spellStart"/>
      <w:r w:rsidRPr="00040E25">
        <w:rPr>
          <w:rFonts w:ascii="Verdana" w:hAnsi="Verdana" w:cs="Arial"/>
          <w:color w:val="0000FF"/>
          <w:u w:val="single"/>
          <w:shd w:val="clear" w:color="auto" w:fill="FFFFFF"/>
          <w:lang w:val="es-ES"/>
        </w:rPr>
        <w:t>ColombiaCompraEficiente</w:t>
      </w:r>
      <w:proofErr w:type="spellEnd"/>
    </w:p>
    <w:p w14:paraId="68CC1A7D" w14:textId="77777777" w:rsidR="00040E25" w:rsidRPr="00040E25" w:rsidRDefault="00040E25" w:rsidP="00040E25">
      <w:pPr>
        <w:spacing w:after="0" w:line="276" w:lineRule="auto"/>
        <w:jc w:val="both"/>
        <w:rPr>
          <w:rFonts w:ascii="Verdana" w:hAnsi="Verdana"/>
          <w:lang w:val="es-ES"/>
        </w:rPr>
      </w:pPr>
      <w:r w:rsidRPr="00040E25">
        <w:rPr>
          <w:rFonts w:ascii="Verdana" w:hAnsi="Verdana"/>
          <w:lang w:val="es-ES"/>
        </w:rPr>
        <w:t xml:space="preserve">LinkedIn: </w:t>
      </w:r>
      <w:r w:rsidRPr="00040E25">
        <w:rPr>
          <w:rFonts w:ascii="Verdana" w:hAnsi="Verdana" w:cs="Arial"/>
          <w:color w:val="0000FF"/>
          <w:u w:val="single"/>
          <w:shd w:val="clear" w:color="auto" w:fill="FFFFFF"/>
          <w:lang w:val="es-ES"/>
        </w:rPr>
        <w:t xml:space="preserve">Agencia Nacional de Contratación Pública - Colombia Compra Eficiente </w:t>
      </w:r>
      <w:r w:rsidRPr="00040E25">
        <w:rPr>
          <w:rFonts w:ascii="Verdana" w:hAnsi="Verdana"/>
          <w:lang w:val="es-ES"/>
        </w:rPr>
        <w:t xml:space="preserve">Instagram: </w:t>
      </w:r>
      <w:r w:rsidRPr="00040E25">
        <w:rPr>
          <w:rFonts w:ascii="Verdana" w:hAnsi="Verdana" w:cs="Arial"/>
          <w:color w:val="0000FF"/>
          <w:u w:val="single"/>
          <w:shd w:val="clear" w:color="auto" w:fill="FFFFFF"/>
          <w:lang w:val="es-ES"/>
        </w:rPr>
        <w:t>@colombiacompraeficiente_cce</w:t>
      </w:r>
    </w:p>
    <w:p w14:paraId="79211495" w14:textId="77777777" w:rsidR="00040E25" w:rsidRPr="00040E25" w:rsidRDefault="00040E25" w:rsidP="00040E25">
      <w:pPr>
        <w:spacing w:after="0" w:line="276" w:lineRule="auto"/>
        <w:jc w:val="both"/>
        <w:rPr>
          <w:rFonts w:ascii="Verdana" w:hAnsi="Verdana"/>
          <w:lang w:val="es-ES"/>
        </w:rPr>
      </w:pPr>
    </w:p>
    <w:p w14:paraId="051F9CE8" w14:textId="77777777" w:rsidR="00040E25" w:rsidRPr="00040E25" w:rsidRDefault="00040E25" w:rsidP="00040E25">
      <w:pPr>
        <w:spacing w:before="120" w:after="0" w:line="276" w:lineRule="auto"/>
        <w:jc w:val="both"/>
        <w:rPr>
          <w:rFonts w:ascii="Verdana" w:hAnsi="Verdana"/>
        </w:rPr>
      </w:pPr>
      <w:r w:rsidRPr="00040E25">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8D31EAA" w14:textId="77777777" w:rsidR="00040E25" w:rsidRPr="00040E25" w:rsidRDefault="00040E25" w:rsidP="00040E25">
      <w:pPr>
        <w:widowControl w:val="0"/>
        <w:autoSpaceDE w:val="0"/>
        <w:autoSpaceDN w:val="0"/>
        <w:spacing w:after="0" w:line="276" w:lineRule="auto"/>
        <w:jc w:val="both"/>
        <w:rPr>
          <w:rFonts w:ascii="Verdana" w:hAnsi="Verdana" w:cs="Arial"/>
        </w:rPr>
      </w:pPr>
    </w:p>
    <w:p w14:paraId="464C23F1" w14:textId="77777777" w:rsidR="00040E25" w:rsidRPr="00040E25" w:rsidRDefault="00040E25" w:rsidP="00040E25">
      <w:pPr>
        <w:spacing w:after="0" w:line="276" w:lineRule="auto"/>
        <w:rPr>
          <w:rFonts w:ascii="Verdana" w:hAnsi="Verdana" w:cs="Arial"/>
          <w:lang w:eastAsia="es-CO"/>
        </w:rPr>
      </w:pPr>
      <w:r w:rsidRPr="00040E25">
        <w:rPr>
          <w:rFonts w:ascii="Verdana" w:eastAsia="Times New Roman" w:hAnsi="Verdana" w:cs="Arial"/>
          <w:lang w:eastAsia="es-CO"/>
        </w:rPr>
        <w:t>Atentamente,</w:t>
      </w:r>
      <w:r w:rsidRPr="00040E25">
        <w:rPr>
          <w:rFonts w:ascii="Verdana" w:hAnsi="Verdana" w:cs="Arial"/>
          <w:lang w:eastAsia="es-CO"/>
        </w:rPr>
        <w:t xml:space="preserve"> </w:t>
      </w:r>
    </w:p>
    <w:p w14:paraId="720BB9A0" w14:textId="74178333" w:rsidR="00040E25" w:rsidRPr="00040E25" w:rsidRDefault="00FB1F96" w:rsidP="00040E25">
      <w:pPr>
        <w:spacing w:line="276" w:lineRule="auto"/>
        <w:jc w:val="center"/>
        <w:rPr>
          <w:rFonts w:ascii="Verdana" w:hAnsi="Verdana" w:cs="Arial"/>
          <w:color w:val="000000"/>
          <w:lang w:eastAsia="es-CO"/>
        </w:rPr>
      </w:pPr>
      <w:r>
        <w:rPr>
          <w:noProof/>
        </w:rPr>
        <w:drawing>
          <wp:inline distT="0" distB="0" distL="0" distR="0" wp14:anchorId="45114266" wp14:editId="422D1B18">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40E25" w:rsidRPr="00040E25" w14:paraId="2FC61BB0" w14:textId="77777777" w:rsidTr="007B55C3">
        <w:trPr>
          <w:trHeight w:val="315"/>
        </w:trPr>
        <w:tc>
          <w:tcPr>
            <w:tcW w:w="893" w:type="dxa"/>
            <w:vAlign w:val="center"/>
            <w:hideMark/>
          </w:tcPr>
          <w:p w14:paraId="46DD309A" w14:textId="77777777" w:rsidR="00040E25" w:rsidRPr="00040E25" w:rsidRDefault="00040E25" w:rsidP="00040E25">
            <w:pPr>
              <w:contextualSpacing/>
              <w:rPr>
                <w:rFonts w:ascii="Verdana" w:hAnsi="Verdana" w:cs="Arial"/>
                <w:sz w:val="16"/>
                <w:szCs w:val="16"/>
                <w:lang w:val="es-ES" w:eastAsia="es-ES"/>
              </w:rPr>
            </w:pPr>
            <w:r w:rsidRPr="00040E25">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2E9E58FE" w14:textId="77777777" w:rsidR="00040E25" w:rsidRPr="00040E25" w:rsidRDefault="00040E25" w:rsidP="00040E25">
            <w:pPr>
              <w:contextualSpacing/>
              <w:rPr>
                <w:rFonts w:ascii="Verdana" w:hAnsi="Verdana"/>
                <w:sz w:val="16"/>
                <w:szCs w:val="16"/>
              </w:rPr>
            </w:pPr>
            <w:r w:rsidRPr="00040E25">
              <w:rPr>
                <w:rFonts w:ascii="Verdana" w:hAnsi="Verdana"/>
                <w:sz w:val="16"/>
                <w:szCs w:val="16"/>
              </w:rPr>
              <w:t>Tatiana Baquero Iguarán</w:t>
            </w:r>
          </w:p>
          <w:p w14:paraId="0BC8C1F9" w14:textId="77777777" w:rsidR="00040E25" w:rsidRPr="00040E25" w:rsidRDefault="00040E25" w:rsidP="00040E25">
            <w:pPr>
              <w:contextualSpacing/>
              <w:rPr>
                <w:rFonts w:ascii="Verdana" w:eastAsia="Arial" w:hAnsi="Verdana" w:cs="Arial"/>
                <w:sz w:val="16"/>
                <w:szCs w:val="16"/>
              </w:rPr>
            </w:pPr>
            <w:r w:rsidRPr="00040E25">
              <w:rPr>
                <w:rFonts w:ascii="Verdana" w:hAnsi="Verdana"/>
                <w:sz w:val="16"/>
                <w:szCs w:val="16"/>
              </w:rPr>
              <w:t>Contratista de la Subdirección de Gestión Contractual</w:t>
            </w:r>
          </w:p>
        </w:tc>
      </w:tr>
      <w:tr w:rsidR="00040E25" w:rsidRPr="00040E25" w14:paraId="05BA76FE" w14:textId="77777777" w:rsidTr="007B55C3">
        <w:trPr>
          <w:trHeight w:val="330"/>
        </w:trPr>
        <w:tc>
          <w:tcPr>
            <w:tcW w:w="893" w:type="dxa"/>
            <w:vAlign w:val="center"/>
            <w:hideMark/>
          </w:tcPr>
          <w:p w14:paraId="5E210B8C" w14:textId="77777777" w:rsidR="00040E25" w:rsidRPr="00040E25" w:rsidRDefault="00040E25" w:rsidP="00040E25">
            <w:pPr>
              <w:contextualSpacing/>
              <w:rPr>
                <w:rFonts w:ascii="Verdana" w:hAnsi="Verdana" w:cs="Arial"/>
                <w:sz w:val="16"/>
                <w:szCs w:val="16"/>
                <w:lang w:val="es-ES" w:eastAsia="es-ES"/>
              </w:rPr>
            </w:pPr>
            <w:r w:rsidRPr="00040E25">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4C4E72E" w14:textId="77777777" w:rsidR="00040E25" w:rsidRPr="00040E25" w:rsidRDefault="00040E25" w:rsidP="00040E25">
            <w:pPr>
              <w:spacing w:before="100" w:beforeAutospacing="1" w:afterAutospacing="1"/>
              <w:contextualSpacing/>
              <w:textAlignment w:val="baseline"/>
              <w:rPr>
                <w:rFonts w:ascii="Verdana" w:eastAsia="Times New Roman" w:hAnsi="Verdana" w:cs="Arial"/>
                <w:sz w:val="16"/>
                <w:szCs w:val="16"/>
                <w:lang w:val="es-ES" w:eastAsia="es-ES_tradnl"/>
              </w:rPr>
            </w:pPr>
            <w:r w:rsidRPr="00040E25">
              <w:rPr>
                <w:rFonts w:ascii="Verdana" w:eastAsia="Times New Roman" w:hAnsi="Verdana" w:cs="Arial"/>
                <w:sz w:val="16"/>
                <w:szCs w:val="16"/>
                <w:lang w:val="es-ES" w:eastAsia="es-ES_tradnl"/>
              </w:rPr>
              <w:t>Alejandro Sarmiento Cantillo</w:t>
            </w:r>
          </w:p>
          <w:p w14:paraId="00E5AA14" w14:textId="77777777" w:rsidR="00040E25" w:rsidRPr="00040E25" w:rsidRDefault="00040E25" w:rsidP="00040E25">
            <w:pPr>
              <w:contextualSpacing/>
              <w:textAlignment w:val="baseline"/>
              <w:rPr>
                <w:rFonts w:ascii="Verdana" w:eastAsia="Times New Roman" w:hAnsi="Verdana" w:cs="Segoe UI"/>
                <w:sz w:val="16"/>
                <w:szCs w:val="16"/>
                <w:lang w:eastAsia="es-ES_tradnl"/>
              </w:rPr>
            </w:pPr>
            <w:r w:rsidRPr="00040E25">
              <w:rPr>
                <w:rFonts w:ascii="Verdana" w:eastAsia="Times New Roman" w:hAnsi="Verdana" w:cs="Arial"/>
                <w:sz w:val="16"/>
                <w:szCs w:val="16"/>
                <w:lang w:val="es-ES" w:eastAsia="es-ES_tradnl"/>
              </w:rPr>
              <w:t>Gestor T1 ‒ 15 de la Subdirección de Gestión Contractual</w:t>
            </w:r>
            <w:r w:rsidRPr="00040E25">
              <w:rPr>
                <w:rFonts w:ascii="Verdana" w:eastAsia="Times New Roman" w:hAnsi="Verdana" w:cs="Arial"/>
                <w:sz w:val="16"/>
                <w:szCs w:val="16"/>
                <w:lang w:eastAsia="es-ES_tradnl"/>
              </w:rPr>
              <w:t> </w:t>
            </w:r>
          </w:p>
        </w:tc>
      </w:tr>
      <w:tr w:rsidR="00040E25" w:rsidRPr="00040E25" w14:paraId="78744A71" w14:textId="77777777" w:rsidTr="007B55C3">
        <w:trPr>
          <w:trHeight w:val="300"/>
        </w:trPr>
        <w:tc>
          <w:tcPr>
            <w:tcW w:w="893" w:type="dxa"/>
            <w:vAlign w:val="center"/>
          </w:tcPr>
          <w:p w14:paraId="5D73AAD1" w14:textId="77777777" w:rsidR="00040E25" w:rsidRPr="00040E25" w:rsidRDefault="00040E25" w:rsidP="00040E25">
            <w:pPr>
              <w:contextualSpacing/>
              <w:rPr>
                <w:rFonts w:ascii="Verdana" w:hAnsi="Verdana" w:cs="Arial"/>
                <w:sz w:val="16"/>
                <w:szCs w:val="16"/>
                <w:lang w:val="es-ES" w:eastAsia="es-ES"/>
              </w:rPr>
            </w:pPr>
            <w:r w:rsidRPr="00040E25">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96CF045" w14:textId="77777777" w:rsidR="00040E25" w:rsidRPr="00040E25" w:rsidRDefault="00040E25" w:rsidP="00040E25">
            <w:pPr>
              <w:contextualSpacing/>
              <w:rPr>
                <w:rFonts w:ascii="Verdana" w:eastAsia="Calibri" w:hAnsi="Verdana" w:cs="Arial"/>
                <w:sz w:val="16"/>
                <w:szCs w:val="16"/>
                <w:lang w:val="pt-BR" w:eastAsia="es-ES"/>
              </w:rPr>
            </w:pPr>
            <w:r w:rsidRPr="00040E25">
              <w:rPr>
                <w:rFonts w:ascii="Verdana" w:eastAsia="Calibri" w:hAnsi="Verdana" w:cs="Arial"/>
                <w:sz w:val="16"/>
                <w:szCs w:val="16"/>
                <w:lang w:val="pt-BR" w:eastAsia="es-ES"/>
              </w:rPr>
              <w:t xml:space="preserve">Carolina Quintero </w:t>
            </w:r>
            <w:proofErr w:type="spellStart"/>
            <w:r w:rsidRPr="00040E25">
              <w:rPr>
                <w:rFonts w:ascii="Verdana" w:eastAsia="Calibri" w:hAnsi="Verdana" w:cs="Arial"/>
                <w:sz w:val="16"/>
                <w:szCs w:val="16"/>
                <w:lang w:val="pt-BR" w:eastAsia="es-ES"/>
              </w:rPr>
              <w:t>Gacharná</w:t>
            </w:r>
            <w:proofErr w:type="spellEnd"/>
          </w:p>
          <w:p w14:paraId="234A6793" w14:textId="77777777" w:rsidR="00040E25" w:rsidRPr="00040E25" w:rsidRDefault="00040E25" w:rsidP="00040E25">
            <w:pPr>
              <w:contextualSpacing/>
              <w:rPr>
                <w:rFonts w:ascii="Verdana" w:eastAsia="Calibri" w:hAnsi="Verdana" w:cs="Arial"/>
                <w:sz w:val="16"/>
                <w:szCs w:val="16"/>
                <w:lang w:val="pt-BR" w:eastAsia="es-ES"/>
              </w:rPr>
            </w:pPr>
            <w:r w:rsidRPr="00040E25">
              <w:rPr>
                <w:rFonts w:ascii="Verdana" w:eastAsia="Calibri" w:hAnsi="Verdana" w:cs="Arial"/>
                <w:sz w:val="16"/>
                <w:szCs w:val="16"/>
                <w:lang w:eastAsia="es-ES"/>
              </w:rPr>
              <w:t>Subdirectora</w:t>
            </w:r>
            <w:r w:rsidRPr="00040E25">
              <w:rPr>
                <w:rFonts w:ascii="Verdana" w:eastAsia="Calibri" w:hAnsi="Verdana" w:cs="Arial"/>
                <w:sz w:val="16"/>
                <w:szCs w:val="16"/>
                <w:lang w:val="pt-BR" w:eastAsia="es-ES"/>
              </w:rPr>
              <w:t xml:space="preserve"> de Gestión </w:t>
            </w:r>
            <w:proofErr w:type="spellStart"/>
            <w:r w:rsidRPr="00040E25">
              <w:rPr>
                <w:rFonts w:ascii="Verdana" w:eastAsia="Calibri" w:hAnsi="Verdana" w:cs="Arial"/>
                <w:sz w:val="16"/>
                <w:szCs w:val="16"/>
                <w:lang w:val="pt-BR" w:eastAsia="es-ES"/>
              </w:rPr>
              <w:t>Contractual</w:t>
            </w:r>
            <w:proofErr w:type="spellEnd"/>
            <w:r w:rsidRPr="00040E25">
              <w:rPr>
                <w:rFonts w:ascii="Verdana" w:eastAsia="Calibri" w:hAnsi="Verdana" w:cs="Arial"/>
                <w:sz w:val="16"/>
                <w:szCs w:val="16"/>
                <w:lang w:val="pt-BR" w:eastAsia="es-ES"/>
              </w:rPr>
              <w:t xml:space="preserve"> ANCP – CCE</w:t>
            </w:r>
          </w:p>
        </w:tc>
      </w:tr>
    </w:tbl>
    <w:p w14:paraId="2058BB4D" w14:textId="77777777" w:rsidR="00040E25" w:rsidRPr="00040E25" w:rsidRDefault="00040E25" w:rsidP="00040E25">
      <w:pPr>
        <w:spacing w:after="0" w:line="240" w:lineRule="auto"/>
        <w:jc w:val="both"/>
        <w:textAlignment w:val="baseline"/>
        <w:rPr>
          <w:rFonts w:ascii="Verdana" w:eastAsia="Verdana" w:hAnsi="Verdana" w:cs="Verdana"/>
          <w:lang w:eastAsia="es-CO"/>
        </w:rPr>
      </w:pPr>
    </w:p>
    <w:p w14:paraId="07164255" w14:textId="77777777" w:rsidR="00040E25" w:rsidRPr="00040E25" w:rsidRDefault="00040E25" w:rsidP="00040E25">
      <w:pPr>
        <w:spacing w:after="0" w:line="240" w:lineRule="auto"/>
        <w:jc w:val="both"/>
        <w:textAlignment w:val="baseline"/>
        <w:rPr>
          <w:rFonts w:ascii="Verdana" w:eastAsia="Verdana" w:hAnsi="Verdana" w:cs="Verdana"/>
          <w:lang w:eastAsia="es-CO"/>
        </w:rPr>
      </w:pPr>
    </w:p>
    <w:p w14:paraId="7BFB63AF" w14:textId="0BFC604B" w:rsidR="00040E25" w:rsidRPr="00040E25" w:rsidRDefault="00040E25" w:rsidP="00040E25">
      <w:pPr>
        <w:spacing w:after="0" w:line="240" w:lineRule="auto"/>
        <w:textAlignment w:val="baseline"/>
        <w:rPr>
          <w:rFonts w:ascii="Verdana" w:eastAsia="Verdana" w:hAnsi="Verdana" w:cs="Verdana"/>
          <w:lang w:eastAsia="es-CO"/>
        </w:rPr>
      </w:pPr>
      <w:r w:rsidRPr="00040E25">
        <w:rPr>
          <w:rFonts w:ascii="Verdana" w:eastAsia="Verdana" w:hAnsi="Verdana" w:cs="Verdana"/>
          <w:lang w:eastAsia="es-CO"/>
        </w:rPr>
        <w:t> </w:t>
      </w:r>
      <w:bookmarkEnd w:id="0"/>
      <w:bookmarkEnd w:id="1"/>
    </w:p>
    <w:p w14:paraId="762C223D" w14:textId="77777777" w:rsidR="00040E25" w:rsidRPr="00040E25" w:rsidRDefault="00040E25" w:rsidP="00040E25"/>
    <w:p w14:paraId="47160507" w14:textId="77777777" w:rsidR="00EF1A4D" w:rsidRPr="00040E25" w:rsidRDefault="00EF1A4D" w:rsidP="00040E25"/>
    <w:sectPr w:rsidR="00EF1A4D" w:rsidRPr="00040E25" w:rsidSect="00C44B4C">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6381F" w14:textId="77777777" w:rsidR="004E605C" w:rsidRPr="009B7987" w:rsidRDefault="004E605C" w:rsidP="00B30448">
      <w:pPr>
        <w:spacing w:after="0" w:line="240" w:lineRule="auto"/>
      </w:pPr>
      <w:r w:rsidRPr="009B7987">
        <w:separator/>
      </w:r>
    </w:p>
  </w:endnote>
  <w:endnote w:type="continuationSeparator" w:id="0">
    <w:p w14:paraId="68DC1471" w14:textId="77777777" w:rsidR="004E605C" w:rsidRPr="009B7987" w:rsidRDefault="004E605C" w:rsidP="00B30448">
      <w:pPr>
        <w:spacing w:after="0" w:line="240" w:lineRule="auto"/>
      </w:pPr>
      <w:r w:rsidRPr="009B7987">
        <w:continuationSeparator/>
      </w:r>
    </w:p>
  </w:endnote>
  <w:endnote w:type="continuationNotice" w:id="1">
    <w:p w14:paraId="218D1B76" w14:textId="77777777" w:rsidR="004E605C" w:rsidRPr="009B7987" w:rsidRDefault="004E60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009C5" w14:textId="77777777" w:rsidR="00D36A10" w:rsidRPr="00174B77" w:rsidRDefault="00D36A10" w:rsidP="00D36A10">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Pr>
        <w:rFonts w:ascii="Verdana" w:eastAsiaTheme="minorEastAsia" w:hAnsi="Verdana"/>
        <w:b/>
        <w:bCs/>
        <w:sz w:val="16"/>
        <w:szCs w:val="16"/>
      </w:rPr>
      <w:t>31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6F639D6F" w14:textId="77777777" w:rsidR="00D36A10" w:rsidRDefault="00D36A10" w:rsidP="00D36A10">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5B9BA77B" w14:textId="77777777" w:rsidR="00D36A10" w:rsidRPr="00E41027" w:rsidRDefault="00D36A10" w:rsidP="00D36A10">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D74F2C5" w14:textId="77777777" w:rsidR="00D36A10" w:rsidRDefault="00D36A10" w:rsidP="00D36A10">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p w14:paraId="2B8DBB2A" w14:textId="35CA63B6"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11363" w14:textId="77777777" w:rsidR="004E605C" w:rsidRPr="009B7987" w:rsidRDefault="004E605C" w:rsidP="00B30448">
      <w:pPr>
        <w:spacing w:after="0" w:line="240" w:lineRule="auto"/>
      </w:pPr>
      <w:r w:rsidRPr="009B7987">
        <w:separator/>
      </w:r>
    </w:p>
  </w:footnote>
  <w:footnote w:type="continuationSeparator" w:id="0">
    <w:p w14:paraId="16116EA8" w14:textId="77777777" w:rsidR="004E605C" w:rsidRPr="009B7987" w:rsidRDefault="004E605C" w:rsidP="00B30448">
      <w:pPr>
        <w:spacing w:after="0" w:line="240" w:lineRule="auto"/>
      </w:pPr>
      <w:r w:rsidRPr="009B7987">
        <w:continuationSeparator/>
      </w:r>
    </w:p>
  </w:footnote>
  <w:footnote w:type="continuationNotice" w:id="1">
    <w:p w14:paraId="5C94B90D" w14:textId="77777777" w:rsidR="004E605C" w:rsidRPr="009B7987" w:rsidRDefault="004E605C">
      <w:pPr>
        <w:spacing w:after="0" w:line="240" w:lineRule="auto"/>
      </w:pPr>
    </w:p>
  </w:footnote>
  <w:footnote w:id="2">
    <w:p w14:paraId="12C7B4F6" w14:textId="77777777" w:rsidR="00040E25" w:rsidRPr="00591347" w:rsidRDefault="00040E25" w:rsidP="00040E25">
      <w:pPr>
        <w:spacing w:after="0"/>
        <w:ind w:firstLine="708"/>
        <w:jc w:val="both"/>
        <w:rPr>
          <w:rFonts w:ascii="Verdana" w:hAnsi="Verdana" w:cs="Arial"/>
          <w:sz w:val="16"/>
          <w:szCs w:val="16"/>
        </w:rPr>
      </w:pPr>
      <w:r w:rsidRPr="00591347">
        <w:rPr>
          <w:rStyle w:val="Refdenotaalpie"/>
          <w:rFonts w:ascii="Verdana" w:hAnsi="Verdana" w:cs="Arial"/>
          <w:sz w:val="16"/>
          <w:szCs w:val="16"/>
        </w:rPr>
        <w:footnoteRef/>
      </w:r>
      <w:r w:rsidRPr="00591347">
        <w:rPr>
          <w:rFonts w:ascii="Verdana" w:hAnsi="Verdana" w:cs="Arial"/>
          <w:sz w:val="16"/>
          <w:szCs w:val="16"/>
        </w:rPr>
        <w:t xml:space="preserve"> “</w:t>
      </w:r>
      <w:r w:rsidRPr="00591347">
        <w:rPr>
          <w:rFonts w:ascii="Verdana" w:hAnsi="Verdana" w:cs="Arial"/>
          <w:bCs/>
          <w:sz w:val="16"/>
          <w:szCs w:val="16"/>
        </w:rPr>
        <w:t>Artículo 37. ejecución de proyectos de inversión.</w:t>
      </w:r>
      <w:r w:rsidRPr="00591347">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1" w:anchor="35" w:history="1">
        <w:r w:rsidRPr="00591347">
          <w:rPr>
            <w:rFonts w:ascii="Verdana" w:hAnsi="Verdana" w:cs="Arial"/>
            <w:sz w:val="16"/>
            <w:szCs w:val="16"/>
          </w:rPr>
          <w:t>35</w:t>
        </w:r>
      </w:hyperlink>
      <w:r w:rsidRPr="00591347">
        <w:rPr>
          <w:rFonts w:ascii="Verdana" w:hAnsi="Verdana" w:cs="Arial"/>
          <w:sz w:val="16"/>
          <w:szCs w:val="16"/>
        </w:rPr>
        <w:t> y </w:t>
      </w:r>
      <w:hyperlink r:id="rId2" w:anchor="36" w:history="1">
        <w:r w:rsidRPr="00591347">
          <w:rPr>
            <w:rFonts w:ascii="Verdana" w:hAnsi="Verdana" w:cs="Arial"/>
            <w:sz w:val="16"/>
            <w:szCs w:val="16"/>
          </w:rPr>
          <w:t>36</w:t>
        </w:r>
      </w:hyperlink>
      <w:r w:rsidRPr="00591347">
        <w:rPr>
          <w:rFonts w:ascii="Verdana" w:hAnsi="Verdana" w:cs="Arial"/>
          <w:sz w:val="16"/>
          <w:szCs w:val="16"/>
        </w:rPr>
        <w:t> de la presente ley. así mismo, la entidad ejecutora estará a cargo de la contratación de la interventoría, de conformidad con lo previsto en la presente ley.</w:t>
      </w:r>
    </w:p>
    <w:p w14:paraId="1275F825" w14:textId="77777777" w:rsidR="00040E25" w:rsidRPr="00591347" w:rsidRDefault="00040E25" w:rsidP="00040E25">
      <w:pPr>
        <w:spacing w:after="0"/>
        <w:ind w:firstLine="708"/>
        <w:jc w:val="both"/>
        <w:rPr>
          <w:rFonts w:ascii="Verdana" w:hAnsi="Verdana" w:cs="Arial"/>
          <w:sz w:val="16"/>
          <w:szCs w:val="16"/>
        </w:rPr>
      </w:pPr>
      <w:r w:rsidRPr="00591347">
        <w:rPr>
          <w:rFonts w:ascii="Verdana" w:hAnsi="Verdana" w:cs="Arial"/>
          <w:sz w:val="16"/>
          <w:szCs w:val="16"/>
        </w:rPr>
        <w:t>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los mismos, sin perjuicio de las acciones de control a las que haya lugar.</w:t>
      </w:r>
    </w:p>
    <w:p w14:paraId="52BD4E73" w14:textId="77777777" w:rsidR="00040E25" w:rsidRPr="00591347" w:rsidRDefault="00040E25" w:rsidP="00040E25">
      <w:pPr>
        <w:spacing w:after="0"/>
        <w:ind w:firstLine="708"/>
        <w:jc w:val="both"/>
        <w:rPr>
          <w:rFonts w:ascii="Verdana" w:hAnsi="Verdana" w:cs="Arial"/>
          <w:sz w:val="16"/>
          <w:szCs w:val="16"/>
        </w:rPr>
      </w:pPr>
      <w:r w:rsidRPr="00591347">
        <w:rPr>
          <w:rFonts w:ascii="Verdana" w:hAnsi="Verdana" w:cs="Arial"/>
          <w:bCs/>
          <w:sz w:val="16"/>
          <w:szCs w:val="16"/>
        </w:rPr>
        <w:t>Parágrafo 1o.</w:t>
      </w:r>
      <w:r w:rsidRPr="00591347">
        <w:rPr>
          <w:rFonts w:ascii="Verdana" w:hAnsi="Verdana" w:cs="Arial"/>
          <w:sz w:val="16"/>
          <w:szCs w:val="16"/>
        </w:rPr>
        <w:t xml:space="preserve"> La ejecución de proyectos de 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437775A8" w14:textId="77777777" w:rsidR="00040E25" w:rsidRPr="00591347" w:rsidRDefault="00040E25" w:rsidP="00040E25">
      <w:pPr>
        <w:spacing w:after="0"/>
        <w:ind w:firstLine="708"/>
        <w:jc w:val="both"/>
        <w:rPr>
          <w:rFonts w:ascii="Verdana" w:hAnsi="Verdana" w:cs="Arial"/>
          <w:sz w:val="16"/>
          <w:szCs w:val="16"/>
        </w:rPr>
      </w:pPr>
      <w:r w:rsidRPr="00591347">
        <w:rPr>
          <w:rFonts w:ascii="Verdana" w:hAnsi="Verdana" w:cs="Arial"/>
          <w:bCs/>
          <w:sz w:val="16"/>
          <w:szCs w:val="16"/>
        </w:rPr>
        <w:t>Parágrafo 2o.</w:t>
      </w:r>
      <w:r w:rsidRPr="00591347">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58E98CBD" w14:textId="77777777" w:rsidR="00040E25" w:rsidRPr="00591347" w:rsidRDefault="00040E25" w:rsidP="00040E25">
      <w:pPr>
        <w:spacing w:after="0"/>
        <w:ind w:firstLine="708"/>
        <w:jc w:val="both"/>
        <w:rPr>
          <w:rFonts w:ascii="Verdana" w:hAnsi="Verdana" w:cs="Arial"/>
          <w:sz w:val="16"/>
          <w:szCs w:val="16"/>
        </w:rPr>
      </w:pPr>
      <w:r w:rsidRPr="00591347">
        <w:rPr>
          <w:rFonts w:ascii="Verdana" w:hAnsi="Verdana" w:cs="Arial"/>
          <w:bCs/>
          <w:sz w:val="16"/>
          <w:szCs w:val="16"/>
        </w:rPr>
        <w:t>Parágrafo 3o.</w:t>
      </w:r>
      <w:r w:rsidRPr="00591347">
        <w:rPr>
          <w:rFonts w:ascii="Verdana" w:hAnsi="Verdana" w:cs="Arial"/>
          <w:sz w:val="16"/>
          <w:szCs w:val="16"/>
        </w:rPr>
        <w:t xml:space="preserve"> La entidad designada ejecutora por las entidades u órganos de que tratan los artículos </w:t>
      </w:r>
      <w:hyperlink r:id="rId3" w:anchor="35" w:history="1">
        <w:r w:rsidRPr="00591347">
          <w:rPr>
            <w:rFonts w:ascii="Verdana" w:hAnsi="Verdana" w:cs="Arial"/>
            <w:sz w:val="16"/>
            <w:szCs w:val="16"/>
          </w:rPr>
          <w:t>35</w:t>
        </w:r>
      </w:hyperlink>
      <w:r w:rsidRPr="00591347">
        <w:rPr>
          <w:rFonts w:ascii="Verdana" w:hAnsi="Verdana" w:cs="Arial"/>
          <w:sz w:val="16"/>
          <w:szCs w:val="16"/>
        </w:rPr>
        <w:t xml:space="preserve"> y </w:t>
      </w:r>
      <w:hyperlink r:id="rId4" w:anchor="36" w:history="1">
        <w:r w:rsidRPr="00591347">
          <w:rPr>
            <w:rFonts w:ascii="Verdana" w:hAnsi="Verdana" w:cs="Arial"/>
            <w:sz w:val="16"/>
            <w:szCs w:val="16"/>
          </w:rPr>
          <w:t>36</w:t>
        </w:r>
      </w:hyperlink>
      <w:r w:rsidRPr="00591347">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12C91F48" w14:textId="77777777" w:rsidR="00040E25" w:rsidRPr="00591347" w:rsidRDefault="00040E25" w:rsidP="00040E25">
      <w:pPr>
        <w:spacing w:after="0"/>
        <w:ind w:firstLine="708"/>
        <w:jc w:val="both"/>
        <w:rPr>
          <w:rFonts w:ascii="Verdana" w:hAnsi="Verdana" w:cs="Arial"/>
          <w:sz w:val="16"/>
          <w:szCs w:val="16"/>
        </w:rPr>
      </w:pPr>
      <w:r w:rsidRPr="00591347">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48C1C0DB" w14:textId="77777777" w:rsidR="00040E25" w:rsidRPr="00591347" w:rsidRDefault="00040E25" w:rsidP="00040E25">
      <w:pPr>
        <w:spacing w:after="0"/>
        <w:ind w:firstLine="708"/>
        <w:jc w:val="both"/>
        <w:rPr>
          <w:rFonts w:ascii="Verdana" w:hAnsi="Verdana"/>
          <w:sz w:val="16"/>
          <w:szCs w:val="16"/>
        </w:rPr>
      </w:pPr>
      <w:r w:rsidRPr="00591347">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591347">
        <w:rPr>
          <w:rFonts w:ascii="Verdana" w:hAnsi="Verdana" w:cs="Arial"/>
          <w:sz w:val="16"/>
          <w:szCs w:val="16"/>
          <w:lang w:val="es-ES"/>
        </w:rPr>
        <w:t>”</w:t>
      </w:r>
      <w:r w:rsidRPr="00591347">
        <w:rPr>
          <w:rFonts w:ascii="Verdana" w:hAnsi="Verdana" w:cs="Arial"/>
          <w:sz w:val="16"/>
          <w:szCs w:val="16"/>
        </w:rPr>
        <w:t>.</w:t>
      </w:r>
    </w:p>
  </w:footnote>
  <w:footnote w:id="3">
    <w:p w14:paraId="4C107823" w14:textId="77777777" w:rsidR="00040E25" w:rsidRPr="00591347" w:rsidRDefault="00040E25" w:rsidP="00040E25">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Artículo 84.</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olor w:val="000000" w:themeColor="text1"/>
          <w:sz w:val="16"/>
          <w:szCs w:val="16"/>
        </w:rPr>
        <w:t xml:space="preserve"> </w:t>
      </w:r>
      <w:r w:rsidRPr="00591347">
        <w:rPr>
          <w:rStyle w:val="baj"/>
          <w:rFonts w:ascii="Verdana" w:hAnsi="Verdana" w:cs="Arial"/>
          <w:color w:val="000000" w:themeColor="text1"/>
          <w:sz w:val="16"/>
          <w:szCs w:val="16"/>
        </w:rPr>
        <w:t>PARÁGRAFO 2o.</w:t>
      </w:r>
      <w:r w:rsidRPr="00591347">
        <w:rPr>
          <w:rFonts w:ascii="Verdana" w:hAnsi="Verdana" w:cs="Arial"/>
          <w:color w:val="000000" w:themeColor="text1"/>
          <w:sz w:val="16"/>
          <w:szCs w:val="16"/>
        </w:rPr>
        <w:t xml:space="preserve"> La ejecución de los proyectos de inversión financiados con recursos del Sistema General de Regalías se adelantará con estricta sujeción al régimen presupuestal definido en esta ley </w:t>
      </w:r>
      <w:r w:rsidRPr="00591347">
        <w:rPr>
          <w:rFonts w:ascii="Verdana" w:hAnsi="Verdana" w:cs="Arial"/>
          <w:i/>
          <w:iCs/>
          <w:color w:val="000000" w:themeColor="text1"/>
          <w:sz w:val="16"/>
          <w:szCs w:val="16"/>
        </w:rPr>
        <w:t>y al de contratación pública</w:t>
      </w:r>
      <w:r w:rsidRPr="00591347">
        <w:rPr>
          <w:rFonts w:ascii="Verdana" w:hAnsi="Verdana" w:cs="Arial"/>
          <w:color w:val="000000" w:themeColor="text1"/>
          <w:sz w:val="16"/>
          <w:szCs w:val="16"/>
        </w:rPr>
        <w:t xml:space="preserve"> y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4">
    <w:p w14:paraId="2EDDA3BE" w14:textId="77777777" w:rsidR="00040E25" w:rsidRPr="00591347" w:rsidRDefault="00040E25" w:rsidP="00040E25">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98.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PARÁGRAFO 2o. La ejecución de proyectos de inversión de que trata este artículo, se adelantará, con estricta sujeción al régimen presupuestal definido en esta ley y </w:t>
      </w:r>
      <w:r w:rsidRPr="00591347">
        <w:rPr>
          <w:rFonts w:ascii="Verdana" w:hAnsi="Verdana"/>
          <w:i/>
          <w:iCs/>
          <w:sz w:val="16"/>
          <w:szCs w:val="16"/>
          <w:lang w:val="es-CO"/>
        </w:rPr>
        <w:t>al de contratación pública</w:t>
      </w:r>
      <w:r w:rsidRPr="00591347">
        <w:rPr>
          <w:rFonts w:ascii="Verdana" w:hAnsi="Verdana"/>
          <w:sz w:val="16"/>
          <w:szCs w:val="16"/>
          <w:lang w:val="es-CO"/>
        </w:rPr>
        <w:t xml:space="preserve">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5">
    <w:p w14:paraId="07DF7F60" w14:textId="77777777" w:rsidR="00040E25" w:rsidRPr="00591347" w:rsidRDefault="00040E25" w:rsidP="00040E25">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4" w:name="99"/>
      <w:r w:rsidRPr="00591347">
        <w:rPr>
          <w:rFonts w:ascii="Verdana" w:hAnsi="Verdana"/>
          <w:sz w:val="16"/>
          <w:szCs w:val="16"/>
          <w:lang w:val="es-CO"/>
        </w:rPr>
        <w:t xml:space="preserve">Artículo 99.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Ejecución De Recursos.</w:t>
      </w:r>
      <w:bookmarkEnd w:id="4"/>
      <w:r w:rsidRPr="00591347">
        <w:rPr>
          <w:rFonts w:ascii="Verdana" w:hAnsi="Verdana"/>
          <w:sz w:val="16"/>
          <w:szCs w:val="16"/>
          <w:lang w:val="es-CO"/>
        </w:rPr>
        <w:t xml:space="preserve"> Los actos o contratos que expidan o celebren los ejecutores se regirán por las normas presupuestales contenidas en la presente ley, </w:t>
      </w:r>
      <w:r w:rsidRPr="00591347">
        <w:rPr>
          <w:rFonts w:ascii="Verdana" w:hAnsi="Verdana"/>
          <w:i/>
          <w:iCs/>
          <w:sz w:val="16"/>
          <w:szCs w:val="16"/>
          <w:lang w:val="es-CO"/>
        </w:rPr>
        <w:t>el Estatuto de Contratación Estatal</w:t>
      </w:r>
      <w:r w:rsidRPr="00591347">
        <w:rPr>
          <w:rFonts w:ascii="Verdana" w:hAnsi="Verdana"/>
          <w:sz w:val="16"/>
          <w:szCs w:val="16"/>
          <w:lang w:val="es-CO"/>
        </w:rPr>
        <w:t>, las normas contables que para este efecto defina la Contaduría General de la Nación y las demás disposiciones complementarias.</w:t>
      </w:r>
    </w:p>
  </w:footnote>
  <w:footnote w:id="6">
    <w:p w14:paraId="24264711" w14:textId="77777777" w:rsidR="00040E25" w:rsidRPr="00591347" w:rsidRDefault="00040E25" w:rsidP="00040E25">
      <w:pPr>
        <w:pStyle w:val="Textonotapie"/>
        <w:ind w:firstLine="709"/>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108.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PARÁGRAFO 2o. La ejecución de proyectos de inversión de que trata este artículo, se adelantará, con estricta sujeción al régimen presupuestal definido en esta ley y al de contratación pública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7">
    <w:p w14:paraId="6B810BB3" w14:textId="77777777" w:rsidR="00040E25" w:rsidRPr="00591347" w:rsidRDefault="00040E25" w:rsidP="00040E25">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5" w:name="109"/>
      <w:r w:rsidRPr="00591347">
        <w:rPr>
          <w:rFonts w:ascii="Verdana" w:hAnsi="Verdana" w:cs="Arial"/>
          <w:color w:val="000000" w:themeColor="text1"/>
          <w:sz w:val="16"/>
          <w:szCs w:val="16"/>
        </w:rPr>
        <w:t xml:space="preserve">Artículo 109.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s="Arial"/>
          <w:color w:val="000000" w:themeColor="text1"/>
          <w:sz w:val="16"/>
          <w:szCs w:val="16"/>
        </w:rPr>
        <w:t>Ejecución De Recursos.</w:t>
      </w:r>
      <w:bookmarkEnd w:id="5"/>
      <w:r w:rsidRPr="00591347">
        <w:rPr>
          <w:rFonts w:ascii="Verdana" w:hAnsi="Verdana" w:cs="Arial"/>
          <w:color w:val="000000" w:themeColor="text1"/>
          <w:sz w:val="16"/>
          <w:szCs w:val="16"/>
        </w:rPr>
        <w:t xml:space="preserve"> Los actos o contratos que expidan o celebren los ejecutores se regirán por las normas presupuestales contenidas en la presente ley, </w:t>
      </w:r>
      <w:r w:rsidRPr="00591347">
        <w:rPr>
          <w:rFonts w:ascii="Verdana" w:hAnsi="Verdana" w:cs="Arial"/>
          <w:i/>
          <w:iCs/>
          <w:color w:val="000000" w:themeColor="text1"/>
          <w:sz w:val="16"/>
          <w:szCs w:val="16"/>
        </w:rPr>
        <w:t>el Estatuto de Contratación Estatal,</w:t>
      </w:r>
      <w:r w:rsidRPr="00591347">
        <w:rPr>
          <w:rFonts w:ascii="Verdana" w:hAnsi="Verdana" w:cs="Arial"/>
          <w:color w:val="000000" w:themeColor="text1"/>
          <w:sz w:val="16"/>
          <w:szCs w:val="16"/>
        </w:rPr>
        <w:t xml:space="preserve"> las normas contables que para este efecto defina la Contaduría General de la Nación y las demás disposiciones complementarias.</w:t>
      </w:r>
    </w:p>
  </w:footnote>
  <w:footnote w:id="8">
    <w:p w14:paraId="50AAB887" w14:textId="77777777" w:rsidR="00040E25" w:rsidRPr="00591347" w:rsidRDefault="00040E25" w:rsidP="00040E25">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Consejo De Estado. Sección tercera. Sentencia del 7 de marzo de 2025. Radicación No.69.941. C.P: José Roberto Sáchica. </w:t>
      </w:r>
    </w:p>
  </w:footnote>
  <w:footnote w:id="9">
    <w:p w14:paraId="4075FF77" w14:textId="77777777" w:rsidR="00040E25" w:rsidRPr="00591347" w:rsidRDefault="00040E25" w:rsidP="00040E25">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La exposición de motivos de la Ley 2056 de 2020 explica que “el proyecto de ley prevé que los proyectos de inversión que se financien con cargo al SGR serán ejecutados por quien designe la entidad u órgano que apruebe y priorice el respetivo proyecto, y que la entidad ejecutora estará a cargo de la contratación de la interventoría, la cual se regirá por los establecido en el Estatuto General de Contratación de la Administración Pública vigente</w:t>
      </w:r>
      <w:r w:rsidRPr="00591347">
        <w:rPr>
          <w:rFonts w:ascii="Verdana" w:hAnsi="Verdana" w:cs="Arial"/>
          <w:sz w:val="16"/>
          <w:szCs w:val="16"/>
          <w:lang w:val="es-ES"/>
        </w:rPr>
        <w:t xml:space="preserve">. Gaceta 638 del 2020 Disponible en: </w:t>
      </w:r>
      <w:hyperlink r:id="rId5" w:history="1">
        <w:r w:rsidRPr="00591347">
          <w:rPr>
            <w:rStyle w:val="Hipervnculo"/>
            <w:rFonts w:ascii="Verdana" w:hAnsi="Verdana" w:cs="Arial"/>
            <w:sz w:val="16"/>
            <w:szCs w:val="16"/>
            <w:lang w:val="es-ES"/>
          </w:rPr>
          <w:t>https://leyes.senado.gov.co/proyectos/index.php/proyectos-ley/cuatrenio-2018-2022/2020-2021/article/200-por-el-cual-se-regula-la-organizacion-y-el-funcionamiento-del-sistema-general-de-regalias-mensaje-de-urgencia</w:t>
        </w:r>
      </w:hyperlink>
    </w:p>
  </w:footnote>
  <w:footnote w:id="10">
    <w:p w14:paraId="09D64BB4" w14:textId="77777777" w:rsidR="00040E25" w:rsidRPr="00945863" w:rsidRDefault="00040E25" w:rsidP="00040E25">
      <w:pPr>
        <w:pStyle w:val="Textonotapie"/>
        <w:ind w:firstLine="709"/>
        <w:rPr>
          <w:lang w:val="es-CO"/>
        </w:rPr>
      </w:pPr>
      <w:r>
        <w:rPr>
          <w:rStyle w:val="Refdenotaalpie"/>
        </w:rPr>
        <w:footnoteRef/>
      </w:r>
      <w:r>
        <w:t xml:space="preserve"> </w:t>
      </w:r>
      <w:r w:rsidRPr="00945863">
        <w:rPr>
          <w:rFonts w:ascii="Verdana" w:eastAsia="Calibri" w:hAnsi="Verdana" w:cs="Arial"/>
          <w:color w:val="000000" w:themeColor="text1"/>
          <w:sz w:val="16"/>
          <w:szCs w:val="16"/>
          <w:lang w:eastAsia="es-ES"/>
        </w:rPr>
        <w:t>Consejo de Estado. Sala de Consulta y Servicio Civil. Concepto 2563 del 25 de junio de 2026. C.P: María del Pilar Bahamón Falla</w:t>
      </w:r>
    </w:p>
  </w:footnote>
  <w:footnote w:id="11">
    <w:p w14:paraId="7D22F933" w14:textId="77777777" w:rsidR="00040E25" w:rsidRDefault="00040E25" w:rsidP="00040E25">
      <w:pPr>
        <w:pStyle w:val="NormalWeb"/>
        <w:spacing w:after="0"/>
        <w:ind w:firstLine="709"/>
        <w:jc w:val="both"/>
        <w:rPr>
          <w:rFonts w:ascii="Verdana" w:hAnsi="Verdana" w:cs="Arial"/>
          <w:color w:val="000000" w:themeColor="text1"/>
          <w:sz w:val="16"/>
          <w:szCs w:val="16"/>
        </w:rPr>
      </w:pPr>
      <w:r>
        <w:rPr>
          <w:rStyle w:val="Refdenotaalpie"/>
          <w:rFonts w:ascii="Verdana" w:hAnsi="Verdana" w:cs="Arial"/>
          <w:sz w:val="16"/>
          <w:szCs w:val="16"/>
        </w:rPr>
        <w:footnoteRef/>
      </w:r>
      <w:r>
        <w:rPr>
          <w:rFonts w:ascii="Verdana" w:hAnsi="Verdana" w:cs="Arial"/>
          <w:color w:val="000000" w:themeColor="text1"/>
          <w:sz w:val="16"/>
          <w:szCs w:val="16"/>
        </w:rPr>
        <w:t xml:space="preserve"> Ley 1150 de 2007. “Artículo 20: 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de 1993. Los recursos de contrapartida vinculados a estas operaciones podrán tener el mismo tratamiento.</w:t>
      </w:r>
    </w:p>
    <w:p w14:paraId="41BF1E4D" w14:textId="77777777" w:rsidR="00040E25" w:rsidRDefault="00040E25" w:rsidP="00040E25">
      <w:pPr>
        <w:pStyle w:val="NormalWeb"/>
        <w:spacing w:after="0"/>
        <w:ind w:firstLine="709"/>
        <w:jc w:val="both"/>
        <w:rPr>
          <w:rFonts w:ascii="Verdana" w:hAnsi="Verdana" w:cs="Arial"/>
          <w:color w:val="000000" w:themeColor="text1"/>
          <w:sz w:val="16"/>
          <w:szCs w:val="16"/>
        </w:rPr>
      </w:pPr>
      <w:r>
        <w:rPr>
          <w:rFonts w:ascii="Verdana" w:hAnsi="Verdana" w:cs="Arial"/>
          <w:color w:val="000000" w:themeColor="text1"/>
          <w:sz w:val="16"/>
          <w:szCs w:val="16"/>
        </w:rPr>
        <w:t xml:space="preserve">Los contratos o convenios celebrados con </w:t>
      </w:r>
      <w:bookmarkStart w:id="6" w:name="_Hlk148436103"/>
      <w:r>
        <w:rPr>
          <w:rFonts w:ascii="Verdana" w:hAnsi="Verdana" w:cs="Arial"/>
          <w:color w:val="000000" w:themeColor="text1"/>
          <w:sz w:val="16"/>
          <w:szCs w:val="16"/>
        </w:rPr>
        <w:t>personas extranjeras de derecho público u organismos de derecho internacional</w:t>
      </w:r>
      <w:bookmarkEnd w:id="6"/>
      <w:r>
        <w:rPr>
          <w:rFonts w:ascii="Verdana" w:hAnsi="Verdana" w:cs="Arial"/>
          <w:color w:val="000000" w:themeColor="text1"/>
          <w:sz w:val="16"/>
          <w:szCs w:val="16"/>
        </w:rPr>
        <w:t xml:space="preserve">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14:paraId="5BFA44B7" w14:textId="77777777" w:rsidR="00040E25" w:rsidRDefault="00040E25" w:rsidP="00040E25">
      <w:pPr>
        <w:pStyle w:val="NormalWeb"/>
        <w:spacing w:after="0"/>
        <w:ind w:firstLine="709"/>
        <w:jc w:val="both"/>
        <w:rPr>
          <w:rFonts w:ascii="Verdana" w:hAnsi="Verdana" w:cs="Arial"/>
          <w:color w:val="000000" w:themeColor="text1"/>
          <w:sz w:val="16"/>
          <w:szCs w:val="16"/>
        </w:rPr>
      </w:pPr>
      <w:r>
        <w:rPr>
          <w:rFonts w:ascii="Verdana" w:hAnsi="Verdana" w:cs="Arial"/>
          <w:color w:val="000000" w:themeColor="text1"/>
          <w:sz w:val="16"/>
          <w:szCs w:val="16"/>
        </w:rPr>
        <w:t>Las entidades estatales no podrán celebrar contratos o convenios para la administración o gerencia de sus recursos propios o de aquellos que les asignen los presupuestos públicos, con organismos de cooperación, asistencia o ayuda internacional.</w:t>
      </w:r>
    </w:p>
    <w:p w14:paraId="2B2B0B08" w14:textId="77777777" w:rsidR="00040E25" w:rsidRDefault="00040E25" w:rsidP="00040E25">
      <w:pPr>
        <w:pStyle w:val="NormalWeb"/>
        <w:spacing w:after="0"/>
        <w:ind w:firstLine="709"/>
        <w:jc w:val="both"/>
        <w:rPr>
          <w:rFonts w:ascii="Verdana" w:hAnsi="Verdana" w:cs="Arial"/>
          <w:color w:val="000000" w:themeColor="text1"/>
          <w:sz w:val="16"/>
          <w:szCs w:val="16"/>
        </w:rPr>
      </w:pPr>
      <w:r>
        <w:rPr>
          <w:rStyle w:val="baj"/>
          <w:rFonts w:ascii="Verdana" w:hAnsi="Verdana" w:cs="Arial"/>
          <w:color w:val="000000" w:themeColor="text1"/>
          <w:sz w:val="16"/>
          <w:szCs w:val="16"/>
        </w:rPr>
        <w:t>PARÁGRAFO 1o.</w:t>
      </w:r>
      <w:r>
        <w:rPr>
          <w:rFonts w:ascii="Verdana" w:hAnsi="Verdana" w:cs="Arial"/>
          <w:color w:val="000000" w:themeColor="text1"/>
          <w:sz w:val="16"/>
          <w:szCs w:val="16"/>
        </w:rPr>
        <w:t> </w:t>
      </w:r>
      <w:bookmarkStart w:id="7" w:name="_Hlk148436375"/>
      <w:r>
        <w:rPr>
          <w:rFonts w:ascii="Verdana" w:hAnsi="Verdana" w:cs="Arial"/>
          <w:color w:val="000000" w:themeColor="text1"/>
          <w:sz w:val="16"/>
          <w:szCs w:val="16"/>
        </w:rPr>
        <w:t>Los contratos o acuerdos celebrados con personas extranjeras de derecho público, podrán someterse a las reglas de tales organismos</w:t>
      </w:r>
      <w:bookmarkEnd w:id="7"/>
      <w:r>
        <w:rPr>
          <w:rFonts w:ascii="Verdana" w:hAnsi="Verdana" w:cs="Arial"/>
          <w:color w:val="000000" w:themeColor="text1"/>
          <w:sz w:val="16"/>
          <w:szCs w:val="16"/>
        </w:rPr>
        <w:t>.</w:t>
      </w:r>
    </w:p>
    <w:p w14:paraId="2D52F09F" w14:textId="77777777" w:rsidR="00040E25" w:rsidRDefault="00040E25" w:rsidP="00040E25">
      <w:pPr>
        <w:pStyle w:val="NormalWeb"/>
        <w:spacing w:after="0"/>
        <w:ind w:firstLine="709"/>
        <w:jc w:val="both"/>
        <w:rPr>
          <w:rFonts w:ascii="Verdana" w:hAnsi="Verdana" w:cs="Arial"/>
          <w:color w:val="000000" w:themeColor="text1"/>
          <w:sz w:val="16"/>
          <w:szCs w:val="16"/>
        </w:rPr>
      </w:pPr>
      <w:r>
        <w:rPr>
          <w:rStyle w:val="baj"/>
          <w:rFonts w:ascii="Verdana" w:hAnsi="Verdana" w:cs="Arial"/>
          <w:color w:val="000000" w:themeColor="text1"/>
          <w:sz w:val="16"/>
          <w:szCs w:val="16"/>
        </w:rPr>
        <w:t>PARÁGRAFO 2o.</w:t>
      </w:r>
      <w:r>
        <w:rPr>
          <w:rFonts w:ascii="Verdana" w:hAnsi="Verdana" w:cs="Arial"/>
          <w:color w:val="000000" w:themeColor="text1"/>
          <w:sz w:val="16"/>
          <w:szCs w:val="16"/>
        </w:rPr>
        <w:t> Las entidades estatales tendrán la obligación de reportar la información a los organismos de control y al Secop relativa a la ejecución de los contratos a los que se refiere el presente artículo.</w:t>
      </w:r>
    </w:p>
    <w:p w14:paraId="61E5DEDF" w14:textId="77777777" w:rsidR="00040E25" w:rsidRDefault="00040E25" w:rsidP="00040E25">
      <w:pPr>
        <w:pStyle w:val="NormalWeb"/>
        <w:spacing w:after="0"/>
        <w:ind w:firstLine="709"/>
        <w:jc w:val="both"/>
        <w:rPr>
          <w:rFonts w:ascii="Verdana" w:hAnsi="Verdana" w:cs="Arial"/>
          <w:color w:val="000000" w:themeColor="text1"/>
          <w:sz w:val="16"/>
          <w:szCs w:val="16"/>
        </w:rPr>
      </w:pPr>
      <w:r>
        <w:rPr>
          <w:rStyle w:val="baj"/>
          <w:rFonts w:ascii="Verdana" w:hAnsi="Verdana" w:cs="Arial"/>
          <w:color w:val="000000" w:themeColor="text1"/>
          <w:sz w:val="16"/>
          <w:szCs w:val="16"/>
        </w:rPr>
        <w:t>PARÁGRAFO 3o.</w:t>
      </w:r>
      <w:r>
        <w:rPr>
          <w:rFonts w:ascii="Verdana" w:hAnsi="Verdana" w:cs="Arial"/>
          <w:color w:val="000000" w:themeColor="text1"/>
          <w:sz w:val="16"/>
          <w:szCs w:val="16"/>
        </w:rPr>
        <w:t> 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p>
  </w:footnote>
  <w:footnote w:id="12">
    <w:p w14:paraId="4AA40C6B" w14:textId="77777777" w:rsidR="00040E25" w:rsidRDefault="00040E25" w:rsidP="00040E25">
      <w:pPr>
        <w:pStyle w:val="NormalWeb"/>
        <w:shd w:val="clear" w:color="auto" w:fill="FFFFFF"/>
        <w:spacing w:after="0"/>
        <w:ind w:firstLine="709"/>
        <w:jc w:val="both"/>
        <w:rPr>
          <w:rFonts w:ascii="Verdana" w:hAnsi="Verdana" w:cs="Arial"/>
          <w:color w:val="000000" w:themeColor="text1"/>
          <w:sz w:val="16"/>
          <w:szCs w:val="16"/>
        </w:rPr>
      </w:pPr>
      <w:r>
        <w:rPr>
          <w:rStyle w:val="Refdenotaalpie"/>
          <w:rFonts w:ascii="Verdana" w:hAnsi="Verdana" w:cs="Arial"/>
          <w:sz w:val="16"/>
          <w:szCs w:val="16"/>
        </w:rPr>
        <w:footnoteRef/>
      </w:r>
      <w:r>
        <w:rPr>
          <w:rFonts w:ascii="Verdana" w:hAnsi="Verdana" w:cs="Arial"/>
          <w:color w:val="000000" w:themeColor="text1"/>
          <w:sz w:val="16"/>
          <w:szCs w:val="16"/>
        </w:rPr>
        <w:t xml:space="preserve"> Decreto 1082 de 2015. “Artículo </w:t>
      </w:r>
      <w:r>
        <w:rPr>
          <w:rStyle w:val="Fuerte"/>
          <w:rFonts w:ascii="Verdana" w:hAnsi="Verdana" w:cs="Arial"/>
          <w:b w:val="0"/>
          <w:bCs w:val="0"/>
          <w:color w:val="000000" w:themeColor="text1"/>
          <w:sz w:val="16"/>
          <w:szCs w:val="16"/>
        </w:rPr>
        <w:t>2.2.1.2.4.4.1.</w:t>
      </w:r>
      <w:r>
        <w:rPr>
          <w:rStyle w:val="Fuerte"/>
          <w:rFonts w:ascii="Verdana" w:hAnsi="Verdana" w:cs="Arial"/>
          <w:color w:val="000000" w:themeColor="text1"/>
          <w:sz w:val="16"/>
          <w:szCs w:val="16"/>
        </w:rPr>
        <w:t> </w:t>
      </w:r>
      <w:r>
        <w:rPr>
          <w:rStyle w:val="nfasis"/>
          <w:rFonts w:ascii="Verdana" w:hAnsi="Verdana" w:cs="Arial"/>
          <w:i w:val="0"/>
          <w:iCs w:val="0"/>
          <w:color w:val="000000" w:themeColor="text1"/>
          <w:sz w:val="16"/>
          <w:szCs w:val="16"/>
        </w:rPr>
        <w:t>Régimen aplicable a los contratos o convenios de cooperación Internacional. </w:t>
      </w:r>
      <w:r>
        <w:rPr>
          <w:rFonts w:ascii="Verdana" w:hAnsi="Verdana" w:cs="Arial"/>
          <w:color w:val="000000" w:themeColor="text1"/>
          <w:sz w:val="16"/>
          <w:szCs w:val="16"/>
        </w:rPr>
        <w:t>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 En caso contrario, los contratos o convenios que se celebren en su totalidad o en sumas iguales o superiores al cincuenta por ciento (50%) con recursos de origen nacional se someterán al presente título.</w:t>
      </w:r>
    </w:p>
    <w:p w14:paraId="127D44EF" w14:textId="77777777" w:rsidR="00040E25" w:rsidRDefault="00040E25" w:rsidP="00040E25">
      <w:pPr>
        <w:pStyle w:val="NormalWeb"/>
        <w:shd w:val="clear" w:color="auto" w:fill="FFFFFF"/>
        <w:spacing w:after="0"/>
        <w:ind w:firstLine="709"/>
        <w:jc w:val="both"/>
        <w:rPr>
          <w:rFonts w:ascii="Verdana" w:hAnsi="Verdana" w:cs="Arial"/>
          <w:color w:val="000000" w:themeColor="text1"/>
          <w:sz w:val="16"/>
          <w:szCs w:val="16"/>
        </w:rPr>
      </w:pPr>
      <w:r>
        <w:rPr>
          <w:rFonts w:ascii="Verdana" w:hAnsi="Verdana" w:cs="Arial"/>
          <w:color w:val="000000" w:themeColor="text1"/>
          <w:sz w:val="16"/>
          <w:szCs w:val="16"/>
        </w:rPr>
        <w:t>Si el aporte de fuente nacional o internacional de un contrato o convenio de cooperación internacional es modificado o los aportes no se ejecutan en los términos pactados, las Entidades Estatales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p>
    <w:p w14:paraId="6ACA330D" w14:textId="77777777" w:rsidR="00040E25" w:rsidRDefault="00040E25" w:rsidP="00040E25">
      <w:pPr>
        <w:pStyle w:val="NormalWeb"/>
        <w:shd w:val="clear" w:color="auto" w:fill="FFFFFF"/>
        <w:spacing w:after="0"/>
        <w:ind w:firstLine="709"/>
        <w:jc w:val="both"/>
        <w:rPr>
          <w:rFonts w:ascii="Verdana" w:hAnsi="Verdana" w:cs="Arial"/>
          <w:color w:val="000000" w:themeColor="text1"/>
          <w:sz w:val="16"/>
          <w:szCs w:val="16"/>
        </w:rPr>
      </w:pPr>
      <w:r>
        <w:rPr>
          <w:rFonts w:ascii="Verdana" w:hAnsi="Verdana" w:cs="Arial"/>
          <w:color w:val="000000" w:themeColor="text1"/>
          <w:sz w:val="16"/>
          <w:szCs w:val="16"/>
        </w:rPr>
        <w:t>Cuando la variación de la participación de los aportes de las partes es consecuencia de las fluctuaciones de la tasa de cambio de la moneda pactada en el convenio o contrato de cooperación internacional, este seguirá sometido a las reglas establecidas en el momento de su suscripción.</w:t>
      </w:r>
    </w:p>
    <w:p w14:paraId="6A157CB2" w14:textId="77777777" w:rsidR="00040E25" w:rsidRDefault="00040E25" w:rsidP="00040E25">
      <w:pPr>
        <w:pStyle w:val="NormalWeb"/>
        <w:shd w:val="clear" w:color="auto" w:fill="FFFFFF"/>
        <w:spacing w:after="0"/>
        <w:ind w:firstLine="709"/>
        <w:jc w:val="both"/>
        <w:rPr>
          <w:rFonts w:ascii="Verdana" w:hAnsi="Verdana" w:cs="Arial"/>
          <w:color w:val="000000" w:themeColor="text1"/>
          <w:sz w:val="16"/>
          <w:szCs w:val="16"/>
        </w:rPr>
      </w:pPr>
      <w:r>
        <w:rPr>
          <w:rFonts w:ascii="Verdana" w:hAnsi="Verdana" w:cs="Arial"/>
          <w:color w:val="000000" w:themeColor="text1"/>
          <w:sz w:val="16"/>
          <w:szCs w:val="16"/>
        </w:rPr>
        <w:t>Los recursos generados en desarrollo de los contratos o convenios financiados con fondos de los organismos de cooperación, asistencia o ayudas internacionales no deben ser tenidos en cuenta para determinar los porcentajes de los aportes de las partes.</w:t>
      </w:r>
    </w:p>
    <w:p w14:paraId="555DA5FC" w14:textId="77777777" w:rsidR="00040E25" w:rsidRDefault="00040E25" w:rsidP="00040E25">
      <w:pPr>
        <w:pStyle w:val="NormalWeb"/>
        <w:shd w:val="clear" w:color="auto" w:fill="FFFFFF"/>
        <w:spacing w:after="0"/>
        <w:ind w:firstLine="709"/>
        <w:jc w:val="both"/>
        <w:rPr>
          <w:rFonts w:ascii="Verdana" w:hAnsi="Verdana" w:cs="Arial"/>
          <w:color w:val="000000" w:themeColor="text1"/>
          <w:sz w:val="16"/>
          <w:szCs w:val="16"/>
        </w:rPr>
      </w:pPr>
      <w:r>
        <w:rPr>
          <w:rFonts w:ascii="Verdana" w:hAnsi="Verdana" w:cs="Arial"/>
          <w:color w:val="000000" w:themeColor="text1"/>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32E6FBF8"/>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769791B"/>
    <w:multiLevelType w:val="hybridMultilevel"/>
    <w:tmpl w:val="6BF6515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7"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0" w15:restartNumberingAfterBreak="0">
    <w:nsid w:val="251123D3"/>
    <w:multiLevelType w:val="hybridMultilevel"/>
    <w:tmpl w:val="6B7E2E24"/>
    <w:lvl w:ilvl="0" w:tplc="A3687E8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2"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6"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1"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4"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8"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0" w15:restartNumberingAfterBreak="0">
    <w:nsid w:val="6EC84743"/>
    <w:multiLevelType w:val="hybridMultilevel"/>
    <w:tmpl w:val="9790F6FE"/>
    <w:lvl w:ilvl="0" w:tplc="6D1C2B0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start w:val="1"/>
      <w:numFmt w:val="lowerLetter"/>
      <w:lvlText w:val="%2."/>
      <w:lvlJc w:val="left"/>
      <w:pPr>
        <w:ind w:left="2149" w:hanging="360"/>
      </w:pPr>
    </w:lvl>
    <w:lvl w:ilvl="2" w:tplc="040A001B">
      <w:start w:val="1"/>
      <w:numFmt w:val="lowerRoman"/>
      <w:lvlText w:val="%3."/>
      <w:lvlJc w:val="right"/>
      <w:pPr>
        <w:ind w:left="2869" w:hanging="180"/>
      </w:pPr>
    </w:lvl>
    <w:lvl w:ilvl="3" w:tplc="040A000F">
      <w:start w:val="1"/>
      <w:numFmt w:val="decimal"/>
      <w:lvlText w:val="%4."/>
      <w:lvlJc w:val="left"/>
      <w:pPr>
        <w:ind w:left="3589" w:hanging="360"/>
      </w:pPr>
    </w:lvl>
    <w:lvl w:ilvl="4" w:tplc="040A0019">
      <w:start w:val="1"/>
      <w:numFmt w:val="lowerLetter"/>
      <w:lvlText w:val="%5."/>
      <w:lvlJc w:val="left"/>
      <w:pPr>
        <w:ind w:left="4309" w:hanging="360"/>
      </w:pPr>
    </w:lvl>
    <w:lvl w:ilvl="5" w:tplc="040A001B">
      <w:start w:val="1"/>
      <w:numFmt w:val="lowerRoman"/>
      <w:lvlText w:val="%6."/>
      <w:lvlJc w:val="right"/>
      <w:pPr>
        <w:ind w:left="5029" w:hanging="180"/>
      </w:pPr>
    </w:lvl>
    <w:lvl w:ilvl="6" w:tplc="040A000F">
      <w:start w:val="1"/>
      <w:numFmt w:val="decimal"/>
      <w:lvlText w:val="%7."/>
      <w:lvlJc w:val="left"/>
      <w:pPr>
        <w:ind w:left="5749" w:hanging="360"/>
      </w:pPr>
    </w:lvl>
    <w:lvl w:ilvl="7" w:tplc="040A0019">
      <w:start w:val="1"/>
      <w:numFmt w:val="lowerLetter"/>
      <w:lvlText w:val="%8."/>
      <w:lvlJc w:val="left"/>
      <w:pPr>
        <w:ind w:left="6469" w:hanging="360"/>
      </w:pPr>
    </w:lvl>
    <w:lvl w:ilvl="8" w:tplc="040A001B">
      <w:start w:val="1"/>
      <w:numFmt w:val="lowerRoman"/>
      <w:lvlText w:val="%9."/>
      <w:lvlJc w:val="right"/>
      <w:pPr>
        <w:ind w:left="7189" w:hanging="180"/>
      </w:pPr>
    </w:lvl>
  </w:abstractNum>
  <w:abstractNum w:abstractNumId="33"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78226FF1"/>
    <w:multiLevelType w:val="hybridMultilevel"/>
    <w:tmpl w:val="18F0F084"/>
    <w:lvl w:ilvl="0" w:tplc="6A3AC74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8"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4"/>
  </w:num>
  <w:num w:numId="3" w16cid:durableId="679089576">
    <w:abstractNumId w:val="18"/>
  </w:num>
  <w:num w:numId="4" w16cid:durableId="893472101">
    <w:abstractNumId w:val="9"/>
  </w:num>
  <w:num w:numId="5" w16cid:durableId="1982299905">
    <w:abstractNumId w:val="38"/>
  </w:num>
  <w:num w:numId="6" w16cid:durableId="130758360">
    <w:abstractNumId w:val="21"/>
  </w:num>
  <w:num w:numId="7" w16cid:durableId="262541512">
    <w:abstractNumId w:val="34"/>
  </w:num>
  <w:num w:numId="8" w16cid:durableId="1947226218">
    <w:abstractNumId w:val="17"/>
  </w:num>
  <w:num w:numId="9" w16cid:durableId="1180706126">
    <w:abstractNumId w:val="20"/>
  </w:num>
  <w:num w:numId="10" w16cid:durableId="2097506960">
    <w:abstractNumId w:val="26"/>
  </w:num>
  <w:num w:numId="11" w16cid:durableId="1977490869">
    <w:abstractNumId w:val="24"/>
  </w:num>
  <w:num w:numId="12" w16cid:durableId="158663248">
    <w:abstractNumId w:val="23"/>
  </w:num>
  <w:num w:numId="13" w16cid:durableId="2024085788">
    <w:abstractNumId w:val="2"/>
  </w:num>
  <w:num w:numId="14" w16cid:durableId="1885099950">
    <w:abstractNumId w:val="16"/>
  </w:num>
  <w:num w:numId="15" w16cid:durableId="32047459">
    <w:abstractNumId w:val="11"/>
  </w:num>
  <w:num w:numId="16" w16cid:durableId="1192261824">
    <w:abstractNumId w:val="12"/>
  </w:num>
  <w:num w:numId="17" w16cid:durableId="375933272">
    <w:abstractNumId w:val="19"/>
  </w:num>
  <w:num w:numId="18" w16cid:durableId="610939998">
    <w:abstractNumId w:val="27"/>
  </w:num>
  <w:num w:numId="19" w16cid:durableId="1910656144">
    <w:abstractNumId w:val="4"/>
  </w:num>
  <w:num w:numId="20" w16cid:durableId="947545103">
    <w:abstractNumId w:val="15"/>
  </w:num>
  <w:num w:numId="21" w16cid:durableId="1851335222">
    <w:abstractNumId w:val="37"/>
  </w:num>
  <w:num w:numId="22" w16cid:durableId="578707994">
    <w:abstractNumId w:val="6"/>
  </w:num>
  <w:num w:numId="23" w16cid:durableId="876742304">
    <w:abstractNumId w:val="13"/>
  </w:num>
  <w:num w:numId="24" w16cid:durableId="1994095851">
    <w:abstractNumId w:val="7"/>
  </w:num>
  <w:num w:numId="25" w16cid:durableId="1567109325">
    <w:abstractNumId w:val="28"/>
  </w:num>
  <w:num w:numId="26" w16cid:durableId="1116487847">
    <w:abstractNumId w:val="22"/>
  </w:num>
  <w:num w:numId="27" w16cid:durableId="611326471">
    <w:abstractNumId w:val="31"/>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6"/>
  </w:num>
  <w:num w:numId="30" w16cid:durableId="363991975">
    <w:abstractNumId w:val="33"/>
  </w:num>
  <w:num w:numId="31" w16cid:durableId="1509440290">
    <w:abstractNumId w:val="25"/>
  </w:num>
  <w:num w:numId="32" w16cid:durableId="1601723362">
    <w:abstractNumId w:val="8"/>
  </w:num>
  <w:num w:numId="33" w16cid:durableId="1484539021">
    <w:abstractNumId w:val="5"/>
  </w:num>
  <w:num w:numId="34" w16cid:durableId="1387339555">
    <w:abstractNumId w:val="3"/>
  </w:num>
  <w:num w:numId="35" w16cid:durableId="591087840">
    <w:abstractNumId w:val="29"/>
  </w:num>
  <w:num w:numId="36" w16cid:durableId="1632059173">
    <w:abstractNumId w:val="35"/>
  </w:num>
  <w:num w:numId="37" w16cid:durableId="742992957">
    <w:abstractNumId w:val="18"/>
  </w:num>
  <w:num w:numId="38" w16cid:durableId="1317681908">
    <w:abstractNumId w:val="10"/>
  </w:num>
  <w:num w:numId="39" w16cid:durableId="720791760">
    <w:abstractNumId w:val="30"/>
  </w:num>
  <w:num w:numId="40" w16cid:durableId="108457058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08"/>
    <w:rsid w:val="00001E39"/>
    <w:rsid w:val="000024D6"/>
    <w:rsid w:val="00002767"/>
    <w:rsid w:val="00002920"/>
    <w:rsid w:val="00002D55"/>
    <w:rsid w:val="00003467"/>
    <w:rsid w:val="0000399A"/>
    <w:rsid w:val="00005225"/>
    <w:rsid w:val="000054DB"/>
    <w:rsid w:val="000057D0"/>
    <w:rsid w:val="0000587D"/>
    <w:rsid w:val="000059AE"/>
    <w:rsid w:val="00005BB0"/>
    <w:rsid w:val="00006F59"/>
    <w:rsid w:val="00007086"/>
    <w:rsid w:val="00007382"/>
    <w:rsid w:val="00007576"/>
    <w:rsid w:val="0001025F"/>
    <w:rsid w:val="0001155E"/>
    <w:rsid w:val="00011613"/>
    <w:rsid w:val="00011D3C"/>
    <w:rsid w:val="00011ECC"/>
    <w:rsid w:val="0001222D"/>
    <w:rsid w:val="00012550"/>
    <w:rsid w:val="00012679"/>
    <w:rsid w:val="00012C27"/>
    <w:rsid w:val="00012EDA"/>
    <w:rsid w:val="00013B3F"/>
    <w:rsid w:val="00014981"/>
    <w:rsid w:val="00014B0D"/>
    <w:rsid w:val="00014E7B"/>
    <w:rsid w:val="00016280"/>
    <w:rsid w:val="0001672C"/>
    <w:rsid w:val="00016F04"/>
    <w:rsid w:val="00017870"/>
    <w:rsid w:val="00021068"/>
    <w:rsid w:val="00021595"/>
    <w:rsid w:val="000219D1"/>
    <w:rsid w:val="00021C3A"/>
    <w:rsid w:val="0002202D"/>
    <w:rsid w:val="00022C23"/>
    <w:rsid w:val="00023DF7"/>
    <w:rsid w:val="00024F51"/>
    <w:rsid w:val="000267DD"/>
    <w:rsid w:val="0002688A"/>
    <w:rsid w:val="000273EA"/>
    <w:rsid w:val="00027B63"/>
    <w:rsid w:val="00027CA9"/>
    <w:rsid w:val="00030B3D"/>
    <w:rsid w:val="00030BC5"/>
    <w:rsid w:val="00030BFB"/>
    <w:rsid w:val="00031407"/>
    <w:rsid w:val="00031DA1"/>
    <w:rsid w:val="00031EAF"/>
    <w:rsid w:val="0003287A"/>
    <w:rsid w:val="00033390"/>
    <w:rsid w:val="00034931"/>
    <w:rsid w:val="00035BFC"/>
    <w:rsid w:val="000361EA"/>
    <w:rsid w:val="0003699E"/>
    <w:rsid w:val="000369C0"/>
    <w:rsid w:val="0003731A"/>
    <w:rsid w:val="00037A8B"/>
    <w:rsid w:val="00037C29"/>
    <w:rsid w:val="00040372"/>
    <w:rsid w:val="000408AD"/>
    <w:rsid w:val="00040E25"/>
    <w:rsid w:val="00041469"/>
    <w:rsid w:val="0004180C"/>
    <w:rsid w:val="000419D7"/>
    <w:rsid w:val="00042DD7"/>
    <w:rsid w:val="000438BA"/>
    <w:rsid w:val="00043EE5"/>
    <w:rsid w:val="000442CC"/>
    <w:rsid w:val="000442DE"/>
    <w:rsid w:val="0004491F"/>
    <w:rsid w:val="00044B24"/>
    <w:rsid w:val="0004508D"/>
    <w:rsid w:val="0004526E"/>
    <w:rsid w:val="00045B37"/>
    <w:rsid w:val="0004709D"/>
    <w:rsid w:val="000504AA"/>
    <w:rsid w:val="0005086B"/>
    <w:rsid w:val="0005098A"/>
    <w:rsid w:val="00050C95"/>
    <w:rsid w:val="00050CAD"/>
    <w:rsid w:val="0005142D"/>
    <w:rsid w:val="00051A3C"/>
    <w:rsid w:val="00051AAD"/>
    <w:rsid w:val="00051BE4"/>
    <w:rsid w:val="00051E96"/>
    <w:rsid w:val="000526A8"/>
    <w:rsid w:val="00052EF1"/>
    <w:rsid w:val="0005420B"/>
    <w:rsid w:val="00054DFE"/>
    <w:rsid w:val="000551CB"/>
    <w:rsid w:val="00055ED8"/>
    <w:rsid w:val="0005620B"/>
    <w:rsid w:val="00057392"/>
    <w:rsid w:val="00057740"/>
    <w:rsid w:val="000577A2"/>
    <w:rsid w:val="000577D3"/>
    <w:rsid w:val="00057963"/>
    <w:rsid w:val="000579AB"/>
    <w:rsid w:val="00060AE4"/>
    <w:rsid w:val="00061295"/>
    <w:rsid w:val="000618E5"/>
    <w:rsid w:val="000622B9"/>
    <w:rsid w:val="000631E9"/>
    <w:rsid w:val="00063B4B"/>
    <w:rsid w:val="00064431"/>
    <w:rsid w:val="00064721"/>
    <w:rsid w:val="00064D60"/>
    <w:rsid w:val="0006565C"/>
    <w:rsid w:val="00065973"/>
    <w:rsid w:val="00065C6D"/>
    <w:rsid w:val="000665D3"/>
    <w:rsid w:val="00066646"/>
    <w:rsid w:val="00066C7A"/>
    <w:rsid w:val="00066CF1"/>
    <w:rsid w:val="000678BB"/>
    <w:rsid w:val="000706D4"/>
    <w:rsid w:val="000709EF"/>
    <w:rsid w:val="00070D9B"/>
    <w:rsid w:val="0007144A"/>
    <w:rsid w:val="000716AB"/>
    <w:rsid w:val="00071AB8"/>
    <w:rsid w:val="0007243A"/>
    <w:rsid w:val="00072AF5"/>
    <w:rsid w:val="000734CB"/>
    <w:rsid w:val="00074660"/>
    <w:rsid w:val="00074E25"/>
    <w:rsid w:val="000752FA"/>
    <w:rsid w:val="00075BDC"/>
    <w:rsid w:val="00075DF4"/>
    <w:rsid w:val="00076211"/>
    <w:rsid w:val="000762C0"/>
    <w:rsid w:val="0007655A"/>
    <w:rsid w:val="00076737"/>
    <w:rsid w:val="00076C2B"/>
    <w:rsid w:val="00076C73"/>
    <w:rsid w:val="00076F81"/>
    <w:rsid w:val="000772B1"/>
    <w:rsid w:val="000779DE"/>
    <w:rsid w:val="000800B6"/>
    <w:rsid w:val="00080D15"/>
    <w:rsid w:val="00081B03"/>
    <w:rsid w:val="00081BAA"/>
    <w:rsid w:val="00082E7B"/>
    <w:rsid w:val="000847A0"/>
    <w:rsid w:val="00084BFD"/>
    <w:rsid w:val="00084C96"/>
    <w:rsid w:val="00085BD2"/>
    <w:rsid w:val="0008651B"/>
    <w:rsid w:val="00087073"/>
    <w:rsid w:val="0008734C"/>
    <w:rsid w:val="0008739A"/>
    <w:rsid w:val="000875BD"/>
    <w:rsid w:val="000878E7"/>
    <w:rsid w:val="00087A3B"/>
    <w:rsid w:val="00087ACB"/>
    <w:rsid w:val="00087C01"/>
    <w:rsid w:val="000903E4"/>
    <w:rsid w:val="000906E3"/>
    <w:rsid w:val="000913D9"/>
    <w:rsid w:val="00091A04"/>
    <w:rsid w:val="00091D73"/>
    <w:rsid w:val="0009252F"/>
    <w:rsid w:val="000933B5"/>
    <w:rsid w:val="000933BC"/>
    <w:rsid w:val="000933C8"/>
    <w:rsid w:val="00093544"/>
    <w:rsid w:val="00093D95"/>
    <w:rsid w:val="00093F87"/>
    <w:rsid w:val="000944B7"/>
    <w:rsid w:val="00094663"/>
    <w:rsid w:val="00095410"/>
    <w:rsid w:val="00095CF4"/>
    <w:rsid w:val="00095E48"/>
    <w:rsid w:val="00096637"/>
    <w:rsid w:val="00096C0C"/>
    <w:rsid w:val="0009726B"/>
    <w:rsid w:val="00097285"/>
    <w:rsid w:val="0009740F"/>
    <w:rsid w:val="000975EA"/>
    <w:rsid w:val="000A021A"/>
    <w:rsid w:val="000A1828"/>
    <w:rsid w:val="000A1C31"/>
    <w:rsid w:val="000A1D06"/>
    <w:rsid w:val="000A1F38"/>
    <w:rsid w:val="000A2030"/>
    <w:rsid w:val="000A358F"/>
    <w:rsid w:val="000A37F5"/>
    <w:rsid w:val="000A3A03"/>
    <w:rsid w:val="000A413A"/>
    <w:rsid w:val="000A4F1E"/>
    <w:rsid w:val="000A5881"/>
    <w:rsid w:val="000A66A1"/>
    <w:rsid w:val="000A69FB"/>
    <w:rsid w:val="000A776F"/>
    <w:rsid w:val="000A77D4"/>
    <w:rsid w:val="000B0B16"/>
    <w:rsid w:val="000B1087"/>
    <w:rsid w:val="000B146F"/>
    <w:rsid w:val="000B1936"/>
    <w:rsid w:val="000B199A"/>
    <w:rsid w:val="000B1FF7"/>
    <w:rsid w:val="000B2529"/>
    <w:rsid w:val="000B2685"/>
    <w:rsid w:val="000B2B7C"/>
    <w:rsid w:val="000B3027"/>
    <w:rsid w:val="000B377E"/>
    <w:rsid w:val="000B381D"/>
    <w:rsid w:val="000B3DD4"/>
    <w:rsid w:val="000B4024"/>
    <w:rsid w:val="000B44BA"/>
    <w:rsid w:val="000B4C9C"/>
    <w:rsid w:val="000B5258"/>
    <w:rsid w:val="000B5311"/>
    <w:rsid w:val="000B5313"/>
    <w:rsid w:val="000B5C05"/>
    <w:rsid w:val="000B5C65"/>
    <w:rsid w:val="000B5DF3"/>
    <w:rsid w:val="000B5F1D"/>
    <w:rsid w:val="000B5FB9"/>
    <w:rsid w:val="000B6979"/>
    <w:rsid w:val="000B69C5"/>
    <w:rsid w:val="000B6BE9"/>
    <w:rsid w:val="000C02AD"/>
    <w:rsid w:val="000C060A"/>
    <w:rsid w:val="000C07B0"/>
    <w:rsid w:val="000C09DF"/>
    <w:rsid w:val="000C0AA8"/>
    <w:rsid w:val="000C18BD"/>
    <w:rsid w:val="000C1CE6"/>
    <w:rsid w:val="000C1FC8"/>
    <w:rsid w:val="000C36E1"/>
    <w:rsid w:val="000C42A9"/>
    <w:rsid w:val="000C42C6"/>
    <w:rsid w:val="000C50D6"/>
    <w:rsid w:val="000C51E1"/>
    <w:rsid w:val="000C557B"/>
    <w:rsid w:val="000C5A85"/>
    <w:rsid w:val="000C5F29"/>
    <w:rsid w:val="000C5F48"/>
    <w:rsid w:val="000C66BF"/>
    <w:rsid w:val="000C6FC1"/>
    <w:rsid w:val="000C7FF8"/>
    <w:rsid w:val="000D0372"/>
    <w:rsid w:val="000D0ADE"/>
    <w:rsid w:val="000D1A8F"/>
    <w:rsid w:val="000D1B18"/>
    <w:rsid w:val="000D237E"/>
    <w:rsid w:val="000D2914"/>
    <w:rsid w:val="000D2E60"/>
    <w:rsid w:val="000D2F50"/>
    <w:rsid w:val="000D3275"/>
    <w:rsid w:val="000D3A1B"/>
    <w:rsid w:val="000D3B86"/>
    <w:rsid w:val="000D4E64"/>
    <w:rsid w:val="000D5008"/>
    <w:rsid w:val="000D56DD"/>
    <w:rsid w:val="000D570C"/>
    <w:rsid w:val="000D5A0F"/>
    <w:rsid w:val="000D5B1E"/>
    <w:rsid w:val="000D5D9B"/>
    <w:rsid w:val="000D5E3F"/>
    <w:rsid w:val="000D6532"/>
    <w:rsid w:val="000D6E33"/>
    <w:rsid w:val="000D6EEE"/>
    <w:rsid w:val="000E0622"/>
    <w:rsid w:val="000E07AA"/>
    <w:rsid w:val="000E161A"/>
    <w:rsid w:val="000E1D6F"/>
    <w:rsid w:val="000E2D0D"/>
    <w:rsid w:val="000E3381"/>
    <w:rsid w:val="000E3744"/>
    <w:rsid w:val="000E3CD9"/>
    <w:rsid w:val="000E481D"/>
    <w:rsid w:val="000E496B"/>
    <w:rsid w:val="000E4DBF"/>
    <w:rsid w:val="000E4DF2"/>
    <w:rsid w:val="000E5844"/>
    <w:rsid w:val="000E634B"/>
    <w:rsid w:val="000E7349"/>
    <w:rsid w:val="000E762D"/>
    <w:rsid w:val="000E77CC"/>
    <w:rsid w:val="000E79A4"/>
    <w:rsid w:val="000F0144"/>
    <w:rsid w:val="000F0783"/>
    <w:rsid w:val="000F0807"/>
    <w:rsid w:val="000F080D"/>
    <w:rsid w:val="000F0B3C"/>
    <w:rsid w:val="000F13D5"/>
    <w:rsid w:val="000F175F"/>
    <w:rsid w:val="000F1AD8"/>
    <w:rsid w:val="000F2F4C"/>
    <w:rsid w:val="000F306E"/>
    <w:rsid w:val="000F38D9"/>
    <w:rsid w:val="000F3CED"/>
    <w:rsid w:val="000F414C"/>
    <w:rsid w:val="000F4A14"/>
    <w:rsid w:val="000F4EDD"/>
    <w:rsid w:val="000F6320"/>
    <w:rsid w:val="000F64FC"/>
    <w:rsid w:val="000F696E"/>
    <w:rsid w:val="000F6C10"/>
    <w:rsid w:val="000F718E"/>
    <w:rsid w:val="001001F2"/>
    <w:rsid w:val="00100207"/>
    <w:rsid w:val="001003C6"/>
    <w:rsid w:val="00100682"/>
    <w:rsid w:val="00100F25"/>
    <w:rsid w:val="001010D3"/>
    <w:rsid w:val="0010144A"/>
    <w:rsid w:val="00101C11"/>
    <w:rsid w:val="00102F4F"/>
    <w:rsid w:val="001034DD"/>
    <w:rsid w:val="00104425"/>
    <w:rsid w:val="00104B4C"/>
    <w:rsid w:val="00105135"/>
    <w:rsid w:val="001055A2"/>
    <w:rsid w:val="00105DC2"/>
    <w:rsid w:val="00105FF2"/>
    <w:rsid w:val="0010682A"/>
    <w:rsid w:val="00106C4C"/>
    <w:rsid w:val="001079AE"/>
    <w:rsid w:val="00107DEF"/>
    <w:rsid w:val="00110145"/>
    <w:rsid w:val="0011031D"/>
    <w:rsid w:val="0011037E"/>
    <w:rsid w:val="00110404"/>
    <w:rsid w:val="001109E8"/>
    <w:rsid w:val="00110F73"/>
    <w:rsid w:val="00111E35"/>
    <w:rsid w:val="001128B4"/>
    <w:rsid w:val="00112EBD"/>
    <w:rsid w:val="001132C2"/>
    <w:rsid w:val="00113335"/>
    <w:rsid w:val="0011382D"/>
    <w:rsid w:val="00113AF2"/>
    <w:rsid w:val="00113C17"/>
    <w:rsid w:val="00113FDD"/>
    <w:rsid w:val="00114051"/>
    <w:rsid w:val="00114973"/>
    <w:rsid w:val="00114CFB"/>
    <w:rsid w:val="00114CFF"/>
    <w:rsid w:val="00114FDF"/>
    <w:rsid w:val="0011650B"/>
    <w:rsid w:val="00116616"/>
    <w:rsid w:val="00116FC5"/>
    <w:rsid w:val="00117163"/>
    <w:rsid w:val="00117BBD"/>
    <w:rsid w:val="00117E26"/>
    <w:rsid w:val="001202DF"/>
    <w:rsid w:val="00120F1B"/>
    <w:rsid w:val="001213E7"/>
    <w:rsid w:val="00121A6F"/>
    <w:rsid w:val="00122208"/>
    <w:rsid w:val="001224BA"/>
    <w:rsid w:val="0012250F"/>
    <w:rsid w:val="001238BC"/>
    <w:rsid w:val="00124518"/>
    <w:rsid w:val="001248AB"/>
    <w:rsid w:val="00124981"/>
    <w:rsid w:val="00124B10"/>
    <w:rsid w:val="00124B2E"/>
    <w:rsid w:val="001256A1"/>
    <w:rsid w:val="00125D81"/>
    <w:rsid w:val="00125FBD"/>
    <w:rsid w:val="00126301"/>
    <w:rsid w:val="0012661F"/>
    <w:rsid w:val="00126966"/>
    <w:rsid w:val="001269B0"/>
    <w:rsid w:val="00126B24"/>
    <w:rsid w:val="00127234"/>
    <w:rsid w:val="001276C4"/>
    <w:rsid w:val="00127C68"/>
    <w:rsid w:val="00127D5B"/>
    <w:rsid w:val="001300B0"/>
    <w:rsid w:val="00131373"/>
    <w:rsid w:val="001314A0"/>
    <w:rsid w:val="00131A1F"/>
    <w:rsid w:val="00131A66"/>
    <w:rsid w:val="00131F9C"/>
    <w:rsid w:val="00132336"/>
    <w:rsid w:val="00132425"/>
    <w:rsid w:val="0013280A"/>
    <w:rsid w:val="00132875"/>
    <w:rsid w:val="0013315A"/>
    <w:rsid w:val="001332B3"/>
    <w:rsid w:val="0013343F"/>
    <w:rsid w:val="001344F9"/>
    <w:rsid w:val="00134ABF"/>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5EA8"/>
    <w:rsid w:val="001461A7"/>
    <w:rsid w:val="00146946"/>
    <w:rsid w:val="00146E7C"/>
    <w:rsid w:val="00147F8C"/>
    <w:rsid w:val="00150492"/>
    <w:rsid w:val="00150562"/>
    <w:rsid w:val="00150C31"/>
    <w:rsid w:val="00151200"/>
    <w:rsid w:val="001513CE"/>
    <w:rsid w:val="00151465"/>
    <w:rsid w:val="00151AD8"/>
    <w:rsid w:val="00151E77"/>
    <w:rsid w:val="001523AA"/>
    <w:rsid w:val="00152F77"/>
    <w:rsid w:val="00153287"/>
    <w:rsid w:val="001533E6"/>
    <w:rsid w:val="001538BE"/>
    <w:rsid w:val="00153BA7"/>
    <w:rsid w:val="00153C33"/>
    <w:rsid w:val="00154CEB"/>
    <w:rsid w:val="00155198"/>
    <w:rsid w:val="00155A26"/>
    <w:rsid w:val="00155EF1"/>
    <w:rsid w:val="00156192"/>
    <w:rsid w:val="00156E57"/>
    <w:rsid w:val="0015710D"/>
    <w:rsid w:val="00157338"/>
    <w:rsid w:val="001573AA"/>
    <w:rsid w:val="00157CE5"/>
    <w:rsid w:val="00157DEB"/>
    <w:rsid w:val="001610BC"/>
    <w:rsid w:val="00161847"/>
    <w:rsid w:val="00161E13"/>
    <w:rsid w:val="001629D8"/>
    <w:rsid w:val="00162B2A"/>
    <w:rsid w:val="00162B8D"/>
    <w:rsid w:val="00162F9F"/>
    <w:rsid w:val="00163EB1"/>
    <w:rsid w:val="0016408C"/>
    <w:rsid w:val="001646C7"/>
    <w:rsid w:val="00164803"/>
    <w:rsid w:val="00164AE0"/>
    <w:rsid w:val="001656F6"/>
    <w:rsid w:val="00165BF5"/>
    <w:rsid w:val="00165F2E"/>
    <w:rsid w:val="0016646A"/>
    <w:rsid w:val="00167340"/>
    <w:rsid w:val="001673EE"/>
    <w:rsid w:val="0016793B"/>
    <w:rsid w:val="00167C43"/>
    <w:rsid w:val="001706C9"/>
    <w:rsid w:val="0017120C"/>
    <w:rsid w:val="0017150D"/>
    <w:rsid w:val="001719EC"/>
    <w:rsid w:val="00171D3A"/>
    <w:rsid w:val="001727D7"/>
    <w:rsid w:val="00172C96"/>
    <w:rsid w:val="00172DDC"/>
    <w:rsid w:val="00172F3A"/>
    <w:rsid w:val="0017303B"/>
    <w:rsid w:val="00173477"/>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338"/>
    <w:rsid w:val="00182348"/>
    <w:rsid w:val="001831FE"/>
    <w:rsid w:val="0018381C"/>
    <w:rsid w:val="00183F50"/>
    <w:rsid w:val="001848FF"/>
    <w:rsid w:val="00184BB2"/>
    <w:rsid w:val="00184BD9"/>
    <w:rsid w:val="00184ED6"/>
    <w:rsid w:val="00184F13"/>
    <w:rsid w:val="00184FD9"/>
    <w:rsid w:val="00185361"/>
    <w:rsid w:val="00185405"/>
    <w:rsid w:val="00186037"/>
    <w:rsid w:val="00186A6B"/>
    <w:rsid w:val="00186AE4"/>
    <w:rsid w:val="00186D14"/>
    <w:rsid w:val="001876D8"/>
    <w:rsid w:val="00187734"/>
    <w:rsid w:val="00187F6A"/>
    <w:rsid w:val="00190325"/>
    <w:rsid w:val="00190391"/>
    <w:rsid w:val="00190982"/>
    <w:rsid w:val="0019151E"/>
    <w:rsid w:val="00191593"/>
    <w:rsid w:val="001918F1"/>
    <w:rsid w:val="0019196E"/>
    <w:rsid w:val="00191FF5"/>
    <w:rsid w:val="001926D7"/>
    <w:rsid w:val="00192CCE"/>
    <w:rsid w:val="00192D2C"/>
    <w:rsid w:val="001932D1"/>
    <w:rsid w:val="0019385B"/>
    <w:rsid w:val="00193F1C"/>
    <w:rsid w:val="00194428"/>
    <w:rsid w:val="001947C0"/>
    <w:rsid w:val="001948F5"/>
    <w:rsid w:val="00194958"/>
    <w:rsid w:val="0019566E"/>
    <w:rsid w:val="00196359"/>
    <w:rsid w:val="001969EC"/>
    <w:rsid w:val="0019710C"/>
    <w:rsid w:val="00197205"/>
    <w:rsid w:val="00197632"/>
    <w:rsid w:val="0019793F"/>
    <w:rsid w:val="00197A9D"/>
    <w:rsid w:val="001A08E7"/>
    <w:rsid w:val="001A17D7"/>
    <w:rsid w:val="001A1A67"/>
    <w:rsid w:val="001A1FDD"/>
    <w:rsid w:val="001A2D8F"/>
    <w:rsid w:val="001A370E"/>
    <w:rsid w:val="001A3C1B"/>
    <w:rsid w:val="001A3D89"/>
    <w:rsid w:val="001A3E0A"/>
    <w:rsid w:val="001A5271"/>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175"/>
    <w:rsid w:val="001B35D4"/>
    <w:rsid w:val="001B4446"/>
    <w:rsid w:val="001B52D3"/>
    <w:rsid w:val="001B53DD"/>
    <w:rsid w:val="001B5565"/>
    <w:rsid w:val="001B5A00"/>
    <w:rsid w:val="001B5F59"/>
    <w:rsid w:val="001B63A7"/>
    <w:rsid w:val="001B64AB"/>
    <w:rsid w:val="001B6810"/>
    <w:rsid w:val="001B69C0"/>
    <w:rsid w:val="001B6E89"/>
    <w:rsid w:val="001B732D"/>
    <w:rsid w:val="001B7358"/>
    <w:rsid w:val="001B791C"/>
    <w:rsid w:val="001B7B9B"/>
    <w:rsid w:val="001B7D70"/>
    <w:rsid w:val="001C0125"/>
    <w:rsid w:val="001C071B"/>
    <w:rsid w:val="001C0BF4"/>
    <w:rsid w:val="001C1074"/>
    <w:rsid w:val="001C21C8"/>
    <w:rsid w:val="001C25F5"/>
    <w:rsid w:val="001C265A"/>
    <w:rsid w:val="001C2DFD"/>
    <w:rsid w:val="001C34D0"/>
    <w:rsid w:val="001C4249"/>
    <w:rsid w:val="001C46E3"/>
    <w:rsid w:val="001C496A"/>
    <w:rsid w:val="001C4980"/>
    <w:rsid w:val="001C4AC1"/>
    <w:rsid w:val="001C4F27"/>
    <w:rsid w:val="001C51FE"/>
    <w:rsid w:val="001C582B"/>
    <w:rsid w:val="001C6573"/>
    <w:rsid w:val="001C7B08"/>
    <w:rsid w:val="001C7D03"/>
    <w:rsid w:val="001D00BE"/>
    <w:rsid w:val="001D079B"/>
    <w:rsid w:val="001D0806"/>
    <w:rsid w:val="001D0D32"/>
    <w:rsid w:val="001D1363"/>
    <w:rsid w:val="001D17C9"/>
    <w:rsid w:val="001D1AB9"/>
    <w:rsid w:val="001D1EEB"/>
    <w:rsid w:val="001D1F20"/>
    <w:rsid w:val="001D22D5"/>
    <w:rsid w:val="001D2A41"/>
    <w:rsid w:val="001D3795"/>
    <w:rsid w:val="001D3E0F"/>
    <w:rsid w:val="001D4006"/>
    <w:rsid w:val="001D54BD"/>
    <w:rsid w:val="001D5C72"/>
    <w:rsid w:val="001D616F"/>
    <w:rsid w:val="001D626E"/>
    <w:rsid w:val="001D733B"/>
    <w:rsid w:val="001D73CF"/>
    <w:rsid w:val="001D7536"/>
    <w:rsid w:val="001D7E8C"/>
    <w:rsid w:val="001E04CD"/>
    <w:rsid w:val="001E0902"/>
    <w:rsid w:val="001E0CDC"/>
    <w:rsid w:val="001E1801"/>
    <w:rsid w:val="001E1C73"/>
    <w:rsid w:val="001E1E05"/>
    <w:rsid w:val="001E20B7"/>
    <w:rsid w:val="001E2254"/>
    <w:rsid w:val="001E22D2"/>
    <w:rsid w:val="001E22DE"/>
    <w:rsid w:val="001E2343"/>
    <w:rsid w:val="001E2C63"/>
    <w:rsid w:val="001E3A17"/>
    <w:rsid w:val="001E3FCB"/>
    <w:rsid w:val="001E52DF"/>
    <w:rsid w:val="001E5500"/>
    <w:rsid w:val="001E65BD"/>
    <w:rsid w:val="001E6930"/>
    <w:rsid w:val="001E6BCB"/>
    <w:rsid w:val="001E706C"/>
    <w:rsid w:val="001E761F"/>
    <w:rsid w:val="001E774A"/>
    <w:rsid w:val="001E783B"/>
    <w:rsid w:val="001E7FBC"/>
    <w:rsid w:val="001F0822"/>
    <w:rsid w:val="001F08CB"/>
    <w:rsid w:val="001F105B"/>
    <w:rsid w:val="001F15F6"/>
    <w:rsid w:val="001F179C"/>
    <w:rsid w:val="001F24B7"/>
    <w:rsid w:val="001F2649"/>
    <w:rsid w:val="001F2DB5"/>
    <w:rsid w:val="001F2DC7"/>
    <w:rsid w:val="001F3496"/>
    <w:rsid w:val="001F41CA"/>
    <w:rsid w:val="001F4355"/>
    <w:rsid w:val="001F478E"/>
    <w:rsid w:val="001F4819"/>
    <w:rsid w:val="001F485F"/>
    <w:rsid w:val="001F48BD"/>
    <w:rsid w:val="001F4FAB"/>
    <w:rsid w:val="001F5034"/>
    <w:rsid w:val="001F61DE"/>
    <w:rsid w:val="001F63AA"/>
    <w:rsid w:val="001F69C8"/>
    <w:rsid w:val="001F7054"/>
    <w:rsid w:val="001F77E5"/>
    <w:rsid w:val="001F7B58"/>
    <w:rsid w:val="001F7DB7"/>
    <w:rsid w:val="002000AA"/>
    <w:rsid w:val="00201502"/>
    <w:rsid w:val="0020302A"/>
    <w:rsid w:val="0020324C"/>
    <w:rsid w:val="002032A0"/>
    <w:rsid w:val="00203532"/>
    <w:rsid w:val="00203AE0"/>
    <w:rsid w:val="00204106"/>
    <w:rsid w:val="00204109"/>
    <w:rsid w:val="0020503A"/>
    <w:rsid w:val="00205041"/>
    <w:rsid w:val="0020524C"/>
    <w:rsid w:val="002059E3"/>
    <w:rsid w:val="00206258"/>
    <w:rsid w:val="00207438"/>
    <w:rsid w:val="002100FF"/>
    <w:rsid w:val="00210543"/>
    <w:rsid w:val="0021064C"/>
    <w:rsid w:val="00210B9B"/>
    <w:rsid w:val="0021102F"/>
    <w:rsid w:val="002118D1"/>
    <w:rsid w:val="00211DCE"/>
    <w:rsid w:val="0021229D"/>
    <w:rsid w:val="00212390"/>
    <w:rsid w:val="002123DD"/>
    <w:rsid w:val="00212897"/>
    <w:rsid w:val="00212ACB"/>
    <w:rsid w:val="00213612"/>
    <w:rsid w:val="0021386A"/>
    <w:rsid w:val="00213C44"/>
    <w:rsid w:val="002147EE"/>
    <w:rsid w:val="00215516"/>
    <w:rsid w:val="002158DC"/>
    <w:rsid w:val="002159D5"/>
    <w:rsid w:val="00215B64"/>
    <w:rsid w:val="00215C05"/>
    <w:rsid w:val="002161E3"/>
    <w:rsid w:val="00216DF5"/>
    <w:rsid w:val="00216EFA"/>
    <w:rsid w:val="0021779D"/>
    <w:rsid w:val="0021798E"/>
    <w:rsid w:val="00217CA1"/>
    <w:rsid w:val="00217DEE"/>
    <w:rsid w:val="002203BF"/>
    <w:rsid w:val="00220C4C"/>
    <w:rsid w:val="00220E95"/>
    <w:rsid w:val="002217FE"/>
    <w:rsid w:val="0022180C"/>
    <w:rsid w:val="00221935"/>
    <w:rsid w:val="00221C72"/>
    <w:rsid w:val="002223E1"/>
    <w:rsid w:val="002225AB"/>
    <w:rsid w:val="00222955"/>
    <w:rsid w:val="002231B0"/>
    <w:rsid w:val="002239B8"/>
    <w:rsid w:val="002250D1"/>
    <w:rsid w:val="00225AAD"/>
    <w:rsid w:val="002267D2"/>
    <w:rsid w:val="00227AD7"/>
    <w:rsid w:val="00230839"/>
    <w:rsid w:val="00230EE8"/>
    <w:rsid w:val="0023192F"/>
    <w:rsid w:val="00231ADB"/>
    <w:rsid w:val="00232178"/>
    <w:rsid w:val="00232248"/>
    <w:rsid w:val="00232D12"/>
    <w:rsid w:val="0023353F"/>
    <w:rsid w:val="00233616"/>
    <w:rsid w:val="00233975"/>
    <w:rsid w:val="00233B8C"/>
    <w:rsid w:val="002353E3"/>
    <w:rsid w:val="00235CC0"/>
    <w:rsid w:val="00235F30"/>
    <w:rsid w:val="00236287"/>
    <w:rsid w:val="002363FF"/>
    <w:rsid w:val="00236D10"/>
    <w:rsid w:val="0023777E"/>
    <w:rsid w:val="002407CE"/>
    <w:rsid w:val="002410D2"/>
    <w:rsid w:val="00241A6E"/>
    <w:rsid w:val="00242325"/>
    <w:rsid w:val="002430FE"/>
    <w:rsid w:val="00243A38"/>
    <w:rsid w:val="0024474F"/>
    <w:rsid w:val="00244761"/>
    <w:rsid w:val="002450F2"/>
    <w:rsid w:val="00245716"/>
    <w:rsid w:val="00245B7F"/>
    <w:rsid w:val="00246383"/>
    <w:rsid w:val="002469C2"/>
    <w:rsid w:val="00247BDE"/>
    <w:rsid w:val="00247DE2"/>
    <w:rsid w:val="00247F35"/>
    <w:rsid w:val="002505DE"/>
    <w:rsid w:val="002514FA"/>
    <w:rsid w:val="00251DAF"/>
    <w:rsid w:val="00252503"/>
    <w:rsid w:val="0025265C"/>
    <w:rsid w:val="00252ED7"/>
    <w:rsid w:val="0025393C"/>
    <w:rsid w:val="00253BEA"/>
    <w:rsid w:val="002549E7"/>
    <w:rsid w:val="00254A7A"/>
    <w:rsid w:val="00254EA4"/>
    <w:rsid w:val="0025509C"/>
    <w:rsid w:val="002552F8"/>
    <w:rsid w:val="0025575F"/>
    <w:rsid w:val="002560FB"/>
    <w:rsid w:val="002565BF"/>
    <w:rsid w:val="002571E3"/>
    <w:rsid w:val="002573DA"/>
    <w:rsid w:val="00260496"/>
    <w:rsid w:val="00260542"/>
    <w:rsid w:val="00260BAD"/>
    <w:rsid w:val="002612EA"/>
    <w:rsid w:val="002618C2"/>
    <w:rsid w:val="0026224C"/>
    <w:rsid w:val="00263258"/>
    <w:rsid w:val="00264022"/>
    <w:rsid w:val="00264C7C"/>
    <w:rsid w:val="0026650F"/>
    <w:rsid w:val="00266DC3"/>
    <w:rsid w:val="0027029D"/>
    <w:rsid w:val="00270443"/>
    <w:rsid w:val="00270EE2"/>
    <w:rsid w:val="0027138C"/>
    <w:rsid w:val="002714F9"/>
    <w:rsid w:val="0027165A"/>
    <w:rsid w:val="00271D74"/>
    <w:rsid w:val="00272787"/>
    <w:rsid w:val="00272826"/>
    <w:rsid w:val="00272A7B"/>
    <w:rsid w:val="00272C44"/>
    <w:rsid w:val="00272E8C"/>
    <w:rsid w:val="00272F05"/>
    <w:rsid w:val="00273527"/>
    <w:rsid w:val="00273F6B"/>
    <w:rsid w:val="00274395"/>
    <w:rsid w:val="002747EF"/>
    <w:rsid w:val="002749BB"/>
    <w:rsid w:val="00274B06"/>
    <w:rsid w:val="002751D6"/>
    <w:rsid w:val="0027539C"/>
    <w:rsid w:val="002754D3"/>
    <w:rsid w:val="00275B97"/>
    <w:rsid w:val="00276261"/>
    <w:rsid w:val="00276944"/>
    <w:rsid w:val="00276964"/>
    <w:rsid w:val="002769AE"/>
    <w:rsid w:val="00276CA7"/>
    <w:rsid w:val="0027737B"/>
    <w:rsid w:val="00277387"/>
    <w:rsid w:val="00277D7C"/>
    <w:rsid w:val="002816DD"/>
    <w:rsid w:val="002817A6"/>
    <w:rsid w:val="002821E8"/>
    <w:rsid w:val="00282B86"/>
    <w:rsid w:val="00282F1D"/>
    <w:rsid w:val="0028307F"/>
    <w:rsid w:val="00283215"/>
    <w:rsid w:val="00283294"/>
    <w:rsid w:val="00283369"/>
    <w:rsid w:val="002833F3"/>
    <w:rsid w:val="002838BD"/>
    <w:rsid w:val="00284203"/>
    <w:rsid w:val="0028512A"/>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5002"/>
    <w:rsid w:val="0029568E"/>
    <w:rsid w:val="00295E8C"/>
    <w:rsid w:val="0029613D"/>
    <w:rsid w:val="002971C7"/>
    <w:rsid w:val="002971F2"/>
    <w:rsid w:val="002976B4"/>
    <w:rsid w:val="00297785"/>
    <w:rsid w:val="00297E05"/>
    <w:rsid w:val="002A0444"/>
    <w:rsid w:val="002A0BEB"/>
    <w:rsid w:val="002A0F8D"/>
    <w:rsid w:val="002A1311"/>
    <w:rsid w:val="002A1377"/>
    <w:rsid w:val="002A1D71"/>
    <w:rsid w:val="002A1F89"/>
    <w:rsid w:val="002A211A"/>
    <w:rsid w:val="002A264B"/>
    <w:rsid w:val="002A4A82"/>
    <w:rsid w:val="002A4B33"/>
    <w:rsid w:val="002A4C00"/>
    <w:rsid w:val="002A5311"/>
    <w:rsid w:val="002A5863"/>
    <w:rsid w:val="002A6516"/>
    <w:rsid w:val="002A6E9B"/>
    <w:rsid w:val="002A6FBB"/>
    <w:rsid w:val="002B05D1"/>
    <w:rsid w:val="002B09F5"/>
    <w:rsid w:val="002B0DE1"/>
    <w:rsid w:val="002B18C7"/>
    <w:rsid w:val="002B1933"/>
    <w:rsid w:val="002B20BD"/>
    <w:rsid w:val="002B22DB"/>
    <w:rsid w:val="002B2611"/>
    <w:rsid w:val="002B27D8"/>
    <w:rsid w:val="002B35B9"/>
    <w:rsid w:val="002B38D2"/>
    <w:rsid w:val="002B3A46"/>
    <w:rsid w:val="002B3F1C"/>
    <w:rsid w:val="002B3F60"/>
    <w:rsid w:val="002B401B"/>
    <w:rsid w:val="002B48C5"/>
    <w:rsid w:val="002B4ED9"/>
    <w:rsid w:val="002B4EF4"/>
    <w:rsid w:val="002B4F53"/>
    <w:rsid w:val="002B5007"/>
    <w:rsid w:val="002B51BB"/>
    <w:rsid w:val="002B58C5"/>
    <w:rsid w:val="002B654E"/>
    <w:rsid w:val="002B6796"/>
    <w:rsid w:val="002B6C1F"/>
    <w:rsid w:val="002B6CA2"/>
    <w:rsid w:val="002B6E44"/>
    <w:rsid w:val="002B6E8A"/>
    <w:rsid w:val="002B726F"/>
    <w:rsid w:val="002B744E"/>
    <w:rsid w:val="002B7909"/>
    <w:rsid w:val="002C000B"/>
    <w:rsid w:val="002C016F"/>
    <w:rsid w:val="002C09A8"/>
    <w:rsid w:val="002C103C"/>
    <w:rsid w:val="002C1109"/>
    <w:rsid w:val="002C12C7"/>
    <w:rsid w:val="002C19C6"/>
    <w:rsid w:val="002C1E93"/>
    <w:rsid w:val="002C29EB"/>
    <w:rsid w:val="002C30F0"/>
    <w:rsid w:val="002C3799"/>
    <w:rsid w:val="002C401A"/>
    <w:rsid w:val="002C479B"/>
    <w:rsid w:val="002C4EC8"/>
    <w:rsid w:val="002C532B"/>
    <w:rsid w:val="002C586F"/>
    <w:rsid w:val="002C6AF5"/>
    <w:rsid w:val="002C6D15"/>
    <w:rsid w:val="002C711D"/>
    <w:rsid w:val="002C72F4"/>
    <w:rsid w:val="002C7E5B"/>
    <w:rsid w:val="002D0907"/>
    <w:rsid w:val="002D0E9E"/>
    <w:rsid w:val="002D1381"/>
    <w:rsid w:val="002D2D68"/>
    <w:rsid w:val="002D2F69"/>
    <w:rsid w:val="002D3016"/>
    <w:rsid w:val="002D3067"/>
    <w:rsid w:val="002D3630"/>
    <w:rsid w:val="002D38D9"/>
    <w:rsid w:val="002D3CE3"/>
    <w:rsid w:val="002D3DBE"/>
    <w:rsid w:val="002D4298"/>
    <w:rsid w:val="002D47E8"/>
    <w:rsid w:val="002D4FCC"/>
    <w:rsid w:val="002D5FC7"/>
    <w:rsid w:val="002D5FD5"/>
    <w:rsid w:val="002D68F4"/>
    <w:rsid w:val="002D7125"/>
    <w:rsid w:val="002D7395"/>
    <w:rsid w:val="002D7417"/>
    <w:rsid w:val="002D782B"/>
    <w:rsid w:val="002D79CB"/>
    <w:rsid w:val="002E0D9C"/>
    <w:rsid w:val="002E1247"/>
    <w:rsid w:val="002E26E8"/>
    <w:rsid w:val="002E3211"/>
    <w:rsid w:val="002E33A6"/>
    <w:rsid w:val="002E3DD8"/>
    <w:rsid w:val="002E3ED8"/>
    <w:rsid w:val="002E40CD"/>
    <w:rsid w:val="002E49DB"/>
    <w:rsid w:val="002E556D"/>
    <w:rsid w:val="002E5A01"/>
    <w:rsid w:val="002E5AF4"/>
    <w:rsid w:val="002E5EA3"/>
    <w:rsid w:val="002E682D"/>
    <w:rsid w:val="002E717C"/>
    <w:rsid w:val="002E7533"/>
    <w:rsid w:val="002E7A61"/>
    <w:rsid w:val="002F00B8"/>
    <w:rsid w:val="002F0106"/>
    <w:rsid w:val="002F02C2"/>
    <w:rsid w:val="002F03C8"/>
    <w:rsid w:val="002F188D"/>
    <w:rsid w:val="002F18A5"/>
    <w:rsid w:val="002F26F3"/>
    <w:rsid w:val="002F317F"/>
    <w:rsid w:val="002F3FE7"/>
    <w:rsid w:val="002F51A2"/>
    <w:rsid w:val="002F5BA8"/>
    <w:rsid w:val="002F5E95"/>
    <w:rsid w:val="002F5F68"/>
    <w:rsid w:val="002F6367"/>
    <w:rsid w:val="002F63CA"/>
    <w:rsid w:val="002F67B4"/>
    <w:rsid w:val="002F6F73"/>
    <w:rsid w:val="002F7AA9"/>
    <w:rsid w:val="00300414"/>
    <w:rsid w:val="003004E3"/>
    <w:rsid w:val="00300FF1"/>
    <w:rsid w:val="003010FF"/>
    <w:rsid w:val="00301C0D"/>
    <w:rsid w:val="00301D7B"/>
    <w:rsid w:val="00301E19"/>
    <w:rsid w:val="003023DE"/>
    <w:rsid w:val="00302668"/>
    <w:rsid w:val="00302998"/>
    <w:rsid w:val="00303DC4"/>
    <w:rsid w:val="00304676"/>
    <w:rsid w:val="00306BE7"/>
    <w:rsid w:val="00306D4A"/>
    <w:rsid w:val="00307010"/>
    <w:rsid w:val="00307F1A"/>
    <w:rsid w:val="00307F40"/>
    <w:rsid w:val="003110A2"/>
    <w:rsid w:val="00311655"/>
    <w:rsid w:val="00311B66"/>
    <w:rsid w:val="00311F29"/>
    <w:rsid w:val="00312518"/>
    <w:rsid w:val="00313432"/>
    <w:rsid w:val="003138D8"/>
    <w:rsid w:val="00314036"/>
    <w:rsid w:val="003142CC"/>
    <w:rsid w:val="00314347"/>
    <w:rsid w:val="00314C4F"/>
    <w:rsid w:val="00314FAF"/>
    <w:rsid w:val="003162A5"/>
    <w:rsid w:val="00316591"/>
    <w:rsid w:val="00317C91"/>
    <w:rsid w:val="00320553"/>
    <w:rsid w:val="00320C6D"/>
    <w:rsid w:val="003213A8"/>
    <w:rsid w:val="00321FA8"/>
    <w:rsid w:val="00321FE5"/>
    <w:rsid w:val="00321FFD"/>
    <w:rsid w:val="003225AD"/>
    <w:rsid w:val="00322E18"/>
    <w:rsid w:val="00323C3D"/>
    <w:rsid w:val="00323D1D"/>
    <w:rsid w:val="00323F8A"/>
    <w:rsid w:val="00324752"/>
    <w:rsid w:val="00324D73"/>
    <w:rsid w:val="00325D4F"/>
    <w:rsid w:val="00326011"/>
    <w:rsid w:val="0032643D"/>
    <w:rsid w:val="00326D02"/>
    <w:rsid w:val="00327069"/>
    <w:rsid w:val="00327812"/>
    <w:rsid w:val="00327AFB"/>
    <w:rsid w:val="00327BAF"/>
    <w:rsid w:val="00327D10"/>
    <w:rsid w:val="00327D20"/>
    <w:rsid w:val="00327ED6"/>
    <w:rsid w:val="00331894"/>
    <w:rsid w:val="00331FA5"/>
    <w:rsid w:val="00332CB8"/>
    <w:rsid w:val="0033323C"/>
    <w:rsid w:val="00333428"/>
    <w:rsid w:val="00334784"/>
    <w:rsid w:val="003350B6"/>
    <w:rsid w:val="00335854"/>
    <w:rsid w:val="0033595E"/>
    <w:rsid w:val="0033601B"/>
    <w:rsid w:val="003364B6"/>
    <w:rsid w:val="003366C9"/>
    <w:rsid w:val="0033764C"/>
    <w:rsid w:val="00337DF3"/>
    <w:rsid w:val="00337F8E"/>
    <w:rsid w:val="00340039"/>
    <w:rsid w:val="003400D3"/>
    <w:rsid w:val="0034024F"/>
    <w:rsid w:val="00340A77"/>
    <w:rsid w:val="00340D39"/>
    <w:rsid w:val="00340DFB"/>
    <w:rsid w:val="00340FF3"/>
    <w:rsid w:val="00341787"/>
    <w:rsid w:val="00341941"/>
    <w:rsid w:val="0034207A"/>
    <w:rsid w:val="003425CB"/>
    <w:rsid w:val="0034278F"/>
    <w:rsid w:val="0034281F"/>
    <w:rsid w:val="00343B47"/>
    <w:rsid w:val="00343F24"/>
    <w:rsid w:val="0034404F"/>
    <w:rsid w:val="00344ACC"/>
    <w:rsid w:val="00345F01"/>
    <w:rsid w:val="0034654F"/>
    <w:rsid w:val="00346762"/>
    <w:rsid w:val="00346B28"/>
    <w:rsid w:val="003475E1"/>
    <w:rsid w:val="00347685"/>
    <w:rsid w:val="00350575"/>
    <w:rsid w:val="003509A5"/>
    <w:rsid w:val="00350CA2"/>
    <w:rsid w:val="003515FD"/>
    <w:rsid w:val="003518A4"/>
    <w:rsid w:val="00351E21"/>
    <w:rsid w:val="00352327"/>
    <w:rsid w:val="003526A9"/>
    <w:rsid w:val="00352C35"/>
    <w:rsid w:val="0035348F"/>
    <w:rsid w:val="00354062"/>
    <w:rsid w:val="00354405"/>
    <w:rsid w:val="00354752"/>
    <w:rsid w:val="0035505D"/>
    <w:rsid w:val="003553C3"/>
    <w:rsid w:val="00355779"/>
    <w:rsid w:val="00355A76"/>
    <w:rsid w:val="00355DEC"/>
    <w:rsid w:val="0035635F"/>
    <w:rsid w:val="003564B1"/>
    <w:rsid w:val="00356E0F"/>
    <w:rsid w:val="0035700C"/>
    <w:rsid w:val="003607C1"/>
    <w:rsid w:val="003607EE"/>
    <w:rsid w:val="00360BC8"/>
    <w:rsid w:val="00360E35"/>
    <w:rsid w:val="00361106"/>
    <w:rsid w:val="003617AE"/>
    <w:rsid w:val="003618B2"/>
    <w:rsid w:val="00361F64"/>
    <w:rsid w:val="0036215C"/>
    <w:rsid w:val="003630F7"/>
    <w:rsid w:val="0036332B"/>
    <w:rsid w:val="00363589"/>
    <w:rsid w:val="00363636"/>
    <w:rsid w:val="00363A0B"/>
    <w:rsid w:val="0036498F"/>
    <w:rsid w:val="003651AC"/>
    <w:rsid w:val="003653AA"/>
    <w:rsid w:val="00366120"/>
    <w:rsid w:val="003661FF"/>
    <w:rsid w:val="003665A5"/>
    <w:rsid w:val="00366900"/>
    <w:rsid w:val="00366A0C"/>
    <w:rsid w:val="00367238"/>
    <w:rsid w:val="00367462"/>
    <w:rsid w:val="003677D5"/>
    <w:rsid w:val="00367B6C"/>
    <w:rsid w:val="0037034B"/>
    <w:rsid w:val="00370507"/>
    <w:rsid w:val="00370682"/>
    <w:rsid w:val="00370F0B"/>
    <w:rsid w:val="003714BF"/>
    <w:rsid w:val="003718D8"/>
    <w:rsid w:val="00372A01"/>
    <w:rsid w:val="00372ADC"/>
    <w:rsid w:val="00372B87"/>
    <w:rsid w:val="00372C82"/>
    <w:rsid w:val="00372CFC"/>
    <w:rsid w:val="003733DF"/>
    <w:rsid w:val="00373865"/>
    <w:rsid w:val="003739DA"/>
    <w:rsid w:val="00373CE8"/>
    <w:rsid w:val="00374526"/>
    <w:rsid w:val="00374DB0"/>
    <w:rsid w:val="003751C7"/>
    <w:rsid w:val="00375C84"/>
    <w:rsid w:val="00376524"/>
    <w:rsid w:val="003769DE"/>
    <w:rsid w:val="00376E3B"/>
    <w:rsid w:val="003770C7"/>
    <w:rsid w:val="003776FE"/>
    <w:rsid w:val="00380424"/>
    <w:rsid w:val="00380868"/>
    <w:rsid w:val="00380B9B"/>
    <w:rsid w:val="003817CD"/>
    <w:rsid w:val="003818B3"/>
    <w:rsid w:val="003819F5"/>
    <w:rsid w:val="00381A52"/>
    <w:rsid w:val="00381B57"/>
    <w:rsid w:val="00381D47"/>
    <w:rsid w:val="00381E8F"/>
    <w:rsid w:val="003821CC"/>
    <w:rsid w:val="003835F0"/>
    <w:rsid w:val="00384296"/>
    <w:rsid w:val="00384E22"/>
    <w:rsid w:val="003853B1"/>
    <w:rsid w:val="003853ED"/>
    <w:rsid w:val="0038628F"/>
    <w:rsid w:val="00386421"/>
    <w:rsid w:val="0038704C"/>
    <w:rsid w:val="00387AA1"/>
    <w:rsid w:val="0039082A"/>
    <w:rsid w:val="0039101F"/>
    <w:rsid w:val="00392EDB"/>
    <w:rsid w:val="00392FAE"/>
    <w:rsid w:val="003931AA"/>
    <w:rsid w:val="00393943"/>
    <w:rsid w:val="00393EEE"/>
    <w:rsid w:val="003941C0"/>
    <w:rsid w:val="00394D45"/>
    <w:rsid w:val="00395132"/>
    <w:rsid w:val="00395402"/>
    <w:rsid w:val="00395D99"/>
    <w:rsid w:val="00396682"/>
    <w:rsid w:val="003968DF"/>
    <w:rsid w:val="003976C3"/>
    <w:rsid w:val="00397A03"/>
    <w:rsid w:val="00397A64"/>
    <w:rsid w:val="003A010B"/>
    <w:rsid w:val="003A0457"/>
    <w:rsid w:val="003A099A"/>
    <w:rsid w:val="003A1372"/>
    <w:rsid w:val="003A15DE"/>
    <w:rsid w:val="003A1D46"/>
    <w:rsid w:val="003A2447"/>
    <w:rsid w:val="003A2B82"/>
    <w:rsid w:val="003A36D3"/>
    <w:rsid w:val="003A3927"/>
    <w:rsid w:val="003A3D2E"/>
    <w:rsid w:val="003A3F75"/>
    <w:rsid w:val="003A3FF7"/>
    <w:rsid w:val="003A43D1"/>
    <w:rsid w:val="003A5F31"/>
    <w:rsid w:val="003A6A2B"/>
    <w:rsid w:val="003A6A51"/>
    <w:rsid w:val="003A6E29"/>
    <w:rsid w:val="003A7FEA"/>
    <w:rsid w:val="003B0464"/>
    <w:rsid w:val="003B0493"/>
    <w:rsid w:val="003B0BDB"/>
    <w:rsid w:val="003B0E88"/>
    <w:rsid w:val="003B106E"/>
    <w:rsid w:val="003B153F"/>
    <w:rsid w:val="003B17B0"/>
    <w:rsid w:val="003B1844"/>
    <w:rsid w:val="003B1A5C"/>
    <w:rsid w:val="003B211E"/>
    <w:rsid w:val="003B24EA"/>
    <w:rsid w:val="003B2DA7"/>
    <w:rsid w:val="003B348A"/>
    <w:rsid w:val="003B3993"/>
    <w:rsid w:val="003B3AB7"/>
    <w:rsid w:val="003B3ABC"/>
    <w:rsid w:val="003B3CDD"/>
    <w:rsid w:val="003B3D8E"/>
    <w:rsid w:val="003B3FED"/>
    <w:rsid w:val="003B3FF1"/>
    <w:rsid w:val="003B4217"/>
    <w:rsid w:val="003B58B7"/>
    <w:rsid w:val="003B59A1"/>
    <w:rsid w:val="003B6D11"/>
    <w:rsid w:val="003B74F1"/>
    <w:rsid w:val="003B7541"/>
    <w:rsid w:val="003B783F"/>
    <w:rsid w:val="003B7966"/>
    <w:rsid w:val="003B7F07"/>
    <w:rsid w:val="003B7FCE"/>
    <w:rsid w:val="003C067C"/>
    <w:rsid w:val="003C0F87"/>
    <w:rsid w:val="003C1113"/>
    <w:rsid w:val="003C141E"/>
    <w:rsid w:val="003C1B83"/>
    <w:rsid w:val="003C210E"/>
    <w:rsid w:val="003C2186"/>
    <w:rsid w:val="003C21B3"/>
    <w:rsid w:val="003C30AD"/>
    <w:rsid w:val="003C3503"/>
    <w:rsid w:val="003C3A13"/>
    <w:rsid w:val="003C40DE"/>
    <w:rsid w:val="003C4851"/>
    <w:rsid w:val="003C4C96"/>
    <w:rsid w:val="003C55E0"/>
    <w:rsid w:val="003C5E39"/>
    <w:rsid w:val="003C683A"/>
    <w:rsid w:val="003C7362"/>
    <w:rsid w:val="003D0079"/>
    <w:rsid w:val="003D017D"/>
    <w:rsid w:val="003D04D6"/>
    <w:rsid w:val="003D10EC"/>
    <w:rsid w:val="003D1901"/>
    <w:rsid w:val="003D28DE"/>
    <w:rsid w:val="003D29B9"/>
    <w:rsid w:val="003D3500"/>
    <w:rsid w:val="003D37B6"/>
    <w:rsid w:val="003D3C68"/>
    <w:rsid w:val="003D450D"/>
    <w:rsid w:val="003D4BA9"/>
    <w:rsid w:val="003D4D49"/>
    <w:rsid w:val="003D4F8F"/>
    <w:rsid w:val="003D503A"/>
    <w:rsid w:val="003D5175"/>
    <w:rsid w:val="003D6505"/>
    <w:rsid w:val="003D71A6"/>
    <w:rsid w:val="003D7709"/>
    <w:rsid w:val="003E004C"/>
    <w:rsid w:val="003E0BAF"/>
    <w:rsid w:val="003E0E25"/>
    <w:rsid w:val="003E1409"/>
    <w:rsid w:val="003E14AC"/>
    <w:rsid w:val="003E16F2"/>
    <w:rsid w:val="003E2195"/>
    <w:rsid w:val="003E241A"/>
    <w:rsid w:val="003E27B2"/>
    <w:rsid w:val="003E36A5"/>
    <w:rsid w:val="003E42BC"/>
    <w:rsid w:val="003E4A52"/>
    <w:rsid w:val="003E5CBA"/>
    <w:rsid w:val="003E782F"/>
    <w:rsid w:val="003E78A9"/>
    <w:rsid w:val="003E7912"/>
    <w:rsid w:val="003E7DB5"/>
    <w:rsid w:val="003F04A3"/>
    <w:rsid w:val="003F04E6"/>
    <w:rsid w:val="003F097C"/>
    <w:rsid w:val="003F163F"/>
    <w:rsid w:val="003F19D6"/>
    <w:rsid w:val="003F2164"/>
    <w:rsid w:val="003F229A"/>
    <w:rsid w:val="003F2CDD"/>
    <w:rsid w:val="003F3FB3"/>
    <w:rsid w:val="003F45D7"/>
    <w:rsid w:val="003F4C1B"/>
    <w:rsid w:val="003F5660"/>
    <w:rsid w:val="003F5717"/>
    <w:rsid w:val="003F5A39"/>
    <w:rsid w:val="003F5B56"/>
    <w:rsid w:val="003F5B9F"/>
    <w:rsid w:val="003F5C1A"/>
    <w:rsid w:val="003F6A6A"/>
    <w:rsid w:val="003F738D"/>
    <w:rsid w:val="003F7554"/>
    <w:rsid w:val="003F773C"/>
    <w:rsid w:val="003F7845"/>
    <w:rsid w:val="003F7FA1"/>
    <w:rsid w:val="003F7FA4"/>
    <w:rsid w:val="004006EA"/>
    <w:rsid w:val="004008DE"/>
    <w:rsid w:val="00400B4E"/>
    <w:rsid w:val="0040130D"/>
    <w:rsid w:val="00402E56"/>
    <w:rsid w:val="00403634"/>
    <w:rsid w:val="00403A99"/>
    <w:rsid w:val="00403CC9"/>
    <w:rsid w:val="00403F02"/>
    <w:rsid w:val="004041BA"/>
    <w:rsid w:val="00404592"/>
    <w:rsid w:val="0040471F"/>
    <w:rsid w:val="0040496E"/>
    <w:rsid w:val="00404B58"/>
    <w:rsid w:val="00404BD2"/>
    <w:rsid w:val="0040544F"/>
    <w:rsid w:val="00405537"/>
    <w:rsid w:val="0040591F"/>
    <w:rsid w:val="0040597C"/>
    <w:rsid w:val="0040625C"/>
    <w:rsid w:val="004069D2"/>
    <w:rsid w:val="004072BD"/>
    <w:rsid w:val="0040730C"/>
    <w:rsid w:val="004076FF"/>
    <w:rsid w:val="00410078"/>
    <w:rsid w:val="00410AD2"/>
    <w:rsid w:val="00411B17"/>
    <w:rsid w:val="00411B3A"/>
    <w:rsid w:val="00411FFF"/>
    <w:rsid w:val="0041222D"/>
    <w:rsid w:val="004124F2"/>
    <w:rsid w:val="00412C2A"/>
    <w:rsid w:val="00412E6F"/>
    <w:rsid w:val="00413C5C"/>
    <w:rsid w:val="00413DB2"/>
    <w:rsid w:val="0041413F"/>
    <w:rsid w:val="0041567A"/>
    <w:rsid w:val="00415BAB"/>
    <w:rsid w:val="00415BCF"/>
    <w:rsid w:val="00416297"/>
    <w:rsid w:val="00417083"/>
    <w:rsid w:val="0041736F"/>
    <w:rsid w:val="00417D45"/>
    <w:rsid w:val="00417E36"/>
    <w:rsid w:val="0042016C"/>
    <w:rsid w:val="0042057C"/>
    <w:rsid w:val="00420BDF"/>
    <w:rsid w:val="00421608"/>
    <w:rsid w:val="00421849"/>
    <w:rsid w:val="00421C23"/>
    <w:rsid w:val="00422593"/>
    <w:rsid w:val="0042261E"/>
    <w:rsid w:val="00422749"/>
    <w:rsid w:val="004228F2"/>
    <w:rsid w:val="004233DC"/>
    <w:rsid w:val="00423B4B"/>
    <w:rsid w:val="004240FC"/>
    <w:rsid w:val="00424420"/>
    <w:rsid w:val="00424888"/>
    <w:rsid w:val="004255D9"/>
    <w:rsid w:val="00425763"/>
    <w:rsid w:val="00425C3C"/>
    <w:rsid w:val="00425F29"/>
    <w:rsid w:val="0042605B"/>
    <w:rsid w:val="004260B9"/>
    <w:rsid w:val="004261FD"/>
    <w:rsid w:val="00426B69"/>
    <w:rsid w:val="00426F8D"/>
    <w:rsid w:val="00427D1B"/>
    <w:rsid w:val="00427E40"/>
    <w:rsid w:val="00430457"/>
    <w:rsid w:val="004306AB"/>
    <w:rsid w:val="0043159D"/>
    <w:rsid w:val="0043171D"/>
    <w:rsid w:val="00431DF9"/>
    <w:rsid w:val="0043263C"/>
    <w:rsid w:val="00432AC3"/>
    <w:rsid w:val="00432F78"/>
    <w:rsid w:val="004331AE"/>
    <w:rsid w:val="004334A2"/>
    <w:rsid w:val="004335BC"/>
    <w:rsid w:val="00433972"/>
    <w:rsid w:val="004339E6"/>
    <w:rsid w:val="00433DA5"/>
    <w:rsid w:val="00434372"/>
    <w:rsid w:val="00434723"/>
    <w:rsid w:val="00434729"/>
    <w:rsid w:val="0043499E"/>
    <w:rsid w:val="00434FEA"/>
    <w:rsid w:val="0043617B"/>
    <w:rsid w:val="00437D17"/>
    <w:rsid w:val="00437D2F"/>
    <w:rsid w:val="0044046D"/>
    <w:rsid w:val="00440DEC"/>
    <w:rsid w:val="004410D3"/>
    <w:rsid w:val="00441A5B"/>
    <w:rsid w:val="00441DAF"/>
    <w:rsid w:val="00442297"/>
    <w:rsid w:val="0044270D"/>
    <w:rsid w:val="00442E8C"/>
    <w:rsid w:val="0044312A"/>
    <w:rsid w:val="00443310"/>
    <w:rsid w:val="004435D5"/>
    <w:rsid w:val="00443A34"/>
    <w:rsid w:val="00443D38"/>
    <w:rsid w:val="0044413E"/>
    <w:rsid w:val="00444140"/>
    <w:rsid w:val="00444BF5"/>
    <w:rsid w:val="00444F43"/>
    <w:rsid w:val="00446BA0"/>
    <w:rsid w:val="00446C3A"/>
    <w:rsid w:val="00447213"/>
    <w:rsid w:val="0044765A"/>
    <w:rsid w:val="00447C23"/>
    <w:rsid w:val="00450744"/>
    <w:rsid w:val="00450BE7"/>
    <w:rsid w:val="00450FE8"/>
    <w:rsid w:val="004518D0"/>
    <w:rsid w:val="00451DC1"/>
    <w:rsid w:val="0045213A"/>
    <w:rsid w:val="0045227C"/>
    <w:rsid w:val="0045230E"/>
    <w:rsid w:val="00452553"/>
    <w:rsid w:val="004528FA"/>
    <w:rsid w:val="00452D67"/>
    <w:rsid w:val="00452E53"/>
    <w:rsid w:val="0045418C"/>
    <w:rsid w:val="004542C6"/>
    <w:rsid w:val="0045435F"/>
    <w:rsid w:val="004547AC"/>
    <w:rsid w:val="00454E09"/>
    <w:rsid w:val="00454EDC"/>
    <w:rsid w:val="004555E1"/>
    <w:rsid w:val="00455B00"/>
    <w:rsid w:val="00455B97"/>
    <w:rsid w:val="00456635"/>
    <w:rsid w:val="00456BFD"/>
    <w:rsid w:val="004575D5"/>
    <w:rsid w:val="00457657"/>
    <w:rsid w:val="00457D7C"/>
    <w:rsid w:val="004600BF"/>
    <w:rsid w:val="00460346"/>
    <w:rsid w:val="004607D0"/>
    <w:rsid w:val="00460CE3"/>
    <w:rsid w:val="00460F25"/>
    <w:rsid w:val="0046116D"/>
    <w:rsid w:val="004612A4"/>
    <w:rsid w:val="0046153C"/>
    <w:rsid w:val="00461E88"/>
    <w:rsid w:val="004624D2"/>
    <w:rsid w:val="004625C8"/>
    <w:rsid w:val="00462DCE"/>
    <w:rsid w:val="004631EC"/>
    <w:rsid w:val="00464194"/>
    <w:rsid w:val="0046442A"/>
    <w:rsid w:val="00464BF1"/>
    <w:rsid w:val="00464CAF"/>
    <w:rsid w:val="00465D73"/>
    <w:rsid w:val="00466078"/>
    <w:rsid w:val="0046626B"/>
    <w:rsid w:val="00466967"/>
    <w:rsid w:val="004676E4"/>
    <w:rsid w:val="00467AFF"/>
    <w:rsid w:val="00470183"/>
    <w:rsid w:val="004705C5"/>
    <w:rsid w:val="004708C9"/>
    <w:rsid w:val="00470C48"/>
    <w:rsid w:val="0047139F"/>
    <w:rsid w:val="00471429"/>
    <w:rsid w:val="0047153B"/>
    <w:rsid w:val="004722B1"/>
    <w:rsid w:val="00472312"/>
    <w:rsid w:val="00472883"/>
    <w:rsid w:val="00473A2B"/>
    <w:rsid w:val="00473A47"/>
    <w:rsid w:val="00473A4F"/>
    <w:rsid w:val="00473C0A"/>
    <w:rsid w:val="00473EEF"/>
    <w:rsid w:val="00474415"/>
    <w:rsid w:val="00474BC1"/>
    <w:rsid w:val="00475A46"/>
    <w:rsid w:val="004763EC"/>
    <w:rsid w:val="0047679B"/>
    <w:rsid w:val="0047722F"/>
    <w:rsid w:val="00477459"/>
    <w:rsid w:val="00477CC9"/>
    <w:rsid w:val="0048026E"/>
    <w:rsid w:val="00480303"/>
    <w:rsid w:val="004804C3"/>
    <w:rsid w:val="004807A9"/>
    <w:rsid w:val="00480849"/>
    <w:rsid w:val="00480A8A"/>
    <w:rsid w:val="00480F76"/>
    <w:rsid w:val="004810A5"/>
    <w:rsid w:val="004810E0"/>
    <w:rsid w:val="00481318"/>
    <w:rsid w:val="00481363"/>
    <w:rsid w:val="004813EE"/>
    <w:rsid w:val="00481835"/>
    <w:rsid w:val="0048237F"/>
    <w:rsid w:val="00482CDC"/>
    <w:rsid w:val="00482FB0"/>
    <w:rsid w:val="00483B03"/>
    <w:rsid w:val="0048444C"/>
    <w:rsid w:val="00484D9D"/>
    <w:rsid w:val="00485058"/>
    <w:rsid w:val="00485702"/>
    <w:rsid w:val="004858CE"/>
    <w:rsid w:val="00485C2D"/>
    <w:rsid w:val="004860F7"/>
    <w:rsid w:val="00486177"/>
    <w:rsid w:val="004862C2"/>
    <w:rsid w:val="004867EC"/>
    <w:rsid w:val="00486A37"/>
    <w:rsid w:val="00486DA6"/>
    <w:rsid w:val="00487662"/>
    <w:rsid w:val="004876C6"/>
    <w:rsid w:val="00487D7B"/>
    <w:rsid w:val="0049044F"/>
    <w:rsid w:val="00490F7A"/>
    <w:rsid w:val="00490FD5"/>
    <w:rsid w:val="00491241"/>
    <w:rsid w:val="00491813"/>
    <w:rsid w:val="00492B82"/>
    <w:rsid w:val="0049317A"/>
    <w:rsid w:val="00493278"/>
    <w:rsid w:val="00493855"/>
    <w:rsid w:val="004951D8"/>
    <w:rsid w:val="004952C1"/>
    <w:rsid w:val="00495313"/>
    <w:rsid w:val="004967C4"/>
    <w:rsid w:val="00497575"/>
    <w:rsid w:val="00497ADD"/>
    <w:rsid w:val="00497D53"/>
    <w:rsid w:val="004A078B"/>
    <w:rsid w:val="004A103F"/>
    <w:rsid w:val="004A12C0"/>
    <w:rsid w:val="004A169A"/>
    <w:rsid w:val="004A18C9"/>
    <w:rsid w:val="004A191A"/>
    <w:rsid w:val="004A1A70"/>
    <w:rsid w:val="004A2D5A"/>
    <w:rsid w:val="004A2E84"/>
    <w:rsid w:val="004A3627"/>
    <w:rsid w:val="004A3988"/>
    <w:rsid w:val="004A4027"/>
    <w:rsid w:val="004A419E"/>
    <w:rsid w:val="004A42A7"/>
    <w:rsid w:val="004A43F0"/>
    <w:rsid w:val="004A4688"/>
    <w:rsid w:val="004A4776"/>
    <w:rsid w:val="004A4B10"/>
    <w:rsid w:val="004A4F72"/>
    <w:rsid w:val="004A5741"/>
    <w:rsid w:val="004A6463"/>
    <w:rsid w:val="004A6B58"/>
    <w:rsid w:val="004A6BA2"/>
    <w:rsid w:val="004A7D74"/>
    <w:rsid w:val="004B0364"/>
    <w:rsid w:val="004B06C3"/>
    <w:rsid w:val="004B0917"/>
    <w:rsid w:val="004B0B09"/>
    <w:rsid w:val="004B140F"/>
    <w:rsid w:val="004B14EB"/>
    <w:rsid w:val="004B1535"/>
    <w:rsid w:val="004B21CF"/>
    <w:rsid w:val="004B2DE3"/>
    <w:rsid w:val="004B34DF"/>
    <w:rsid w:val="004B3FEA"/>
    <w:rsid w:val="004B44A9"/>
    <w:rsid w:val="004B4E68"/>
    <w:rsid w:val="004B50AC"/>
    <w:rsid w:val="004B53F1"/>
    <w:rsid w:val="004B5D6E"/>
    <w:rsid w:val="004B60BA"/>
    <w:rsid w:val="004B61BA"/>
    <w:rsid w:val="004B6946"/>
    <w:rsid w:val="004B6D89"/>
    <w:rsid w:val="004B6E81"/>
    <w:rsid w:val="004B7DE4"/>
    <w:rsid w:val="004C0FFE"/>
    <w:rsid w:val="004C136D"/>
    <w:rsid w:val="004C1619"/>
    <w:rsid w:val="004C177F"/>
    <w:rsid w:val="004C19E4"/>
    <w:rsid w:val="004C1B59"/>
    <w:rsid w:val="004C3C25"/>
    <w:rsid w:val="004C3CFC"/>
    <w:rsid w:val="004C3EEA"/>
    <w:rsid w:val="004C4D02"/>
    <w:rsid w:val="004C4EA2"/>
    <w:rsid w:val="004C555C"/>
    <w:rsid w:val="004C5851"/>
    <w:rsid w:val="004C596B"/>
    <w:rsid w:val="004C5E41"/>
    <w:rsid w:val="004C60E7"/>
    <w:rsid w:val="004C664D"/>
    <w:rsid w:val="004C7864"/>
    <w:rsid w:val="004C7BDE"/>
    <w:rsid w:val="004D0090"/>
    <w:rsid w:val="004D020F"/>
    <w:rsid w:val="004D03D1"/>
    <w:rsid w:val="004D10B0"/>
    <w:rsid w:val="004D11AF"/>
    <w:rsid w:val="004D1BC4"/>
    <w:rsid w:val="004D2E58"/>
    <w:rsid w:val="004D37D9"/>
    <w:rsid w:val="004D41A2"/>
    <w:rsid w:val="004D47F2"/>
    <w:rsid w:val="004D502C"/>
    <w:rsid w:val="004D5CEE"/>
    <w:rsid w:val="004D5E5D"/>
    <w:rsid w:val="004D5FB2"/>
    <w:rsid w:val="004D60A3"/>
    <w:rsid w:val="004D6DC3"/>
    <w:rsid w:val="004D71CA"/>
    <w:rsid w:val="004D78B9"/>
    <w:rsid w:val="004D7CF5"/>
    <w:rsid w:val="004E016A"/>
    <w:rsid w:val="004E0461"/>
    <w:rsid w:val="004E12E8"/>
    <w:rsid w:val="004E1CC8"/>
    <w:rsid w:val="004E2052"/>
    <w:rsid w:val="004E29B1"/>
    <w:rsid w:val="004E3F87"/>
    <w:rsid w:val="004E461B"/>
    <w:rsid w:val="004E477D"/>
    <w:rsid w:val="004E534B"/>
    <w:rsid w:val="004E5890"/>
    <w:rsid w:val="004E605C"/>
    <w:rsid w:val="004E6708"/>
    <w:rsid w:val="004E79EF"/>
    <w:rsid w:val="004E7B33"/>
    <w:rsid w:val="004F0368"/>
    <w:rsid w:val="004F0D19"/>
    <w:rsid w:val="004F121B"/>
    <w:rsid w:val="004F140F"/>
    <w:rsid w:val="004F185F"/>
    <w:rsid w:val="004F24FF"/>
    <w:rsid w:val="004F2811"/>
    <w:rsid w:val="004F2F69"/>
    <w:rsid w:val="004F3326"/>
    <w:rsid w:val="004F4D22"/>
    <w:rsid w:val="004F590E"/>
    <w:rsid w:val="004F5966"/>
    <w:rsid w:val="004F6026"/>
    <w:rsid w:val="004F60AF"/>
    <w:rsid w:val="004F60F4"/>
    <w:rsid w:val="004F62E8"/>
    <w:rsid w:val="004F67C3"/>
    <w:rsid w:val="004F6C17"/>
    <w:rsid w:val="004F7390"/>
    <w:rsid w:val="004F78F8"/>
    <w:rsid w:val="005001A5"/>
    <w:rsid w:val="00500201"/>
    <w:rsid w:val="005006E8"/>
    <w:rsid w:val="00500CCD"/>
    <w:rsid w:val="0050129C"/>
    <w:rsid w:val="005019AA"/>
    <w:rsid w:val="00502008"/>
    <w:rsid w:val="00502075"/>
    <w:rsid w:val="005026B8"/>
    <w:rsid w:val="005028AF"/>
    <w:rsid w:val="00502E53"/>
    <w:rsid w:val="005032E9"/>
    <w:rsid w:val="00503BB1"/>
    <w:rsid w:val="00503C3B"/>
    <w:rsid w:val="00503CE7"/>
    <w:rsid w:val="005040C9"/>
    <w:rsid w:val="005042DB"/>
    <w:rsid w:val="0050458E"/>
    <w:rsid w:val="00505928"/>
    <w:rsid w:val="00505CD6"/>
    <w:rsid w:val="005069B2"/>
    <w:rsid w:val="0050741A"/>
    <w:rsid w:val="00510452"/>
    <w:rsid w:val="005104CD"/>
    <w:rsid w:val="005107BD"/>
    <w:rsid w:val="005108EC"/>
    <w:rsid w:val="00511F8F"/>
    <w:rsid w:val="00512A7E"/>
    <w:rsid w:val="00513291"/>
    <w:rsid w:val="00513EA4"/>
    <w:rsid w:val="005147DA"/>
    <w:rsid w:val="00514FBF"/>
    <w:rsid w:val="00514FCB"/>
    <w:rsid w:val="005153AC"/>
    <w:rsid w:val="005153C3"/>
    <w:rsid w:val="00515745"/>
    <w:rsid w:val="00515862"/>
    <w:rsid w:val="00515C5A"/>
    <w:rsid w:val="005165FE"/>
    <w:rsid w:val="0051690E"/>
    <w:rsid w:val="00516942"/>
    <w:rsid w:val="00516C62"/>
    <w:rsid w:val="00516DC0"/>
    <w:rsid w:val="00516DC5"/>
    <w:rsid w:val="00517667"/>
    <w:rsid w:val="00520482"/>
    <w:rsid w:val="00520BBA"/>
    <w:rsid w:val="00522185"/>
    <w:rsid w:val="005225AC"/>
    <w:rsid w:val="005226FA"/>
    <w:rsid w:val="005233F3"/>
    <w:rsid w:val="0052365C"/>
    <w:rsid w:val="005245D2"/>
    <w:rsid w:val="00524806"/>
    <w:rsid w:val="0052488B"/>
    <w:rsid w:val="00524C98"/>
    <w:rsid w:val="00524C9C"/>
    <w:rsid w:val="00524EDD"/>
    <w:rsid w:val="00524FEB"/>
    <w:rsid w:val="00525B59"/>
    <w:rsid w:val="00526542"/>
    <w:rsid w:val="005269C4"/>
    <w:rsid w:val="00526A20"/>
    <w:rsid w:val="00527AFE"/>
    <w:rsid w:val="00531966"/>
    <w:rsid w:val="00532472"/>
    <w:rsid w:val="005325C9"/>
    <w:rsid w:val="005329DA"/>
    <w:rsid w:val="0053322F"/>
    <w:rsid w:val="00533BC1"/>
    <w:rsid w:val="00533DBF"/>
    <w:rsid w:val="00534940"/>
    <w:rsid w:val="00535673"/>
    <w:rsid w:val="00535784"/>
    <w:rsid w:val="00535D6B"/>
    <w:rsid w:val="00536442"/>
    <w:rsid w:val="00536735"/>
    <w:rsid w:val="005374FE"/>
    <w:rsid w:val="005375F7"/>
    <w:rsid w:val="0054053D"/>
    <w:rsid w:val="0054083A"/>
    <w:rsid w:val="0054126C"/>
    <w:rsid w:val="00541368"/>
    <w:rsid w:val="005415DD"/>
    <w:rsid w:val="00541D12"/>
    <w:rsid w:val="005423F3"/>
    <w:rsid w:val="005426DB"/>
    <w:rsid w:val="00542B9F"/>
    <w:rsid w:val="00543C9C"/>
    <w:rsid w:val="00543DBA"/>
    <w:rsid w:val="005442F1"/>
    <w:rsid w:val="00544A24"/>
    <w:rsid w:val="0054583C"/>
    <w:rsid w:val="00546227"/>
    <w:rsid w:val="005468E2"/>
    <w:rsid w:val="00546D83"/>
    <w:rsid w:val="00546FCC"/>
    <w:rsid w:val="00550113"/>
    <w:rsid w:val="0055019B"/>
    <w:rsid w:val="005504BE"/>
    <w:rsid w:val="0055082B"/>
    <w:rsid w:val="0055093A"/>
    <w:rsid w:val="00550DA4"/>
    <w:rsid w:val="00550F00"/>
    <w:rsid w:val="00551964"/>
    <w:rsid w:val="00551BDF"/>
    <w:rsid w:val="00551ED7"/>
    <w:rsid w:val="0055211C"/>
    <w:rsid w:val="0055263A"/>
    <w:rsid w:val="005526EE"/>
    <w:rsid w:val="00552B57"/>
    <w:rsid w:val="00552E53"/>
    <w:rsid w:val="0055399A"/>
    <w:rsid w:val="00553E34"/>
    <w:rsid w:val="0055403F"/>
    <w:rsid w:val="005547B7"/>
    <w:rsid w:val="005548F7"/>
    <w:rsid w:val="00554D6D"/>
    <w:rsid w:val="005551E9"/>
    <w:rsid w:val="0055680D"/>
    <w:rsid w:val="00557670"/>
    <w:rsid w:val="00557C2D"/>
    <w:rsid w:val="00560094"/>
    <w:rsid w:val="0056054A"/>
    <w:rsid w:val="00560C62"/>
    <w:rsid w:val="00562A61"/>
    <w:rsid w:val="00562E78"/>
    <w:rsid w:val="005638A2"/>
    <w:rsid w:val="00563D60"/>
    <w:rsid w:val="00564E45"/>
    <w:rsid w:val="005652D5"/>
    <w:rsid w:val="005652FA"/>
    <w:rsid w:val="00565CAC"/>
    <w:rsid w:val="00565E52"/>
    <w:rsid w:val="00567227"/>
    <w:rsid w:val="00567CD0"/>
    <w:rsid w:val="00570C7B"/>
    <w:rsid w:val="00571C77"/>
    <w:rsid w:val="00572BCD"/>
    <w:rsid w:val="00572D5B"/>
    <w:rsid w:val="005731DB"/>
    <w:rsid w:val="00574614"/>
    <w:rsid w:val="00574A70"/>
    <w:rsid w:val="00574D35"/>
    <w:rsid w:val="00574EFB"/>
    <w:rsid w:val="00575449"/>
    <w:rsid w:val="00575C75"/>
    <w:rsid w:val="00575CEA"/>
    <w:rsid w:val="005762CA"/>
    <w:rsid w:val="00576D5B"/>
    <w:rsid w:val="005770CF"/>
    <w:rsid w:val="00577534"/>
    <w:rsid w:val="00577904"/>
    <w:rsid w:val="00577922"/>
    <w:rsid w:val="00577AC3"/>
    <w:rsid w:val="00580577"/>
    <w:rsid w:val="00580E97"/>
    <w:rsid w:val="005815A8"/>
    <w:rsid w:val="00581915"/>
    <w:rsid w:val="005819FE"/>
    <w:rsid w:val="0058284A"/>
    <w:rsid w:val="00583431"/>
    <w:rsid w:val="005835B0"/>
    <w:rsid w:val="005846C0"/>
    <w:rsid w:val="00584972"/>
    <w:rsid w:val="00584D04"/>
    <w:rsid w:val="005850F8"/>
    <w:rsid w:val="005853F5"/>
    <w:rsid w:val="0058567E"/>
    <w:rsid w:val="00585DE1"/>
    <w:rsid w:val="0058659E"/>
    <w:rsid w:val="005869EE"/>
    <w:rsid w:val="005871A3"/>
    <w:rsid w:val="005872DD"/>
    <w:rsid w:val="00587CF2"/>
    <w:rsid w:val="00587D3A"/>
    <w:rsid w:val="00590197"/>
    <w:rsid w:val="00590346"/>
    <w:rsid w:val="00590353"/>
    <w:rsid w:val="0059093F"/>
    <w:rsid w:val="00590BA2"/>
    <w:rsid w:val="00590CA7"/>
    <w:rsid w:val="00590E93"/>
    <w:rsid w:val="005915E1"/>
    <w:rsid w:val="0059177A"/>
    <w:rsid w:val="00591C75"/>
    <w:rsid w:val="00592858"/>
    <w:rsid w:val="00592D10"/>
    <w:rsid w:val="0059388B"/>
    <w:rsid w:val="00593A5F"/>
    <w:rsid w:val="0059404E"/>
    <w:rsid w:val="00594269"/>
    <w:rsid w:val="00594936"/>
    <w:rsid w:val="005950C2"/>
    <w:rsid w:val="00595539"/>
    <w:rsid w:val="00597108"/>
    <w:rsid w:val="005976DB"/>
    <w:rsid w:val="005A06DA"/>
    <w:rsid w:val="005A1A84"/>
    <w:rsid w:val="005A21AC"/>
    <w:rsid w:val="005A3242"/>
    <w:rsid w:val="005A3282"/>
    <w:rsid w:val="005A3E82"/>
    <w:rsid w:val="005A4287"/>
    <w:rsid w:val="005A482E"/>
    <w:rsid w:val="005A4DB0"/>
    <w:rsid w:val="005A5095"/>
    <w:rsid w:val="005A5597"/>
    <w:rsid w:val="005A57BF"/>
    <w:rsid w:val="005A6375"/>
    <w:rsid w:val="005A6AC2"/>
    <w:rsid w:val="005A7A65"/>
    <w:rsid w:val="005A7B26"/>
    <w:rsid w:val="005A7B80"/>
    <w:rsid w:val="005A7B8E"/>
    <w:rsid w:val="005A7C10"/>
    <w:rsid w:val="005B0039"/>
    <w:rsid w:val="005B012B"/>
    <w:rsid w:val="005B03E2"/>
    <w:rsid w:val="005B0C87"/>
    <w:rsid w:val="005B0FE9"/>
    <w:rsid w:val="005B2195"/>
    <w:rsid w:val="005B26C7"/>
    <w:rsid w:val="005B27AA"/>
    <w:rsid w:val="005B2D1F"/>
    <w:rsid w:val="005B2D65"/>
    <w:rsid w:val="005B3600"/>
    <w:rsid w:val="005B3877"/>
    <w:rsid w:val="005B3AC8"/>
    <w:rsid w:val="005B3CC1"/>
    <w:rsid w:val="005B4002"/>
    <w:rsid w:val="005B45AB"/>
    <w:rsid w:val="005B46DF"/>
    <w:rsid w:val="005B4D8F"/>
    <w:rsid w:val="005B526C"/>
    <w:rsid w:val="005B53B4"/>
    <w:rsid w:val="005B541E"/>
    <w:rsid w:val="005B6551"/>
    <w:rsid w:val="005B6930"/>
    <w:rsid w:val="005B6B1C"/>
    <w:rsid w:val="005B71A8"/>
    <w:rsid w:val="005B744B"/>
    <w:rsid w:val="005C0A6F"/>
    <w:rsid w:val="005C0D87"/>
    <w:rsid w:val="005C0FA7"/>
    <w:rsid w:val="005C155F"/>
    <w:rsid w:val="005C1C0E"/>
    <w:rsid w:val="005C1C42"/>
    <w:rsid w:val="005C1FF5"/>
    <w:rsid w:val="005C259E"/>
    <w:rsid w:val="005C36E2"/>
    <w:rsid w:val="005C3BF7"/>
    <w:rsid w:val="005C3E9E"/>
    <w:rsid w:val="005C400C"/>
    <w:rsid w:val="005C410C"/>
    <w:rsid w:val="005C4BF1"/>
    <w:rsid w:val="005C4BF2"/>
    <w:rsid w:val="005C52D4"/>
    <w:rsid w:val="005C5624"/>
    <w:rsid w:val="005C5967"/>
    <w:rsid w:val="005C5BED"/>
    <w:rsid w:val="005C5D86"/>
    <w:rsid w:val="005C6167"/>
    <w:rsid w:val="005C6ADB"/>
    <w:rsid w:val="005C6BCC"/>
    <w:rsid w:val="005C6EE2"/>
    <w:rsid w:val="005C6FDA"/>
    <w:rsid w:val="005C74DC"/>
    <w:rsid w:val="005C74F8"/>
    <w:rsid w:val="005C7A07"/>
    <w:rsid w:val="005C7DDC"/>
    <w:rsid w:val="005C7E9D"/>
    <w:rsid w:val="005C7F7C"/>
    <w:rsid w:val="005D0BAD"/>
    <w:rsid w:val="005D0C0A"/>
    <w:rsid w:val="005D107D"/>
    <w:rsid w:val="005D123A"/>
    <w:rsid w:val="005D2506"/>
    <w:rsid w:val="005D2BB5"/>
    <w:rsid w:val="005D3600"/>
    <w:rsid w:val="005D3677"/>
    <w:rsid w:val="005D3A10"/>
    <w:rsid w:val="005D42B7"/>
    <w:rsid w:val="005D4CFB"/>
    <w:rsid w:val="005D4E4C"/>
    <w:rsid w:val="005D5603"/>
    <w:rsid w:val="005D57A3"/>
    <w:rsid w:val="005D5B5E"/>
    <w:rsid w:val="005D5C85"/>
    <w:rsid w:val="005D5CA0"/>
    <w:rsid w:val="005D5F27"/>
    <w:rsid w:val="005D69AB"/>
    <w:rsid w:val="005D72FC"/>
    <w:rsid w:val="005D7DFC"/>
    <w:rsid w:val="005E035A"/>
    <w:rsid w:val="005E0464"/>
    <w:rsid w:val="005E0681"/>
    <w:rsid w:val="005E0CBC"/>
    <w:rsid w:val="005E0F86"/>
    <w:rsid w:val="005E1143"/>
    <w:rsid w:val="005E1218"/>
    <w:rsid w:val="005E18EC"/>
    <w:rsid w:val="005E19F5"/>
    <w:rsid w:val="005E1A55"/>
    <w:rsid w:val="005E1B6B"/>
    <w:rsid w:val="005E1F61"/>
    <w:rsid w:val="005E2127"/>
    <w:rsid w:val="005E2281"/>
    <w:rsid w:val="005E236C"/>
    <w:rsid w:val="005E24E6"/>
    <w:rsid w:val="005E2FAE"/>
    <w:rsid w:val="005E32C9"/>
    <w:rsid w:val="005E351B"/>
    <w:rsid w:val="005E38A8"/>
    <w:rsid w:val="005E39F9"/>
    <w:rsid w:val="005E3D9B"/>
    <w:rsid w:val="005E3E41"/>
    <w:rsid w:val="005E44B6"/>
    <w:rsid w:val="005E4828"/>
    <w:rsid w:val="005E4887"/>
    <w:rsid w:val="005E5016"/>
    <w:rsid w:val="005E5231"/>
    <w:rsid w:val="005E55BB"/>
    <w:rsid w:val="005E5D11"/>
    <w:rsid w:val="005E667C"/>
    <w:rsid w:val="005E68BC"/>
    <w:rsid w:val="005E692A"/>
    <w:rsid w:val="005E6A1D"/>
    <w:rsid w:val="005E6F12"/>
    <w:rsid w:val="005E733E"/>
    <w:rsid w:val="005E7428"/>
    <w:rsid w:val="005F0694"/>
    <w:rsid w:val="005F06E1"/>
    <w:rsid w:val="005F077C"/>
    <w:rsid w:val="005F0807"/>
    <w:rsid w:val="005F0B88"/>
    <w:rsid w:val="005F1735"/>
    <w:rsid w:val="005F187E"/>
    <w:rsid w:val="005F2054"/>
    <w:rsid w:val="005F237D"/>
    <w:rsid w:val="005F252A"/>
    <w:rsid w:val="005F367B"/>
    <w:rsid w:val="005F3CC3"/>
    <w:rsid w:val="005F3CE8"/>
    <w:rsid w:val="005F4CE3"/>
    <w:rsid w:val="005F4F41"/>
    <w:rsid w:val="005F4F70"/>
    <w:rsid w:val="005F566D"/>
    <w:rsid w:val="005F648F"/>
    <w:rsid w:val="005F68C3"/>
    <w:rsid w:val="005F7D83"/>
    <w:rsid w:val="005F7D87"/>
    <w:rsid w:val="00601794"/>
    <w:rsid w:val="00601E94"/>
    <w:rsid w:val="006021B1"/>
    <w:rsid w:val="00602412"/>
    <w:rsid w:val="006029A7"/>
    <w:rsid w:val="00602F40"/>
    <w:rsid w:val="006037C5"/>
    <w:rsid w:val="00603CC8"/>
    <w:rsid w:val="006040CE"/>
    <w:rsid w:val="0060467D"/>
    <w:rsid w:val="00604DF3"/>
    <w:rsid w:val="0060585E"/>
    <w:rsid w:val="00605B4D"/>
    <w:rsid w:val="00605B9D"/>
    <w:rsid w:val="00606213"/>
    <w:rsid w:val="00606830"/>
    <w:rsid w:val="00606B57"/>
    <w:rsid w:val="00606B85"/>
    <w:rsid w:val="00607390"/>
    <w:rsid w:val="006076D8"/>
    <w:rsid w:val="00607C43"/>
    <w:rsid w:val="00607E6D"/>
    <w:rsid w:val="00610490"/>
    <w:rsid w:val="0061061D"/>
    <w:rsid w:val="00610B97"/>
    <w:rsid w:val="006114C5"/>
    <w:rsid w:val="00611708"/>
    <w:rsid w:val="00611816"/>
    <w:rsid w:val="00611A3B"/>
    <w:rsid w:val="006120CA"/>
    <w:rsid w:val="00612389"/>
    <w:rsid w:val="00612570"/>
    <w:rsid w:val="006127BD"/>
    <w:rsid w:val="00612871"/>
    <w:rsid w:val="00612929"/>
    <w:rsid w:val="006129DD"/>
    <w:rsid w:val="00612A44"/>
    <w:rsid w:val="00612A8E"/>
    <w:rsid w:val="00612CA8"/>
    <w:rsid w:val="00613098"/>
    <w:rsid w:val="0061348F"/>
    <w:rsid w:val="006134D9"/>
    <w:rsid w:val="006135DA"/>
    <w:rsid w:val="00613BDC"/>
    <w:rsid w:val="00613F64"/>
    <w:rsid w:val="00614921"/>
    <w:rsid w:val="00615564"/>
    <w:rsid w:val="006155E2"/>
    <w:rsid w:val="00615CD9"/>
    <w:rsid w:val="00615ECA"/>
    <w:rsid w:val="00615F26"/>
    <w:rsid w:val="00616974"/>
    <w:rsid w:val="00616CCC"/>
    <w:rsid w:val="00617A81"/>
    <w:rsid w:val="00617C11"/>
    <w:rsid w:val="00617DEC"/>
    <w:rsid w:val="00617EEC"/>
    <w:rsid w:val="00620542"/>
    <w:rsid w:val="00620573"/>
    <w:rsid w:val="00620579"/>
    <w:rsid w:val="006208AA"/>
    <w:rsid w:val="0062128D"/>
    <w:rsid w:val="00621C96"/>
    <w:rsid w:val="00622161"/>
    <w:rsid w:val="0062228D"/>
    <w:rsid w:val="006224D1"/>
    <w:rsid w:val="0062258F"/>
    <w:rsid w:val="00622732"/>
    <w:rsid w:val="00622E6D"/>
    <w:rsid w:val="00623BC7"/>
    <w:rsid w:val="00623E70"/>
    <w:rsid w:val="006241D0"/>
    <w:rsid w:val="00624425"/>
    <w:rsid w:val="00624665"/>
    <w:rsid w:val="00624B06"/>
    <w:rsid w:val="00625316"/>
    <w:rsid w:val="00625434"/>
    <w:rsid w:val="0062576B"/>
    <w:rsid w:val="00625C5F"/>
    <w:rsid w:val="00625FF2"/>
    <w:rsid w:val="00626032"/>
    <w:rsid w:val="0062719D"/>
    <w:rsid w:val="00627643"/>
    <w:rsid w:val="00627788"/>
    <w:rsid w:val="006300CD"/>
    <w:rsid w:val="0063017E"/>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1A"/>
    <w:rsid w:val="006357E2"/>
    <w:rsid w:val="00635923"/>
    <w:rsid w:val="00635FD8"/>
    <w:rsid w:val="00636651"/>
    <w:rsid w:val="006368E4"/>
    <w:rsid w:val="006369C3"/>
    <w:rsid w:val="00636A1C"/>
    <w:rsid w:val="00636F7B"/>
    <w:rsid w:val="00637784"/>
    <w:rsid w:val="00640140"/>
    <w:rsid w:val="0064019C"/>
    <w:rsid w:val="00640288"/>
    <w:rsid w:val="006405AC"/>
    <w:rsid w:val="0064099D"/>
    <w:rsid w:val="00640E9A"/>
    <w:rsid w:val="006412CD"/>
    <w:rsid w:val="006413D8"/>
    <w:rsid w:val="00641420"/>
    <w:rsid w:val="00641610"/>
    <w:rsid w:val="00641B7B"/>
    <w:rsid w:val="00641C55"/>
    <w:rsid w:val="00642405"/>
    <w:rsid w:val="00642576"/>
    <w:rsid w:val="00642645"/>
    <w:rsid w:val="006437E8"/>
    <w:rsid w:val="006438E0"/>
    <w:rsid w:val="006443D6"/>
    <w:rsid w:val="00644BED"/>
    <w:rsid w:val="00644F27"/>
    <w:rsid w:val="006453C4"/>
    <w:rsid w:val="006455CB"/>
    <w:rsid w:val="00645D0D"/>
    <w:rsid w:val="00646FD5"/>
    <w:rsid w:val="006472F8"/>
    <w:rsid w:val="00647680"/>
    <w:rsid w:val="00647743"/>
    <w:rsid w:val="00647CE0"/>
    <w:rsid w:val="0065069B"/>
    <w:rsid w:val="006510C0"/>
    <w:rsid w:val="00651DC7"/>
    <w:rsid w:val="00652092"/>
    <w:rsid w:val="00652472"/>
    <w:rsid w:val="00652A5F"/>
    <w:rsid w:val="00652EF0"/>
    <w:rsid w:val="00652F31"/>
    <w:rsid w:val="006535E5"/>
    <w:rsid w:val="0065394E"/>
    <w:rsid w:val="00653B2B"/>
    <w:rsid w:val="00653B38"/>
    <w:rsid w:val="0065419F"/>
    <w:rsid w:val="006544CD"/>
    <w:rsid w:val="006549B4"/>
    <w:rsid w:val="00654D37"/>
    <w:rsid w:val="00654F06"/>
    <w:rsid w:val="0065520A"/>
    <w:rsid w:val="00656385"/>
    <w:rsid w:val="00656F19"/>
    <w:rsid w:val="00657274"/>
    <w:rsid w:val="00657BB7"/>
    <w:rsid w:val="00660299"/>
    <w:rsid w:val="00660552"/>
    <w:rsid w:val="00660DBE"/>
    <w:rsid w:val="00661113"/>
    <w:rsid w:val="0066127D"/>
    <w:rsid w:val="00661AB0"/>
    <w:rsid w:val="006623A4"/>
    <w:rsid w:val="006627B5"/>
    <w:rsid w:val="0066351C"/>
    <w:rsid w:val="006635BF"/>
    <w:rsid w:val="00663CBA"/>
    <w:rsid w:val="00663DBD"/>
    <w:rsid w:val="00664498"/>
    <w:rsid w:val="00664693"/>
    <w:rsid w:val="00664C4B"/>
    <w:rsid w:val="00664DC0"/>
    <w:rsid w:val="00664F24"/>
    <w:rsid w:val="006651CC"/>
    <w:rsid w:val="0066582B"/>
    <w:rsid w:val="006658DA"/>
    <w:rsid w:val="00665B9B"/>
    <w:rsid w:val="00665CA1"/>
    <w:rsid w:val="00666438"/>
    <w:rsid w:val="00666676"/>
    <w:rsid w:val="00666F2F"/>
    <w:rsid w:val="00667421"/>
    <w:rsid w:val="0066780E"/>
    <w:rsid w:val="00667A31"/>
    <w:rsid w:val="00667E6C"/>
    <w:rsid w:val="006705AE"/>
    <w:rsid w:val="00670702"/>
    <w:rsid w:val="006708EB"/>
    <w:rsid w:val="006713B7"/>
    <w:rsid w:val="0067147C"/>
    <w:rsid w:val="0067225F"/>
    <w:rsid w:val="00672895"/>
    <w:rsid w:val="00672A8A"/>
    <w:rsid w:val="006733B7"/>
    <w:rsid w:val="00673524"/>
    <w:rsid w:val="00673F50"/>
    <w:rsid w:val="00674EEA"/>
    <w:rsid w:val="0067549D"/>
    <w:rsid w:val="006759B0"/>
    <w:rsid w:val="0067636E"/>
    <w:rsid w:val="00677012"/>
    <w:rsid w:val="0067705C"/>
    <w:rsid w:val="006771EA"/>
    <w:rsid w:val="006772F9"/>
    <w:rsid w:val="00677C53"/>
    <w:rsid w:val="00680D0E"/>
    <w:rsid w:val="00680F00"/>
    <w:rsid w:val="006825A6"/>
    <w:rsid w:val="006825B4"/>
    <w:rsid w:val="006829BA"/>
    <w:rsid w:val="00682AF2"/>
    <w:rsid w:val="00682C1D"/>
    <w:rsid w:val="00682E8A"/>
    <w:rsid w:val="00682FB7"/>
    <w:rsid w:val="006837DE"/>
    <w:rsid w:val="00683CE0"/>
    <w:rsid w:val="00684FA5"/>
    <w:rsid w:val="00685026"/>
    <w:rsid w:val="0068537F"/>
    <w:rsid w:val="00685E0D"/>
    <w:rsid w:val="00686104"/>
    <w:rsid w:val="00686334"/>
    <w:rsid w:val="00686C3A"/>
    <w:rsid w:val="00686EEB"/>
    <w:rsid w:val="00687628"/>
    <w:rsid w:val="00687CFE"/>
    <w:rsid w:val="0069035A"/>
    <w:rsid w:val="006906FD"/>
    <w:rsid w:val="00690EB8"/>
    <w:rsid w:val="0069109D"/>
    <w:rsid w:val="006915E5"/>
    <w:rsid w:val="0069180F"/>
    <w:rsid w:val="00692401"/>
    <w:rsid w:val="00692AD4"/>
    <w:rsid w:val="00693B7A"/>
    <w:rsid w:val="006940BE"/>
    <w:rsid w:val="006941CC"/>
    <w:rsid w:val="006942BA"/>
    <w:rsid w:val="006945D4"/>
    <w:rsid w:val="00694EC0"/>
    <w:rsid w:val="0069507B"/>
    <w:rsid w:val="00695852"/>
    <w:rsid w:val="00695F56"/>
    <w:rsid w:val="0069690E"/>
    <w:rsid w:val="00696E17"/>
    <w:rsid w:val="00697402"/>
    <w:rsid w:val="0069758B"/>
    <w:rsid w:val="00697F88"/>
    <w:rsid w:val="006A050B"/>
    <w:rsid w:val="006A07FF"/>
    <w:rsid w:val="006A0A70"/>
    <w:rsid w:val="006A0B6C"/>
    <w:rsid w:val="006A1692"/>
    <w:rsid w:val="006A16E1"/>
    <w:rsid w:val="006A179F"/>
    <w:rsid w:val="006A188D"/>
    <w:rsid w:val="006A3293"/>
    <w:rsid w:val="006A35C6"/>
    <w:rsid w:val="006A36DF"/>
    <w:rsid w:val="006A3C8A"/>
    <w:rsid w:val="006A3E61"/>
    <w:rsid w:val="006A5213"/>
    <w:rsid w:val="006A6003"/>
    <w:rsid w:val="006A6737"/>
    <w:rsid w:val="006B0AE6"/>
    <w:rsid w:val="006B1AF3"/>
    <w:rsid w:val="006B1E08"/>
    <w:rsid w:val="006B2099"/>
    <w:rsid w:val="006B26B1"/>
    <w:rsid w:val="006B2741"/>
    <w:rsid w:val="006B275D"/>
    <w:rsid w:val="006B2E45"/>
    <w:rsid w:val="006B341B"/>
    <w:rsid w:val="006B3875"/>
    <w:rsid w:val="006B3937"/>
    <w:rsid w:val="006B425B"/>
    <w:rsid w:val="006B4986"/>
    <w:rsid w:val="006B4A56"/>
    <w:rsid w:val="006B545C"/>
    <w:rsid w:val="006B5AC8"/>
    <w:rsid w:val="006B5D32"/>
    <w:rsid w:val="006B6AC1"/>
    <w:rsid w:val="006B6EDF"/>
    <w:rsid w:val="006B758B"/>
    <w:rsid w:val="006B78A5"/>
    <w:rsid w:val="006B7BF8"/>
    <w:rsid w:val="006C00A0"/>
    <w:rsid w:val="006C0A9F"/>
    <w:rsid w:val="006C0E54"/>
    <w:rsid w:val="006C0F11"/>
    <w:rsid w:val="006C23E1"/>
    <w:rsid w:val="006C25D5"/>
    <w:rsid w:val="006C25F9"/>
    <w:rsid w:val="006C262B"/>
    <w:rsid w:val="006C27DC"/>
    <w:rsid w:val="006C2866"/>
    <w:rsid w:val="006C31C6"/>
    <w:rsid w:val="006C32BE"/>
    <w:rsid w:val="006C3A2D"/>
    <w:rsid w:val="006C4666"/>
    <w:rsid w:val="006C47FB"/>
    <w:rsid w:val="006C49BF"/>
    <w:rsid w:val="006C4BB3"/>
    <w:rsid w:val="006C63D7"/>
    <w:rsid w:val="006C6894"/>
    <w:rsid w:val="006C69D9"/>
    <w:rsid w:val="006C6C2D"/>
    <w:rsid w:val="006C6DE2"/>
    <w:rsid w:val="006C7535"/>
    <w:rsid w:val="006C76A6"/>
    <w:rsid w:val="006C796D"/>
    <w:rsid w:val="006D0525"/>
    <w:rsid w:val="006D08DC"/>
    <w:rsid w:val="006D09D1"/>
    <w:rsid w:val="006D10C4"/>
    <w:rsid w:val="006D23FF"/>
    <w:rsid w:val="006D2F09"/>
    <w:rsid w:val="006D2FD2"/>
    <w:rsid w:val="006D33E6"/>
    <w:rsid w:val="006D3783"/>
    <w:rsid w:val="006D3793"/>
    <w:rsid w:val="006D3DC0"/>
    <w:rsid w:val="006D40C4"/>
    <w:rsid w:val="006D4162"/>
    <w:rsid w:val="006D447A"/>
    <w:rsid w:val="006D44D2"/>
    <w:rsid w:val="006D453E"/>
    <w:rsid w:val="006D456B"/>
    <w:rsid w:val="006D4F80"/>
    <w:rsid w:val="006D5303"/>
    <w:rsid w:val="006D5E84"/>
    <w:rsid w:val="006D7A4C"/>
    <w:rsid w:val="006D7C99"/>
    <w:rsid w:val="006E0369"/>
    <w:rsid w:val="006E0443"/>
    <w:rsid w:val="006E0721"/>
    <w:rsid w:val="006E0C50"/>
    <w:rsid w:val="006E0DCF"/>
    <w:rsid w:val="006E0FFF"/>
    <w:rsid w:val="006E1006"/>
    <w:rsid w:val="006E14D6"/>
    <w:rsid w:val="006E1647"/>
    <w:rsid w:val="006E1BA2"/>
    <w:rsid w:val="006E2298"/>
    <w:rsid w:val="006E2C5A"/>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03AF"/>
    <w:rsid w:val="006F193C"/>
    <w:rsid w:val="006F1B58"/>
    <w:rsid w:val="006F27DC"/>
    <w:rsid w:val="006F2B89"/>
    <w:rsid w:val="006F36F1"/>
    <w:rsid w:val="006F379D"/>
    <w:rsid w:val="006F3B81"/>
    <w:rsid w:val="006F4163"/>
    <w:rsid w:val="006F4860"/>
    <w:rsid w:val="006F4D59"/>
    <w:rsid w:val="006F4F79"/>
    <w:rsid w:val="006F4F80"/>
    <w:rsid w:val="006F5532"/>
    <w:rsid w:val="006F5ADA"/>
    <w:rsid w:val="006F5F8A"/>
    <w:rsid w:val="006F62CC"/>
    <w:rsid w:val="006F644B"/>
    <w:rsid w:val="006F66C1"/>
    <w:rsid w:val="006F681D"/>
    <w:rsid w:val="006F6FA1"/>
    <w:rsid w:val="006F731E"/>
    <w:rsid w:val="006F78E9"/>
    <w:rsid w:val="00700251"/>
    <w:rsid w:val="00700C66"/>
    <w:rsid w:val="007019DB"/>
    <w:rsid w:val="0070235F"/>
    <w:rsid w:val="00702BC3"/>
    <w:rsid w:val="00702FF3"/>
    <w:rsid w:val="007032AC"/>
    <w:rsid w:val="00703496"/>
    <w:rsid w:val="007036FE"/>
    <w:rsid w:val="00703AB1"/>
    <w:rsid w:val="00704614"/>
    <w:rsid w:val="00704C5F"/>
    <w:rsid w:val="00704DEB"/>
    <w:rsid w:val="00705623"/>
    <w:rsid w:val="00705B37"/>
    <w:rsid w:val="00706318"/>
    <w:rsid w:val="0070658A"/>
    <w:rsid w:val="00706B65"/>
    <w:rsid w:val="007070DA"/>
    <w:rsid w:val="007071AF"/>
    <w:rsid w:val="00707C1A"/>
    <w:rsid w:val="00710023"/>
    <w:rsid w:val="00710207"/>
    <w:rsid w:val="0071023D"/>
    <w:rsid w:val="007103CD"/>
    <w:rsid w:val="007104C6"/>
    <w:rsid w:val="007104CB"/>
    <w:rsid w:val="00710530"/>
    <w:rsid w:val="0071078C"/>
    <w:rsid w:val="007107BD"/>
    <w:rsid w:val="00710A67"/>
    <w:rsid w:val="00710A79"/>
    <w:rsid w:val="00711E77"/>
    <w:rsid w:val="00712912"/>
    <w:rsid w:val="00712C25"/>
    <w:rsid w:val="00713AAC"/>
    <w:rsid w:val="00713B8D"/>
    <w:rsid w:val="00713C1D"/>
    <w:rsid w:val="007141DC"/>
    <w:rsid w:val="00714B04"/>
    <w:rsid w:val="00714F75"/>
    <w:rsid w:val="007155CE"/>
    <w:rsid w:val="007168A0"/>
    <w:rsid w:val="00716BC6"/>
    <w:rsid w:val="00716C95"/>
    <w:rsid w:val="00716E5E"/>
    <w:rsid w:val="00717762"/>
    <w:rsid w:val="00717F1A"/>
    <w:rsid w:val="007204DA"/>
    <w:rsid w:val="00721A63"/>
    <w:rsid w:val="00721DED"/>
    <w:rsid w:val="00721FF9"/>
    <w:rsid w:val="0072229E"/>
    <w:rsid w:val="00722F53"/>
    <w:rsid w:val="0072337E"/>
    <w:rsid w:val="00723696"/>
    <w:rsid w:val="00723E16"/>
    <w:rsid w:val="00723FAF"/>
    <w:rsid w:val="0072442F"/>
    <w:rsid w:val="00725189"/>
    <w:rsid w:val="0072541E"/>
    <w:rsid w:val="00725735"/>
    <w:rsid w:val="00725BB8"/>
    <w:rsid w:val="00726096"/>
    <w:rsid w:val="007260A3"/>
    <w:rsid w:val="0072630D"/>
    <w:rsid w:val="00726A2A"/>
    <w:rsid w:val="007271E9"/>
    <w:rsid w:val="007273BC"/>
    <w:rsid w:val="007275FD"/>
    <w:rsid w:val="007276E5"/>
    <w:rsid w:val="00730943"/>
    <w:rsid w:val="007310EF"/>
    <w:rsid w:val="00731B68"/>
    <w:rsid w:val="00731D5E"/>
    <w:rsid w:val="00732492"/>
    <w:rsid w:val="00733549"/>
    <w:rsid w:val="00733E5A"/>
    <w:rsid w:val="00733F25"/>
    <w:rsid w:val="0073416D"/>
    <w:rsid w:val="00736395"/>
    <w:rsid w:val="00736459"/>
    <w:rsid w:val="0073685F"/>
    <w:rsid w:val="00736D51"/>
    <w:rsid w:val="00737821"/>
    <w:rsid w:val="0074058F"/>
    <w:rsid w:val="00740E86"/>
    <w:rsid w:val="00741175"/>
    <w:rsid w:val="007419FB"/>
    <w:rsid w:val="0074218C"/>
    <w:rsid w:val="00742606"/>
    <w:rsid w:val="007441FF"/>
    <w:rsid w:val="007447EC"/>
    <w:rsid w:val="007448A7"/>
    <w:rsid w:val="00744EE8"/>
    <w:rsid w:val="00744F42"/>
    <w:rsid w:val="00745226"/>
    <w:rsid w:val="0074556D"/>
    <w:rsid w:val="007459F5"/>
    <w:rsid w:val="00745BAB"/>
    <w:rsid w:val="00745D9E"/>
    <w:rsid w:val="007466DC"/>
    <w:rsid w:val="00746713"/>
    <w:rsid w:val="007467E4"/>
    <w:rsid w:val="00746B08"/>
    <w:rsid w:val="0074709E"/>
    <w:rsid w:val="00747569"/>
    <w:rsid w:val="00747960"/>
    <w:rsid w:val="00750238"/>
    <w:rsid w:val="0075023C"/>
    <w:rsid w:val="00750F06"/>
    <w:rsid w:val="007518E3"/>
    <w:rsid w:val="007518E9"/>
    <w:rsid w:val="00752247"/>
    <w:rsid w:val="007523E7"/>
    <w:rsid w:val="007524C4"/>
    <w:rsid w:val="00752AE5"/>
    <w:rsid w:val="007531CA"/>
    <w:rsid w:val="00754252"/>
    <w:rsid w:val="00755894"/>
    <w:rsid w:val="007560D3"/>
    <w:rsid w:val="00756258"/>
    <w:rsid w:val="007569B0"/>
    <w:rsid w:val="007577B1"/>
    <w:rsid w:val="00757CB3"/>
    <w:rsid w:val="00757D87"/>
    <w:rsid w:val="00757DB4"/>
    <w:rsid w:val="00757E79"/>
    <w:rsid w:val="00760EED"/>
    <w:rsid w:val="0076109F"/>
    <w:rsid w:val="00761399"/>
    <w:rsid w:val="00761615"/>
    <w:rsid w:val="007616DA"/>
    <w:rsid w:val="007619CE"/>
    <w:rsid w:val="00761F4F"/>
    <w:rsid w:val="007620DC"/>
    <w:rsid w:val="00762102"/>
    <w:rsid w:val="0076255D"/>
    <w:rsid w:val="007625F6"/>
    <w:rsid w:val="00762B8B"/>
    <w:rsid w:val="00762D40"/>
    <w:rsid w:val="0076325B"/>
    <w:rsid w:val="007632C6"/>
    <w:rsid w:val="00763A04"/>
    <w:rsid w:val="00764AF9"/>
    <w:rsid w:val="007650AD"/>
    <w:rsid w:val="0076542E"/>
    <w:rsid w:val="00765D18"/>
    <w:rsid w:val="0076640B"/>
    <w:rsid w:val="00766C54"/>
    <w:rsid w:val="007673DE"/>
    <w:rsid w:val="0077002A"/>
    <w:rsid w:val="00770C54"/>
    <w:rsid w:val="00771344"/>
    <w:rsid w:val="0077213A"/>
    <w:rsid w:val="00772613"/>
    <w:rsid w:val="00772B41"/>
    <w:rsid w:val="00772CED"/>
    <w:rsid w:val="00773EA1"/>
    <w:rsid w:val="00775215"/>
    <w:rsid w:val="00775748"/>
    <w:rsid w:val="007757B1"/>
    <w:rsid w:val="00776ACC"/>
    <w:rsid w:val="00776AD5"/>
    <w:rsid w:val="00776C1B"/>
    <w:rsid w:val="00777AE2"/>
    <w:rsid w:val="00777C71"/>
    <w:rsid w:val="00777D6B"/>
    <w:rsid w:val="00777F20"/>
    <w:rsid w:val="0078080B"/>
    <w:rsid w:val="00781148"/>
    <w:rsid w:val="0078120F"/>
    <w:rsid w:val="00781F98"/>
    <w:rsid w:val="007820DF"/>
    <w:rsid w:val="0078265B"/>
    <w:rsid w:val="00782AFE"/>
    <w:rsid w:val="00782D1E"/>
    <w:rsid w:val="00782E10"/>
    <w:rsid w:val="0078487B"/>
    <w:rsid w:val="00784926"/>
    <w:rsid w:val="00784DB8"/>
    <w:rsid w:val="00784FDD"/>
    <w:rsid w:val="0078501B"/>
    <w:rsid w:val="0078508F"/>
    <w:rsid w:val="00786448"/>
    <w:rsid w:val="007875D7"/>
    <w:rsid w:val="0079060D"/>
    <w:rsid w:val="007906B2"/>
    <w:rsid w:val="0079134E"/>
    <w:rsid w:val="007925F0"/>
    <w:rsid w:val="0079278E"/>
    <w:rsid w:val="00792DCA"/>
    <w:rsid w:val="00792E3C"/>
    <w:rsid w:val="00792FDF"/>
    <w:rsid w:val="00793040"/>
    <w:rsid w:val="007930C1"/>
    <w:rsid w:val="0079315D"/>
    <w:rsid w:val="00793974"/>
    <w:rsid w:val="00793B45"/>
    <w:rsid w:val="00793B7C"/>
    <w:rsid w:val="007946EE"/>
    <w:rsid w:val="0079477A"/>
    <w:rsid w:val="00794E64"/>
    <w:rsid w:val="007956CD"/>
    <w:rsid w:val="00795706"/>
    <w:rsid w:val="007960E3"/>
    <w:rsid w:val="00796F7C"/>
    <w:rsid w:val="00797131"/>
    <w:rsid w:val="00797254"/>
    <w:rsid w:val="00797430"/>
    <w:rsid w:val="00797AF4"/>
    <w:rsid w:val="007A0F8D"/>
    <w:rsid w:val="007A1078"/>
    <w:rsid w:val="007A180A"/>
    <w:rsid w:val="007A21E4"/>
    <w:rsid w:val="007A2304"/>
    <w:rsid w:val="007A257D"/>
    <w:rsid w:val="007A2CB0"/>
    <w:rsid w:val="007A343D"/>
    <w:rsid w:val="007A38CE"/>
    <w:rsid w:val="007A3F1C"/>
    <w:rsid w:val="007A457D"/>
    <w:rsid w:val="007A46E6"/>
    <w:rsid w:val="007A48D8"/>
    <w:rsid w:val="007A4F7F"/>
    <w:rsid w:val="007A5ACE"/>
    <w:rsid w:val="007A5C5C"/>
    <w:rsid w:val="007A6528"/>
    <w:rsid w:val="007A6A64"/>
    <w:rsid w:val="007A7B48"/>
    <w:rsid w:val="007A7FD7"/>
    <w:rsid w:val="007B08FD"/>
    <w:rsid w:val="007B0A0A"/>
    <w:rsid w:val="007B18C6"/>
    <w:rsid w:val="007B20C2"/>
    <w:rsid w:val="007B25D5"/>
    <w:rsid w:val="007B27E4"/>
    <w:rsid w:val="007B2818"/>
    <w:rsid w:val="007B2910"/>
    <w:rsid w:val="007B301D"/>
    <w:rsid w:val="007B3264"/>
    <w:rsid w:val="007B35F6"/>
    <w:rsid w:val="007B3F87"/>
    <w:rsid w:val="007B404F"/>
    <w:rsid w:val="007B44A6"/>
    <w:rsid w:val="007B494E"/>
    <w:rsid w:val="007B4C5E"/>
    <w:rsid w:val="007B51F8"/>
    <w:rsid w:val="007B7462"/>
    <w:rsid w:val="007B7B52"/>
    <w:rsid w:val="007B7EEE"/>
    <w:rsid w:val="007C02A3"/>
    <w:rsid w:val="007C02F3"/>
    <w:rsid w:val="007C0C55"/>
    <w:rsid w:val="007C1507"/>
    <w:rsid w:val="007C1857"/>
    <w:rsid w:val="007C207E"/>
    <w:rsid w:val="007C290B"/>
    <w:rsid w:val="007C2E40"/>
    <w:rsid w:val="007C2F60"/>
    <w:rsid w:val="007C3064"/>
    <w:rsid w:val="007C3639"/>
    <w:rsid w:val="007C3757"/>
    <w:rsid w:val="007C3DF2"/>
    <w:rsid w:val="007C4D8D"/>
    <w:rsid w:val="007C5144"/>
    <w:rsid w:val="007C5613"/>
    <w:rsid w:val="007C6138"/>
    <w:rsid w:val="007C6153"/>
    <w:rsid w:val="007C6849"/>
    <w:rsid w:val="007C6BC6"/>
    <w:rsid w:val="007C6C12"/>
    <w:rsid w:val="007C73B2"/>
    <w:rsid w:val="007C7A4A"/>
    <w:rsid w:val="007D0435"/>
    <w:rsid w:val="007D0D3E"/>
    <w:rsid w:val="007D116E"/>
    <w:rsid w:val="007D1772"/>
    <w:rsid w:val="007D1B24"/>
    <w:rsid w:val="007D267F"/>
    <w:rsid w:val="007D3341"/>
    <w:rsid w:val="007D399C"/>
    <w:rsid w:val="007D3A3E"/>
    <w:rsid w:val="007D400A"/>
    <w:rsid w:val="007D4365"/>
    <w:rsid w:val="007D44C1"/>
    <w:rsid w:val="007D4B0E"/>
    <w:rsid w:val="007D4DD2"/>
    <w:rsid w:val="007D558F"/>
    <w:rsid w:val="007D5D0F"/>
    <w:rsid w:val="007D692E"/>
    <w:rsid w:val="007D6EA8"/>
    <w:rsid w:val="007D7B3C"/>
    <w:rsid w:val="007E010B"/>
    <w:rsid w:val="007E042B"/>
    <w:rsid w:val="007E05DB"/>
    <w:rsid w:val="007E1247"/>
    <w:rsid w:val="007E168B"/>
    <w:rsid w:val="007E1A44"/>
    <w:rsid w:val="007E2419"/>
    <w:rsid w:val="007E2E7D"/>
    <w:rsid w:val="007E3FF5"/>
    <w:rsid w:val="007E4219"/>
    <w:rsid w:val="007E577E"/>
    <w:rsid w:val="007E635E"/>
    <w:rsid w:val="007E6A9C"/>
    <w:rsid w:val="007E6C0C"/>
    <w:rsid w:val="007E7300"/>
    <w:rsid w:val="007E75BB"/>
    <w:rsid w:val="007E767B"/>
    <w:rsid w:val="007E7B54"/>
    <w:rsid w:val="007F038C"/>
    <w:rsid w:val="007F0428"/>
    <w:rsid w:val="007F0C82"/>
    <w:rsid w:val="007F0F24"/>
    <w:rsid w:val="007F1755"/>
    <w:rsid w:val="007F1C20"/>
    <w:rsid w:val="007F222B"/>
    <w:rsid w:val="007F2443"/>
    <w:rsid w:val="007F2CBC"/>
    <w:rsid w:val="007F3092"/>
    <w:rsid w:val="007F30F9"/>
    <w:rsid w:val="007F39B8"/>
    <w:rsid w:val="007F3C03"/>
    <w:rsid w:val="007F3E3F"/>
    <w:rsid w:val="007F3F96"/>
    <w:rsid w:val="007F45DF"/>
    <w:rsid w:val="007F4A6F"/>
    <w:rsid w:val="007F4FBC"/>
    <w:rsid w:val="007F5975"/>
    <w:rsid w:val="007F5AB9"/>
    <w:rsid w:val="007F6497"/>
    <w:rsid w:val="007F6836"/>
    <w:rsid w:val="007F6F3B"/>
    <w:rsid w:val="007F7DF2"/>
    <w:rsid w:val="008005E6"/>
    <w:rsid w:val="00800A35"/>
    <w:rsid w:val="00800D91"/>
    <w:rsid w:val="008015F2"/>
    <w:rsid w:val="00801A0E"/>
    <w:rsid w:val="00803362"/>
    <w:rsid w:val="00803C65"/>
    <w:rsid w:val="00804BC0"/>
    <w:rsid w:val="00804E3C"/>
    <w:rsid w:val="00804E4C"/>
    <w:rsid w:val="008059CD"/>
    <w:rsid w:val="00806272"/>
    <w:rsid w:val="008064DD"/>
    <w:rsid w:val="0080662C"/>
    <w:rsid w:val="008070B2"/>
    <w:rsid w:val="00807D79"/>
    <w:rsid w:val="00810102"/>
    <w:rsid w:val="008102BC"/>
    <w:rsid w:val="008116F3"/>
    <w:rsid w:val="008117C4"/>
    <w:rsid w:val="0081222E"/>
    <w:rsid w:val="00812461"/>
    <w:rsid w:val="008127E0"/>
    <w:rsid w:val="00812810"/>
    <w:rsid w:val="0081398E"/>
    <w:rsid w:val="00813F02"/>
    <w:rsid w:val="008147D4"/>
    <w:rsid w:val="008149D8"/>
    <w:rsid w:val="00815714"/>
    <w:rsid w:val="00815A2A"/>
    <w:rsid w:val="0081617A"/>
    <w:rsid w:val="00816559"/>
    <w:rsid w:val="0081724D"/>
    <w:rsid w:val="0081788A"/>
    <w:rsid w:val="00817927"/>
    <w:rsid w:val="00817CFC"/>
    <w:rsid w:val="00817E82"/>
    <w:rsid w:val="00820A3F"/>
    <w:rsid w:val="00821D81"/>
    <w:rsid w:val="00822A52"/>
    <w:rsid w:val="00822F31"/>
    <w:rsid w:val="00823654"/>
    <w:rsid w:val="0082374A"/>
    <w:rsid w:val="008237F3"/>
    <w:rsid w:val="00823A90"/>
    <w:rsid w:val="00823D01"/>
    <w:rsid w:val="008243FC"/>
    <w:rsid w:val="00825C68"/>
    <w:rsid w:val="00826883"/>
    <w:rsid w:val="00826AD5"/>
    <w:rsid w:val="0082757E"/>
    <w:rsid w:val="0082769C"/>
    <w:rsid w:val="008277D4"/>
    <w:rsid w:val="008279D2"/>
    <w:rsid w:val="00827B6C"/>
    <w:rsid w:val="00827D77"/>
    <w:rsid w:val="00830259"/>
    <w:rsid w:val="00830561"/>
    <w:rsid w:val="00830942"/>
    <w:rsid w:val="00831115"/>
    <w:rsid w:val="00832092"/>
    <w:rsid w:val="0083249C"/>
    <w:rsid w:val="00832D42"/>
    <w:rsid w:val="008333A9"/>
    <w:rsid w:val="00833419"/>
    <w:rsid w:val="008342A5"/>
    <w:rsid w:val="00834B7C"/>
    <w:rsid w:val="00834BE2"/>
    <w:rsid w:val="00834EA4"/>
    <w:rsid w:val="00835049"/>
    <w:rsid w:val="008354B9"/>
    <w:rsid w:val="00835DCB"/>
    <w:rsid w:val="00836090"/>
    <w:rsid w:val="00836921"/>
    <w:rsid w:val="008370A6"/>
    <w:rsid w:val="00837237"/>
    <w:rsid w:val="008376C0"/>
    <w:rsid w:val="0084035D"/>
    <w:rsid w:val="008405F9"/>
    <w:rsid w:val="0084060B"/>
    <w:rsid w:val="008407E4"/>
    <w:rsid w:val="0084139B"/>
    <w:rsid w:val="0084143B"/>
    <w:rsid w:val="008417D4"/>
    <w:rsid w:val="00842547"/>
    <w:rsid w:val="008427D3"/>
    <w:rsid w:val="008428CA"/>
    <w:rsid w:val="008429CF"/>
    <w:rsid w:val="0084324C"/>
    <w:rsid w:val="00843910"/>
    <w:rsid w:val="00843B9B"/>
    <w:rsid w:val="00843D9D"/>
    <w:rsid w:val="008451F8"/>
    <w:rsid w:val="008456C8"/>
    <w:rsid w:val="008457D2"/>
    <w:rsid w:val="00846212"/>
    <w:rsid w:val="008468E0"/>
    <w:rsid w:val="0084767E"/>
    <w:rsid w:val="0084790F"/>
    <w:rsid w:val="00847BE7"/>
    <w:rsid w:val="00850881"/>
    <w:rsid w:val="00850EAB"/>
    <w:rsid w:val="00851C80"/>
    <w:rsid w:val="00851D70"/>
    <w:rsid w:val="00852760"/>
    <w:rsid w:val="008529B3"/>
    <w:rsid w:val="008529BB"/>
    <w:rsid w:val="00852ADD"/>
    <w:rsid w:val="00853883"/>
    <w:rsid w:val="00853EB9"/>
    <w:rsid w:val="00854CF7"/>
    <w:rsid w:val="00854DA7"/>
    <w:rsid w:val="0085561B"/>
    <w:rsid w:val="008557A0"/>
    <w:rsid w:val="00855FA6"/>
    <w:rsid w:val="00856258"/>
    <w:rsid w:val="0085629D"/>
    <w:rsid w:val="00856607"/>
    <w:rsid w:val="00857AA1"/>
    <w:rsid w:val="008602F1"/>
    <w:rsid w:val="008604A8"/>
    <w:rsid w:val="00860ADD"/>
    <w:rsid w:val="00860CA2"/>
    <w:rsid w:val="008616A2"/>
    <w:rsid w:val="00861C6C"/>
    <w:rsid w:val="008636AC"/>
    <w:rsid w:val="00863862"/>
    <w:rsid w:val="00863AAD"/>
    <w:rsid w:val="00863AB5"/>
    <w:rsid w:val="00864644"/>
    <w:rsid w:val="00864F4D"/>
    <w:rsid w:val="008658DE"/>
    <w:rsid w:val="00865F5C"/>
    <w:rsid w:val="00866296"/>
    <w:rsid w:val="008665C7"/>
    <w:rsid w:val="00866DC1"/>
    <w:rsid w:val="00867BBF"/>
    <w:rsid w:val="008707A3"/>
    <w:rsid w:val="00870A36"/>
    <w:rsid w:val="008711AE"/>
    <w:rsid w:val="0087143E"/>
    <w:rsid w:val="00871A36"/>
    <w:rsid w:val="00871E97"/>
    <w:rsid w:val="00872F21"/>
    <w:rsid w:val="00873736"/>
    <w:rsid w:val="0087378E"/>
    <w:rsid w:val="008737DF"/>
    <w:rsid w:val="0087424D"/>
    <w:rsid w:val="00874E4E"/>
    <w:rsid w:val="008755E7"/>
    <w:rsid w:val="00875A46"/>
    <w:rsid w:val="00875E16"/>
    <w:rsid w:val="00877D03"/>
    <w:rsid w:val="00877E96"/>
    <w:rsid w:val="0088023D"/>
    <w:rsid w:val="008803CE"/>
    <w:rsid w:val="00880D8F"/>
    <w:rsid w:val="00882077"/>
    <w:rsid w:val="008820D9"/>
    <w:rsid w:val="00882F34"/>
    <w:rsid w:val="00883496"/>
    <w:rsid w:val="00883613"/>
    <w:rsid w:val="0088557F"/>
    <w:rsid w:val="00886393"/>
    <w:rsid w:val="00886579"/>
    <w:rsid w:val="0088689B"/>
    <w:rsid w:val="00886F19"/>
    <w:rsid w:val="00887090"/>
    <w:rsid w:val="00887865"/>
    <w:rsid w:val="00887B37"/>
    <w:rsid w:val="00890598"/>
    <w:rsid w:val="0089065A"/>
    <w:rsid w:val="00890DEB"/>
    <w:rsid w:val="0089177A"/>
    <w:rsid w:val="00891AA9"/>
    <w:rsid w:val="00891D7A"/>
    <w:rsid w:val="00891DFC"/>
    <w:rsid w:val="00892791"/>
    <w:rsid w:val="00892B98"/>
    <w:rsid w:val="00893724"/>
    <w:rsid w:val="008945D2"/>
    <w:rsid w:val="008949A3"/>
    <w:rsid w:val="00894CB5"/>
    <w:rsid w:val="008959FC"/>
    <w:rsid w:val="0089605E"/>
    <w:rsid w:val="00896668"/>
    <w:rsid w:val="00896E9A"/>
    <w:rsid w:val="00897619"/>
    <w:rsid w:val="008978D6"/>
    <w:rsid w:val="00897C03"/>
    <w:rsid w:val="008A0533"/>
    <w:rsid w:val="008A097C"/>
    <w:rsid w:val="008A0B36"/>
    <w:rsid w:val="008A0CCC"/>
    <w:rsid w:val="008A0EEE"/>
    <w:rsid w:val="008A1D0E"/>
    <w:rsid w:val="008A25EA"/>
    <w:rsid w:val="008A276E"/>
    <w:rsid w:val="008A31C7"/>
    <w:rsid w:val="008A3215"/>
    <w:rsid w:val="008A3630"/>
    <w:rsid w:val="008A3E8B"/>
    <w:rsid w:val="008A47BE"/>
    <w:rsid w:val="008A4AEC"/>
    <w:rsid w:val="008A5609"/>
    <w:rsid w:val="008A5697"/>
    <w:rsid w:val="008A5B35"/>
    <w:rsid w:val="008A6C21"/>
    <w:rsid w:val="008A6DD5"/>
    <w:rsid w:val="008A6DF0"/>
    <w:rsid w:val="008A6FA0"/>
    <w:rsid w:val="008B0385"/>
    <w:rsid w:val="008B05E6"/>
    <w:rsid w:val="008B0E76"/>
    <w:rsid w:val="008B105C"/>
    <w:rsid w:val="008B128D"/>
    <w:rsid w:val="008B15CE"/>
    <w:rsid w:val="008B1A47"/>
    <w:rsid w:val="008B1B05"/>
    <w:rsid w:val="008B1C8F"/>
    <w:rsid w:val="008B21F8"/>
    <w:rsid w:val="008B2570"/>
    <w:rsid w:val="008B2B19"/>
    <w:rsid w:val="008B2F40"/>
    <w:rsid w:val="008B2FCD"/>
    <w:rsid w:val="008B3627"/>
    <w:rsid w:val="008B3EAD"/>
    <w:rsid w:val="008B4208"/>
    <w:rsid w:val="008B49B6"/>
    <w:rsid w:val="008B534B"/>
    <w:rsid w:val="008B55A6"/>
    <w:rsid w:val="008B56A0"/>
    <w:rsid w:val="008B5AA1"/>
    <w:rsid w:val="008B5C51"/>
    <w:rsid w:val="008B5E49"/>
    <w:rsid w:val="008B5E61"/>
    <w:rsid w:val="008B64CE"/>
    <w:rsid w:val="008B68B4"/>
    <w:rsid w:val="008B756F"/>
    <w:rsid w:val="008B7633"/>
    <w:rsid w:val="008B7914"/>
    <w:rsid w:val="008C04F4"/>
    <w:rsid w:val="008C0D0C"/>
    <w:rsid w:val="008C127A"/>
    <w:rsid w:val="008C179E"/>
    <w:rsid w:val="008C18BD"/>
    <w:rsid w:val="008C1932"/>
    <w:rsid w:val="008C1CC8"/>
    <w:rsid w:val="008C1CD3"/>
    <w:rsid w:val="008C1ECC"/>
    <w:rsid w:val="008C2C41"/>
    <w:rsid w:val="008C2C7F"/>
    <w:rsid w:val="008C2F0D"/>
    <w:rsid w:val="008C346A"/>
    <w:rsid w:val="008C364D"/>
    <w:rsid w:val="008C500C"/>
    <w:rsid w:val="008C58A2"/>
    <w:rsid w:val="008C5BC0"/>
    <w:rsid w:val="008C5D2A"/>
    <w:rsid w:val="008C62E8"/>
    <w:rsid w:val="008C6754"/>
    <w:rsid w:val="008C6809"/>
    <w:rsid w:val="008C6C16"/>
    <w:rsid w:val="008C6F7D"/>
    <w:rsid w:val="008C74FB"/>
    <w:rsid w:val="008C7AF4"/>
    <w:rsid w:val="008C7B0F"/>
    <w:rsid w:val="008C7DA4"/>
    <w:rsid w:val="008C7F6E"/>
    <w:rsid w:val="008C7FAE"/>
    <w:rsid w:val="008D0210"/>
    <w:rsid w:val="008D033E"/>
    <w:rsid w:val="008D0851"/>
    <w:rsid w:val="008D0AF5"/>
    <w:rsid w:val="008D0DEF"/>
    <w:rsid w:val="008D0FCD"/>
    <w:rsid w:val="008D1074"/>
    <w:rsid w:val="008D1079"/>
    <w:rsid w:val="008D2643"/>
    <w:rsid w:val="008D280F"/>
    <w:rsid w:val="008D2F60"/>
    <w:rsid w:val="008D318B"/>
    <w:rsid w:val="008D3994"/>
    <w:rsid w:val="008D3C3D"/>
    <w:rsid w:val="008D478E"/>
    <w:rsid w:val="008D4DB6"/>
    <w:rsid w:val="008D534E"/>
    <w:rsid w:val="008D619B"/>
    <w:rsid w:val="008D6D6B"/>
    <w:rsid w:val="008D6E81"/>
    <w:rsid w:val="008D7739"/>
    <w:rsid w:val="008D7A64"/>
    <w:rsid w:val="008D7A92"/>
    <w:rsid w:val="008E0302"/>
    <w:rsid w:val="008E03F3"/>
    <w:rsid w:val="008E1267"/>
    <w:rsid w:val="008E19FD"/>
    <w:rsid w:val="008E1B7B"/>
    <w:rsid w:val="008E22F8"/>
    <w:rsid w:val="008E23EE"/>
    <w:rsid w:val="008E25D0"/>
    <w:rsid w:val="008E25EC"/>
    <w:rsid w:val="008E3672"/>
    <w:rsid w:val="008E39D8"/>
    <w:rsid w:val="008E4179"/>
    <w:rsid w:val="008E4574"/>
    <w:rsid w:val="008E5313"/>
    <w:rsid w:val="008E5D73"/>
    <w:rsid w:val="008E606F"/>
    <w:rsid w:val="008E6300"/>
    <w:rsid w:val="008E675E"/>
    <w:rsid w:val="008E6AD9"/>
    <w:rsid w:val="008E6E25"/>
    <w:rsid w:val="008E7E75"/>
    <w:rsid w:val="008E7EA2"/>
    <w:rsid w:val="008F022A"/>
    <w:rsid w:val="008F06FD"/>
    <w:rsid w:val="008F1172"/>
    <w:rsid w:val="008F27E3"/>
    <w:rsid w:val="008F2A7C"/>
    <w:rsid w:val="008F3485"/>
    <w:rsid w:val="008F3AC3"/>
    <w:rsid w:val="008F42C1"/>
    <w:rsid w:val="008F51FF"/>
    <w:rsid w:val="008F52FC"/>
    <w:rsid w:val="008F5DEF"/>
    <w:rsid w:val="008F6031"/>
    <w:rsid w:val="008F61F2"/>
    <w:rsid w:val="008F636D"/>
    <w:rsid w:val="008F7C0A"/>
    <w:rsid w:val="00901140"/>
    <w:rsid w:val="00901613"/>
    <w:rsid w:val="00901DBB"/>
    <w:rsid w:val="009026CB"/>
    <w:rsid w:val="00902876"/>
    <w:rsid w:val="00902C0B"/>
    <w:rsid w:val="009030FF"/>
    <w:rsid w:val="009036E9"/>
    <w:rsid w:val="009038F6"/>
    <w:rsid w:val="00903EDE"/>
    <w:rsid w:val="00903FB2"/>
    <w:rsid w:val="00904038"/>
    <w:rsid w:val="009041AF"/>
    <w:rsid w:val="009042AA"/>
    <w:rsid w:val="009049AB"/>
    <w:rsid w:val="00904C8C"/>
    <w:rsid w:val="009050B7"/>
    <w:rsid w:val="0090510D"/>
    <w:rsid w:val="00905130"/>
    <w:rsid w:val="009053BD"/>
    <w:rsid w:val="00905728"/>
    <w:rsid w:val="009061B8"/>
    <w:rsid w:val="009064BF"/>
    <w:rsid w:val="009069B8"/>
    <w:rsid w:val="0091015D"/>
    <w:rsid w:val="009130CC"/>
    <w:rsid w:val="009133EC"/>
    <w:rsid w:val="00913AF7"/>
    <w:rsid w:val="00913B37"/>
    <w:rsid w:val="00914683"/>
    <w:rsid w:val="00914861"/>
    <w:rsid w:val="009148D8"/>
    <w:rsid w:val="00914B5F"/>
    <w:rsid w:val="00914E71"/>
    <w:rsid w:val="0091504C"/>
    <w:rsid w:val="00915417"/>
    <w:rsid w:val="00915552"/>
    <w:rsid w:val="0091573F"/>
    <w:rsid w:val="00915897"/>
    <w:rsid w:val="00915B44"/>
    <w:rsid w:val="00915CD5"/>
    <w:rsid w:val="00916093"/>
    <w:rsid w:val="009160E3"/>
    <w:rsid w:val="0091639C"/>
    <w:rsid w:val="00916A8C"/>
    <w:rsid w:val="00916D1E"/>
    <w:rsid w:val="00916E99"/>
    <w:rsid w:val="00917D73"/>
    <w:rsid w:val="0092002E"/>
    <w:rsid w:val="0092050A"/>
    <w:rsid w:val="009209A1"/>
    <w:rsid w:val="00920EC6"/>
    <w:rsid w:val="0092101E"/>
    <w:rsid w:val="009225D6"/>
    <w:rsid w:val="0092383B"/>
    <w:rsid w:val="00923B92"/>
    <w:rsid w:val="00923DCE"/>
    <w:rsid w:val="00924119"/>
    <w:rsid w:val="0092434F"/>
    <w:rsid w:val="0092492A"/>
    <w:rsid w:val="00925120"/>
    <w:rsid w:val="009251B3"/>
    <w:rsid w:val="009255FA"/>
    <w:rsid w:val="009262E4"/>
    <w:rsid w:val="009266D2"/>
    <w:rsid w:val="00927361"/>
    <w:rsid w:val="00927D4E"/>
    <w:rsid w:val="00927F89"/>
    <w:rsid w:val="009300C8"/>
    <w:rsid w:val="00930AC2"/>
    <w:rsid w:val="00930D2A"/>
    <w:rsid w:val="009312BF"/>
    <w:rsid w:val="00931680"/>
    <w:rsid w:val="00931B84"/>
    <w:rsid w:val="00931DA9"/>
    <w:rsid w:val="0093220A"/>
    <w:rsid w:val="009322B2"/>
    <w:rsid w:val="009328DA"/>
    <w:rsid w:val="00932E7E"/>
    <w:rsid w:val="00933246"/>
    <w:rsid w:val="00933846"/>
    <w:rsid w:val="00933A80"/>
    <w:rsid w:val="00933C37"/>
    <w:rsid w:val="0093442D"/>
    <w:rsid w:val="00934CD2"/>
    <w:rsid w:val="00935A35"/>
    <w:rsid w:val="009366FD"/>
    <w:rsid w:val="009375E5"/>
    <w:rsid w:val="0093785F"/>
    <w:rsid w:val="00937BC5"/>
    <w:rsid w:val="00937D30"/>
    <w:rsid w:val="00941692"/>
    <w:rsid w:val="00941848"/>
    <w:rsid w:val="00942258"/>
    <w:rsid w:val="009423BB"/>
    <w:rsid w:val="0094337A"/>
    <w:rsid w:val="009437F2"/>
    <w:rsid w:val="009442E8"/>
    <w:rsid w:val="00944BA7"/>
    <w:rsid w:val="0094519B"/>
    <w:rsid w:val="00945863"/>
    <w:rsid w:val="0094636D"/>
    <w:rsid w:val="00946854"/>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46C0"/>
    <w:rsid w:val="00954883"/>
    <w:rsid w:val="00955EE9"/>
    <w:rsid w:val="009562AE"/>
    <w:rsid w:val="0095654A"/>
    <w:rsid w:val="00956BF5"/>
    <w:rsid w:val="009570CF"/>
    <w:rsid w:val="009571C2"/>
    <w:rsid w:val="009575C3"/>
    <w:rsid w:val="0095770C"/>
    <w:rsid w:val="009579AF"/>
    <w:rsid w:val="00957CC8"/>
    <w:rsid w:val="00957D6A"/>
    <w:rsid w:val="00957EE7"/>
    <w:rsid w:val="0096086A"/>
    <w:rsid w:val="009612A9"/>
    <w:rsid w:val="00961453"/>
    <w:rsid w:val="009616D4"/>
    <w:rsid w:val="0096182D"/>
    <w:rsid w:val="00962150"/>
    <w:rsid w:val="009621F4"/>
    <w:rsid w:val="009627E5"/>
    <w:rsid w:val="00962CCD"/>
    <w:rsid w:val="00963847"/>
    <w:rsid w:val="00964036"/>
    <w:rsid w:val="00964166"/>
    <w:rsid w:val="00964429"/>
    <w:rsid w:val="009645AD"/>
    <w:rsid w:val="0096475C"/>
    <w:rsid w:val="0096546E"/>
    <w:rsid w:val="0096562A"/>
    <w:rsid w:val="00965865"/>
    <w:rsid w:val="00966096"/>
    <w:rsid w:val="009661BA"/>
    <w:rsid w:val="00966A13"/>
    <w:rsid w:val="00966BAF"/>
    <w:rsid w:val="00967473"/>
    <w:rsid w:val="00967730"/>
    <w:rsid w:val="00970CAA"/>
    <w:rsid w:val="00970D56"/>
    <w:rsid w:val="00970E50"/>
    <w:rsid w:val="00971074"/>
    <w:rsid w:val="009725B2"/>
    <w:rsid w:val="00972801"/>
    <w:rsid w:val="00972969"/>
    <w:rsid w:val="009747AA"/>
    <w:rsid w:val="00974B99"/>
    <w:rsid w:val="00974BCB"/>
    <w:rsid w:val="0097529C"/>
    <w:rsid w:val="00975361"/>
    <w:rsid w:val="009758CD"/>
    <w:rsid w:val="00975AEF"/>
    <w:rsid w:val="00975BF2"/>
    <w:rsid w:val="0097616C"/>
    <w:rsid w:val="009763E4"/>
    <w:rsid w:val="0097649D"/>
    <w:rsid w:val="0097654D"/>
    <w:rsid w:val="009766B7"/>
    <w:rsid w:val="00976D58"/>
    <w:rsid w:val="00977109"/>
    <w:rsid w:val="00977A66"/>
    <w:rsid w:val="00977C23"/>
    <w:rsid w:val="0098029B"/>
    <w:rsid w:val="00980A22"/>
    <w:rsid w:val="00980D85"/>
    <w:rsid w:val="0098167D"/>
    <w:rsid w:val="00981E09"/>
    <w:rsid w:val="00983094"/>
    <w:rsid w:val="00983599"/>
    <w:rsid w:val="009843DE"/>
    <w:rsid w:val="00984BE4"/>
    <w:rsid w:val="0098536A"/>
    <w:rsid w:val="0098544F"/>
    <w:rsid w:val="00985B04"/>
    <w:rsid w:val="0098661B"/>
    <w:rsid w:val="00986A6D"/>
    <w:rsid w:val="00986BEF"/>
    <w:rsid w:val="00987298"/>
    <w:rsid w:val="00987B34"/>
    <w:rsid w:val="00990282"/>
    <w:rsid w:val="00990769"/>
    <w:rsid w:val="00991CD5"/>
    <w:rsid w:val="00991DF8"/>
    <w:rsid w:val="00992499"/>
    <w:rsid w:val="009928A3"/>
    <w:rsid w:val="00992986"/>
    <w:rsid w:val="009936E2"/>
    <w:rsid w:val="00994B55"/>
    <w:rsid w:val="00995D86"/>
    <w:rsid w:val="00995FB2"/>
    <w:rsid w:val="00996A5A"/>
    <w:rsid w:val="0099781E"/>
    <w:rsid w:val="00997A68"/>
    <w:rsid w:val="009A0071"/>
    <w:rsid w:val="009A00EA"/>
    <w:rsid w:val="009A0403"/>
    <w:rsid w:val="009A0587"/>
    <w:rsid w:val="009A0DA2"/>
    <w:rsid w:val="009A1F6B"/>
    <w:rsid w:val="009A206B"/>
    <w:rsid w:val="009A21F0"/>
    <w:rsid w:val="009A2616"/>
    <w:rsid w:val="009A2C4C"/>
    <w:rsid w:val="009A2DD8"/>
    <w:rsid w:val="009A30DE"/>
    <w:rsid w:val="009A39D5"/>
    <w:rsid w:val="009A3D29"/>
    <w:rsid w:val="009A509F"/>
    <w:rsid w:val="009A52AE"/>
    <w:rsid w:val="009A5453"/>
    <w:rsid w:val="009A5635"/>
    <w:rsid w:val="009A6A7B"/>
    <w:rsid w:val="009A7532"/>
    <w:rsid w:val="009A7883"/>
    <w:rsid w:val="009B04B7"/>
    <w:rsid w:val="009B0596"/>
    <w:rsid w:val="009B1D50"/>
    <w:rsid w:val="009B237F"/>
    <w:rsid w:val="009B2760"/>
    <w:rsid w:val="009B308D"/>
    <w:rsid w:val="009B31D6"/>
    <w:rsid w:val="009B3707"/>
    <w:rsid w:val="009B38D5"/>
    <w:rsid w:val="009B3B62"/>
    <w:rsid w:val="009B3C8D"/>
    <w:rsid w:val="009B3DE3"/>
    <w:rsid w:val="009B4FFB"/>
    <w:rsid w:val="009B53C7"/>
    <w:rsid w:val="009B54FD"/>
    <w:rsid w:val="009B6576"/>
    <w:rsid w:val="009B7489"/>
    <w:rsid w:val="009B7987"/>
    <w:rsid w:val="009B79BD"/>
    <w:rsid w:val="009B7B0A"/>
    <w:rsid w:val="009C0519"/>
    <w:rsid w:val="009C07C9"/>
    <w:rsid w:val="009C08D7"/>
    <w:rsid w:val="009C0B63"/>
    <w:rsid w:val="009C0DC5"/>
    <w:rsid w:val="009C1866"/>
    <w:rsid w:val="009C1FDE"/>
    <w:rsid w:val="009C23FE"/>
    <w:rsid w:val="009C24C8"/>
    <w:rsid w:val="009C274A"/>
    <w:rsid w:val="009C327D"/>
    <w:rsid w:val="009C375C"/>
    <w:rsid w:val="009C4E0D"/>
    <w:rsid w:val="009C4F09"/>
    <w:rsid w:val="009C4F1B"/>
    <w:rsid w:val="009C503B"/>
    <w:rsid w:val="009C542B"/>
    <w:rsid w:val="009C5793"/>
    <w:rsid w:val="009C5816"/>
    <w:rsid w:val="009C61EA"/>
    <w:rsid w:val="009C63EC"/>
    <w:rsid w:val="009C6DF1"/>
    <w:rsid w:val="009C7DAC"/>
    <w:rsid w:val="009C7DBA"/>
    <w:rsid w:val="009C7F93"/>
    <w:rsid w:val="009D077D"/>
    <w:rsid w:val="009D08A6"/>
    <w:rsid w:val="009D0EC0"/>
    <w:rsid w:val="009D1915"/>
    <w:rsid w:val="009D1B69"/>
    <w:rsid w:val="009D1EB3"/>
    <w:rsid w:val="009D25DE"/>
    <w:rsid w:val="009D2ABF"/>
    <w:rsid w:val="009D33F7"/>
    <w:rsid w:val="009D3AD2"/>
    <w:rsid w:val="009D3E06"/>
    <w:rsid w:val="009D5843"/>
    <w:rsid w:val="009D638D"/>
    <w:rsid w:val="009D6393"/>
    <w:rsid w:val="009D695C"/>
    <w:rsid w:val="009D6B6C"/>
    <w:rsid w:val="009D6F57"/>
    <w:rsid w:val="009D766F"/>
    <w:rsid w:val="009E0885"/>
    <w:rsid w:val="009E1CC8"/>
    <w:rsid w:val="009E20F7"/>
    <w:rsid w:val="009E2827"/>
    <w:rsid w:val="009E2863"/>
    <w:rsid w:val="009E30D2"/>
    <w:rsid w:val="009E31B5"/>
    <w:rsid w:val="009E40B4"/>
    <w:rsid w:val="009E4885"/>
    <w:rsid w:val="009E49C6"/>
    <w:rsid w:val="009E4E65"/>
    <w:rsid w:val="009E4F7C"/>
    <w:rsid w:val="009E508B"/>
    <w:rsid w:val="009E5EDF"/>
    <w:rsid w:val="009E5FBE"/>
    <w:rsid w:val="009E6068"/>
    <w:rsid w:val="009E6A00"/>
    <w:rsid w:val="009E6DB4"/>
    <w:rsid w:val="009F0086"/>
    <w:rsid w:val="009F03AB"/>
    <w:rsid w:val="009F0619"/>
    <w:rsid w:val="009F068A"/>
    <w:rsid w:val="009F08C5"/>
    <w:rsid w:val="009F0A85"/>
    <w:rsid w:val="009F1260"/>
    <w:rsid w:val="009F15CA"/>
    <w:rsid w:val="009F1B71"/>
    <w:rsid w:val="009F1F94"/>
    <w:rsid w:val="009F220A"/>
    <w:rsid w:val="009F2A6D"/>
    <w:rsid w:val="009F3171"/>
    <w:rsid w:val="009F335D"/>
    <w:rsid w:val="009F36D6"/>
    <w:rsid w:val="009F3860"/>
    <w:rsid w:val="009F3B4E"/>
    <w:rsid w:val="009F47DD"/>
    <w:rsid w:val="009F4F7D"/>
    <w:rsid w:val="009F6575"/>
    <w:rsid w:val="009F7ADC"/>
    <w:rsid w:val="00A0002A"/>
    <w:rsid w:val="00A01F3A"/>
    <w:rsid w:val="00A0222A"/>
    <w:rsid w:val="00A0236D"/>
    <w:rsid w:val="00A026A4"/>
    <w:rsid w:val="00A02985"/>
    <w:rsid w:val="00A02B2B"/>
    <w:rsid w:val="00A02FA8"/>
    <w:rsid w:val="00A03F1A"/>
    <w:rsid w:val="00A03F74"/>
    <w:rsid w:val="00A03F88"/>
    <w:rsid w:val="00A044B9"/>
    <w:rsid w:val="00A046BF"/>
    <w:rsid w:val="00A04709"/>
    <w:rsid w:val="00A05A37"/>
    <w:rsid w:val="00A05B25"/>
    <w:rsid w:val="00A05C04"/>
    <w:rsid w:val="00A05EC0"/>
    <w:rsid w:val="00A06254"/>
    <w:rsid w:val="00A06842"/>
    <w:rsid w:val="00A07459"/>
    <w:rsid w:val="00A07CE6"/>
    <w:rsid w:val="00A07D78"/>
    <w:rsid w:val="00A07DB6"/>
    <w:rsid w:val="00A10573"/>
    <w:rsid w:val="00A10972"/>
    <w:rsid w:val="00A10E25"/>
    <w:rsid w:val="00A11406"/>
    <w:rsid w:val="00A11A0E"/>
    <w:rsid w:val="00A11C82"/>
    <w:rsid w:val="00A12602"/>
    <w:rsid w:val="00A13205"/>
    <w:rsid w:val="00A132A1"/>
    <w:rsid w:val="00A13422"/>
    <w:rsid w:val="00A13F3F"/>
    <w:rsid w:val="00A148F0"/>
    <w:rsid w:val="00A15132"/>
    <w:rsid w:val="00A15331"/>
    <w:rsid w:val="00A1554D"/>
    <w:rsid w:val="00A15792"/>
    <w:rsid w:val="00A158E3"/>
    <w:rsid w:val="00A1591A"/>
    <w:rsid w:val="00A16E4B"/>
    <w:rsid w:val="00A17092"/>
    <w:rsid w:val="00A172E0"/>
    <w:rsid w:val="00A17527"/>
    <w:rsid w:val="00A211C5"/>
    <w:rsid w:val="00A221A3"/>
    <w:rsid w:val="00A22337"/>
    <w:rsid w:val="00A223D5"/>
    <w:rsid w:val="00A235E4"/>
    <w:rsid w:val="00A23F41"/>
    <w:rsid w:val="00A23FDF"/>
    <w:rsid w:val="00A254D5"/>
    <w:rsid w:val="00A25547"/>
    <w:rsid w:val="00A2563D"/>
    <w:rsid w:val="00A25A2E"/>
    <w:rsid w:val="00A25F76"/>
    <w:rsid w:val="00A27613"/>
    <w:rsid w:val="00A277C8"/>
    <w:rsid w:val="00A3003E"/>
    <w:rsid w:val="00A31E14"/>
    <w:rsid w:val="00A331DC"/>
    <w:rsid w:val="00A3325E"/>
    <w:rsid w:val="00A3364D"/>
    <w:rsid w:val="00A34276"/>
    <w:rsid w:val="00A34524"/>
    <w:rsid w:val="00A345B6"/>
    <w:rsid w:val="00A3502D"/>
    <w:rsid w:val="00A354D1"/>
    <w:rsid w:val="00A357A4"/>
    <w:rsid w:val="00A35AF5"/>
    <w:rsid w:val="00A35CDF"/>
    <w:rsid w:val="00A36453"/>
    <w:rsid w:val="00A373E1"/>
    <w:rsid w:val="00A378CE"/>
    <w:rsid w:val="00A37970"/>
    <w:rsid w:val="00A37A68"/>
    <w:rsid w:val="00A37B0C"/>
    <w:rsid w:val="00A37CE6"/>
    <w:rsid w:val="00A37D1C"/>
    <w:rsid w:val="00A37FFE"/>
    <w:rsid w:val="00A404BE"/>
    <w:rsid w:val="00A40C08"/>
    <w:rsid w:val="00A40ECF"/>
    <w:rsid w:val="00A411C9"/>
    <w:rsid w:val="00A41B47"/>
    <w:rsid w:val="00A41BB2"/>
    <w:rsid w:val="00A41FEF"/>
    <w:rsid w:val="00A42476"/>
    <w:rsid w:val="00A433CA"/>
    <w:rsid w:val="00A43A1A"/>
    <w:rsid w:val="00A43CC4"/>
    <w:rsid w:val="00A43D48"/>
    <w:rsid w:val="00A43F3C"/>
    <w:rsid w:val="00A447A5"/>
    <w:rsid w:val="00A44D18"/>
    <w:rsid w:val="00A45B83"/>
    <w:rsid w:val="00A4646E"/>
    <w:rsid w:val="00A468FD"/>
    <w:rsid w:val="00A46921"/>
    <w:rsid w:val="00A46DEF"/>
    <w:rsid w:val="00A47249"/>
    <w:rsid w:val="00A47723"/>
    <w:rsid w:val="00A47E3B"/>
    <w:rsid w:val="00A501C7"/>
    <w:rsid w:val="00A5058A"/>
    <w:rsid w:val="00A50905"/>
    <w:rsid w:val="00A513FD"/>
    <w:rsid w:val="00A51684"/>
    <w:rsid w:val="00A517D0"/>
    <w:rsid w:val="00A5254B"/>
    <w:rsid w:val="00A52BC1"/>
    <w:rsid w:val="00A52D47"/>
    <w:rsid w:val="00A5347F"/>
    <w:rsid w:val="00A534A0"/>
    <w:rsid w:val="00A537EA"/>
    <w:rsid w:val="00A539AD"/>
    <w:rsid w:val="00A53D1B"/>
    <w:rsid w:val="00A53E3E"/>
    <w:rsid w:val="00A540B2"/>
    <w:rsid w:val="00A5414D"/>
    <w:rsid w:val="00A54A3E"/>
    <w:rsid w:val="00A556B7"/>
    <w:rsid w:val="00A56454"/>
    <w:rsid w:val="00A564A6"/>
    <w:rsid w:val="00A567AE"/>
    <w:rsid w:val="00A56819"/>
    <w:rsid w:val="00A568AC"/>
    <w:rsid w:val="00A57809"/>
    <w:rsid w:val="00A57B07"/>
    <w:rsid w:val="00A57C24"/>
    <w:rsid w:val="00A6025F"/>
    <w:rsid w:val="00A60E9C"/>
    <w:rsid w:val="00A61196"/>
    <w:rsid w:val="00A6131E"/>
    <w:rsid w:val="00A616AF"/>
    <w:rsid w:val="00A61879"/>
    <w:rsid w:val="00A627E2"/>
    <w:rsid w:val="00A628B4"/>
    <w:rsid w:val="00A62B65"/>
    <w:rsid w:val="00A62E6A"/>
    <w:rsid w:val="00A63E32"/>
    <w:rsid w:val="00A63E4E"/>
    <w:rsid w:val="00A6444F"/>
    <w:rsid w:val="00A651CB"/>
    <w:rsid w:val="00A652FF"/>
    <w:rsid w:val="00A65567"/>
    <w:rsid w:val="00A6598D"/>
    <w:rsid w:val="00A65A0D"/>
    <w:rsid w:val="00A65C27"/>
    <w:rsid w:val="00A65F3C"/>
    <w:rsid w:val="00A661FD"/>
    <w:rsid w:val="00A66FB3"/>
    <w:rsid w:val="00A67056"/>
    <w:rsid w:val="00A67DF5"/>
    <w:rsid w:val="00A7098E"/>
    <w:rsid w:val="00A709A3"/>
    <w:rsid w:val="00A71216"/>
    <w:rsid w:val="00A714A3"/>
    <w:rsid w:val="00A71B8B"/>
    <w:rsid w:val="00A73248"/>
    <w:rsid w:val="00A74456"/>
    <w:rsid w:val="00A7502A"/>
    <w:rsid w:val="00A75089"/>
    <w:rsid w:val="00A754D1"/>
    <w:rsid w:val="00A75832"/>
    <w:rsid w:val="00A75EDC"/>
    <w:rsid w:val="00A80404"/>
    <w:rsid w:val="00A80548"/>
    <w:rsid w:val="00A8085F"/>
    <w:rsid w:val="00A80A3D"/>
    <w:rsid w:val="00A817A8"/>
    <w:rsid w:val="00A81E50"/>
    <w:rsid w:val="00A81F1C"/>
    <w:rsid w:val="00A82241"/>
    <w:rsid w:val="00A82602"/>
    <w:rsid w:val="00A82DA0"/>
    <w:rsid w:val="00A8392C"/>
    <w:rsid w:val="00A83E49"/>
    <w:rsid w:val="00A8401C"/>
    <w:rsid w:val="00A8415A"/>
    <w:rsid w:val="00A841A6"/>
    <w:rsid w:val="00A84221"/>
    <w:rsid w:val="00A843CA"/>
    <w:rsid w:val="00A84B45"/>
    <w:rsid w:val="00A84B7A"/>
    <w:rsid w:val="00A84BD1"/>
    <w:rsid w:val="00A85063"/>
    <w:rsid w:val="00A85367"/>
    <w:rsid w:val="00A85F59"/>
    <w:rsid w:val="00A86359"/>
    <w:rsid w:val="00A865DC"/>
    <w:rsid w:val="00A86FBC"/>
    <w:rsid w:val="00A879C5"/>
    <w:rsid w:val="00A87FA2"/>
    <w:rsid w:val="00A902AD"/>
    <w:rsid w:val="00A90302"/>
    <w:rsid w:val="00A9099E"/>
    <w:rsid w:val="00A91FB7"/>
    <w:rsid w:val="00A921CE"/>
    <w:rsid w:val="00A92967"/>
    <w:rsid w:val="00A9298F"/>
    <w:rsid w:val="00A929D7"/>
    <w:rsid w:val="00A92DD2"/>
    <w:rsid w:val="00A92FC3"/>
    <w:rsid w:val="00A9301E"/>
    <w:rsid w:val="00A93E3A"/>
    <w:rsid w:val="00A94BFF"/>
    <w:rsid w:val="00A95186"/>
    <w:rsid w:val="00A951AD"/>
    <w:rsid w:val="00A952F8"/>
    <w:rsid w:val="00A9561B"/>
    <w:rsid w:val="00A961BD"/>
    <w:rsid w:val="00A964CB"/>
    <w:rsid w:val="00A9652F"/>
    <w:rsid w:val="00A973B1"/>
    <w:rsid w:val="00A97424"/>
    <w:rsid w:val="00A9747D"/>
    <w:rsid w:val="00AA027E"/>
    <w:rsid w:val="00AA1224"/>
    <w:rsid w:val="00AA14F2"/>
    <w:rsid w:val="00AA17D9"/>
    <w:rsid w:val="00AA180B"/>
    <w:rsid w:val="00AA1D43"/>
    <w:rsid w:val="00AA2358"/>
    <w:rsid w:val="00AA2469"/>
    <w:rsid w:val="00AA274C"/>
    <w:rsid w:val="00AA2CD7"/>
    <w:rsid w:val="00AA2FA4"/>
    <w:rsid w:val="00AA2FC4"/>
    <w:rsid w:val="00AA3301"/>
    <w:rsid w:val="00AA3360"/>
    <w:rsid w:val="00AA386B"/>
    <w:rsid w:val="00AA4C2E"/>
    <w:rsid w:val="00AA5B16"/>
    <w:rsid w:val="00AA6384"/>
    <w:rsid w:val="00AA6B93"/>
    <w:rsid w:val="00AA7959"/>
    <w:rsid w:val="00AA7A06"/>
    <w:rsid w:val="00AA7A7F"/>
    <w:rsid w:val="00AA7F56"/>
    <w:rsid w:val="00AB1984"/>
    <w:rsid w:val="00AB1CBB"/>
    <w:rsid w:val="00AB215B"/>
    <w:rsid w:val="00AB266D"/>
    <w:rsid w:val="00AB2E7D"/>
    <w:rsid w:val="00AB3146"/>
    <w:rsid w:val="00AB333E"/>
    <w:rsid w:val="00AB37DB"/>
    <w:rsid w:val="00AB3ECC"/>
    <w:rsid w:val="00AB4E14"/>
    <w:rsid w:val="00AB5087"/>
    <w:rsid w:val="00AB54B5"/>
    <w:rsid w:val="00AB573A"/>
    <w:rsid w:val="00AB5A73"/>
    <w:rsid w:val="00AB5F48"/>
    <w:rsid w:val="00AB66FC"/>
    <w:rsid w:val="00AB7156"/>
    <w:rsid w:val="00AB716D"/>
    <w:rsid w:val="00AB72BB"/>
    <w:rsid w:val="00AB7472"/>
    <w:rsid w:val="00AB7BF3"/>
    <w:rsid w:val="00AC039D"/>
    <w:rsid w:val="00AC09D5"/>
    <w:rsid w:val="00AC0C1D"/>
    <w:rsid w:val="00AC0D8E"/>
    <w:rsid w:val="00AC1061"/>
    <w:rsid w:val="00AC175B"/>
    <w:rsid w:val="00AC1A36"/>
    <w:rsid w:val="00AC1AA3"/>
    <w:rsid w:val="00AC1F8E"/>
    <w:rsid w:val="00AC22C1"/>
    <w:rsid w:val="00AC2D10"/>
    <w:rsid w:val="00AC3187"/>
    <w:rsid w:val="00AC374B"/>
    <w:rsid w:val="00AC3798"/>
    <w:rsid w:val="00AC3ED5"/>
    <w:rsid w:val="00AC4CB3"/>
    <w:rsid w:val="00AC4D7C"/>
    <w:rsid w:val="00AC53B0"/>
    <w:rsid w:val="00AC6473"/>
    <w:rsid w:val="00AC6644"/>
    <w:rsid w:val="00AC6655"/>
    <w:rsid w:val="00AC6CA2"/>
    <w:rsid w:val="00AC6EF2"/>
    <w:rsid w:val="00AC6FD3"/>
    <w:rsid w:val="00AC71A6"/>
    <w:rsid w:val="00AC742F"/>
    <w:rsid w:val="00AC7664"/>
    <w:rsid w:val="00AC774F"/>
    <w:rsid w:val="00AC780D"/>
    <w:rsid w:val="00AC787B"/>
    <w:rsid w:val="00AC78A0"/>
    <w:rsid w:val="00AC7956"/>
    <w:rsid w:val="00AC7E18"/>
    <w:rsid w:val="00AD1B79"/>
    <w:rsid w:val="00AD3208"/>
    <w:rsid w:val="00AD3496"/>
    <w:rsid w:val="00AD39DF"/>
    <w:rsid w:val="00AD3C00"/>
    <w:rsid w:val="00AD4A3C"/>
    <w:rsid w:val="00AD4F6A"/>
    <w:rsid w:val="00AD50F8"/>
    <w:rsid w:val="00AD719F"/>
    <w:rsid w:val="00AD738C"/>
    <w:rsid w:val="00AD7447"/>
    <w:rsid w:val="00AD752A"/>
    <w:rsid w:val="00AD7D36"/>
    <w:rsid w:val="00AE0A0E"/>
    <w:rsid w:val="00AE0DED"/>
    <w:rsid w:val="00AE1D05"/>
    <w:rsid w:val="00AE2780"/>
    <w:rsid w:val="00AE284A"/>
    <w:rsid w:val="00AE307E"/>
    <w:rsid w:val="00AE3450"/>
    <w:rsid w:val="00AE392E"/>
    <w:rsid w:val="00AE3E11"/>
    <w:rsid w:val="00AE40B3"/>
    <w:rsid w:val="00AE4935"/>
    <w:rsid w:val="00AE4BAB"/>
    <w:rsid w:val="00AE4BDC"/>
    <w:rsid w:val="00AE4CFD"/>
    <w:rsid w:val="00AE4EA6"/>
    <w:rsid w:val="00AE51FF"/>
    <w:rsid w:val="00AE55AD"/>
    <w:rsid w:val="00AE5D8F"/>
    <w:rsid w:val="00AE67D5"/>
    <w:rsid w:val="00AE67FA"/>
    <w:rsid w:val="00AE6931"/>
    <w:rsid w:val="00AE78ED"/>
    <w:rsid w:val="00AE7AC2"/>
    <w:rsid w:val="00AE7EC9"/>
    <w:rsid w:val="00AF0117"/>
    <w:rsid w:val="00AF1117"/>
    <w:rsid w:val="00AF1555"/>
    <w:rsid w:val="00AF174E"/>
    <w:rsid w:val="00AF18BA"/>
    <w:rsid w:val="00AF19AE"/>
    <w:rsid w:val="00AF1CA5"/>
    <w:rsid w:val="00AF228C"/>
    <w:rsid w:val="00AF2C0E"/>
    <w:rsid w:val="00AF2DB9"/>
    <w:rsid w:val="00AF3928"/>
    <w:rsid w:val="00AF3B55"/>
    <w:rsid w:val="00AF3D62"/>
    <w:rsid w:val="00AF4146"/>
    <w:rsid w:val="00AF56EA"/>
    <w:rsid w:val="00AF56FE"/>
    <w:rsid w:val="00AF5C45"/>
    <w:rsid w:val="00AF62A7"/>
    <w:rsid w:val="00AF6AC5"/>
    <w:rsid w:val="00AF75DC"/>
    <w:rsid w:val="00AF7809"/>
    <w:rsid w:val="00AF7CA7"/>
    <w:rsid w:val="00AF7F7B"/>
    <w:rsid w:val="00B00BDE"/>
    <w:rsid w:val="00B0104B"/>
    <w:rsid w:val="00B01FA1"/>
    <w:rsid w:val="00B01FBC"/>
    <w:rsid w:val="00B021E0"/>
    <w:rsid w:val="00B03A30"/>
    <w:rsid w:val="00B03A35"/>
    <w:rsid w:val="00B03BE2"/>
    <w:rsid w:val="00B0430C"/>
    <w:rsid w:val="00B04F99"/>
    <w:rsid w:val="00B057B6"/>
    <w:rsid w:val="00B05A7C"/>
    <w:rsid w:val="00B06361"/>
    <w:rsid w:val="00B0651D"/>
    <w:rsid w:val="00B06919"/>
    <w:rsid w:val="00B06955"/>
    <w:rsid w:val="00B0758A"/>
    <w:rsid w:val="00B07BEA"/>
    <w:rsid w:val="00B07F41"/>
    <w:rsid w:val="00B102F9"/>
    <w:rsid w:val="00B1081F"/>
    <w:rsid w:val="00B11C80"/>
    <w:rsid w:val="00B11F33"/>
    <w:rsid w:val="00B12152"/>
    <w:rsid w:val="00B12DCA"/>
    <w:rsid w:val="00B13381"/>
    <w:rsid w:val="00B138BC"/>
    <w:rsid w:val="00B13ECB"/>
    <w:rsid w:val="00B1524F"/>
    <w:rsid w:val="00B15A54"/>
    <w:rsid w:val="00B15ECF"/>
    <w:rsid w:val="00B16666"/>
    <w:rsid w:val="00B169CD"/>
    <w:rsid w:val="00B16C0A"/>
    <w:rsid w:val="00B1785C"/>
    <w:rsid w:val="00B17F60"/>
    <w:rsid w:val="00B2039A"/>
    <w:rsid w:val="00B20AC8"/>
    <w:rsid w:val="00B21063"/>
    <w:rsid w:val="00B2124A"/>
    <w:rsid w:val="00B215D5"/>
    <w:rsid w:val="00B21D55"/>
    <w:rsid w:val="00B225CB"/>
    <w:rsid w:val="00B22870"/>
    <w:rsid w:val="00B22A22"/>
    <w:rsid w:val="00B22AA6"/>
    <w:rsid w:val="00B23D1A"/>
    <w:rsid w:val="00B23F4C"/>
    <w:rsid w:val="00B24233"/>
    <w:rsid w:val="00B246DD"/>
    <w:rsid w:val="00B248D8"/>
    <w:rsid w:val="00B24BA7"/>
    <w:rsid w:val="00B25494"/>
    <w:rsid w:val="00B25A6F"/>
    <w:rsid w:val="00B25CD9"/>
    <w:rsid w:val="00B261E4"/>
    <w:rsid w:val="00B268D0"/>
    <w:rsid w:val="00B269D3"/>
    <w:rsid w:val="00B27886"/>
    <w:rsid w:val="00B27F44"/>
    <w:rsid w:val="00B301ED"/>
    <w:rsid w:val="00B30448"/>
    <w:rsid w:val="00B3048B"/>
    <w:rsid w:val="00B30875"/>
    <w:rsid w:val="00B30C49"/>
    <w:rsid w:val="00B30D75"/>
    <w:rsid w:val="00B30DAD"/>
    <w:rsid w:val="00B31315"/>
    <w:rsid w:val="00B31D29"/>
    <w:rsid w:val="00B32212"/>
    <w:rsid w:val="00B3260E"/>
    <w:rsid w:val="00B32C4B"/>
    <w:rsid w:val="00B339D5"/>
    <w:rsid w:val="00B3407E"/>
    <w:rsid w:val="00B34C84"/>
    <w:rsid w:val="00B34D6A"/>
    <w:rsid w:val="00B35021"/>
    <w:rsid w:val="00B35749"/>
    <w:rsid w:val="00B35D00"/>
    <w:rsid w:val="00B35EF5"/>
    <w:rsid w:val="00B3677F"/>
    <w:rsid w:val="00B36872"/>
    <w:rsid w:val="00B3704D"/>
    <w:rsid w:val="00B37071"/>
    <w:rsid w:val="00B40162"/>
    <w:rsid w:val="00B401B6"/>
    <w:rsid w:val="00B4054D"/>
    <w:rsid w:val="00B405CD"/>
    <w:rsid w:val="00B40903"/>
    <w:rsid w:val="00B40FDB"/>
    <w:rsid w:val="00B41C6D"/>
    <w:rsid w:val="00B420B2"/>
    <w:rsid w:val="00B42800"/>
    <w:rsid w:val="00B42832"/>
    <w:rsid w:val="00B42863"/>
    <w:rsid w:val="00B430F6"/>
    <w:rsid w:val="00B43511"/>
    <w:rsid w:val="00B43CE6"/>
    <w:rsid w:val="00B4468B"/>
    <w:rsid w:val="00B45528"/>
    <w:rsid w:val="00B468B0"/>
    <w:rsid w:val="00B46B6E"/>
    <w:rsid w:val="00B46EEB"/>
    <w:rsid w:val="00B475AB"/>
    <w:rsid w:val="00B478FA"/>
    <w:rsid w:val="00B50156"/>
    <w:rsid w:val="00B501E8"/>
    <w:rsid w:val="00B502A3"/>
    <w:rsid w:val="00B506D4"/>
    <w:rsid w:val="00B506ED"/>
    <w:rsid w:val="00B507AA"/>
    <w:rsid w:val="00B50953"/>
    <w:rsid w:val="00B509AE"/>
    <w:rsid w:val="00B50A6D"/>
    <w:rsid w:val="00B50E13"/>
    <w:rsid w:val="00B51581"/>
    <w:rsid w:val="00B516C5"/>
    <w:rsid w:val="00B518AD"/>
    <w:rsid w:val="00B51BB6"/>
    <w:rsid w:val="00B52056"/>
    <w:rsid w:val="00B52B0E"/>
    <w:rsid w:val="00B52D81"/>
    <w:rsid w:val="00B5355B"/>
    <w:rsid w:val="00B536C1"/>
    <w:rsid w:val="00B5402E"/>
    <w:rsid w:val="00B540E8"/>
    <w:rsid w:val="00B54681"/>
    <w:rsid w:val="00B55852"/>
    <w:rsid w:val="00B55E43"/>
    <w:rsid w:val="00B560A9"/>
    <w:rsid w:val="00B56866"/>
    <w:rsid w:val="00B56CC4"/>
    <w:rsid w:val="00B604BB"/>
    <w:rsid w:val="00B6062A"/>
    <w:rsid w:val="00B60A96"/>
    <w:rsid w:val="00B60DD7"/>
    <w:rsid w:val="00B60EB6"/>
    <w:rsid w:val="00B60EE5"/>
    <w:rsid w:val="00B614ED"/>
    <w:rsid w:val="00B616A5"/>
    <w:rsid w:val="00B628BE"/>
    <w:rsid w:val="00B62B67"/>
    <w:rsid w:val="00B636A4"/>
    <w:rsid w:val="00B637FB"/>
    <w:rsid w:val="00B6386F"/>
    <w:rsid w:val="00B649BD"/>
    <w:rsid w:val="00B65295"/>
    <w:rsid w:val="00B65D9B"/>
    <w:rsid w:val="00B667E1"/>
    <w:rsid w:val="00B66E51"/>
    <w:rsid w:val="00B66E68"/>
    <w:rsid w:val="00B672CB"/>
    <w:rsid w:val="00B67346"/>
    <w:rsid w:val="00B67865"/>
    <w:rsid w:val="00B6793A"/>
    <w:rsid w:val="00B67AC3"/>
    <w:rsid w:val="00B70880"/>
    <w:rsid w:val="00B71422"/>
    <w:rsid w:val="00B71486"/>
    <w:rsid w:val="00B71607"/>
    <w:rsid w:val="00B71EF7"/>
    <w:rsid w:val="00B720BE"/>
    <w:rsid w:val="00B72361"/>
    <w:rsid w:val="00B729DF"/>
    <w:rsid w:val="00B73516"/>
    <w:rsid w:val="00B743CC"/>
    <w:rsid w:val="00B74AB0"/>
    <w:rsid w:val="00B75345"/>
    <w:rsid w:val="00B7584B"/>
    <w:rsid w:val="00B76327"/>
    <w:rsid w:val="00B76400"/>
    <w:rsid w:val="00B76C94"/>
    <w:rsid w:val="00B76D4E"/>
    <w:rsid w:val="00B76D6E"/>
    <w:rsid w:val="00B771A8"/>
    <w:rsid w:val="00B771AA"/>
    <w:rsid w:val="00B772D0"/>
    <w:rsid w:val="00B80A99"/>
    <w:rsid w:val="00B80F4E"/>
    <w:rsid w:val="00B814CF"/>
    <w:rsid w:val="00B81A33"/>
    <w:rsid w:val="00B82208"/>
    <w:rsid w:val="00B8256C"/>
    <w:rsid w:val="00B82B2D"/>
    <w:rsid w:val="00B83117"/>
    <w:rsid w:val="00B8319C"/>
    <w:rsid w:val="00B83620"/>
    <w:rsid w:val="00B83B71"/>
    <w:rsid w:val="00B86BD5"/>
    <w:rsid w:val="00B87E20"/>
    <w:rsid w:val="00B90351"/>
    <w:rsid w:val="00B90532"/>
    <w:rsid w:val="00B906F2"/>
    <w:rsid w:val="00B90D9B"/>
    <w:rsid w:val="00B9122D"/>
    <w:rsid w:val="00B91259"/>
    <w:rsid w:val="00B91AD5"/>
    <w:rsid w:val="00B91B81"/>
    <w:rsid w:val="00B91F36"/>
    <w:rsid w:val="00B91FF0"/>
    <w:rsid w:val="00B92164"/>
    <w:rsid w:val="00B926A8"/>
    <w:rsid w:val="00B92B6F"/>
    <w:rsid w:val="00B92BFF"/>
    <w:rsid w:val="00B92FFF"/>
    <w:rsid w:val="00B93538"/>
    <w:rsid w:val="00B936F8"/>
    <w:rsid w:val="00B9492E"/>
    <w:rsid w:val="00B94B06"/>
    <w:rsid w:val="00B94E99"/>
    <w:rsid w:val="00B95701"/>
    <w:rsid w:val="00B960DB"/>
    <w:rsid w:val="00B9622E"/>
    <w:rsid w:val="00B96799"/>
    <w:rsid w:val="00B96DE5"/>
    <w:rsid w:val="00B97A76"/>
    <w:rsid w:val="00BA0166"/>
    <w:rsid w:val="00BA0584"/>
    <w:rsid w:val="00BA0755"/>
    <w:rsid w:val="00BA1E9D"/>
    <w:rsid w:val="00BA249D"/>
    <w:rsid w:val="00BA2F9B"/>
    <w:rsid w:val="00BA38D5"/>
    <w:rsid w:val="00BA3C66"/>
    <w:rsid w:val="00BA4D00"/>
    <w:rsid w:val="00BA4D30"/>
    <w:rsid w:val="00BA4F9B"/>
    <w:rsid w:val="00BA4FE9"/>
    <w:rsid w:val="00BA51C0"/>
    <w:rsid w:val="00BA5665"/>
    <w:rsid w:val="00BA6825"/>
    <w:rsid w:val="00BA72D9"/>
    <w:rsid w:val="00BA74E8"/>
    <w:rsid w:val="00BB02DB"/>
    <w:rsid w:val="00BB0AB5"/>
    <w:rsid w:val="00BB195B"/>
    <w:rsid w:val="00BB1BBA"/>
    <w:rsid w:val="00BB1DB7"/>
    <w:rsid w:val="00BB204A"/>
    <w:rsid w:val="00BB2BD1"/>
    <w:rsid w:val="00BB31DF"/>
    <w:rsid w:val="00BB33E9"/>
    <w:rsid w:val="00BB34B7"/>
    <w:rsid w:val="00BB37AF"/>
    <w:rsid w:val="00BB3BE4"/>
    <w:rsid w:val="00BB44DB"/>
    <w:rsid w:val="00BB57D3"/>
    <w:rsid w:val="00BB58EE"/>
    <w:rsid w:val="00BB64EC"/>
    <w:rsid w:val="00BB704A"/>
    <w:rsid w:val="00BB7589"/>
    <w:rsid w:val="00BB7668"/>
    <w:rsid w:val="00BB767D"/>
    <w:rsid w:val="00BB7D3C"/>
    <w:rsid w:val="00BB7E42"/>
    <w:rsid w:val="00BC06ED"/>
    <w:rsid w:val="00BC077E"/>
    <w:rsid w:val="00BC0DE5"/>
    <w:rsid w:val="00BC0E57"/>
    <w:rsid w:val="00BC1F5F"/>
    <w:rsid w:val="00BC21BE"/>
    <w:rsid w:val="00BC2465"/>
    <w:rsid w:val="00BC2A8A"/>
    <w:rsid w:val="00BC3E36"/>
    <w:rsid w:val="00BC4B2D"/>
    <w:rsid w:val="00BC4CE8"/>
    <w:rsid w:val="00BC4D54"/>
    <w:rsid w:val="00BC5645"/>
    <w:rsid w:val="00BC6D2C"/>
    <w:rsid w:val="00BC6E2F"/>
    <w:rsid w:val="00BC728A"/>
    <w:rsid w:val="00BC7632"/>
    <w:rsid w:val="00BC77A4"/>
    <w:rsid w:val="00BC7C9E"/>
    <w:rsid w:val="00BD1E79"/>
    <w:rsid w:val="00BD23A5"/>
    <w:rsid w:val="00BD2937"/>
    <w:rsid w:val="00BD2AFC"/>
    <w:rsid w:val="00BD2CD4"/>
    <w:rsid w:val="00BD2F9F"/>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2D25"/>
    <w:rsid w:val="00BE3B83"/>
    <w:rsid w:val="00BE3C67"/>
    <w:rsid w:val="00BE3CF7"/>
    <w:rsid w:val="00BE3FED"/>
    <w:rsid w:val="00BE41FD"/>
    <w:rsid w:val="00BE42FC"/>
    <w:rsid w:val="00BE53CB"/>
    <w:rsid w:val="00BE5888"/>
    <w:rsid w:val="00BE6085"/>
    <w:rsid w:val="00BE63FE"/>
    <w:rsid w:val="00BE6494"/>
    <w:rsid w:val="00BE66FC"/>
    <w:rsid w:val="00BE73FA"/>
    <w:rsid w:val="00BF00D1"/>
    <w:rsid w:val="00BF0353"/>
    <w:rsid w:val="00BF090A"/>
    <w:rsid w:val="00BF0918"/>
    <w:rsid w:val="00BF0DBC"/>
    <w:rsid w:val="00BF0F13"/>
    <w:rsid w:val="00BF2001"/>
    <w:rsid w:val="00BF208E"/>
    <w:rsid w:val="00BF2575"/>
    <w:rsid w:val="00BF31A0"/>
    <w:rsid w:val="00BF323A"/>
    <w:rsid w:val="00BF36C0"/>
    <w:rsid w:val="00BF3CC3"/>
    <w:rsid w:val="00BF3F0A"/>
    <w:rsid w:val="00BF4331"/>
    <w:rsid w:val="00BF4C22"/>
    <w:rsid w:val="00BF4E35"/>
    <w:rsid w:val="00BF5098"/>
    <w:rsid w:val="00BF5149"/>
    <w:rsid w:val="00BF5D60"/>
    <w:rsid w:val="00BF5FB3"/>
    <w:rsid w:val="00BF6F82"/>
    <w:rsid w:val="00BF70E2"/>
    <w:rsid w:val="00BF72AB"/>
    <w:rsid w:val="00BF7B9B"/>
    <w:rsid w:val="00C0083F"/>
    <w:rsid w:val="00C00976"/>
    <w:rsid w:val="00C020CD"/>
    <w:rsid w:val="00C02DDE"/>
    <w:rsid w:val="00C0362D"/>
    <w:rsid w:val="00C0367B"/>
    <w:rsid w:val="00C04BE2"/>
    <w:rsid w:val="00C04E51"/>
    <w:rsid w:val="00C05074"/>
    <w:rsid w:val="00C05AF9"/>
    <w:rsid w:val="00C0606E"/>
    <w:rsid w:val="00C060A3"/>
    <w:rsid w:val="00C060B0"/>
    <w:rsid w:val="00C06D2C"/>
    <w:rsid w:val="00C06EA8"/>
    <w:rsid w:val="00C072F0"/>
    <w:rsid w:val="00C07344"/>
    <w:rsid w:val="00C079A3"/>
    <w:rsid w:val="00C07C1F"/>
    <w:rsid w:val="00C07C79"/>
    <w:rsid w:val="00C11A79"/>
    <w:rsid w:val="00C1211E"/>
    <w:rsid w:val="00C13607"/>
    <w:rsid w:val="00C137B1"/>
    <w:rsid w:val="00C13811"/>
    <w:rsid w:val="00C13B43"/>
    <w:rsid w:val="00C14152"/>
    <w:rsid w:val="00C147CC"/>
    <w:rsid w:val="00C15E81"/>
    <w:rsid w:val="00C16EB4"/>
    <w:rsid w:val="00C174C9"/>
    <w:rsid w:val="00C17A25"/>
    <w:rsid w:val="00C17B6E"/>
    <w:rsid w:val="00C200BA"/>
    <w:rsid w:val="00C20748"/>
    <w:rsid w:val="00C20754"/>
    <w:rsid w:val="00C21378"/>
    <w:rsid w:val="00C21C03"/>
    <w:rsid w:val="00C220A5"/>
    <w:rsid w:val="00C22307"/>
    <w:rsid w:val="00C22BB2"/>
    <w:rsid w:val="00C22EAF"/>
    <w:rsid w:val="00C23150"/>
    <w:rsid w:val="00C23F7D"/>
    <w:rsid w:val="00C24580"/>
    <w:rsid w:val="00C24908"/>
    <w:rsid w:val="00C250E8"/>
    <w:rsid w:val="00C25150"/>
    <w:rsid w:val="00C2515F"/>
    <w:rsid w:val="00C251F1"/>
    <w:rsid w:val="00C25B30"/>
    <w:rsid w:val="00C25DCF"/>
    <w:rsid w:val="00C26AEA"/>
    <w:rsid w:val="00C276EC"/>
    <w:rsid w:val="00C27C0A"/>
    <w:rsid w:val="00C30530"/>
    <w:rsid w:val="00C305D9"/>
    <w:rsid w:val="00C31184"/>
    <w:rsid w:val="00C31197"/>
    <w:rsid w:val="00C3130F"/>
    <w:rsid w:val="00C31711"/>
    <w:rsid w:val="00C318B7"/>
    <w:rsid w:val="00C31AD4"/>
    <w:rsid w:val="00C31C63"/>
    <w:rsid w:val="00C31C8C"/>
    <w:rsid w:val="00C31CD9"/>
    <w:rsid w:val="00C32481"/>
    <w:rsid w:val="00C3394C"/>
    <w:rsid w:val="00C34278"/>
    <w:rsid w:val="00C34581"/>
    <w:rsid w:val="00C34A4C"/>
    <w:rsid w:val="00C34AD7"/>
    <w:rsid w:val="00C3516D"/>
    <w:rsid w:val="00C351E4"/>
    <w:rsid w:val="00C353D8"/>
    <w:rsid w:val="00C35B43"/>
    <w:rsid w:val="00C361A6"/>
    <w:rsid w:val="00C365C5"/>
    <w:rsid w:val="00C3670F"/>
    <w:rsid w:val="00C36E1A"/>
    <w:rsid w:val="00C36E26"/>
    <w:rsid w:val="00C371DF"/>
    <w:rsid w:val="00C37818"/>
    <w:rsid w:val="00C37EFC"/>
    <w:rsid w:val="00C37FF9"/>
    <w:rsid w:val="00C40126"/>
    <w:rsid w:val="00C41099"/>
    <w:rsid w:val="00C41425"/>
    <w:rsid w:val="00C41B4A"/>
    <w:rsid w:val="00C4213A"/>
    <w:rsid w:val="00C42C11"/>
    <w:rsid w:val="00C43344"/>
    <w:rsid w:val="00C43ADB"/>
    <w:rsid w:val="00C44065"/>
    <w:rsid w:val="00C44949"/>
    <w:rsid w:val="00C44B4C"/>
    <w:rsid w:val="00C44F8B"/>
    <w:rsid w:val="00C450E3"/>
    <w:rsid w:val="00C456CC"/>
    <w:rsid w:val="00C45830"/>
    <w:rsid w:val="00C45C56"/>
    <w:rsid w:val="00C45CCD"/>
    <w:rsid w:val="00C46734"/>
    <w:rsid w:val="00C46C24"/>
    <w:rsid w:val="00C50112"/>
    <w:rsid w:val="00C5105D"/>
    <w:rsid w:val="00C511F0"/>
    <w:rsid w:val="00C513C7"/>
    <w:rsid w:val="00C51639"/>
    <w:rsid w:val="00C51871"/>
    <w:rsid w:val="00C53220"/>
    <w:rsid w:val="00C533A0"/>
    <w:rsid w:val="00C537E7"/>
    <w:rsid w:val="00C53AFE"/>
    <w:rsid w:val="00C53E9D"/>
    <w:rsid w:val="00C5426B"/>
    <w:rsid w:val="00C54C18"/>
    <w:rsid w:val="00C573DA"/>
    <w:rsid w:val="00C5772E"/>
    <w:rsid w:val="00C5781B"/>
    <w:rsid w:val="00C609E1"/>
    <w:rsid w:val="00C61117"/>
    <w:rsid w:val="00C616B4"/>
    <w:rsid w:val="00C621A7"/>
    <w:rsid w:val="00C62888"/>
    <w:rsid w:val="00C62AA0"/>
    <w:rsid w:val="00C62AEC"/>
    <w:rsid w:val="00C62BF2"/>
    <w:rsid w:val="00C62D1B"/>
    <w:rsid w:val="00C62D43"/>
    <w:rsid w:val="00C638A6"/>
    <w:rsid w:val="00C63ABB"/>
    <w:rsid w:val="00C63FB9"/>
    <w:rsid w:val="00C64266"/>
    <w:rsid w:val="00C647DF"/>
    <w:rsid w:val="00C64F8E"/>
    <w:rsid w:val="00C66306"/>
    <w:rsid w:val="00C66CE8"/>
    <w:rsid w:val="00C70074"/>
    <w:rsid w:val="00C703BA"/>
    <w:rsid w:val="00C70D51"/>
    <w:rsid w:val="00C70DF4"/>
    <w:rsid w:val="00C71252"/>
    <w:rsid w:val="00C7277F"/>
    <w:rsid w:val="00C72960"/>
    <w:rsid w:val="00C73C07"/>
    <w:rsid w:val="00C74759"/>
    <w:rsid w:val="00C74930"/>
    <w:rsid w:val="00C74B47"/>
    <w:rsid w:val="00C74D80"/>
    <w:rsid w:val="00C751C7"/>
    <w:rsid w:val="00C754BD"/>
    <w:rsid w:val="00C75D3A"/>
    <w:rsid w:val="00C769A9"/>
    <w:rsid w:val="00C772BC"/>
    <w:rsid w:val="00C774C9"/>
    <w:rsid w:val="00C77F1B"/>
    <w:rsid w:val="00C80987"/>
    <w:rsid w:val="00C80A3F"/>
    <w:rsid w:val="00C80B94"/>
    <w:rsid w:val="00C80EE4"/>
    <w:rsid w:val="00C8180E"/>
    <w:rsid w:val="00C818A9"/>
    <w:rsid w:val="00C81F34"/>
    <w:rsid w:val="00C82436"/>
    <w:rsid w:val="00C82933"/>
    <w:rsid w:val="00C82BE2"/>
    <w:rsid w:val="00C835D3"/>
    <w:rsid w:val="00C84BBF"/>
    <w:rsid w:val="00C84BE9"/>
    <w:rsid w:val="00C854B7"/>
    <w:rsid w:val="00C85D08"/>
    <w:rsid w:val="00C85DEF"/>
    <w:rsid w:val="00C85E1C"/>
    <w:rsid w:val="00C85E40"/>
    <w:rsid w:val="00C86D76"/>
    <w:rsid w:val="00C86DA6"/>
    <w:rsid w:val="00C87A64"/>
    <w:rsid w:val="00C90B39"/>
    <w:rsid w:val="00C910F8"/>
    <w:rsid w:val="00C91106"/>
    <w:rsid w:val="00C9117B"/>
    <w:rsid w:val="00C91D19"/>
    <w:rsid w:val="00C93286"/>
    <w:rsid w:val="00C93B58"/>
    <w:rsid w:val="00C93C2F"/>
    <w:rsid w:val="00C93E14"/>
    <w:rsid w:val="00C93F13"/>
    <w:rsid w:val="00C9437C"/>
    <w:rsid w:val="00C946E4"/>
    <w:rsid w:val="00C946FF"/>
    <w:rsid w:val="00C94A14"/>
    <w:rsid w:val="00C94CDA"/>
    <w:rsid w:val="00C95BED"/>
    <w:rsid w:val="00C95EB3"/>
    <w:rsid w:val="00C9657E"/>
    <w:rsid w:val="00C96725"/>
    <w:rsid w:val="00C96FD9"/>
    <w:rsid w:val="00C97A66"/>
    <w:rsid w:val="00CA007B"/>
    <w:rsid w:val="00CA01BB"/>
    <w:rsid w:val="00CA0AA4"/>
    <w:rsid w:val="00CA0C1E"/>
    <w:rsid w:val="00CA15B0"/>
    <w:rsid w:val="00CA183B"/>
    <w:rsid w:val="00CA1C71"/>
    <w:rsid w:val="00CA1D4C"/>
    <w:rsid w:val="00CA1D50"/>
    <w:rsid w:val="00CA1DAB"/>
    <w:rsid w:val="00CA20E0"/>
    <w:rsid w:val="00CA2598"/>
    <w:rsid w:val="00CA3347"/>
    <w:rsid w:val="00CA41A6"/>
    <w:rsid w:val="00CA523D"/>
    <w:rsid w:val="00CA6FDA"/>
    <w:rsid w:val="00CA77CF"/>
    <w:rsid w:val="00CA7B4A"/>
    <w:rsid w:val="00CA7B58"/>
    <w:rsid w:val="00CB0836"/>
    <w:rsid w:val="00CB0CB9"/>
    <w:rsid w:val="00CB1413"/>
    <w:rsid w:val="00CB18D4"/>
    <w:rsid w:val="00CB1BDB"/>
    <w:rsid w:val="00CB24D9"/>
    <w:rsid w:val="00CB2518"/>
    <w:rsid w:val="00CB3156"/>
    <w:rsid w:val="00CB3920"/>
    <w:rsid w:val="00CB469E"/>
    <w:rsid w:val="00CB4C4C"/>
    <w:rsid w:val="00CB4DBA"/>
    <w:rsid w:val="00CB5A0A"/>
    <w:rsid w:val="00CB6413"/>
    <w:rsid w:val="00CB696F"/>
    <w:rsid w:val="00CB6A00"/>
    <w:rsid w:val="00CB6DA1"/>
    <w:rsid w:val="00CB7059"/>
    <w:rsid w:val="00CB7097"/>
    <w:rsid w:val="00CB709D"/>
    <w:rsid w:val="00CB73EE"/>
    <w:rsid w:val="00CB77F4"/>
    <w:rsid w:val="00CB780D"/>
    <w:rsid w:val="00CC00E9"/>
    <w:rsid w:val="00CC0F1C"/>
    <w:rsid w:val="00CC109F"/>
    <w:rsid w:val="00CC1983"/>
    <w:rsid w:val="00CC1BBB"/>
    <w:rsid w:val="00CC1E55"/>
    <w:rsid w:val="00CC259D"/>
    <w:rsid w:val="00CC299A"/>
    <w:rsid w:val="00CC3039"/>
    <w:rsid w:val="00CC32B7"/>
    <w:rsid w:val="00CC36DE"/>
    <w:rsid w:val="00CC4498"/>
    <w:rsid w:val="00CC4F99"/>
    <w:rsid w:val="00CC5CDC"/>
    <w:rsid w:val="00CC5FC3"/>
    <w:rsid w:val="00CC6369"/>
    <w:rsid w:val="00CC6576"/>
    <w:rsid w:val="00CC65D6"/>
    <w:rsid w:val="00CC73F3"/>
    <w:rsid w:val="00CC7B85"/>
    <w:rsid w:val="00CC7EA8"/>
    <w:rsid w:val="00CD081C"/>
    <w:rsid w:val="00CD14DA"/>
    <w:rsid w:val="00CD1B5A"/>
    <w:rsid w:val="00CD1E9C"/>
    <w:rsid w:val="00CD27DB"/>
    <w:rsid w:val="00CD2E70"/>
    <w:rsid w:val="00CD3837"/>
    <w:rsid w:val="00CD386B"/>
    <w:rsid w:val="00CD3D06"/>
    <w:rsid w:val="00CD4A09"/>
    <w:rsid w:val="00CD4C67"/>
    <w:rsid w:val="00CD4C7B"/>
    <w:rsid w:val="00CD5125"/>
    <w:rsid w:val="00CD5397"/>
    <w:rsid w:val="00CD5E93"/>
    <w:rsid w:val="00CD6D2E"/>
    <w:rsid w:val="00CD7963"/>
    <w:rsid w:val="00CE061C"/>
    <w:rsid w:val="00CE1344"/>
    <w:rsid w:val="00CE15AE"/>
    <w:rsid w:val="00CE1CFC"/>
    <w:rsid w:val="00CE235A"/>
    <w:rsid w:val="00CE37A3"/>
    <w:rsid w:val="00CE3814"/>
    <w:rsid w:val="00CE3FC0"/>
    <w:rsid w:val="00CE4AC7"/>
    <w:rsid w:val="00CE56B7"/>
    <w:rsid w:val="00CE5B2B"/>
    <w:rsid w:val="00CE6543"/>
    <w:rsid w:val="00CE6660"/>
    <w:rsid w:val="00CE6855"/>
    <w:rsid w:val="00CE6B6F"/>
    <w:rsid w:val="00CE7033"/>
    <w:rsid w:val="00CE7075"/>
    <w:rsid w:val="00CE770A"/>
    <w:rsid w:val="00CF02A6"/>
    <w:rsid w:val="00CF05A6"/>
    <w:rsid w:val="00CF060D"/>
    <w:rsid w:val="00CF06CF"/>
    <w:rsid w:val="00CF101C"/>
    <w:rsid w:val="00CF15C5"/>
    <w:rsid w:val="00CF1E77"/>
    <w:rsid w:val="00CF1EFE"/>
    <w:rsid w:val="00CF2150"/>
    <w:rsid w:val="00CF2682"/>
    <w:rsid w:val="00CF2DC1"/>
    <w:rsid w:val="00CF2EE2"/>
    <w:rsid w:val="00CF37AD"/>
    <w:rsid w:val="00CF3948"/>
    <w:rsid w:val="00CF3ACF"/>
    <w:rsid w:val="00CF441D"/>
    <w:rsid w:val="00CF4FCF"/>
    <w:rsid w:val="00CF4FDC"/>
    <w:rsid w:val="00CF531C"/>
    <w:rsid w:val="00CF53F2"/>
    <w:rsid w:val="00CF56AF"/>
    <w:rsid w:val="00CF58F1"/>
    <w:rsid w:val="00CF5BE0"/>
    <w:rsid w:val="00CF5BF1"/>
    <w:rsid w:val="00CF5D64"/>
    <w:rsid w:val="00CF6001"/>
    <w:rsid w:val="00CF61CB"/>
    <w:rsid w:val="00CF666F"/>
    <w:rsid w:val="00CF686F"/>
    <w:rsid w:val="00CF6CA7"/>
    <w:rsid w:val="00CF6E7D"/>
    <w:rsid w:val="00CF76FB"/>
    <w:rsid w:val="00CF7705"/>
    <w:rsid w:val="00CF7EBB"/>
    <w:rsid w:val="00D00175"/>
    <w:rsid w:val="00D00223"/>
    <w:rsid w:val="00D00312"/>
    <w:rsid w:val="00D0045E"/>
    <w:rsid w:val="00D00849"/>
    <w:rsid w:val="00D008D8"/>
    <w:rsid w:val="00D009BC"/>
    <w:rsid w:val="00D00DBF"/>
    <w:rsid w:val="00D0149B"/>
    <w:rsid w:val="00D01AAA"/>
    <w:rsid w:val="00D01F5D"/>
    <w:rsid w:val="00D01FA9"/>
    <w:rsid w:val="00D02D17"/>
    <w:rsid w:val="00D03755"/>
    <w:rsid w:val="00D03DBE"/>
    <w:rsid w:val="00D03EED"/>
    <w:rsid w:val="00D0597D"/>
    <w:rsid w:val="00D06274"/>
    <w:rsid w:val="00D066D8"/>
    <w:rsid w:val="00D07FB9"/>
    <w:rsid w:val="00D10C27"/>
    <w:rsid w:val="00D10E78"/>
    <w:rsid w:val="00D11949"/>
    <w:rsid w:val="00D11A69"/>
    <w:rsid w:val="00D11CB2"/>
    <w:rsid w:val="00D12C98"/>
    <w:rsid w:val="00D12FFC"/>
    <w:rsid w:val="00D13CA3"/>
    <w:rsid w:val="00D1484F"/>
    <w:rsid w:val="00D14BA0"/>
    <w:rsid w:val="00D14D7B"/>
    <w:rsid w:val="00D1516D"/>
    <w:rsid w:val="00D158B0"/>
    <w:rsid w:val="00D15B1C"/>
    <w:rsid w:val="00D15BBB"/>
    <w:rsid w:val="00D160CA"/>
    <w:rsid w:val="00D1707A"/>
    <w:rsid w:val="00D17CC2"/>
    <w:rsid w:val="00D20EED"/>
    <w:rsid w:val="00D21435"/>
    <w:rsid w:val="00D216A7"/>
    <w:rsid w:val="00D2242C"/>
    <w:rsid w:val="00D224FA"/>
    <w:rsid w:val="00D23033"/>
    <w:rsid w:val="00D23D60"/>
    <w:rsid w:val="00D23DA6"/>
    <w:rsid w:val="00D2402F"/>
    <w:rsid w:val="00D245C2"/>
    <w:rsid w:val="00D255BC"/>
    <w:rsid w:val="00D25660"/>
    <w:rsid w:val="00D2569B"/>
    <w:rsid w:val="00D258EB"/>
    <w:rsid w:val="00D25AEB"/>
    <w:rsid w:val="00D26C14"/>
    <w:rsid w:val="00D271CD"/>
    <w:rsid w:val="00D27BD2"/>
    <w:rsid w:val="00D27C94"/>
    <w:rsid w:val="00D30480"/>
    <w:rsid w:val="00D3064E"/>
    <w:rsid w:val="00D315CC"/>
    <w:rsid w:val="00D316A5"/>
    <w:rsid w:val="00D31DDA"/>
    <w:rsid w:val="00D31F05"/>
    <w:rsid w:val="00D32067"/>
    <w:rsid w:val="00D327A3"/>
    <w:rsid w:val="00D3346D"/>
    <w:rsid w:val="00D33893"/>
    <w:rsid w:val="00D33AE9"/>
    <w:rsid w:val="00D34224"/>
    <w:rsid w:val="00D34927"/>
    <w:rsid w:val="00D34B5B"/>
    <w:rsid w:val="00D34C82"/>
    <w:rsid w:val="00D36550"/>
    <w:rsid w:val="00D36A10"/>
    <w:rsid w:val="00D36C97"/>
    <w:rsid w:val="00D379EC"/>
    <w:rsid w:val="00D37C94"/>
    <w:rsid w:val="00D37E9F"/>
    <w:rsid w:val="00D37F9D"/>
    <w:rsid w:val="00D40D88"/>
    <w:rsid w:val="00D414A2"/>
    <w:rsid w:val="00D41E42"/>
    <w:rsid w:val="00D41F6B"/>
    <w:rsid w:val="00D42380"/>
    <w:rsid w:val="00D42C9B"/>
    <w:rsid w:val="00D4348D"/>
    <w:rsid w:val="00D435CD"/>
    <w:rsid w:val="00D436D7"/>
    <w:rsid w:val="00D43ADD"/>
    <w:rsid w:val="00D44029"/>
    <w:rsid w:val="00D44116"/>
    <w:rsid w:val="00D44E42"/>
    <w:rsid w:val="00D44FC3"/>
    <w:rsid w:val="00D45072"/>
    <w:rsid w:val="00D450E2"/>
    <w:rsid w:val="00D453D7"/>
    <w:rsid w:val="00D4552D"/>
    <w:rsid w:val="00D45D2B"/>
    <w:rsid w:val="00D462D6"/>
    <w:rsid w:val="00D46898"/>
    <w:rsid w:val="00D4714D"/>
    <w:rsid w:val="00D474AB"/>
    <w:rsid w:val="00D4754E"/>
    <w:rsid w:val="00D47641"/>
    <w:rsid w:val="00D47CD2"/>
    <w:rsid w:val="00D50460"/>
    <w:rsid w:val="00D50961"/>
    <w:rsid w:val="00D50A02"/>
    <w:rsid w:val="00D512A1"/>
    <w:rsid w:val="00D518D6"/>
    <w:rsid w:val="00D51FDC"/>
    <w:rsid w:val="00D52AB4"/>
    <w:rsid w:val="00D52F26"/>
    <w:rsid w:val="00D531F5"/>
    <w:rsid w:val="00D5373C"/>
    <w:rsid w:val="00D538C1"/>
    <w:rsid w:val="00D538D5"/>
    <w:rsid w:val="00D53B5C"/>
    <w:rsid w:val="00D54640"/>
    <w:rsid w:val="00D54916"/>
    <w:rsid w:val="00D55455"/>
    <w:rsid w:val="00D5579E"/>
    <w:rsid w:val="00D559B5"/>
    <w:rsid w:val="00D55DC2"/>
    <w:rsid w:val="00D56420"/>
    <w:rsid w:val="00D5658A"/>
    <w:rsid w:val="00D56A94"/>
    <w:rsid w:val="00D56C0C"/>
    <w:rsid w:val="00D56F9E"/>
    <w:rsid w:val="00D570B4"/>
    <w:rsid w:val="00D5798B"/>
    <w:rsid w:val="00D602DF"/>
    <w:rsid w:val="00D6033F"/>
    <w:rsid w:val="00D60736"/>
    <w:rsid w:val="00D6170E"/>
    <w:rsid w:val="00D61972"/>
    <w:rsid w:val="00D61B58"/>
    <w:rsid w:val="00D6307D"/>
    <w:rsid w:val="00D63473"/>
    <w:rsid w:val="00D63632"/>
    <w:rsid w:val="00D63732"/>
    <w:rsid w:val="00D637F5"/>
    <w:rsid w:val="00D63925"/>
    <w:rsid w:val="00D63D9C"/>
    <w:rsid w:val="00D6405D"/>
    <w:rsid w:val="00D6568E"/>
    <w:rsid w:val="00D65893"/>
    <w:rsid w:val="00D658EC"/>
    <w:rsid w:val="00D660EB"/>
    <w:rsid w:val="00D66816"/>
    <w:rsid w:val="00D6684E"/>
    <w:rsid w:val="00D6742A"/>
    <w:rsid w:val="00D67B9B"/>
    <w:rsid w:val="00D71733"/>
    <w:rsid w:val="00D718AC"/>
    <w:rsid w:val="00D71951"/>
    <w:rsid w:val="00D719A3"/>
    <w:rsid w:val="00D71BAD"/>
    <w:rsid w:val="00D71E7A"/>
    <w:rsid w:val="00D72039"/>
    <w:rsid w:val="00D72655"/>
    <w:rsid w:val="00D72DE7"/>
    <w:rsid w:val="00D7302F"/>
    <w:rsid w:val="00D7329E"/>
    <w:rsid w:val="00D7340B"/>
    <w:rsid w:val="00D73870"/>
    <w:rsid w:val="00D73BB2"/>
    <w:rsid w:val="00D74575"/>
    <w:rsid w:val="00D746FB"/>
    <w:rsid w:val="00D74C57"/>
    <w:rsid w:val="00D74D14"/>
    <w:rsid w:val="00D74E74"/>
    <w:rsid w:val="00D74F3B"/>
    <w:rsid w:val="00D752E7"/>
    <w:rsid w:val="00D7574B"/>
    <w:rsid w:val="00D75913"/>
    <w:rsid w:val="00D75E82"/>
    <w:rsid w:val="00D76270"/>
    <w:rsid w:val="00D767C6"/>
    <w:rsid w:val="00D769C5"/>
    <w:rsid w:val="00D76E76"/>
    <w:rsid w:val="00D779FA"/>
    <w:rsid w:val="00D77ED7"/>
    <w:rsid w:val="00D80631"/>
    <w:rsid w:val="00D818EC"/>
    <w:rsid w:val="00D81A20"/>
    <w:rsid w:val="00D81F55"/>
    <w:rsid w:val="00D8292F"/>
    <w:rsid w:val="00D8321A"/>
    <w:rsid w:val="00D83F57"/>
    <w:rsid w:val="00D84150"/>
    <w:rsid w:val="00D84A86"/>
    <w:rsid w:val="00D8507B"/>
    <w:rsid w:val="00D85152"/>
    <w:rsid w:val="00D85D1A"/>
    <w:rsid w:val="00D85F2C"/>
    <w:rsid w:val="00D86030"/>
    <w:rsid w:val="00D861BD"/>
    <w:rsid w:val="00D86D55"/>
    <w:rsid w:val="00D8789C"/>
    <w:rsid w:val="00D8789D"/>
    <w:rsid w:val="00D87B3F"/>
    <w:rsid w:val="00D9003D"/>
    <w:rsid w:val="00D90279"/>
    <w:rsid w:val="00D90558"/>
    <w:rsid w:val="00D9082F"/>
    <w:rsid w:val="00D90C79"/>
    <w:rsid w:val="00D914EB"/>
    <w:rsid w:val="00D91B36"/>
    <w:rsid w:val="00D9305B"/>
    <w:rsid w:val="00D94085"/>
    <w:rsid w:val="00D9445B"/>
    <w:rsid w:val="00D944D2"/>
    <w:rsid w:val="00D95ECE"/>
    <w:rsid w:val="00D96D4F"/>
    <w:rsid w:val="00D9733C"/>
    <w:rsid w:val="00DA1806"/>
    <w:rsid w:val="00DA1BD1"/>
    <w:rsid w:val="00DA212B"/>
    <w:rsid w:val="00DA3155"/>
    <w:rsid w:val="00DA3A76"/>
    <w:rsid w:val="00DA4478"/>
    <w:rsid w:val="00DA5713"/>
    <w:rsid w:val="00DA5792"/>
    <w:rsid w:val="00DA5B51"/>
    <w:rsid w:val="00DA5F95"/>
    <w:rsid w:val="00DA6856"/>
    <w:rsid w:val="00DA6D6D"/>
    <w:rsid w:val="00DA73C1"/>
    <w:rsid w:val="00DA7457"/>
    <w:rsid w:val="00DA7478"/>
    <w:rsid w:val="00DA770D"/>
    <w:rsid w:val="00DA77A8"/>
    <w:rsid w:val="00DA7851"/>
    <w:rsid w:val="00DA7DC1"/>
    <w:rsid w:val="00DB00EE"/>
    <w:rsid w:val="00DB0132"/>
    <w:rsid w:val="00DB2754"/>
    <w:rsid w:val="00DB2A31"/>
    <w:rsid w:val="00DB2D88"/>
    <w:rsid w:val="00DB3067"/>
    <w:rsid w:val="00DB3687"/>
    <w:rsid w:val="00DB38D1"/>
    <w:rsid w:val="00DB3DC3"/>
    <w:rsid w:val="00DB41CB"/>
    <w:rsid w:val="00DB4E83"/>
    <w:rsid w:val="00DB5114"/>
    <w:rsid w:val="00DB681B"/>
    <w:rsid w:val="00DB6D37"/>
    <w:rsid w:val="00DB73C2"/>
    <w:rsid w:val="00DB7E24"/>
    <w:rsid w:val="00DC0445"/>
    <w:rsid w:val="00DC04B3"/>
    <w:rsid w:val="00DC115F"/>
    <w:rsid w:val="00DC17A9"/>
    <w:rsid w:val="00DC2082"/>
    <w:rsid w:val="00DC225F"/>
    <w:rsid w:val="00DC254E"/>
    <w:rsid w:val="00DC2883"/>
    <w:rsid w:val="00DC2B0D"/>
    <w:rsid w:val="00DC2C48"/>
    <w:rsid w:val="00DC46B5"/>
    <w:rsid w:val="00DC4B28"/>
    <w:rsid w:val="00DC4B5D"/>
    <w:rsid w:val="00DC4CD0"/>
    <w:rsid w:val="00DC525E"/>
    <w:rsid w:val="00DC535C"/>
    <w:rsid w:val="00DC5DCB"/>
    <w:rsid w:val="00DC6C0D"/>
    <w:rsid w:val="00DC6CCF"/>
    <w:rsid w:val="00DC75E7"/>
    <w:rsid w:val="00DD074A"/>
    <w:rsid w:val="00DD0D70"/>
    <w:rsid w:val="00DD1941"/>
    <w:rsid w:val="00DD26A5"/>
    <w:rsid w:val="00DD2812"/>
    <w:rsid w:val="00DD2CE3"/>
    <w:rsid w:val="00DD34F2"/>
    <w:rsid w:val="00DD3C6B"/>
    <w:rsid w:val="00DD4A56"/>
    <w:rsid w:val="00DD54ED"/>
    <w:rsid w:val="00DD6861"/>
    <w:rsid w:val="00DD697F"/>
    <w:rsid w:val="00DD699C"/>
    <w:rsid w:val="00DD6A5A"/>
    <w:rsid w:val="00DD72F3"/>
    <w:rsid w:val="00DD739F"/>
    <w:rsid w:val="00DD7631"/>
    <w:rsid w:val="00DD7762"/>
    <w:rsid w:val="00DD781E"/>
    <w:rsid w:val="00DD7A2C"/>
    <w:rsid w:val="00DD7F63"/>
    <w:rsid w:val="00DE0A1B"/>
    <w:rsid w:val="00DE1238"/>
    <w:rsid w:val="00DE1966"/>
    <w:rsid w:val="00DE1FFE"/>
    <w:rsid w:val="00DE2F9E"/>
    <w:rsid w:val="00DE31B1"/>
    <w:rsid w:val="00DE32E7"/>
    <w:rsid w:val="00DE3703"/>
    <w:rsid w:val="00DE3BB8"/>
    <w:rsid w:val="00DE40EB"/>
    <w:rsid w:val="00DE5117"/>
    <w:rsid w:val="00DE51F6"/>
    <w:rsid w:val="00DE5648"/>
    <w:rsid w:val="00DE568A"/>
    <w:rsid w:val="00DE56B7"/>
    <w:rsid w:val="00DE595E"/>
    <w:rsid w:val="00DE5CD9"/>
    <w:rsid w:val="00DE6A70"/>
    <w:rsid w:val="00DE7005"/>
    <w:rsid w:val="00DE70B5"/>
    <w:rsid w:val="00DE7113"/>
    <w:rsid w:val="00DF00F9"/>
    <w:rsid w:val="00DF0576"/>
    <w:rsid w:val="00DF1981"/>
    <w:rsid w:val="00DF1D07"/>
    <w:rsid w:val="00DF1E89"/>
    <w:rsid w:val="00DF1EC8"/>
    <w:rsid w:val="00DF2144"/>
    <w:rsid w:val="00DF24D9"/>
    <w:rsid w:val="00DF2EA5"/>
    <w:rsid w:val="00DF310B"/>
    <w:rsid w:val="00DF3E47"/>
    <w:rsid w:val="00DF5362"/>
    <w:rsid w:val="00DF56E8"/>
    <w:rsid w:val="00DF5C01"/>
    <w:rsid w:val="00DF5FF5"/>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7C4"/>
    <w:rsid w:val="00E06A36"/>
    <w:rsid w:val="00E074A2"/>
    <w:rsid w:val="00E074C9"/>
    <w:rsid w:val="00E1198B"/>
    <w:rsid w:val="00E11C0C"/>
    <w:rsid w:val="00E126B2"/>
    <w:rsid w:val="00E127E3"/>
    <w:rsid w:val="00E13AFB"/>
    <w:rsid w:val="00E13E8F"/>
    <w:rsid w:val="00E14818"/>
    <w:rsid w:val="00E148E8"/>
    <w:rsid w:val="00E151ED"/>
    <w:rsid w:val="00E1610C"/>
    <w:rsid w:val="00E162BD"/>
    <w:rsid w:val="00E16660"/>
    <w:rsid w:val="00E16A1D"/>
    <w:rsid w:val="00E16C78"/>
    <w:rsid w:val="00E16D73"/>
    <w:rsid w:val="00E17296"/>
    <w:rsid w:val="00E17833"/>
    <w:rsid w:val="00E17981"/>
    <w:rsid w:val="00E17B91"/>
    <w:rsid w:val="00E17CD2"/>
    <w:rsid w:val="00E17E36"/>
    <w:rsid w:val="00E201F2"/>
    <w:rsid w:val="00E206D8"/>
    <w:rsid w:val="00E20A87"/>
    <w:rsid w:val="00E2113A"/>
    <w:rsid w:val="00E21C65"/>
    <w:rsid w:val="00E2307E"/>
    <w:rsid w:val="00E2352B"/>
    <w:rsid w:val="00E23C63"/>
    <w:rsid w:val="00E23E84"/>
    <w:rsid w:val="00E23F9B"/>
    <w:rsid w:val="00E24D23"/>
    <w:rsid w:val="00E2546F"/>
    <w:rsid w:val="00E26285"/>
    <w:rsid w:val="00E26649"/>
    <w:rsid w:val="00E2703D"/>
    <w:rsid w:val="00E271F9"/>
    <w:rsid w:val="00E272C1"/>
    <w:rsid w:val="00E27F0A"/>
    <w:rsid w:val="00E304DF"/>
    <w:rsid w:val="00E30712"/>
    <w:rsid w:val="00E309B0"/>
    <w:rsid w:val="00E30A3E"/>
    <w:rsid w:val="00E30E67"/>
    <w:rsid w:val="00E32143"/>
    <w:rsid w:val="00E325F3"/>
    <w:rsid w:val="00E326E9"/>
    <w:rsid w:val="00E32AB7"/>
    <w:rsid w:val="00E32B61"/>
    <w:rsid w:val="00E33106"/>
    <w:rsid w:val="00E33585"/>
    <w:rsid w:val="00E339AE"/>
    <w:rsid w:val="00E33D4C"/>
    <w:rsid w:val="00E345C2"/>
    <w:rsid w:val="00E34B9B"/>
    <w:rsid w:val="00E34D99"/>
    <w:rsid w:val="00E352C3"/>
    <w:rsid w:val="00E35476"/>
    <w:rsid w:val="00E355C0"/>
    <w:rsid w:val="00E359A5"/>
    <w:rsid w:val="00E35C28"/>
    <w:rsid w:val="00E368BD"/>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19C"/>
    <w:rsid w:val="00E43894"/>
    <w:rsid w:val="00E44AC7"/>
    <w:rsid w:val="00E44E08"/>
    <w:rsid w:val="00E45B2D"/>
    <w:rsid w:val="00E45D26"/>
    <w:rsid w:val="00E45DF9"/>
    <w:rsid w:val="00E468F2"/>
    <w:rsid w:val="00E477C4"/>
    <w:rsid w:val="00E478EF"/>
    <w:rsid w:val="00E47A20"/>
    <w:rsid w:val="00E47BBA"/>
    <w:rsid w:val="00E5065D"/>
    <w:rsid w:val="00E5084C"/>
    <w:rsid w:val="00E50871"/>
    <w:rsid w:val="00E50AD9"/>
    <w:rsid w:val="00E50B4C"/>
    <w:rsid w:val="00E512FE"/>
    <w:rsid w:val="00E5198D"/>
    <w:rsid w:val="00E52063"/>
    <w:rsid w:val="00E52C66"/>
    <w:rsid w:val="00E53533"/>
    <w:rsid w:val="00E537ED"/>
    <w:rsid w:val="00E5384D"/>
    <w:rsid w:val="00E53F2E"/>
    <w:rsid w:val="00E54004"/>
    <w:rsid w:val="00E546C9"/>
    <w:rsid w:val="00E54BB9"/>
    <w:rsid w:val="00E54D3F"/>
    <w:rsid w:val="00E55F1F"/>
    <w:rsid w:val="00E56735"/>
    <w:rsid w:val="00E56866"/>
    <w:rsid w:val="00E56904"/>
    <w:rsid w:val="00E56FA9"/>
    <w:rsid w:val="00E576BB"/>
    <w:rsid w:val="00E57DFD"/>
    <w:rsid w:val="00E60423"/>
    <w:rsid w:val="00E60438"/>
    <w:rsid w:val="00E60545"/>
    <w:rsid w:val="00E606F4"/>
    <w:rsid w:val="00E607E5"/>
    <w:rsid w:val="00E60A16"/>
    <w:rsid w:val="00E610CB"/>
    <w:rsid w:val="00E6125B"/>
    <w:rsid w:val="00E615AF"/>
    <w:rsid w:val="00E6170A"/>
    <w:rsid w:val="00E62816"/>
    <w:rsid w:val="00E629EF"/>
    <w:rsid w:val="00E62ADF"/>
    <w:rsid w:val="00E62FA7"/>
    <w:rsid w:val="00E6359B"/>
    <w:rsid w:val="00E637A3"/>
    <w:rsid w:val="00E63A08"/>
    <w:rsid w:val="00E645CC"/>
    <w:rsid w:val="00E653BA"/>
    <w:rsid w:val="00E659FD"/>
    <w:rsid w:val="00E65B0C"/>
    <w:rsid w:val="00E66783"/>
    <w:rsid w:val="00E66B16"/>
    <w:rsid w:val="00E66BA2"/>
    <w:rsid w:val="00E677DB"/>
    <w:rsid w:val="00E700F8"/>
    <w:rsid w:val="00E71B42"/>
    <w:rsid w:val="00E71C2D"/>
    <w:rsid w:val="00E72187"/>
    <w:rsid w:val="00E72400"/>
    <w:rsid w:val="00E725EB"/>
    <w:rsid w:val="00E7266C"/>
    <w:rsid w:val="00E72BB6"/>
    <w:rsid w:val="00E72CD0"/>
    <w:rsid w:val="00E730AC"/>
    <w:rsid w:val="00E7310C"/>
    <w:rsid w:val="00E733ED"/>
    <w:rsid w:val="00E734CE"/>
    <w:rsid w:val="00E73502"/>
    <w:rsid w:val="00E73D33"/>
    <w:rsid w:val="00E74DAE"/>
    <w:rsid w:val="00E750CB"/>
    <w:rsid w:val="00E75B03"/>
    <w:rsid w:val="00E778DC"/>
    <w:rsid w:val="00E77FD3"/>
    <w:rsid w:val="00E80336"/>
    <w:rsid w:val="00E80D00"/>
    <w:rsid w:val="00E810BD"/>
    <w:rsid w:val="00E815CE"/>
    <w:rsid w:val="00E81611"/>
    <w:rsid w:val="00E81800"/>
    <w:rsid w:val="00E81863"/>
    <w:rsid w:val="00E81C42"/>
    <w:rsid w:val="00E81C5C"/>
    <w:rsid w:val="00E81FDB"/>
    <w:rsid w:val="00E82064"/>
    <w:rsid w:val="00E8288E"/>
    <w:rsid w:val="00E82912"/>
    <w:rsid w:val="00E82B6E"/>
    <w:rsid w:val="00E82DA0"/>
    <w:rsid w:val="00E82DC6"/>
    <w:rsid w:val="00E8310A"/>
    <w:rsid w:val="00E8347E"/>
    <w:rsid w:val="00E835C5"/>
    <w:rsid w:val="00E83ACD"/>
    <w:rsid w:val="00E83D4B"/>
    <w:rsid w:val="00E848F0"/>
    <w:rsid w:val="00E84D1C"/>
    <w:rsid w:val="00E84D9C"/>
    <w:rsid w:val="00E85069"/>
    <w:rsid w:val="00E8628F"/>
    <w:rsid w:val="00E86888"/>
    <w:rsid w:val="00E8695C"/>
    <w:rsid w:val="00E86F48"/>
    <w:rsid w:val="00E87D1E"/>
    <w:rsid w:val="00E90DE0"/>
    <w:rsid w:val="00E90F2A"/>
    <w:rsid w:val="00E91191"/>
    <w:rsid w:val="00E92C96"/>
    <w:rsid w:val="00E93F01"/>
    <w:rsid w:val="00E942B8"/>
    <w:rsid w:val="00E944ED"/>
    <w:rsid w:val="00E945AF"/>
    <w:rsid w:val="00E94A0B"/>
    <w:rsid w:val="00E94A2C"/>
    <w:rsid w:val="00E9544C"/>
    <w:rsid w:val="00E95799"/>
    <w:rsid w:val="00E95A53"/>
    <w:rsid w:val="00E95D93"/>
    <w:rsid w:val="00E9683D"/>
    <w:rsid w:val="00E970B7"/>
    <w:rsid w:val="00E97D95"/>
    <w:rsid w:val="00EA0035"/>
    <w:rsid w:val="00EA010D"/>
    <w:rsid w:val="00EA04C5"/>
    <w:rsid w:val="00EA0507"/>
    <w:rsid w:val="00EA07EC"/>
    <w:rsid w:val="00EA09B6"/>
    <w:rsid w:val="00EA0BB5"/>
    <w:rsid w:val="00EA1A8A"/>
    <w:rsid w:val="00EA21FA"/>
    <w:rsid w:val="00EA25EB"/>
    <w:rsid w:val="00EA26D5"/>
    <w:rsid w:val="00EA2775"/>
    <w:rsid w:val="00EA305D"/>
    <w:rsid w:val="00EA3106"/>
    <w:rsid w:val="00EA3874"/>
    <w:rsid w:val="00EA3B97"/>
    <w:rsid w:val="00EA4300"/>
    <w:rsid w:val="00EA5697"/>
    <w:rsid w:val="00EA5AB6"/>
    <w:rsid w:val="00EA5FB0"/>
    <w:rsid w:val="00EA612E"/>
    <w:rsid w:val="00EA6F91"/>
    <w:rsid w:val="00EA7618"/>
    <w:rsid w:val="00EA761C"/>
    <w:rsid w:val="00EA7D7F"/>
    <w:rsid w:val="00EB05DE"/>
    <w:rsid w:val="00EB0810"/>
    <w:rsid w:val="00EB0AF9"/>
    <w:rsid w:val="00EB0B5F"/>
    <w:rsid w:val="00EB1CF7"/>
    <w:rsid w:val="00EB25C2"/>
    <w:rsid w:val="00EB2B6F"/>
    <w:rsid w:val="00EB2CAD"/>
    <w:rsid w:val="00EB2FA2"/>
    <w:rsid w:val="00EB3272"/>
    <w:rsid w:val="00EB37B2"/>
    <w:rsid w:val="00EB3FF9"/>
    <w:rsid w:val="00EB5047"/>
    <w:rsid w:val="00EB5F0B"/>
    <w:rsid w:val="00EB6EA4"/>
    <w:rsid w:val="00EB7352"/>
    <w:rsid w:val="00EB769A"/>
    <w:rsid w:val="00EC08CF"/>
    <w:rsid w:val="00EC11E4"/>
    <w:rsid w:val="00EC14E1"/>
    <w:rsid w:val="00EC183C"/>
    <w:rsid w:val="00EC1AB4"/>
    <w:rsid w:val="00EC1CDD"/>
    <w:rsid w:val="00EC2A3F"/>
    <w:rsid w:val="00EC2E64"/>
    <w:rsid w:val="00EC2F37"/>
    <w:rsid w:val="00EC3A35"/>
    <w:rsid w:val="00EC3C52"/>
    <w:rsid w:val="00EC3E5B"/>
    <w:rsid w:val="00EC3E69"/>
    <w:rsid w:val="00EC41A7"/>
    <w:rsid w:val="00EC422F"/>
    <w:rsid w:val="00EC4257"/>
    <w:rsid w:val="00EC46CE"/>
    <w:rsid w:val="00EC4F94"/>
    <w:rsid w:val="00EC5162"/>
    <w:rsid w:val="00EC5554"/>
    <w:rsid w:val="00EC572B"/>
    <w:rsid w:val="00EC5893"/>
    <w:rsid w:val="00EC5B8E"/>
    <w:rsid w:val="00EC7356"/>
    <w:rsid w:val="00EC75F6"/>
    <w:rsid w:val="00EC75FC"/>
    <w:rsid w:val="00ED0065"/>
    <w:rsid w:val="00ED110A"/>
    <w:rsid w:val="00ED17B5"/>
    <w:rsid w:val="00ED1BA0"/>
    <w:rsid w:val="00ED1D2D"/>
    <w:rsid w:val="00ED353D"/>
    <w:rsid w:val="00ED3B56"/>
    <w:rsid w:val="00ED4C59"/>
    <w:rsid w:val="00ED4CCF"/>
    <w:rsid w:val="00ED4FF4"/>
    <w:rsid w:val="00ED57FB"/>
    <w:rsid w:val="00ED588C"/>
    <w:rsid w:val="00ED5B71"/>
    <w:rsid w:val="00ED6451"/>
    <w:rsid w:val="00ED6E7A"/>
    <w:rsid w:val="00ED6EA1"/>
    <w:rsid w:val="00ED7342"/>
    <w:rsid w:val="00ED7A7F"/>
    <w:rsid w:val="00ED7B85"/>
    <w:rsid w:val="00EE060B"/>
    <w:rsid w:val="00EE07AC"/>
    <w:rsid w:val="00EE0891"/>
    <w:rsid w:val="00EE0C94"/>
    <w:rsid w:val="00EE0F24"/>
    <w:rsid w:val="00EE1062"/>
    <w:rsid w:val="00EE17F2"/>
    <w:rsid w:val="00EE188A"/>
    <w:rsid w:val="00EE1B01"/>
    <w:rsid w:val="00EE1C62"/>
    <w:rsid w:val="00EE1DB8"/>
    <w:rsid w:val="00EE210D"/>
    <w:rsid w:val="00EE2746"/>
    <w:rsid w:val="00EE2FD8"/>
    <w:rsid w:val="00EE3256"/>
    <w:rsid w:val="00EE4759"/>
    <w:rsid w:val="00EE4C20"/>
    <w:rsid w:val="00EE4F2D"/>
    <w:rsid w:val="00EE524C"/>
    <w:rsid w:val="00EE589E"/>
    <w:rsid w:val="00EE6755"/>
    <w:rsid w:val="00EE6C4A"/>
    <w:rsid w:val="00EE78D6"/>
    <w:rsid w:val="00EF03DC"/>
    <w:rsid w:val="00EF0437"/>
    <w:rsid w:val="00EF0568"/>
    <w:rsid w:val="00EF0A1E"/>
    <w:rsid w:val="00EF0BFE"/>
    <w:rsid w:val="00EF1878"/>
    <w:rsid w:val="00EF1A4D"/>
    <w:rsid w:val="00EF1DE8"/>
    <w:rsid w:val="00EF2AC7"/>
    <w:rsid w:val="00EF3397"/>
    <w:rsid w:val="00EF40BF"/>
    <w:rsid w:val="00EF429A"/>
    <w:rsid w:val="00EF4557"/>
    <w:rsid w:val="00EF493F"/>
    <w:rsid w:val="00EF5947"/>
    <w:rsid w:val="00EF5E22"/>
    <w:rsid w:val="00EF60CA"/>
    <w:rsid w:val="00EF63C1"/>
    <w:rsid w:val="00EF6557"/>
    <w:rsid w:val="00EF69B7"/>
    <w:rsid w:val="00EF6C2B"/>
    <w:rsid w:val="00F00059"/>
    <w:rsid w:val="00F00084"/>
    <w:rsid w:val="00F0010E"/>
    <w:rsid w:val="00F008BD"/>
    <w:rsid w:val="00F021A9"/>
    <w:rsid w:val="00F02B50"/>
    <w:rsid w:val="00F02C54"/>
    <w:rsid w:val="00F02CD0"/>
    <w:rsid w:val="00F02D03"/>
    <w:rsid w:val="00F035DB"/>
    <w:rsid w:val="00F03B30"/>
    <w:rsid w:val="00F0448C"/>
    <w:rsid w:val="00F04BAF"/>
    <w:rsid w:val="00F0553C"/>
    <w:rsid w:val="00F0571E"/>
    <w:rsid w:val="00F06BA7"/>
    <w:rsid w:val="00F06C50"/>
    <w:rsid w:val="00F071BA"/>
    <w:rsid w:val="00F108BD"/>
    <w:rsid w:val="00F11A39"/>
    <w:rsid w:val="00F11D2E"/>
    <w:rsid w:val="00F1284F"/>
    <w:rsid w:val="00F13228"/>
    <w:rsid w:val="00F136A4"/>
    <w:rsid w:val="00F1377B"/>
    <w:rsid w:val="00F13C5E"/>
    <w:rsid w:val="00F14108"/>
    <w:rsid w:val="00F148D5"/>
    <w:rsid w:val="00F1601A"/>
    <w:rsid w:val="00F160BF"/>
    <w:rsid w:val="00F16173"/>
    <w:rsid w:val="00F1675C"/>
    <w:rsid w:val="00F16768"/>
    <w:rsid w:val="00F16A3C"/>
    <w:rsid w:val="00F16B84"/>
    <w:rsid w:val="00F16CCA"/>
    <w:rsid w:val="00F17428"/>
    <w:rsid w:val="00F17EAC"/>
    <w:rsid w:val="00F20046"/>
    <w:rsid w:val="00F20CC1"/>
    <w:rsid w:val="00F20D22"/>
    <w:rsid w:val="00F21A58"/>
    <w:rsid w:val="00F224D3"/>
    <w:rsid w:val="00F22E0D"/>
    <w:rsid w:val="00F2302A"/>
    <w:rsid w:val="00F23048"/>
    <w:rsid w:val="00F23538"/>
    <w:rsid w:val="00F239CD"/>
    <w:rsid w:val="00F23DCC"/>
    <w:rsid w:val="00F24158"/>
    <w:rsid w:val="00F24294"/>
    <w:rsid w:val="00F2477C"/>
    <w:rsid w:val="00F24E5D"/>
    <w:rsid w:val="00F24EBB"/>
    <w:rsid w:val="00F2616B"/>
    <w:rsid w:val="00F273CF"/>
    <w:rsid w:val="00F27696"/>
    <w:rsid w:val="00F2777F"/>
    <w:rsid w:val="00F27F06"/>
    <w:rsid w:val="00F30C26"/>
    <w:rsid w:val="00F314E8"/>
    <w:rsid w:val="00F31518"/>
    <w:rsid w:val="00F316A2"/>
    <w:rsid w:val="00F323A2"/>
    <w:rsid w:val="00F32850"/>
    <w:rsid w:val="00F332D4"/>
    <w:rsid w:val="00F333DF"/>
    <w:rsid w:val="00F33B57"/>
    <w:rsid w:val="00F33CA8"/>
    <w:rsid w:val="00F33D5C"/>
    <w:rsid w:val="00F34BB2"/>
    <w:rsid w:val="00F356D6"/>
    <w:rsid w:val="00F36284"/>
    <w:rsid w:val="00F372DB"/>
    <w:rsid w:val="00F3785D"/>
    <w:rsid w:val="00F378BE"/>
    <w:rsid w:val="00F37D37"/>
    <w:rsid w:val="00F400E3"/>
    <w:rsid w:val="00F4013E"/>
    <w:rsid w:val="00F4021A"/>
    <w:rsid w:val="00F40855"/>
    <w:rsid w:val="00F40876"/>
    <w:rsid w:val="00F4363B"/>
    <w:rsid w:val="00F44642"/>
    <w:rsid w:val="00F454A2"/>
    <w:rsid w:val="00F45B98"/>
    <w:rsid w:val="00F45E89"/>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CA6"/>
    <w:rsid w:val="00F53F3D"/>
    <w:rsid w:val="00F53F92"/>
    <w:rsid w:val="00F54096"/>
    <w:rsid w:val="00F5480F"/>
    <w:rsid w:val="00F54AA5"/>
    <w:rsid w:val="00F551BF"/>
    <w:rsid w:val="00F552F7"/>
    <w:rsid w:val="00F553A7"/>
    <w:rsid w:val="00F554EB"/>
    <w:rsid w:val="00F5562D"/>
    <w:rsid w:val="00F55710"/>
    <w:rsid w:val="00F55BC7"/>
    <w:rsid w:val="00F56631"/>
    <w:rsid w:val="00F566EA"/>
    <w:rsid w:val="00F567A4"/>
    <w:rsid w:val="00F578EB"/>
    <w:rsid w:val="00F605BE"/>
    <w:rsid w:val="00F60778"/>
    <w:rsid w:val="00F60AF6"/>
    <w:rsid w:val="00F60DDC"/>
    <w:rsid w:val="00F610A9"/>
    <w:rsid w:val="00F615E1"/>
    <w:rsid w:val="00F617BE"/>
    <w:rsid w:val="00F6185D"/>
    <w:rsid w:val="00F61C7A"/>
    <w:rsid w:val="00F62356"/>
    <w:rsid w:val="00F625F7"/>
    <w:rsid w:val="00F632C2"/>
    <w:rsid w:val="00F64702"/>
    <w:rsid w:val="00F64D5A"/>
    <w:rsid w:val="00F65399"/>
    <w:rsid w:val="00F65B68"/>
    <w:rsid w:val="00F65C22"/>
    <w:rsid w:val="00F65EC9"/>
    <w:rsid w:val="00F66CB1"/>
    <w:rsid w:val="00F672BD"/>
    <w:rsid w:val="00F677CB"/>
    <w:rsid w:val="00F67E15"/>
    <w:rsid w:val="00F67FCA"/>
    <w:rsid w:val="00F70815"/>
    <w:rsid w:val="00F709F4"/>
    <w:rsid w:val="00F71019"/>
    <w:rsid w:val="00F710A9"/>
    <w:rsid w:val="00F72823"/>
    <w:rsid w:val="00F7284D"/>
    <w:rsid w:val="00F72CFE"/>
    <w:rsid w:val="00F72FB0"/>
    <w:rsid w:val="00F73336"/>
    <w:rsid w:val="00F73423"/>
    <w:rsid w:val="00F7365E"/>
    <w:rsid w:val="00F737A4"/>
    <w:rsid w:val="00F73950"/>
    <w:rsid w:val="00F74242"/>
    <w:rsid w:val="00F75481"/>
    <w:rsid w:val="00F76664"/>
    <w:rsid w:val="00F76A4C"/>
    <w:rsid w:val="00F76AB3"/>
    <w:rsid w:val="00F80B27"/>
    <w:rsid w:val="00F816A4"/>
    <w:rsid w:val="00F8194C"/>
    <w:rsid w:val="00F81AE9"/>
    <w:rsid w:val="00F827D0"/>
    <w:rsid w:val="00F82B9D"/>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138"/>
    <w:rsid w:val="00F87C3F"/>
    <w:rsid w:val="00F87C5B"/>
    <w:rsid w:val="00F87FEA"/>
    <w:rsid w:val="00F90613"/>
    <w:rsid w:val="00F906F4"/>
    <w:rsid w:val="00F915F3"/>
    <w:rsid w:val="00F91800"/>
    <w:rsid w:val="00F91853"/>
    <w:rsid w:val="00F918B6"/>
    <w:rsid w:val="00F91987"/>
    <w:rsid w:val="00F91CCD"/>
    <w:rsid w:val="00F9208E"/>
    <w:rsid w:val="00F92571"/>
    <w:rsid w:val="00F93837"/>
    <w:rsid w:val="00F93B2F"/>
    <w:rsid w:val="00F93CAE"/>
    <w:rsid w:val="00F9453D"/>
    <w:rsid w:val="00F954E4"/>
    <w:rsid w:val="00F95BFB"/>
    <w:rsid w:val="00F95CCE"/>
    <w:rsid w:val="00F966D3"/>
    <w:rsid w:val="00F9692D"/>
    <w:rsid w:val="00F975FE"/>
    <w:rsid w:val="00F978BE"/>
    <w:rsid w:val="00F97D7B"/>
    <w:rsid w:val="00FA0013"/>
    <w:rsid w:val="00FA0154"/>
    <w:rsid w:val="00FA0288"/>
    <w:rsid w:val="00FA0C62"/>
    <w:rsid w:val="00FA0F71"/>
    <w:rsid w:val="00FA13F4"/>
    <w:rsid w:val="00FA23E2"/>
    <w:rsid w:val="00FA26BC"/>
    <w:rsid w:val="00FA296E"/>
    <w:rsid w:val="00FA2D8E"/>
    <w:rsid w:val="00FA3520"/>
    <w:rsid w:val="00FA3872"/>
    <w:rsid w:val="00FA3A97"/>
    <w:rsid w:val="00FA3AEA"/>
    <w:rsid w:val="00FA4219"/>
    <w:rsid w:val="00FA48A3"/>
    <w:rsid w:val="00FA48C7"/>
    <w:rsid w:val="00FA54FF"/>
    <w:rsid w:val="00FA5570"/>
    <w:rsid w:val="00FA59E0"/>
    <w:rsid w:val="00FA5C0B"/>
    <w:rsid w:val="00FA5F10"/>
    <w:rsid w:val="00FA70F5"/>
    <w:rsid w:val="00FA7902"/>
    <w:rsid w:val="00FB005D"/>
    <w:rsid w:val="00FB1336"/>
    <w:rsid w:val="00FB183E"/>
    <w:rsid w:val="00FB1CD3"/>
    <w:rsid w:val="00FB1D54"/>
    <w:rsid w:val="00FB1F96"/>
    <w:rsid w:val="00FB2EE5"/>
    <w:rsid w:val="00FB3363"/>
    <w:rsid w:val="00FB4048"/>
    <w:rsid w:val="00FB4369"/>
    <w:rsid w:val="00FB446E"/>
    <w:rsid w:val="00FB4629"/>
    <w:rsid w:val="00FB577F"/>
    <w:rsid w:val="00FB5E5D"/>
    <w:rsid w:val="00FB5FC4"/>
    <w:rsid w:val="00FB6807"/>
    <w:rsid w:val="00FB6A07"/>
    <w:rsid w:val="00FB6E1F"/>
    <w:rsid w:val="00FB6FB1"/>
    <w:rsid w:val="00FB7460"/>
    <w:rsid w:val="00FB7747"/>
    <w:rsid w:val="00FB7A10"/>
    <w:rsid w:val="00FB7D91"/>
    <w:rsid w:val="00FC0F81"/>
    <w:rsid w:val="00FC2B50"/>
    <w:rsid w:val="00FC2C5F"/>
    <w:rsid w:val="00FC3798"/>
    <w:rsid w:val="00FC3B33"/>
    <w:rsid w:val="00FC577C"/>
    <w:rsid w:val="00FC584B"/>
    <w:rsid w:val="00FC584F"/>
    <w:rsid w:val="00FC5958"/>
    <w:rsid w:val="00FC59AF"/>
    <w:rsid w:val="00FC5BDD"/>
    <w:rsid w:val="00FC5C43"/>
    <w:rsid w:val="00FC5F72"/>
    <w:rsid w:val="00FC62B5"/>
    <w:rsid w:val="00FC6D4E"/>
    <w:rsid w:val="00FC7073"/>
    <w:rsid w:val="00FC736F"/>
    <w:rsid w:val="00FD0CDB"/>
    <w:rsid w:val="00FD107A"/>
    <w:rsid w:val="00FD1FA7"/>
    <w:rsid w:val="00FD226A"/>
    <w:rsid w:val="00FD2282"/>
    <w:rsid w:val="00FD2D42"/>
    <w:rsid w:val="00FD30B5"/>
    <w:rsid w:val="00FD3453"/>
    <w:rsid w:val="00FD39CF"/>
    <w:rsid w:val="00FD4B7B"/>
    <w:rsid w:val="00FD4D84"/>
    <w:rsid w:val="00FD5468"/>
    <w:rsid w:val="00FD58F5"/>
    <w:rsid w:val="00FD6287"/>
    <w:rsid w:val="00FD754C"/>
    <w:rsid w:val="00FD7696"/>
    <w:rsid w:val="00FE0669"/>
    <w:rsid w:val="00FE0895"/>
    <w:rsid w:val="00FE0DAE"/>
    <w:rsid w:val="00FE0E6B"/>
    <w:rsid w:val="00FE1370"/>
    <w:rsid w:val="00FE1510"/>
    <w:rsid w:val="00FE2121"/>
    <w:rsid w:val="00FE2387"/>
    <w:rsid w:val="00FE254A"/>
    <w:rsid w:val="00FE321B"/>
    <w:rsid w:val="00FE3D07"/>
    <w:rsid w:val="00FE4411"/>
    <w:rsid w:val="00FE46BC"/>
    <w:rsid w:val="00FE4B6F"/>
    <w:rsid w:val="00FE528F"/>
    <w:rsid w:val="00FE5A4A"/>
    <w:rsid w:val="00FE6788"/>
    <w:rsid w:val="00FE6818"/>
    <w:rsid w:val="00FE6A9E"/>
    <w:rsid w:val="00FE6BFB"/>
    <w:rsid w:val="00FE6DA1"/>
    <w:rsid w:val="00FF009D"/>
    <w:rsid w:val="00FF0CF5"/>
    <w:rsid w:val="00FF0D6F"/>
    <w:rsid w:val="00FF0E9E"/>
    <w:rsid w:val="00FF1103"/>
    <w:rsid w:val="00FF1712"/>
    <w:rsid w:val="00FF213D"/>
    <w:rsid w:val="00FF251D"/>
    <w:rsid w:val="00FF37DC"/>
    <w:rsid w:val="00FF37F2"/>
    <w:rsid w:val="00FF4243"/>
    <w:rsid w:val="00FF43D9"/>
    <w:rsid w:val="00FF44E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link w:val="NormalWebCar"/>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Fuerte">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 w:type="character" w:customStyle="1" w:styleId="s15">
    <w:name w:val="s15"/>
    <w:basedOn w:val="Fuentedeprrafopredeter"/>
    <w:rsid w:val="00F11A39"/>
  </w:style>
  <w:style w:type="character" w:customStyle="1" w:styleId="apple-converted-space">
    <w:name w:val="apple-converted-space"/>
    <w:basedOn w:val="Fuentedeprrafopredeter"/>
    <w:rsid w:val="00F11A39"/>
  </w:style>
  <w:style w:type="character" w:customStyle="1" w:styleId="NormalWebCar">
    <w:name w:val="Normal (Web) Car"/>
    <w:link w:val="NormalWeb"/>
    <w:uiPriority w:val="99"/>
    <w:locked/>
    <w:rsid w:val="009E49C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31460425">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65763639">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8226555">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41471648">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28160872">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2574583">
      <w:bodyDiv w:val="1"/>
      <w:marLeft w:val="0"/>
      <w:marRight w:val="0"/>
      <w:marTop w:val="0"/>
      <w:marBottom w:val="0"/>
      <w:divBdr>
        <w:top w:val="none" w:sz="0" w:space="0" w:color="auto"/>
        <w:left w:val="none" w:sz="0" w:space="0" w:color="auto"/>
        <w:bottom w:val="none" w:sz="0" w:space="0" w:color="auto"/>
        <w:right w:val="none" w:sz="0" w:space="0" w:color="auto"/>
      </w:divBdr>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2882439">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39845968">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17657566">
      <w:bodyDiv w:val="1"/>
      <w:marLeft w:val="0"/>
      <w:marRight w:val="0"/>
      <w:marTop w:val="0"/>
      <w:marBottom w:val="0"/>
      <w:divBdr>
        <w:top w:val="none" w:sz="0" w:space="0" w:color="auto"/>
        <w:left w:val="none" w:sz="0" w:space="0" w:color="auto"/>
        <w:bottom w:val="none" w:sz="0" w:space="0" w:color="auto"/>
        <w:right w:val="none" w:sz="0" w:space="0" w:color="auto"/>
      </w:divBdr>
    </w:div>
    <w:div w:id="1022704690">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246720">
      <w:bodyDiv w:val="1"/>
      <w:marLeft w:val="0"/>
      <w:marRight w:val="0"/>
      <w:marTop w:val="0"/>
      <w:marBottom w:val="0"/>
      <w:divBdr>
        <w:top w:val="none" w:sz="0" w:space="0" w:color="auto"/>
        <w:left w:val="none" w:sz="0" w:space="0" w:color="auto"/>
        <w:bottom w:val="none" w:sz="0" w:space="0" w:color="auto"/>
        <w:right w:val="none" w:sz="0" w:space="0" w:color="auto"/>
      </w:divBdr>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18936703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692040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47184175">
      <w:bodyDiv w:val="1"/>
      <w:marLeft w:val="0"/>
      <w:marRight w:val="0"/>
      <w:marTop w:val="0"/>
      <w:marBottom w:val="0"/>
      <w:divBdr>
        <w:top w:val="none" w:sz="0" w:space="0" w:color="auto"/>
        <w:left w:val="none" w:sz="0" w:space="0" w:color="auto"/>
        <w:bottom w:val="none" w:sz="0" w:space="0" w:color="auto"/>
        <w:right w:val="none" w:sz="0" w:space="0" w:color="auto"/>
      </w:divBdr>
    </w:div>
    <w:div w:id="1548563183">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21290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02983792">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 w:id="21338674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marcela.holguin@ferrocarrildeantioquia.gov.co" TargetMode="External"/><Relationship Id="rId17" Type="http://schemas.openxmlformats.org/officeDocument/2006/relationships/hyperlink" Target="https://nam02.safelinks.protection.outlook.com/?url=https%3A%2F%2Fwww.colombiacompra.gov.co%2Farchivos%2Fboletin%2Fboletin-edicion-n-3-de-2026-radar-de-la-compra-publica&amp;data=05%7C02%7Ctatiana.baquero%40colombiacompra.gov.co%7C7128555136e04fa6887d08dee99e1b50%7C7b09041e245149d08cb179d5e3d8c1be%7C0%7C0%7C639205062450972052%7CUnknown%7CTWFpbGZsb3d8eyJFbXB0eU1hcGkiOnRydWUsIlYiOiIwLjAuMDAwMCIsIlAiOiJXaW4zMiIsIkFOIjoiTWFpbCIsIldUIjoyfQ%3D%3D%7C0%7C%7C%7C&amp;sdata=ngIfOSul6%2FIYwaP3ShmRxU6EMjPXXDKeUCuzgZ8UYuY%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tatiana.baquero%40colombiacompra.gov.co%7C7128555136e04fa6887d08dee99e1b50%7C7b09041e245149d08cb179d5e3d8c1be%7C0%7C0%7C639205062450922843%7CUnknown%7CTWFpbGZsb3d8eyJFbXB0eU1hcGkiOnRydWUsIlYiOiIwLjAuMDAwMCIsIlAiOiJXaW4zMiIsIkFOIjoiTWFpbCIsIldUIjoyfQ%3D%3D%7C0%7C%7C%7C&amp;sdata=bLkuj%2F1DdqlO%2FR2uZ73mZRHPww5FGil6IeBR7uyBmq4%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tatiana.baquero%40colombiacompra.gov.co%7C7128555136e04fa6887d08dee99e1b50%7C7b09041e245149d08cb179d5e3d8c1be%7C0%7C0%7C639205062450833668%7CUnknown%7CTWFpbGZsb3d8eyJFbXB0eU1hcGkiOnRydWUsIlYiOiIwLjAuMDAwMCIsIlAiOiJXaW4zMiIsIkFOIjoiTWFpbCIsIldUIjoyfQ%3D%3D%7C0%7C%7C%7C&amp;sdata=giqymQNNNmUoeT4tdRU5Za2hp3r64T%2BETOnL33%2BpGoQ%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tatiana.baquero%40colombiacompra.gov.co%7C7128555136e04fa6887d08dee99e1b50%7C7b09041e245149d08cb179d5e3d8c1be%7C0%7C0%7C639205062450802688%7CUnknown%7CTWFpbGZsb3d8eyJFbXB0eU1hcGkiOnRydWUsIlYiOiIwLjAuMDAwMCIsIlAiOiJXaW4zMiIsIkFOIjoiTWFpbCIsIldUIjoyfQ%3D%3D%7C0%7C%7C%7C&amp;sdata=lIeIj8SX2uajtdSKcop2FcVwduTm7IqX5cc%2BNrzmczU%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5" Type="http://schemas.openxmlformats.org/officeDocument/2006/relationships/hyperlink" Target="https://leyes.senado.gov.co/proyectos/index.php/proyectos-ley/cuatrenio-2018-2022/2020-2021/article/200-por-el-cual-se-regula-la-organizacion-y-el-funcionamiento-del-sistema-general-de-regalias-mensaje-de-urgencia"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77F2AACB-6C5D-4BA7-874E-5419418E9B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31</Pages>
  <Words>10687</Words>
  <Characters>58784</Characters>
  <Application>Microsoft Office Word</Application>
  <DocSecurity>0</DocSecurity>
  <Lines>489</Lines>
  <Paragraphs>138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69333</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7</cp:revision>
  <dcterms:created xsi:type="dcterms:W3CDTF">2026-09-23T03:02:00Z</dcterms:created>
  <dcterms:modified xsi:type="dcterms:W3CDTF">2026-09-23T13:42:00Z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