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FC48A" w14:textId="77777777" w:rsidR="00BB7C35" w:rsidRPr="00C628F9" w:rsidRDefault="00BB7C35" w:rsidP="00BB7C35">
      <w:pPr>
        <w:widowControl w:val="0"/>
        <w:autoSpaceDE w:val="0"/>
        <w:autoSpaceDN w:val="0"/>
        <w:spacing w:after="0" w:line="240" w:lineRule="auto"/>
        <w:jc w:val="both"/>
        <w:rPr>
          <w:rFonts w:ascii="Verdana" w:hAnsi="Verdana" w:cs="Arial"/>
          <w:b/>
          <w:bCs/>
        </w:rPr>
      </w:pPr>
      <w:bookmarkStart w:id="0" w:name="_Hlk143780582"/>
      <w:r w:rsidRPr="00C628F9">
        <w:rPr>
          <w:rFonts w:ascii="Verdana" w:hAnsi="Verdana" w:cs="Arial"/>
          <w:b/>
          <w:bCs/>
        </w:rPr>
        <w:t>CONTRATO DE PRESTACIÓN DE SERVICIOS – Definición</w:t>
      </w:r>
    </w:p>
    <w:p w14:paraId="5843BFB8" w14:textId="77777777" w:rsidR="00BB7C35" w:rsidRPr="00C628F9" w:rsidRDefault="00BB7C35" w:rsidP="00BB7C35">
      <w:pPr>
        <w:widowControl w:val="0"/>
        <w:autoSpaceDE w:val="0"/>
        <w:autoSpaceDN w:val="0"/>
        <w:spacing w:after="0" w:line="240" w:lineRule="auto"/>
        <w:jc w:val="both"/>
        <w:rPr>
          <w:rFonts w:ascii="Verdana" w:hAnsi="Verdana" w:cs="Arial"/>
          <w:sz w:val="20"/>
          <w:szCs w:val="20"/>
        </w:rPr>
      </w:pPr>
    </w:p>
    <w:p w14:paraId="3A1ECAAA" w14:textId="77777777" w:rsidR="00BB7C35" w:rsidRPr="00C628F9" w:rsidRDefault="00BB7C35" w:rsidP="00BB7C35">
      <w:pPr>
        <w:widowControl w:val="0"/>
        <w:autoSpaceDE w:val="0"/>
        <w:autoSpaceDN w:val="0"/>
        <w:spacing w:after="0" w:line="240" w:lineRule="auto"/>
        <w:jc w:val="both"/>
        <w:rPr>
          <w:rFonts w:ascii="Verdana" w:hAnsi="Verdana" w:cs="Arial"/>
          <w:sz w:val="20"/>
          <w:szCs w:val="20"/>
        </w:rPr>
      </w:pPr>
      <w:r w:rsidRPr="00C628F9">
        <w:rPr>
          <w:rFonts w:ascii="Verdana" w:eastAsia="Century Gothic" w:hAnsi="Verdana" w:cs="Century Gothic"/>
          <w:color w:val="000000" w:themeColor="text1"/>
          <w:sz w:val="20"/>
          <w:szCs w:val="20"/>
          <w:lang w:val="es-ES"/>
        </w:rPr>
        <w:t xml:space="preserve">“[…] </w:t>
      </w:r>
      <w:r w:rsidRPr="00C628F9">
        <w:rPr>
          <w:rFonts w:ascii="Verdana" w:hAnsi="Verdana" w:cs="Arial"/>
          <w:sz w:val="20"/>
          <w:szCs w:val="20"/>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4A51A6E9" w14:textId="77777777" w:rsidR="00BB7C35" w:rsidRPr="00C628F9" w:rsidRDefault="00BB7C35" w:rsidP="00BB7C35">
      <w:pPr>
        <w:widowControl w:val="0"/>
        <w:autoSpaceDE w:val="0"/>
        <w:autoSpaceDN w:val="0"/>
        <w:spacing w:after="0" w:line="240" w:lineRule="auto"/>
        <w:jc w:val="both"/>
        <w:rPr>
          <w:rFonts w:ascii="Verdana" w:hAnsi="Verdana" w:cs="Arial"/>
          <w:sz w:val="20"/>
          <w:szCs w:val="20"/>
        </w:rPr>
      </w:pPr>
    </w:p>
    <w:p w14:paraId="397D199A" w14:textId="77777777" w:rsidR="00BB7C35" w:rsidRPr="00C628F9" w:rsidRDefault="00BB7C35" w:rsidP="00BB7C35">
      <w:pPr>
        <w:widowControl w:val="0"/>
        <w:autoSpaceDE w:val="0"/>
        <w:autoSpaceDN w:val="0"/>
        <w:spacing w:after="0" w:line="240" w:lineRule="auto"/>
        <w:jc w:val="both"/>
        <w:rPr>
          <w:rFonts w:ascii="Verdana" w:eastAsia="Century Gothic" w:hAnsi="Verdana" w:cs="Century Gothic"/>
          <w:color w:val="000000" w:themeColor="text1"/>
          <w:sz w:val="20"/>
          <w:szCs w:val="20"/>
        </w:rPr>
      </w:pPr>
      <w:r w:rsidRPr="00C628F9">
        <w:rPr>
          <w:rFonts w:ascii="Verdana" w:hAnsi="Verdana" w:cs="Arial"/>
          <w:sz w:val="20"/>
          <w:szCs w:val="20"/>
        </w:rPr>
        <w:t xml:space="preserve">De otro lado, la celebración de dicho contrato se debe efectuar a través de la modalidad de la contratación directa. Así lo prevé el artículo 2, numeral 4º, literal h), de la Ley 1150 de 2007. </w:t>
      </w:r>
      <w:r w:rsidRPr="00C628F9">
        <w:rPr>
          <w:rFonts w:ascii="Verdana" w:eastAsia="Century Gothic" w:hAnsi="Verdana" w:cs="Century Gothic"/>
          <w:color w:val="000000" w:themeColor="text1"/>
          <w:sz w:val="20"/>
          <w:szCs w:val="20"/>
          <w:lang w:val="es-ES"/>
        </w:rPr>
        <w:t xml:space="preserve">[…]” </w:t>
      </w:r>
    </w:p>
    <w:p w14:paraId="0F4C0470" w14:textId="77777777" w:rsidR="00BB7C35" w:rsidRPr="00C628F9" w:rsidRDefault="00BB7C35" w:rsidP="00BB7C35">
      <w:pPr>
        <w:widowControl w:val="0"/>
        <w:autoSpaceDE w:val="0"/>
        <w:autoSpaceDN w:val="0"/>
        <w:spacing w:after="0" w:line="240" w:lineRule="auto"/>
        <w:jc w:val="both"/>
        <w:rPr>
          <w:rFonts w:ascii="Verdana" w:eastAsia="Century Gothic" w:hAnsi="Verdana" w:cs="Century Gothic"/>
          <w:color w:val="000000" w:themeColor="text1"/>
          <w:sz w:val="20"/>
          <w:szCs w:val="20"/>
          <w:lang w:val="es-ES"/>
        </w:rPr>
      </w:pPr>
    </w:p>
    <w:p w14:paraId="7252E7D8" w14:textId="77777777" w:rsidR="00BB7C35" w:rsidRPr="00C628F9" w:rsidRDefault="00BB7C35" w:rsidP="00BB7C35">
      <w:pPr>
        <w:widowControl w:val="0"/>
        <w:autoSpaceDE w:val="0"/>
        <w:autoSpaceDN w:val="0"/>
        <w:spacing w:after="0" w:line="240" w:lineRule="auto"/>
        <w:jc w:val="both"/>
        <w:rPr>
          <w:rFonts w:ascii="Verdana" w:hAnsi="Verdana" w:cs="Arial"/>
          <w:b/>
          <w:bCs/>
        </w:rPr>
      </w:pPr>
      <w:r w:rsidRPr="00C628F9">
        <w:rPr>
          <w:rFonts w:ascii="Verdana" w:hAnsi="Verdana" w:cs="Arial"/>
          <w:b/>
          <w:bCs/>
        </w:rPr>
        <w:t>CONTRATO DE EPRESTACIÓN DE SERVICIOS – Características</w:t>
      </w:r>
    </w:p>
    <w:p w14:paraId="71953B48" w14:textId="77777777" w:rsidR="00BB7C35" w:rsidRPr="00C628F9" w:rsidRDefault="00BB7C35" w:rsidP="00BB7C35">
      <w:pPr>
        <w:spacing w:after="0" w:line="240" w:lineRule="auto"/>
        <w:jc w:val="both"/>
        <w:rPr>
          <w:rFonts w:ascii="Verdana" w:eastAsia="Calibri" w:hAnsi="Verdana" w:cs="Arial"/>
          <w:sz w:val="20"/>
          <w:szCs w:val="20"/>
        </w:rPr>
      </w:pPr>
    </w:p>
    <w:p w14:paraId="05103611" w14:textId="77777777" w:rsidR="00BB7C35" w:rsidRPr="00C628F9" w:rsidRDefault="00BB7C35" w:rsidP="00BB7C35">
      <w:pPr>
        <w:spacing w:after="0" w:line="240" w:lineRule="auto"/>
        <w:jc w:val="both"/>
        <w:rPr>
          <w:rFonts w:ascii="Verdana" w:eastAsia="Calibri" w:hAnsi="Verdana" w:cs="Arial"/>
          <w:sz w:val="20"/>
          <w:szCs w:val="20"/>
        </w:rPr>
      </w:pPr>
      <w:r w:rsidRPr="00C628F9">
        <w:rPr>
          <w:rFonts w:ascii="Verdana" w:eastAsia="Calibri" w:hAnsi="Verdana" w:cs="Arial"/>
          <w:sz w:val="20"/>
          <w:szCs w:val="20"/>
        </w:rPr>
        <w:t xml:space="preserve">“[…] </w:t>
      </w:r>
      <w:proofErr w:type="spellStart"/>
      <w:r w:rsidRPr="00C628F9">
        <w:rPr>
          <w:rFonts w:ascii="Verdana" w:eastAsia="Calibri" w:hAnsi="Verdana" w:cs="Arial"/>
          <w:sz w:val="20"/>
          <w:szCs w:val="20"/>
        </w:rPr>
        <w:t>viii</w:t>
      </w:r>
      <w:proofErr w:type="spellEnd"/>
      <w:r w:rsidRPr="00C628F9">
        <w:rPr>
          <w:rFonts w:ascii="Verdana" w:eastAsia="Calibri" w:hAnsi="Verdana" w:cs="Arial"/>
          <w:sz w:val="20"/>
          <w:szCs w:val="20"/>
        </w:rPr>
        <w:t xml:space="preserve">) Admiten el pacto de cláusulas excepcionales. Es decir, en los contratos de prestación de servicios se puede estipular las figuras jurídicas de caducidad, así como la modificación, interpretación o </w:t>
      </w:r>
      <w:r w:rsidRPr="00C628F9">
        <w:rPr>
          <w:rFonts w:ascii="Verdana" w:eastAsia="Calibri" w:hAnsi="Verdana" w:cs="Arial"/>
          <w:i/>
          <w:iCs/>
          <w:sz w:val="20"/>
          <w:szCs w:val="20"/>
        </w:rPr>
        <w:t>terminación unilaterales</w:t>
      </w:r>
      <w:r w:rsidRPr="00C628F9">
        <w:rPr>
          <w:rFonts w:ascii="Verdana" w:eastAsia="Calibri" w:hAnsi="Verdana" w:cs="Arial"/>
          <w:sz w:val="20"/>
          <w:szCs w:val="20"/>
        </w:rPr>
        <w:t>, como elementos accidentales, es decir, que para que puedan ejercerse dichas exorbitancias, han debido quedar incluidas expresamente en el contrato, ya que no se entienden pactadas por naturaleza. Así se infiere del artículo 14, numeral 2º, de la Ley 80 de 1993. […]”</w:t>
      </w:r>
    </w:p>
    <w:p w14:paraId="59F6D5DC" w14:textId="77777777" w:rsidR="00BB7C35" w:rsidRPr="00C628F9" w:rsidRDefault="00BB7C35" w:rsidP="00BB7C35">
      <w:pPr>
        <w:widowControl w:val="0"/>
        <w:autoSpaceDE w:val="0"/>
        <w:autoSpaceDN w:val="0"/>
        <w:spacing w:after="0" w:line="240" w:lineRule="auto"/>
        <w:jc w:val="both"/>
        <w:rPr>
          <w:rFonts w:ascii="Verdana" w:hAnsi="Verdana" w:cs="Arial"/>
          <w:sz w:val="20"/>
          <w:szCs w:val="20"/>
        </w:rPr>
      </w:pPr>
    </w:p>
    <w:p w14:paraId="6D772ECA" w14:textId="77777777" w:rsidR="00BB7C35" w:rsidRPr="006C01BF" w:rsidRDefault="00BB7C35" w:rsidP="00BB7C35">
      <w:pPr>
        <w:spacing w:after="0" w:line="278" w:lineRule="auto"/>
        <w:jc w:val="both"/>
        <w:rPr>
          <w:rFonts w:ascii="Verdana" w:hAnsi="Verdana" w:cs="Arial"/>
          <w:b/>
          <w:bCs/>
          <w:lang w:val="es-ES"/>
        </w:rPr>
      </w:pPr>
      <w:r w:rsidRPr="006C01BF">
        <w:rPr>
          <w:rFonts w:ascii="Verdana" w:eastAsia="Calibri" w:hAnsi="Verdana" w:cs="Arial"/>
          <w:b/>
          <w:bCs/>
          <w:lang w:eastAsia="es-ES"/>
        </w:rPr>
        <w:t xml:space="preserve">TERMINACIÓN ANTICIPADA – Mutuo acuerdo – Procedencia – Efectos </w:t>
      </w:r>
    </w:p>
    <w:p w14:paraId="104ADB5F" w14:textId="77777777" w:rsidR="00BB7C35" w:rsidRPr="00C628F9" w:rsidRDefault="00BB7C35" w:rsidP="00BB7C35">
      <w:pPr>
        <w:spacing w:after="0" w:line="278" w:lineRule="auto"/>
        <w:jc w:val="both"/>
        <w:rPr>
          <w:rFonts w:ascii="Verdana" w:hAnsi="Verdana" w:cs="Arial"/>
          <w:b/>
          <w:bCs/>
          <w:lang w:val="es-ES"/>
        </w:rPr>
      </w:pPr>
    </w:p>
    <w:p w14:paraId="22CE72DA" w14:textId="77777777" w:rsidR="00BB7C35" w:rsidRDefault="00BB7C35" w:rsidP="00BB7C35">
      <w:pPr>
        <w:widowControl w:val="0"/>
        <w:autoSpaceDE w:val="0"/>
        <w:autoSpaceDN w:val="0"/>
        <w:spacing w:after="0" w:line="240" w:lineRule="auto"/>
        <w:jc w:val="both"/>
        <w:rPr>
          <w:rFonts w:ascii="Verdana" w:hAnsi="Verdana" w:cs="Arial"/>
          <w:sz w:val="20"/>
          <w:szCs w:val="20"/>
        </w:rPr>
      </w:pPr>
      <w:r w:rsidRPr="00C01F9D">
        <w:rPr>
          <w:rFonts w:ascii="Verdana" w:hAnsi="Verdana" w:cs="Arial"/>
          <w:sz w:val="20"/>
          <w:szCs w:val="20"/>
        </w:rPr>
        <w:t>La terminación anticipada por mutuo acuerdo de un contrato de prestación de servicios resulta jurídicamente procedente, en ejercicio de la autonomía de la voluntad de las partes, siempre que exista consentimiento de la entidad estatal y del contratista y que dicho acuerdo se formalice por escrito. Esta figura permite extinguir anticipadamente el vínculo contractual cuando las partes así lo acuerdan, de conformidad con las condiciones que, en cada caso, hayan previsto, sin que ello implique desconocer las obligaciones y prestaciones causadas durante el período de ejecución.</w:t>
      </w:r>
    </w:p>
    <w:p w14:paraId="6518D688" w14:textId="77777777" w:rsidR="00BB7C35" w:rsidRPr="00C01F9D" w:rsidRDefault="00BB7C35" w:rsidP="00BB7C35">
      <w:pPr>
        <w:widowControl w:val="0"/>
        <w:autoSpaceDE w:val="0"/>
        <w:autoSpaceDN w:val="0"/>
        <w:spacing w:after="0" w:line="240" w:lineRule="auto"/>
        <w:jc w:val="both"/>
        <w:rPr>
          <w:rFonts w:ascii="Verdana" w:hAnsi="Verdana" w:cs="Arial"/>
          <w:sz w:val="20"/>
          <w:szCs w:val="20"/>
        </w:rPr>
      </w:pPr>
    </w:p>
    <w:p w14:paraId="04EB083C" w14:textId="77777777" w:rsidR="00BB7C35" w:rsidRDefault="00BB7C35" w:rsidP="00BB7C35">
      <w:pPr>
        <w:widowControl w:val="0"/>
        <w:autoSpaceDE w:val="0"/>
        <w:autoSpaceDN w:val="0"/>
        <w:spacing w:after="0" w:line="240" w:lineRule="auto"/>
        <w:jc w:val="both"/>
        <w:rPr>
          <w:rFonts w:ascii="Verdana" w:hAnsi="Verdana" w:cs="Arial"/>
          <w:sz w:val="20"/>
          <w:szCs w:val="20"/>
        </w:rPr>
      </w:pPr>
      <w:r w:rsidRPr="00C01F9D">
        <w:rPr>
          <w:rFonts w:ascii="Verdana" w:hAnsi="Verdana" w:cs="Arial"/>
          <w:sz w:val="20"/>
          <w:szCs w:val="20"/>
        </w:rPr>
        <w:t xml:space="preserve">En cuanto a los efectos temporales del acuerdo de terminación anticipada, debe distinguirse entre la fecha de suscripción y la fecha a partir de la cual se produce la cesación del plazo de ejecución contractual. La terminación por mutuo acuerdo alcanza existencia, validez y eficacia jurídica cuando se perfecciona por escrito mediante el acuerdo de voluntades de las partes, observando las mismas formalidades exigidas para la celebración del contrato. A partir de dicha consideración, la terminación produce efectos hacia el futuro en el sentido de que extingue el vínculo contractual sin desconocer las situaciones jurídicas, prestaciones y obligaciones que se hubieren causado durante el período en que el contrato estuvo vigente. De esta forma, la terminación no tiene por </w:t>
      </w:r>
      <w:r w:rsidRPr="00C01F9D">
        <w:rPr>
          <w:rFonts w:ascii="Verdana" w:hAnsi="Verdana" w:cs="Arial"/>
          <w:sz w:val="20"/>
          <w:szCs w:val="20"/>
        </w:rPr>
        <w:lastRenderedPageBreak/>
        <w:t>objeto eliminar las prestaciones efectivamente ejecutadas ni desconocer los efectos jurídicos producidos durante la ejecución.</w:t>
      </w:r>
    </w:p>
    <w:p w14:paraId="47A79DB1" w14:textId="77777777" w:rsidR="00BB7C35" w:rsidRPr="00C01F9D" w:rsidRDefault="00BB7C35" w:rsidP="00BB7C35">
      <w:pPr>
        <w:widowControl w:val="0"/>
        <w:autoSpaceDE w:val="0"/>
        <w:autoSpaceDN w:val="0"/>
        <w:spacing w:after="0" w:line="240" w:lineRule="auto"/>
        <w:jc w:val="both"/>
        <w:rPr>
          <w:rFonts w:ascii="Verdana" w:hAnsi="Verdana" w:cs="Arial"/>
          <w:sz w:val="20"/>
          <w:szCs w:val="20"/>
        </w:rPr>
      </w:pPr>
    </w:p>
    <w:p w14:paraId="04597C7A" w14:textId="77777777" w:rsidR="00BB7C35" w:rsidRDefault="00BB7C35" w:rsidP="00BB7C35">
      <w:pPr>
        <w:widowControl w:val="0"/>
        <w:autoSpaceDE w:val="0"/>
        <w:autoSpaceDN w:val="0"/>
        <w:spacing w:after="0" w:line="240" w:lineRule="auto"/>
        <w:jc w:val="both"/>
        <w:rPr>
          <w:rFonts w:ascii="Verdana" w:hAnsi="Verdana" w:cs="Arial"/>
          <w:sz w:val="20"/>
          <w:szCs w:val="20"/>
        </w:rPr>
      </w:pPr>
      <w:r w:rsidRPr="00C01F9D">
        <w:rPr>
          <w:rFonts w:ascii="Verdana" w:hAnsi="Verdana" w:cs="Arial"/>
          <w:sz w:val="20"/>
          <w:szCs w:val="20"/>
        </w:rPr>
        <w:t>En consecuencia, de acuerdo con el ejemplo de su consulta, si las partes suscriben la terminación anticipada del contrato el 5 de agosto, podrán convenir que la ejecución contractual culmine en esa misma fecha o establecer una fecha posterior a la suscripción del acuerdo, siempre que esta sea anterior al vencimiento del plazo inicialmente pactado. En este último supuesto, el acuerdo produce sus efectos extintivos a partir de la fecha expresamente convenida y no podría generar efectos retroactivos, pues no se pueden desconocer las obligaciones, prestaciones, derechos y demás consecuencias jurídicas que se hubieren producido durante este tiempo.</w:t>
      </w:r>
    </w:p>
    <w:p w14:paraId="7808FA61" w14:textId="77777777" w:rsidR="00BB7C35" w:rsidRPr="00C01F9D" w:rsidRDefault="00BB7C35" w:rsidP="00BB7C35">
      <w:pPr>
        <w:widowControl w:val="0"/>
        <w:autoSpaceDE w:val="0"/>
        <w:autoSpaceDN w:val="0"/>
        <w:spacing w:after="0" w:line="240" w:lineRule="auto"/>
        <w:jc w:val="both"/>
        <w:rPr>
          <w:rFonts w:ascii="Verdana" w:hAnsi="Verdana" w:cs="Arial"/>
          <w:sz w:val="20"/>
          <w:szCs w:val="20"/>
        </w:rPr>
      </w:pPr>
      <w:r w:rsidRPr="00C01F9D">
        <w:rPr>
          <w:rFonts w:ascii="Verdana" w:hAnsi="Verdana" w:cs="Arial"/>
          <w:sz w:val="20"/>
          <w:szCs w:val="20"/>
        </w:rPr>
        <w:t xml:space="preserve"> </w:t>
      </w:r>
    </w:p>
    <w:p w14:paraId="0B7A65EF" w14:textId="77777777" w:rsidR="00BB7C35" w:rsidRPr="00C628F9" w:rsidRDefault="00BB7C35" w:rsidP="00BB7C35">
      <w:pPr>
        <w:widowControl w:val="0"/>
        <w:autoSpaceDE w:val="0"/>
        <w:autoSpaceDN w:val="0"/>
        <w:spacing w:after="0" w:line="240" w:lineRule="auto"/>
        <w:jc w:val="both"/>
        <w:rPr>
          <w:rFonts w:ascii="Verdana" w:hAnsi="Verdana" w:cs="Arial"/>
          <w:sz w:val="20"/>
          <w:szCs w:val="20"/>
        </w:rPr>
      </w:pPr>
      <w:r w:rsidRPr="00C01F9D">
        <w:rPr>
          <w:rFonts w:ascii="Verdana" w:hAnsi="Verdana" w:cs="Arial"/>
          <w:sz w:val="20"/>
          <w:szCs w:val="20"/>
        </w:rPr>
        <w:t>En este contexto, en principio, el reconocimiento económico deberá efectuarse respecto de las actividades efectivamente ejecutadas durante la vigencia del vínculo contractual, esto es, hasta la fecha de suscripción del acta de terminación o hasta aquella que, de manera expresa, se haya establecido en dicho documento, según corresponda. Durante este período, corresponde al supervisor del contrato realizar el seguimiento y la verificación necesarios para determinar el cumplimiento del objeto y de las obligaciones contractuales, así como adoptar o promover las actuaciones que resulten procedentes frente a eventuales incumplimientos.</w:t>
      </w:r>
    </w:p>
    <w:p w14:paraId="71A53DB0" w14:textId="77777777" w:rsidR="00BB7C35" w:rsidRPr="00C628F9" w:rsidRDefault="00BB7C35" w:rsidP="00BB7C35">
      <w:pPr>
        <w:widowControl w:val="0"/>
        <w:autoSpaceDE w:val="0"/>
        <w:autoSpaceDN w:val="0"/>
        <w:spacing w:after="0" w:line="240" w:lineRule="auto"/>
        <w:jc w:val="both"/>
        <w:rPr>
          <w:rFonts w:ascii="Verdana" w:hAnsi="Verdana" w:cs="Arial"/>
          <w:sz w:val="20"/>
          <w:szCs w:val="20"/>
        </w:rPr>
      </w:pPr>
    </w:p>
    <w:p w14:paraId="6B3C8E28" w14:textId="77777777" w:rsidR="00BB7C35" w:rsidRPr="00C628F9" w:rsidRDefault="00BB7C35" w:rsidP="00BB7C35">
      <w:pPr>
        <w:widowControl w:val="0"/>
        <w:autoSpaceDE w:val="0"/>
        <w:autoSpaceDN w:val="0"/>
        <w:spacing w:after="0" w:line="240" w:lineRule="auto"/>
        <w:jc w:val="both"/>
        <w:rPr>
          <w:rFonts w:ascii="Verdana" w:hAnsi="Verdana" w:cs="Arial"/>
          <w:sz w:val="20"/>
          <w:szCs w:val="20"/>
        </w:rPr>
      </w:pPr>
    </w:p>
    <w:p w14:paraId="0D26933D" w14:textId="77777777" w:rsidR="00BB7C35" w:rsidRPr="00C628F9" w:rsidRDefault="00BB7C35" w:rsidP="00BB7C35">
      <w:pPr>
        <w:widowControl w:val="0"/>
        <w:autoSpaceDE w:val="0"/>
        <w:autoSpaceDN w:val="0"/>
        <w:spacing w:after="0" w:line="240" w:lineRule="auto"/>
        <w:jc w:val="both"/>
        <w:rPr>
          <w:rFonts w:ascii="Verdana" w:hAnsi="Verdana" w:cs="Arial"/>
          <w:sz w:val="20"/>
          <w:szCs w:val="20"/>
        </w:rPr>
      </w:pPr>
    </w:p>
    <w:p w14:paraId="1BEB44A2" w14:textId="77777777" w:rsidR="00BB7C35" w:rsidRPr="00C628F9" w:rsidRDefault="00BB7C35" w:rsidP="00BB7C35">
      <w:pPr>
        <w:spacing w:after="0" w:line="278" w:lineRule="auto"/>
        <w:jc w:val="both"/>
        <w:rPr>
          <w:rFonts w:ascii="Verdana" w:hAnsi="Verdana" w:cs="Arial"/>
          <w:b/>
          <w:bCs/>
        </w:rPr>
      </w:pPr>
    </w:p>
    <w:p w14:paraId="2BB4BA8B" w14:textId="77777777" w:rsidR="00BB7C35" w:rsidRPr="00C628F9" w:rsidRDefault="00BB7C35" w:rsidP="00BB7C35">
      <w:pPr>
        <w:spacing w:after="0" w:line="278" w:lineRule="auto"/>
        <w:jc w:val="both"/>
        <w:rPr>
          <w:rFonts w:ascii="Verdana" w:hAnsi="Verdana" w:cs="Arial"/>
          <w:b/>
          <w:bCs/>
          <w:lang w:val="es-ES"/>
        </w:rPr>
      </w:pPr>
    </w:p>
    <w:p w14:paraId="4F65291B" w14:textId="77777777" w:rsidR="00BB7C35" w:rsidRPr="00C628F9" w:rsidRDefault="00BB7C35" w:rsidP="00BB7C35">
      <w:pPr>
        <w:spacing w:after="0" w:line="278" w:lineRule="auto"/>
        <w:jc w:val="both"/>
        <w:rPr>
          <w:rFonts w:ascii="Verdana" w:hAnsi="Verdana" w:cs="Arial"/>
          <w:b/>
          <w:bCs/>
        </w:rPr>
      </w:pPr>
    </w:p>
    <w:p w14:paraId="76E6DD01" w14:textId="77777777" w:rsidR="00BB7C35" w:rsidRPr="00C628F9" w:rsidRDefault="00BB7C35" w:rsidP="00BB7C35">
      <w:pPr>
        <w:spacing w:after="0" w:line="278" w:lineRule="auto"/>
        <w:jc w:val="both"/>
        <w:rPr>
          <w:rFonts w:ascii="Verdana" w:hAnsi="Verdana" w:cs="Arial"/>
          <w:b/>
          <w:bCs/>
        </w:rPr>
      </w:pPr>
    </w:p>
    <w:p w14:paraId="11B9544B" w14:textId="77777777" w:rsidR="00BB7C35" w:rsidRPr="00C628F9" w:rsidRDefault="00BB7C35" w:rsidP="00BB7C35">
      <w:pPr>
        <w:spacing w:after="0" w:line="278" w:lineRule="auto"/>
        <w:jc w:val="both"/>
        <w:rPr>
          <w:rFonts w:ascii="Verdana" w:hAnsi="Verdana" w:cs="Arial"/>
          <w:b/>
          <w:bCs/>
        </w:rPr>
      </w:pPr>
    </w:p>
    <w:p w14:paraId="0DE38E80" w14:textId="77777777" w:rsidR="00BB7C35" w:rsidRPr="00C628F9" w:rsidRDefault="00BB7C35" w:rsidP="00BB7C35">
      <w:pPr>
        <w:spacing w:after="0" w:line="278" w:lineRule="auto"/>
        <w:jc w:val="both"/>
        <w:rPr>
          <w:rFonts w:ascii="Verdana" w:hAnsi="Verdana" w:cs="Arial"/>
          <w:b/>
          <w:bCs/>
        </w:rPr>
      </w:pPr>
    </w:p>
    <w:p w14:paraId="6DDE8263" w14:textId="77777777" w:rsidR="00BB7C35" w:rsidRPr="00C628F9" w:rsidRDefault="00BB7C35" w:rsidP="00BB7C35">
      <w:pPr>
        <w:spacing w:after="0" w:line="278" w:lineRule="auto"/>
        <w:jc w:val="both"/>
        <w:rPr>
          <w:rFonts w:ascii="Verdana" w:hAnsi="Verdana" w:cs="Arial"/>
          <w:b/>
          <w:bCs/>
        </w:rPr>
      </w:pPr>
    </w:p>
    <w:p w14:paraId="0C3D1185" w14:textId="77777777" w:rsidR="00BB7C35" w:rsidRPr="00C628F9" w:rsidRDefault="00BB7C35" w:rsidP="00BB7C35">
      <w:pPr>
        <w:spacing w:after="0" w:line="278" w:lineRule="auto"/>
        <w:jc w:val="both"/>
        <w:rPr>
          <w:rFonts w:ascii="Verdana" w:eastAsia="Calibri" w:hAnsi="Verdana" w:cs="Arial"/>
          <w:sz w:val="20"/>
          <w:szCs w:val="20"/>
        </w:rPr>
      </w:pPr>
    </w:p>
    <w:p w14:paraId="1DD5D10B" w14:textId="77777777" w:rsidR="00BB7C35" w:rsidRPr="00C628F9" w:rsidRDefault="00BB7C35" w:rsidP="00BB7C35">
      <w:pPr>
        <w:spacing w:after="0" w:line="278" w:lineRule="auto"/>
        <w:jc w:val="both"/>
        <w:rPr>
          <w:rFonts w:ascii="Verdana" w:eastAsia="Calibri" w:hAnsi="Verdana" w:cs="Arial"/>
          <w:sz w:val="20"/>
          <w:szCs w:val="20"/>
        </w:rPr>
      </w:pPr>
    </w:p>
    <w:p w14:paraId="2EC14F8A" w14:textId="77777777" w:rsidR="00BB7C35" w:rsidRPr="00C628F9" w:rsidRDefault="00BB7C35" w:rsidP="00BB7C35">
      <w:pPr>
        <w:spacing w:after="0" w:line="278" w:lineRule="auto"/>
        <w:jc w:val="both"/>
        <w:rPr>
          <w:rFonts w:ascii="Verdana" w:eastAsia="Calibri" w:hAnsi="Verdana" w:cs="Arial"/>
          <w:sz w:val="20"/>
          <w:szCs w:val="20"/>
        </w:rPr>
      </w:pPr>
    </w:p>
    <w:p w14:paraId="491531FB" w14:textId="77777777" w:rsidR="00BB7C35" w:rsidRPr="00C628F9" w:rsidRDefault="00BB7C35" w:rsidP="00BB7C35">
      <w:pPr>
        <w:spacing w:after="0" w:line="278" w:lineRule="auto"/>
        <w:jc w:val="both"/>
        <w:rPr>
          <w:rFonts w:ascii="Verdana" w:eastAsia="Calibri" w:hAnsi="Verdana" w:cs="Arial"/>
          <w:sz w:val="20"/>
          <w:szCs w:val="20"/>
        </w:rPr>
      </w:pPr>
    </w:p>
    <w:p w14:paraId="4D2B43A6" w14:textId="77777777" w:rsidR="00BB7C35" w:rsidRPr="00C628F9" w:rsidRDefault="00BB7C35" w:rsidP="00BB7C35">
      <w:pPr>
        <w:spacing w:after="0" w:line="278" w:lineRule="auto"/>
        <w:jc w:val="both"/>
        <w:rPr>
          <w:rFonts w:ascii="Verdana" w:eastAsia="Calibri" w:hAnsi="Verdana" w:cs="Arial"/>
          <w:sz w:val="20"/>
          <w:szCs w:val="20"/>
        </w:rPr>
      </w:pPr>
    </w:p>
    <w:p w14:paraId="0FCF0C80" w14:textId="77777777" w:rsidR="00BB7C35" w:rsidRPr="00C628F9" w:rsidRDefault="00BB7C35" w:rsidP="00BB7C35">
      <w:pPr>
        <w:spacing w:after="0" w:line="278" w:lineRule="auto"/>
        <w:jc w:val="both"/>
        <w:rPr>
          <w:rFonts w:ascii="Verdana" w:eastAsia="Calibri" w:hAnsi="Verdana" w:cs="Arial"/>
          <w:sz w:val="20"/>
          <w:szCs w:val="20"/>
        </w:rPr>
      </w:pPr>
    </w:p>
    <w:p w14:paraId="151F5222" w14:textId="77777777" w:rsidR="00BB7C35" w:rsidRPr="00C628F9" w:rsidRDefault="00BB7C35" w:rsidP="00BB7C35">
      <w:pPr>
        <w:spacing w:after="0" w:line="278" w:lineRule="auto"/>
        <w:jc w:val="both"/>
        <w:rPr>
          <w:rFonts w:ascii="Verdana" w:eastAsia="Calibri" w:hAnsi="Verdana" w:cs="Arial"/>
          <w:sz w:val="20"/>
          <w:szCs w:val="20"/>
        </w:rPr>
      </w:pPr>
    </w:p>
    <w:p w14:paraId="6D9EAEB3" w14:textId="77777777" w:rsidR="00BB7C35" w:rsidRPr="00C628F9" w:rsidRDefault="00BB7C35" w:rsidP="00BB7C35">
      <w:pPr>
        <w:spacing w:after="0" w:line="278" w:lineRule="auto"/>
        <w:jc w:val="both"/>
        <w:rPr>
          <w:rFonts w:ascii="Verdana" w:eastAsia="Calibri" w:hAnsi="Verdana" w:cs="Arial"/>
          <w:sz w:val="20"/>
          <w:szCs w:val="20"/>
        </w:rPr>
      </w:pPr>
    </w:p>
    <w:p w14:paraId="7BA10CBF" w14:textId="77777777" w:rsidR="00BB7C35" w:rsidRPr="00C628F9" w:rsidRDefault="00BB7C35" w:rsidP="00BB7C35">
      <w:pPr>
        <w:spacing w:after="0" w:line="278" w:lineRule="auto"/>
        <w:jc w:val="both"/>
        <w:rPr>
          <w:rFonts w:ascii="Verdana" w:eastAsia="Calibri" w:hAnsi="Verdana" w:cs="Arial"/>
          <w:sz w:val="20"/>
          <w:szCs w:val="20"/>
        </w:rPr>
      </w:pPr>
    </w:p>
    <w:p w14:paraId="6C73082D" w14:textId="77777777" w:rsidR="00BB7C35" w:rsidRPr="00C628F9" w:rsidRDefault="00BB7C35" w:rsidP="00BB7C35">
      <w:pPr>
        <w:spacing w:after="0"/>
        <w:rPr>
          <w:rFonts w:ascii="Verdana" w:hAnsi="Verdana"/>
        </w:rPr>
      </w:pPr>
    </w:p>
    <w:p w14:paraId="140D8BE1" w14:textId="77777777" w:rsidR="00BB7C35" w:rsidRDefault="00BB7C35" w:rsidP="00BB7C35">
      <w:pPr>
        <w:spacing w:after="0"/>
        <w:rPr>
          <w:rFonts w:ascii="Verdana" w:hAnsi="Verdana"/>
        </w:rPr>
      </w:pPr>
    </w:p>
    <w:p w14:paraId="7E701930" w14:textId="77777777" w:rsidR="002138A7" w:rsidRDefault="002138A7" w:rsidP="00BB7C35">
      <w:pPr>
        <w:spacing w:after="0"/>
        <w:rPr>
          <w:rFonts w:ascii="Verdana" w:hAnsi="Verdana"/>
        </w:rPr>
      </w:pPr>
    </w:p>
    <w:p w14:paraId="2056A06C" w14:textId="77777777" w:rsidR="002138A7" w:rsidRDefault="002138A7" w:rsidP="00BB7C35">
      <w:pPr>
        <w:spacing w:after="0"/>
        <w:rPr>
          <w:rFonts w:ascii="Verdana" w:hAnsi="Verdana"/>
        </w:rPr>
      </w:pPr>
    </w:p>
    <w:p w14:paraId="66BBEF02" w14:textId="06AF8BD8" w:rsidR="00BB7C35" w:rsidRPr="00C628F9" w:rsidRDefault="00BB7C35" w:rsidP="00BB7C35">
      <w:pPr>
        <w:spacing w:after="0"/>
        <w:rPr>
          <w:rFonts w:ascii="Verdana" w:hAnsi="Verdana"/>
        </w:rPr>
      </w:pPr>
      <w:r w:rsidRPr="00C628F9">
        <w:rPr>
          <w:rFonts w:ascii="Verdana" w:hAnsi="Verdana"/>
        </w:rPr>
        <w:lastRenderedPageBreak/>
        <w:t xml:space="preserve">Bogotá D.C., </w:t>
      </w:r>
      <w:r w:rsidR="002138A7">
        <w:rPr>
          <w:rFonts w:ascii="Verdana" w:eastAsia="Geomanist Light" w:hAnsi="Verdana" w:cs="Arial"/>
          <w:color w:val="201F1E"/>
        </w:rPr>
        <w:t>18 de septiembre de 2026</w:t>
      </w:r>
    </w:p>
    <w:p w14:paraId="52CD0960" w14:textId="77777777" w:rsidR="00BB7C35" w:rsidRPr="00C628F9" w:rsidRDefault="00BB7C35" w:rsidP="00BB7C35">
      <w:pPr>
        <w:spacing w:after="0"/>
        <w:rPr>
          <w:rFonts w:ascii="Verdana" w:hAnsi="Verdana"/>
        </w:rPr>
      </w:pPr>
    </w:p>
    <w:p w14:paraId="1EED8610" w14:textId="5464DBA2" w:rsidR="00BB7C35" w:rsidRDefault="00AB0623" w:rsidP="00BB7C35">
      <w:pPr>
        <w:spacing w:after="0"/>
        <w:jc w:val="right"/>
        <w:rPr>
          <w:rFonts w:ascii="Verdana" w:hAnsi="Verdana"/>
        </w:rPr>
      </w:pPr>
      <w:r w:rsidRPr="00AB0623">
        <w:rPr>
          <w:rFonts w:ascii="Verdana" w:hAnsi="Verdana"/>
          <w:noProof/>
        </w:rPr>
        <w:drawing>
          <wp:anchor distT="0" distB="0" distL="114300" distR="114300" simplePos="0" relativeHeight="251658240" behindDoc="0" locked="0" layoutInCell="1" allowOverlap="1" wp14:anchorId="6B6DB833" wp14:editId="12394A9E">
            <wp:simplePos x="0" y="0"/>
            <wp:positionH relativeFrom="column">
              <wp:posOffset>2998470</wp:posOffset>
            </wp:positionH>
            <wp:positionV relativeFrom="paragraph">
              <wp:posOffset>5715</wp:posOffset>
            </wp:positionV>
            <wp:extent cx="2609215" cy="937895"/>
            <wp:effectExtent l="0" t="0" r="635" b="0"/>
            <wp:wrapSquare wrapText="bothSides"/>
            <wp:docPr id="4660390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9215" cy="937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3CD3A7" w14:textId="77777777" w:rsidR="00BB7C35" w:rsidRPr="00C628F9" w:rsidRDefault="00BB7C35" w:rsidP="00BB7C35">
      <w:pPr>
        <w:spacing w:after="0" w:line="240" w:lineRule="auto"/>
        <w:jc w:val="both"/>
        <w:rPr>
          <w:rFonts w:ascii="Verdana" w:eastAsia="Calibri" w:hAnsi="Verdana" w:cs="Arial"/>
          <w:color w:val="000000" w:themeColor="text1"/>
          <w:lang w:val="es-ES" w:eastAsia="es-ES"/>
        </w:rPr>
      </w:pPr>
      <w:r w:rsidRPr="00C628F9">
        <w:rPr>
          <w:rFonts w:ascii="Verdana" w:eastAsia="Calibri" w:hAnsi="Verdana" w:cs="Arial"/>
          <w:color w:val="000000" w:themeColor="text1"/>
          <w:lang w:val="es-ES" w:eastAsia="es-ES"/>
        </w:rPr>
        <w:t>Señora</w:t>
      </w:r>
    </w:p>
    <w:p w14:paraId="4D907E37" w14:textId="77777777" w:rsidR="00BB7C35" w:rsidRDefault="00BB7C35" w:rsidP="00BB7C35">
      <w:pPr>
        <w:spacing w:after="0" w:line="240" w:lineRule="auto"/>
        <w:rPr>
          <w:rFonts w:ascii="Verdana" w:eastAsia="Calibri" w:hAnsi="Verdana" w:cs="Arial"/>
          <w:b/>
          <w:bCs/>
          <w:color w:val="000000" w:themeColor="text1"/>
          <w:lang w:eastAsia="es-ES"/>
        </w:rPr>
      </w:pPr>
      <w:r w:rsidRPr="00776BE7">
        <w:rPr>
          <w:rFonts w:ascii="Verdana" w:eastAsia="Calibri" w:hAnsi="Verdana" w:cs="Arial"/>
          <w:b/>
          <w:bCs/>
          <w:color w:val="000000" w:themeColor="text1"/>
          <w:lang w:eastAsia="es-ES"/>
        </w:rPr>
        <w:t xml:space="preserve">Alexandra Palomino Pineda </w:t>
      </w:r>
    </w:p>
    <w:p w14:paraId="3B46E7EF" w14:textId="77777777" w:rsidR="00BB7C35" w:rsidRDefault="00BB7C35" w:rsidP="00BB7C35">
      <w:pPr>
        <w:spacing w:after="0" w:line="240" w:lineRule="auto"/>
        <w:rPr>
          <w:rFonts w:ascii="Verdana" w:eastAsia="Calibri" w:hAnsi="Verdana" w:cs="Arial"/>
          <w:color w:val="000000" w:themeColor="text1"/>
          <w:lang w:eastAsia="es-ES"/>
        </w:rPr>
      </w:pPr>
      <w:r w:rsidRPr="00AA36D3">
        <w:rPr>
          <w:rFonts w:ascii="Verdana" w:eastAsia="Calibri" w:hAnsi="Verdana" w:cs="Arial"/>
          <w:color w:val="000000" w:themeColor="text1"/>
          <w:lang w:eastAsia="es-ES"/>
        </w:rPr>
        <w:t>Jefe Oficina Asesora Jurídica (E)</w:t>
      </w:r>
    </w:p>
    <w:p w14:paraId="2A3CA181" w14:textId="77777777" w:rsidR="00BB7C35" w:rsidRPr="00AA36D3" w:rsidRDefault="00BB7C35" w:rsidP="00BB7C35">
      <w:pPr>
        <w:spacing w:after="0" w:line="240" w:lineRule="auto"/>
        <w:rPr>
          <w:rFonts w:ascii="Verdana" w:eastAsia="Calibri" w:hAnsi="Verdana" w:cs="Arial"/>
          <w:color w:val="000000" w:themeColor="text1"/>
          <w:lang w:val="es-ES" w:eastAsia="es-ES"/>
        </w:rPr>
      </w:pPr>
      <w:hyperlink r:id="rId12" w:history="1">
        <w:r w:rsidRPr="008F525B">
          <w:rPr>
            <w:rStyle w:val="Hipervnculo"/>
            <w:rFonts w:ascii="Verdana" w:eastAsia="Calibri" w:hAnsi="Verdana" w:cs="Arial"/>
            <w:lang w:val="es-ES" w:eastAsia="es-ES"/>
          </w:rPr>
          <w:t>jazmin.palomino@aerocivil.gov.co</w:t>
        </w:r>
      </w:hyperlink>
      <w:r>
        <w:rPr>
          <w:rFonts w:ascii="Verdana" w:eastAsia="Calibri" w:hAnsi="Verdana" w:cs="Arial"/>
          <w:color w:val="000000" w:themeColor="text1"/>
          <w:lang w:val="es-ES" w:eastAsia="es-ES"/>
        </w:rPr>
        <w:t xml:space="preserve"> </w:t>
      </w:r>
    </w:p>
    <w:p w14:paraId="730C97FE" w14:textId="77777777" w:rsidR="00BB7C35" w:rsidRPr="00C628F9" w:rsidRDefault="00BB7C35" w:rsidP="00BB7C35">
      <w:pPr>
        <w:spacing w:after="0" w:line="240" w:lineRule="auto"/>
        <w:rPr>
          <w:rFonts w:ascii="Verdana" w:eastAsia="Calibri" w:hAnsi="Verdana" w:cs="Arial"/>
          <w:b/>
          <w:bCs/>
          <w:color w:val="000000" w:themeColor="text1"/>
          <w:lang w:val="es-ES_tradnl" w:eastAsia="es-ES"/>
        </w:rPr>
      </w:pPr>
      <w:r w:rsidRPr="00C628F9">
        <w:rPr>
          <w:rFonts w:ascii="Verdana" w:eastAsia="Calibri" w:hAnsi="Verdana" w:cs="Arial"/>
          <w:color w:val="000000" w:themeColor="text1"/>
          <w:lang w:val="es-ES_tradnl" w:eastAsia="es-ES"/>
        </w:rPr>
        <w:t>Bogotá D.C.</w:t>
      </w:r>
    </w:p>
    <w:p w14:paraId="452FEC13" w14:textId="77777777" w:rsidR="00BB7C35" w:rsidRPr="00C628F9" w:rsidRDefault="00BB7C35" w:rsidP="00BB7C35">
      <w:pPr>
        <w:spacing w:after="0" w:line="240" w:lineRule="auto"/>
        <w:rPr>
          <w:rFonts w:ascii="Verdana" w:eastAsia="Calibri" w:hAnsi="Verdana" w:cs="Arial"/>
          <w:b/>
          <w:bCs/>
          <w:color w:val="000000" w:themeColor="text1"/>
          <w:lang w:val="es-ES_tradnl" w:eastAsia="es-ES_tradnl"/>
        </w:rPr>
      </w:pPr>
    </w:p>
    <w:p w14:paraId="5A807808" w14:textId="77777777" w:rsidR="00BB7C35" w:rsidRPr="00C628F9" w:rsidRDefault="00BB7C35" w:rsidP="00BB7C35">
      <w:pPr>
        <w:spacing w:after="0" w:line="240" w:lineRule="auto"/>
        <w:rPr>
          <w:rFonts w:ascii="Verdana" w:eastAsia="Calibri" w:hAnsi="Verdana" w:cs="Arial"/>
          <w:b/>
          <w:bCs/>
          <w:color w:val="000000" w:themeColor="text1"/>
          <w:lang w:val="es-ES_tradnl" w:eastAsia="es-ES_tradnl"/>
        </w:rPr>
      </w:pPr>
    </w:p>
    <w:p w14:paraId="0D89B0AA" w14:textId="77777777" w:rsidR="00BB7C35" w:rsidRDefault="00BB7C35" w:rsidP="00BB7C35">
      <w:pPr>
        <w:spacing w:after="0" w:line="240" w:lineRule="auto"/>
        <w:rPr>
          <w:rFonts w:ascii="Verdana" w:eastAsia="Calibri" w:hAnsi="Verdana" w:cs="Arial"/>
          <w:b/>
          <w:bCs/>
          <w:color w:val="000000" w:themeColor="text1"/>
          <w:lang w:val="es-ES_tradnl" w:eastAsia="es-ES_tradnl"/>
        </w:rPr>
      </w:pPr>
      <w:r w:rsidRPr="00C628F9">
        <w:rPr>
          <w:rFonts w:ascii="Verdana" w:eastAsia="Calibri" w:hAnsi="Verdana" w:cs="Arial"/>
          <w:b/>
          <w:bCs/>
          <w:color w:val="000000" w:themeColor="text1"/>
          <w:lang w:val="es-ES_tradnl" w:eastAsia="es-ES_tradnl"/>
        </w:rPr>
        <w:t xml:space="preserve">                                   Concepto C-1</w:t>
      </w:r>
      <w:r>
        <w:rPr>
          <w:rFonts w:ascii="Verdana" w:eastAsia="Calibri" w:hAnsi="Verdana" w:cs="Arial"/>
          <w:b/>
          <w:bCs/>
          <w:color w:val="000000" w:themeColor="text1"/>
          <w:lang w:val="es-ES_tradnl" w:eastAsia="es-ES_tradnl"/>
        </w:rPr>
        <w:t>352</w:t>
      </w:r>
      <w:r w:rsidRPr="00C628F9">
        <w:rPr>
          <w:rFonts w:ascii="Verdana" w:eastAsia="Calibri" w:hAnsi="Verdana" w:cs="Arial"/>
          <w:b/>
          <w:bCs/>
          <w:color w:val="000000" w:themeColor="text1"/>
          <w:lang w:val="es-ES_tradnl" w:eastAsia="es-ES_tradnl"/>
        </w:rPr>
        <w:t xml:space="preserve"> del 202</w:t>
      </w:r>
      <w:r>
        <w:rPr>
          <w:rFonts w:ascii="Verdana" w:eastAsia="Calibri" w:hAnsi="Verdana" w:cs="Arial"/>
          <w:b/>
          <w:bCs/>
          <w:color w:val="000000" w:themeColor="text1"/>
          <w:lang w:val="es-ES_tradnl" w:eastAsia="es-ES_tradnl"/>
        </w:rPr>
        <w:t>6</w:t>
      </w:r>
    </w:p>
    <w:p w14:paraId="764B107E" w14:textId="77777777" w:rsidR="00BB7C35" w:rsidRDefault="00BB7C35" w:rsidP="00BB7C35">
      <w:pPr>
        <w:spacing w:after="0" w:line="240" w:lineRule="auto"/>
        <w:rPr>
          <w:rFonts w:ascii="Verdana" w:eastAsia="Calibri" w:hAnsi="Verdana" w:cs="Arial"/>
          <w:b/>
          <w:bCs/>
          <w:color w:val="000000" w:themeColor="text1"/>
          <w:lang w:val="es-ES_tradnl" w:eastAsia="es-ES_tradnl"/>
        </w:rPr>
      </w:pPr>
    </w:p>
    <w:p w14:paraId="38C4AE74" w14:textId="77777777" w:rsidR="00BB7C35" w:rsidRPr="00C628F9" w:rsidRDefault="00BB7C35" w:rsidP="00BB7C35">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B7C35" w:rsidRPr="00C628F9" w14:paraId="11436733" w14:textId="77777777" w:rsidTr="009A4F88">
        <w:trPr>
          <w:trHeight w:val="884"/>
        </w:trPr>
        <w:tc>
          <w:tcPr>
            <w:tcW w:w="2689" w:type="dxa"/>
          </w:tcPr>
          <w:p w14:paraId="6C657B91" w14:textId="77777777" w:rsidR="00BB7C35" w:rsidRPr="00C628F9" w:rsidRDefault="00BB7C35" w:rsidP="009A4F88">
            <w:pPr>
              <w:jc w:val="both"/>
              <w:rPr>
                <w:rFonts w:ascii="Verdana" w:eastAsia="Calibri" w:hAnsi="Verdana" w:cs="Arial"/>
                <w:color w:val="000000" w:themeColor="text1"/>
                <w:lang w:val="es-ES_tradnl" w:eastAsia="es-ES_tradnl"/>
              </w:rPr>
            </w:pPr>
            <w:r w:rsidRPr="00C628F9">
              <w:rPr>
                <w:rFonts w:ascii="Verdana" w:eastAsia="Calibri" w:hAnsi="Verdana" w:cs="Arial"/>
                <w:b/>
                <w:color w:val="000000" w:themeColor="text1"/>
                <w:lang w:val="es-ES_tradnl" w:eastAsia="es-ES_tradnl"/>
              </w:rPr>
              <w:t>Temas:</w:t>
            </w:r>
            <w:r w:rsidRPr="00C628F9">
              <w:rPr>
                <w:rFonts w:ascii="Verdana" w:eastAsia="Calibri" w:hAnsi="Verdana" w:cs="Arial"/>
                <w:color w:val="000000" w:themeColor="text1"/>
                <w:lang w:val="es-ES_tradnl" w:eastAsia="es-ES_tradnl"/>
              </w:rPr>
              <w:t xml:space="preserve">                   </w:t>
            </w:r>
          </w:p>
        </w:tc>
        <w:tc>
          <w:tcPr>
            <w:tcW w:w="6100" w:type="dxa"/>
          </w:tcPr>
          <w:p w14:paraId="0C426B4E" w14:textId="77777777" w:rsidR="00BB7C35" w:rsidRPr="00371EF9" w:rsidRDefault="00BB7C35" w:rsidP="009A4F88">
            <w:pPr>
              <w:widowControl w:val="0"/>
              <w:autoSpaceDE w:val="0"/>
              <w:autoSpaceDN w:val="0"/>
              <w:spacing w:line="276" w:lineRule="auto"/>
              <w:jc w:val="both"/>
              <w:rPr>
                <w:rFonts w:ascii="Verdana" w:hAnsi="Verdana" w:cs="Arial"/>
              </w:rPr>
            </w:pPr>
            <w:r w:rsidRPr="00371EF9">
              <w:rPr>
                <w:rFonts w:ascii="Verdana" w:eastAsia="Calibri" w:hAnsi="Verdana" w:cs="Arial"/>
                <w:lang w:eastAsia="es-ES"/>
              </w:rPr>
              <w:t xml:space="preserve">CONTRATO DE PRESTACIÓN DE SERVICIOS – Definición / </w:t>
            </w:r>
            <w:r w:rsidRPr="00371EF9">
              <w:rPr>
                <w:rFonts w:ascii="Verdana" w:hAnsi="Verdana" w:cs="Arial"/>
              </w:rPr>
              <w:t xml:space="preserve">CONTRATO DE EPRESTACIÓN DE SERVICIOS – Características / </w:t>
            </w:r>
            <w:r w:rsidRPr="00371EF9">
              <w:rPr>
                <w:rFonts w:ascii="Verdana" w:eastAsia="Calibri" w:hAnsi="Verdana" w:cs="Arial"/>
                <w:lang w:eastAsia="es-ES"/>
              </w:rPr>
              <w:t xml:space="preserve">TERMINACIÓN ANTICIPADA – Mutuo acuerdo – </w:t>
            </w:r>
            <w:r>
              <w:rPr>
                <w:rFonts w:ascii="Verdana" w:eastAsia="Calibri" w:hAnsi="Verdana" w:cs="Arial"/>
                <w:lang w:eastAsia="es-ES"/>
              </w:rPr>
              <w:t xml:space="preserve">Procedencia </w:t>
            </w:r>
            <w:r w:rsidRPr="00371EF9">
              <w:rPr>
                <w:rFonts w:ascii="Verdana" w:eastAsia="Calibri" w:hAnsi="Verdana" w:cs="Arial"/>
                <w:lang w:eastAsia="es-ES"/>
              </w:rPr>
              <w:t xml:space="preserve">– </w:t>
            </w:r>
            <w:r>
              <w:rPr>
                <w:rFonts w:ascii="Verdana" w:eastAsia="Calibri" w:hAnsi="Verdana" w:cs="Arial"/>
                <w:lang w:eastAsia="es-ES"/>
              </w:rPr>
              <w:t xml:space="preserve">Efectos </w:t>
            </w:r>
          </w:p>
          <w:p w14:paraId="6B1B4C1A" w14:textId="77777777" w:rsidR="00BB7C35" w:rsidRPr="00C628F9" w:rsidRDefault="00BB7C35" w:rsidP="009A4F88">
            <w:pPr>
              <w:spacing w:line="276" w:lineRule="auto"/>
              <w:jc w:val="both"/>
              <w:rPr>
                <w:rFonts w:ascii="Verdana" w:hAnsi="Verdana" w:cs="Arial"/>
                <w:bCs/>
                <w:color w:val="000000" w:themeColor="text1"/>
              </w:rPr>
            </w:pPr>
          </w:p>
        </w:tc>
      </w:tr>
      <w:tr w:rsidR="00BB7C35" w:rsidRPr="00C628F9" w14:paraId="5C2A985F" w14:textId="77777777" w:rsidTr="009A4F88">
        <w:tc>
          <w:tcPr>
            <w:tcW w:w="2689" w:type="dxa"/>
          </w:tcPr>
          <w:p w14:paraId="61DADCC7" w14:textId="77777777" w:rsidR="00BB7C35" w:rsidRPr="00C628F9" w:rsidRDefault="00BB7C35" w:rsidP="009A4F88">
            <w:pPr>
              <w:jc w:val="both"/>
              <w:rPr>
                <w:rFonts w:ascii="Verdana" w:eastAsia="Calibri" w:hAnsi="Verdana" w:cs="Arial"/>
                <w:b/>
                <w:color w:val="000000" w:themeColor="text1"/>
                <w:lang w:val="es-ES_tradnl" w:eastAsia="es-ES_tradnl"/>
              </w:rPr>
            </w:pPr>
            <w:r w:rsidRPr="00C628F9">
              <w:rPr>
                <w:rFonts w:ascii="Verdana" w:eastAsia="Calibri" w:hAnsi="Verdana" w:cs="Arial"/>
                <w:b/>
                <w:color w:val="000000" w:themeColor="text1"/>
                <w:lang w:val="es-ES_tradnl" w:eastAsia="es-ES_tradnl"/>
              </w:rPr>
              <w:t>Radicación:</w:t>
            </w:r>
            <w:r w:rsidRPr="00C628F9">
              <w:rPr>
                <w:rFonts w:ascii="Verdana" w:eastAsia="Calibri" w:hAnsi="Verdana" w:cs="Arial"/>
                <w:color w:val="000000" w:themeColor="text1"/>
                <w:lang w:val="es-ES_tradnl" w:eastAsia="es-ES_tradnl"/>
              </w:rPr>
              <w:t xml:space="preserve">               </w:t>
            </w:r>
          </w:p>
        </w:tc>
        <w:tc>
          <w:tcPr>
            <w:tcW w:w="6100" w:type="dxa"/>
          </w:tcPr>
          <w:p w14:paraId="2454A28D" w14:textId="77777777" w:rsidR="00BB7C35" w:rsidRPr="00C628F9" w:rsidRDefault="00BB7C35" w:rsidP="009A4F88">
            <w:pPr>
              <w:jc w:val="both"/>
              <w:rPr>
                <w:rFonts w:ascii="Verdana" w:hAnsi="Verdana" w:cs="Arial"/>
              </w:rPr>
            </w:pPr>
            <w:r w:rsidRPr="00C628F9">
              <w:rPr>
                <w:rFonts w:ascii="Verdana" w:eastAsia="Calibri" w:hAnsi="Verdana" w:cs="Arial"/>
                <w:color w:val="000000" w:themeColor="text1"/>
                <w:lang w:val="es-ES_tradnl" w:eastAsia="es-ES_tradnl"/>
              </w:rPr>
              <w:t xml:space="preserve">Respuesta a consulta con radicado No. </w:t>
            </w:r>
            <w:r w:rsidRPr="00776BE7">
              <w:rPr>
                <w:rFonts w:ascii="Verdana" w:eastAsia="Calibri" w:hAnsi="Verdana" w:cs="Arial"/>
                <w:color w:val="000000" w:themeColor="text1"/>
                <w:lang w:val="es-ES_tradnl" w:eastAsia="es-ES_tradnl"/>
              </w:rPr>
              <w:t>1_2026_08_28_011495</w:t>
            </w:r>
          </w:p>
          <w:p w14:paraId="5DECB00C" w14:textId="77777777" w:rsidR="00BB7C35" w:rsidRPr="00C628F9" w:rsidRDefault="00BB7C35" w:rsidP="009A4F88">
            <w:pPr>
              <w:jc w:val="both"/>
              <w:rPr>
                <w:rFonts w:ascii="Verdana" w:hAnsi="Verdana"/>
                <w:color w:val="000000"/>
              </w:rPr>
            </w:pPr>
          </w:p>
        </w:tc>
      </w:tr>
    </w:tbl>
    <w:p w14:paraId="69245072" w14:textId="77777777" w:rsidR="00BB7C35" w:rsidRPr="00C628F9" w:rsidRDefault="00BB7C35" w:rsidP="00BB7C35">
      <w:pPr>
        <w:spacing w:after="0" w:line="240" w:lineRule="auto"/>
        <w:jc w:val="both"/>
        <w:rPr>
          <w:rFonts w:ascii="Verdana" w:eastAsia="Calibri" w:hAnsi="Verdana" w:cs="Arial"/>
          <w:color w:val="000000" w:themeColor="text1"/>
          <w:lang w:val="es-ES_tradnl" w:eastAsia="es-ES_tradnl"/>
        </w:rPr>
      </w:pPr>
    </w:p>
    <w:p w14:paraId="312F20BF" w14:textId="77777777" w:rsidR="00BB7C35" w:rsidRPr="00C628F9" w:rsidRDefault="00BB7C35" w:rsidP="00BB7C35">
      <w:pPr>
        <w:spacing w:after="0" w:line="276" w:lineRule="auto"/>
        <w:jc w:val="both"/>
        <w:rPr>
          <w:rFonts w:ascii="Verdana" w:eastAsia="Calibri" w:hAnsi="Verdana" w:cs="Arial"/>
          <w:color w:val="000000" w:themeColor="text1"/>
          <w:lang w:val="es-ES" w:eastAsia="es-ES"/>
        </w:rPr>
      </w:pPr>
      <w:r w:rsidRPr="00C628F9">
        <w:rPr>
          <w:rFonts w:ascii="Verdana" w:eastAsia="Calibri" w:hAnsi="Verdana" w:cs="Arial"/>
          <w:color w:val="000000" w:themeColor="text1"/>
          <w:lang w:val="es-ES" w:eastAsia="es-ES"/>
        </w:rPr>
        <w:t xml:space="preserve">Estimada señora </w:t>
      </w:r>
      <w:r>
        <w:rPr>
          <w:rFonts w:ascii="Verdana" w:eastAsia="Calibri" w:hAnsi="Verdana" w:cs="Arial"/>
          <w:color w:val="000000" w:themeColor="text1"/>
          <w:lang w:val="es-ES" w:eastAsia="es-ES"/>
        </w:rPr>
        <w:t>Palomino</w:t>
      </w:r>
      <w:r w:rsidRPr="00C628F9">
        <w:rPr>
          <w:rFonts w:ascii="Verdana" w:eastAsia="Calibri" w:hAnsi="Verdana" w:cs="Arial"/>
          <w:color w:val="000000" w:themeColor="text1"/>
          <w:lang w:val="es-ES" w:eastAsia="es-ES"/>
        </w:rPr>
        <w:t xml:space="preserve">: </w:t>
      </w:r>
    </w:p>
    <w:p w14:paraId="78081879" w14:textId="77777777" w:rsidR="00BB7C35" w:rsidRPr="00C628F9" w:rsidRDefault="00BB7C35" w:rsidP="00BB7C35">
      <w:pPr>
        <w:tabs>
          <w:tab w:val="left" w:pos="3768"/>
        </w:tabs>
        <w:spacing w:after="0" w:line="276" w:lineRule="auto"/>
        <w:jc w:val="both"/>
        <w:rPr>
          <w:rFonts w:ascii="Verdana" w:eastAsia="Calibri" w:hAnsi="Verdana" w:cs="Arial"/>
          <w:color w:val="000000" w:themeColor="text1"/>
          <w:lang w:val="es-ES" w:eastAsia="es-ES"/>
        </w:rPr>
      </w:pPr>
      <w:r w:rsidRPr="00C628F9">
        <w:rPr>
          <w:rFonts w:ascii="Verdana" w:eastAsia="Calibri" w:hAnsi="Verdana" w:cs="Arial"/>
          <w:color w:val="000000" w:themeColor="text1"/>
          <w:lang w:val="es-ES" w:eastAsia="es-ES"/>
        </w:rPr>
        <w:tab/>
      </w:r>
    </w:p>
    <w:p w14:paraId="699FD908" w14:textId="77777777" w:rsidR="00BB7C35" w:rsidRPr="00C628F9" w:rsidRDefault="00BB7C35" w:rsidP="00BB7C35">
      <w:pPr>
        <w:spacing w:after="0" w:line="276" w:lineRule="auto"/>
        <w:jc w:val="both"/>
        <w:rPr>
          <w:rFonts w:ascii="Verdana" w:eastAsia="Calibri" w:hAnsi="Verdana" w:cs="Arial"/>
          <w:color w:val="000000" w:themeColor="text1"/>
          <w:lang w:val="es-ES" w:eastAsia="es-ES"/>
        </w:rPr>
      </w:pPr>
      <w:r w:rsidRPr="00C628F9">
        <w:rPr>
          <w:rFonts w:ascii="Verdana" w:eastAsia="Calibri" w:hAnsi="Verdana" w:cs="Arial"/>
          <w:color w:val="000000" w:themeColor="text1"/>
          <w:lang w:val="es-ES" w:eastAsia="es-ES"/>
        </w:rPr>
        <w:t>En ejercicio de la competencia otorgada por los artículos 3, numeral 5º, y 11, numeral 8º, del Decreto Ley 4170 de 2011,</w:t>
      </w:r>
      <w:r w:rsidRPr="00C628F9">
        <w:rPr>
          <w:rFonts w:ascii="Verdana" w:eastAsia="Arial MT" w:hAnsi="Verdana" w:cs="Arial MT"/>
          <w:color w:val="000000" w:themeColor="text1"/>
          <w:lang w:val="es-ES" w:eastAsia="es-ES"/>
        </w:rPr>
        <w:t xml:space="preserve"> </w:t>
      </w:r>
      <w:r w:rsidRPr="00C628F9">
        <w:rPr>
          <w:rFonts w:ascii="Verdana" w:hAnsi="Verdana" w:cs="Arial"/>
          <w:color w:val="000000" w:themeColor="text1"/>
        </w:rPr>
        <w:t xml:space="preserve">así como lo establecido en el artículo 4 de la Resolución 1707 de 2018 expedida por esta Entidad, </w:t>
      </w:r>
      <w:r w:rsidRPr="00C628F9">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28</w:t>
      </w:r>
      <w:r w:rsidRPr="00C628F9">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 xml:space="preserve">agosto </w:t>
      </w:r>
      <w:r w:rsidRPr="00C628F9">
        <w:rPr>
          <w:rFonts w:ascii="Verdana" w:eastAsia="Calibri" w:hAnsi="Verdana" w:cs="Arial"/>
          <w:color w:val="000000" w:themeColor="text1"/>
          <w:lang w:val="es-ES" w:eastAsia="es-ES"/>
        </w:rPr>
        <w:t>del 202</w:t>
      </w:r>
      <w:r>
        <w:rPr>
          <w:rFonts w:ascii="Verdana" w:eastAsia="Calibri" w:hAnsi="Verdana" w:cs="Arial"/>
          <w:color w:val="000000" w:themeColor="text1"/>
          <w:lang w:val="es-ES" w:eastAsia="es-ES"/>
        </w:rPr>
        <w:t>6,</w:t>
      </w:r>
      <w:r w:rsidRPr="00C628F9">
        <w:rPr>
          <w:rFonts w:ascii="Verdana" w:eastAsia="Calibri" w:hAnsi="Verdana" w:cs="Arial"/>
          <w:color w:val="000000" w:themeColor="text1"/>
          <w:lang w:val="es-ES" w:eastAsia="es-ES"/>
        </w:rPr>
        <w:t xml:space="preserve"> en la cual manifiesta lo siguiente: </w:t>
      </w:r>
    </w:p>
    <w:p w14:paraId="34560A82" w14:textId="77777777" w:rsidR="00BB7C35" w:rsidRPr="00C628F9" w:rsidRDefault="00BB7C35" w:rsidP="00BB7C35">
      <w:pPr>
        <w:spacing w:after="0" w:line="276" w:lineRule="auto"/>
        <w:jc w:val="both"/>
        <w:rPr>
          <w:rFonts w:ascii="Verdana" w:eastAsia="Calibri" w:hAnsi="Verdana" w:cs="Arial"/>
          <w:color w:val="000000" w:themeColor="text1"/>
          <w:lang w:val="es-ES" w:eastAsia="es-ES"/>
        </w:rPr>
      </w:pPr>
    </w:p>
    <w:p w14:paraId="63DDE7B4" w14:textId="77777777" w:rsidR="00BB7C35" w:rsidRPr="009375C4" w:rsidRDefault="00BB7C35" w:rsidP="00BB7C35">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9375C4">
        <w:rPr>
          <w:rFonts w:ascii="Verdana" w:eastAsia="Century Gothic" w:hAnsi="Verdana" w:cs="Century Gothic"/>
          <w:color w:val="000000" w:themeColor="text1"/>
          <w:sz w:val="20"/>
          <w:szCs w:val="20"/>
          <w:lang w:val="es-ES"/>
        </w:rPr>
        <w:t>“</w:t>
      </w:r>
      <w:bookmarkEnd w:id="1"/>
      <w:r w:rsidRPr="009375C4">
        <w:rPr>
          <w:rFonts w:ascii="Verdana" w:eastAsia="Century Gothic" w:hAnsi="Verdana" w:cs="Century Gothic"/>
          <w:color w:val="000000" w:themeColor="text1"/>
          <w:sz w:val="20"/>
          <w:szCs w:val="20"/>
          <w:lang w:val="es-ES"/>
        </w:rPr>
        <w:t>[…]</w:t>
      </w:r>
    </w:p>
    <w:p w14:paraId="530ED35C" w14:textId="77777777" w:rsidR="00BB7C35" w:rsidRPr="009375C4" w:rsidRDefault="00BB7C35" w:rsidP="00BB7C35">
      <w:pPr>
        <w:spacing w:after="0" w:line="240" w:lineRule="auto"/>
        <w:ind w:left="709" w:right="709"/>
        <w:jc w:val="both"/>
        <w:rPr>
          <w:rFonts w:ascii="Verdana" w:hAnsi="Verdana"/>
          <w:sz w:val="20"/>
          <w:szCs w:val="20"/>
        </w:rPr>
      </w:pPr>
      <w:r w:rsidRPr="009375C4">
        <w:rPr>
          <w:rFonts w:ascii="Verdana" w:eastAsia="Century Gothic" w:hAnsi="Verdana" w:cs="Century Gothic"/>
          <w:color w:val="000000" w:themeColor="text1"/>
          <w:sz w:val="20"/>
          <w:szCs w:val="20"/>
          <w:lang w:val="es-ES"/>
        </w:rPr>
        <w:t xml:space="preserve"> </w:t>
      </w:r>
      <w:r w:rsidRPr="009375C4">
        <w:rPr>
          <w:rFonts w:ascii="Verdana" w:hAnsi="Verdana"/>
          <w:sz w:val="20"/>
          <w:szCs w:val="20"/>
        </w:rPr>
        <w:t xml:space="preserve">1. ¿Es jurídicamente procedente pactar la terminación anticipada por mutuo acuerdo de un contrato de prestación de servicios fijando efectos retroactivos, esto es, señalando como fecha de terminación una anterior a la de suscripción del respectivo acuerdo? (Por ejemplo, que el contratista solicite la terminación el 5 de agosto, pero pretendiendo que sus efectos operen desde el 30 de junio anterior.) </w:t>
      </w:r>
    </w:p>
    <w:p w14:paraId="7ACF4AA2" w14:textId="77777777" w:rsidR="00BB7C35" w:rsidRPr="009375C4" w:rsidRDefault="00BB7C35" w:rsidP="00BB7C35">
      <w:pPr>
        <w:spacing w:after="0" w:line="240" w:lineRule="auto"/>
        <w:ind w:left="709" w:right="709"/>
        <w:jc w:val="both"/>
        <w:rPr>
          <w:rFonts w:ascii="Verdana" w:hAnsi="Verdana"/>
          <w:sz w:val="20"/>
          <w:szCs w:val="20"/>
        </w:rPr>
      </w:pPr>
    </w:p>
    <w:p w14:paraId="7D6F1D5D" w14:textId="77777777" w:rsidR="00BB7C35" w:rsidRDefault="00BB7C35" w:rsidP="00BB7C35">
      <w:pPr>
        <w:spacing w:after="0" w:line="240" w:lineRule="auto"/>
        <w:ind w:left="709" w:right="709"/>
        <w:jc w:val="both"/>
        <w:rPr>
          <w:rFonts w:ascii="Verdana" w:hAnsi="Verdana"/>
          <w:sz w:val="20"/>
          <w:szCs w:val="20"/>
        </w:rPr>
      </w:pPr>
      <w:r w:rsidRPr="009375C4">
        <w:rPr>
          <w:rFonts w:ascii="Verdana" w:hAnsi="Verdana"/>
          <w:sz w:val="20"/>
          <w:szCs w:val="20"/>
        </w:rPr>
        <w:t xml:space="preserve">2. En caso afirmativo, ¿qué requisitos, límites o condiciones deben observarse para su validez, y cómo se concilia con la regla general de que los negocios jurídicos producen efectos hacia el futuro? </w:t>
      </w:r>
    </w:p>
    <w:p w14:paraId="2AC66402" w14:textId="77777777" w:rsidR="00BB7C35" w:rsidRPr="009375C4" w:rsidRDefault="00BB7C35" w:rsidP="00BB7C35">
      <w:pPr>
        <w:spacing w:after="0" w:line="240" w:lineRule="auto"/>
        <w:ind w:left="709" w:right="709"/>
        <w:jc w:val="both"/>
        <w:rPr>
          <w:rFonts w:ascii="Verdana" w:hAnsi="Verdana"/>
          <w:sz w:val="20"/>
          <w:szCs w:val="20"/>
        </w:rPr>
      </w:pPr>
    </w:p>
    <w:p w14:paraId="17F777DF" w14:textId="77777777" w:rsidR="00BB7C35" w:rsidRPr="009375C4" w:rsidRDefault="00BB7C35" w:rsidP="00BB7C35">
      <w:pPr>
        <w:spacing w:after="0" w:line="240" w:lineRule="auto"/>
        <w:ind w:left="709" w:right="709"/>
        <w:jc w:val="both"/>
        <w:rPr>
          <w:rFonts w:ascii="Verdana" w:hAnsi="Verdana"/>
          <w:sz w:val="20"/>
          <w:szCs w:val="20"/>
        </w:rPr>
      </w:pPr>
      <w:r w:rsidRPr="009375C4">
        <w:rPr>
          <w:rFonts w:ascii="Verdana" w:hAnsi="Verdana"/>
          <w:sz w:val="20"/>
          <w:szCs w:val="20"/>
        </w:rPr>
        <w:lastRenderedPageBreak/>
        <w:t xml:space="preserve">3. ¿Qué incidencia tiene, para efectos de la validez y de la fecha de los efectos de la terminación, el hecho de que, con posterioridad a la fecha de terminación pretendida, el contrato no se hubiere terminado formalmente y el contratista hubiere mantenido vigentes designaciones o encargos derivados del mismo (por ejemplo, la condición de apoderado judicial hasta el 10 de agosto), con independencia de que se acredite o no la ejecución material de actividades en ese período? </w:t>
      </w:r>
    </w:p>
    <w:p w14:paraId="0BBE6302" w14:textId="77777777" w:rsidR="00BB7C35" w:rsidRPr="009375C4" w:rsidRDefault="00BB7C35" w:rsidP="00BB7C35">
      <w:pPr>
        <w:spacing w:after="0" w:line="240" w:lineRule="auto"/>
        <w:ind w:left="709" w:right="709"/>
        <w:jc w:val="both"/>
        <w:rPr>
          <w:rFonts w:ascii="Verdana" w:hAnsi="Verdana"/>
          <w:sz w:val="20"/>
          <w:szCs w:val="20"/>
        </w:rPr>
      </w:pPr>
    </w:p>
    <w:p w14:paraId="21E8F1A9" w14:textId="77777777" w:rsidR="00BB7C35" w:rsidRPr="009375C4" w:rsidRDefault="00BB7C35" w:rsidP="00BB7C35">
      <w:pPr>
        <w:spacing w:after="0" w:line="240" w:lineRule="auto"/>
        <w:ind w:left="709" w:right="709"/>
        <w:jc w:val="both"/>
        <w:rPr>
          <w:rFonts w:ascii="Verdana" w:hAnsi="Verdana"/>
          <w:sz w:val="20"/>
          <w:szCs w:val="20"/>
        </w:rPr>
      </w:pPr>
      <w:r w:rsidRPr="009375C4">
        <w:rPr>
          <w:rFonts w:ascii="Verdana" w:hAnsi="Verdana"/>
          <w:sz w:val="20"/>
          <w:szCs w:val="20"/>
        </w:rPr>
        <w:t xml:space="preserve">4. ¿Cómo debe tratarse, para efectos del reconocimiento y pago, el período comprendido entre la fecha de terminación pretendida (retroactiva) y la fecha real del acuerdo? ¿Puede la entidad entender terminado el contrato en una fecha anterior a aquella en la que el contratista aún mantenía vigentes tales designaciones o encargos y en la que el contrato no había sido formalmente terminado? </w:t>
      </w:r>
    </w:p>
    <w:p w14:paraId="008BA123" w14:textId="77777777" w:rsidR="00BB7C35" w:rsidRPr="009375C4" w:rsidRDefault="00BB7C35" w:rsidP="00BB7C35">
      <w:pPr>
        <w:spacing w:after="0" w:line="240" w:lineRule="auto"/>
        <w:ind w:left="709" w:right="709"/>
        <w:jc w:val="both"/>
        <w:rPr>
          <w:rFonts w:ascii="Verdana" w:hAnsi="Verdana"/>
          <w:sz w:val="20"/>
          <w:szCs w:val="20"/>
        </w:rPr>
      </w:pPr>
    </w:p>
    <w:p w14:paraId="07B16CCC" w14:textId="77777777" w:rsidR="00BB7C35" w:rsidRPr="009375C4" w:rsidRDefault="00BB7C35" w:rsidP="00BB7C35">
      <w:pPr>
        <w:spacing w:after="0" w:line="240" w:lineRule="auto"/>
        <w:ind w:left="709" w:right="709"/>
        <w:jc w:val="both"/>
        <w:rPr>
          <w:rFonts w:ascii="Verdana" w:hAnsi="Verdana"/>
          <w:sz w:val="20"/>
          <w:szCs w:val="20"/>
        </w:rPr>
      </w:pPr>
      <w:r w:rsidRPr="009375C4">
        <w:rPr>
          <w:rFonts w:ascii="Verdana" w:hAnsi="Verdana"/>
          <w:sz w:val="20"/>
          <w:szCs w:val="20"/>
        </w:rPr>
        <w:t>5. Frente a ese mismo período, ¿sobre quién recae el deber de verificación y supervisión y cómo incide dicha verificación —o su ausencia— en la procedencia del reconocimiento económico, teniendo en cuenta la función de supervisión prevista en los artículos 83 y 84 de la Ley 1474 de 2011?</w:t>
      </w:r>
      <w:r w:rsidRPr="009375C4">
        <w:rPr>
          <w:rFonts w:ascii="Verdana" w:eastAsia="Century Gothic" w:hAnsi="Verdana" w:cs="Century Gothic"/>
          <w:color w:val="000000" w:themeColor="text1"/>
          <w:sz w:val="20"/>
          <w:szCs w:val="20"/>
          <w:lang w:val="es-ES"/>
        </w:rPr>
        <w:t xml:space="preserve"> […]”</w:t>
      </w:r>
    </w:p>
    <w:p w14:paraId="3CA7809D" w14:textId="77777777" w:rsidR="00BB7C35" w:rsidRPr="00C628F9" w:rsidRDefault="00BB7C35" w:rsidP="00BB7C35">
      <w:pPr>
        <w:spacing w:after="0" w:line="240" w:lineRule="auto"/>
        <w:ind w:left="709" w:right="709"/>
        <w:jc w:val="both"/>
        <w:rPr>
          <w:rFonts w:ascii="Verdana" w:eastAsia="Times New Roman" w:hAnsi="Verdana" w:cs="Arial"/>
          <w:i/>
          <w:iCs/>
          <w:sz w:val="20"/>
          <w:szCs w:val="20"/>
          <w:lang w:eastAsia="es-ES_tradnl"/>
        </w:rPr>
      </w:pPr>
    </w:p>
    <w:p w14:paraId="00FDD65A" w14:textId="77777777" w:rsidR="00BB7C35" w:rsidRPr="00C628F9" w:rsidRDefault="00BB7C35" w:rsidP="00BB7C35">
      <w:pPr>
        <w:spacing w:after="120" w:line="276" w:lineRule="auto"/>
        <w:ind w:firstLine="709"/>
        <w:jc w:val="both"/>
        <w:rPr>
          <w:rFonts w:ascii="Verdana" w:eastAsia="Calibri" w:hAnsi="Verdana" w:cs="Arial"/>
          <w:color w:val="000000" w:themeColor="text1"/>
          <w:szCs w:val="24"/>
          <w:lang w:val="es-ES_tradnl" w:eastAsia="es-ES_tradnl"/>
        </w:rPr>
      </w:pPr>
      <w:r w:rsidRPr="00C628F9">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628F9">
        <w:rPr>
          <w:rFonts w:ascii="Verdana" w:eastAsia="Calibri" w:hAnsi="Verdana" w:cs="Arial"/>
          <w:color w:val="000000" w:themeColor="text1"/>
          <w:szCs w:val="24"/>
          <w:lang w:val="es-ES_tradnl" w:eastAsia="es-ES_tradnl"/>
        </w:rPr>
        <w:tab/>
      </w:r>
    </w:p>
    <w:p w14:paraId="2514E542" w14:textId="77777777" w:rsidR="00BB7C35" w:rsidRPr="00C628F9" w:rsidRDefault="00BB7C35" w:rsidP="00BB7C35">
      <w:pPr>
        <w:spacing w:after="0" w:line="276" w:lineRule="auto"/>
        <w:ind w:firstLine="709"/>
        <w:jc w:val="both"/>
        <w:rPr>
          <w:rFonts w:ascii="Verdana" w:eastAsia="Calibri" w:hAnsi="Verdana" w:cs="Arial"/>
          <w:color w:val="000000" w:themeColor="text1"/>
          <w:lang w:val="es-ES" w:eastAsia="es-ES"/>
        </w:rPr>
      </w:pPr>
      <w:r w:rsidRPr="00C628F9">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DABCF0C" w14:textId="77777777" w:rsidR="00BB7C35" w:rsidRPr="00C628F9" w:rsidRDefault="00BB7C35" w:rsidP="00BB7C35">
      <w:pPr>
        <w:spacing w:after="0" w:line="276" w:lineRule="auto"/>
        <w:ind w:firstLine="709"/>
        <w:jc w:val="both"/>
        <w:rPr>
          <w:rFonts w:ascii="Verdana" w:eastAsia="Calibri" w:hAnsi="Verdana" w:cs="Arial"/>
          <w:color w:val="000000" w:themeColor="text1"/>
          <w:lang w:val="es-ES" w:eastAsia="es-ES"/>
        </w:rPr>
      </w:pPr>
    </w:p>
    <w:p w14:paraId="3332DBEF" w14:textId="77777777" w:rsidR="00BB7C35" w:rsidRPr="00C628F9" w:rsidRDefault="00BB7C35" w:rsidP="00BB7C3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C628F9">
        <w:rPr>
          <w:rFonts w:ascii="Verdana" w:eastAsia="Century Gothic" w:hAnsi="Verdana" w:cs="Century Gothic"/>
          <w:b/>
          <w:bCs/>
          <w:color w:val="000000" w:themeColor="text1"/>
        </w:rPr>
        <w:t>Problema planteado:</w:t>
      </w:r>
    </w:p>
    <w:p w14:paraId="412C367B" w14:textId="77777777" w:rsidR="00BB7C35" w:rsidRPr="00C628F9" w:rsidRDefault="00BB7C35" w:rsidP="00BB7C35">
      <w:pPr>
        <w:tabs>
          <w:tab w:val="left" w:pos="426"/>
        </w:tabs>
        <w:spacing w:after="0" w:line="276" w:lineRule="auto"/>
        <w:jc w:val="both"/>
        <w:rPr>
          <w:rFonts w:ascii="Verdana" w:eastAsia="Century Gothic" w:hAnsi="Verdana" w:cs="Century Gothic"/>
          <w:color w:val="000000" w:themeColor="text1"/>
          <w:lang w:val="es-ES"/>
        </w:rPr>
      </w:pPr>
    </w:p>
    <w:p w14:paraId="5832D5ED" w14:textId="77777777" w:rsidR="00BB7C35" w:rsidRPr="00C628F9" w:rsidRDefault="00BB7C35" w:rsidP="00BB7C35">
      <w:pPr>
        <w:spacing w:after="0" w:line="276" w:lineRule="auto"/>
        <w:jc w:val="both"/>
        <w:rPr>
          <w:rFonts w:ascii="Verdana" w:eastAsia="Century Gothic" w:hAnsi="Verdana" w:cs="Century Gothic"/>
          <w:color w:val="000000" w:themeColor="text1"/>
        </w:rPr>
      </w:pPr>
      <w:r w:rsidRPr="00C628F9">
        <w:rPr>
          <w:rFonts w:ascii="Verdana" w:eastAsia="Century Gothic" w:hAnsi="Verdana" w:cs="Century Gothic"/>
          <w:color w:val="000000" w:themeColor="text1"/>
        </w:rPr>
        <w:t xml:space="preserve">De acuerdo con el contenido de su solicitud, esta Agencia resolverá el siguiente problema jurídico: </w:t>
      </w:r>
      <w:r w:rsidRPr="00E839DA">
        <w:rPr>
          <w:rFonts w:ascii="Verdana" w:eastAsia="Century Gothic" w:hAnsi="Verdana" w:cs="Century Gothic"/>
          <w:color w:val="000000" w:themeColor="text1"/>
        </w:rPr>
        <w:t>¿Es jurídicamente procedente pactar la terminación anticipada por mutuo acuerdo de un contrato de prestación de servicios fijando efectos retroactivos</w:t>
      </w:r>
      <w:r>
        <w:rPr>
          <w:rFonts w:ascii="Verdana" w:eastAsia="Century Gothic" w:hAnsi="Verdana" w:cs="Century Gothic"/>
          <w:color w:val="000000" w:themeColor="text1"/>
        </w:rPr>
        <w:t>?</w:t>
      </w:r>
    </w:p>
    <w:p w14:paraId="3145C0F6" w14:textId="77777777" w:rsidR="00BB7C35" w:rsidRPr="00C628F9" w:rsidRDefault="00BB7C35" w:rsidP="00BB7C35">
      <w:pPr>
        <w:spacing w:after="0" w:line="276" w:lineRule="auto"/>
        <w:jc w:val="both"/>
        <w:rPr>
          <w:rFonts w:ascii="Verdana" w:eastAsia="Calibri" w:hAnsi="Verdana" w:cs="Arial"/>
          <w:color w:val="000000" w:themeColor="text1"/>
          <w:lang w:val="es-ES"/>
        </w:rPr>
      </w:pPr>
    </w:p>
    <w:p w14:paraId="5C086B5E" w14:textId="77777777" w:rsidR="00BB7C35" w:rsidRPr="00C628F9" w:rsidRDefault="00BB7C35" w:rsidP="00BB7C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628F9">
        <w:rPr>
          <w:rFonts w:ascii="Verdana" w:eastAsia="Century Gothic" w:hAnsi="Verdana" w:cs="Century Gothic"/>
          <w:b/>
          <w:bCs/>
          <w:color w:val="000000" w:themeColor="text1"/>
        </w:rPr>
        <w:t xml:space="preserve">Respuesta: </w:t>
      </w:r>
    </w:p>
    <w:p w14:paraId="4A0BD25C" w14:textId="77777777" w:rsidR="00BB7C35" w:rsidRPr="00C628F9" w:rsidRDefault="00BB7C35" w:rsidP="00BB7C35">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B7C35" w:rsidRPr="00C628F9" w14:paraId="3584FFCB" w14:textId="77777777" w:rsidTr="009A4F88">
        <w:tc>
          <w:tcPr>
            <w:tcW w:w="8828" w:type="dxa"/>
          </w:tcPr>
          <w:p w14:paraId="4291EBC3" w14:textId="77777777" w:rsidR="00BB7C35" w:rsidRDefault="00BB7C35" w:rsidP="009A4F88">
            <w:pPr>
              <w:spacing w:after="120" w:line="276" w:lineRule="auto"/>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L</w:t>
            </w:r>
            <w:r w:rsidRPr="001A361D">
              <w:rPr>
                <w:rFonts w:ascii="Verdana" w:eastAsia="Calibri" w:hAnsi="Verdana" w:cs="Arial"/>
                <w:bCs/>
                <w:color w:val="000000" w:themeColor="text1"/>
                <w:lang w:val="es-ES_tradnl"/>
              </w:rPr>
              <w:t>a terminación anticipada por mutuo acuerdo de un contrato de prestación de servicios resulta jurídicamente procedente, en ejercicio de la autonomía de la voluntad de las partes, siempre que exista consentimiento de la entidad estatal y del contratista y que dicho acuerdo se formalice por escrito. Esta figura permite extinguir anticipadamente el vínculo contractual cuando las partes así lo acuerdan, de conformidad con las condiciones que, en cada caso, hayan previsto, sin que ello implique desconocer las obligaciones y prestaciones causadas durante el período de ejecución.</w:t>
            </w:r>
          </w:p>
          <w:p w14:paraId="730E7798" w14:textId="77777777" w:rsidR="00BB7C35" w:rsidRDefault="00BB7C35" w:rsidP="009A4F88">
            <w:pPr>
              <w:widowControl w:val="0"/>
              <w:autoSpaceDE w:val="0"/>
              <w:autoSpaceDN w:val="0"/>
              <w:spacing w:before="120" w:after="120" w:line="276" w:lineRule="auto"/>
              <w:ind w:firstLine="708"/>
              <w:jc w:val="both"/>
              <w:rPr>
                <w:rFonts w:ascii="Verdana" w:hAnsi="Verdana" w:cs="Arial"/>
              </w:rPr>
            </w:pPr>
            <w:r>
              <w:rPr>
                <w:rFonts w:ascii="Verdana" w:hAnsi="Verdana" w:cs="Arial"/>
              </w:rPr>
              <w:t>E</w:t>
            </w:r>
            <w:r w:rsidRPr="006E1845">
              <w:rPr>
                <w:rFonts w:ascii="Verdana" w:hAnsi="Verdana" w:cs="Arial"/>
              </w:rPr>
              <w:t xml:space="preserve">n cuanto a los efectos temporales del acuerdo de terminación anticipada, debe distinguirse entre la fecha </w:t>
            </w:r>
            <w:r>
              <w:rPr>
                <w:rFonts w:ascii="Verdana" w:hAnsi="Verdana" w:cs="Arial"/>
              </w:rPr>
              <w:t xml:space="preserve">de suscripción </w:t>
            </w:r>
            <w:r w:rsidRPr="006E1845">
              <w:rPr>
                <w:rFonts w:ascii="Verdana" w:hAnsi="Verdana" w:cs="Arial"/>
              </w:rPr>
              <w:t>y la fecha a partir de la cual se produce la cesación de</w:t>
            </w:r>
            <w:r>
              <w:rPr>
                <w:rFonts w:ascii="Verdana" w:hAnsi="Verdana" w:cs="Arial"/>
              </w:rPr>
              <w:t>l plazo de</w:t>
            </w:r>
            <w:r w:rsidRPr="006E1845">
              <w:rPr>
                <w:rFonts w:ascii="Verdana" w:hAnsi="Verdana" w:cs="Arial"/>
              </w:rPr>
              <w:t xml:space="preserve"> ejecución contractual. La terminación por mutuo acuerdo </w:t>
            </w:r>
            <w:r w:rsidRPr="00293F4B">
              <w:rPr>
                <w:rFonts w:ascii="Verdana" w:hAnsi="Verdana" w:cs="Arial"/>
                <w:color w:val="000000" w:themeColor="text1"/>
                <w:lang w:eastAsia="es-ES"/>
              </w:rPr>
              <w:t>alcanza existencia, validez y eficacia jurídica cuando se perfecciona por escrito mediante el acuerdo de voluntades de las partes, observando las mismas formalidades exigidas para la celebración del contrato</w:t>
            </w:r>
            <w:r w:rsidRPr="006E1845">
              <w:rPr>
                <w:rFonts w:ascii="Verdana" w:hAnsi="Verdana" w:cs="Arial"/>
              </w:rPr>
              <w:t>. A partir de dicha consideración, la terminación produce</w:t>
            </w:r>
            <w:r>
              <w:rPr>
                <w:rFonts w:ascii="Verdana" w:hAnsi="Verdana" w:cs="Arial"/>
              </w:rPr>
              <w:t xml:space="preserve"> </w:t>
            </w:r>
            <w:r w:rsidRPr="006E1845">
              <w:rPr>
                <w:rFonts w:ascii="Verdana" w:hAnsi="Verdana" w:cs="Arial"/>
              </w:rPr>
              <w:t xml:space="preserve">efectos hacia el futuro en el sentido de que extingue el vínculo contractual sin desconocer las situaciones jurídicas, prestaciones y obligaciones que se hubieren causado durante el período en que el contrato estuvo vigente. </w:t>
            </w:r>
            <w:r>
              <w:rPr>
                <w:rFonts w:ascii="Verdana" w:hAnsi="Verdana" w:cs="Arial"/>
              </w:rPr>
              <w:t xml:space="preserve">De esta forma, </w:t>
            </w:r>
            <w:r w:rsidRPr="006E1845">
              <w:rPr>
                <w:rFonts w:ascii="Verdana" w:hAnsi="Verdana" w:cs="Arial"/>
              </w:rPr>
              <w:t xml:space="preserve">la terminación no tiene por objeto </w:t>
            </w:r>
            <w:r>
              <w:rPr>
                <w:rFonts w:ascii="Verdana" w:hAnsi="Verdana" w:cs="Arial"/>
              </w:rPr>
              <w:t>eliminar</w:t>
            </w:r>
            <w:r w:rsidRPr="006E1845">
              <w:rPr>
                <w:rFonts w:ascii="Verdana" w:hAnsi="Verdana" w:cs="Arial"/>
              </w:rPr>
              <w:t xml:space="preserve"> las prestaciones efectivamente ejecutadas ni desconocer los efectos jurídicos producidos durante la ejecución.</w:t>
            </w:r>
          </w:p>
          <w:p w14:paraId="0D0F07AB" w14:textId="77777777" w:rsidR="00BB7C35" w:rsidRDefault="00BB7C35" w:rsidP="009A4F88">
            <w:pPr>
              <w:widowControl w:val="0"/>
              <w:autoSpaceDE w:val="0"/>
              <w:autoSpaceDN w:val="0"/>
              <w:spacing w:before="120" w:after="120" w:line="276" w:lineRule="auto"/>
              <w:ind w:firstLine="708"/>
              <w:jc w:val="both"/>
              <w:rPr>
                <w:rFonts w:ascii="Verdana" w:hAnsi="Verdana" w:cs="Arial"/>
              </w:rPr>
            </w:pPr>
            <w:r>
              <w:rPr>
                <w:rFonts w:ascii="Verdana" w:hAnsi="Verdana" w:cs="Arial"/>
              </w:rPr>
              <w:t xml:space="preserve">En consecuencia, de acuerdo con el ejemplo de su consulta, </w:t>
            </w:r>
            <w:r w:rsidRPr="0004662C">
              <w:rPr>
                <w:rFonts w:ascii="Verdana" w:hAnsi="Verdana" w:cs="Arial"/>
              </w:rPr>
              <w:t xml:space="preserve">si las partes suscriben </w:t>
            </w:r>
            <w:r>
              <w:rPr>
                <w:rFonts w:ascii="Verdana" w:hAnsi="Verdana" w:cs="Arial"/>
              </w:rPr>
              <w:t xml:space="preserve">la </w:t>
            </w:r>
            <w:r w:rsidRPr="0004662C">
              <w:rPr>
                <w:rFonts w:ascii="Verdana" w:hAnsi="Verdana" w:cs="Arial"/>
              </w:rPr>
              <w:t xml:space="preserve">terminación anticipada </w:t>
            </w:r>
            <w:r>
              <w:rPr>
                <w:rFonts w:ascii="Verdana" w:hAnsi="Verdana" w:cs="Arial"/>
              </w:rPr>
              <w:t xml:space="preserve">del contrato </w:t>
            </w:r>
            <w:r w:rsidRPr="0004662C">
              <w:rPr>
                <w:rFonts w:ascii="Verdana" w:hAnsi="Verdana" w:cs="Arial"/>
              </w:rPr>
              <w:t>el 5 de agosto, podrán convenir que la ejecución contractual culmine en esa misma fecha o establecer una fecha posterior a la suscripción del acuerdo, siempre que esta sea anterior al vencimiento del plazo inicialmente pactado</w:t>
            </w:r>
            <w:r>
              <w:rPr>
                <w:rFonts w:ascii="Verdana" w:hAnsi="Verdana" w:cs="Arial"/>
              </w:rPr>
              <w:t xml:space="preserve">. </w:t>
            </w:r>
            <w:r w:rsidRPr="008269D3">
              <w:rPr>
                <w:rFonts w:ascii="Verdana" w:hAnsi="Verdana" w:cs="Arial"/>
              </w:rPr>
              <w:t>En este último supuesto, el acuerdo produce sus efectos extintivos a partir de la fecha expresamente convenida</w:t>
            </w:r>
            <w:r>
              <w:rPr>
                <w:rFonts w:ascii="Verdana" w:hAnsi="Verdana" w:cs="Arial"/>
              </w:rPr>
              <w:t xml:space="preserve"> y no podría generar efectos retroactivos, pues no se pueden desconocer </w:t>
            </w:r>
            <w:r w:rsidRPr="00777288">
              <w:rPr>
                <w:rFonts w:ascii="Verdana" w:hAnsi="Verdana" w:cs="Arial"/>
              </w:rPr>
              <w:t xml:space="preserve">las obligaciones, prestaciones, derechos y demás consecuencias </w:t>
            </w:r>
            <w:r w:rsidRPr="00777288">
              <w:rPr>
                <w:rFonts w:ascii="Verdana" w:hAnsi="Verdana" w:cs="Arial"/>
              </w:rPr>
              <w:lastRenderedPageBreak/>
              <w:t xml:space="preserve">jurídicas que se hubieren producido durante </w:t>
            </w:r>
            <w:r>
              <w:rPr>
                <w:rFonts w:ascii="Verdana" w:hAnsi="Verdana" w:cs="Arial"/>
              </w:rPr>
              <w:t xml:space="preserve">este tiempo. </w:t>
            </w:r>
          </w:p>
          <w:p w14:paraId="14A5F1EE" w14:textId="77777777" w:rsidR="00BB7C35" w:rsidRDefault="00BB7C35" w:rsidP="009A4F88">
            <w:pPr>
              <w:widowControl w:val="0"/>
              <w:autoSpaceDE w:val="0"/>
              <w:autoSpaceDN w:val="0"/>
              <w:spacing w:before="120" w:after="120" w:line="276" w:lineRule="auto"/>
              <w:ind w:firstLine="708"/>
              <w:jc w:val="both"/>
              <w:rPr>
                <w:rFonts w:ascii="Verdana" w:hAnsi="Verdana" w:cs="Arial"/>
              </w:rPr>
            </w:pPr>
            <w:r w:rsidRPr="005019D7">
              <w:rPr>
                <w:rFonts w:ascii="Verdana" w:hAnsi="Verdana" w:cs="Arial"/>
              </w:rPr>
              <w:t>En este contexto, en principio, el reconocimiento económico deberá efectuarse respecto de las actividades efectivamente ejecutadas durante la vigencia del vínculo contractual, esto es, hasta la fecha de suscripción del acta de terminación o hasta aquella que, de manera expresa, se haya establecido en dicho documento, según corresponda. Durante este período, corresponde al supervisor del contrato realizar el seguimiento y la verificación necesarios para determinar el cumplimiento del objeto y de las obligaciones contractuales, así como adoptar o promover las actuaciones que resulten procedentes frente a eventuales incumplimientos.</w:t>
            </w:r>
          </w:p>
          <w:p w14:paraId="3D3F03E3" w14:textId="77777777" w:rsidR="00BB7C35" w:rsidRPr="006C01BF" w:rsidRDefault="00BB7C35" w:rsidP="009A4F88">
            <w:pPr>
              <w:spacing w:line="276" w:lineRule="auto"/>
              <w:ind w:firstLine="708"/>
              <w:jc w:val="both"/>
              <w:rPr>
                <w:rFonts w:ascii="Verdana" w:eastAsia="Calibri" w:hAnsi="Verdana" w:cs="Arial"/>
                <w:bCs/>
                <w:color w:val="000000" w:themeColor="text1"/>
              </w:rPr>
            </w:pPr>
            <w:r w:rsidRPr="00F37F48">
              <w:rPr>
                <w:rFonts w:ascii="Verdana" w:eastAsia="Calibri" w:hAnsi="Verdana" w:cs="Arial"/>
                <w:bCs/>
                <w:color w:val="000000" w:themeColor="text1"/>
              </w:rPr>
              <w:t xml:space="preserve">Dentro de este marco, corresponde a cada entidad pública, en ejercicio de su competencia, determinar la forma en la cual se llevará a cabo la gestión </w:t>
            </w:r>
            <w:r>
              <w:rPr>
                <w:rFonts w:ascii="Verdana" w:eastAsia="Calibri" w:hAnsi="Verdana" w:cs="Arial"/>
                <w:bCs/>
                <w:color w:val="000000" w:themeColor="text1"/>
              </w:rPr>
              <w:t xml:space="preserve">contractual </w:t>
            </w:r>
            <w:r w:rsidRPr="00F37F48">
              <w:rPr>
                <w:rFonts w:ascii="Verdana" w:eastAsia="Calibri" w:hAnsi="Verdana" w:cs="Arial"/>
                <w:bCs/>
                <w:color w:val="000000" w:themeColor="text1"/>
              </w:rPr>
              <w:t xml:space="preserve">en un proceso de contratación en particular.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4A55F0E7" w14:textId="77777777" w:rsidR="00BB7C35" w:rsidRPr="00C628F9" w:rsidRDefault="00BB7C35" w:rsidP="00BB7C35">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E07A5CF" w14:textId="77777777" w:rsidR="00BB7C35" w:rsidRPr="00C628F9" w:rsidRDefault="00BB7C35" w:rsidP="00BB7C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628F9">
        <w:rPr>
          <w:rFonts w:ascii="Verdana" w:eastAsia="Century Gothic" w:hAnsi="Verdana" w:cs="Century Gothic"/>
          <w:b/>
          <w:bCs/>
          <w:color w:val="000000" w:themeColor="text1"/>
        </w:rPr>
        <w:t>Razones de la respuesta:</w:t>
      </w:r>
    </w:p>
    <w:p w14:paraId="6670D282" w14:textId="77777777" w:rsidR="00BB7C35" w:rsidRPr="00C628F9" w:rsidRDefault="00BB7C35" w:rsidP="00BB7C35">
      <w:pPr>
        <w:spacing w:after="0" w:line="276" w:lineRule="auto"/>
        <w:jc w:val="both"/>
        <w:rPr>
          <w:rFonts w:ascii="Verdana" w:eastAsia="Calibri" w:hAnsi="Verdana" w:cs="Arial"/>
          <w:color w:val="000000" w:themeColor="text1"/>
          <w:lang w:val="es-ES"/>
        </w:rPr>
      </w:pPr>
    </w:p>
    <w:p w14:paraId="1148BD0A" w14:textId="77777777" w:rsidR="00BB7C35" w:rsidRPr="00C628F9" w:rsidRDefault="00BB7C35" w:rsidP="00BB7C35">
      <w:pPr>
        <w:spacing w:after="0" w:line="276" w:lineRule="auto"/>
        <w:jc w:val="both"/>
        <w:rPr>
          <w:rFonts w:ascii="Verdana" w:eastAsia="Calibri" w:hAnsi="Verdana" w:cs="Arial"/>
          <w:color w:val="000000" w:themeColor="text1"/>
          <w:lang w:val="es-ES"/>
        </w:rPr>
      </w:pPr>
      <w:r w:rsidRPr="00C628F9">
        <w:rPr>
          <w:rFonts w:ascii="Verdana" w:eastAsia="Calibri" w:hAnsi="Verdana" w:cs="Arial"/>
          <w:color w:val="000000" w:themeColor="text1"/>
          <w:lang w:val="es-ES"/>
        </w:rPr>
        <w:t xml:space="preserve">Lo anterior se sustenta en las siguientes consideraciones: </w:t>
      </w:r>
    </w:p>
    <w:p w14:paraId="2E88ED1E" w14:textId="77777777" w:rsidR="00BB7C35" w:rsidRPr="00C628F9" w:rsidRDefault="00BB7C35" w:rsidP="00BB7C35">
      <w:pPr>
        <w:widowControl w:val="0"/>
        <w:autoSpaceDE w:val="0"/>
        <w:autoSpaceDN w:val="0"/>
        <w:spacing w:before="120" w:after="120" w:line="276" w:lineRule="auto"/>
        <w:jc w:val="both"/>
        <w:rPr>
          <w:rFonts w:ascii="Verdana" w:hAnsi="Verdana" w:cs="Arial"/>
        </w:rPr>
      </w:pPr>
      <w:r w:rsidRPr="00C628F9">
        <w:rPr>
          <w:rFonts w:ascii="Verdana" w:hAnsi="Verdana" w:cs="Arial"/>
        </w:rPr>
        <w:t xml:space="preserve">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 </w:t>
      </w:r>
    </w:p>
    <w:p w14:paraId="55FD727C" w14:textId="77777777" w:rsidR="00BB7C35" w:rsidRPr="00C628F9" w:rsidRDefault="00BB7C35" w:rsidP="00BB7C35">
      <w:pPr>
        <w:widowControl w:val="0"/>
        <w:autoSpaceDE w:val="0"/>
        <w:autoSpaceDN w:val="0"/>
        <w:spacing w:after="0" w:line="240" w:lineRule="auto"/>
        <w:jc w:val="both"/>
        <w:rPr>
          <w:rFonts w:ascii="Verdana" w:hAnsi="Verdana" w:cs="Arial"/>
        </w:rPr>
      </w:pPr>
    </w:p>
    <w:p w14:paraId="771DF009"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r w:rsidRPr="00C628F9">
        <w:rPr>
          <w:rFonts w:ascii="Verdana"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28E862D"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p>
    <w:p w14:paraId="40BE3E65"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r w:rsidRPr="00C628F9">
        <w:rPr>
          <w:rFonts w:ascii="Verdana" w:hAnsi="Verdana" w:cs="Arial"/>
          <w:sz w:val="20"/>
          <w:szCs w:val="20"/>
        </w:rPr>
        <w:t xml:space="preserve">En ningún caso estos contratos generan relación laboral ni prestaciones </w:t>
      </w:r>
      <w:r w:rsidRPr="00C628F9">
        <w:rPr>
          <w:rFonts w:ascii="Verdana" w:hAnsi="Verdana" w:cs="Arial"/>
          <w:sz w:val="20"/>
          <w:szCs w:val="20"/>
        </w:rPr>
        <w:lastRenderedPageBreak/>
        <w:t>sociales y se celebrarán por el término estrictamente indispensable”.</w:t>
      </w:r>
    </w:p>
    <w:p w14:paraId="5D6C7E8F" w14:textId="77777777" w:rsidR="00BB7C35" w:rsidRPr="00C628F9" w:rsidRDefault="00BB7C35" w:rsidP="00BB7C35">
      <w:pPr>
        <w:widowControl w:val="0"/>
        <w:autoSpaceDE w:val="0"/>
        <w:autoSpaceDN w:val="0"/>
        <w:spacing w:after="0" w:line="276" w:lineRule="auto"/>
        <w:jc w:val="both"/>
        <w:rPr>
          <w:rFonts w:ascii="Verdana" w:hAnsi="Verdana" w:cs="Arial"/>
        </w:rPr>
      </w:pPr>
    </w:p>
    <w:p w14:paraId="264013EF"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r w:rsidRPr="00C628F9">
        <w:rPr>
          <w:rFonts w:ascii="Verdana" w:hAnsi="Verdana" w:cs="Arial"/>
        </w:rPr>
        <w:t>De otro lado, la celebración de dicho contrato se debe efectuar a través de la modalidad de la contratación directa. Así lo prevé el artículo 2, numeral 4º, literal h), de la Ley 1150 de 2007, que dispone:</w:t>
      </w:r>
    </w:p>
    <w:p w14:paraId="03498574" w14:textId="77777777" w:rsidR="00BB7C35" w:rsidRPr="00C628F9" w:rsidRDefault="00BB7C35" w:rsidP="00BB7C35">
      <w:pPr>
        <w:widowControl w:val="0"/>
        <w:autoSpaceDE w:val="0"/>
        <w:autoSpaceDN w:val="0"/>
        <w:spacing w:after="0" w:line="240" w:lineRule="auto"/>
        <w:ind w:firstLine="709"/>
        <w:jc w:val="both"/>
        <w:rPr>
          <w:rFonts w:ascii="Verdana" w:hAnsi="Verdana" w:cs="Arial"/>
        </w:rPr>
      </w:pPr>
    </w:p>
    <w:p w14:paraId="36916D83"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r w:rsidRPr="00C628F9">
        <w:rPr>
          <w:rFonts w:ascii="Verdana" w:hAnsi="Verdana" w:cs="Arial"/>
          <w:sz w:val="20"/>
          <w:szCs w:val="20"/>
        </w:rPr>
        <w:t xml:space="preserve">“[…] Contratación directa. La modalidad de selección de contratación </w:t>
      </w:r>
      <w:proofErr w:type="gramStart"/>
      <w:r w:rsidRPr="00C628F9">
        <w:rPr>
          <w:rFonts w:ascii="Verdana" w:hAnsi="Verdana" w:cs="Arial"/>
          <w:sz w:val="20"/>
          <w:szCs w:val="20"/>
        </w:rPr>
        <w:t>directa,</w:t>
      </w:r>
      <w:proofErr w:type="gramEnd"/>
      <w:r w:rsidRPr="00C628F9">
        <w:rPr>
          <w:rFonts w:ascii="Verdana" w:hAnsi="Verdana" w:cs="Arial"/>
          <w:sz w:val="20"/>
          <w:szCs w:val="20"/>
        </w:rPr>
        <w:t xml:space="preserve"> solamente procederá en los siguientes casos:</w:t>
      </w:r>
    </w:p>
    <w:p w14:paraId="0423012E"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p>
    <w:p w14:paraId="4DF0E9DF"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r w:rsidRPr="00C628F9">
        <w:rPr>
          <w:rFonts w:ascii="Verdana" w:hAnsi="Verdana" w:cs="Arial"/>
          <w:sz w:val="20"/>
          <w:szCs w:val="20"/>
        </w:rPr>
        <w:t>[…]</w:t>
      </w:r>
    </w:p>
    <w:p w14:paraId="2E48F7A4"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r w:rsidRPr="00C628F9">
        <w:rPr>
          <w:rFonts w:ascii="Verdana" w:hAnsi="Verdana" w:cs="Arial"/>
          <w:sz w:val="20"/>
          <w:szCs w:val="20"/>
        </w:rPr>
        <w:t>h) Para la prestación de servicios profesionales y de apoyo a la gestión, o para la ejecución de trabajos artísticos que sólo puedan encomendarse a determinadas personas naturales; […]”.</w:t>
      </w:r>
    </w:p>
    <w:p w14:paraId="40510A12" w14:textId="77777777" w:rsidR="00BB7C35" w:rsidRPr="00C628F9" w:rsidRDefault="00BB7C35" w:rsidP="00BB7C35">
      <w:pPr>
        <w:widowControl w:val="0"/>
        <w:autoSpaceDE w:val="0"/>
        <w:autoSpaceDN w:val="0"/>
        <w:spacing w:after="0" w:line="240" w:lineRule="auto"/>
        <w:jc w:val="both"/>
        <w:rPr>
          <w:rFonts w:ascii="Verdana" w:hAnsi="Verdana" w:cs="Arial"/>
        </w:rPr>
      </w:pPr>
    </w:p>
    <w:p w14:paraId="7FFC36EB"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r w:rsidRPr="00C628F9">
        <w:rPr>
          <w:rFonts w:ascii="Verdana" w:hAnsi="Verdana" w:cs="Aria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09D3C22C"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r w:rsidRPr="00C628F9">
        <w:rPr>
          <w:rFonts w:ascii="Verdana" w:hAnsi="Verdana" w:cs="Arial"/>
        </w:rPr>
        <w:t>i) Solo puede celebrarse para realizar “actividades relacionadas con la administración o funcionamiento de la entidad”, es decir, que hagan parte de su giro ordinario o quehacer cotidiano.</w:t>
      </w:r>
    </w:p>
    <w:p w14:paraId="1BCCBB92"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proofErr w:type="spellStart"/>
      <w:r w:rsidRPr="00C628F9">
        <w:rPr>
          <w:rFonts w:ascii="Verdana" w:hAnsi="Verdana" w:cs="Arial"/>
        </w:rPr>
        <w:t>ii</w:t>
      </w:r>
      <w:proofErr w:type="spellEnd"/>
      <w:r w:rsidRPr="00C628F9">
        <w:rPr>
          <w:rFonts w:ascii="Verdana" w:hAnsi="Verdana" w:cs="Arial"/>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C628F9">
        <w:rPr>
          <w:rStyle w:val="Refdenotaalpie"/>
          <w:rFonts w:ascii="Verdana" w:hAnsi="Verdana" w:cs="Arial"/>
        </w:rPr>
        <w:footnoteReference w:id="1"/>
      </w:r>
      <w:r w:rsidRPr="00C628F9">
        <w:rPr>
          <w:rFonts w:ascii="Verdana" w:hAnsi="Verdana" w:cs="Arial"/>
        </w:rPr>
        <w:t xml:space="preserve">. </w:t>
      </w:r>
      <w:r w:rsidRPr="00C628F9">
        <w:rPr>
          <w:rFonts w:ascii="Verdana" w:hAnsi="Verdana" w:cs="Arial"/>
        </w:rPr>
        <w:lastRenderedPageBreak/>
        <w:t>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1844A29D"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proofErr w:type="spellStart"/>
      <w:r w:rsidRPr="00C628F9">
        <w:rPr>
          <w:rFonts w:ascii="Verdana" w:hAnsi="Verdana" w:cs="Arial"/>
        </w:rPr>
        <w:t>iii</w:t>
      </w:r>
      <w:proofErr w:type="spellEnd"/>
      <w:r w:rsidRPr="00C628F9">
        <w:rPr>
          <w:rFonts w:ascii="Verdana" w:hAnsi="Verdana" w:cs="Arial"/>
        </w:rPr>
        <w:t>) Si bien se celebran para obtener la prestación personal de un servicio, se diferencian del contrato de trabajo</w:t>
      </w:r>
      <w:r w:rsidRPr="00C628F9">
        <w:rPr>
          <w:rStyle w:val="Refdenotaalpie"/>
          <w:rFonts w:ascii="Verdana" w:hAnsi="Verdana" w:cs="Arial"/>
        </w:rPr>
        <w:footnoteReference w:id="2"/>
      </w:r>
      <w:r w:rsidRPr="00C628F9">
        <w:rPr>
          <w:rFonts w:ascii="Verdana" w:hAnsi="Verdana" w:cs="Arial"/>
        </w:rPr>
        <w:t xml:space="preserve"> en que quien celebra el contrato de prestación de servicios debe mantener autonomía e independencia en la ejecución de la labor, lo que significa que no puede existir la </w:t>
      </w:r>
      <w:r w:rsidRPr="00C628F9">
        <w:rPr>
          <w:rFonts w:ascii="Verdana" w:hAnsi="Verdana" w:cs="Arial"/>
          <w:i/>
          <w:iCs/>
        </w:rPr>
        <w:t>subordinación y dependencia</w:t>
      </w:r>
      <w:r w:rsidRPr="00C628F9">
        <w:rPr>
          <w:rFonts w:ascii="Verdana" w:hAnsi="Verdana" w:cs="Arial"/>
        </w:rPr>
        <w:t xml:space="preserve">, que es uno de los elementos constitutivos del vínculo laboral. </w:t>
      </w:r>
    </w:p>
    <w:p w14:paraId="1C1F1AF5"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r w:rsidRPr="00C628F9">
        <w:rPr>
          <w:rFonts w:ascii="Verdana" w:hAnsi="Verdana" w:cs="Arial"/>
        </w:rPr>
        <w:t xml:space="preserve">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p>
    <w:p w14:paraId="7059EC23"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r w:rsidRPr="00C628F9">
        <w:rPr>
          <w:rFonts w:ascii="Verdana" w:hAnsi="Verdana" w:cs="Arial"/>
        </w:rPr>
        <w:t xml:space="preserve">Pero es posible que, a pesar de este mandato deontológico, en la práctica surja la relación laboral, pues, como se sabe, el contrato de trabajo es un </w:t>
      </w:r>
      <w:r w:rsidRPr="00C628F9">
        <w:rPr>
          <w:rFonts w:ascii="Verdana" w:hAnsi="Verdana" w:cs="Arial"/>
          <w:i/>
          <w:iCs/>
        </w:rPr>
        <w:t>contrato realidad</w:t>
      </w:r>
      <w:r w:rsidRPr="00C628F9">
        <w:rPr>
          <w:rFonts w:ascii="Verdana" w:hAnsi="Verdana" w:cs="Arial"/>
        </w:rPr>
        <w:t xml:space="preserve">,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3º. del artículo </w:t>
      </w:r>
      <w:r w:rsidRPr="00C628F9">
        <w:rPr>
          <w:rFonts w:ascii="Verdana" w:hAnsi="Verdana" w:cs="Arial"/>
        </w:rPr>
        <w:lastRenderedPageBreak/>
        <w:t>32 de la Ley 80 de 1993, no vulneran los preceptos constitucionales, razón por la cual deberán ser declaradas exequibles, salvo que se acredite por parte del contratista la existencia de una relación laboral subordinada”</w:t>
      </w:r>
      <w:r w:rsidRPr="00C628F9">
        <w:rPr>
          <w:rStyle w:val="Refdenotaalpie"/>
          <w:rFonts w:ascii="Verdana" w:hAnsi="Verdana" w:cs="Arial"/>
        </w:rPr>
        <w:footnoteReference w:id="3"/>
      </w:r>
      <w:r w:rsidRPr="00C628F9">
        <w:rPr>
          <w:rFonts w:ascii="Verdana" w:hAnsi="Verdana" w:cs="Arial"/>
        </w:rPr>
        <w:t>.</w:t>
      </w:r>
    </w:p>
    <w:p w14:paraId="44C4F154" w14:textId="77777777" w:rsidR="00BB7C35" w:rsidRPr="00C628F9" w:rsidRDefault="00BB7C35" w:rsidP="00BB7C35">
      <w:pPr>
        <w:widowControl w:val="0"/>
        <w:autoSpaceDE w:val="0"/>
        <w:autoSpaceDN w:val="0"/>
        <w:spacing w:before="120" w:after="0" w:line="276" w:lineRule="auto"/>
        <w:ind w:firstLine="708"/>
        <w:jc w:val="both"/>
        <w:rPr>
          <w:rFonts w:ascii="Verdana" w:hAnsi="Verdana" w:cs="Arial"/>
        </w:rPr>
      </w:pPr>
      <w:proofErr w:type="spellStart"/>
      <w:r w:rsidRPr="00C628F9">
        <w:rPr>
          <w:rFonts w:ascii="Verdana" w:hAnsi="Verdana" w:cs="Arial"/>
        </w:rPr>
        <w:t>iv</w:t>
      </w:r>
      <w:proofErr w:type="spellEnd"/>
      <w:r w:rsidRPr="00C628F9">
        <w:rPr>
          <w:rFonts w:ascii="Verdana" w:hAnsi="Verdana" w:cs="Arial"/>
        </w:rPr>
        <w:t>) Deben ser temporales. Así lo señaló la Corte Constitucional en la misma providencia a la que se aludió previamente, expresando que:</w:t>
      </w:r>
    </w:p>
    <w:p w14:paraId="526AEBAC" w14:textId="77777777" w:rsidR="00BB7C35" w:rsidRPr="00C628F9" w:rsidRDefault="00BB7C35" w:rsidP="00BB7C35">
      <w:pPr>
        <w:widowControl w:val="0"/>
        <w:autoSpaceDE w:val="0"/>
        <w:autoSpaceDN w:val="0"/>
        <w:spacing w:after="0" w:line="276" w:lineRule="auto"/>
        <w:ind w:firstLine="708"/>
        <w:jc w:val="both"/>
        <w:rPr>
          <w:rFonts w:ascii="Verdana" w:hAnsi="Verdana" w:cs="Arial"/>
        </w:rPr>
      </w:pPr>
    </w:p>
    <w:p w14:paraId="6ADFFC40"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r w:rsidRPr="00C628F9">
        <w:rPr>
          <w:rFonts w:ascii="Verdana" w:hAnsi="Verdana" w:cs="Arial"/>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C628F9">
        <w:rPr>
          <w:rStyle w:val="Refdenotaalpie"/>
          <w:rFonts w:ascii="Verdana" w:hAnsi="Verdana" w:cs="Arial"/>
          <w:sz w:val="20"/>
          <w:szCs w:val="20"/>
        </w:rPr>
        <w:footnoteReference w:id="4"/>
      </w:r>
      <w:r w:rsidRPr="00C628F9">
        <w:rPr>
          <w:rFonts w:ascii="Verdana" w:hAnsi="Verdana" w:cs="Arial"/>
          <w:sz w:val="20"/>
          <w:szCs w:val="20"/>
        </w:rPr>
        <w:t>.</w:t>
      </w:r>
    </w:p>
    <w:p w14:paraId="2DDD0A21" w14:textId="77777777" w:rsidR="00BB7C35" w:rsidRPr="00C628F9" w:rsidRDefault="00BB7C35" w:rsidP="00BB7C35">
      <w:pPr>
        <w:widowControl w:val="0"/>
        <w:autoSpaceDE w:val="0"/>
        <w:autoSpaceDN w:val="0"/>
        <w:spacing w:after="0" w:line="240" w:lineRule="auto"/>
        <w:jc w:val="both"/>
        <w:rPr>
          <w:rFonts w:ascii="Verdana" w:hAnsi="Verdana" w:cs="Arial"/>
        </w:rPr>
      </w:pPr>
    </w:p>
    <w:p w14:paraId="13DA569A" w14:textId="77777777" w:rsidR="00BB7C35" w:rsidRPr="00C628F9" w:rsidRDefault="00BB7C35" w:rsidP="00BB7C35">
      <w:pPr>
        <w:widowControl w:val="0"/>
        <w:autoSpaceDE w:val="0"/>
        <w:autoSpaceDN w:val="0"/>
        <w:spacing w:after="0" w:line="276" w:lineRule="auto"/>
        <w:ind w:firstLine="708"/>
        <w:jc w:val="both"/>
        <w:rPr>
          <w:rFonts w:ascii="Verdana" w:hAnsi="Verdana" w:cs="Arial"/>
        </w:rPr>
      </w:pPr>
      <w:r w:rsidRPr="00C628F9">
        <w:rPr>
          <w:rFonts w:ascii="Verdana" w:hAnsi="Verdana" w:cs="Arial"/>
        </w:rPr>
        <w:t xml:space="preserve">v) Los contratos de prestación de servicios constituyen un </w:t>
      </w:r>
      <w:r w:rsidRPr="00C628F9">
        <w:rPr>
          <w:rFonts w:ascii="Verdana" w:hAnsi="Verdana" w:cs="Arial"/>
          <w:i/>
          <w:iCs/>
        </w:rPr>
        <w:t>género</w:t>
      </w:r>
      <w:r w:rsidRPr="00C628F9">
        <w:rPr>
          <w:rFonts w:ascii="Verdana" w:hAnsi="Verdana" w:cs="Arial"/>
        </w:rPr>
        <w:t xml:space="preserve"> que incluye, como </w:t>
      </w:r>
      <w:r w:rsidRPr="00C628F9">
        <w:rPr>
          <w:rFonts w:ascii="Verdana" w:hAnsi="Verdana" w:cs="Arial"/>
          <w:i/>
          <w:iCs/>
        </w:rPr>
        <w:t>especies</w:t>
      </w:r>
      <w:r w:rsidRPr="00C628F9">
        <w:rPr>
          <w:rFonts w:ascii="Verdana" w:hAnsi="Verdana" w:cs="Arial"/>
        </w:rPr>
        <w:t>, los contratos de prestación de servicios profesionales, los contratos de prestación de servicios de apoyo a la gestión y los contratos de prestación de servicios artísticos que solo pueden encomendarse a determinadas personas naturales</w:t>
      </w:r>
      <w:r w:rsidRPr="00C628F9">
        <w:rPr>
          <w:rStyle w:val="Refdenotaalpie"/>
          <w:rFonts w:ascii="Verdana" w:hAnsi="Verdana" w:cs="Arial"/>
        </w:rPr>
        <w:footnoteReference w:id="5"/>
      </w:r>
      <w:r w:rsidRPr="00C628F9">
        <w:rPr>
          <w:rFonts w:ascii="Verdana" w:hAnsi="Verdana" w:cs="Arial"/>
        </w:rPr>
        <w:t xml:space="preserve">. La diferencia entre el contrato de prestación de servicios </w:t>
      </w:r>
      <w:r w:rsidRPr="00C628F9">
        <w:rPr>
          <w:rFonts w:ascii="Verdana" w:hAnsi="Verdana" w:cs="Arial"/>
          <w:i/>
          <w:iCs/>
        </w:rPr>
        <w:t>profesionales</w:t>
      </w:r>
      <w:r w:rsidRPr="00C628F9">
        <w:rPr>
          <w:rFonts w:ascii="Verdana" w:hAnsi="Verdana" w:cs="Arial"/>
        </w:rPr>
        <w:t xml:space="preserve"> con las otras dos especies del género en el cual se ubican radica </w:t>
      </w:r>
      <w:r w:rsidRPr="00C628F9">
        <w:rPr>
          <w:rFonts w:ascii="Verdana" w:hAnsi="Verdana" w:cs="Arial"/>
        </w:rPr>
        <w:lastRenderedPageBreak/>
        <w:t>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3A3917C7" w14:textId="77777777" w:rsidR="00BB7C35" w:rsidRPr="00C628F9" w:rsidRDefault="00BB7C35" w:rsidP="00BB7C35">
      <w:pPr>
        <w:widowControl w:val="0"/>
        <w:autoSpaceDE w:val="0"/>
        <w:autoSpaceDN w:val="0"/>
        <w:spacing w:after="0" w:line="276" w:lineRule="auto"/>
        <w:ind w:firstLine="708"/>
        <w:jc w:val="both"/>
        <w:rPr>
          <w:rFonts w:ascii="Verdana" w:hAnsi="Verdana" w:cs="Arial"/>
        </w:rPr>
      </w:pPr>
    </w:p>
    <w:p w14:paraId="3B521239"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r w:rsidRPr="00C628F9">
        <w:rPr>
          <w:rFonts w:ascii="Verdana" w:hAnsi="Verdana" w:cs="Arial"/>
          <w:sz w:val="20"/>
          <w:szCs w:val="20"/>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C628F9">
        <w:rPr>
          <w:rStyle w:val="Refdenotaalpie"/>
          <w:rFonts w:ascii="Verdana" w:hAnsi="Verdana" w:cs="Arial"/>
          <w:sz w:val="20"/>
          <w:szCs w:val="20"/>
        </w:rPr>
        <w:footnoteReference w:id="6"/>
      </w:r>
      <w:r w:rsidRPr="00C628F9">
        <w:rPr>
          <w:rFonts w:ascii="Verdana" w:hAnsi="Verdana" w:cs="Arial"/>
          <w:sz w:val="20"/>
          <w:szCs w:val="20"/>
        </w:rPr>
        <w:t>.</w:t>
      </w:r>
    </w:p>
    <w:p w14:paraId="5691E1E2" w14:textId="77777777" w:rsidR="00BB7C35" w:rsidRPr="00C628F9" w:rsidRDefault="00BB7C35" w:rsidP="00BB7C35">
      <w:pPr>
        <w:widowControl w:val="0"/>
        <w:autoSpaceDE w:val="0"/>
        <w:autoSpaceDN w:val="0"/>
        <w:spacing w:after="0" w:line="240" w:lineRule="auto"/>
        <w:ind w:left="709" w:right="709"/>
        <w:jc w:val="both"/>
        <w:rPr>
          <w:rFonts w:ascii="Verdana" w:hAnsi="Verdana" w:cs="Arial"/>
        </w:rPr>
      </w:pPr>
    </w:p>
    <w:p w14:paraId="35937863" w14:textId="77777777" w:rsidR="00BB7C35" w:rsidRPr="00C628F9" w:rsidRDefault="00BB7C35" w:rsidP="00BB7C35">
      <w:pPr>
        <w:widowControl w:val="0"/>
        <w:autoSpaceDE w:val="0"/>
        <w:autoSpaceDN w:val="0"/>
        <w:spacing w:after="0" w:line="276" w:lineRule="auto"/>
        <w:ind w:firstLine="708"/>
        <w:jc w:val="both"/>
        <w:rPr>
          <w:rFonts w:ascii="Verdana" w:hAnsi="Verdana" w:cs="Arial"/>
        </w:rPr>
      </w:pPr>
      <w:r w:rsidRPr="00C628F9">
        <w:rPr>
          <w:rFonts w:ascii="Verdana" w:hAnsi="Verdana" w:cs="Arial"/>
        </w:rPr>
        <w:t>Objeto que, según la sentencia que se cita, se diferencia del objeto del contrato de prestación de servicios de apoyo a la gestión, porque en este:</w:t>
      </w:r>
    </w:p>
    <w:p w14:paraId="757E4D45" w14:textId="77777777" w:rsidR="00BB7C35" w:rsidRPr="00C628F9" w:rsidRDefault="00BB7C35" w:rsidP="00BB7C35">
      <w:pPr>
        <w:widowControl w:val="0"/>
        <w:autoSpaceDE w:val="0"/>
        <w:autoSpaceDN w:val="0"/>
        <w:spacing w:after="0" w:line="276" w:lineRule="auto"/>
        <w:ind w:firstLine="708"/>
        <w:jc w:val="both"/>
        <w:rPr>
          <w:rFonts w:ascii="Verdana" w:hAnsi="Verdana" w:cs="Arial"/>
        </w:rPr>
      </w:pPr>
    </w:p>
    <w:p w14:paraId="09675212"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r w:rsidRPr="00C628F9">
        <w:rPr>
          <w:rFonts w:ascii="Verdana" w:hAnsi="Verdana" w:cs="Arial"/>
          <w:sz w:val="20"/>
          <w:szCs w:val="20"/>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BC435B5"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p>
    <w:p w14:paraId="114D514D"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r w:rsidRPr="00C628F9">
        <w:rPr>
          <w:rFonts w:ascii="Verdana" w:hAnsi="Verdana" w:cs="Arial"/>
          <w:sz w:val="20"/>
          <w:szCs w:val="20"/>
        </w:rPr>
        <w:t xml:space="preserve">Aunque también se caracteriza por el desempeño de actividad intelectiva, ésta </w:t>
      </w:r>
      <w:proofErr w:type="gramStart"/>
      <w:r w:rsidRPr="00C628F9">
        <w:rPr>
          <w:rFonts w:ascii="Verdana" w:hAnsi="Verdana" w:cs="Arial"/>
          <w:sz w:val="20"/>
          <w:szCs w:val="20"/>
        </w:rPr>
        <w:t>se enmarca dentro de</w:t>
      </w:r>
      <w:proofErr w:type="gramEnd"/>
      <w:r w:rsidRPr="00C628F9">
        <w:rPr>
          <w:rFonts w:ascii="Verdana" w:hAnsi="Verdana" w:cs="Arial"/>
          <w:sz w:val="20"/>
          <w:szCs w:val="20"/>
        </w:rPr>
        <w:t xml:space="preserve"> un saber propiamente técnico; igualmente involucra actividades en donde prima el esfuerzo físico o mecánico, en donde no se requiere de personal profesional.</w:t>
      </w:r>
    </w:p>
    <w:p w14:paraId="5E34A3B4"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p>
    <w:p w14:paraId="24791B17" w14:textId="77777777" w:rsidR="00BB7C35" w:rsidRPr="00C628F9" w:rsidRDefault="00BB7C35" w:rsidP="00BB7C35">
      <w:pPr>
        <w:widowControl w:val="0"/>
        <w:autoSpaceDE w:val="0"/>
        <w:autoSpaceDN w:val="0"/>
        <w:spacing w:after="0" w:line="240" w:lineRule="auto"/>
        <w:ind w:left="709" w:right="709"/>
        <w:jc w:val="both"/>
        <w:rPr>
          <w:rFonts w:ascii="Verdana" w:hAnsi="Verdana" w:cs="Arial"/>
          <w:sz w:val="20"/>
          <w:szCs w:val="20"/>
        </w:rPr>
      </w:pPr>
      <w:r w:rsidRPr="00C628F9">
        <w:rPr>
          <w:rFonts w:ascii="Verdana" w:hAnsi="Verdana" w:cs="Arial"/>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r w:rsidRPr="00C628F9">
        <w:rPr>
          <w:rStyle w:val="Refdenotaalpie"/>
          <w:rFonts w:ascii="Verdana" w:hAnsi="Verdana" w:cs="Arial"/>
          <w:sz w:val="20"/>
          <w:szCs w:val="20"/>
        </w:rPr>
        <w:footnoteReference w:id="7"/>
      </w:r>
      <w:r w:rsidRPr="00C628F9">
        <w:rPr>
          <w:rFonts w:ascii="Verdana" w:hAnsi="Verdana" w:cs="Arial"/>
          <w:sz w:val="20"/>
          <w:szCs w:val="20"/>
        </w:rPr>
        <w:t>.</w:t>
      </w:r>
    </w:p>
    <w:p w14:paraId="55110E02" w14:textId="77777777" w:rsidR="00BB7C35" w:rsidRPr="00C628F9" w:rsidRDefault="00BB7C35" w:rsidP="00BB7C35">
      <w:pPr>
        <w:widowControl w:val="0"/>
        <w:autoSpaceDE w:val="0"/>
        <w:autoSpaceDN w:val="0"/>
        <w:spacing w:after="0" w:line="240" w:lineRule="auto"/>
        <w:ind w:left="709" w:right="709"/>
        <w:jc w:val="both"/>
        <w:rPr>
          <w:rFonts w:ascii="Verdana" w:hAnsi="Verdana" w:cs="Arial"/>
        </w:rPr>
      </w:pPr>
    </w:p>
    <w:p w14:paraId="0A53359A" w14:textId="77777777" w:rsidR="00BB7C35" w:rsidRPr="00C628F9" w:rsidRDefault="00BB7C35" w:rsidP="00BB7C35">
      <w:pPr>
        <w:widowControl w:val="0"/>
        <w:autoSpaceDE w:val="0"/>
        <w:autoSpaceDN w:val="0"/>
        <w:spacing w:after="0" w:line="276" w:lineRule="auto"/>
        <w:ind w:firstLine="709"/>
        <w:jc w:val="both"/>
        <w:rPr>
          <w:rFonts w:ascii="Verdana" w:hAnsi="Verdana" w:cs="Arial"/>
        </w:rPr>
      </w:pPr>
      <w:r w:rsidRPr="00C628F9">
        <w:rPr>
          <w:rFonts w:ascii="Verdana" w:hAnsi="Verdana" w:cs="Arial"/>
        </w:rPr>
        <w:t>En relación con el contrato de prestación de servicios artísticos que solo pueden encomendarse a determinadas personas naturales, señala el mencionado fallo que:</w:t>
      </w:r>
    </w:p>
    <w:p w14:paraId="353C0460" w14:textId="77777777" w:rsidR="00BB7C35" w:rsidRPr="00C628F9" w:rsidRDefault="00BB7C35" w:rsidP="00BB7C35">
      <w:pPr>
        <w:widowControl w:val="0"/>
        <w:autoSpaceDE w:val="0"/>
        <w:autoSpaceDN w:val="0"/>
        <w:spacing w:after="0" w:line="276" w:lineRule="auto"/>
        <w:ind w:firstLine="709"/>
        <w:jc w:val="both"/>
        <w:rPr>
          <w:rFonts w:ascii="Verdana" w:hAnsi="Verdana" w:cs="Arial"/>
        </w:rPr>
      </w:pPr>
    </w:p>
    <w:p w14:paraId="5A80AFE3" w14:textId="77777777" w:rsidR="00BB7C35" w:rsidRPr="00C628F9" w:rsidRDefault="00BB7C35" w:rsidP="00BB7C35">
      <w:pPr>
        <w:widowControl w:val="0"/>
        <w:autoSpaceDE w:val="0"/>
        <w:autoSpaceDN w:val="0"/>
        <w:spacing w:after="0" w:line="240" w:lineRule="auto"/>
        <w:ind w:left="709" w:right="709"/>
        <w:jc w:val="both"/>
        <w:rPr>
          <w:rFonts w:ascii="Verdana" w:hAnsi="Verdana" w:cs="Arial"/>
        </w:rPr>
      </w:pPr>
      <w:r w:rsidRPr="00C628F9">
        <w:rPr>
          <w:rFonts w:ascii="Verdana" w:hAnsi="Verdana" w:cs="Arial"/>
          <w:sz w:val="20"/>
          <w:szCs w:val="20"/>
        </w:rPr>
        <w:lastRenderedPageBreak/>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C628F9">
        <w:rPr>
          <w:rStyle w:val="Refdenotaalpie"/>
          <w:rFonts w:ascii="Verdana" w:hAnsi="Verdana" w:cs="Arial"/>
          <w:sz w:val="20"/>
          <w:szCs w:val="20"/>
        </w:rPr>
        <w:footnoteReference w:id="8"/>
      </w:r>
      <w:r w:rsidRPr="00C628F9">
        <w:rPr>
          <w:rFonts w:ascii="Verdana" w:hAnsi="Verdana" w:cs="Arial"/>
        </w:rPr>
        <w:t>.</w:t>
      </w:r>
    </w:p>
    <w:p w14:paraId="15E88F94" w14:textId="77777777" w:rsidR="00BB7C35" w:rsidRPr="00C628F9" w:rsidRDefault="00BB7C35" w:rsidP="00BB7C35">
      <w:pPr>
        <w:widowControl w:val="0"/>
        <w:autoSpaceDE w:val="0"/>
        <w:autoSpaceDN w:val="0"/>
        <w:spacing w:after="0" w:line="240" w:lineRule="auto"/>
        <w:ind w:left="709" w:right="709"/>
        <w:jc w:val="both"/>
        <w:rPr>
          <w:rFonts w:ascii="Verdana" w:hAnsi="Verdana" w:cs="Arial"/>
        </w:rPr>
      </w:pPr>
    </w:p>
    <w:p w14:paraId="15D8DAC3" w14:textId="77777777" w:rsidR="00BB7C35" w:rsidRPr="00C628F9" w:rsidRDefault="00BB7C35" w:rsidP="00BB7C35">
      <w:pPr>
        <w:widowControl w:val="0"/>
        <w:autoSpaceDE w:val="0"/>
        <w:autoSpaceDN w:val="0"/>
        <w:spacing w:after="120" w:line="276" w:lineRule="auto"/>
        <w:ind w:firstLine="708"/>
        <w:jc w:val="both"/>
        <w:rPr>
          <w:rFonts w:ascii="Verdana" w:hAnsi="Verdana" w:cs="Arial"/>
        </w:rPr>
      </w:pPr>
      <w:r w:rsidRPr="00C628F9">
        <w:rPr>
          <w:rFonts w:ascii="Verdana" w:hAnsi="Verdana" w:cs="Arial"/>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C628F9">
        <w:rPr>
          <w:rStyle w:val="Refdenotaalpie"/>
          <w:rFonts w:ascii="Verdana" w:hAnsi="Verdana" w:cs="Arial"/>
        </w:rPr>
        <w:footnoteReference w:id="9"/>
      </w:r>
      <w:r w:rsidRPr="00C628F9">
        <w:rPr>
          <w:rFonts w:ascii="Verdana" w:hAnsi="Verdana" w:cs="Arial"/>
        </w:rPr>
        <w:t xml:space="preserve">. Pero, tampoco puede suscribirse un contrato de prestación de servicios profesionales para que el contratista ejecute labores que </w:t>
      </w:r>
      <w:proofErr w:type="gramStart"/>
      <w:r w:rsidRPr="00C628F9">
        <w:rPr>
          <w:rFonts w:ascii="Verdana" w:hAnsi="Verdana" w:cs="Arial"/>
        </w:rPr>
        <w:t>se enmarcan dentro de</w:t>
      </w:r>
      <w:proofErr w:type="gramEnd"/>
      <w:r w:rsidRPr="00C628F9">
        <w:rPr>
          <w:rFonts w:ascii="Verdana" w:hAnsi="Verdana" w:cs="Arial"/>
        </w:rPr>
        <w:t xml:space="preserve"> los otros contratos tipificados en el artículo 32 de la Ley 80 de 1993, como, por ejemplo, para que el contratista de prestación de servicios construya una obra.</w:t>
      </w:r>
    </w:p>
    <w:p w14:paraId="3B4D34F2"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proofErr w:type="spellStart"/>
      <w:r w:rsidRPr="00C628F9">
        <w:rPr>
          <w:rFonts w:ascii="Verdana" w:hAnsi="Verdana" w:cs="Arial"/>
        </w:rPr>
        <w:t>vii</w:t>
      </w:r>
      <w:proofErr w:type="spellEnd"/>
      <w:r w:rsidRPr="00C628F9">
        <w:rPr>
          <w:rFonts w:ascii="Verdana" w:hAnsi="Verdana" w:cs="Arial"/>
        </w:rPr>
        <w:t>) Para su celebración no se requiere en algunos casos la expedición del acto administrativo de justificación de la contratación directa</w:t>
      </w:r>
      <w:r w:rsidRPr="00C628F9">
        <w:rPr>
          <w:rStyle w:val="Refdenotaalpie"/>
          <w:rFonts w:ascii="Verdana" w:hAnsi="Verdana" w:cs="Arial"/>
        </w:rPr>
        <w:footnoteReference w:id="10"/>
      </w:r>
      <w:r w:rsidRPr="00C628F9">
        <w:rPr>
          <w:rFonts w:ascii="Verdana" w:hAnsi="Verdana" w:cs="Arial"/>
        </w:rPr>
        <w:t>.</w:t>
      </w:r>
    </w:p>
    <w:p w14:paraId="1BF4F40B"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proofErr w:type="spellStart"/>
      <w:r w:rsidRPr="00C628F9">
        <w:rPr>
          <w:rFonts w:ascii="Verdana" w:hAnsi="Verdana" w:cs="Arial"/>
        </w:rPr>
        <w:lastRenderedPageBreak/>
        <w:t>viii</w:t>
      </w:r>
      <w:proofErr w:type="spellEnd"/>
      <w:r w:rsidRPr="00C628F9">
        <w:rPr>
          <w:rFonts w:ascii="Verdana" w:hAnsi="Verdana" w:cs="Arial"/>
        </w:rPr>
        <w:t>) Admiten el pacto de cláusulas excepcionales. Es decir, en los contratos de prestación de servicios se puede estipular las figuras jurídicas de caducidad, así como la modificación, interpretación o terminación unilaterales, como elementos accidentales, es decir, que para que puedan ejercerse dichas exorbitancias, han debido quedar incluidas expresamente en el contrato, ya que no se entienden pactadas por naturaleza. Así se infiere del artículo 14, numeral 2º, de la Ley 80 de 1993</w:t>
      </w:r>
      <w:r w:rsidRPr="00C628F9">
        <w:rPr>
          <w:rStyle w:val="Refdenotaalpie"/>
          <w:rFonts w:ascii="Verdana" w:hAnsi="Verdana" w:cs="Arial"/>
        </w:rPr>
        <w:footnoteReference w:id="11"/>
      </w:r>
      <w:r w:rsidRPr="00C628F9">
        <w:rPr>
          <w:rFonts w:ascii="Verdana" w:hAnsi="Verdana" w:cs="Arial"/>
        </w:rPr>
        <w:t>.</w:t>
      </w:r>
    </w:p>
    <w:p w14:paraId="1F431274"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proofErr w:type="spellStart"/>
      <w:r w:rsidRPr="00C628F9">
        <w:rPr>
          <w:rFonts w:ascii="Verdana" w:hAnsi="Verdana" w:cs="Arial"/>
        </w:rPr>
        <w:t>ix</w:t>
      </w:r>
      <w:proofErr w:type="spellEnd"/>
      <w:r w:rsidRPr="00C628F9">
        <w:rPr>
          <w:rFonts w:ascii="Verdana" w:hAnsi="Verdana" w:cs="Arial"/>
        </w:rPr>
        <w:t>) En algunos casos no es obligatoria la liquidación, pues así lo estableció el artículo 217 del Decreto 019 de 2012, que modificó el artículo 60 de la Ley 80 de 1993</w:t>
      </w:r>
      <w:r w:rsidRPr="00C628F9">
        <w:rPr>
          <w:rStyle w:val="Refdenotaalpie"/>
          <w:rFonts w:ascii="Verdana" w:hAnsi="Verdana" w:cs="Arial"/>
        </w:rPr>
        <w:footnoteReference w:id="12"/>
      </w:r>
      <w:r w:rsidRPr="00C628F9">
        <w:rPr>
          <w:rFonts w:ascii="Verdana" w:hAnsi="Verdana" w:cs="Arial"/>
        </w:rPr>
        <w:t>, refiriéndose a los contratos de prestación de servicios profesionales y de apoyo a la gestión.</w:t>
      </w:r>
    </w:p>
    <w:p w14:paraId="6B27B86A" w14:textId="77777777" w:rsidR="00BB7C35" w:rsidRPr="00C628F9" w:rsidRDefault="00BB7C35" w:rsidP="00BB7C35">
      <w:pPr>
        <w:widowControl w:val="0"/>
        <w:autoSpaceDE w:val="0"/>
        <w:autoSpaceDN w:val="0"/>
        <w:spacing w:before="120" w:after="120" w:line="276" w:lineRule="auto"/>
        <w:ind w:firstLine="708"/>
        <w:jc w:val="both"/>
        <w:rPr>
          <w:rFonts w:ascii="Verdana" w:hAnsi="Verdana" w:cs="Arial"/>
        </w:rPr>
      </w:pPr>
      <w:r w:rsidRPr="00C628F9">
        <w:rPr>
          <w:rFonts w:ascii="Verdana" w:hAnsi="Verdana" w:cs="Arial"/>
        </w:rPr>
        <w:t>x) Para su celebración no se requiere inscripción en el Registro Único de Proponentes (RUP), según lo prevé el artículo 6 de la Ley 1150 de 2007</w:t>
      </w:r>
      <w:r w:rsidRPr="00C628F9">
        <w:rPr>
          <w:rStyle w:val="Refdenotaalpie"/>
          <w:rFonts w:ascii="Verdana" w:hAnsi="Verdana" w:cs="Arial"/>
        </w:rPr>
        <w:footnoteReference w:id="13"/>
      </w:r>
      <w:r w:rsidRPr="00C628F9">
        <w:rPr>
          <w:rFonts w:ascii="Verdana" w:hAnsi="Verdana" w:cs="Arial"/>
        </w:rPr>
        <w:t>.</w:t>
      </w:r>
    </w:p>
    <w:p w14:paraId="6DDAB743" w14:textId="77777777" w:rsidR="00BB7C35" w:rsidRDefault="00BB7C35" w:rsidP="00BB7C35">
      <w:pPr>
        <w:widowControl w:val="0"/>
        <w:autoSpaceDE w:val="0"/>
        <w:autoSpaceDN w:val="0"/>
        <w:spacing w:before="120" w:after="120" w:line="276" w:lineRule="auto"/>
        <w:ind w:firstLine="708"/>
        <w:jc w:val="both"/>
        <w:rPr>
          <w:rFonts w:ascii="Verdana" w:hAnsi="Verdana" w:cs="Arial"/>
        </w:rPr>
      </w:pPr>
      <w:r w:rsidRPr="00C628F9">
        <w:rPr>
          <w:rFonts w:ascii="Verdana" w:hAnsi="Verdana" w:cs="Arial"/>
        </w:rPr>
        <w:lastRenderedPageBreak/>
        <w:t>xi) En ellos no son necesarias las garantías</w:t>
      </w:r>
      <w:r w:rsidRPr="00C628F9">
        <w:rPr>
          <w:rStyle w:val="Refdenotaalpie"/>
          <w:rFonts w:ascii="Verdana" w:hAnsi="Verdana" w:cs="Arial"/>
        </w:rPr>
        <w:footnoteReference w:id="14"/>
      </w:r>
      <w:r w:rsidRPr="00C628F9">
        <w:rPr>
          <w:rFonts w:ascii="Verdana" w:hAnsi="Verdana" w:cs="Arial"/>
        </w:rPr>
        <w:t>.</w:t>
      </w:r>
    </w:p>
    <w:p w14:paraId="7AB56FCF" w14:textId="77777777" w:rsidR="00BB7C35" w:rsidRPr="0053368E" w:rsidRDefault="00BB7C35" w:rsidP="00BB7C35">
      <w:pPr>
        <w:widowControl w:val="0"/>
        <w:autoSpaceDE w:val="0"/>
        <w:autoSpaceDN w:val="0"/>
        <w:spacing w:before="120" w:after="120" w:line="276" w:lineRule="auto"/>
        <w:jc w:val="both"/>
        <w:rPr>
          <w:rFonts w:ascii="Verdana" w:eastAsia="Calibri" w:hAnsi="Verdana" w:cs="Arial"/>
          <w:bCs/>
          <w:color w:val="000000"/>
          <w:kern w:val="2"/>
          <w14:ligatures w14:val="standardContextual"/>
        </w:rPr>
      </w:pPr>
      <w:proofErr w:type="spellStart"/>
      <w:r>
        <w:rPr>
          <w:rFonts w:ascii="Verdana" w:hAnsi="Verdana" w:cs="Arial"/>
          <w:bCs/>
          <w:color w:val="000000" w:themeColor="text1"/>
        </w:rPr>
        <w:t>ii</w:t>
      </w:r>
      <w:proofErr w:type="spellEnd"/>
      <w:r>
        <w:rPr>
          <w:rFonts w:ascii="Verdana" w:hAnsi="Verdana" w:cs="Arial"/>
          <w:bCs/>
          <w:color w:val="000000" w:themeColor="text1"/>
        </w:rPr>
        <w:t xml:space="preserve">. </w:t>
      </w:r>
      <w:r w:rsidRPr="0053368E">
        <w:rPr>
          <w:rFonts w:ascii="Verdana" w:eastAsia="Calibri" w:hAnsi="Verdana" w:cs="Arial"/>
          <w:bCs/>
          <w:color w:val="000000"/>
          <w:kern w:val="2"/>
          <w14:ligatures w14:val="standardContextual"/>
        </w:rPr>
        <w:t xml:space="preserve">Ahora bien, en relación con la cuestión es especifica objeto de consulta es importante aclarar que, los acuerdos de voluntades, como los contratos de contratos de prestación de servicios, están destinados a cumplirse a lo largo del plazo del contrato estipulado por las partes, lo cual es una consecuencia de la autonomía de la voluntad privada a la que se refiere el artículo 1602 del Código Civil y el artículo 32 de la Ley 80 de 1993. De esta manera, la reticencia del contratista a cumplir con las obligaciones es susceptible de ser calificada de incumplimiento contractual, motivando la imposición de multas o de la cláusula penal, en los contratos en los que se incluyen estas estipulaciones. </w:t>
      </w:r>
    </w:p>
    <w:p w14:paraId="1D8F5CC0" w14:textId="77777777" w:rsidR="00BB7C35" w:rsidRPr="0053368E" w:rsidRDefault="00BB7C35" w:rsidP="00BB7C35">
      <w:pPr>
        <w:widowControl w:val="0"/>
        <w:autoSpaceDE w:val="0"/>
        <w:autoSpaceDN w:val="0"/>
        <w:spacing w:before="120" w:after="120" w:line="276" w:lineRule="auto"/>
        <w:ind w:firstLine="708"/>
        <w:jc w:val="both"/>
        <w:rPr>
          <w:rFonts w:ascii="Verdana" w:eastAsia="Calibri" w:hAnsi="Verdana" w:cs="Arial"/>
          <w:bCs/>
          <w:color w:val="000000"/>
          <w:kern w:val="2"/>
          <w14:ligatures w14:val="standardContextual"/>
        </w:rPr>
      </w:pPr>
      <w:r w:rsidRPr="0053368E">
        <w:rPr>
          <w:rFonts w:ascii="Verdana" w:eastAsia="Calibri" w:hAnsi="Verdana" w:cs="Arial"/>
          <w:bCs/>
          <w:color w:val="000000"/>
          <w:kern w:val="2"/>
          <w14:ligatures w14:val="standardContextual"/>
        </w:rPr>
        <w:t>Sin perjuicio de esto, es importante precisar que la autonomía de la voluntad privada, como potestad de las personas para autorregular sus propios intereses y determinar el contenido de los negocios jurídicos celebrados, implican también la posibilidad de que estos modifiquen su alcance introduciendo modificaciones al mismo. Esto significa que, así como las partes tienen la potestad de acordar el plazo del contrato, también tienen la potestad de modificarlo o darlo por terminado, en caso de que alguna de las partes no pueda seguir ejecutando el contrato.</w:t>
      </w:r>
    </w:p>
    <w:p w14:paraId="1FE5F1AB" w14:textId="77777777" w:rsidR="00BB7C35" w:rsidRDefault="00BB7C35" w:rsidP="00BB7C35">
      <w:pPr>
        <w:widowControl w:val="0"/>
        <w:autoSpaceDE w:val="0"/>
        <w:autoSpaceDN w:val="0"/>
        <w:spacing w:before="120" w:after="120" w:line="276" w:lineRule="auto"/>
        <w:ind w:firstLine="708"/>
        <w:jc w:val="both"/>
        <w:rPr>
          <w:rFonts w:ascii="Verdana" w:eastAsia="Calibri" w:hAnsi="Verdana" w:cs="Arial"/>
          <w:bCs/>
          <w:color w:val="000000"/>
          <w:kern w:val="2"/>
          <w14:ligatures w14:val="standardContextual"/>
        </w:rPr>
      </w:pPr>
      <w:r w:rsidRPr="0053368E">
        <w:rPr>
          <w:rFonts w:ascii="Verdana" w:eastAsia="Calibri" w:hAnsi="Verdana" w:cs="Arial"/>
          <w:bCs/>
          <w:color w:val="000000"/>
          <w:kern w:val="2"/>
          <w14:ligatures w14:val="standardContextual"/>
        </w:rPr>
        <w:t>De hecho, la terminación anticipada de mutuo acuerdo es una práctica común en la contratación estatal a la que se acude cuando el contratista manifiesta a la Entidad Estatal contratante su voluntad de no continuar con la ejecución del contrato. Esto implica que, en ejercicio de la autonomía de la voluntad la entidad estatal contratante y el contratista convengan la terminación anticipada del contrato y lo eleven a escrito, de manera que la primera libera recursos asociados al contrato terminado, los cuales pueden ser destinados a la celebración de un nuevo contrato con otro contratista, en caso de que persista la necesidad que motivó la contratación. De esta manera, las partes además evitan que se consolide el incumplimiento del contrato, evitando la imposición de multas o clausulas penales, siempre que se hayan cumplido a satisfacción durante el periodo que estuvo vigente el contrato.</w:t>
      </w:r>
    </w:p>
    <w:p w14:paraId="5374DE46" w14:textId="77777777" w:rsidR="00BB7C35" w:rsidRDefault="00BB7C35" w:rsidP="00BB7C35">
      <w:pPr>
        <w:widowControl w:val="0"/>
        <w:autoSpaceDE w:val="0"/>
        <w:autoSpaceDN w:val="0"/>
        <w:spacing w:before="120" w:after="120" w:line="276" w:lineRule="auto"/>
        <w:ind w:firstLine="708"/>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 xml:space="preserve">Sobre la figura de la terminación anticipada de mutuo acuerdo el Consejo </w:t>
      </w:r>
      <w:r>
        <w:rPr>
          <w:rFonts w:ascii="Verdana" w:eastAsia="Calibri" w:hAnsi="Verdana" w:cs="Arial"/>
          <w:bCs/>
          <w:color w:val="000000"/>
          <w:kern w:val="2"/>
          <w14:ligatures w14:val="standardContextual"/>
        </w:rPr>
        <w:lastRenderedPageBreak/>
        <w:t xml:space="preserve">de Estado señalo que </w:t>
      </w:r>
      <w:r w:rsidRPr="001A560E">
        <w:rPr>
          <w:rFonts w:ascii="Verdana" w:eastAsia="Calibri" w:hAnsi="Verdana" w:cs="Arial"/>
          <w:bCs/>
          <w:color w:val="000000"/>
          <w:kern w:val="2"/>
          <w14:ligatures w14:val="standardContextual"/>
        </w:rPr>
        <w:t xml:space="preserve">es jurídicamente viable, </w:t>
      </w:r>
      <w:r>
        <w:rPr>
          <w:rFonts w:ascii="Verdana" w:eastAsia="Calibri" w:hAnsi="Verdana" w:cs="Arial"/>
          <w:bCs/>
          <w:color w:val="000000"/>
          <w:kern w:val="2"/>
          <w14:ligatures w14:val="standardContextual"/>
        </w:rPr>
        <w:t>“</w:t>
      </w:r>
      <w:r w:rsidRPr="001A560E">
        <w:rPr>
          <w:rFonts w:ascii="Verdana" w:eastAsia="Calibri" w:hAnsi="Verdana" w:cs="Arial"/>
          <w:bCs/>
          <w:color w:val="000000"/>
          <w:kern w:val="2"/>
          <w14:ligatures w14:val="standardContextual"/>
        </w:rPr>
        <w:t>acudir al mutuo disenso o a la condición resolutoria expresa, como instrumentos y herramientas jurídicas para poder precaver o exigir el cumplimiento de las obligaciones asumidas en los contratos y convenios interadministrativos, so pena de extinción anticipada del vínculo, cuando se presenten determinadas circunstancias previamente pactadas por las partes</w:t>
      </w:r>
      <w:r>
        <w:rPr>
          <w:rStyle w:val="Refdenotaalpie"/>
          <w:rFonts w:ascii="Verdana" w:eastAsia="Calibri" w:hAnsi="Verdana" w:cs="Arial"/>
          <w:bCs/>
          <w:color w:val="000000"/>
          <w:kern w:val="2"/>
          <w14:ligatures w14:val="standardContextual"/>
        </w:rPr>
        <w:footnoteReference w:id="15"/>
      </w:r>
      <w:r>
        <w:rPr>
          <w:rFonts w:ascii="Verdana" w:eastAsia="Calibri" w:hAnsi="Verdana" w:cs="Arial"/>
          <w:bCs/>
          <w:color w:val="000000"/>
          <w:kern w:val="2"/>
          <w14:ligatures w14:val="standardContextual"/>
        </w:rPr>
        <w:t>”</w:t>
      </w:r>
      <w:r w:rsidRPr="001A560E">
        <w:rPr>
          <w:rFonts w:ascii="Verdana" w:eastAsia="Calibri" w:hAnsi="Verdana" w:cs="Arial"/>
          <w:bCs/>
          <w:color w:val="000000"/>
          <w:kern w:val="2"/>
          <w14:ligatures w14:val="standardContextual"/>
        </w:rPr>
        <w:t>.</w:t>
      </w:r>
    </w:p>
    <w:p w14:paraId="45800343" w14:textId="77777777" w:rsidR="00BB7C35" w:rsidRDefault="00BB7C35" w:rsidP="00BB7C35">
      <w:pPr>
        <w:widowControl w:val="0"/>
        <w:autoSpaceDE w:val="0"/>
        <w:autoSpaceDN w:val="0"/>
        <w:spacing w:before="120" w:after="120" w:line="276" w:lineRule="auto"/>
        <w:ind w:firstLine="708"/>
        <w:jc w:val="both"/>
        <w:rPr>
          <w:rFonts w:ascii="Verdana" w:eastAsia="Calibri" w:hAnsi="Verdana" w:cs="Arial"/>
          <w:bCs/>
          <w:color w:val="000000"/>
          <w:kern w:val="2"/>
          <w14:ligatures w14:val="standardContextual"/>
        </w:rPr>
      </w:pPr>
      <w:r>
        <w:rPr>
          <w:rFonts w:ascii="Verdana" w:hAnsi="Verdana" w:cs="Arial"/>
          <w:color w:val="000000" w:themeColor="text1"/>
          <w:lang w:eastAsia="es-ES"/>
        </w:rPr>
        <w:t xml:space="preserve">Sin embargo, </w:t>
      </w:r>
      <w:r w:rsidRPr="000735E9">
        <w:rPr>
          <w:rFonts w:ascii="Verdana" w:hAnsi="Verdana" w:cs="Arial"/>
          <w:color w:val="000000" w:themeColor="text1"/>
          <w:lang w:eastAsia="es-ES"/>
        </w:rPr>
        <w:t xml:space="preserve">debe precisarse que </w:t>
      </w:r>
      <w:r>
        <w:rPr>
          <w:rFonts w:ascii="Verdana" w:hAnsi="Verdana" w:cs="Arial"/>
          <w:color w:val="000000" w:themeColor="text1"/>
          <w:lang w:eastAsia="es-ES"/>
        </w:rPr>
        <w:t xml:space="preserve">aunque es viable su procedencia la ley </w:t>
      </w:r>
      <w:r w:rsidRPr="000735E9">
        <w:rPr>
          <w:rFonts w:ascii="Verdana" w:hAnsi="Verdana" w:cs="Arial"/>
          <w:color w:val="000000" w:themeColor="text1"/>
          <w:lang w:eastAsia="es-ES"/>
        </w:rPr>
        <w:t xml:space="preserve">no establece de manera general un procedimiento ni unos criterios específicos que determinen el alcance de esta modalidad de extinción del vínculo contractual. </w:t>
      </w:r>
      <w:r w:rsidRPr="0028725B">
        <w:rPr>
          <w:rFonts w:ascii="Verdana" w:hAnsi="Verdana" w:cs="Arial"/>
          <w:color w:val="000000" w:themeColor="text1"/>
          <w:lang w:eastAsia="es-ES"/>
        </w:rPr>
        <w:t xml:space="preserve">En consecuencia, su procedencia y las condiciones para su </w:t>
      </w:r>
      <w:r>
        <w:rPr>
          <w:rFonts w:ascii="Verdana" w:hAnsi="Verdana" w:cs="Arial"/>
          <w:color w:val="000000" w:themeColor="text1"/>
          <w:lang w:eastAsia="es-ES"/>
        </w:rPr>
        <w:t>realización</w:t>
      </w:r>
      <w:r w:rsidRPr="0028725B">
        <w:rPr>
          <w:rFonts w:ascii="Verdana" w:hAnsi="Verdana" w:cs="Arial"/>
          <w:color w:val="000000" w:themeColor="text1"/>
          <w:lang w:eastAsia="es-ES"/>
        </w:rPr>
        <w:t xml:space="preserve"> se determinan</w:t>
      </w:r>
      <w:r>
        <w:rPr>
          <w:rFonts w:ascii="Verdana" w:hAnsi="Verdana" w:cs="Arial"/>
          <w:color w:val="000000" w:themeColor="text1"/>
          <w:lang w:eastAsia="es-ES"/>
        </w:rPr>
        <w:t xml:space="preserve"> </w:t>
      </w:r>
      <w:r w:rsidRPr="0028725B">
        <w:rPr>
          <w:rFonts w:ascii="Verdana" w:hAnsi="Verdana" w:cs="Arial"/>
          <w:color w:val="000000" w:themeColor="text1"/>
          <w:lang w:eastAsia="es-ES"/>
        </w:rPr>
        <w:t>en virtud de la autonomía de la voluntad de las partes, quienes podrán prever, de manera clara, expresa e inequívoca, las circunstancias o condiciones bajo las cuales podrá acudirse a este mecanismo de terminación anticipada.</w:t>
      </w:r>
    </w:p>
    <w:p w14:paraId="5B0A0764" w14:textId="77777777" w:rsidR="00BB7C35" w:rsidRDefault="00BB7C35" w:rsidP="00BB7C35">
      <w:pPr>
        <w:widowControl w:val="0"/>
        <w:autoSpaceDE w:val="0"/>
        <w:autoSpaceDN w:val="0"/>
        <w:spacing w:before="120" w:after="120" w:line="276" w:lineRule="auto"/>
        <w:ind w:firstLine="708"/>
        <w:jc w:val="both"/>
        <w:rPr>
          <w:rFonts w:ascii="Verdana" w:hAnsi="Verdana" w:cs="Arial"/>
        </w:rPr>
      </w:pPr>
      <w:r w:rsidRPr="00945416">
        <w:rPr>
          <w:rFonts w:ascii="Verdana" w:hAnsi="Verdana" w:cs="Arial"/>
        </w:rPr>
        <w:t xml:space="preserve">La materialización de la terminación anticipada requiere, en todo caso, la concurrencia de la voluntad de las partes y su correspondiente formalización por escrito. Para tal efecto, por regla general se suscribe un acta de terminación, en el cual se deja constancia de la decisión de poner fin anticipadamente al plazo de ejecución y de las circunstancias de tiempo, modo y lugar relacionadas con el desarrollo del contrato, así como de la verificación de las condiciones que, de ser el caso, hubieren sido previamente establecidas para acudir a este mecanismo y de las circunstancias particulares que dieron lugar al acuerdo. </w:t>
      </w:r>
    </w:p>
    <w:p w14:paraId="2ACA704E" w14:textId="77777777" w:rsidR="00BB7C35" w:rsidRDefault="00BB7C35" w:rsidP="00BB7C35">
      <w:pPr>
        <w:widowControl w:val="0"/>
        <w:autoSpaceDE w:val="0"/>
        <w:autoSpaceDN w:val="0"/>
        <w:spacing w:before="120" w:after="120" w:line="276" w:lineRule="auto"/>
        <w:ind w:firstLine="708"/>
        <w:jc w:val="both"/>
        <w:rPr>
          <w:rFonts w:ascii="Verdana" w:hAnsi="Verdana" w:cs="Arial"/>
        </w:rPr>
      </w:pPr>
      <w:r w:rsidRPr="00945416">
        <w:rPr>
          <w:rFonts w:ascii="Verdana" w:hAnsi="Verdana" w:cs="Arial"/>
        </w:rPr>
        <w:t>Este documento debe diferenciarse del acta de liquidación, pues mientras el primero tiene por objeto formalizar la decisión de las partes de culminar anticipadamente la ejecución contractual, la liquidación constituye una etapa posterior dirigida a efectuar el balance de las obligaciones ejecutadas, los derechos y obligaciones pendientes, los saldos y, en general, el estado final de la relación contractual, en los términos de los artículos 60 de la Ley 80 de 1993 y 11 de la Ley 1150 de 2007. Por consiguiente, la suscripción del acta de terminación anticipada no comporta, por sí misma, la liquidación del contrato ni impide que esta se realice cuando legalmente haya lugar a ella.</w:t>
      </w:r>
    </w:p>
    <w:p w14:paraId="3343262C" w14:textId="77777777" w:rsidR="00BB7C35" w:rsidRDefault="00BB7C35" w:rsidP="00BB7C35">
      <w:pPr>
        <w:widowControl w:val="0"/>
        <w:autoSpaceDE w:val="0"/>
        <w:autoSpaceDN w:val="0"/>
        <w:spacing w:before="120" w:after="120" w:line="276" w:lineRule="auto"/>
        <w:ind w:firstLine="708"/>
        <w:jc w:val="both"/>
        <w:rPr>
          <w:rFonts w:ascii="Verdana" w:hAnsi="Verdana" w:cs="Arial"/>
        </w:rPr>
      </w:pPr>
      <w:r>
        <w:rPr>
          <w:rFonts w:ascii="Verdana" w:hAnsi="Verdana" w:cs="Arial"/>
        </w:rPr>
        <w:t xml:space="preserve"> </w:t>
      </w:r>
      <w:r w:rsidRPr="006E1845">
        <w:rPr>
          <w:rFonts w:ascii="Verdana" w:hAnsi="Verdana" w:cs="Arial"/>
        </w:rPr>
        <w:t xml:space="preserve">Ahora bien, en cuanto a los efectos temporales del acuerdo de terminación anticipada, debe distinguirse entre la fecha </w:t>
      </w:r>
      <w:r>
        <w:rPr>
          <w:rFonts w:ascii="Verdana" w:hAnsi="Verdana" w:cs="Arial"/>
        </w:rPr>
        <w:t xml:space="preserve">de suscripción </w:t>
      </w:r>
      <w:r w:rsidRPr="006E1845">
        <w:rPr>
          <w:rFonts w:ascii="Verdana" w:hAnsi="Verdana" w:cs="Arial"/>
        </w:rPr>
        <w:t xml:space="preserve">y la fecha </w:t>
      </w:r>
      <w:r w:rsidRPr="006E1845">
        <w:rPr>
          <w:rFonts w:ascii="Verdana" w:hAnsi="Verdana" w:cs="Arial"/>
        </w:rPr>
        <w:lastRenderedPageBreak/>
        <w:t>a partir de la cual se produce la cesación de</w:t>
      </w:r>
      <w:r>
        <w:rPr>
          <w:rFonts w:ascii="Verdana" w:hAnsi="Verdana" w:cs="Arial"/>
        </w:rPr>
        <w:t>l plazo de</w:t>
      </w:r>
      <w:r w:rsidRPr="006E1845">
        <w:rPr>
          <w:rFonts w:ascii="Verdana" w:hAnsi="Verdana" w:cs="Arial"/>
        </w:rPr>
        <w:t xml:space="preserve"> ejecución contractual. La terminación por mutuo acuerdo </w:t>
      </w:r>
      <w:r w:rsidRPr="00293F4B">
        <w:rPr>
          <w:rFonts w:ascii="Verdana" w:hAnsi="Verdana" w:cs="Arial"/>
          <w:color w:val="000000" w:themeColor="text1"/>
          <w:lang w:eastAsia="es-ES"/>
        </w:rPr>
        <w:t>alcanza existencia, validez y eficacia jurídica cuando se perfecciona por escrito mediante el acuerdo de voluntades de las partes, observando las mismas formalidades exigidas para la celebración del contrato</w:t>
      </w:r>
      <w:r w:rsidRPr="006E1845">
        <w:rPr>
          <w:rFonts w:ascii="Verdana" w:hAnsi="Verdana" w:cs="Arial"/>
        </w:rPr>
        <w:t>. A partir de dicha consideración, la terminación produce</w:t>
      </w:r>
      <w:r>
        <w:rPr>
          <w:rFonts w:ascii="Verdana" w:hAnsi="Verdana" w:cs="Arial"/>
        </w:rPr>
        <w:t xml:space="preserve"> </w:t>
      </w:r>
      <w:r w:rsidRPr="006E1845">
        <w:rPr>
          <w:rFonts w:ascii="Verdana" w:hAnsi="Verdana" w:cs="Arial"/>
        </w:rPr>
        <w:t xml:space="preserve">efectos hacia el futuro en el sentido de que extingue el vínculo contractual sin desconocer las situaciones jurídicas, prestaciones y obligaciones que se hubieren causado durante el período en que el contrato estuvo vigente. </w:t>
      </w:r>
      <w:r>
        <w:rPr>
          <w:rFonts w:ascii="Verdana" w:hAnsi="Verdana" w:cs="Arial"/>
        </w:rPr>
        <w:t xml:space="preserve">De esta forma, </w:t>
      </w:r>
      <w:r w:rsidRPr="006E1845">
        <w:rPr>
          <w:rFonts w:ascii="Verdana" w:hAnsi="Verdana" w:cs="Arial"/>
        </w:rPr>
        <w:t xml:space="preserve">la terminación no tiene por objeto </w:t>
      </w:r>
      <w:r>
        <w:rPr>
          <w:rFonts w:ascii="Verdana" w:hAnsi="Verdana" w:cs="Arial"/>
        </w:rPr>
        <w:t>eliminar</w:t>
      </w:r>
      <w:r w:rsidRPr="006E1845">
        <w:rPr>
          <w:rFonts w:ascii="Verdana" w:hAnsi="Verdana" w:cs="Arial"/>
        </w:rPr>
        <w:t xml:space="preserve"> las prestaciones efectivamente ejecutadas ni desconocer los efectos jurídicos producidos durante la ejecución.</w:t>
      </w:r>
    </w:p>
    <w:p w14:paraId="321C248D" w14:textId="77777777" w:rsidR="00BB7C35" w:rsidRDefault="00BB7C35" w:rsidP="00BB7C35">
      <w:pPr>
        <w:widowControl w:val="0"/>
        <w:autoSpaceDE w:val="0"/>
        <w:autoSpaceDN w:val="0"/>
        <w:spacing w:before="120" w:after="120" w:line="276" w:lineRule="auto"/>
        <w:ind w:firstLine="708"/>
        <w:jc w:val="both"/>
        <w:rPr>
          <w:rFonts w:ascii="Verdana" w:hAnsi="Verdana" w:cs="Arial"/>
        </w:rPr>
      </w:pPr>
      <w:r>
        <w:rPr>
          <w:rFonts w:ascii="Verdana" w:hAnsi="Verdana" w:cs="Arial"/>
        </w:rPr>
        <w:t xml:space="preserve">En consecuencia, de acuerdo con el ejemplo de su consulta, </w:t>
      </w:r>
      <w:r w:rsidRPr="0004662C">
        <w:rPr>
          <w:rFonts w:ascii="Verdana" w:hAnsi="Verdana" w:cs="Arial"/>
        </w:rPr>
        <w:t xml:space="preserve">si las partes suscriben </w:t>
      </w:r>
      <w:r>
        <w:rPr>
          <w:rFonts w:ascii="Verdana" w:hAnsi="Verdana" w:cs="Arial"/>
        </w:rPr>
        <w:t xml:space="preserve">la </w:t>
      </w:r>
      <w:r w:rsidRPr="0004662C">
        <w:rPr>
          <w:rFonts w:ascii="Verdana" w:hAnsi="Verdana" w:cs="Arial"/>
        </w:rPr>
        <w:t xml:space="preserve">terminación anticipada </w:t>
      </w:r>
      <w:r>
        <w:rPr>
          <w:rFonts w:ascii="Verdana" w:hAnsi="Verdana" w:cs="Arial"/>
        </w:rPr>
        <w:t xml:space="preserve">del contrato </w:t>
      </w:r>
      <w:r w:rsidRPr="0004662C">
        <w:rPr>
          <w:rFonts w:ascii="Verdana" w:hAnsi="Verdana" w:cs="Arial"/>
        </w:rPr>
        <w:t>el 5 de agosto, podrán convenir que la ejecución contractual culmine en esa misma fecha o establecer una fecha posterior a la suscripción del acuerdo, siempre que esta sea anterior al vencimiento del plazo inicialmente pactado</w:t>
      </w:r>
      <w:r>
        <w:rPr>
          <w:rFonts w:ascii="Verdana" w:hAnsi="Verdana" w:cs="Arial"/>
        </w:rPr>
        <w:t xml:space="preserve">. </w:t>
      </w:r>
      <w:r w:rsidRPr="008269D3">
        <w:rPr>
          <w:rFonts w:ascii="Verdana" w:hAnsi="Verdana" w:cs="Arial"/>
        </w:rPr>
        <w:t>En este último supuesto, el acuerdo produce sus efectos extintivos a partir de la fecha expresamente convenida</w:t>
      </w:r>
      <w:r>
        <w:rPr>
          <w:rFonts w:ascii="Verdana" w:hAnsi="Verdana" w:cs="Arial"/>
        </w:rPr>
        <w:t xml:space="preserve"> y no podría generar efectos retroactivos, pues no se pueden desconocer </w:t>
      </w:r>
      <w:r w:rsidRPr="00777288">
        <w:rPr>
          <w:rFonts w:ascii="Verdana" w:hAnsi="Verdana" w:cs="Arial"/>
        </w:rPr>
        <w:t xml:space="preserve">las obligaciones, prestaciones, derechos y demás consecuencias jurídicas que se hubieren producido durante </w:t>
      </w:r>
      <w:r>
        <w:rPr>
          <w:rFonts w:ascii="Verdana" w:hAnsi="Verdana" w:cs="Arial"/>
        </w:rPr>
        <w:t xml:space="preserve">este tiempo. </w:t>
      </w:r>
    </w:p>
    <w:p w14:paraId="7CB30265" w14:textId="77777777" w:rsidR="00BB7C35" w:rsidRDefault="00BB7C35" w:rsidP="00BB7C35">
      <w:pPr>
        <w:widowControl w:val="0"/>
        <w:autoSpaceDE w:val="0"/>
        <w:autoSpaceDN w:val="0"/>
        <w:spacing w:before="120" w:after="120" w:line="276" w:lineRule="auto"/>
        <w:ind w:firstLine="708"/>
        <w:jc w:val="both"/>
        <w:rPr>
          <w:rFonts w:ascii="Verdana" w:hAnsi="Verdana" w:cs="Arial"/>
        </w:rPr>
      </w:pPr>
      <w:r w:rsidRPr="005019D7">
        <w:rPr>
          <w:rFonts w:ascii="Verdana" w:hAnsi="Verdana" w:cs="Arial"/>
        </w:rPr>
        <w:t>En este contexto, en principio, el reconocimiento económico deberá efectuarse respecto de las actividades efectivamente ejecutadas durante la vigencia del vínculo contractual, esto es, hasta la fecha de suscripción del acta de terminación o hasta aquella que, de manera expresa, se haya establecido en dicho documento, según corresponda. Durante este período, corresponde al supervisor del contrato realizar el seguimiento y la verificación necesarios para determinar el cumplimiento del objeto y de las obligaciones contractuales, así como adoptar o promover las actuaciones que resulten procedentes frente a eventuales incumplimientos.</w:t>
      </w:r>
    </w:p>
    <w:p w14:paraId="7A6FE056" w14:textId="77777777" w:rsidR="00BB7C35" w:rsidRDefault="00BB7C35" w:rsidP="00BB7C35">
      <w:pPr>
        <w:widowControl w:val="0"/>
        <w:autoSpaceDE w:val="0"/>
        <w:autoSpaceDN w:val="0"/>
        <w:spacing w:before="120" w:after="120" w:line="276" w:lineRule="auto"/>
        <w:ind w:firstLine="708"/>
        <w:jc w:val="both"/>
        <w:rPr>
          <w:rFonts w:ascii="Verdana" w:hAnsi="Verdana" w:cs="Arial"/>
        </w:rPr>
      </w:pPr>
      <w:r w:rsidRPr="00FB56A0">
        <w:rPr>
          <w:rFonts w:ascii="Verdana" w:hAnsi="Verdana" w:cs="Arial"/>
        </w:rPr>
        <w:t>En síntesis, la terminación anticipada por mutuo acuerdo es jurídicamente procedente como mecanismo de extinción anticipada del</w:t>
      </w:r>
      <w:r>
        <w:rPr>
          <w:rFonts w:ascii="Verdana" w:hAnsi="Verdana" w:cs="Arial"/>
        </w:rPr>
        <w:t xml:space="preserve"> plazo del contrato</w:t>
      </w:r>
      <w:r w:rsidRPr="00FB56A0">
        <w:rPr>
          <w:rFonts w:ascii="Verdana" w:hAnsi="Verdana" w:cs="Arial"/>
        </w:rPr>
        <w:t>, siempre que exista consentimiento de las partes y</w:t>
      </w:r>
      <w:r>
        <w:rPr>
          <w:rFonts w:ascii="Verdana" w:hAnsi="Verdana" w:cs="Arial"/>
        </w:rPr>
        <w:t xml:space="preserve"> se eleve a escrito. </w:t>
      </w:r>
      <w:r w:rsidRPr="00FB56A0">
        <w:rPr>
          <w:rFonts w:ascii="Verdana" w:hAnsi="Verdana" w:cs="Arial"/>
        </w:rPr>
        <w:t xml:space="preserve">Sus efectos extintivos son, por regla general, hacia el futuro y no pueden emplearse para desconocer retroactivamente la existencia del vínculo ni las situaciones jurídicas consolidadas durante su vigencia. En consecuencia, la fecha de terminación que se incorpore en el acuerdo debe ser igual o posterior a la fecha en que este se perfecciona y, en todo caso, anterior a la fecha de vencimiento originalmente </w:t>
      </w:r>
      <w:r w:rsidRPr="00FB56A0">
        <w:rPr>
          <w:rFonts w:ascii="Verdana" w:hAnsi="Verdana" w:cs="Arial"/>
        </w:rPr>
        <w:lastRenderedPageBreak/>
        <w:t>pactada</w:t>
      </w:r>
      <w:r>
        <w:rPr>
          <w:rFonts w:ascii="Verdana" w:hAnsi="Verdana" w:cs="Arial"/>
        </w:rPr>
        <w:t xml:space="preserve">. </w:t>
      </w:r>
    </w:p>
    <w:p w14:paraId="30FE48FE" w14:textId="77777777" w:rsidR="00BB7C35" w:rsidRPr="00F37F48" w:rsidRDefault="00BB7C35" w:rsidP="00BB7C35">
      <w:pPr>
        <w:spacing w:after="120" w:line="276" w:lineRule="auto"/>
        <w:ind w:firstLine="709"/>
        <w:jc w:val="both"/>
        <w:rPr>
          <w:rFonts w:ascii="Verdana" w:hAnsi="Verdana"/>
        </w:rPr>
      </w:pPr>
      <w:r w:rsidRPr="00F37F48">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642F498" w14:textId="77777777" w:rsidR="00BB7C35" w:rsidRPr="00F37F48" w:rsidRDefault="00BB7C35" w:rsidP="00BB7C35">
      <w:pPr>
        <w:spacing w:after="0" w:line="276" w:lineRule="auto"/>
        <w:ind w:firstLine="708"/>
        <w:jc w:val="both"/>
        <w:rPr>
          <w:rFonts w:ascii="Verdana" w:eastAsia="Calibri" w:hAnsi="Verdana" w:cs="Arial"/>
          <w:bCs/>
          <w:color w:val="000000" w:themeColor="text1"/>
        </w:rPr>
      </w:pPr>
      <w:r w:rsidRPr="00F37F48">
        <w:rPr>
          <w:rFonts w:ascii="Verdana" w:eastAsia="Calibri" w:hAnsi="Verdana" w:cs="Arial"/>
          <w:bCs/>
          <w:color w:val="000000" w:themeColor="text1"/>
        </w:rPr>
        <w:t xml:space="preserve">Dentro de este marco, corresponde a cada entidad pública, en ejercicio de su competencia, determinar la forma en la cual se llevará a cabo la gestión </w:t>
      </w:r>
      <w:r>
        <w:rPr>
          <w:rFonts w:ascii="Verdana" w:eastAsia="Calibri" w:hAnsi="Verdana" w:cs="Arial"/>
          <w:bCs/>
          <w:color w:val="000000" w:themeColor="text1"/>
        </w:rPr>
        <w:t xml:space="preserve">contractual </w:t>
      </w:r>
      <w:r w:rsidRPr="00F37F48">
        <w:rPr>
          <w:rFonts w:ascii="Verdana" w:eastAsia="Calibri" w:hAnsi="Verdana" w:cs="Arial"/>
          <w:bCs/>
          <w:color w:val="000000" w:themeColor="text1"/>
        </w:rPr>
        <w:t xml:space="preserve">en un proceso de contratación en particular.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1AE2729" w14:textId="77777777" w:rsidR="00BB7C35" w:rsidRPr="00F37F48" w:rsidRDefault="00BB7C35" w:rsidP="00BB7C35">
      <w:pPr>
        <w:spacing w:after="0" w:line="276" w:lineRule="auto"/>
        <w:ind w:firstLine="709"/>
        <w:jc w:val="both"/>
        <w:rPr>
          <w:rFonts w:ascii="Verdana" w:eastAsia="Calibri" w:hAnsi="Verdana" w:cs="Arial"/>
          <w:lang w:val="es-MX"/>
        </w:rPr>
      </w:pPr>
    </w:p>
    <w:p w14:paraId="412135B9" w14:textId="77777777" w:rsidR="00BB7C35" w:rsidRPr="00C628F9" w:rsidRDefault="00BB7C35" w:rsidP="00BB7C35">
      <w:pPr>
        <w:tabs>
          <w:tab w:val="left" w:pos="142"/>
          <w:tab w:val="left" w:pos="284"/>
        </w:tabs>
        <w:spacing w:after="0" w:line="276" w:lineRule="auto"/>
        <w:jc w:val="both"/>
        <w:rPr>
          <w:rFonts w:ascii="Verdana" w:eastAsia="Century Gothic" w:hAnsi="Verdana" w:cs="Century Gothic"/>
          <w:b/>
          <w:bCs/>
        </w:rPr>
      </w:pPr>
      <w:r w:rsidRPr="00C628F9">
        <w:rPr>
          <w:rFonts w:ascii="Verdana" w:eastAsia="Century Gothic" w:hAnsi="Verdana" w:cs="Century Gothic"/>
          <w:b/>
          <w:bCs/>
        </w:rPr>
        <w:t>4. Referencias normativas, jurisprudenciales y otras fuentes:</w:t>
      </w:r>
    </w:p>
    <w:p w14:paraId="3216CE5A" w14:textId="77777777" w:rsidR="00BB7C35" w:rsidRPr="00C628F9" w:rsidRDefault="00BB7C35" w:rsidP="00BB7C3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B7C35" w:rsidRPr="00C628F9" w14:paraId="560A396D" w14:textId="77777777" w:rsidTr="009A4F88">
        <w:trPr>
          <w:trHeight w:val="870"/>
        </w:trPr>
        <w:tc>
          <w:tcPr>
            <w:tcW w:w="8647" w:type="dxa"/>
          </w:tcPr>
          <w:p w14:paraId="2FF72BDC" w14:textId="77777777" w:rsidR="00BB7C35" w:rsidRPr="00C628F9" w:rsidRDefault="00BB7C35" w:rsidP="009A4F88">
            <w:pPr>
              <w:pStyle w:val="Prrafodelista"/>
              <w:numPr>
                <w:ilvl w:val="0"/>
                <w:numId w:val="17"/>
              </w:numPr>
              <w:spacing w:after="120" w:line="259" w:lineRule="auto"/>
              <w:contextualSpacing w:val="0"/>
              <w:jc w:val="both"/>
              <w:rPr>
                <w:rFonts w:ascii="Verdana" w:hAnsi="Verdana" w:cs="Arial"/>
                <w:lang w:val="es-CO"/>
              </w:rPr>
            </w:pPr>
            <w:r w:rsidRPr="00C628F9">
              <w:rPr>
                <w:rFonts w:ascii="Verdana" w:hAnsi="Verdana" w:cs="Arial"/>
                <w:lang w:val="es-CO"/>
              </w:rPr>
              <w:t>Ley 80 de 1993. Artículo 32, 14 y 17</w:t>
            </w:r>
          </w:p>
          <w:p w14:paraId="385A769B" w14:textId="77777777" w:rsidR="00BB7C35" w:rsidRPr="00C628F9" w:rsidRDefault="00BB7C35" w:rsidP="009A4F88">
            <w:pPr>
              <w:pStyle w:val="Prrafodelista"/>
              <w:numPr>
                <w:ilvl w:val="0"/>
                <w:numId w:val="17"/>
              </w:numPr>
              <w:spacing w:after="120" w:line="259" w:lineRule="auto"/>
              <w:contextualSpacing w:val="0"/>
              <w:jc w:val="both"/>
              <w:rPr>
                <w:rFonts w:ascii="Verdana" w:hAnsi="Verdana" w:cs="Arial"/>
                <w:lang w:val="es-CO"/>
              </w:rPr>
            </w:pPr>
            <w:r w:rsidRPr="00C628F9">
              <w:rPr>
                <w:rFonts w:ascii="Verdana" w:hAnsi="Verdana" w:cs="Arial"/>
              </w:rPr>
              <w:t>Ley 1150 de 2007. Artículo 2, numeral 4º, literal h; Artículo 6</w:t>
            </w:r>
          </w:p>
          <w:p w14:paraId="0184F06E" w14:textId="77777777" w:rsidR="00BB7C35" w:rsidRPr="00C628F9" w:rsidRDefault="00BB7C35" w:rsidP="009A4F88">
            <w:pPr>
              <w:pStyle w:val="Prrafodelista"/>
              <w:numPr>
                <w:ilvl w:val="0"/>
                <w:numId w:val="17"/>
              </w:numPr>
              <w:spacing w:after="120" w:line="259" w:lineRule="auto"/>
              <w:contextualSpacing w:val="0"/>
              <w:jc w:val="both"/>
              <w:rPr>
                <w:rFonts w:ascii="Verdana" w:hAnsi="Verdana" w:cs="Arial"/>
                <w:lang w:val="es-CO"/>
              </w:rPr>
            </w:pPr>
            <w:r w:rsidRPr="00C628F9">
              <w:rPr>
                <w:rFonts w:ascii="Verdana" w:hAnsi="Verdana" w:cs="Arial"/>
                <w:lang w:val="es-ES_tradnl"/>
              </w:rPr>
              <w:t>Decreto 019 de 2012. Artículo 2017</w:t>
            </w:r>
          </w:p>
          <w:p w14:paraId="64085073" w14:textId="77777777" w:rsidR="00BB7C35" w:rsidRPr="00C628F9" w:rsidRDefault="00BB7C35" w:rsidP="009A4F88">
            <w:pPr>
              <w:pStyle w:val="Prrafodelista"/>
              <w:numPr>
                <w:ilvl w:val="0"/>
                <w:numId w:val="17"/>
              </w:numPr>
              <w:spacing w:after="120" w:line="259" w:lineRule="auto"/>
              <w:contextualSpacing w:val="0"/>
              <w:jc w:val="both"/>
              <w:rPr>
                <w:rFonts w:ascii="Verdana" w:hAnsi="Verdana" w:cs="Arial"/>
                <w:lang w:val="es-CO"/>
              </w:rPr>
            </w:pPr>
            <w:r w:rsidRPr="00C628F9">
              <w:rPr>
                <w:rFonts w:ascii="Verdana" w:hAnsi="Verdana" w:cs="Arial"/>
              </w:rPr>
              <w:t>Decreto 1068 de 2015. Artículo 2.8.4.4.5</w:t>
            </w:r>
          </w:p>
          <w:p w14:paraId="2E03373A" w14:textId="77777777" w:rsidR="00BB7C35" w:rsidRPr="00C628F9" w:rsidRDefault="00BB7C35" w:rsidP="009A4F88">
            <w:pPr>
              <w:pStyle w:val="Prrafodelista"/>
              <w:numPr>
                <w:ilvl w:val="0"/>
                <w:numId w:val="17"/>
              </w:numPr>
              <w:spacing w:after="120" w:line="259" w:lineRule="auto"/>
              <w:contextualSpacing w:val="0"/>
              <w:jc w:val="both"/>
              <w:rPr>
                <w:rFonts w:ascii="Verdana" w:hAnsi="Verdana" w:cs="Arial"/>
                <w:lang w:val="es-CO"/>
              </w:rPr>
            </w:pPr>
            <w:r w:rsidRPr="00C628F9">
              <w:rPr>
                <w:rFonts w:ascii="Verdana" w:hAnsi="Verdana" w:cs="Arial"/>
              </w:rPr>
              <w:t>Código Sustantivo del Trabajo. Artículo 22</w:t>
            </w:r>
          </w:p>
          <w:p w14:paraId="4C6A7D24" w14:textId="77777777" w:rsidR="00BB7C35" w:rsidRPr="00C628F9" w:rsidRDefault="00BB7C35" w:rsidP="009A4F88">
            <w:pPr>
              <w:pStyle w:val="Prrafodelista"/>
              <w:numPr>
                <w:ilvl w:val="0"/>
                <w:numId w:val="17"/>
              </w:numPr>
              <w:spacing w:after="120" w:line="259" w:lineRule="auto"/>
              <w:contextualSpacing w:val="0"/>
              <w:jc w:val="both"/>
              <w:rPr>
                <w:rFonts w:ascii="Verdana" w:hAnsi="Verdana" w:cs="Arial"/>
                <w:lang w:val="es-CO"/>
              </w:rPr>
            </w:pPr>
            <w:r w:rsidRPr="00C628F9">
              <w:rPr>
                <w:rFonts w:ascii="Verdana" w:hAnsi="Verdana" w:cs="Arial"/>
                <w:lang w:val="es-CO"/>
              </w:rPr>
              <w:t>Decreto 1082 de 2015. Artículos 2.2.1.2.1.4.1, 2.2.1.2.1.4.3</w:t>
            </w:r>
            <w:r w:rsidRPr="00C628F9">
              <w:rPr>
                <w:rFonts w:ascii="Verdana" w:hAnsi="Verdana"/>
              </w:rPr>
              <w:t xml:space="preserve"> </w:t>
            </w:r>
          </w:p>
          <w:p w14:paraId="2C4FBC73" w14:textId="77777777" w:rsidR="00BB7C35" w:rsidRPr="00C628F9" w:rsidRDefault="00BB7C35" w:rsidP="009A4F88">
            <w:pPr>
              <w:pStyle w:val="Prrafodelista"/>
              <w:numPr>
                <w:ilvl w:val="0"/>
                <w:numId w:val="17"/>
              </w:numPr>
              <w:spacing w:after="120" w:line="259" w:lineRule="auto"/>
              <w:contextualSpacing w:val="0"/>
              <w:jc w:val="both"/>
              <w:rPr>
                <w:rFonts w:ascii="Verdana" w:hAnsi="Verdana" w:cs="Arial"/>
                <w:lang w:val="es-CO"/>
              </w:rPr>
            </w:pPr>
            <w:r w:rsidRPr="00C628F9">
              <w:rPr>
                <w:rFonts w:ascii="Verdana" w:hAnsi="Verdana" w:cs="Arial"/>
                <w:lang w:val="es-CO"/>
              </w:rPr>
              <w:t xml:space="preserve">Consejo de Estado. Sala de lo Contencioso Administrativo. Sección Tercera. Subsección C. Sentencia del 2 de diciembre de 2013. </w:t>
            </w:r>
            <w:proofErr w:type="spellStart"/>
            <w:r w:rsidRPr="00C628F9">
              <w:rPr>
                <w:rFonts w:ascii="Verdana" w:hAnsi="Verdana" w:cs="Arial"/>
                <w:lang w:val="es-CO"/>
              </w:rPr>
              <w:t>Exp</w:t>
            </w:r>
            <w:proofErr w:type="spellEnd"/>
            <w:r w:rsidRPr="00C628F9">
              <w:rPr>
                <w:rFonts w:ascii="Verdana" w:hAnsi="Verdana" w:cs="Arial"/>
                <w:lang w:val="es-CO"/>
              </w:rPr>
              <w:t>. 41719. Consejero Ponente: Jaime Orlando Santofimio Gamboa.</w:t>
            </w:r>
          </w:p>
          <w:p w14:paraId="09FD509C" w14:textId="77777777" w:rsidR="00BB7C35" w:rsidRPr="00C628F9" w:rsidRDefault="00BB7C35" w:rsidP="009A4F88">
            <w:pPr>
              <w:pStyle w:val="Prrafodelista"/>
              <w:numPr>
                <w:ilvl w:val="0"/>
                <w:numId w:val="17"/>
              </w:numPr>
              <w:spacing w:after="120" w:line="259" w:lineRule="auto"/>
              <w:contextualSpacing w:val="0"/>
              <w:jc w:val="both"/>
              <w:rPr>
                <w:rFonts w:ascii="Verdana" w:hAnsi="Verdana" w:cs="Arial"/>
                <w:lang w:val="es-CO"/>
              </w:rPr>
            </w:pPr>
            <w:r w:rsidRPr="00C628F9">
              <w:rPr>
                <w:rFonts w:ascii="Verdana" w:hAnsi="Verdana" w:cs="Arial"/>
              </w:rPr>
              <w:lastRenderedPageBreak/>
              <w:t xml:space="preserve">Corte Constitucional. Sentencia C-154 de 1997. Magistrado Ponente: Hernando Herrera Vergara. </w:t>
            </w:r>
          </w:p>
        </w:tc>
      </w:tr>
    </w:tbl>
    <w:p w14:paraId="6149F2BF" w14:textId="77777777" w:rsidR="00BB7C35" w:rsidRPr="00C628F9" w:rsidRDefault="00BB7C35" w:rsidP="00BB7C3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CF275A8" w14:textId="77777777" w:rsidR="00BB7C35" w:rsidRPr="00C628F9" w:rsidRDefault="00BB7C35" w:rsidP="00BB7C3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628F9">
        <w:rPr>
          <w:rFonts w:ascii="Verdana" w:eastAsia="Century Gothic" w:hAnsi="Verdana" w:cs="Century Gothic"/>
          <w:b/>
          <w:bCs/>
        </w:rPr>
        <w:t>5. Doctrina de la Agencia Nacional de Contratación Pública:</w:t>
      </w:r>
    </w:p>
    <w:p w14:paraId="2C9899EE" w14:textId="77777777" w:rsidR="00BB7C35" w:rsidRPr="00C628F9" w:rsidRDefault="00BB7C35" w:rsidP="00BB7C35">
      <w:pPr>
        <w:spacing w:after="0" w:line="276" w:lineRule="auto"/>
        <w:ind w:firstLine="709"/>
        <w:jc w:val="both"/>
        <w:rPr>
          <w:rFonts w:ascii="Verdana" w:eastAsia="Times New Roman" w:hAnsi="Verdana" w:cs="Arial"/>
          <w:lang w:eastAsia="es-ES_tradnl"/>
        </w:rPr>
      </w:pPr>
    </w:p>
    <w:p w14:paraId="75560883" w14:textId="77777777" w:rsidR="00BB7C35" w:rsidRDefault="00BB7C35" w:rsidP="00BB7C35">
      <w:pPr>
        <w:widowControl w:val="0"/>
        <w:autoSpaceDE w:val="0"/>
        <w:autoSpaceDN w:val="0"/>
        <w:spacing w:after="0" w:line="276" w:lineRule="auto"/>
        <w:jc w:val="both"/>
        <w:rPr>
          <w:rFonts w:ascii="Verdana" w:hAnsi="Verdana" w:cs="Arial"/>
          <w:lang w:val="es-ES"/>
        </w:rPr>
      </w:pPr>
      <w:r w:rsidRPr="00C628F9">
        <w:rPr>
          <w:rFonts w:ascii="Verdana" w:hAnsi="Verdana" w:cs="Arial"/>
          <w:shd w:val="clear" w:color="auto" w:fill="FFFFFF"/>
          <w:lang w:val="es-ES"/>
        </w:rPr>
        <w:t>Sobre los contratos de prestación de servicios, esta Subdirección se ha referido en los Conceptos Nro. C−293 del 12 de mayo de 2020, C−313 del 21 de mayo de 2020, C−345 del 21 de mayo de 2020, C−359 del 04de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C-372 del 26 de Agosto 2024, C-904 del 9 de diciembre de 2024, C-754 del 4 de diciembre de 2024, C-363 del 15 de abril de 2025</w:t>
      </w:r>
      <w:r w:rsidRPr="00C628F9">
        <w:rPr>
          <w:rFonts w:ascii="Verdana" w:hAnsi="Verdana" w:cs="Arial"/>
          <w:lang w:val="es-ES"/>
        </w:rPr>
        <w:t>, C-441 del 16 de mayo de 2025, C-517 del 27 de mayo de 2025 y C- 578 del 24 de junio del 2025</w:t>
      </w:r>
      <w:r w:rsidRPr="00C628F9">
        <w:rPr>
          <w:rFonts w:ascii="Verdana" w:hAnsi="Verdana" w:cs="Arial"/>
        </w:rPr>
        <w:t xml:space="preserve">. </w:t>
      </w:r>
      <w:r w:rsidRPr="00C628F9">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C628F9">
          <w:rPr>
            <w:rStyle w:val="Hipervnculo"/>
            <w:rFonts w:ascii="Verdana" w:eastAsia="Calibri" w:hAnsi="Verdana" w:cs="Arial"/>
            <w:lang w:eastAsia="es-ES_tradnl"/>
          </w:rPr>
          <w:t>https://relatoria.colombiacompra.gov.co/</w:t>
        </w:r>
      </w:hyperlink>
      <w:r w:rsidRPr="00C628F9">
        <w:rPr>
          <w:rFonts w:ascii="Verdana" w:eastAsia="Calibri" w:hAnsi="Verdana" w:cs="Arial"/>
          <w:lang w:eastAsia="es-ES_tradnl"/>
        </w:rPr>
        <w:t> </w:t>
      </w:r>
    </w:p>
    <w:p w14:paraId="00918D9E" w14:textId="77777777" w:rsidR="00BB7C35" w:rsidRPr="002A0AA3" w:rsidRDefault="00BB7C35" w:rsidP="00BB7C35">
      <w:pPr>
        <w:widowControl w:val="0"/>
        <w:autoSpaceDE w:val="0"/>
        <w:autoSpaceDN w:val="0"/>
        <w:spacing w:after="0" w:line="276" w:lineRule="auto"/>
        <w:jc w:val="both"/>
        <w:rPr>
          <w:rFonts w:ascii="Verdana" w:hAnsi="Verdana" w:cs="Arial"/>
          <w:lang w:val="es-ES"/>
        </w:rPr>
      </w:pPr>
    </w:p>
    <w:bookmarkEnd w:id="0"/>
    <w:p w14:paraId="6AF29BF8" w14:textId="77777777" w:rsidR="00BB7C35" w:rsidRPr="002F7DE0" w:rsidRDefault="00BB7C35" w:rsidP="00BB7C35">
      <w:pPr>
        <w:widowControl w:val="0"/>
        <w:autoSpaceDE w:val="0"/>
        <w:autoSpaceDN w:val="0"/>
        <w:spacing w:after="120" w:line="276" w:lineRule="auto"/>
        <w:jc w:val="both"/>
        <w:rPr>
          <w:rFonts w:ascii="Verdana" w:hAnsi="Verdana" w:cs="Arial"/>
          <w:color w:val="000000" w:themeColor="text1"/>
          <w:shd w:val="clear" w:color="auto" w:fill="FFFFFF"/>
        </w:rPr>
      </w:pPr>
      <w:r w:rsidRPr="002F7DE0">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2F7DE0">
        <w:rPr>
          <w:rFonts w:ascii="Verdana" w:eastAsia="Times New Roman" w:hAnsi="Verdana" w:cs="Times New Roman"/>
          <w:b/>
          <w:bCs/>
          <w:color w:val="000000"/>
          <w:lang w:eastAsia="es-CO"/>
        </w:rPr>
        <w:t>Guía para la Exigencia y Constitución de Garantías en los Procesos de Contratación</w:t>
      </w:r>
      <w:r w:rsidRPr="002F7DE0">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7856746C" w14:textId="77777777" w:rsidR="00BB7C35" w:rsidRPr="002F7DE0" w:rsidRDefault="00BB7C35" w:rsidP="00BB7C35">
      <w:pPr>
        <w:shd w:val="clear" w:color="auto" w:fill="FFFFFF"/>
        <w:spacing w:after="120" w:line="276" w:lineRule="auto"/>
        <w:jc w:val="both"/>
        <w:textAlignment w:val="baseline"/>
        <w:rPr>
          <w:rFonts w:ascii="Verdana" w:eastAsia="Times New Roman" w:hAnsi="Verdana" w:cs="Times New Roman"/>
          <w:color w:val="000000"/>
          <w:lang w:eastAsia="es-CO"/>
        </w:rPr>
      </w:pPr>
      <w:r w:rsidRPr="002F7DE0">
        <w:rPr>
          <w:rFonts w:ascii="Verdana" w:eastAsia="Times New Roman" w:hAnsi="Verdana" w:cs="Times New Roman"/>
          <w:color w:val="000000"/>
          <w:lang w:eastAsia="es-CO"/>
        </w:rPr>
        <w:t xml:space="preserve">De otro lado, te contamos que el Decreto 287 del 19 de marzo de 2026 sustituyó los artículos 2.2.1.2.4.2.6., 2.2.1.2.4.2.7. y 2.2.1.2.4.2.8. del Decreto 1082 de </w:t>
      </w:r>
      <w:r w:rsidRPr="002F7DE0">
        <w:rPr>
          <w:rFonts w:ascii="Verdana" w:eastAsia="Times New Roman" w:hAnsi="Verdana" w:cs="Times New Roman"/>
          <w:color w:val="000000"/>
          <w:lang w:eastAsia="es-CO"/>
        </w:rPr>
        <w:lastRenderedPageBreak/>
        <w:t>2015 y estructuró el </w:t>
      </w:r>
      <w:r w:rsidRPr="002F7DE0">
        <w:rPr>
          <w:rFonts w:ascii="Verdana" w:eastAsia="Times New Roman" w:hAnsi="Verdana" w:cs="Times New Roman"/>
          <w:b/>
          <w:bCs/>
          <w:color w:val="000000"/>
          <w:lang w:eastAsia="es-CO"/>
        </w:rPr>
        <w:t>Sistema Integral de Preferencias en favor de las personas con discapacidad</w:t>
      </w:r>
      <w:r w:rsidRPr="002F7DE0">
        <w:rPr>
          <w:rFonts w:ascii="Verdana" w:eastAsia="Times New Roman" w:hAnsi="Verdana" w:cs="Times New Roman"/>
          <w:color w:val="000000"/>
          <w:lang w:eastAsia="es-CO"/>
        </w:rPr>
        <w:t>, en cumplimiento del artículo 13 de la Ley Estatutaria 1618 de 2013. Para orientar su aplicación, esta Agencia expidió la </w:t>
      </w:r>
      <w:r w:rsidRPr="002F7DE0">
        <w:rPr>
          <w:rFonts w:ascii="Verdana" w:eastAsia="Times New Roman" w:hAnsi="Verdana" w:cs="Times New Roman"/>
          <w:b/>
          <w:bCs/>
          <w:color w:val="000000"/>
          <w:lang w:eastAsia="es-CO"/>
        </w:rPr>
        <w:t>Circular Externa 003 del 12 de mayo de 2026, </w:t>
      </w:r>
      <w:r w:rsidRPr="002F7DE0">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27BD5E3A" w14:textId="77777777" w:rsidR="00BB7C35" w:rsidRPr="002F7DE0" w:rsidRDefault="00BB7C35" w:rsidP="00BB7C35">
      <w:pPr>
        <w:shd w:val="clear" w:color="auto" w:fill="FFFFFF"/>
        <w:spacing w:after="120" w:line="276" w:lineRule="auto"/>
        <w:jc w:val="both"/>
        <w:textAlignment w:val="baseline"/>
        <w:rPr>
          <w:rFonts w:ascii="Verdana" w:eastAsia="Times New Roman" w:hAnsi="Verdana" w:cs="Times New Roman"/>
          <w:color w:val="000000"/>
          <w:lang w:eastAsia="es-CO"/>
        </w:rPr>
      </w:pPr>
      <w:r w:rsidRPr="002F7DE0">
        <w:rPr>
          <w:rFonts w:ascii="Verdana" w:eastAsia="Times New Roman" w:hAnsi="Verdana" w:cs="Times New Roman"/>
          <w:color w:val="000000"/>
          <w:lang w:eastAsia="es-CO"/>
        </w:rPr>
        <w:t>Recuerda también que la</w:t>
      </w:r>
      <w:r w:rsidRPr="002F7DE0">
        <w:rPr>
          <w:rFonts w:ascii="Verdana" w:eastAsia="Times New Roman" w:hAnsi="Verdana" w:cs="Times New Roman"/>
          <w:b/>
          <w:bCs/>
          <w:color w:val="000000"/>
          <w:lang w:eastAsia="es-CO"/>
        </w:rPr>
        <w:t> información sobre sanciones e inhabilidades </w:t>
      </w:r>
      <w:r w:rsidRPr="002F7DE0">
        <w:rPr>
          <w:rFonts w:ascii="Verdana" w:eastAsia="Times New Roman" w:hAnsi="Verdana" w:cs="Times New Roman"/>
          <w:color w:val="000000"/>
          <w:lang w:eastAsia="es-CO"/>
        </w:rPr>
        <w:t>solo cumple su función preventiva si llega oportunamente a los registros públicos. Sobre este deber, esta Agencia expidió la </w:t>
      </w:r>
      <w:r w:rsidRPr="002F7DE0">
        <w:rPr>
          <w:rFonts w:ascii="Verdana" w:eastAsia="Times New Roman" w:hAnsi="Verdana" w:cs="Times New Roman"/>
          <w:b/>
          <w:bCs/>
          <w:color w:val="000000"/>
          <w:lang w:eastAsia="es-CO"/>
        </w:rPr>
        <w:t>Circular Externa 002 del 5 de mayo de 2026,</w:t>
      </w:r>
      <w:r w:rsidRPr="002F7DE0">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26D4AED0" w14:textId="77777777" w:rsidR="00BB7C35" w:rsidRPr="002F7DE0" w:rsidRDefault="00BB7C35" w:rsidP="00BB7C35">
      <w:pPr>
        <w:shd w:val="clear" w:color="auto" w:fill="FFFFFF"/>
        <w:spacing w:after="120" w:line="276" w:lineRule="auto"/>
        <w:jc w:val="both"/>
        <w:textAlignment w:val="baseline"/>
        <w:rPr>
          <w:rFonts w:ascii="Verdana" w:eastAsia="Times New Roman" w:hAnsi="Verdana" w:cs="Times New Roman"/>
          <w:color w:val="000000"/>
          <w:lang w:eastAsia="es-CO"/>
        </w:rPr>
      </w:pPr>
      <w:r w:rsidRPr="002F7DE0">
        <w:rPr>
          <w:rFonts w:ascii="Verdana" w:eastAsia="Times New Roman" w:hAnsi="Verdana" w:cs="Times New Roman"/>
          <w:color w:val="000000"/>
          <w:lang w:eastAsia="es-CO"/>
        </w:rPr>
        <w:t>Finalmente, si quieres seguir de cerca la actividad de la Agencia, la tercera edición de 2026 del</w:t>
      </w:r>
      <w:r w:rsidRPr="002F7DE0">
        <w:rPr>
          <w:rFonts w:ascii="Verdana" w:eastAsia="Times New Roman" w:hAnsi="Verdana" w:cs="Times New Roman"/>
          <w:b/>
          <w:bCs/>
          <w:color w:val="000000"/>
          <w:lang w:eastAsia="es-CO"/>
        </w:rPr>
        <w:t> Radar de la Compra Pública</w:t>
      </w:r>
      <w:r w:rsidRPr="002F7DE0">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2F7DE0">
        <w:rPr>
          <w:rFonts w:ascii="Verdana" w:eastAsia="Times New Roman" w:hAnsi="Verdana" w:cs="Times New Roman"/>
          <w:color w:val="000000"/>
          <w:lang w:eastAsia="es-CO"/>
        </w:rPr>
        <w:t>"</w:t>
      </w:r>
    </w:p>
    <w:p w14:paraId="48432FF0" w14:textId="77777777" w:rsidR="00BB7C35" w:rsidRPr="002F7DE0" w:rsidRDefault="00BB7C35" w:rsidP="00BB7C35">
      <w:pPr>
        <w:spacing w:after="0" w:line="276" w:lineRule="auto"/>
        <w:jc w:val="both"/>
        <w:rPr>
          <w:rFonts w:ascii="Verdana" w:hAnsi="Verdana"/>
          <w:lang w:val="es-ES"/>
        </w:rPr>
      </w:pPr>
      <w:r w:rsidRPr="002F7DE0">
        <w:rPr>
          <w:rFonts w:ascii="Verdana" w:hAnsi="Verdana"/>
          <w:lang w:val="es-ES"/>
        </w:rPr>
        <w:t xml:space="preserve">Por último, lo invitamos a seguirnos en las redes sociales en las cuales se difunde información institucional: </w:t>
      </w:r>
    </w:p>
    <w:p w14:paraId="5492E3E0" w14:textId="77777777" w:rsidR="00BB7C35" w:rsidRPr="002F7DE0" w:rsidRDefault="00BB7C35" w:rsidP="00BB7C35">
      <w:pPr>
        <w:spacing w:after="0" w:line="276" w:lineRule="auto"/>
        <w:jc w:val="both"/>
        <w:rPr>
          <w:rFonts w:ascii="Verdana" w:hAnsi="Verdana"/>
          <w:lang w:val="es-ES"/>
        </w:rPr>
      </w:pPr>
    </w:p>
    <w:p w14:paraId="223CF27A" w14:textId="77777777" w:rsidR="00BB7C35" w:rsidRPr="002F7DE0" w:rsidRDefault="00BB7C35" w:rsidP="00BB7C35">
      <w:pPr>
        <w:spacing w:after="0" w:line="276" w:lineRule="auto"/>
        <w:jc w:val="both"/>
        <w:rPr>
          <w:rFonts w:ascii="Verdana" w:hAnsi="Verdana"/>
          <w:lang w:val="es-ES"/>
        </w:rPr>
      </w:pPr>
      <w:r w:rsidRPr="002F7DE0">
        <w:rPr>
          <w:rFonts w:ascii="Verdana" w:hAnsi="Verdana"/>
          <w:lang w:val="es-ES"/>
        </w:rPr>
        <w:t xml:space="preserve">Twitter: </w:t>
      </w:r>
      <w:r w:rsidRPr="002F7DE0">
        <w:rPr>
          <w:rFonts w:ascii="Verdana" w:hAnsi="Verdana" w:cs="Arial"/>
          <w:color w:val="0000FF"/>
          <w:u w:val="single"/>
          <w:shd w:val="clear" w:color="auto" w:fill="FFFFFF"/>
          <w:lang w:val="es-ES"/>
        </w:rPr>
        <w:t>@colombiacompra</w:t>
      </w:r>
      <w:r w:rsidRPr="002F7DE0">
        <w:rPr>
          <w:rFonts w:ascii="Verdana" w:hAnsi="Verdana"/>
          <w:color w:val="4472C4" w:themeColor="accent1"/>
          <w:lang w:val="es-ES"/>
        </w:rPr>
        <w:t xml:space="preserve"> </w:t>
      </w:r>
    </w:p>
    <w:p w14:paraId="172EED97" w14:textId="77777777" w:rsidR="00BB7C35" w:rsidRPr="002F7DE0" w:rsidRDefault="00BB7C35" w:rsidP="00BB7C35">
      <w:pPr>
        <w:spacing w:after="0" w:line="276" w:lineRule="auto"/>
        <w:jc w:val="both"/>
        <w:rPr>
          <w:rFonts w:ascii="Verdana" w:hAnsi="Verdana"/>
          <w:lang w:val="es-ES"/>
        </w:rPr>
      </w:pPr>
      <w:r w:rsidRPr="002F7DE0">
        <w:rPr>
          <w:rFonts w:ascii="Verdana" w:hAnsi="Verdana"/>
          <w:lang w:val="es-ES"/>
        </w:rPr>
        <w:t xml:space="preserve">Facebook: </w:t>
      </w:r>
      <w:proofErr w:type="spellStart"/>
      <w:r w:rsidRPr="002F7DE0">
        <w:rPr>
          <w:rFonts w:ascii="Verdana" w:hAnsi="Verdana" w:cs="Arial"/>
          <w:color w:val="0000FF"/>
          <w:u w:val="single"/>
          <w:shd w:val="clear" w:color="auto" w:fill="FFFFFF"/>
          <w:lang w:val="es-ES"/>
        </w:rPr>
        <w:t>ColombiaCompraEficiente</w:t>
      </w:r>
      <w:proofErr w:type="spellEnd"/>
    </w:p>
    <w:p w14:paraId="7E5D8754" w14:textId="77777777" w:rsidR="00BB7C35" w:rsidRPr="002F7DE0" w:rsidRDefault="00BB7C35" w:rsidP="00BB7C35">
      <w:pPr>
        <w:spacing w:after="0" w:line="276" w:lineRule="auto"/>
        <w:jc w:val="both"/>
        <w:rPr>
          <w:rFonts w:ascii="Verdana" w:hAnsi="Verdana"/>
          <w:lang w:val="es-ES"/>
        </w:rPr>
      </w:pPr>
      <w:r w:rsidRPr="002F7DE0">
        <w:rPr>
          <w:rFonts w:ascii="Verdana" w:hAnsi="Verdana"/>
          <w:lang w:val="es-ES"/>
        </w:rPr>
        <w:t xml:space="preserve">LinkedIn: </w:t>
      </w:r>
      <w:r w:rsidRPr="002F7DE0">
        <w:rPr>
          <w:rFonts w:ascii="Verdana" w:hAnsi="Verdana" w:cs="Arial"/>
          <w:color w:val="0000FF"/>
          <w:u w:val="single"/>
          <w:shd w:val="clear" w:color="auto" w:fill="FFFFFF"/>
          <w:lang w:val="es-ES"/>
        </w:rPr>
        <w:t xml:space="preserve">Agencia Nacional de Contratación Pública - Colombia Compra Eficiente </w:t>
      </w:r>
      <w:r w:rsidRPr="002F7DE0">
        <w:rPr>
          <w:rFonts w:ascii="Verdana" w:hAnsi="Verdana"/>
          <w:lang w:val="es-ES"/>
        </w:rPr>
        <w:t xml:space="preserve">Instagram: </w:t>
      </w:r>
      <w:r w:rsidRPr="002F7DE0">
        <w:rPr>
          <w:rFonts w:ascii="Verdana" w:hAnsi="Verdana" w:cs="Arial"/>
          <w:color w:val="0000FF"/>
          <w:u w:val="single"/>
          <w:shd w:val="clear" w:color="auto" w:fill="FFFFFF"/>
          <w:lang w:val="es-ES"/>
        </w:rPr>
        <w:t>@colombiacompraeficiente_cce</w:t>
      </w:r>
    </w:p>
    <w:p w14:paraId="651D9AAC" w14:textId="77777777" w:rsidR="00BB7C35" w:rsidRPr="002F7DE0" w:rsidRDefault="00BB7C35" w:rsidP="00BB7C35">
      <w:pPr>
        <w:spacing w:after="0" w:line="276" w:lineRule="auto"/>
        <w:jc w:val="both"/>
        <w:rPr>
          <w:rFonts w:ascii="Verdana" w:hAnsi="Verdana"/>
          <w:lang w:val="es-ES"/>
        </w:rPr>
      </w:pPr>
    </w:p>
    <w:p w14:paraId="3BC3ADBF" w14:textId="77777777" w:rsidR="00BB7C35" w:rsidRPr="002F7DE0" w:rsidRDefault="00BB7C35" w:rsidP="00BB7C35">
      <w:pPr>
        <w:spacing w:before="120" w:after="0" w:line="276" w:lineRule="auto"/>
        <w:jc w:val="both"/>
        <w:rPr>
          <w:rFonts w:ascii="Verdana" w:hAnsi="Verdana"/>
        </w:rPr>
      </w:pPr>
      <w:r w:rsidRPr="002F7DE0">
        <w:rPr>
          <w:rFonts w:ascii="Verdana" w:hAnsi="Verdana"/>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CED5C7D" w14:textId="77777777" w:rsidR="00BB7C35" w:rsidRPr="002F7DE0" w:rsidRDefault="00BB7C35" w:rsidP="00BB7C35">
      <w:pPr>
        <w:widowControl w:val="0"/>
        <w:autoSpaceDE w:val="0"/>
        <w:autoSpaceDN w:val="0"/>
        <w:spacing w:after="0" w:line="276" w:lineRule="auto"/>
        <w:jc w:val="both"/>
        <w:rPr>
          <w:rFonts w:ascii="Verdana" w:hAnsi="Verdana" w:cs="Arial"/>
        </w:rPr>
      </w:pPr>
    </w:p>
    <w:p w14:paraId="19021B07" w14:textId="77777777" w:rsidR="00BB7C35" w:rsidRPr="002F7DE0" w:rsidRDefault="00BB7C35" w:rsidP="00BB7C35">
      <w:pPr>
        <w:spacing w:after="0" w:line="276" w:lineRule="auto"/>
        <w:rPr>
          <w:rFonts w:ascii="Verdana" w:hAnsi="Verdana" w:cs="Arial"/>
          <w:lang w:eastAsia="es-CO"/>
        </w:rPr>
      </w:pPr>
      <w:r w:rsidRPr="002F7DE0">
        <w:rPr>
          <w:rFonts w:ascii="Verdana" w:eastAsia="Times New Roman" w:hAnsi="Verdana" w:cs="Arial"/>
          <w:lang w:eastAsia="es-CO"/>
        </w:rPr>
        <w:t>Atentamente,</w:t>
      </w:r>
      <w:r w:rsidRPr="002F7DE0">
        <w:rPr>
          <w:rFonts w:ascii="Verdana" w:hAnsi="Verdana" w:cs="Arial"/>
          <w:lang w:eastAsia="es-CO"/>
        </w:rPr>
        <w:t xml:space="preserve"> </w:t>
      </w:r>
    </w:p>
    <w:p w14:paraId="00D39970" w14:textId="4F10DC89" w:rsidR="00BB7C35" w:rsidRPr="002F7DE0" w:rsidRDefault="002138A7" w:rsidP="00BB7C35">
      <w:pPr>
        <w:spacing w:line="276" w:lineRule="auto"/>
        <w:jc w:val="center"/>
        <w:rPr>
          <w:rFonts w:ascii="Verdana" w:hAnsi="Verdana" w:cs="Arial"/>
          <w:color w:val="000000"/>
          <w:lang w:eastAsia="es-CO"/>
        </w:rPr>
      </w:pPr>
      <w:r>
        <w:rPr>
          <w:noProof/>
        </w:rPr>
        <w:drawing>
          <wp:inline distT="0" distB="0" distL="0" distR="0" wp14:anchorId="54E960B7" wp14:editId="18302A5E">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B7C35" w:rsidRPr="002F7DE0" w14:paraId="61C3D148" w14:textId="77777777" w:rsidTr="009A4F88">
        <w:trPr>
          <w:trHeight w:val="315"/>
        </w:trPr>
        <w:tc>
          <w:tcPr>
            <w:tcW w:w="893" w:type="dxa"/>
            <w:vAlign w:val="center"/>
            <w:hideMark/>
          </w:tcPr>
          <w:p w14:paraId="50B21283" w14:textId="77777777" w:rsidR="00BB7C35" w:rsidRPr="002F7DE0" w:rsidRDefault="00BB7C35" w:rsidP="009A4F88">
            <w:pPr>
              <w:contextualSpacing/>
              <w:rPr>
                <w:rFonts w:ascii="Verdana" w:hAnsi="Verdana" w:cs="Arial"/>
                <w:sz w:val="16"/>
                <w:szCs w:val="16"/>
                <w:lang w:val="es-ES" w:eastAsia="es-ES"/>
              </w:rPr>
            </w:pPr>
            <w:r w:rsidRPr="002F7D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A7D079A" w14:textId="77777777" w:rsidR="00BB7C35" w:rsidRPr="002F7DE0" w:rsidRDefault="00BB7C35" w:rsidP="009A4F88">
            <w:pPr>
              <w:contextualSpacing/>
              <w:rPr>
                <w:rFonts w:ascii="Verdana" w:hAnsi="Verdana"/>
                <w:sz w:val="16"/>
                <w:szCs w:val="16"/>
              </w:rPr>
            </w:pPr>
            <w:r w:rsidRPr="002F7DE0">
              <w:rPr>
                <w:rFonts w:ascii="Verdana" w:hAnsi="Verdana"/>
                <w:sz w:val="16"/>
                <w:szCs w:val="16"/>
              </w:rPr>
              <w:t>Tatiana Baquero Iguarán</w:t>
            </w:r>
          </w:p>
          <w:p w14:paraId="0999865A" w14:textId="77777777" w:rsidR="00BB7C35" w:rsidRPr="002F7DE0" w:rsidRDefault="00BB7C35" w:rsidP="009A4F88">
            <w:pPr>
              <w:contextualSpacing/>
              <w:rPr>
                <w:rFonts w:ascii="Verdana" w:eastAsia="Arial" w:hAnsi="Verdana" w:cs="Arial"/>
                <w:sz w:val="16"/>
                <w:szCs w:val="16"/>
              </w:rPr>
            </w:pPr>
            <w:r w:rsidRPr="002F7DE0">
              <w:rPr>
                <w:rFonts w:ascii="Verdana" w:hAnsi="Verdana"/>
                <w:sz w:val="16"/>
                <w:szCs w:val="16"/>
              </w:rPr>
              <w:t>Contratista de la Subdirección de Gestión Contractual</w:t>
            </w:r>
          </w:p>
        </w:tc>
      </w:tr>
      <w:tr w:rsidR="00BB7C35" w:rsidRPr="002F7DE0" w14:paraId="470FB127" w14:textId="77777777" w:rsidTr="009A4F88">
        <w:trPr>
          <w:trHeight w:val="330"/>
        </w:trPr>
        <w:tc>
          <w:tcPr>
            <w:tcW w:w="893" w:type="dxa"/>
            <w:vAlign w:val="center"/>
            <w:hideMark/>
          </w:tcPr>
          <w:p w14:paraId="3040A5E7" w14:textId="77777777" w:rsidR="00BB7C35" w:rsidRPr="002F7DE0" w:rsidRDefault="00BB7C35" w:rsidP="009A4F88">
            <w:pPr>
              <w:contextualSpacing/>
              <w:rPr>
                <w:rFonts w:ascii="Verdana" w:hAnsi="Verdana" w:cs="Arial"/>
                <w:sz w:val="16"/>
                <w:szCs w:val="16"/>
                <w:lang w:val="es-ES" w:eastAsia="es-ES"/>
              </w:rPr>
            </w:pPr>
            <w:r w:rsidRPr="002F7D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B29543A" w14:textId="77777777" w:rsidR="00BB7C35" w:rsidRPr="002F7DE0" w:rsidRDefault="00BB7C35" w:rsidP="009A4F88">
            <w:pPr>
              <w:spacing w:before="100" w:beforeAutospacing="1" w:afterAutospacing="1"/>
              <w:contextualSpacing/>
              <w:textAlignment w:val="baseline"/>
              <w:rPr>
                <w:rFonts w:ascii="Verdana" w:eastAsia="Times New Roman" w:hAnsi="Verdana" w:cs="Arial"/>
                <w:sz w:val="16"/>
                <w:szCs w:val="16"/>
                <w:lang w:val="es-ES" w:eastAsia="es-ES_tradnl"/>
              </w:rPr>
            </w:pPr>
            <w:r w:rsidRPr="002F7DE0">
              <w:rPr>
                <w:rFonts w:ascii="Verdana" w:eastAsia="Times New Roman" w:hAnsi="Verdana" w:cs="Arial"/>
                <w:sz w:val="16"/>
                <w:szCs w:val="16"/>
                <w:lang w:val="es-ES" w:eastAsia="es-ES_tradnl"/>
              </w:rPr>
              <w:t>Alejandro Sarmiento Cantillo</w:t>
            </w:r>
          </w:p>
          <w:p w14:paraId="3B910F96" w14:textId="77777777" w:rsidR="00BB7C35" w:rsidRPr="002F7DE0" w:rsidRDefault="00BB7C35" w:rsidP="009A4F88">
            <w:pPr>
              <w:contextualSpacing/>
              <w:textAlignment w:val="baseline"/>
              <w:rPr>
                <w:rFonts w:ascii="Verdana" w:eastAsia="Times New Roman" w:hAnsi="Verdana" w:cs="Segoe UI"/>
                <w:sz w:val="16"/>
                <w:szCs w:val="16"/>
                <w:lang w:eastAsia="es-ES_tradnl"/>
              </w:rPr>
            </w:pPr>
            <w:r w:rsidRPr="002F7DE0">
              <w:rPr>
                <w:rFonts w:ascii="Verdana" w:eastAsia="Times New Roman" w:hAnsi="Verdana" w:cs="Arial"/>
                <w:sz w:val="16"/>
                <w:szCs w:val="16"/>
                <w:lang w:val="es-ES" w:eastAsia="es-ES_tradnl"/>
              </w:rPr>
              <w:t>Gestor T1 ‒ 15 de la Subdirección de Gestión Contractual</w:t>
            </w:r>
            <w:r w:rsidRPr="002F7DE0">
              <w:rPr>
                <w:rFonts w:ascii="Verdana" w:eastAsia="Times New Roman" w:hAnsi="Verdana" w:cs="Arial"/>
                <w:sz w:val="16"/>
                <w:szCs w:val="16"/>
                <w:lang w:eastAsia="es-ES_tradnl"/>
              </w:rPr>
              <w:t> </w:t>
            </w:r>
          </w:p>
        </w:tc>
      </w:tr>
      <w:tr w:rsidR="00BB7C35" w:rsidRPr="002F7DE0" w14:paraId="609038DE" w14:textId="77777777" w:rsidTr="009A4F88">
        <w:trPr>
          <w:trHeight w:val="300"/>
        </w:trPr>
        <w:tc>
          <w:tcPr>
            <w:tcW w:w="893" w:type="dxa"/>
            <w:vAlign w:val="center"/>
          </w:tcPr>
          <w:p w14:paraId="400BFFD5" w14:textId="77777777" w:rsidR="00BB7C35" w:rsidRPr="002F7DE0" w:rsidRDefault="00BB7C35" w:rsidP="009A4F88">
            <w:pPr>
              <w:contextualSpacing/>
              <w:rPr>
                <w:rFonts w:ascii="Verdana" w:hAnsi="Verdana" w:cs="Arial"/>
                <w:sz w:val="16"/>
                <w:szCs w:val="16"/>
                <w:lang w:val="es-ES" w:eastAsia="es-ES"/>
              </w:rPr>
            </w:pPr>
            <w:r w:rsidRPr="002F7D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7625FFA" w14:textId="77777777" w:rsidR="00BB7C35" w:rsidRPr="002F7DE0" w:rsidRDefault="00BB7C35" w:rsidP="009A4F88">
            <w:pPr>
              <w:contextualSpacing/>
              <w:rPr>
                <w:rFonts w:ascii="Verdana" w:eastAsia="Calibri" w:hAnsi="Verdana" w:cs="Arial"/>
                <w:sz w:val="16"/>
                <w:szCs w:val="16"/>
                <w:lang w:val="pt-BR" w:eastAsia="es-ES"/>
              </w:rPr>
            </w:pPr>
            <w:r w:rsidRPr="002F7DE0">
              <w:rPr>
                <w:rFonts w:ascii="Verdana" w:eastAsia="Calibri" w:hAnsi="Verdana" w:cs="Arial"/>
                <w:sz w:val="16"/>
                <w:szCs w:val="16"/>
                <w:lang w:val="pt-BR" w:eastAsia="es-ES"/>
              </w:rPr>
              <w:t xml:space="preserve">Carolina Quintero </w:t>
            </w:r>
            <w:proofErr w:type="spellStart"/>
            <w:r w:rsidRPr="002F7DE0">
              <w:rPr>
                <w:rFonts w:ascii="Verdana" w:eastAsia="Calibri" w:hAnsi="Verdana" w:cs="Arial"/>
                <w:sz w:val="16"/>
                <w:szCs w:val="16"/>
                <w:lang w:val="pt-BR" w:eastAsia="es-ES"/>
              </w:rPr>
              <w:t>Gacharná</w:t>
            </w:r>
            <w:proofErr w:type="spellEnd"/>
          </w:p>
          <w:p w14:paraId="0408CC3F" w14:textId="77777777" w:rsidR="00BB7C35" w:rsidRPr="002F7DE0" w:rsidRDefault="00BB7C35" w:rsidP="009A4F88">
            <w:pPr>
              <w:contextualSpacing/>
              <w:rPr>
                <w:rFonts w:ascii="Verdana" w:eastAsia="Calibri" w:hAnsi="Verdana" w:cs="Arial"/>
                <w:sz w:val="16"/>
                <w:szCs w:val="16"/>
                <w:lang w:val="pt-BR" w:eastAsia="es-ES"/>
              </w:rPr>
            </w:pPr>
            <w:r w:rsidRPr="002F7DE0">
              <w:rPr>
                <w:rFonts w:ascii="Verdana" w:eastAsia="Calibri" w:hAnsi="Verdana" w:cs="Arial"/>
                <w:sz w:val="16"/>
                <w:szCs w:val="16"/>
                <w:lang w:eastAsia="es-ES"/>
              </w:rPr>
              <w:t>Subdirectora</w:t>
            </w:r>
            <w:r w:rsidRPr="002F7DE0">
              <w:rPr>
                <w:rFonts w:ascii="Verdana" w:eastAsia="Calibri" w:hAnsi="Verdana" w:cs="Arial"/>
                <w:sz w:val="16"/>
                <w:szCs w:val="16"/>
                <w:lang w:val="pt-BR" w:eastAsia="es-ES"/>
              </w:rPr>
              <w:t xml:space="preserve"> de Gestión </w:t>
            </w:r>
            <w:proofErr w:type="spellStart"/>
            <w:r w:rsidRPr="002F7DE0">
              <w:rPr>
                <w:rFonts w:ascii="Verdana" w:eastAsia="Calibri" w:hAnsi="Verdana" w:cs="Arial"/>
                <w:sz w:val="16"/>
                <w:szCs w:val="16"/>
                <w:lang w:val="pt-BR" w:eastAsia="es-ES"/>
              </w:rPr>
              <w:t>Contractual</w:t>
            </w:r>
            <w:proofErr w:type="spellEnd"/>
            <w:r w:rsidRPr="002F7DE0">
              <w:rPr>
                <w:rFonts w:ascii="Verdana" w:eastAsia="Calibri" w:hAnsi="Verdana" w:cs="Arial"/>
                <w:sz w:val="16"/>
                <w:szCs w:val="16"/>
                <w:lang w:val="pt-BR" w:eastAsia="es-ES"/>
              </w:rPr>
              <w:t xml:space="preserve"> ANCP – CCE</w:t>
            </w:r>
          </w:p>
        </w:tc>
      </w:tr>
    </w:tbl>
    <w:p w14:paraId="17E28E64" w14:textId="77777777" w:rsidR="00BB7C35" w:rsidRPr="002F7DE0" w:rsidRDefault="00BB7C35" w:rsidP="00BB7C35">
      <w:pPr>
        <w:spacing w:after="0" w:line="240" w:lineRule="auto"/>
        <w:jc w:val="both"/>
        <w:textAlignment w:val="baseline"/>
        <w:rPr>
          <w:rFonts w:ascii="Verdana" w:eastAsia="Verdana" w:hAnsi="Verdana" w:cs="Verdana"/>
          <w:lang w:eastAsia="es-CO"/>
        </w:rPr>
      </w:pPr>
    </w:p>
    <w:p w14:paraId="697D61D3" w14:textId="77777777" w:rsidR="00BB7C35" w:rsidRPr="002F7DE0" w:rsidRDefault="00BB7C35" w:rsidP="00BB7C35">
      <w:pPr>
        <w:spacing w:after="0" w:line="240" w:lineRule="auto"/>
        <w:jc w:val="both"/>
        <w:textAlignment w:val="baseline"/>
        <w:rPr>
          <w:rFonts w:ascii="Verdana" w:eastAsia="Verdana" w:hAnsi="Verdana" w:cs="Verdana"/>
          <w:lang w:eastAsia="es-CO"/>
        </w:rPr>
      </w:pPr>
    </w:p>
    <w:p w14:paraId="0A1ED125" w14:textId="348B4549" w:rsidR="00BB7C35" w:rsidRPr="003A69E3" w:rsidRDefault="00BB7C35" w:rsidP="00BB7C35">
      <w:pPr>
        <w:spacing w:after="0" w:line="240" w:lineRule="auto"/>
        <w:textAlignment w:val="baseline"/>
        <w:rPr>
          <w:rFonts w:ascii="Verdana" w:eastAsia="Verdana" w:hAnsi="Verdana" w:cs="Verdana"/>
          <w:lang w:eastAsia="es-CO"/>
        </w:rPr>
      </w:pPr>
      <w:r w:rsidRPr="002F7DE0">
        <w:rPr>
          <w:rFonts w:ascii="Verdana" w:eastAsia="Verdana" w:hAnsi="Verdana" w:cs="Verdana"/>
          <w:lang w:eastAsia="es-CO"/>
        </w:rPr>
        <w:t> </w:t>
      </w:r>
    </w:p>
    <w:p w14:paraId="5B4A24B9" w14:textId="77777777" w:rsidR="00BB7C35" w:rsidRPr="003A69E3" w:rsidRDefault="00BB7C35" w:rsidP="00BB7C35"/>
    <w:p w14:paraId="6FAF0BCA" w14:textId="77777777" w:rsidR="002707A2" w:rsidRPr="00BB7C35" w:rsidRDefault="002707A2" w:rsidP="00BB7C35">
      <w:pPr>
        <w:rPr>
          <w:rStyle w:val="Hipervnculo"/>
          <w:color w:val="auto"/>
          <w:u w:val="none"/>
        </w:rPr>
      </w:pPr>
    </w:p>
    <w:sectPr w:rsidR="002707A2" w:rsidRPr="00BB7C35"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D4466" w14:textId="77777777" w:rsidR="00460969" w:rsidRDefault="00460969" w:rsidP="004A1847">
      <w:pPr>
        <w:spacing w:after="0" w:line="240" w:lineRule="auto"/>
      </w:pPr>
      <w:r>
        <w:separator/>
      </w:r>
    </w:p>
  </w:endnote>
  <w:endnote w:type="continuationSeparator" w:id="0">
    <w:p w14:paraId="3EBF118C" w14:textId="77777777" w:rsidR="00460969" w:rsidRDefault="0046096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3E8BAD48" w14:textId="77777777" w:rsidR="00191933" w:rsidRPr="00174B77" w:rsidRDefault="00191933" w:rsidP="00191933">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20</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F838564" w14:textId="77777777" w:rsidR="00191933" w:rsidRDefault="00191933" w:rsidP="00191933">
    <w:pPr>
      <w:spacing w:after="0"/>
      <w:jc w:val="both"/>
      <w:rPr>
        <w:rFonts w:ascii="Verdana" w:hAnsi="Verdana"/>
        <w:sz w:val="18"/>
        <w:szCs w:val="18"/>
      </w:rPr>
    </w:pPr>
    <w:r w:rsidRPr="00E41027">
      <w:rPr>
        <w:rFonts w:ascii="Verdana" w:hAnsi="Verdana"/>
        <w:sz w:val="18"/>
        <w:szCs w:val="18"/>
      </w:rPr>
      <w:t>Dirección: Carrera 7 # 26 – 20 - Bogotá, Colombia</w:t>
    </w:r>
  </w:p>
  <w:p w14:paraId="43A105D3" w14:textId="77777777" w:rsidR="00191933" w:rsidRPr="00E41027" w:rsidRDefault="00191933" w:rsidP="00191933">
    <w:pPr>
      <w:spacing w:after="0"/>
      <w:jc w:val="both"/>
      <w:rPr>
        <w:rFonts w:ascii="Verdana" w:hAnsi="Verdana"/>
        <w:sz w:val="18"/>
        <w:szCs w:val="18"/>
      </w:rPr>
    </w:pPr>
    <w:r w:rsidRPr="00E41027">
      <w:rPr>
        <w:rFonts w:ascii="Verdana" w:hAnsi="Verdana"/>
        <w:sz w:val="18"/>
        <w:szCs w:val="18"/>
      </w:rPr>
      <w:t>Mesa de servicio: (+57) 601 7456788</w:t>
    </w:r>
  </w:p>
  <w:p w14:paraId="744661F5" w14:textId="0A88E443" w:rsidR="006219F8" w:rsidRPr="00191933" w:rsidRDefault="00191933" w:rsidP="00191933">
    <w:pPr>
      <w:pBdr>
        <w:top w:val="nil"/>
        <w:left w:val="nil"/>
        <w:bottom w:val="nil"/>
        <w:right w:val="nil"/>
        <w:between w:val="nil"/>
      </w:pBdr>
      <w:tabs>
        <w:tab w:val="center" w:pos="4419"/>
        <w:tab w:val="right" w:pos="8838"/>
        <w:tab w:val="center" w:pos="5400"/>
      </w:tabs>
      <w:spacing w:after="0"/>
      <w:jc w:val="right"/>
      <w:rPr>
        <w:lang w:val="pt-BR"/>
      </w:rPr>
    </w:pPr>
    <w:r w:rsidRPr="00580FAC">
      <w:rPr>
        <w:rFonts w:ascii="Century Gothic" w:eastAsia="Geo" w:hAnsi="Century Gothic" w:cs="Geo"/>
        <w:b/>
        <w:bCs/>
        <w:color w:val="000000" w:themeColor="text1"/>
        <w:sz w:val="16"/>
        <w:szCs w:val="16"/>
        <w:lang w:val="pt-BR" w:eastAsia="es-CO"/>
      </w:rPr>
      <w:t xml:space="preserve">Código: </w:t>
    </w:r>
    <w:r w:rsidRPr="00580FAC">
      <w:rPr>
        <w:rFonts w:ascii="Century Gothic" w:eastAsia="Geo" w:hAnsi="Century Gothic" w:cs="Geo"/>
        <w:color w:val="000000" w:themeColor="text1"/>
        <w:sz w:val="16"/>
        <w:szCs w:val="16"/>
        <w:lang w:val="pt-BR" w:eastAsia="es-CO"/>
      </w:rPr>
      <w:t xml:space="preserve">CCE-REC-FM-17 </w:t>
    </w:r>
    <w:r w:rsidRPr="00580FAC">
      <w:rPr>
        <w:rFonts w:ascii="Century Gothic" w:eastAsia="Geo" w:hAnsi="Century Gothic" w:cs="Geo"/>
        <w:b/>
        <w:bCs/>
        <w:color w:val="000000" w:themeColor="text1"/>
        <w:sz w:val="16"/>
        <w:szCs w:val="16"/>
        <w:lang w:val="pt-BR" w:eastAsia="es-CO"/>
      </w:rPr>
      <w:t>V</w:t>
    </w:r>
    <w:r w:rsidRPr="00580FAC">
      <w:rPr>
        <w:rFonts w:ascii="Century Gothic" w:eastAsia="Arial Nova" w:hAnsi="Century Gothic" w:cs="Arial Nova"/>
        <w:b/>
        <w:bCs/>
        <w:color w:val="000000" w:themeColor="text1"/>
        <w:sz w:val="16"/>
        <w:szCs w:val="16"/>
        <w:lang w:val="pt-BR" w:eastAsia="es-CO"/>
      </w:rPr>
      <w:t xml:space="preserve">: </w:t>
    </w:r>
    <w:r w:rsidRPr="00580FAC">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A0724" w14:textId="77777777" w:rsidR="00460969" w:rsidRDefault="00460969" w:rsidP="004A1847">
      <w:pPr>
        <w:spacing w:after="0" w:line="240" w:lineRule="auto"/>
      </w:pPr>
      <w:r>
        <w:separator/>
      </w:r>
    </w:p>
  </w:footnote>
  <w:footnote w:type="continuationSeparator" w:id="0">
    <w:p w14:paraId="28D6A458" w14:textId="77777777" w:rsidR="00460969" w:rsidRDefault="00460969" w:rsidP="004A1847">
      <w:pPr>
        <w:spacing w:after="0" w:line="240" w:lineRule="auto"/>
      </w:pPr>
      <w:r>
        <w:continuationSeparator/>
      </w:r>
    </w:p>
  </w:footnote>
  <w:footnote w:id="1">
    <w:p w14:paraId="37A81A8C" w14:textId="77777777" w:rsidR="00BB7C35" w:rsidRPr="00431B45" w:rsidRDefault="00BB7C35" w:rsidP="00BB7C35">
      <w:pPr>
        <w:pStyle w:val="Textonotapie"/>
        <w:ind w:firstLine="708"/>
        <w:jc w:val="both"/>
        <w:rPr>
          <w:rFonts w:ascii="Verdana" w:hAnsi="Verdana"/>
          <w:sz w:val="18"/>
          <w:szCs w:val="18"/>
          <w:lang w:val="es-CO"/>
        </w:rPr>
      </w:pPr>
      <w:r w:rsidRPr="009111AB">
        <w:rPr>
          <w:rStyle w:val="Refdenotaalpie"/>
          <w:rFonts w:ascii="Verdana" w:hAnsi="Verdana"/>
          <w:sz w:val="18"/>
          <w:szCs w:val="18"/>
        </w:rPr>
        <w:footnoteRef/>
      </w:r>
      <w:r w:rsidRPr="009111AB">
        <w:rPr>
          <w:rFonts w:ascii="Verdana" w:hAnsi="Verdana"/>
          <w:sz w:val="18"/>
          <w:szCs w:val="18"/>
        </w:rPr>
        <w:t xml:space="preserve"> </w:t>
      </w:r>
      <w:r w:rsidRPr="00431B45">
        <w:rPr>
          <w:rFonts w:ascii="Verdana" w:hAnsi="Verdana"/>
          <w:sz w:val="18"/>
          <w:szCs w:val="18"/>
          <w:lang w:val="es-CO"/>
        </w:rPr>
        <w:t xml:space="preserve">Decreto 1068 de 2015: “Artículo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470F3384"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2D3833CF"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60285268" w14:textId="77777777" w:rsidR="00BB7C35" w:rsidRPr="00431B45" w:rsidRDefault="00BB7C35" w:rsidP="00BB7C35">
      <w:pPr>
        <w:pStyle w:val="Textonotapie"/>
        <w:ind w:firstLine="708"/>
        <w:jc w:val="both"/>
        <w:rPr>
          <w:rFonts w:ascii="Verdana" w:hAnsi="Verdana"/>
          <w:sz w:val="18"/>
          <w:szCs w:val="18"/>
          <w:lang w:val="es-CO"/>
        </w:rPr>
      </w:pPr>
    </w:p>
  </w:footnote>
  <w:footnote w:id="2">
    <w:p w14:paraId="05EE4131" w14:textId="77777777" w:rsidR="00BB7C35" w:rsidRPr="00431B45" w:rsidRDefault="00BB7C35" w:rsidP="00BB7C35">
      <w:pPr>
        <w:pStyle w:val="Textonotapie"/>
        <w:ind w:firstLine="708"/>
        <w:jc w:val="both"/>
        <w:rPr>
          <w:rFonts w:ascii="Verdana" w:hAnsi="Verdana"/>
          <w:sz w:val="18"/>
          <w:szCs w:val="18"/>
        </w:rPr>
      </w:pPr>
      <w:r w:rsidRPr="00431B45">
        <w:rPr>
          <w:rStyle w:val="Refdenotaalpie"/>
          <w:rFonts w:ascii="Verdana" w:hAnsi="Verdana"/>
          <w:sz w:val="18"/>
          <w:szCs w:val="18"/>
        </w:rPr>
        <w:footnoteRef/>
      </w:r>
      <w:r w:rsidRPr="00431B45">
        <w:rPr>
          <w:rFonts w:ascii="Verdana" w:hAnsi="Verdana"/>
          <w:sz w:val="18"/>
          <w:szCs w:val="18"/>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2047AD60"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2. Quien presta el servicio se denomina trabajador, quien lo recibe y remunera, empleador, y la remuneración, cualquiera que sea su forma, salario”.</w:t>
      </w:r>
    </w:p>
    <w:p w14:paraId="78D2F4AB" w14:textId="77777777" w:rsidR="00BB7C35" w:rsidRPr="00431B45" w:rsidRDefault="00BB7C35" w:rsidP="00BB7C35">
      <w:pPr>
        <w:pStyle w:val="Textonotapie"/>
        <w:ind w:firstLine="708"/>
        <w:jc w:val="both"/>
        <w:rPr>
          <w:rFonts w:ascii="Verdana" w:hAnsi="Verdana"/>
          <w:sz w:val="18"/>
          <w:szCs w:val="18"/>
          <w:lang w:val="es-CO"/>
        </w:rPr>
      </w:pPr>
    </w:p>
  </w:footnote>
  <w:footnote w:id="3">
    <w:p w14:paraId="5001382F" w14:textId="77777777" w:rsidR="00BB7C35" w:rsidRPr="00431B45" w:rsidRDefault="00BB7C35" w:rsidP="00BB7C35">
      <w:pPr>
        <w:pStyle w:val="Textonotapie"/>
        <w:ind w:firstLine="708"/>
        <w:jc w:val="both"/>
        <w:rPr>
          <w:rFonts w:ascii="Verdana" w:hAnsi="Verdana"/>
          <w:sz w:val="18"/>
          <w:szCs w:val="18"/>
          <w:lang w:val="es-CO"/>
        </w:rPr>
      </w:pPr>
      <w:r w:rsidRPr="00431B45">
        <w:rPr>
          <w:rStyle w:val="Refdenotaalpie"/>
          <w:rFonts w:ascii="Verdana" w:hAnsi="Verdana"/>
          <w:sz w:val="18"/>
          <w:szCs w:val="18"/>
        </w:rPr>
        <w:footnoteRef/>
      </w:r>
      <w:r w:rsidRPr="00431B45">
        <w:rPr>
          <w:rFonts w:ascii="Verdana" w:hAnsi="Verdana"/>
          <w:sz w:val="18"/>
          <w:szCs w:val="18"/>
        </w:rPr>
        <w:t xml:space="preserve"> </w:t>
      </w:r>
      <w:r w:rsidRPr="00431B45">
        <w:rPr>
          <w:rFonts w:ascii="Verdana" w:hAnsi="Verdana"/>
          <w:sz w:val="18"/>
          <w:szCs w:val="18"/>
          <w:lang w:val="es-CO"/>
        </w:rPr>
        <w:t>Corte Constitucional. Sentencia C-154 de 1997. Magistrado Ponente: Hernando Herrera Vergara.</w:t>
      </w:r>
    </w:p>
    <w:p w14:paraId="59D54AD9" w14:textId="77777777" w:rsidR="00BB7C35" w:rsidRPr="00431B45" w:rsidRDefault="00BB7C35" w:rsidP="00BB7C35">
      <w:pPr>
        <w:pStyle w:val="Textonotapie"/>
        <w:ind w:firstLine="708"/>
        <w:jc w:val="both"/>
        <w:rPr>
          <w:rFonts w:ascii="Verdana" w:hAnsi="Verdana"/>
          <w:sz w:val="18"/>
          <w:szCs w:val="18"/>
          <w:lang w:val="es-CO"/>
        </w:rPr>
      </w:pPr>
    </w:p>
  </w:footnote>
  <w:footnote w:id="4">
    <w:p w14:paraId="66A5569F" w14:textId="77777777" w:rsidR="00BB7C35" w:rsidRPr="00431B45" w:rsidRDefault="00BB7C35" w:rsidP="00BB7C35">
      <w:pPr>
        <w:pStyle w:val="Textonotapie"/>
        <w:ind w:firstLine="708"/>
        <w:jc w:val="both"/>
        <w:rPr>
          <w:rFonts w:ascii="Verdana" w:hAnsi="Verdana"/>
          <w:sz w:val="18"/>
          <w:szCs w:val="18"/>
        </w:rPr>
      </w:pPr>
      <w:r w:rsidRPr="00431B45">
        <w:rPr>
          <w:rStyle w:val="Refdenotaalpie"/>
          <w:rFonts w:ascii="Verdana" w:hAnsi="Verdana"/>
          <w:sz w:val="18"/>
          <w:szCs w:val="18"/>
        </w:rPr>
        <w:footnoteRef/>
      </w:r>
      <w:r w:rsidRPr="00431B45">
        <w:rPr>
          <w:rFonts w:ascii="Verdana" w:hAnsi="Verdana"/>
          <w:sz w:val="18"/>
          <w:szCs w:val="18"/>
        </w:rPr>
        <w:t xml:space="preserve"> Ibid. </w:t>
      </w:r>
    </w:p>
    <w:p w14:paraId="6FF91243" w14:textId="77777777" w:rsidR="00BB7C35" w:rsidRPr="00431B45" w:rsidRDefault="00BB7C35" w:rsidP="00BB7C35">
      <w:pPr>
        <w:pStyle w:val="Textonotapie"/>
        <w:ind w:firstLine="708"/>
        <w:jc w:val="both"/>
        <w:rPr>
          <w:rFonts w:ascii="Verdana" w:hAnsi="Verdana"/>
          <w:sz w:val="18"/>
          <w:szCs w:val="18"/>
          <w:lang w:val="es-CO"/>
        </w:rPr>
      </w:pPr>
    </w:p>
  </w:footnote>
  <w:footnote w:id="5">
    <w:p w14:paraId="413E81E3" w14:textId="77777777" w:rsidR="00BB7C35" w:rsidRPr="00431B45" w:rsidRDefault="00BB7C35" w:rsidP="00BB7C35">
      <w:pPr>
        <w:pStyle w:val="Textonotapie"/>
        <w:ind w:firstLine="708"/>
        <w:jc w:val="both"/>
        <w:rPr>
          <w:rFonts w:ascii="Verdana" w:hAnsi="Verdana"/>
          <w:sz w:val="18"/>
          <w:szCs w:val="18"/>
          <w:lang w:val="es-CO"/>
        </w:rPr>
      </w:pPr>
      <w:r w:rsidRPr="00431B45">
        <w:rPr>
          <w:rStyle w:val="Refdenotaalpie"/>
          <w:rFonts w:ascii="Verdana" w:hAnsi="Verdana"/>
          <w:sz w:val="18"/>
          <w:szCs w:val="18"/>
        </w:rPr>
        <w:footnoteRef/>
      </w:r>
      <w:r w:rsidRPr="00431B45">
        <w:rPr>
          <w:rFonts w:ascii="Verdana" w:hAnsi="Verdana"/>
          <w:sz w:val="18"/>
          <w:szCs w:val="18"/>
        </w:rPr>
        <w:t xml:space="preserve"> </w:t>
      </w:r>
      <w:r w:rsidRPr="00431B45">
        <w:rPr>
          <w:rFonts w:ascii="Verdana" w:hAnsi="Verdana"/>
          <w:sz w:val="18"/>
          <w:szCs w:val="18"/>
          <w:lang w:val="es-CO"/>
        </w:rPr>
        <w:t xml:space="preserve">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w:t>
      </w:r>
    </w:p>
    <w:p w14:paraId="1609AA86"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 xml:space="preserve">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w:t>
      </w:r>
    </w:p>
    <w:p w14:paraId="0BDF8DFB"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La Entidad Estatal, para la contratación de trabajos artísticos que solamente puedan en-comendarse a determinadas personas naturales, debe justificar esta situación en los estudios y documentos previos”.</w:t>
      </w:r>
    </w:p>
    <w:p w14:paraId="1A568B9C" w14:textId="77777777" w:rsidR="00BB7C35" w:rsidRPr="00431B45" w:rsidRDefault="00BB7C35" w:rsidP="00BB7C35">
      <w:pPr>
        <w:pStyle w:val="Textonotapie"/>
        <w:ind w:firstLine="708"/>
        <w:jc w:val="both"/>
        <w:rPr>
          <w:rFonts w:ascii="Verdana" w:hAnsi="Verdana"/>
          <w:sz w:val="18"/>
          <w:szCs w:val="18"/>
          <w:lang w:val="es-CO"/>
        </w:rPr>
      </w:pPr>
    </w:p>
  </w:footnote>
  <w:footnote w:id="6">
    <w:p w14:paraId="0536A6B5" w14:textId="77777777" w:rsidR="00BB7C35" w:rsidRPr="00431B45" w:rsidRDefault="00BB7C35" w:rsidP="00BB7C35">
      <w:pPr>
        <w:pStyle w:val="Textonotapie"/>
        <w:ind w:firstLine="708"/>
        <w:jc w:val="both"/>
        <w:rPr>
          <w:rFonts w:ascii="Verdana" w:hAnsi="Verdana"/>
          <w:sz w:val="18"/>
          <w:szCs w:val="18"/>
          <w:lang w:val="es-CO"/>
        </w:rPr>
      </w:pPr>
      <w:r w:rsidRPr="00431B45">
        <w:rPr>
          <w:rStyle w:val="Refdenotaalpie"/>
          <w:rFonts w:ascii="Verdana" w:hAnsi="Verdana"/>
          <w:sz w:val="18"/>
          <w:szCs w:val="18"/>
        </w:rPr>
        <w:footnoteRef/>
      </w:r>
      <w:r w:rsidRPr="00431B45">
        <w:rPr>
          <w:rFonts w:ascii="Verdana" w:hAnsi="Verdana"/>
          <w:sz w:val="18"/>
          <w:szCs w:val="18"/>
        </w:rPr>
        <w:t xml:space="preserve"> </w:t>
      </w:r>
      <w:r w:rsidRPr="00431B45">
        <w:rPr>
          <w:rFonts w:ascii="Verdana" w:hAnsi="Verdana"/>
          <w:sz w:val="18"/>
          <w:szCs w:val="18"/>
          <w:lang w:val="es-CO"/>
        </w:rPr>
        <w:t>Consejo de Estado. Sala de lo Contencioso Administrativo. Sección Tercera. Subsección C. Sentencia del 2 de diciembre de 2013. Exp. 41719. Consejero Ponente: Jaime Orlando Santofimio Gamboa.</w:t>
      </w:r>
    </w:p>
    <w:p w14:paraId="1CA628BA" w14:textId="77777777" w:rsidR="00BB7C35" w:rsidRPr="00431B45" w:rsidRDefault="00BB7C35" w:rsidP="00BB7C35">
      <w:pPr>
        <w:pStyle w:val="Textonotapie"/>
        <w:ind w:firstLine="708"/>
        <w:jc w:val="both"/>
        <w:rPr>
          <w:rFonts w:ascii="Verdana" w:hAnsi="Verdana"/>
          <w:sz w:val="18"/>
          <w:szCs w:val="18"/>
          <w:lang w:val="es-CO"/>
        </w:rPr>
      </w:pPr>
    </w:p>
  </w:footnote>
  <w:footnote w:id="7">
    <w:p w14:paraId="2D75192D" w14:textId="77777777" w:rsidR="00BB7C35" w:rsidRPr="00431B45" w:rsidRDefault="00BB7C35" w:rsidP="00BB7C35">
      <w:pPr>
        <w:pStyle w:val="Textonotapie"/>
        <w:ind w:firstLine="708"/>
        <w:jc w:val="both"/>
        <w:rPr>
          <w:rFonts w:ascii="Verdana" w:hAnsi="Verdana"/>
          <w:sz w:val="18"/>
          <w:szCs w:val="18"/>
        </w:rPr>
      </w:pPr>
      <w:r w:rsidRPr="00431B45">
        <w:rPr>
          <w:rStyle w:val="Refdenotaalpie"/>
          <w:rFonts w:ascii="Verdana" w:hAnsi="Verdana"/>
          <w:sz w:val="18"/>
          <w:szCs w:val="18"/>
        </w:rPr>
        <w:footnoteRef/>
      </w:r>
      <w:r w:rsidRPr="00431B45">
        <w:rPr>
          <w:rFonts w:ascii="Verdana" w:hAnsi="Verdana"/>
          <w:sz w:val="18"/>
          <w:szCs w:val="18"/>
        </w:rPr>
        <w:t xml:space="preserve"> Ibid.</w:t>
      </w:r>
    </w:p>
    <w:p w14:paraId="00539045" w14:textId="77777777" w:rsidR="00BB7C35" w:rsidRPr="00431B45" w:rsidRDefault="00BB7C35" w:rsidP="00BB7C35">
      <w:pPr>
        <w:pStyle w:val="Textonotapie"/>
        <w:ind w:firstLine="708"/>
        <w:jc w:val="both"/>
        <w:rPr>
          <w:rFonts w:ascii="Verdana" w:hAnsi="Verdana"/>
          <w:sz w:val="18"/>
          <w:szCs w:val="18"/>
          <w:lang w:val="es-CO"/>
        </w:rPr>
      </w:pPr>
    </w:p>
  </w:footnote>
  <w:footnote w:id="8">
    <w:p w14:paraId="20D24E08" w14:textId="77777777" w:rsidR="00BB7C35" w:rsidRPr="00431B45" w:rsidRDefault="00BB7C35" w:rsidP="00BB7C35">
      <w:pPr>
        <w:pStyle w:val="Textonotapie"/>
        <w:ind w:firstLine="708"/>
        <w:jc w:val="both"/>
        <w:rPr>
          <w:rFonts w:ascii="Verdana" w:hAnsi="Verdana"/>
          <w:sz w:val="18"/>
          <w:szCs w:val="18"/>
        </w:rPr>
      </w:pPr>
      <w:r w:rsidRPr="00431B45">
        <w:rPr>
          <w:rStyle w:val="Refdenotaalpie"/>
          <w:rFonts w:ascii="Verdana" w:hAnsi="Verdana"/>
          <w:sz w:val="18"/>
          <w:szCs w:val="18"/>
        </w:rPr>
        <w:footnoteRef/>
      </w:r>
      <w:r w:rsidRPr="00431B45">
        <w:rPr>
          <w:rFonts w:ascii="Verdana" w:hAnsi="Verdana"/>
          <w:sz w:val="18"/>
          <w:szCs w:val="18"/>
        </w:rPr>
        <w:t xml:space="preserve"> Ibid.</w:t>
      </w:r>
    </w:p>
    <w:p w14:paraId="3F084DC4" w14:textId="77777777" w:rsidR="00BB7C35" w:rsidRPr="00431B45" w:rsidRDefault="00BB7C35" w:rsidP="00BB7C35">
      <w:pPr>
        <w:pStyle w:val="Textonotapie"/>
        <w:ind w:firstLine="708"/>
        <w:jc w:val="both"/>
        <w:rPr>
          <w:rFonts w:ascii="Verdana" w:hAnsi="Verdana"/>
          <w:sz w:val="18"/>
          <w:szCs w:val="18"/>
          <w:lang w:val="es-CO"/>
        </w:rPr>
      </w:pPr>
    </w:p>
  </w:footnote>
  <w:footnote w:id="9">
    <w:p w14:paraId="3C9C3DA8" w14:textId="77777777" w:rsidR="00BB7C35" w:rsidRPr="00431B45" w:rsidRDefault="00BB7C35" w:rsidP="00BB7C35">
      <w:pPr>
        <w:pStyle w:val="Textonotapie"/>
        <w:ind w:firstLine="708"/>
        <w:jc w:val="both"/>
        <w:rPr>
          <w:rFonts w:ascii="Verdana" w:hAnsi="Verdana"/>
          <w:sz w:val="18"/>
          <w:szCs w:val="18"/>
          <w:lang w:val="es-CO"/>
        </w:rPr>
      </w:pPr>
      <w:r w:rsidRPr="00431B45">
        <w:rPr>
          <w:rStyle w:val="Refdenotaalpie"/>
          <w:rFonts w:ascii="Verdana" w:hAnsi="Verdana"/>
          <w:sz w:val="18"/>
          <w:szCs w:val="18"/>
        </w:rPr>
        <w:footnoteRef/>
      </w:r>
      <w:r w:rsidRPr="00431B45">
        <w:rPr>
          <w:rFonts w:ascii="Verdana" w:hAnsi="Verdana"/>
          <w:sz w:val="18"/>
          <w:szCs w:val="18"/>
        </w:rPr>
        <w:t xml:space="preserve"> </w:t>
      </w:r>
      <w:r w:rsidRPr="00431B45">
        <w:rPr>
          <w:rFonts w:ascii="Verdana" w:hAnsi="Verdana"/>
          <w:sz w:val="18"/>
          <w:szCs w:val="18"/>
          <w:lang w:val="es-CO"/>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0F62D9F"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Son también contratos de consultoría los que tienen por objeto la interventoría, asesoría, gerencia de obra o de proyectos, dirección, programación y la ejecución de diseños, planos, anteproyectos y proyectos.</w:t>
      </w:r>
    </w:p>
    <w:p w14:paraId="0F411391"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Ninguna orden del interventor de una obra podrá darse verbalmente. Es obligatorio para el interventor entregar por escrito sus órdenes o sugerencias y ellas deben enmarcarse dentro de los términos del respectivo contrato”.</w:t>
      </w:r>
    </w:p>
    <w:p w14:paraId="4E985D3E" w14:textId="77777777" w:rsidR="00BB7C35" w:rsidRPr="00431B45" w:rsidRDefault="00BB7C35" w:rsidP="00BB7C35">
      <w:pPr>
        <w:pStyle w:val="Textonotapie"/>
        <w:ind w:firstLine="708"/>
        <w:jc w:val="both"/>
        <w:rPr>
          <w:rFonts w:ascii="Verdana" w:hAnsi="Verdana"/>
          <w:sz w:val="18"/>
          <w:szCs w:val="18"/>
          <w:lang w:val="es-CO"/>
        </w:rPr>
      </w:pPr>
    </w:p>
  </w:footnote>
  <w:footnote w:id="10">
    <w:p w14:paraId="463DFCDF" w14:textId="77777777" w:rsidR="00BB7C35" w:rsidRPr="00431B45" w:rsidRDefault="00BB7C35" w:rsidP="00BB7C35">
      <w:pPr>
        <w:pStyle w:val="Textonotapie"/>
        <w:ind w:firstLine="708"/>
        <w:jc w:val="both"/>
        <w:rPr>
          <w:rFonts w:ascii="Verdana" w:hAnsi="Verdana"/>
          <w:sz w:val="18"/>
          <w:szCs w:val="18"/>
          <w:lang w:val="es-CO"/>
        </w:rPr>
      </w:pPr>
      <w:r w:rsidRPr="00431B45">
        <w:rPr>
          <w:rStyle w:val="Refdenotaalpie"/>
          <w:rFonts w:ascii="Verdana" w:hAnsi="Verdana"/>
          <w:sz w:val="18"/>
          <w:szCs w:val="18"/>
        </w:rPr>
        <w:footnoteRef/>
      </w:r>
      <w:r w:rsidRPr="00431B45">
        <w:rPr>
          <w:rFonts w:ascii="Verdana" w:hAnsi="Verdana"/>
          <w:sz w:val="18"/>
          <w:szCs w:val="18"/>
        </w:rPr>
        <w:t xml:space="preserve"> </w:t>
      </w:r>
      <w:r w:rsidRPr="00431B45">
        <w:rPr>
          <w:rFonts w:ascii="Verdana" w:hAnsi="Verdana"/>
          <w:sz w:val="18"/>
          <w:szCs w:val="18"/>
          <w:lang w:val="es-CO"/>
        </w:rPr>
        <w:t xml:space="preserve">Así lo prevé el artículo 2.2.1.2.1.4.1. del Decreto 1082 de 2015: “La Entidad Estatal debe señalar en un acto administrativo la justificación para contratar bajo la modalidad de contratación directa, el cual debe contener: </w:t>
      </w:r>
    </w:p>
    <w:p w14:paraId="531ADFB0"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1. La causal que invoca para contratar directamente.</w:t>
      </w:r>
    </w:p>
    <w:p w14:paraId="49043343"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2. El objeto del contrato.</w:t>
      </w:r>
    </w:p>
    <w:p w14:paraId="412F6064"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3. El presupuesto para la contratación y las condiciones que exigirá al contratista.</w:t>
      </w:r>
    </w:p>
    <w:p w14:paraId="5191A801"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4. El lugar en el cual los interesados pueden consultar los estudios y documentos previos.</w:t>
      </w:r>
    </w:p>
    <w:p w14:paraId="5BE719BC"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4BD3264D" w14:textId="77777777" w:rsidR="00BB7C35" w:rsidRPr="00431B45" w:rsidRDefault="00BB7C35" w:rsidP="00BB7C35">
      <w:pPr>
        <w:pStyle w:val="Textonotapie"/>
        <w:ind w:firstLine="708"/>
        <w:jc w:val="both"/>
        <w:rPr>
          <w:rFonts w:ascii="Verdana" w:hAnsi="Verdana"/>
          <w:sz w:val="18"/>
          <w:szCs w:val="18"/>
          <w:lang w:val="es-CO"/>
        </w:rPr>
      </w:pPr>
      <w:r w:rsidRPr="00431B45">
        <w:rPr>
          <w:rStyle w:val="Refdenotaalpie"/>
          <w:rFonts w:ascii="Verdana" w:hAnsi="Verdana"/>
          <w:sz w:val="18"/>
          <w:szCs w:val="18"/>
        </w:rPr>
        <w:footnoteRef/>
      </w:r>
      <w:r w:rsidRPr="00431B45">
        <w:rPr>
          <w:rFonts w:ascii="Verdana" w:hAnsi="Verdana"/>
          <w:sz w:val="18"/>
          <w:szCs w:val="18"/>
        </w:rPr>
        <w:t xml:space="preserve"> </w:t>
      </w:r>
      <w:r w:rsidRPr="00431B45">
        <w:rPr>
          <w:rFonts w:ascii="Verdana" w:hAnsi="Verdana"/>
          <w:sz w:val="18"/>
          <w:szCs w:val="18"/>
          <w:lang w:val="es-CO"/>
        </w:rPr>
        <w:t>Esta norma expresa: “Para el cumplimiento de los fines de la contratación, las entidades estatales al celebrar un contrato:</w:t>
      </w:r>
    </w:p>
    <w:p w14:paraId="7E712C1D"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w:t>
      </w:r>
    </w:p>
    <w:p w14:paraId="56B65410"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 Las entidades estatales podrán pactar estas cláusulas en los contratos de suministro y de prestación de servicios. […]”.</w:t>
      </w:r>
    </w:p>
    <w:p w14:paraId="2BC3C9A6" w14:textId="77777777" w:rsidR="00BB7C35" w:rsidRPr="00431B45" w:rsidRDefault="00BB7C35" w:rsidP="00BB7C35">
      <w:pPr>
        <w:pStyle w:val="Textonotapie"/>
        <w:ind w:firstLine="708"/>
        <w:jc w:val="both"/>
        <w:rPr>
          <w:rFonts w:ascii="Verdana" w:hAnsi="Verdana"/>
          <w:sz w:val="18"/>
          <w:szCs w:val="18"/>
          <w:lang w:val="es-CO"/>
        </w:rPr>
      </w:pPr>
    </w:p>
  </w:footnote>
  <w:footnote w:id="12">
    <w:p w14:paraId="111BA4FF" w14:textId="77777777" w:rsidR="00BB7C35" w:rsidRPr="00431B45" w:rsidRDefault="00BB7C35" w:rsidP="00BB7C35">
      <w:pPr>
        <w:pStyle w:val="Textonotapie"/>
        <w:ind w:firstLine="708"/>
        <w:jc w:val="both"/>
        <w:rPr>
          <w:rFonts w:ascii="Verdana" w:hAnsi="Verdana"/>
          <w:sz w:val="18"/>
          <w:szCs w:val="18"/>
          <w:lang w:val="es-CO"/>
        </w:rPr>
      </w:pPr>
      <w:r w:rsidRPr="00431B45">
        <w:rPr>
          <w:rStyle w:val="Refdenotaalpie"/>
          <w:rFonts w:ascii="Verdana" w:hAnsi="Verdana"/>
          <w:sz w:val="18"/>
          <w:szCs w:val="18"/>
        </w:rPr>
        <w:footnoteRef/>
      </w:r>
      <w:r w:rsidRPr="00431B45">
        <w:rPr>
          <w:rFonts w:ascii="Verdana" w:hAnsi="Verdana"/>
          <w:sz w:val="18"/>
          <w:szCs w:val="18"/>
        </w:rPr>
        <w:t xml:space="preserve"> L</w:t>
      </w:r>
      <w:r w:rsidRPr="00431B45">
        <w:rPr>
          <w:rFonts w:ascii="Verdana" w:hAnsi="Verdana"/>
          <w:sz w:val="18"/>
          <w:szCs w:val="18"/>
          <w:lang w:val="es-CO"/>
        </w:rPr>
        <w:t>a norma dispone: “La liquidación a que se refiere el presente artículo no será obligatoria en los contratos de prestación de servicios profesionales y de apoyo a la gestión”.</w:t>
      </w:r>
    </w:p>
    <w:p w14:paraId="6C958D3F" w14:textId="77777777" w:rsidR="00BB7C35" w:rsidRPr="00431B45" w:rsidRDefault="00BB7C35" w:rsidP="00BB7C35">
      <w:pPr>
        <w:pStyle w:val="Textonotapie"/>
        <w:ind w:firstLine="708"/>
        <w:jc w:val="both"/>
        <w:rPr>
          <w:rFonts w:ascii="Verdana" w:hAnsi="Verdana"/>
          <w:sz w:val="18"/>
          <w:szCs w:val="18"/>
          <w:lang w:val="es-CO"/>
        </w:rPr>
      </w:pPr>
    </w:p>
  </w:footnote>
  <w:footnote w:id="13">
    <w:p w14:paraId="40589615" w14:textId="77777777" w:rsidR="00BB7C35" w:rsidRPr="00431B45" w:rsidRDefault="00BB7C35" w:rsidP="00BB7C35">
      <w:pPr>
        <w:pStyle w:val="Textonotapie"/>
        <w:ind w:firstLine="708"/>
        <w:jc w:val="both"/>
        <w:rPr>
          <w:rFonts w:ascii="Verdana" w:hAnsi="Verdana"/>
          <w:sz w:val="18"/>
          <w:szCs w:val="18"/>
          <w:lang w:val="es-CO"/>
        </w:rPr>
      </w:pPr>
      <w:r w:rsidRPr="00431B45">
        <w:rPr>
          <w:rStyle w:val="Refdenotaalpie"/>
          <w:rFonts w:ascii="Verdana" w:hAnsi="Verdana"/>
          <w:sz w:val="18"/>
          <w:szCs w:val="18"/>
        </w:rPr>
        <w:footnoteRef/>
      </w:r>
      <w:r w:rsidRPr="00431B45">
        <w:rPr>
          <w:rFonts w:ascii="Verdana" w:hAnsi="Verdana"/>
          <w:sz w:val="18"/>
          <w:szCs w:val="18"/>
        </w:rPr>
        <w:t xml:space="preserve"> </w:t>
      </w:r>
      <w:r w:rsidRPr="00431B45">
        <w:rPr>
          <w:rFonts w:ascii="Verdana" w:hAnsi="Verdana"/>
          <w:sz w:val="18"/>
          <w:szCs w:val="18"/>
          <w:lang w:val="es-CO"/>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182888F"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7BDA321" w14:textId="77777777" w:rsidR="00BB7C35" w:rsidRPr="00431B45" w:rsidRDefault="00BB7C35" w:rsidP="00BB7C35">
      <w:pPr>
        <w:pStyle w:val="Textonotapie"/>
        <w:ind w:firstLine="708"/>
        <w:jc w:val="both"/>
        <w:rPr>
          <w:rFonts w:ascii="Verdana" w:hAnsi="Verdana"/>
          <w:sz w:val="18"/>
          <w:szCs w:val="18"/>
          <w:lang w:val="es-CO"/>
        </w:rPr>
      </w:pPr>
      <w:r w:rsidRPr="00431B45">
        <w:rPr>
          <w:rFonts w:ascii="Verdana" w:hAnsi="Verdana"/>
          <w:sz w:val="18"/>
          <w:szCs w:val="18"/>
          <w:lang w:val="es-CO"/>
        </w:rPr>
        <w:t>[…]”.</w:t>
      </w:r>
    </w:p>
    <w:p w14:paraId="3127DFE9" w14:textId="77777777" w:rsidR="00BB7C35" w:rsidRPr="00431B45" w:rsidRDefault="00BB7C35" w:rsidP="00BB7C35">
      <w:pPr>
        <w:pStyle w:val="Textonotapie"/>
        <w:ind w:firstLine="708"/>
        <w:jc w:val="both"/>
        <w:rPr>
          <w:rFonts w:ascii="Verdana" w:hAnsi="Verdana"/>
          <w:sz w:val="18"/>
          <w:szCs w:val="18"/>
          <w:lang w:val="es-CO"/>
        </w:rPr>
      </w:pPr>
    </w:p>
  </w:footnote>
  <w:footnote w:id="14">
    <w:p w14:paraId="61C5CCF4" w14:textId="77777777" w:rsidR="00BB7C35" w:rsidRPr="00431B45" w:rsidRDefault="00BB7C35" w:rsidP="00BB7C35">
      <w:pPr>
        <w:pStyle w:val="Textonotapie"/>
        <w:ind w:firstLine="708"/>
        <w:jc w:val="both"/>
        <w:rPr>
          <w:rFonts w:ascii="Verdana" w:hAnsi="Verdana"/>
          <w:sz w:val="18"/>
          <w:szCs w:val="18"/>
          <w:lang w:val="es-CO"/>
        </w:rPr>
      </w:pPr>
      <w:r w:rsidRPr="00431B45">
        <w:rPr>
          <w:rStyle w:val="Refdenotaalpie"/>
          <w:rFonts w:ascii="Verdana" w:hAnsi="Verdana"/>
          <w:sz w:val="18"/>
          <w:szCs w:val="18"/>
        </w:rPr>
        <w:footnoteRef/>
      </w:r>
      <w:r w:rsidRPr="00431B45">
        <w:rPr>
          <w:rFonts w:ascii="Verdana" w:hAnsi="Verdana"/>
          <w:sz w:val="18"/>
          <w:szCs w:val="18"/>
        </w:rPr>
        <w:t xml:space="preserve"> </w:t>
      </w:r>
      <w:r w:rsidRPr="00431B45">
        <w:rPr>
          <w:rFonts w:ascii="Verdana" w:hAnsi="Verdana"/>
          <w:sz w:val="18"/>
          <w:szCs w:val="18"/>
          <w:lang w:val="es-CO"/>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5">
    <w:p w14:paraId="7C548846" w14:textId="77777777" w:rsidR="00BB7C35" w:rsidRPr="005013D0" w:rsidRDefault="00BB7C35" w:rsidP="00BB7C35">
      <w:pPr>
        <w:pStyle w:val="Textonotapie"/>
        <w:ind w:firstLine="709"/>
        <w:rPr>
          <w:lang w:val="es-CO"/>
        </w:rPr>
      </w:pPr>
      <w:r>
        <w:rPr>
          <w:rStyle w:val="Refdenotaalpie"/>
        </w:rPr>
        <w:footnoteRef/>
      </w:r>
      <w:r>
        <w:t xml:space="preserve"> </w:t>
      </w:r>
      <w:r w:rsidRPr="000C678B">
        <w:rPr>
          <w:rFonts w:ascii="Verdana" w:hAnsi="Verdana"/>
          <w:sz w:val="16"/>
          <w:szCs w:val="16"/>
          <w:lang w:val="es-CO"/>
        </w:rPr>
        <w:t>Consejo de Estado. Sala de Consulta y Servicio Civil. Concepto del 26 de julio de 2026. Radicación interna: 2257. C.P: Alvaro Námen Vargas.</w:t>
      </w:r>
      <w:r>
        <w:rPr>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0B6"/>
    <w:rsid w:val="000027E0"/>
    <w:rsid w:val="000119B7"/>
    <w:rsid w:val="00016F78"/>
    <w:rsid w:val="000228F5"/>
    <w:rsid w:val="0002405E"/>
    <w:rsid w:val="00026A2B"/>
    <w:rsid w:val="0004662C"/>
    <w:rsid w:val="00046945"/>
    <w:rsid w:val="00053468"/>
    <w:rsid w:val="00056010"/>
    <w:rsid w:val="00061B2A"/>
    <w:rsid w:val="000735E9"/>
    <w:rsid w:val="00073786"/>
    <w:rsid w:val="00073D0E"/>
    <w:rsid w:val="00082362"/>
    <w:rsid w:val="00091F46"/>
    <w:rsid w:val="00094DDF"/>
    <w:rsid w:val="00096A5A"/>
    <w:rsid w:val="000A5031"/>
    <w:rsid w:val="000A683E"/>
    <w:rsid w:val="000A7DAD"/>
    <w:rsid w:val="000B19B9"/>
    <w:rsid w:val="000B2217"/>
    <w:rsid w:val="000C678B"/>
    <w:rsid w:val="000D0334"/>
    <w:rsid w:val="000D40FC"/>
    <w:rsid w:val="000F6486"/>
    <w:rsid w:val="0010247A"/>
    <w:rsid w:val="00110AE3"/>
    <w:rsid w:val="0011134F"/>
    <w:rsid w:val="00112504"/>
    <w:rsid w:val="001135B2"/>
    <w:rsid w:val="00125105"/>
    <w:rsid w:val="00125A4F"/>
    <w:rsid w:val="00127233"/>
    <w:rsid w:val="00130B49"/>
    <w:rsid w:val="0013153A"/>
    <w:rsid w:val="001347C8"/>
    <w:rsid w:val="00134B45"/>
    <w:rsid w:val="0013665E"/>
    <w:rsid w:val="00140CD4"/>
    <w:rsid w:val="00145285"/>
    <w:rsid w:val="00156255"/>
    <w:rsid w:val="001618D4"/>
    <w:rsid w:val="00165491"/>
    <w:rsid w:val="00165C64"/>
    <w:rsid w:val="0016628E"/>
    <w:rsid w:val="00166EAF"/>
    <w:rsid w:val="00167144"/>
    <w:rsid w:val="00171769"/>
    <w:rsid w:val="00174321"/>
    <w:rsid w:val="001829FB"/>
    <w:rsid w:val="00191496"/>
    <w:rsid w:val="00191933"/>
    <w:rsid w:val="001A361D"/>
    <w:rsid w:val="001A560E"/>
    <w:rsid w:val="001B3702"/>
    <w:rsid w:val="001B4AE9"/>
    <w:rsid w:val="001C0BEE"/>
    <w:rsid w:val="001C49F6"/>
    <w:rsid w:val="001C62BF"/>
    <w:rsid w:val="001D023B"/>
    <w:rsid w:val="001E4177"/>
    <w:rsid w:val="001F1C94"/>
    <w:rsid w:val="001F2F34"/>
    <w:rsid w:val="001F7DC6"/>
    <w:rsid w:val="002044A2"/>
    <w:rsid w:val="00211A94"/>
    <w:rsid w:val="002138A7"/>
    <w:rsid w:val="00224B8D"/>
    <w:rsid w:val="002260E6"/>
    <w:rsid w:val="00240D98"/>
    <w:rsid w:val="00241D3F"/>
    <w:rsid w:val="002421BB"/>
    <w:rsid w:val="0024280B"/>
    <w:rsid w:val="0024392A"/>
    <w:rsid w:val="00245060"/>
    <w:rsid w:val="00247488"/>
    <w:rsid w:val="00251121"/>
    <w:rsid w:val="0025796E"/>
    <w:rsid w:val="002707A2"/>
    <w:rsid w:val="002725B5"/>
    <w:rsid w:val="0028725B"/>
    <w:rsid w:val="002951A0"/>
    <w:rsid w:val="002962BC"/>
    <w:rsid w:val="002A093D"/>
    <w:rsid w:val="002A0AA3"/>
    <w:rsid w:val="002A0DD0"/>
    <w:rsid w:val="002A29EF"/>
    <w:rsid w:val="002A49AC"/>
    <w:rsid w:val="002A5CE0"/>
    <w:rsid w:val="002A64FD"/>
    <w:rsid w:val="002B13DE"/>
    <w:rsid w:val="002B3AB1"/>
    <w:rsid w:val="002B4162"/>
    <w:rsid w:val="002B46A3"/>
    <w:rsid w:val="002C34D7"/>
    <w:rsid w:val="002C7A84"/>
    <w:rsid w:val="002D33A3"/>
    <w:rsid w:val="002D62AF"/>
    <w:rsid w:val="002E4FD9"/>
    <w:rsid w:val="002E53C0"/>
    <w:rsid w:val="002E572B"/>
    <w:rsid w:val="002F4D30"/>
    <w:rsid w:val="00302C39"/>
    <w:rsid w:val="003142FE"/>
    <w:rsid w:val="00315B48"/>
    <w:rsid w:val="00322A85"/>
    <w:rsid w:val="00324168"/>
    <w:rsid w:val="003311B8"/>
    <w:rsid w:val="003448F4"/>
    <w:rsid w:val="00361C05"/>
    <w:rsid w:val="00371EF9"/>
    <w:rsid w:val="00372484"/>
    <w:rsid w:val="00374F5E"/>
    <w:rsid w:val="00376428"/>
    <w:rsid w:val="00377E3E"/>
    <w:rsid w:val="0038671E"/>
    <w:rsid w:val="003957DF"/>
    <w:rsid w:val="003A779E"/>
    <w:rsid w:val="003A7DAB"/>
    <w:rsid w:val="003C64C3"/>
    <w:rsid w:val="003D0D74"/>
    <w:rsid w:val="003D0F4D"/>
    <w:rsid w:val="003D22C2"/>
    <w:rsid w:val="003D5B0D"/>
    <w:rsid w:val="003E0499"/>
    <w:rsid w:val="003E0F21"/>
    <w:rsid w:val="003E4A86"/>
    <w:rsid w:val="003F176B"/>
    <w:rsid w:val="003F3941"/>
    <w:rsid w:val="003F50F6"/>
    <w:rsid w:val="004055B7"/>
    <w:rsid w:val="00406575"/>
    <w:rsid w:val="00407ADA"/>
    <w:rsid w:val="00414C74"/>
    <w:rsid w:val="00420119"/>
    <w:rsid w:val="0042722E"/>
    <w:rsid w:val="00431B45"/>
    <w:rsid w:val="004340D0"/>
    <w:rsid w:val="00440505"/>
    <w:rsid w:val="00442C50"/>
    <w:rsid w:val="0044528D"/>
    <w:rsid w:val="00460969"/>
    <w:rsid w:val="00461A1C"/>
    <w:rsid w:val="0047679D"/>
    <w:rsid w:val="00480910"/>
    <w:rsid w:val="004A1847"/>
    <w:rsid w:val="004A305D"/>
    <w:rsid w:val="004A6EF0"/>
    <w:rsid w:val="004C2602"/>
    <w:rsid w:val="004E23B3"/>
    <w:rsid w:val="004F21C4"/>
    <w:rsid w:val="004F2343"/>
    <w:rsid w:val="004F685F"/>
    <w:rsid w:val="005013D0"/>
    <w:rsid w:val="005019D7"/>
    <w:rsid w:val="00513BD9"/>
    <w:rsid w:val="00521B7E"/>
    <w:rsid w:val="0053368E"/>
    <w:rsid w:val="00533906"/>
    <w:rsid w:val="00534336"/>
    <w:rsid w:val="005566E8"/>
    <w:rsid w:val="005633BD"/>
    <w:rsid w:val="00574867"/>
    <w:rsid w:val="00591460"/>
    <w:rsid w:val="005943E9"/>
    <w:rsid w:val="005955F6"/>
    <w:rsid w:val="005957B1"/>
    <w:rsid w:val="00595E3A"/>
    <w:rsid w:val="005A3961"/>
    <w:rsid w:val="005C331B"/>
    <w:rsid w:val="005C3777"/>
    <w:rsid w:val="005C45F3"/>
    <w:rsid w:val="005C5CDC"/>
    <w:rsid w:val="005D476C"/>
    <w:rsid w:val="005D67A3"/>
    <w:rsid w:val="005E33B6"/>
    <w:rsid w:val="005E5E01"/>
    <w:rsid w:val="005F5E3F"/>
    <w:rsid w:val="006006CB"/>
    <w:rsid w:val="006029B1"/>
    <w:rsid w:val="006159AB"/>
    <w:rsid w:val="006219F8"/>
    <w:rsid w:val="00626B82"/>
    <w:rsid w:val="006270BB"/>
    <w:rsid w:val="00627AC1"/>
    <w:rsid w:val="006302F7"/>
    <w:rsid w:val="00641B01"/>
    <w:rsid w:val="00644787"/>
    <w:rsid w:val="006456C8"/>
    <w:rsid w:val="00646117"/>
    <w:rsid w:val="00651A65"/>
    <w:rsid w:val="006626AD"/>
    <w:rsid w:val="00665D70"/>
    <w:rsid w:val="00671385"/>
    <w:rsid w:val="00673B35"/>
    <w:rsid w:val="00674DED"/>
    <w:rsid w:val="00681E88"/>
    <w:rsid w:val="006900D9"/>
    <w:rsid w:val="006907F9"/>
    <w:rsid w:val="0069343C"/>
    <w:rsid w:val="0069507B"/>
    <w:rsid w:val="006A69E0"/>
    <w:rsid w:val="006A6DC0"/>
    <w:rsid w:val="006A760C"/>
    <w:rsid w:val="006B12FA"/>
    <w:rsid w:val="006B186E"/>
    <w:rsid w:val="006B2443"/>
    <w:rsid w:val="006B24C7"/>
    <w:rsid w:val="006B2AE5"/>
    <w:rsid w:val="006C01BF"/>
    <w:rsid w:val="006C4FD6"/>
    <w:rsid w:val="006D1676"/>
    <w:rsid w:val="006D7100"/>
    <w:rsid w:val="006E1845"/>
    <w:rsid w:val="006F14FE"/>
    <w:rsid w:val="006F4C72"/>
    <w:rsid w:val="006F7C7E"/>
    <w:rsid w:val="00702C08"/>
    <w:rsid w:val="00702DB6"/>
    <w:rsid w:val="00706C16"/>
    <w:rsid w:val="00707B6A"/>
    <w:rsid w:val="00711A3B"/>
    <w:rsid w:val="0072134C"/>
    <w:rsid w:val="007350D0"/>
    <w:rsid w:val="00735844"/>
    <w:rsid w:val="00736C0D"/>
    <w:rsid w:val="0074223F"/>
    <w:rsid w:val="0074581C"/>
    <w:rsid w:val="0074747D"/>
    <w:rsid w:val="007525D9"/>
    <w:rsid w:val="00754854"/>
    <w:rsid w:val="00756841"/>
    <w:rsid w:val="007649AB"/>
    <w:rsid w:val="0076720F"/>
    <w:rsid w:val="007708FB"/>
    <w:rsid w:val="00771212"/>
    <w:rsid w:val="00771D0C"/>
    <w:rsid w:val="00772E70"/>
    <w:rsid w:val="00776BE7"/>
    <w:rsid w:val="00777288"/>
    <w:rsid w:val="007806A2"/>
    <w:rsid w:val="007833AC"/>
    <w:rsid w:val="00787796"/>
    <w:rsid w:val="007B268C"/>
    <w:rsid w:val="007B3C4A"/>
    <w:rsid w:val="007B7171"/>
    <w:rsid w:val="007C0C0F"/>
    <w:rsid w:val="007C16B4"/>
    <w:rsid w:val="007C3DC2"/>
    <w:rsid w:val="007C59BF"/>
    <w:rsid w:val="007E0513"/>
    <w:rsid w:val="007E2453"/>
    <w:rsid w:val="007E33E4"/>
    <w:rsid w:val="007E5497"/>
    <w:rsid w:val="007E6E09"/>
    <w:rsid w:val="007F0402"/>
    <w:rsid w:val="007F0CC1"/>
    <w:rsid w:val="007F4D75"/>
    <w:rsid w:val="00806F5F"/>
    <w:rsid w:val="00811DF3"/>
    <w:rsid w:val="00820278"/>
    <w:rsid w:val="00824C3A"/>
    <w:rsid w:val="008269D3"/>
    <w:rsid w:val="008309E2"/>
    <w:rsid w:val="00830E32"/>
    <w:rsid w:val="008463E1"/>
    <w:rsid w:val="00867F95"/>
    <w:rsid w:val="008737A1"/>
    <w:rsid w:val="00882988"/>
    <w:rsid w:val="008843B6"/>
    <w:rsid w:val="008869F9"/>
    <w:rsid w:val="0089130B"/>
    <w:rsid w:val="00891928"/>
    <w:rsid w:val="00895C65"/>
    <w:rsid w:val="00897A3A"/>
    <w:rsid w:val="008A446D"/>
    <w:rsid w:val="008A7C20"/>
    <w:rsid w:val="008C6C37"/>
    <w:rsid w:val="008D180B"/>
    <w:rsid w:val="008D4EBE"/>
    <w:rsid w:val="008D7AEE"/>
    <w:rsid w:val="008F0EA7"/>
    <w:rsid w:val="008F7319"/>
    <w:rsid w:val="00900422"/>
    <w:rsid w:val="009111AB"/>
    <w:rsid w:val="00913E3E"/>
    <w:rsid w:val="00914479"/>
    <w:rsid w:val="00923EEF"/>
    <w:rsid w:val="00927D1F"/>
    <w:rsid w:val="009375C4"/>
    <w:rsid w:val="009419F9"/>
    <w:rsid w:val="00945416"/>
    <w:rsid w:val="009477F8"/>
    <w:rsid w:val="009511F6"/>
    <w:rsid w:val="0095521C"/>
    <w:rsid w:val="0095685E"/>
    <w:rsid w:val="00961B09"/>
    <w:rsid w:val="0096359D"/>
    <w:rsid w:val="009642C8"/>
    <w:rsid w:val="00965334"/>
    <w:rsid w:val="0096660B"/>
    <w:rsid w:val="0097093E"/>
    <w:rsid w:val="00980631"/>
    <w:rsid w:val="0099052E"/>
    <w:rsid w:val="009A0DFA"/>
    <w:rsid w:val="009A7200"/>
    <w:rsid w:val="009B25A8"/>
    <w:rsid w:val="009B2D26"/>
    <w:rsid w:val="009C189B"/>
    <w:rsid w:val="009C71FA"/>
    <w:rsid w:val="009C72E7"/>
    <w:rsid w:val="009C7569"/>
    <w:rsid w:val="009D3058"/>
    <w:rsid w:val="009E7A3E"/>
    <w:rsid w:val="009F028D"/>
    <w:rsid w:val="009F3A13"/>
    <w:rsid w:val="00A122D3"/>
    <w:rsid w:val="00A16C3D"/>
    <w:rsid w:val="00A17F13"/>
    <w:rsid w:val="00A20739"/>
    <w:rsid w:val="00A2198A"/>
    <w:rsid w:val="00A225F7"/>
    <w:rsid w:val="00A26DD2"/>
    <w:rsid w:val="00A26EBB"/>
    <w:rsid w:val="00A33C78"/>
    <w:rsid w:val="00A44162"/>
    <w:rsid w:val="00A44929"/>
    <w:rsid w:val="00A51DA4"/>
    <w:rsid w:val="00A536AE"/>
    <w:rsid w:val="00A561D1"/>
    <w:rsid w:val="00A578B9"/>
    <w:rsid w:val="00A6198A"/>
    <w:rsid w:val="00A63D54"/>
    <w:rsid w:val="00A65D1F"/>
    <w:rsid w:val="00A67572"/>
    <w:rsid w:val="00A67AB0"/>
    <w:rsid w:val="00A80D11"/>
    <w:rsid w:val="00A83808"/>
    <w:rsid w:val="00A91020"/>
    <w:rsid w:val="00A9381E"/>
    <w:rsid w:val="00A954D2"/>
    <w:rsid w:val="00AA2802"/>
    <w:rsid w:val="00AA36D3"/>
    <w:rsid w:val="00AA3A93"/>
    <w:rsid w:val="00AA6F85"/>
    <w:rsid w:val="00AA7C6E"/>
    <w:rsid w:val="00AB0623"/>
    <w:rsid w:val="00AB0ADB"/>
    <w:rsid w:val="00AB5623"/>
    <w:rsid w:val="00AC11CD"/>
    <w:rsid w:val="00AD1DC1"/>
    <w:rsid w:val="00AD20F0"/>
    <w:rsid w:val="00AD29D6"/>
    <w:rsid w:val="00AD60C2"/>
    <w:rsid w:val="00AD79FC"/>
    <w:rsid w:val="00AE3BF9"/>
    <w:rsid w:val="00AE468E"/>
    <w:rsid w:val="00AF429A"/>
    <w:rsid w:val="00B00C0E"/>
    <w:rsid w:val="00B01488"/>
    <w:rsid w:val="00B01B1A"/>
    <w:rsid w:val="00B07806"/>
    <w:rsid w:val="00B42036"/>
    <w:rsid w:val="00B44A47"/>
    <w:rsid w:val="00B564BD"/>
    <w:rsid w:val="00B72CD3"/>
    <w:rsid w:val="00B72FFF"/>
    <w:rsid w:val="00B7541F"/>
    <w:rsid w:val="00B7684E"/>
    <w:rsid w:val="00B97880"/>
    <w:rsid w:val="00B97EA8"/>
    <w:rsid w:val="00BA0B5D"/>
    <w:rsid w:val="00BA4A88"/>
    <w:rsid w:val="00BA6CD5"/>
    <w:rsid w:val="00BB1A72"/>
    <w:rsid w:val="00BB2ED4"/>
    <w:rsid w:val="00BB7C35"/>
    <w:rsid w:val="00BC3D36"/>
    <w:rsid w:val="00BD3251"/>
    <w:rsid w:val="00BD4D31"/>
    <w:rsid w:val="00BD7F72"/>
    <w:rsid w:val="00BF32B8"/>
    <w:rsid w:val="00C00238"/>
    <w:rsid w:val="00C00F4E"/>
    <w:rsid w:val="00C01F9D"/>
    <w:rsid w:val="00C04FB3"/>
    <w:rsid w:val="00C145B0"/>
    <w:rsid w:val="00C24892"/>
    <w:rsid w:val="00C254D7"/>
    <w:rsid w:val="00C265A4"/>
    <w:rsid w:val="00C30A14"/>
    <w:rsid w:val="00C330EB"/>
    <w:rsid w:val="00C335D3"/>
    <w:rsid w:val="00C377D1"/>
    <w:rsid w:val="00C37C77"/>
    <w:rsid w:val="00C43551"/>
    <w:rsid w:val="00C474F8"/>
    <w:rsid w:val="00C540C0"/>
    <w:rsid w:val="00C55C2F"/>
    <w:rsid w:val="00C56155"/>
    <w:rsid w:val="00C628F9"/>
    <w:rsid w:val="00C64A14"/>
    <w:rsid w:val="00C71077"/>
    <w:rsid w:val="00C726ED"/>
    <w:rsid w:val="00C72F61"/>
    <w:rsid w:val="00C73832"/>
    <w:rsid w:val="00C753DF"/>
    <w:rsid w:val="00C754BE"/>
    <w:rsid w:val="00C76B1C"/>
    <w:rsid w:val="00C82BE8"/>
    <w:rsid w:val="00C83FF0"/>
    <w:rsid w:val="00C91719"/>
    <w:rsid w:val="00C9439E"/>
    <w:rsid w:val="00C958AD"/>
    <w:rsid w:val="00CA5FF0"/>
    <w:rsid w:val="00CA75D7"/>
    <w:rsid w:val="00CB6357"/>
    <w:rsid w:val="00CC1B26"/>
    <w:rsid w:val="00CC1D56"/>
    <w:rsid w:val="00CD2279"/>
    <w:rsid w:val="00CD3F0A"/>
    <w:rsid w:val="00CD6A9B"/>
    <w:rsid w:val="00CE39EC"/>
    <w:rsid w:val="00CF0452"/>
    <w:rsid w:val="00CF3977"/>
    <w:rsid w:val="00D02C50"/>
    <w:rsid w:val="00D063A8"/>
    <w:rsid w:val="00D20D4E"/>
    <w:rsid w:val="00D230BF"/>
    <w:rsid w:val="00D423A2"/>
    <w:rsid w:val="00D43828"/>
    <w:rsid w:val="00D51A92"/>
    <w:rsid w:val="00D520D8"/>
    <w:rsid w:val="00D54E07"/>
    <w:rsid w:val="00D57FD0"/>
    <w:rsid w:val="00D63AC2"/>
    <w:rsid w:val="00D7383B"/>
    <w:rsid w:val="00D76835"/>
    <w:rsid w:val="00D76FCA"/>
    <w:rsid w:val="00D962A7"/>
    <w:rsid w:val="00DA231B"/>
    <w:rsid w:val="00DA36ED"/>
    <w:rsid w:val="00DA5F51"/>
    <w:rsid w:val="00DB3E83"/>
    <w:rsid w:val="00DB6779"/>
    <w:rsid w:val="00DB6AD3"/>
    <w:rsid w:val="00DC39FC"/>
    <w:rsid w:val="00DC67BF"/>
    <w:rsid w:val="00DC72E6"/>
    <w:rsid w:val="00DD500F"/>
    <w:rsid w:val="00DF5254"/>
    <w:rsid w:val="00DF7BEB"/>
    <w:rsid w:val="00E018C1"/>
    <w:rsid w:val="00E0662F"/>
    <w:rsid w:val="00E16408"/>
    <w:rsid w:val="00E20894"/>
    <w:rsid w:val="00E245AB"/>
    <w:rsid w:val="00E2764C"/>
    <w:rsid w:val="00E27F2E"/>
    <w:rsid w:val="00E37882"/>
    <w:rsid w:val="00E46596"/>
    <w:rsid w:val="00E50AFE"/>
    <w:rsid w:val="00E641D4"/>
    <w:rsid w:val="00E6702E"/>
    <w:rsid w:val="00E75C92"/>
    <w:rsid w:val="00E771DC"/>
    <w:rsid w:val="00E80673"/>
    <w:rsid w:val="00E82AA8"/>
    <w:rsid w:val="00E83247"/>
    <w:rsid w:val="00E839DA"/>
    <w:rsid w:val="00E85526"/>
    <w:rsid w:val="00E8772A"/>
    <w:rsid w:val="00E90F6B"/>
    <w:rsid w:val="00E92C27"/>
    <w:rsid w:val="00E943FB"/>
    <w:rsid w:val="00E9795D"/>
    <w:rsid w:val="00EA0E3D"/>
    <w:rsid w:val="00EA29DB"/>
    <w:rsid w:val="00EA7B75"/>
    <w:rsid w:val="00EB70E6"/>
    <w:rsid w:val="00EC05F4"/>
    <w:rsid w:val="00EC38A7"/>
    <w:rsid w:val="00EC5351"/>
    <w:rsid w:val="00EC6F09"/>
    <w:rsid w:val="00EE1AA8"/>
    <w:rsid w:val="00EE5AC0"/>
    <w:rsid w:val="00EF40FD"/>
    <w:rsid w:val="00F063A5"/>
    <w:rsid w:val="00F13FA2"/>
    <w:rsid w:val="00F209B5"/>
    <w:rsid w:val="00F247A5"/>
    <w:rsid w:val="00F247AF"/>
    <w:rsid w:val="00F31EDC"/>
    <w:rsid w:val="00F462B3"/>
    <w:rsid w:val="00F5664F"/>
    <w:rsid w:val="00F62691"/>
    <w:rsid w:val="00F666C4"/>
    <w:rsid w:val="00F70734"/>
    <w:rsid w:val="00F757F9"/>
    <w:rsid w:val="00F763CF"/>
    <w:rsid w:val="00F76AFC"/>
    <w:rsid w:val="00F863B0"/>
    <w:rsid w:val="00F9716F"/>
    <w:rsid w:val="00F97B7F"/>
    <w:rsid w:val="00FA47C0"/>
    <w:rsid w:val="00FB0485"/>
    <w:rsid w:val="00FB56A0"/>
    <w:rsid w:val="00FB5DD1"/>
    <w:rsid w:val="00FC2B5D"/>
    <w:rsid w:val="00FC2F77"/>
    <w:rsid w:val="00FC7D99"/>
    <w:rsid w:val="00FE3BC8"/>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F7C7E"/>
    <w:rPr>
      <w:rFonts w:ascii="Geomanist Light" w:hAnsi="Geomanist Light"/>
      <w:lang w:val="es-ES"/>
    </w:rPr>
  </w:style>
  <w:style w:type="paragraph" w:customStyle="1" w:styleId="Appelnotedebasde">
    <w:name w:val="Appel note de bas de..."/>
    <w:basedOn w:val="Normal"/>
    <w:link w:val="Refdenotaalpie"/>
    <w:uiPriority w:val="99"/>
    <w:rsid w:val="00B7684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azmin.palomino@aerocivil.gov.co"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D29E5F-8E35-403F-BF10-C1A588AABDED}">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F48A5C95-4F6A-4254-A5DC-BA6B9B68C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19</Pages>
  <Words>6158</Words>
  <Characters>33872</Characters>
  <Application>Microsoft Office Word</Application>
  <DocSecurity>0</DocSecurity>
  <Lines>282</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2026-09-21T02:03:00Z</dcterms:created>
  <dcterms:modified xsi:type="dcterms:W3CDTF">2026-09-21T17:16:00Z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