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F3546" w14:textId="698BD692" w:rsidR="00D00F77" w:rsidRDefault="00D00F77" w:rsidP="00D00F77">
      <w:pPr>
        <w:jc w:val="both"/>
        <w:rPr>
          <w:rFonts w:ascii="Verdana" w:eastAsia="Calibri" w:hAnsi="Verdana" w:cs="Arial"/>
          <w:b/>
        </w:rPr>
      </w:pPr>
      <w:bookmarkStart w:id="0" w:name="_Hlk143780582"/>
      <w:r w:rsidRPr="00D00F77">
        <w:rPr>
          <w:rFonts w:ascii="Verdana" w:eastAsia="Calibri" w:hAnsi="Verdana" w:cs="Arial"/>
          <w:b/>
        </w:rPr>
        <w:t>PRINCIPIO DE PUBLICIDAD – Concepto</w:t>
      </w:r>
    </w:p>
    <w:p w14:paraId="6275830F" w14:textId="7F0B275F" w:rsidR="00E51BF2" w:rsidRPr="00E51BF2" w:rsidRDefault="00E51BF2" w:rsidP="00E51BF2">
      <w:pPr>
        <w:spacing w:after="120" w:line="240" w:lineRule="auto"/>
        <w:jc w:val="both"/>
        <w:rPr>
          <w:rFonts w:ascii="Verdana" w:eastAsia="Times New Roman" w:hAnsi="Verdana" w:cs="Arial"/>
          <w:sz w:val="20"/>
          <w:szCs w:val="20"/>
          <w:lang w:val="es-ES" w:eastAsia="es-ES"/>
          <w14:ligatures w14:val="standardContextual"/>
        </w:rPr>
      </w:pPr>
      <w:r w:rsidRPr="00E51BF2">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E51BF2">
        <w:rPr>
          <w:rFonts w:ascii="Verdana" w:eastAsia="Times New Roman" w:hAnsi="Verdana" w:cs="Arial"/>
          <w:i/>
          <w:iCs/>
          <w:sz w:val="20"/>
          <w:szCs w:val="20"/>
          <w:lang w:val="es-ES" w:eastAsia="es-ES"/>
          <w14:ligatures w14:val="standardContextual"/>
        </w:rPr>
        <w:t>publicidad</w:t>
      </w:r>
      <w:r w:rsidRPr="00E51BF2">
        <w:rPr>
          <w:rFonts w:ascii="Verdana" w:eastAsia="Times New Roman" w:hAnsi="Verdana" w:cs="Arial"/>
          <w:sz w:val="20"/>
          <w:szCs w:val="20"/>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Pr>
          <w:rFonts w:ascii="Verdana" w:eastAsia="Times New Roman" w:hAnsi="Verdana" w:cs="Arial"/>
          <w:sz w:val="20"/>
          <w:szCs w:val="20"/>
          <w:vertAlign w:val="superscript"/>
          <w:lang w:val="es-ES" w:eastAsia="es-ES"/>
          <w14:ligatures w14:val="standardContextual"/>
        </w:rPr>
        <w:t>.</w:t>
      </w:r>
      <w:r w:rsidRPr="00E51BF2">
        <w:rPr>
          <w:rFonts w:ascii="Verdana" w:eastAsia="Times New Roman" w:hAnsi="Verdana" w:cs="Arial"/>
          <w:sz w:val="20"/>
          <w:szCs w:val="20"/>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68221404" w14:textId="5131C4E5" w:rsidR="00D00F77" w:rsidRPr="00E51BF2" w:rsidRDefault="00E51BF2" w:rsidP="00E51BF2">
      <w:pPr>
        <w:spacing w:line="240" w:lineRule="auto"/>
        <w:jc w:val="both"/>
        <w:rPr>
          <w:rFonts w:ascii="Verdana" w:eastAsia="Calibri" w:hAnsi="Verdana" w:cs="Arial"/>
          <w:b/>
          <w:sz w:val="20"/>
          <w:szCs w:val="20"/>
        </w:rPr>
      </w:pPr>
      <w:r w:rsidRPr="00E51BF2">
        <w:rPr>
          <w:rFonts w:ascii="Verdana" w:eastAsia="Times New Roman" w:hAnsi="Verdana" w:cs="Arial"/>
          <w:sz w:val="20"/>
          <w:szCs w:val="20"/>
          <w:lang w:val="es-ES" w:eastAsia="es-ES"/>
          <w14:ligatures w14:val="standardContextua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w:t>
      </w:r>
    </w:p>
    <w:p w14:paraId="69FA4ED0" w14:textId="394B09AE" w:rsidR="00D00F77" w:rsidRDefault="00D00F77" w:rsidP="00D00F77">
      <w:pPr>
        <w:jc w:val="both"/>
        <w:rPr>
          <w:rFonts w:ascii="Verdana" w:eastAsia="Calibri" w:hAnsi="Verdana" w:cs="Arial"/>
          <w:b/>
        </w:rPr>
      </w:pPr>
      <w:r w:rsidRPr="00D00F77">
        <w:rPr>
          <w:rFonts w:ascii="Verdana" w:eastAsia="Calibri" w:hAnsi="Verdana" w:cs="Arial"/>
          <w:b/>
        </w:rPr>
        <w:t>PRINCIPIO DE PUBLICIDAD – Deber de publicación</w:t>
      </w:r>
    </w:p>
    <w:p w14:paraId="1EF71708" w14:textId="2071184B" w:rsidR="00033C07" w:rsidRPr="00033C07" w:rsidRDefault="00033C07" w:rsidP="00033C07">
      <w:pPr>
        <w:spacing w:before="120" w:after="120" w:line="240" w:lineRule="auto"/>
        <w:jc w:val="both"/>
        <w:rPr>
          <w:rFonts w:ascii="Verdana" w:eastAsia="Times New Roman" w:hAnsi="Verdana" w:cs="Arial"/>
          <w:sz w:val="20"/>
          <w:szCs w:val="20"/>
          <w:lang w:val="es-ES_tradnl" w:eastAsia="es-ES_tradnl"/>
          <w14:ligatures w14:val="standardContextual"/>
        </w:rPr>
      </w:pPr>
      <w:r w:rsidRPr="00033C07">
        <w:rPr>
          <w:rFonts w:ascii="Verdana" w:eastAsia="Times New Roman" w:hAnsi="Verdana" w:cs="Arial"/>
          <w:sz w:val="20"/>
          <w:szCs w:val="20"/>
          <w:lang w:val="es-ES_tradnl" w:eastAsia="es-ES_tradnl"/>
          <w14:ligatures w14:val="standardContextual"/>
        </w:rPr>
        <w:t>El principio de publicidad impone a las autoridades administrativas el deber de dar a conocer sus actos, contratos y decisiones, para que se divulguen y eventualmente se controlen. En sintonía con este postulado,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033C07">
        <w:rPr>
          <w:rFonts w:ascii="Verdana" w:eastAsia="Times New Roman" w:hAnsi="Verdana" w:cs="Arial"/>
          <w:sz w:val="20"/>
          <w:szCs w:val="20"/>
          <w:lang w:val="es-ES_tradnl" w:eastAsia="es-ES_tradnl"/>
          <w14:ligatures w14:val="standardContextual"/>
        </w:rPr>
        <w:t>”.</w:t>
      </w:r>
    </w:p>
    <w:p w14:paraId="083B5850" w14:textId="6143DB3E" w:rsidR="00033C07" w:rsidRPr="00033C07" w:rsidRDefault="00033C07" w:rsidP="00033C07">
      <w:pPr>
        <w:spacing w:before="120" w:after="120" w:line="240" w:lineRule="auto"/>
        <w:jc w:val="both"/>
        <w:rPr>
          <w:rFonts w:ascii="Verdana" w:eastAsia="Times New Roman" w:hAnsi="Verdana" w:cs="Arial"/>
          <w:sz w:val="20"/>
          <w:szCs w:val="20"/>
          <w:lang w:val="es-ES" w:eastAsia="es-ES"/>
          <w14:ligatures w14:val="standardContextual"/>
        </w:rPr>
      </w:pPr>
      <w:r w:rsidRPr="00033C07">
        <w:rPr>
          <w:rFonts w:ascii="Verdana" w:eastAsia="Times New Roman" w:hAnsi="Verdana" w:cs="Arial"/>
          <w:sz w:val="20"/>
          <w:szCs w:val="20"/>
          <w:lang w:val="es-ES" w:eastAsia="es-ES"/>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033C07">
        <w:rPr>
          <w:rFonts w:ascii="Verdana" w:eastAsia="Times New Roman" w:hAnsi="Verdana" w:cs="Arial"/>
          <w:sz w:val="20"/>
          <w:szCs w:val="20"/>
          <w:lang w:val="es-ES" w:eastAsia="es-ES"/>
          <w14:ligatures w14:val="standardContextual"/>
        </w:rPr>
        <w:t>”.</w:t>
      </w:r>
      <w:r w:rsidRPr="00033C07">
        <w:rPr>
          <w:rFonts w:ascii="Verdana" w:eastAsia="Times New Roman" w:hAnsi="Verdana" w:cs="Arial"/>
          <w:sz w:val="20"/>
          <w:szCs w:val="20"/>
          <w:lang w:val="es-ES" w:eastAsia="es-ES"/>
          <w14:ligatures w14:val="standardContextual"/>
        </w:rPr>
        <w:t xml:space="preserve"> El principio de transparencia en la información alude al deber de los sujetos de proporcionar y facilitar el acceso a la misma en los términos más amplios posibles, y a través de los medios y procedimientos legales.</w:t>
      </w:r>
    </w:p>
    <w:p w14:paraId="67B7B6B3" w14:textId="4A467410" w:rsidR="00033C07" w:rsidRPr="00033C07" w:rsidRDefault="00033C07" w:rsidP="00033C07">
      <w:pPr>
        <w:spacing w:before="120" w:after="120" w:line="240" w:lineRule="auto"/>
        <w:jc w:val="both"/>
        <w:rPr>
          <w:rFonts w:ascii="Verdana" w:eastAsia="Times New Roman" w:hAnsi="Verdana" w:cs="Arial"/>
          <w:sz w:val="20"/>
          <w:szCs w:val="20"/>
          <w:lang w:val="es-ES_tradnl" w:eastAsia="es-ES_tradnl"/>
          <w14:ligatures w14:val="standardContextual"/>
        </w:rPr>
      </w:pPr>
      <w:r w:rsidRPr="00033C07">
        <w:rPr>
          <w:rFonts w:ascii="Verdana" w:eastAsia="Times New Roman" w:hAnsi="Verdana" w:cs="Arial"/>
          <w:sz w:val="20"/>
          <w:szCs w:val="20"/>
          <w:lang w:val="es-ES_tradnl" w:eastAsia="es-ES_tradnl"/>
          <w14:ligatures w14:val="standardContextual"/>
        </w:rPr>
        <w:t>La Ley Estatutaria citada establece, en el literal e) del artículo 9, que los sujetos obligados, que son todas las entidades pública</w:t>
      </w:r>
      <w:r w:rsidRPr="00033C07">
        <w:rPr>
          <w:rFonts w:ascii="Verdana" w:eastAsia="Times New Roman" w:hAnsi="Verdana" w:cs="Arial"/>
          <w:sz w:val="20"/>
          <w:szCs w:val="20"/>
          <w:lang w:val="es-ES_tradnl" w:eastAsia="es-ES_tradnl"/>
          <w14:ligatures w14:val="standardContextual"/>
        </w:rPr>
        <w:t xml:space="preserve">s, </w:t>
      </w:r>
      <w:r w:rsidRPr="00033C07">
        <w:rPr>
          <w:rFonts w:ascii="Verdana" w:eastAsia="Times New Roman" w:hAnsi="Verdana" w:cs="Arial"/>
          <w:sz w:val="20"/>
          <w:szCs w:val="20"/>
          <w:lang w:val="es-ES_tradnl" w:eastAsia="es-ES_tradnl"/>
          <w14:ligatures w14:val="standardContextual"/>
        </w:rPr>
        <w:t>deben publicar la información relativa a su contratación. Esta obligación fue desarrollada por el Decreto Único Reglamentario 1081 de 201</w:t>
      </w:r>
      <w:r w:rsidR="00816915">
        <w:rPr>
          <w:rFonts w:ascii="Verdana" w:eastAsia="Times New Roman" w:hAnsi="Verdana" w:cs="Arial"/>
          <w:sz w:val="20"/>
          <w:szCs w:val="20"/>
          <w:lang w:val="es-ES_tradnl" w:eastAsia="es-ES_tradnl"/>
          <w14:ligatures w14:val="standardContextual"/>
        </w:rPr>
        <w:t>5</w:t>
      </w:r>
      <w:r w:rsidRPr="00033C07">
        <w:rPr>
          <w:rFonts w:ascii="Verdana" w:eastAsia="Times New Roman" w:hAnsi="Verdana" w:cs="Arial"/>
          <w:sz w:val="20"/>
          <w:szCs w:val="20"/>
          <w:lang w:val="es-ES_tradnl" w:eastAsia="es-ES_tradnl"/>
          <w14:ligatures w14:val="standardContextual"/>
        </w:rPr>
        <w:t>, el cual dispuso que la publicación de la información contractual de los sujetos obligados, que contratan con cargo a recursos públicos, debe hacerse en el SECOP.</w:t>
      </w:r>
    </w:p>
    <w:p w14:paraId="0DE8CF5E" w14:textId="77777777" w:rsidR="00033C07" w:rsidRPr="00033C07" w:rsidRDefault="00033C07" w:rsidP="00033C07">
      <w:pPr>
        <w:spacing w:before="120" w:after="120" w:line="240" w:lineRule="auto"/>
        <w:jc w:val="both"/>
        <w:rPr>
          <w:rFonts w:ascii="Verdana" w:eastAsia="Times New Roman" w:hAnsi="Verdana" w:cs="Arial"/>
          <w:sz w:val="20"/>
          <w:szCs w:val="20"/>
          <w:lang w:val="es-ES_tradnl" w:eastAsia="es-ES_tradnl"/>
          <w14:ligatures w14:val="standardContextual"/>
        </w:rPr>
      </w:pPr>
      <w:r w:rsidRPr="00033C07">
        <w:rPr>
          <w:rFonts w:ascii="Verdana" w:eastAsia="Times New Roman" w:hAnsi="Verdana" w:cs="Arial"/>
          <w:sz w:val="20"/>
          <w:szCs w:val="20"/>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w:t>
      </w:r>
      <w:r w:rsidRPr="00033C07">
        <w:rPr>
          <w:rFonts w:ascii="Verdana" w:eastAsia="Times New Roman" w:hAnsi="Verdana" w:cs="Arial"/>
          <w:sz w:val="20"/>
          <w:szCs w:val="20"/>
          <w:lang w:val="es-ES_tradnl" w:eastAsia="es-ES_tradnl"/>
          <w14:ligatures w14:val="standardContextual"/>
        </w:rPr>
        <w:lastRenderedPageBreak/>
        <w:t xml:space="preserve">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4E2C9258" w14:textId="77777777" w:rsidR="00033C07" w:rsidRPr="00D00F77" w:rsidRDefault="00033C07" w:rsidP="00D00F77">
      <w:pPr>
        <w:jc w:val="both"/>
        <w:rPr>
          <w:rFonts w:ascii="Verdana" w:eastAsia="Calibri" w:hAnsi="Verdana" w:cs="Arial"/>
          <w:b/>
          <w:lang w:val="es-ES" w:eastAsia="es-ES"/>
        </w:rPr>
      </w:pPr>
    </w:p>
    <w:p w14:paraId="5599024E" w14:textId="77777777" w:rsidR="00D00F77" w:rsidRDefault="00D00F77">
      <w:pPr>
        <w:rPr>
          <w:rFonts w:ascii="Verdana" w:eastAsia="Verdana" w:hAnsi="Verdana" w:cs="Verdana"/>
        </w:rPr>
      </w:pPr>
      <w:r>
        <w:rPr>
          <w:rFonts w:ascii="Verdana" w:eastAsia="Verdana" w:hAnsi="Verdana" w:cs="Verdana"/>
        </w:rPr>
        <w:br w:type="page"/>
      </w:r>
    </w:p>
    <w:p w14:paraId="1468C46D" w14:textId="26C7AF33" w:rsidR="00C15139" w:rsidRPr="0024624F" w:rsidRDefault="00D00F77" w:rsidP="30821638">
      <w:pPr>
        <w:spacing w:after="0"/>
        <w:rPr>
          <w:rFonts w:ascii="Verdana" w:eastAsia="Verdana" w:hAnsi="Verdana" w:cs="Verdana"/>
        </w:rPr>
      </w:pPr>
      <w:r w:rsidRPr="00D00F77">
        <w:rPr>
          <w:rFonts w:ascii="Verdana" w:eastAsia="Verdana" w:hAnsi="Verdana" w:cs="Verdana"/>
        </w:rPr>
        <w:lastRenderedPageBreak/>
        <w:drawing>
          <wp:anchor distT="0" distB="0" distL="114300" distR="114300" simplePos="0" relativeHeight="251658240" behindDoc="1" locked="0" layoutInCell="1" allowOverlap="1" wp14:anchorId="538D53AC" wp14:editId="3CF10A06">
            <wp:simplePos x="0" y="0"/>
            <wp:positionH relativeFrom="margin">
              <wp:align>right</wp:align>
            </wp:positionH>
            <wp:positionV relativeFrom="paragraph">
              <wp:posOffset>228</wp:posOffset>
            </wp:positionV>
            <wp:extent cx="2735651" cy="731227"/>
            <wp:effectExtent l="0" t="0" r="7620" b="0"/>
            <wp:wrapNone/>
            <wp:docPr id="15401987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98731" name=""/>
                    <pic:cNvPicPr/>
                  </pic:nvPicPr>
                  <pic:blipFill>
                    <a:blip r:embed="rId10">
                      <a:extLst>
                        <a:ext uri="{28A0092B-C50C-407E-A947-70E740481C1C}">
                          <a14:useLocalDpi xmlns:a14="http://schemas.microsoft.com/office/drawing/2010/main" val="0"/>
                        </a:ext>
                      </a:extLst>
                    </a:blip>
                    <a:stretch>
                      <a:fillRect/>
                    </a:stretch>
                  </pic:blipFill>
                  <pic:spPr>
                    <a:xfrm>
                      <a:off x="0" y="0"/>
                      <a:ext cx="2735651" cy="731227"/>
                    </a:xfrm>
                    <a:prstGeom prst="rect">
                      <a:avLst/>
                    </a:prstGeom>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14 Septiembre 2026</w:t>
      </w:r>
      <w:r w:rsidR="00C15139">
        <w:tab/>
      </w:r>
      <w:r w:rsidR="00C15139">
        <w:br/>
      </w:r>
      <w:r w:rsidR="00C15139">
        <w:tab/>
      </w:r>
    </w:p>
    <w:p w14:paraId="50A8E398" w14:textId="0402C618" w:rsidR="003C0E34" w:rsidRPr="00B96799" w:rsidRDefault="003C0E34" w:rsidP="003C0E34">
      <w:pPr>
        <w:spacing w:after="0" w:line="240" w:lineRule="auto"/>
        <w:jc w:val="both"/>
        <w:rPr>
          <w:rFonts w:ascii="Verdana" w:hAnsi="Verdana" w:cs="Arial"/>
          <w:lang w:val="es-ES" w:eastAsia="es-ES"/>
        </w:rPr>
      </w:pPr>
      <w:r w:rsidRPr="00B96799">
        <w:rPr>
          <w:rFonts w:ascii="Verdana" w:hAnsi="Verdana" w:cs="Arial"/>
          <w:lang w:val="es-ES" w:eastAsia="es-ES"/>
        </w:rPr>
        <w:t>Señor</w:t>
      </w:r>
    </w:p>
    <w:p w14:paraId="7A302D09" w14:textId="2253C83F" w:rsidR="003C0E34" w:rsidRPr="00350FE1" w:rsidRDefault="00182466" w:rsidP="003C0E34">
      <w:pPr>
        <w:spacing w:after="0" w:line="240" w:lineRule="auto"/>
        <w:rPr>
          <w:rFonts w:ascii="Verdana" w:hAnsi="Verdana" w:cs="Arial"/>
          <w:b/>
          <w:lang w:val="es-ES_tradnl" w:eastAsia="es-ES_tradnl"/>
        </w:rPr>
      </w:pPr>
      <w:r>
        <w:rPr>
          <w:rFonts w:ascii="Verdana" w:hAnsi="Verdana" w:cs="Arial"/>
          <w:b/>
          <w:lang w:val="es-ES_tradnl" w:eastAsia="es-ES_tradnl"/>
        </w:rPr>
        <w:t>Ciudadano Anónimo</w:t>
      </w:r>
    </w:p>
    <w:p w14:paraId="277FCC03" w14:textId="2291A3ED" w:rsidR="00E573EF" w:rsidRPr="00E573EF" w:rsidRDefault="00E573EF" w:rsidP="003C0E34">
      <w:pPr>
        <w:spacing w:after="0" w:line="240" w:lineRule="auto"/>
        <w:rPr>
          <w:rFonts w:ascii="Verdana" w:hAnsi="Verdana"/>
        </w:rPr>
      </w:pPr>
      <w:hyperlink r:id="rId11" w:history="1">
        <w:r w:rsidRPr="00E573EF">
          <w:rPr>
            <w:rStyle w:val="Hipervnculo"/>
            <w:rFonts w:ascii="Verdana" w:hAnsi="Verdana"/>
          </w:rPr>
          <w:t>paucamicorrea@hotmail.es</w:t>
        </w:r>
      </w:hyperlink>
    </w:p>
    <w:p w14:paraId="491E5F0B" w14:textId="77777777" w:rsidR="003C0E34" w:rsidRPr="00593A5F" w:rsidRDefault="003C0E34" w:rsidP="003C0E34">
      <w:pPr>
        <w:spacing w:after="0" w:line="240" w:lineRule="auto"/>
        <w:rPr>
          <w:rFonts w:ascii="Verdana" w:hAnsi="Verdana" w:cs="Arial"/>
          <w:b/>
          <w:bCs/>
          <w:color w:val="000000"/>
          <w:lang w:val="es-ES_tradnl" w:eastAsia="es-ES_tradnl"/>
        </w:rPr>
      </w:pPr>
    </w:p>
    <w:p w14:paraId="19E12B53" w14:textId="77777777" w:rsidR="00635A19" w:rsidRPr="00DB6C5D" w:rsidRDefault="00635A19" w:rsidP="00635A19">
      <w:pPr>
        <w:pStyle w:val="Sinespaciado"/>
        <w:jc w:val="both"/>
        <w:rPr>
          <w:rFonts w:ascii="Verdana" w:hAnsi="Verdana" w:cs="Times New Roman"/>
          <w:b/>
          <w:bCs/>
        </w:rPr>
      </w:pPr>
      <w:bookmarkStart w:id="1" w:name="_Hlk186494164"/>
    </w:p>
    <w:p w14:paraId="6E47C5C6" w14:textId="1C7AC053" w:rsidR="00635A19" w:rsidRPr="00DB6C5D" w:rsidRDefault="00635A19" w:rsidP="00635A19">
      <w:pPr>
        <w:spacing w:after="0" w:line="240" w:lineRule="auto"/>
        <w:jc w:val="both"/>
        <w:rPr>
          <w:rFonts w:ascii="Verdana" w:eastAsia="Calibri" w:hAnsi="Verdana" w:cs="Arial"/>
          <w:b/>
          <w:bCs/>
          <w:lang w:eastAsia="es-ES"/>
        </w:rPr>
      </w:pPr>
      <w:r w:rsidRPr="00DB6C5D">
        <w:rPr>
          <w:rFonts w:ascii="Verdana" w:eastAsia="Calibri" w:hAnsi="Verdana" w:cs="Arial"/>
          <w:b/>
          <w:bCs/>
          <w:lang w:eastAsia="es-ES"/>
        </w:rPr>
        <w:t xml:space="preserve">                                    Concepto </w:t>
      </w:r>
      <w:r w:rsidRPr="00456126">
        <w:rPr>
          <w:rFonts w:ascii="Verdana" w:eastAsia="Calibri" w:hAnsi="Verdana" w:cs="Arial"/>
          <w:b/>
          <w:bCs/>
          <w:lang w:eastAsia="es-ES"/>
        </w:rPr>
        <w:t>C-13</w:t>
      </w:r>
      <w:r w:rsidR="00D677D7" w:rsidRPr="00456126">
        <w:rPr>
          <w:rFonts w:ascii="Verdana" w:eastAsia="Calibri" w:hAnsi="Verdana" w:cs="Arial"/>
          <w:b/>
          <w:bCs/>
          <w:lang w:eastAsia="es-ES"/>
        </w:rPr>
        <w:t>61</w:t>
      </w:r>
      <w:r>
        <w:rPr>
          <w:rFonts w:ascii="Verdana" w:eastAsia="Calibri" w:hAnsi="Verdana" w:cs="Arial"/>
          <w:b/>
          <w:bCs/>
          <w:lang w:eastAsia="es-ES"/>
        </w:rPr>
        <w:t xml:space="preserve"> </w:t>
      </w:r>
      <w:r w:rsidRPr="00DB6C5D">
        <w:rPr>
          <w:rFonts w:ascii="Verdana" w:eastAsia="Calibri" w:hAnsi="Verdana" w:cs="Arial"/>
          <w:b/>
          <w:bCs/>
          <w:lang w:eastAsia="es-ES"/>
        </w:rPr>
        <w:t>de 2026</w:t>
      </w:r>
    </w:p>
    <w:p w14:paraId="527B26BA" w14:textId="77777777" w:rsidR="00635A19" w:rsidRPr="00DB6C5D" w:rsidRDefault="00635A19" w:rsidP="00635A19">
      <w:pPr>
        <w:spacing w:after="0" w:line="240" w:lineRule="auto"/>
        <w:jc w:val="both"/>
        <w:rPr>
          <w:rFonts w:ascii="Verdana" w:eastAsia="Calibri" w:hAnsi="Verdana" w:cs="Arial"/>
          <w:b/>
          <w:bCs/>
          <w:lang w:eastAsia="es-ES"/>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35A19" w:rsidRPr="00DB6C5D" w14:paraId="33EE5A21" w14:textId="77777777" w:rsidTr="00D81038">
        <w:trPr>
          <w:trHeight w:val="884"/>
        </w:trPr>
        <w:tc>
          <w:tcPr>
            <w:tcW w:w="2689" w:type="dxa"/>
          </w:tcPr>
          <w:p w14:paraId="598999B1" w14:textId="77777777" w:rsidR="00635A19" w:rsidRPr="00DB6C5D" w:rsidRDefault="00635A19" w:rsidP="00D81038">
            <w:pPr>
              <w:jc w:val="both"/>
              <w:rPr>
                <w:rFonts w:ascii="Verdana" w:eastAsia="Calibri" w:hAnsi="Verdana" w:cs="Arial"/>
                <w:color w:val="000000"/>
                <w:lang w:eastAsia="es-ES_tradnl"/>
              </w:rPr>
            </w:pPr>
            <w:r w:rsidRPr="00DB6C5D">
              <w:rPr>
                <w:rFonts w:ascii="Verdana" w:eastAsia="Calibri" w:hAnsi="Verdana" w:cs="Arial"/>
                <w:b/>
                <w:color w:val="000000"/>
                <w:lang w:eastAsia="es-ES_tradnl"/>
              </w:rPr>
              <w:t>Temas:</w:t>
            </w:r>
            <w:r w:rsidRPr="00DB6C5D">
              <w:rPr>
                <w:rFonts w:ascii="Verdana" w:eastAsia="Calibri" w:hAnsi="Verdana" w:cs="Arial"/>
                <w:color w:val="000000"/>
                <w:lang w:eastAsia="es-ES_tradnl"/>
              </w:rPr>
              <w:t xml:space="preserve">                   </w:t>
            </w:r>
          </w:p>
        </w:tc>
        <w:tc>
          <w:tcPr>
            <w:tcW w:w="6100" w:type="dxa"/>
          </w:tcPr>
          <w:p w14:paraId="0ED9F944" w14:textId="7A7669F6" w:rsidR="00635A19" w:rsidRPr="00940B15" w:rsidRDefault="00635A19" w:rsidP="00D81038">
            <w:pPr>
              <w:jc w:val="both"/>
              <w:rPr>
                <w:rFonts w:ascii="Verdana" w:eastAsia="Calibri" w:hAnsi="Verdana" w:cs="Arial"/>
                <w:b/>
                <w:bCs/>
                <w:lang w:val="es-ES" w:eastAsia="es-ES"/>
              </w:rPr>
            </w:pPr>
            <w:r w:rsidRPr="0040740F">
              <w:rPr>
                <w:rFonts w:ascii="Verdana" w:eastAsia="Calibri" w:hAnsi="Verdana" w:cs="Arial"/>
                <w:bCs/>
              </w:rPr>
              <w:t>P</w:t>
            </w:r>
            <w:r w:rsidR="00CE0ECB">
              <w:rPr>
                <w:rFonts w:ascii="Verdana" w:eastAsia="Calibri" w:hAnsi="Verdana" w:cs="Arial"/>
                <w:bCs/>
              </w:rPr>
              <w:t xml:space="preserve">RINCIPIO DE PUBLICIDAD </w:t>
            </w:r>
            <w:r w:rsidR="00D22018">
              <w:rPr>
                <w:rFonts w:ascii="Verdana" w:eastAsia="Calibri" w:hAnsi="Verdana" w:cs="Arial"/>
                <w:bCs/>
              </w:rPr>
              <w:t>– Concepto / PRINCIPIO DE PUBLICIDAD – Deber de publicación</w:t>
            </w:r>
          </w:p>
          <w:p w14:paraId="5B3C50A3" w14:textId="77777777" w:rsidR="00635A19" w:rsidRPr="00BE0FF3" w:rsidRDefault="00635A19" w:rsidP="00D81038">
            <w:pPr>
              <w:jc w:val="both"/>
              <w:rPr>
                <w:rFonts w:ascii="Verdana" w:eastAsia="Calibri" w:hAnsi="Verdana" w:cs="Arial"/>
                <w:b/>
                <w:bCs/>
                <w:lang w:eastAsia="es-ES"/>
              </w:rPr>
            </w:pPr>
          </w:p>
        </w:tc>
      </w:tr>
      <w:tr w:rsidR="00635A19" w:rsidRPr="00DB6C5D" w14:paraId="7D9AB72F" w14:textId="77777777" w:rsidTr="00D81038">
        <w:tc>
          <w:tcPr>
            <w:tcW w:w="2689" w:type="dxa"/>
          </w:tcPr>
          <w:p w14:paraId="5A046074" w14:textId="77777777" w:rsidR="00635A19" w:rsidRPr="00DB6C5D" w:rsidRDefault="00635A19" w:rsidP="00D81038">
            <w:pPr>
              <w:jc w:val="both"/>
              <w:rPr>
                <w:rFonts w:ascii="Verdana" w:eastAsia="Calibri" w:hAnsi="Verdana" w:cs="Arial"/>
                <w:b/>
                <w:lang w:eastAsia="es-ES_tradnl"/>
              </w:rPr>
            </w:pPr>
            <w:r w:rsidRPr="00DB6C5D">
              <w:rPr>
                <w:rFonts w:ascii="Verdana" w:eastAsia="Calibri" w:hAnsi="Verdana" w:cs="Arial"/>
                <w:b/>
                <w:lang w:eastAsia="es-ES_tradnl"/>
              </w:rPr>
              <w:t>Radicación:</w:t>
            </w:r>
            <w:r w:rsidRPr="00DB6C5D">
              <w:rPr>
                <w:rFonts w:ascii="Verdana" w:eastAsia="Calibri" w:hAnsi="Verdana" w:cs="Arial"/>
                <w:lang w:eastAsia="es-ES_tradnl"/>
              </w:rPr>
              <w:t xml:space="preserve">               </w:t>
            </w:r>
          </w:p>
        </w:tc>
        <w:tc>
          <w:tcPr>
            <w:tcW w:w="6100" w:type="dxa"/>
          </w:tcPr>
          <w:p w14:paraId="74F53261" w14:textId="2F28586F" w:rsidR="00635A19" w:rsidRPr="00DB6C5D" w:rsidRDefault="00635A19" w:rsidP="00D81038">
            <w:pPr>
              <w:jc w:val="both"/>
              <w:rPr>
                <w:rFonts w:ascii="Verdana" w:eastAsia="Calibri" w:hAnsi="Verdana" w:cs="Arial"/>
                <w:lang w:eastAsia="es-ES_tradnl"/>
              </w:rPr>
            </w:pPr>
            <w:r w:rsidRPr="00DB6C5D">
              <w:rPr>
                <w:rFonts w:ascii="Verdana" w:eastAsia="Calibri" w:hAnsi="Verdana" w:cs="Arial"/>
                <w:lang w:eastAsia="es-ES_tradnl"/>
              </w:rPr>
              <w:t xml:space="preserve">Respuesta a consultas con radicado No. </w:t>
            </w:r>
            <w:r w:rsidR="00D3329B" w:rsidRPr="00D3329B">
              <w:rPr>
                <w:rFonts w:ascii="Verdana" w:eastAsia="Calibri" w:hAnsi="Verdana" w:cs="Arial"/>
                <w:lang w:eastAsia="es-ES_tradnl"/>
              </w:rPr>
              <w:t>1_2026_08_31_011540</w:t>
            </w:r>
            <w:r>
              <w:rPr>
                <w:rFonts w:ascii="Verdana" w:eastAsia="Calibri" w:hAnsi="Verdana" w:cs="Arial"/>
                <w:lang w:eastAsia="es-ES_tradnl"/>
              </w:rPr>
              <w:t xml:space="preserve"> </w:t>
            </w:r>
          </w:p>
        </w:tc>
      </w:tr>
    </w:tbl>
    <w:p w14:paraId="33728155" w14:textId="77777777" w:rsidR="00635A19" w:rsidRPr="00DB6C5D" w:rsidRDefault="00635A19" w:rsidP="00635A19">
      <w:pPr>
        <w:spacing w:after="0" w:line="240" w:lineRule="auto"/>
        <w:jc w:val="both"/>
        <w:rPr>
          <w:rFonts w:ascii="Verdana" w:eastAsia="Calibri" w:hAnsi="Verdana" w:cs="Arial"/>
          <w:color w:val="000000"/>
          <w:lang w:eastAsia="es-ES_tradnl"/>
        </w:rPr>
      </w:pPr>
    </w:p>
    <w:p w14:paraId="4AD86C13" w14:textId="77777777" w:rsidR="00635A19" w:rsidRPr="00DB6C5D" w:rsidRDefault="00635A19" w:rsidP="00635A19">
      <w:pPr>
        <w:spacing w:after="0" w:line="240" w:lineRule="auto"/>
        <w:jc w:val="both"/>
        <w:rPr>
          <w:rFonts w:ascii="Verdana" w:eastAsia="Calibri" w:hAnsi="Verdana" w:cs="Arial"/>
          <w:color w:val="000000"/>
          <w:lang w:eastAsia="es-ES_tradnl"/>
        </w:rPr>
      </w:pPr>
    </w:p>
    <w:p w14:paraId="6BB6F8B4" w14:textId="01D62D3A" w:rsidR="00635A19" w:rsidRDefault="00635A19" w:rsidP="00635A19">
      <w:pPr>
        <w:spacing w:after="0" w:line="276" w:lineRule="auto"/>
        <w:jc w:val="both"/>
        <w:rPr>
          <w:rFonts w:ascii="Verdana" w:eastAsia="Calibri" w:hAnsi="Verdana" w:cs="Arial"/>
          <w:color w:val="000000"/>
          <w:lang w:eastAsia="es-ES"/>
        </w:rPr>
      </w:pPr>
      <w:r w:rsidRPr="00DB6C5D">
        <w:rPr>
          <w:rFonts w:ascii="Verdana" w:eastAsia="Calibri" w:hAnsi="Verdana" w:cs="Arial"/>
          <w:lang w:eastAsia="es-ES"/>
        </w:rPr>
        <w:t xml:space="preserve">Estimado </w:t>
      </w:r>
      <w:r w:rsidR="00A068ED" w:rsidRPr="00A068ED">
        <w:rPr>
          <w:rFonts w:ascii="Verdana" w:eastAsia="Calibri" w:hAnsi="Verdana" w:cs="Arial"/>
          <w:lang w:eastAsia="es-ES"/>
        </w:rPr>
        <w:t>Ciudadano Anónimo</w:t>
      </w:r>
      <w:r w:rsidRPr="00DB6C5D">
        <w:rPr>
          <w:rFonts w:ascii="Verdana" w:eastAsia="Calibri" w:hAnsi="Verdana" w:cs="Arial"/>
          <w:lang w:eastAsia="es-ES"/>
        </w:rPr>
        <w:t>, cordial saludo:</w:t>
      </w:r>
      <w:r w:rsidRPr="00DB6C5D">
        <w:rPr>
          <w:rFonts w:ascii="Verdana" w:eastAsia="Calibri" w:hAnsi="Verdana" w:cs="Arial"/>
          <w:color w:val="000000"/>
          <w:lang w:eastAsia="es-ES"/>
        </w:rPr>
        <w:tab/>
      </w:r>
    </w:p>
    <w:p w14:paraId="65700F7E" w14:textId="77777777" w:rsidR="00635A19" w:rsidRPr="00DB6C5D" w:rsidRDefault="00635A19" w:rsidP="00635A19">
      <w:pPr>
        <w:spacing w:after="0" w:line="276" w:lineRule="auto"/>
        <w:jc w:val="both"/>
        <w:rPr>
          <w:rFonts w:ascii="Verdana" w:eastAsia="Calibri" w:hAnsi="Verdana" w:cs="Arial"/>
          <w:color w:val="000000"/>
          <w:lang w:eastAsia="es-ES"/>
        </w:rPr>
      </w:pPr>
    </w:p>
    <w:p w14:paraId="170F4997" w14:textId="7B23A387" w:rsidR="00635A19" w:rsidRPr="00DB6C5D" w:rsidRDefault="00635A19" w:rsidP="00635A19">
      <w:pPr>
        <w:spacing w:after="0" w:line="276" w:lineRule="auto"/>
        <w:jc w:val="both"/>
        <w:rPr>
          <w:rFonts w:ascii="Verdana" w:eastAsia="Calibri" w:hAnsi="Verdana" w:cs="Arial"/>
          <w:i/>
          <w:iCs/>
          <w:lang w:eastAsia="es-ES"/>
        </w:rPr>
      </w:pPr>
      <w:r w:rsidRPr="00DB6C5D">
        <w:rPr>
          <w:rFonts w:ascii="Verdana" w:eastAsia="Calibri" w:hAnsi="Verdana" w:cs="Arial"/>
          <w:color w:val="000000"/>
          <w:lang w:eastAsia="es-ES"/>
        </w:rPr>
        <w:t>En ejercicio de la competencia otorgada por los artículos 3, numeral 5º, y 11, numeral 8º, del Decreto Ley 4170 de 2011,</w:t>
      </w:r>
      <w:r w:rsidRPr="00DB6C5D">
        <w:rPr>
          <w:rFonts w:ascii="Verdana" w:eastAsia="Arial MT" w:hAnsi="Verdana" w:cs="Arial MT"/>
          <w:lang w:eastAsia="es-ES"/>
        </w:rPr>
        <w:t xml:space="preserve"> </w:t>
      </w:r>
      <w:r w:rsidRPr="00DB6C5D">
        <w:rPr>
          <w:rFonts w:ascii="Verdana" w:eastAsia="Calibri" w:hAnsi="Verdana" w:cs="Arial"/>
        </w:rPr>
        <w:t xml:space="preserve">así como lo establecido en el artículo 4 de la Resolución 1707 de 2018 expedida por esta Entidad, </w:t>
      </w:r>
      <w:r w:rsidRPr="00DB6C5D">
        <w:rPr>
          <w:rFonts w:ascii="Verdana" w:eastAsia="Calibri" w:hAnsi="Verdana" w:cs="Arial"/>
          <w:color w:val="000000"/>
          <w:lang w:eastAsia="es-ES"/>
        </w:rPr>
        <w:t>la Agencia Nacional de Contratación Pública – Colombia Compra Eficiente responde su solicitud de concepto del</w:t>
      </w:r>
      <w:r w:rsidR="004461F5">
        <w:rPr>
          <w:rFonts w:ascii="Verdana" w:eastAsia="Calibri" w:hAnsi="Verdana" w:cs="Arial"/>
          <w:color w:val="000000"/>
          <w:lang w:eastAsia="es-ES"/>
        </w:rPr>
        <w:t xml:space="preserve"> 31</w:t>
      </w:r>
      <w:r w:rsidRPr="00DB6C5D">
        <w:rPr>
          <w:rFonts w:ascii="Verdana" w:eastAsia="Calibri" w:hAnsi="Verdana" w:cs="Arial"/>
          <w:color w:val="000000"/>
          <w:lang w:eastAsia="es-ES"/>
        </w:rPr>
        <w:t xml:space="preserve"> de </w:t>
      </w:r>
      <w:r>
        <w:rPr>
          <w:rFonts w:ascii="Verdana" w:eastAsia="Calibri" w:hAnsi="Verdana" w:cs="Arial"/>
          <w:color w:val="000000"/>
          <w:lang w:eastAsia="es-ES"/>
        </w:rPr>
        <w:t>agosto</w:t>
      </w:r>
      <w:r w:rsidRPr="00DB6C5D">
        <w:rPr>
          <w:rFonts w:ascii="Verdana" w:eastAsia="Calibri" w:hAnsi="Verdana" w:cs="Arial"/>
          <w:color w:val="000000"/>
          <w:lang w:eastAsia="es-ES"/>
        </w:rPr>
        <w:t xml:space="preserve"> de 2026,</w:t>
      </w:r>
      <w:r w:rsidRPr="00DB6C5D">
        <w:rPr>
          <w:rFonts w:ascii="Verdana" w:eastAsia="Calibri" w:hAnsi="Verdana" w:cs="Arial"/>
          <w:lang w:eastAsia="es-ES"/>
        </w:rPr>
        <w:t xml:space="preserve"> en la que manifiesta lo siguiente:</w:t>
      </w:r>
      <w:r w:rsidRPr="00DB6C5D">
        <w:rPr>
          <w:rFonts w:ascii="Verdana" w:eastAsia="Calibri" w:hAnsi="Verdana" w:cs="Arial"/>
          <w:i/>
          <w:iCs/>
          <w:lang w:eastAsia="es-ES"/>
        </w:rPr>
        <w:t xml:space="preserve"> </w:t>
      </w:r>
      <w:bookmarkStart w:id="2" w:name="_Hlk95313578"/>
    </w:p>
    <w:p w14:paraId="4086E026" w14:textId="77777777" w:rsidR="00635A19" w:rsidRPr="00DB6C5D" w:rsidRDefault="00635A19" w:rsidP="00635A19">
      <w:pPr>
        <w:spacing w:after="0" w:line="276" w:lineRule="auto"/>
        <w:jc w:val="both"/>
        <w:rPr>
          <w:rFonts w:ascii="Verdana" w:eastAsia="Calibri" w:hAnsi="Verdana" w:cs="Arial"/>
          <w:i/>
          <w:iCs/>
          <w:lang w:eastAsia="es-ES"/>
        </w:rPr>
      </w:pPr>
    </w:p>
    <w:p w14:paraId="76BFDA6D" w14:textId="5FDE1A2C" w:rsidR="00B2296D" w:rsidRPr="0033734F" w:rsidRDefault="00635A19" w:rsidP="00B2296D">
      <w:pPr>
        <w:spacing w:after="0" w:line="240" w:lineRule="auto"/>
        <w:ind w:left="709" w:right="709"/>
        <w:jc w:val="both"/>
        <w:rPr>
          <w:rFonts w:ascii="Verdana" w:hAnsi="Verdana" w:cs="Arial"/>
          <w:i/>
          <w:iCs/>
          <w:sz w:val="20"/>
          <w:szCs w:val="20"/>
          <w:shd w:val="clear" w:color="auto" w:fill="FFFFFF"/>
        </w:rPr>
      </w:pPr>
      <w:r w:rsidRPr="0033734F">
        <w:rPr>
          <w:rFonts w:ascii="Verdana" w:hAnsi="Verdana" w:cs="Arial"/>
          <w:i/>
          <w:iCs/>
          <w:sz w:val="20"/>
          <w:szCs w:val="20"/>
          <w:shd w:val="clear" w:color="auto" w:fill="FFFFFF"/>
        </w:rPr>
        <w:t>“</w:t>
      </w:r>
      <w:bookmarkEnd w:id="2"/>
      <w:r w:rsidR="00B2296D" w:rsidRPr="0033734F">
        <w:rPr>
          <w:rFonts w:ascii="Verdana" w:hAnsi="Verdana" w:cs="Arial"/>
          <w:i/>
          <w:iCs/>
          <w:sz w:val="20"/>
          <w:szCs w:val="20"/>
          <w:shd w:val="clear" w:color="auto" w:fill="FFFFFF"/>
        </w:rPr>
        <w:t>De manera respetuosa, solicito concepto jurídico sobre la siguiente consulta: ¿Puede el Consejo Directivo de una institución educativa oficial</w:t>
      </w:r>
    </w:p>
    <w:p w14:paraId="586E5E88" w14:textId="7C0D159C" w:rsidR="00B2296D" w:rsidRPr="0033734F" w:rsidRDefault="00B2296D" w:rsidP="00B2296D">
      <w:pPr>
        <w:spacing w:after="0" w:line="240" w:lineRule="auto"/>
        <w:ind w:left="709" w:right="709"/>
        <w:jc w:val="both"/>
        <w:rPr>
          <w:rFonts w:ascii="Verdana" w:hAnsi="Verdana" w:cs="Arial"/>
          <w:i/>
          <w:iCs/>
          <w:sz w:val="20"/>
          <w:szCs w:val="20"/>
          <w:shd w:val="clear" w:color="auto" w:fill="FFFFFF"/>
        </w:rPr>
      </w:pPr>
      <w:r w:rsidRPr="0033734F">
        <w:rPr>
          <w:rFonts w:ascii="Verdana" w:hAnsi="Verdana" w:cs="Arial"/>
          <w:i/>
          <w:iCs/>
          <w:sz w:val="20"/>
          <w:szCs w:val="20"/>
          <w:shd w:val="clear" w:color="auto" w:fill="FFFFFF"/>
        </w:rPr>
        <w:t>establecer, mediante su reglamento interno de contratación para procesos inferiores a veinte (20) SMLMV, que las invitaciones públicas se publiquen únicamente en la cartelera institucional y, de manera supletoria, en la página web, o debe publicarlas en ambos medios, en garantía de los principios de publicidad, transparencia y pluralidad de oferentes?</w:t>
      </w:r>
    </w:p>
    <w:p w14:paraId="1D2D5A0E" w14:textId="77777777" w:rsidR="00B2296D" w:rsidRPr="0033734F" w:rsidRDefault="00B2296D" w:rsidP="00B2296D">
      <w:pPr>
        <w:spacing w:after="0" w:line="240" w:lineRule="auto"/>
        <w:ind w:left="709" w:right="709"/>
        <w:jc w:val="both"/>
        <w:rPr>
          <w:rFonts w:ascii="Verdana" w:hAnsi="Verdana" w:cs="Arial"/>
          <w:i/>
          <w:iCs/>
          <w:sz w:val="20"/>
          <w:szCs w:val="20"/>
          <w:shd w:val="clear" w:color="auto" w:fill="FFFFFF"/>
        </w:rPr>
      </w:pPr>
      <w:r w:rsidRPr="0033734F">
        <w:rPr>
          <w:rFonts w:ascii="Verdana" w:hAnsi="Verdana" w:cs="Arial"/>
          <w:i/>
          <w:iCs/>
          <w:sz w:val="20"/>
          <w:szCs w:val="20"/>
          <w:shd w:val="clear" w:color="auto" w:fill="FFFFFF"/>
        </w:rPr>
        <w:t>Lo anterior, teniendo en cuenta que la Secretaría de Educación, mediante</w:t>
      </w:r>
    </w:p>
    <w:p w14:paraId="3A584671" w14:textId="6B55D152" w:rsidR="00B2296D" w:rsidRPr="0033734F" w:rsidRDefault="00B2296D" w:rsidP="00B2296D">
      <w:pPr>
        <w:spacing w:after="0" w:line="240" w:lineRule="auto"/>
        <w:ind w:left="709" w:right="709"/>
        <w:jc w:val="both"/>
        <w:rPr>
          <w:rFonts w:ascii="Verdana" w:hAnsi="Verdana" w:cs="Arial"/>
          <w:i/>
          <w:iCs/>
          <w:sz w:val="20"/>
          <w:szCs w:val="20"/>
          <w:shd w:val="clear" w:color="auto" w:fill="FFFFFF"/>
        </w:rPr>
      </w:pPr>
      <w:r w:rsidRPr="0033734F">
        <w:rPr>
          <w:rFonts w:ascii="Verdana" w:hAnsi="Verdana" w:cs="Arial"/>
          <w:i/>
          <w:iCs/>
          <w:sz w:val="20"/>
          <w:szCs w:val="20"/>
          <w:shd w:val="clear" w:color="auto" w:fill="FFFFFF"/>
        </w:rPr>
        <w:t>circular, ha dispuesto que las invitaciones correspondientes a estos procesos sean publicadas tanto en la cartelera institucional como en la página web de la institución.</w:t>
      </w:r>
    </w:p>
    <w:p w14:paraId="1151F7C9" w14:textId="0218B015" w:rsidR="00635A19" w:rsidRPr="0033734F" w:rsidRDefault="00B2296D" w:rsidP="00635A19">
      <w:pPr>
        <w:spacing w:after="0" w:line="240" w:lineRule="auto"/>
        <w:ind w:left="709" w:right="709"/>
        <w:jc w:val="both"/>
        <w:rPr>
          <w:rFonts w:ascii="Verdana" w:hAnsi="Verdana" w:cs="Arial"/>
          <w:i/>
          <w:iCs/>
          <w:sz w:val="20"/>
          <w:szCs w:val="20"/>
          <w:shd w:val="clear" w:color="auto" w:fill="FFFFFF"/>
        </w:rPr>
      </w:pPr>
      <w:r w:rsidRPr="0033734F">
        <w:rPr>
          <w:rFonts w:ascii="Verdana" w:hAnsi="Verdana" w:cs="Arial"/>
          <w:i/>
          <w:iCs/>
          <w:sz w:val="20"/>
          <w:szCs w:val="20"/>
          <w:shd w:val="clear" w:color="auto" w:fill="FFFFFF"/>
        </w:rPr>
        <w:t>En este sentido, se solicita precisar si dicha disposición es de obligatorio cumplimiento, aun cuando el reglamento interno de contratación establezca un mecanismo diferente de publicidad.</w:t>
      </w:r>
      <w:r w:rsidR="00D3329B" w:rsidRPr="0033734F">
        <w:rPr>
          <w:rFonts w:ascii="Verdana" w:hAnsi="Verdana" w:cs="Arial"/>
          <w:i/>
          <w:iCs/>
          <w:sz w:val="20"/>
          <w:szCs w:val="20"/>
          <w:shd w:val="clear" w:color="auto" w:fill="FFFFFF"/>
        </w:rPr>
        <w:t>”</w:t>
      </w:r>
    </w:p>
    <w:p w14:paraId="109B95AA" w14:textId="77777777" w:rsidR="00635A19" w:rsidRPr="00DB6C5D" w:rsidRDefault="00635A19" w:rsidP="00635A19">
      <w:pPr>
        <w:spacing w:after="0" w:line="240" w:lineRule="auto"/>
        <w:ind w:left="709" w:right="709"/>
        <w:jc w:val="both"/>
        <w:rPr>
          <w:rFonts w:ascii="Verdana" w:hAnsi="Verdana" w:cs="Arial"/>
          <w:i/>
          <w:iCs/>
          <w:sz w:val="20"/>
          <w:szCs w:val="20"/>
          <w:shd w:val="clear" w:color="auto" w:fill="FFFFFF"/>
        </w:rPr>
      </w:pPr>
    </w:p>
    <w:p w14:paraId="3823B462" w14:textId="77777777" w:rsidR="00635A19" w:rsidRPr="00DB6C5D" w:rsidRDefault="00635A19" w:rsidP="00635A19">
      <w:pPr>
        <w:spacing w:after="120" w:line="276" w:lineRule="auto"/>
        <w:jc w:val="both"/>
        <w:rPr>
          <w:rFonts w:ascii="Verdana" w:eastAsia="Calibri" w:hAnsi="Verdana" w:cs="Arial"/>
          <w:color w:val="000000"/>
          <w:lang w:eastAsia="es-ES"/>
        </w:rPr>
      </w:pPr>
      <w:r w:rsidRPr="00DB6C5D">
        <w:rPr>
          <w:rFonts w:ascii="Verdana" w:eastAsia="Calibri" w:hAnsi="Verdana" w:cs="Arial"/>
        </w:rPr>
        <w:t xml:space="preserve">De manera preliminar, resulta necesario acotar que esta entidad solo tiene competencia para responder consultas sobre la aplicación de normas de carácter </w:t>
      </w:r>
      <w:r w:rsidRPr="00DB6C5D">
        <w:rPr>
          <w:rFonts w:ascii="Verdana" w:eastAsia="Calibri" w:hAnsi="Verdana" w:cs="Arial"/>
        </w:rPr>
        <w:lastRenderedPageBreak/>
        <w:t>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w:t>
      </w:r>
      <w:r w:rsidRPr="00DB6C5D">
        <w:rPr>
          <w:rFonts w:ascii="Verdana" w:eastAsia="Calibri" w:hAnsi="Verdana" w:cs="Arial"/>
          <w:color w:val="000000"/>
          <w:lang w:eastAsia="es-ES"/>
        </w:rPr>
        <w:t xml:space="preserve">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B6C5D">
        <w:rPr>
          <w:rFonts w:ascii="Verdana" w:eastAsia="Calibri" w:hAnsi="Verdana" w:cs="Arial"/>
          <w:color w:val="000000"/>
          <w:lang w:eastAsia="es-ES_tradnl"/>
        </w:rPr>
        <w:tab/>
      </w:r>
    </w:p>
    <w:p w14:paraId="4CCBDA8F" w14:textId="77777777" w:rsidR="00635A19" w:rsidRPr="00DB6C5D" w:rsidRDefault="00635A19" w:rsidP="00635A19">
      <w:pPr>
        <w:spacing w:after="0" w:line="276" w:lineRule="auto"/>
        <w:ind w:firstLine="708"/>
        <w:jc w:val="both"/>
        <w:rPr>
          <w:rFonts w:ascii="Verdana" w:eastAsia="Calibri" w:hAnsi="Verdana" w:cs="Arial"/>
          <w:b/>
          <w:bCs/>
          <w:color w:val="000000"/>
          <w:lang w:eastAsia="es-ES"/>
        </w:rPr>
      </w:pPr>
      <w:r w:rsidRPr="00DB6C5D">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problemas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jurídicos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de su consulta.</w:t>
      </w:r>
      <w:r w:rsidRPr="00DB6C5D">
        <w:rPr>
          <w:rFonts w:ascii="Verdana" w:eastAsia="Calibri" w:hAnsi="Verdana" w:cs="Arial"/>
          <w:b/>
          <w:bCs/>
          <w:color w:val="000000"/>
          <w:lang w:eastAsia="es-ES"/>
        </w:rPr>
        <w:t xml:space="preserve"> </w:t>
      </w:r>
    </w:p>
    <w:p w14:paraId="438C7A50" w14:textId="77777777" w:rsidR="00635A19" w:rsidRPr="00DB6C5D" w:rsidRDefault="00635A19" w:rsidP="00635A19">
      <w:pPr>
        <w:spacing w:after="0" w:line="276" w:lineRule="auto"/>
        <w:ind w:firstLine="708"/>
        <w:jc w:val="both"/>
        <w:rPr>
          <w:rFonts w:ascii="Verdana" w:eastAsia="Calibri" w:hAnsi="Verdana" w:cs="Arial"/>
          <w:b/>
          <w:bCs/>
          <w:color w:val="000000"/>
          <w:lang w:eastAsia="es-ES"/>
        </w:rPr>
      </w:pPr>
    </w:p>
    <w:p w14:paraId="7F3D2B25" w14:textId="77777777" w:rsidR="00635A19" w:rsidRPr="00DB6C5D" w:rsidRDefault="00635A19" w:rsidP="00635A19">
      <w:pPr>
        <w:numPr>
          <w:ilvl w:val="0"/>
          <w:numId w:val="18"/>
        </w:numPr>
        <w:tabs>
          <w:tab w:val="left" w:pos="142"/>
          <w:tab w:val="left" w:pos="284"/>
        </w:tabs>
        <w:spacing w:after="0" w:line="276" w:lineRule="auto"/>
        <w:ind w:left="0" w:firstLine="357"/>
        <w:jc w:val="both"/>
        <w:rPr>
          <w:rFonts w:ascii="Verdana" w:eastAsia="Century Gothic" w:hAnsi="Verdana" w:cs="Century Gothic"/>
        </w:rPr>
      </w:pPr>
      <w:r w:rsidRPr="00DB6C5D">
        <w:rPr>
          <w:rFonts w:ascii="Verdana" w:eastAsia="Century Gothic" w:hAnsi="Verdana" w:cs="Century Gothic"/>
          <w:b/>
          <w:bCs/>
        </w:rPr>
        <w:t>Problema planteado:</w:t>
      </w:r>
    </w:p>
    <w:p w14:paraId="68AD33B5" w14:textId="77777777" w:rsidR="00635A19" w:rsidRPr="00DB6C5D" w:rsidRDefault="00635A19" w:rsidP="00635A19">
      <w:pPr>
        <w:spacing w:after="0" w:line="276" w:lineRule="auto"/>
        <w:jc w:val="both"/>
        <w:rPr>
          <w:rFonts w:ascii="Verdana" w:eastAsia="Century Gothic" w:hAnsi="Verdana" w:cs="Century Gothic"/>
        </w:rPr>
      </w:pPr>
    </w:p>
    <w:p w14:paraId="57A59DF7" w14:textId="0FBDCAA5" w:rsidR="00635A19" w:rsidRPr="00DB6C5D" w:rsidRDefault="00635A19" w:rsidP="00635A19">
      <w:pPr>
        <w:spacing w:after="0" w:line="276" w:lineRule="auto"/>
        <w:jc w:val="both"/>
        <w:rPr>
          <w:rFonts w:ascii="Verdana" w:eastAsia="Calibri" w:hAnsi="Verdana" w:cs="Times New Roman"/>
        </w:rPr>
      </w:pPr>
      <w:r w:rsidRPr="00DB6C5D">
        <w:rPr>
          <w:rFonts w:ascii="Verdana" w:eastAsia="Century Gothic" w:hAnsi="Verdana" w:cs="Century Gothic"/>
        </w:rPr>
        <w:t>De acuerdo con el contenido de su solicitud, esta Agencia resolverá los siguientes problemas jurídicos:</w:t>
      </w:r>
      <w:r w:rsidRPr="00DB6C5D">
        <w:rPr>
          <w:rFonts w:ascii="Verdana" w:eastAsia="Calibri" w:hAnsi="Verdana" w:cs="Times New Roman"/>
          <w:iCs/>
        </w:rPr>
        <w:t xml:space="preserve"> </w:t>
      </w:r>
      <w:r w:rsidR="003B6B22" w:rsidRPr="00AC3CD0">
        <w:rPr>
          <w:rFonts w:ascii="Verdana" w:eastAsia="Century Gothic" w:hAnsi="Verdana" w:cs="Century Gothic"/>
          <w:color w:val="000000" w:themeColor="text1"/>
        </w:rPr>
        <w:t xml:space="preserve">¿Pueden las Instituciones Educativas </w:t>
      </w:r>
      <w:r w:rsidR="00767E71" w:rsidRPr="00AC3CD0">
        <w:rPr>
          <w:rFonts w:ascii="Verdana" w:eastAsia="Century Gothic" w:hAnsi="Verdana" w:cs="Century Gothic"/>
          <w:color w:val="000000" w:themeColor="text1"/>
        </w:rPr>
        <w:t xml:space="preserve">Oficiales </w:t>
      </w:r>
      <w:r w:rsidR="003B6B22" w:rsidRPr="00AC3CD0">
        <w:rPr>
          <w:rFonts w:ascii="Verdana" w:eastAsia="Century Gothic" w:hAnsi="Verdana" w:cs="Century Gothic"/>
          <w:color w:val="000000" w:themeColor="text1"/>
        </w:rPr>
        <w:t xml:space="preserve">disponer que la información de los procesos de contratación </w:t>
      </w:r>
      <w:r w:rsidR="00AC3CD0" w:rsidRPr="00AC3CD0">
        <w:rPr>
          <w:rFonts w:ascii="Verdana" w:eastAsia="Century Gothic" w:hAnsi="Verdana" w:cs="Century Gothic"/>
          <w:color w:val="000000" w:themeColor="text1"/>
        </w:rPr>
        <w:t xml:space="preserve">con cuantías </w:t>
      </w:r>
      <w:r w:rsidR="003B6B22" w:rsidRPr="00AC3CD0">
        <w:rPr>
          <w:rFonts w:ascii="Verdana" w:eastAsia="Century Gothic" w:hAnsi="Verdana" w:cs="Century Gothic"/>
          <w:color w:val="000000" w:themeColor="text1"/>
        </w:rPr>
        <w:t xml:space="preserve">inferiores a </w:t>
      </w:r>
      <w:r w:rsidR="606BD964" w:rsidRPr="2E7C6A15">
        <w:rPr>
          <w:rFonts w:ascii="Verdana" w:eastAsia="Century Gothic" w:hAnsi="Verdana" w:cs="Century Gothic"/>
          <w:color w:val="000000" w:themeColor="text1"/>
        </w:rPr>
        <w:t>veinte (</w:t>
      </w:r>
      <w:r w:rsidR="003B6B22" w:rsidRPr="00AC3CD0">
        <w:rPr>
          <w:rFonts w:ascii="Verdana" w:eastAsia="Century Gothic" w:hAnsi="Verdana" w:cs="Century Gothic"/>
          <w:color w:val="000000" w:themeColor="text1"/>
        </w:rPr>
        <w:t>20</w:t>
      </w:r>
      <w:r w:rsidR="00D9B3B4" w:rsidRPr="2E7C6A15">
        <w:rPr>
          <w:rFonts w:ascii="Verdana" w:eastAsia="Century Gothic" w:hAnsi="Verdana" w:cs="Century Gothic"/>
          <w:color w:val="000000" w:themeColor="text1"/>
        </w:rPr>
        <w:t>)</w:t>
      </w:r>
      <w:r w:rsidR="003B6B22" w:rsidRPr="00AC3CD0">
        <w:rPr>
          <w:rFonts w:ascii="Verdana" w:eastAsia="Century Gothic" w:hAnsi="Verdana" w:cs="Century Gothic"/>
          <w:color w:val="000000" w:themeColor="text1"/>
        </w:rPr>
        <w:t xml:space="preserve"> SMMLV se publique únicamente en la cartelera institucional, o deben garantizar también su publicación en la página web o sede electrónica, de conformidad con las obligaciones legales de transparencia?</w:t>
      </w:r>
    </w:p>
    <w:p w14:paraId="07A9E633" w14:textId="77777777" w:rsidR="00635A19" w:rsidRPr="00DB6C5D" w:rsidRDefault="00635A19" w:rsidP="00635A19">
      <w:pPr>
        <w:spacing w:after="0" w:line="276" w:lineRule="auto"/>
        <w:jc w:val="both"/>
        <w:rPr>
          <w:rFonts w:ascii="Verdana" w:eastAsia="Verdana" w:hAnsi="Verdana" w:cs="Verdana"/>
        </w:rPr>
      </w:pPr>
    </w:p>
    <w:p w14:paraId="1BF0E15C" w14:textId="77777777" w:rsidR="00635A19" w:rsidRPr="00DB6C5D" w:rsidRDefault="00635A19" w:rsidP="00635A19">
      <w:pPr>
        <w:numPr>
          <w:ilvl w:val="0"/>
          <w:numId w:val="18"/>
        </w:numPr>
        <w:tabs>
          <w:tab w:val="left" w:pos="142"/>
          <w:tab w:val="left" w:pos="284"/>
        </w:tabs>
        <w:spacing w:after="0" w:line="276" w:lineRule="auto"/>
        <w:ind w:left="0" w:firstLine="357"/>
        <w:jc w:val="both"/>
        <w:rPr>
          <w:rFonts w:ascii="Verdana" w:eastAsia="Century Gothic" w:hAnsi="Verdana" w:cs="Century Gothic"/>
          <w:b/>
          <w:bCs/>
        </w:rPr>
      </w:pPr>
      <w:r w:rsidRPr="00DB6C5D">
        <w:rPr>
          <w:rFonts w:ascii="Verdana" w:eastAsia="Century Gothic" w:hAnsi="Verdana" w:cs="Century Gothic"/>
          <w:b/>
          <w:bCs/>
        </w:rPr>
        <w:t xml:space="preserve"> Respuesta: </w:t>
      </w:r>
    </w:p>
    <w:p w14:paraId="03024E0F" w14:textId="77777777" w:rsidR="00635A19" w:rsidRPr="00DB6C5D" w:rsidRDefault="00635A19" w:rsidP="00635A19">
      <w:pPr>
        <w:tabs>
          <w:tab w:val="left" w:pos="142"/>
          <w:tab w:val="left" w:pos="284"/>
        </w:tabs>
        <w:spacing w:after="0" w:line="276" w:lineRule="auto"/>
        <w:ind w:left="357"/>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35A19" w:rsidRPr="00DB6C5D" w14:paraId="4EF7D8D7" w14:textId="77777777" w:rsidTr="00D81038">
        <w:trPr>
          <w:jc w:val="center"/>
        </w:trPr>
        <w:tc>
          <w:tcPr>
            <w:tcW w:w="8828" w:type="dxa"/>
          </w:tcPr>
          <w:p w14:paraId="781431DB" w14:textId="7A1135CC" w:rsidR="002069C0" w:rsidRPr="002069C0" w:rsidRDefault="00635A19" w:rsidP="002069C0">
            <w:pPr>
              <w:spacing w:after="120" w:line="276" w:lineRule="auto"/>
              <w:jc w:val="both"/>
              <w:rPr>
                <w:rFonts w:ascii="Verdana" w:hAnsi="Verdana" w:cs="Arial"/>
              </w:rPr>
            </w:pPr>
            <w:bookmarkStart w:id="3" w:name="_Hlk171694685"/>
            <w:r w:rsidRPr="00DB6C5D">
              <w:rPr>
                <w:rFonts w:ascii="Verdana" w:hAnsi="Verdana" w:cs="Arial"/>
              </w:rPr>
              <w:t xml:space="preserve">Para dar respuesta al problema jurídico derivado de su consulta, es pertinente precisar </w:t>
            </w:r>
            <w:r w:rsidR="002069C0" w:rsidRPr="002069C0">
              <w:rPr>
                <w:rFonts w:ascii="Verdana" w:hAnsi="Verdana" w:cs="Arial"/>
              </w:rPr>
              <w:t xml:space="preserve">que el hecho de que las instituciones educativas oficiales adelanten </w:t>
            </w:r>
            <w:r w:rsidR="00AC3CD0">
              <w:rPr>
                <w:rFonts w:ascii="Verdana" w:hAnsi="Verdana" w:cs="Arial"/>
              </w:rPr>
              <w:t>procesos de contratación</w:t>
            </w:r>
            <w:r w:rsidR="002069C0" w:rsidRPr="002069C0">
              <w:rPr>
                <w:rFonts w:ascii="Verdana" w:hAnsi="Verdana" w:cs="Arial"/>
              </w:rPr>
              <w:t xml:space="preserve"> con cargo a los Fondos de Servicios Educativos por cuantía inferior a veinte (20) SMLMV, conforme al reglamento expedido por el Consejo Directivo, no las exime de cumplir los deberes de transparencia y publicidad de la actividad contractual. En efecto, el artículo 9, literal e), de la Ley 1712 de 2014 establece como información mínima obligatoria la relacionada con los contratos, incluidos los celebrados, en ejecución y </w:t>
            </w:r>
            <w:r w:rsidR="002069C0" w:rsidRPr="002069C0">
              <w:rPr>
                <w:rFonts w:ascii="Verdana" w:hAnsi="Verdana" w:cs="Arial"/>
              </w:rPr>
              <w:lastRenderedPageBreak/>
              <w:t>ejecutados, así como las modificaciones, liquidaciones y demás aspectos de la contratación. A su vez, el artículo 10 de la misma ley dispone que, tratándose de contrataciones sometidas al régimen de contratación estatal, cada entidad debe publicar en el medio electrónico institucional sus contrataciones en curso y un vínculo al SECOP o al sistema que haga sus veces, “sin excepción”. Por consiguiente, la publicidad contractual no puede entenderse satisfecha únicamente mediante la fijación de información en la cartelera institucional, pues la ley prevé expresamente un medio electrónico institucional para la publicidad de las contrataciones en curso.</w:t>
            </w:r>
          </w:p>
          <w:p w14:paraId="05416302" w14:textId="46AB0BE5" w:rsidR="002069C0" w:rsidRPr="002069C0" w:rsidRDefault="002069C0" w:rsidP="00307AF4">
            <w:pPr>
              <w:spacing w:after="120" w:line="276" w:lineRule="auto"/>
              <w:ind w:firstLine="709"/>
              <w:jc w:val="both"/>
              <w:rPr>
                <w:rFonts w:ascii="Verdana" w:hAnsi="Verdana" w:cs="Arial"/>
              </w:rPr>
            </w:pPr>
            <w:r w:rsidRPr="002069C0">
              <w:rPr>
                <w:rFonts w:ascii="Verdana" w:hAnsi="Verdana" w:cs="Arial"/>
              </w:rPr>
              <w:t xml:space="preserve">Ahora bien, en lo que respecta a las instituciones educativas oficiales, el artículo 13 de la Ley 715 de 2001 establece que los actos y contratos que deban registrarse en la contabilidad de los Fondos de Servicios Educativos deben celebrarse respetando, entre otros, el principio de publicidad, aplicado de manera razonable a las circunstancias concretas. La misma disposición prevé que los actos y contratos de cuantía superior a veinte (20) SMLMV se rigen por las reglas de la contratación estatal, mientras que, para los contratos inferiores a dicho umbral, el Consejo Directivo puede señalar los trámites, garantías y constancias que deben cumplirse. De esta manera, el umbral de veinte (20) SMLMV determina el procedimiento de contratación aplicable, pero no elimina </w:t>
            </w:r>
            <w:r w:rsidR="00242B11">
              <w:rPr>
                <w:rFonts w:ascii="Verdana" w:hAnsi="Verdana" w:cs="Arial"/>
              </w:rPr>
              <w:t xml:space="preserve">los deberes que rigen a las entidades con regímenes especiales de contratación cuando contratan con recursos </w:t>
            </w:r>
            <w:r w:rsidR="00307AF4">
              <w:rPr>
                <w:rFonts w:ascii="Verdana" w:hAnsi="Verdana" w:cs="Arial"/>
              </w:rPr>
              <w:t>públicos</w:t>
            </w:r>
            <w:r w:rsidR="00242B11">
              <w:rPr>
                <w:rFonts w:ascii="Verdana" w:hAnsi="Verdana" w:cs="Arial"/>
              </w:rPr>
              <w:t>, entre ellos</w:t>
            </w:r>
            <w:r w:rsidRPr="002069C0">
              <w:rPr>
                <w:rFonts w:ascii="Verdana" w:hAnsi="Verdana" w:cs="Arial"/>
              </w:rPr>
              <w:t xml:space="preserve"> el deber de publicidad ni autoriza a la institución a prescindir de los medios electrónicos de divulgación exigidos por la ley.</w:t>
            </w:r>
          </w:p>
          <w:p w14:paraId="3880049E" w14:textId="77777777" w:rsidR="002069C0" w:rsidRPr="002069C0" w:rsidRDefault="002069C0" w:rsidP="00307AF4">
            <w:pPr>
              <w:spacing w:after="120" w:line="276" w:lineRule="auto"/>
              <w:ind w:firstLine="709"/>
              <w:jc w:val="both"/>
              <w:rPr>
                <w:rFonts w:ascii="Verdana" w:hAnsi="Verdana" w:cs="Arial"/>
              </w:rPr>
            </w:pPr>
            <w:r w:rsidRPr="002069C0">
              <w:rPr>
                <w:rFonts w:ascii="Verdana" w:hAnsi="Verdana" w:cs="Arial"/>
              </w:rPr>
              <w:t>En ese sentido, el artículo 13 de la Ley 1150 de 2007, adicionado por el artículo 53 de la Ley 2195 de 2022, dispone que las entidades estatales con régimen contractual excepcional deben publicar los documentos relacionados con su actividad contractual en el SECOP o en la plataforma transaccional que haga sus veces. Esta obligación debe interpretarse de manera armónica con los artículos 9, literal e), y 10 de la Ley 1712 de 2014, de modo que la publicidad de la contratación no se reduzca a la divulgación de información en medios físicos, sino que comprenda también la publicidad electrónica y el acceso a la información contractual a través del SECOP, cuando corresponda.</w:t>
            </w:r>
          </w:p>
          <w:p w14:paraId="6805C3E9" w14:textId="77777777" w:rsidR="002069C0" w:rsidRPr="002069C0" w:rsidRDefault="002069C0" w:rsidP="00307AF4">
            <w:pPr>
              <w:spacing w:after="120" w:line="276" w:lineRule="auto"/>
              <w:ind w:firstLine="709"/>
              <w:jc w:val="both"/>
              <w:rPr>
                <w:rFonts w:ascii="Verdana" w:hAnsi="Verdana" w:cs="Arial"/>
              </w:rPr>
            </w:pPr>
            <w:r w:rsidRPr="002069C0">
              <w:rPr>
                <w:rFonts w:ascii="Verdana" w:hAnsi="Verdana" w:cs="Arial"/>
              </w:rPr>
              <w:t xml:space="preserve">Por tanto, la cartelera institucional no puede considerarse un medio sustitutivo de la publicación electrónica exigida por la Ley 1712 de 2014. Si la institución educativa cuenta con una página web institucional, esta debe </w:t>
            </w:r>
            <w:r w:rsidRPr="002069C0">
              <w:rPr>
                <w:rFonts w:ascii="Verdana" w:hAnsi="Verdana" w:cs="Arial"/>
              </w:rPr>
              <w:lastRenderedPageBreak/>
              <w:t>utilizarse para la publicidad de las contrataciones en curso, en los términos del artículo 10 de dicha ley, sin perjuicio de las demás obligaciones de publicación que resulten aplicables. La cartelera física puede constituir un mecanismo adicional de divulgación, pero no desplaza el deber de publicidad electrónica.</w:t>
            </w:r>
          </w:p>
          <w:p w14:paraId="16B2C7F9" w14:textId="50857B14" w:rsidR="002069C0" w:rsidRPr="002069C0" w:rsidRDefault="002069C0" w:rsidP="00307AF4">
            <w:pPr>
              <w:spacing w:after="120" w:line="276" w:lineRule="auto"/>
              <w:ind w:firstLine="709"/>
              <w:jc w:val="both"/>
              <w:rPr>
                <w:rFonts w:ascii="Verdana" w:hAnsi="Verdana" w:cs="Arial"/>
              </w:rPr>
            </w:pPr>
            <w:r w:rsidRPr="002069C0">
              <w:rPr>
                <w:rFonts w:ascii="Verdana" w:hAnsi="Verdana" w:cs="Arial"/>
              </w:rPr>
              <w:t xml:space="preserve">En consecuencia, frente a la pregunta concreta de si las contrataciones inferiores a veinte (20) SMLMV pueden publicarse únicamente en la cartelera institucional o si también deben publicarse en la página web, la respuesta es que la institución no puede limitarse a la cartelera física cuando existe un deber legal de publicidad electrónica. La cuantía inferior a veinte (20) SMLMV no constituye una excepción a las obligaciones de transparencia y publicidad; por el contrario, el reglamento del Consejo Directivo debe aplicarse de manera compatible con las disposiciones legales </w:t>
            </w:r>
            <w:r w:rsidR="009C1FC9">
              <w:rPr>
                <w:rFonts w:ascii="Verdana" w:hAnsi="Verdana" w:cs="Arial"/>
              </w:rPr>
              <w:t>y reglamentarias</w:t>
            </w:r>
            <w:r w:rsidRPr="002069C0">
              <w:rPr>
                <w:rFonts w:ascii="Verdana" w:hAnsi="Verdana" w:cs="Arial"/>
              </w:rPr>
              <w:t xml:space="preserve"> que imponen la publicidad de la actividad contractual.</w:t>
            </w:r>
          </w:p>
          <w:p w14:paraId="124728E0" w14:textId="13542531" w:rsidR="00635A19" w:rsidRPr="00DB6C5D" w:rsidRDefault="00635A19" w:rsidP="00307AF4">
            <w:pPr>
              <w:spacing w:after="120" w:line="276" w:lineRule="auto"/>
              <w:ind w:firstLine="709"/>
              <w:jc w:val="both"/>
              <w:rPr>
                <w:rFonts w:ascii="Verdana" w:hAnsi="Verdana" w:cs="Arial"/>
              </w:rPr>
            </w:pPr>
            <w:r w:rsidRPr="00DB6C5D">
              <w:rPr>
                <w:rFonts w:ascii="Verdana" w:eastAsia="Verdana" w:hAnsi="Verdana" w:cs="Verdana"/>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sobre las inhabilidades sobrevinientes, sino que brinda elementos de carácter general para que adopten la decisión que corresponda, lo cual es acorde con el principio de juridicidad. Así, cada entidad definirá la forma de adelantar su gestión contractual, sin que sea atribución de Colombia Compra Eficiente validarla.</w:t>
            </w:r>
          </w:p>
        </w:tc>
      </w:tr>
      <w:bookmarkEnd w:id="3"/>
    </w:tbl>
    <w:p w14:paraId="1546842E" w14:textId="77777777" w:rsidR="00635A19" w:rsidRPr="00DB6C5D" w:rsidRDefault="00635A19" w:rsidP="00635A19">
      <w:pPr>
        <w:tabs>
          <w:tab w:val="left" w:pos="142"/>
          <w:tab w:val="left" w:pos="284"/>
        </w:tabs>
        <w:spacing w:after="0" w:line="276" w:lineRule="auto"/>
        <w:ind w:left="360"/>
        <w:jc w:val="both"/>
        <w:rPr>
          <w:rFonts w:ascii="Verdana" w:eastAsia="Century Gothic" w:hAnsi="Verdana" w:cs="Century Gothic"/>
          <w:b/>
          <w:bCs/>
        </w:rPr>
      </w:pPr>
    </w:p>
    <w:p w14:paraId="4D49848B" w14:textId="77777777" w:rsidR="00635A19" w:rsidRPr="00DB6C5D" w:rsidRDefault="00635A19" w:rsidP="00635A19">
      <w:pPr>
        <w:numPr>
          <w:ilvl w:val="0"/>
          <w:numId w:val="18"/>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Razones de la respuesta:</w:t>
      </w:r>
    </w:p>
    <w:p w14:paraId="186EAC4E" w14:textId="77777777" w:rsidR="00635A19" w:rsidRPr="00DB6C5D" w:rsidRDefault="00635A19" w:rsidP="00635A19">
      <w:pPr>
        <w:spacing w:after="0" w:line="276" w:lineRule="auto"/>
        <w:jc w:val="both"/>
        <w:rPr>
          <w:rFonts w:ascii="Verdana" w:eastAsia="Calibri" w:hAnsi="Verdana" w:cs="Arial"/>
        </w:rPr>
      </w:pPr>
    </w:p>
    <w:p w14:paraId="68D4DDB6" w14:textId="77777777" w:rsidR="00635A19" w:rsidRDefault="00635A19" w:rsidP="00635A19">
      <w:pPr>
        <w:spacing w:after="0" w:line="276" w:lineRule="auto"/>
        <w:jc w:val="both"/>
        <w:rPr>
          <w:rFonts w:ascii="Verdana" w:eastAsia="Calibri" w:hAnsi="Verdana" w:cs="Arial"/>
        </w:rPr>
      </w:pPr>
      <w:r w:rsidRPr="00DB6C5D">
        <w:rPr>
          <w:rFonts w:ascii="Verdana" w:eastAsia="Calibri" w:hAnsi="Verdana" w:cs="Arial"/>
        </w:rPr>
        <w:t>Lo anterior se sustenta en las siguientes consideraciones:</w:t>
      </w:r>
      <w:r w:rsidRPr="00DB6C5D">
        <w:rPr>
          <w:rFonts w:ascii="Verdana" w:eastAsia="Century Gothic" w:hAnsi="Verdana" w:cs="Century Gothic"/>
          <w:lang w:eastAsia="es-ES_tradnl"/>
        </w:rPr>
        <w:t xml:space="preserve"> </w:t>
      </w:r>
    </w:p>
    <w:p w14:paraId="494A83DB" w14:textId="77777777" w:rsidR="00635A19" w:rsidRDefault="00635A19" w:rsidP="00635A19">
      <w:pPr>
        <w:spacing w:after="0" w:line="276" w:lineRule="auto"/>
        <w:jc w:val="both"/>
        <w:rPr>
          <w:rFonts w:ascii="Verdana" w:eastAsia="Century Gothic" w:hAnsi="Verdana" w:cs="Century Gothic"/>
          <w:lang w:eastAsia="es-ES_tradnl"/>
        </w:rPr>
      </w:pPr>
    </w:p>
    <w:p w14:paraId="37FA959F" w14:textId="77777777" w:rsidR="00DC41BF" w:rsidRPr="003F20E6" w:rsidRDefault="00DC41BF" w:rsidP="00DC41BF">
      <w:pPr>
        <w:spacing w:after="120" w:line="276" w:lineRule="auto"/>
        <w:jc w:val="both"/>
        <w:rPr>
          <w:rFonts w:ascii="Verdana" w:eastAsia="Times New Roman" w:hAnsi="Verdana" w:cs="Arial"/>
          <w:lang w:val="es-ES" w:eastAsia="es-ES"/>
          <w14:ligatures w14:val="standardContextual"/>
        </w:rPr>
      </w:pPr>
      <w:r w:rsidRPr="003F20E6">
        <w:rPr>
          <w:rFonts w:ascii="Verdana" w:eastAsia="Times New Roman" w:hAnsi="Verdana" w:cs="Arial"/>
          <w:lang w:val="es-ES" w:eastAsia="es-ES"/>
          <w14:ligatures w14:val="standardContextual"/>
        </w:rPr>
        <w:t xml:space="preserve">Uno de los postulados más importantes de un Estado Social y Democrático de Derecho es el principio de </w:t>
      </w:r>
      <w:r w:rsidRPr="003F20E6">
        <w:rPr>
          <w:rFonts w:ascii="Verdana" w:eastAsia="Times New Roman" w:hAnsi="Verdana" w:cs="Arial"/>
          <w:i/>
          <w:iCs/>
          <w:lang w:val="es-ES" w:eastAsia="es-ES"/>
          <w14:ligatures w14:val="standardContextual"/>
        </w:rPr>
        <w:t>publicidad</w:t>
      </w:r>
      <w:r w:rsidRPr="003F20E6">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3F20E6">
        <w:rPr>
          <w:rFonts w:ascii="Verdana" w:eastAsia="Times New Roman" w:hAnsi="Verdana" w:cs="Arial"/>
          <w:vertAlign w:val="superscript"/>
          <w:lang w:val="es-ES" w:eastAsia="es-ES"/>
          <w14:ligatures w14:val="standardContextual"/>
        </w:rPr>
        <w:footnoteReference w:id="1"/>
      </w:r>
      <w:r w:rsidRPr="003F20E6">
        <w:rPr>
          <w:rFonts w:ascii="Verdana" w:eastAsia="Times New Roman" w:hAnsi="Verdana" w:cs="Arial"/>
          <w:lang w:val="es-ES" w:eastAsia="es-ES"/>
          <w14:ligatures w14:val="standardContextual"/>
        </w:rPr>
        <w:t xml:space="preserve">. El secreto generalizado en el ejercicio del poder político </w:t>
      </w:r>
      <w:r w:rsidRPr="003F20E6">
        <w:rPr>
          <w:rFonts w:ascii="Verdana" w:eastAsia="Times New Roman" w:hAnsi="Verdana" w:cs="Arial"/>
          <w:lang w:val="es-ES" w:eastAsia="es-ES"/>
          <w14:ligatures w14:val="standardContextual"/>
        </w:rPr>
        <w:lastRenderedPageBreak/>
        <w:t xml:space="preserve">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234AD86B" w14:textId="77777777" w:rsidR="00DC41BF" w:rsidRPr="003F20E6" w:rsidRDefault="00DC41BF" w:rsidP="00DC41BF">
      <w:pPr>
        <w:spacing w:before="120" w:after="120" w:line="276" w:lineRule="auto"/>
        <w:ind w:firstLine="708"/>
        <w:jc w:val="both"/>
        <w:rPr>
          <w:rFonts w:ascii="Verdana" w:eastAsia="Times New Roman" w:hAnsi="Verdana" w:cs="Arial"/>
          <w:lang w:val="es-ES" w:eastAsia="es-ES"/>
          <w14:ligatures w14:val="standardContextual"/>
        </w:rPr>
      </w:pPr>
      <w:r w:rsidRPr="003F20E6">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095D4AAE" w14:textId="77777777" w:rsidR="00DC41BF" w:rsidRPr="003F20E6" w:rsidRDefault="00DC41BF" w:rsidP="00DC41BF">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w:t>
      </w:r>
      <w:r>
        <w:rPr>
          <w:rFonts w:ascii="Verdana" w:eastAsia="Times New Roman" w:hAnsi="Verdana" w:cs="Arial"/>
          <w:lang w:val="es-ES_tradnl" w:eastAsia="es-ES_tradnl"/>
          <w14:ligatures w14:val="standardContextual"/>
        </w:rPr>
        <w:t>,</w:t>
      </w:r>
      <w:r w:rsidRPr="003F20E6">
        <w:rPr>
          <w:rFonts w:ascii="Verdana" w:eastAsia="Times New Roman" w:hAnsi="Verdana" w:cs="Arial"/>
          <w:lang w:val="es-ES_tradnl" w:eastAsia="es-ES_tradnl"/>
          <w14:ligatures w14:val="standardContextual"/>
        </w:rPr>
        <w:t xml:space="preserve"> para que se divulguen y eventualmente se controlen. </w:t>
      </w:r>
      <w:r>
        <w:rPr>
          <w:rFonts w:ascii="Verdana" w:eastAsia="Times New Roman" w:hAnsi="Verdana" w:cs="Arial"/>
          <w:lang w:val="es-ES_tradnl" w:eastAsia="es-ES_tradnl"/>
          <w14:ligatures w14:val="standardContextual"/>
        </w:rPr>
        <w:t>En sintonía con este postulado</w:t>
      </w:r>
      <w:r w:rsidRPr="003F20E6">
        <w:rPr>
          <w:rFonts w:ascii="Verdana" w:eastAsia="Times New Roman" w:hAnsi="Verdana" w:cs="Arial"/>
          <w:lang w:val="es-ES_tradnl" w:eastAsia="es-ES_tradnl"/>
          <w14:ligatures w14:val="standardContextual"/>
        </w:rPr>
        <w:t>,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3F20E6">
        <w:rPr>
          <w:rFonts w:ascii="Verdana" w:eastAsia="Times New Roman" w:hAnsi="Verdana" w:cs="Arial"/>
          <w:vertAlign w:val="superscript"/>
          <w:lang w:val="es-ES_tradnl" w:eastAsia="es-ES_tradnl"/>
          <w14:ligatures w14:val="standardContextual"/>
        </w:rPr>
        <w:footnoteReference w:id="2"/>
      </w:r>
      <w:r w:rsidRPr="003F20E6">
        <w:rPr>
          <w:rFonts w:ascii="Verdana" w:eastAsia="Times New Roman" w:hAnsi="Verdana" w:cs="Arial"/>
          <w:lang w:val="es-ES_tradnl" w:eastAsia="es-ES_tradnl"/>
          <w14:ligatures w14:val="standardContextual"/>
        </w:rPr>
        <w:t>.</w:t>
      </w:r>
    </w:p>
    <w:p w14:paraId="5B06A577" w14:textId="77777777" w:rsidR="00DC41BF" w:rsidRPr="003F20E6" w:rsidRDefault="00DC41BF" w:rsidP="00DC41BF">
      <w:pPr>
        <w:spacing w:before="120" w:after="120" w:line="276" w:lineRule="auto"/>
        <w:ind w:firstLine="709"/>
        <w:jc w:val="both"/>
        <w:rPr>
          <w:rFonts w:ascii="Verdana" w:eastAsia="Times New Roman" w:hAnsi="Verdana" w:cs="Arial"/>
          <w:lang w:val="es-ES" w:eastAsia="es-ES"/>
          <w14:ligatures w14:val="standardContextual"/>
        </w:rPr>
      </w:pPr>
      <w:r w:rsidRPr="49A0212A">
        <w:rPr>
          <w:rFonts w:ascii="Verdana" w:eastAsia="Times New Roman" w:hAnsi="Verdana" w:cs="Arial"/>
          <w:lang w:val="es-ES" w:eastAsia="es-ES"/>
          <w14:ligatures w14:val="standardContextual"/>
        </w:rPr>
        <w:t xml:space="preserve">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w:t>
      </w:r>
      <w:r w:rsidRPr="49A0212A">
        <w:rPr>
          <w:rFonts w:ascii="Verdana" w:eastAsia="Times New Roman" w:hAnsi="Verdana" w:cs="Arial"/>
          <w:lang w:val="es-ES" w:eastAsia="es-ES"/>
          <w14:ligatures w14:val="standardContextual"/>
        </w:rPr>
        <w:lastRenderedPageBreak/>
        <w:t>posesión, bajo control o custodia de un sujeto obligado es pública y no podrá ser reservada o limitada sino por disposición constitucional o legal”</w:t>
      </w:r>
      <w:r w:rsidRPr="49A0212A">
        <w:rPr>
          <w:rFonts w:ascii="Verdana" w:eastAsia="Times New Roman" w:hAnsi="Verdana" w:cs="Arial"/>
          <w:vertAlign w:val="superscript"/>
          <w:lang w:val="es-ES" w:eastAsia="es-ES"/>
          <w14:ligatures w14:val="standardContextual"/>
        </w:rPr>
        <w:footnoteReference w:id="3"/>
      </w:r>
      <w:r w:rsidRPr="49A0212A">
        <w:rPr>
          <w:rFonts w:ascii="Verdana" w:eastAsia="Times New Roman" w:hAnsi="Verdana" w:cs="Arial"/>
          <w:lang w:val="es-ES" w:eastAsia="es-ES"/>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29069F2C" w14:textId="77777777" w:rsidR="00DC41BF" w:rsidRPr="003F20E6" w:rsidRDefault="00DC41BF" w:rsidP="00DC41BF">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 xml:space="preserve"> La Ley Estatutaria citada establece, en el literal e) del artículo 9, que los sujetos obligados, que son todas las entidades públicas</w:t>
      </w:r>
      <w:r w:rsidRPr="003F20E6">
        <w:rPr>
          <w:rFonts w:ascii="Verdana" w:eastAsia="Times New Roman" w:hAnsi="Verdana" w:cs="Arial"/>
          <w:vertAlign w:val="superscript"/>
          <w:lang w:val="es-ES_tradnl" w:eastAsia="es-ES_tradnl"/>
          <w14:ligatures w14:val="standardContextual"/>
        </w:rPr>
        <w:footnoteReference w:id="4"/>
      </w:r>
      <w:r w:rsidRPr="003F20E6">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3F20E6">
        <w:rPr>
          <w:rFonts w:ascii="Verdana" w:eastAsia="Times New Roman" w:hAnsi="Verdana" w:cs="Arial"/>
          <w:vertAlign w:val="superscript"/>
          <w:lang w:val="es-ES_tradnl" w:eastAsia="es-ES_tradnl"/>
          <w14:ligatures w14:val="standardContextual"/>
        </w:rPr>
        <w:footnoteReference w:id="5"/>
      </w:r>
      <w:r w:rsidRPr="003F20E6">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p>
    <w:p w14:paraId="7E1525C2" w14:textId="77777777" w:rsidR="00DC41BF" w:rsidRPr="003F20E6" w:rsidRDefault="00DC41BF" w:rsidP="00DC41BF">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0C568E52" w14:textId="77777777" w:rsidR="00DC41BF" w:rsidRPr="003F20E6" w:rsidRDefault="00DC41BF" w:rsidP="00DC41BF">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3F20E6">
        <w:rPr>
          <w:rFonts w:ascii="Verdana" w:eastAsia="Times New Roman" w:hAnsi="Verdana" w:cs="Arial"/>
          <w:vertAlign w:val="superscript"/>
          <w:lang w:val="es-ES_tradnl" w:eastAsia="es-ES_tradnl"/>
          <w14:ligatures w14:val="standardContextual"/>
        </w:rPr>
        <w:footnoteReference w:id="6"/>
      </w:r>
      <w:r w:rsidRPr="003F20E6">
        <w:rPr>
          <w:rFonts w:ascii="Verdana" w:eastAsia="Times New Roman" w:hAnsi="Verdana" w:cs="Arial"/>
          <w:lang w:val="es-ES_tradnl" w:eastAsia="es-ES_tradnl"/>
          <w14:ligatures w14:val="standardContextual"/>
        </w:rPr>
        <w:t xml:space="preserve">. En ese contexto, las Entidades Estatales, conforme al artículo 2.2.1.1.1.7.1 del Decreto 1082 de 2015, tienen la obligación de publicar en el SECOP “[…] los Documentos del Proceso y los actos </w:t>
      </w:r>
      <w:r w:rsidRPr="003F20E6">
        <w:rPr>
          <w:rFonts w:ascii="Verdana" w:eastAsia="Times New Roman" w:hAnsi="Verdana" w:cs="Arial"/>
          <w:lang w:val="es-ES_tradnl" w:eastAsia="es-ES_tradnl"/>
          <w14:ligatures w14:val="standardContextual"/>
        </w:rPr>
        <w:lastRenderedPageBreak/>
        <w:t xml:space="preserve">administrativos del Proceso de Contratación, </w:t>
      </w:r>
      <w:r w:rsidRPr="00E47CAB">
        <w:rPr>
          <w:rFonts w:ascii="Verdana" w:eastAsia="Times New Roman" w:hAnsi="Verdana" w:cs="Arial"/>
          <w:i/>
          <w:iCs/>
          <w:lang w:val="es-ES_tradnl" w:eastAsia="es-ES_tradnl"/>
          <w14:ligatures w14:val="standardContextual"/>
        </w:rPr>
        <w:t>dentro de los tres (3) días siguientes a su expedición</w:t>
      </w:r>
      <w:r w:rsidRPr="003F20E6">
        <w:rPr>
          <w:rFonts w:ascii="Verdana" w:eastAsia="Times New Roman" w:hAnsi="Verdana" w:cs="Arial"/>
          <w:lang w:val="es-ES_tradnl" w:eastAsia="es-ES_tradnl"/>
          <w14:ligatures w14:val="standardContextual"/>
        </w:rPr>
        <w:t xml:space="preserve"> […]”</w:t>
      </w:r>
      <w:r>
        <w:rPr>
          <w:rFonts w:ascii="Verdana" w:eastAsia="Times New Roman" w:hAnsi="Verdana" w:cs="Arial"/>
          <w:lang w:val="es-ES_tradnl" w:eastAsia="es-ES_tradnl"/>
          <w14:ligatures w14:val="standardContextual"/>
        </w:rPr>
        <w:t xml:space="preserve"> (Énfasis fuera del texto original)</w:t>
      </w:r>
      <w:r w:rsidRPr="003F20E6">
        <w:rPr>
          <w:rFonts w:ascii="Verdana" w:eastAsia="Times New Roman" w:hAnsi="Verdana" w:cs="Arial"/>
          <w:lang w:val="es-ES_tradnl" w:eastAsia="es-ES_tradnl"/>
          <w14:ligatures w14:val="standardContextual"/>
        </w:rPr>
        <w:t>.</w:t>
      </w:r>
    </w:p>
    <w:p w14:paraId="6F9EA997" w14:textId="77777777" w:rsidR="00DC41BF" w:rsidRPr="003F20E6" w:rsidRDefault="00DC41BF" w:rsidP="00DC41BF">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La expresión </w:t>
      </w:r>
      <w:r w:rsidRPr="003F20E6">
        <w:rPr>
          <w:rFonts w:ascii="Verdana" w:hAnsi="Verdana" w:cs="Arial"/>
          <w:i/>
          <w:iCs/>
          <w:shd w:val="clear" w:color="auto" w:fill="FFFFFF"/>
        </w:rPr>
        <w:t xml:space="preserve">Documentos del Proceso </w:t>
      </w:r>
      <w:r w:rsidRPr="003F20E6">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3F20E6">
        <w:rPr>
          <w:rFonts w:ascii="Verdana" w:hAnsi="Verdana" w:cs="Arial"/>
          <w:i/>
          <w:iCs/>
          <w:shd w:val="clear" w:color="auto" w:fill="FFFFFF"/>
        </w:rPr>
        <w:t>y cualquier otro documento expedido por la Entidad Estatal durante el Proceso de Contratación</w:t>
      </w:r>
      <w:r w:rsidRPr="003F20E6">
        <w:rPr>
          <w:rFonts w:ascii="Verdana" w:hAnsi="Verdana" w:cs="Arial"/>
          <w:shd w:val="clear" w:color="auto" w:fill="FFFFFF"/>
        </w:rPr>
        <w:t xml:space="preserve">”. </w:t>
      </w:r>
      <w:r>
        <w:rPr>
          <w:rFonts w:ascii="Verdana" w:hAnsi="Verdana" w:cs="Arial"/>
          <w:shd w:val="clear" w:color="auto" w:fill="FFFFFF"/>
        </w:rPr>
        <w:t>(</w:t>
      </w:r>
      <w:r w:rsidRPr="003F20E6">
        <w:rPr>
          <w:rFonts w:ascii="Verdana" w:hAnsi="Verdana" w:cs="Arial"/>
          <w:shd w:val="clear" w:color="auto" w:fill="FFFFFF"/>
        </w:rPr>
        <w:t>Énfasis fuera de texto</w:t>
      </w:r>
      <w:r>
        <w:rPr>
          <w:rFonts w:ascii="Verdana" w:hAnsi="Verdana" w:cs="Arial"/>
          <w:shd w:val="clear" w:color="auto" w:fill="FFFFFF"/>
        </w:rPr>
        <w:t>).</w:t>
      </w:r>
    </w:p>
    <w:p w14:paraId="34DD02D6" w14:textId="77777777" w:rsidR="00DC41BF" w:rsidRPr="003F20E6" w:rsidRDefault="00DC41BF" w:rsidP="00DC41BF">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3F20E6">
        <w:rPr>
          <w:rFonts w:ascii="Verdana" w:hAnsi="Verdana" w:cs="Arial"/>
          <w:i/>
          <w:iCs/>
          <w:shd w:val="clear" w:color="auto" w:fill="FFFFFF"/>
        </w:rPr>
        <w:t>Ibidem</w:t>
      </w:r>
      <w:r w:rsidRPr="003F20E6">
        <w:rPr>
          <w:rFonts w:ascii="Verdana" w:hAnsi="Verdana" w:cs="Arial"/>
          <w:shd w:val="clear" w:color="auto" w:fill="FFFFFF"/>
        </w:rPr>
        <w:t xml:space="preserve"> recoge en la noción de Documentos del Proceso “cualquier otro documento expedido por la Entidad Estatal durante el Proceso de Contratación”. </w:t>
      </w:r>
    </w:p>
    <w:p w14:paraId="1DC2A4AF" w14:textId="77777777" w:rsidR="00DC41BF" w:rsidRPr="003F20E6" w:rsidRDefault="00DC41BF" w:rsidP="00DC41BF">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4F34985A" w14:textId="77777777" w:rsidR="00DC41BF" w:rsidRPr="003F20E6" w:rsidRDefault="00DC41BF" w:rsidP="00DC41BF">
      <w:pPr>
        <w:tabs>
          <w:tab w:val="left" w:pos="709"/>
        </w:tabs>
        <w:spacing w:before="120" w:after="120" w:line="276" w:lineRule="auto"/>
        <w:ind w:firstLine="709"/>
        <w:jc w:val="both"/>
        <w:rPr>
          <w:rFonts w:ascii="Verdana" w:hAnsi="Verdana" w:cs="Arial"/>
          <w:shd w:val="clear" w:color="auto" w:fill="FFFFFF"/>
        </w:rPr>
      </w:pPr>
      <w:r w:rsidRPr="003F20E6">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w:t>
      </w:r>
      <w:r>
        <w:rPr>
          <w:rFonts w:ascii="Verdana" w:hAnsi="Verdana" w:cs="Arial"/>
          <w:shd w:val="clear" w:color="auto" w:fill="FFFFFF"/>
        </w:rPr>
        <w:t>,</w:t>
      </w:r>
      <w:r w:rsidRPr="003F20E6">
        <w:rPr>
          <w:rFonts w:ascii="Verdana" w:hAnsi="Verdana" w:cs="Arial"/>
          <w:shd w:val="clear" w:color="auto" w:fill="FFFFFF"/>
        </w:rPr>
        <w:t xml:space="preserve"> que todos los documentos expedidos por la entidad durante las etapas precontractual, de ejecución y </w:t>
      </w:r>
      <w:proofErr w:type="spellStart"/>
      <w:r w:rsidRPr="003F20E6">
        <w:rPr>
          <w:rFonts w:ascii="Verdana" w:hAnsi="Verdana" w:cs="Arial"/>
          <w:shd w:val="clear" w:color="auto" w:fill="FFFFFF"/>
        </w:rPr>
        <w:t>postcontractual</w:t>
      </w:r>
      <w:proofErr w:type="spellEnd"/>
      <w:r w:rsidRPr="003F20E6">
        <w:rPr>
          <w:rFonts w:ascii="Verdana" w:hAnsi="Verdana" w:cs="Arial"/>
          <w:shd w:val="clear" w:color="auto" w:fill="FFFFFF"/>
        </w:rPr>
        <w:t xml:space="preserve"> deberán publicarse en SECOP dentro de los tres (3) días siguientes a su expedición, para cumplir el deber de publicidad regulado por el artículo 2.2.1.1.1.7.1. del Decreto 1082 de 2015.</w:t>
      </w:r>
    </w:p>
    <w:p w14:paraId="7EC4A28C" w14:textId="703D6FB8" w:rsidR="00DC41BF" w:rsidRPr="002521A9" w:rsidRDefault="00DC41BF" w:rsidP="002521A9">
      <w:pPr>
        <w:tabs>
          <w:tab w:val="left" w:pos="709"/>
        </w:tabs>
        <w:spacing w:before="120" w:after="0" w:line="276" w:lineRule="auto"/>
        <w:ind w:firstLine="709"/>
        <w:jc w:val="both"/>
        <w:rPr>
          <w:rFonts w:ascii="Verdana" w:hAnsi="Verdana" w:cs="Arial"/>
          <w:shd w:val="clear" w:color="auto" w:fill="FFFFFF"/>
        </w:rPr>
      </w:pPr>
      <w:r w:rsidRPr="00F86EF5">
        <w:rPr>
          <w:rFonts w:ascii="Verdana" w:eastAsia="Calibri" w:hAnsi="Verdana" w:cs="Arial"/>
          <w:lang w:eastAsia="es-ES_tradnl"/>
        </w:rPr>
        <w:lastRenderedPageBreak/>
        <w:t>En el marco del principio de publicidad de las actuaciones del Estado, se han establecido</w:t>
      </w:r>
      <w:r w:rsidRPr="003F20E6">
        <w:rPr>
          <w:rFonts w:ascii="Verdana" w:hAnsi="Verdana" w:cs="Arial"/>
          <w:lang w:val="es-ES"/>
        </w:rPr>
        <w:t xml:space="preserve"> estrategias mediante leyes y reglamentos que buscan fortalecer la transparencia y la lucha contra la corrupción. En esta línea, la </w:t>
      </w:r>
      <w:r w:rsidRPr="003F20E6">
        <w:rPr>
          <w:rFonts w:ascii="Verdana" w:eastAsia="Calibri" w:hAnsi="Verdana" w:cs="Arial"/>
          <w:lang w:eastAsia="es-ES_tradnl"/>
        </w:rPr>
        <w:t>Ley 1474 de 2011, “Por</w:t>
      </w:r>
      <w:r w:rsidRPr="003F20E6">
        <w:rPr>
          <w:rFonts w:ascii="Verdana" w:eastAsia="Calibri" w:hAnsi="Verdana" w:cs="Arial"/>
          <w:i/>
          <w:iCs/>
          <w:lang w:eastAsia="es-ES_tradnl"/>
        </w:rPr>
        <w:t xml:space="preserve"> la cual se dictan normas orientadas a fortalecer los mecanismos de prevención, investigación y sanción de actos de corrupción y la efectividad del control de la gestión pública”</w:t>
      </w:r>
      <w:r w:rsidRPr="003F20E6">
        <w:rPr>
          <w:rFonts w:ascii="Verdana" w:eastAsia="Calibri" w:hAnsi="Verdana" w:cs="Arial"/>
          <w:lang w:eastAsia="es-ES_tradnl"/>
        </w:rPr>
        <w:t xml:space="preserve">, y otras normativas afines, tales como la Ley 1712 de 2014 y la Ley 2195 de 2022, </w:t>
      </w:r>
      <w:r>
        <w:rPr>
          <w:rFonts w:ascii="Verdana" w:eastAsia="Calibri" w:hAnsi="Verdana" w:cs="Arial"/>
          <w:lang w:eastAsia="es-ES_tradnl"/>
        </w:rPr>
        <w:t>tienen como fin</w:t>
      </w:r>
      <w:r w:rsidRPr="003F20E6">
        <w:rPr>
          <w:rFonts w:ascii="Verdana" w:eastAsia="Calibri" w:hAnsi="Verdana" w:cs="Arial"/>
          <w:lang w:eastAsia="es-ES_tradnl"/>
        </w:rPr>
        <w:t xml:space="preserve"> institu</w:t>
      </w:r>
      <w:r>
        <w:rPr>
          <w:rFonts w:ascii="Verdana" w:eastAsia="Calibri" w:hAnsi="Verdana" w:cs="Arial"/>
          <w:lang w:eastAsia="es-ES_tradnl"/>
        </w:rPr>
        <w:t>ir</w:t>
      </w:r>
      <w:r w:rsidRPr="003F20E6">
        <w:rPr>
          <w:rFonts w:ascii="Verdana" w:eastAsia="Calibri" w:hAnsi="Verdana" w:cs="Arial"/>
          <w:lang w:eastAsia="es-ES_tradnl"/>
        </w:rPr>
        <w:t xml:space="preserve"> principios y reglas destinadas a asegurar la transparencia y facilitar el acceso a la información pública. </w:t>
      </w:r>
    </w:p>
    <w:p w14:paraId="589CD98E" w14:textId="77777777" w:rsidR="00DC41BF" w:rsidRDefault="00DC41BF" w:rsidP="00DC41BF">
      <w:pPr>
        <w:spacing w:after="120" w:line="276" w:lineRule="auto"/>
        <w:ind w:firstLine="708"/>
        <w:jc w:val="both"/>
        <w:rPr>
          <w:rFonts w:ascii="Verdana" w:eastAsia="Calibri" w:hAnsi="Verdana" w:cs="Arial"/>
          <w:lang w:eastAsia="es-ES_tradnl"/>
        </w:rPr>
      </w:pPr>
      <w:r w:rsidRPr="003F20E6">
        <w:rPr>
          <w:rFonts w:ascii="Verdana" w:eastAsia="Calibri" w:hAnsi="Verdana" w:cs="Arial"/>
          <w:lang w:eastAsia="es-ES_tradnl"/>
        </w:rPr>
        <w:t>En esa misma perspectiva, el Gobierno Nacional fundamentado en el artículo 200 de la Ley 2294 de 2023</w:t>
      </w:r>
      <w:r>
        <w:rPr>
          <w:rStyle w:val="Refdenotaalpie"/>
          <w:rFonts w:ascii="Verdana" w:eastAsia="Calibri" w:hAnsi="Verdana" w:cs="Arial"/>
          <w:lang w:eastAsia="es-ES_tradnl"/>
        </w:rPr>
        <w:footnoteReference w:id="7"/>
      </w:r>
      <w:r w:rsidRPr="003F20E6">
        <w:rPr>
          <w:rFonts w:ascii="Verdana" w:eastAsia="Calibri" w:hAnsi="Verdana" w:cs="Arial"/>
          <w:lang w:eastAsia="es-ES_tradnl"/>
        </w:rPr>
        <w:t>, ”</w:t>
      </w:r>
      <w:r w:rsidRPr="003F20E6">
        <w:rPr>
          <w:rFonts w:ascii="Verdana" w:eastAsia="Calibri" w:hAnsi="Verdana" w:cs="Arial"/>
          <w:i/>
          <w:iCs/>
          <w:lang w:eastAsia="es-ES_tradnl"/>
        </w:rPr>
        <w:t>Por la cual se expidió el Plan Nacional de Desarrollo ‘Colombia Potencia Mundial de la Vida’”</w:t>
      </w:r>
      <w:r w:rsidRPr="003F20E6">
        <w:rPr>
          <w:rFonts w:ascii="Verdana" w:eastAsia="Calibri" w:hAnsi="Verdana" w:cs="Arial"/>
          <w:lang w:eastAsia="es-ES_tradnl"/>
        </w:rPr>
        <w:t>, estableció el deber de formular una Estrategia Nacional de Lucha contra la Corrupción</w:t>
      </w:r>
      <w:r w:rsidRPr="003F20E6">
        <w:rPr>
          <w:rFonts w:ascii="Verdana" w:eastAsia="Calibri" w:hAnsi="Verdana" w:cs="Arial"/>
          <w:iCs/>
          <w:lang w:eastAsia="es-ES_tradnl"/>
        </w:rPr>
        <w:t xml:space="preserve">, con el fin de fortalecer las instituciones democráticas y el Estado Social de Derecho, la protección de los derechos humanos, los recursos públicos, así como generar </w:t>
      </w:r>
      <w:r w:rsidRPr="003F20E6">
        <w:rPr>
          <w:rFonts w:ascii="Verdana" w:eastAsia="Calibri" w:hAnsi="Verdana" w:cs="Arial"/>
          <w:iCs/>
          <w:lang w:eastAsia="es-ES_tradnl"/>
        </w:rPr>
        <w:lastRenderedPageBreak/>
        <w:t>condiciones adecuadas para el desarrollo socioeconómico y el cuidado del medio ambiente</w:t>
      </w:r>
      <w:r w:rsidRPr="003F20E6">
        <w:rPr>
          <w:rFonts w:ascii="Verdana" w:eastAsia="Calibri" w:hAnsi="Verdana" w:cs="Arial"/>
          <w:lang w:eastAsia="es-ES_tradnl"/>
        </w:rPr>
        <w:t xml:space="preserve">. </w:t>
      </w:r>
    </w:p>
    <w:p w14:paraId="145310CD" w14:textId="77777777" w:rsidR="00DC41BF" w:rsidRPr="003F20E6" w:rsidRDefault="00DC41BF" w:rsidP="00DC41BF">
      <w:pPr>
        <w:spacing w:after="120" w:line="276" w:lineRule="auto"/>
        <w:ind w:firstLine="708"/>
        <w:jc w:val="both"/>
        <w:rPr>
          <w:rFonts w:ascii="Verdana" w:eastAsia="Calibri" w:hAnsi="Verdana" w:cs="Arial"/>
          <w:lang w:eastAsia="es-ES_tradnl"/>
        </w:rPr>
      </w:pPr>
      <w:r w:rsidRPr="003F20E6">
        <w:rPr>
          <w:rFonts w:ascii="Verdana" w:eastAsia="Calibri" w:hAnsi="Verdana" w:cs="Arial"/>
          <w:lang w:eastAsia="es-ES_tradnl"/>
        </w:rPr>
        <w:t xml:space="preserve">De este modo, la estrategia de la lucha contra la corrupción incluye las dimensiones de la garantía de los derechos humanos, la protección al denunciante, </w:t>
      </w:r>
      <w:r w:rsidRPr="00E47CAB">
        <w:rPr>
          <w:rFonts w:ascii="Verdana" w:eastAsia="Calibri" w:hAnsi="Verdana" w:cs="Arial"/>
          <w:i/>
          <w:iCs/>
          <w:lang w:eastAsia="es-ES_tradnl"/>
        </w:rPr>
        <w:t>el derecho de acceso a la información pública</w:t>
      </w:r>
      <w:r w:rsidRPr="003F20E6">
        <w:rPr>
          <w:rFonts w:ascii="Verdana" w:eastAsia="Calibri" w:hAnsi="Verdana" w:cs="Arial"/>
          <w:lang w:eastAsia="es-ES_tradnl"/>
        </w:rPr>
        <w:t xml:space="preserve">, el fortalecimiento de la veeduría ciudadana, la </w:t>
      </w:r>
      <w:r w:rsidRPr="00E47CAB">
        <w:rPr>
          <w:rFonts w:ascii="Verdana" w:eastAsia="Calibri" w:hAnsi="Verdana" w:cs="Arial"/>
          <w:i/>
          <w:iCs/>
          <w:lang w:eastAsia="es-ES_tradnl"/>
        </w:rPr>
        <w:t>transparencia en la contratación y gestión pública</w:t>
      </w:r>
      <w:r w:rsidRPr="003F20E6">
        <w:rPr>
          <w:rFonts w:ascii="Verdana" w:eastAsia="Calibri" w:hAnsi="Verdana" w:cs="Arial"/>
          <w:lang w:eastAsia="es-ES_tradnl"/>
        </w:rPr>
        <w:t>, la innovación pública y la prevención, detección, gestión y sanción de riesgos y hechos de corrupción. </w:t>
      </w:r>
    </w:p>
    <w:p w14:paraId="51B857BF" w14:textId="77777777" w:rsidR="00DC41BF" w:rsidRPr="003F20E6" w:rsidRDefault="00DC41BF" w:rsidP="00DC41BF">
      <w:pPr>
        <w:spacing w:after="120" w:line="276" w:lineRule="auto"/>
        <w:ind w:firstLine="708"/>
        <w:jc w:val="both"/>
        <w:rPr>
          <w:rFonts w:ascii="Verdana" w:eastAsia="Calibri" w:hAnsi="Verdana" w:cs="Arial"/>
          <w:bCs/>
          <w:lang w:eastAsia="es-ES_tradnl"/>
        </w:rPr>
      </w:pPr>
      <w:r w:rsidRPr="003F20E6">
        <w:rPr>
          <w:rFonts w:ascii="Verdana" w:eastAsia="Calibri" w:hAnsi="Verdana" w:cs="Arial"/>
          <w:bCs/>
          <w:lang w:eastAsia="es-ES_tradnl"/>
        </w:rPr>
        <w:t xml:space="preserve">En la búsqueda de fortalecer una estrategia de lucha contra la corrupción se expidió el Decreto 1600 de 2024, “Por el cual se modifica el Capítulo 1 y 3 del Título 4 de la Parte 1 del Libro 2 del Decreto número 1081 de 2015, Decreto Reglamentario Único del Sector Presidencia de la República, en lo relacionado con las Subcomisiones Técnicas de la Comisión Nacional de Moralización y la Estrategia Nacional de Lucha Contra la Corrupción”. </w:t>
      </w:r>
    </w:p>
    <w:p w14:paraId="280B1AF9" w14:textId="77777777" w:rsidR="00DC41BF" w:rsidRPr="003F20E6" w:rsidRDefault="00DC41BF" w:rsidP="00DC41BF">
      <w:pPr>
        <w:spacing w:after="120" w:line="276" w:lineRule="auto"/>
        <w:ind w:firstLine="708"/>
        <w:jc w:val="both"/>
        <w:rPr>
          <w:rFonts w:ascii="Verdana" w:eastAsia="Calibri" w:hAnsi="Verdana" w:cs="Arial"/>
          <w:bCs/>
          <w:iCs/>
          <w:lang w:eastAsia="es-ES_tradnl"/>
        </w:rPr>
      </w:pPr>
      <w:r w:rsidRPr="003F20E6">
        <w:rPr>
          <w:rFonts w:ascii="Verdana" w:eastAsia="Calibri" w:hAnsi="Verdana" w:cs="Arial"/>
          <w:bCs/>
          <w:lang w:eastAsia="es-ES_tradnl"/>
        </w:rPr>
        <w:t>El Capítulo 3°, Sección 1°, Título 4°, Parte 1°, Libro 2° del Decreto 1081 de 2015</w:t>
      </w:r>
      <w:r>
        <w:rPr>
          <w:rFonts w:ascii="Verdana" w:eastAsia="Calibri" w:hAnsi="Verdana" w:cs="Arial"/>
          <w:bCs/>
          <w:lang w:eastAsia="es-ES_tradnl"/>
        </w:rPr>
        <w:t>,</w:t>
      </w:r>
      <w:r w:rsidRPr="003F20E6">
        <w:rPr>
          <w:rFonts w:ascii="Verdana" w:eastAsia="Calibri" w:hAnsi="Verdana" w:cs="Arial"/>
          <w:bCs/>
          <w:lang w:eastAsia="es-ES_tradnl"/>
        </w:rPr>
        <w:t xml:space="preserve"> que fue modificado por el Decreto 1600 de 2024</w:t>
      </w:r>
      <w:r>
        <w:rPr>
          <w:rFonts w:ascii="Verdana" w:eastAsia="Calibri" w:hAnsi="Verdana" w:cs="Arial"/>
          <w:bCs/>
          <w:lang w:eastAsia="es-ES_tradnl"/>
        </w:rPr>
        <w:t>,</w:t>
      </w:r>
      <w:r w:rsidRPr="003F20E6">
        <w:rPr>
          <w:rFonts w:ascii="Verdana" w:eastAsia="Calibri" w:hAnsi="Verdana" w:cs="Arial"/>
          <w:bCs/>
          <w:lang w:eastAsia="es-ES_tradnl"/>
        </w:rPr>
        <w:t xml:space="preserve"> tiene como objeto: “[…] </w:t>
      </w:r>
      <w:r w:rsidRPr="003F20E6">
        <w:rPr>
          <w:rFonts w:ascii="Verdana" w:eastAsia="Calibri" w:hAnsi="Verdana" w:cs="Arial"/>
          <w:bCs/>
          <w:iCs/>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52D422FB" w14:textId="0323D37A" w:rsidR="00DC41BF" w:rsidRPr="003F20E6" w:rsidRDefault="005E300A" w:rsidP="00DC41BF">
      <w:pPr>
        <w:spacing w:after="0" w:line="276" w:lineRule="auto"/>
        <w:ind w:firstLine="709"/>
        <w:jc w:val="both"/>
        <w:rPr>
          <w:rFonts w:ascii="Verdana" w:eastAsia="Calibri" w:hAnsi="Verdana" w:cs="Arial"/>
          <w:bCs/>
          <w:iCs/>
          <w:lang w:eastAsia="es-ES_tradnl"/>
        </w:rPr>
      </w:pPr>
      <w:r>
        <w:rPr>
          <w:rFonts w:ascii="Verdana" w:eastAsia="Calibri" w:hAnsi="Verdana" w:cs="Arial"/>
          <w:bCs/>
          <w:iCs/>
          <w:lang w:eastAsia="es-ES_tradnl"/>
        </w:rPr>
        <w:t>El anterior</w:t>
      </w:r>
      <w:r w:rsidR="00DC41BF" w:rsidRPr="003F20E6">
        <w:rPr>
          <w:rFonts w:ascii="Verdana" w:eastAsia="Calibri" w:hAnsi="Verdana" w:cs="Arial"/>
          <w:bCs/>
          <w:iCs/>
          <w:lang w:eastAsia="es-ES_tradnl"/>
        </w:rPr>
        <w:t xml:space="preserve"> capítulo contiene el deber de garantizar el derecho de acceso a la información en las entidades públicas como presupuesto para el ejercicio de los derechos fundamentales, regulado en el artículo 2.1.4.3.2.2. del Decreto 1081 de 2015, cuyo tenor literal prescribe:</w:t>
      </w:r>
    </w:p>
    <w:p w14:paraId="2F4EDF69" w14:textId="77777777" w:rsidR="00DC41BF" w:rsidRPr="003F20E6" w:rsidRDefault="00DC41BF" w:rsidP="00DC41BF">
      <w:pPr>
        <w:spacing w:after="0" w:line="276" w:lineRule="auto"/>
        <w:ind w:firstLine="709"/>
        <w:jc w:val="both"/>
        <w:rPr>
          <w:rFonts w:ascii="Verdana" w:eastAsia="Calibri" w:hAnsi="Verdana" w:cs="Arial"/>
          <w:bCs/>
          <w:iCs/>
          <w:lang w:eastAsia="es-ES_tradnl"/>
        </w:rPr>
      </w:pPr>
      <w:r w:rsidRPr="003F20E6">
        <w:rPr>
          <w:rFonts w:ascii="Verdana" w:eastAsia="Calibri" w:hAnsi="Verdana" w:cs="Arial"/>
          <w:bCs/>
          <w:iCs/>
          <w:lang w:eastAsia="es-ES_tradnl"/>
        </w:rPr>
        <w:t xml:space="preserve"> </w:t>
      </w:r>
    </w:p>
    <w:p w14:paraId="7FDD8C04" w14:textId="77777777" w:rsidR="00DC41BF" w:rsidRDefault="00DC41BF" w:rsidP="00DC41BF">
      <w:pPr>
        <w:spacing w:after="0" w:line="240" w:lineRule="auto"/>
        <w:ind w:left="709" w:right="709"/>
        <w:jc w:val="both"/>
        <w:rPr>
          <w:rFonts w:ascii="Verdana" w:eastAsia="Calibri" w:hAnsi="Verdana" w:cs="Arial"/>
          <w:bCs/>
          <w:sz w:val="20"/>
          <w:szCs w:val="20"/>
          <w:lang w:eastAsia="es-ES_tradnl"/>
        </w:rPr>
      </w:pPr>
      <w:r>
        <w:rPr>
          <w:rFonts w:ascii="Verdana" w:eastAsia="Calibri" w:hAnsi="Verdana" w:cs="Arial"/>
          <w:bCs/>
          <w:iCs/>
          <w:sz w:val="20"/>
          <w:szCs w:val="20"/>
          <w:lang w:eastAsia="es-ES_tradnl"/>
        </w:rPr>
        <w:t>“</w:t>
      </w:r>
      <w:r w:rsidRPr="00E47CAB">
        <w:rPr>
          <w:rFonts w:ascii="Verdana" w:eastAsia="Calibri" w:hAnsi="Verdana" w:cs="Arial"/>
          <w:bCs/>
          <w:iCs/>
          <w:sz w:val="20"/>
          <w:szCs w:val="20"/>
          <w:lang w:eastAsia="es-ES_tradnl"/>
        </w:rPr>
        <w:t xml:space="preserve">Artículo 2.1.4.3.2.2. Garantía de acceso a la información en las entidades públicas, como presupuesto para el ejercicio de derechos fundamentales. Sin perjuicio de sus obligaciones en materia de garantías </w:t>
      </w:r>
      <w:r w:rsidRPr="00E47CAB">
        <w:rPr>
          <w:rFonts w:ascii="Verdana" w:eastAsia="Calibri" w:hAnsi="Verdana" w:cs="Arial"/>
          <w:bCs/>
          <w:iCs/>
          <w:sz w:val="20"/>
          <w:szCs w:val="20"/>
          <w:lang w:eastAsia="es-ES_tradnl"/>
        </w:rPr>
        <w:lastRenderedPageBreak/>
        <w:t>de acceso a la información pública, los sujetos obligados deberán publicar en la sede electrónica o página web: </w:t>
      </w:r>
      <w:r w:rsidRPr="00E47CAB">
        <w:rPr>
          <w:rFonts w:ascii="Verdana" w:eastAsia="Calibri" w:hAnsi="Verdana" w:cs="Arial"/>
          <w:bCs/>
          <w:sz w:val="20"/>
          <w:szCs w:val="20"/>
          <w:lang w:eastAsia="es-ES_tradnl"/>
        </w:rPr>
        <w:t> </w:t>
      </w:r>
    </w:p>
    <w:p w14:paraId="71518397" w14:textId="77777777" w:rsidR="00DC41BF" w:rsidRPr="00E47CAB" w:rsidRDefault="00DC41BF" w:rsidP="00DC41BF">
      <w:pPr>
        <w:spacing w:after="0" w:line="240" w:lineRule="auto"/>
        <w:ind w:left="709" w:right="709"/>
        <w:jc w:val="both"/>
        <w:rPr>
          <w:rFonts w:ascii="Verdana" w:eastAsia="Calibri" w:hAnsi="Verdana" w:cs="Arial"/>
          <w:bCs/>
          <w:sz w:val="20"/>
          <w:szCs w:val="20"/>
          <w:lang w:eastAsia="es-ES_tradnl"/>
        </w:rPr>
      </w:pPr>
    </w:p>
    <w:p w14:paraId="5F3227B9" w14:textId="77777777" w:rsidR="00DC41BF" w:rsidRPr="00E47CAB" w:rsidRDefault="00DC41BF" w:rsidP="00DC41BF">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t>a) Información detallada de todas las auditorías que realicen, incluyendo los resultados, hallazgos y seguimiento a las acciones de mejora; </w:t>
      </w:r>
      <w:r w:rsidRPr="00E47CAB">
        <w:rPr>
          <w:rFonts w:ascii="Verdana" w:eastAsia="Calibri" w:hAnsi="Verdana" w:cs="Arial"/>
          <w:bCs/>
          <w:sz w:val="20"/>
          <w:szCs w:val="20"/>
          <w:lang w:eastAsia="es-ES_tradnl"/>
        </w:rPr>
        <w:t> </w:t>
      </w:r>
    </w:p>
    <w:p w14:paraId="222AC564" w14:textId="77777777" w:rsidR="00DC41BF" w:rsidRDefault="00DC41BF" w:rsidP="00DC41BF">
      <w:pPr>
        <w:spacing w:after="0" w:line="240" w:lineRule="auto"/>
        <w:ind w:left="709" w:right="709"/>
        <w:jc w:val="both"/>
        <w:rPr>
          <w:rFonts w:ascii="Verdana" w:eastAsia="Calibri" w:hAnsi="Verdana" w:cs="Arial"/>
          <w:bCs/>
          <w:i/>
          <w:iCs/>
          <w:sz w:val="20"/>
          <w:szCs w:val="20"/>
          <w:lang w:eastAsia="es-ES_tradnl"/>
        </w:rPr>
      </w:pPr>
    </w:p>
    <w:p w14:paraId="5DE3575B" w14:textId="77777777" w:rsidR="00DC41BF" w:rsidRPr="00E47CAB" w:rsidRDefault="00DC41BF" w:rsidP="00DC41BF">
      <w:pPr>
        <w:spacing w:after="0" w:line="240" w:lineRule="auto"/>
        <w:ind w:left="709" w:right="709"/>
        <w:jc w:val="both"/>
        <w:rPr>
          <w:rFonts w:ascii="Verdana" w:eastAsia="Calibri" w:hAnsi="Verdana" w:cs="Arial"/>
          <w:bCs/>
          <w:i/>
          <w:sz w:val="20"/>
          <w:szCs w:val="20"/>
          <w:lang w:eastAsia="es-ES_tradnl"/>
        </w:rPr>
      </w:pPr>
      <w:r w:rsidRPr="00E47CAB">
        <w:rPr>
          <w:rFonts w:ascii="Verdana" w:eastAsia="Calibri" w:hAnsi="Verdana" w:cs="Arial"/>
          <w:bCs/>
          <w:i/>
          <w:iCs/>
          <w:sz w:val="20"/>
          <w:szCs w:val="20"/>
          <w:lang w:eastAsia="es-ES_tradnl"/>
        </w:rPr>
        <w:t>b) Información detallada de los contratos que suscriban, incluyendo, como mínimo: valor del contrato, objeto contractual, identidad del contratista seleccionado; así como el enlace directo al proceso en el Sistema Electrónico de Contratación Pública (SECOP). 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p>
    <w:p w14:paraId="759B2994" w14:textId="77777777" w:rsidR="00DC41BF" w:rsidRDefault="00DC41BF" w:rsidP="00DC41BF">
      <w:pPr>
        <w:spacing w:after="0" w:line="240" w:lineRule="auto"/>
        <w:ind w:left="709" w:right="709"/>
        <w:jc w:val="both"/>
        <w:rPr>
          <w:rFonts w:ascii="Verdana" w:eastAsia="Calibri" w:hAnsi="Verdana" w:cs="Arial"/>
          <w:bCs/>
          <w:iCs/>
          <w:sz w:val="20"/>
          <w:szCs w:val="20"/>
          <w:lang w:eastAsia="es-ES_tradnl"/>
        </w:rPr>
      </w:pPr>
    </w:p>
    <w:p w14:paraId="5C9705B4" w14:textId="77777777" w:rsidR="00DC41BF" w:rsidRPr="00E47CAB" w:rsidRDefault="00DC41BF" w:rsidP="00DC41BF">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t>La Secretaría de Transparencia de la Presidencia de la República realizará un seguimiento anual, con actualizaciones periódicas y un escalafón de entidades, para medir la garantía de acceso a la información, verificando: la existencia de la información; la publicación gratuita, y oportuna, teniendo en cuenta tiempos de rezago; que la información sea objetiva, veraz, que esté completa y sea reutilizable, procesable y accesible. </w:t>
      </w:r>
      <w:r w:rsidRPr="00E47CAB">
        <w:rPr>
          <w:rFonts w:ascii="Verdana" w:eastAsia="Calibri" w:hAnsi="Verdana" w:cs="Arial"/>
          <w:bCs/>
          <w:sz w:val="20"/>
          <w:szCs w:val="20"/>
          <w:lang w:eastAsia="es-ES_tradnl"/>
        </w:rPr>
        <w:t> </w:t>
      </w:r>
    </w:p>
    <w:p w14:paraId="28C2BCCF" w14:textId="77777777" w:rsidR="00DC41BF" w:rsidRDefault="00DC41BF" w:rsidP="00DC41BF">
      <w:pPr>
        <w:spacing w:after="0" w:line="240" w:lineRule="auto"/>
        <w:ind w:left="709" w:right="709"/>
        <w:jc w:val="both"/>
        <w:rPr>
          <w:rFonts w:ascii="Verdana" w:eastAsia="Calibri" w:hAnsi="Verdana" w:cs="Arial"/>
          <w:bCs/>
          <w:iCs/>
          <w:sz w:val="20"/>
          <w:szCs w:val="20"/>
          <w:lang w:eastAsia="es-ES_tradnl"/>
        </w:rPr>
      </w:pPr>
    </w:p>
    <w:p w14:paraId="51D212B0" w14:textId="77777777" w:rsidR="00DC41BF" w:rsidRPr="00E47CAB" w:rsidRDefault="00DC41BF" w:rsidP="00DC41BF">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t>Parágrafo. Los sujetos obligados deberán incluir en el Índice de Información Reservada y Clasificada todos aquellos actos o contratos a los que asignen tales categorías, incluyendo su individualización, su denominación y el motivo por el cual consideran que se puede negar el acceso</w:t>
      </w:r>
      <w:r>
        <w:rPr>
          <w:rFonts w:ascii="Verdana" w:eastAsia="Calibri" w:hAnsi="Verdana" w:cs="Arial"/>
          <w:bCs/>
          <w:iCs/>
          <w:sz w:val="20"/>
          <w:szCs w:val="20"/>
          <w:lang w:eastAsia="es-ES_tradnl"/>
        </w:rPr>
        <w:t>”</w:t>
      </w:r>
      <w:r w:rsidRPr="00E47CAB">
        <w:rPr>
          <w:rFonts w:ascii="Verdana" w:eastAsia="Calibri" w:hAnsi="Verdana" w:cs="Arial"/>
          <w:bCs/>
          <w:iCs/>
          <w:sz w:val="20"/>
          <w:szCs w:val="20"/>
          <w:lang w:eastAsia="es-ES_tradnl"/>
        </w:rPr>
        <w:t xml:space="preserve"> (</w:t>
      </w:r>
      <w:r w:rsidRPr="00B345BC">
        <w:rPr>
          <w:rFonts w:ascii="Verdana" w:eastAsia="Calibri" w:hAnsi="Verdana" w:cs="Arial"/>
          <w:bCs/>
          <w:iCs/>
          <w:sz w:val="20"/>
          <w:szCs w:val="20"/>
          <w:lang w:eastAsia="es-ES_tradnl"/>
        </w:rPr>
        <w:t xml:space="preserve">Énfasis </w:t>
      </w:r>
      <w:r w:rsidRPr="00E47CAB">
        <w:rPr>
          <w:rFonts w:ascii="Verdana" w:eastAsia="Calibri" w:hAnsi="Verdana" w:cs="Arial"/>
          <w:bCs/>
          <w:iCs/>
          <w:sz w:val="20"/>
          <w:szCs w:val="20"/>
          <w:lang w:eastAsia="es-ES_tradnl"/>
        </w:rPr>
        <w:t>fuera de texto)</w:t>
      </w:r>
      <w:r>
        <w:rPr>
          <w:rFonts w:ascii="Verdana" w:eastAsia="Calibri" w:hAnsi="Verdana" w:cs="Arial"/>
          <w:bCs/>
          <w:iCs/>
          <w:sz w:val="20"/>
          <w:szCs w:val="20"/>
          <w:lang w:eastAsia="es-ES_tradnl"/>
        </w:rPr>
        <w:t xml:space="preserve">. </w:t>
      </w:r>
    </w:p>
    <w:p w14:paraId="0323BA57" w14:textId="77777777" w:rsidR="00DC41BF" w:rsidRPr="003F20E6" w:rsidRDefault="00DC41BF" w:rsidP="00DC41BF">
      <w:pPr>
        <w:spacing w:after="0" w:line="276" w:lineRule="auto"/>
        <w:jc w:val="both"/>
        <w:rPr>
          <w:rFonts w:ascii="Verdana" w:eastAsia="Calibri" w:hAnsi="Verdana" w:cs="Arial"/>
          <w:bCs/>
          <w:lang w:eastAsia="es-ES_tradnl"/>
        </w:rPr>
      </w:pPr>
    </w:p>
    <w:p w14:paraId="0CB04B43" w14:textId="77777777" w:rsidR="00DC41BF" w:rsidRPr="00132477" w:rsidRDefault="00DC41BF" w:rsidP="00DC41BF">
      <w:pPr>
        <w:spacing w:after="120" w:line="276" w:lineRule="auto"/>
        <w:ind w:firstLine="709"/>
        <w:jc w:val="both"/>
        <w:rPr>
          <w:rFonts w:ascii="Verdana" w:eastAsia="Calibri" w:hAnsi="Verdana" w:cs="Arial"/>
          <w:bCs/>
          <w:color w:val="000000" w:themeColor="text1"/>
        </w:rPr>
      </w:pPr>
      <w:r w:rsidRPr="00132477">
        <w:rPr>
          <w:rFonts w:ascii="Verdana" w:eastAsia="Calibri" w:hAnsi="Verdana" w:cs="Arial"/>
          <w:bCs/>
          <w:color w:val="000000" w:themeColor="text1"/>
        </w:rPr>
        <w:t xml:space="preserve">A partir del artículo precitado se resalta que su primer inciso alude al deber de publicación en la página web de los sujetos obligados por dicho Decreto, el cual contiene dos literales: en el literal a) se establece el deber de publicar por parte de las entidades de todas las auditorías que le realicen, en la que se incluyan los resultados, hallazgos y seguimiento a las acciones de mejora; en el literal b se establece dos subreglas. La primera está contenida en un primer aparte que dispone: “Información detallada de los contratos que suscriban, incluyendo, como mínimo: valor del contrato, objeto contractual, identidad del contratista seleccionado; así como el enlace directo al proceso en el Sistema Electrónico de Contratación Pública (SECOP)”, lo cual implica el mandato de publicar en página web por parte de los sujetos obligados de la información detallada de los contratos celebrados, incluyendo su valor, objeto, identidad del contratista seleccionado, así como el enlace en el SECOP. </w:t>
      </w:r>
    </w:p>
    <w:p w14:paraId="624410E6" w14:textId="77777777" w:rsidR="00DC41BF" w:rsidRDefault="00DC41BF" w:rsidP="00DC41BF">
      <w:pPr>
        <w:spacing w:after="120" w:line="276" w:lineRule="auto"/>
        <w:ind w:firstLine="709"/>
        <w:jc w:val="both"/>
        <w:rPr>
          <w:rFonts w:ascii="Verdana" w:eastAsia="Calibri" w:hAnsi="Verdana" w:cs="Arial"/>
          <w:bCs/>
          <w:color w:val="000000" w:themeColor="text1"/>
        </w:rPr>
      </w:pPr>
      <w:r w:rsidRPr="00132477">
        <w:rPr>
          <w:rFonts w:ascii="Verdana" w:eastAsia="Calibri" w:hAnsi="Verdana" w:cs="Arial"/>
          <w:bCs/>
          <w:color w:val="000000" w:themeColor="text1"/>
        </w:rPr>
        <w:lastRenderedPageBreak/>
        <w:t xml:space="preserve">Una segunda subregla que prescribe: “En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 Esta subregla prescribe el deber de publicar la información de ejecución del contrato, es decir, los informes de supervisión e interventoría, actas de liquidación, requerimientos, entre otros. Ahora bien, dicho literal también establece que esta información debe publicarse dentro de los diez (10) días siguientes a la ocurrencia del hecho, y en ningún caso puede haber retraso para el cumplimiento de este término, esto es, establece un límite máximo de publicación para los documentos de ejecución del contrato. </w:t>
      </w:r>
    </w:p>
    <w:p w14:paraId="26D6E80B" w14:textId="2FEEE720" w:rsidR="00F54462" w:rsidRPr="00132477" w:rsidRDefault="00F54462" w:rsidP="00DC41BF">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En conclusión, frente a la consulta elevada por su parte </w:t>
      </w:r>
      <w:r w:rsidR="000F1D66">
        <w:rPr>
          <w:rFonts w:ascii="Verdana" w:eastAsia="Calibri" w:hAnsi="Verdana" w:cs="Arial"/>
          <w:bCs/>
          <w:color w:val="000000" w:themeColor="text1"/>
        </w:rPr>
        <w:t>se tiene que, s</w:t>
      </w:r>
      <w:r w:rsidR="000F1D66" w:rsidRPr="000F1D66">
        <w:rPr>
          <w:rFonts w:ascii="Verdana" w:eastAsia="Calibri" w:hAnsi="Verdana" w:cs="Arial"/>
          <w:bCs/>
          <w:color w:val="000000" w:themeColor="text1"/>
        </w:rPr>
        <w:t>i bien el Consejo Directivo tiene competencia para establecer las reglas conforme a las cuales deben adelantarse los procesos de contratación de cuantía inferior a 20 SMMLV, dicha facultad debe ejercerse dentro del marco de las disposiciones legales y reglamentarias aplicables. En consecuencia, las reglas que adopte la entidad pueden desarrollar y precisar los aspectos propios de estos procedimientos, pero no pueden contradecir, desconocer ni sustituir las obligaciones de carácter legal que recaen sobre los sujetos obligados en materia de transparencia y acceso a la información pública. En particular, la autonomía para definir el procedimiento contractual aplicable a estas cuantías no comporta la posibilidad de exceptuar la actividad contractual de las obligaciones de publicidad previstas en la Ley 1712 de 2014. Por tanto, la circunstancia de que el Consejo Directivo pueda establecer reglas especiales para adelantar estos procesos no significa que pueda disponer que la información contractual se publique únicamente en la cartelera institucional, cuando el ordenamiento jurídico exige su divulgación a través de los medios electrónicos institucionales.</w:t>
      </w:r>
    </w:p>
    <w:p w14:paraId="4F04C795" w14:textId="37F17134" w:rsidR="00635A19" w:rsidRPr="00DB6C5D" w:rsidRDefault="00635A19" w:rsidP="00DC41BF">
      <w:pPr>
        <w:tabs>
          <w:tab w:val="left" w:pos="142"/>
          <w:tab w:val="left" w:pos="426"/>
        </w:tabs>
        <w:spacing w:after="0" w:line="276" w:lineRule="auto"/>
        <w:ind w:firstLine="142"/>
        <w:jc w:val="both"/>
        <w:rPr>
          <w:rFonts w:ascii="Verdana" w:eastAsia="Calibri" w:hAnsi="Verdana" w:cs="Arial"/>
          <w:bCs/>
          <w:color w:val="000000" w:themeColor="text1"/>
        </w:rPr>
      </w:pPr>
      <w:r w:rsidRPr="00DB6C5D">
        <w:rPr>
          <w:rFonts w:ascii="Verdana" w:hAnsi="Verdana"/>
        </w:rPr>
        <w:tab/>
      </w:r>
      <w:r w:rsidRPr="00DB6C5D">
        <w:rPr>
          <w:rFonts w:ascii="Verdana" w:hAnsi="Verdana"/>
        </w:rPr>
        <w:tab/>
        <w:t>Dentro de este marco, la entidad contratante definirá en cada caso concreto lo relacionado con el tema objeto de consulta. Al tratarse de un análisis que debe realizarse</w:t>
      </w:r>
      <w:r w:rsidRPr="00DB6C5D">
        <w:rPr>
          <w:rFonts w:ascii="Verdana" w:eastAsia="Calibri" w:hAnsi="Verdana" w:cs="Arial"/>
          <w:bCs/>
          <w:color w:val="000000" w:themeColor="text1"/>
        </w:rPr>
        <w:t xml:space="preserv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DB6C5D">
        <w:rPr>
          <w:rFonts w:ascii="Verdana" w:eastAsia="Calibri" w:hAnsi="Verdana" w:cs="Arial"/>
          <w:bCs/>
          <w:color w:val="000000" w:themeColor="text1"/>
        </w:rPr>
        <w:lastRenderedPageBreak/>
        <w:t xml:space="preserve">gestión contractual, sin que sea atribución de Colombia Compra Eficiente validar sus actuaciones. </w:t>
      </w:r>
      <w:r w:rsidRPr="00DB6C5D">
        <w:rPr>
          <w:rStyle w:val="s15"/>
          <w:rFonts w:ascii="Verdana" w:hAnsi="Verdana"/>
          <w:color w:val="000000"/>
        </w:rPr>
        <w:t>Esto significa que,</w:t>
      </w:r>
      <w:r w:rsidRPr="00DB6C5D">
        <w:rPr>
          <w:rFonts w:ascii="Verdana" w:eastAsia="Calibri" w:hAnsi="Verdana" w:cs="Arial"/>
          <w:bCs/>
          <w:color w:val="000000" w:themeColor="text1"/>
        </w:rPr>
        <w:t xml:space="preserve"> fuera de la orientación del presente oficio, la ANCP – CCE carece de atribuciones normativas para desarrollar las actuaciones contractuales objeto de la solicitud</w:t>
      </w:r>
      <w:r w:rsidRPr="00DB6C5D">
        <w:rPr>
          <w:rStyle w:val="Refdenotaalpie"/>
          <w:rFonts w:ascii="Verdana" w:eastAsia="Calibri" w:hAnsi="Verdana" w:cs="Arial"/>
          <w:bCs/>
          <w:color w:val="000000" w:themeColor="text1"/>
        </w:rPr>
        <w:footnoteReference w:id="8"/>
      </w:r>
      <w:r w:rsidRPr="00DB6C5D">
        <w:rPr>
          <w:rFonts w:ascii="Verdana" w:eastAsia="Calibri" w:hAnsi="Verdana" w:cs="Arial"/>
          <w:bCs/>
          <w:color w:val="000000" w:themeColor="text1"/>
        </w:rPr>
        <w:t xml:space="preserve">. </w:t>
      </w:r>
    </w:p>
    <w:p w14:paraId="05698077" w14:textId="77777777" w:rsidR="00635A19" w:rsidRPr="00DB6C5D" w:rsidRDefault="00635A19" w:rsidP="00635A19">
      <w:pPr>
        <w:tabs>
          <w:tab w:val="left" w:pos="142"/>
          <w:tab w:val="left" w:pos="426"/>
        </w:tabs>
        <w:spacing w:after="0" w:line="276" w:lineRule="auto"/>
        <w:ind w:firstLine="142"/>
        <w:jc w:val="both"/>
        <w:rPr>
          <w:rFonts w:ascii="Verdana" w:eastAsia="Calibri" w:hAnsi="Verdana" w:cs="Arial"/>
          <w:bCs/>
          <w:color w:val="000000" w:themeColor="text1"/>
        </w:rPr>
      </w:pPr>
    </w:p>
    <w:p w14:paraId="3B7206D5" w14:textId="77777777" w:rsidR="00635A19" w:rsidRPr="00DB6C5D" w:rsidRDefault="00635A19" w:rsidP="00635A19">
      <w:pPr>
        <w:numPr>
          <w:ilvl w:val="0"/>
          <w:numId w:val="18"/>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Referencias normativas y jurisprudenciales:</w:t>
      </w:r>
    </w:p>
    <w:p w14:paraId="207CFCA9" w14:textId="77777777" w:rsidR="00635A19" w:rsidRPr="00DB6C5D" w:rsidRDefault="00635A19" w:rsidP="00635A19">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35A19" w:rsidRPr="00DB6C5D" w14:paraId="22E86CA0" w14:textId="77777777" w:rsidTr="00D81038">
        <w:trPr>
          <w:trHeight w:val="410"/>
          <w:jc w:val="center"/>
        </w:trPr>
        <w:tc>
          <w:tcPr>
            <w:tcW w:w="8647" w:type="dxa"/>
          </w:tcPr>
          <w:p w14:paraId="4C0852FE" w14:textId="77777777" w:rsidR="00DE2CCF" w:rsidRPr="00E47CAB" w:rsidRDefault="00DE2CCF" w:rsidP="00DE2CCF">
            <w:pPr>
              <w:pStyle w:val="Prrafodelista"/>
              <w:widowControl w:val="0"/>
              <w:numPr>
                <w:ilvl w:val="0"/>
                <w:numId w:val="21"/>
              </w:numPr>
              <w:autoSpaceDE w:val="0"/>
              <w:autoSpaceDN w:val="0"/>
              <w:spacing w:line="360" w:lineRule="auto"/>
              <w:jc w:val="both"/>
              <w:rPr>
                <w:rFonts w:ascii="Verdana" w:hAnsi="Verdana" w:cs="Arial"/>
                <w:lang w:val="es-ES_tradnl"/>
              </w:rPr>
            </w:pPr>
            <w:r w:rsidRPr="00E47CAB">
              <w:rPr>
                <w:rFonts w:ascii="Verdana" w:hAnsi="Verdana" w:cs="Arial"/>
                <w:lang w:val="es-ES_tradnl"/>
              </w:rPr>
              <w:t>Constitución Política, artículos 74 y 209.</w:t>
            </w:r>
          </w:p>
          <w:p w14:paraId="7664C9C4" w14:textId="77777777" w:rsidR="00DE2CCF" w:rsidRPr="0081781F" w:rsidRDefault="00DE2CCF" w:rsidP="00DE2CCF">
            <w:pPr>
              <w:widowControl w:val="0"/>
              <w:numPr>
                <w:ilvl w:val="0"/>
                <w:numId w:val="17"/>
              </w:numPr>
              <w:autoSpaceDE w:val="0"/>
              <w:autoSpaceDN w:val="0"/>
              <w:spacing w:line="360" w:lineRule="auto"/>
              <w:jc w:val="both"/>
              <w:rPr>
                <w:rFonts w:ascii="Verdana" w:hAnsi="Verdana" w:cs="Arial"/>
                <w:lang w:val="es-ES_tradnl"/>
              </w:rPr>
            </w:pPr>
            <w:r w:rsidRPr="0081781F">
              <w:rPr>
                <w:rFonts w:ascii="Verdana" w:hAnsi="Verdana" w:cs="Arial"/>
                <w:lang w:val="es-ES_tradnl"/>
              </w:rPr>
              <w:t>Ley 1150 de 2007, artículo 3.</w:t>
            </w:r>
          </w:p>
          <w:p w14:paraId="139D48D6" w14:textId="77777777" w:rsidR="00DE2CCF" w:rsidRPr="0081781F" w:rsidRDefault="00DE2CCF" w:rsidP="00DE2CCF">
            <w:pPr>
              <w:widowControl w:val="0"/>
              <w:numPr>
                <w:ilvl w:val="0"/>
                <w:numId w:val="17"/>
              </w:numPr>
              <w:autoSpaceDE w:val="0"/>
              <w:autoSpaceDN w:val="0"/>
              <w:spacing w:line="360" w:lineRule="auto"/>
              <w:jc w:val="both"/>
              <w:rPr>
                <w:rFonts w:ascii="Verdana" w:hAnsi="Verdana" w:cs="Arial"/>
                <w:lang w:val="es-ES_tradnl"/>
              </w:rPr>
            </w:pPr>
            <w:r w:rsidRPr="0081781F">
              <w:rPr>
                <w:rFonts w:ascii="Verdana" w:hAnsi="Verdana" w:cs="Arial"/>
              </w:rPr>
              <w:t xml:space="preserve">Decreto Ley 4170 de 2011, artículo 3° numerales 2, 5 y 8. </w:t>
            </w:r>
            <w:r w:rsidRPr="0081781F">
              <w:rPr>
                <w:rFonts w:ascii="Verdana" w:hAnsi="Verdana" w:cs="Arial"/>
                <w:lang w:val="es-ES_tradnl"/>
              </w:rPr>
              <w:t xml:space="preserve"> </w:t>
            </w:r>
          </w:p>
          <w:p w14:paraId="13FFEB1F" w14:textId="77777777" w:rsidR="00DE2CCF" w:rsidRPr="0081781F" w:rsidRDefault="00DE2CCF" w:rsidP="00DE2CCF">
            <w:pPr>
              <w:widowControl w:val="0"/>
              <w:numPr>
                <w:ilvl w:val="0"/>
                <w:numId w:val="17"/>
              </w:numPr>
              <w:autoSpaceDE w:val="0"/>
              <w:autoSpaceDN w:val="0"/>
              <w:spacing w:line="360" w:lineRule="auto"/>
              <w:jc w:val="both"/>
              <w:rPr>
                <w:rFonts w:ascii="Verdana" w:hAnsi="Verdana" w:cs="Arial"/>
                <w:lang w:val="es-ES_tradnl"/>
              </w:rPr>
            </w:pPr>
            <w:r w:rsidRPr="0081781F">
              <w:rPr>
                <w:rFonts w:ascii="Verdana" w:hAnsi="Verdana" w:cs="Arial"/>
                <w:lang w:val="es-ES_tradnl"/>
              </w:rPr>
              <w:t>Ley 1712 de 2014.</w:t>
            </w:r>
          </w:p>
          <w:p w14:paraId="5BEBD2A3" w14:textId="77777777" w:rsidR="00DE2CCF" w:rsidRPr="0081781F" w:rsidRDefault="00DE2CCF" w:rsidP="00DE2CCF">
            <w:pPr>
              <w:widowControl w:val="0"/>
              <w:numPr>
                <w:ilvl w:val="0"/>
                <w:numId w:val="17"/>
              </w:numPr>
              <w:autoSpaceDE w:val="0"/>
              <w:autoSpaceDN w:val="0"/>
              <w:spacing w:line="360" w:lineRule="auto"/>
              <w:jc w:val="both"/>
              <w:rPr>
                <w:rFonts w:ascii="Verdana" w:hAnsi="Verdana" w:cs="Arial"/>
                <w:lang w:val="es-ES_tradnl"/>
              </w:rPr>
            </w:pPr>
            <w:r w:rsidRPr="0081781F">
              <w:rPr>
                <w:rFonts w:ascii="Verdana" w:hAnsi="Verdana" w:cs="Arial"/>
                <w:lang w:val="es-ES_tradnl"/>
              </w:rPr>
              <w:t xml:space="preserve">Ley 2294 de 2023, artículo 200. </w:t>
            </w:r>
          </w:p>
          <w:p w14:paraId="22F13259" w14:textId="77777777" w:rsidR="00635A19" w:rsidRPr="00DE2CCF" w:rsidRDefault="00DE2CCF" w:rsidP="00DE2CCF">
            <w:pPr>
              <w:widowControl w:val="0"/>
              <w:numPr>
                <w:ilvl w:val="0"/>
                <w:numId w:val="17"/>
              </w:numPr>
              <w:autoSpaceDE w:val="0"/>
              <w:autoSpaceDN w:val="0"/>
              <w:spacing w:line="360" w:lineRule="auto"/>
              <w:jc w:val="both"/>
              <w:rPr>
                <w:rFonts w:ascii="Verdana" w:hAnsi="Verdana" w:cs="Arial"/>
                <w:lang w:val="es-ES_tradnl"/>
              </w:rPr>
            </w:pPr>
            <w:r w:rsidRPr="0081781F">
              <w:rPr>
                <w:rFonts w:ascii="Verdana" w:hAnsi="Verdana" w:cs="Arial"/>
                <w:lang w:val="es-ES_tradnl"/>
              </w:rPr>
              <w:t>Decreto 1081 de 2015, artículos 2.1.1.2.1.7.,</w:t>
            </w:r>
            <w:r w:rsidRPr="0081781F">
              <w:rPr>
                <w:rFonts w:ascii="Verdana" w:eastAsia="Calibri" w:hAnsi="Verdana" w:cs="Arial"/>
                <w:bCs/>
                <w:iCs/>
                <w:lang w:eastAsia="es-ES_tradnl"/>
              </w:rPr>
              <w:t xml:space="preserve"> </w:t>
            </w:r>
            <w:r w:rsidRPr="0081781F">
              <w:rPr>
                <w:rFonts w:ascii="Verdana" w:hAnsi="Verdana" w:cs="Arial"/>
                <w:bCs/>
                <w:iCs/>
              </w:rPr>
              <w:t>2.1.4.3.1.1.,</w:t>
            </w:r>
            <w:r w:rsidRPr="0081781F">
              <w:rPr>
                <w:rFonts w:ascii="Verdana" w:hAnsi="Verdana" w:cs="Arial"/>
                <w:lang w:val="es-ES_tradnl"/>
              </w:rPr>
              <w:t xml:space="preserve"> </w:t>
            </w:r>
            <w:r w:rsidRPr="0081781F">
              <w:rPr>
                <w:rFonts w:ascii="Verdana" w:hAnsi="Verdana" w:cs="Arial"/>
                <w:bCs/>
                <w:iCs/>
              </w:rPr>
              <w:t xml:space="preserve">2.1.4.3.1.2., 2.1.4.3.2.1, </w:t>
            </w:r>
            <w:r w:rsidRPr="00E47CAB">
              <w:rPr>
                <w:rFonts w:ascii="Verdana" w:eastAsia="Calibri" w:hAnsi="Verdana" w:cs="Arial"/>
                <w:bCs/>
                <w:iCs/>
                <w:lang w:eastAsia="es-ES_tradnl"/>
              </w:rPr>
              <w:t>2.1.4.3.2.2.</w:t>
            </w:r>
          </w:p>
          <w:p w14:paraId="5F85966B" w14:textId="261505A8" w:rsidR="00DE2CCF" w:rsidRPr="00DE2CCF" w:rsidRDefault="00680580" w:rsidP="00DE2CCF">
            <w:pPr>
              <w:widowControl w:val="0"/>
              <w:numPr>
                <w:ilvl w:val="0"/>
                <w:numId w:val="17"/>
              </w:numPr>
              <w:autoSpaceDE w:val="0"/>
              <w:autoSpaceDN w:val="0"/>
              <w:spacing w:line="360" w:lineRule="auto"/>
              <w:jc w:val="both"/>
              <w:rPr>
                <w:rFonts w:ascii="Verdana" w:hAnsi="Verdana" w:cs="Arial"/>
                <w:lang w:val="es-ES_tradnl"/>
              </w:rPr>
            </w:pPr>
            <w:r w:rsidRPr="0081781F">
              <w:rPr>
                <w:rFonts w:ascii="Verdana" w:hAnsi="Verdana" w:cs="Arial"/>
                <w:lang w:val="es-ES_tradnl"/>
              </w:rPr>
              <w:t>Decreto 1082 de 2015, artículos 2.2.1.1.1.7.1, 2.2.1.1.1.3.1., 2.2.2.1.8.3., 2.2.2.1.5.11., 2.2.2.1.12.7.</w:t>
            </w:r>
          </w:p>
        </w:tc>
      </w:tr>
    </w:tbl>
    <w:p w14:paraId="499C033A" w14:textId="77777777" w:rsidR="00635A19" w:rsidRPr="007976FC" w:rsidRDefault="00635A19" w:rsidP="00635A19">
      <w:pPr>
        <w:widowControl w:val="0"/>
        <w:numPr>
          <w:ilvl w:val="0"/>
          <w:numId w:val="18"/>
        </w:numPr>
        <w:tabs>
          <w:tab w:val="left" w:pos="142"/>
          <w:tab w:val="left" w:pos="284"/>
        </w:tabs>
        <w:autoSpaceDE w:val="0"/>
        <w:autoSpaceDN w:val="0"/>
        <w:spacing w:after="0" w:line="276" w:lineRule="auto"/>
        <w:jc w:val="both"/>
        <w:rPr>
          <w:rFonts w:ascii="Verdana" w:eastAsia="Calibri" w:hAnsi="Verdana" w:cs="Arial"/>
          <w:color w:val="000000"/>
          <w:kern w:val="2"/>
          <w:shd w:val="clear" w:color="auto" w:fill="FFFFFF"/>
          <w14:ligatures w14:val="standardContextual"/>
        </w:rPr>
      </w:pPr>
      <w:r w:rsidRPr="00DB6C5D">
        <w:rPr>
          <w:rFonts w:ascii="Verdana" w:eastAsia="Century Gothic" w:hAnsi="Verdana" w:cs="Century Gothic"/>
          <w:b/>
          <w:bCs/>
        </w:rPr>
        <w:t>Doctrina de la Agencia Nacional de Contratación Pública:</w:t>
      </w:r>
    </w:p>
    <w:p w14:paraId="01349E64" w14:textId="64CDB1C3" w:rsidR="00635A19" w:rsidRDefault="00034E0C" w:rsidP="00635A19">
      <w:pPr>
        <w:widowControl w:val="0"/>
        <w:spacing w:before="240" w:after="0" w:line="276" w:lineRule="auto"/>
        <w:jc w:val="both"/>
        <w:rPr>
          <w:rFonts w:ascii="Verdana" w:eastAsia="Calibri" w:hAnsi="Verdana" w:cs="Arial"/>
          <w:lang w:val="es-ES" w:eastAsia="es-ES"/>
        </w:rPr>
      </w:pPr>
      <w:r w:rsidRPr="00392E13">
        <w:rPr>
          <w:rFonts w:ascii="Verdana" w:hAnsi="Verdana" w:cs="Arial"/>
          <w:bCs/>
          <w:shd w:val="clear" w:color="auto" w:fill="FFFFFF"/>
        </w:rPr>
        <w:t xml:space="preserve">La Agencia Nacional de Contratación Pública – Colombia Compra Eficiente, </w:t>
      </w:r>
      <w:r>
        <w:rPr>
          <w:rFonts w:ascii="Verdana" w:hAnsi="Verdana" w:cs="Arial"/>
          <w:bCs/>
          <w:shd w:val="clear" w:color="auto" w:fill="FFFFFF"/>
        </w:rPr>
        <w:t xml:space="preserve">se ha </w:t>
      </w:r>
      <w:r w:rsidR="0076580A">
        <w:rPr>
          <w:rFonts w:ascii="Verdana" w:hAnsi="Verdana" w:cs="Arial"/>
          <w:bCs/>
          <w:shd w:val="clear" w:color="auto" w:fill="FFFFFF"/>
        </w:rPr>
        <w:t>pronunciado</w:t>
      </w:r>
      <w:r>
        <w:rPr>
          <w:rFonts w:ascii="Verdana" w:hAnsi="Verdana" w:cs="Arial"/>
          <w:bCs/>
          <w:shd w:val="clear" w:color="auto" w:fill="FFFFFF"/>
        </w:rPr>
        <w:t xml:space="preserve"> so</w:t>
      </w:r>
      <w:r w:rsidR="0076580A">
        <w:rPr>
          <w:rFonts w:ascii="Verdana" w:hAnsi="Verdana" w:cs="Arial"/>
          <w:bCs/>
          <w:shd w:val="clear" w:color="auto" w:fill="FFFFFF"/>
        </w:rPr>
        <w:t>b</w:t>
      </w:r>
      <w:r>
        <w:rPr>
          <w:rFonts w:ascii="Verdana" w:hAnsi="Verdana" w:cs="Arial"/>
          <w:bCs/>
          <w:shd w:val="clear" w:color="auto" w:fill="FFFFFF"/>
        </w:rPr>
        <w:t>re asuntos de similar naturaleza en</w:t>
      </w:r>
      <w:r w:rsidR="0076580A">
        <w:rPr>
          <w:rFonts w:ascii="Verdana" w:hAnsi="Verdana" w:cs="Arial"/>
          <w:bCs/>
          <w:shd w:val="clear" w:color="auto" w:fill="FFFFFF"/>
        </w:rPr>
        <w:t xml:space="preserve"> el</w:t>
      </w:r>
      <w:r w:rsidRPr="00392E13">
        <w:rPr>
          <w:rFonts w:ascii="Verdana" w:hAnsi="Verdana" w:cs="Arial"/>
          <w:bCs/>
          <w:shd w:val="clear" w:color="auto" w:fill="FFFFFF"/>
        </w:rPr>
        <w:t xml:space="preserve"> concepto </w:t>
      </w:r>
      <w:r w:rsidRPr="00392E13">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w:t>
      </w:r>
      <w:r w:rsidRPr="00392E13">
        <w:rPr>
          <w:rFonts w:ascii="Verdana" w:hAnsi="Verdana" w:cs="Arial"/>
          <w:bCs/>
          <w:shd w:val="clear" w:color="auto" w:fill="FFFFFF"/>
        </w:rPr>
        <w:t xml:space="preserve">, C-185 del </w:t>
      </w:r>
      <w:r w:rsidRPr="00392E13">
        <w:rPr>
          <w:rFonts w:ascii="Verdana" w:hAnsi="Verdana" w:cs="Arial"/>
          <w:bCs/>
          <w:shd w:val="clear" w:color="auto" w:fill="FFFFFF"/>
        </w:rPr>
        <w:lastRenderedPageBreak/>
        <w:t>24 de marzo de 2025, entre otros, así como nuevas precisiones dispuestas en este concepto sobre el alcance del deber de publicidad del Decreto 1081 de 2015 modificado por el Decreto 1600 de 2024</w:t>
      </w:r>
      <w:r w:rsidR="00DF2C64">
        <w:rPr>
          <w:rFonts w:ascii="Verdana" w:hAnsi="Verdana" w:cs="Arial"/>
          <w:bCs/>
          <w:shd w:val="clear" w:color="auto" w:fill="FFFFFF"/>
        </w:rPr>
        <w:t>, entre otros.</w:t>
      </w:r>
    </w:p>
    <w:p w14:paraId="5AAD1F65" w14:textId="77777777" w:rsidR="00635A19" w:rsidRPr="00DB6C5D" w:rsidRDefault="00635A19" w:rsidP="00635A19">
      <w:pPr>
        <w:widowControl w:val="0"/>
        <w:spacing w:before="240" w:after="0" w:line="276" w:lineRule="auto"/>
        <w:jc w:val="both"/>
        <w:rPr>
          <w:rFonts w:ascii="Verdana" w:eastAsia="Verdana" w:hAnsi="Verdana" w:cs="Verdana"/>
          <w:highlight w:val="white"/>
        </w:rPr>
      </w:pPr>
      <w:r w:rsidRPr="00DB6C5D">
        <w:rPr>
          <w:rFonts w:ascii="Verdana" w:eastAsia="Verdana" w:hAnsi="Verdana" w:cs="Verdana"/>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r w:rsidRPr="00DB6C5D">
          <w:rPr>
            <w:rFonts w:ascii="Verdana" w:eastAsia="Verdana" w:hAnsi="Verdana" w:cs="Verdana"/>
            <w:color w:val="0000FF"/>
            <w:u w:val="single"/>
          </w:rPr>
          <w:t>https://relatoria.colombiacompra.gov.co/busqueda/conceptos</w:t>
        </w:r>
      </w:hyperlink>
      <w:r w:rsidRPr="00DB6C5D">
        <w:rPr>
          <w:rFonts w:ascii="Verdana" w:eastAsia="Verdana" w:hAnsi="Verdana" w:cs="Verdana"/>
        </w:rPr>
        <w:t xml:space="preserve">. </w:t>
      </w:r>
    </w:p>
    <w:p w14:paraId="3E9A40F5" w14:textId="77777777" w:rsidR="00635A19" w:rsidRPr="00DB6C5D" w:rsidRDefault="00635A19" w:rsidP="00635A19">
      <w:pPr>
        <w:spacing w:after="0" w:line="276" w:lineRule="auto"/>
        <w:jc w:val="both"/>
        <w:rPr>
          <w:rFonts w:ascii="Verdana" w:hAnsi="Verdana"/>
        </w:rPr>
      </w:pPr>
    </w:p>
    <w:p w14:paraId="3EBABF16" w14:textId="77777777" w:rsidR="00635A19" w:rsidRPr="00DB6C5D" w:rsidRDefault="00635A19" w:rsidP="00635A19">
      <w:pPr>
        <w:spacing w:after="0" w:line="276" w:lineRule="auto"/>
        <w:jc w:val="both"/>
        <w:rPr>
          <w:rStyle w:val="Hipervnculo"/>
          <w:rFonts w:ascii="Verdana" w:hAnsi="Verdana"/>
        </w:rPr>
      </w:pPr>
      <w:r w:rsidRPr="00DB6C5D">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DB6C5D">
        <w:rPr>
          <w:rFonts w:ascii="Verdana" w:hAnsi="Verdana"/>
          <w:b/>
          <w:bCs/>
        </w:rPr>
        <w:t>Guía para la Exigencia y Constitución de Garantías en los Procesos de Contratación</w:t>
      </w:r>
      <w:r w:rsidRPr="00DB6C5D">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Dirección URL original: https://www.colombiacompra.gov.co/archivos/manual/guia-de-garantias-en-procesos-de-contratacion. Haga clic o pulse si confía en este vínculo." w:history="1">
        <w:r w:rsidRPr="00DB6C5D">
          <w:rPr>
            <w:rStyle w:val="Hipervnculo"/>
            <w:rFonts w:ascii="Verdana" w:hAnsi="Verdana"/>
          </w:rPr>
          <w:t>https://www.colombiacompra.gov.co/archivos/manual/guia-de-garantias-en-procesos-de-contratacion</w:t>
        </w:r>
      </w:hyperlink>
    </w:p>
    <w:p w14:paraId="1D417ECB" w14:textId="77777777" w:rsidR="00635A19" w:rsidRPr="00DB6C5D" w:rsidRDefault="00635A19" w:rsidP="00635A19">
      <w:pPr>
        <w:spacing w:after="0" w:line="276" w:lineRule="auto"/>
        <w:jc w:val="both"/>
        <w:rPr>
          <w:rFonts w:ascii="Verdana" w:hAnsi="Verdana"/>
        </w:rPr>
      </w:pPr>
    </w:p>
    <w:p w14:paraId="74A9F661" w14:textId="77777777" w:rsidR="00635A19" w:rsidRPr="00DB6C5D" w:rsidRDefault="00635A19" w:rsidP="00635A19">
      <w:pPr>
        <w:spacing w:after="0" w:line="276" w:lineRule="auto"/>
        <w:jc w:val="both"/>
        <w:rPr>
          <w:rStyle w:val="Hipervnculo"/>
          <w:rFonts w:ascii="Verdana" w:hAnsi="Verdana"/>
        </w:rPr>
      </w:pPr>
      <w:r w:rsidRPr="00DB6C5D">
        <w:rPr>
          <w:rFonts w:ascii="Verdana" w:hAnsi="Verdana"/>
        </w:rPr>
        <w:t>De otro lado, te contamos que el Decreto 287 del 19 de marzo de 2026 sustituyó los artículos 2.2.1.2.4.2.6., 2.2.1.2.4.2.7. y 2.2.1.2.4.2.8. del Decreto 1082 de 2015 y estructuró el </w:t>
      </w:r>
      <w:r w:rsidRPr="00DB6C5D">
        <w:rPr>
          <w:rFonts w:ascii="Verdana" w:hAnsi="Verdana"/>
          <w:b/>
          <w:bCs/>
        </w:rPr>
        <w:t>Sistema Integral de Preferencias en favor de las personas con discapacidad</w:t>
      </w:r>
      <w:r w:rsidRPr="00DB6C5D">
        <w:rPr>
          <w:rFonts w:ascii="Verdana" w:hAnsi="Verdana"/>
        </w:rPr>
        <w:t>, en cumplimiento del artículo 13 de la Ley Estatutaria 1618 de 2013. Para orientar su aplicación, esta Agencia expidió la </w:t>
      </w:r>
      <w:r w:rsidRPr="00DB6C5D">
        <w:rPr>
          <w:rFonts w:ascii="Verdana" w:hAnsi="Verdana"/>
          <w:b/>
          <w:bCs/>
        </w:rPr>
        <w:t>Circular Externa 003 del 12 de mayo de 2026, </w:t>
      </w:r>
      <w:r w:rsidRPr="00DB6C5D">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4" w:tooltip="Dirección URL original: https://www.colombiacompra.gov.co/archivos/circular/circular-externa-003-de-2026. Haga clic o pulse si confía en este vínculo." w:history="1">
        <w:r w:rsidRPr="00DB6C5D">
          <w:rPr>
            <w:rStyle w:val="Hipervnculo"/>
            <w:rFonts w:ascii="Verdana" w:hAnsi="Verdana"/>
          </w:rPr>
          <w:t>https://www.colombiacompra.gov.co/archivos/circular/circular-externa-003-de-2026</w:t>
        </w:r>
      </w:hyperlink>
    </w:p>
    <w:p w14:paraId="375DCFC4" w14:textId="77777777" w:rsidR="00635A19" w:rsidRPr="00DB6C5D" w:rsidRDefault="00635A19" w:rsidP="00635A19">
      <w:pPr>
        <w:spacing w:after="0" w:line="276" w:lineRule="auto"/>
        <w:jc w:val="both"/>
        <w:rPr>
          <w:rFonts w:ascii="Verdana" w:hAnsi="Verdana"/>
        </w:rPr>
      </w:pPr>
    </w:p>
    <w:p w14:paraId="24F854AB" w14:textId="77777777" w:rsidR="00635A19" w:rsidRPr="00DB6C5D" w:rsidRDefault="00635A19" w:rsidP="00635A19">
      <w:pPr>
        <w:spacing w:after="0" w:line="276" w:lineRule="auto"/>
        <w:jc w:val="both"/>
        <w:rPr>
          <w:rStyle w:val="Hipervnculo"/>
          <w:rFonts w:ascii="Verdana" w:hAnsi="Verdana"/>
        </w:rPr>
      </w:pPr>
      <w:r w:rsidRPr="00DB6C5D">
        <w:rPr>
          <w:rFonts w:ascii="Verdana" w:hAnsi="Verdana"/>
        </w:rPr>
        <w:t>Recuerda también que la</w:t>
      </w:r>
      <w:r w:rsidRPr="00DB6C5D">
        <w:rPr>
          <w:rFonts w:ascii="Verdana" w:hAnsi="Verdana"/>
          <w:b/>
          <w:bCs/>
        </w:rPr>
        <w:t> información sobre sanciones e inhabilidades </w:t>
      </w:r>
      <w:r w:rsidRPr="00DB6C5D">
        <w:rPr>
          <w:rFonts w:ascii="Verdana" w:hAnsi="Verdana"/>
        </w:rPr>
        <w:t xml:space="preserve">solo cumple su función preventiva si llega oportunamente a los registros públicos. </w:t>
      </w:r>
      <w:r w:rsidRPr="00DB6C5D">
        <w:rPr>
          <w:rFonts w:ascii="Verdana" w:hAnsi="Verdana"/>
        </w:rPr>
        <w:lastRenderedPageBreak/>
        <w:t>Sobre este deber, esta Agencia expidió la </w:t>
      </w:r>
      <w:r w:rsidRPr="00DB6C5D">
        <w:rPr>
          <w:rFonts w:ascii="Verdana" w:hAnsi="Verdana"/>
          <w:b/>
          <w:bCs/>
        </w:rPr>
        <w:t>Circular Externa 002 del 5 de mayo de 2026,</w:t>
      </w:r>
      <w:r w:rsidRPr="00DB6C5D">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Dirección URL original: https://www.colombiacompra.gov.co/archivos/circular/circular-externa-002-de-2026. Haga clic o pulse si confía en este vínculo." w:history="1">
        <w:r w:rsidRPr="00DB6C5D">
          <w:rPr>
            <w:rStyle w:val="Hipervnculo"/>
            <w:rFonts w:ascii="Verdana" w:hAnsi="Verdana"/>
          </w:rPr>
          <w:t>https://www.colombiacompra.gov.co/archivos/circular/circular-externa-002-de-2026</w:t>
        </w:r>
      </w:hyperlink>
    </w:p>
    <w:p w14:paraId="65D4DC04" w14:textId="77777777" w:rsidR="00635A19" w:rsidRPr="00DB6C5D" w:rsidRDefault="00635A19" w:rsidP="00635A19">
      <w:pPr>
        <w:spacing w:after="0" w:line="276" w:lineRule="auto"/>
        <w:jc w:val="both"/>
        <w:rPr>
          <w:rFonts w:ascii="Verdana" w:hAnsi="Verdana"/>
        </w:rPr>
      </w:pPr>
    </w:p>
    <w:p w14:paraId="320972A0" w14:textId="77777777" w:rsidR="00635A19" w:rsidRPr="00DB6C5D" w:rsidRDefault="00635A19" w:rsidP="00635A19">
      <w:pPr>
        <w:spacing w:after="0" w:line="276" w:lineRule="auto"/>
        <w:jc w:val="both"/>
        <w:rPr>
          <w:rStyle w:val="Hipervnculo"/>
          <w:rFonts w:ascii="Verdana" w:hAnsi="Verdana"/>
        </w:rPr>
      </w:pPr>
      <w:r w:rsidRPr="00DB6C5D">
        <w:rPr>
          <w:rFonts w:ascii="Verdana" w:hAnsi="Verdana"/>
        </w:rPr>
        <w:t>Finalmente, si quieres seguir de cerca la actividad de la Agencia, la tercera edición de 2026 del</w:t>
      </w:r>
      <w:r w:rsidRPr="00DB6C5D">
        <w:rPr>
          <w:rFonts w:ascii="Verdana" w:hAnsi="Verdana"/>
          <w:b/>
          <w:bCs/>
        </w:rPr>
        <w:t> Radar de la Compra Pública</w:t>
      </w:r>
      <w:r w:rsidRPr="00DB6C5D">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Dirección URL original: https://www.colombiacompra.gov.co/archivos/boletin/boletin-edicion-n-3-de-2026-radar-de-la-compra-publica. Haga clic o pulse si confía en este vínculo." w:history="1">
        <w:r w:rsidRPr="00DB6C5D">
          <w:rPr>
            <w:rStyle w:val="Hipervnculo"/>
            <w:rFonts w:ascii="Verdana" w:hAnsi="Verdana"/>
          </w:rPr>
          <w:t>https://www.colombiacompra.gov.co/archivos/boletin/boletin-edicion-n-3-de-2026-radar-de-la-compra-publica</w:t>
        </w:r>
      </w:hyperlink>
    </w:p>
    <w:p w14:paraId="2F7F308E" w14:textId="77777777" w:rsidR="00635A19" w:rsidRPr="00DB6C5D" w:rsidRDefault="00635A19" w:rsidP="00635A19">
      <w:pPr>
        <w:spacing w:after="0" w:line="276" w:lineRule="auto"/>
        <w:jc w:val="both"/>
        <w:rPr>
          <w:rFonts w:ascii="Verdana" w:hAnsi="Verdana"/>
          <w:color w:val="0000FF"/>
          <w:u w:val="single"/>
        </w:rPr>
      </w:pPr>
    </w:p>
    <w:p w14:paraId="3D76758D" w14:textId="77777777" w:rsidR="00635A19" w:rsidRPr="00DB6C5D" w:rsidRDefault="00635A19" w:rsidP="00635A19">
      <w:pPr>
        <w:spacing w:after="0" w:line="276" w:lineRule="auto"/>
        <w:jc w:val="both"/>
        <w:rPr>
          <w:rFonts w:ascii="Verdana" w:eastAsia="Verdana" w:hAnsi="Verdana" w:cs="Verdana"/>
        </w:rPr>
      </w:pPr>
      <w:r w:rsidRPr="00DB6C5D">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DB6C5D">
        <w:rPr>
          <w:rFonts w:ascii="Verdana" w:eastAsia="Verdana" w:hAnsi="Verdana" w:cs="Verdana"/>
        </w:rPr>
        <w:t xml:space="preserve">atención: </w:t>
      </w:r>
    </w:p>
    <w:p w14:paraId="04888462" w14:textId="77777777" w:rsidR="00635A19" w:rsidRPr="00DB6C5D" w:rsidRDefault="00635A19" w:rsidP="00635A19">
      <w:pPr>
        <w:spacing w:after="0" w:line="276" w:lineRule="auto"/>
        <w:jc w:val="both"/>
        <w:rPr>
          <w:rFonts w:ascii="Verdana" w:eastAsia="Verdana" w:hAnsi="Verdana" w:cs="Verdana"/>
        </w:rPr>
      </w:pPr>
    </w:p>
    <w:p w14:paraId="044B5522" w14:textId="77777777" w:rsidR="00635A19" w:rsidRPr="00DB6C5D" w:rsidRDefault="00635A19" w:rsidP="00635A19">
      <w:pPr>
        <w:pStyle w:val="Prrafodelista"/>
        <w:numPr>
          <w:ilvl w:val="0"/>
          <w:numId w:val="19"/>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nacional gratuita o servicio a la ciudadanía (Mesa de servicio): </w:t>
      </w:r>
      <w:r w:rsidRPr="00DB6C5D">
        <w:rPr>
          <w:rStyle w:val="Hipervnculo"/>
          <w:rFonts w:ascii="Verdana" w:hAnsi="Verdana"/>
          <w:lang w:val="es-CO"/>
        </w:rPr>
        <w:t>01800 0520808</w:t>
      </w:r>
    </w:p>
    <w:p w14:paraId="590DAF4C" w14:textId="77777777" w:rsidR="00635A19" w:rsidRPr="00DB6C5D" w:rsidRDefault="00635A19" w:rsidP="00635A19">
      <w:pPr>
        <w:pStyle w:val="Prrafodelista"/>
        <w:numPr>
          <w:ilvl w:val="0"/>
          <w:numId w:val="19"/>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en Bogotá (Mesa de servicio): </w:t>
      </w:r>
      <w:r w:rsidRPr="00DB6C5D">
        <w:rPr>
          <w:rStyle w:val="Hipervnculo"/>
          <w:rFonts w:ascii="Verdana" w:hAnsi="Verdana"/>
          <w:lang w:val="es-CO"/>
        </w:rPr>
        <w:t>+57 601 7456788</w:t>
      </w:r>
    </w:p>
    <w:p w14:paraId="7D0AEE6B" w14:textId="77777777" w:rsidR="00635A19" w:rsidRPr="00DB6C5D" w:rsidRDefault="00635A19" w:rsidP="00635A19">
      <w:pPr>
        <w:pStyle w:val="Prrafodelista"/>
        <w:numPr>
          <w:ilvl w:val="0"/>
          <w:numId w:val="19"/>
        </w:numPr>
        <w:spacing w:after="0" w:line="276" w:lineRule="auto"/>
        <w:contextualSpacing w:val="0"/>
        <w:jc w:val="both"/>
        <w:rPr>
          <w:rFonts w:ascii="Verdana" w:eastAsia="Verdana" w:hAnsi="Verdana" w:cs="Verdana"/>
          <w:color w:val="0000FF"/>
          <w:u w:val="single"/>
          <w:lang w:val="es-CO"/>
        </w:rPr>
      </w:pPr>
      <w:r w:rsidRPr="00DB6C5D">
        <w:rPr>
          <w:rFonts w:ascii="Verdana" w:eastAsia="Verdana" w:hAnsi="Verdana" w:cs="Verdana"/>
          <w:lang w:val="es-CO"/>
        </w:rPr>
        <w:t xml:space="preserve">Correo de radicación de correspondencia: </w:t>
      </w:r>
      <w:hyperlink r:id="rId17" w:history="1">
        <w:r w:rsidRPr="00DB6C5D">
          <w:rPr>
            <w:rStyle w:val="Hipervnculo"/>
            <w:rFonts w:ascii="Verdana" w:eastAsia="Verdana" w:hAnsi="Verdana" w:cs="Verdana"/>
            <w:lang w:val="es-CO"/>
          </w:rPr>
          <w:t>ventanilladeradicacion@colombiacompra.gov.co</w:t>
        </w:r>
      </w:hyperlink>
    </w:p>
    <w:p w14:paraId="276969B8" w14:textId="77777777" w:rsidR="00635A19" w:rsidRPr="00DB6C5D" w:rsidRDefault="00635A19" w:rsidP="00635A19">
      <w:pPr>
        <w:pStyle w:val="Prrafodelista"/>
        <w:numPr>
          <w:ilvl w:val="0"/>
          <w:numId w:val="19"/>
        </w:numPr>
        <w:spacing w:after="0" w:line="276" w:lineRule="auto"/>
        <w:contextualSpacing w:val="0"/>
        <w:jc w:val="both"/>
        <w:rPr>
          <w:rFonts w:ascii="Verdana" w:hAnsi="Verdana"/>
          <w:lang w:val="es-CO"/>
        </w:rPr>
      </w:pPr>
      <w:r w:rsidRPr="00DB6C5D">
        <w:rPr>
          <w:rFonts w:ascii="Verdana" w:eastAsia="Verdana" w:hAnsi="Verdana" w:cs="Verdana"/>
          <w:lang w:val="es-CO"/>
        </w:rPr>
        <w:t xml:space="preserve">Formulario web para PQRSD: </w:t>
      </w:r>
      <w:hyperlink r:id="rId18" w:history="1">
        <w:r w:rsidRPr="00DB6C5D">
          <w:rPr>
            <w:rStyle w:val="Hipervnculo"/>
            <w:rFonts w:ascii="Verdana" w:eastAsia="Verdana" w:hAnsi="Verdana" w:cs="Verdana"/>
            <w:lang w:val="es-CO"/>
          </w:rPr>
          <w:t>https://www.colombiacompra.gov.co/pqrsd/informacion-importante-antes-de-formular-una-pqrsd</w:t>
        </w:r>
      </w:hyperlink>
    </w:p>
    <w:p w14:paraId="12099296" w14:textId="77777777" w:rsidR="00635A19" w:rsidRDefault="00635A19" w:rsidP="00635A19">
      <w:pPr>
        <w:spacing w:before="240" w:after="0" w:line="276" w:lineRule="auto"/>
        <w:jc w:val="both"/>
        <w:rPr>
          <w:rFonts w:ascii="Verdana" w:hAnsi="Verdana"/>
        </w:rPr>
      </w:pPr>
      <w:r w:rsidRPr="00DB6C5D">
        <w:rPr>
          <w:rFonts w:ascii="Verdana" w:hAnsi="Verdana"/>
        </w:rPr>
        <w:t xml:space="preserve">Evalúa el servicio que ofrece la Agencia por el canal de atención de PQRSD en el siguiente enlace: </w:t>
      </w:r>
      <w:hyperlink r:id="rId19" w:history="1">
        <w:r w:rsidRPr="00DB6C5D">
          <w:rPr>
            <w:rStyle w:val="Hipervnculo"/>
            <w:rFonts w:ascii="Verdana" w:hAnsi="Verdana"/>
          </w:rPr>
          <w:t>https://forms.office.com/r/pPHyWVs2SZ</w:t>
        </w:r>
      </w:hyperlink>
      <w:r w:rsidRPr="00DB6C5D">
        <w:rPr>
          <w:rFonts w:ascii="Verdana" w:hAnsi="Verdana"/>
        </w:rPr>
        <w:t xml:space="preserve">. </w:t>
      </w:r>
    </w:p>
    <w:p w14:paraId="144936B2" w14:textId="77777777" w:rsidR="00635A19" w:rsidRPr="00DB6C5D" w:rsidRDefault="00635A19" w:rsidP="00635A19">
      <w:pPr>
        <w:spacing w:before="240" w:after="0" w:line="276" w:lineRule="auto"/>
        <w:jc w:val="both"/>
        <w:rPr>
          <w:rFonts w:ascii="Verdana" w:hAnsi="Verdana"/>
        </w:rPr>
      </w:pPr>
      <w:r w:rsidRPr="00DB6C5D">
        <w:rPr>
          <w:rFonts w:ascii="Verdana" w:hAnsi="Verdana"/>
        </w:rPr>
        <w:lastRenderedPageBreak/>
        <w:t>¡Ayúdanos a mejorar porque el compromiso es de todos!</w:t>
      </w:r>
    </w:p>
    <w:p w14:paraId="57C418F7" w14:textId="77777777" w:rsidR="00635A19" w:rsidRDefault="00635A19" w:rsidP="00635A19">
      <w:pPr>
        <w:spacing w:before="240" w:after="0" w:line="276" w:lineRule="auto"/>
        <w:jc w:val="both"/>
        <w:rPr>
          <w:rFonts w:ascii="Verdana" w:hAnsi="Verdana"/>
        </w:rPr>
      </w:pPr>
      <w:r w:rsidRPr="00DB6C5D">
        <w:rPr>
          <w:rFonts w:ascii="Verdana" w:hAnsi="Verdana"/>
        </w:rPr>
        <w:t xml:space="preserve">Por último, lo invitamos a seguirnos en las redes sociales en las cuales se difunde información institucional: </w:t>
      </w:r>
    </w:p>
    <w:p w14:paraId="18FE8E74" w14:textId="77777777" w:rsidR="00635A19" w:rsidRPr="00DB6C5D" w:rsidRDefault="00635A19" w:rsidP="00635A19">
      <w:pPr>
        <w:spacing w:before="240" w:after="0" w:line="276" w:lineRule="auto"/>
        <w:jc w:val="both"/>
        <w:rPr>
          <w:rFonts w:ascii="Verdana" w:hAnsi="Verdana"/>
        </w:rPr>
      </w:pPr>
      <w:r w:rsidRPr="00DB6C5D">
        <w:rPr>
          <w:rFonts w:ascii="Verdana" w:hAnsi="Verdana"/>
        </w:rPr>
        <w:t xml:space="preserve">Twitter: </w:t>
      </w:r>
      <w:r w:rsidRPr="00DB6C5D">
        <w:rPr>
          <w:rStyle w:val="Hipervnculo"/>
          <w:rFonts w:ascii="Verdana" w:hAnsi="Verdana"/>
        </w:rPr>
        <w:t>@colombiacompra</w:t>
      </w:r>
      <w:r w:rsidRPr="00DB6C5D">
        <w:rPr>
          <w:rFonts w:ascii="Verdana" w:hAnsi="Verdana"/>
        </w:rPr>
        <w:t xml:space="preserve"> </w:t>
      </w:r>
    </w:p>
    <w:p w14:paraId="78ABBFFE" w14:textId="77777777" w:rsidR="00635A19" w:rsidRPr="00DB6C5D" w:rsidRDefault="00635A19" w:rsidP="00635A19">
      <w:pPr>
        <w:spacing w:after="0" w:line="276" w:lineRule="auto"/>
        <w:jc w:val="both"/>
        <w:rPr>
          <w:rFonts w:ascii="Verdana" w:hAnsi="Verdana"/>
        </w:rPr>
      </w:pPr>
      <w:r w:rsidRPr="00DB6C5D">
        <w:rPr>
          <w:rFonts w:ascii="Verdana" w:hAnsi="Verdana"/>
        </w:rPr>
        <w:t xml:space="preserve">Facebook: </w:t>
      </w:r>
      <w:proofErr w:type="spellStart"/>
      <w:r w:rsidRPr="00DB6C5D">
        <w:rPr>
          <w:rStyle w:val="Hipervnculo"/>
          <w:rFonts w:ascii="Verdana" w:hAnsi="Verdana"/>
        </w:rPr>
        <w:t>ColombiaCompraEficiente</w:t>
      </w:r>
      <w:proofErr w:type="spellEnd"/>
    </w:p>
    <w:p w14:paraId="6FF17AE4" w14:textId="77777777" w:rsidR="00635A19" w:rsidRPr="00DB6C5D" w:rsidRDefault="00635A19" w:rsidP="00635A19">
      <w:pPr>
        <w:spacing w:after="0" w:line="276" w:lineRule="auto"/>
        <w:jc w:val="both"/>
        <w:rPr>
          <w:rFonts w:ascii="Verdana" w:hAnsi="Verdana"/>
        </w:rPr>
      </w:pPr>
      <w:r w:rsidRPr="00DB6C5D">
        <w:rPr>
          <w:rFonts w:ascii="Verdana" w:hAnsi="Verdana"/>
        </w:rPr>
        <w:t xml:space="preserve">LinkedIn: </w:t>
      </w:r>
      <w:r w:rsidRPr="00DB6C5D">
        <w:rPr>
          <w:rStyle w:val="Hipervnculo"/>
          <w:rFonts w:ascii="Verdana" w:hAnsi="Verdana"/>
        </w:rPr>
        <w:t>Agencia Nacional de Contratación Pública - Colombia Compra Eficiente</w:t>
      </w:r>
      <w:r w:rsidRPr="00DB6C5D">
        <w:rPr>
          <w:rFonts w:ascii="Verdana" w:hAnsi="Verdana"/>
        </w:rPr>
        <w:t xml:space="preserve"> </w:t>
      </w:r>
    </w:p>
    <w:p w14:paraId="1E047457" w14:textId="77777777" w:rsidR="00635A19" w:rsidRPr="00DB6C5D" w:rsidRDefault="00635A19" w:rsidP="00635A19">
      <w:pPr>
        <w:spacing w:after="0" w:line="276" w:lineRule="auto"/>
        <w:jc w:val="both"/>
        <w:rPr>
          <w:rFonts w:ascii="Verdana" w:hAnsi="Verdana"/>
          <w:color w:val="0000FF"/>
          <w:u w:val="single"/>
        </w:rPr>
      </w:pPr>
      <w:r w:rsidRPr="00DB6C5D">
        <w:rPr>
          <w:rFonts w:ascii="Verdana" w:hAnsi="Verdana"/>
        </w:rPr>
        <w:t xml:space="preserve">Instagram: </w:t>
      </w:r>
      <w:r w:rsidRPr="00DB6C5D">
        <w:rPr>
          <w:rStyle w:val="Hipervnculo"/>
          <w:rFonts w:ascii="Verdana" w:hAnsi="Verdana"/>
        </w:rPr>
        <w:t>@colombiacompraeficiente_cce</w:t>
      </w:r>
    </w:p>
    <w:p w14:paraId="2BEFFCA8" w14:textId="77777777" w:rsidR="00635A19" w:rsidRPr="00DB6C5D" w:rsidRDefault="00635A19" w:rsidP="00635A19">
      <w:pPr>
        <w:spacing w:before="240" w:after="0" w:line="276" w:lineRule="auto"/>
        <w:jc w:val="both"/>
        <w:rPr>
          <w:rFonts w:ascii="Verdana" w:eastAsia="Calibri" w:hAnsi="Verdana" w:cs="Times New Roman"/>
          <w:bCs/>
        </w:rPr>
      </w:pPr>
      <w:r w:rsidRPr="00DB6C5D">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0BC84B6" w14:textId="77777777" w:rsidR="00635A19" w:rsidRPr="00DB6C5D" w:rsidRDefault="00635A19" w:rsidP="00635A19">
      <w:pPr>
        <w:spacing w:after="0" w:line="276" w:lineRule="auto"/>
        <w:jc w:val="both"/>
        <w:rPr>
          <w:rFonts w:ascii="Verdana" w:eastAsia="Times New Roman" w:hAnsi="Verdana" w:cs="Arial"/>
          <w:lang w:eastAsia="es-CO"/>
        </w:rPr>
      </w:pPr>
      <w:bookmarkStart w:id="4" w:name="_Hlk117695077"/>
    </w:p>
    <w:p w14:paraId="4B3BFF20" w14:textId="77777777" w:rsidR="00635A19" w:rsidRDefault="00635A19" w:rsidP="00635A19">
      <w:pPr>
        <w:spacing w:after="0" w:line="276" w:lineRule="auto"/>
        <w:jc w:val="both"/>
        <w:rPr>
          <w:rFonts w:ascii="Verdana" w:eastAsia="Times New Roman" w:hAnsi="Verdana" w:cs="Arial"/>
          <w:lang w:eastAsia="es-CO"/>
        </w:rPr>
      </w:pPr>
      <w:r w:rsidRPr="00DB6C5D">
        <w:rPr>
          <w:rFonts w:ascii="Verdana" w:eastAsia="Times New Roman" w:hAnsi="Verdana" w:cs="Arial"/>
          <w:lang w:eastAsia="es-CO"/>
        </w:rPr>
        <w:t xml:space="preserve">Atentamente, </w:t>
      </w:r>
    </w:p>
    <w:p w14:paraId="1D0521C4" w14:textId="1C25F9B6" w:rsidR="00816915" w:rsidRDefault="00816915" w:rsidP="00816915">
      <w:pPr>
        <w:spacing w:after="0" w:line="276" w:lineRule="auto"/>
        <w:jc w:val="center"/>
        <w:rPr>
          <w:rFonts w:ascii="Verdana" w:eastAsia="Times New Roman" w:hAnsi="Verdana" w:cs="Arial"/>
          <w:lang w:eastAsia="es-CO"/>
        </w:rPr>
      </w:pPr>
      <w:r w:rsidRPr="00816915">
        <w:rPr>
          <w:rFonts w:ascii="Verdana" w:eastAsia="Times New Roman" w:hAnsi="Verdana" w:cs="Arial"/>
          <w:lang w:eastAsia="es-CO"/>
        </w:rPr>
        <w:drawing>
          <wp:inline distT="0" distB="0" distL="0" distR="0" wp14:anchorId="64BF6150" wp14:editId="4768D7A7">
            <wp:extent cx="3771900" cy="1400175"/>
            <wp:effectExtent l="0" t="0" r="0" b="9525"/>
            <wp:docPr id="32033358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404AF251" w14:textId="77777777" w:rsidR="00816915" w:rsidRPr="00816915" w:rsidRDefault="00816915" w:rsidP="00816915">
      <w:pPr>
        <w:spacing w:after="0" w:line="276" w:lineRule="auto"/>
        <w:jc w:val="center"/>
        <w:rPr>
          <w:rFonts w:ascii="Verdana" w:eastAsia="Times New Roman"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35A19" w:rsidRPr="00DB6C5D" w14:paraId="491BB2D5" w14:textId="77777777" w:rsidTr="00D81038">
        <w:trPr>
          <w:trHeight w:val="315"/>
        </w:trPr>
        <w:tc>
          <w:tcPr>
            <w:tcW w:w="893" w:type="dxa"/>
            <w:vAlign w:val="center"/>
            <w:hideMark/>
          </w:tcPr>
          <w:bookmarkEnd w:id="4"/>
          <w:p w14:paraId="2F101BA2" w14:textId="77777777" w:rsidR="00635A19" w:rsidRPr="00DB6C5D" w:rsidRDefault="00635A19" w:rsidP="00D81038">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1800EF05" w14:textId="77777777" w:rsidR="00635A19" w:rsidRPr="00DB6C5D" w:rsidRDefault="00635A19" w:rsidP="00D81038">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Ángela María Olmos Andrade</w:t>
            </w:r>
          </w:p>
          <w:p w14:paraId="76DE4C22" w14:textId="77777777" w:rsidR="00635A19" w:rsidRPr="00DB6C5D" w:rsidRDefault="00635A19" w:rsidP="00D81038">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Analista T2 - 02 de la Subdirección de Gestión Contractual</w:t>
            </w:r>
          </w:p>
        </w:tc>
      </w:tr>
      <w:tr w:rsidR="00635A19" w:rsidRPr="00DB6C5D" w14:paraId="05E47F25" w14:textId="77777777" w:rsidTr="00D81038">
        <w:trPr>
          <w:trHeight w:val="330"/>
        </w:trPr>
        <w:tc>
          <w:tcPr>
            <w:tcW w:w="893" w:type="dxa"/>
            <w:vAlign w:val="center"/>
            <w:hideMark/>
          </w:tcPr>
          <w:p w14:paraId="46A8603B" w14:textId="77777777" w:rsidR="00635A19" w:rsidRPr="00DB6C5D" w:rsidRDefault="00635A19" w:rsidP="00D81038">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4480A2E1" w14:textId="77777777" w:rsidR="00635A19" w:rsidRPr="00DB6C5D" w:rsidRDefault="00635A19" w:rsidP="00D81038">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Diana Lucia Saavedra</w:t>
            </w:r>
            <w:r>
              <w:rPr>
                <w:rFonts w:ascii="Verdana" w:eastAsia="Times New Roman" w:hAnsi="Verdana" w:cs="Arial"/>
                <w:color w:val="000000"/>
                <w:sz w:val="16"/>
                <w:szCs w:val="16"/>
              </w:rPr>
              <w:t xml:space="preserve"> Castañeda</w:t>
            </w:r>
          </w:p>
          <w:p w14:paraId="15F57DB6" w14:textId="77777777" w:rsidR="00635A19" w:rsidRPr="00DB6C5D" w:rsidRDefault="00635A19" w:rsidP="00D81038">
            <w:pPr>
              <w:spacing w:line="276" w:lineRule="auto"/>
              <w:jc w:val="both"/>
              <w:textAlignment w:val="baseline"/>
              <w:rPr>
                <w:rFonts w:ascii="Verdana" w:eastAsia="Times New Roman" w:hAnsi="Verdana" w:cs="Arial"/>
                <w:color w:val="000000"/>
                <w:sz w:val="16"/>
                <w:szCs w:val="16"/>
              </w:rPr>
            </w:pPr>
            <w:r w:rsidRPr="00DB6C5D">
              <w:rPr>
                <w:rFonts w:ascii="Verdana" w:eastAsia="Times New Roman" w:hAnsi="Verdana" w:cs="Arial"/>
                <w:color w:val="000000"/>
                <w:sz w:val="16"/>
                <w:szCs w:val="16"/>
              </w:rPr>
              <w:t>Contratista de la Subdirección de Gestión Contractual</w:t>
            </w:r>
          </w:p>
        </w:tc>
      </w:tr>
      <w:tr w:rsidR="00635A19" w:rsidRPr="00DB6C5D" w14:paraId="0FD47C62" w14:textId="77777777" w:rsidTr="00D81038">
        <w:trPr>
          <w:trHeight w:val="300"/>
        </w:trPr>
        <w:tc>
          <w:tcPr>
            <w:tcW w:w="893" w:type="dxa"/>
            <w:vAlign w:val="center"/>
            <w:hideMark/>
          </w:tcPr>
          <w:p w14:paraId="29EE619E" w14:textId="77777777" w:rsidR="00635A19" w:rsidRPr="00DB6C5D" w:rsidRDefault="00635A19" w:rsidP="00D81038">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3923C690" w14:textId="77777777" w:rsidR="00635A19" w:rsidRPr="00DB6C5D" w:rsidRDefault="00635A19" w:rsidP="00D81038">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Carolina Quintero Gacharná</w:t>
            </w:r>
          </w:p>
          <w:p w14:paraId="2C8545D3" w14:textId="77777777" w:rsidR="00635A19" w:rsidRPr="00DB6C5D" w:rsidRDefault="00635A19" w:rsidP="00D81038">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Subdirectora de Gestión Contractual ANCP – CCE</w:t>
            </w:r>
          </w:p>
        </w:tc>
      </w:tr>
      <w:bookmarkEnd w:id="1"/>
    </w:tbl>
    <w:p w14:paraId="65B46F13" w14:textId="77777777" w:rsidR="00635A19" w:rsidRPr="00DB6C5D" w:rsidRDefault="00635A19" w:rsidP="00635A19">
      <w:pPr>
        <w:spacing w:after="0" w:line="240" w:lineRule="auto"/>
        <w:jc w:val="both"/>
        <w:textAlignment w:val="baseline"/>
        <w:rPr>
          <w:rFonts w:ascii="Verdana" w:eastAsia="Verdana" w:hAnsi="Verdana" w:cs="Verdana"/>
          <w:lang w:eastAsia="es-CO"/>
        </w:rPr>
      </w:pPr>
    </w:p>
    <w:p w14:paraId="561623F0" w14:textId="77777777" w:rsidR="00635A19" w:rsidRPr="00DB6C5D" w:rsidRDefault="00635A19" w:rsidP="00635A19">
      <w:pPr>
        <w:spacing w:after="0" w:line="240" w:lineRule="auto"/>
        <w:jc w:val="both"/>
        <w:textAlignment w:val="baseline"/>
        <w:rPr>
          <w:rFonts w:ascii="Verdana" w:eastAsia="Verdana" w:hAnsi="Verdana" w:cs="Verdana"/>
          <w:lang w:eastAsia="es-CO"/>
        </w:rPr>
      </w:pPr>
    </w:p>
    <w:p w14:paraId="2A6D8794" w14:textId="14C2468C" w:rsidR="00635A19" w:rsidRPr="000E2B93" w:rsidRDefault="00635A19" w:rsidP="00635A19">
      <w:pPr>
        <w:spacing w:after="0" w:line="240" w:lineRule="auto"/>
        <w:textAlignment w:val="baseline"/>
        <w:rPr>
          <w:rFonts w:ascii="Verdana" w:eastAsia="Verdana" w:hAnsi="Verdana" w:cs="Verdana"/>
          <w:lang w:eastAsia="es-CO"/>
        </w:rPr>
      </w:pPr>
      <w:r w:rsidRPr="00DB6C5D">
        <w:rPr>
          <w:rFonts w:ascii="Verdana" w:eastAsia="Verdana" w:hAnsi="Verdana" w:cs="Verdana"/>
          <w:lang w:eastAsia="es-CO"/>
        </w:rPr>
        <w:t> </w:t>
      </w:r>
    </w:p>
    <w:p w14:paraId="12443EE0" w14:textId="77777777" w:rsidR="00C15139" w:rsidRPr="0024624F" w:rsidRDefault="00C15139" w:rsidP="30821638">
      <w:pPr>
        <w:spacing w:after="0"/>
        <w:rPr>
          <w:rFonts w:ascii="Verdana" w:eastAsia="Verdana" w:hAnsi="Verdana" w:cs="Verdana"/>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4229740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0575596A" w:rsidR="00127233" w:rsidRPr="0015699B" w:rsidRDefault="00127233" w:rsidP="00694BC1">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7BA4C" w14:textId="77777777" w:rsidR="00D66B44" w:rsidRDefault="00D66B44" w:rsidP="004A1847">
      <w:pPr>
        <w:spacing w:after="0" w:line="240" w:lineRule="auto"/>
      </w:pPr>
      <w:r>
        <w:separator/>
      </w:r>
    </w:p>
  </w:endnote>
  <w:endnote w:type="continuationSeparator" w:id="0">
    <w:p w14:paraId="75013E6F" w14:textId="77777777" w:rsidR="00D66B44" w:rsidRDefault="00D66B4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F78D2" w14:textId="77777777" w:rsidR="00D66B44" w:rsidRDefault="00D66B44" w:rsidP="004A1847">
      <w:pPr>
        <w:spacing w:after="0" w:line="240" w:lineRule="auto"/>
      </w:pPr>
      <w:r>
        <w:separator/>
      </w:r>
    </w:p>
  </w:footnote>
  <w:footnote w:type="continuationSeparator" w:id="0">
    <w:p w14:paraId="7EF91483" w14:textId="77777777" w:rsidR="00D66B44" w:rsidRDefault="00D66B44" w:rsidP="004A1847">
      <w:pPr>
        <w:spacing w:after="0" w:line="240" w:lineRule="auto"/>
      </w:pPr>
      <w:r>
        <w:continuationSeparator/>
      </w:r>
    </w:p>
  </w:footnote>
  <w:footnote w:id="1">
    <w:p w14:paraId="16E416B5" w14:textId="77777777" w:rsidR="00DC41BF" w:rsidRPr="002521A9" w:rsidRDefault="00DC41BF" w:rsidP="00DC41BF">
      <w:pPr>
        <w:pStyle w:val="Textonotapie"/>
        <w:ind w:firstLine="709"/>
        <w:jc w:val="both"/>
        <w:rPr>
          <w:rFonts w:ascii="Verdana" w:hAnsi="Verdana" w:cs="Arial"/>
          <w:sz w:val="16"/>
          <w:szCs w:val="16"/>
          <w:lang w:val="es-ES"/>
        </w:rPr>
      </w:pPr>
      <w:r w:rsidRPr="002521A9">
        <w:rPr>
          <w:rStyle w:val="Refdenotaalpie"/>
          <w:rFonts w:ascii="Verdana" w:hAnsi="Verdana" w:cs="Arial"/>
          <w:sz w:val="16"/>
          <w:szCs w:val="16"/>
        </w:rPr>
        <w:footnoteRef/>
      </w:r>
      <w:r w:rsidRPr="002521A9">
        <w:rPr>
          <w:rFonts w:ascii="Verdana" w:hAnsi="Verdana" w:cs="Arial"/>
          <w:sz w:val="16"/>
          <w:szCs w:val="16"/>
        </w:rPr>
        <w:t xml:space="preserve"> </w:t>
      </w:r>
      <w:r w:rsidRPr="002521A9">
        <w:rPr>
          <w:rFonts w:ascii="Verdana" w:hAnsi="Verdana" w:cs="Arial"/>
          <w:sz w:val="16"/>
          <w:szCs w:val="16"/>
          <w:lang w:val="es-ES"/>
        </w:rPr>
        <w:t>BOBBIO, Norberto. Democracia y secreto. México: Fondo de Cultura Económica, 2013. p. 27.</w:t>
      </w:r>
    </w:p>
  </w:footnote>
  <w:footnote w:id="2">
    <w:p w14:paraId="4747D533" w14:textId="77777777" w:rsidR="00DC41BF" w:rsidRPr="002521A9" w:rsidRDefault="00DC41BF" w:rsidP="00DC41BF">
      <w:pPr>
        <w:pStyle w:val="Textonotapie"/>
        <w:ind w:firstLine="709"/>
        <w:jc w:val="both"/>
        <w:rPr>
          <w:rFonts w:ascii="Verdana" w:hAnsi="Verdana" w:cs="Arial"/>
          <w:color w:val="000000" w:themeColor="text1"/>
          <w:sz w:val="16"/>
          <w:szCs w:val="16"/>
        </w:rPr>
      </w:pPr>
      <w:r w:rsidRPr="002521A9">
        <w:rPr>
          <w:rStyle w:val="Refdenotaalpie"/>
          <w:rFonts w:ascii="Verdana" w:hAnsi="Verdana" w:cs="Arial"/>
          <w:color w:val="000000" w:themeColor="text1"/>
          <w:sz w:val="16"/>
          <w:szCs w:val="16"/>
        </w:rPr>
        <w:footnoteRef/>
      </w:r>
      <w:r w:rsidRPr="002521A9">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9CAEF41" w14:textId="77777777" w:rsidR="00DC41BF" w:rsidRPr="002521A9" w:rsidRDefault="00DC41BF" w:rsidP="00DC41BF">
      <w:pPr>
        <w:pStyle w:val="Textonotapie"/>
        <w:ind w:firstLine="709"/>
        <w:jc w:val="both"/>
        <w:rPr>
          <w:rFonts w:ascii="Verdana" w:hAnsi="Verdana" w:cs="Arial"/>
          <w:color w:val="000000" w:themeColor="text1"/>
          <w:sz w:val="16"/>
          <w:szCs w:val="16"/>
        </w:rPr>
      </w:pPr>
      <w:r w:rsidRPr="002521A9">
        <w:rPr>
          <w:rFonts w:ascii="Verdana" w:hAnsi="Verdana" w:cs="Arial"/>
          <w:color w:val="000000" w:themeColor="text1"/>
          <w:sz w:val="16"/>
          <w:szCs w:val="16"/>
        </w:rPr>
        <w:t>Lo anterior, sin perjuicio de las publicaciones previstas en el numeral 3 del artículo 30 de la Ley 80 de 1993.</w:t>
      </w:r>
    </w:p>
    <w:p w14:paraId="69494F67" w14:textId="77777777" w:rsidR="00DC41BF" w:rsidRPr="002521A9" w:rsidRDefault="00DC41BF" w:rsidP="00DC41BF">
      <w:pPr>
        <w:pStyle w:val="Textonotapie"/>
        <w:ind w:firstLine="709"/>
        <w:jc w:val="both"/>
        <w:rPr>
          <w:rFonts w:ascii="Verdana" w:hAnsi="Verdana" w:cs="Arial"/>
          <w:color w:val="000000" w:themeColor="text1"/>
          <w:sz w:val="16"/>
          <w:szCs w:val="16"/>
        </w:rPr>
      </w:pPr>
      <w:r w:rsidRPr="002521A9">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w:t>
      </w:r>
      <w:proofErr w:type="spellStart"/>
      <w:r w:rsidRPr="002521A9">
        <w:rPr>
          <w:rFonts w:ascii="Verdana" w:hAnsi="Verdana" w:cs="Arial"/>
          <w:color w:val="000000" w:themeColor="text1"/>
          <w:sz w:val="16"/>
          <w:szCs w:val="16"/>
        </w:rPr>
        <w:t>Secop</w:t>
      </w:r>
      <w:proofErr w:type="spellEnd"/>
      <w:r w:rsidRPr="002521A9">
        <w:rPr>
          <w:rFonts w:ascii="Verdana" w:hAnsi="Verdana" w:cs="Arial"/>
          <w:color w:val="000000" w:themeColor="text1"/>
          <w:sz w:val="16"/>
          <w:szCs w:val="16"/>
        </w:rPr>
        <w:t xml:space="preserve">, el cual: </w:t>
      </w:r>
    </w:p>
    <w:p w14:paraId="3C780480" w14:textId="77777777" w:rsidR="00DC41BF" w:rsidRPr="002521A9" w:rsidRDefault="00DC41BF" w:rsidP="00DC41BF">
      <w:pPr>
        <w:pStyle w:val="Textonotapie"/>
        <w:ind w:firstLine="709"/>
        <w:jc w:val="both"/>
        <w:rPr>
          <w:rFonts w:ascii="Verdana" w:hAnsi="Verdana" w:cs="Arial"/>
          <w:color w:val="000000" w:themeColor="text1"/>
          <w:sz w:val="16"/>
          <w:szCs w:val="16"/>
        </w:rPr>
      </w:pPr>
      <w:r w:rsidRPr="002521A9">
        <w:rPr>
          <w:rFonts w:ascii="Verdana" w:hAnsi="Verdana" w:cs="Arial"/>
          <w:color w:val="000000" w:themeColor="text1"/>
          <w:sz w:val="16"/>
          <w:szCs w:val="16"/>
        </w:rPr>
        <w:t>[…]</w:t>
      </w:r>
    </w:p>
    <w:p w14:paraId="6351736C" w14:textId="77777777" w:rsidR="00DC41BF" w:rsidRPr="002521A9" w:rsidRDefault="00DC41BF" w:rsidP="00DC41BF">
      <w:pPr>
        <w:pStyle w:val="Textonotapie"/>
        <w:ind w:firstLine="709"/>
        <w:jc w:val="both"/>
        <w:rPr>
          <w:rFonts w:ascii="Verdana" w:hAnsi="Verdana" w:cs="Arial"/>
          <w:color w:val="000000" w:themeColor="text1"/>
          <w:sz w:val="16"/>
          <w:szCs w:val="16"/>
        </w:rPr>
      </w:pPr>
      <w:r w:rsidRPr="002521A9">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46C5D6AB" w14:textId="77777777" w:rsidR="00DC41BF" w:rsidRPr="009D3894" w:rsidRDefault="00DC41BF" w:rsidP="00DC41BF">
      <w:pPr>
        <w:pStyle w:val="Textonotapie"/>
        <w:ind w:firstLine="709"/>
        <w:jc w:val="both"/>
        <w:rPr>
          <w:rFonts w:ascii="Verdana" w:hAnsi="Verdana" w:cs="Arial"/>
          <w:color w:val="000000" w:themeColor="text1"/>
          <w:sz w:val="14"/>
          <w:szCs w:val="14"/>
          <w:lang w:val="es-CO"/>
        </w:rPr>
      </w:pPr>
    </w:p>
  </w:footnote>
  <w:footnote w:id="3">
    <w:p w14:paraId="7724592B" w14:textId="18037D46" w:rsidR="00DC41BF" w:rsidRPr="00A64514" w:rsidRDefault="00DC41BF" w:rsidP="00DC41BF">
      <w:pPr>
        <w:pStyle w:val="Textonotapie"/>
        <w:ind w:firstLine="709"/>
        <w:jc w:val="both"/>
        <w:rPr>
          <w:rFonts w:ascii="Verdana" w:hAnsi="Verdana" w:cs="Arial"/>
          <w:color w:val="000000" w:themeColor="text1"/>
          <w:sz w:val="16"/>
          <w:szCs w:val="16"/>
          <w:lang w:val="es-CO"/>
        </w:rPr>
      </w:pPr>
      <w:r w:rsidRPr="00A64514">
        <w:rPr>
          <w:rStyle w:val="Refdenotaalpie"/>
          <w:rFonts w:ascii="Verdana" w:hAnsi="Verdana" w:cs="Arial"/>
          <w:color w:val="000000" w:themeColor="text1"/>
          <w:sz w:val="16"/>
          <w:szCs w:val="16"/>
        </w:rPr>
        <w:footnoteRef/>
      </w:r>
      <w:r w:rsidRPr="00A64514">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4">
    <w:p w14:paraId="487DB5D1" w14:textId="77777777" w:rsidR="00DC41BF" w:rsidRPr="00A64514" w:rsidRDefault="00DC41BF" w:rsidP="00DC41BF">
      <w:pPr>
        <w:pStyle w:val="Textonotapie"/>
        <w:ind w:firstLine="709"/>
        <w:jc w:val="both"/>
        <w:rPr>
          <w:rFonts w:ascii="Verdana" w:hAnsi="Verdana" w:cs="Arial"/>
          <w:color w:val="000000" w:themeColor="text1"/>
          <w:sz w:val="16"/>
          <w:szCs w:val="16"/>
        </w:rPr>
      </w:pPr>
      <w:r w:rsidRPr="00A64514">
        <w:rPr>
          <w:rStyle w:val="Refdenotaalpie"/>
          <w:rFonts w:ascii="Verdana" w:hAnsi="Verdana" w:cs="Arial"/>
          <w:color w:val="000000" w:themeColor="text1"/>
          <w:sz w:val="16"/>
          <w:szCs w:val="16"/>
        </w:rPr>
        <w:footnoteRef/>
      </w:r>
      <w:r w:rsidRPr="00A64514">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4A5C8A5C" w14:textId="24EC4C92" w:rsidR="00DC41BF" w:rsidRPr="00A64514" w:rsidRDefault="00DC41BF" w:rsidP="00DC41BF">
      <w:pPr>
        <w:pStyle w:val="Textonotapie"/>
        <w:ind w:firstLine="709"/>
        <w:jc w:val="both"/>
        <w:rPr>
          <w:rFonts w:ascii="Verdana" w:hAnsi="Verdana" w:cs="Arial"/>
          <w:color w:val="000000" w:themeColor="text1"/>
          <w:sz w:val="16"/>
          <w:szCs w:val="16"/>
          <w:lang w:val="es-CO"/>
        </w:rPr>
      </w:pPr>
      <w:r w:rsidRPr="00A64514">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footnote>
  <w:footnote w:id="5">
    <w:p w14:paraId="5B34D7B1" w14:textId="77777777" w:rsidR="00DC41BF" w:rsidRPr="00A64514" w:rsidRDefault="00DC41BF" w:rsidP="00DC41BF">
      <w:pPr>
        <w:pStyle w:val="Textonotapie"/>
        <w:ind w:firstLine="709"/>
        <w:jc w:val="both"/>
        <w:rPr>
          <w:rFonts w:ascii="Verdana" w:hAnsi="Verdana" w:cs="Arial"/>
          <w:color w:val="000000" w:themeColor="text1"/>
          <w:sz w:val="16"/>
          <w:szCs w:val="16"/>
        </w:rPr>
      </w:pPr>
      <w:r w:rsidRPr="00A64514">
        <w:rPr>
          <w:rFonts w:ascii="Verdana" w:eastAsia="Times New Roman" w:hAnsi="Verdana" w:cs="Arial"/>
          <w:color w:val="000000" w:themeColor="text1"/>
          <w:sz w:val="16"/>
          <w:szCs w:val="16"/>
          <w:vertAlign w:val="superscript"/>
          <w:lang w:val="es-ES" w:eastAsia="es-ES"/>
        </w:rPr>
        <w:footnoteRef/>
      </w:r>
      <w:r w:rsidRPr="00A64514">
        <w:rPr>
          <w:rFonts w:ascii="Verdana" w:eastAsia="Times New Roman" w:hAnsi="Verdana" w:cs="Arial"/>
          <w:color w:val="000000" w:themeColor="text1"/>
          <w:sz w:val="16"/>
          <w:szCs w:val="16"/>
          <w:vertAlign w:val="superscript"/>
          <w:lang w:val="es-ES" w:eastAsia="es-ES"/>
        </w:rPr>
        <w:t xml:space="preserve"> </w:t>
      </w:r>
      <w:r w:rsidRPr="00A64514">
        <w:rPr>
          <w:rFonts w:ascii="Verdana" w:eastAsia="Times New Roman" w:hAnsi="Verdana" w:cs="Arial"/>
          <w:color w:val="000000" w:themeColor="text1"/>
          <w:sz w:val="16"/>
          <w:szCs w:val="16"/>
          <w:lang w:val="es-ES" w:eastAsia="es-ES"/>
        </w:rPr>
        <w:t>“</w:t>
      </w:r>
      <w:r w:rsidRPr="00A64514">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5438D33" w14:textId="77777777" w:rsidR="00DC41BF" w:rsidRPr="00A64514" w:rsidRDefault="00DC41BF" w:rsidP="00DC41BF">
      <w:pPr>
        <w:pStyle w:val="Textonotapie"/>
        <w:ind w:firstLine="709"/>
        <w:jc w:val="both"/>
        <w:rPr>
          <w:rFonts w:ascii="Verdana" w:eastAsia="Times New Roman" w:hAnsi="Verdana" w:cs="Arial"/>
          <w:color w:val="000000" w:themeColor="text1"/>
          <w:sz w:val="16"/>
          <w:szCs w:val="16"/>
          <w:lang w:val="es-ES" w:eastAsia="es-ES"/>
        </w:rPr>
      </w:pPr>
      <w:r w:rsidRPr="00A64514">
        <w:rPr>
          <w:rFonts w:ascii="Verdana" w:hAnsi="Verdana" w:cs="Arial"/>
          <w:color w:val="000000" w:themeColor="text1"/>
          <w:sz w:val="16"/>
          <w:szCs w:val="16"/>
        </w:rPr>
        <w:t>[…].</w:t>
      </w:r>
    </w:p>
    <w:p w14:paraId="3DDF7FCA" w14:textId="15705623" w:rsidR="00DC41BF" w:rsidRPr="00A64514" w:rsidRDefault="00DC41BF" w:rsidP="00DC41BF">
      <w:pPr>
        <w:pStyle w:val="Textonotapie"/>
        <w:ind w:firstLine="709"/>
        <w:jc w:val="both"/>
        <w:rPr>
          <w:rFonts w:ascii="Verdana" w:eastAsia="Times New Roman" w:hAnsi="Verdana" w:cs="Arial"/>
          <w:color w:val="000000" w:themeColor="text1"/>
          <w:sz w:val="16"/>
          <w:szCs w:val="16"/>
          <w:lang w:val="es-ES" w:eastAsia="es-ES"/>
        </w:rPr>
      </w:pPr>
      <w:r w:rsidRPr="00A64514">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6">
    <w:p w14:paraId="4236442C" w14:textId="77777777" w:rsidR="00DC41BF" w:rsidRPr="00A64514" w:rsidRDefault="00DC41BF" w:rsidP="00DC41BF">
      <w:pPr>
        <w:pStyle w:val="Textonotapie"/>
        <w:ind w:firstLine="709"/>
        <w:jc w:val="both"/>
        <w:rPr>
          <w:rFonts w:ascii="Verdana" w:hAnsi="Verdana" w:cs="Arial"/>
          <w:color w:val="000000"/>
          <w:sz w:val="16"/>
          <w:szCs w:val="16"/>
        </w:rPr>
      </w:pPr>
      <w:r w:rsidRPr="00A64514">
        <w:rPr>
          <w:rStyle w:val="Refdenotaalpie"/>
          <w:rFonts w:ascii="Verdana" w:hAnsi="Verdana" w:cs="Arial"/>
          <w:color w:val="000000"/>
          <w:sz w:val="16"/>
          <w:szCs w:val="16"/>
        </w:rPr>
        <w:footnoteRef/>
      </w:r>
      <w:r w:rsidRPr="00A64514">
        <w:rPr>
          <w:rFonts w:ascii="Verdana" w:hAnsi="Verdana" w:cs="Arial"/>
          <w:color w:val="000000"/>
          <w:sz w:val="16"/>
          <w:szCs w:val="16"/>
        </w:rPr>
        <w:t xml:space="preserve"> C</w:t>
      </w:r>
      <w:proofErr w:type="spellStart"/>
      <w:r w:rsidRPr="00A64514">
        <w:rPr>
          <w:rFonts w:ascii="Verdana" w:eastAsia="Times New Roman" w:hAnsi="Verdana" w:cs="Arial"/>
          <w:color w:val="000000"/>
          <w:sz w:val="16"/>
          <w:szCs w:val="16"/>
          <w:lang w:val="es-ES" w:eastAsia="es-ES"/>
        </w:rPr>
        <w:t>orte</w:t>
      </w:r>
      <w:proofErr w:type="spellEnd"/>
      <w:r w:rsidRPr="00A64514">
        <w:rPr>
          <w:rFonts w:ascii="Verdana" w:eastAsia="Times New Roman" w:hAnsi="Verdana" w:cs="Arial"/>
          <w:color w:val="000000"/>
          <w:sz w:val="16"/>
          <w:szCs w:val="16"/>
          <w:lang w:val="es-ES" w:eastAsia="es-ES"/>
        </w:rPr>
        <w:t xml:space="preserve"> Constitucional. Sentencia C‒274 de 9 de mayo de 2013. M.P. Mar</w:t>
      </w:r>
      <w:r w:rsidRPr="00A64514">
        <w:rPr>
          <w:rFonts w:ascii="Verdana" w:eastAsia="Times New Roman" w:hAnsi="Verdana" w:cs="Century Gothic"/>
          <w:color w:val="000000"/>
          <w:sz w:val="16"/>
          <w:szCs w:val="16"/>
          <w:lang w:val="es-ES" w:eastAsia="es-ES"/>
        </w:rPr>
        <w:t>í</w:t>
      </w:r>
      <w:r w:rsidRPr="00A64514">
        <w:rPr>
          <w:rFonts w:ascii="Verdana" w:eastAsia="Times New Roman" w:hAnsi="Verdana" w:cs="Arial"/>
          <w:color w:val="000000"/>
          <w:sz w:val="16"/>
          <w:szCs w:val="16"/>
          <w:lang w:val="es-ES" w:eastAsia="es-ES"/>
        </w:rPr>
        <w:t xml:space="preserve">a Victoria Calle Correa. </w:t>
      </w:r>
    </w:p>
    <w:p w14:paraId="36E21304" w14:textId="77777777" w:rsidR="00DC41BF" w:rsidRPr="00EB4645" w:rsidRDefault="00DC41BF" w:rsidP="00DC41BF">
      <w:pPr>
        <w:pStyle w:val="Textonotapie"/>
        <w:ind w:firstLine="709"/>
        <w:jc w:val="both"/>
        <w:rPr>
          <w:rFonts w:ascii="Verdana" w:hAnsi="Verdana" w:cs="Arial"/>
          <w:color w:val="000000"/>
          <w:sz w:val="16"/>
          <w:szCs w:val="16"/>
          <w:lang w:val="es-CO"/>
        </w:rPr>
      </w:pPr>
    </w:p>
  </w:footnote>
  <w:footnote w:id="7">
    <w:p w14:paraId="6B3B2DD3" w14:textId="77777777" w:rsidR="00DC41BF" w:rsidRPr="00530EA5" w:rsidRDefault="00DC41BF" w:rsidP="00DC41BF">
      <w:pPr>
        <w:pStyle w:val="NormalWeb"/>
        <w:spacing w:before="0" w:beforeAutospacing="0" w:after="0" w:afterAutospacing="0"/>
        <w:ind w:firstLine="708"/>
        <w:jc w:val="both"/>
        <w:rPr>
          <w:rFonts w:ascii="Verdana" w:hAnsi="Verdana" w:cs="Arial"/>
          <w:color w:val="000000"/>
          <w:sz w:val="16"/>
          <w:szCs w:val="16"/>
        </w:rPr>
      </w:pPr>
      <w:r w:rsidRPr="00530EA5">
        <w:rPr>
          <w:rStyle w:val="Refdenotaalpie"/>
          <w:rFonts w:ascii="Verdana" w:eastAsiaTheme="majorEastAsia" w:hAnsi="Verdana"/>
          <w:sz w:val="16"/>
          <w:szCs w:val="16"/>
        </w:rPr>
        <w:footnoteRef/>
      </w:r>
      <w:r w:rsidRPr="00530EA5">
        <w:rPr>
          <w:rFonts w:ascii="Verdana" w:hAnsi="Verdana"/>
          <w:sz w:val="16"/>
          <w:szCs w:val="16"/>
        </w:rPr>
        <w:t xml:space="preserve"> </w:t>
      </w:r>
      <w:r w:rsidRPr="00530EA5">
        <w:rPr>
          <w:rStyle w:val="Fuerte"/>
          <w:rFonts w:ascii="Verdana" w:hAnsi="Verdana" w:cs="Arial"/>
          <w:b w:val="0"/>
          <w:bCs w:val="0"/>
          <w:color w:val="000000"/>
          <w:sz w:val="16"/>
          <w:szCs w:val="16"/>
        </w:rPr>
        <w:t>Artículo 200.</w:t>
      </w:r>
      <w:r w:rsidRPr="00530EA5">
        <w:rPr>
          <w:rStyle w:val="Fuerte"/>
          <w:rFonts w:ascii="Verdana" w:hAnsi="Verdana" w:cs="Arial"/>
          <w:color w:val="000000"/>
          <w:sz w:val="16"/>
          <w:szCs w:val="16"/>
        </w:rPr>
        <w:t xml:space="preserve"> </w:t>
      </w:r>
      <w:r w:rsidRPr="00530EA5">
        <w:rPr>
          <w:rStyle w:val="nfasis"/>
          <w:rFonts w:ascii="Verdana" w:hAnsi="Verdana" w:cs="Arial"/>
          <w:color w:val="000000"/>
          <w:sz w:val="16"/>
          <w:szCs w:val="16"/>
        </w:rPr>
        <w:t>Estrategia nacional de lucha contra la corrupción</w:t>
      </w:r>
      <w:r w:rsidRPr="00530EA5">
        <w:rPr>
          <w:rFonts w:ascii="Verdana" w:hAnsi="Verdana" w:cs="Arial"/>
          <w:color w:val="000000"/>
          <w:sz w:val="16"/>
          <w:szCs w:val="16"/>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5859EB57" w14:textId="77777777" w:rsidR="00DC41BF" w:rsidRPr="00530EA5" w:rsidRDefault="00DC41BF" w:rsidP="00DC41BF">
      <w:pPr>
        <w:pStyle w:val="NormalWeb"/>
        <w:spacing w:before="0" w:beforeAutospacing="0" w:after="0" w:afterAutospacing="0"/>
        <w:ind w:firstLine="708"/>
        <w:jc w:val="both"/>
        <w:rPr>
          <w:rFonts w:ascii="Verdana" w:hAnsi="Verdana" w:cs="Arial"/>
          <w:color w:val="000000"/>
          <w:sz w:val="16"/>
          <w:szCs w:val="16"/>
        </w:rPr>
      </w:pPr>
      <w:r w:rsidRPr="00530EA5">
        <w:rPr>
          <w:rFonts w:ascii="Verdana" w:hAnsi="Verdana" w:cs="Arial"/>
          <w:color w:val="000000"/>
          <w:sz w:val="16"/>
          <w:szCs w:val="16"/>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0CA653D5" w14:textId="77777777" w:rsidR="00DC41BF" w:rsidRPr="00530EA5" w:rsidRDefault="00DC41BF" w:rsidP="00DC41BF">
      <w:pPr>
        <w:pStyle w:val="NormalWeb"/>
        <w:spacing w:before="0" w:beforeAutospacing="0" w:after="0" w:afterAutospacing="0"/>
        <w:ind w:firstLine="708"/>
        <w:jc w:val="both"/>
        <w:rPr>
          <w:rFonts w:ascii="Verdana" w:hAnsi="Verdana" w:cs="Arial"/>
          <w:color w:val="000000"/>
          <w:sz w:val="16"/>
          <w:szCs w:val="16"/>
        </w:rPr>
      </w:pPr>
      <w:r w:rsidRPr="00530EA5">
        <w:rPr>
          <w:rFonts w:ascii="Verdana" w:hAnsi="Verdana" w:cs="Arial"/>
          <w:color w:val="000000"/>
          <w:sz w:val="16"/>
          <w:szCs w:val="16"/>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63EAC315" w14:textId="77777777" w:rsidR="00DC41BF" w:rsidRPr="00530EA5" w:rsidRDefault="00DC41BF" w:rsidP="00DC41BF">
      <w:pPr>
        <w:pStyle w:val="NormalWeb"/>
        <w:spacing w:before="0" w:beforeAutospacing="0" w:after="0" w:afterAutospacing="0"/>
        <w:ind w:firstLine="708"/>
        <w:jc w:val="both"/>
        <w:rPr>
          <w:rFonts w:ascii="Verdana" w:hAnsi="Verdana" w:cs="Arial"/>
          <w:color w:val="000000"/>
          <w:sz w:val="16"/>
          <w:szCs w:val="16"/>
        </w:rPr>
      </w:pPr>
      <w:r w:rsidRPr="00530EA5">
        <w:rPr>
          <w:rFonts w:ascii="Verdana" w:hAnsi="Verdana" w:cs="Arial"/>
          <w:color w:val="000000"/>
          <w:sz w:val="16"/>
          <w:szCs w:val="16"/>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404AD904" w14:textId="77777777" w:rsidR="00DC41BF" w:rsidRPr="00530EA5" w:rsidRDefault="00DC41BF" w:rsidP="00DC41BF">
      <w:pPr>
        <w:pStyle w:val="NormalWeb"/>
        <w:spacing w:before="0" w:beforeAutospacing="0" w:after="0" w:afterAutospacing="0"/>
        <w:ind w:firstLine="708"/>
        <w:jc w:val="both"/>
        <w:rPr>
          <w:rFonts w:ascii="Verdana" w:hAnsi="Verdana" w:cs="Arial"/>
          <w:color w:val="000000"/>
          <w:sz w:val="16"/>
          <w:szCs w:val="16"/>
        </w:rPr>
      </w:pPr>
      <w:r w:rsidRPr="00530EA5">
        <w:rPr>
          <w:rStyle w:val="Fuerte"/>
          <w:rFonts w:ascii="Verdana" w:hAnsi="Verdana" w:cs="Arial"/>
          <w:b w:val="0"/>
          <w:bCs w:val="0"/>
          <w:color w:val="000000"/>
          <w:sz w:val="16"/>
          <w:szCs w:val="16"/>
        </w:rPr>
        <w:t>Parágrafo 1°.</w:t>
      </w:r>
      <w:r w:rsidRPr="00530EA5">
        <w:rPr>
          <w:rFonts w:ascii="Verdana" w:hAnsi="Verdana" w:cs="Arial"/>
          <w:color w:val="000000"/>
          <w:sz w:val="16"/>
          <w:szCs w:val="16"/>
        </w:rPr>
        <w:t> En la estrategia se contemplarán los mecanismos para el seguimiento y control de los recursos públicos administrados mediante fondos o patrimonios autónomos. </w:t>
      </w:r>
    </w:p>
    <w:p w14:paraId="127446DF" w14:textId="77777777" w:rsidR="00DC41BF" w:rsidRPr="00530EA5" w:rsidRDefault="00DC41BF" w:rsidP="00DC41BF">
      <w:pPr>
        <w:pStyle w:val="NormalWeb"/>
        <w:spacing w:before="0" w:beforeAutospacing="0" w:after="0" w:afterAutospacing="0"/>
        <w:ind w:firstLine="708"/>
        <w:jc w:val="both"/>
        <w:rPr>
          <w:rFonts w:ascii="Verdana" w:hAnsi="Verdana" w:cs="Arial"/>
          <w:color w:val="000000"/>
          <w:sz w:val="16"/>
          <w:szCs w:val="16"/>
        </w:rPr>
      </w:pPr>
      <w:r w:rsidRPr="00530EA5">
        <w:rPr>
          <w:rStyle w:val="Fuerte"/>
          <w:rFonts w:ascii="Verdana" w:hAnsi="Verdana" w:cs="Arial"/>
          <w:b w:val="0"/>
          <w:bCs w:val="0"/>
          <w:color w:val="000000"/>
          <w:sz w:val="16"/>
          <w:szCs w:val="16"/>
        </w:rPr>
        <w:t>Parágrafo 2°.</w:t>
      </w:r>
      <w:r w:rsidRPr="00530EA5">
        <w:rPr>
          <w:rFonts w:ascii="Verdana" w:hAnsi="Verdana" w:cs="Arial"/>
          <w:color w:val="000000"/>
          <w:sz w:val="16"/>
          <w:szCs w:val="16"/>
        </w:rPr>
        <w:t>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11CF9961" w14:textId="77777777" w:rsidR="00DC41BF" w:rsidRPr="00530EA5" w:rsidRDefault="00DC41BF" w:rsidP="00DC41BF">
      <w:pPr>
        <w:pStyle w:val="NormalWeb"/>
        <w:spacing w:before="0" w:beforeAutospacing="0" w:after="0" w:afterAutospacing="0"/>
        <w:ind w:firstLine="708"/>
        <w:jc w:val="both"/>
        <w:rPr>
          <w:rFonts w:ascii="Verdana" w:hAnsi="Verdana" w:cs="Arial"/>
          <w:color w:val="000000"/>
          <w:sz w:val="16"/>
          <w:szCs w:val="16"/>
        </w:rPr>
      </w:pPr>
      <w:r w:rsidRPr="00530EA5">
        <w:rPr>
          <w:rStyle w:val="Fuerte"/>
          <w:rFonts w:ascii="Verdana" w:hAnsi="Verdana" w:cs="Arial"/>
          <w:b w:val="0"/>
          <w:bCs w:val="0"/>
          <w:color w:val="000000"/>
          <w:sz w:val="16"/>
          <w:szCs w:val="16"/>
        </w:rPr>
        <w:t>Parágrafo 3°.</w:t>
      </w:r>
      <w:r w:rsidRPr="00530EA5">
        <w:rPr>
          <w:rFonts w:ascii="Verdana" w:hAnsi="Verdana" w:cs="Arial"/>
          <w:color w:val="000000"/>
          <w:sz w:val="16"/>
          <w:szCs w:val="16"/>
        </w:rPr>
        <w:t> Dentro del año siguiente a la entrada en vigor de la presente ley, el Gobierno nacional formulará y adoptará la Estrategia Nacional de Lucha Contra la Corrupción.</w:t>
      </w:r>
    </w:p>
    <w:p w14:paraId="643BD2D6" w14:textId="77777777" w:rsidR="00DC41BF" w:rsidRPr="00EB4645" w:rsidRDefault="00DC41BF" w:rsidP="00DC41BF">
      <w:pPr>
        <w:pStyle w:val="Textonotapie"/>
        <w:rPr>
          <w:sz w:val="16"/>
          <w:szCs w:val="16"/>
          <w:lang w:val="es-CO"/>
        </w:rPr>
      </w:pPr>
    </w:p>
    <w:p w14:paraId="66144936" w14:textId="77777777" w:rsidR="00DC41BF" w:rsidRPr="0042686B" w:rsidRDefault="00DC41BF" w:rsidP="00DC41BF">
      <w:pPr>
        <w:pStyle w:val="Textonotapie"/>
        <w:ind w:firstLine="708"/>
        <w:rPr>
          <w:lang w:val="es-CO"/>
        </w:rPr>
      </w:pPr>
    </w:p>
  </w:footnote>
  <w:footnote w:id="8">
    <w:p w14:paraId="0F621D26" w14:textId="77777777" w:rsidR="00635A19" w:rsidRPr="00F26E5F" w:rsidRDefault="00635A19" w:rsidP="00635A19">
      <w:pPr>
        <w:pStyle w:val="Textonotapie"/>
        <w:ind w:firstLine="708"/>
        <w:jc w:val="both"/>
        <w:rPr>
          <w:rFonts w:ascii="Verdana" w:hAnsi="Verdana"/>
          <w:sz w:val="16"/>
          <w:szCs w:val="16"/>
        </w:rPr>
      </w:pPr>
      <w:r w:rsidRPr="00DB6C5D">
        <w:rPr>
          <w:rStyle w:val="Refdenotaalpie"/>
          <w:rFonts w:ascii="Verdana" w:hAnsi="Verdana"/>
          <w:sz w:val="16"/>
          <w:szCs w:val="16"/>
          <w:lang w:val="es-CO"/>
        </w:rPr>
        <w:footnoteRef/>
      </w:r>
      <w:r w:rsidRPr="00DB6C5D">
        <w:rPr>
          <w:rFonts w:ascii="Verdana" w:hAnsi="Verdana"/>
          <w:sz w:val="16"/>
          <w:szCs w:val="16"/>
          <w:lang w:val="es-CO"/>
        </w:rPr>
        <w:t xml:space="preserve"> Para la doctrina, “[…] ni el objeto (art. 2.º) ni las funciones (art. 3.º) que la ley de creación confió a la Agencia (</w:t>
      </w:r>
      <w:proofErr w:type="spellStart"/>
      <w:proofErr w:type="gramStart"/>
      <w:r w:rsidRPr="00DB6C5D">
        <w:rPr>
          <w:rFonts w:ascii="Verdana" w:hAnsi="Verdana"/>
          <w:sz w:val="16"/>
          <w:szCs w:val="16"/>
          <w:lang w:val="es-CO"/>
        </w:rPr>
        <w:t>Dcto</w:t>
      </w:r>
      <w:proofErr w:type="spellEnd"/>
      <w:r w:rsidRPr="00DB6C5D">
        <w:rPr>
          <w:rFonts w:ascii="Verdana" w:hAnsi="Verdana"/>
          <w:sz w:val="16"/>
          <w:szCs w:val="16"/>
          <w:lang w:val="es-CO"/>
        </w:rPr>
        <w:t>.-</w:t>
      </w:r>
      <w:proofErr w:type="gramEnd"/>
      <w:r w:rsidRPr="00DB6C5D">
        <w:rPr>
          <w:rFonts w:ascii="Verdana" w:hAnsi="Verdana"/>
          <w:sz w:val="16"/>
          <w:szCs w:val="16"/>
          <w:lang w:val="es-CO"/>
        </w:rPr>
        <w:t>Ley 4170/11) comprenden competencias normativas sobre la contratación. Aunque el numeral 2.º del artículo 3.º le confiere las funciones de ‘desarrollar, implementar […] normas […] que faciliten las compras y contratación pública del Estado y promuevan las mejores prácticas’, ello no puede concebirse como una competencia específicamente normativa. Su misión de carácter técnico es promover las mejores condiciones de contratación, lo que comprende la realización de estudios y diagnósticos (</w:t>
      </w:r>
      <w:proofErr w:type="spellStart"/>
      <w:r w:rsidRPr="00DB6C5D">
        <w:rPr>
          <w:rFonts w:ascii="Verdana" w:hAnsi="Verdana"/>
          <w:sz w:val="16"/>
          <w:szCs w:val="16"/>
          <w:lang w:val="es-CO"/>
        </w:rPr>
        <w:t>num</w:t>
      </w:r>
      <w:proofErr w:type="spellEnd"/>
      <w:r w:rsidRPr="00DB6C5D">
        <w:rPr>
          <w:rFonts w:ascii="Verdana" w:hAnsi="Verdana"/>
          <w:sz w:val="16"/>
          <w:szCs w:val="16"/>
          <w:lang w:val="es-CO"/>
        </w:rPr>
        <w:t>. 4.º), la difusión de normas, reglas y procedimientos (</w:t>
      </w:r>
      <w:proofErr w:type="spellStart"/>
      <w:r w:rsidRPr="00DB6C5D">
        <w:rPr>
          <w:rFonts w:ascii="Verdana" w:hAnsi="Verdana"/>
          <w:sz w:val="16"/>
          <w:szCs w:val="16"/>
          <w:lang w:val="es-CO"/>
        </w:rPr>
        <w:t>num</w:t>
      </w:r>
      <w:proofErr w:type="spellEnd"/>
      <w:r w:rsidRPr="00DB6C5D">
        <w:rPr>
          <w:rFonts w:ascii="Verdana" w:hAnsi="Verdana"/>
          <w:sz w:val="16"/>
          <w:szCs w:val="16"/>
          <w:lang w:val="es-CO"/>
        </w:rPr>
        <w:t>. 10), el brindar apoyo a entidades territoriales (</w:t>
      </w:r>
      <w:proofErr w:type="spellStart"/>
      <w:r w:rsidRPr="00DB6C5D">
        <w:rPr>
          <w:rFonts w:ascii="Verdana" w:hAnsi="Verdana"/>
          <w:sz w:val="16"/>
          <w:szCs w:val="16"/>
          <w:lang w:val="es-CO"/>
        </w:rPr>
        <w:t>num</w:t>
      </w:r>
      <w:proofErr w:type="spellEnd"/>
      <w:r w:rsidRPr="00DB6C5D">
        <w:rPr>
          <w:rFonts w:ascii="Verdana" w:hAnsi="Verdana"/>
          <w:sz w:val="16"/>
          <w:szCs w:val="16"/>
          <w:lang w:val="es-CO"/>
        </w:rPr>
        <w:t>. 11) y la promoción de políticas y normas ante el Gobierno Nacional (</w:t>
      </w:r>
      <w:proofErr w:type="spellStart"/>
      <w:r w:rsidRPr="00DB6C5D">
        <w:rPr>
          <w:rFonts w:ascii="Verdana" w:hAnsi="Verdana"/>
          <w:sz w:val="16"/>
          <w:szCs w:val="16"/>
          <w:lang w:val="es-CO"/>
        </w:rPr>
        <w:t>num</w:t>
      </w:r>
      <w:proofErr w:type="spellEnd"/>
      <w:r w:rsidRPr="00DB6C5D">
        <w:rPr>
          <w:rFonts w:ascii="Verdana" w:hAnsi="Verdana"/>
          <w:sz w:val="16"/>
          <w:szCs w:val="16"/>
          <w:lang w:val="es-CO"/>
        </w:rPr>
        <w:t>. 1.º). Estas labores de apoyo, tanto a las entidades contratantes como al Gobierno Nacional, no comportan una función normativa propia […]” (Cfr. BENAVIDES, José Luis. Contratos públicos. Estudios. Bogotá: Universidad Externado de Colombia, 2014. p. 166).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rFonts w:cs="Times New Roman"/>
        <w:b/>
        <w:color w:val="000000" w:themeColor="text1"/>
      </w:rPr>
    </w:lvl>
    <w:lvl w:ilvl="1">
      <w:start w:val="2"/>
      <w:numFmt w:val="decimal"/>
      <w:isLgl/>
      <w:lvlText w:val="%1.%2"/>
      <w:lvlJc w:val="left"/>
      <w:pPr>
        <w:ind w:left="708" w:hanging="360"/>
      </w:pPr>
      <w:rPr>
        <w:rFonts w:cs="Times New Roman"/>
      </w:rPr>
    </w:lvl>
    <w:lvl w:ilvl="2">
      <w:start w:val="1"/>
      <w:numFmt w:val="decimal"/>
      <w:isLgl/>
      <w:lvlText w:val="%1.%2.%3"/>
      <w:lvlJc w:val="left"/>
      <w:pPr>
        <w:ind w:left="1428" w:hanging="720"/>
      </w:pPr>
      <w:rPr>
        <w:rFonts w:cs="Times New Roman"/>
      </w:rPr>
    </w:lvl>
    <w:lvl w:ilvl="3">
      <w:start w:val="1"/>
      <w:numFmt w:val="decimal"/>
      <w:isLgl/>
      <w:lvlText w:val="%1.%2.%3.%4"/>
      <w:lvlJc w:val="left"/>
      <w:pPr>
        <w:ind w:left="1428" w:hanging="720"/>
      </w:pPr>
      <w:rPr>
        <w:rFonts w:cs="Times New Roman"/>
      </w:rPr>
    </w:lvl>
    <w:lvl w:ilvl="4">
      <w:start w:val="1"/>
      <w:numFmt w:val="decimal"/>
      <w:isLgl/>
      <w:lvlText w:val="%1.%2.%3.%4.%5"/>
      <w:lvlJc w:val="left"/>
      <w:pPr>
        <w:ind w:left="1788" w:hanging="1080"/>
      </w:pPr>
      <w:rPr>
        <w:rFonts w:cs="Times New Roman"/>
      </w:rPr>
    </w:lvl>
    <w:lvl w:ilvl="5">
      <w:start w:val="1"/>
      <w:numFmt w:val="decimal"/>
      <w:isLgl/>
      <w:lvlText w:val="%1.%2.%3.%4.%5.%6"/>
      <w:lvlJc w:val="left"/>
      <w:pPr>
        <w:ind w:left="1788" w:hanging="1080"/>
      </w:pPr>
      <w:rPr>
        <w:rFonts w:cs="Times New Roman"/>
      </w:rPr>
    </w:lvl>
    <w:lvl w:ilvl="6">
      <w:start w:val="1"/>
      <w:numFmt w:val="decimal"/>
      <w:isLgl/>
      <w:lvlText w:val="%1.%2.%3.%4.%5.%6.%7"/>
      <w:lvlJc w:val="left"/>
      <w:pPr>
        <w:ind w:left="2148" w:hanging="1440"/>
      </w:pPr>
      <w:rPr>
        <w:rFonts w:cs="Times New Roman"/>
      </w:rPr>
    </w:lvl>
    <w:lvl w:ilvl="7">
      <w:start w:val="1"/>
      <w:numFmt w:val="decimal"/>
      <w:isLgl/>
      <w:lvlText w:val="%1.%2.%3.%4.%5.%6.%7.%8"/>
      <w:lvlJc w:val="left"/>
      <w:pPr>
        <w:ind w:left="2148" w:hanging="1440"/>
      </w:pPr>
      <w:rPr>
        <w:rFonts w:cs="Times New Roman"/>
      </w:rPr>
    </w:lvl>
    <w:lvl w:ilvl="8">
      <w:start w:val="1"/>
      <w:numFmt w:val="decimal"/>
      <w:isLgl/>
      <w:lvlText w:val="%1.%2.%3.%4.%5.%6.%7.%8.%9"/>
      <w:lvlJc w:val="left"/>
      <w:pPr>
        <w:ind w:left="2508" w:hanging="1800"/>
      </w:pPr>
      <w:rPr>
        <w:rFonts w:cs="Times New Roman"/>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9A5723"/>
    <w:multiLevelType w:val="hybridMultilevel"/>
    <w:tmpl w:val="4614EE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F371B4A"/>
    <w:multiLevelType w:val="hybridMultilevel"/>
    <w:tmpl w:val="F79E1380"/>
    <w:lvl w:ilvl="0" w:tplc="240A000F">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0530473">
    <w:abstractNumId w:val="7"/>
  </w:num>
  <w:num w:numId="2" w16cid:durableId="2002660880">
    <w:abstractNumId w:val="2"/>
  </w:num>
  <w:num w:numId="3" w16cid:durableId="1111785420">
    <w:abstractNumId w:val="5"/>
  </w:num>
  <w:num w:numId="4" w16cid:durableId="715541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2060244">
    <w:abstractNumId w:val="2"/>
  </w:num>
  <w:num w:numId="6" w16cid:durableId="622031733">
    <w:abstractNumId w:val="17"/>
  </w:num>
  <w:num w:numId="7" w16cid:durableId="2077165507">
    <w:abstractNumId w:val="6"/>
  </w:num>
  <w:num w:numId="8" w16cid:durableId="1858428025">
    <w:abstractNumId w:val="16"/>
  </w:num>
  <w:num w:numId="9" w16cid:durableId="1619414586">
    <w:abstractNumId w:val="8"/>
  </w:num>
  <w:num w:numId="10" w16cid:durableId="1798990184">
    <w:abstractNumId w:val="15"/>
  </w:num>
  <w:num w:numId="11" w16cid:durableId="1140852585">
    <w:abstractNumId w:val="9"/>
  </w:num>
  <w:num w:numId="12" w16cid:durableId="1603342907">
    <w:abstractNumId w:val="1"/>
  </w:num>
  <w:num w:numId="13" w16cid:durableId="1599369937">
    <w:abstractNumId w:val="4"/>
  </w:num>
  <w:num w:numId="14" w16cid:durableId="2098210735">
    <w:abstractNumId w:val="18"/>
  </w:num>
  <w:num w:numId="15" w16cid:durableId="387730508">
    <w:abstractNumId w:val="14"/>
  </w:num>
  <w:num w:numId="16" w16cid:durableId="1320882500">
    <w:abstractNumId w:val="0"/>
  </w:num>
  <w:num w:numId="17" w16cid:durableId="1041396035">
    <w:abstractNumId w:val="10"/>
  </w:num>
  <w:num w:numId="18" w16cid:durableId="573206243">
    <w:abstractNumId w:val="13"/>
  </w:num>
  <w:num w:numId="19" w16cid:durableId="2031564428">
    <w:abstractNumId w:val="12"/>
  </w:num>
  <w:num w:numId="20" w16cid:durableId="1525317266">
    <w:abstractNumId w:val="3"/>
  </w:num>
  <w:num w:numId="21" w16cid:durableId="899747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818"/>
    <w:rsid w:val="00016F78"/>
    <w:rsid w:val="00033C07"/>
    <w:rsid w:val="00034E0C"/>
    <w:rsid w:val="00046945"/>
    <w:rsid w:val="00061B2A"/>
    <w:rsid w:val="00082362"/>
    <w:rsid w:val="000A683E"/>
    <w:rsid w:val="000B19B9"/>
    <w:rsid w:val="000D0334"/>
    <w:rsid w:val="000D5DA7"/>
    <w:rsid w:val="000F1D66"/>
    <w:rsid w:val="000F6486"/>
    <w:rsid w:val="001067F5"/>
    <w:rsid w:val="00116940"/>
    <w:rsid w:val="00125105"/>
    <w:rsid w:val="00127233"/>
    <w:rsid w:val="00132477"/>
    <w:rsid w:val="0015699B"/>
    <w:rsid w:val="00160240"/>
    <w:rsid w:val="00182466"/>
    <w:rsid w:val="001A33BF"/>
    <w:rsid w:val="001C050D"/>
    <w:rsid w:val="001E4177"/>
    <w:rsid w:val="001F0B24"/>
    <w:rsid w:val="001F7DC6"/>
    <w:rsid w:val="002069C0"/>
    <w:rsid w:val="0022400B"/>
    <w:rsid w:val="002421BB"/>
    <w:rsid w:val="00242B11"/>
    <w:rsid w:val="002521A9"/>
    <w:rsid w:val="0025796E"/>
    <w:rsid w:val="002707A2"/>
    <w:rsid w:val="00285A59"/>
    <w:rsid w:val="002951A0"/>
    <w:rsid w:val="002962BC"/>
    <w:rsid w:val="002A093D"/>
    <w:rsid w:val="002A0DD0"/>
    <w:rsid w:val="002A49AC"/>
    <w:rsid w:val="002A64FD"/>
    <w:rsid w:val="002A7814"/>
    <w:rsid w:val="002C7A84"/>
    <w:rsid w:val="002E2BF8"/>
    <w:rsid w:val="002E4FD9"/>
    <w:rsid w:val="0030657A"/>
    <w:rsid w:val="00307AF4"/>
    <w:rsid w:val="00322A85"/>
    <w:rsid w:val="00324168"/>
    <w:rsid w:val="00330834"/>
    <w:rsid w:val="0033734F"/>
    <w:rsid w:val="003448F4"/>
    <w:rsid w:val="00374F5E"/>
    <w:rsid w:val="0037759D"/>
    <w:rsid w:val="00377E3E"/>
    <w:rsid w:val="003A08E9"/>
    <w:rsid w:val="003A779E"/>
    <w:rsid w:val="003B6B22"/>
    <w:rsid w:val="003C0E34"/>
    <w:rsid w:val="003D0F4D"/>
    <w:rsid w:val="003D5B0D"/>
    <w:rsid w:val="003E0499"/>
    <w:rsid w:val="003E4F80"/>
    <w:rsid w:val="003E6439"/>
    <w:rsid w:val="003F3941"/>
    <w:rsid w:val="00406575"/>
    <w:rsid w:val="0040740F"/>
    <w:rsid w:val="00414C74"/>
    <w:rsid w:val="0042722E"/>
    <w:rsid w:val="00433C34"/>
    <w:rsid w:val="0044528D"/>
    <w:rsid w:val="004461F5"/>
    <w:rsid w:val="00456126"/>
    <w:rsid w:val="00466E39"/>
    <w:rsid w:val="00497699"/>
    <w:rsid w:val="004A1847"/>
    <w:rsid w:val="004A305D"/>
    <w:rsid w:val="004F21C4"/>
    <w:rsid w:val="004F685F"/>
    <w:rsid w:val="00530EA5"/>
    <w:rsid w:val="00533ED2"/>
    <w:rsid w:val="005566E8"/>
    <w:rsid w:val="00574867"/>
    <w:rsid w:val="00591460"/>
    <w:rsid w:val="005A65E0"/>
    <w:rsid w:val="005C3777"/>
    <w:rsid w:val="005C5CDC"/>
    <w:rsid w:val="005D3FCE"/>
    <w:rsid w:val="005D476C"/>
    <w:rsid w:val="005E300A"/>
    <w:rsid w:val="005E7584"/>
    <w:rsid w:val="0060220A"/>
    <w:rsid w:val="006200BF"/>
    <w:rsid w:val="006219F8"/>
    <w:rsid w:val="006302F7"/>
    <w:rsid w:val="00630830"/>
    <w:rsid w:val="00635A19"/>
    <w:rsid w:val="00646B9F"/>
    <w:rsid w:val="00665D70"/>
    <w:rsid w:val="00680580"/>
    <w:rsid w:val="00686695"/>
    <w:rsid w:val="006900D9"/>
    <w:rsid w:val="00694BC1"/>
    <w:rsid w:val="006D0824"/>
    <w:rsid w:val="00706C16"/>
    <w:rsid w:val="007340C3"/>
    <w:rsid w:val="0075235A"/>
    <w:rsid w:val="007557C1"/>
    <w:rsid w:val="00756841"/>
    <w:rsid w:val="007649AB"/>
    <w:rsid w:val="0076580A"/>
    <w:rsid w:val="00767E71"/>
    <w:rsid w:val="00771D0C"/>
    <w:rsid w:val="007833AC"/>
    <w:rsid w:val="00784508"/>
    <w:rsid w:val="00791A19"/>
    <w:rsid w:val="007B268C"/>
    <w:rsid w:val="007B7171"/>
    <w:rsid w:val="007C0C0F"/>
    <w:rsid w:val="007C3DC2"/>
    <w:rsid w:val="007E5497"/>
    <w:rsid w:val="00806F5F"/>
    <w:rsid w:val="00816915"/>
    <w:rsid w:val="00820278"/>
    <w:rsid w:val="008258C9"/>
    <w:rsid w:val="00844AE9"/>
    <w:rsid w:val="00867F95"/>
    <w:rsid w:val="008843B6"/>
    <w:rsid w:val="00891928"/>
    <w:rsid w:val="008A446D"/>
    <w:rsid w:val="008B25F1"/>
    <w:rsid w:val="008D180B"/>
    <w:rsid w:val="008E67A3"/>
    <w:rsid w:val="008F0EA7"/>
    <w:rsid w:val="00923EEF"/>
    <w:rsid w:val="00933EEB"/>
    <w:rsid w:val="009419F9"/>
    <w:rsid w:val="0095685E"/>
    <w:rsid w:val="00961B09"/>
    <w:rsid w:val="00965334"/>
    <w:rsid w:val="0097093E"/>
    <w:rsid w:val="009A0DFA"/>
    <w:rsid w:val="009A1C6F"/>
    <w:rsid w:val="009B2D26"/>
    <w:rsid w:val="009C1FC9"/>
    <w:rsid w:val="009C71FA"/>
    <w:rsid w:val="009C72E7"/>
    <w:rsid w:val="009C7F7E"/>
    <w:rsid w:val="009D3058"/>
    <w:rsid w:val="009F3A13"/>
    <w:rsid w:val="00A022D0"/>
    <w:rsid w:val="00A068ED"/>
    <w:rsid w:val="00A122D3"/>
    <w:rsid w:val="00A14468"/>
    <w:rsid w:val="00A17F13"/>
    <w:rsid w:val="00A20739"/>
    <w:rsid w:val="00A23AF9"/>
    <w:rsid w:val="00A33C78"/>
    <w:rsid w:val="00A64514"/>
    <w:rsid w:val="00A9173D"/>
    <w:rsid w:val="00AB0ADB"/>
    <w:rsid w:val="00AC3CD0"/>
    <w:rsid w:val="00AE3490"/>
    <w:rsid w:val="00B00C0E"/>
    <w:rsid w:val="00B01B1A"/>
    <w:rsid w:val="00B0381D"/>
    <w:rsid w:val="00B1610D"/>
    <w:rsid w:val="00B2296D"/>
    <w:rsid w:val="00B44A47"/>
    <w:rsid w:val="00B701C2"/>
    <w:rsid w:val="00B72CD3"/>
    <w:rsid w:val="00B72FFF"/>
    <w:rsid w:val="00B75F03"/>
    <w:rsid w:val="00BC3D36"/>
    <w:rsid w:val="00BD54A6"/>
    <w:rsid w:val="00BD7F72"/>
    <w:rsid w:val="00BF7425"/>
    <w:rsid w:val="00C04FB3"/>
    <w:rsid w:val="00C11D8B"/>
    <w:rsid w:val="00C15139"/>
    <w:rsid w:val="00C330EB"/>
    <w:rsid w:val="00C402FD"/>
    <w:rsid w:val="00C50D69"/>
    <w:rsid w:val="00C5365C"/>
    <w:rsid w:val="00C73E5E"/>
    <w:rsid w:val="00C754BE"/>
    <w:rsid w:val="00C76B1C"/>
    <w:rsid w:val="00C826DF"/>
    <w:rsid w:val="00C925AC"/>
    <w:rsid w:val="00CB6357"/>
    <w:rsid w:val="00CC1B26"/>
    <w:rsid w:val="00CE0ECB"/>
    <w:rsid w:val="00D00F77"/>
    <w:rsid w:val="00D22018"/>
    <w:rsid w:val="00D3329B"/>
    <w:rsid w:val="00D361FD"/>
    <w:rsid w:val="00D423A2"/>
    <w:rsid w:val="00D44E26"/>
    <w:rsid w:val="00D520D8"/>
    <w:rsid w:val="00D63AC2"/>
    <w:rsid w:val="00D66B44"/>
    <w:rsid w:val="00D677D7"/>
    <w:rsid w:val="00D7383B"/>
    <w:rsid w:val="00D7788A"/>
    <w:rsid w:val="00D90F08"/>
    <w:rsid w:val="00D9B3B4"/>
    <w:rsid w:val="00DA231B"/>
    <w:rsid w:val="00DC39FC"/>
    <w:rsid w:val="00DC41BF"/>
    <w:rsid w:val="00DE2CCF"/>
    <w:rsid w:val="00DE5F38"/>
    <w:rsid w:val="00DF2C64"/>
    <w:rsid w:val="00DF5254"/>
    <w:rsid w:val="00E02524"/>
    <w:rsid w:val="00E16408"/>
    <w:rsid w:val="00E17188"/>
    <w:rsid w:val="00E20894"/>
    <w:rsid w:val="00E245AB"/>
    <w:rsid w:val="00E2764C"/>
    <w:rsid w:val="00E27F2E"/>
    <w:rsid w:val="00E30087"/>
    <w:rsid w:val="00E50AFE"/>
    <w:rsid w:val="00E51BF2"/>
    <w:rsid w:val="00E573EF"/>
    <w:rsid w:val="00E75C92"/>
    <w:rsid w:val="00E771DC"/>
    <w:rsid w:val="00E8772A"/>
    <w:rsid w:val="00E90F6B"/>
    <w:rsid w:val="00E92C27"/>
    <w:rsid w:val="00EA0E3D"/>
    <w:rsid w:val="00EC38A7"/>
    <w:rsid w:val="00EE1AA8"/>
    <w:rsid w:val="00EF2579"/>
    <w:rsid w:val="00F23FEA"/>
    <w:rsid w:val="00F31EDC"/>
    <w:rsid w:val="00F462B3"/>
    <w:rsid w:val="00F54462"/>
    <w:rsid w:val="00F5664F"/>
    <w:rsid w:val="00F666C4"/>
    <w:rsid w:val="00F76AFC"/>
    <w:rsid w:val="00F8618A"/>
    <w:rsid w:val="00F86EF5"/>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7C6A15"/>
    <w:rsid w:val="2EE1E026"/>
    <w:rsid w:val="2F44F38F"/>
    <w:rsid w:val="30821638"/>
    <w:rsid w:val="32A4F9CF"/>
    <w:rsid w:val="33A1FF93"/>
    <w:rsid w:val="356CEDFD"/>
    <w:rsid w:val="3C591AFD"/>
    <w:rsid w:val="42183F0A"/>
    <w:rsid w:val="49A0212A"/>
    <w:rsid w:val="545B112A"/>
    <w:rsid w:val="5BEB1497"/>
    <w:rsid w:val="606BD964"/>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F,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Lista vistosa - Énfasis 1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0E34"/>
    <w:rPr>
      <w:rFonts w:ascii="Geomanist Light" w:hAnsi="Geomanist Light"/>
      <w:lang w:val="es-ES"/>
    </w:rPr>
  </w:style>
  <w:style w:type="paragraph" w:customStyle="1" w:styleId="Appelnotedebasde">
    <w:name w:val="Appel note de bas de..."/>
    <w:basedOn w:val="Normal"/>
    <w:link w:val="Refdenotaalpie"/>
    <w:uiPriority w:val="99"/>
    <w:rsid w:val="00635A19"/>
    <w:pPr>
      <w:spacing w:line="240" w:lineRule="exact"/>
    </w:pPr>
    <w:rPr>
      <w:vertAlign w:val="superscript"/>
    </w:rPr>
  </w:style>
  <w:style w:type="paragraph" w:styleId="Sinespaciado">
    <w:name w:val="No Spacing"/>
    <w:uiPriority w:val="1"/>
    <w:qFormat/>
    <w:rsid w:val="00635A19"/>
    <w:pPr>
      <w:spacing w:after="0" w:line="240" w:lineRule="auto"/>
    </w:pPr>
  </w:style>
  <w:style w:type="character" w:customStyle="1" w:styleId="s15">
    <w:name w:val="s15"/>
    <w:basedOn w:val="Fuentedeprrafopredeter"/>
    <w:rsid w:val="00635A19"/>
  </w:style>
  <w:style w:type="character" w:customStyle="1" w:styleId="NormalWebCar">
    <w:name w:val="Normal (Web) Car"/>
    <w:link w:val="NormalWeb"/>
    <w:uiPriority w:val="99"/>
    <w:locked/>
    <w:rsid w:val="00DC41BF"/>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DC41BF"/>
    <w:rPr>
      <w:b/>
      <w:bCs/>
    </w:rPr>
  </w:style>
  <w:style w:type="character" w:styleId="nfasis">
    <w:name w:val="Emphasis"/>
    <w:basedOn w:val="Fuentedeprrafopredeter"/>
    <w:uiPriority w:val="20"/>
    <w:qFormat/>
    <w:rsid w:val="00DC41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530165">
      <w:bodyDiv w:val="1"/>
      <w:marLeft w:val="0"/>
      <w:marRight w:val="0"/>
      <w:marTop w:val="0"/>
      <w:marBottom w:val="0"/>
      <w:divBdr>
        <w:top w:val="none" w:sz="0" w:space="0" w:color="auto"/>
        <w:left w:val="none" w:sz="0" w:space="0" w:color="auto"/>
        <w:bottom w:val="none" w:sz="0" w:space="0" w:color="auto"/>
        <w:right w:val="none" w:sz="0" w:space="0" w:color="auto"/>
      </w:divBdr>
      <w:divsChild>
        <w:div w:id="705372720">
          <w:marLeft w:val="0"/>
          <w:marRight w:val="0"/>
          <w:marTop w:val="0"/>
          <w:marBottom w:val="0"/>
          <w:divBdr>
            <w:top w:val="none" w:sz="0" w:space="0" w:color="auto"/>
            <w:left w:val="none" w:sz="0" w:space="0" w:color="auto"/>
            <w:bottom w:val="none" w:sz="0" w:space="0" w:color="auto"/>
            <w:right w:val="none" w:sz="0" w:space="0" w:color="auto"/>
          </w:divBdr>
        </w:div>
        <w:div w:id="541669948">
          <w:marLeft w:val="0"/>
          <w:marRight w:val="0"/>
          <w:marTop w:val="240"/>
          <w:marBottom w:val="240"/>
          <w:divBdr>
            <w:top w:val="none" w:sz="0" w:space="0" w:color="auto"/>
            <w:left w:val="none" w:sz="0" w:space="0" w:color="auto"/>
            <w:bottom w:val="none" w:sz="0" w:space="0" w:color="auto"/>
            <w:right w:val="none" w:sz="0" w:space="0" w:color="auto"/>
          </w:divBdr>
        </w:div>
        <w:div w:id="772673242">
          <w:marLeft w:val="0"/>
          <w:marRight w:val="0"/>
          <w:marTop w:val="240"/>
          <w:marBottom w:val="240"/>
          <w:divBdr>
            <w:top w:val="none" w:sz="0" w:space="0" w:color="auto"/>
            <w:left w:val="none" w:sz="0" w:space="0" w:color="auto"/>
            <w:bottom w:val="none" w:sz="0" w:space="0" w:color="auto"/>
            <w:right w:val="none" w:sz="0" w:space="0" w:color="auto"/>
          </w:divBdr>
        </w:div>
        <w:div w:id="1495409944">
          <w:marLeft w:val="0"/>
          <w:marRight w:val="0"/>
          <w:marTop w:val="240"/>
          <w:marBottom w:val="24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4912273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47092411">
      <w:bodyDiv w:val="1"/>
      <w:marLeft w:val="0"/>
      <w:marRight w:val="0"/>
      <w:marTop w:val="0"/>
      <w:marBottom w:val="0"/>
      <w:divBdr>
        <w:top w:val="none" w:sz="0" w:space="0" w:color="auto"/>
        <w:left w:val="none" w:sz="0" w:space="0" w:color="auto"/>
        <w:bottom w:val="none" w:sz="0" w:space="0" w:color="auto"/>
        <w:right w:val="none" w:sz="0" w:space="0" w:color="auto"/>
      </w:divBdr>
      <w:divsChild>
        <w:div w:id="1489708981">
          <w:marLeft w:val="100"/>
          <w:marRight w:val="106"/>
          <w:marTop w:val="240"/>
          <w:marBottom w:val="240"/>
          <w:divBdr>
            <w:top w:val="none" w:sz="0" w:space="0" w:color="auto"/>
            <w:left w:val="none" w:sz="0" w:space="0" w:color="auto"/>
            <w:bottom w:val="none" w:sz="0" w:space="0" w:color="auto"/>
            <w:right w:val="none" w:sz="0" w:space="0" w:color="auto"/>
          </w:divBdr>
        </w:div>
        <w:div w:id="1273396952">
          <w:marLeft w:val="0"/>
          <w:marRight w:val="0"/>
          <w:marTop w:val="0"/>
          <w:marBottom w:val="0"/>
          <w:divBdr>
            <w:top w:val="none" w:sz="0" w:space="0" w:color="auto"/>
            <w:left w:val="none" w:sz="0" w:space="0" w:color="auto"/>
            <w:bottom w:val="none" w:sz="0" w:space="0" w:color="auto"/>
            <w:right w:val="none" w:sz="0" w:space="0" w:color="auto"/>
          </w:divBdr>
        </w:div>
        <w:div w:id="1550530718">
          <w:marLeft w:val="0"/>
          <w:marRight w:val="0"/>
          <w:marTop w:val="240"/>
          <w:marBottom w:val="240"/>
          <w:divBdr>
            <w:top w:val="none" w:sz="0" w:space="0" w:color="auto"/>
            <w:left w:val="none" w:sz="0" w:space="0" w:color="auto"/>
            <w:bottom w:val="none" w:sz="0" w:space="0" w:color="auto"/>
            <w:right w:val="none" w:sz="0" w:space="0" w:color="auto"/>
          </w:divBdr>
        </w:div>
        <w:div w:id="540636143">
          <w:marLeft w:val="0"/>
          <w:marRight w:val="0"/>
          <w:marTop w:val="240"/>
          <w:marBottom w:val="240"/>
          <w:divBdr>
            <w:top w:val="none" w:sz="0" w:space="0" w:color="auto"/>
            <w:left w:val="none" w:sz="0" w:space="0" w:color="auto"/>
            <w:bottom w:val="none" w:sz="0" w:space="0" w:color="auto"/>
            <w:right w:val="none" w:sz="0" w:space="0" w:color="auto"/>
          </w:divBdr>
        </w:div>
        <w:div w:id="1026057593">
          <w:marLeft w:val="0"/>
          <w:marRight w:val="0"/>
          <w:marTop w:val="0"/>
          <w:marBottom w:val="0"/>
          <w:divBdr>
            <w:top w:val="none" w:sz="0" w:space="0" w:color="auto"/>
            <w:left w:val="none" w:sz="0" w:space="0" w:color="auto"/>
            <w:bottom w:val="none" w:sz="0" w:space="0" w:color="auto"/>
            <w:right w:val="none" w:sz="0" w:space="0" w:color="auto"/>
          </w:divBdr>
        </w:div>
        <w:div w:id="83263286">
          <w:marLeft w:val="0"/>
          <w:marRight w:val="0"/>
          <w:marTop w:val="0"/>
          <w:marBottom w:val="0"/>
          <w:divBdr>
            <w:top w:val="none" w:sz="0" w:space="0" w:color="auto"/>
            <w:left w:val="none" w:sz="0" w:space="0" w:color="auto"/>
            <w:bottom w:val="none" w:sz="0" w:space="0" w:color="auto"/>
            <w:right w:val="none" w:sz="0" w:space="0" w:color="auto"/>
          </w:divBdr>
        </w:div>
        <w:div w:id="2044595486">
          <w:marLeft w:val="0"/>
          <w:marRight w:val="0"/>
          <w:marTop w:val="240"/>
          <w:marBottom w:val="240"/>
          <w:divBdr>
            <w:top w:val="none" w:sz="0" w:space="0" w:color="auto"/>
            <w:left w:val="none" w:sz="0" w:space="0" w:color="auto"/>
            <w:bottom w:val="none" w:sz="0" w:space="0" w:color="auto"/>
            <w:right w:val="none" w:sz="0" w:space="0" w:color="auto"/>
          </w:divBdr>
        </w:div>
        <w:div w:id="845285608">
          <w:marLeft w:val="0"/>
          <w:marRight w:val="0"/>
          <w:marTop w:val="0"/>
          <w:marBottom w:val="0"/>
          <w:divBdr>
            <w:top w:val="none" w:sz="0" w:space="0" w:color="auto"/>
            <w:left w:val="none" w:sz="0" w:space="0" w:color="auto"/>
            <w:bottom w:val="none" w:sz="0" w:space="0" w:color="auto"/>
            <w:right w:val="none" w:sz="0" w:space="0" w:color="auto"/>
          </w:divBdr>
        </w:div>
        <w:div w:id="1083837429">
          <w:marLeft w:val="0"/>
          <w:marRight w:val="0"/>
          <w:marTop w:val="0"/>
          <w:marBottom w:val="0"/>
          <w:divBdr>
            <w:top w:val="none" w:sz="0" w:space="0" w:color="auto"/>
            <w:left w:val="none" w:sz="0" w:space="0" w:color="auto"/>
            <w:bottom w:val="none" w:sz="0" w:space="0" w:color="auto"/>
            <w:right w:val="none" w:sz="0" w:space="0" w:color="auto"/>
          </w:divBdr>
        </w:div>
        <w:div w:id="1005786922">
          <w:marLeft w:val="0"/>
          <w:marRight w:val="0"/>
          <w:marTop w:val="240"/>
          <w:marBottom w:val="240"/>
          <w:divBdr>
            <w:top w:val="none" w:sz="0" w:space="0" w:color="auto"/>
            <w:left w:val="none" w:sz="0" w:space="0" w:color="auto"/>
            <w:bottom w:val="none" w:sz="0" w:space="0" w:color="auto"/>
            <w:right w:val="none" w:sz="0" w:space="0" w:color="auto"/>
          </w:divBdr>
        </w:div>
        <w:div w:id="837186297">
          <w:marLeft w:val="0"/>
          <w:marRight w:val="0"/>
          <w:marTop w:val="0"/>
          <w:marBottom w:val="0"/>
          <w:divBdr>
            <w:top w:val="none" w:sz="0" w:space="0" w:color="auto"/>
            <w:left w:val="none" w:sz="0" w:space="0" w:color="auto"/>
            <w:bottom w:val="none" w:sz="0" w:space="0" w:color="auto"/>
            <w:right w:val="none" w:sz="0" w:space="0" w:color="auto"/>
          </w:divBdr>
        </w:div>
        <w:div w:id="1783961089">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756322810">
      <w:bodyDiv w:val="1"/>
      <w:marLeft w:val="0"/>
      <w:marRight w:val="0"/>
      <w:marTop w:val="0"/>
      <w:marBottom w:val="0"/>
      <w:divBdr>
        <w:top w:val="none" w:sz="0" w:space="0" w:color="auto"/>
        <w:left w:val="none" w:sz="0" w:space="0" w:color="auto"/>
        <w:bottom w:val="none" w:sz="0" w:space="0" w:color="auto"/>
        <w:right w:val="none" w:sz="0" w:space="0" w:color="auto"/>
      </w:divBdr>
    </w:div>
    <w:div w:id="2100786080">
      <w:bodyDiv w:val="1"/>
      <w:marLeft w:val="0"/>
      <w:marRight w:val="0"/>
      <w:marTop w:val="0"/>
      <w:marBottom w:val="0"/>
      <w:divBdr>
        <w:top w:val="none" w:sz="0" w:space="0" w:color="auto"/>
        <w:left w:val="none" w:sz="0" w:space="0" w:color="auto"/>
        <w:bottom w:val="none" w:sz="0" w:space="0" w:color="auto"/>
        <w:right w:val="none" w:sz="0" w:space="0" w:color="auto"/>
      </w:divBdr>
      <w:divsChild>
        <w:div w:id="1301571846">
          <w:marLeft w:val="0"/>
          <w:marRight w:val="0"/>
          <w:marTop w:val="0"/>
          <w:marBottom w:val="0"/>
          <w:divBdr>
            <w:top w:val="none" w:sz="0" w:space="0" w:color="auto"/>
            <w:left w:val="none" w:sz="0" w:space="0" w:color="auto"/>
            <w:bottom w:val="none" w:sz="0" w:space="0" w:color="auto"/>
            <w:right w:val="none" w:sz="0" w:space="0" w:color="auto"/>
          </w:divBdr>
        </w:div>
        <w:div w:id="969674482">
          <w:marLeft w:val="0"/>
          <w:marRight w:val="0"/>
          <w:marTop w:val="240"/>
          <w:marBottom w:val="240"/>
          <w:divBdr>
            <w:top w:val="none" w:sz="0" w:space="0" w:color="auto"/>
            <w:left w:val="none" w:sz="0" w:space="0" w:color="auto"/>
            <w:bottom w:val="none" w:sz="0" w:space="0" w:color="auto"/>
            <w:right w:val="none" w:sz="0" w:space="0" w:color="auto"/>
          </w:divBdr>
        </w:div>
        <w:div w:id="1938127911">
          <w:marLeft w:val="0"/>
          <w:marRight w:val="0"/>
          <w:marTop w:val="240"/>
          <w:marBottom w:val="240"/>
          <w:divBdr>
            <w:top w:val="none" w:sz="0" w:space="0" w:color="auto"/>
            <w:left w:val="none" w:sz="0" w:space="0" w:color="auto"/>
            <w:bottom w:val="none" w:sz="0" w:space="0" w:color="auto"/>
            <w:right w:val="none" w:sz="0" w:space="0" w:color="auto"/>
          </w:divBdr>
        </w:div>
        <w:div w:id="557135235">
          <w:marLeft w:val="0"/>
          <w:marRight w:val="0"/>
          <w:marTop w:val="240"/>
          <w:marBottom w:val="24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ucamicorrea@hotmail.e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5DF7F71-D983-4BA0-AD84-9053E2B459F0}"/>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20</TotalTime>
  <Pages>17</Pages>
  <Words>5674</Words>
  <Characters>31208</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36809</CharactersWithSpaces>
  <SharedDoc>false</SharedDoc>
  <HLinks>
    <vt:vector size="54"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2752636</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vt:lpwstr>
      </vt:variant>
      <vt:variant>
        <vt:lpwstr/>
      </vt:variant>
      <vt:variant>
        <vt:i4>7340154</vt:i4>
      </vt:variant>
      <vt:variant>
        <vt:i4>12</vt:i4>
      </vt:variant>
      <vt:variant>
        <vt:i4>0</vt:i4>
      </vt:variant>
      <vt:variant>
        <vt:i4>5</vt:i4>
      </vt:variant>
      <vt:variant>
        <vt:lpwstr>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vt:lpwstr>
      </vt:variant>
      <vt:variant>
        <vt:lpwstr/>
      </vt:variant>
      <vt:variant>
        <vt:i4>7405690</vt:i4>
      </vt:variant>
      <vt:variant>
        <vt:i4>9</vt:i4>
      </vt:variant>
      <vt:variant>
        <vt:i4>0</vt:i4>
      </vt:variant>
      <vt:variant>
        <vt:i4>5</vt:i4>
      </vt:variant>
      <vt:variant>
        <vt:lpwstr>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vt:lpwstr>
      </vt:variant>
      <vt:variant>
        <vt:lpwstr/>
      </vt:variant>
      <vt:variant>
        <vt:i4>2490427</vt:i4>
      </vt:variant>
      <vt:variant>
        <vt:i4>6</vt:i4>
      </vt:variant>
      <vt:variant>
        <vt:i4>0</vt:i4>
      </vt:variant>
      <vt:variant>
        <vt:i4>5</vt:i4>
      </vt:variant>
      <vt:variant>
        <vt:lpwstr>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6750292</vt:i4>
      </vt:variant>
      <vt:variant>
        <vt:i4>0</vt:i4>
      </vt:variant>
      <vt:variant>
        <vt:i4>0</vt:i4>
      </vt:variant>
      <vt:variant>
        <vt:i4>5</vt:i4>
      </vt:variant>
      <vt:variant>
        <vt:lpwstr>mailto:paucamicorrea@hotmail.es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7</cp:revision>
  <cp:lastPrinted>2023-01-10T21:18:00Z</cp:lastPrinted>
  <dcterms:created xsi:type="dcterms:W3CDTF">2026-09-14T22:02:00Z</dcterms:created>
  <dcterms:modified xsi:type="dcterms:W3CDTF">2026-09-15T20:48:00Z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