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80E46" w14:textId="77777777" w:rsidR="00512875" w:rsidRPr="00351C52" w:rsidRDefault="00512875" w:rsidP="00512875">
      <w:pPr>
        <w:spacing w:after="0" w:line="240" w:lineRule="auto"/>
        <w:jc w:val="both"/>
        <w:textAlignment w:val="baseline"/>
        <w:rPr>
          <w:rFonts w:ascii="Verdana" w:hAnsi="Verdana" w:cs="Arial"/>
          <w:b/>
          <w:bCs/>
          <w:lang w:val="es-ES_tradnl" w:eastAsia="es-CO"/>
        </w:rPr>
      </w:pPr>
      <w:r w:rsidRPr="00351C52">
        <w:rPr>
          <w:rFonts w:ascii="Verdana" w:hAnsi="Verdana" w:cs="Arial"/>
          <w:b/>
          <w:bCs/>
          <w:lang w:val="es-ES_tradnl" w:eastAsia="es-CO"/>
        </w:rPr>
        <w:t>LEY 816 DE 2003 – Apoyo a la industria nacional – Ámbito de aplicación</w:t>
      </w:r>
    </w:p>
    <w:p w14:paraId="68786FBD" w14:textId="77777777" w:rsidR="00512875" w:rsidRPr="00351C52" w:rsidRDefault="00512875" w:rsidP="00512875">
      <w:pPr>
        <w:spacing w:after="0" w:line="240" w:lineRule="auto"/>
        <w:jc w:val="both"/>
        <w:textAlignment w:val="baseline"/>
        <w:rPr>
          <w:rFonts w:ascii="Verdana" w:hAnsi="Verdana" w:cs="Arial"/>
          <w:b/>
          <w:bCs/>
          <w:sz w:val="20"/>
          <w:szCs w:val="20"/>
          <w:lang w:val="es-ES_tradnl" w:eastAsia="es-CO"/>
        </w:rPr>
      </w:pPr>
    </w:p>
    <w:p w14:paraId="6F639D78" w14:textId="77777777" w:rsidR="00512875" w:rsidRDefault="00512875" w:rsidP="00512875">
      <w:pPr>
        <w:spacing w:after="0" w:line="240" w:lineRule="auto"/>
        <w:jc w:val="both"/>
        <w:textAlignment w:val="baseline"/>
        <w:rPr>
          <w:rFonts w:ascii="Verdana" w:hAnsi="Verdana" w:cs="Arial"/>
          <w:bCs/>
          <w:sz w:val="20"/>
          <w:szCs w:val="20"/>
          <w:lang w:val="es-ES_tradnl" w:eastAsia="es-CO"/>
        </w:rPr>
      </w:pPr>
      <w:r w:rsidRPr="00351C52">
        <w:rPr>
          <w:rFonts w:ascii="Verdana" w:hAnsi="Verdana" w:cs="Arial"/>
          <w:bCs/>
          <w:sz w:val="20"/>
          <w:szCs w:val="20"/>
          <w:lang w:val="es-ES_tradnl" w:eastAsia="es-CO"/>
        </w:rPr>
        <w:t xml:space="preserve">[…] De acuerdo con dicha norma, 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competitivo</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xml:space="preserve">, en términos de dicha ley, ya sea, a través de licitaciones, convocatorias o concursos públicos, o mediante cualquier modalidad contractual,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excepto aquellas en que la ley no obligue a solicitar más de una propuesta</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xml:space="preserve"> . En este sentido, a un proceso de 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p w14:paraId="5B9CEF71"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p>
    <w:p w14:paraId="2E9A9CCA"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r w:rsidRPr="00351C52">
        <w:rPr>
          <w:rFonts w:ascii="Verdana" w:hAnsi="Verdana" w:cs="Arial"/>
          <w:bCs/>
          <w:sz w:val="20"/>
          <w:szCs w:val="20"/>
          <w:lang w:val="es-ES_tradnl" w:eastAsia="es-CO"/>
        </w:rPr>
        <w:t>A su vez, el artículo 1 de la Ley 816 de 2003 establece un segundo criterio para precisar su ámbito de aplicación, esto es, que cobija a todas las entidades de la Administración Pública que la integran de acuerdo con la Ley 489 de 1998, sin que la existencia de regímenes especiales pueda ser obstáculo para su observancia. Teniendo en cuenta lo anterior, la misma ley establece una excepción particular consistente en que se exceptúan las empresas prestadoras de servicios públicos domiciliarios, las cuales se regirán por las normas del derecho privado, de conformidad con preceptuado en las Leyes 142 de 1994 y 689 de 2001. En otras palabras, el segundo criterio definido en la Ley 816 de 2003 consiste en identificar si se refiere a una empresa de servicios públicos domiciliarios, puesto que esta tipología de entidades no estaría obligada a aplicar lo dispuesto en la Ley 816 de 2003.</w:t>
      </w:r>
    </w:p>
    <w:p w14:paraId="7C7DC9F2"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p>
    <w:p w14:paraId="00B93D95" w14:textId="77777777" w:rsidR="00512875" w:rsidRPr="00351C52" w:rsidRDefault="00512875" w:rsidP="00512875">
      <w:pPr>
        <w:spacing w:after="0" w:line="240" w:lineRule="auto"/>
        <w:jc w:val="both"/>
        <w:textAlignment w:val="baseline"/>
        <w:rPr>
          <w:rFonts w:ascii="Verdana" w:hAnsi="Verdana" w:cs="Arial"/>
          <w:b/>
          <w:bCs/>
          <w:lang w:val="es-ES_tradnl" w:eastAsia="es-CO"/>
        </w:rPr>
      </w:pPr>
      <w:r w:rsidRPr="00351C52">
        <w:rPr>
          <w:rFonts w:ascii="Verdana" w:hAnsi="Verdana" w:cs="Arial"/>
          <w:b/>
          <w:bCs/>
          <w:lang w:val="es-ES_tradnl" w:eastAsia="es-CO"/>
        </w:rPr>
        <w:t>DECRETO 680 DE 2021 – Regla de origen – Alcance servicios nacionales</w:t>
      </w:r>
    </w:p>
    <w:p w14:paraId="5D7C298F" w14:textId="77777777" w:rsidR="00512875" w:rsidRPr="00351C52" w:rsidRDefault="00512875" w:rsidP="00512875">
      <w:pPr>
        <w:spacing w:after="0" w:line="240" w:lineRule="auto"/>
        <w:jc w:val="both"/>
        <w:textAlignment w:val="baseline"/>
        <w:rPr>
          <w:rFonts w:ascii="Verdana" w:hAnsi="Verdana" w:cs="Arial"/>
          <w:b/>
          <w:bCs/>
          <w:sz w:val="20"/>
          <w:szCs w:val="20"/>
          <w:lang w:val="es-ES_tradnl" w:eastAsia="es-CO"/>
        </w:rPr>
      </w:pPr>
    </w:p>
    <w:p w14:paraId="7F534822"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r w:rsidRPr="00351C52">
        <w:rPr>
          <w:rFonts w:ascii="Verdana" w:hAnsi="Verdana" w:cs="Arial"/>
          <w:bCs/>
          <w:sz w:val="20"/>
          <w:szCs w:val="20"/>
          <w:lang w:val="es-ES_tradnl" w:eastAsia="es-CO"/>
        </w:rPr>
        <w:t xml:space="preserve">Conforme con la nueva noción de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Servicios Nacionales</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xml:space="preserve"> introducida por dicha norma, si el contrato estatal debe cumplirse en Colombia,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xml:space="preserve">. A continuación, dicho artículo establece </w:t>
      </w:r>
      <w:proofErr w:type="gramStart"/>
      <w:r w:rsidRPr="00351C52">
        <w:rPr>
          <w:rFonts w:ascii="Verdana" w:hAnsi="Verdana" w:cs="Arial"/>
          <w:bCs/>
          <w:sz w:val="20"/>
          <w:szCs w:val="20"/>
          <w:lang w:val="es-ES_tradnl" w:eastAsia="es-CO"/>
        </w:rPr>
        <w:t>que</w:t>
      </w:r>
      <w:proofErr w:type="gramEnd"/>
      <w:r w:rsidRPr="00351C52">
        <w:rPr>
          <w:rFonts w:ascii="Verdana" w:hAnsi="Verdana" w:cs="Arial"/>
          <w:bCs/>
          <w:sz w:val="20"/>
          <w:szCs w:val="20"/>
          <w:lang w:val="es-ES_tradnl" w:eastAsia="es-CO"/>
        </w:rPr>
        <w:t xml:space="preserve"> si el contrato estatal debe cumplirse en el extranjero y se somete a la normativa colombiana,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r>
        <w:rPr>
          <w:rFonts w:ascii="Verdana" w:hAnsi="Verdana" w:cs="Arial"/>
          <w:bCs/>
          <w:sz w:val="20"/>
          <w:szCs w:val="20"/>
          <w:lang w:val="es-ES_tradnl" w:eastAsia="es-CO"/>
        </w:rPr>
        <w:t>”</w:t>
      </w:r>
      <w:r w:rsidRPr="00351C52">
        <w:rPr>
          <w:rFonts w:ascii="Verdana" w:hAnsi="Verdana" w:cs="Arial"/>
          <w:bCs/>
          <w:sz w:val="20"/>
          <w:szCs w:val="20"/>
          <w:lang w:val="es-ES_tradnl" w:eastAsia="es-CO"/>
        </w:rPr>
        <w:t>.</w:t>
      </w:r>
    </w:p>
    <w:p w14:paraId="39034F51"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p>
    <w:p w14:paraId="4F069FC8" w14:textId="77777777" w:rsidR="00512875" w:rsidRPr="00351C52" w:rsidRDefault="00512875" w:rsidP="00512875">
      <w:pPr>
        <w:spacing w:after="0" w:line="240" w:lineRule="auto"/>
        <w:jc w:val="both"/>
        <w:textAlignment w:val="baseline"/>
        <w:rPr>
          <w:rFonts w:ascii="Verdana" w:hAnsi="Verdana" w:cs="Arial"/>
          <w:b/>
          <w:bCs/>
          <w:lang w:val="es-ES_tradnl" w:eastAsia="es-CO"/>
        </w:rPr>
      </w:pPr>
      <w:r w:rsidRPr="00351C52">
        <w:rPr>
          <w:rFonts w:ascii="Verdana" w:hAnsi="Verdana" w:cs="Arial"/>
          <w:b/>
          <w:bCs/>
          <w:lang w:val="es-ES_tradnl" w:eastAsia="es-CO"/>
        </w:rPr>
        <w:t>DECRETO 680 DE 2021 – Regla de origen – Criterios – Identificación – Bienes nacionales relevantes</w:t>
      </w:r>
    </w:p>
    <w:p w14:paraId="4C2C8ED4" w14:textId="77777777" w:rsidR="00512875" w:rsidRPr="00351C52" w:rsidRDefault="00512875" w:rsidP="00512875">
      <w:pPr>
        <w:spacing w:after="0" w:line="240" w:lineRule="auto"/>
        <w:jc w:val="both"/>
        <w:textAlignment w:val="baseline"/>
        <w:rPr>
          <w:rFonts w:ascii="Verdana" w:hAnsi="Verdana" w:cs="Arial"/>
          <w:bCs/>
          <w:sz w:val="20"/>
          <w:szCs w:val="20"/>
          <w:lang w:val="es-ES_tradnl" w:eastAsia="es-CO"/>
        </w:rPr>
      </w:pPr>
    </w:p>
    <w:p w14:paraId="64702651" w14:textId="77777777" w:rsidR="00512875" w:rsidRDefault="00512875" w:rsidP="00512875">
      <w:pPr>
        <w:spacing w:after="0" w:line="240" w:lineRule="auto"/>
        <w:jc w:val="both"/>
        <w:textAlignment w:val="baseline"/>
        <w:rPr>
          <w:rFonts w:ascii="Verdana" w:hAnsi="Verdana" w:cs="Arial"/>
          <w:bCs/>
          <w:sz w:val="20"/>
          <w:szCs w:val="20"/>
          <w:lang w:val="es-ES_tradnl" w:eastAsia="es-CO"/>
        </w:rPr>
      </w:pPr>
      <w:r w:rsidRPr="00351C52">
        <w:rPr>
          <w:rFonts w:ascii="Verdana" w:hAnsi="Verdana" w:cs="Arial"/>
          <w:bCs/>
          <w:sz w:val="20"/>
          <w:szCs w:val="20"/>
          <w:lang w:val="es-ES_tradnl" w:eastAsia="es-CO"/>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w:t>
      </w:r>
      <w:r>
        <w:rPr>
          <w:rFonts w:ascii="Verdana" w:hAnsi="Verdana" w:cs="Arial"/>
          <w:bCs/>
          <w:sz w:val="20"/>
          <w:szCs w:val="20"/>
          <w:lang w:val="es-ES_tradnl" w:eastAsia="es-CO"/>
        </w:rPr>
        <w:t>“</w:t>
      </w:r>
      <w:r w:rsidRPr="00351C52">
        <w:rPr>
          <w:rFonts w:ascii="Verdana" w:hAnsi="Verdana" w:cs="Arial"/>
          <w:bCs/>
          <w:sz w:val="20"/>
          <w:szCs w:val="20"/>
          <w:lang w:val="es-ES_tradnl" w:eastAsia="es-CO"/>
        </w:rPr>
        <w:t>el análisis del sector económico y de los oferentes, y, toda aquella información adicional con la que cuente la entidad estatal en la etapa de planeación del Proceso de Contratación</w:t>
      </w:r>
      <w:r>
        <w:rPr>
          <w:rFonts w:ascii="Verdana" w:hAnsi="Verdana" w:cs="Arial"/>
          <w:bCs/>
          <w:sz w:val="20"/>
          <w:szCs w:val="20"/>
          <w:lang w:val="es-ES_tradnl" w:eastAsia="es-CO"/>
        </w:rPr>
        <w:t>”</w:t>
      </w:r>
      <w:r w:rsidRPr="00351C52">
        <w:rPr>
          <w:rFonts w:ascii="Verdana" w:hAnsi="Verdana" w:cs="Arial"/>
          <w:bCs/>
          <w:sz w:val="20"/>
          <w:szCs w:val="20"/>
          <w:lang w:val="es-ES_tradnl" w:eastAsia="es-CO"/>
        </w:rPr>
        <w:t xml:space="preserve">, </w:t>
      </w:r>
      <w:proofErr w:type="spellStart"/>
      <w:r w:rsidRPr="00351C52">
        <w:rPr>
          <w:rFonts w:ascii="Verdana" w:hAnsi="Verdana" w:cs="Arial"/>
          <w:bCs/>
          <w:sz w:val="20"/>
          <w:szCs w:val="20"/>
          <w:lang w:val="es-ES_tradnl" w:eastAsia="es-CO"/>
        </w:rPr>
        <w:t>ii</w:t>
      </w:r>
      <w:proofErr w:type="spellEnd"/>
      <w:r w:rsidRPr="00351C52">
        <w:rPr>
          <w:rFonts w:ascii="Verdana" w:hAnsi="Verdana" w:cs="Arial"/>
          <w:bCs/>
          <w:sz w:val="20"/>
          <w:szCs w:val="20"/>
          <w:lang w:val="es-ES_tradnl" w:eastAsia="es-CO"/>
        </w:rPr>
        <w:t xml:space="preserve">) el porcentaje de participación de los bienes en el presupuesto del Proceso de Contratación y </w:t>
      </w:r>
      <w:proofErr w:type="spellStart"/>
      <w:r w:rsidRPr="00351C52">
        <w:rPr>
          <w:rFonts w:ascii="Verdana" w:hAnsi="Verdana" w:cs="Arial"/>
          <w:bCs/>
          <w:sz w:val="20"/>
          <w:szCs w:val="20"/>
          <w:lang w:val="es-ES_tradnl" w:eastAsia="es-CO"/>
        </w:rPr>
        <w:t>iii</w:t>
      </w:r>
      <w:proofErr w:type="spellEnd"/>
      <w:r w:rsidRPr="00351C52">
        <w:rPr>
          <w:rFonts w:ascii="Verdana" w:hAnsi="Verdana" w:cs="Arial"/>
          <w:bCs/>
          <w:sz w:val="20"/>
          <w:szCs w:val="20"/>
          <w:lang w:val="es-ES_tradnl" w:eastAsia="es-CO"/>
        </w:rPr>
        <w:t>) la existencia de los bienes en el Registro de Productores de Bienes Nacionales, en los términos del Decreto 2680 de 2009. En aplicación de estos criterios, corresponde a la entidad estatal determinar en los respectivos pliegos de condiciones o documentos equivalentes, la metodología conforme con la cual se asignará el puntaje correspondiente por apoyo a la industria nacional.</w:t>
      </w:r>
    </w:p>
    <w:p w14:paraId="3D7AE052" w14:textId="77777777" w:rsidR="00512875" w:rsidRPr="002D2E27" w:rsidRDefault="00512875" w:rsidP="00512875">
      <w:pPr>
        <w:spacing w:after="0" w:line="240" w:lineRule="auto"/>
        <w:jc w:val="both"/>
        <w:textAlignment w:val="baseline"/>
        <w:rPr>
          <w:rFonts w:ascii="Verdana" w:hAnsi="Verdana" w:cs="Arial"/>
          <w:bCs/>
          <w:sz w:val="20"/>
          <w:szCs w:val="20"/>
          <w:lang w:val="es-ES_tradnl" w:eastAsia="es-CO"/>
        </w:rPr>
      </w:pPr>
    </w:p>
    <w:p w14:paraId="2DFC7D09" w14:textId="77777777" w:rsidR="00512875" w:rsidRPr="00393789" w:rsidRDefault="00512875" w:rsidP="00512875">
      <w:pPr>
        <w:spacing w:after="0" w:line="240" w:lineRule="auto"/>
        <w:jc w:val="both"/>
        <w:rPr>
          <w:rFonts w:ascii="Verdana" w:eastAsia="Geomanist Light" w:hAnsi="Verdana" w:cs="Arial"/>
          <w:b/>
          <w:bCs/>
          <w:color w:val="000000" w:themeColor="text1"/>
          <w:lang w:val="es-MX"/>
        </w:rPr>
      </w:pPr>
      <w:r w:rsidRPr="00393789">
        <w:rPr>
          <w:rFonts w:ascii="Verdana" w:eastAsia="Calibri" w:hAnsi="Verdana" w:cs="Arial"/>
          <w:b/>
          <w:bCs/>
          <w:lang w:val="es-ES" w:eastAsia="es-ES"/>
        </w:rPr>
        <w:t>REGISTRO DE PRO</w:t>
      </w:r>
      <w:r>
        <w:rPr>
          <w:rFonts w:ascii="Verdana" w:eastAsia="Calibri" w:hAnsi="Verdana" w:cs="Arial"/>
          <w:b/>
          <w:bCs/>
          <w:lang w:val="es-ES" w:eastAsia="es-ES"/>
        </w:rPr>
        <w:t>DUCTORES</w:t>
      </w:r>
      <w:r w:rsidRPr="00393789">
        <w:rPr>
          <w:rFonts w:ascii="Verdana" w:eastAsia="Calibri" w:hAnsi="Verdana" w:cs="Arial"/>
          <w:b/>
          <w:bCs/>
          <w:lang w:val="es-ES" w:eastAsia="es-ES"/>
        </w:rPr>
        <w:t xml:space="preserve"> DE BIENES NACIONALES – Alcance – Aplicación</w:t>
      </w:r>
    </w:p>
    <w:p w14:paraId="4A55948A" w14:textId="77777777" w:rsidR="00512875" w:rsidRDefault="00512875" w:rsidP="00512875">
      <w:pPr>
        <w:spacing w:after="0" w:line="240" w:lineRule="auto"/>
        <w:rPr>
          <w:rFonts w:ascii="Verdana" w:eastAsia="Geomanist Light" w:hAnsi="Verdana" w:cs="Arial"/>
          <w:color w:val="000000" w:themeColor="text1"/>
          <w:lang w:val="es-MX"/>
        </w:rPr>
      </w:pPr>
    </w:p>
    <w:p w14:paraId="50305CE8" w14:textId="77777777" w:rsidR="00512875" w:rsidRDefault="00512875" w:rsidP="00512875">
      <w:pPr>
        <w:spacing w:after="0" w:line="240" w:lineRule="auto"/>
        <w:jc w:val="both"/>
        <w:rPr>
          <w:rFonts w:ascii="Verdana" w:hAnsi="Verdana" w:cs="Arial"/>
          <w:bCs/>
          <w:sz w:val="20"/>
          <w:szCs w:val="20"/>
          <w:lang w:val="es-ES_tradnl" w:eastAsia="es-CO"/>
        </w:rPr>
      </w:pPr>
      <w:r>
        <w:rPr>
          <w:rFonts w:ascii="Verdana" w:hAnsi="Verdana" w:cs="Arial"/>
          <w:bCs/>
          <w:sz w:val="20"/>
          <w:szCs w:val="20"/>
          <w:lang w:val="es-ES_tradnl" w:eastAsia="es-CO"/>
        </w:rPr>
        <w:t>E</w:t>
      </w:r>
      <w:r w:rsidRPr="00EC5DC9">
        <w:rPr>
          <w:rFonts w:ascii="Verdana" w:hAnsi="Verdana" w:cs="Arial"/>
          <w:bCs/>
          <w:sz w:val="20"/>
          <w:szCs w:val="20"/>
          <w:lang w:val="es-ES_tradnl" w:eastAsia="es-CO"/>
        </w:rPr>
        <w:t>l Registro de Productores de Bienes Nacionales adquiere relevancia en el marco del Decreto 680 de 2021, para efectos de la asignación del puntaje previsto en el inciso primero del artículo 2 de la Ley 816 de 2003, en aquellos procesos de contratación en los que se evalúe la oferta de bienes o servicios nacionales o de bienes o servicios extranjeros que reciban trato nacional, de conformidad con la regla de origen aplicable. En este contexto, la existencia de los bienes relevantes en el Registro constituye un elemento asociado a la aplicación del factor de evaluación orientado a la promoción de la industria nacional, y no un requisito habilitante autónomo exigible para participar en el proceso de selección.</w:t>
      </w:r>
    </w:p>
    <w:p w14:paraId="6A6903E6" w14:textId="77777777" w:rsidR="00512875" w:rsidRPr="00EC5DC9" w:rsidRDefault="00512875" w:rsidP="00512875">
      <w:pPr>
        <w:spacing w:after="0" w:line="240" w:lineRule="auto"/>
        <w:jc w:val="both"/>
        <w:rPr>
          <w:rFonts w:ascii="Verdana" w:hAnsi="Verdana" w:cs="Arial"/>
          <w:bCs/>
          <w:sz w:val="20"/>
          <w:szCs w:val="20"/>
          <w:lang w:val="es-ES_tradnl" w:eastAsia="es-CO"/>
        </w:rPr>
      </w:pPr>
    </w:p>
    <w:p w14:paraId="59C783AB" w14:textId="77777777" w:rsidR="00512875" w:rsidRPr="00EC5DC9" w:rsidRDefault="00512875" w:rsidP="00512875">
      <w:pPr>
        <w:spacing w:after="0" w:line="240" w:lineRule="auto"/>
        <w:jc w:val="both"/>
        <w:rPr>
          <w:rFonts w:ascii="Verdana" w:hAnsi="Verdana" w:cs="Arial"/>
          <w:bCs/>
          <w:sz w:val="20"/>
          <w:szCs w:val="20"/>
          <w:lang w:val="es-ES_tradnl" w:eastAsia="es-CO"/>
        </w:rPr>
      </w:pPr>
      <w:r w:rsidRPr="00EC5DC9">
        <w:rPr>
          <w:rFonts w:ascii="Verdana" w:hAnsi="Verdana" w:cs="Arial"/>
          <w:bCs/>
          <w:sz w:val="20"/>
          <w:szCs w:val="20"/>
          <w:lang w:val="es-ES_tradnl" w:eastAsia="es-CO"/>
        </w:rPr>
        <w:t>De esta manera, la aplicación de este mecanismo se encuentra vinculada a aquellos procesos de contratación en los que, de acuerdo con las reglas de evaluación previstas en el respectivo proceso, resulte procedente asignar el puntaje por la incorporación de bienes o servicios nacionales, como ocurre, en términos generales, en las modalidades de selección en las que existe una etapa de evaluación mediante factores de ponderación, como la licitación pública, la selección abreviada de menor cuantía y el concurso de méritos, según corresponda a las características del objeto y del proceso. Por el contrario, no resulta aplicable en aquellos procedimientos en los que, por su propia estructura, el precio constituye el único factor determinante de la selección, como ocurre con la selección abreviada para la adquisición de bienes y servicios de características técnicas uniformes mediante subasta inversa.</w:t>
      </w:r>
    </w:p>
    <w:p w14:paraId="56130D4A" w14:textId="77777777" w:rsidR="00512875" w:rsidRPr="00EC5DC9" w:rsidRDefault="00512875" w:rsidP="00512875">
      <w:pPr>
        <w:spacing w:after="0" w:line="240" w:lineRule="auto"/>
        <w:jc w:val="both"/>
        <w:rPr>
          <w:rFonts w:ascii="Verdana" w:hAnsi="Verdana" w:cs="Arial"/>
          <w:bCs/>
          <w:sz w:val="20"/>
          <w:szCs w:val="20"/>
          <w:lang w:val="es-ES_tradnl" w:eastAsia="es-CO"/>
        </w:rPr>
      </w:pPr>
    </w:p>
    <w:p w14:paraId="33F1A561" w14:textId="77777777" w:rsidR="00512875" w:rsidRPr="00EC5DC9" w:rsidRDefault="00512875" w:rsidP="00512875">
      <w:pPr>
        <w:spacing w:after="0" w:line="240" w:lineRule="auto"/>
        <w:jc w:val="both"/>
        <w:rPr>
          <w:rFonts w:ascii="Verdana" w:hAnsi="Verdana" w:cs="Arial"/>
          <w:bCs/>
          <w:sz w:val="20"/>
          <w:szCs w:val="20"/>
          <w:lang w:val="es-ES_tradnl" w:eastAsia="es-CO"/>
        </w:rPr>
      </w:pPr>
    </w:p>
    <w:p w14:paraId="58623761" w14:textId="77777777" w:rsidR="00512875" w:rsidRPr="00EC5DC9" w:rsidRDefault="00512875" w:rsidP="00512875">
      <w:pPr>
        <w:spacing w:after="0" w:line="240" w:lineRule="auto"/>
        <w:jc w:val="both"/>
        <w:rPr>
          <w:rFonts w:ascii="Verdana" w:hAnsi="Verdana" w:cs="Arial"/>
          <w:bCs/>
          <w:sz w:val="20"/>
          <w:szCs w:val="20"/>
          <w:lang w:val="es-ES_tradnl" w:eastAsia="es-CO"/>
        </w:rPr>
      </w:pPr>
    </w:p>
    <w:p w14:paraId="4AF36678" w14:textId="77777777" w:rsidR="00512875" w:rsidRDefault="00512875" w:rsidP="00512875">
      <w:pPr>
        <w:spacing w:after="0" w:line="240" w:lineRule="auto"/>
        <w:rPr>
          <w:rFonts w:ascii="Verdana" w:hAnsi="Verdana" w:cs="Arial"/>
          <w:bCs/>
          <w:sz w:val="20"/>
          <w:szCs w:val="20"/>
          <w:lang w:val="es-ES_tradnl" w:eastAsia="es-CO"/>
        </w:rPr>
      </w:pPr>
    </w:p>
    <w:p w14:paraId="76AEE873" w14:textId="77777777" w:rsidR="00512875" w:rsidRDefault="00512875" w:rsidP="00512875">
      <w:pPr>
        <w:spacing w:after="0" w:line="240" w:lineRule="auto"/>
        <w:rPr>
          <w:rFonts w:ascii="Verdana" w:hAnsi="Verdana" w:cs="Arial"/>
          <w:bCs/>
          <w:sz w:val="20"/>
          <w:szCs w:val="20"/>
          <w:lang w:val="es-ES_tradnl" w:eastAsia="es-CO"/>
        </w:rPr>
      </w:pPr>
    </w:p>
    <w:p w14:paraId="2F188255" w14:textId="77777777" w:rsidR="00512875" w:rsidRDefault="00512875" w:rsidP="00512875">
      <w:pPr>
        <w:spacing w:after="0" w:line="240" w:lineRule="auto"/>
        <w:rPr>
          <w:rFonts w:ascii="Verdana" w:hAnsi="Verdana" w:cs="Arial"/>
          <w:bCs/>
          <w:sz w:val="20"/>
          <w:szCs w:val="20"/>
          <w:lang w:val="es-ES_tradnl" w:eastAsia="es-CO"/>
        </w:rPr>
      </w:pPr>
    </w:p>
    <w:p w14:paraId="5A4CC8C6" w14:textId="77777777" w:rsidR="00512875" w:rsidRDefault="00512875" w:rsidP="00512875">
      <w:pPr>
        <w:spacing w:after="0" w:line="240" w:lineRule="auto"/>
        <w:rPr>
          <w:rFonts w:ascii="Verdana" w:eastAsia="Geomanist Light" w:hAnsi="Verdana" w:cs="Arial"/>
          <w:color w:val="000000" w:themeColor="text1"/>
          <w:lang w:val="es-MX"/>
        </w:rPr>
      </w:pPr>
    </w:p>
    <w:p w14:paraId="4EBF4239" w14:textId="77777777" w:rsidR="00512875" w:rsidRDefault="00512875" w:rsidP="00512875">
      <w:pPr>
        <w:spacing w:after="0" w:line="240" w:lineRule="auto"/>
        <w:rPr>
          <w:rFonts w:ascii="Verdana" w:eastAsia="Geomanist Light" w:hAnsi="Verdana" w:cs="Arial"/>
          <w:color w:val="000000" w:themeColor="text1"/>
          <w:lang w:val="es-MX"/>
        </w:rPr>
      </w:pPr>
    </w:p>
    <w:p w14:paraId="2DC808F5" w14:textId="42540D9B" w:rsidR="009F45A3" w:rsidRPr="00593A5F" w:rsidRDefault="009F45A3" w:rsidP="009F45A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85404D">
        <w:rPr>
          <w:rFonts w:ascii="Verdana" w:eastAsia="Geomanist Light" w:hAnsi="Verdana" w:cs="Arial"/>
          <w:color w:val="201F1E"/>
        </w:rPr>
        <w:t>25 de septiembre de 2026</w:t>
      </w:r>
    </w:p>
    <w:p w14:paraId="6E0C740C" w14:textId="24A13EFF" w:rsidR="009F45A3" w:rsidRDefault="00C71BCA" w:rsidP="009F45A3">
      <w:pPr>
        <w:spacing w:after="0" w:line="240" w:lineRule="auto"/>
        <w:jc w:val="both"/>
        <w:rPr>
          <w:rFonts w:ascii="Verdana" w:eastAsia="Calibri" w:hAnsi="Verdana" w:cs="Arial"/>
          <w:color w:val="000000"/>
          <w:lang w:val="es-ES"/>
        </w:rPr>
      </w:pPr>
      <w:r w:rsidRPr="0085404D">
        <w:rPr>
          <w:rFonts w:ascii="Verdana" w:eastAsia="Calibri" w:hAnsi="Verdana" w:cs="Arial"/>
          <w:noProof/>
          <w:color w:val="000000"/>
          <w:lang w:val="es-ES"/>
        </w:rPr>
        <w:drawing>
          <wp:anchor distT="0" distB="0" distL="114300" distR="114300" simplePos="0" relativeHeight="251658240" behindDoc="0" locked="0" layoutInCell="1" allowOverlap="1" wp14:anchorId="11A30755" wp14:editId="58FA780E">
            <wp:simplePos x="0" y="0"/>
            <wp:positionH relativeFrom="margin">
              <wp:align>right</wp:align>
            </wp:positionH>
            <wp:positionV relativeFrom="paragraph">
              <wp:posOffset>173355</wp:posOffset>
            </wp:positionV>
            <wp:extent cx="2218690" cy="967740"/>
            <wp:effectExtent l="0" t="0" r="0" b="3810"/>
            <wp:wrapSquare wrapText="bothSides"/>
            <wp:docPr id="6980573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8690" cy="967740"/>
                    </a:xfrm>
                    <a:prstGeom prst="rect">
                      <a:avLst/>
                    </a:prstGeom>
                    <a:noFill/>
                    <a:ln>
                      <a:noFill/>
                    </a:ln>
                  </pic:spPr>
                </pic:pic>
              </a:graphicData>
            </a:graphic>
            <wp14:sizeRelH relativeFrom="margin">
              <wp14:pctWidth>0</wp14:pctWidth>
            </wp14:sizeRelH>
          </wp:anchor>
        </w:drawing>
      </w:r>
    </w:p>
    <w:p w14:paraId="6ECCD06A" w14:textId="5AD7D207" w:rsidR="009F45A3" w:rsidRDefault="009F45A3" w:rsidP="009F45A3">
      <w:pPr>
        <w:spacing w:after="0" w:line="240" w:lineRule="auto"/>
        <w:jc w:val="right"/>
        <w:rPr>
          <w:rFonts w:ascii="Verdana" w:eastAsia="Calibri" w:hAnsi="Verdana" w:cs="Arial"/>
          <w:color w:val="000000"/>
          <w:lang w:val="es-ES"/>
        </w:rPr>
      </w:pPr>
    </w:p>
    <w:p w14:paraId="21CE0AA9" w14:textId="77777777" w:rsidR="009F45A3" w:rsidRDefault="009F45A3" w:rsidP="009F45A3">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787BBB13" w14:textId="77777777" w:rsidR="009F45A3" w:rsidRPr="004E06ED" w:rsidRDefault="009F45A3" w:rsidP="009F45A3">
      <w:pPr>
        <w:spacing w:after="0" w:line="240" w:lineRule="auto"/>
        <w:jc w:val="both"/>
        <w:rPr>
          <w:rFonts w:ascii="Verdana" w:eastAsia="Calibri" w:hAnsi="Verdana" w:cs="Arial"/>
          <w:b/>
          <w:bCs/>
          <w:lang w:val="es-ES" w:eastAsia="es-ES"/>
        </w:rPr>
      </w:pPr>
      <w:r w:rsidRPr="004E06ED">
        <w:rPr>
          <w:rFonts w:ascii="Verdana" w:eastAsia="Calibri" w:hAnsi="Verdana" w:cs="Arial"/>
          <w:b/>
          <w:bCs/>
          <w:lang w:val="es-ES" w:eastAsia="es-ES"/>
        </w:rPr>
        <w:t>Sandr</w:t>
      </w:r>
      <w:r>
        <w:rPr>
          <w:rFonts w:ascii="Verdana" w:eastAsia="Calibri" w:hAnsi="Verdana" w:cs="Arial"/>
          <w:b/>
          <w:bCs/>
          <w:lang w:val="es-ES" w:eastAsia="es-ES"/>
        </w:rPr>
        <w:t>a</w:t>
      </w:r>
      <w:r w:rsidRPr="004E06ED">
        <w:rPr>
          <w:rFonts w:ascii="Verdana" w:eastAsia="Calibri" w:hAnsi="Verdana" w:cs="Arial"/>
          <w:b/>
          <w:bCs/>
          <w:lang w:val="es-ES" w:eastAsia="es-ES"/>
        </w:rPr>
        <w:t xml:space="preserve"> Johana Fajardo Bustos</w:t>
      </w:r>
    </w:p>
    <w:p w14:paraId="3DC4C542" w14:textId="77777777" w:rsidR="009F45A3" w:rsidRDefault="009F45A3" w:rsidP="009F45A3">
      <w:pPr>
        <w:spacing w:after="0" w:line="240" w:lineRule="auto"/>
        <w:jc w:val="both"/>
        <w:rPr>
          <w:rFonts w:ascii="Verdana" w:eastAsia="Calibri" w:hAnsi="Verdana" w:cs="Arial"/>
          <w:lang w:eastAsia="es-ES"/>
        </w:rPr>
      </w:pPr>
      <w:r>
        <w:rPr>
          <w:rFonts w:ascii="Verdana" w:eastAsia="Calibri" w:hAnsi="Verdana" w:cs="Arial"/>
          <w:lang w:eastAsia="es-ES"/>
        </w:rPr>
        <w:t>Representante Legal</w:t>
      </w:r>
    </w:p>
    <w:p w14:paraId="40D04A78" w14:textId="77777777" w:rsidR="009F45A3" w:rsidRPr="00B96799" w:rsidRDefault="009F45A3" w:rsidP="009F45A3">
      <w:pPr>
        <w:spacing w:after="0" w:line="240" w:lineRule="auto"/>
        <w:jc w:val="both"/>
        <w:rPr>
          <w:rFonts w:ascii="Verdana" w:eastAsia="Calibri" w:hAnsi="Verdana" w:cs="Arial"/>
          <w:lang w:val="es-ES" w:eastAsia="es-ES"/>
        </w:rPr>
      </w:pPr>
      <w:r w:rsidRPr="00845FBF">
        <w:rPr>
          <w:rFonts w:ascii="Verdana" w:eastAsia="Calibri" w:hAnsi="Verdana" w:cs="Arial"/>
          <w:lang w:eastAsia="es-ES"/>
        </w:rPr>
        <w:t xml:space="preserve">Importadora Distribuidora </w:t>
      </w:r>
      <w:r>
        <w:rPr>
          <w:rFonts w:ascii="Verdana" w:eastAsia="Calibri" w:hAnsi="Verdana" w:cs="Arial"/>
          <w:lang w:eastAsia="es-ES"/>
        </w:rPr>
        <w:t>d</w:t>
      </w:r>
      <w:r w:rsidRPr="00845FBF">
        <w:rPr>
          <w:rFonts w:ascii="Verdana" w:eastAsia="Calibri" w:hAnsi="Verdana" w:cs="Arial"/>
          <w:lang w:eastAsia="es-ES"/>
        </w:rPr>
        <w:t>e Colombia S.A.S.</w:t>
      </w:r>
    </w:p>
    <w:p w14:paraId="11C5C11A" w14:textId="77777777" w:rsidR="009F45A3" w:rsidRPr="00C27767" w:rsidRDefault="009F45A3" w:rsidP="009F45A3">
      <w:pPr>
        <w:spacing w:after="0" w:line="240" w:lineRule="auto"/>
        <w:rPr>
          <w:rFonts w:ascii="Verdana" w:eastAsia="Calibri" w:hAnsi="Verdana" w:cs="Arial"/>
          <w:lang w:val="es-ES" w:eastAsia="es-ES"/>
        </w:rPr>
      </w:pPr>
      <w:hyperlink r:id="rId11" w:history="1">
        <w:r w:rsidRPr="00440815">
          <w:rPr>
            <w:rStyle w:val="Hipervnculo"/>
            <w:rFonts w:ascii="Verdana" w:hAnsi="Verdana"/>
          </w:rPr>
          <w:t>info@imdicol.com</w:t>
        </w:r>
      </w:hyperlink>
      <w:r>
        <w:rPr>
          <w:rFonts w:ascii="Verdana" w:hAnsi="Verdana"/>
        </w:rPr>
        <w:t xml:space="preserve"> </w:t>
      </w:r>
      <w:r w:rsidRPr="004E06ED">
        <w:rPr>
          <w:rFonts w:ascii="Verdana" w:hAnsi="Verdana"/>
        </w:rPr>
        <w:t xml:space="preserve"> </w:t>
      </w:r>
      <w:r w:rsidRPr="00C27767">
        <w:rPr>
          <w:rFonts w:ascii="Verdana" w:hAnsi="Verdana"/>
        </w:rPr>
        <w:t xml:space="preserve">                   </w:t>
      </w:r>
      <w:r w:rsidRPr="00C27767">
        <w:rPr>
          <w:rFonts w:ascii="Verdana" w:eastAsia="Calibri" w:hAnsi="Verdana" w:cs="Arial"/>
          <w:lang w:val="es-ES" w:eastAsia="es-ES"/>
        </w:rPr>
        <w:t xml:space="preserve">    </w:t>
      </w:r>
    </w:p>
    <w:p w14:paraId="6A8DBE50" w14:textId="77777777" w:rsidR="009F45A3" w:rsidRDefault="009F45A3" w:rsidP="009F45A3">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5ACAE1EC" w14:textId="77777777" w:rsidR="009F45A3" w:rsidRPr="00593A5F" w:rsidRDefault="009F45A3" w:rsidP="009F45A3">
      <w:pPr>
        <w:spacing w:after="0" w:line="240" w:lineRule="auto"/>
        <w:rPr>
          <w:rFonts w:ascii="Verdana" w:eastAsia="Calibri" w:hAnsi="Verdana" w:cs="Arial"/>
          <w:b/>
          <w:bCs/>
          <w:color w:val="000000"/>
          <w:lang w:val="es-ES_tradnl" w:eastAsia="es-ES_tradnl"/>
        </w:rPr>
      </w:pPr>
    </w:p>
    <w:p w14:paraId="3449F2ED" w14:textId="77777777" w:rsidR="009F45A3" w:rsidRPr="00593A5F" w:rsidRDefault="009F45A3" w:rsidP="009F45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45A3" w:rsidRPr="00593A5F" w14:paraId="534BF602" w14:textId="77777777" w:rsidTr="00A13622">
        <w:trPr>
          <w:trHeight w:val="884"/>
        </w:trPr>
        <w:tc>
          <w:tcPr>
            <w:tcW w:w="2689" w:type="dxa"/>
          </w:tcPr>
          <w:p w14:paraId="13F93FEC" w14:textId="77777777" w:rsidR="009F45A3" w:rsidRPr="00C00976" w:rsidRDefault="009F45A3" w:rsidP="00A13622">
            <w:pPr>
              <w:jc w:val="both"/>
              <w:rPr>
                <w:rFonts w:ascii="Verdana" w:eastAsia="Calibri" w:hAnsi="Verdana" w:cs="Arial"/>
                <w:b/>
                <w:bCs/>
                <w:color w:val="7030A0"/>
                <w:lang w:val="es-ES_tradnl" w:eastAsia="es-ES_tradnl"/>
              </w:rPr>
            </w:pPr>
          </w:p>
        </w:tc>
        <w:tc>
          <w:tcPr>
            <w:tcW w:w="6100" w:type="dxa"/>
          </w:tcPr>
          <w:p w14:paraId="5C1601B2" w14:textId="77777777" w:rsidR="009F45A3" w:rsidRPr="00C00976" w:rsidRDefault="009F45A3" w:rsidP="00A13622">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 xml:space="preserve">-1385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9F45A3" w:rsidRPr="00593A5F" w14:paraId="57A1BE3B" w14:textId="77777777" w:rsidTr="00A13622">
        <w:trPr>
          <w:trHeight w:val="884"/>
        </w:trPr>
        <w:tc>
          <w:tcPr>
            <w:tcW w:w="2689" w:type="dxa"/>
          </w:tcPr>
          <w:p w14:paraId="24299D98" w14:textId="77777777" w:rsidR="009F45A3" w:rsidRPr="00593A5F" w:rsidRDefault="009F45A3" w:rsidP="00A1362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B8F9527" w14:textId="77777777" w:rsidR="009F45A3" w:rsidRPr="00A11406" w:rsidRDefault="009F45A3" w:rsidP="00A13622">
            <w:pPr>
              <w:spacing w:line="276" w:lineRule="auto"/>
              <w:jc w:val="both"/>
              <w:rPr>
                <w:rFonts w:ascii="Verdana" w:eastAsia="Calibri" w:hAnsi="Verdana" w:cs="Arial"/>
                <w:lang w:val="es-ES" w:eastAsia="es-ES"/>
              </w:rPr>
            </w:pPr>
            <w:r w:rsidRPr="00351C52">
              <w:rPr>
                <w:rFonts w:ascii="Verdana" w:eastAsia="Calibri" w:hAnsi="Verdana" w:cs="Arial"/>
                <w:lang w:val="es-ES" w:eastAsia="es-ES"/>
              </w:rPr>
              <w:t>LEY 816 DE 2003 – Apoyo a la industria nacional – Ámbito de aplicación / DECRETO 680 DE 2021 – Regla de origen – Alcance servicios nacionales / DECRETO 680 DE 2021 – Regla de origen – Criterios – Identificación de bienes nacionales relevantes</w:t>
            </w:r>
            <w:r w:rsidRPr="009673B4">
              <w:rPr>
                <w:rFonts w:ascii="Verdana" w:eastAsia="Calibri" w:hAnsi="Verdana" w:cs="Arial"/>
                <w:lang w:val="es-ES" w:eastAsia="es-ES"/>
              </w:rPr>
              <w:t xml:space="preserve"> </w:t>
            </w:r>
            <w:r>
              <w:rPr>
                <w:rFonts w:ascii="Verdana" w:eastAsia="Calibri" w:hAnsi="Verdana" w:cs="Arial"/>
                <w:lang w:val="es-ES" w:eastAsia="es-ES"/>
              </w:rPr>
              <w:t xml:space="preserve">/ REGISTRO DE PRODUCTORES DE BIENES NACIONALES </w:t>
            </w:r>
            <w:r w:rsidRPr="00351C52">
              <w:rPr>
                <w:rFonts w:ascii="Verdana" w:eastAsia="Calibri" w:hAnsi="Verdana" w:cs="Arial"/>
                <w:lang w:val="es-ES" w:eastAsia="es-ES"/>
              </w:rPr>
              <w:t>–</w:t>
            </w:r>
            <w:r>
              <w:rPr>
                <w:rFonts w:ascii="Verdana" w:eastAsia="Calibri" w:hAnsi="Verdana" w:cs="Arial"/>
                <w:lang w:val="es-ES" w:eastAsia="es-ES"/>
              </w:rPr>
              <w:t xml:space="preserve"> Alcance </w:t>
            </w:r>
            <w:r w:rsidRPr="00351C52">
              <w:rPr>
                <w:rFonts w:ascii="Verdana" w:eastAsia="Calibri" w:hAnsi="Verdana" w:cs="Arial"/>
                <w:lang w:val="es-ES" w:eastAsia="es-ES"/>
              </w:rPr>
              <w:t>–</w:t>
            </w:r>
            <w:r>
              <w:rPr>
                <w:rFonts w:ascii="Verdana" w:eastAsia="Calibri" w:hAnsi="Verdana" w:cs="Arial"/>
                <w:lang w:val="es-ES" w:eastAsia="es-ES"/>
              </w:rPr>
              <w:t xml:space="preserve"> Aplicación </w:t>
            </w:r>
          </w:p>
          <w:p w14:paraId="7E59D733" w14:textId="77777777" w:rsidR="009F45A3" w:rsidRPr="00593A5F" w:rsidRDefault="009F45A3" w:rsidP="00A13622">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F45A3" w:rsidRPr="008E6AD9" w14:paraId="6191383C" w14:textId="77777777" w:rsidTr="00A13622">
        <w:tc>
          <w:tcPr>
            <w:tcW w:w="2689" w:type="dxa"/>
          </w:tcPr>
          <w:p w14:paraId="730BBD44" w14:textId="77777777" w:rsidR="009F45A3" w:rsidRPr="008E6AD9" w:rsidRDefault="009F45A3" w:rsidP="00A1362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468BFC2" w14:textId="77777777" w:rsidR="009F45A3" w:rsidRPr="00B92340" w:rsidRDefault="009F45A3" w:rsidP="00A13622">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E36361">
              <w:rPr>
                <w:rFonts w:ascii="Verdana" w:eastAsia="Calibri" w:hAnsi="Verdana" w:cs="Arial"/>
                <w:lang w:val="es-ES_tradnl" w:eastAsia="es-ES_tradnl"/>
              </w:rPr>
              <w:t>1_2026_09_03_011748</w:t>
            </w:r>
          </w:p>
        </w:tc>
      </w:tr>
    </w:tbl>
    <w:p w14:paraId="1B274FEF" w14:textId="77777777" w:rsidR="009F45A3" w:rsidRPr="00593A5F" w:rsidRDefault="009F45A3" w:rsidP="009F45A3">
      <w:pPr>
        <w:spacing w:after="0" w:line="240" w:lineRule="auto"/>
        <w:jc w:val="both"/>
        <w:rPr>
          <w:rFonts w:ascii="Verdana" w:eastAsia="Calibri" w:hAnsi="Verdana" w:cs="Arial"/>
          <w:color w:val="000000"/>
          <w:lang w:val="es-ES_tradnl" w:eastAsia="es-ES_tradnl"/>
        </w:rPr>
      </w:pPr>
    </w:p>
    <w:p w14:paraId="4E323A26" w14:textId="77777777" w:rsidR="009F45A3" w:rsidRPr="00593A5F" w:rsidRDefault="009F45A3" w:rsidP="009F45A3">
      <w:pPr>
        <w:spacing w:after="0" w:line="240" w:lineRule="auto"/>
        <w:jc w:val="both"/>
        <w:rPr>
          <w:rFonts w:ascii="Verdana" w:eastAsia="Calibri" w:hAnsi="Verdana" w:cs="Arial"/>
          <w:color w:val="000000"/>
          <w:lang w:val="es-ES_tradnl" w:eastAsia="es-ES_tradnl"/>
        </w:rPr>
      </w:pPr>
    </w:p>
    <w:p w14:paraId="77ED91BA" w14:textId="77777777" w:rsidR="009F45A3" w:rsidRPr="008E6AD9" w:rsidRDefault="009F45A3" w:rsidP="009F45A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Fajardo</w:t>
      </w:r>
      <w:r w:rsidRPr="008E6AD9">
        <w:rPr>
          <w:rFonts w:ascii="Verdana" w:eastAsia="Calibri" w:hAnsi="Verdana" w:cs="Arial"/>
          <w:lang w:val="es-ES" w:eastAsia="es-ES"/>
        </w:rPr>
        <w:t xml:space="preserve">: </w:t>
      </w:r>
    </w:p>
    <w:p w14:paraId="6FFC892C" w14:textId="77777777" w:rsidR="009F45A3" w:rsidRDefault="009F45A3" w:rsidP="009F45A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6275FE2" w14:textId="77777777" w:rsidR="009F45A3" w:rsidRPr="00593A5F" w:rsidRDefault="009F45A3" w:rsidP="009F45A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 de septiembre de 2026, donde solicita lo siguiente</w:t>
      </w:r>
      <w:r w:rsidRPr="008E6AD9">
        <w:rPr>
          <w:rFonts w:ascii="Verdana" w:eastAsia="Calibri" w:hAnsi="Verdana" w:cs="Arial"/>
          <w:lang w:val="es-ES" w:eastAsia="es-ES"/>
        </w:rPr>
        <w:t xml:space="preserve">: </w:t>
      </w:r>
    </w:p>
    <w:p w14:paraId="6F964787" w14:textId="77777777" w:rsidR="009F45A3" w:rsidRPr="00272A7B" w:rsidRDefault="009F45A3" w:rsidP="009F45A3">
      <w:pPr>
        <w:pStyle w:val="Prrafodelista"/>
        <w:tabs>
          <w:tab w:val="left" w:pos="142"/>
          <w:tab w:val="left" w:pos="284"/>
        </w:tabs>
        <w:spacing w:after="0" w:line="276" w:lineRule="auto"/>
        <w:ind w:left="0"/>
        <w:jc w:val="both"/>
        <w:rPr>
          <w:rFonts w:ascii="Verdana" w:eastAsia="Century Gothic" w:hAnsi="Verdana" w:cs="Century Gothic"/>
          <w:b/>
          <w:bCs/>
        </w:rPr>
      </w:pPr>
    </w:p>
    <w:p w14:paraId="7342EB7E" w14:textId="77777777" w:rsidR="009F45A3" w:rsidRPr="007F51FB" w:rsidRDefault="009F45A3" w:rsidP="009F45A3">
      <w:pPr>
        <w:spacing w:after="120" w:line="240" w:lineRule="auto"/>
        <w:ind w:left="709" w:right="709"/>
        <w:jc w:val="both"/>
        <w:rPr>
          <w:rFonts w:ascii="Verdana" w:eastAsia="Century Gothic" w:hAnsi="Verdana" w:cs="Arial"/>
          <w:sz w:val="20"/>
          <w:szCs w:val="20"/>
          <w:lang w:val="es-ES"/>
        </w:rPr>
      </w:pPr>
      <w:bookmarkStart w:id="0" w:name="_Hlk95313578"/>
      <w:r w:rsidRPr="001904AF">
        <w:rPr>
          <w:rFonts w:ascii="Verdana" w:eastAsia="Century Gothic" w:hAnsi="Verdana" w:cs="Century Gothic"/>
          <w:sz w:val="20"/>
          <w:szCs w:val="20"/>
          <w:lang w:val="es-ES"/>
        </w:rPr>
        <w:t>“</w:t>
      </w:r>
      <w:bookmarkEnd w:id="0"/>
      <w:r w:rsidRPr="007F51FB">
        <w:rPr>
          <w:rFonts w:ascii="Verdana" w:hAnsi="Verdana" w:cs="Arial"/>
          <w:sz w:val="20"/>
          <w:szCs w:val="20"/>
        </w:rPr>
        <w:t>1. ¿Es jurídicamente obligatorio que un bien ofertado en un proceso de selección abreviada por subasta inversa se encuentre inscrito en el Registro de Productores de Bienes Nacionales (RPBN)?</w:t>
      </w:r>
    </w:p>
    <w:p w14:paraId="69513EE0" w14:textId="77777777" w:rsidR="009F45A3" w:rsidRPr="007F51FB" w:rsidRDefault="009F45A3" w:rsidP="009F45A3">
      <w:pPr>
        <w:spacing w:after="120" w:line="240" w:lineRule="auto"/>
        <w:ind w:left="709" w:right="709"/>
        <w:jc w:val="both"/>
        <w:rPr>
          <w:rFonts w:ascii="Verdana" w:hAnsi="Verdana" w:cs="Arial"/>
          <w:sz w:val="20"/>
          <w:szCs w:val="20"/>
        </w:rPr>
      </w:pPr>
      <w:r w:rsidRPr="007F51FB">
        <w:rPr>
          <w:rFonts w:ascii="Verdana" w:hAnsi="Verdana" w:cs="Arial"/>
          <w:sz w:val="20"/>
          <w:szCs w:val="20"/>
        </w:rPr>
        <w:lastRenderedPageBreak/>
        <w:t xml:space="preserve">2. ¿Puede una entidad estatal establecer en los documentos del proceso que la inscripción del producto en el RPBN constituye un requisito habilitante o una condición obligatoria para participar en la subasta? </w:t>
      </w:r>
    </w:p>
    <w:p w14:paraId="6CE60C30" w14:textId="77777777" w:rsidR="009F45A3" w:rsidRPr="007F51FB" w:rsidRDefault="009F45A3" w:rsidP="009F45A3">
      <w:pPr>
        <w:spacing w:after="120" w:line="240" w:lineRule="auto"/>
        <w:ind w:left="709" w:right="709"/>
        <w:jc w:val="both"/>
        <w:rPr>
          <w:rFonts w:ascii="Verdana" w:hAnsi="Verdana" w:cs="Arial"/>
          <w:sz w:val="20"/>
          <w:szCs w:val="20"/>
        </w:rPr>
      </w:pPr>
      <w:r w:rsidRPr="007F51FB">
        <w:rPr>
          <w:rFonts w:ascii="Verdana" w:hAnsi="Verdana" w:cs="Arial"/>
          <w:sz w:val="20"/>
          <w:szCs w:val="20"/>
        </w:rPr>
        <w:t xml:space="preserve">3. ¿La ausencia de inscripción del producto en el RPBN puede constituir causal de rechazo de una oferta dentro de una subasta inversa? </w:t>
      </w:r>
    </w:p>
    <w:p w14:paraId="506E6E18" w14:textId="77777777" w:rsidR="009F45A3" w:rsidRPr="007F51FB" w:rsidRDefault="009F45A3" w:rsidP="009F45A3">
      <w:pPr>
        <w:spacing w:after="120" w:line="240" w:lineRule="auto"/>
        <w:ind w:left="709" w:right="709"/>
        <w:jc w:val="both"/>
        <w:rPr>
          <w:rFonts w:ascii="Verdana" w:hAnsi="Verdana" w:cs="Arial"/>
          <w:sz w:val="20"/>
          <w:szCs w:val="20"/>
        </w:rPr>
      </w:pPr>
      <w:r w:rsidRPr="007F51FB">
        <w:rPr>
          <w:rFonts w:ascii="Verdana" w:hAnsi="Verdana" w:cs="Arial"/>
          <w:sz w:val="20"/>
          <w:szCs w:val="20"/>
        </w:rPr>
        <w:t xml:space="preserve">4. Teniendo en cuenta que en la subasta inversa el precio constituye el factor de escogencia, ¿puede la entidad utilizar la inscripción en el RPBN como condición adicional que limite la participación de oferentes? </w:t>
      </w:r>
    </w:p>
    <w:p w14:paraId="378274D9" w14:textId="77777777" w:rsidR="009F45A3" w:rsidRPr="007F51FB" w:rsidRDefault="009F45A3" w:rsidP="009F45A3">
      <w:pPr>
        <w:spacing w:after="120" w:line="240" w:lineRule="auto"/>
        <w:ind w:left="709" w:right="709"/>
        <w:jc w:val="both"/>
        <w:rPr>
          <w:rFonts w:ascii="Verdana" w:hAnsi="Verdana" w:cs="Arial"/>
          <w:sz w:val="20"/>
          <w:szCs w:val="20"/>
        </w:rPr>
      </w:pPr>
      <w:r w:rsidRPr="007F51FB">
        <w:rPr>
          <w:rFonts w:ascii="Verdana" w:hAnsi="Verdana" w:cs="Arial"/>
          <w:sz w:val="20"/>
          <w:szCs w:val="20"/>
        </w:rPr>
        <w:t xml:space="preserve">5. ¿Cuál es el alcance que debe darse al artículo 2?2.1.2.4.2.9 del Decreto 1082 de 2015, adicionado por el Decreto 680 de 2021, respecto de la existencia de bienes en el Registro de Productores de Bienes Nacionales? </w:t>
      </w:r>
    </w:p>
    <w:p w14:paraId="22C9726A" w14:textId="77777777" w:rsidR="009F45A3" w:rsidRPr="007F51FB" w:rsidRDefault="009F45A3" w:rsidP="009F45A3">
      <w:pPr>
        <w:spacing w:after="120" w:line="240" w:lineRule="auto"/>
        <w:ind w:left="709" w:right="709"/>
        <w:jc w:val="both"/>
        <w:rPr>
          <w:rFonts w:ascii="Verdana" w:hAnsi="Verdana" w:cs="Arial"/>
          <w:sz w:val="20"/>
          <w:szCs w:val="20"/>
        </w:rPr>
      </w:pPr>
      <w:r w:rsidRPr="007F51FB">
        <w:rPr>
          <w:rFonts w:ascii="Verdana" w:hAnsi="Verdana" w:cs="Arial"/>
          <w:sz w:val="20"/>
          <w:szCs w:val="20"/>
        </w:rPr>
        <w:t xml:space="preserve">6. ¿La información contenida en el RPBN tiene como finalidad exclusiva servir como insumo para la determinación de los bienes nacionales relevantes y la aplicación de mecanismos de promoción de la industria nacional, o puede utilizarse para restringir la participación de oferentes en una subasta inversa? </w:t>
      </w:r>
    </w:p>
    <w:p w14:paraId="25370E39" w14:textId="77777777" w:rsidR="009F45A3" w:rsidRPr="007F51FB" w:rsidRDefault="009F45A3" w:rsidP="009F45A3">
      <w:pPr>
        <w:spacing w:after="120" w:line="240" w:lineRule="auto"/>
        <w:ind w:left="709" w:right="709"/>
        <w:jc w:val="both"/>
        <w:rPr>
          <w:rFonts w:ascii="Verdana" w:eastAsia="Century Gothic" w:hAnsi="Verdana" w:cs="Arial"/>
          <w:sz w:val="20"/>
          <w:szCs w:val="20"/>
          <w:lang w:val="es-ES"/>
        </w:rPr>
      </w:pPr>
      <w:r w:rsidRPr="007F51FB">
        <w:rPr>
          <w:rFonts w:ascii="Verdana" w:hAnsi="Verdana" w:cs="Arial"/>
          <w:sz w:val="20"/>
          <w:szCs w:val="20"/>
        </w:rPr>
        <w:t>7. Finalmente, solicitamos precisar qué diferencia jurídica existe entre acreditar que un bien es de origen nacional y que dicho bien se encuentre específicamente inscrito en el RPBN, y si ambas circunstancias pueden ser tratadas como equivalentes dentro de los documentos de un proceso de selección</w:t>
      </w:r>
      <w:r>
        <w:rPr>
          <w:rFonts w:ascii="Verdana" w:eastAsia="Century Gothic" w:hAnsi="Verdana" w:cs="Century Gothic"/>
          <w:sz w:val="20"/>
          <w:szCs w:val="20"/>
          <w:lang w:val="es-ES"/>
        </w:rPr>
        <w:t>”.</w:t>
      </w:r>
    </w:p>
    <w:p w14:paraId="4C295FA5" w14:textId="77777777" w:rsidR="009F45A3" w:rsidRPr="00481B98" w:rsidRDefault="009F45A3" w:rsidP="009F45A3">
      <w:pPr>
        <w:spacing w:after="0" w:line="276" w:lineRule="auto"/>
        <w:ind w:firstLine="709"/>
        <w:jc w:val="both"/>
        <w:rPr>
          <w:rFonts w:ascii="Verdana" w:eastAsia="Calibri" w:hAnsi="Verdana" w:cs="Arial"/>
          <w:color w:val="000000"/>
          <w:lang w:eastAsia="es-ES"/>
        </w:rPr>
      </w:pPr>
    </w:p>
    <w:p w14:paraId="6A472CF5" w14:textId="77777777" w:rsidR="009F45A3" w:rsidRPr="00A652FF" w:rsidRDefault="009F45A3" w:rsidP="009F45A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794A20C" w14:textId="77777777" w:rsidR="009F45A3" w:rsidRDefault="009F45A3" w:rsidP="009F45A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 xml:space="preserve">específicas que la </w:t>
      </w:r>
      <w:r>
        <w:rPr>
          <w:rFonts w:ascii="Verdana" w:eastAsia="Calibri" w:hAnsi="Verdana" w:cs="Arial"/>
          <w:color w:val="000000"/>
          <w:lang w:val="es-ES" w:eastAsia="es-ES"/>
        </w:rPr>
        <w:lastRenderedPageBreak/>
        <w:t>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C19878B" w14:textId="77777777" w:rsidR="009F45A3" w:rsidRPr="00593A5F" w:rsidRDefault="009F45A3" w:rsidP="009F45A3">
      <w:pPr>
        <w:spacing w:after="0" w:line="276" w:lineRule="auto"/>
        <w:ind w:firstLine="709"/>
        <w:jc w:val="both"/>
        <w:rPr>
          <w:rFonts w:ascii="Verdana" w:eastAsia="Calibri" w:hAnsi="Verdana" w:cs="Arial"/>
          <w:color w:val="000000"/>
          <w:lang w:val="es-ES" w:eastAsia="es-ES"/>
        </w:rPr>
      </w:pPr>
    </w:p>
    <w:p w14:paraId="6A71A986" w14:textId="77777777" w:rsidR="009F45A3" w:rsidRPr="00593A5F" w:rsidRDefault="009F45A3" w:rsidP="009F45A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5816534" w14:textId="77777777" w:rsidR="009F45A3" w:rsidRPr="00593A5F" w:rsidRDefault="009F45A3" w:rsidP="009F45A3">
      <w:pPr>
        <w:tabs>
          <w:tab w:val="left" w:pos="426"/>
        </w:tabs>
        <w:spacing w:after="0" w:line="276" w:lineRule="auto"/>
        <w:jc w:val="both"/>
        <w:rPr>
          <w:rFonts w:ascii="Verdana" w:eastAsia="Century Gothic" w:hAnsi="Verdana" w:cs="Century Gothic"/>
          <w:lang w:val="es-ES"/>
        </w:rPr>
      </w:pPr>
    </w:p>
    <w:p w14:paraId="70144877" w14:textId="77777777" w:rsidR="009F45A3" w:rsidRDefault="009F45A3" w:rsidP="009F45A3">
      <w:pPr>
        <w:spacing w:after="120" w:line="276" w:lineRule="auto"/>
        <w:jc w:val="both"/>
        <w:rPr>
          <w:rFonts w:ascii="Verdana" w:eastAsia="Arial" w:hAnsi="Verdana" w:cs="Arial"/>
          <w:color w:val="000000"/>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317E37">
        <w:rPr>
          <w:rFonts w:ascii="Verdana" w:eastAsia="Arial" w:hAnsi="Verdana" w:cs="Arial"/>
          <w:color w:val="000000"/>
        </w:rPr>
        <w:t>i) ¿Cuál es la naturaleza jurídica y la finalidad del Registro de Productores de Bienes Nacionales en el sistema de compra pública y qué alcance tiene el artículo 2.2.1.2.4.2.9 del Decreto 1082 de 2015, adicionado por el Decreto 680 de 2021, en cuanto a la existencia de los bienes en dicho Registro?</w:t>
      </w:r>
      <w:r w:rsidRPr="007903B8">
        <w:rPr>
          <w:rFonts w:ascii="Verdana" w:eastAsia="Arial" w:hAnsi="Verdana" w:cs="Arial"/>
          <w:color w:val="000000"/>
        </w:rPr>
        <w:t xml:space="preserve">; </w:t>
      </w:r>
      <w:proofErr w:type="spellStart"/>
      <w:r w:rsidRPr="00317E37">
        <w:rPr>
          <w:rFonts w:ascii="Verdana" w:eastAsia="Arial" w:hAnsi="Verdana" w:cs="Arial"/>
          <w:color w:val="000000"/>
        </w:rPr>
        <w:t>ii</w:t>
      </w:r>
      <w:proofErr w:type="spellEnd"/>
      <w:r w:rsidRPr="00317E37">
        <w:rPr>
          <w:rFonts w:ascii="Verdana" w:eastAsia="Arial" w:hAnsi="Verdana" w:cs="Arial"/>
          <w:color w:val="000000"/>
        </w:rPr>
        <w:t>) ¿Es jurídicamente obligatorio que el bien ofrecido se encuentre inscrito en el Registro de Productores de Bienes Nacionales y puede la entidad estatal establecer esa inscripción como requisito habilitante o como condición para participar, en especial en la selección abreviada por subasta inversa, en la que el precio es el factor de escogencia?</w:t>
      </w:r>
      <w:r w:rsidRPr="007903B8">
        <w:rPr>
          <w:rFonts w:ascii="Verdana" w:eastAsia="Arial" w:hAnsi="Verdana" w:cs="Arial"/>
          <w:color w:val="000000"/>
        </w:rPr>
        <w:t>;</w:t>
      </w:r>
      <w:proofErr w:type="spellStart"/>
      <w:r w:rsidRPr="00317E37">
        <w:rPr>
          <w:rFonts w:ascii="Verdana" w:eastAsia="Arial" w:hAnsi="Verdana" w:cs="Arial"/>
          <w:color w:val="000000"/>
        </w:rPr>
        <w:t>iii</w:t>
      </w:r>
      <w:proofErr w:type="spellEnd"/>
      <w:r w:rsidRPr="00317E37">
        <w:rPr>
          <w:rFonts w:ascii="Verdana" w:eastAsia="Arial" w:hAnsi="Verdana" w:cs="Arial"/>
          <w:color w:val="000000"/>
        </w:rPr>
        <w:t>) ¿La falta de inscripción del bien en el Registro de Productores de Bienes Nacionales puede constituir causal de rechazo de la oferta en una subasta inversa?</w:t>
      </w:r>
      <w:r w:rsidRPr="007903B8">
        <w:rPr>
          <w:rFonts w:ascii="Verdana" w:eastAsia="Arial" w:hAnsi="Verdana" w:cs="Arial"/>
          <w:color w:val="000000"/>
        </w:rPr>
        <w:t>;</w:t>
      </w:r>
      <w:proofErr w:type="spellStart"/>
      <w:r w:rsidRPr="00317E37">
        <w:rPr>
          <w:rFonts w:ascii="Verdana" w:eastAsia="Arial" w:hAnsi="Verdana" w:cs="Arial"/>
          <w:color w:val="000000"/>
        </w:rPr>
        <w:t>iv</w:t>
      </w:r>
      <w:proofErr w:type="spellEnd"/>
      <w:r w:rsidRPr="00317E37">
        <w:rPr>
          <w:rFonts w:ascii="Verdana" w:eastAsia="Arial" w:hAnsi="Verdana" w:cs="Arial"/>
          <w:color w:val="000000"/>
        </w:rPr>
        <w:t xml:space="preserve">) ¿Qué diferencia jurídica existe entre acreditar que un bien es de origen nacional y que ese bien esté inscrito en el Registro de Productores de Bienes Nacionales, y pueden ambas circunstancias tratarse como equivalentes en los documentos del proceso? </w:t>
      </w:r>
    </w:p>
    <w:p w14:paraId="552CEF7F" w14:textId="77777777" w:rsidR="009F45A3" w:rsidRPr="004B140F" w:rsidRDefault="009F45A3" w:rsidP="009F45A3">
      <w:pPr>
        <w:spacing w:after="0" w:line="276" w:lineRule="auto"/>
        <w:jc w:val="both"/>
        <w:rPr>
          <w:rFonts w:ascii="Verdana" w:eastAsia="Calibri" w:hAnsi="Verdana" w:cs="Arial"/>
          <w:color w:val="7030A0"/>
        </w:rPr>
      </w:pPr>
    </w:p>
    <w:p w14:paraId="37ECB520" w14:textId="77777777" w:rsidR="009F45A3" w:rsidRPr="00593A5F" w:rsidRDefault="009F45A3" w:rsidP="009F45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EED6C3D" w14:textId="77777777" w:rsidR="009F45A3" w:rsidRPr="00593A5F" w:rsidRDefault="009F45A3" w:rsidP="009F45A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45A3" w:rsidRPr="00593A5F" w14:paraId="290754F8" w14:textId="77777777" w:rsidTr="00A13622">
        <w:trPr>
          <w:jc w:val="center"/>
        </w:trPr>
        <w:tc>
          <w:tcPr>
            <w:tcW w:w="8828" w:type="dxa"/>
          </w:tcPr>
          <w:p w14:paraId="455E0AF2" w14:textId="77777777" w:rsidR="009F45A3" w:rsidRPr="007903B8" w:rsidRDefault="009F45A3" w:rsidP="00A13622">
            <w:pPr>
              <w:spacing w:after="120" w:line="276" w:lineRule="auto"/>
              <w:jc w:val="both"/>
              <w:rPr>
                <w:rFonts w:ascii="Verdana" w:eastAsia="Arial" w:hAnsi="Verdana" w:cs="Arial"/>
                <w:color w:val="000000"/>
              </w:rPr>
            </w:pPr>
            <w:bookmarkStart w:id="1" w:name="_Hlk171694685"/>
            <w:r w:rsidRPr="00317E37">
              <w:rPr>
                <w:rFonts w:ascii="Verdana" w:eastAsia="Arial" w:hAnsi="Verdana" w:cs="Arial"/>
                <w:color w:val="000000"/>
              </w:rPr>
              <w:t>i. El Registro de Productores de Bienes Nacionales es un registro de carácter declarativo, administrado por el Ministerio de Comercio, Industria y Turismo, en el que se identifican los bienes que cumplen las condiciones de producción nacional del Decreto 2680 de 2009. En la compra pública su función es servir de insumo para que la entidad, en la planeación, defina los bienes colombianos relevantes y aplique el puntaje de apoyo a la industria nacional. El artículo 2.2.1.2.4.2.9 del Decreto 1082 de 2015 recoge la existencia de los bienes en el Registro como uno de los tres criterios para definir esos bienes relevantes, de modo que el Registro opera dentro de la evaluación por puntaje y no como un mecanismo para restringir la participación.</w:t>
            </w:r>
            <w:r w:rsidRPr="007903B8">
              <w:rPr>
                <w:rFonts w:ascii="Verdana" w:eastAsia="Arial" w:hAnsi="Verdana" w:cs="Arial"/>
                <w:color w:val="000000"/>
              </w:rPr>
              <w:t xml:space="preserve"> </w:t>
            </w:r>
            <w:r w:rsidRPr="00317E37">
              <w:rPr>
                <w:rFonts w:ascii="Verdana" w:eastAsia="Arial" w:hAnsi="Verdana" w:cs="Arial"/>
                <w:color w:val="000000"/>
              </w:rPr>
              <w:t>(preguntas 5 y 6)</w:t>
            </w:r>
          </w:p>
          <w:p w14:paraId="43D6B4E3" w14:textId="77777777" w:rsidR="009F45A3" w:rsidRPr="007903B8" w:rsidRDefault="009F45A3" w:rsidP="00A13622">
            <w:pPr>
              <w:spacing w:after="120" w:line="276" w:lineRule="auto"/>
              <w:jc w:val="both"/>
              <w:rPr>
                <w:rFonts w:ascii="Verdana" w:eastAsia="Arial" w:hAnsi="Verdana" w:cs="Arial"/>
                <w:color w:val="000000"/>
              </w:rPr>
            </w:pPr>
            <w:proofErr w:type="spellStart"/>
            <w:r w:rsidRPr="00317E37">
              <w:rPr>
                <w:rFonts w:ascii="Verdana" w:eastAsia="Arial" w:hAnsi="Verdana" w:cs="Arial"/>
                <w:color w:val="000000"/>
              </w:rPr>
              <w:t>ii</w:t>
            </w:r>
            <w:proofErr w:type="spellEnd"/>
            <w:r w:rsidRPr="00317E37">
              <w:rPr>
                <w:rFonts w:ascii="Verdana" w:eastAsia="Arial" w:hAnsi="Verdana" w:cs="Arial"/>
                <w:color w:val="000000"/>
              </w:rPr>
              <w:t xml:space="preserve">. No es jurídicamente obligatorio que el bien ofrecido esté inscrito en el Registro para presentar una oferta, y la entidad estatal no puede establecer </w:t>
            </w:r>
            <w:r w:rsidRPr="00317E37">
              <w:rPr>
                <w:rFonts w:ascii="Verdana" w:eastAsia="Arial" w:hAnsi="Verdana" w:cs="Arial"/>
                <w:color w:val="000000"/>
              </w:rPr>
              <w:lastRenderedPageBreak/>
              <w:t>esa inscripción como requisito habilitante ni como condición para participar. La inscripción solo es relevante, y solo puede exigirse como medio de acreditación, cuando resulte procedente asignar el puntaje por apoyo a la industria nacional. En la selección abreviada por subasta inversa la conclusión es aún más clara, porque en ella el precio es el único factor de escogencia y no opera el factor de industria nacional, según lo reconocen las propias consideraciones del Decreto 680 de 2021. Emplear el Registro para limitar la participación en esa modalidad carece de fundamento normativo y desconoce la libre concurrencia y, cuando resulten aplicables, las obligaciones de trato nacional. (preguntas 1, 2, 4 y 6).</w:t>
            </w:r>
          </w:p>
          <w:p w14:paraId="1EE6538A" w14:textId="77777777" w:rsidR="009F45A3" w:rsidRPr="007903B8" w:rsidRDefault="009F45A3" w:rsidP="00A13622">
            <w:pPr>
              <w:spacing w:after="120" w:line="276" w:lineRule="auto"/>
              <w:jc w:val="both"/>
              <w:rPr>
                <w:rFonts w:ascii="Verdana" w:eastAsia="Arial" w:hAnsi="Verdana" w:cs="Arial"/>
                <w:color w:val="000000"/>
              </w:rPr>
            </w:pPr>
            <w:proofErr w:type="spellStart"/>
            <w:r w:rsidRPr="00317E37">
              <w:rPr>
                <w:rFonts w:ascii="Verdana" w:eastAsia="Arial" w:hAnsi="Verdana" w:cs="Arial"/>
                <w:color w:val="000000"/>
              </w:rPr>
              <w:t>iii</w:t>
            </w:r>
            <w:proofErr w:type="spellEnd"/>
            <w:r w:rsidRPr="00317E37">
              <w:rPr>
                <w:rFonts w:ascii="Verdana" w:eastAsia="Arial" w:hAnsi="Verdana" w:cs="Arial"/>
                <w:color w:val="000000"/>
              </w:rPr>
              <w:t>. La ausencia de inscripción del bien en el Registro no puede constituir causal de rechazo de la oferta en una subasta inversa. Como esa inscripción no es un requisito habilitante ni una condición de participación en dicha modalidad, su falta no afecta la comparación de las ofertas y, conforme al artículo 5 de la Ley 1150 de 2007, la ausencia de documentos que no son necesarios para comparar las propuestas no sirve de título suficiente para rechazarlas. (pregunta 3).</w:t>
            </w:r>
          </w:p>
          <w:p w14:paraId="051F9E44" w14:textId="77777777" w:rsidR="009F45A3" w:rsidRPr="001941FD" w:rsidRDefault="009F45A3" w:rsidP="00A13622">
            <w:pPr>
              <w:spacing w:after="120" w:line="276" w:lineRule="auto"/>
              <w:jc w:val="both"/>
              <w:rPr>
                <w:rFonts w:ascii="Verdana" w:eastAsia="Calibri" w:hAnsi="Verdana" w:cs="Arial"/>
                <w:bCs/>
                <w:color w:val="000000" w:themeColor="text1"/>
              </w:rPr>
            </w:pPr>
            <w:proofErr w:type="spellStart"/>
            <w:r w:rsidRPr="00317E37">
              <w:rPr>
                <w:rFonts w:ascii="Verdana" w:eastAsia="Arial" w:hAnsi="Verdana" w:cs="Arial"/>
                <w:color w:val="000000"/>
              </w:rPr>
              <w:t>iv</w:t>
            </w:r>
            <w:proofErr w:type="spellEnd"/>
            <w:r w:rsidRPr="00317E37">
              <w:rPr>
                <w:rFonts w:ascii="Verdana" w:eastAsia="Arial" w:hAnsi="Verdana" w:cs="Arial"/>
                <w:color w:val="000000"/>
              </w:rPr>
              <w:t>. El origen nacional del bien y su inscripción en el Registro son circunstancias jurídicamente distintas. El origen nacional es una cualidad sustancial del bien, definida por el Decreto 2680 de 2009 a partir de criterios de producción. La inscripción es un acto registral de carácter declarativo que sirve para acreditar esa cualidad ante la entidad. Por eso un bien puede ser de origen nacional sin estar inscrito, y la inscripción no crea ni sustituye la condición de nacionalidad del bien. En consecuencia, no pueden tratarse como equivalentes en los documentos del proceso, y menos aún al punto de convertir la inscripción en un requisito de participación. (pregunta 7).</w:t>
            </w:r>
          </w:p>
        </w:tc>
      </w:tr>
    </w:tbl>
    <w:p w14:paraId="195385C3" w14:textId="77777777" w:rsidR="009F45A3" w:rsidRPr="00593A5F" w:rsidRDefault="009F45A3" w:rsidP="009F45A3">
      <w:pPr>
        <w:tabs>
          <w:tab w:val="left" w:pos="142"/>
          <w:tab w:val="left" w:pos="284"/>
        </w:tabs>
        <w:spacing w:after="0" w:line="276" w:lineRule="auto"/>
        <w:jc w:val="both"/>
        <w:rPr>
          <w:rFonts w:ascii="Verdana" w:eastAsia="Century Gothic" w:hAnsi="Verdana" w:cs="Century Gothic"/>
          <w:b/>
          <w:bCs/>
          <w:lang w:val="es-ES"/>
        </w:rPr>
      </w:pPr>
    </w:p>
    <w:bookmarkEnd w:id="1"/>
    <w:p w14:paraId="343F513F" w14:textId="77777777" w:rsidR="009F45A3" w:rsidRPr="00593A5F" w:rsidRDefault="009F45A3" w:rsidP="009F45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C1CBBB2" w14:textId="77777777" w:rsidR="009F45A3" w:rsidRPr="00593A5F" w:rsidRDefault="009F45A3" w:rsidP="009F45A3">
      <w:pPr>
        <w:spacing w:after="0" w:line="276" w:lineRule="auto"/>
        <w:jc w:val="both"/>
        <w:rPr>
          <w:rFonts w:ascii="Verdana" w:eastAsia="Calibri" w:hAnsi="Verdana" w:cs="Arial"/>
          <w:color w:val="7030A0"/>
          <w:lang w:val="es-ES"/>
        </w:rPr>
      </w:pPr>
    </w:p>
    <w:p w14:paraId="75598563" w14:textId="77777777" w:rsidR="009F45A3" w:rsidRDefault="009F45A3" w:rsidP="009F45A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65F0C32" w14:textId="77777777" w:rsidR="009F45A3" w:rsidRPr="00415608" w:rsidRDefault="009F45A3" w:rsidP="009F45A3">
      <w:pPr>
        <w:spacing w:after="0" w:line="276" w:lineRule="auto"/>
        <w:jc w:val="both"/>
        <w:rPr>
          <w:rFonts w:ascii="Verdana" w:eastAsia="Calibri" w:hAnsi="Verdana" w:cs="Arial"/>
          <w:lang w:val="es-ES"/>
        </w:rPr>
      </w:pPr>
    </w:p>
    <w:p w14:paraId="07639CEE" w14:textId="77777777" w:rsidR="009F45A3" w:rsidRPr="00C27F58" w:rsidRDefault="009F45A3" w:rsidP="009F45A3">
      <w:pPr>
        <w:tabs>
          <w:tab w:val="left" w:pos="426"/>
        </w:tabs>
        <w:spacing w:after="0" w:line="276" w:lineRule="auto"/>
        <w:jc w:val="both"/>
        <w:rPr>
          <w:rFonts w:ascii="Verdana" w:eastAsia="Arial" w:hAnsi="Verdana" w:cs="Arial"/>
          <w:color w:val="000000"/>
        </w:rPr>
      </w:pPr>
      <w:r w:rsidRPr="00C27F58">
        <w:rPr>
          <w:rFonts w:ascii="Verdana" w:eastAsia="Arial" w:hAnsi="Verdana" w:cs="Arial"/>
          <w:color w:val="000000"/>
        </w:rPr>
        <w:t xml:space="preserve">La Ley 816 de 2003, </w:t>
      </w:r>
      <w:r>
        <w:rPr>
          <w:rFonts w:ascii="Verdana" w:eastAsia="Arial" w:hAnsi="Verdana" w:cs="Arial"/>
          <w:color w:val="000000"/>
        </w:rPr>
        <w:t>“</w:t>
      </w:r>
      <w:r w:rsidRPr="00C27F58">
        <w:rPr>
          <w:rFonts w:ascii="Verdana" w:eastAsia="Arial" w:hAnsi="Verdana" w:cs="Arial"/>
          <w:color w:val="000000"/>
        </w:rPr>
        <w:t>por medio de la cual se apoya a la industria nacional a través de la contratación pública</w:t>
      </w:r>
      <w:r>
        <w:rPr>
          <w:rFonts w:ascii="Verdana" w:eastAsia="Arial" w:hAnsi="Verdana" w:cs="Arial"/>
          <w:color w:val="000000"/>
        </w:rPr>
        <w:t>”</w:t>
      </w:r>
      <w:r w:rsidRPr="00C27F58">
        <w:rPr>
          <w:rFonts w:ascii="Verdana" w:eastAsia="Arial" w:hAnsi="Verdana" w:cs="Arial"/>
          <w:color w:val="000000"/>
        </w:rPr>
        <w:t xml:space="preserve">, tiene como objetivo promover una mayor participación de los proveedores de bienes y servicios de origen colombiano en las compras de las entidades públicas. De igual manera, se adoptó con el </w:t>
      </w:r>
      <w:r w:rsidRPr="00C27F58">
        <w:rPr>
          <w:rFonts w:ascii="Verdana" w:eastAsia="Arial" w:hAnsi="Verdana" w:cs="Arial"/>
          <w:color w:val="000000"/>
        </w:rPr>
        <w:lastRenderedPageBreak/>
        <w:t>propósito de crear un factor de preferencia para las propuestas que ofrezcan productos o servicios nacionales</w:t>
      </w:r>
      <w:r w:rsidRPr="00C27F58">
        <w:rPr>
          <w:rFonts w:ascii="Verdana" w:eastAsia="Arial" w:hAnsi="Verdana" w:cs="Arial"/>
          <w:color w:val="000000"/>
          <w:vertAlign w:val="superscript"/>
        </w:rPr>
        <w:footnoteReference w:id="1"/>
      </w:r>
      <w:r w:rsidRPr="00C27F58">
        <w:rPr>
          <w:rFonts w:ascii="Verdana" w:eastAsia="Arial" w:hAnsi="Verdana" w:cs="Arial"/>
          <w:color w:val="000000"/>
        </w:rPr>
        <w:t>. 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138803DF" w14:textId="77777777" w:rsidR="009F45A3" w:rsidRPr="00566EAC" w:rsidRDefault="009F45A3" w:rsidP="009F45A3">
      <w:pPr>
        <w:tabs>
          <w:tab w:val="left" w:pos="0"/>
        </w:tabs>
        <w:spacing w:after="0" w:line="276" w:lineRule="auto"/>
        <w:ind w:left="709" w:right="709"/>
        <w:jc w:val="both"/>
        <w:rPr>
          <w:rFonts w:ascii="Verdana" w:eastAsia="Arial" w:hAnsi="Verdana" w:cs="Arial"/>
          <w:color w:val="000000"/>
        </w:rPr>
      </w:pPr>
    </w:p>
    <w:p w14:paraId="64093855" w14:textId="77777777" w:rsidR="009F45A3" w:rsidRPr="00566EAC" w:rsidRDefault="009F45A3" w:rsidP="009F45A3">
      <w:pPr>
        <w:tabs>
          <w:tab w:val="left" w:pos="0"/>
        </w:tabs>
        <w:spacing w:after="0" w:line="240" w:lineRule="auto"/>
        <w:ind w:left="709" w:right="709"/>
        <w:jc w:val="both"/>
        <w:rPr>
          <w:rFonts w:ascii="Verdana" w:eastAsia="Arial" w:hAnsi="Verdana" w:cs="Arial"/>
          <w:color w:val="000000"/>
          <w:sz w:val="20"/>
          <w:szCs w:val="20"/>
        </w:rPr>
      </w:pPr>
      <w:r w:rsidRPr="00566EAC">
        <w:rPr>
          <w:rFonts w:ascii="Verdana" w:eastAsia="Arial" w:hAnsi="Verdana" w:cs="Arial"/>
          <w:color w:val="000000"/>
          <w:sz w:val="20"/>
          <w:szCs w:val="20"/>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50C3092B" w14:textId="77777777" w:rsidR="009F45A3" w:rsidRPr="00C27F58" w:rsidRDefault="009F45A3" w:rsidP="009F45A3">
      <w:pPr>
        <w:tabs>
          <w:tab w:val="left" w:pos="0"/>
        </w:tabs>
        <w:spacing w:after="0" w:line="276" w:lineRule="auto"/>
        <w:jc w:val="both"/>
        <w:rPr>
          <w:rFonts w:ascii="Verdana" w:eastAsia="Arial" w:hAnsi="Verdana" w:cs="Arial"/>
          <w:color w:val="000000"/>
        </w:rPr>
      </w:pPr>
    </w:p>
    <w:p w14:paraId="65438CDD" w14:textId="77777777" w:rsidR="009F45A3" w:rsidRPr="00C27F58" w:rsidRDefault="009F45A3" w:rsidP="009F45A3">
      <w:pPr>
        <w:tabs>
          <w:tab w:val="left" w:pos="0"/>
        </w:tabs>
        <w:spacing w:after="0" w:line="276" w:lineRule="auto"/>
        <w:ind w:firstLine="709"/>
        <w:jc w:val="both"/>
        <w:rPr>
          <w:rFonts w:ascii="Verdana" w:eastAsia="Arial" w:hAnsi="Verdana" w:cs="Arial"/>
          <w:color w:val="000000"/>
        </w:rPr>
      </w:pPr>
      <w:r w:rsidRPr="00C27F58">
        <w:rPr>
          <w:rFonts w:ascii="Verdana" w:eastAsia="Arial" w:hAnsi="Verdana" w:cs="Arial"/>
          <w:color w:val="000000"/>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C27F58">
        <w:rPr>
          <w:rFonts w:ascii="Verdana" w:eastAsia="Arial" w:hAnsi="Verdana" w:cs="Arial"/>
          <w:color w:val="000000"/>
          <w:vertAlign w:val="superscript"/>
        </w:rPr>
        <w:footnoteReference w:id="2"/>
      </w:r>
      <w:r w:rsidRPr="00C27F58">
        <w:rPr>
          <w:rFonts w:ascii="Verdana" w:eastAsia="Arial" w:hAnsi="Verdana" w:cs="Arial"/>
          <w:color w:val="000000"/>
        </w:rPr>
        <w:t xml:space="preserve">, en el que se establece la forma como se debe acreditar la existencia de trato nacional para extranjeros, dependiendo </w:t>
      </w:r>
      <w:r w:rsidRPr="00C27F58">
        <w:rPr>
          <w:rFonts w:ascii="Verdana" w:eastAsia="Arial" w:hAnsi="Verdana" w:cs="Arial"/>
          <w:color w:val="000000"/>
        </w:rPr>
        <w:lastRenderedPageBreak/>
        <w:t>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6B7FD6BF" w14:textId="77777777" w:rsidR="009F45A3" w:rsidRPr="00351C52" w:rsidRDefault="009F45A3" w:rsidP="009F45A3">
      <w:pPr>
        <w:tabs>
          <w:tab w:val="left" w:pos="0"/>
        </w:tabs>
        <w:spacing w:after="0" w:line="276" w:lineRule="auto"/>
        <w:ind w:left="709" w:right="709"/>
        <w:jc w:val="both"/>
        <w:rPr>
          <w:rFonts w:ascii="Verdana" w:eastAsia="Arial" w:hAnsi="Verdana" w:cs="Arial"/>
          <w:color w:val="000000"/>
        </w:rPr>
      </w:pPr>
    </w:p>
    <w:p w14:paraId="225E3CC6"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144E3440"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17373732" w14:textId="77777777" w:rsidR="009F45A3" w:rsidRPr="00C27F58" w:rsidRDefault="009F45A3" w:rsidP="009F45A3">
      <w:pPr>
        <w:tabs>
          <w:tab w:val="left" w:pos="0"/>
        </w:tabs>
        <w:spacing w:after="0" w:line="240" w:lineRule="auto"/>
        <w:ind w:left="709" w:right="709"/>
        <w:jc w:val="both"/>
        <w:rPr>
          <w:rFonts w:ascii="Verdana" w:eastAsia="Arial" w:hAnsi="Verdana" w:cs="Arial"/>
          <w:color w:val="000000"/>
          <w:sz w:val="21"/>
          <w:szCs w:val="21"/>
        </w:rPr>
      </w:pPr>
      <w:r w:rsidRPr="00351C52">
        <w:rPr>
          <w:rFonts w:ascii="Verdana" w:eastAsia="Arial" w:hAnsi="Verdana" w:cs="Arial"/>
          <w:color w:val="000000"/>
          <w:sz w:val="20"/>
          <w:szCs w:val="20"/>
        </w:rPr>
        <w:t>Si una vez efectuada la calificación correspondiente, la oferta de un proponente extranjero se encuentra en igualdad de condiciones con la de un proponente nacional, se adjudicará al nacional”.</w:t>
      </w:r>
    </w:p>
    <w:p w14:paraId="3C4D38A1" w14:textId="77777777" w:rsidR="009F45A3" w:rsidRPr="00351C52" w:rsidRDefault="009F45A3" w:rsidP="009F45A3">
      <w:pPr>
        <w:tabs>
          <w:tab w:val="left" w:pos="0"/>
        </w:tabs>
        <w:spacing w:after="0" w:line="276" w:lineRule="auto"/>
        <w:jc w:val="both"/>
        <w:rPr>
          <w:rFonts w:ascii="Verdana" w:eastAsia="Arial" w:hAnsi="Verdana" w:cs="Arial"/>
          <w:color w:val="000000"/>
        </w:rPr>
      </w:pPr>
      <w:r w:rsidRPr="00C27F58">
        <w:rPr>
          <w:rFonts w:ascii="Verdana" w:eastAsia="Arial" w:hAnsi="Verdana" w:cs="Arial"/>
          <w:color w:val="000000"/>
        </w:rPr>
        <w:tab/>
      </w:r>
    </w:p>
    <w:p w14:paraId="79824C8E" w14:textId="77777777" w:rsidR="009F45A3" w:rsidRPr="00C27F58" w:rsidRDefault="009F45A3" w:rsidP="009F45A3">
      <w:pPr>
        <w:tabs>
          <w:tab w:val="left" w:pos="0"/>
        </w:tabs>
        <w:spacing w:after="120" w:line="276" w:lineRule="auto"/>
        <w:jc w:val="both"/>
        <w:rPr>
          <w:rFonts w:ascii="Verdana" w:eastAsia="Arial" w:hAnsi="Verdana" w:cs="Arial"/>
          <w:color w:val="000000"/>
        </w:rPr>
      </w:pPr>
      <w:r w:rsidRPr="00C27F58">
        <w:rPr>
          <w:rFonts w:ascii="Verdana" w:eastAsia="Arial" w:hAnsi="Verdana" w:cs="Arial"/>
          <w:color w:val="000000"/>
        </w:rPr>
        <w:tab/>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16BFDC26" w14:textId="77777777" w:rsidR="009F45A3" w:rsidRPr="00C27F58" w:rsidRDefault="009F45A3" w:rsidP="009F45A3">
      <w:pPr>
        <w:tabs>
          <w:tab w:val="left" w:pos="0"/>
        </w:tabs>
        <w:spacing w:before="120" w:after="120" w:line="276" w:lineRule="auto"/>
        <w:jc w:val="both"/>
        <w:rPr>
          <w:rFonts w:ascii="Verdana" w:eastAsia="Arial" w:hAnsi="Verdana" w:cs="Arial"/>
          <w:color w:val="000000"/>
          <w:highlight w:val="yellow"/>
        </w:rPr>
      </w:pPr>
      <w:r w:rsidRPr="00C27F58">
        <w:rPr>
          <w:rFonts w:ascii="Verdana" w:eastAsia="Arial" w:hAnsi="Verdana" w:cs="Arial"/>
          <w:color w:val="000000"/>
        </w:rPr>
        <w:tab/>
        <w:t xml:space="preserve">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Pr>
          <w:rFonts w:ascii="Verdana" w:eastAsia="Arial" w:hAnsi="Verdana" w:cs="Arial"/>
          <w:color w:val="000000"/>
        </w:rPr>
        <w:t>“</w:t>
      </w:r>
      <w:r w:rsidRPr="00C27F58">
        <w:rPr>
          <w:rFonts w:ascii="Verdana" w:eastAsia="Arial" w:hAnsi="Verdana" w:cs="Arial"/>
        </w:rPr>
        <w:t xml:space="preserve">[…] </w:t>
      </w:r>
      <w:r w:rsidRPr="00C27F58">
        <w:rPr>
          <w:rFonts w:ascii="Verdana" w:eastAsia="Arial" w:hAnsi="Verdana" w:cs="Arial"/>
          <w:color w:val="000000"/>
        </w:rPr>
        <w:t>un puntaje comprendido entre el diez (10) y el veinte por ciento (20%)</w:t>
      </w:r>
      <w:r>
        <w:rPr>
          <w:rFonts w:ascii="Verdana" w:eastAsia="Arial" w:hAnsi="Verdana" w:cs="Arial"/>
          <w:color w:val="000000"/>
        </w:rPr>
        <w:t>”</w:t>
      </w:r>
      <w:r w:rsidRPr="00C27F58">
        <w:rPr>
          <w:rFonts w:ascii="Verdana" w:eastAsia="Arial" w:hAnsi="Verdana" w:cs="Arial"/>
          <w:color w:val="000000"/>
        </w:rPr>
        <w:t xml:space="preserve"> para estimular la industria nacional, cuando se oferten bienes o servicios nacionales</w:t>
      </w:r>
      <w:r>
        <w:rPr>
          <w:rFonts w:ascii="Verdana" w:eastAsia="Arial" w:hAnsi="Verdana" w:cs="Arial"/>
          <w:color w:val="000000"/>
        </w:rPr>
        <w:t>”</w:t>
      </w:r>
      <w:r w:rsidRPr="00C27F58">
        <w:rPr>
          <w:rFonts w:ascii="Verdana" w:eastAsia="Arial" w:hAnsi="Verdana" w:cs="Arial"/>
          <w:color w:val="000000"/>
        </w:rPr>
        <w:t xml:space="preserve"> –inciso primero o </w:t>
      </w:r>
      <w:r>
        <w:rPr>
          <w:rFonts w:ascii="Verdana" w:eastAsia="Arial" w:hAnsi="Verdana" w:cs="Arial"/>
          <w:color w:val="000000"/>
        </w:rPr>
        <w:t>“</w:t>
      </w:r>
      <w:r w:rsidRPr="00C27F58">
        <w:rPr>
          <w:rFonts w:ascii="Verdana" w:eastAsia="Arial" w:hAnsi="Verdana" w:cs="Arial"/>
          <w:color w:val="000000"/>
        </w:rPr>
        <w:t>Franja 1</w:t>
      </w:r>
      <w:r>
        <w:rPr>
          <w:rFonts w:ascii="Verdana" w:eastAsia="Arial" w:hAnsi="Verdana" w:cs="Arial"/>
          <w:color w:val="000000"/>
        </w:rPr>
        <w:t>”</w:t>
      </w:r>
      <w:r w:rsidRPr="00C27F58">
        <w:rPr>
          <w:rFonts w:ascii="Verdana" w:eastAsia="Arial" w:hAnsi="Verdana" w:cs="Arial"/>
          <w:color w:val="000000"/>
        </w:rPr>
        <w:t xml:space="preserve">–. </w:t>
      </w:r>
      <w:r w:rsidRPr="00C27F58">
        <w:rPr>
          <w:rFonts w:ascii="Verdana" w:eastAsia="Arial" w:hAnsi="Verdana" w:cs="Arial"/>
          <w:color w:val="000000"/>
        </w:rPr>
        <w:lastRenderedPageBreak/>
        <w:t xml:space="preserve">Adicionalmente, la norma indica </w:t>
      </w:r>
      <w:proofErr w:type="gramStart"/>
      <w:r w:rsidRPr="00C27F58">
        <w:rPr>
          <w:rFonts w:ascii="Verdana" w:eastAsia="Arial" w:hAnsi="Verdana" w:cs="Arial"/>
          <w:color w:val="000000"/>
        </w:rPr>
        <w:t>que</w:t>
      </w:r>
      <w:proofErr w:type="gramEnd"/>
      <w:r w:rsidRPr="00C27F58">
        <w:rPr>
          <w:rFonts w:ascii="Verdana" w:eastAsia="Arial" w:hAnsi="Verdana" w:cs="Arial"/>
          <w:color w:val="000000"/>
        </w:rPr>
        <w:t xml:space="preserve"> si no se ofertan bienes o servicios nacionales, sino bienes o servicios </w:t>
      </w:r>
      <w:r w:rsidRPr="00C27F58">
        <w:rPr>
          <w:rFonts w:ascii="Verdana" w:eastAsia="Arial" w:hAnsi="Verdana" w:cs="Arial"/>
          <w:i/>
          <w:color w:val="000000"/>
        </w:rPr>
        <w:t>extranjeros</w:t>
      </w:r>
      <w:r w:rsidRPr="00C27F58">
        <w:rPr>
          <w:rFonts w:ascii="Verdana" w:eastAsia="Arial" w:hAnsi="Verdana" w:cs="Arial"/>
          <w:color w:val="000000"/>
        </w:rPr>
        <w:t xml:space="preserve">, </w:t>
      </w:r>
      <w:r>
        <w:rPr>
          <w:rFonts w:ascii="Verdana" w:eastAsia="Arial" w:hAnsi="Verdana" w:cs="Arial"/>
          <w:color w:val="000000"/>
        </w:rPr>
        <w:t>“</w:t>
      </w:r>
      <w:r w:rsidRPr="00C27F58">
        <w:rPr>
          <w:rFonts w:ascii="Verdana" w:eastAsia="Arial" w:hAnsi="Verdana" w:cs="Arial"/>
          <w:color w:val="000000"/>
        </w:rPr>
        <w:t>[…] la entidad contratante establecerá un puntaje comprendido entre el cinco (5) y el quince por ciento (15%), para incentivar la incorporación de componente colombiano de bienes y servicios profesionales, técnicos y operativos</w:t>
      </w:r>
      <w:r>
        <w:rPr>
          <w:rFonts w:ascii="Verdana" w:eastAsia="Arial" w:hAnsi="Verdana" w:cs="Arial"/>
          <w:color w:val="000000"/>
        </w:rPr>
        <w:t>”</w:t>
      </w:r>
      <w:r w:rsidRPr="00C27F58">
        <w:rPr>
          <w:rFonts w:ascii="Verdana" w:eastAsia="Arial" w:hAnsi="Verdana" w:cs="Arial"/>
          <w:color w:val="000000"/>
        </w:rPr>
        <w:t xml:space="preserve"> –inciso segundo o </w:t>
      </w:r>
      <w:r>
        <w:rPr>
          <w:rFonts w:ascii="Verdana" w:eastAsia="Arial" w:hAnsi="Verdana" w:cs="Arial"/>
          <w:color w:val="000000"/>
        </w:rPr>
        <w:t>“</w:t>
      </w:r>
      <w:r w:rsidRPr="00C27F58">
        <w:rPr>
          <w:rFonts w:ascii="Verdana" w:eastAsia="Arial" w:hAnsi="Verdana" w:cs="Arial"/>
          <w:color w:val="000000"/>
        </w:rPr>
        <w:t>Franja 2</w:t>
      </w:r>
      <w:r>
        <w:rPr>
          <w:rFonts w:ascii="Verdana" w:eastAsia="Arial" w:hAnsi="Verdana" w:cs="Arial"/>
          <w:color w:val="000000"/>
        </w:rPr>
        <w:t>”</w:t>
      </w:r>
      <w:r w:rsidRPr="00C27F58">
        <w:rPr>
          <w:rFonts w:ascii="Verdana" w:eastAsia="Arial" w:hAnsi="Verdana" w:cs="Arial"/>
          <w:color w:val="000000"/>
        </w:rPr>
        <w:t xml:space="preserve">–. </w:t>
      </w:r>
    </w:p>
    <w:p w14:paraId="596D5B52" w14:textId="77777777" w:rsidR="009F45A3" w:rsidRPr="00C27F58" w:rsidRDefault="009F45A3" w:rsidP="009F45A3">
      <w:pPr>
        <w:spacing w:before="120" w:after="0" w:line="276" w:lineRule="auto"/>
        <w:jc w:val="both"/>
        <w:rPr>
          <w:rFonts w:ascii="Verdana" w:eastAsia="Arial" w:hAnsi="Verdana" w:cs="Arial"/>
          <w:color w:val="000000"/>
        </w:rPr>
      </w:pPr>
      <w:r w:rsidRPr="00C27F58">
        <w:rPr>
          <w:rFonts w:ascii="Verdana" w:eastAsia="Arial" w:hAnsi="Verdana" w:cs="Arial"/>
          <w:color w:val="000000"/>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C27F58">
        <w:rPr>
          <w:rFonts w:ascii="Verdana" w:eastAsia="Arial" w:hAnsi="Verdana" w:cs="Arial"/>
          <w:i/>
          <w:color w:val="000000"/>
        </w:rPr>
        <w:t>Servicios Nacionales</w:t>
      </w:r>
      <w:r w:rsidRPr="00C27F58">
        <w:rPr>
          <w:rFonts w:ascii="Verdana" w:eastAsia="Arial" w:hAnsi="Verdana" w:cs="Arial"/>
          <w:color w:val="000000"/>
        </w:rPr>
        <w:t xml:space="preserve"> en los siguientes términos:</w:t>
      </w:r>
    </w:p>
    <w:p w14:paraId="5355377F" w14:textId="77777777" w:rsidR="009F45A3" w:rsidRPr="00351C52" w:rsidRDefault="009F45A3" w:rsidP="009F45A3">
      <w:pPr>
        <w:tabs>
          <w:tab w:val="left" w:pos="0"/>
        </w:tabs>
        <w:spacing w:after="0" w:line="276" w:lineRule="auto"/>
        <w:ind w:left="709" w:right="709"/>
        <w:jc w:val="both"/>
        <w:rPr>
          <w:rFonts w:ascii="Verdana" w:eastAsia="Arial" w:hAnsi="Verdana" w:cs="Arial"/>
          <w:color w:val="000000"/>
        </w:rPr>
      </w:pPr>
    </w:p>
    <w:p w14:paraId="073EF3C2"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151A0D2E"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23785DED" w14:textId="77777777" w:rsidR="009F45A3" w:rsidRPr="00C27F58" w:rsidRDefault="009F45A3" w:rsidP="009F45A3">
      <w:pPr>
        <w:tabs>
          <w:tab w:val="left" w:pos="0"/>
        </w:tabs>
        <w:spacing w:after="0" w:line="240" w:lineRule="auto"/>
        <w:ind w:left="709" w:right="709"/>
        <w:jc w:val="both"/>
        <w:rPr>
          <w:rFonts w:ascii="Verdana" w:eastAsia="Arial" w:hAnsi="Verdana" w:cs="Arial"/>
          <w:color w:val="000000"/>
          <w:sz w:val="21"/>
          <w:szCs w:val="21"/>
        </w:rPr>
      </w:pPr>
      <w:r w:rsidRPr="00351C52">
        <w:rPr>
          <w:rFonts w:ascii="Verdana" w:eastAsia="Arial" w:hAnsi="Verdana" w:cs="Arial"/>
          <w:color w:val="000000"/>
          <w:sz w:val="20"/>
          <w:szCs w:val="20"/>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5BB81A1F" w14:textId="77777777" w:rsidR="009F45A3" w:rsidRPr="00C27F58" w:rsidRDefault="009F45A3" w:rsidP="009F45A3">
      <w:pPr>
        <w:tabs>
          <w:tab w:val="left" w:pos="0"/>
        </w:tabs>
        <w:spacing w:after="0" w:line="276" w:lineRule="auto"/>
        <w:jc w:val="both"/>
        <w:rPr>
          <w:rFonts w:ascii="Verdana" w:eastAsia="Arial" w:hAnsi="Verdana" w:cs="Arial"/>
          <w:color w:val="000000"/>
        </w:rPr>
      </w:pPr>
    </w:p>
    <w:p w14:paraId="40CF0CF9" w14:textId="77777777" w:rsidR="009F45A3" w:rsidRPr="00C27F58" w:rsidRDefault="009F45A3" w:rsidP="009F45A3">
      <w:pPr>
        <w:tabs>
          <w:tab w:val="left" w:pos="0"/>
        </w:tabs>
        <w:spacing w:after="120" w:line="276" w:lineRule="auto"/>
        <w:ind w:firstLine="709"/>
        <w:jc w:val="both"/>
        <w:rPr>
          <w:rFonts w:ascii="Verdana" w:eastAsia="Arial" w:hAnsi="Verdana" w:cs="Arial"/>
          <w:color w:val="000000"/>
        </w:rPr>
      </w:pPr>
      <w:bookmarkStart w:id="3" w:name="_heading=h.tyjcwt" w:colFirst="0" w:colLast="0"/>
      <w:bookmarkEnd w:id="3"/>
      <w:r w:rsidRPr="00C27F58">
        <w:rPr>
          <w:rFonts w:ascii="Verdana" w:eastAsia="Arial" w:hAnsi="Verdana" w:cs="Arial"/>
          <w:color w:val="000000"/>
        </w:rPr>
        <w:t xml:space="preserve">De acuerdo con esto, la noción de Servicios Nacionales no está determinada únicamente por la naturaleza jurídica de su prestador, ya que </w:t>
      </w:r>
      <w:r w:rsidRPr="00C27F58">
        <w:rPr>
          <w:rFonts w:ascii="Verdana" w:eastAsia="Arial" w:hAnsi="Verdana" w:cs="Arial"/>
          <w:color w:val="000000"/>
        </w:rPr>
        <w:lastRenderedPageBreak/>
        <w:t xml:space="preserve">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C27F58">
        <w:rPr>
          <w:rFonts w:ascii="Verdana" w:eastAsia="Arial" w:hAnsi="Verdana" w:cs="Arial"/>
          <w:i/>
          <w:color w:val="000000"/>
        </w:rPr>
        <w:t xml:space="preserve">Servicios Nacionales </w:t>
      </w:r>
      <w:r w:rsidRPr="00C27F58">
        <w:rPr>
          <w:rFonts w:ascii="Verdana" w:eastAsia="Arial" w:hAnsi="Verdana" w:cs="Arial"/>
          <w:color w:val="000000"/>
        </w:rPr>
        <w:t xml:space="preserve">remite a la noción de </w:t>
      </w:r>
      <w:r w:rsidRPr="00C27F58">
        <w:rPr>
          <w:rFonts w:ascii="Verdana" w:eastAsia="Arial" w:hAnsi="Verdana" w:cs="Arial"/>
          <w:i/>
          <w:color w:val="000000"/>
        </w:rPr>
        <w:t>Bienes Nacionales</w:t>
      </w:r>
      <w:r w:rsidRPr="00C27F58">
        <w:rPr>
          <w:rFonts w:ascii="Verdana" w:eastAsia="Arial" w:hAnsi="Verdana" w:cs="Arial"/>
          <w:color w:val="000000"/>
        </w:rPr>
        <w:t xml:space="preserve"> establecida en el mismo artículo 2.2.1.1.1.3.1. del Decreto 1082 de 2015, que dispone que son aquellos </w:t>
      </w:r>
      <w:r>
        <w:rPr>
          <w:rFonts w:ascii="Verdana" w:eastAsia="Arial" w:hAnsi="Verdana" w:cs="Arial"/>
          <w:color w:val="000000"/>
        </w:rPr>
        <w:t>“</w:t>
      </w:r>
      <w:r w:rsidRPr="00C27F58">
        <w:rPr>
          <w:rFonts w:ascii="Verdana" w:eastAsia="Arial" w:hAnsi="Verdana" w:cs="Arial"/>
          <w:color w:val="000000"/>
        </w:rPr>
        <w:t>Bienes definidos como nacionales en el Registro de Productores de Bienes Nacionales, de conformidad con el Decreto 2680 de 2009 o las normas que lo modifiquen, aclaren, adicionen o sustituyan</w:t>
      </w:r>
      <w:r>
        <w:rPr>
          <w:rFonts w:ascii="Verdana" w:eastAsia="Arial" w:hAnsi="Verdana" w:cs="Arial"/>
          <w:color w:val="000000"/>
        </w:rPr>
        <w:t>”</w:t>
      </w:r>
      <w:r w:rsidRPr="00C27F58">
        <w:rPr>
          <w:rFonts w:ascii="Verdana" w:eastAsia="Arial" w:hAnsi="Verdana" w:cs="Arial"/>
          <w:color w:val="000000"/>
        </w:rPr>
        <w:t xml:space="preserve">. </w:t>
      </w:r>
    </w:p>
    <w:p w14:paraId="62319402" w14:textId="77777777" w:rsidR="009F45A3" w:rsidRPr="00C27F58" w:rsidRDefault="009F45A3" w:rsidP="009F45A3">
      <w:pPr>
        <w:tabs>
          <w:tab w:val="left" w:pos="0"/>
        </w:tabs>
        <w:spacing w:after="120" w:line="276" w:lineRule="auto"/>
        <w:ind w:firstLine="709"/>
        <w:jc w:val="both"/>
        <w:rPr>
          <w:rFonts w:ascii="Verdana" w:eastAsia="Arial" w:hAnsi="Verdana" w:cs="Arial"/>
          <w:color w:val="000000"/>
        </w:rPr>
      </w:pPr>
      <w:r w:rsidRPr="00C27F58">
        <w:rPr>
          <w:rFonts w:ascii="Verdana" w:eastAsia="Arial" w:hAnsi="Verdana" w:cs="Arial"/>
          <w:color w:val="000000"/>
        </w:rPr>
        <w:t xml:space="preserve">El artículo 1 del Decreto 2680 de 2009 dispone que </w:t>
      </w:r>
      <w:r>
        <w:rPr>
          <w:rFonts w:ascii="Verdana" w:eastAsia="Arial" w:hAnsi="Verdana" w:cs="Arial"/>
          <w:color w:val="000000"/>
        </w:rPr>
        <w:t>“</w:t>
      </w:r>
      <w:r w:rsidRPr="00C27F58">
        <w:rPr>
          <w:rFonts w:ascii="Verdana" w:eastAsia="Arial" w:hAnsi="Verdana" w:cs="Arial"/>
          <w:color w:val="000000"/>
        </w:rPr>
        <w:t>Se entiende como bienes nacionales, aquellos bienes totalmente obtenidos, bienes elaborados con materiales nacionales o productos que sufran una transformación sustancial de conformidad con lo previsto en el presente decreto</w:t>
      </w:r>
      <w:r>
        <w:rPr>
          <w:rFonts w:ascii="Verdana" w:eastAsia="Arial" w:hAnsi="Verdana" w:cs="Arial"/>
          <w:color w:val="000000"/>
        </w:rPr>
        <w:t>”</w:t>
      </w:r>
      <w:r w:rsidRPr="00C27F58">
        <w:rPr>
          <w:rFonts w:ascii="Verdana" w:eastAsia="Arial" w:hAnsi="Verdana" w:cs="Arial"/>
          <w:color w:val="000000"/>
        </w:rPr>
        <w:t>. Asimismo, conforme al artículo 19.1 del Decreto Ley 210 de 2003 y artículo 1 de la Resolución del Ministerio de Comercio, Industria y Turismo 331 del 25 de junio de 2010, el Registro de Productores de Bienes Nacionales es administrado por la Subdirección de Diseño y Administración de Operaciones de la Dirección de Comercio Exterior, además de que puede consultarse en la ventanilla única de la dependencia mencionada.</w:t>
      </w:r>
    </w:p>
    <w:p w14:paraId="2307EB9E" w14:textId="77777777" w:rsidR="009F45A3" w:rsidRPr="00C27F58" w:rsidRDefault="009F45A3" w:rsidP="009F45A3">
      <w:pPr>
        <w:tabs>
          <w:tab w:val="left" w:pos="0"/>
        </w:tabs>
        <w:spacing w:before="120" w:after="120" w:line="276" w:lineRule="auto"/>
        <w:ind w:firstLine="709"/>
        <w:jc w:val="both"/>
        <w:rPr>
          <w:rFonts w:ascii="Verdana" w:eastAsia="Arial" w:hAnsi="Verdana" w:cs="Arial"/>
          <w:color w:val="000000"/>
        </w:rPr>
      </w:pPr>
      <w:r w:rsidRPr="00C27F58">
        <w:rPr>
          <w:rFonts w:ascii="Verdana" w:eastAsia="Arial" w:hAnsi="Verdana" w:cs="Arial"/>
          <w:color w:val="000000"/>
        </w:rPr>
        <w:t xml:space="preserve">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w:t>
      </w:r>
      <w:r>
        <w:rPr>
          <w:rFonts w:ascii="Verdana" w:eastAsia="Arial" w:hAnsi="Verdana" w:cs="Arial"/>
          <w:color w:val="000000"/>
        </w:rPr>
        <w:t>“</w:t>
      </w:r>
      <w:r w:rsidRPr="00C27F58">
        <w:rPr>
          <w:rFonts w:ascii="Verdana" w:eastAsia="Arial" w:hAnsi="Verdana" w:cs="Arial"/>
          <w:color w:val="000000"/>
        </w:rPr>
        <w:t>por una persona natural colombiana o por un residente en Colombia, por una persona jurídica constituida de conformidad con la legislación colombiana o un proponente plural conformado por estos</w:t>
      </w:r>
      <w:r>
        <w:rPr>
          <w:rFonts w:ascii="Verdana" w:eastAsia="Arial" w:hAnsi="Verdana" w:cs="Arial"/>
          <w:color w:val="000000"/>
        </w:rPr>
        <w:t>”</w:t>
      </w:r>
      <w:r w:rsidRPr="00C27F58">
        <w:rPr>
          <w:rFonts w:ascii="Verdana" w:eastAsia="Arial" w:hAnsi="Verdana" w:cs="Arial"/>
          <w:color w:val="000000"/>
        </w:rPr>
        <w:t>. Lo anterior en consonancia con el artículo 1 del Decreto 680 de 2021.</w:t>
      </w:r>
    </w:p>
    <w:p w14:paraId="01E6CC8B" w14:textId="77777777" w:rsidR="009F45A3" w:rsidRPr="00C27F58" w:rsidRDefault="009F45A3" w:rsidP="009F45A3">
      <w:pPr>
        <w:tabs>
          <w:tab w:val="left" w:pos="0"/>
        </w:tabs>
        <w:spacing w:after="0" w:line="276" w:lineRule="auto"/>
        <w:ind w:firstLine="709"/>
        <w:jc w:val="both"/>
        <w:rPr>
          <w:rFonts w:ascii="Verdana" w:eastAsia="Arial" w:hAnsi="Verdana" w:cs="Arial"/>
          <w:color w:val="000000"/>
        </w:rPr>
      </w:pPr>
      <w:r w:rsidRPr="00C27F58">
        <w:rPr>
          <w:rFonts w:ascii="Verdana" w:eastAsia="Arial" w:hAnsi="Verdana" w:cs="Arial"/>
          <w:color w:val="000000"/>
        </w:rPr>
        <w:t xml:space="preserve">De otra parte, el artículo 2 del Decreto 680 de 2021 consagra unos lineamientos que deben seguir las entidades estatales para definir los </w:t>
      </w:r>
      <w:r w:rsidRPr="00C27F58">
        <w:rPr>
          <w:rFonts w:ascii="Verdana" w:eastAsia="Arial" w:hAnsi="Verdana" w:cs="Arial"/>
          <w:i/>
          <w:color w:val="000000"/>
        </w:rPr>
        <w:t>bienes colombianos relevantes</w:t>
      </w:r>
      <w:r w:rsidRPr="00C27F58">
        <w:rPr>
          <w:rFonts w:ascii="Verdana" w:eastAsia="Arial" w:hAnsi="Verdana" w:cs="Arial"/>
          <w:color w:val="000000"/>
        </w:rPr>
        <w:t xml:space="preserve"> y otorgar el puntaje de que trata el inciso 1 del artículo 2 de la Ley 816 de 2003. En efecto, el artículo 2 del Decreto en comento dispone lo siguiente: </w:t>
      </w:r>
    </w:p>
    <w:p w14:paraId="0E419032" w14:textId="77777777" w:rsidR="009F45A3" w:rsidRPr="00351C52" w:rsidRDefault="009F45A3" w:rsidP="009F45A3">
      <w:pPr>
        <w:tabs>
          <w:tab w:val="left" w:pos="0"/>
        </w:tabs>
        <w:spacing w:after="0" w:line="276" w:lineRule="auto"/>
        <w:ind w:left="709" w:right="709"/>
        <w:jc w:val="both"/>
        <w:rPr>
          <w:rFonts w:ascii="Verdana" w:eastAsia="Arial" w:hAnsi="Verdana" w:cs="Arial"/>
          <w:color w:val="000000"/>
        </w:rPr>
      </w:pPr>
    </w:p>
    <w:p w14:paraId="04457B47" w14:textId="77777777" w:rsidR="009F45A3" w:rsidRPr="00351C52" w:rsidRDefault="009F45A3" w:rsidP="009F45A3">
      <w:pPr>
        <w:tabs>
          <w:tab w:val="left" w:pos="0"/>
        </w:tabs>
        <w:spacing w:after="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lastRenderedPageBreak/>
        <w:t>“Adiciónese el artículo 2.2.1.2.4.2.9. a la Subsección 2 de la Sección 4 del Capítulo 2 del Título 1 de la Parte 2 del Libro 2 del Decreto 1082 de 2015, Único Reglamentario del Sector Administrativo de Planeación Nacional, cuyo texto será el siguiente:</w:t>
      </w:r>
    </w:p>
    <w:p w14:paraId="7897043E" w14:textId="77777777" w:rsidR="009F45A3" w:rsidRPr="00351C52" w:rsidRDefault="009F45A3" w:rsidP="009F45A3">
      <w:pPr>
        <w:tabs>
          <w:tab w:val="left" w:pos="0"/>
        </w:tabs>
        <w:spacing w:after="0" w:line="240" w:lineRule="auto"/>
        <w:ind w:right="709"/>
        <w:jc w:val="both"/>
        <w:rPr>
          <w:rFonts w:ascii="Verdana" w:eastAsia="Arial" w:hAnsi="Verdana" w:cs="Arial"/>
          <w:color w:val="000000"/>
          <w:sz w:val="20"/>
          <w:szCs w:val="20"/>
        </w:rPr>
      </w:pPr>
    </w:p>
    <w:p w14:paraId="548ABA3B"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69173F13"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En los contratos que deban cumplirse en Colombia, la Entidad Estatal definirá de manera razonable y proporcionada los bienes colombianos relevantes teniendo en cuenta:</w:t>
      </w:r>
    </w:p>
    <w:p w14:paraId="3BDBAD58"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1. El análisis del sector económico y de los oferentes, y, toda aquella información adicional con la que cuente la Entidad Estatal en la etapa de planeación del Proceso de Contratación;</w:t>
      </w:r>
    </w:p>
    <w:p w14:paraId="7595E2F4"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2. El porcentaje de participación de los bienes en el presupuesto del Proceso de Contratación; y</w:t>
      </w:r>
    </w:p>
    <w:p w14:paraId="1230B09E"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 xml:space="preserve">3. La existencia de los bienes en el </w:t>
      </w:r>
      <w:r w:rsidRPr="00F4126C">
        <w:rPr>
          <w:rFonts w:ascii="Verdana" w:eastAsia="Arial" w:hAnsi="Verdana" w:cs="Arial"/>
          <w:i/>
          <w:iCs/>
          <w:color w:val="000000"/>
          <w:sz w:val="20"/>
          <w:szCs w:val="20"/>
        </w:rPr>
        <w:t>Registro de Productores de Bienes Nacionales, en los términos del Decreto 2680 de 2009 o las normas que lo modifiquen, aclaren, adicionen o sustituyan</w:t>
      </w:r>
      <w:r w:rsidRPr="00351C52">
        <w:rPr>
          <w:rFonts w:ascii="Verdana" w:eastAsia="Arial" w:hAnsi="Verdana" w:cs="Arial"/>
          <w:color w:val="000000"/>
          <w:sz w:val="20"/>
          <w:szCs w:val="20"/>
        </w:rPr>
        <w:t>.</w:t>
      </w:r>
    </w:p>
    <w:p w14:paraId="70F4482E" w14:textId="77777777" w:rsidR="009F45A3" w:rsidRPr="00351C52" w:rsidRDefault="009F45A3" w:rsidP="009F45A3">
      <w:pPr>
        <w:tabs>
          <w:tab w:val="left" w:pos="0"/>
        </w:tabs>
        <w:spacing w:after="120" w:line="240" w:lineRule="auto"/>
        <w:ind w:left="709" w:right="709"/>
        <w:jc w:val="both"/>
        <w:rPr>
          <w:rFonts w:ascii="Verdana" w:eastAsia="Arial" w:hAnsi="Verdana" w:cs="Arial"/>
          <w:color w:val="000000"/>
          <w:sz w:val="20"/>
          <w:szCs w:val="20"/>
        </w:rPr>
      </w:pPr>
      <w:r w:rsidRPr="00351C52">
        <w:rPr>
          <w:rFonts w:ascii="Verdana" w:eastAsia="Arial" w:hAnsi="Verdana" w:cs="Arial"/>
          <w:color w:val="000000"/>
          <w:sz w:val="20"/>
          <w:szCs w:val="20"/>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6682020C" w14:textId="77777777" w:rsidR="009F45A3" w:rsidRPr="00C27F58" w:rsidRDefault="009F45A3" w:rsidP="009F45A3">
      <w:pPr>
        <w:tabs>
          <w:tab w:val="left" w:pos="0"/>
        </w:tabs>
        <w:spacing w:after="0" w:line="240" w:lineRule="auto"/>
        <w:ind w:left="709" w:right="709"/>
        <w:jc w:val="both"/>
        <w:rPr>
          <w:rFonts w:ascii="Verdana" w:eastAsia="Arial" w:hAnsi="Verdana" w:cs="Arial"/>
          <w:color w:val="000000"/>
          <w:sz w:val="21"/>
          <w:szCs w:val="21"/>
        </w:rPr>
      </w:pPr>
      <w:r w:rsidRPr="00351C52">
        <w:rPr>
          <w:rFonts w:ascii="Verdana" w:eastAsia="Arial" w:hAnsi="Verdana" w:cs="Arial"/>
          <w:color w:val="000000"/>
          <w:sz w:val="20"/>
          <w:szCs w:val="20"/>
        </w:rPr>
        <w:t>La Entidad Estatal documentará este análisis y dejará constancia en los Documentos del Proceso’”.</w:t>
      </w:r>
      <w:r>
        <w:rPr>
          <w:rFonts w:ascii="Verdana" w:eastAsia="Arial" w:hAnsi="Verdana" w:cs="Arial"/>
          <w:color w:val="000000"/>
          <w:sz w:val="20"/>
          <w:szCs w:val="20"/>
        </w:rPr>
        <w:t xml:space="preserve"> (Énfasis por fuera de texto)</w:t>
      </w:r>
    </w:p>
    <w:p w14:paraId="24957195" w14:textId="77777777" w:rsidR="009F45A3" w:rsidRPr="00351C52" w:rsidRDefault="009F45A3" w:rsidP="009F45A3">
      <w:pPr>
        <w:tabs>
          <w:tab w:val="left" w:pos="0"/>
        </w:tabs>
        <w:spacing w:after="0" w:line="276" w:lineRule="auto"/>
        <w:ind w:left="709" w:right="709"/>
        <w:jc w:val="both"/>
        <w:rPr>
          <w:rFonts w:ascii="Verdana" w:eastAsia="Arial" w:hAnsi="Verdana" w:cs="Arial"/>
          <w:color w:val="000000"/>
        </w:rPr>
      </w:pPr>
    </w:p>
    <w:p w14:paraId="14333833" w14:textId="77777777" w:rsidR="009F45A3" w:rsidRPr="00C27F58" w:rsidRDefault="009F45A3" w:rsidP="009F45A3">
      <w:pPr>
        <w:tabs>
          <w:tab w:val="left" w:pos="0"/>
        </w:tabs>
        <w:spacing w:after="120" w:line="276" w:lineRule="auto"/>
        <w:ind w:firstLine="709"/>
        <w:jc w:val="both"/>
        <w:rPr>
          <w:rFonts w:ascii="Verdana" w:eastAsia="Arial" w:hAnsi="Verdana" w:cs="Arial"/>
          <w:color w:val="000000"/>
        </w:rPr>
      </w:pPr>
      <w:bookmarkStart w:id="4" w:name="_heading=h.3dy6vkm" w:colFirst="0" w:colLast="0"/>
      <w:bookmarkEnd w:id="4"/>
      <w:r w:rsidRPr="00C27F58">
        <w:rPr>
          <w:rFonts w:ascii="Verdana" w:eastAsia="Arial" w:hAnsi="Verdana" w:cs="Arial"/>
          <w:color w:val="000000"/>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w:t>
      </w:r>
      <w:r>
        <w:rPr>
          <w:rFonts w:ascii="Verdana" w:eastAsia="Arial" w:hAnsi="Verdana" w:cs="Arial"/>
          <w:color w:val="000000"/>
        </w:rPr>
        <w:t>“</w:t>
      </w:r>
      <w:r w:rsidRPr="00C27F58">
        <w:rPr>
          <w:rFonts w:ascii="Verdana" w:eastAsia="Arial" w:hAnsi="Verdana" w:cs="Arial"/>
          <w:color w:val="000000"/>
        </w:rPr>
        <w:t>el análisis del sector económico y de los oferentes, y, toda aquella información adicional con la que cuente la entidad estatal en la etapa de planeación del Proceso de Contratación</w:t>
      </w:r>
      <w:r>
        <w:rPr>
          <w:rFonts w:ascii="Verdana" w:eastAsia="Arial" w:hAnsi="Verdana" w:cs="Arial"/>
          <w:color w:val="000000"/>
        </w:rPr>
        <w:t>”</w:t>
      </w:r>
      <w:r w:rsidRPr="00C27F58">
        <w:rPr>
          <w:rFonts w:ascii="Verdana" w:eastAsia="Arial" w:hAnsi="Verdana" w:cs="Arial"/>
          <w:color w:val="000000"/>
        </w:rPr>
        <w:t xml:space="preserve">, </w:t>
      </w:r>
      <w:proofErr w:type="spellStart"/>
      <w:r w:rsidRPr="00C27F58">
        <w:rPr>
          <w:rFonts w:ascii="Verdana" w:eastAsia="Arial" w:hAnsi="Verdana" w:cs="Arial"/>
          <w:color w:val="000000"/>
        </w:rPr>
        <w:t>ii</w:t>
      </w:r>
      <w:proofErr w:type="spellEnd"/>
      <w:r w:rsidRPr="00C27F58">
        <w:rPr>
          <w:rFonts w:ascii="Verdana" w:eastAsia="Arial" w:hAnsi="Verdana" w:cs="Arial"/>
          <w:color w:val="000000"/>
        </w:rPr>
        <w:t xml:space="preserve">) el porcentaje de participación de los bienes en el presupuesto del Proceso de Contratación y </w:t>
      </w:r>
      <w:proofErr w:type="spellStart"/>
      <w:r w:rsidRPr="00C27F58">
        <w:rPr>
          <w:rFonts w:ascii="Verdana" w:eastAsia="Arial" w:hAnsi="Verdana" w:cs="Arial"/>
          <w:color w:val="000000"/>
        </w:rPr>
        <w:lastRenderedPageBreak/>
        <w:t>iii</w:t>
      </w:r>
      <w:proofErr w:type="spellEnd"/>
      <w:r w:rsidRPr="00C27F58">
        <w:rPr>
          <w:rFonts w:ascii="Verdana" w:eastAsia="Arial" w:hAnsi="Verdana" w:cs="Arial"/>
          <w:color w:val="000000"/>
        </w:rPr>
        <w:t xml:space="preserve">) la existencia de los bienes en el Registro de Productores de Bienes Nacionales, en los términos del Decreto 2680 de 2009. </w:t>
      </w:r>
    </w:p>
    <w:p w14:paraId="0BFFB28E" w14:textId="77777777" w:rsidR="009F45A3" w:rsidRDefault="009F45A3" w:rsidP="009F45A3">
      <w:pPr>
        <w:tabs>
          <w:tab w:val="left" w:pos="0"/>
        </w:tabs>
        <w:spacing w:after="120" w:line="276" w:lineRule="auto"/>
        <w:ind w:firstLine="709"/>
        <w:jc w:val="both"/>
        <w:rPr>
          <w:rFonts w:ascii="Verdana" w:eastAsia="Arial" w:hAnsi="Verdana" w:cs="Arial"/>
          <w:color w:val="000000"/>
        </w:rPr>
      </w:pPr>
      <w:r w:rsidRPr="00C27F58">
        <w:rPr>
          <w:rFonts w:ascii="Verdana" w:eastAsia="Arial" w:hAnsi="Verdana" w:cs="Arial"/>
          <w:color w:val="000000"/>
        </w:rPr>
        <w:t>En aplicación de estos criterios, corresponde a la entidad estatal determinar en los respectivos pliegos de condiciones o documentos equivalentes, la metodología conforme con la cual se asignará el puntaje correspondiente por apoyo a la industria nacional. Así, los puntos para la promoción de la industria nacional sólo deben concederse al proponente si éste cuenta con el respectivo Registro de Productores de Bienes Nacionales para los bienes relevantes que ofrece para la prestación del servicio. El proponente es autónomo para definir si se presenta o no al proceso acreditando este factor de evaluación; sin embargo, la asignación del puntaje está sujeta al cumplimiento de los requisitos previstos en las normas citadas.</w:t>
      </w:r>
    </w:p>
    <w:p w14:paraId="6B71A3A3" w14:textId="77777777" w:rsidR="009F45A3" w:rsidRDefault="009F45A3" w:rsidP="009F45A3">
      <w:pPr>
        <w:tabs>
          <w:tab w:val="left" w:pos="0"/>
        </w:tabs>
        <w:spacing w:after="120" w:line="276" w:lineRule="auto"/>
        <w:ind w:firstLine="709"/>
        <w:jc w:val="both"/>
        <w:rPr>
          <w:rFonts w:ascii="Verdana" w:eastAsia="Arial" w:hAnsi="Verdana" w:cs="Arial"/>
          <w:color w:val="000000"/>
        </w:rPr>
      </w:pPr>
      <w:r>
        <w:rPr>
          <w:rFonts w:ascii="Verdana" w:eastAsia="Arial" w:hAnsi="Verdana" w:cs="Arial"/>
          <w:color w:val="000000"/>
        </w:rPr>
        <w:t xml:space="preserve">La exigencia mencionada en el párrafo anterior se desprende del inciso primero del artículo </w:t>
      </w:r>
      <w:r w:rsidRPr="00351C52">
        <w:rPr>
          <w:rFonts w:ascii="Verdana" w:eastAsia="Arial" w:hAnsi="Verdana" w:cs="Arial"/>
          <w:color w:val="000000"/>
        </w:rPr>
        <w:t>2.2.1.2.4.2.9</w:t>
      </w:r>
      <w:r>
        <w:rPr>
          <w:rFonts w:ascii="Verdana" w:eastAsia="Arial" w:hAnsi="Verdana" w:cs="Arial"/>
          <w:color w:val="000000"/>
        </w:rPr>
        <w:t xml:space="preserve"> del Decreto 1082 de 2015, adicionado por el artículo </w:t>
      </w:r>
      <w:r w:rsidRPr="00C27F58">
        <w:rPr>
          <w:rFonts w:ascii="Verdana" w:eastAsia="Arial" w:hAnsi="Verdana" w:cs="Arial"/>
          <w:color w:val="000000"/>
        </w:rPr>
        <w:t>2 del Decreto 680 de 2021</w:t>
      </w:r>
      <w:r>
        <w:rPr>
          <w:rFonts w:ascii="Verdana" w:eastAsia="Arial" w:hAnsi="Verdana" w:cs="Arial"/>
          <w:color w:val="000000"/>
        </w:rPr>
        <w:t xml:space="preserve">, pues la norma dispone que el puntaje beneficia “[…] </w:t>
      </w:r>
      <w:r w:rsidRPr="006408A8">
        <w:rPr>
          <w:rFonts w:ascii="Verdana" w:eastAsia="Arial" w:hAnsi="Verdana" w:cs="Arial"/>
          <w:color w:val="000000"/>
        </w:rPr>
        <w:t>al proponente que oferte Servicios Nacionales</w:t>
      </w:r>
      <w:r>
        <w:rPr>
          <w:rFonts w:ascii="Verdana" w:eastAsia="Arial" w:hAnsi="Verdana" w:cs="Arial"/>
          <w:color w:val="000000"/>
        </w:rPr>
        <w:t xml:space="preserve"> […]”. En concordancia con el inciso primero del artículo </w:t>
      </w:r>
      <w:r w:rsidRPr="00C27F58">
        <w:rPr>
          <w:rFonts w:ascii="Verdana" w:eastAsia="Arial" w:hAnsi="Verdana" w:cs="Arial"/>
          <w:color w:val="000000"/>
        </w:rPr>
        <w:t>2.2.1.1.1.3.1</w:t>
      </w:r>
      <w:r>
        <w:rPr>
          <w:rFonts w:ascii="Verdana" w:eastAsia="Arial" w:hAnsi="Verdana" w:cs="Arial"/>
          <w:color w:val="000000"/>
        </w:rPr>
        <w:t xml:space="preserve"> </w:t>
      </w:r>
      <w:r w:rsidRPr="0005710A">
        <w:rPr>
          <w:rFonts w:ascii="Verdana" w:eastAsia="Arial" w:hAnsi="Verdana" w:cs="Arial"/>
          <w:i/>
          <w:iCs/>
          <w:color w:val="000000"/>
        </w:rPr>
        <w:t>ibidem</w:t>
      </w:r>
      <w:r>
        <w:rPr>
          <w:rFonts w:ascii="Verdana" w:eastAsia="Arial" w:hAnsi="Verdana" w:cs="Arial"/>
          <w:color w:val="000000"/>
        </w:rPr>
        <w:t xml:space="preserve">, modificado por el artículo 1 del Decreto 680 de 2021, la propuesta debe incluir también “[…] </w:t>
      </w:r>
      <w:r w:rsidRPr="0005710A">
        <w:rPr>
          <w:rFonts w:ascii="Verdana" w:eastAsia="Arial" w:hAnsi="Verdana" w:cs="Arial"/>
          <w:color w:val="000000"/>
        </w:rPr>
        <w:t>los bienes nacionales relevantes definidos por la Entidad Estatal</w:t>
      </w:r>
      <w:r>
        <w:rPr>
          <w:rFonts w:ascii="Verdana" w:eastAsia="Arial" w:hAnsi="Verdana" w:cs="Arial"/>
          <w:color w:val="000000"/>
        </w:rPr>
        <w:t xml:space="preserve"> […]” que usará el contratista para el cumplimiento de las obligaciones. </w:t>
      </w:r>
    </w:p>
    <w:p w14:paraId="019F8AF2" w14:textId="77777777" w:rsidR="009F45A3" w:rsidRDefault="009F45A3" w:rsidP="009F45A3">
      <w:pPr>
        <w:tabs>
          <w:tab w:val="left" w:pos="0"/>
        </w:tabs>
        <w:spacing w:after="120" w:line="276" w:lineRule="auto"/>
        <w:ind w:firstLine="709"/>
        <w:jc w:val="both"/>
        <w:rPr>
          <w:rFonts w:ascii="Verdana" w:eastAsia="Arial" w:hAnsi="Verdana" w:cs="Arial"/>
          <w:color w:val="000000"/>
        </w:rPr>
      </w:pPr>
      <w:r w:rsidRPr="00C27F58">
        <w:rPr>
          <w:rFonts w:ascii="Verdana" w:eastAsia="Arial" w:hAnsi="Verdana" w:cs="Arial"/>
          <w:color w:val="000000"/>
        </w:rPr>
        <w:t>Por lo demás, 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w:t>
      </w:r>
      <w:r>
        <w:rPr>
          <w:rFonts w:ascii="Verdana" w:eastAsia="Arial" w:hAnsi="Verdana" w:cs="Arial"/>
          <w:color w:val="000000"/>
        </w:rPr>
        <w:t>o.</w:t>
      </w:r>
    </w:p>
    <w:p w14:paraId="60A21A96" w14:textId="77777777" w:rsidR="009F45A3" w:rsidRDefault="009F45A3" w:rsidP="009F45A3">
      <w:pPr>
        <w:spacing w:after="120" w:line="276" w:lineRule="auto"/>
        <w:ind w:firstLine="709"/>
        <w:jc w:val="both"/>
        <w:rPr>
          <w:rFonts w:ascii="Verdana" w:eastAsia="Arial" w:hAnsi="Verdana" w:cs="Arial"/>
          <w:color w:val="000000"/>
        </w:rPr>
      </w:pPr>
      <w:r w:rsidRPr="00317E37">
        <w:rPr>
          <w:rFonts w:ascii="Verdana" w:eastAsia="Arial" w:hAnsi="Verdana" w:cs="Arial"/>
          <w:color w:val="000000"/>
        </w:rPr>
        <w:lastRenderedPageBreak/>
        <w:t>Conviene precisar que el artículo 2.2.1.2.4.2.9 del Decreto 1082 de 2015 regula el puntaje de industria nacional en los Procesos de Contratación de servicios y, en ese marco, fija los tres criterios para definir los bienes colombianos relevantes. Tratándose de la adquisición de bienes, el factor de apoyo a la industria nacional se apoya en la definición de Bienes Nacionales del artículo 2.2.1.1.1.3.1 ibidem, que remite al Registro de Productores de Bienes Nacionales conforme al Decreto 2680 de 2009. En uno y otro caso, la existencia de los bienes en el Registro se vincula a la asignación del puntaje del inciso primero del artículo 2 de la Ley 816 de 2003, esto es, a la etapa de evaluación mediante factores de ponderación, y no a la verificación de requisitos habilitantes. Las propias consideraciones del Decreto 680 de 2021 confirman este alcance, al reconocer que los puntajes de la Ley 816 de 2003 no aplican a la selección abreviada para la adquisición de bienes y servicios de características técnicas uniformes</w:t>
      </w:r>
      <w:r w:rsidRPr="006F1146">
        <w:rPr>
          <w:rFonts w:ascii="Verdana" w:eastAsia="Arial" w:hAnsi="Verdana" w:cs="Arial"/>
          <w:color w:val="000000"/>
          <w:vertAlign w:val="superscript"/>
        </w:rPr>
        <w:footnoteReference w:id="3"/>
      </w:r>
      <w:r w:rsidRPr="00317E37">
        <w:rPr>
          <w:rFonts w:ascii="Verdana" w:eastAsia="Arial" w:hAnsi="Verdana" w:cs="Arial"/>
          <w:color w:val="000000"/>
        </w:rPr>
        <w:t>.</w:t>
      </w:r>
    </w:p>
    <w:p w14:paraId="45E2E0EF" w14:textId="77777777" w:rsidR="009F45A3" w:rsidRPr="007208FF"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t>Bajo estas consideraciones, se evidencia que el Registro de Productores de Bienes Nacionales adquiere relevancia</w:t>
      </w:r>
      <w:r>
        <w:rPr>
          <w:rFonts w:ascii="Verdana" w:eastAsia="Arial" w:hAnsi="Verdana" w:cs="Arial"/>
          <w:color w:val="000000"/>
        </w:rPr>
        <w:t xml:space="preserve"> </w:t>
      </w:r>
      <w:r w:rsidRPr="007208FF">
        <w:rPr>
          <w:rFonts w:ascii="Verdana" w:eastAsia="Arial" w:hAnsi="Verdana" w:cs="Arial"/>
          <w:color w:val="000000"/>
        </w:rPr>
        <w:t xml:space="preserve">en el marco del Decreto 680 de 2021, para efectos de la asignación del puntaje previsto en el inciso primero del artículo 2 de la Ley 816 de 2003, en aquellos procesos de contratación en los que se evalúe la oferta de bienes o servicios nacionales o de bienes o servicios extranjeros que reciban trato nacional, de conformidad con la regla de origen aplicable. En este contexto, la </w:t>
      </w:r>
      <w:r>
        <w:rPr>
          <w:rFonts w:ascii="Verdana" w:eastAsia="Arial" w:hAnsi="Verdana" w:cs="Arial"/>
          <w:color w:val="000000"/>
        </w:rPr>
        <w:t>existencia de los bienes relevantes en el</w:t>
      </w:r>
      <w:r w:rsidRPr="007208FF">
        <w:rPr>
          <w:rFonts w:ascii="Verdana" w:eastAsia="Arial" w:hAnsi="Verdana" w:cs="Arial"/>
          <w:color w:val="000000"/>
        </w:rPr>
        <w:t xml:space="preserve"> Registro constituye un elemento asociado a la aplicación del factor de evaluación orientado a la promoción de la industria nacional, y no un requisito habilitante autónomo exigible para participar en el proceso de selección.</w:t>
      </w:r>
    </w:p>
    <w:p w14:paraId="2BDBFA1B" w14:textId="77777777" w:rsidR="009F45A3" w:rsidRPr="007208FF"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t>De esta manera, la aplicación de este mecanismo se encuentra vinculada a aquellos procesos de contratación en los que, de acuerdo con las reglas de evaluación previstas en el respectivo proceso, resulte procedente asignar el puntaje por la incorporación de bienes o servicios nacionales</w:t>
      </w:r>
      <w:r>
        <w:rPr>
          <w:rFonts w:ascii="Verdana" w:eastAsia="Arial" w:hAnsi="Verdana" w:cs="Arial"/>
          <w:color w:val="000000"/>
        </w:rPr>
        <w:t xml:space="preserve">, como ocurre, </w:t>
      </w:r>
      <w:r w:rsidRPr="007208FF">
        <w:rPr>
          <w:rFonts w:ascii="Verdana" w:eastAsia="Arial" w:hAnsi="Verdana" w:cs="Arial"/>
          <w:color w:val="000000"/>
        </w:rPr>
        <w:t>en términos generales, en</w:t>
      </w:r>
      <w:r>
        <w:rPr>
          <w:rFonts w:ascii="Verdana" w:eastAsia="Arial" w:hAnsi="Verdana" w:cs="Arial"/>
          <w:color w:val="000000"/>
        </w:rPr>
        <w:t xml:space="preserve"> las</w:t>
      </w:r>
      <w:r w:rsidRPr="007208FF">
        <w:rPr>
          <w:rFonts w:ascii="Verdana" w:eastAsia="Arial" w:hAnsi="Verdana" w:cs="Arial"/>
          <w:color w:val="000000"/>
        </w:rPr>
        <w:t xml:space="preserve"> modalidades</w:t>
      </w:r>
      <w:r>
        <w:rPr>
          <w:rFonts w:ascii="Verdana" w:eastAsia="Arial" w:hAnsi="Verdana" w:cs="Arial"/>
          <w:color w:val="000000"/>
        </w:rPr>
        <w:t xml:space="preserve"> de selección</w:t>
      </w:r>
      <w:r w:rsidRPr="007208FF">
        <w:rPr>
          <w:rFonts w:ascii="Verdana" w:eastAsia="Arial" w:hAnsi="Verdana" w:cs="Arial"/>
          <w:color w:val="000000"/>
        </w:rPr>
        <w:t xml:space="preserve"> en las que existe una etapa de evaluación mediante factores de ponderación, como la licitación pública, la selección abreviada de menor cuantía y el concurso de méritos, según </w:t>
      </w:r>
      <w:r w:rsidRPr="007208FF">
        <w:rPr>
          <w:rFonts w:ascii="Verdana" w:eastAsia="Arial" w:hAnsi="Verdana" w:cs="Arial"/>
          <w:color w:val="000000"/>
        </w:rPr>
        <w:lastRenderedPageBreak/>
        <w:t>corresponda a las características del objeto y del proceso. Por el contrario, no resulta aplicable en aquellos procedimientos en los que, por su propia estructura, el precio constituye el único factor determinante de la selección, como ocurre con la selección abreviada para la adquisición de bienes y servicios de características técnicas uniformes mediante subasta inversa.</w:t>
      </w:r>
    </w:p>
    <w:p w14:paraId="3116AA03" w14:textId="77777777" w:rsidR="009F45A3" w:rsidRPr="007208FF"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t xml:space="preserve">En efecto, </w:t>
      </w:r>
      <w:r>
        <w:rPr>
          <w:rFonts w:ascii="Verdana" w:eastAsia="Arial" w:hAnsi="Verdana" w:cs="Arial"/>
          <w:color w:val="000000"/>
        </w:rPr>
        <w:t xml:space="preserve">en </w:t>
      </w:r>
      <w:r w:rsidRPr="007208FF">
        <w:rPr>
          <w:rFonts w:ascii="Verdana" w:eastAsia="Arial" w:hAnsi="Verdana" w:cs="Arial"/>
          <w:color w:val="000000"/>
        </w:rPr>
        <w:t>las consideraciones del Decreto 680 de 2021</w:t>
      </w:r>
      <w:r>
        <w:rPr>
          <w:rFonts w:ascii="Verdana" w:eastAsia="Arial" w:hAnsi="Verdana" w:cs="Arial"/>
          <w:color w:val="000000"/>
        </w:rPr>
        <w:t xml:space="preserve"> se</w:t>
      </w:r>
      <w:r w:rsidRPr="007208FF">
        <w:rPr>
          <w:rFonts w:ascii="Verdana" w:eastAsia="Arial" w:hAnsi="Verdana" w:cs="Arial"/>
          <w:color w:val="000000"/>
        </w:rPr>
        <w:t xml:space="preserve"> reconoce expresamente que los puntajes establecidos en la Ley 816 de 2003 no resultan aplicables en los procesos de selección abreviada para la adquisición o suministro de bienes y servicios de características técnicas uniformes y de común utilización a que se refiere el artículo 2 de la Ley 1150 de 2007. Esta precisión resulta relevante, pues confirma que las reglas relacionadas con la acreditación del origen nacional y con el Registro de Productores de Bienes Nacionales están concebidas como instrumentos para la aplicación de un factor de evaluación, y no como condiciones generales de habilitación que puedan trasladarse indistintamente a cualquier modalidad o procedimiento de selección.</w:t>
      </w:r>
    </w:p>
    <w:p w14:paraId="4D850483" w14:textId="77777777" w:rsidR="009F45A3" w:rsidRPr="007208FF"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t>Por consiguiente, fuera del ámbito en el que jurídicamente resulte procedente la asignación del puntaje por apoyo a la industria nacional, no sería procedente exigir que los bienes ofrecidos se encuentren inscritos en el Registro de Productores de Bienes Nacionales como un requisito habilitante o como una condición de participación</w:t>
      </w:r>
      <w:r>
        <w:rPr>
          <w:rFonts w:ascii="Verdana" w:eastAsia="Arial" w:hAnsi="Verdana" w:cs="Arial"/>
          <w:color w:val="000000"/>
        </w:rPr>
        <w:t>, porque tal condición no se desprende del Decreto 680 de 2021</w:t>
      </w:r>
      <w:r w:rsidRPr="007208FF">
        <w:rPr>
          <w:rFonts w:ascii="Verdana" w:eastAsia="Arial" w:hAnsi="Verdana" w:cs="Arial"/>
          <w:color w:val="000000"/>
        </w:rPr>
        <w:t>. Una exigencia de esta naturaleza desnaturalizaría la finalidad con la que el ordenamiento incorpora el Registro al sistema de contratación pública, al transformar un mecanismo previsto para acreditar o valorar el origen nacional de los bienes en una condición de acceso al proceso de selección.</w:t>
      </w:r>
    </w:p>
    <w:p w14:paraId="030B041D" w14:textId="77777777" w:rsidR="009F45A3" w:rsidRPr="007208FF"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t xml:space="preserve">Además, la exigencia del Registro como requisito habilitante, cuando el ordenamiento no la contempla para el respectivo proceso, podría introducir una barrera de acceso que limite injustificadamente la </w:t>
      </w:r>
      <w:r>
        <w:rPr>
          <w:rFonts w:ascii="Verdana" w:eastAsia="Arial" w:hAnsi="Verdana" w:cs="Arial"/>
          <w:color w:val="000000"/>
        </w:rPr>
        <w:t xml:space="preserve">libre </w:t>
      </w:r>
      <w:r w:rsidRPr="007208FF">
        <w:rPr>
          <w:rFonts w:ascii="Verdana" w:eastAsia="Arial" w:hAnsi="Verdana" w:cs="Arial"/>
          <w:color w:val="000000"/>
        </w:rPr>
        <w:t>concurrencia de oferentes. En particular, no puede perderse de vista que las condiciones de participación deben guardar relación directa con el objeto y las condiciones del proceso</w:t>
      </w:r>
      <w:r>
        <w:rPr>
          <w:rFonts w:ascii="Verdana" w:eastAsia="Arial" w:hAnsi="Verdana" w:cs="Arial"/>
          <w:color w:val="000000"/>
        </w:rPr>
        <w:t>,</w:t>
      </w:r>
      <w:r w:rsidRPr="007208FF">
        <w:rPr>
          <w:rFonts w:ascii="Verdana" w:eastAsia="Arial" w:hAnsi="Verdana" w:cs="Arial"/>
          <w:color w:val="000000"/>
        </w:rPr>
        <w:t xml:space="preserve"> </w:t>
      </w:r>
      <w:r>
        <w:rPr>
          <w:rFonts w:ascii="Verdana" w:eastAsia="Arial" w:hAnsi="Verdana" w:cs="Arial"/>
          <w:color w:val="000000"/>
        </w:rPr>
        <w:t>p</w:t>
      </w:r>
      <w:r w:rsidRPr="007208FF">
        <w:rPr>
          <w:rFonts w:ascii="Verdana" w:eastAsia="Arial" w:hAnsi="Verdana" w:cs="Arial"/>
          <w:color w:val="000000"/>
        </w:rPr>
        <w:t>or ello, la Entidad Estatal no podría utilizar las reglas relativas al Registro de Productores de Bienes Nacionales para establecer, por vía de los documentos del proceso, una exigencia adicional que opere como condición para participar, cuando la regulación aplicable la contempla únicamente para efectos de la evaluación del componente de industria nacional.</w:t>
      </w:r>
    </w:p>
    <w:p w14:paraId="58A97CF0" w14:textId="77777777" w:rsidR="009F45A3" w:rsidRDefault="009F45A3" w:rsidP="009F45A3">
      <w:pPr>
        <w:tabs>
          <w:tab w:val="left" w:pos="0"/>
        </w:tabs>
        <w:spacing w:after="120" w:line="276" w:lineRule="auto"/>
        <w:ind w:firstLine="709"/>
        <w:jc w:val="both"/>
        <w:rPr>
          <w:rFonts w:ascii="Verdana" w:eastAsia="Arial" w:hAnsi="Verdana" w:cs="Arial"/>
          <w:color w:val="000000"/>
        </w:rPr>
      </w:pPr>
      <w:r w:rsidRPr="007208FF">
        <w:rPr>
          <w:rFonts w:ascii="Verdana" w:eastAsia="Arial" w:hAnsi="Verdana" w:cs="Arial"/>
          <w:color w:val="000000"/>
        </w:rPr>
        <w:lastRenderedPageBreak/>
        <w:t xml:space="preserve">Esta conclusión adquiere especial relevancia frente a los procesos sometidos a acuerdos comerciales, en los cuales las reglas de trato nacional y las demás obligaciones internacionales aplicables deben ser observadas por las entidades estatales. En consecuencia, la exigencia de una condición de origen o de inscripción en un registro que opere como requisito habilitante, podría producir un efecto restrictivo sobre la participación de bienes o proveedores extranjeros que tengan derecho al trato nacional. De ahí que la utilización del Registro de Productores de Bienes Nacionales deba mantenerse dentro de la finalidad </w:t>
      </w:r>
      <w:r>
        <w:rPr>
          <w:rFonts w:ascii="Verdana" w:eastAsia="Arial" w:hAnsi="Verdana" w:cs="Arial"/>
          <w:color w:val="000000"/>
        </w:rPr>
        <w:t>de</w:t>
      </w:r>
      <w:r w:rsidRPr="007208FF">
        <w:rPr>
          <w:rFonts w:ascii="Verdana" w:eastAsia="Arial" w:hAnsi="Verdana" w:cs="Arial"/>
          <w:color w:val="000000"/>
        </w:rPr>
        <w:t xml:space="preserve"> servir de instrumento para la aplicación del factor de evaluación relativo a la promoción de la industria nacional, sin convertirse, por vía interpretativa o mediante los documentos del proceso, en una condición adicional de habilitación.</w:t>
      </w:r>
    </w:p>
    <w:p w14:paraId="792AEA10" w14:textId="77777777" w:rsidR="009F45A3" w:rsidRPr="003C6DBE" w:rsidRDefault="009F45A3" w:rsidP="009F45A3">
      <w:pPr>
        <w:spacing w:after="120" w:line="276" w:lineRule="auto"/>
        <w:ind w:firstLine="709"/>
        <w:jc w:val="both"/>
        <w:rPr>
          <w:rFonts w:ascii="Verdana" w:eastAsia="Arial" w:hAnsi="Verdana" w:cs="Arial"/>
          <w:color w:val="000000"/>
        </w:rPr>
      </w:pPr>
      <w:r w:rsidRPr="00317E37">
        <w:rPr>
          <w:rFonts w:ascii="Verdana" w:eastAsia="Arial" w:hAnsi="Verdana" w:cs="Arial"/>
          <w:color w:val="000000"/>
        </w:rPr>
        <w:t>En la selección abreviada para la adquisición de bienes y servicios de características técnicas uniformes, la subasta inversa se estructura sobre el precio como único factor de escogencia, conforme al artículo 2, numeral 2, de la Ley 1150 de 2007 y al artículo 2.2.1.2.1.2.2 del Decreto 1082 de 2015. En esa medida, la inscripción del bien en el Registro de Productores de Bienes Nacionales no incide en la comparación de las ofertas ni constituye un requisito habilitante o una condición de participación.</w:t>
      </w:r>
    </w:p>
    <w:p w14:paraId="7E6267B6" w14:textId="77777777" w:rsidR="009F45A3" w:rsidRPr="00954BA4" w:rsidRDefault="009F45A3" w:rsidP="009F45A3">
      <w:pPr>
        <w:spacing w:after="120" w:line="276" w:lineRule="auto"/>
        <w:ind w:firstLine="709"/>
        <w:jc w:val="both"/>
        <w:rPr>
          <w:rFonts w:ascii="Verdana" w:eastAsia="Arial" w:hAnsi="Verdana" w:cs="Arial"/>
          <w:color w:val="000000"/>
        </w:rPr>
      </w:pPr>
      <w:r w:rsidRPr="00317E37">
        <w:rPr>
          <w:rFonts w:ascii="Verdana" w:eastAsia="Arial" w:hAnsi="Verdana" w:cs="Arial"/>
          <w:color w:val="000000"/>
        </w:rPr>
        <w:t>Por lo anterior, su ausencia no puede erigirse en causal de rechazo. El artículo 5 de la Ley 1150 de 2007 dispone que la falta de documentos que no son necesarios para la comparación de las propuestas no sirve de título suficiente para el rechazo de los ofrecimientos</w:t>
      </w:r>
      <w:r w:rsidRPr="00954BA4">
        <w:rPr>
          <w:rFonts w:ascii="Verdana" w:eastAsia="Arial" w:hAnsi="Verdana" w:cs="Arial"/>
          <w:color w:val="000000"/>
          <w:vertAlign w:val="superscript"/>
        </w:rPr>
        <w:footnoteReference w:id="4"/>
      </w:r>
      <w:r w:rsidRPr="00317E37">
        <w:rPr>
          <w:rFonts w:ascii="Verdana" w:eastAsia="Arial" w:hAnsi="Verdana" w:cs="Arial"/>
          <w:color w:val="000000"/>
        </w:rPr>
        <w:t>, regla que se refuerza con el deber de permitir la subsanación de los requisitos y documentos que no otorgan puntaje. Un rechazo fundado en la sola falta de inscripción, cuando esta no era exigible, desconocería los principios de selección objetiva y de libre concurrencia.</w:t>
      </w:r>
    </w:p>
    <w:p w14:paraId="2031B3B8" w14:textId="77777777" w:rsidR="009F45A3" w:rsidRPr="00954BA4" w:rsidRDefault="009F45A3" w:rsidP="009F45A3">
      <w:pPr>
        <w:spacing w:after="120" w:line="276" w:lineRule="auto"/>
        <w:ind w:firstLine="709"/>
        <w:jc w:val="both"/>
        <w:rPr>
          <w:rFonts w:ascii="Verdana" w:eastAsia="Arial" w:hAnsi="Verdana" w:cs="Arial"/>
          <w:color w:val="000000"/>
        </w:rPr>
      </w:pPr>
      <w:r w:rsidRPr="00317E37">
        <w:rPr>
          <w:rFonts w:ascii="Verdana" w:eastAsia="Arial" w:hAnsi="Verdana" w:cs="Arial"/>
          <w:color w:val="000000"/>
        </w:rPr>
        <w:t xml:space="preserve">En ese orden, el origen nacional del bien y su inscripción en el Registro de Productores de Bienes Nacionales corresponden a dos planos distintos. El primero es una cualidad sustancial del bien: el artículo 1 del Decreto 2680 de 2009 entiende por bienes nacionales los totalmente obtenidos, los elaborados con materiales nacionales y los que sufren una transformación sustancial en los términos allí previstos. El segundo es un acto registral de carácter declarativo, </w:t>
      </w:r>
      <w:r w:rsidRPr="00317E37">
        <w:rPr>
          <w:rFonts w:ascii="Verdana" w:eastAsia="Arial" w:hAnsi="Verdana" w:cs="Arial"/>
          <w:color w:val="000000"/>
        </w:rPr>
        <w:lastRenderedPageBreak/>
        <w:t>mediante el cual el productor deja constancia de esa condición ante el Ministerio de Comercio, Industria y Turismo.</w:t>
      </w:r>
    </w:p>
    <w:p w14:paraId="2DC86466" w14:textId="77777777" w:rsidR="009F45A3" w:rsidRDefault="009F45A3" w:rsidP="009F45A3">
      <w:pPr>
        <w:spacing w:after="120" w:line="276" w:lineRule="auto"/>
        <w:ind w:firstLine="709"/>
        <w:jc w:val="both"/>
        <w:rPr>
          <w:rFonts w:ascii="Verdana" w:eastAsia="Arial" w:hAnsi="Verdana" w:cs="Arial"/>
          <w:color w:val="000000"/>
        </w:rPr>
      </w:pPr>
      <w:r w:rsidRPr="00317E37">
        <w:rPr>
          <w:rFonts w:ascii="Verdana" w:eastAsia="Arial" w:hAnsi="Verdana" w:cs="Arial"/>
          <w:color w:val="000000"/>
        </w:rPr>
        <w:t xml:space="preserve">De esa distinción se sigue que la inscripción no es constitutiva de la nacionalidad del bien, sino un medio para acreditarla. Un bien puede ser de origen </w:t>
      </w:r>
      <w:proofErr w:type="gramStart"/>
      <w:r w:rsidRPr="00317E37">
        <w:rPr>
          <w:rFonts w:ascii="Verdana" w:eastAsia="Arial" w:hAnsi="Verdana" w:cs="Arial"/>
          <w:color w:val="000000"/>
        </w:rPr>
        <w:t>nacional</w:t>
      </w:r>
      <w:proofErr w:type="gramEnd"/>
      <w:r w:rsidRPr="00317E37">
        <w:rPr>
          <w:rFonts w:ascii="Verdana" w:eastAsia="Arial" w:hAnsi="Verdana" w:cs="Arial"/>
          <w:color w:val="000000"/>
        </w:rPr>
        <w:t xml:space="preserve"> aunque no esté inscrito, y la inscripción, por sí sola, no altera su naturaleza. Por ello los documentos del proceso pueden prever la inscripción como medio de acreditación exigible cuando se pretenda obtener el puntaje por apoyo a la industria nacional y este resulte aplicable, pero no pueden equiparar ambas circunstancias hasta convertir la inscripción en un requisito para participar. Hacerlo confundiría la prueba del origen con una condición de acceso al proceso, sin sustento en el Decreto 680 de 2021 ni en las normas que regulan el Registro.</w:t>
      </w:r>
    </w:p>
    <w:p w14:paraId="7BC06CA0" w14:textId="77777777" w:rsidR="009F45A3" w:rsidRPr="00C76FA3" w:rsidRDefault="009F45A3" w:rsidP="009F45A3">
      <w:pPr>
        <w:tabs>
          <w:tab w:val="left" w:pos="0"/>
        </w:tabs>
        <w:spacing w:after="120" w:line="276" w:lineRule="auto"/>
        <w:ind w:firstLine="709"/>
        <w:jc w:val="both"/>
        <w:rPr>
          <w:rFonts w:ascii="Verdana" w:eastAsia="Arial" w:hAnsi="Verdana" w:cs="Arial"/>
          <w:color w:val="000000"/>
        </w:rPr>
      </w:pP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0143295" w14:textId="77777777" w:rsidR="009F45A3" w:rsidRPr="00185EE9" w:rsidRDefault="009F45A3" w:rsidP="009F45A3">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41E54CBB" w14:textId="77777777" w:rsidR="009F45A3" w:rsidRPr="00182C89" w:rsidRDefault="009F45A3" w:rsidP="009F45A3">
      <w:pPr>
        <w:tabs>
          <w:tab w:val="left" w:pos="709"/>
        </w:tabs>
        <w:spacing w:after="0" w:line="276" w:lineRule="auto"/>
        <w:jc w:val="both"/>
        <w:rPr>
          <w:rFonts w:ascii="Verdana" w:eastAsia="Calibri" w:hAnsi="Verdana" w:cs="Arial"/>
          <w:color w:val="000000" w:themeColor="text1"/>
        </w:rPr>
      </w:pPr>
    </w:p>
    <w:p w14:paraId="14BD6A2B" w14:textId="77777777" w:rsidR="009F45A3" w:rsidRPr="00593A5F" w:rsidRDefault="009F45A3" w:rsidP="009F45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9EAAFE" w14:textId="77777777" w:rsidR="009F45A3" w:rsidRPr="00593A5F" w:rsidRDefault="009F45A3" w:rsidP="009F45A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45A3" w:rsidRPr="002407CE" w14:paraId="69C4E38A" w14:textId="77777777" w:rsidTr="00A13622">
        <w:trPr>
          <w:trHeight w:val="56"/>
          <w:jc w:val="center"/>
        </w:trPr>
        <w:tc>
          <w:tcPr>
            <w:tcW w:w="8647" w:type="dxa"/>
          </w:tcPr>
          <w:p w14:paraId="7F12B507" w14:textId="77777777" w:rsidR="009F45A3" w:rsidRDefault="009F45A3" w:rsidP="00A136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816 de 2003, artículos 1 y 2.</w:t>
            </w:r>
          </w:p>
          <w:p w14:paraId="0BB7B6D2" w14:textId="77777777" w:rsidR="009F45A3" w:rsidRDefault="009F45A3" w:rsidP="00A136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1437 de 2011, artículos 28 y 112.</w:t>
            </w:r>
          </w:p>
          <w:p w14:paraId="21ED51B6" w14:textId="77777777" w:rsidR="009F45A3" w:rsidRDefault="009F45A3" w:rsidP="00A136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4170 de 2011, artículos 3, 11, 12 y 13.</w:t>
            </w:r>
          </w:p>
          <w:p w14:paraId="2864682B" w14:textId="77777777" w:rsidR="009F45A3" w:rsidRDefault="009F45A3" w:rsidP="00A136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2680 de 2009, artículo 1.</w:t>
            </w:r>
          </w:p>
          <w:p w14:paraId="2EFD042D" w14:textId="77777777" w:rsidR="009F45A3" w:rsidRPr="00317E37" w:rsidRDefault="009F45A3" w:rsidP="00A1362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C27F58">
              <w:rPr>
                <w:rFonts w:ascii="Verdana" w:eastAsia="Arial" w:hAnsi="Verdana" w:cs="Arial"/>
                <w:color w:val="000000"/>
              </w:rPr>
              <w:t>2.2.1.1.1.3.1</w:t>
            </w:r>
            <w:r>
              <w:rPr>
                <w:rFonts w:ascii="Verdana" w:eastAsia="Arial" w:hAnsi="Verdana" w:cs="Arial"/>
                <w:color w:val="000000"/>
              </w:rPr>
              <w:t xml:space="preserve">, </w:t>
            </w:r>
            <w:r w:rsidRPr="00C27F58">
              <w:rPr>
                <w:rFonts w:ascii="Verdana" w:eastAsia="Arial" w:hAnsi="Verdana" w:cs="Arial"/>
                <w:color w:val="000000"/>
              </w:rPr>
              <w:t>2.2.1.2.4.1.3</w:t>
            </w:r>
            <w:r>
              <w:rPr>
                <w:rFonts w:ascii="Verdana" w:eastAsia="Arial" w:hAnsi="Verdana" w:cs="Arial"/>
                <w:color w:val="000000"/>
              </w:rPr>
              <w:t xml:space="preserve">, </w:t>
            </w:r>
            <w:r w:rsidRPr="00404130">
              <w:rPr>
                <w:rFonts w:ascii="Verdana" w:eastAsia="Arial" w:hAnsi="Verdana" w:cs="Arial"/>
                <w:color w:val="000000"/>
              </w:rPr>
              <w:t>2.2.1.2.4.2.9</w:t>
            </w:r>
            <w:r>
              <w:rPr>
                <w:rFonts w:ascii="Verdana" w:eastAsia="Arial" w:hAnsi="Verdana" w:cs="Arial"/>
                <w:color w:val="000000"/>
              </w:rPr>
              <w:t>.</w:t>
            </w:r>
          </w:p>
          <w:p w14:paraId="3B9601EC" w14:textId="77777777" w:rsidR="009F45A3" w:rsidRPr="00CD007D" w:rsidRDefault="009F45A3" w:rsidP="00A136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317E37">
              <w:rPr>
                <w:rFonts w:ascii="Verdana" w:hAnsi="Verdana" w:cs="Arial"/>
              </w:rPr>
              <w:t>Ley 1150 de 2007, artículos 2 y 5.</w:t>
            </w:r>
          </w:p>
          <w:p w14:paraId="04D490D5" w14:textId="77777777" w:rsidR="009F45A3" w:rsidRPr="007F34F0" w:rsidRDefault="009F45A3" w:rsidP="00A1362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317E37">
              <w:rPr>
                <w:rFonts w:ascii="Verdana" w:hAnsi="Verdana" w:cs="Arial"/>
              </w:rPr>
              <w:t>Decreto 680 de 2021.</w:t>
            </w:r>
          </w:p>
        </w:tc>
      </w:tr>
    </w:tbl>
    <w:p w14:paraId="415A0CC2" w14:textId="77777777" w:rsidR="009F45A3" w:rsidRPr="002407CE" w:rsidRDefault="009F45A3" w:rsidP="009F45A3">
      <w:pPr>
        <w:widowControl w:val="0"/>
        <w:autoSpaceDE w:val="0"/>
        <w:autoSpaceDN w:val="0"/>
        <w:spacing w:after="0" w:line="276" w:lineRule="auto"/>
        <w:jc w:val="both"/>
        <w:rPr>
          <w:rFonts w:ascii="Verdana" w:hAnsi="Verdana" w:cs="Arial"/>
        </w:rPr>
      </w:pPr>
    </w:p>
    <w:p w14:paraId="36A85055" w14:textId="77777777" w:rsidR="009F45A3" w:rsidRPr="00593A5F" w:rsidRDefault="009F45A3" w:rsidP="009F45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21EAF42" w14:textId="77777777" w:rsidR="009F45A3" w:rsidRPr="00593A5F" w:rsidRDefault="009F45A3" w:rsidP="009F45A3">
      <w:pPr>
        <w:widowControl w:val="0"/>
        <w:autoSpaceDE w:val="0"/>
        <w:autoSpaceDN w:val="0"/>
        <w:spacing w:after="0" w:line="276" w:lineRule="auto"/>
        <w:jc w:val="both"/>
        <w:rPr>
          <w:rFonts w:ascii="Verdana" w:hAnsi="Verdana" w:cs="Arial"/>
        </w:rPr>
      </w:pPr>
    </w:p>
    <w:p w14:paraId="1E3663C6" w14:textId="77777777" w:rsidR="009F45A3" w:rsidRPr="00ED0098" w:rsidRDefault="009F45A3" w:rsidP="009F45A3">
      <w:pPr>
        <w:widowControl w:val="0"/>
        <w:autoSpaceDE w:val="0"/>
        <w:autoSpaceDN w:val="0"/>
        <w:spacing w:after="0" w:line="276" w:lineRule="auto"/>
        <w:jc w:val="both"/>
        <w:rPr>
          <w:rStyle w:val="normaltextrun"/>
          <w:rFonts w:ascii="Verdana" w:hAnsi="Verdana" w:cs="Arial"/>
          <w:shd w:val="clear" w:color="auto" w:fill="FFFFFF"/>
        </w:rPr>
      </w:pPr>
      <w:r w:rsidRPr="008554C1">
        <w:rPr>
          <w:rFonts w:ascii="Verdana" w:hAnsi="Verdana" w:cs="Arial"/>
          <w:shd w:val="clear" w:color="auto" w:fill="FFFFFF"/>
        </w:rPr>
        <w:t xml:space="preserve">Esta Subdirección se ha pronunciado sobre </w:t>
      </w:r>
      <w:r w:rsidRPr="009257A1">
        <w:rPr>
          <w:rFonts w:ascii="Verdana" w:hAnsi="Verdana" w:cs="Arial"/>
          <w:shd w:val="clear" w:color="auto" w:fill="FFFFFF"/>
        </w:rPr>
        <w:t xml:space="preserve">la aplicación del Decreto 680 de 2021 y el otorgamiento del puntaje por apoyo a la industria nacional en los procedimientos de selección en los </w:t>
      </w:r>
      <w:r>
        <w:rPr>
          <w:rFonts w:ascii="Verdana" w:hAnsi="Verdana" w:cs="Arial"/>
          <w:shd w:val="clear" w:color="auto" w:fill="FFFFFF"/>
        </w:rPr>
        <w:t>C</w:t>
      </w:r>
      <w:r w:rsidRPr="009257A1">
        <w:rPr>
          <w:rFonts w:ascii="Verdana" w:hAnsi="Verdana" w:cs="Arial"/>
          <w:shd w:val="clear" w:color="auto" w:fill="FFFFFF"/>
        </w:rPr>
        <w:t>onceptos C-442 del 26 de agosto de 2021, C-542 del 20 de octubre de 2021, C-549 del 5 de noviembre de 2021, C-020 del 22 de febrero de 2022, C-219 del 21 de abril</w:t>
      </w:r>
      <w:r>
        <w:rPr>
          <w:rFonts w:ascii="Verdana" w:hAnsi="Verdana" w:cs="Arial"/>
          <w:shd w:val="clear" w:color="auto" w:fill="FFFFFF"/>
        </w:rPr>
        <w:t xml:space="preserve">, </w:t>
      </w:r>
      <w:r w:rsidRPr="001F1870">
        <w:rPr>
          <w:rFonts w:ascii="Verdana" w:hAnsi="Verdana" w:cs="Arial"/>
          <w:shd w:val="clear" w:color="auto" w:fill="FFFFFF"/>
        </w:rPr>
        <w:t xml:space="preserve">de 2022, C-265 del 4 de abril de 2022, </w:t>
      </w:r>
      <w:r>
        <w:rPr>
          <w:rFonts w:ascii="Verdana" w:hAnsi="Verdana" w:cs="Arial"/>
          <w:shd w:val="clear" w:color="auto" w:fill="FFFFFF"/>
        </w:rPr>
        <w:t xml:space="preserve">C-929 del 21 de julio de 2026, </w:t>
      </w:r>
      <w:r w:rsidRPr="001F1870">
        <w:rPr>
          <w:rFonts w:ascii="Verdana" w:hAnsi="Verdana" w:cs="Arial"/>
          <w:shd w:val="clear" w:color="auto" w:fill="FFFFFF"/>
        </w:rPr>
        <w:t>entre otros</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79E72E1" w14:textId="77777777" w:rsidR="009F45A3" w:rsidRPr="00096788" w:rsidRDefault="009F45A3" w:rsidP="009F45A3">
      <w:pPr>
        <w:widowControl w:val="0"/>
        <w:autoSpaceDE w:val="0"/>
        <w:autoSpaceDN w:val="0"/>
        <w:spacing w:after="0" w:line="276" w:lineRule="auto"/>
        <w:jc w:val="both"/>
        <w:rPr>
          <w:rFonts w:ascii="Verdana" w:hAnsi="Verdana" w:cs="Arial"/>
          <w:color w:val="000000" w:themeColor="text1"/>
          <w:shd w:val="clear" w:color="auto" w:fill="FFFFFF"/>
        </w:rPr>
      </w:pPr>
    </w:p>
    <w:p w14:paraId="04A9F450"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070E5AFC"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p>
    <w:p w14:paraId="4CC538AF"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 xml:space="preserve">Sistema Integral de Preferencias en favor de las </w:t>
      </w:r>
      <w:r w:rsidRPr="00F42673">
        <w:rPr>
          <w:rFonts w:ascii="Verdana" w:eastAsia="Times New Roman" w:hAnsi="Verdana" w:cs="Times New Roman"/>
          <w:b/>
          <w:bCs/>
          <w:color w:val="000000"/>
          <w:lang w:eastAsia="es-MX"/>
        </w:rPr>
        <w:lastRenderedPageBreak/>
        <w:t>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4"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451C61D3"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p>
    <w:p w14:paraId="6CE1A3BB"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27533319" w14:textId="77777777" w:rsidR="009F45A3" w:rsidRPr="00F42673" w:rsidRDefault="009F45A3" w:rsidP="009F45A3">
      <w:pPr>
        <w:spacing w:after="0" w:line="276" w:lineRule="auto"/>
        <w:jc w:val="both"/>
        <w:rPr>
          <w:rFonts w:ascii="Verdana" w:eastAsia="Times New Roman" w:hAnsi="Verdana" w:cs="Times New Roman"/>
          <w:color w:val="000000"/>
          <w:lang w:eastAsia="es-MX"/>
        </w:rPr>
      </w:pPr>
    </w:p>
    <w:p w14:paraId="3DDC0ACB" w14:textId="77777777" w:rsidR="009F45A3" w:rsidRPr="00797CA8" w:rsidRDefault="009F45A3" w:rsidP="009F45A3">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3D96D6E0" w14:textId="77777777" w:rsidR="009F45A3" w:rsidRDefault="009F45A3" w:rsidP="009F45A3">
      <w:pPr>
        <w:shd w:val="clear" w:color="auto" w:fill="FFFFFF"/>
        <w:spacing w:after="0" w:line="276" w:lineRule="auto"/>
        <w:jc w:val="both"/>
        <w:rPr>
          <w:rFonts w:ascii="Verdana" w:hAnsi="Verdana"/>
          <w:color w:val="000000"/>
          <w:u w:val="single"/>
        </w:rPr>
      </w:pPr>
    </w:p>
    <w:p w14:paraId="5EBE3401" w14:textId="77777777" w:rsidR="009F45A3" w:rsidRPr="00116940" w:rsidRDefault="009F45A3" w:rsidP="009F45A3">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1DDE208" w14:textId="77777777" w:rsidR="009F45A3" w:rsidRPr="00116940" w:rsidRDefault="009F45A3" w:rsidP="009F45A3">
      <w:pPr>
        <w:spacing w:after="0"/>
        <w:jc w:val="both"/>
        <w:rPr>
          <w:rFonts w:ascii="Verdana" w:hAnsi="Verdana"/>
        </w:rPr>
      </w:pPr>
    </w:p>
    <w:p w14:paraId="7835144F" w14:textId="77777777" w:rsidR="009F45A3" w:rsidRPr="00116940" w:rsidRDefault="009F45A3" w:rsidP="009F45A3">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lastRenderedPageBreak/>
        <w:t xml:space="preserve">Línea nacional gratuita o servicio a la ciudadanía (Mesa de servicio): </w:t>
      </w:r>
      <w:r w:rsidRPr="00116940">
        <w:rPr>
          <w:rStyle w:val="Hipervnculo"/>
          <w:rFonts w:ascii="Verdana" w:hAnsi="Verdana"/>
        </w:rPr>
        <w:t>01800 0520808</w:t>
      </w:r>
    </w:p>
    <w:p w14:paraId="27591EE0" w14:textId="77777777" w:rsidR="009F45A3" w:rsidRPr="00116940" w:rsidRDefault="009F45A3" w:rsidP="009F45A3">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1023ABD" w14:textId="77777777" w:rsidR="009F45A3" w:rsidRPr="00116940" w:rsidRDefault="009F45A3" w:rsidP="009F45A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6D942373" w14:textId="77777777" w:rsidR="009F45A3" w:rsidRPr="00116940" w:rsidRDefault="009F45A3" w:rsidP="009F45A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6720D4DB" w14:textId="77777777" w:rsidR="009F45A3" w:rsidRPr="00116940" w:rsidRDefault="009F45A3" w:rsidP="009F45A3">
      <w:pPr>
        <w:spacing w:after="0" w:line="240" w:lineRule="auto"/>
        <w:ind w:left="720"/>
        <w:jc w:val="both"/>
        <w:rPr>
          <w:rFonts w:ascii="Verdana" w:hAnsi="Verdana"/>
        </w:rPr>
      </w:pPr>
    </w:p>
    <w:p w14:paraId="7192CCEB" w14:textId="77777777" w:rsidR="009F45A3" w:rsidRPr="00116940" w:rsidRDefault="009F45A3" w:rsidP="009F45A3">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7CC3AC6" w14:textId="77777777" w:rsidR="009F45A3" w:rsidRPr="00116940" w:rsidRDefault="009F45A3" w:rsidP="009F45A3">
      <w:pPr>
        <w:spacing w:after="0" w:line="240" w:lineRule="auto"/>
        <w:rPr>
          <w:rFonts w:ascii="Verdana" w:hAnsi="Verdana"/>
        </w:rPr>
      </w:pPr>
    </w:p>
    <w:p w14:paraId="60F78AE1" w14:textId="77777777" w:rsidR="009F45A3" w:rsidRPr="00116940" w:rsidRDefault="009F45A3" w:rsidP="009F45A3">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397C87C" w14:textId="77777777" w:rsidR="009F45A3" w:rsidRPr="00116940" w:rsidRDefault="009F45A3" w:rsidP="009F45A3">
      <w:pPr>
        <w:spacing w:after="0" w:line="240" w:lineRule="auto"/>
        <w:jc w:val="both"/>
        <w:rPr>
          <w:rFonts w:ascii="Verdana" w:hAnsi="Verdana"/>
        </w:rPr>
      </w:pPr>
    </w:p>
    <w:p w14:paraId="40F3025B" w14:textId="77777777" w:rsidR="009F45A3" w:rsidRPr="00116940" w:rsidRDefault="009F45A3" w:rsidP="009F45A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5AE3792" w14:textId="77777777" w:rsidR="009F45A3" w:rsidRPr="00116940" w:rsidRDefault="009F45A3" w:rsidP="009F45A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796C610" w14:textId="77777777" w:rsidR="009F45A3" w:rsidRPr="00116940" w:rsidRDefault="009F45A3" w:rsidP="009F45A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E392E79" w14:textId="77777777" w:rsidR="009F45A3" w:rsidRPr="009C4035" w:rsidRDefault="009F45A3" w:rsidP="009F45A3">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72B8CFEA" w14:textId="77777777" w:rsidR="009F45A3" w:rsidRPr="00593A5F" w:rsidRDefault="009F45A3" w:rsidP="009F45A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70D3CDE" w14:textId="77777777" w:rsidR="009F45A3" w:rsidRPr="00593A5F" w:rsidRDefault="009F45A3" w:rsidP="009F45A3">
      <w:pPr>
        <w:widowControl w:val="0"/>
        <w:autoSpaceDE w:val="0"/>
        <w:autoSpaceDN w:val="0"/>
        <w:spacing w:after="0" w:line="276" w:lineRule="auto"/>
        <w:jc w:val="both"/>
        <w:rPr>
          <w:rFonts w:ascii="Verdana" w:hAnsi="Verdana" w:cs="Arial"/>
        </w:rPr>
      </w:pPr>
    </w:p>
    <w:p w14:paraId="11E4EA0B" w14:textId="77777777" w:rsidR="009F45A3" w:rsidRPr="00593A5F" w:rsidRDefault="009F45A3" w:rsidP="009F45A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5F34FDC" w14:textId="098B9390" w:rsidR="009F45A3" w:rsidRPr="002F7DE0" w:rsidRDefault="0037690B" w:rsidP="009F45A3">
      <w:pPr>
        <w:spacing w:line="276" w:lineRule="auto"/>
        <w:jc w:val="center"/>
        <w:rPr>
          <w:rFonts w:ascii="Verdana" w:hAnsi="Verdana" w:cs="Arial"/>
          <w:color w:val="000000"/>
          <w:lang w:eastAsia="es-CO"/>
        </w:rPr>
      </w:pPr>
      <w:r>
        <w:rPr>
          <w:noProof/>
        </w:rPr>
        <w:drawing>
          <wp:inline distT="0" distB="0" distL="0" distR="0" wp14:anchorId="4AA8BFA6" wp14:editId="46CD0FF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45A3" w:rsidRPr="002F7DE0" w14:paraId="760D4549" w14:textId="77777777" w:rsidTr="00A13622">
        <w:trPr>
          <w:trHeight w:val="315"/>
        </w:trPr>
        <w:tc>
          <w:tcPr>
            <w:tcW w:w="893" w:type="dxa"/>
            <w:vAlign w:val="center"/>
            <w:hideMark/>
          </w:tcPr>
          <w:p w14:paraId="324B76AD" w14:textId="77777777" w:rsidR="009F45A3" w:rsidRPr="002F7DE0" w:rsidRDefault="009F45A3" w:rsidP="00A13622">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41496D4" w14:textId="77777777" w:rsidR="009F45A3" w:rsidRPr="002F7DE0" w:rsidRDefault="009F45A3" w:rsidP="00A13622">
            <w:pPr>
              <w:contextualSpacing/>
              <w:rPr>
                <w:rFonts w:ascii="Verdana" w:hAnsi="Verdana"/>
                <w:sz w:val="16"/>
                <w:szCs w:val="16"/>
              </w:rPr>
            </w:pPr>
            <w:r w:rsidRPr="002F7DE0">
              <w:rPr>
                <w:rFonts w:ascii="Verdana" w:hAnsi="Verdana"/>
                <w:sz w:val="16"/>
                <w:szCs w:val="16"/>
              </w:rPr>
              <w:t>Tatiana Baquero Iguarán</w:t>
            </w:r>
          </w:p>
          <w:p w14:paraId="74EAFD88" w14:textId="77777777" w:rsidR="009F45A3" w:rsidRPr="002F7DE0" w:rsidRDefault="009F45A3" w:rsidP="00A13622">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9F45A3" w:rsidRPr="002F7DE0" w14:paraId="33608AB2" w14:textId="77777777" w:rsidTr="00A13622">
        <w:trPr>
          <w:trHeight w:val="330"/>
        </w:trPr>
        <w:tc>
          <w:tcPr>
            <w:tcW w:w="893" w:type="dxa"/>
            <w:vAlign w:val="center"/>
            <w:hideMark/>
          </w:tcPr>
          <w:p w14:paraId="7627FD86" w14:textId="77777777" w:rsidR="009F45A3" w:rsidRPr="002F7DE0" w:rsidRDefault="009F45A3" w:rsidP="00A13622">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35EF31" w14:textId="77777777" w:rsidR="009F45A3" w:rsidRPr="002F7DE0" w:rsidRDefault="009F45A3" w:rsidP="00A13622">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6B263232" w14:textId="77777777" w:rsidR="009F45A3" w:rsidRPr="002F7DE0" w:rsidRDefault="009F45A3" w:rsidP="00A13622">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9F45A3" w:rsidRPr="002F7DE0" w14:paraId="433ABF85" w14:textId="77777777" w:rsidTr="00A13622">
        <w:trPr>
          <w:trHeight w:val="300"/>
        </w:trPr>
        <w:tc>
          <w:tcPr>
            <w:tcW w:w="893" w:type="dxa"/>
            <w:vAlign w:val="center"/>
          </w:tcPr>
          <w:p w14:paraId="19B5A31C" w14:textId="77777777" w:rsidR="009F45A3" w:rsidRPr="002F7DE0" w:rsidRDefault="009F45A3" w:rsidP="00A13622">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3F37D8" w14:textId="77777777" w:rsidR="009F45A3" w:rsidRPr="002F7DE0" w:rsidRDefault="009F45A3" w:rsidP="00A13622">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5C4E4F08" w14:textId="77777777" w:rsidR="009F45A3" w:rsidRPr="002F7DE0" w:rsidRDefault="009F45A3" w:rsidP="00A13622">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lastRenderedPageBreak/>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3FD23472" w14:textId="77777777" w:rsidR="009F45A3" w:rsidRPr="002F7DE0" w:rsidRDefault="009F45A3" w:rsidP="009F45A3">
      <w:pPr>
        <w:spacing w:after="0" w:line="240" w:lineRule="auto"/>
        <w:jc w:val="both"/>
        <w:textAlignment w:val="baseline"/>
        <w:rPr>
          <w:rFonts w:ascii="Verdana" w:eastAsia="Verdana" w:hAnsi="Verdana" w:cs="Verdana"/>
          <w:lang w:eastAsia="es-CO"/>
        </w:rPr>
      </w:pPr>
    </w:p>
    <w:p w14:paraId="7E32DF2A" w14:textId="77777777" w:rsidR="009F45A3" w:rsidRPr="002F7DE0" w:rsidRDefault="009F45A3" w:rsidP="009F45A3">
      <w:pPr>
        <w:spacing w:after="0" w:line="240" w:lineRule="auto"/>
        <w:jc w:val="both"/>
        <w:textAlignment w:val="baseline"/>
        <w:rPr>
          <w:rFonts w:ascii="Verdana" w:eastAsia="Verdana" w:hAnsi="Verdana" w:cs="Verdana"/>
          <w:lang w:eastAsia="es-CO"/>
        </w:rPr>
      </w:pPr>
    </w:p>
    <w:p w14:paraId="00A841BA" w14:textId="753DF77E" w:rsidR="009F45A3" w:rsidRPr="003A69E3" w:rsidRDefault="009F45A3" w:rsidP="009F45A3">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51EE2C99" w14:textId="77777777" w:rsidR="009F45A3" w:rsidRPr="003A69E3" w:rsidRDefault="009F45A3" w:rsidP="009F45A3"/>
    <w:p w14:paraId="3931D3FB" w14:textId="77777777" w:rsidR="009F45A3" w:rsidRPr="0078491E" w:rsidRDefault="009F45A3" w:rsidP="009F45A3"/>
    <w:p w14:paraId="0F293BF4" w14:textId="7694A8A8" w:rsidR="00127233" w:rsidRPr="00512875" w:rsidRDefault="00127233" w:rsidP="00512875"/>
    <w:sectPr w:rsidR="00127233" w:rsidRPr="0051287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D75E" w14:textId="77777777" w:rsidR="0069077B" w:rsidRDefault="0069077B" w:rsidP="004A1847">
      <w:pPr>
        <w:spacing w:after="0" w:line="240" w:lineRule="auto"/>
      </w:pPr>
      <w:r>
        <w:separator/>
      </w:r>
    </w:p>
  </w:endnote>
  <w:endnote w:type="continuationSeparator" w:id="0">
    <w:p w14:paraId="4F359582" w14:textId="77777777" w:rsidR="0069077B" w:rsidRDefault="006907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543BB" w14:textId="77777777" w:rsidR="0069077B" w:rsidRDefault="0069077B" w:rsidP="004A1847">
      <w:pPr>
        <w:spacing w:after="0" w:line="240" w:lineRule="auto"/>
      </w:pPr>
      <w:r>
        <w:separator/>
      </w:r>
    </w:p>
  </w:footnote>
  <w:footnote w:type="continuationSeparator" w:id="0">
    <w:p w14:paraId="352CC9B3" w14:textId="77777777" w:rsidR="0069077B" w:rsidRDefault="0069077B" w:rsidP="004A1847">
      <w:pPr>
        <w:spacing w:after="0" w:line="240" w:lineRule="auto"/>
      </w:pPr>
      <w:r>
        <w:continuationSeparator/>
      </w:r>
    </w:p>
  </w:footnote>
  <w:footnote w:id="1">
    <w:p w14:paraId="11C1A9C6" w14:textId="77777777" w:rsidR="009F45A3" w:rsidRPr="00836EE8" w:rsidRDefault="009F45A3" w:rsidP="009F45A3">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836EE8">
        <w:rPr>
          <w:rFonts w:ascii="Verdana" w:hAnsi="Verdana"/>
          <w:sz w:val="16"/>
          <w:szCs w:val="16"/>
          <w:vertAlign w:val="superscript"/>
        </w:rPr>
        <w:footnoteRef/>
      </w:r>
      <w:r w:rsidRPr="00836EE8">
        <w:rPr>
          <w:rFonts w:ascii="Verdana" w:eastAsia="Arial" w:hAnsi="Verdana" w:cs="Arial"/>
          <w:color w:val="000000"/>
          <w:sz w:val="16"/>
          <w:szCs w:val="16"/>
        </w:rPr>
        <w:t xml:space="preserve"> Gaceta del Congreso. Cámara de Representantes. Año X – No. 642, 11 de diciembre de 2001. Disponible en: GACETAS DEL CONGRESO (imprenta.gov.co)</w:t>
      </w:r>
    </w:p>
  </w:footnote>
  <w:footnote w:id="2">
    <w:p w14:paraId="4D9ABC9D" w14:textId="77777777" w:rsidR="009F45A3" w:rsidRPr="00836EE8" w:rsidRDefault="009F45A3" w:rsidP="009F45A3">
      <w:pPr>
        <w:pBdr>
          <w:top w:val="nil"/>
          <w:left w:val="nil"/>
          <w:bottom w:val="nil"/>
          <w:right w:val="nil"/>
          <w:between w:val="nil"/>
        </w:pBdr>
        <w:shd w:val="clear" w:color="auto" w:fill="FFFFFF"/>
        <w:spacing w:after="0" w:line="240" w:lineRule="auto"/>
        <w:ind w:firstLine="708"/>
        <w:jc w:val="both"/>
        <w:rPr>
          <w:rFonts w:ascii="Verdana" w:eastAsia="Arial" w:hAnsi="Verdana" w:cs="Arial"/>
          <w:color w:val="000000"/>
          <w:sz w:val="16"/>
          <w:szCs w:val="16"/>
        </w:rPr>
      </w:pPr>
      <w:r w:rsidRPr="00836EE8">
        <w:rPr>
          <w:rFonts w:ascii="Verdana" w:hAnsi="Verdana"/>
          <w:sz w:val="16"/>
          <w:szCs w:val="16"/>
          <w:vertAlign w:val="superscript"/>
        </w:rPr>
        <w:footnoteRef/>
      </w:r>
      <w:r w:rsidRPr="00836EE8">
        <w:rPr>
          <w:rFonts w:ascii="Verdana" w:eastAsia="Arial" w:hAnsi="Verdana" w:cs="Arial"/>
          <w:color w:val="000000"/>
          <w:sz w:val="16"/>
          <w:szCs w:val="16"/>
        </w:rPr>
        <w:t xml:space="preserve"> Decreto 1082 de 2015: “Artículo </w:t>
      </w:r>
      <w:bookmarkStart w:id="2" w:name="bookmark=id.4d34og8" w:colFirst="0" w:colLast="0"/>
      <w:bookmarkEnd w:id="2"/>
      <w:r w:rsidRPr="00836EE8">
        <w:rPr>
          <w:rFonts w:ascii="Verdana" w:eastAsia="Arial" w:hAnsi="Verdana" w:cs="Arial"/>
          <w:color w:val="000000"/>
          <w:sz w:val="16"/>
          <w:szCs w:val="16"/>
        </w:rPr>
        <w:t>2.2.1.2.4.1.3.</w:t>
      </w:r>
      <w:r w:rsidRPr="00836EE8">
        <w:rPr>
          <w:rFonts w:ascii="Verdana" w:eastAsia="Arial" w:hAnsi="Verdana" w:cs="Arial"/>
          <w:i/>
          <w:color w:val="000000"/>
          <w:sz w:val="16"/>
          <w:szCs w:val="16"/>
        </w:rPr>
        <w:t> </w:t>
      </w:r>
      <w:r w:rsidRPr="00836EE8">
        <w:rPr>
          <w:rFonts w:ascii="Verdana" w:eastAsia="Arial" w:hAnsi="Verdana" w:cs="Arial"/>
          <w:color w:val="000000"/>
          <w:sz w:val="16"/>
          <w:szCs w:val="16"/>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4442A8E7" w14:textId="77777777" w:rsidR="009F45A3" w:rsidRPr="00836EE8" w:rsidRDefault="009F45A3" w:rsidP="009F45A3">
      <w:pPr>
        <w:shd w:val="clear" w:color="auto" w:fill="FFFFFF"/>
        <w:spacing w:after="0" w:line="240" w:lineRule="auto"/>
        <w:ind w:firstLine="708"/>
        <w:jc w:val="both"/>
        <w:rPr>
          <w:rFonts w:ascii="Verdana" w:eastAsia="Arial" w:hAnsi="Verdana" w:cs="Arial"/>
          <w:sz w:val="16"/>
          <w:szCs w:val="16"/>
        </w:rPr>
      </w:pPr>
      <w:r w:rsidRPr="00836EE8">
        <w:rPr>
          <w:rFonts w:ascii="Verdana" w:eastAsia="Arial" w:hAnsi="Verdana" w:cs="Arial"/>
          <w:sz w:val="16"/>
          <w:szCs w:val="16"/>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4C5685E7" w14:textId="77777777" w:rsidR="009F45A3" w:rsidRPr="00836EE8" w:rsidRDefault="009F45A3" w:rsidP="009F45A3">
      <w:pPr>
        <w:shd w:val="clear" w:color="auto" w:fill="FFFFFF"/>
        <w:spacing w:after="0" w:line="240" w:lineRule="auto"/>
        <w:ind w:firstLine="708"/>
        <w:jc w:val="both"/>
        <w:rPr>
          <w:rFonts w:ascii="Verdana" w:hAnsi="Verdana"/>
          <w:sz w:val="16"/>
          <w:szCs w:val="16"/>
        </w:rPr>
      </w:pPr>
      <w:r w:rsidRPr="00836EE8">
        <w:rPr>
          <w:rFonts w:ascii="Verdana" w:eastAsia="Arial" w:hAnsi="Verdana" w:cs="Arial"/>
          <w:sz w:val="16"/>
          <w:szCs w:val="16"/>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3">
    <w:p w14:paraId="2E5BBC8C" w14:textId="77777777" w:rsidR="009F45A3" w:rsidRPr="00954BA4" w:rsidRDefault="009F45A3" w:rsidP="009F45A3">
      <w:pPr>
        <w:pBdr>
          <w:top w:val="nil"/>
          <w:left w:val="nil"/>
          <w:bottom w:val="nil"/>
          <w:right w:val="nil"/>
          <w:between w:val="nil"/>
        </w:pBdr>
        <w:spacing w:after="0" w:line="240" w:lineRule="auto"/>
        <w:ind w:firstLine="708"/>
        <w:jc w:val="both"/>
        <w:rPr>
          <w:rFonts w:ascii="Verdana" w:eastAsia="Arial" w:hAnsi="Verdana" w:cs="Arial"/>
          <w:sz w:val="16"/>
          <w:szCs w:val="16"/>
        </w:rPr>
      </w:pPr>
      <w:r w:rsidRPr="00954BA4">
        <w:rPr>
          <w:rFonts w:ascii="Verdana" w:hAnsi="Verdana"/>
          <w:sz w:val="16"/>
          <w:szCs w:val="16"/>
          <w:vertAlign w:val="superscript"/>
        </w:rPr>
        <w:footnoteRef/>
      </w:r>
      <w:r w:rsidRPr="00832B5F">
        <w:rPr>
          <w:rFonts w:ascii="Verdana" w:eastAsia="Arial" w:hAnsi="Verdana" w:cs="Arial"/>
          <w:sz w:val="16"/>
          <w:szCs w:val="16"/>
        </w:rPr>
        <w:t xml:space="preserve"> Decreto 680 de 2021, «por el cual se modifica parcialmente el artículo 2.2.1.1.1.3.1. y se adiciona el artículo 2.2.1.2.4.2.9. al Decreto 1082 de 2015». Considerandos: «[…] los puntajes de que trata la Ley 816 de 2003 no son aplicables […] en los Procesos de Contratación de selección abreviada para la adquisición o suministro de bienes y servicios de características técnicas uniformes y de común utilización de que trata el artículo 2° de la Ley 1150 de 2007».</w:t>
      </w:r>
    </w:p>
  </w:footnote>
  <w:footnote w:id="4">
    <w:p w14:paraId="105D013B" w14:textId="77777777" w:rsidR="009F45A3" w:rsidRDefault="009F45A3" w:rsidP="009F45A3">
      <w:pPr>
        <w:pBdr>
          <w:top w:val="nil"/>
          <w:left w:val="nil"/>
          <w:bottom w:val="nil"/>
          <w:right w:val="nil"/>
          <w:between w:val="nil"/>
        </w:pBdr>
        <w:spacing w:after="0" w:line="240" w:lineRule="auto"/>
        <w:ind w:firstLine="708"/>
        <w:jc w:val="both"/>
        <w:rPr>
          <w:rFonts w:ascii="Verdana" w:eastAsia="Arial" w:hAnsi="Verdana" w:cs="Arial"/>
          <w:sz w:val="16"/>
          <w:szCs w:val="16"/>
        </w:rPr>
      </w:pPr>
      <w:r w:rsidRPr="00954BA4">
        <w:rPr>
          <w:rFonts w:ascii="Verdana" w:hAnsi="Verdana"/>
          <w:sz w:val="16"/>
          <w:szCs w:val="16"/>
          <w:vertAlign w:val="superscript"/>
        </w:rPr>
        <w:footnoteRef/>
      </w:r>
      <w:r w:rsidRPr="00832B5F">
        <w:rPr>
          <w:rFonts w:ascii="Verdana" w:eastAsia="Arial" w:hAnsi="Verdana" w:cs="Arial"/>
          <w:sz w:val="16"/>
          <w:szCs w:val="16"/>
        </w:rPr>
        <w:t xml:space="preserve"> Ley 1150 de 2007, artículo 5. La disposición prevé que los requisitos habilitantes son objeto de verificación de cumplimiento y no otorgan puntaje, y que «[l]a ausencia de requisitos o la falta de documentos referentes a la futura contratación o al proponente, no necesarios para la comparación de las propuestas no servirán de título suficiente para el rechazo de los ofrecimientos hechos».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8598AA2E"/>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ADC"/>
    <w:rsid w:val="00016F78"/>
    <w:rsid w:val="00040DAE"/>
    <w:rsid w:val="00046945"/>
    <w:rsid w:val="00061B2A"/>
    <w:rsid w:val="00082362"/>
    <w:rsid w:val="0008459D"/>
    <w:rsid w:val="00092B19"/>
    <w:rsid w:val="000A683E"/>
    <w:rsid w:val="000B19B9"/>
    <w:rsid w:val="000D0334"/>
    <w:rsid w:val="000D5DA7"/>
    <w:rsid w:val="000E6312"/>
    <w:rsid w:val="000F6486"/>
    <w:rsid w:val="00116940"/>
    <w:rsid w:val="00125105"/>
    <w:rsid w:val="00127233"/>
    <w:rsid w:val="00152FB5"/>
    <w:rsid w:val="0015699B"/>
    <w:rsid w:val="00171D40"/>
    <w:rsid w:val="00190B59"/>
    <w:rsid w:val="001A2386"/>
    <w:rsid w:val="001A33BF"/>
    <w:rsid w:val="001B1226"/>
    <w:rsid w:val="001C5DBF"/>
    <w:rsid w:val="001D0F7E"/>
    <w:rsid w:val="001E4177"/>
    <w:rsid w:val="001F0B24"/>
    <w:rsid w:val="001F7DC6"/>
    <w:rsid w:val="00200EEA"/>
    <w:rsid w:val="00213608"/>
    <w:rsid w:val="0022400B"/>
    <w:rsid w:val="002421BB"/>
    <w:rsid w:val="00244541"/>
    <w:rsid w:val="0025796E"/>
    <w:rsid w:val="002707A2"/>
    <w:rsid w:val="002951A0"/>
    <w:rsid w:val="002962BC"/>
    <w:rsid w:val="002A093D"/>
    <w:rsid w:val="002A0DD0"/>
    <w:rsid w:val="002A49AC"/>
    <w:rsid w:val="002A64FD"/>
    <w:rsid w:val="002B2570"/>
    <w:rsid w:val="002C7A84"/>
    <w:rsid w:val="002E0BAE"/>
    <w:rsid w:val="002E2BF8"/>
    <w:rsid w:val="002E4FD9"/>
    <w:rsid w:val="002F3EA1"/>
    <w:rsid w:val="0030657A"/>
    <w:rsid w:val="003109C7"/>
    <w:rsid w:val="003202F2"/>
    <w:rsid w:val="00322A85"/>
    <w:rsid w:val="00324168"/>
    <w:rsid w:val="00330834"/>
    <w:rsid w:val="00340F28"/>
    <w:rsid w:val="003448F4"/>
    <w:rsid w:val="003674E4"/>
    <w:rsid w:val="00374F5E"/>
    <w:rsid w:val="0037690B"/>
    <w:rsid w:val="00377E3E"/>
    <w:rsid w:val="00380A35"/>
    <w:rsid w:val="00393789"/>
    <w:rsid w:val="003A147E"/>
    <w:rsid w:val="003A779E"/>
    <w:rsid w:val="003C299C"/>
    <w:rsid w:val="003D0F4D"/>
    <w:rsid w:val="003D5B0D"/>
    <w:rsid w:val="003D7B9E"/>
    <w:rsid w:val="003E0195"/>
    <w:rsid w:val="003E0499"/>
    <w:rsid w:val="003E4F80"/>
    <w:rsid w:val="003E6439"/>
    <w:rsid w:val="003F3941"/>
    <w:rsid w:val="00406575"/>
    <w:rsid w:val="00412596"/>
    <w:rsid w:val="00414C74"/>
    <w:rsid w:val="00415C58"/>
    <w:rsid w:val="00420F80"/>
    <w:rsid w:val="0042722E"/>
    <w:rsid w:val="00436F95"/>
    <w:rsid w:val="0044528D"/>
    <w:rsid w:val="00465A07"/>
    <w:rsid w:val="00466E39"/>
    <w:rsid w:val="004A1847"/>
    <w:rsid w:val="004A305D"/>
    <w:rsid w:val="004B2876"/>
    <w:rsid w:val="004E0619"/>
    <w:rsid w:val="004E06ED"/>
    <w:rsid w:val="004F21C4"/>
    <w:rsid w:val="004F4935"/>
    <w:rsid w:val="004F685F"/>
    <w:rsid w:val="004F77B4"/>
    <w:rsid w:val="00512875"/>
    <w:rsid w:val="005375BB"/>
    <w:rsid w:val="005566E8"/>
    <w:rsid w:val="00570320"/>
    <w:rsid w:val="00574867"/>
    <w:rsid w:val="00591460"/>
    <w:rsid w:val="005A65E0"/>
    <w:rsid w:val="005C3777"/>
    <w:rsid w:val="005C5A69"/>
    <w:rsid w:val="005C5CDC"/>
    <w:rsid w:val="005D476C"/>
    <w:rsid w:val="005D7C93"/>
    <w:rsid w:val="00601420"/>
    <w:rsid w:val="006200BF"/>
    <w:rsid w:val="006219F8"/>
    <w:rsid w:val="006302F7"/>
    <w:rsid w:val="00646B9F"/>
    <w:rsid w:val="00650395"/>
    <w:rsid w:val="006506AE"/>
    <w:rsid w:val="00665D70"/>
    <w:rsid w:val="006900D9"/>
    <w:rsid w:val="0069077B"/>
    <w:rsid w:val="00693784"/>
    <w:rsid w:val="006C07BD"/>
    <w:rsid w:val="006F33A3"/>
    <w:rsid w:val="006F4AE1"/>
    <w:rsid w:val="00706C16"/>
    <w:rsid w:val="007208FF"/>
    <w:rsid w:val="0072106B"/>
    <w:rsid w:val="00723A75"/>
    <w:rsid w:val="007340C3"/>
    <w:rsid w:val="0075235A"/>
    <w:rsid w:val="00756841"/>
    <w:rsid w:val="00757719"/>
    <w:rsid w:val="007604C2"/>
    <w:rsid w:val="007649AB"/>
    <w:rsid w:val="00771D0C"/>
    <w:rsid w:val="00772409"/>
    <w:rsid w:val="007833AC"/>
    <w:rsid w:val="007B14A8"/>
    <w:rsid w:val="007B268C"/>
    <w:rsid w:val="007B5F3A"/>
    <w:rsid w:val="007B7171"/>
    <w:rsid w:val="007C0C0F"/>
    <w:rsid w:val="007C3DC2"/>
    <w:rsid w:val="007C6D5A"/>
    <w:rsid w:val="007E5497"/>
    <w:rsid w:val="007F51FB"/>
    <w:rsid w:val="00806F5F"/>
    <w:rsid w:val="0081390C"/>
    <w:rsid w:val="00820278"/>
    <w:rsid w:val="008258C9"/>
    <w:rsid w:val="008441CE"/>
    <w:rsid w:val="00844AE9"/>
    <w:rsid w:val="00845FBF"/>
    <w:rsid w:val="0085404D"/>
    <w:rsid w:val="00867F95"/>
    <w:rsid w:val="008843B6"/>
    <w:rsid w:val="00891928"/>
    <w:rsid w:val="008A41DB"/>
    <w:rsid w:val="008A446D"/>
    <w:rsid w:val="008B25F1"/>
    <w:rsid w:val="008B598C"/>
    <w:rsid w:val="008D180B"/>
    <w:rsid w:val="008E5CC8"/>
    <w:rsid w:val="008F0EA7"/>
    <w:rsid w:val="008F336C"/>
    <w:rsid w:val="00902449"/>
    <w:rsid w:val="00923EEF"/>
    <w:rsid w:val="009419F9"/>
    <w:rsid w:val="00955A18"/>
    <w:rsid w:val="0095685E"/>
    <w:rsid w:val="00961B09"/>
    <w:rsid w:val="00964B20"/>
    <w:rsid w:val="00965334"/>
    <w:rsid w:val="00970222"/>
    <w:rsid w:val="0097093E"/>
    <w:rsid w:val="0098029B"/>
    <w:rsid w:val="00985A79"/>
    <w:rsid w:val="00997966"/>
    <w:rsid w:val="009A0DFA"/>
    <w:rsid w:val="009A1C6F"/>
    <w:rsid w:val="009B2D26"/>
    <w:rsid w:val="009C71FA"/>
    <w:rsid w:val="009C72E7"/>
    <w:rsid w:val="009C7F7E"/>
    <w:rsid w:val="009D3058"/>
    <w:rsid w:val="009D5629"/>
    <w:rsid w:val="009E0384"/>
    <w:rsid w:val="009F3A13"/>
    <w:rsid w:val="009F45A3"/>
    <w:rsid w:val="00A00253"/>
    <w:rsid w:val="00A122D3"/>
    <w:rsid w:val="00A14468"/>
    <w:rsid w:val="00A17F13"/>
    <w:rsid w:val="00A20739"/>
    <w:rsid w:val="00A23AF9"/>
    <w:rsid w:val="00A33C78"/>
    <w:rsid w:val="00A4577F"/>
    <w:rsid w:val="00A5641E"/>
    <w:rsid w:val="00A64F80"/>
    <w:rsid w:val="00A926FA"/>
    <w:rsid w:val="00AB0ADB"/>
    <w:rsid w:val="00B00C0E"/>
    <w:rsid w:val="00B01B1A"/>
    <w:rsid w:val="00B0381D"/>
    <w:rsid w:val="00B1060F"/>
    <w:rsid w:val="00B13383"/>
    <w:rsid w:val="00B44A47"/>
    <w:rsid w:val="00B50696"/>
    <w:rsid w:val="00B52497"/>
    <w:rsid w:val="00B54D77"/>
    <w:rsid w:val="00B56F9A"/>
    <w:rsid w:val="00B625D8"/>
    <w:rsid w:val="00B72CD3"/>
    <w:rsid w:val="00B72FFF"/>
    <w:rsid w:val="00B81C9C"/>
    <w:rsid w:val="00B94413"/>
    <w:rsid w:val="00BC3D36"/>
    <w:rsid w:val="00BD54A6"/>
    <w:rsid w:val="00BD7F72"/>
    <w:rsid w:val="00BF7425"/>
    <w:rsid w:val="00C04FB3"/>
    <w:rsid w:val="00C11D8B"/>
    <w:rsid w:val="00C15139"/>
    <w:rsid w:val="00C330EB"/>
    <w:rsid w:val="00C37981"/>
    <w:rsid w:val="00C3798B"/>
    <w:rsid w:val="00C50D69"/>
    <w:rsid w:val="00C5365C"/>
    <w:rsid w:val="00C56D19"/>
    <w:rsid w:val="00C71BCA"/>
    <w:rsid w:val="00C72D4F"/>
    <w:rsid w:val="00C754BE"/>
    <w:rsid w:val="00C76B1C"/>
    <w:rsid w:val="00C76FA3"/>
    <w:rsid w:val="00C90E4D"/>
    <w:rsid w:val="00C925AC"/>
    <w:rsid w:val="00CA6BAC"/>
    <w:rsid w:val="00CB6357"/>
    <w:rsid w:val="00CC1B26"/>
    <w:rsid w:val="00D05868"/>
    <w:rsid w:val="00D22BE1"/>
    <w:rsid w:val="00D23B10"/>
    <w:rsid w:val="00D361FD"/>
    <w:rsid w:val="00D36F01"/>
    <w:rsid w:val="00D423A2"/>
    <w:rsid w:val="00D44E26"/>
    <w:rsid w:val="00D520D8"/>
    <w:rsid w:val="00D62E39"/>
    <w:rsid w:val="00D63AC2"/>
    <w:rsid w:val="00D7383B"/>
    <w:rsid w:val="00D7788A"/>
    <w:rsid w:val="00DA231B"/>
    <w:rsid w:val="00DB712A"/>
    <w:rsid w:val="00DC19DF"/>
    <w:rsid w:val="00DC39FC"/>
    <w:rsid w:val="00DF5254"/>
    <w:rsid w:val="00E02524"/>
    <w:rsid w:val="00E16408"/>
    <w:rsid w:val="00E20894"/>
    <w:rsid w:val="00E245AB"/>
    <w:rsid w:val="00E2764C"/>
    <w:rsid w:val="00E27F2E"/>
    <w:rsid w:val="00E36361"/>
    <w:rsid w:val="00E50AFE"/>
    <w:rsid w:val="00E64490"/>
    <w:rsid w:val="00E66CB7"/>
    <w:rsid w:val="00E75C92"/>
    <w:rsid w:val="00E771DC"/>
    <w:rsid w:val="00E8772A"/>
    <w:rsid w:val="00E90F6B"/>
    <w:rsid w:val="00E92C27"/>
    <w:rsid w:val="00EA0E3D"/>
    <w:rsid w:val="00EC3744"/>
    <w:rsid w:val="00EC38A7"/>
    <w:rsid w:val="00EC5DC9"/>
    <w:rsid w:val="00ED3875"/>
    <w:rsid w:val="00EE1AA8"/>
    <w:rsid w:val="00EE7960"/>
    <w:rsid w:val="00EE7CCC"/>
    <w:rsid w:val="00F23FEA"/>
    <w:rsid w:val="00F31EDC"/>
    <w:rsid w:val="00F4126C"/>
    <w:rsid w:val="00F41F19"/>
    <w:rsid w:val="00F462B3"/>
    <w:rsid w:val="00F5664F"/>
    <w:rsid w:val="00F666C4"/>
    <w:rsid w:val="00F76AFC"/>
    <w:rsid w:val="00F85CBF"/>
    <w:rsid w:val="00F869C4"/>
    <w:rsid w:val="00F90315"/>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F4AE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4AE1"/>
    <w:rPr>
      <w:rFonts w:ascii="Geomanist Light" w:hAnsi="Geomanist Light"/>
      <w:lang w:val="es-ES"/>
    </w:rPr>
  </w:style>
  <w:style w:type="character" w:customStyle="1" w:styleId="s15">
    <w:name w:val="s15"/>
    <w:basedOn w:val="Fuentedeprrafopredeter"/>
    <w:rsid w:val="006F4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mdico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99B76A6-458D-4D9A-B3BA-9EA86F701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20</Pages>
  <Words>7145</Words>
  <Characters>39302</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2026-09-28T14:08:00Z</dcterms:created>
  <dcterms:modified xsi:type="dcterms:W3CDTF">2026-09-29T14:30:00Z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