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45EEB" w14:textId="77777777" w:rsidR="008F3C48" w:rsidRDefault="008F3C48" w:rsidP="008F3C48">
      <w:pPr>
        <w:spacing w:after="0" w:line="240" w:lineRule="auto"/>
        <w:jc w:val="both"/>
        <w:rPr>
          <w:rFonts w:ascii="Verdana" w:eastAsia="Calibri" w:hAnsi="Verdana" w:cs="Arial"/>
          <w:b/>
          <w:color w:val="000000" w:themeColor="text1"/>
          <w:lang w:val="es-ES"/>
        </w:rPr>
      </w:pPr>
      <w:r>
        <w:rPr>
          <w:rFonts w:ascii="Verdana" w:eastAsia="Calibri" w:hAnsi="Verdana" w:cs="Arial"/>
          <w:b/>
          <w:color w:val="000000" w:themeColor="text1"/>
          <w:lang w:val="es-ES"/>
        </w:rPr>
        <w:t>LICITACIÓN PÚBLICA</w:t>
      </w:r>
      <w:r w:rsidRPr="000B5B4A">
        <w:rPr>
          <w:rFonts w:ascii="Verdana" w:eastAsia="Calibri" w:hAnsi="Verdana" w:cs="Arial"/>
          <w:b/>
          <w:color w:val="000000" w:themeColor="text1"/>
          <w:lang w:val="es-ES"/>
        </w:rPr>
        <w:t xml:space="preserve"> –</w:t>
      </w:r>
      <w:r>
        <w:rPr>
          <w:rFonts w:ascii="Verdana" w:eastAsia="Calibri" w:hAnsi="Verdana" w:cs="Arial"/>
          <w:b/>
          <w:color w:val="000000" w:themeColor="text1"/>
          <w:lang w:val="es-ES"/>
        </w:rPr>
        <w:t xml:space="preserve"> Regla general</w:t>
      </w:r>
    </w:p>
    <w:p w14:paraId="438A4DB0" w14:textId="77777777" w:rsidR="008F3C48" w:rsidRPr="00336852" w:rsidRDefault="008F3C48" w:rsidP="008F3C48">
      <w:pPr>
        <w:spacing w:after="0" w:line="240" w:lineRule="auto"/>
        <w:jc w:val="both"/>
        <w:rPr>
          <w:rFonts w:ascii="Verdana" w:eastAsia="Calibri" w:hAnsi="Verdana" w:cs="Arial"/>
          <w:bCs/>
          <w:color w:val="000000" w:themeColor="text1"/>
          <w:sz w:val="20"/>
          <w:szCs w:val="20"/>
          <w:lang w:val="es-ES"/>
        </w:rPr>
      </w:pPr>
    </w:p>
    <w:p w14:paraId="2BD33D7E" w14:textId="77777777" w:rsidR="008F3C48" w:rsidRPr="00336852" w:rsidRDefault="008F3C48" w:rsidP="008F3C48">
      <w:pPr>
        <w:spacing w:after="0" w:line="240" w:lineRule="auto"/>
        <w:jc w:val="both"/>
        <w:rPr>
          <w:rFonts w:ascii="Verdana" w:eastAsia="Calibri" w:hAnsi="Verdana" w:cs="Arial"/>
          <w:bCs/>
          <w:color w:val="000000" w:themeColor="text1"/>
          <w:sz w:val="20"/>
          <w:szCs w:val="20"/>
          <w:lang w:val="es-ES"/>
        </w:rPr>
      </w:pPr>
      <w:r>
        <w:rPr>
          <w:rFonts w:ascii="Verdana" w:eastAsia="Calibri" w:hAnsi="Verdana" w:cs="Arial"/>
          <w:bCs/>
          <w:color w:val="000000" w:themeColor="text1"/>
          <w:sz w:val="20"/>
          <w:szCs w:val="20"/>
          <w:lang w:val="es-ES"/>
        </w:rPr>
        <w:t>P</w:t>
      </w:r>
      <w:r w:rsidRPr="00336852">
        <w:rPr>
          <w:rFonts w:ascii="Verdana" w:eastAsia="Calibri" w:hAnsi="Verdana" w:cs="Arial"/>
          <w:bCs/>
          <w:color w:val="000000" w:themeColor="text1"/>
          <w:sz w:val="20"/>
          <w:szCs w:val="20"/>
          <w:lang w:val="es-ES"/>
        </w:rPr>
        <w:t xml:space="preserve">ara las entidades sometidas a la Ley 80 de 1993, los procesos de selección se rigen por el artículo 2 de la Ley 1150 de 2007. El numeral uno, inciso primero, dispone que “La escogencia del contratista se efectuará por regla general a través de licitación pública, con las excepciones que se señalan en los numerales 2, 3 y 4 del presente artículo” (Énfasis fuera de texto), norma que sustituye el derogado numeral 1 del artículo 24 de la Ley 80 de 1993 sobre el principio de transparencia. Así, salvo norma especial que ordene la celebración del negocio jurídico por selección abreviada, concurso de méritos, mínima cuantía o contratación directa, debe aplicarse la regla general de licitación pública. </w:t>
      </w:r>
    </w:p>
    <w:p w14:paraId="61EADB78" w14:textId="77777777" w:rsidR="008F3C48" w:rsidRPr="00336852" w:rsidRDefault="008F3C48" w:rsidP="008F3C48">
      <w:pPr>
        <w:spacing w:after="0" w:line="240" w:lineRule="auto"/>
        <w:jc w:val="both"/>
        <w:rPr>
          <w:rFonts w:ascii="Verdana" w:eastAsia="Calibri" w:hAnsi="Verdana" w:cs="Arial"/>
          <w:bCs/>
          <w:color w:val="000000" w:themeColor="text1"/>
          <w:sz w:val="20"/>
          <w:szCs w:val="20"/>
          <w:lang w:val="es-ES"/>
        </w:rPr>
      </w:pPr>
    </w:p>
    <w:p w14:paraId="09F27C7D" w14:textId="77777777" w:rsidR="008F3C48" w:rsidRPr="00AF1555" w:rsidRDefault="008F3C48" w:rsidP="008F3C48">
      <w:pPr>
        <w:spacing w:after="0" w:line="240" w:lineRule="auto"/>
        <w:jc w:val="both"/>
        <w:rPr>
          <w:rFonts w:ascii="Verdana" w:eastAsia="Calibri" w:hAnsi="Verdana" w:cs="Arial"/>
          <w:b/>
          <w:color w:val="000000" w:themeColor="text1"/>
          <w:lang w:val="es-ES"/>
        </w:rPr>
      </w:pPr>
      <w:r w:rsidRPr="000B5B4A">
        <w:rPr>
          <w:rFonts w:ascii="Verdana" w:eastAsia="Calibri" w:hAnsi="Verdana" w:cs="Arial"/>
          <w:b/>
          <w:color w:val="000000" w:themeColor="text1"/>
          <w:lang w:val="es-ES"/>
        </w:rPr>
        <w:t>SELECCIÓN ABREVIADA DE MENOR CUANTÍA</w:t>
      </w:r>
      <w:r>
        <w:rPr>
          <w:rFonts w:ascii="Verdana" w:eastAsia="Calibri" w:hAnsi="Verdana" w:cs="Arial"/>
          <w:b/>
          <w:color w:val="000000" w:themeColor="text1"/>
          <w:lang w:val="es-ES"/>
        </w:rPr>
        <w:t xml:space="preserve"> – </w:t>
      </w:r>
      <w:r w:rsidRPr="000B5B4A">
        <w:rPr>
          <w:rFonts w:ascii="Verdana" w:eastAsia="Calibri" w:hAnsi="Verdana" w:cs="Arial"/>
          <w:b/>
          <w:color w:val="000000" w:themeColor="text1"/>
          <w:lang w:val="es-ES"/>
        </w:rPr>
        <w:t>Características</w:t>
      </w:r>
      <w:r w:rsidRPr="00AF1555">
        <w:rPr>
          <w:rFonts w:ascii="Verdana" w:eastAsia="Calibri" w:hAnsi="Verdana" w:cs="Arial"/>
          <w:b/>
          <w:color w:val="000000" w:themeColor="text1"/>
          <w:lang w:val="es-ES"/>
        </w:rPr>
        <w:t xml:space="preserve"> </w:t>
      </w:r>
    </w:p>
    <w:p w14:paraId="369E7E7C" w14:textId="77777777" w:rsidR="008F3C48" w:rsidRPr="00AF1555" w:rsidRDefault="008F3C48" w:rsidP="008F3C48">
      <w:pPr>
        <w:spacing w:after="0" w:line="240" w:lineRule="auto"/>
        <w:jc w:val="both"/>
        <w:rPr>
          <w:rFonts w:ascii="Verdana" w:eastAsia="Calibri" w:hAnsi="Verdana" w:cs="Arial"/>
          <w:bCs/>
          <w:color w:val="000000" w:themeColor="text1"/>
          <w:sz w:val="20"/>
          <w:szCs w:val="20"/>
          <w:lang w:val="es-ES"/>
        </w:rPr>
      </w:pPr>
    </w:p>
    <w:p w14:paraId="796721ED" w14:textId="77777777" w:rsidR="008F3C48" w:rsidRPr="000B5B4A" w:rsidRDefault="008F3C48" w:rsidP="008F3C48">
      <w:pPr>
        <w:spacing w:after="0" w:line="240" w:lineRule="auto"/>
        <w:jc w:val="both"/>
        <w:rPr>
          <w:rFonts w:ascii="Verdana" w:eastAsia="Calibri" w:hAnsi="Verdana" w:cs="Arial"/>
          <w:bCs/>
          <w:color w:val="000000" w:themeColor="text1"/>
          <w:sz w:val="20"/>
          <w:szCs w:val="20"/>
          <w:lang w:val="es-ES" w:eastAsia="es-ES_tradnl"/>
        </w:rPr>
      </w:pPr>
      <w:r w:rsidRPr="000B5B4A">
        <w:rPr>
          <w:rFonts w:ascii="Verdana" w:eastAsia="Calibri" w:hAnsi="Verdana" w:cs="Arial"/>
          <w:bCs/>
          <w:color w:val="000000" w:themeColor="text1"/>
          <w:sz w:val="20"/>
          <w:szCs w:val="20"/>
          <w:lang w:val="es-ES" w:eastAsia="es-ES_tradnl"/>
        </w:rPr>
        <w:t xml:space="preserve">Respecto a la selección abreviada, el numeral 2 del artículo 2 de la Ley 1150 de 2007 dispone que </w:t>
      </w:r>
      <w:r>
        <w:rPr>
          <w:rFonts w:ascii="Verdana" w:eastAsia="Calibri" w:hAnsi="Verdana" w:cs="Arial"/>
          <w:bCs/>
          <w:color w:val="000000" w:themeColor="text1"/>
          <w:sz w:val="20"/>
          <w:szCs w:val="20"/>
          <w:lang w:val="es-ES" w:eastAsia="es-ES_tradnl"/>
        </w:rPr>
        <w:t>“</w:t>
      </w:r>
      <w:r w:rsidRPr="000B5B4A">
        <w:rPr>
          <w:rFonts w:ascii="Verdana" w:eastAsia="Calibri" w:hAnsi="Verdana" w:cs="Arial"/>
          <w:bCs/>
          <w:color w:val="000000" w:themeColor="text1"/>
          <w:sz w:val="20"/>
          <w:szCs w:val="20"/>
          <w:lang w:val="es-ES" w:eastAsia="es-ES_tradnl"/>
        </w:rPr>
        <w:t>[…]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w:t>
      </w:r>
      <w:r>
        <w:rPr>
          <w:rFonts w:ascii="Verdana" w:eastAsia="Calibri" w:hAnsi="Verdana" w:cs="Arial"/>
          <w:bCs/>
          <w:color w:val="000000" w:themeColor="text1"/>
          <w:sz w:val="20"/>
          <w:szCs w:val="20"/>
          <w:lang w:val="es-ES" w:eastAsia="es-ES_tradnl"/>
        </w:rPr>
        <w:t>”</w:t>
      </w:r>
      <w:r w:rsidRPr="000B5B4A">
        <w:rPr>
          <w:rFonts w:ascii="Verdana" w:eastAsia="Calibri" w:hAnsi="Verdana" w:cs="Arial"/>
          <w:bCs/>
          <w:color w:val="000000" w:themeColor="text1"/>
          <w:sz w:val="20"/>
          <w:szCs w:val="20"/>
          <w:lang w:val="es-ES" w:eastAsia="es-ES_tradnl"/>
        </w:rPr>
        <w:t xml:space="preserve">, regulando cada una de las causales. </w:t>
      </w:r>
    </w:p>
    <w:p w14:paraId="048D7ADC" w14:textId="77777777" w:rsidR="008F3C48" w:rsidRPr="000B5B4A" w:rsidRDefault="008F3C48" w:rsidP="008F3C48">
      <w:pPr>
        <w:spacing w:after="0" w:line="240" w:lineRule="auto"/>
        <w:jc w:val="both"/>
        <w:rPr>
          <w:rFonts w:ascii="Verdana" w:eastAsia="Calibri" w:hAnsi="Verdana" w:cs="Arial"/>
          <w:bCs/>
          <w:color w:val="000000" w:themeColor="text1"/>
          <w:sz w:val="20"/>
          <w:szCs w:val="20"/>
          <w:lang w:val="es-ES" w:eastAsia="es-ES_tradnl"/>
        </w:rPr>
      </w:pPr>
    </w:p>
    <w:p w14:paraId="42AF03D7" w14:textId="77777777" w:rsidR="008F3C48" w:rsidRDefault="008F3C48" w:rsidP="008F3C48">
      <w:pPr>
        <w:spacing w:after="0" w:line="240" w:lineRule="auto"/>
        <w:jc w:val="both"/>
        <w:rPr>
          <w:rFonts w:ascii="Verdana" w:eastAsia="Calibri" w:hAnsi="Verdana" w:cs="Arial"/>
          <w:bCs/>
          <w:color w:val="000000" w:themeColor="text1"/>
          <w:sz w:val="20"/>
          <w:szCs w:val="20"/>
          <w:lang w:val="es-ES" w:eastAsia="es-ES_tradnl"/>
        </w:rPr>
      </w:pPr>
      <w:r w:rsidRPr="000B5B4A">
        <w:rPr>
          <w:rFonts w:ascii="Verdana" w:eastAsia="Calibri" w:hAnsi="Verdana" w:cs="Arial"/>
          <w:bCs/>
          <w:color w:val="000000" w:themeColor="text1"/>
          <w:sz w:val="20"/>
          <w:szCs w:val="20"/>
          <w:lang w:val="es-ES" w:eastAsia="es-ES_tradnl"/>
        </w:rPr>
        <w:t>Se trata de un procedimiento que, conforme a la reglamentación que expida el Gobierno Nacional, agiliza la contratación estatal en los eventos en que no se justifica adelantar una licitación pública, pero tampoco limitar la participación de los proponentes como en la contratación directa, de forma tal que es un mecanismo de selección objetiva que asegura una mayor concurrencia de participantes sin sacrificar los principios de eficacia y eficiencia en el proceso de selección.</w:t>
      </w:r>
    </w:p>
    <w:p w14:paraId="4F33389B" w14:textId="77777777" w:rsidR="008F3C48" w:rsidRPr="00AF1555" w:rsidRDefault="008F3C48" w:rsidP="008F3C48">
      <w:pPr>
        <w:spacing w:after="0" w:line="240" w:lineRule="auto"/>
        <w:rPr>
          <w:rFonts w:ascii="Verdana" w:eastAsia="Geomanist Light" w:hAnsi="Verdana" w:cs="Arial"/>
          <w:color w:val="000000" w:themeColor="text1"/>
          <w:sz w:val="20"/>
          <w:szCs w:val="20"/>
          <w:lang w:val="es-ES_tradnl"/>
        </w:rPr>
      </w:pPr>
    </w:p>
    <w:p w14:paraId="7B0F628E" w14:textId="77777777" w:rsidR="008F3C48" w:rsidRPr="009B46EA" w:rsidRDefault="008F3C48" w:rsidP="008F3C48">
      <w:pPr>
        <w:spacing w:after="0" w:line="240" w:lineRule="auto"/>
        <w:jc w:val="both"/>
        <w:rPr>
          <w:rFonts w:ascii="Verdana" w:eastAsia="Calibri" w:hAnsi="Verdana" w:cs="Arial"/>
          <w:b/>
          <w:color w:val="000000" w:themeColor="text1"/>
          <w:lang w:val="es-ES_tradnl"/>
        </w:rPr>
      </w:pPr>
      <w:r>
        <w:rPr>
          <w:rFonts w:ascii="Verdana" w:eastAsia="Calibri" w:hAnsi="Verdana" w:cs="Arial"/>
          <w:b/>
          <w:color w:val="000000" w:themeColor="text1"/>
          <w:lang w:val="es-ES_tradnl"/>
        </w:rPr>
        <w:t>MÍNIMA CUANTÍA</w:t>
      </w:r>
      <w:r w:rsidRPr="009B46EA">
        <w:rPr>
          <w:rFonts w:ascii="Verdana" w:eastAsia="Calibri" w:hAnsi="Verdana" w:cs="Arial"/>
          <w:b/>
          <w:color w:val="000000" w:themeColor="text1"/>
          <w:lang w:val="es-ES_tradnl"/>
        </w:rPr>
        <w:t xml:space="preserve"> – </w:t>
      </w:r>
      <w:r>
        <w:rPr>
          <w:rFonts w:ascii="Verdana" w:eastAsia="Calibri" w:hAnsi="Verdana" w:cs="Arial"/>
          <w:b/>
          <w:color w:val="000000" w:themeColor="text1"/>
          <w:lang w:val="es-ES_tradnl"/>
        </w:rPr>
        <w:t>Fundamento normativo</w:t>
      </w:r>
      <w:r w:rsidRPr="009B46EA">
        <w:rPr>
          <w:rFonts w:ascii="Verdana" w:eastAsia="Calibri" w:hAnsi="Verdana" w:cs="Arial"/>
          <w:b/>
          <w:color w:val="000000" w:themeColor="text1"/>
          <w:lang w:val="es-ES_tradnl"/>
        </w:rPr>
        <w:t xml:space="preserve"> </w:t>
      </w:r>
    </w:p>
    <w:p w14:paraId="1844D008" w14:textId="77777777" w:rsidR="008F3C48" w:rsidRPr="009B46EA" w:rsidRDefault="008F3C48" w:rsidP="008F3C48">
      <w:pPr>
        <w:spacing w:after="0" w:line="240" w:lineRule="auto"/>
        <w:jc w:val="both"/>
        <w:rPr>
          <w:rFonts w:ascii="Verdana" w:eastAsia="Calibri" w:hAnsi="Verdana" w:cs="Arial"/>
          <w:bCs/>
          <w:color w:val="000000" w:themeColor="text1"/>
          <w:sz w:val="20"/>
          <w:szCs w:val="20"/>
          <w:lang w:val="es-ES_tradnl"/>
        </w:rPr>
      </w:pPr>
    </w:p>
    <w:p w14:paraId="22ED92DB" w14:textId="77777777" w:rsidR="008F3C48" w:rsidRPr="009B46EA" w:rsidRDefault="008F3C48" w:rsidP="008F3C48">
      <w:pPr>
        <w:spacing w:after="0" w:line="240" w:lineRule="auto"/>
        <w:jc w:val="both"/>
        <w:rPr>
          <w:rFonts w:ascii="Verdana" w:hAnsi="Verdana" w:cs="Arial"/>
          <w:color w:val="000000" w:themeColor="text1"/>
          <w:sz w:val="20"/>
          <w:szCs w:val="20"/>
          <w:lang w:val="es-ES_tradnl"/>
        </w:rPr>
      </w:pPr>
      <w:r>
        <w:rPr>
          <w:rFonts w:ascii="Verdana" w:hAnsi="Verdana" w:cs="Arial"/>
          <w:color w:val="000000" w:themeColor="text1"/>
          <w:sz w:val="20"/>
          <w:szCs w:val="20"/>
          <w:lang w:val="es-ES_tradnl"/>
        </w:rPr>
        <w:t>E</w:t>
      </w:r>
      <w:r w:rsidRPr="00217168">
        <w:rPr>
          <w:rFonts w:ascii="Verdana" w:hAnsi="Verdana" w:cs="Arial"/>
          <w:color w:val="000000" w:themeColor="text1"/>
          <w:sz w:val="20"/>
          <w:szCs w:val="20"/>
          <w:lang w:val="es-ES_tradnl"/>
        </w:rPr>
        <w:t>s necesario tener en cuenta que el artículo 30 de la Ley 2069 de 2020 modifica el numeral 5 del artículo 2 de la Ley 1150 de 2007, el cual regula la mínima cuantía. En esta modalidad de selección, la entidad estatal realiza una convocatoria pública para recibir ofertas de bienes o servicios cuyo valor no excede el diez por ciento –10%– de la menor cuantía. Fue creada por el artículo 274 de la Ley 1450 de 2011 y modificada por el artículo 94 de la Ley 1474 de 2011, disponiendo que el factor determinante para adelantarla es el valor del presupuesto oficial con independencia de su objeto. Por lo demás, como en este procedimiento el contrato se perfecciona con la aceptación de la oferta, se considera un sucedáneo de los denominados “contratos sin formalidades plenas”</w:t>
      </w:r>
      <w:r w:rsidRPr="009B46EA">
        <w:rPr>
          <w:rFonts w:ascii="Verdana" w:hAnsi="Verdana" w:cs="Arial"/>
          <w:color w:val="000000" w:themeColor="text1"/>
          <w:sz w:val="20"/>
          <w:szCs w:val="20"/>
          <w:lang w:val="es-ES_tradnl"/>
        </w:rPr>
        <w:t>.</w:t>
      </w:r>
    </w:p>
    <w:p w14:paraId="0F27AE22" w14:textId="77777777" w:rsidR="008F3C48" w:rsidRPr="009B46EA" w:rsidRDefault="008F3C48" w:rsidP="008F3C48">
      <w:pPr>
        <w:spacing w:after="0" w:line="240" w:lineRule="auto"/>
        <w:jc w:val="both"/>
        <w:rPr>
          <w:rFonts w:ascii="Verdana" w:hAnsi="Verdana" w:cs="Arial"/>
          <w:color w:val="000000" w:themeColor="text1"/>
          <w:sz w:val="21"/>
          <w:szCs w:val="21"/>
          <w:lang w:val="es-ES_tradnl"/>
        </w:rPr>
      </w:pPr>
    </w:p>
    <w:p w14:paraId="00500846" w14:textId="77777777" w:rsidR="008F3C48" w:rsidRPr="009B46EA" w:rsidRDefault="008F3C48" w:rsidP="008F3C48">
      <w:pPr>
        <w:spacing w:after="0" w:line="240" w:lineRule="auto"/>
        <w:jc w:val="both"/>
        <w:rPr>
          <w:rFonts w:ascii="Verdana" w:eastAsia="Calibri" w:hAnsi="Verdana" w:cs="Arial"/>
          <w:b/>
          <w:color w:val="000000" w:themeColor="text1"/>
          <w:lang w:val="es-ES_tradnl"/>
        </w:rPr>
      </w:pPr>
      <w:bookmarkStart w:id="0" w:name="_Hlk109118876"/>
      <w:r>
        <w:rPr>
          <w:rFonts w:ascii="Verdana" w:eastAsia="Calibri" w:hAnsi="Verdana" w:cs="Arial"/>
          <w:b/>
          <w:color w:val="000000" w:themeColor="text1"/>
          <w:lang w:val="es-ES_tradnl"/>
        </w:rPr>
        <w:t>SELECCIÓN OBJETIVA – Oferta más favorable</w:t>
      </w:r>
      <w:r w:rsidRPr="009B46EA">
        <w:rPr>
          <w:rFonts w:ascii="Verdana" w:eastAsia="Calibri" w:hAnsi="Verdana" w:cs="Arial"/>
          <w:b/>
          <w:color w:val="000000" w:themeColor="text1"/>
          <w:lang w:val="es-ES_tradnl"/>
        </w:rPr>
        <w:t xml:space="preserve"> –</w:t>
      </w:r>
      <w:bookmarkEnd w:id="0"/>
      <w:r w:rsidRPr="009B46EA">
        <w:rPr>
          <w:rFonts w:ascii="Verdana" w:eastAsia="Calibri" w:hAnsi="Verdana" w:cs="Arial"/>
          <w:b/>
          <w:color w:val="000000" w:themeColor="text1"/>
          <w:lang w:val="es-ES_tradnl"/>
        </w:rPr>
        <w:t xml:space="preserve"> </w:t>
      </w:r>
      <w:r>
        <w:rPr>
          <w:rFonts w:ascii="Verdana" w:eastAsia="Calibri" w:hAnsi="Verdana" w:cs="Arial"/>
          <w:b/>
          <w:color w:val="000000" w:themeColor="text1"/>
          <w:lang w:val="es-ES_tradnl"/>
        </w:rPr>
        <w:t>Marco jurídico</w:t>
      </w:r>
      <w:r w:rsidRPr="009B46EA">
        <w:rPr>
          <w:rFonts w:ascii="Verdana" w:eastAsia="Calibri" w:hAnsi="Verdana" w:cs="Arial"/>
          <w:b/>
          <w:color w:val="000000" w:themeColor="text1"/>
          <w:lang w:val="es-ES_tradnl"/>
        </w:rPr>
        <w:t xml:space="preserve"> </w:t>
      </w:r>
    </w:p>
    <w:p w14:paraId="195A2891" w14:textId="77777777" w:rsidR="008F3C48" w:rsidRPr="009B46EA" w:rsidRDefault="008F3C48" w:rsidP="008F3C48">
      <w:pPr>
        <w:spacing w:after="0" w:line="240" w:lineRule="auto"/>
        <w:jc w:val="both"/>
        <w:rPr>
          <w:rFonts w:ascii="Verdana" w:eastAsia="Calibri" w:hAnsi="Verdana" w:cs="Arial"/>
          <w:b/>
          <w:color w:val="000000" w:themeColor="text1"/>
          <w:lang w:val="es-ES_tradnl"/>
        </w:rPr>
      </w:pPr>
    </w:p>
    <w:p w14:paraId="32D312ED" w14:textId="77777777" w:rsidR="008F3C48" w:rsidRDefault="008F3C48" w:rsidP="008F3C48">
      <w:pPr>
        <w:spacing w:after="0" w:line="240" w:lineRule="auto"/>
        <w:jc w:val="both"/>
        <w:rPr>
          <w:rFonts w:ascii="Verdana" w:hAnsi="Verdana" w:cs="Arial"/>
          <w:color w:val="000000" w:themeColor="text1"/>
          <w:sz w:val="20"/>
          <w:szCs w:val="20"/>
        </w:rPr>
      </w:pPr>
      <w:r w:rsidRPr="000D7C8D">
        <w:rPr>
          <w:rFonts w:ascii="Verdana" w:hAnsi="Verdana" w:cs="Arial"/>
          <w:color w:val="000000" w:themeColor="text1"/>
          <w:sz w:val="20"/>
          <w:szCs w:val="20"/>
        </w:rPr>
        <w:t xml:space="preserve">el artículo 5 de la Ley 1150 de 2007, alude a diferentes conceptos como factores de escogencia, de calificación, técnicos y económicos de escogencia, de evaluación y </w:t>
      </w:r>
      <w:r w:rsidRPr="000D7C8D">
        <w:rPr>
          <w:rFonts w:ascii="Verdana" w:hAnsi="Verdana" w:cs="Arial"/>
          <w:color w:val="000000" w:themeColor="text1"/>
          <w:sz w:val="20"/>
          <w:szCs w:val="20"/>
        </w:rPr>
        <w:lastRenderedPageBreak/>
        <w:t>calificación. Además, el artículo alude a unos factores que no otorgan puntaje y de otros que inciden en la comparación de ofertas. Por ello, la doctrina define los requisitos o factores ponderables como “[…] aquellas condiciones de la oferta y no de quien la presenta, que sí entrarán a ser evaluadas por la Administración y que en consecuencia, darán lugar a la escogencia objetiva de la mejor propuesta para la entidad”. Todas estas categorías designan los “[…] factores a los cuales cabe otorgarles puntajes o que pueden ser ponderados, precisamente, pues estos son los factores que en últimas permiten una comparación de ofertas y una diferenciación entre ellas”.</w:t>
      </w:r>
    </w:p>
    <w:p w14:paraId="6689E48B" w14:textId="77777777" w:rsidR="008F3C48" w:rsidRPr="000D7C8D" w:rsidRDefault="008F3C48" w:rsidP="008F3C48">
      <w:pPr>
        <w:spacing w:after="0" w:line="240" w:lineRule="auto"/>
        <w:jc w:val="both"/>
        <w:rPr>
          <w:rFonts w:ascii="Verdana" w:hAnsi="Verdana" w:cs="Arial"/>
          <w:color w:val="000000" w:themeColor="text1"/>
          <w:sz w:val="20"/>
          <w:szCs w:val="20"/>
        </w:rPr>
      </w:pPr>
    </w:p>
    <w:p w14:paraId="5311A1BB" w14:textId="77777777" w:rsidR="008F3C48" w:rsidRDefault="008F3C48" w:rsidP="008F3C48">
      <w:pPr>
        <w:spacing w:after="0" w:line="240" w:lineRule="auto"/>
        <w:jc w:val="both"/>
        <w:rPr>
          <w:rFonts w:ascii="Verdana" w:hAnsi="Verdana" w:cs="Arial"/>
          <w:color w:val="000000" w:themeColor="text1"/>
          <w:sz w:val="20"/>
          <w:szCs w:val="20"/>
        </w:rPr>
      </w:pPr>
      <w:r w:rsidRPr="000D7C8D">
        <w:rPr>
          <w:rFonts w:ascii="Verdana" w:hAnsi="Verdana" w:cs="Arial"/>
          <w:color w:val="000000" w:themeColor="text1"/>
          <w:sz w:val="20"/>
          <w:szCs w:val="20"/>
        </w:rPr>
        <w:t xml:space="preserve">En ese sentido, la asignación de puntaje es un mecanismo mediante el cual las entidades ponderan los factores de calificación </w:t>
      </w:r>
      <w:r w:rsidRPr="000D7C8D">
        <w:rPr>
          <w:rFonts w:ascii="Tahoma" w:hAnsi="Tahoma" w:cs="Tahoma"/>
          <w:color w:val="000000" w:themeColor="text1"/>
          <w:sz w:val="20"/>
          <w:szCs w:val="20"/>
        </w:rPr>
        <w:t>ꟷ</w:t>
      </w:r>
      <w:r w:rsidRPr="000D7C8D">
        <w:rPr>
          <w:rFonts w:ascii="Verdana" w:hAnsi="Verdana" w:cs="Arial"/>
          <w:i/>
          <w:color w:val="000000" w:themeColor="text1"/>
          <w:sz w:val="20"/>
          <w:szCs w:val="20"/>
        </w:rPr>
        <w:t>v.g.</w:t>
      </w:r>
      <w:r w:rsidRPr="000D7C8D">
        <w:rPr>
          <w:rFonts w:ascii="Verdana" w:hAnsi="Verdana" w:cs="Arial"/>
          <w:color w:val="000000" w:themeColor="text1"/>
          <w:sz w:val="20"/>
          <w:szCs w:val="20"/>
        </w:rPr>
        <w:t xml:space="preserve"> técnicos y económicos, de calidad y precio, etc.</w:t>
      </w:r>
      <w:r w:rsidRPr="000D7C8D">
        <w:rPr>
          <w:rFonts w:ascii="Tahoma" w:hAnsi="Tahoma" w:cs="Tahoma"/>
          <w:color w:val="000000" w:themeColor="text1"/>
          <w:sz w:val="20"/>
          <w:szCs w:val="20"/>
        </w:rPr>
        <w:t>ꟷ</w:t>
      </w:r>
      <w:r w:rsidRPr="000D7C8D">
        <w:rPr>
          <w:rFonts w:ascii="Verdana" w:hAnsi="Verdana" w:cs="Arial"/>
          <w:color w:val="000000" w:themeColor="text1"/>
          <w:sz w:val="20"/>
          <w:szCs w:val="20"/>
        </w:rPr>
        <w:t xml:space="preserve"> en un determinado proceso de selección, como se desprende del </w:t>
      </w:r>
      <w:r>
        <w:rPr>
          <w:rFonts w:ascii="Verdana" w:hAnsi="Verdana" w:cs="Arial"/>
          <w:color w:val="000000" w:themeColor="text1"/>
          <w:sz w:val="20"/>
          <w:szCs w:val="20"/>
        </w:rPr>
        <w:t>literal a) del numeral 2 del artículo 5 de la Ley 1150 de 2007</w:t>
      </w:r>
      <w:r w:rsidRPr="000D7C8D">
        <w:rPr>
          <w:rFonts w:ascii="Verdana" w:hAnsi="Verdana" w:cs="Arial"/>
          <w:color w:val="000000" w:themeColor="text1"/>
          <w:sz w:val="20"/>
          <w:szCs w:val="20"/>
        </w:rPr>
        <w:t>. Sin embargo, no es este el único mecanismo de ponderación que tienen a su alcance las entidades estatales para determinar el ofrecimiento más favorable, pues el propio literal b) del artículo 5.2 posibilita que el ofrecimiento más favorable se determine con un análisis de la relación costo-beneficio. A estos se suman, los procesos de selección de bienes y servicios de características técnicas uniformes y de común utilización, así como los de mínima cuantía, en los que –según los artículos 5.3 y 2.5 de la Ley 1150 de 2007– el único factor de selección es el menor precio ofertado.</w:t>
      </w:r>
    </w:p>
    <w:p w14:paraId="667658B9" w14:textId="77777777" w:rsidR="008F3C48" w:rsidRPr="000D7C8D" w:rsidRDefault="008F3C48" w:rsidP="008F3C48">
      <w:pPr>
        <w:spacing w:after="0" w:line="240" w:lineRule="auto"/>
        <w:jc w:val="both"/>
        <w:rPr>
          <w:rFonts w:ascii="Verdana" w:hAnsi="Verdana" w:cs="Arial"/>
          <w:color w:val="000000" w:themeColor="text1"/>
          <w:sz w:val="20"/>
          <w:szCs w:val="20"/>
        </w:rPr>
      </w:pPr>
    </w:p>
    <w:p w14:paraId="6536B095" w14:textId="77777777" w:rsidR="008F3C48" w:rsidRPr="00F90929" w:rsidRDefault="008F3C48" w:rsidP="008F3C48">
      <w:pPr>
        <w:spacing w:after="0" w:line="240" w:lineRule="auto"/>
        <w:jc w:val="both"/>
        <w:rPr>
          <w:rFonts w:ascii="Verdana" w:hAnsi="Verdana" w:cs="Arial"/>
          <w:color w:val="000000" w:themeColor="text1"/>
          <w:sz w:val="20"/>
          <w:szCs w:val="20"/>
        </w:rPr>
      </w:pPr>
      <w:r w:rsidRPr="000D7C8D">
        <w:rPr>
          <w:rFonts w:ascii="Verdana" w:hAnsi="Verdana" w:cs="Arial"/>
          <w:color w:val="000000" w:themeColor="text1"/>
          <w:sz w:val="20"/>
          <w:szCs w:val="20"/>
        </w:rPr>
        <w:t>Conforme a lo anterior, el deber de selección objetiva está ligado a la determinación del ofrecimiento más favorable, cuyo contenido debe ser precisado a partir de las diferentes alternativas del artículo 5 de la Ley 1150 de 2007, reglamentado por el artículo 2.2.1.1.2.2.2 del Decreto 1082 de 2015, que en todo caso deben reflejarse en el pliego de condiciones o documento equivalente para el respectivo proceso de selección. Estas disposiciones establecen que en los procesos de selección deben evaluarse, fuera de los requisitos habilitantes, los factores de calificación, valoración o evaluación. Estos pueden ponderarse mediante la asignación de puntaje, por lo que la norma se refiere a factores que no otorgan puntaje para diferenciar los requisitos habilitantes de los mencionados factores de calificación. Lo anterior, bajo el entendido que son estos últimos los que determinan la oferta más favorable para la entidad y la que en consecuencia debe elegirse.</w:t>
      </w:r>
    </w:p>
    <w:p w14:paraId="7E213C3C" w14:textId="77777777" w:rsidR="008F3C48" w:rsidRPr="009B46EA" w:rsidRDefault="008F3C48" w:rsidP="008F3C48">
      <w:pPr>
        <w:spacing w:after="0" w:line="240" w:lineRule="auto"/>
        <w:jc w:val="both"/>
        <w:rPr>
          <w:rFonts w:ascii="Verdana" w:hAnsi="Verdana" w:cs="Arial"/>
          <w:color w:val="000000" w:themeColor="text1"/>
          <w:sz w:val="21"/>
          <w:szCs w:val="21"/>
          <w:lang w:val="es-ES_tradnl"/>
        </w:rPr>
      </w:pPr>
    </w:p>
    <w:p w14:paraId="5C10D084" w14:textId="77777777" w:rsidR="008F3C48" w:rsidRPr="009B46EA" w:rsidRDefault="008F3C48" w:rsidP="008F3C48">
      <w:pPr>
        <w:spacing w:after="0" w:line="240" w:lineRule="auto"/>
        <w:jc w:val="both"/>
        <w:rPr>
          <w:rFonts w:ascii="Verdana" w:eastAsia="Calibri" w:hAnsi="Verdana" w:cs="Arial"/>
          <w:b/>
          <w:color w:val="000000" w:themeColor="text1"/>
          <w:lang w:val="es-ES_tradnl"/>
        </w:rPr>
      </w:pPr>
      <w:r>
        <w:rPr>
          <w:rFonts w:ascii="Verdana" w:eastAsia="Calibri" w:hAnsi="Verdana" w:cs="Arial"/>
          <w:b/>
          <w:color w:val="000000" w:themeColor="text1"/>
          <w:lang w:val="es-ES_tradnl"/>
        </w:rPr>
        <w:t>PLIEGO DE CONDICIONES O DOCUMENTO EQUIVALENTE</w:t>
      </w:r>
      <w:r w:rsidRPr="009B46EA">
        <w:rPr>
          <w:rFonts w:ascii="Verdana" w:eastAsia="Calibri" w:hAnsi="Verdana" w:cs="Arial"/>
          <w:b/>
          <w:color w:val="000000" w:themeColor="text1"/>
          <w:lang w:val="es-ES_tradnl"/>
        </w:rPr>
        <w:t xml:space="preserve"> – </w:t>
      </w:r>
      <w:r>
        <w:rPr>
          <w:rFonts w:ascii="Verdana" w:eastAsia="Calibri" w:hAnsi="Verdana" w:cs="Arial"/>
          <w:b/>
          <w:color w:val="000000" w:themeColor="text1"/>
          <w:lang w:val="es-ES_tradnl"/>
        </w:rPr>
        <w:t>Expedición – Discrecionalidad – Proporcionalidad – Fuerza vinculante</w:t>
      </w:r>
      <w:r w:rsidRPr="009B46EA">
        <w:rPr>
          <w:rFonts w:ascii="Verdana" w:eastAsia="Calibri" w:hAnsi="Verdana" w:cs="Arial"/>
          <w:b/>
          <w:color w:val="000000" w:themeColor="text1"/>
          <w:lang w:val="es-ES_tradnl"/>
        </w:rPr>
        <w:t xml:space="preserve"> </w:t>
      </w:r>
    </w:p>
    <w:p w14:paraId="0C1C4893" w14:textId="77777777" w:rsidR="008F3C48" w:rsidRPr="009B46EA" w:rsidRDefault="008F3C48" w:rsidP="008F3C48">
      <w:pPr>
        <w:spacing w:after="0" w:line="240" w:lineRule="auto"/>
        <w:jc w:val="both"/>
        <w:rPr>
          <w:rFonts w:ascii="Verdana" w:eastAsia="Calibri" w:hAnsi="Verdana" w:cs="Arial"/>
          <w:b/>
          <w:color w:val="000000" w:themeColor="text1"/>
          <w:lang w:val="es-ES_tradnl"/>
        </w:rPr>
      </w:pPr>
    </w:p>
    <w:p w14:paraId="3418E31B" w14:textId="77777777" w:rsidR="008F3C48" w:rsidRDefault="008F3C48" w:rsidP="008F3C48">
      <w:pPr>
        <w:spacing w:after="0" w:line="240" w:lineRule="auto"/>
        <w:jc w:val="both"/>
        <w:rPr>
          <w:rFonts w:ascii="Verdana" w:hAnsi="Verdana" w:cs="Arial"/>
          <w:color w:val="000000" w:themeColor="text1"/>
          <w:sz w:val="20"/>
          <w:szCs w:val="20"/>
        </w:rPr>
      </w:pPr>
      <w:r w:rsidRPr="000D7C8D">
        <w:rPr>
          <w:rFonts w:ascii="Verdana" w:hAnsi="Verdana" w:cs="Arial"/>
          <w:color w:val="000000" w:themeColor="text1"/>
          <w:sz w:val="20"/>
          <w:szCs w:val="20"/>
        </w:rPr>
        <w:t xml:space="preserve">el artículo 5 de la Ley 1150 de 2007, alude a diferentes conceptos como factores de escogencia, de calificación, técnicos y económicos de escogencia, de evaluación y calificación. Además, el artículo alude a unos factores que no otorgan puntaje y de otros que inciden en la comparación de ofertas. Por ello, la doctrina define los requisitos o factores ponderables como “[…] aquellas condiciones de la oferta y no de quien la presenta, que sí entrarán a ser evaluadas por la Administración y que en consecuencia, darán lugar a la escogencia objetiva de la mejor propuesta para la entidad”. Todas estas categorías designan los “[…] factores a los cuales cabe otorgarles puntajes o que pueden </w:t>
      </w:r>
      <w:r w:rsidRPr="000D7C8D">
        <w:rPr>
          <w:rFonts w:ascii="Verdana" w:hAnsi="Verdana" w:cs="Arial"/>
          <w:color w:val="000000" w:themeColor="text1"/>
          <w:sz w:val="20"/>
          <w:szCs w:val="20"/>
        </w:rPr>
        <w:lastRenderedPageBreak/>
        <w:t>ser ponderados, precisamente, pues estos son los factores que en últimas permiten una comparación de ofertas y una diferenciación entre ellas”.</w:t>
      </w:r>
    </w:p>
    <w:p w14:paraId="398B498B" w14:textId="77777777" w:rsidR="008F3C48" w:rsidRDefault="008F3C48" w:rsidP="00CA016C">
      <w:pPr>
        <w:spacing w:after="0" w:line="240" w:lineRule="auto"/>
        <w:jc w:val="both"/>
        <w:rPr>
          <w:rFonts w:ascii="Verdana" w:hAnsi="Verdana"/>
        </w:rPr>
      </w:pPr>
    </w:p>
    <w:p w14:paraId="70937A1A" w14:textId="77777777" w:rsidR="008F3C48" w:rsidRDefault="008F3C48" w:rsidP="00CA016C">
      <w:pPr>
        <w:spacing w:after="0" w:line="240" w:lineRule="auto"/>
        <w:jc w:val="both"/>
        <w:rPr>
          <w:rFonts w:ascii="Verdana" w:hAnsi="Verdana"/>
        </w:rPr>
      </w:pPr>
    </w:p>
    <w:p w14:paraId="3A2CCF32" w14:textId="77777777" w:rsidR="008F3C48" w:rsidRDefault="008F3C48" w:rsidP="00CA016C">
      <w:pPr>
        <w:spacing w:after="0" w:line="240" w:lineRule="auto"/>
        <w:jc w:val="both"/>
        <w:rPr>
          <w:rFonts w:ascii="Verdana" w:hAnsi="Verdana"/>
        </w:rPr>
      </w:pPr>
    </w:p>
    <w:p w14:paraId="26CDB634" w14:textId="77777777" w:rsidR="008F3C48" w:rsidRDefault="008F3C48" w:rsidP="00CA016C">
      <w:pPr>
        <w:spacing w:after="0" w:line="240" w:lineRule="auto"/>
        <w:jc w:val="both"/>
        <w:rPr>
          <w:rFonts w:ascii="Verdana" w:hAnsi="Verdana"/>
        </w:rPr>
      </w:pPr>
    </w:p>
    <w:p w14:paraId="222D39C1" w14:textId="77777777" w:rsidR="008F3C48" w:rsidRDefault="008F3C48" w:rsidP="00CA016C">
      <w:pPr>
        <w:spacing w:after="0" w:line="240" w:lineRule="auto"/>
        <w:jc w:val="both"/>
        <w:rPr>
          <w:rFonts w:ascii="Verdana" w:hAnsi="Verdana"/>
        </w:rPr>
      </w:pPr>
    </w:p>
    <w:p w14:paraId="6ACB647A" w14:textId="77777777" w:rsidR="008F3C48" w:rsidRDefault="008F3C48" w:rsidP="00CA016C">
      <w:pPr>
        <w:spacing w:after="0" w:line="240" w:lineRule="auto"/>
        <w:jc w:val="both"/>
        <w:rPr>
          <w:rFonts w:ascii="Verdana" w:hAnsi="Verdana"/>
        </w:rPr>
      </w:pPr>
    </w:p>
    <w:p w14:paraId="35581905" w14:textId="77777777" w:rsidR="008F3C48" w:rsidRDefault="008F3C48" w:rsidP="00CA016C">
      <w:pPr>
        <w:spacing w:after="0" w:line="240" w:lineRule="auto"/>
        <w:jc w:val="both"/>
        <w:rPr>
          <w:rFonts w:ascii="Verdana" w:hAnsi="Verdana"/>
        </w:rPr>
      </w:pPr>
    </w:p>
    <w:p w14:paraId="080B4D98" w14:textId="77777777" w:rsidR="008F3C48" w:rsidRDefault="008F3C48" w:rsidP="00CA016C">
      <w:pPr>
        <w:spacing w:after="0" w:line="240" w:lineRule="auto"/>
        <w:jc w:val="both"/>
        <w:rPr>
          <w:rFonts w:ascii="Verdana" w:hAnsi="Verdana"/>
        </w:rPr>
      </w:pPr>
    </w:p>
    <w:p w14:paraId="57552008" w14:textId="77777777" w:rsidR="008F3C48" w:rsidRDefault="008F3C48" w:rsidP="00CA016C">
      <w:pPr>
        <w:spacing w:after="0" w:line="240" w:lineRule="auto"/>
        <w:jc w:val="both"/>
        <w:rPr>
          <w:rFonts w:ascii="Verdana" w:hAnsi="Verdana"/>
        </w:rPr>
      </w:pPr>
    </w:p>
    <w:p w14:paraId="52DD6664" w14:textId="77777777" w:rsidR="008F3C48" w:rsidRDefault="008F3C48" w:rsidP="00CA016C">
      <w:pPr>
        <w:spacing w:after="0" w:line="240" w:lineRule="auto"/>
        <w:jc w:val="both"/>
        <w:rPr>
          <w:rFonts w:ascii="Verdana" w:hAnsi="Verdana"/>
        </w:rPr>
      </w:pPr>
    </w:p>
    <w:p w14:paraId="33595FD4" w14:textId="77777777" w:rsidR="008F3C48" w:rsidRDefault="008F3C48" w:rsidP="00CA016C">
      <w:pPr>
        <w:spacing w:after="0" w:line="240" w:lineRule="auto"/>
        <w:jc w:val="both"/>
        <w:rPr>
          <w:rFonts w:ascii="Verdana" w:hAnsi="Verdana"/>
        </w:rPr>
      </w:pPr>
    </w:p>
    <w:p w14:paraId="47989B0F" w14:textId="77777777" w:rsidR="008F3C48" w:rsidRDefault="008F3C48" w:rsidP="00CA016C">
      <w:pPr>
        <w:spacing w:after="0" w:line="240" w:lineRule="auto"/>
        <w:jc w:val="both"/>
        <w:rPr>
          <w:rFonts w:ascii="Verdana" w:hAnsi="Verdana"/>
        </w:rPr>
      </w:pPr>
    </w:p>
    <w:p w14:paraId="31C484FD" w14:textId="77777777" w:rsidR="008F3C48" w:rsidRDefault="008F3C48" w:rsidP="00CA016C">
      <w:pPr>
        <w:spacing w:after="0" w:line="240" w:lineRule="auto"/>
        <w:jc w:val="both"/>
        <w:rPr>
          <w:rFonts w:ascii="Verdana" w:hAnsi="Verdana"/>
        </w:rPr>
      </w:pPr>
    </w:p>
    <w:p w14:paraId="2A129503" w14:textId="77777777" w:rsidR="008F3C48" w:rsidRDefault="008F3C48" w:rsidP="00CA016C">
      <w:pPr>
        <w:spacing w:after="0" w:line="240" w:lineRule="auto"/>
        <w:jc w:val="both"/>
        <w:rPr>
          <w:rFonts w:ascii="Verdana" w:hAnsi="Verdana"/>
        </w:rPr>
      </w:pPr>
    </w:p>
    <w:p w14:paraId="4EEE8E4B" w14:textId="77777777" w:rsidR="008F3C48" w:rsidRDefault="008F3C48" w:rsidP="00CA016C">
      <w:pPr>
        <w:spacing w:after="0" w:line="240" w:lineRule="auto"/>
        <w:jc w:val="both"/>
        <w:rPr>
          <w:rFonts w:ascii="Verdana" w:hAnsi="Verdana"/>
        </w:rPr>
      </w:pPr>
    </w:p>
    <w:p w14:paraId="130FD7A1" w14:textId="77777777" w:rsidR="008F3C48" w:rsidRDefault="008F3C48" w:rsidP="00CA016C">
      <w:pPr>
        <w:spacing w:after="0" w:line="240" w:lineRule="auto"/>
        <w:jc w:val="both"/>
        <w:rPr>
          <w:rFonts w:ascii="Verdana" w:hAnsi="Verdana"/>
        </w:rPr>
      </w:pPr>
    </w:p>
    <w:p w14:paraId="023FFDB3" w14:textId="77777777" w:rsidR="008F3C48" w:rsidRDefault="008F3C48" w:rsidP="00CA016C">
      <w:pPr>
        <w:spacing w:after="0" w:line="240" w:lineRule="auto"/>
        <w:jc w:val="both"/>
        <w:rPr>
          <w:rFonts w:ascii="Verdana" w:hAnsi="Verdana"/>
        </w:rPr>
      </w:pPr>
    </w:p>
    <w:p w14:paraId="191C13EC" w14:textId="77777777" w:rsidR="008F3C48" w:rsidRDefault="008F3C48" w:rsidP="00CA016C">
      <w:pPr>
        <w:spacing w:after="0" w:line="240" w:lineRule="auto"/>
        <w:jc w:val="both"/>
        <w:rPr>
          <w:rFonts w:ascii="Verdana" w:hAnsi="Verdana"/>
        </w:rPr>
      </w:pPr>
    </w:p>
    <w:p w14:paraId="3F089FEC" w14:textId="77777777" w:rsidR="008F3C48" w:rsidRDefault="008F3C48" w:rsidP="00CA016C">
      <w:pPr>
        <w:spacing w:after="0" w:line="240" w:lineRule="auto"/>
        <w:jc w:val="both"/>
        <w:rPr>
          <w:rFonts w:ascii="Verdana" w:hAnsi="Verdana"/>
        </w:rPr>
      </w:pPr>
    </w:p>
    <w:p w14:paraId="218B18F9" w14:textId="77777777" w:rsidR="008F3C48" w:rsidRDefault="008F3C48" w:rsidP="00CA016C">
      <w:pPr>
        <w:spacing w:after="0" w:line="240" w:lineRule="auto"/>
        <w:jc w:val="both"/>
        <w:rPr>
          <w:rFonts w:ascii="Verdana" w:hAnsi="Verdana"/>
        </w:rPr>
      </w:pPr>
    </w:p>
    <w:p w14:paraId="5770D4DC" w14:textId="77777777" w:rsidR="008F3C48" w:rsidRDefault="008F3C48" w:rsidP="00CA016C">
      <w:pPr>
        <w:spacing w:after="0" w:line="240" w:lineRule="auto"/>
        <w:jc w:val="both"/>
        <w:rPr>
          <w:rFonts w:ascii="Verdana" w:hAnsi="Verdana"/>
        </w:rPr>
      </w:pPr>
    </w:p>
    <w:p w14:paraId="66AD79FF" w14:textId="77777777" w:rsidR="008F3C48" w:rsidRDefault="008F3C48" w:rsidP="00CA016C">
      <w:pPr>
        <w:spacing w:after="0" w:line="240" w:lineRule="auto"/>
        <w:jc w:val="both"/>
        <w:rPr>
          <w:rFonts w:ascii="Verdana" w:hAnsi="Verdana"/>
        </w:rPr>
      </w:pPr>
    </w:p>
    <w:p w14:paraId="08B1A9B4" w14:textId="77777777" w:rsidR="008F3C48" w:rsidRDefault="008F3C48" w:rsidP="00CA016C">
      <w:pPr>
        <w:spacing w:after="0" w:line="240" w:lineRule="auto"/>
        <w:jc w:val="both"/>
        <w:rPr>
          <w:rFonts w:ascii="Verdana" w:hAnsi="Verdana"/>
        </w:rPr>
      </w:pPr>
    </w:p>
    <w:p w14:paraId="6FE3C902" w14:textId="77777777" w:rsidR="008F3C48" w:rsidRDefault="008F3C48" w:rsidP="00CA016C">
      <w:pPr>
        <w:spacing w:after="0" w:line="240" w:lineRule="auto"/>
        <w:jc w:val="both"/>
        <w:rPr>
          <w:rFonts w:ascii="Verdana" w:hAnsi="Verdana"/>
        </w:rPr>
      </w:pPr>
    </w:p>
    <w:p w14:paraId="62E73C16" w14:textId="77777777" w:rsidR="008F3C48" w:rsidRDefault="008F3C48" w:rsidP="00CA016C">
      <w:pPr>
        <w:spacing w:after="0" w:line="240" w:lineRule="auto"/>
        <w:jc w:val="both"/>
        <w:rPr>
          <w:rFonts w:ascii="Verdana" w:hAnsi="Verdana"/>
        </w:rPr>
      </w:pPr>
    </w:p>
    <w:p w14:paraId="7D4A7188" w14:textId="77777777" w:rsidR="008F3C48" w:rsidRDefault="008F3C48" w:rsidP="00CA016C">
      <w:pPr>
        <w:spacing w:after="0" w:line="240" w:lineRule="auto"/>
        <w:jc w:val="both"/>
        <w:rPr>
          <w:rFonts w:ascii="Verdana" w:hAnsi="Verdana"/>
        </w:rPr>
      </w:pPr>
    </w:p>
    <w:p w14:paraId="0ECC4586" w14:textId="77777777" w:rsidR="008F3C48" w:rsidRDefault="008F3C48" w:rsidP="00CA016C">
      <w:pPr>
        <w:spacing w:after="0" w:line="240" w:lineRule="auto"/>
        <w:jc w:val="both"/>
        <w:rPr>
          <w:rFonts w:ascii="Verdana" w:hAnsi="Verdana"/>
        </w:rPr>
      </w:pPr>
    </w:p>
    <w:p w14:paraId="3B4F4D18" w14:textId="77777777" w:rsidR="008F3C48" w:rsidRDefault="008F3C48" w:rsidP="00CA016C">
      <w:pPr>
        <w:spacing w:after="0" w:line="240" w:lineRule="auto"/>
        <w:jc w:val="both"/>
        <w:rPr>
          <w:rFonts w:ascii="Verdana" w:hAnsi="Verdana"/>
        </w:rPr>
      </w:pPr>
    </w:p>
    <w:p w14:paraId="6E809D03" w14:textId="77777777" w:rsidR="008F3C48" w:rsidRDefault="008F3C48" w:rsidP="00CA016C">
      <w:pPr>
        <w:spacing w:after="0" w:line="240" w:lineRule="auto"/>
        <w:jc w:val="both"/>
        <w:rPr>
          <w:rFonts w:ascii="Verdana" w:hAnsi="Verdana"/>
        </w:rPr>
      </w:pPr>
    </w:p>
    <w:p w14:paraId="2E2ABAEF" w14:textId="77777777" w:rsidR="008F3C48" w:rsidRDefault="008F3C48" w:rsidP="00CA016C">
      <w:pPr>
        <w:spacing w:after="0" w:line="240" w:lineRule="auto"/>
        <w:jc w:val="both"/>
        <w:rPr>
          <w:rFonts w:ascii="Verdana" w:hAnsi="Verdana"/>
        </w:rPr>
      </w:pPr>
    </w:p>
    <w:p w14:paraId="45869C16" w14:textId="77777777" w:rsidR="008F3C48" w:rsidRDefault="008F3C48" w:rsidP="00CA016C">
      <w:pPr>
        <w:spacing w:after="0" w:line="240" w:lineRule="auto"/>
        <w:jc w:val="both"/>
        <w:rPr>
          <w:rFonts w:ascii="Verdana" w:hAnsi="Verdana"/>
        </w:rPr>
      </w:pPr>
    </w:p>
    <w:p w14:paraId="308FF39F" w14:textId="77777777" w:rsidR="008F3C48" w:rsidRDefault="008F3C48" w:rsidP="00CA016C">
      <w:pPr>
        <w:spacing w:after="0" w:line="240" w:lineRule="auto"/>
        <w:jc w:val="both"/>
        <w:rPr>
          <w:rFonts w:ascii="Verdana" w:hAnsi="Verdana"/>
        </w:rPr>
      </w:pPr>
    </w:p>
    <w:p w14:paraId="1D358DC2" w14:textId="77777777" w:rsidR="008F3C48" w:rsidRDefault="008F3C48" w:rsidP="00CA016C">
      <w:pPr>
        <w:spacing w:after="0" w:line="240" w:lineRule="auto"/>
        <w:jc w:val="both"/>
        <w:rPr>
          <w:rFonts w:ascii="Verdana" w:hAnsi="Verdana"/>
        </w:rPr>
      </w:pPr>
    </w:p>
    <w:p w14:paraId="5A334C1E" w14:textId="77777777" w:rsidR="008F3C48" w:rsidRDefault="008F3C48" w:rsidP="00CA016C">
      <w:pPr>
        <w:spacing w:after="0" w:line="240" w:lineRule="auto"/>
        <w:jc w:val="both"/>
        <w:rPr>
          <w:rFonts w:ascii="Verdana" w:hAnsi="Verdana"/>
        </w:rPr>
      </w:pPr>
    </w:p>
    <w:p w14:paraId="6C302291" w14:textId="77777777" w:rsidR="008F3C48" w:rsidRDefault="008F3C48" w:rsidP="00CA016C">
      <w:pPr>
        <w:spacing w:after="0" w:line="240" w:lineRule="auto"/>
        <w:jc w:val="both"/>
        <w:rPr>
          <w:rFonts w:ascii="Verdana" w:hAnsi="Verdana"/>
        </w:rPr>
      </w:pPr>
    </w:p>
    <w:p w14:paraId="7524E650" w14:textId="77777777" w:rsidR="008F3C48" w:rsidRDefault="008F3C48" w:rsidP="00CA016C">
      <w:pPr>
        <w:spacing w:after="0" w:line="240" w:lineRule="auto"/>
        <w:jc w:val="both"/>
        <w:rPr>
          <w:rFonts w:ascii="Verdana" w:hAnsi="Verdana"/>
        </w:rPr>
      </w:pPr>
    </w:p>
    <w:p w14:paraId="7951AF1A" w14:textId="77777777" w:rsidR="008F3C48" w:rsidRDefault="008F3C48" w:rsidP="00CA016C">
      <w:pPr>
        <w:spacing w:after="0" w:line="240" w:lineRule="auto"/>
        <w:jc w:val="both"/>
        <w:rPr>
          <w:rFonts w:ascii="Verdana" w:hAnsi="Verdana"/>
        </w:rPr>
      </w:pPr>
    </w:p>
    <w:p w14:paraId="107D0292" w14:textId="77777777" w:rsidR="008F3C48" w:rsidRDefault="008F3C48" w:rsidP="00CA016C">
      <w:pPr>
        <w:spacing w:after="0" w:line="240" w:lineRule="auto"/>
        <w:jc w:val="both"/>
        <w:rPr>
          <w:rFonts w:ascii="Verdana" w:hAnsi="Verdana"/>
        </w:rPr>
      </w:pPr>
    </w:p>
    <w:p w14:paraId="570BE44D" w14:textId="77777777" w:rsidR="008F3C48" w:rsidRDefault="008F3C48" w:rsidP="00CA016C">
      <w:pPr>
        <w:spacing w:after="0" w:line="240" w:lineRule="auto"/>
        <w:jc w:val="both"/>
        <w:rPr>
          <w:rFonts w:ascii="Verdana" w:hAnsi="Verdana"/>
        </w:rPr>
      </w:pPr>
    </w:p>
    <w:p w14:paraId="4D66D81B" w14:textId="77777777" w:rsidR="008F3C48" w:rsidRDefault="008F3C48" w:rsidP="00CA016C">
      <w:pPr>
        <w:spacing w:after="0" w:line="240" w:lineRule="auto"/>
        <w:jc w:val="both"/>
        <w:rPr>
          <w:rFonts w:ascii="Verdana" w:hAnsi="Verdana"/>
        </w:rPr>
      </w:pPr>
    </w:p>
    <w:p w14:paraId="7CF681C9" w14:textId="7E4237E2" w:rsidR="00CA016C" w:rsidRPr="00AC2CE1" w:rsidRDefault="0090234E" w:rsidP="00CA016C">
      <w:pPr>
        <w:spacing w:after="0" w:line="240" w:lineRule="auto"/>
        <w:jc w:val="both"/>
        <w:rPr>
          <w:rFonts w:ascii="Verdana" w:hAnsi="Verdana"/>
        </w:rPr>
      </w:pPr>
      <w:r w:rsidRPr="0090234E">
        <w:rPr>
          <w:rFonts w:ascii="Verdana" w:hAnsi="Verdana"/>
        </w:rPr>
        <w:lastRenderedPageBreak/>
        <w:t xml:space="preserve">Bogotá D.C., 28 </w:t>
      </w:r>
      <w:r>
        <w:rPr>
          <w:rFonts w:ascii="Verdana" w:hAnsi="Verdana"/>
        </w:rPr>
        <w:t>s</w:t>
      </w:r>
      <w:r w:rsidRPr="0090234E">
        <w:rPr>
          <w:rFonts w:ascii="Verdana" w:hAnsi="Verdana"/>
        </w:rPr>
        <w:t>eptiembre 2026</w:t>
      </w:r>
      <w:r>
        <w:rPr>
          <w:rFonts w:ascii="Verdana" w:hAnsi="Verdana"/>
        </w:rPr>
        <w:t xml:space="preserve"> </w:t>
      </w:r>
    </w:p>
    <w:p w14:paraId="17DDED77" w14:textId="56214887" w:rsidR="00CA016C" w:rsidRPr="00AC2CE1" w:rsidRDefault="00CA016C" w:rsidP="00CA016C">
      <w:pPr>
        <w:spacing w:after="0" w:line="240" w:lineRule="auto"/>
        <w:jc w:val="both"/>
        <w:rPr>
          <w:rFonts w:ascii="Verdana" w:eastAsia="Calibri" w:hAnsi="Verdana" w:cs="Arial"/>
          <w:lang w:eastAsia="es-ES"/>
        </w:rPr>
      </w:pPr>
      <w:bookmarkStart w:id="1" w:name="_Hlk197462763"/>
      <w:bookmarkStart w:id="2" w:name="_Hlk197529996"/>
    </w:p>
    <w:p w14:paraId="37EBA202" w14:textId="55E847E5" w:rsidR="00CA016C" w:rsidRPr="00AC2CE1" w:rsidRDefault="00AC548E" w:rsidP="00CA016C">
      <w:pPr>
        <w:spacing w:after="0" w:line="240" w:lineRule="auto"/>
        <w:jc w:val="both"/>
        <w:rPr>
          <w:rFonts w:ascii="Verdana" w:eastAsia="Calibri" w:hAnsi="Verdana" w:cs="Arial"/>
          <w:lang w:eastAsia="es-ES"/>
        </w:rPr>
      </w:pPr>
      <w:r w:rsidRPr="00AC548E">
        <w:rPr>
          <w:rFonts w:ascii="Verdana" w:eastAsia="Calibri" w:hAnsi="Verdana" w:cs="Arial"/>
          <w:lang w:eastAsia="es-ES"/>
        </w:rPr>
        <w:drawing>
          <wp:anchor distT="0" distB="0" distL="114300" distR="114300" simplePos="0" relativeHeight="251660288" behindDoc="1" locked="0" layoutInCell="1" allowOverlap="1" wp14:anchorId="15AF1529" wp14:editId="4866B57A">
            <wp:simplePos x="0" y="0"/>
            <wp:positionH relativeFrom="column">
              <wp:posOffset>3263216</wp:posOffset>
            </wp:positionH>
            <wp:positionV relativeFrom="paragraph">
              <wp:posOffset>59641</wp:posOffset>
            </wp:positionV>
            <wp:extent cx="2486025" cy="742950"/>
            <wp:effectExtent l="0" t="0" r="9525" b="0"/>
            <wp:wrapTight wrapText="bothSides">
              <wp:wrapPolygon edited="0">
                <wp:start x="0" y="0"/>
                <wp:lineTo x="0" y="21046"/>
                <wp:lineTo x="21517" y="21046"/>
                <wp:lineTo x="21517" y="0"/>
                <wp:lineTo x="0" y="0"/>
              </wp:wrapPolygon>
            </wp:wrapTight>
            <wp:docPr id="9685436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543669" name=""/>
                    <pic:cNvPicPr/>
                  </pic:nvPicPr>
                  <pic:blipFill>
                    <a:blip r:embed="rId7">
                      <a:extLst>
                        <a:ext uri="{28A0092B-C50C-407E-A947-70E740481C1C}">
                          <a14:useLocalDpi xmlns:a14="http://schemas.microsoft.com/office/drawing/2010/main" val="0"/>
                        </a:ext>
                      </a:extLst>
                    </a:blip>
                    <a:stretch>
                      <a:fillRect/>
                    </a:stretch>
                  </pic:blipFill>
                  <pic:spPr>
                    <a:xfrm>
                      <a:off x="0" y="0"/>
                      <a:ext cx="2486025" cy="742950"/>
                    </a:xfrm>
                    <a:prstGeom prst="rect">
                      <a:avLst/>
                    </a:prstGeom>
                  </pic:spPr>
                </pic:pic>
              </a:graphicData>
            </a:graphic>
          </wp:anchor>
        </w:drawing>
      </w:r>
    </w:p>
    <w:p w14:paraId="65B2EDE8" w14:textId="5B04DB4F" w:rsidR="00CA016C" w:rsidRPr="00AC2CE1" w:rsidRDefault="00CA016C" w:rsidP="00CA016C">
      <w:pPr>
        <w:spacing w:after="0" w:line="240" w:lineRule="auto"/>
        <w:jc w:val="both"/>
        <w:rPr>
          <w:rFonts w:ascii="Verdana" w:eastAsia="Calibri" w:hAnsi="Verdana" w:cs="Arial"/>
          <w:lang w:eastAsia="es-ES"/>
        </w:rPr>
      </w:pPr>
      <w:r w:rsidRPr="00AC2CE1">
        <w:rPr>
          <w:rFonts w:ascii="Verdana" w:eastAsia="Calibri" w:hAnsi="Verdana" w:cs="Arial"/>
          <w:lang w:eastAsia="es-ES"/>
        </w:rPr>
        <w:t>Señor</w:t>
      </w:r>
      <w:r>
        <w:rPr>
          <w:rFonts w:ascii="Verdana" w:eastAsia="Calibri" w:hAnsi="Verdana" w:cs="Arial"/>
          <w:lang w:eastAsia="es-ES"/>
        </w:rPr>
        <w:t>a</w:t>
      </w:r>
    </w:p>
    <w:p w14:paraId="1C5DCC8D" w14:textId="002932E1" w:rsidR="00CA016C" w:rsidRPr="00AC2CE1" w:rsidRDefault="000874C5" w:rsidP="00CA016C">
      <w:pPr>
        <w:spacing w:after="0" w:line="240" w:lineRule="auto"/>
        <w:jc w:val="both"/>
        <w:rPr>
          <w:rFonts w:ascii="Verdana" w:eastAsia="Calibri" w:hAnsi="Verdana" w:cs="Arial"/>
          <w:b/>
          <w:lang w:eastAsia="es-ES_tradnl"/>
        </w:rPr>
      </w:pPr>
      <w:r w:rsidRPr="00994AE7">
        <w:rPr>
          <w:rFonts w:ascii="Verdana" w:eastAsia="Calibri" w:hAnsi="Verdana" w:cs="Arial"/>
          <w:b/>
          <w:lang w:eastAsia="es-ES_tradnl"/>
        </w:rPr>
        <w:t>Jeniffer Vanessa</w:t>
      </w:r>
      <w:r>
        <w:rPr>
          <w:rFonts w:ascii="Verdana" w:eastAsia="Calibri" w:hAnsi="Verdana" w:cs="Arial"/>
          <w:b/>
          <w:lang w:eastAsia="es-ES_tradnl"/>
        </w:rPr>
        <w:t xml:space="preserve"> </w:t>
      </w:r>
      <w:r w:rsidRPr="00994AE7">
        <w:rPr>
          <w:rFonts w:ascii="Verdana" w:eastAsia="Calibri" w:hAnsi="Verdana" w:cs="Arial"/>
          <w:b/>
          <w:lang w:eastAsia="es-ES_tradnl"/>
        </w:rPr>
        <w:t>Briñez Remisio</w:t>
      </w:r>
      <w:r>
        <w:rPr>
          <w:rFonts w:ascii="Verdana" w:eastAsia="Calibri" w:hAnsi="Verdana" w:cs="Arial"/>
          <w:b/>
          <w:lang w:eastAsia="es-ES_tradnl"/>
        </w:rPr>
        <w:t xml:space="preserve"> </w:t>
      </w:r>
    </w:p>
    <w:p w14:paraId="557D0CF2" w14:textId="64229120" w:rsidR="00CA016C" w:rsidRPr="00AC2CE1" w:rsidRDefault="00994AE7" w:rsidP="00CA016C">
      <w:pPr>
        <w:spacing w:after="0" w:line="240" w:lineRule="auto"/>
        <w:jc w:val="both"/>
        <w:rPr>
          <w:rFonts w:ascii="Verdana" w:eastAsia="Calibri" w:hAnsi="Verdana" w:cs="Arial"/>
          <w:bCs/>
          <w:color w:val="000099"/>
          <w:lang w:eastAsia="es-ES_tradnl"/>
        </w:rPr>
      </w:pPr>
      <w:hyperlink r:id="rId8" w:history="1">
        <w:r w:rsidRPr="0050421B">
          <w:rPr>
            <w:rStyle w:val="Hipervnculo"/>
            <w:rFonts w:ascii="Verdana" w:eastAsia="Calibri" w:hAnsi="Verdana" w:cs="Arial"/>
            <w:bCs/>
            <w:lang w:eastAsia="es-ES_tradnl"/>
          </w:rPr>
          <w:t>jbrinez@bomberosbogota.gov.co</w:t>
        </w:r>
      </w:hyperlink>
      <w:r>
        <w:rPr>
          <w:rFonts w:ascii="Verdana" w:eastAsia="Calibri" w:hAnsi="Verdana" w:cs="Arial"/>
          <w:bCs/>
          <w:color w:val="000099"/>
          <w:lang w:eastAsia="es-ES_tradnl"/>
        </w:rPr>
        <w:t xml:space="preserve"> </w:t>
      </w:r>
    </w:p>
    <w:p w14:paraId="396683F2" w14:textId="77777777" w:rsidR="00CA016C" w:rsidRPr="00AC2CE1" w:rsidRDefault="00CA016C" w:rsidP="00CA016C">
      <w:pPr>
        <w:spacing w:after="0" w:line="240" w:lineRule="auto"/>
        <w:jc w:val="both"/>
        <w:rPr>
          <w:rFonts w:ascii="Verdana" w:eastAsia="Calibri" w:hAnsi="Verdana" w:cs="Arial"/>
          <w:bCs/>
          <w:lang w:eastAsia="es-ES_tradnl"/>
        </w:rPr>
      </w:pPr>
      <w:r>
        <w:rPr>
          <w:rFonts w:ascii="Verdana" w:eastAsia="Calibri" w:hAnsi="Verdana" w:cs="Arial"/>
          <w:bCs/>
          <w:lang w:eastAsia="es-ES_tradnl"/>
        </w:rPr>
        <w:t>Chía, Cundinamarca</w:t>
      </w:r>
    </w:p>
    <w:p w14:paraId="2CE0A133" w14:textId="77777777" w:rsidR="00CA016C" w:rsidRPr="00AC2CE1" w:rsidRDefault="00CA016C" w:rsidP="00CA016C">
      <w:pPr>
        <w:spacing w:after="0" w:line="240" w:lineRule="auto"/>
        <w:jc w:val="both"/>
        <w:rPr>
          <w:rFonts w:ascii="Verdana" w:eastAsia="Calibri" w:hAnsi="Verdana" w:cs="Arial"/>
          <w:bCs/>
          <w:lang w:eastAsia="es-ES_tradnl"/>
        </w:rPr>
      </w:pPr>
    </w:p>
    <w:p w14:paraId="4094E38A" w14:textId="77777777" w:rsidR="00CA016C" w:rsidRPr="00AC2CE1" w:rsidRDefault="00CA016C" w:rsidP="00CA016C">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CA016C" w:rsidRPr="00AC2CE1" w14:paraId="7A0CD13F" w14:textId="77777777" w:rsidTr="0029569F">
        <w:trPr>
          <w:trHeight w:val="162"/>
        </w:trPr>
        <w:tc>
          <w:tcPr>
            <w:tcW w:w="3119" w:type="dxa"/>
          </w:tcPr>
          <w:p w14:paraId="2AE9FFF3" w14:textId="77777777" w:rsidR="00CA016C" w:rsidRPr="00AC2CE1" w:rsidRDefault="00CA016C" w:rsidP="0029569F">
            <w:pPr>
              <w:jc w:val="both"/>
              <w:rPr>
                <w:rFonts w:ascii="Verdana" w:eastAsia="Calibri" w:hAnsi="Verdana" w:cs="Arial"/>
                <w:b/>
                <w:bCs/>
                <w:color w:val="7030A0"/>
                <w:lang w:val="it-CH" w:eastAsia="es-ES_tradnl"/>
              </w:rPr>
            </w:pPr>
          </w:p>
        </w:tc>
        <w:tc>
          <w:tcPr>
            <w:tcW w:w="5670" w:type="dxa"/>
          </w:tcPr>
          <w:p w14:paraId="6E0CC672" w14:textId="62D879A4" w:rsidR="00CA016C" w:rsidRPr="00AC2CE1" w:rsidRDefault="00CA016C" w:rsidP="0029569F">
            <w:pPr>
              <w:jc w:val="both"/>
              <w:rPr>
                <w:rFonts w:ascii="Verdana" w:eastAsia="Calibri" w:hAnsi="Verdana" w:cs="Arial"/>
                <w:b/>
                <w:bCs/>
                <w:lang w:eastAsia="es-ES"/>
              </w:rPr>
            </w:pPr>
            <w:r w:rsidRPr="00AC2CE1">
              <w:rPr>
                <w:rFonts w:ascii="Verdana" w:eastAsia="Calibri" w:hAnsi="Verdana" w:cs="Arial"/>
                <w:b/>
                <w:bCs/>
                <w:lang w:eastAsia="es-ES"/>
              </w:rPr>
              <w:t>Concepto C- 1</w:t>
            </w:r>
            <w:r>
              <w:rPr>
                <w:rFonts w:ascii="Verdana" w:eastAsia="Calibri" w:hAnsi="Verdana" w:cs="Arial"/>
                <w:b/>
                <w:bCs/>
                <w:lang w:eastAsia="es-ES"/>
              </w:rPr>
              <w:t>405</w:t>
            </w:r>
            <w:r w:rsidRPr="00AC2CE1">
              <w:rPr>
                <w:rFonts w:ascii="Verdana" w:eastAsia="Calibri" w:hAnsi="Verdana" w:cs="Arial"/>
                <w:b/>
                <w:bCs/>
                <w:lang w:eastAsia="es-ES"/>
              </w:rPr>
              <w:t xml:space="preserve"> de 2026</w:t>
            </w:r>
          </w:p>
          <w:p w14:paraId="7B25F3F4" w14:textId="77777777" w:rsidR="00CA016C" w:rsidRPr="00AC2CE1" w:rsidRDefault="00CA016C" w:rsidP="0029569F">
            <w:pPr>
              <w:jc w:val="both"/>
              <w:rPr>
                <w:rFonts w:ascii="Verdana" w:eastAsia="Calibri" w:hAnsi="Verdana" w:cs="Arial"/>
                <w:b/>
                <w:bCs/>
                <w:color w:val="7030A0"/>
                <w:lang w:eastAsia="es-ES"/>
              </w:rPr>
            </w:pPr>
          </w:p>
        </w:tc>
      </w:tr>
      <w:tr w:rsidR="00CA016C" w:rsidRPr="00AC2CE1" w14:paraId="40F11FD0" w14:textId="77777777" w:rsidTr="0029569F">
        <w:trPr>
          <w:trHeight w:val="884"/>
        </w:trPr>
        <w:tc>
          <w:tcPr>
            <w:tcW w:w="3119" w:type="dxa"/>
          </w:tcPr>
          <w:p w14:paraId="58C45698" w14:textId="77777777" w:rsidR="00CA016C" w:rsidRPr="00AC2CE1" w:rsidRDefault="00CA016C" w:rsidP="0029569F">
            <w:pPr>
              <w:jc w:val="both"/>
              <w:rPr>
                <w:rFonts w:ascii="Verdana" w:eastAsia="Calibri" w:hAnsi="Verdana" w:cs="Arial"/>
                <w:color w:val="000000"/>
                <w:lang w:eastAsia="es-ES_tradnl"/>
              </w:rPr>
            </w:pPr>
            <w:r w:rsidRPr="00AC2CE1">
              <w:rPr>
                <w:rFonts w:ascii="Verdana" w:eastAsia="Calibri" w:hAnsi="Verdana" w:cs="Arial"/>
                <w:b/>
                <w:color w:val="000000"/>
                <w:lang w:eastAsia="es-ES_tradnl"/>
              </w:rPr>
              <w:t>Temas:</w:t>
            </w:r>
            <w:r w:rsidRPr="00AC2CE1">
              <w:rPr>
                <w:rFonts w:ascii="Verdana" w:eastAsia="Calibri" w:hAnsi="Verdana" w:cs="Arial"/>
                <w:color w:val="000000"/>
                <w:lang w:eastAsia="es-ES_tradnl"/>
              </w:rPr>
              <w:t xml:space="preserve">                   </w:t>
            </w:r>
          </w:p>
        </w:tc>
        <w:tc>
          <w:tcPr>
            <w:tcW w:w="5670" w:type="dxa"/>
          </w:tcPr>
          <w:p w14:paraId="54795B5C" w14:textId="188096F0" w:rsidR="000348DA" w:rsidRPr="00F90929" w:rsidRDefault="000348DA" w:rsidP="000348DA">
            <w:pPr>
              <w:spacing w:line="276" w:lineRule="auto"/>
              <w:jc w:val="both"/>
              <w:rPr>
                <w:rFonts w:ascii="Verdana" w:eastAsia="Calibri" w:hAnsi="Verdana" w:cs="Arial"/>
                <w:lang w:val="es-ES" w:eastAsia="es-ES"/>
              </w:rPr>
            </w:pPr>
            <w:r w:rsidRPr="00AF085A">
              <w:rPr>
                <w:rFonts w:ascii="Verdana" w:eastAsia="Calibri" w:hAnsi="Verdana" w:cs="Arial"/>
                <w:lang w:val="es-ES" w:eastAsia="es-ES"/>
              </w:rPr>
              <w:t>LICITACIÓN PÚBLICA – Regla general</w:t>
            </w:r>
            <w:r>
              <w:rPr>
                <w:rFonts w:ascii="Verdana" w:eastAsia="Calibri" w:hAnsi="Verdana" w:cs="Arial"/>
                <w:lang w:val="es-ES" w:eastAsia="es-ES"/>
              </w:rPr>
              <w:t xml:space="preserve"> / </w:t>
            </w:r>
            <w:r w:rsidRPr="00AF085A">
              <w:rPr>
                <w:rFonts w:ascii="Verdana" w:eastAsia="Calibri" w:hAnsi="Verdana" w:cs="Arial"/>
                <w:lang w:val="es-ES" w:eastAsia="es-ES"/>
              </w:rPr>
              <w:t xml:space="preserve">SELECCIÓN ABREVIADA DE MENOR CUANTÍA – Características </w:t>
            </w:r>
            <w:r>
              <w:rPr>
                <w:rFonts w:ascii="Verdana" w:eastAsia="Calibri" w:hAnsi="Verdana" w:cs="Arial"/>
                <w:lang w:val="es-ES" w:eastAsia="es-ES"/>
              </w:rPr>
              <w:t xml:space="preserve">/ </w:t>
            </w:r>
            <w:r w:rsidRPr="00F90929">
              <w:rPr>
                <w:rFonts w:ascii="Verdana" w:eastAsia="Calibri" w:hAnsi="Verdana" w:cs="Arial"/>
                <w:lang w:val="es-ES" w:eastAsia="es-ES"/>
              </w:rPr>
              <w:t>MÍNIMA CUANTÍA – Fundamento normativo</w:t>
            </w:r>
            <w:r>
              <w:rPr>
                <w:rFonts w:ascii="Verdana" w:eastAsia="Calibri" w:hAnsi="Verdana" w:cs="Arial"/>
                <w:lang w:val="es-ES" w:eastAsia="es-ES"/>
              </w:rPr>
              <w:t xml:space="preserve"> / </w:t>
            </w:r>
            <w:r w:rsidRPr="00142C17">
              <w:rPr>
                <w:rFonts w:ascii="Verdana" w:eastAsia="Calibri" w:hAnsi="Verdana" w:cs="Arial"/>
                <w:lang w:val="es-ES" w:eastAsia="es-ES"/>
              </w:rPr>
              <w:t>SELECCIÓN OBJETIVA – Oferta más favorable – Marco jurídico</w:t>
            </w:r>
            <w:r>
              <w:rPr>
                <w:rFonts w:ascii="Verdana" w:eastAsia="Calibri" w:hAnsi="Verdana" w:cs="Arial"/>
                <w:lang w:val="es-ES" w:eastAsia="es-ES"/>
              </w:rPr>
              <w:t xml:space="preserve"> / </w:t>
            </w:r>
            <w:r w:rsidRPr="00142C17">
              <w:rPr>
                <w:rFonts w:ascii="Verdana" w:eastAsia="Calibri" w:hAnsi="Verdana" w:cs="Arial"/>
                <w:lang w:val="es-ES" w:eastAsia="es-ES"/>
              </w:rPr>
              <w:t>PLIEGO DE CONDICIONES O DOCUMENTO EQUIVALENTE – Expedición – Discrecionalidad – Proporcionalidad – Fuerza vinculante</w:t>
            </w:r>
            <w:r w:rsidR="001734BA">
              <w:rPr>
                <w:rFonts w:ascii="Verdana" w:eastAsia="Calibri" w:hAnsi="Verdana" w:cs="Arial"/>
                <w:lang w:val="es-ES" w:eastAsia="es-ES"/>
              </w:rPr>
              <w:t xml:space="preserve"> </w:t>
            </w:r>
          </w:p>
          <w:p w14:paraId="1423EABD" w14:textId="6F957A15" w:rsidR="008775E3" w:rsidRPr="00A8379E" w:rsidRDefault="008775E3" w:rsidP="000348DA">
            <w:pPr>
              <w:spacing w:line="276" w:lineRule="auto"/>
              <w:jc w:val="both"/>
              <w:rPr>
                <w:rFonts w:ascii="Verdana" w:eastAsia="Calibri" w:hAnsi="Verdana" w:cs="Arial"/>
                <w:lang w:val="es-ES" w:eastAsia="es-ES"/>
              </w:rPr>
            </w:pPr>
          </w:p>
        </w:tc>
      </w:tr>
      <w:tr w:rsidR="00CA016C" w:rsidRPr="00AC2CE1" w14:paraId="2BCEC0BF" w14:textId="77777777" w:rsidTr="0029569F">
        <w:tc>
          <w:tcPr>
            <w:tcW w:w="3119" w:type="dxa"/>
          </w:tcPr>
          <w:p w14:paraId="7D5E4F84" w14:textId="77777777" w:rsidR="00CA016C" w:rsidRPr="00EE58B5" w:rsidRDefault="00CA016C" w:rsidP="0029569F">
            <w:pPr>
              <w:jc w:val="both"/>
              <w:rPr>
                <w:rFonts w:ascii="Verdana" w:eastAsia="Calibri" w:hAnsi="Verdana" w:cs="Arial"/>
                <w:b/>
                <w:lang w:eastAsia="es-ES_tradnl"/>
              </w:rPr>
            </w:pPr>
            <w:r w:rsidRPr="00EE58B5">
              <w:rPr>
                <w:rFonts w:ascii="Verdana" w:eastAsia="Calibri" w:hAnsi="Verdana" w:cs="Arial"/>
                <w:b/>
                <w:lang w:eastAsia="es-ES_tradnl"/>
              </w:rPr>
              <w:t>Radicación:</w:t>
            </w:r>
            <w:r w:rsidRPr="00EE58B5">
              <w:rPr>
                <w:rFonts w:ascii="Verdana" w:eastAsia="Calibri" w:hAnsi="Verdana" w:cs="Arial"/>
                <w:lang w:eastAsia="es-ES_tradnl"/>
              </w:rPr>
              <w:t xml:space="preserve">               </w:t>
            </w:r>
          </w:p>
        </w:tc>
        <w:tc>
          <w:tcPr>
            <w:tcW w:w="5670" w:type="dxa"/>
          </w:tcPr>
          <w:p w14:paraId="5449BC6F" w14:textId="3BA192EB" w:rsidR="00CA016C" w:rsidRPr="00EE58B5" w:rsidRDefault="00CA016C" w:rsidP="0029569F">
            <w:pPr>
              <w:jc w:val="both"/>
              <w:rPr>
                <w:rFonts w:ascii="Verdana" w:eastAsia="Calibri" w:hAnsi="Verdana" w:cs="Arial"/>
                <w:lang w:eastAsia="es-ES_tradnl"/>
              </w:rPr>
            </w:pPr>
            <w:r w:rsidRPr="00EE58B5">
              <w:rPr>
                <w:rFonts w:ascii="Verdana" w:eastAsia="Calibri" w:hAnsi="Verdana" w:cs="Arial"/>
                <w:lang w:eastAsia="es-ES_tradnl"/>
              </w:rPr>
              <w:t xml:space="preserve">Respuesta a consulta con radicado </w:t>
            </w:r>
            <w:r w:rsidR="003822AB" w:rsidRPr="00EE58B5">
              <w:rPr>
                <w:rFonts w:ascii="Verdana" w:hAnsi="Verdana"/>
                <w:color w:val="242424"/>
              </w:rPr>
              <w:t>1_2026_09_07_011889</w:t>
            </w:r>
          </w:p>
        </w:tc>
      </w:tr>
    </w:tbl>
    <w:p w14:paraId="35C531BC" w14:textId="77777777" w:rsidR="00CA016C" w:rsidRDefault="00CA016C" w:rsidP="00CA016C">
      <w:pPr>
        <w:spacing w:after="0" w:line="240" w:lineRule="auto"/>
        <w:jc w:val="both"/>
        <w:rPr>
          <w:rFonts w:ascii="Verdana" w:eastAsia="Calibri" w:hAnsi="Verdana" w:cs="Arial"/>
          <w:lang w:eastAsia="es-ES_tradnl"/>
        </w:rPr>
      </w:pPr>
    </w:p>
    <w:p w14:paraId="6911C4AC" w14:textId="77777777" w:rsidR="00CA016C" w:rsidRPr="00AC2CE1" w:rsidRDefault="00CA016C" w:rsidP="00CA016C">
      <w:pPr>
        <w:spacing w:after="0" w:line="240" w:lineRule="auto"/>
        <w:jc w:val="both"/>
        <w:rPr>
          <w:rFonts w:ascii="Verdana" w:eastAsia="Calibri" w:hAnsi="Verdana" w:cs="Arial"/>
          <w:lang w:eastAsia="es-ES_tradnl"/>
        </w:rPr>
      </w:pPr>
    </w:p>
    <w:p w14:paraId="69B2F058" w14:textId="07BA7C2C" w:rsidR="00CA016C" w:rsidRPr="008E4F36" w:rsidRDefault="00CA016C" w:rsidP="00CA016C">
      <w:pPr>
        <w:spacing w:after="0" w:line="276" w:lineRule="auto"/>
        <w:jc w:val="both"/>
        <w:rPr>
          <w:rFonts w:ascii="Verdana" w:eastAsia="Calibri" w:hAnsi="Verdana" w:cs="Arial"/>
          <w:lang w:eastAsia="es-ES"/>
        </w:rPr>
      </w:pPr>
      <w:r w:rsidRPr="00083AB6">
        <w:rPr>
          <w:rFonts w:ascii="Verdana" w:eastAsia="Calibri" w:hAnsi="Verdana" w:cs="Arial"/>
          <w:lang w:eastAsia="es-ES"/>
        </w:rPr>
        <w:t>Estimad</w:t>
      </w:r>
      <w:r>
        <w:rPr>
          <w:rFonts w:ascii="Verdana" w:eastAsia="Calibri" w:hAnsi="Verdana" w:cs="Arial"/>
          <w:lang w:eastAsia="es-ES"/>
        </w:rPr>
        <w:t xml:space="preserve">a Señora </w:t>
      </w:r>
      <w:r w:rsidR="007501BD">
        <w:rPr>
          <w:rFonts w:ascii="Verdana" w:eastAsia="Calibri" w:hAnsi="Verdana" w:cs="Arial"/>
          <w:lang w:eastAsia="es-ES"/>
        </w:rPr>
        <w:t>Jeni</w:t>
      </w:r>
      <w:r w:rsidR="00A72A28">
        <w:rPr>
          <w:rFonts w:ascii="Verdana" w:eastAsia="Calibri" w:hAnsi="Verdana" w:cs="Arial"/>
          <w:lang w:eastAsia="es-ES"/>
        </w:rPr>
        <w:t>ffer</w:t>
      </w:r>
      <w:r w:rsidRPr="00083AB6">
        <w:rPr>
          <w:rFonts w:ascii="Verdana" w:eastAsia="Calibri" w:hAnsi="Verdana" w:cs="Arial"/>
          <w:lang w:eastAsia="es-ES"/>
        </w:rPr>
        <w:t>:</w:t>
      </w:r>
      <w:r w:rsidRPr="008E4F36">
        <w:rPr>
          <w:rFonts w:ascii="Verdana" w:eastAsia="Calibri" w:hAnsi="Verdana" w:cs="Arial"/>
          <w:lang w:eastAsia="es-ES"/>
        </w:rPr>
        <w:t xml:space="preserve"> </w:t>
      </w:r>
    </w:p>
    <w:p w14:paraId="10BB5576" w14:textId="77777777" w:rsidR="00CA016C" w:rsidRDefault="00CA016C" w:rsidP="00CA016C">
      <w:pPr>
        <w:tabs>
          <w:tab w:val="left" w:pos="3768"/>
        </w:tabs>
        <w:spacing w:after="0" w:line="276" w:lineRule="auto"/>
        <w:jc w:val="both"/>
        <w:rPr>
          <w:rFonts w:ascii="Verdana" w:eastAsia="Calibri" w:hAnsi="Verdana" w:cs="Arial"/>
          <w:lang w:eastAsia="es-ES"/>
        </w:rPr>
      </w:pPr>
    </w:p>
    <w:p w14:paraId="7DCA3C25" w14:textId="23C8A1E7" w:rsidR="00CA016C" w:rsidRDefault="00CA016C" w:rsidP="00CA016C">
      <w:pPr>
        <w:tabs>
          <w:tab w:val="left" w:pos="3768"/>
        </w:tabs>
        <w:spacing w:after="0" w:line="276" w:lineRule="auto"/>
        <w:jc w:val="both"/>
        <w:rPr>
          <w:rFonts w:ascii="Verdana" w:eastAsia="Calibri" w:hAnsi="Verdana" w:cs="Arial"/>
          <w:lang w:eastAsia="es-ES"/>
        </w:rPr>
      </w:pPr>
      <w:r w:rsidRPr="000F2158">
        <w:rPr>
          <w:rFonts w:ascii="Verdana" w:eastAsia="Calibri" w:hAnsi="Verdana" w:cs="Arial"/>
          <w:lang w:eastAsia="es-ES"/>
        </w:rPr>
        <w:t xml:space="preserve">En ejercicio de la competencia otorgada por los artículos 3, numeral 5º, y 11, numeral 8º, del Decreto Ley 4170 de 2011, así como lo establecido en la Resolución </w:t>
      </w:r>
      <w:r>
        <w:rPr>
          <w:rFonts w:ascii="Verdana" w:eastAsia="Calibri" w:hAnsi="Verdana" w:cs="Arial"/>
          <w:lang w:eastAsia="es-ES"/>
        </w:rPr>
        <w:t>469 de 2025</w:t>
      </w:r>
      <w:r w:rsidRPr="000F2158">
        <w:rPr>
          <w:rFonts w:ascii="Verdana" w:eastAsia="Calibri" w:hAnsi="Verdana" w:cs="Arial"/>
          <w:lang w:eastAsia="es-ES"/>
        </w:rPr>
        <w:t xml:space="preserve"> expedida por esta Entidad, la Agencia Nacional de Contratación Pública – Colombia Compra Eficiente– responde su solicitud de consulta de fecha </w:t>
      </w:r>
      <w:r w:rsidR="00994AE7">
        <w:rPr>
          <w:rFonts w:ascii="Verdana" w:eastAsia="Calibri" w:hAnsi="Verdana" w:cs="Arial"/>
          <w:lang w:eastAsia="es-ES"/>
        </w:rPr>
        <w:t>7</w:t>
      </w:r>
      <w:r w:rsidRPr="00AF6D58">
        <w:rPr>
          <w:rFonts w:ascii="Verdana" w:eastAsia="Calibri" w:hAnsi="Verdana" w:cs="Arial"/>
          <w:lang w:eastAsia="es-ES"/>
        </w:rPr>
        <w:t xml:space="preserve"> de </w:t>
      </w:r>
      <w:r>
        <w:rPr>
          <w:rFonts w:ascii="Verdana" w:eastAsia="Calibri" w:hAnsi="Verdana" w:cs="Arial"/>
          <w:lang w:eastAsia="es-ES"/>
        </w:rPr>
        <w:t xml:space="preserve">septiembre </w:t>
      </w:r>
      <w:r w:rsidRPr="00AF6D58">
        <w:rPr>
          <w:rFonts w:ascii="Verdana" w:eastAsia="Calibri" w:hAnsi="Verdana" w:cs="Arial"/>
          <w:lang w:eastAsia="es-ES"/>
        </w:rPr>
        <w:t>de 202</w:t>
      </w:r>
      <w:r>
        <w:rPr>
          <w:rFonts w:ascii="Verdana" w:eastAsia="Calibri" w:hAnsi="Verdana" w:cs="Arial"/>
          <w:lang w:eastAsia="es-ES"/>
        </w:rPr>
        <w:t>6</w:t>
      </w:r>
      <w:r w:rsidRPr="00AF6D58">
        <w:rPr>
          <w:rFonts w:ascii="Verdana" w:eastAsia="Calibri" w:hAnsi="Verdana" w:cs="Arial"/>
          <w:lang w:eastAsia="es-ES"/>
        </w:rPr>
        <w:t>,</w:t>
      </w:r>
      <w:r w:rsidRPr="000F2158">
        <w:rPr>
          <w:rFonts w:ascii="Verdana" w:eastAsia="Calibri" w:hAnsi="Verdana" w:cs="Arial"/>
          <w:lang w:eastAsia="es-ES"/>
        </w:rPr>
        <w:t xml:space="preserve"> en la cual manifiesta lo siguiente:</w:t>
      </w:r>
    </w:p>
    <w:p w14:paraId="5272650E" w14:textId="77777777" w:rsidR="00CA016C" w:rsidRPr="00962179" w:rsidRDefault="00CA016C" w:rsidP="00CA016C">
      <w:pPr>
        <w:tabs>
          <w:tab w:val="left" w:pos="3768"/>
        </w:tabs>
        <w:spacing w:after="0" w:line="276" w:lineRule="auto"/>
        <w:jc w:val="both"/>
        <w:rPr>
          <w:rFonts w:ascii="Verdana" w:eastAsia="Calibri" w:hAnsi="Verdana" w:cs="Arial"/>
          <w:lang w:eastAsia="es-ES"/>
        </w:rPr>
      </w:pPr>
    </w:p>
    <w:p w14:paraId="3145A846" w14:textId="77777777" w:rsidR="00561967" w:rsidRPr="00561967" w:rsidRDefault="00CA016C" w:rsidP="00561967">
      <w:pPr>
        <w:spacing w:after="0" w:line="240" w:lineRule="auto"/>
        <w:ind w:left="709" w:right="709" w:hanging="1"/>
        <w:jc w:val="both"/>
        <w:rPr>
          <w:rFonts w:ascii="Verdana" w:hAnsi="Verdana" w:cs="Arial"/>
          <w:sz w:val="20"/>
          <w:szCs w:val="20"/>
        </w:rPr>
      </w:pPr>
      <w:bookmarkStart w:id="3" w:name="_Hlk192699624"/>
      <w:bookmarkStart w:id="4" w:name="_Hlk199394899"/>
      <w:r w:rsidRPr="00841DD5">
        <w:rPr>
          <w:rFonts w:ascii="Verdana" w:hAnsi="Verdana" w:cs="Arial"/>
          <w:sz w:val="20"/>
          <w:szCs w:val="20"/>
          <w:lang w:val="es-ES_tradnl"/>
        </w:rPr>
        <w:t>“</w:t>
      </w:r>
      <w:bookmarkEnd w:id="3"/>
      <w:bookmarkEnd w:id="4"/>
      <w:r w:rsidR="00561967" w:rsidRPr="00561967">
        <w:rPr>
          <w:rFonts w:ascii="Verdana" w:hAnsi="Verdana" w:cs="Arial"/>
          <w:b/>
          <w:bCs/>
          <w:sz w:val="20"/>
          <w:szCs w:val="20"/>
        </w:rPr>
        <w:t>1.</w:t>
      </w:r>
      <w:r w:rsidR="00561967" w:rsidRPr="00561967">
        <w:rPr>
          <w:rFonts w:ascii="Verdana" w:hAnsi="Verdana" w:cs="Arial"/>
          <w:sz w:val="20"/>
          <w:szCs w:val="20"/>
        </w:rPr>
        <w:t xml:space="preserve"> ¿En qué casos o bajo qué condiciones aplica la modalidad de menor cuantía en los procesos de selección?</w:t>
      </w:r>
    </w:p>
    <w:p w14:paraId="585557B3" w14:textId="77777777" w:rsidR="00561967" w:rsidRPr="00561967" w:rsidRDefault="00561967" w:rsidP="00561967">
      <w:pPr>
        <w:spacing w:after="0" w:line="240" w:lineRule="auto"/>
        <w:ind w:left="709" w:right="709" w:hanging="1"/>
        <w:jc w:val="both"/>
        <w:rPr>
          <w:rFonts w:ascii="Verdana" w:hAnsi="Verdana" w:cs="Arial"/>
          <w:sz w:val="20"/>
          <w:szCs w:val="20"/>
        </w:rPr>
      </w:pPr>
      <w:r w:rsidRPr="00561967">
        <w:rPr>
          <w:rFonts w:ascii="Verdana" w:hAnsi="Verdana" w:cs="Arial"/>
          <w:b/>
          <w:bCs/>
          <w:sz w:val="20"/>
          <w:szCs w:val="20"/>
        </w:rPr>
        <w:t>2.</w:t>
      </w:r>
      <w:r w:rsidRPr="00561967">
        <w:rPr>
          <w:rFonts w:ascii="Verdana" w:hAnsi="Verdana" w:cs="Arial"/>
          <w:sz w:val="20"/>
          <w:szCs w:val="20"/>
        </w:rPr>
        <w:t xml:space="preserve"> ¿Es correcto afirmar que la menor cuantía aplica a los contratos de prestación de servicios, teniendo en cuenta que la mano de obra no constituye una característica técnica uniforme?</w:t>
      </w:r>
    </w:p>
    <w:p w14:paraId="5D1258CC" w14:textId="77777777" w:rsidR="00561967" w:rsidRPr="00561967" w:rsidRDefault="00561967" w:rsidP="00561967">
      <w:pPr>
        <w:spacing w:after="0" w:line="240" w:lineRule="auto"/>
        <w:ind w:left="709" w:right="709" w:hanging="1"/>
        <w:jc w:val="both"/>
        <w:rPr>
          <w:rFonts w:ascii="Verdana" w:hAnsi="Verdana" w:cs="Arial"/>
          <w:sz w:val="20"/>
          <w:szCs w:val="20"/>
        </w:rPr>
      </w:pPr>
      <w:r w:rsidRPr="00561967">
        <w:rPr>
          <w:rFonts w:ascii="Verdana" w:hAnsi="Verdana" w:cs="Arial"/>
          <w:b/>
          <w:bCs/>
          <w:sz w:val="20"/>
          <w:szCs w:val="20"/>
        </w:rPr>
        <w:t>3.</w:t>
      </w:r>
      <w:r w:rsidRPr="00561967">
        <w:rPr>
          <w:rFonts w:ascii="Verdana" w:hAnsi="Verdana" w:cs="Arial"/>
          <w:sz w:val="20"/>
          <w:szCs w:val="20"/>
        </w:rPr>
        <w:t xml:space="preserve"> ¿Cuáles son los criterios para establecer los factores de ponderación en un proceso de selección abreviada de menor cuantía?</w:t>
      </w:r>
    </w:p>
    <w:p w14:paraId="23E58418" w14:textId="77777777" w:rsidR="00561967" w:rsidRPr="00561967" w:rsidRDefault="00561967" w:rsidP="00561967">
      <w:pPr>
        <w:spacing w:after="0" w:line="240" w:lineRule="auto"/>
        <w:ind w:left="709" w:right="709" w:hanging="1"/>
        <w:jc w:val="both"/>
        <w:rPr>
          <w:rFonts w:ascii="Verdana" w:hAnsi="Verdana" w:cs="Arial"/>
          <w:sz w:val="20"/>
          <w:szCs w:val="20"/>
        </w:rPr>
      </w:pPr>
      <w:r w:rsidRPr="00561967">
        <w:rPr>
          <w:rFonts w:ascii="Verdana" w:hAnsi="Verdana" w:cs="Arial"/>
          <w:b/>
          <w:bCs/>
          <w:sz w:val="20"/>
          <w:szCs w:val="20"/>
        </w:rPr>
        <w:lastRenderedPageBreak/>
        <w:t>4.</w:t>
      </w:r>
      <w:r w:rsidRPr="00561967">
        <w:rPr>
          <w:rFonts w:ascii="Verdana" w:hAnsi="Verdana" w:cs="Arial"/>
          <w:sz w:val="20"/>
          <w:szCs w:val="20"/>
        </w:rPr>
        <w:t xml:space="preserve"> ¿Cómo se aplican y se acreditan los puntajes establecidos por la ley, tales como los incentivos a la industria nacional (u otros puntajes legales aplicables)?</w:t>
      </w:r>
    </w:p>
    <w:p w14:paraId="099BAF9E" w14:textId="5ACE59E8" w:rsidR="00CA016C" w:rsidRPr="00561967" w:rsidRDefault="00561967" w:rsidP="00561967">
      <w:pPr>
        <w:spacing w:after="0" w:line="240" w:lineRule="auto"/>
        <w:ind w:left="709" w:right="709" w:hanging="1"/>
        <w:jc w:val="both"/>
        <w:rPr>
          <w:rFonts w:ascii="Verdana" w:hAnsi="Verdana" w:cs="Arial"/>
          <w:sz w:val="20"/>
          <w:szCs w:val="20"/>
        </w:rPr>
      </w:pPr>
      <w:r w:rsidRPr="00561967">
        <w:rPr>
          <w:rFonts w:ascii="Verdana" w:hAnsi="Verdana" w:cs="Arial"/>
          <w:b/>
          <w:bCs/>
          <w:sz w:val="20"/>
          <w:szCs w:val="20"/>
        </w:rPr>
        <w:t>5.</w:t>
      </w:r>
      <w:r w:rsidRPr="00561967">
        <w:rPr>
          <w:rFonts w:ascii="Verdana" w:hAnsi="Verdana" w:cs="Arial"/>
          <w:sz w:val="20"/>
          <w:szCs w:val="20"/>
        </w:rPr>
        <w:t xml:space="preserve"> ¿Existe una guía o metodología para elaborar las fórmulas de calificación de la oferta económica en un proceso de menor cuantía?</w:t>
      </w:r>
      <w:r w:rsidR="00CA016C">
        <w:rPr>
          <w:rFonts w:ascii="Verdana" w:hAnsi="Verdana" w:cs="Arial"/>
          <w:sz w:val="20"/>
          <w:szCs w:val="20"/>
        </w:rPr>
        <w:t>.”</w:t>
      </w:r>
    </w:p>
    <w:p w14:paraId="34ACF898" w14:textId="77777777" w:rsidR="00CA016C" w:rsidRPr="00D21119" w:rsidRDefault="00CA016C" w:rsidP="00CA016C">
      <w:pPr>
        <w:spacing w:after="0" w:line="276" w:lineRule="auto"/>
        <w:ind w:left="709" w:right="709" w:hanging="1"/>
        <w:jc w:val="both"/>
        <w:rPr>
          <w:rFonts w:ascii="Verdana" w:hAnsi="Verdana" w:cs="Arial"/>
          <w:lang w:val="es-ES_tradnl"/>
        </w:rPr>
      </w:pPr>
    </w:p>
    <w:p w14:paraId="6AC9C1E6" w14:textId="141CCFC6" w:rsidR="00CA016C" w:rsidRDefault="00CA016C" w:rsidP="00CA016C">
      <w:pPr>
        <w:spacing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w:t>
      </w:r>
      <w:r w:rsidR="005A1801">
        <w:rPr>
          <w:rFonts w:ascii="Verdana" w:eastAsia="Calibri" w:hAnsi="Verdana" w:cs="Arial"/>
          <w:color w:val="000000"/>
          <w:lang w:eastAsia="es-ES"/>
        </w:rPr>
        <w:t xml:space="preserve"> </w:t>
      </w:r>
      <w:r w:rsidRPr="008E4F36">
        <w:rPr>
          <w:rFonts w:ascii="Verdana" w:eastAsia="Calibri" w:hAnsi="Verdana" w:cs="Arial"/>
          <w:color w:val="000000"/>
          <w:lang w:eastAsia="es-ES"/>
        </w:rPr>
        <w:t xml:space="preserve">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592076DC" w14:textId="77777777" w:rsidR="00CA016C" w:rsidRPr="00054383" w:rsidRDefault="00CA016C" w:rsidP="00CA016C">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4D7CBBC0" w14:textId="77777777" w:rsidR="00CA016C" w:rsidRPr="008E4F36" w:rsidRDefault="00CA016C" w:rsidP="00CA016C">
      <w:pPr>
        <w:spacing w:after="0"/>
        <w:ind w:firstLine="709"/>
        <w:jc w:val="both"/>
        <w:rPr>
          <w:rFonts w:ascii="Verdana" w:eastAsia="Calibri" w:hAnsi="Verdana" w:cs="Arial"/>
          <w:color w:val="000000"/>
          <w:lang w:eastAsia="es-ES"/>
        </w:rPr>
      </w:pPr>
    </w:p>
    <w:p w14:paraId="453B88D2" w14:textId="77777777" w:rsidR="00CA016C" w:rsidRDefault="00CA016C" w:rsidP="00CA016C">
      <w:pPr>
        <w:pStyle w:val="Prrafodelista"/>
        <w:numPr>
          <w:ilvl w:val="0"/>
          <w:numId w:val="2"/>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17FCB27D" w14:textId="77777777" w:rsidR="00CA016C" w:rsidRDefault="00CA016C" w:rsidP="00CA016C">
      <w:pPr>
        <w:spacing w:after="0" w:line="276" w:lineRule="auto"/>
        <w:jc w:val="both"/>
        <w:rPr>
          <w:rFonts w:ascii="Verdana" w:eastAsia="Calibri" w:hAnsi="Verdana" w:cs="Arial"/>
          <w:color w:val="000000"/>
          <w:highlight w:val="yellow"/>
          <w:lang w:eastAsia="es-ES"/>
        </w:rPr>
      </w:pPr>
    </w:p>
    <w:p w14:paraId="545822DA" w14:textId="30DFA8B6" w:rsidR="00CA016C" w:rsidRPr="00225AC6" w:rsidRDefault="00CA016C" w:rsidP="00CA016C">
      <w:pPr>
        <w:spacing w:after="0" w:line="276" w:lineRule="auto"/>
        <w:jc w:val="both"/>
        <w:rPr>
          <w:rFonts w:ascii="Verdana" w:eastAsia="Times New Roman" w:hAnsi="Verdana" w:cs="Times New Roman"/>
          <w:lang w:eastAsia="es-CO"/>
        </w:rPr>
      </w:pPr>
      <w:r w:rsidRPr="00005FE3">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el siguiente</w:t>
      </w:r>
      <w:r w:rsidRPr="00005FE3">
        <w:rPr>
          <w:rFonts w:ascii="Verdana" w:eastAsia="Calibri" w:hAnsi="Verdana" w:cs="Arial"/>
          <w:color w:val="000000"/>
          <w:lang w:eastAsia="es-ES"/>
        </w:rPr>
        <w:t xml:space="preserve"> </w:t>
      </w:r>
      <w:r w:rsidRPr="008E3E1B">
        <w:rPr>
          <w:rFonts w:ascii="Verdana" w:eastAsia="Calibri" w:hAnsi="Verdana" w:cs="Arial"/>
          <w:color w:val="000000"/>
          <w:lang w:eastAsia="es-ES"/>
        </w:rPr>
        <w:t>problema jurídico</w:t>
      </w:r>
      <w:r w:rsidR="00170019">
        <w:rPr>
          <w:rFonts w:ascii="Verdana" w:eastAsia="Calibri" w:hAnsi="Verdana" w:cs="Arial"/>
          <w:color w:val="000000"/>
          <w:lang w:eastAsia="es-ES"/>
        </w:rPr>
        <w:t xml:space="preserve">: </w:t>
      </w:r>
      <w:r w:rsidR="00B50E46" w:rsidRPr="0056339D">
        <w:rPr>
          <w:rFonts w:ascii="Verdana" w:eastAsia="Calibri" w:hAnsi="Verdana" w:cs="Arial"/>
          <w:color w:val="000000"/>
          <w:lang w:eastAsia="es-ES"/>
        </w:rPr>
        <w:t>i)</w:t>
      </w:r>
      <w:r w:rsidR="0072336E" w:rsidRPr="0072336E">
        <w:t xml:space="preserve"> </w:t>
      </w:r>
      <w:r w:rsidR="0072336E" w:rsidRPr="0072336E">
        <w:rPr>
          <w:rFonts w:ascii="Verdana" w:eastAsia="Calibri" w:hAnsi="Verdana" w:cs="Arial"/>
          <w:color w:val="000000"/>
          <w:lang w:eastAsia="es-ES"/>
        </w:rPr>
        <w:t>¿En qué casos o bajo qué condiciones resulta procedente la selección abreviada de menor cuantía para la contratación de bienes, obras y servicios, incluidos los contratos de prestación de servicios, y cómo se determina su aplicación frente a las demás modalidades de selección?</w:t>
      </w:r>
      <w:r w:rsidR="0072336E">
        <w:rPr>
          <w:rFonts w:ascii="Verdana" w:eastAsia="Calibri" w:hAnsi="Verdana" w:cs="Arial"/>
          <w:color w:val="000000"/>
          <w:lang w:eastAsia="es-ES"/>
        </w:rPr>
        <w:t xml:space="preserve"> ii)</w:t>
      </w:r>
      <w:r w:rsidR="00B50E46" w:rsidRPr="00B50E46">
        <w:rPr>
          <w:rFonts w:ascii="Verdana" w:hAnsi="Verdana"/>
        </w:rPr>
        <w:t xml:space="preserve">¿Cuáles son los criterios para establecer los factores de ponderación y los puntajes aplicables en un proceso de selección abreviada de menor cuantía, incluidos los incentivos y puntajes establecidos legalmente, y cómo deben acreditarse? </w:t>
      </w:r>
      <w:r w:rsidR="00592D9D">
        <w:rPr>
          <w:rFonts w:ascii="Verdana" w:eastAsia="Calibri" w:hAnsi="Verdana" w:cs="Arial"/>
          <w:color w:val="000000"/>
          <w:lang w:eastAsia="es-ES"/>
        </w:rPr>
        <w:t xml:space="preserve"> </w:t>
      </w:r>
    </w:p>
    <w:p w14:paraId="543DDCEF" w14:textId="77777777" w:rsidR="00CA016C" w:rsidRPr="002469E9" w:rsidRDefault="00CA016C" w:rsidP="00CA016C">
      <w:pPr>
        <w:spacing w:after="0" w:line="276" w:lineRule="auto"/>
        <w:jc w:val="both"/>
        <w:rPr>
          <w:rFonts w:ascii="Verdana" w:eastAsia="Calibri" w:hAnsi="Verdana" w:cs="Arial"/>
          <w:color w:val="000000"/>
          <w:lang w:eastAsia="es-ES"/>
        </w:rPr>
      </w:pPr>
    </w:p>
    <w:p w14:paraId="6451B190" w14:textId="77777777" w:rsidR="00CA016C" w:rsidRPr="008E4F36" w:rsidRDefault="00CA016C" w:rsidP="00CA016C">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2D15BB01" w14:textId="77777777" w:rsidR="00CA016C" w:rsidRPr="00DD2A08" w:rsidRDefault="00CA016C" w:rsidP="00CA016C">
      <w:pPr>
        <w:tabs>
          <w:tab w:val="left" w:pos="142"/>
          <w:tab w:val="left" w:pos="284"/>
        </w:tabs>
        <w:spacing w:after="0" w:line="276" w:lineRule="auto"/>
        <w:jc w:val="both"/>
        <w:rPr>
          <w:rFonts w:ascii="Verdana" w:eastAsia="Century Gothic" w:hAnsi="Verdana" w:cs="Century Gothic"/>
        </w:rPr>
      </w:pPr>
    </w:p>
    <w:tbl>
      <w:tblPr>
        <w:tblStyle w:val="Tablaconcuadrcula"/>
        <w:tblW w:w="0" w:type="auto"/>
        <w:tblLook w:val="04A0" w:firstRow="1" w:lastRow="0" w:firstColumn="1" w:lastColumn="0" w:noHBand="0" w:noVBand="1"/>
      </w:tblPr>
      <w:tblGrid>
        <w:gridCol w:w="8828"/>
      </w:tblGrid>
      <w:tr w:rsidR="00CA016C" w:rsidRPr="00DD2A08" w14:paraId="680F45D7" w14:textId="77777777" w:rsidTr="0029569F">
        <w:tc>
          <w:tcPr>
            <w:tcW w:w="8828" w:type="dxa"/>
          </w:tcPr>
          <w:p w14:paraId="39866012" w14:textId="7B9ACEC4" w:rsidR="004065AE" w:rsidRPr="004065AE" w:rsidRDefault="00CE0373" w:rsidP="00491FBA">
            <w:pPr>
              <w:spacing w:after="120" w:line="276" w:lineRule="auto"/>
              <w:jc w:val="both"/>
              <w:rPr>
                <w:rFonts w:ascii="Verdana" w:hAnsi="Verdana"/>
              </w:rPr>
            </w:pPr>
            <w:r w:rsidRPr="004065AE">
              <w:rPr>
                <w:rFonts w:ascii="Verdana" w:hAnsi="Verdana"/>
              </w:rPr>
              <w:lastRenderedPageBreak/>
              <w:t>i.</w:t>
            </w:r>
            <w:r w:rsidR="004065AE" w:rsidRPr="004065AE">
              <w:rPr>
                <w:rFonts w:ascii="Times New Roman" w:eastAsia="Times New Roman" w:hAnsi="Times New Roman" w:cs="Times New Roman"/>
                <w:sz w:val="24"/>
                <w:szCs w:val="24"/>
                <w:lang w:eastAsia="es-CO"/>
              </w:rPr>
              <w:t xml:space="preserve"> </w:t>
            </w:r>
            <w:r w:rsidR="004065AE" w:rsidRPr="004065AE">
              <w:rPr>
                <w:rFonts w:ascii="Verdana" w:hAnsi="Verdana"/>
              </w:rPr>
              <w:t xml:space="preserve">De conformidad con el numeral 2 del artículo 2 de la Ley 1150 de 2007, la selección abreviada es una modalidad de selección objetiva prevista para aquellos casos en los cuales, por las características del objeto a contratar, las circunstancias de la contratación o la cuantía o destinación del bien, obra o servicio, pueden adelantarse procesos simplificados. Dentro de las causales de selección abreviada se encuentra la contratación de menor cuantía, prevista en el literal b) del numeral 2 del citado artículo, </w:t>
            </w:r>
            <w:r w:rsidR="00F974B9">
              <w:rPr>
                <w:rFonts w:ascii="Verdana" w:hAnsi="Verdana"/>
              </w:rPr>
              <w:t>e</w:t>
            </w:r>
            <w:r w:rsidR="00F84F64" w:rsidRPr="007D48B0">
              <w:rPr>
                <w:rFonts w:ascii="Verdana" w:eastAsia="Calibri" w:hAnsi="Verdana" w:cs="Arial"/>
                <w:color w:val="000000" w:themeColor="text1"/>
                <w:lang w:val="es-MX"/>
              </w:rPr>
              <w:t>st</w:t>
            </w:r>
            <w:r w:rsidR="00B942B5">
              <w:rPr>
                <w:rFonts w:ascii="Verdana" w:eastAsia="Calibri" w:hAnsi="Verdana" w:cs="Arial"/>
                <w:color w:val="000000" w:themeColor="text1"/>
                <w:lang w:val="es-MX"/>
              </w:rPr>
              <w:t>e</w:t>
            </w:r>
            <w:r w:rsidR="00F84F64" w:rsidRPr="007D48B0">
              <w:rPr>
                <w:rFonts w:ascii="Verdana" w:eastAsia="Calibri" w:hAnsi="Verdana" w:cs="Arial"/>
                <w:color w:val="000000" w:themeColor="text1"/>
                <w:lang w:val="es-MX"/>
              </w:rPr>
              <w:t xml:space="preserve"> se refiere a los procesos contractuales cuyo su valor es inferior a los topes que la norma señala respecto de su presupuesto anual, y se desarrolla en el Decreto único Reglamentario del Sector Planeación donde se establece su procedimiento</w:t>
            </w:r>
            <w:r w:rsidR="00F84F64">
              <w:rPr>
                <w:rFonts w:ascii="Verdana" w:eastAsia="Calibri" w:hAnsi="Verdana" w:cs="Arial"/>
                <w:color w:val="000000" w:themeColor="text1"/>
                <w:lang w:val="es-MX"/>
              </w:rPr>
              <w:t>.</w:t>
            </w:r>
          </w:p>
          <w:p w14:paraId="7320579F" w14:textId="77777777" w:rsidR="004065AE" w:rsidRPr="004065AE" w:rsidRDefault="004065AE" w:rsidP="00491FBA">
            <w:pPr>
              <w:spacing w:after="120" w:line="276" w:lineRule="auto"/>
              <w:ind w:firstLine="709"/>
              <w:jc w:val="both"/>
              <w:rPr>
                <w:rFonts w:ascii="Verdana" w:hAnsi="Verdana"/>
              </w:rPr>
            </w:pPr>
            <w:r w:rsidRPr="004065AE">
              <w:rPr>
                <w:rFonts w:ascii="Verdana" w:hAnsi="Verdana"/>
              </w:rPr>
              <w:t>En ese sentido, la procedencia de la selección abreviada de menor cuantía exige verificar, en primer lugar, que el objeto contractual corresponda a un bien, obra o servicio susceptible de ser contratado bajo esta causal y, posteriormente, que el valor estimado del contrato se encuentre dentro del respectivo límite de menor cuantía, determinado conforme al presupuesto anual de la entidad. Se trata, por tanto, de una modalidad que se caracteriza por establecer un procedimiento de selección simplificado frente a la licitación pública, sin que ello implique excluir la aplicación de los principios de transparencia, economía, selección objetiva, igualdad y demás principios que rigen la contratación estatal.</w:t>
            </w:r>
          </w:p>
          <w:p w14:paraId="3ACE5ABC" w14:textId="77777777" w:rsidR="004065AE" w:rsidRPr="004065AE" w:rsidRDefault="004065AE" w:rsidP="00491FBA">
            <w:pPr>
              <w:spacing w:after="120" w:line="276" w:lineRule="auto"/>
              <w:ind w:firstLine="709"/>
              <w:jc w:val="both"/>
              <w:rPr>
                <w:rFonts w:ascii="Verdana" w:hAnsi="Verdana"/>
              </w:rPr>
            </w:pPr>
            <w:r w:rsidRPr="004065AE">
              <w:rPr>
                <w:rFonts w:ascii="Verdana" w:hAnsi="Verdana"/>
              </w:rPr>
              <w:t>En relación con los contratos de prestación de servicios, el numeral 3 del artículo 32 de la Ley 80 de 1993 establece que estos tienen por objeto desarrollar actividades relacionadas con la administración o funcionamiento de la entidad, cuando no puedan realizarse con personal de planta o requieran conocimientos especializados. Por ello, cuando la entidad pretenda contratar un servicio bajo esta figura, deberá verificar que el objeto y las condiciones del contrato correspondan a las características previstas en dicha disposición y, a partir de ello, determinar la modalidad de selección que resulte aplicable. En particular, deberá tenerse en cuenta que los servicios profesionales y de apoyo a la gestión cuentan con una causal específica de contratación directa prevista en el numeral 4 del artículo 2 de la Ley 1150 de 2007.</w:t>
            </w:r>
          </w:p>
          <w:p w14:paraId="56F1810B" w14:textId="32096A5B" w:rsidR="006C5E8F" w:rsidRPr="004065AE" w:rsidRDefault="004065AE" w:rsidP="00491FBA">
            <w:pPr>
              <w:spacing w:after="120" w:line="276" w:lineRule="auto"/>
              <w:ind w:firstLine="709"/>
              <w:jc w:val="both"/>
              <w:rPr>
                <w:rFonts w:ascii="Verdana" w:hAnsi="Verdana"/>
              </w:rPr>
            </w:pPr>
            <w:r w:rsidRPr="004065AE">
              <w:rPr>
                <w:rFonts w:ascii="Verdana" w:hAnsi="Verdana"/>
              </w:rPr>
              <w:t xml:space="preserve">En consecuencia, la menor cuantía no se determina únicamente por el tipo de bien, obra o servicio que se pretende contratar, sino por la concurrencia de las condiciones legales que habilitan esta causal, entre ellas la naturaleza del objeto contractual y su valor frente al límite de menor cuantía establecido </w:t>
            </w:r>
            <w:r w:rsidRPr="004065AE">
              <w:rPr>
                <w:rFonts w:ascii="Verdana" w:hAnsi="Verdana"/>
              </w:rPr>
              <w:lastRenderedPageBreak/>
              <w:t>en función del presupuesto anual de la entidad. Así, cuando no exista una causal especial que determine una modalidad diferente y el valor del contrato se encuentre dentro del respectivo límite, podrá acudirse a la selección abreviada de menor cuantía, conforme al procedimiento previsto en el Decreto 1082 de 2015.</w:t>
            </w:r>
          </w:p>
          <w:p w14:paraId="1A9BF1C9" w14:textId="4D83878C" w:rsidR="00EA7535" w:rsidRPr="00EA7535" w:rsidRDefault="00974633" w:rsidP="00EA7535">
            <w:pPr>
              <w:spacing w:after="120" w:line="276" w:lineRule="auto"/>
              <w:jc w:val="both"/>
              <w:rPr>
                <w:rFonts w:ascii="Verdana" w:eastAsia="Times New Roman" w:hAnsi="Verdana" w:cs="Times New Roman"/>
                <w:lang w:eastAsia="es-CO"/>
              </w:rPr>
            </w:pPr>
            <w:r w:rsidRPr="0070104F">
              <w:rPr>
                <w:rFonts w:ascii="Verdana" w:eastAsia="Times New Roman" w:hAnsi="Verdana" w:cs="Times New Roman"/>
                <w:b/>
                <w:bCs/>
                <w:lang w:eastAsia="es-CO"/>
              </w:rPr>
              <w:t>ii.</w:t>
            </w:r>
            <w:r w:rsidR="00834D06" w:rsidRPr="00834D06">
              <w:rPr>
                <w:rFonts w:ascii="Times New Roman" w:eastAsia="Times New Roman" w:hAnsi="Times New Roman" w:cs="Times New Roman"/>
                <w:sz w:val="24"/>
                <w:szCs w:val="24"/>
                <w:lang w:eastAsia="es-CO"/>
              </w:rPr>
              <w:t xml:space="preserve"> </w:t>
            </w:r>
            <w:r w:rsidR="00EA7535" w:rsidRPr="00EA7535">
              <w:rPr>
                <w:rFonts w:ascii="Verdana" w:eastAsia="Times New Roman" w:hAnsi="Verdana" w:cs="Times New Roman"/>
                <w:lang w:eastAsia="es-CO"/>
              </w:rPr>
              <w:t>Los factores de ponderación y los puntajes en un proceso de selección abreviada de menor cuantía deben establecerse previamente en los documentos del proceso, de manera clara, objetiva y relacionada con las condiciones de la oferta. Para ello, la entidad puede utilizar factores técnicos y económicos, mediante sistemas de puntuación y fórmulas, o aplicar la metodología de costo-beneficio, de conformidad con el artículo 5 de la Ley 1150 de 2007 y el artículo 2.2.1.1.2.2.2 del Decreto 1082 de 2015.</w:t>
            </w:r>
            <w:r w:rsidR="00EA7535" w:rsidRPr="00EA7535">
              <w:rPr>
                <w:rFonts w:ascii="Verdana" w:eastAsia="Times New Roman" w:hAnsi="Verdana" w:cs="Times New Roman"/>
                <w:lang w:eastAsia="es-CO"/>
              </w:rPr>
              <w:br/>
              <w:t>Los requisitos habilitantes, por su parte, corresponden a condiciones mínimas para participar y, por regla general, no son objeto de puntuación. En consecuencia, los puntajes deben asignarse exclusivamente a los factores de evaluación definidos en los documentos del proceso, conforme a la metodología allí establecida.</w:t>
            </w:r>
          </w:p>
          <w:p w14:paraId="6B976A0F" w14:textId="77777777" w:rsidR="00EA7535" w:rsidRDefault="00EA7535" w:rsidP="00EA7535">
            <w:pPr>
              <w:spacing w:after="120" w:line="276" w:lineRule="auto"/>
              <w:ind w:firstLine="709"/>
              <w:jc w:val="both"/>
              <w:rPr>
                <w:rFonts w:ascii="Verdana" w:eastAsia="Times New Roman" w:hAnsi="Verdana" w:cs="Times New Roman"/>
                <w:lang w:eastAsia="es-CO"/>
              </w:rPr>
            </w:pPr>
            <w:r w:rsidRPr="00EA7535">
              <w:rPr>
                <w:rFonts w:ascii="Verdana" w:eastAsia="Times New Roman" w:hAnsi="Verdana" w:cs="Times New Roman"/>
                <w:lang w:eastAsia="es-CO"/>
              </w:rPr>
              <w:t>En cuanto a los incentivos y puntajes establecidos legalmente, estos deberán incorporarse y aplicarse de acuerdo con las disposiciones que los regulen y su acreditación deberá efectuarse conforme a los documentos o requisitos previstos para cada uno.</w:t>
            </w:r>
          </w:p>
          <w:p w14:paraId="3B4591B4" w14:textId="6CE3DCE9" w:rsidR="0013417E" w:rsidRPr="00277458" w:rsidRDefault="00277458" w:rsidP="0013417E">
            <w:pPr>
              <w:spacing w:after="120" w:line="276" w:lineRule="auto"/>
              <w:ind w:firstLine="709"/>
              <w:jc w:val="both"/>
              <w:rPr>
                <w:rFonts w:ascii="Verdana" w:eastAsia="Times New Roman" w:hAnsi="Verdana" w:cs="Times New Roman"/>
                <w:lang w:eastAsia="es-CO"/>
              </w:rPr>
            </w:pPr>
            <w:r w:rsidRPr="00277458">
              <w:rPr>
                <w:rFonts w:ascii="Verdana" w:eastAsia="Times New Roman" w:hAnsi="Verdana" w:cs="Times New Roman"/>
                <w:lang w:eastAsia="es-CO"/>
              </w:rPr>
              <w:t>Ahora bien, La acreditación de los factores de ponderación, incentivos y puntajes adicionales deberá realizarse mediante los documentos, certificaciones o demás medios de prueba exigidos en la normativa aplicable y en los documentos del proceso. La entidad deberá verificar su cumplimiento y asignar el puntaje conforme a la metodología previamente establecida, sin introducir durante la evaluación condiciones o criterios que no hayan sido definidos de manera previa. De esta forma, la evaluación debe desarrollarse bajo parámetros uniformes para todos los proponentes y en observancia de los principios de selección objetiva, igualdad y transparencia.</w:t>
            </w:r>
          </w:p>
          <w:p w14:paraId="3773945B" w14:textId="2ACCAA93" w:rsidR="00CA016C" w:rsidRPr="0008153C" w:rsidRDefault="0008153C" w:rsidP="00EA7535">
            <w:pPr>
              <w:spacing w:after="120" w:line="276" w:lineRule="auto"/>
              <w:ind w:firstLine="709"/>
              <w:jc w:val="both"/>
              <w:rPr>
                <w:rFonts w:ascii="Verdana" w:eastAsia="Times New Roman" w:hAnsi="Verdana" w:cs="Times New Roman"/>
                <w:lang w:eastAsia="es-CO"/>
              </w:rPr>
            </w:pPr>
            <w:r w:rsidRPr="00EA7535">
              <w:rPr>
                <w:rFonts w:ascii="Verdana" w:eastAsia="Times New Roman" w:hAnsi="Verdana" w:cs="Times New Roman"/>
                <w:lang w:eastAsia="es-CO"/>
              </w:rPr>
              <w:t>Finalmente, corresponde a cada entidad, de acuerdo con las particularidades del objeto contractual y el análisis del sector, definir los factores y puntajes que empleará, sin desconocer los incentivos y criterios diferenciales que sean de obligatorio cumplimiento.</w:t>
            </w:r>
          </w:p>
        </w:tc>
      </w:tr>
    </w:tbl>
    <w:p w14:paraId="2CF740B1" w14:textId="77777777" w:rsidR="00CA016C" w:rsidRDefault="00CA016C" w:rsidP="00CA016C">
      <w:pPr>
        <w:tabs>
          <w:tab w:val="left" w:pos="142"/>
          <w:tab w:val="left" w:pos="284"/>
        </w:tabs>
        <w:spacing w:after="0" w:line="276" w:lineRule="auto"/>
        <w:jc w:val="both"/>
        <w:rPr>
          <w:rFonts w:ascii="Verdana" w:eastAsia="Century Gothic" w:hAnsi="Verdana" w:cs="Century Gothic"/>
          <w:b/>
          <w:bCs/>
        </w:rPr>
      </w:pPr>
    </w:p>
    <w:p w14:paraId="24799C3F" w14:textId="77777777" w:rsidR="00CA016C" w:rsidRPr="008E4F36" w:rsidRDefault="00CA016C" w:rsidP="00CA016C">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686BDD79" w14:textId="77777777" w:rsidR="00CA016C" w:rsidRDefault="00CA016C" w:rsidP="00CA016C">
      <w:pPr>
        <w:pStyle w:val="Prrafodelista"/>
        <w:tabs>
          <w:tab w:val="left" w:pos="142"/>
          <w:tab w:val="left" w:pos="284"/>
        </w:tabs>
        <w:spacing w:after="0" w:line="276" w:lineRule="auto"/>
        <w:ind w:left="0"/>
        <w:contextualSpacing w:val="0"/>
        <w:jc w:val="both"/>
        <w:rPr>
          <w:rFonts w:ascii="Verdana" w:eastAsia="Calibri" w:hAnsi="Verdana" w:cs="Arial"/>
        </w:rPr>
      </w:pPr>
    </w:p>
    <w:p w14:paraId="0D1C5AD4" w14:textId="77777777" w:rsidR="00CA016C" w:rsidRDefault="00CA016C" w:rsidP="00CA016C">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t xml:space="preserve">Lo anterior se sustenta en las siguientes consideraciones: </w:t>
      </w:r>
    </w:p>
    <w:p w14:paraId="13D531C3" w14:textId="77777777" w:rsidR="00CA016C" w:rsidRDefault="00CA016C" w:rsidP="00CA016C">
      <w:pPr>
        <w:pStyle w:val="Prrafodelista"/>
        <w:tabs>
          <w:tab w:val="left" w:pos="142"/>
          <w:tab w:val="left" w:pos="284"/>
        </w:tabs>
        <w:spacing w:after="0" w:line="276" w:lineRule="auto"/>
        <w:ind w:left="0"/>
        <w:contextualSpacing w:val="0"/>
        <w:jc w:val="both"/>
        <w:rPr>
          <w:rFonts w:ascii="Verdana" w:eastAsia="Calibri" w:hAnsi="Verdana" w:cs="Arial"/>
        </w:rPr>
      </w:pPr>
    </w:p>
    <w:p w14:paraId="138B4005" w14:textId="77777777" w:rsidR="00D115BB" w:rsidRPr="007D48B0" w:rsidRDefault="00D115BB" w:rsidP="00D115BB">
      <w:pPr>
        <w:spacing w:after="120" w:line="276" w:lineRule="auto"/>
        <w:jc w:val="both"/>
        <w:rPr>
          <w:rFonts w:ascii="Verdana" w:hAnsi="Verdana" w:cs="Arial"/>
          <w:bCs/>
          <w:sz w:val="21"/>
          <w:szCs w:val="21"/>
          <w:lang w:val="es-ES_tradnl"/>
        </w:rPr>
      </w:pPr>
      <w:bookmarkStart w:id="5" w:name="_Hlk204854194"/>
      <w:r>
        <w:rPr>
          <w:rFonts w:ascii="Verdana" w:hAnsi="Verdana" w:cs="Arial"/>
          <w:bCs/>
          <w:lang w:val="es-ES_tradnl"/>
        </w:rPr>
        <w:t xml:space="preserve">i. </w:t>
      </w:r>
      <w:r w:rsidRPr="007D48B0">
        <w:rPr>
          <w:rFonts w:ascii="Verdana" w:hAnsi="Verdana" w:cs="Arial"/>
          <w:bCs/>
          <w:lang w:val="es-ES_tradnl"/>
        </w:rPr>
        <w:t>La contratación pública comprende, entre otros aspectos, la toma de decisiones del gasto que las entidades realizan como ejecución de los recursos públicos asignados para adquirir bienes, obras o servicios que satisfacen sus necesidades, y en esa medida cumplen el interés general, que es la finalidad que la ley les confía a través de las funciones que se les encomiendan. Para las adquisiciones, las entidades estructuran procedimientos de contratación previamente definidos por la ley, consultando las normas que los rigen para determinar la forma que el ordenamiento prevé para adelantarlos. En esta medida, conforme el artículo 29 de la Constitución Política, los procesos de selección son una manifestación de la legalidad de las formas de cada proceso en sede administrativa</w:t>
      </w:r>
      <w:r w:rsidRPr="007D48B0">
        <w:rPr>
          <w:rStyle w:val="Refdenotaalpie"/>
          <w:rFonts w:ascii="Verdana" w:hAnsi="Verdana" w:cs="Arial"/>
          <w:bCs/>
          <w:sz w:val="21"/>
          <w:szCs w:val="21"/>
          <w:lang w:val="es-ES_tradnl"/>
        </w:rPr>
        <w:footnoteReference w:id="1"/>
      </w:r>
      <w:r w:rsidRPr="007D48B0">
        <w:rPr>
          <w:rFonts w:ascii="Verdana" w:hAnsi="Verdana" w:cs="Arial"/>
          <w:bCs/>
          <w:sz w:val="21"/>
          <w:szCs w:val="21"/>
          <w:lang w:val="es-ES_tradnl"/>
        </w:rPr>
        <w:t>.</w:t>
      </w:r>
    </w:p>
    <w:p w14:paraId="6023A9ED" w14:textId="77777777" w:rsidR="00D115BB" w:rsidRPr="007D48B0" w:rsidRDefault="00D115BB" w:rsidP="00D115BB">
      <w:pPr>
        <w:spacing w:after="120" w:line="276" w:lineRule="auto"/>
        <w:jc w:val="both"/>
        <w:rPr>
          <w:rFonts w:ascii="Verdana" w:hAnsi="Verdana" w:cs="Arial"/>
          <w:bCs/>
          <w:lang w:val="es-ES_tradnl"/>
        </w:rPr>
      </w:pPr>
      <w:r w:rsidRPr="007D48B0">
        <w:rPr>
          <w:rFonts w:ascii="Verdana" w:hAnsi="Verdana" w:cs="Arial"/>
          <w:bCs/>
          <w:lang w:val="es-ES_tradnl"/>
        </w:rPr>
        <w:tab/>
        <w:t>Inicialmente, la Ley 80 de 1993 estableció tres (3) procedimientos de selección: i) licitación o concurso público, ii) contratación sin formalidades plenas y iii) contratación directa. Dentro de este esquema, el primero era y continúa siendo la regla general, pues sólo es posible acudir a los demás frente a la configuración de las causales previamente establecidas por el ordenamiento, razón por la cual la Administración carece de discrecionalidad para establecer procedimientos</w:t>
      </w:r>
      <w:r w:rsidRPr="007D48B0">
        <w:rPr>
          <w:rStyle w:val="Refdenotaalpie"/>
          <w:rFonts w:ascii="Verdana" w:hAnsi="Verdana" w:cs="Arial"/>
          <w:bCs/>
          <w:lang w:val="es-ES_tradnl"/>
        </w:rPr>
        <w:footnoteReference w:id="2"/>
      </w:r>
      <w:r w:rsidRPr="007D48B0">
        <w:rPr>
          <w:rFonts w:ascii="Verdana" w:hAnsi="Verdana" w:cs="Arial"/>
          <w:bCs/>
          <w:lang w:val="es-ES_tradnl"/>
        </w:rPr>
        <w:t xml:space="preserve">. </w:t>
      </w:r>
    </w:p>
    <w:p w14:paraId="533AC615" w14:textId="77777777" w:rsidR="00D115BB" w:rsidRPr="00FC0529" w:rsidRDefault="00D115BB" w:rsidP="00D115BB">
      <w:pPr>
        <w:spacing w:after="120" w:line="276" w:lineRule="auto"/>
        <w:jc w:val="both"/>
        <w:rPr>
          <w:rFonts w:ascii="Verdana" w:hAnsi="Verdana" w:cs="Arial"/>
          <w:bCs/>
          <w:lang w:val="es-ES_tradnl"/>
        </w:rPr>
      </w:pPr>
      <w:r w:rsidRPr="007D48B0">
        <w:rPr>
          <w:rFonts w:ascii="Verdana" w:hAnsi="Verdana" w:cs="Arial"/>
          <w:bCs/>
          <w:lang w:val="es-ES_tradnl"/>
        </w:rPr>
        <w:tab/>
        <w:t xml:space="preserve">No obstante, después del 2007, el ordenamiento reguló nuevos procesos de selección. En efecto, con el artículo 2 de la Ley 1150 la licitación pública no </w:t>
      </w:r>
      <w:r w:rsidRPr="007D48B0">
        <w:rPr>
          <w:rFonts w:ascii="Verdana" w:hAnsi="Verdana" w:cs="Arial"/>
          <w:bCs/>
          <w:lang w:val="es-ES_tradnl"/>
        </w:rPr>
        <w:lastRenderedPageBreak/>
        <w:t>solo es un procedimiento independiente del concurso de méritos, sino que también se creó el procedimiento de selección de selección abreviada. Finalmente, teniendo en cuenta la reforma introducida con la Ley 1474 de 2011, los procedimientos actualmente regulados son los siguientes: i) licitación pública, ii) selección abreviada, iii) concurso de méritos, iv) mínima cuantía y v) contratación directa.</w:t>
      </w:r>
      <w:r>
        <w:rPr>
          <w:rFonts w:ascii="Verdana" w:hAnsi="Verdana" w:cs="Arial"/>
          <w:bCs/>
          <w:lang w:val="es-ES_tradnl"/>
        </w:rPr>
        <w:t xml:space="preserve"> </w:t>
      </w:r>
      <w:r w:rsidRPr="007D48B0">
        <w:rPr>
          <w:rFonts w:ascii="Verdana" w:hAnsi="Verdana" w:cs="Arial"/>
          <w:bCs/>
          <w:lang w:val="es-ES_tradnl"/>
        </w:rPr>
        <w:t xml:space="preserve">En dichos procedimientos constan </w:t>
      </w:r>
      <w:r w:rsidRPr="007D48B0">
        <w:rPr>
          <w:rFonts w:ascii="Verdana" w:eastAsia="Calibri" w:hAnsi="Verdana" w:cs="Arial"/>
        </w:rPr>
        <w:t>las etapas para la adquisición de obras, bienes y servicios, por lo que cada entidad es responsable de estructurar los procedimientos de contratación, siempre que respete el principio de legalidad.</w:t>
      </w:r>
      <w:bookmarkStart w:id="7" w:name="_Hlk39596760"/>
    </w:p>
    <w:p w14:paraId="10CDFD6E" w14:textId="77777777" w:rsidR="00D115BB" w:rsidRPr="00C11001" w:rsidRDefault="00D115BB" w:rsidP="00D115BB">
      <w:pPr>
        <w:spacing w:after="120" w:line="276" w:lineRule="auto"/>
        <w:ind w:firstLine="709"/>
        <w:jc w:val="both"/>
        <w:rPr>
          <w:rFonts w:ascii="Verdana" w:hAnsi="Verdana" w:cs="Arial"/>
          <w:bCs/>
          <w:lang w:val="es-MX"/>
        </w:rPr>
      </w:pPr>
      <w:r>
        <w:rPr>
          <w:rFonts w:ascii="Verdana" w:hAnsi="Verdana" w:cs="Arial"/>
          <w:lang w:val="es-ES"/>
        </w:rPr>
        <w:t>En este contexto, p</w:t>
      </w:r>
      <w:r w:rsidRPr="00B47324">
        <w:rPr>
          <w:rFonts w:ascii="Verdana" w:hAnsi="Verdana" w:cs="Arial"/>
          <w:lang w:val="es-ES"/>
        </w:rPr>
        <w:t xml:space="preserve">ara las entidades </w:t>
      </w:r>
      <w:r>
        <w:rPr>
          <w:rFonts w:ascii="Verdana" w:hAnsi="Verdana" w:cs="Arial"/>
          <w:lang w:val="es-ES"/>
        </w:rPr>
        <w:t>sometidas a la Ley 80 de 1993,</w:t>
      </w:r>
      <w:r w:rsidRPr="00B47324">
        <w:rPr>
          <w:rFonts w:ascii="Verdana" w:hAnsi="Verdana" w:cs="Arial"/>
          <w:lang w:val="es-ES"/>
        </w:rPr>
        <w:t xml:space="preserve"> los procesos de selección se rigen por el artículo 2 de la Ley 1150 de 2007. El </w:t>
      </w:r>
      <w:r w:rsidRPr="00B47324">
        <w:rPr>
          <w:rFonts w:ascii="Verdana" w:hAnsi="Verdana" w:cs="Arial"/>
          <w:bCs/>
          <w:lang w:val="es-MX"/>
        </w:rPr>
        <w:t>numeral</w:t>
      </w:r>
      <w:r w:rsidRPr="00666B6A">
        <w:rPr>
          <w:rFonts w:ascii="Verdana" w:hAnsi="Verdana" w:cs="Arial"/>
          <w:bCs/>
          <w:lang w:val="es-MX"/>
        </w:rPr>
        <w:t xml:space="preserve"> uno, inciso primero, dispone que “La escogencia del contratista se efectuará por </w:t>
      </w:r>
      <w:r w:rsidRPr="00666B6A">
        <w:rPr>
          <w:rFonts w:ascii="Verdana" w:hAnsi="Verdana" w:cs="Arial"/>
          <w:bCs/>
          <w:i/>
          <w:iCs/>
          <w:lang w:val="es-MX"/>
        </w:rPr>
        <w:t>regla general</w:t>
      </w:r>
      <w:r w:rsidRPr="00666B6A">
        <w:rPr>
          <w:rFonts w:ascii="Verdana" w:hAnsi="Verdana" w:cs="Arial"/>
          <w:bCs/>
          <w:lang w:val="es-MX"/>
        </w:rPr>
        <w:t xml:space="preserve"> a través de licitación pública, con las </w:t>
      </w:r>
      <w:r w:rsidRPr="00666B6A">
        <w:rPr>
          <w:rFonts w:ascii="Verdana" w:hAnsi="Verdana" w:cs="Arial"/>
          <w:bCs/>
          <w:i/>
          <w:iCs/>
          <w:lang w:val="es-MX"/>
        </w:rPr>
        <w:t>excepciones</w:t>
      </w:r>
      <w:r w:rsidRPr="00666B6A">
        <w:rPr>
          <w:rFonts w:ascii="Verdana" w:hAnsi="Verdana" w:cs="Arial"/>
          <w:bCs/>
          <w:lang w:val="es-MX"/>
        </w:rPr>
        <w:t xml:space="preserve"> que se señalan en los numerales 2, 3 y 4 del presente artículo” (Énfasis fuera de texto), norma que sustituye el derogado numeral 1 del artículo 24 de la Ley 80 de 1993 sobre el principio de transparencia</w:t>
      </w:r>
      <w:r w:rsidRPr="00666B6A">
        <w:rPr>
          <w:rFonts w:ascii="Verdana" w:hAnsi="Verdana" w:cs="Arial"/>
          <w:bCs/>
          <w:vertAlign w:val="superscript"/>
          <w:lang w:val="es-MX"/>
        </w:rPr>
        <w:footnoteReference w:id="3"/>
      </w:r>
      <w:r w:rsidRPr="00666B6A">
        <w:rPr>
          <w:rFonts w:ascii="Verdana" w:hAnsi="Verdana" w:cs="Arial"/>
          <w:bCs/>
          <w:lang w:val="es-MX"/>
        </w:rPr>
        <w:t xml:space="preserve">. </w:t>
      </w:r>
      <w:r>
        <w:rPr>
          <w:rFonts w:ascii="Verdana" w:hAnsi="Verdana" w:cs="Arial"/>
          <w:bCs/>
          <w:lang w:val="es-MX"/>
        </w:rPr>
        <w:t>Así</w:t>
      </w:r>
      <w:r w:rsidRPr="00666B6A">
        <w:rPr>
          <w:rFonts w:ascii="Verdana" w:hAnsi="Verdana" w:cs="Arial"/>
          <w:bCs/>
          <w:lang w:val="es-MX"/>
        </w:rPr>
        <w:t>, salvo norma especial que ordene la celebración del negocio jurídico por selección abreviada, concurso de méritos, mínima cuantía o contratación directa, debe aplicarse la regla general de licitación pública</w:t>
      </w:r>
      <w:r w:rsidRPr="00666B6A">
        <w:rPr>
          <w:rFonts w:ascii="Verdana" w:hAnsi="Verdana" w:cs="Arial"/>
          <w:bCs/>
          <w:vertAlign w:val="superscript"/>
          <w:lang w:val="es-MX"/>
        </w:rPr>
        <w:footnoteReference w:id="4"/>
      </w:r>
      <w:r w:rsidRPr="00666B6A">
        <w:rPr>
          <w:rFonts w:ascii="Verdana" w:hAnsi="Verdana" w:cs="Arial"/>
          <w:bCs/>
          <w:lang w:val="es-MX"/>
        </w:rPr>
        <w:t>.</w:t>
      </w:r>
    </w:p>
    <w:p w14:paraId="49802AB8" w14:textId="77777777" w:rsidR="00D115BB" w:rsidRPr="004F0676" w:rsidRDefault="00D115BB" w:rsidP="00D115BB">
      <w:pPr>
        <w:spacing w:after="120" w:line="276" w:lineRule="auto"/>
        <w:ind w:firstLine="708"/>
        <w:jc w:val="both"/>
        <w:rPr>
          <w:rFonts w:ascii="Verdana" w:hAnsi="Verdana" w:cs="Arial"/>
          <w:bCs/>
          <w:lang w:val="es-ES_tradnl"/>
        </w:rPr>
      </w:pPr>
      <w:r w:rsidRPr="007D48B0">
        <w:rPr>
          <w:rFonts w:ascii="Verdana" w:eastAsia="Calibri" w:hAnsi="Verdana" w:cs="Arial"/>
        </w:rPr>
        <w:t xml:space="preserve">Respecto a la selección abreviada, </w:t>
      </w:r>
      <w:bookmarkStart w:id="8" w:name="_Hlk39070608"/>
      <w:r w:rsidRPr="007D48B0">
        <w:rPr>
          <w:rFonts w:ascii="Verdana" w:eastAsia="Calibri" w:hAnsi="Verdana" w:cs="Arial"/>
        </w:rPr>
        <w:t>el numeral 2 del artículo 2 de la Ley 1150 de 2007</w:t>
      </w:r>
      <w:bookmarkEnd w:id="8"/>
      <w:r w:rsidRPr="007D48B0">
        <w:rPr>
          <w:rFonts w:ascii="Verdana" w:eastAsia="Calibri" w:hAnsi="Verdana" w:cs="Arial"/>
        </w:rPr>
        <w:t xml:space="preserve"> dispone que </w:t>
      </w:r>
      <w:r>
        <w:rPr>
          <w:rFonts w:ascii="Verdana" w:eastAsia="Calibri" w:hAnsi="Verdana" w:cs="Arial"/>
        </w:rPr>
        <w:t>“</w:t>
      </w:r>
      <w:r w:rsidRPr="007D48B0">
        <w:rPr>
          <w:rFonts w:ascii="Verdana" w:eastAsia="Calibri" w:hAnsi="Verdana" w:cs="Arial"/>
        </w:rPr>
        <w:t xml:space="preserve">[…] corresponde a la modalidad de selección objetiva </w:t>
      </w:r>
      <w:r w:rsidRPr="007D48B0">
        <w:rPr>
          <w:rFonts w:ascii="Verdana" w:eastAsia="Calibri" w:hAnsi="Verdana" w:cs="Arial"/>
        </w:rPr>
        <w:lastRenderedPageBreak/>
        <w:t>prevista para aquellos casos en que por las características del objeto a contratar, las circunstancias de la contratación o la cuantía o destinación del bien, obra o servicio, puedan adelantarse procesos simplificados para garantizar la eficiencia de la gestión contractual</w:t>
      </w:r>
      <w:r>
        <w:rPr>
          <w:rFonts w:ascii="Verdana" w:eastAsia="Calibri" w:hAnsi="Verdana" w:cs="Arial"/>
        </w:rPr>
        <w:t>”</w:t>
      </w:r>
      <w:r w:rsidRPr="007D48B0">
        <w:rPr>
          <w:rFonts w:ascii="Verdana" w:eastAsia="Calibri" w:hAnsi="Verdana" w:cs="Arial"/>
        </w:rPr>
        <w:t>, regulando cada una de las causales</w:t>
      </w:r>
      <w:r w:rsidRPr="007D48B0">
        <w:rPr>
          <w:rStyle w:val="Refdenotaalpie"/>
          <w:rFonts w:ascii="Verdana" w:eastAsia="Calibri" w:hAnsi="Verdana" w:cs="Arial"/>
        </w:rPr>
        <w:footnoteReference w:id="5"/>
      </w:r>
      <w:r w:rsidRPr="007D48B0">
        <w:rPr>
          <w:rFonts w:ascii="Verdana" w:eastAsia="Calibri" w:hAnsi="Verdana" w:cs="Arial"/>
        </w:rPr>
        <w:t xml:space="preserve">. </w:t>
      </w:r>
    </w:p>
    <w:p w14:paraId="54F3B2CE" w14:textId="77777777" w:rsidR="00D115BB" w:rsidRPr="007D48B0" w:rsidRDefault="00D115BB" w:rsidP="00D115BB">
      <w:pPr>
        <w:spacing w:after="0" w:line="276" w:lineRule="auto"/>
        <w:ind w:firstLine="708"/>
        <w:jc w:val="both"/>
        <w:rPr>
          <w:rFonts w:ascii="Verdana" w:eastAsia="Calibri" w:hAnsi="Verdana" w:cs="Arial"/>
        </w:rPr>
      </w:pPr>
      <w:bookmarkStart w:id="9" w:name="_Hlk39174727"/>
      <w:r w:rsidRPr="007D48B0">
        <w:rPr>
          <w:rFonts w:ascii="Verdana" w:eastAsia="Calibri" w:hAnsi="Verdana" w:cs="Arial"/>
        </w:rPr>
        <w:t xml:space="preserve">Se trata de un procedimiento que, conforme a la reglamentación que expida el Gobierno Nacional, agiliza la contratación estatal en los eventos en que no se justifica adelantar una licitación pública, pero tampoco limitar la participación de los proponentes como en la contratación directa, de forma tal que es un mecanismo de selección objetiva que asegura una mayor concurrencia </w:t>
      </w:r>
      <w:r w:rsidRPr="007D48B0">
        <w:rPr>
          <w:rFonts w:ascii="Verdana" w:eastAsia="Calibri" w:hAnsi="Verdana" w:cs="Arial"/>
        </w:rPr>
        <w:lastRenderedPageBreak/>
        <w:t>de participantes sin sacrificar los principios de eficacia y eficiencia en el proceso de selección</w:t>
      </w:r>
      <w:bookmarkEnd w:id="7"/>
      <w:bookmarkEnd w:id="9"/>
      <w:r w:rsidRPr="007D48B0">
        <w:rPr>
          <w:rFonts w:ascii="Verdana" w:eastAsia="Calibri" w:hAnsi="Verdana" w:cs="Arial"/>
        </w:rPr>
        <w:t>. En la exposición de motivos se explica lo siguiente:</w:t>
      </w:r>
    </w:p>
    <w:p w14:paraId="241F5A23" w14:textId="77777777" w:rsidR="00D115BB" w:rsidRPr="007D48B0" w:rsidRDefault="00D115BB" w:rsidP="00D115BB">
      <w:pPr>
        <w:spacing w:after="0" w:line="276" w:lineRule="auto"/>
        <w:jc w:val="both"/>
        <w:rPr>
          <w:rFonts w:ascii="Verdana" w:eastAsia="Calibri" w:hAnsi="Verdana" w:cs="Arial"/>
        </w:rPr>
      </w:pPr>
    </w:p>
    <w:p w14:paraId="61D1A743" w14:textId="77777777" w:rsidR="00D115BB" w:rsidRPr="00C11001" w:rsidRDefault="00D115BB" w:rsidP="00D115BB">
      <w:pPr>
        <w:spacing w:after="120" w:line="240" w:lineRule="auto"/>
        <w:ind w:left="709" w:right="709"/>
        <w:jc w:val="both"/>
        <w:rPr>
          <w:rFonts w:ascii="Verdana" w:eastAsia="Calibri" w:hAnsi="Verdana" w:cs="Arial"/>
          <w:sz w:val="20"/>
          <w:szCs w:val="20"/>
        </w:rPr>
      </w:pPr>
      <w:r w:rsidRPr="00C11001">
        <w:rPr>
          <w:rFonts w:ascii="Verdana" w:eastAsia="Calibri" w:hAnsi="Verdana" w:cs="Arial"/>
          <w:sz w:val="20"/>
          <w:szCs w:val="20"/>
        </w:rPr>
        <w:t>“– Si bien la Licitación Pública sigue siendo la regla general, la misma pasa a reservarse para los procesos en los que la complejidad del objeto a contratar amerita la larga y cuidadosa ponderación de factores técnicos y económicos de las propuestas […].</w:t>
      </w:r>
    </w:p>
    <w:p w14:paraId="430A982C" w14:textId="77777777" w:rsidR="00D115BB" w:rsidRPr="00C11001" w:rsidRDefault="00D115BB" w:rsidP="00D115BB">
      <w:pPr>
        <w:spacing w:after="120" w:line="240" w:lineRule="auto"/>
        <w:ind w:left="709" w:right="709"/>
        <w:jc w:val="both"/>
        <w:rPr>
          <w:rFonts w:ascii="Verdana" w:eastAsia="Calibri" w:hAnsi="Verdana" w:cs="Arial"/>
          <w:sz w:val="20"/>
          <w:szCs w:val="20"/>
        </w:rPr>
      </w:pPr>
      <w:r w:rsidRPr="00C11001">
        <w:rPr>
          <w:rFonts w:ascii="Verdana" w:eastAsia="Calibri" w:hAnsi="Verdana" w:cs="Arial"/>
          <w:sz w:val="20"/>
          <w:szCs w:val="20"/>
        </w:rPr>
        <w:t xml:space="preserve">– Se crea la llamada </w:t>
      </w:r>
      <w:r>
        <w:rPr>
          <w:rFonts w:ascii="Verdana" w:eastAsia="Calibri" w:hAnsi="Verdana" w:cs="Arial"/>
          <w:sz w:val="20"/>
          <w:szCs w:val="20"/>
        </w:rPr>
        <w:t>‘</w:t>
      </w:r>
      <w:r w:rsidRPr="00C11001">
        <w:rPr>
          <w:rFonts w:ascii="Verdana" w:eastAsia="Calibri" w:hAnsi="Verdana" w:cs="Arial"/>
          <w:sz w:val="20"/>
          <w:szCs w:val="20"/>
        </w:rPr>
        <w:t>selección abreviada</w:t>
      </w:r>
      <w:r>
        <w:rPr>
          <w:rFonts w:ascii="Verdana" w:eastAsia="Calibri" w:hAnsi="Verdana" w:cs="Arial"/>
          <w:sz w:val="20"/>
          <w:szCs w:val="20"/>
        </w:rPr>
        <w:t>’</w:t>
      </w:r>
      <w:r w:rsidRPr="00C11001">
        <w:rPr>
          <w:rFonts w:ascii="Verdana" w:eastAsia="Calibri" w:hAnsi="Verdana" w:cs="Arial"/>
          <w:sz w:val="20"/>
          <w:szCs w:val="20"/>
        </w:rPr>
        <w:t>, para permitir la existencia de procedimientos de selección que, basados estrictamente en los principios cardinales de la contratación pública, permitan de manera ágil la adopción de decisiones de selección. En el sentido antedicho, las innovaciones del proceso de selección abreviada empiezan por una medida trascendental, para llevar a sólo horas los contratos referidos a la adquisición bienes de “características técnicas uniformes y de común utilización” […].</w:t>
      </w:r>
    </w:p>
    <w:p w14:paraId="087C99DE" w14:textId="77777777" w:rsidR="00D115BB" w:rsidRPr="007D48B0" w:rsidRDefault="00D115BB" w:rsidP="00D115BB">
      <w:pPr>
        <w:spacing w:after="0" w:line="240" w:lineRule="auto"/>
        <w:ind w:left="709" w:right="709"/>
        <w:jc w:val="both"/>
        <w:rPr>
          <w:rFonts w:ascii="Verdana" w:eastAsia="Calibri" w:hAnsi="Verdana" w:cs="Arial"/>
          <w:sz w:val="21"/>
          <w:szCs w:val="21"/>
        </w:rPr>
      </w:pPr>
      <w:r w:rsidRPr="00C11001">
        <w:rPr>
          <w:rFonts w:ascii="Verdana" w:eastAsia="Calibri" w:hAnsi="Verdana" w:cs="Arial"/>
          <w:sz w:val="20"/>
          <w:szCs w:val="20"/>
        </w:rPr>
        <w:t xml:space="preserve">– Adicionalmente en esta categoría se recoge la llamada </w:t>
      </w:r>
      <w:r>
        <w:rPr>
          <w:rFonts w:ascii="Verdana" w:eastAsia="Calibri" w:hAnsi="Verdana" w:cs="Arial"/>
          <w:sz w:val="20"/>
          <w:szCs w:val="20"/>
        </w:rPr>
        <w:t>‘</w:t>
      </w:r>
      <w:r w:rsidRPr="00C11001">
        <w:rPr>
          <w:rFonts w:ascii="Verdana" w:eastAsia="Calibri" w:hAnsi="Verdana" w:cs="Arial"/>
          <w:sz w:val="20"/>
          <w:szCs w:val="20"/>
        </w:rPr>
        <w:t>menor cuantía</w:t>
      </w:r>
      <w:r>
        <w:rPr>
          <w:rFonts w:ascii="Verdana" w:eastAsia="Calibri" w:hAnsi="Verdana" w:cs="Arial"/>
          <w:sz w:val="20"/>
          <w:szCs w:val="20"/>
        </w:rPr>
        <w:t>’</w:t>
      </w:r>
      <w:r w:rsidRPr="00C11001">
        <w:rPr>
          <w:rFonts w:ascii="Verdana" w:eastAsia="Calibri" w:hAnsi="Verdana" w:cs="Arial"/>
          <w:sz w:val="20"/>
          <w:szCs w:val="20"/>
        </w:rPr>
        <w:t xml:space="preserve"> (sólo aplicable en lo sucesivo a bienes o servicios diferentes de los anteriores), así como otros procesos que por su naturaleza o circunstancias deben ser objeto de tratamiento expedido, tales como la defensa y seguridad nacional, entre otras”</w:t>
      </w:r>
      <w:r w:rsidRPr="00C11001">
        <w:rPr>
          <w:rStyle w:val="Refdenotaalpie"/>
          <w:rFonts w:ascii="Verdana" w:eastAsia="Calibri" w:hAnsi="Verdana" w:cs="Arial"/>
          <w:sz w:val="20"/>
          <w:szCs w:val="20"/>
        </w:rPr>
        <w:footnoteReference w:id="6"/>
      </w:r>
      <w:r w:rsidRPr="00C11001">
        <w:rPr>
          <w:rFonts w:ascii="Verdana" w:eastAsia="Calibri" w:hAnsi="Verdana" w:cs="Arial"/>
          <w:sz w:val="20"/>
          <w:szCs w:val="20"/>
        </w:rPr>
        <w:t>.</w:t>
      </w:r>
    </w:p>
    <w:p w14:paraId="2F2790DF" w14:textId="77777777" w:rsidR="00D115BB" w:rsidRPr="007D48B0" w:rsidRDefault="00D115BB" w:rsidP="00D115BB">
      <w:pPr>
        <w:spacing w:after="0" w:line="276" w:lineRule="auto"/>
        <w:jc w:val="both"/>
        <w:rPr>
          <w:rFonts w:ascii="Verdana" w:eastAsia="Calibri" w:hAnsi="Verdana" w:cs="Arial"/>
        </w:rPr>
      </w:pPr>
    </w:p>
    <w:p w14:paraId="1BED8FD5" w14:textId="77777777" w:rsidR="00D115BB" w:rsidRDefault="00D115BB" w:rsidP="00D115BB">
      <w:pPr>
        <w:spacing w:after="120" w:line="276" w:lineRule="auto"/>
        <w:ind w:firstLine="709"/>
        <w:jc w:val="both"/>
        <w:rPr>
          <w:rFonts w:ascii="Verdana" w:eastAsia="Calibri" w:hAnsi="Verdana" w:cs="Arial"/>
        </w:rPr>
      </w:pPr>
      <w:r w:rsidRPr="007D48B0">
        <w:rPr>
          <w:rFonts w:ascii="Verdana" w:eastAsia="Calibri" w:hAnsi="Verdana" w:cs="Arial"/>
        </w:rPr>
        <w:t xml:space="preserve">De esta manera, la selección abreviada se caracteriza por tener etapas un poco sencillas y términos relativamente más cortos que los de la licitación pública, lo cual se justifica por las circunstancias, la naturaleza y los objetos que se contratan a través de esta modalidad, los cuales requieren de procedimientos un poco más agiles, sencillos y eficientes. A continuación, el Decreto 1082 de 2015 desarrolla las causales, regulando el pliego de condiciones, el procedimiento, las etapas, entre otros. Según el Consejo de Estado, el propósito del legislador es </w:t>
      </w:r>
      <w:r>
        <w:rPr>
          <w:rFonts w:ascii="Verdana" w:eastAsia="Calibri" w:hAnsi="Verdana" w:cs="Arial"/>
        </w:rPr>
        <w:t>“</w:t>
      </w:r>
      <w:r w:rsidRPr="007D48B0">
        <w:rPr>
          <w:rFonts w:ascii="Verdana" w:eastAsia="Calibri" w:hAnsi="Verdana" w:cs="Arial"/>
        </w:rPr>
        <w:t>[…] proveer de mayor agilidad y eficiencia la contratación de algunos bienes o servicios, en los que es deseable la concurrencia de oferentes, pero no en los términos y condiciones de una licitación pública, sino de manera abreviada o, en términos de la ley, simplificada</w:t>
      </w:r>
      <w:r>
        <w:rPr>
          <w:rFonts w:ascii="Verdana" w:eastAsia="Calibri" w:hAnsi="Verdana" w:cs="Arial"/>
        </w:rPr>
        <w:t>”</w:t>
      </w:r>
      <w:r w:rsidRPr="007D48B0">
        <w:rPr>
          <w:rStyle w:val="Refdenotaalpie"/>
          <w:rFonts w:ascii="Verdana" w:eastAsia="Calibri" w:hAnsi="Verdana" w:cs="Arial"/>
        </w:rPr>
        <w:footnoteReference w:id="7"/>
      </w:r>
      <w:r w:rsidRPr="007D48B0">
        <w:rPr>
          <w:rFonts w:ascii="Verdana" w:eastAsia="Calibri" w:hAnsi="Verdana" w:cs="Arial"/>
        </w:rPr>
        <w:t xml:space="preserve">. </w:t>
      </w:r>
    </w:p>
    <w:p w14:paraId="03B3A989" w14:textId="77777777" w:rsidR="00D115BB" w:rsidRDefault="00D115BB" w:rsidP="00D115BB">
      <w:pPr>
        <w:spacing w:after="0" w:line="276" w:lineRule="auto"/>
        <w:ind w:firstLine="708"/>
        <w:jc w:val="both"/>
        <w:rPr>
          <w:rFonts w:ascii="Verdana" w:eastAsia="Calibri" w:hAnsi="Verdana" w:cs="Arial"/>
          <w:color w:val="000000" w:themeColor="text1"/>
          <w:lang w:val="es-MX"/>
        </w:rPr>
      </w:pPr>
      <w:r w:rsidRPr="007D48B0">
        <w:rPr>
          <w:rFonts w:ascii="Verdana" w:eastAsia="Calibri" w:hAnsi="Verdana" w:cs="Arial"/>
          <w:color w:val="000000" w:themeColor="text1"/>
          <w:lang w:val="es-MX"/>
        </w:rPr>
        <w:t xml:space="preserve">Conforme al literal b) del artículo 2.2 de la Ley 1150 de 2007, una de las causales de selección abreviada es la de menor cuantía. Esta se refiere a los procesos contractuales cuyo su valor es inferior a los topes que la norma señala respecto de su presupuesto anual, y se desarrolla en el Decreto único </w:t>
      </w:r>
      <w:r w:rsidRPr="007D48B0">
        <w:rPr>
          <w:rFonts w:ascii="Verdana" w:eastAsia="Calibri" w:hAnsi="Verdana" w:cs="Arial"/>
          <w:color w:val="000000" w:themeColor="text1"/>
          <w:lang w:val="es-MX"/>
        </w:rPr>
        <w:lastRenderedPageBreak/>
        <w:t>Reglamentario del Sector Planeación donde se establece su procedimiento</w:t>
      </w:r>
      <w:r>
        <w:rPr>
          <w:rFonts w:ascii="Verdana" w:eastAsia="Calibri" w:hAnsi="Verdana" w:cs="Arial"/>
          <w:color w:val="000000" w:themeColor="text1"/>
          <w:lang w:val="es-MX"/>
        </w:rPr>
        <w:t>. Conforme a la norma precitada, los rangos de la menor cuantía son los siguientes:</w:t>
      </w:r>
    </w:p>
    <w:p w14:paraId="1E7BA75E" w14:textId="77777777" w:rsidR="00D115BB" w:rsidRDefault="00D115BB" w:rsidP="00D115BB">
      <w:pPr>
        <w:spacing w:after="0" w:line="276" w:lineRule="auto"/>
        <w:ind w:firstLine="708"/>
        <w:jc w:val="both"/>
        <w:rPr>
          <w:rFonts w:ascii="Verdana" w:eastAsia="Calibri" w:hAnsi="Verdana" w:cs="Arial"/>
          <w:color w:val="000000" w:themeColor="text1"/>
          <w:lang w:val="es-MX"/>
        </w:rPr>
      </w:pPr>
    </w:p>
    <w:p w14:paraId="08D07647" w14:textId="77777777" w:rsidR="00D115BB" w:rsidRPr="00A14076" w:rsidRDefault="00D115BB" w:rsidP="00D115BB">
      <w:pPr>
        <w:spacing w:after="120" w:line="240" w:lineRule="auto"/>
        <w:ind w:left="709" w:right="709"/>
        <w:jc w:val="both"/>
        <w:rPr>
          <w:rFonts w:ascii="Verdana" w:hAnsi="Verdana" w:cs="Arial"/>
          <w:color w:val="000000" w:themeColor="text1"/>
          <w:sz w:val="20"/>
          <w:szCs w:val="20"/>
        </w:rPr>
      </w:pPr>
      <w:r w:rsidRPr="00A14076">
        <w:rPr>
          <w:rFonts w:ascii="Verdana" w:hAnsi="Verdana" w:cs="Arial"/>
          <w:color w:val="000000" w:themeColor="text1"/>
          <w:sz w:val="20"/>
          <w:szCs w:val="20"/>
        </w:rPr>
        <w:t>“[…]</w:t>
      </w:r>
    </w:p>
    <w:p w14:paraId="40562CF4" w14:textId="77777777" w:rsidR="00D115BB" w:rsidRPr="00A14076" w:rsidRDefault="00D115BB" w:rsidP="00D115BB">
      <w:pPr>
        <w:spacing w:after="120" w:line="240" w:lineRule="auto"/>
        <w:ind w:left="709" w:right="709"/>
        <w:jc w:val="both"/>
        <w:rPr>
          <w:rFonts w:ascii="Verdana" w:hAnsi="Verdana" w:cs="Arial"/>
          <w:color w:val="000000" w:themeColor="text1"/>
          <w:sz w:val="20"/>
          <w:szCs w:val="20"/>
        </w:rPr>
      </w:pPr>
      <w:r w:rsidRPr="00A14076">
        <w:rPr>
          <w:rFonts w:ascii="Verdana" w:hAnsi="Verdana" w:cs="Arial"/>
          <w:color w:val="000000" w:themeColor="text1"/>
          <w:sz w:val="20"/>
          <w:szCs w:val="20"/>
        </w:rPr>
        <w:t>Para las entidades que tengan un presupuesto anual superior o igual a 1.200.000 salarios mínimos legales mensuales, la menor cuantía será hasta 1.000 salarios mínimos legales mensuales.</w:t>
      </w:r>
    </w:p>
    <w:p w14:paraId="45075818" w14:textId="77777777" w:rsidR="00D115BB" w:rsidRPr="00A14076" w:rsidRDefault="00D115BB" w:rsidP="00D115BB">
      <w:pPr>
        <w:spacing w:after="120" w:line="240" w:lineRule="auto"/>
        <w:ind w:left="709" w:right="709"/>
        <w:jc w:val="both"/>
        <w:rPr>
          <w:rFonts w:ascii="Verdana" w:hAnsi="Verdana" w:cs="Arial"/>
          <w:color w:val="000000" w:themeColor="text1"/>
          <w:sz w:val="20"/>
          <w:szCs w:val="20"/>
        </w:rPr>
      </w:pPr>
      <w:r w:rsidRPr="00A14076">
        <w:rPr>
          <w:rFonts w:ascii="Verdana" w:hAnsi="Verdana" w:cs="Arial"/>
          <w:color w:val="000000" w:themeColor="text1"/>
          <w:sz w:val="20"/>
          <w:szCs w:val="20"/>
        </w:rPr>
        <w:t>Las que tengan un presupuesto anual superior o igual a 850.000 salarios mínimos legales mensuales e inferiores a 1.200.000 salarios mínimos legales mensuales, la menor cuantía será hasta 850 salarios mínimos legales mensuales.</w:t>
      </w:r>
    </w:p>
    <w:p w14:paraId="45CB6730" w14:textId="77777777" w:rsidR="00D115BB" w:rsidRPr="00A14076" w:rsidRDefault="00D115BB" w:rsidP="00D115BB">
      <w:pPr>
        <w:spacing w:after="120" w:line="240" w:lineRule="auto"/>
        <w:ind w:left="709" w:right="709"/>
        <w:jc w:val="both"/>
        <w:rPr>
          <w:rFonts w:ascii="Verdana" w:hAnsi="Verdana" w:cs="Arial"/>
          <w:color w:val="000000" w:themeColor="text1"/>
          <w:sz w:val="20"/>
          <w:szCs w:val="20"/>
        </w:rPr>
      </w:pPr>
      <w:r w:rsidRPr="00A14076">
        <w:rPr>
          <w:rFonts w:ascii="Verdana" w:hAnsi="Verdana" w:cs="Arial"/>
          <w:color w:val="000000" w:themeColor="text1"/>
          <w:sz w:val="20"/>
          <w:szCs w:val="20"/>
        </w:rPr>
        <w:t>Las que tengan un presupuesto anual superior o igual a 400.000 salarios mínimos legales mensuales e inferior a 850.000 salarios mínimos legales mensuales, la menor cuantía será hasta 650 salarios mínimos legales mensuales.</w:t>
      </w:r>
    </w:p>
    <w:p w14:paraId="27426771" w14:textId="77777777" w:rsidR="00D115BB" w:rsidRPr="00A14076" w:rsidRDefault="00D115BB" w:rsidP="00D115BB">
      <w:pPr>
        <w:spacing w:after="120" w:line="240" w:lineRule="auto"/>
        <w:ind w:left="709" w:right="709"/>
        <w:jc w:val="both"/>
        <w:rPr>
          <w:rFonts w:ascii="Verdana" w:hAnsi="Verdana" w:cs="Arial"/>
          <w:color w:val="000000" w:themeColor="text1"/>
          <w:sz w:val="20"/>
          <w:szCs w:val="20"/>
        </w:rPr>
      </w:pPr>
      <w:r w:rsidRPr="00A14076">
        <w:rPr>
          <w:rFonts w:ascii="Verdana" w:hAnsi="Verdana" w:cs="Arial"/>
          <w:color w:val="000000" w:themeColor="text1"/>
          <w:sz w:val="20"/>
          <w:szCs w:val="20"/>
        </w:rPr>
        <w:t>Las que tengan un presupuesto anual superior o igual a 120.000 salarios mínimos legales mensuales e inferior a 400.000 salarios mínimos legales mensuales, la menor cuantía será hasta 450 salarios mínimos legales mensuales.</w:t>
      </w:r>
    </w:p>
    <w:p w14:paraId="39872D12" w14:textId="77777777" w:rsidR="00D115BB" w:rsidRPr="00A14076" w:rsidRDefault="00D115BB" w:rsidP="00D115BB">
      <w:pPr>
        <w:spacing w:after="120" w:line="240" w:lineRule="auto"/>
        <w:ind w:left="709" w:right="709"/>
        <w:jc w:val="both"/>
        <w:rPr>
          <w:rFonts w:ascii="Verdana" w:hAnsi="Verdana" w:cs="Arial"/>
          <w:color w:val="000000" w:themeColor="text1"/>
          <w:sz w:val="20"/>
          <w:szCs w:val="20"/>
        </w:rPr>
      </w:pPr>
      <w:r w:rsidRPr="00A14076">
        <w:rPr>
          <w:rFonts w:ascii="Verdana" w:hAnsi="Verdana" w:cs="Arial"/>
          <w:color w:val="000000" w:themeColor="text1"/>
          <w:sz w:val="20"/>
          <w:szCs w:val="20"/>
        </w:rPr>
        <w:t>Las que tengan un presupuesto anual inferior a 120.000 salarios mínimos legales mensuales, la menor cuantía será hasta 280 salarios mínimos legales mensuales;</w:t>
      </w:r>
    </w:p>
    <w:p w14:paraId="11D8EF46" w14:textId="77777777" w:rsidR="00D115BB" w:rsidRDefault="00D115BB" w:rsidP="00D115BB">
      <w:pPr>
        <w:spacing w:after="0" w:line="240" w:lineRule="auto"/>
        <w:ind w:left="709" w:right="709"/>
        <w:jc w:val="both"/>
        <w:rPr>
          <w:rFonts w:ascii="Verdana" w:hAnsi="Verdana" w:cs="Arial"/>
          <w:color w:val="000000" w:themeColor="text1"/>
        </w:rPr>
      </w:pPr>
      <w:r w:rsidRPr="00A14076">
        <w:rPr>
          <w:rFonts w:ascii="Verdana" w:hAnsi="Verdana" w:cs="Arial"/>
          <w:color w:val="000000" w:themeColor="text1"/>
          <w:sz w:val="20"/>
          <w:szCs w:val="20"/>
        </w:rPr>
        <w:t>[…]”.</w:t>
      </w:r>
    </w:p>
    <w:p w14:paraId="4A5FFAD7" w14:textId="77777777" w:rsidR="00D115BB" w:rsidRDefault="00D115BB" w:rsidP="00D115BB">
      <w:pPr>
        <w:spacing w:after="0" w:line="276" w:lineRule="auto"/>
        <w:jc w:val="both"/>
        <w:rPr>
          <w:rFonts w:ascii="Verdana" w:hAnsi="Verdana" w:cs="Arial"/>
          <w:color w:val="000000" w:themeColor="text1"/>
        </w:rPr>
      </w:pPr>
    </w:p>
    <w:p w14:paraId="5F26DC9A" w14:textId="77777777" w:rsidR="00D115BB" w:rsidRDefault="00D115BB" w:rsidP="00D115BB">
      <w:pPr>
        <w:pStyle w:val="Textoindependiente"/>
        <w:ind w:firstLine="709"/>
        <w:jc w:val="both"/>
        <w:rPr>
          <w:rFonts w:ascii="Verdana" w:hAnsi="Verdana"/>
        </w:rPr>
      </w:pPr>
      <w:r>
        <w:rPr>
          <w:rFonts w:ascii="Verdana" w:hAnsi="Verdana" w:cs="Arial"/>
          <w:color w:val="000000" w:themeColor="text1"/>
        </w:rPr>
        <w:t xml:space="preserve">Asimismo, </w:t>
      </w:r>
      <w:r w:rsidRPr="008E1809">
        <w:rPr>
          <w:rFonts w:ascii="Verdana" w:eastAsia="Calibri" w:hAnsi="Verdana" w:cs="Arial"/>
          <w:color w:val="000000" w:themeColor="text1"/>
        </w:rPr>
        <w:t xml:space="preserve">es necesario tener en cuenta que </w:t>
      </w:r>
      <w:r>
        <w:rPr>
          <w:rFonts w:ascii="Verdana" w:eastAsia="Calibri" w:hAnsi="Verdana" w:cs="Arial"/>
          <w:color w:val="000000" w:themeColor="text1"/>
        </w:rPr>
        <w:t>e</w:t>
      </w:r>
      <w:r w:rsidRPr="008E1809">
        <w:rPr>
          <w:rFonts w:ascii="Verdana" w:hAnsi="Verdana"/>
        </w:rPr>
        <w:t>l artículo 30 de la Ley 2069 de 2020 modifica el numeral 5 del artículo 2 de la</w:t>
      </w:r>
      <w:r w:rsidRPr="008E1809">
        <w:rPr>
          <w:rFonts w:ascii="Verdana" w:hAnsi="Verdana"/>
          <w:spacing w:val="1"/>
        </w:rPr>
        <w:t xml:space="preserve"> </w:t>
      </w:r>
      <w:r w:rsidRPr="008E1809">
        <w:rPr>
          <w:rFonts w:ascii="Verdana" w:hAnsi="Verdana"/>
        </w:rPr>
        <w:t>Ley</w:t>
      </w:r>
      <w:r w:rsidRPr="008E1809">
        <w:rPr>
          <w:rFonts w:ascii="Verdana" w:hAnsi="Verdana"/>
          <w:spacing w:val="-3"/>
        </w:rPr>
        <w:t xml:space="preserve"> </w:t>
      </w:r>
      <w:r w:rsidRPr="008E1809">
        <w:rPr>
          <w:rFonts w:ascii="Verdana" w:hAnsi="Verdana"/>
        </w:rPr>
        <w:t>1150</w:t>
      </w:r>
      <w:r w:rsidRPr="008E1809">
        <w:rPr>
          <w:rFonts w:ascii="Verdana" w:hAnsi="Verdana"/>
          <w:spacing w:val="-2"/>
        </w:rPr>
        <w:t xml:space="preserve"> </w:t>
      </w:r>
      <w:r w:rsidRPr="008E1809">
        <w:rPr>
          <w:rFonts w:ascii="Verdana" w:hAnsi="Verdana"/>
        </w:rPr>
        <w:t>de</w:t>
      </w:r>
      <w:r w:rsidRPr="008E1809">
        <w:rPr>
          <w:rFonts w:ascii="Verdana" w:hAnsi="Verdana"/>
          <w:spacing w:val="-2"/>
        </w:rPr>
        <w:t xml:space="preserve"> </w:t>
      </w:r>
      <w:r w:rsidRPr="008E1809">
        <w:rPr>
          <w:rFonts w:ascii="Verdana" w:hAnsi="Verdana"/>
        </w:rPr>
        <w:t>2007,</w:t>
      </w:r>
      <w:r w:rsidRPr="008E1809">
        <w:rPr>
          <w:rFonts w:ascii="Verdana" w:hAnsi="Verdana"/>
          <w:spacing w:val="-2"/>
        </w:rPr>
        <w:t xml:space="preserve"> </w:t>
      </w:r>
      <w:r w:rsidRPr="008E1809">
        <w:rPr>
          <w:rFonts w:ascii="Verdana" w:hAnsi="Verdana"/>
        </w:rPr>
        <w:t>el</w:t>
      </w:r>
      <w:r w:rsidRPr="008E1809">
        <w:rPr>
          <w:rFonts w:ascii="Verdana" w:hAnsi="Verdana"/>
          <w:spacing w:val="-3"/>
        </w:rPr>
        <w:t xml:space="preserve"> </w:t>
      </w:r>
      <w:r w:rsidRPr="008E1809">
        <w:rPr>
          <w:rFonts w:ascii="Verdana" w:hAnsi="Verdana"/>
        </w:rPr>
        <w:t>cual</w:t>
      </w:r>
      <w:r w:rsidRPr="008E1809">
        <w:rPr>
          <w:rFonts w:ascii="Verdana" w:hAnsi="Verdana"/>
          <w:spacing w:val="-2"/>
        </w:rPr>
        <w:t xml:space="preserve"> </w:t>
      </w:r>
      <w:r w:rsidRPr="008E1809">
        <w:rPr>
          <w:rFonts w:ascii="Verdana" w:hAnsi="Verdana"/>
        </w:rPr>
        <w:t>regula</w:t>
      </w:r>
      <w:r w:rsidRPr="008E1809">
        <w:rPr>
          <w:rFonts w:ascii="Verdana" w:hAnsi="Verdana"/>
          <w:spacing w:val="-2"/>
        </w:rPr>
        <w:t xml:space="preserve"> </w:t>
      </w:r>
      <w:r w:rsidRPr="008E1809">
        <w:rPr>
          <w:rFonts w:ascii="Verdana" w:hAnsi="Verdana"/>
        </w:rPr>
        <w:t>la</w:t>
      </w:r>
      <w:r w:rsidRPr="008E1809">
        <w:rPr>
          <w:rFonts w:ascii="Verdana" w:hAnsi="Verdana"/>
          <w:spacing w:val="-2"/>
        </w:rPr>
        <w:t xml:space="preserve"> </w:t>
      </w:r>
      <w:r w:rsidRPr="008E1809">
        <w:rPr>
          <w:rFonts w:ascii="Verdana" w:hAnsi="Verdana"/>
        </w:rPr>
        <w:t>mínima</w:t>
      </w:r>
      <w:r w:rsidRPr="008E1809">
        <w:rPr>
          <w:rFonts w:ascii="Verdana" w:hAnsi="Verdana"/>
          <w:spacing w:val="-3"/>
        </w:rPr>
        <w:t xml:space="preserve"> </w:t>
      </w:r>
      <w:r w:rsidRPr="008E1809">
        <w:rPr>
          <w:rFonts w:ascii="Verdana" w:hAnsi="Verdana"/>
        </w:rPr>
        <w:t>cuantía.</w:t>
      </w:r>
      <w:r w:rsidRPr="008E1809">
        <w:rPr>
          <w:rFonts w:ascii="Verdana" w:hAnsi="Verdana"/>
          <w:spacing w:val="-2"/>
        </w:rPr>
        <w:t xml:space="preserve"> </w:t>
      </w:r>
      <w:r w:rsidRPr="008E1809">
        <w:rPr>
          <w:rFonts w:ascii="Verdana" w:hAnsi="Verdana"/>
        </w:rPr>
        <w:t>En</w:t>
      </w:r>
      <w:r>
        <w:rPr>
          <w:rFonts w:ascii="Verdana" w:hAnsi="Verdana"/>
          <w:spacing w:val="-2"/>
        </w:rPr>
        <w:t xml:space="preserve"> </w:t>
      </w:r>
      <w:r w:rsidRPr="008E1809">
        <w:rPr>
          <w:rFonts w:ascii="Verdana" w:hAnsi="Verdana"/>
        </w:rPr>
        <w:t>esta</w:t>
      </w:r>
      <w:r w:rsidRPr="008E1809">
        <w:rPr>
          <w:rFonts w:ascii="Verdana" w:hAnsi="Verdana"/>
          <w:spacing w:val="-2"/>
        </w:rPr>
        <w:t xml:space="preserve"> </w:t>
      </w:r>
      <w:r w:rsidRPr="008E1809">
        <w:rPr>
          <w:rFonts w:ascii="Verdana" w:hAnsi="Verdana"/>
        </w:rPr>
        <w:t>modalidad</w:t>
      </w:r>
      <w:r w:rsidRPr="008E1809">
        <w:rPr>
          <w:rFonts w:ascii="Verdana" w:hAnsi="Verdana"/>
          <w:spacing w:val="-2"/>
        </w:rPr>
        <w:t xml:space="preserve"> </w:t>
      </w:r>
      <w:r w:rsidRPr="008E1809">
        <w:rPr>
          <w:rFonts w:ascii="Verdana" w:hAnsi="Verdana"/>
        </w:rPr>
        <w:t>de</w:t>
      </w:r>
      <w:r w:rsidRPr="008E1809">
        <w:rPr>
          <w:rFonts w:ascii="Verdana" w:hAnsi="Verdana"/>
          <w:spacing w:val="-3"/>
        </w:rPr>
        <w:t xml:space="preserve"> </w:t>
      </w:r>
      <w:r w:rsidRPr="008E1809">
        <w:rPr>
          <w:rFonts w:ascii="Verdana" w:hAnsi="Verdana"/>
        </w:rPr>
        <w:t>selección,</w:t>
      </w:r>
      <w:r w:rsidRPr="008E1809">
        <w:rPr>
          <w:rFonts w:ascii="Verdana" w:hAnsi="Verdana"/>
          <w:spacing w:val="-2"/>
        </w:rPr>
        <w:t xml:space="preserve"> </w:t>
      </w:r>
      <w:r w:rsidRPr="008E1809">
        <w:rPr>
          <w:rFonts w:ascii="Verdana" w:hAnsi="Verdana"/>
        </w:rPr>
        <w:t>la</w:t>
      </w:r>
      <w:r w:rsidRPr="008E1809">
        <w:rPr>
          <w:rFonts w:ascii="Verdana" w:hAnsi="Verdana"/>
          <w:spacing w:val="-59"/>
        </w:rPr>
        <w:t xml:space="preserve"> </w:t>
      </w:r>
      <w:r w:rsidRPr="008E1809">
        <w:rPr>
          <w:rFonts w:ascii="Verdana" w:hAnsi="Verdana"/>
        </w:rPr>
        <w:t>entidad</w:t>
      </w:r>
      <w:r w:rsidRPr="008E1809">
        <w:rPr>
          <w:rFonts w:ascii="Verdana" w:hAnsi="Verdana"/>
          <w:spacing w:val="-15"/>
        </w:rPr>
        <w:t xml:space="preserve"> </w:t>
      </w:r>
      <w:r w:rsidRPr="008E1809">
        <w:rPr>
          <w:rFonts w:ascii="Verdana" w:hAnsi="Verdana"/>
        </w:rPr>
        <w:t>estatal</w:t>
      </w:r>
      <w:r w:rsidRPr="008E1809">
        <w:rPr>
          <w:rFonts w:ascii="Verdana" w:hAnsi="Verdana"/>
          <w:spacing w:val="-15"/>
        </w:rPr>
        <w:t xml:space="preserve"> </w:t>
      </w:r>
      <w:r w:rsidRPr="008E1809">
        <w:rPr>
          <w:rFonts w:ascii="Verdana" w:hAnsi="Verdana"/>
        </w:rPr>
        <w:t>realiza</w:t>
      </w:r>
      <w:r w:rsidRPr="008E1809">
        <w:rPr>
          <w:rFonts w:ascii="Verdana" w:hAnsi="Verdana"/>
          <w:spacing w:val="-15"/>
        </w:rPr>
        <w:t xml:space="preserve"> </w:t>
      </w:r>
      <w:r w:rsidRPr="008E1809">
        <w:rPr>
          <w:rFonts w:ascii="Verdana" w:hAnsi="Verdana"/>
        </w:rPr>
        <w:t>una</w:t>
      </w:r>
      <w:r w:rsidRPr="008E1809">
        <w:rPr>
          <w:rFonts w:ascii="Verdana" w:hAnsi="Verdana"/>
          <w:spacing w:val="-14"/>
        </w:rPr>
        <w:t xml:space="preserve"> </w:t>
      </w:r>
      <w:r w:rsidRPr="008E1809">
        <w:rPr>
          <w:rFonts w:ascii="Verdana" w:hAnsi="Verdana"/>
        </w:rPr>
        <w:t>convocatoria</w:t>
      </w:r>
      <w:r w:rsidRPr="008E1809">
        <w:rPr>
          <w:rFonts w:ascii="Verdana" w:hAnsi="Verdana"/>
          <w:spacing w:val="-15"/>
        </w:rPr>
        <w:t xml:space="preserve"> </w:t>
      </w:r>
      <w:r w:rsidRPr="008E1809">
        <w:rPr>
          <w:rFonts w:ascii="Verdana" w:hAnsi="Verdana"/>
        </w:rPr>
        <w:t>pública</w:t>
      </w:r>
      <w:r w:rsidRPr="008E1809">
        <w:rPr>
          <w:rFonts w:ascii="Verdana" w:hAnsi="Verdana"/>
          <w:spacing w:val="-15"/>
        </w:rPr>
        <w:t xml:space="preserve"> </w:t>
      </w:r>
      <w:r w:rsidRPr="008E1809">
        <w:rPr>
          <w:rFonts w:ascii="Verdana" w:hAnsi="Verdana"/>
        </w:rPr>
        <w:t>para</w:t>
      </w:r>
      <w:r w:rsidRPr="008E1809">
        <w:rPr>
          <w:rFonts w:ascii="Verdana" w:hAnsi="Verdana"/>
          <w:spacing w:val="-15"/>
        </w:rPr>
        <w:t xml:space="preserve"> </w:t>
      </w:r>
      <w:r w:rsidRPr="008E1809">
        <w:rPr>
          <w:rFonts w:ascii="Verdana" w:hAnsi="Verdana"/>
        </w:rPr>
        <w:t>recibir</w:t>
      </w:r>
      <w:r w:rsidRPr="008E1809">
        <w:rPr>
          <w:rFonts w:ascii="Verdana" w:hAnsi="Verdana"/>
          <w:spacing w:val="-14"/>
        </w:rPr>
        <w:t xml:space="preserve"> </w:t>
      </w:r>
      <w:r w:rsidRPr="008E1809">
        <w:rPr>
          <w:rFonts w:ascii="Verdana" w:hAnsi="Verdana"/>
        </w:rPr>
        <w:t>ofertas</w:t>
      </w:r>
      <w:r w:rsidRPr="008E1809">
        <w:rPr>
          <w:rFonts w:ascii="Verdana" w:hAnsi="Verdana"/>
          <w:spacing w:val="-15"/>
        </w:rPr>
        <w:t xml:space="preserve"> </w:t>
      </w:r>
      <w:r w:rsidRPr="008E1809">
        <w:rPr>
          <w:rFonts w:ascii="Verdana" w:hAnsi="Verdana"/>
        </w:rPr>
        <w:t>de</w:t>
      </w:r>
      <w:r w:rsidRPr="008E1809">
        <w:rPr>
          <w:rFonts w:ascii="Verdana" w:hAnsi="Verdana"/>
          <w:spacing w:val="-15"/>
        </w:rPr>
        <w:t xml:space="preserve"> </w:t>
      </w:r>
      <w:r w:rsidRPr="008E1809">
        <w:rPr>
          <w:rFonts w:ascii="Verdana" w:hAnsi="Verdana"/>
        </w:rPr>
        <w:t>bienes</w:t>
      </w:r>
      <w:r w:rsidRPr="008E1809">
        <w:rPr>
          <w:rFonts w:ascii="Verdana" w:hAnsi="Verdana"/>
          <w:spacing w:val="-15"/>
        </w:rPr>
        <w:t xml:space="preserve"> </w:t>
      </w:r>
      <w:r w:rsidRPr="008E1809">
        <w:rPr>
          <w:rFonts w:ascii="Verdana" w:hAnsi="Verdana"/>
        </w:rPr>
        <w:t>o</w:t>
      </w:r>
      <w:r w:rsidRPr="008E1809">
        <w:rPr>
          <w:rFonts w:ascii="Verdana" w:hAnsi="Verdana"/>
          <w:spacing w:val="-14"/>
        </w:rPr>
        <w:t xml:space="preserve"> </w:t>
      </w:r>
      <w:r w:rsidRPr="008E1809">
        <w:rPr>
          <w:rFonts w:ascii="Verdana" w:hAnsi="Verdana"/>
        </w:rPr>
        <w:t>servicios</w:t>
      </w:r>
      <w:r w:rsidRPr="008E1809">
        <w:rPr>
          <w:rFonts w:ascii="Verdana" w:hAnsi="Verdana"/>
          <w:spacing w:val="-59"/>
        </w:rPr>
        <w:t xml:space="preserve"> </w:t>
      </w:r>
      <w:r w:rsidRPr="008E1809">
        <w:rPr>
          <w:rFonts w:ascii="Verdana" w:hAnsi="Verdana"/>
        </w:rPr>
        <w:t>cuyo valor no excede el diez por ciento –10%– de la menor cuantía. Fue creada por el</w:t>
      </w:r>
      <w:r w:rsidRPr="008E1809">
        <w:rPr>
          <w:rFonts w:ascii="Verdana" w:hAnsi="Verdana"/>
          <w:spacing w:val="1"/>
        </w:rPr>
        <w:t xml:space="preserve"> </w:t>
      </w:r>
      <w:r w:rsidRPr="008E1809">
        <w:rPr>
          <w:rFonts w:ascii="Verdana" w:hAnsi="Verdana"/>
        </w:rPr>
        <w:t>artículo 274 de la Ley 1450 de 2011 y modificada por el artículo 94 de la Ley 1474 de</w:t>
      </w:r>
      <w:r w:rsidRPr="008E1809">
        <w:rPr>
          <w:rFonts w:ascii="Verdana" w:hAnsi="Verdana"/>
          <w:spacing w:val="1"/>
        </w:rPr>
        <w:t xml:space="preserve"> </w:t>
      </w:r>
      <w:r w:rsidRPr="008E1809">
        <w:rPr>
          <w:rFonts w:ascii="Verdana" w:hAnsi="Verdana"/>
        </w:rPr>
        <w:t>2011,</w:t>
      </w:r>
      <w:r w:rsidRPr="008E1809">
        <w:rPr>
          <w:rFonts w:ascii="Verdana" w:hAnsi="Verdana"/>
          <w:spacing w:val="1"/>
        </w:rPr>
        <w:t xml:space="preserve"> </w:t>
      </w:r>
      <w:r w:rsidRPr="008E1809">
        <w:rPr>
          <w:rFonts w:ascii="Verdana" w:hAnsi="Verdana"/>
        </w:rPr>
        <w:t>disponiendo</w:t>
      </w:r>
      <w:r w:rsidRPr="008E1809">
        <w:rPr>
          <w:rFonts w:ascii="Verdana" w:hAnsi="Verdana"/>
          <w:spacing w:val="1"/>
        </w:rPr>
        <w:t xml:space="preserve"> </w:t>
      </w:r>
      <w:r w:rsidRPr="008E1809">
        <w:rPr>
          <w:rFonts w:ascii="Verdana" w:hAnsi="Verdana"/>
        </w:rPr>
        <w:t>que</w:t>
      </w:r>
      <w:r w:rsidRPr="008E1809">
        <w:rPr>
          <w:rFonts w:ascii="Verdana" w:hAnsi="Verdana"/>
          <w:spacing w:val="1"/>
        </w:rPr>
        <w:t xml:space="preserve"> </w:t>
      </w:r>
      <w:r w:rsidRPr="008E1809">
        <w:rPr>
          <w:rFonts w:ascii="Verdana" w:hAnsi="Verdana"/>
        </w:rPr>
        <w:t>el</w:t>
      </w:r>
      <w:r w:rsidRPr="008E1809">
        <w:rPr>
          <w:rFonts w:ascii="Verdana" w:hAnsi="Verdana"/>
          <w:spacing w:val="1"/>
        </w:rPr>
        <w:t xml:space="preserve"> </w:t>
      </w:r>
      <w:r w:rsidRPr="008E1809">
        <w:rPr>
          <w:rFonts w:ascii="Verdana" w:hAnsi="Verdana"/>
        </w:rPr>
        <w:t>factor</w:t>
      </w:r>
      <w:r w:rsidRPr="008E1809">
        <w:rPr>
          <w:rFonts w:ascii="Verdana" w:hAnsi="Verdana"/>
          <w:spacing w:val="1"/>
        </w:rPr>
        <w:t xml:space="preserve"> </w:t>
      </w:r>
      <w:r w:rsidRPr="008E1809">
        <w:rPr>
          <w:rFonts w:ascii="Verdana" w:hAnsi="Verdana"/>
        </w:rPr>
        <w:t>determinante</w:t>
      </w:r>
      <w:r w:rsidRPr="008E1809">
        <w:rPr>
          <w:rFonts w:ascii="Verdana" w:hAnsi="Verdana"/>
          <w:spacing w:val="1"/>
        </w:rPr>
        <w:t xml:space="preserve"> </w:t>
      </w:r>
      <w:r w:rsidRPr="008E1809">
        <w:rPr>
          <w:rFonts w:ascii="Verdana" w:hAnsi="Verdana"/>
        </w:rPr>
        <w:t>para</w:t>
      </w:r>
      <w:r w:rsidRPr="008E1809">
        <w:rPr>
          <w:rFonts w:ascii="Verdana" w:hAnsi="Verdana"/>
          <w:spacing w:val="1"/>
        </w:rPr>
        <w:t xml:space="preserve"> </w:t>
      </w:r>
      <w:r w:rsidRPr="008E1809">
        <w:rPr>
          <w:rFonts w:ascii="Verdana" w:hAnsi="Verdana"/>
        </w:rPr>
        <w:t>adelantarla</w:t>
      </w:r>
      <w:r w:rsidRPr="008E1809">
        <w:rPr>
          <w:rFonts w:ascii="Verdana" w:hAnsi="Verdana"/>
          <w:spacing w:val="1"/>
        </w:rPr>
        <w:t xml:space="preserve"> </w:t>
      </w:r>
      <w:r w:rsidRPr="008E1809">
        <w:rPr>
          <w:rFonts w:ascii="Verdana" w:hAnsi="Verdana"/>
        </w:rPr>
        <w:t>es</w:t>
      </w:r>
      <w:r w:rsidRPr="008E1809">
        <w:rPr>
          <w:rFonts w:ascii="Verdana" w:hAnsi="Verdana"/>
          <w:spacing w:val="1"/>
        </w:rPr>
        <w:t xml:space="preserve"> </w:t>
      </w:r>
      <w:r w:rsidRPr="008E1809">
        <w:rPr>
          <w:rFonts w:ascii="Verdana" w:hAnsi="Verdana"/>
        </w:rPr>
        <w:t>el</w:t>
      </w:r>
      <w:r w:rsidRPr="008E1809">
        <w:rPr>
          <w:rFonts w:ascii="Verdana" w:hAnsi="Verdana"/>
          <w:spacing w:val="1"/>
        </w:rPr>
        <w:t xml:space="preserve"> </w:t>
      </w:r>
      <w:r w:rsidRPr="008E1809">
        <w:rPr>
          <w:rFonts w:ascii="Verdana" w:hAnsi="Verdana"/>
        </w:rPr>
        <w:t>valor</w:t>
      </w:r>
      <w:r w:rsidRPr="008E1809">
        <w:rPr>
          <w:rFonts w:ascii="Verdana" w:hAnsi="Verdana"/>
          <w:spacing w:val="1"/>
        </w:rPr>
        <w:t xml:space="preserve"> </w:t>
      </w:r>
      <w:r w:rsidRPr="008E1809">
        <w:rPr>
          <w:rFonts w:ascii="Verdana" w:hAnsi="Verdana"/>
        </w:rPr>
        <w:t>del</w:t>
      </w:r>
      <w:r w:rsidRPr="008E1809">
        <w:rPr>
          <w:rFonts w:ascii="Verdana" w:hAnsi="Verdana"/>
          <w:spacing w:val="1"/>
        </w:rPr>
        <w:t xml:space="preserve"> </w:t>
      </w:r>
      <w:r w:rsidRPr="008E1809">
        <w:rPr>
          <w:rFonts w:ascii="Verdana" w:hAnsi="Verdana"/>
        </w:rPr>
        <w:t>presupuesto oficial con independencia de su objeto. Por lo demás, como en este</w:t>
      </w:r>
      <w:r w:rsidRPr="008E1809">
        <w:rPr>
          <w:rFonts w:ascii="Verdana" w:hAnsi="Verdana"/>
          <w:spacing w:val="1"/>
        </w:rPr>
        <w:t xml:space="preserve"> </w:t>
      </w:r>
      <w:r w:rsidRPr="008E1809">
        <w:rPr>
          <w:rFonts w:ascii="Verdana" w:hAnsi="Verdana"/>
        </w:rPr>
        <w:t>procedimiento</w:t>
      </w:r>
      <w:r w:rsidRPr="008E1809">
        <w:rPr>
          <w:rFonts w:ascii="Verdana" w:hAnsi="Verdana"/>
          <w:spacing w:val="-9"/>
        </w:rPr>
        <w:t xml:space="preserve"> </w:t>
      </w:r>
      <w:r w:rsidRPr="008E1809">
        <w:rPr>
          <w:rFonts w:ascii="Verdana" w:hAnsi="Verdana"/>
        </w:rPr>
        <w:t>el</w:t>
      </w:r>
      <w:r w:rsidRPr="008E1809">
        <w:rPr>
          <w:rFonts w:ascii="Verdana" w:hAnsi="Verdana"/>
          <w:spacing w:val="-9"/>
        </w:rPr>
        <w:t xml:space="preserve"> </w:t>
      </w:r>
      <w:r w:rsidRPr="008E1809">
        <w:rPr>
          <w:rFonts w:ascii="Verdana" w:hAnsi="Verdana"/>
        </w:rPr>
        <w:t>contrato</w:t>
      </w:r>
      <w:r w:rsidRPr="008E1809">
        <w:rPr>
          <w:rFonts w:ascii="Verdana" w:hAnsi="Verdana"/>
          <w:spacing w:val="-9"/>
        </w:rPr>
        <w:t xml:space="preserve"> </w:t>
      </w:r>
      <w:r w:rsidRPr="008E1809">
        <w:rPr>
          <w:rFonts w:ascii="Verdana" w:hAnsi="Verdana"/>
        </w:rPr>
        <w:t>se</w:t>
      </w:r>
      <w:r w:rsidRPr="008E1809">
        <w:rPr>
          <w:rFonts w:ascii="Verdana" w:hAnsi="Verdana"/>
          <w:spacing w:val="-9"/>
        </w:rPr>
        <w:t xml:space="preserve"> </w:t>
      </w:r>
      <w:r w:rsidRPr="008E1809">
        <w:rPr>
          <w:rFonts w:ascii="Verdana" w:hAnsi="Verdana"/>
        </w:rPr>
        <w:t>perfecciona</w:t>
      </w:r>
      <w:r w:rsidRPr="008E1809">
        <w:rPr>
          <w:rFonts w:ascii="Verdana" w:hAnsi="Verdana"/>
          <w:spacing w:val="-8"/>
        </w:rPr>
        <w:t xml:space="preserve"> </w:t>
      </w:r>
      <w:r w:rsidRPr="008E1809">
        <w:rPr>
          <w:rFonts w:ascii="Verdana" w:hAnsi="Verdana"/>
        </w:rPr>
        <w:t>con</w:t>
      </w:r>
      <w:r w:rsidRPr="008E1809">
        <w:rPr>
          <w:rFonts w:ascii="Verdana" w:hAnsi="Verdana"/>
          <w:spacing w:val="-9"/>
        </w:rPr>
        <w:t xml:space="preserve"> </w:t>
      </w:r>
      <w:r w:rsidRPr="008E1809">
        <w:rPr>
          <w:rFonts w:ascii="Verdana" w:hAnsi="Verdana"/>
        </w:rPr>
        <w:t>la</w:t>
      </w:r>
      <w:r w:rsidRPr="008E1809">
        <w:rPr>
          <w:rFonts w:ascii="Verdana" w:hAnsi="Verdana"/>
          <w:spacing w:val="-9"/>
        </w:rPr>
        <w:t xml:space="preserve"> </w:t>
      </w:r>
      <w:r w:rsidRPr="008E1809">
        <w:rPr>
          <w:rFonts w:ascii="Verdana" w:hAnsi="Verdana"/>
        </w:rPr>
        <w:t>aceptación</w:t>
      </w:r>
      <w:r w:rsidRPr="008E1809">
        <w:rPr>
          <w:rFonts w:ascii="Verdana" w:hAnsi="Verdana"/>
          <w:spacing w:val="-8"/>
        </w:rPr>
        <w:t xml:space="preserve"> </w:t>
      </w:r>
      <w:r w:rsidRPr="008E1809">
        <w:rPr>
          <w:rFonts w:ascii="Verdana" w:hAnsi="Verdana"/>
        </w:rPr>
        <w:t>de</w:t>
      </w:r>
      <w:r w:rsidRPr="008E1809">
        <w:rPr>
          <w:rFonts w:ascii="Verdana" w:hAnsi="Verdana"/>
          <w:spacing w:val="-9"/>
        </w:rPr>
        <w:t xml:space="preserve"> </w:t>
      </w:r>
      <w:r w:rsidRPr="008E1809">
        <w:rPr>
          <w:rFonts w:ascii="Verdana" w:hAnsi="Verdana"/>
        </w:rPr>
        <w:t>la</w:t>
      </w:r>
      <w:r w:rsidRPr="008E1809">
        <w:rPr>
          <w:rFonts w:ascii="Verdana" w:hAnsi="Verdana"/>
          <w:spacing w:val="-9"/>
        </w:rPr>
        <w:t xml:space="preserve"> </w:t>
      </w:r>
      <w:r w:rsidRPr="008E1809">
        <w:rPr>
          <w:rFonts w:ascii="Verdana" w:hAnsi="Verdana"/>
        </w:rPr>
        <w:t>oferta,</w:t>
      </w:r>
      <w:r w:rsidRPr="008E1809">
        <w:rPr>
          <w:rFonts w:ascii="Verdana" w:hAnsi="Verdana"/>
          <w:spacing w:val="-9"/>
        </w:rPr>
        <w:t xml:space="preserve"> </w:t>
      </w:r>
      <w:r w:rsidRPr="008E1809">
        <w:rPr>
          <w:rFonts w:ascii="Verdana" w:hAnsi="Verdana"/>
        </w:rPr>
        <w:lastRenderedPageBreak/>
        <w:t>se</w:t>
      </w:r>
      <w:r w:rsidRPr="008E1809">
        <w:rPr>
          <w:rFonts w:ascii="Verdana" w:hAnsi="Verdana"/>
          <w:spacing w:val="-10"/>
        </w:rPr>
        <w:t xml:space="preserve"> </w:t>
      </w:r>
      <w:r w:rsidRPr="008E1809">
        <w:rPr>
          <w:rFonts w:ascii="Verdana" w:hAnsi="Verdana"/>
        </w:rPr>
        <w:t>considera</w:t>
      </w:r>
      <w:r w:rsidRPr="008E1809">
        <w:rPr>
          <w:rFonts w:ascii="Verdana" w:hAnsi="Verdana"/>
          <w:spacing w:val="-9"/>
        </w:rPr>
        <w:t xml:space="preserve"> </w:t>
      </w:r>
      <w:r w:rsidRPr="008E1809">
        <w:rPr>
          <w:rFonts w:ascii="Verdana" w:hAnsi="Verdana"/>
        </w:rPr>
        <w:t>un</w:t>
      </w:r>
      <w:r w:rsidRPr="008E1809">
        <w:rPr>
          <w:rFonts w:ascii="Verdana" w:hAnsi="Verdana"/>
          <w:spacing w:val="-58"/>
        </w:rPr>
        <w:t xml:space="preserve"> </w:t>
      </w:r>
      <w:r w:rsidRPr="008E1809">
        <w:rPr>
          <w:rFonts w:ascii="Verdana" w:hAnsi="Verdana"/>
        </w:rPr>
        <w:t>sucedáneo</w:t>
      </w:r>
      <w:r w:rsidRPr="008E1809">
        <w:rPr>
          <w:rFonts w:ascii="Verdana" w:hAnsi="Verdana"/>
          <w:spacing w:val="-2"/>
        </w:rPr>
        <w:t xml:space="preserve"> </w:t>
      </w:r>
      <w:r w:rsidRPr="008E1809">
        <w:rPr>
          <w:rFonts w:ascii="Verdana" w:hAnsi="Verdana"/>
        </w:rPr>
        <w:t>de</w:t>
      </w:r>
      <w:r w:rsidRPr="008E1809">
        <w:rPr>
          <w:rFonts w:ascii="Verdana" w:hAnsi="Verdana"/>
          <w:spacing w:val="-2"/>
        </w:rPr>
        <w:t xml:space="preserve"> </w:t>
      </w:r>
      <w:r w:rsidRPr="008E1809">
        <w:rPr>
          <w:rFonts w:ascii="Verdana" w:hAnsi="Verdana"/>
        </w:rPr>
        <w:t>los</w:t>
      </w:r>
      <w:r w:rsidRPr="008E1809">
        <w:rPr>
          <w:rFonts w:ascii="Verdana" w:hAnsi="Verdana"/>
          <w:spacing w:val="-1"/>
        </w:rPr>
        <w:t xml:space="preserve"> </w:t>
      </w:r>
      <w:r w:rsidRPr="008E1809">
        <w:rPr>
          <w:rFonts w:ascii="Verdana" w:hAnsi="Verdana"/>
        </w:rPr>
        <w:t>denominados</w:t>
      </w:r>
      <w:r w:rsidRPr="008E1809">
        <w:rPr>
          <w:rFonts w:ascii="Verdana" w:hAnsi="Verdana"/>
          <w:spacing w:val="-2"/>
        </w:rPr>
        <w:t xml:space="preserve"> </w:t>
      </w:r>
      <w:r>
        <w:rPr>
          <w:rFonts w:ascii="Verdana" w:hAnsi="Verdana"/>
        </w:rPr>
        <w:t>“</w:t>
      </w:r>
      <w:r w:rsidRPr="008E1809">
        <w:rPr>
          <w:rFonts w:ascii="Verdana" w:hAnsi="Verdana"/>
        </w:rPr>
        <w:t>contratos</w:t>
      </w:r>
      <w:r w:rsidRPr="008E1809">
        <w:rPr>
          <w:rFonts w:ascii="Verdana" w:hAnsi="Verdana"/>
          <w:spacing w:val="-1"/>
        </w:rPr>
        <w:t xml:space="preserve"> </w:t>
      </w:r>
      <w:r w:rsidRPr="008E1809">
        <w:rPr>
          <w:rFonts w:ascii="Verdana" w:hAnsi="Verdana"/>
        </w:rPr>
        <w:t>sin</w:t>
      </w:r>
      <w:r w:rsidRPr="008E1809">
        <w:rPr>
          <w:rFonts w:ascii="Verdana" w:hAnsi="Verdana"/>
          <w:spacing w:val="-2"/>
        </w:rPr>
        <w:t xml:space="preserve"> </w:t>
      </w:r>
      <w:r w:rsidRPr="008E1809">
        <w:rPr>
          <w:rFonts w:ascii="Verdana" w:hAnsi="Verdana"/>
        </w:rPr>
        <w:t>formalidades</w:t>
      </w:r>
      <w:r w:rsidRPr="008E1809">
        <w:rPr>
          <w:rFonts w:ascii="Verdana" w:hAnsi="Verdana"/>
          <w:spacing w:val="-1"/>
        </w:rPr>
        <w:t xml:space="preserve"> </w:t>
      </w:r>
      <w:r w:rsidRPr="008E1809">
        <w:rPr>
          <w:rFonts w:ascii="Verdana" w:hAnsi="Verdana"/>
        </w:rPr>
        <w:t>plenas</w:t>
      </w:r>
      <w:r>
        <w:rPr>
          <w:rFonts w:ascii="Verdana" w:hAnsi="Verdana"/>
        </w:rPr>
        <w:t>”</w:t>
      </w:r>
      <w:r>
        <w:rPr>
          <w:rStyle w:val="Refdenotaalpie"/>
          <w:rFonts w:ascii="Verdana" w:hAnsi="Verdana"/>
        </w:rPr>
        <w:footnoteReference w:id="8"/>
      </w:r>
      <w:r w:rsidRPr="008E1809">
        <w:rPr>
          <w:rFonts w:ascii="Verdana" w:hAnsi="Verdana"/>
        </w:rPr>
        <w:t>.</w:t>
      </w:r>
    </w:p>
    <w:p w14:paraId="70E9D942" w14:textId="77777777" w:rsidR="00D115BB" w:rsidRDefault="00D115BB" w:rsidP="00D115BB">
      <w:pPr>
        <w:pStyle w:val="Textoindependiente"/>
        <w:ind w:firstLine="709"/>
        <w:jc w:val="both"/>
        <w:rPr>
          <w:rFonts w:ascii="Verdana" w:hAnsi="Verdana"/>
        </w:rPr>
      </w:pPr>
      <w:r>
        <w:rPr>
          <w:rFonts w:ascii="Verdana" w:hAnsi="Verdana"/>
        </w:rPr>
        <w:t xml:space="preserve">Para la estimación de la menor cuantía, así como para calcular diez por ciento –10%– de la mínima cuantía, es necesario el dato del salario mínimo legal mensual vigente. El artículo 1 del </w:t>
      </w:r>
      <w:r w:rsidRPr="00CF43AF">
        <w:rPr>
          <w:rFonts w:ascii="Verdana" w:hAnsi="Verdana"/>
        </w:rPr>
        <w:t>Decreto 1469 de 2025</w:t>
      </w:r>
      <w:r>
        <w:rPr>
          <w:rFonts w:ascii="Verdana" w:hAnsi="Verdana"/>
        </w:rPr>
        <w:t xml:space="preserve"> fijó dicho valor por la suma de </w:t>
      </w:r>
      <w:r w:rsidRPr="00CF43AF">
        <w:rPr>
          <w:rFonts w:ascii="Verdana" w:hAnsi="Verdana"/>
        </w:rPr>
        <w:t>$1.750.905</w:t>
      </w:r>
      <w:r>
        <w:rPr>
          <w:rFonts w:ascii="Verdana" w:hAnsi="Verdana"/>
        </w:rPr>
        <w:t xml:space="preserve"> para el 2026. Sin embargo, la Subsección A de la Sección Segunda del Consejo de Estado –mediante Auto del 12 de febrero de 2026 con ponencia del Consejero </w:t>
      </w:r>
      <w:r w:rsidRPr="00977A26">
        <w:rPr>
          <w:rFonts w:ascii="Verdana" w:hAnsi="Verdana"/>
        </w:rPr>
        <w:t>Juan Camilo Morales Trujillo</w:t>
      </w:r>
      <w:r>
        <w:rPr>
          <w:rFonts w:ascii="Verdana" w:hAnsi="Verdana"/>
        </w:rPr>
        <w:t xml:space="preserve">– suspendió provisionalmente el mencionado acto administrativo. Por ello, ordenó a las entidades demandadas que “[…] </w:t>
      </w:r>
      <w:r w:rsidRPr="00977A26">
        <w:rPr>
          <w:rFonts w:ascii="Verdana" w:hAnsi="Verdana"/>
        </w:rPr>
        <w:t>dentro de los ocho (8) días calendario contados a partir del día siguiente a la notificación de esta providencia, realicen, expidan y publiquen un decreto en el que se fije el porcentaje transitorio de aumento del salario mínimo legal para el año 2026 y el consecuente valor total del mismo para esta vigencia, que regirá hasta tanto se dicte sentencia en el proceso</w:t>
      </w:r>
      <w:r>
        <w:rPr>
          <w:rFonts w:ascii="Verdana" w:hAnsi="Verdana"/>
        </w:rPr>
        <w:t>”</w:t>
      </w:r>
      <w:r w:rsidRPr="00977A26">
        <w:rPr>
          <w:rFonts w:ascii="Verdana" w:hAnsi="Verdana"/>
        </w:rPr>
        <w:t>.</w:t>
      </w:r>
    </w:p>
    <w:p w14:paraId="5640A698" w14:textId="77777777" w:rsidR="00D115BB" w:rsidRDefault="00D115BB" w:rsidP="00D115BB">
      <w:pPr>
        <w:pStyle w:val="Textoindependiente"/>
        <w:ind w:firstLine="709"/>
        <w:jc w:val="both"/>
        <w:rPr>
          <w:rFonts w:ascii="Verdana" w:hAnsi="Verdana"/>
        </w:rPr>
      </w:pPr>
      <w:r>
        <w:rPr>
          <w:rFonts w:ascii="Verdana" w:hAnsi="Verdana"/>
        </w:rPr>
        <w:t>Ahora bien, el numeral cuarto de la providencia judicial precisó lo siguiente: “</w:t>
      </w:r>
      <w:r w:rsidRPr="006E56BD">
        <w:rPr>
          <w:rFonts w:ascii="Verdana" w:hAnsi="Verdana"/>
          <w:b/>
          <w:bCs/>
        </w:rPr>
        <w:t>DIFERIR</w:t>
      </w:r>
      <w:r w:rsidRPr="006E56BD">
        <w:rPr>
          <w:rFonts w:ascii="Verdana" w:hAnsi="Verdana"/>
        </w:rPr>
        <w:t xml:space="preserve"> los efectos de la suspensión provisional, que se hará efectiva únicamente a partir de la fecha en que se publique el decreto de que trata el numeral anterior mediante el cual se determine la cifra transitoria. </w:t>
      </w:r>
      <w:r w:rsidRPr="006E56BD">
        <w:rPr>
          <w:rFonts w:ascii="Verdana" w:hAnsi="Verdana"/>
          <w:i/>
          <w:iCs/>
        </w:rPr>
        <w:t>Durante el lapso comprendido entre la notificación de esta providencia y la fecha de publicación del referido acto administrativo, el valor del salario mínimo para la vigencia 2026 seguirá correspondiendo al establecido en el Decreto 1469 de 2025</w:t>
      </w:r>
      <w:r>
        <w:rPr>
          <w:rFonts w:ascii="Verdana" w:hAnsi="Verdana"/>
        </w:rPr>
        <w:t xml:space="preserve">” (Cursivas fuera de texto). Esto significa que, durante el mencionado periodo, la suma de </w:t>
      </w:r>
      <w:r w:rsidRPr="00CF43AF">
        <w:rPr>
          <w:rFonts w:ascii="Verdana" w:hAnsi="Verdana"/>
        </w:rPr>
        <w:t>$1.750.905</w:t>
      </w:r>
      <w:r>
        <w:rPr>
          <w:rFonts w:ascii="Verdana" w:hAnsi="Verdana"/>
        </w:rPr>
        <w:t xml:space="preserve"> fue el salario mínimo mensual vigente para todos los efectos legales, lo que incluye también la influencia de este valor en el cálculo de la menor y mínima cuantía para efectos de la contratación de las entidades sometidas a la Ley 80 de 1993.</w:t>
      </w:r>
    </w:p>
    <w:p w14:paraId="09440B89" w14:textId="77777777" w:rsidR="00D115BB" w:rsidRDefault="00D115BB" w:rsidP="00D115BB">
      <w:pPr>
        <w:pStyle w:val="Textoindependiente"/>
        <w:spacing w:after="0"/>
        <w:ind w:firstLine="709"/>
        <w:jc w:val="both"/>
        <w:rPr>
          <w:rFonts w:ascii="Verdana" w:hAnsi="Verdana"/>
        </w:rPr>
      </w:pPr>
      <w:r>
        <w:rPr>
          <w:rFonts w:ascii="Verdana" w:hAnsi="Verdana"/>
        </w:rPr>
        <w:lastRenderedPageBreak/>
        <w:t xml:space="preserve">Por lo demás, el artículo 1 del Decreto 159 de 2026 –acto administrativo expedido por el Gobierno Nacional conforme a lo ordenado por el máximo órgano de la jurisdicción contenciosa administrativa– mantuvo la suma de </w:t>
      </w:r>
      <w:r w:rsidRPr="00CF43AF">
        <w:rPr>
          <w:rFonts w:ascii="Verdana" w:hAnsi="Verdana"/>
        </w:rPr>
        <w:t>$1.750.905</w:t>
      </w:r>
      <w:r>
        <w:rPr>
          <w:rFonts w:ascii="Verdana" w:hAnsi="Verdana"/>
        </w:rPr>
        <w:t xml:space="preserve"> con valor del salario mínimo legal mensual para el 2026. Luego, dicha cifra continúa siendo la base para estimar el monto de la menor cuantía en función del presupuesto oficial y, a partir de allí, calcular el diez por ciento –10%– de la mínima cuantía: para lo que no esté dentro de los umbrales correspondientes a alguna de estas dos (2) modalidades de selección, debe aplicarse la regla del inciso primero del artículo 2.1 de la Ley 1150 de 2007; razón por la cual, “</w:t>
      </w:r>
      <w:r w:rsidRPr="000933C7">
        <w:rPr>
          <w:rFonts w:ascii="Verdana" w:hAnsi="Verdana"/>
        </w:rPr>
        <w:t>La escogencia del contratista se efectuará por regla general a través de licitación pública, con las excepciones que se señalan en los numerales 2, 3 y 4 del presente artículo</w:t>
      </w:r>
      <w:r>
        <w:rPr>
          <w:rFonts w:ascii="Verdana" w:hAnsi="Verdana"/>
        </w:rPr>
        <w:t>”</w:t>
      </w:r>
      <w:r w:rsidRPr="000933C7">
        <w:rPr>
          <w:rFonts w:ascii="Verdana" w:hAnsi="Verdana"/>
        </w:rPr>
        <w:t>.</w:t>
      </w:r>
    </w:p>
    <w:p w14:paraId="127B32FB" w14:textId="77777777" w:rsidR="00D115BB" w:rsidRDefault="00D115BB" w:rsidP="00D115BB">
      <w:pPr>
        <w:pStyle w:val="Textoindependiente"/>
        <w:spacing w:after="0"/>
        <w:ind w:firstLine="709"/>
        <w:jc w:val="both"/>
        <w:rPr>
          <w:rFonts w:ascii="Verdana" w:hAnsi="Verdana"/>
        </w:rPr>
      </w:pPr>
    </w:p>
    <w:p w14:paraId="1B5F811B" w14:textId="77777777" w:rsidR="00D115BB" w:rsidRPr="003F4A18" w:rsidRDefault="00D115BB" w:rsidP="00D115BB">
      <w:pPr>
        <w:spacing w:after="0" w:line="276" w:lineRule="auto"/>
        <w:jc w:val="both"/>
        <w:rPr>
          <w:rFonts w:ascii="Verdana" w:eastAsia="Arial" w:hAnsi="Verdana" w:cs="Arial"/>
          <w:color w:val="000000"/>
        </w:rPr>
      </w:pPr>
      <w:r w:rsidRPr="003F4A18">
        <w:rPr>
          <w:rFonts w:ascii="Verdana" w:hAnsi="Verdana"/>
        </w:rPr>
        <w:t xml:space="preserve">ii. </w:t>
      </w:r>
      <w:r w:rsidRPr="003F4A18">
        <w:rPr>
          <w:rFonts w:ascii="Verdana" w:eastAsia="Arial" w:hAnsi="Verdana" w:cs="Arial"/>
          <w:color w:val="000000"/>
        </w:rPr>
        <w:t xml:space="preserve">Ahora bien, uno de los principios transversales de los procedimientos de selección es el de </w:t>
      </w:r>
      <w:r w:rsidRPr="003F4A18">
        <w:rPr>
          <w:rFonts w:ascii="Verdana" w:eastAsia="Arial" w:hAnsi="Verdana" w:cs="Arial"/>
          <w:i/>
          <w:color w:val="000000"/>
        </w:rPr>
        <w:t>selección objetiva</w:t>
      </w:r>
      <w:r w:rsidRPr="003F4A18">
        <w:rPr>
          <w:rFonts w:ascii="Verdana" w:eastAsia="Arial" w:hAnsi="Verdana" w:cs="Arial"/>
          <w:color w:val="000000"/>
        </w:rPr>
        <w:t>. Se trata del postulado que exige que la escogencia de la oferta ganadora deba fundamentarse en factores objetivos, de carácter técnico, jurídico y financiero, y no en criterios subjetivos, como el afecto, la amistad, el ánimo de ayuda, el interés personal, etc. Si bien dentro de la historia de la contratación pública en Colombia se vislumbran antecedentes normativos que consagraban dicho principio</w:t>
      </w:r>
      <w:r w:rsidRPr="003F4A18">
        <w:rPr>
          <w:rFonts w:ascii="Verdana" w:eastAsia="Arial" w:hAnsi="Verdana" w:cs="Arial"/>
          <w:color w:val="000000"/>
          <w:vertAlign w:val="superscript"/>
        </w:rPr>
        <w:footnoteReference w:id="9"/>
      </w:r>
      <w:r w:rsidRPr="003F4A18">
        <w:rPr>
          <w:rFonts w:ascii="Verdana" w:eastAsia="Arial" w:hAnsi="Verdana" w:cs="Arial"/>
          <w:color w:val="000000"/>
        </w:rPr>
        <w:t xml:space="preserve">, en la actualidad la disposición legal que lo prevé de manera más clara y contundente es el artículo 5 de la Ley 1150 de 2007, modificado por el artículo 88 de la Ley 1474 de 2011 y por el artículo 5 de la Ley 1882 de 2018. Esta norma prescribe lo siguiente: </w:t>
      </w:r>
    </w:p>
    <w:p w14:paraId="39E8ABF2" w14:textId="77777777" w:rsidR="00D115BB" w:rsidRPr="003F4A18" w:rsidRDefault="00D115BB" w:rsidP="00D115BB">
      <w:pPr>
        <w:spacing w:after="0" w:line="276" w:lineRule="auto"/>
        <w:jc w:val="both"/>
        <w:rPr>
          <w:rFonts w:ascii="Verdana" w:eastAsia="Arial" w:hAnsi="Verdana" w:cs="Arial"/>
          <w:color w:val="000000"/>
        </w:rPr>
      </w:pPr>
    </w:p>
    <w:p w14:paraId="2E19332A" w14:textId="77777777" w:rsidR="00D115BB" w:rsidRPr="003F4A18" w:rsidRDefault="00D115BB" w:rsidP="00D115BB">
      <w:pPr>
        <w:spacing w:after="120" w:line="240" w:lineRule="auto"/>
        <w:ind w:left="709" w:right="709"/>
        <w:jc w:val="both"/>
        <w:rPr>
          <w:rFonts w:ascii="Verdana" w:eastAsia="Arial" w:hAnsi="Verdana" w:cs="Arial"/>
          <w:color w:val="000000"/>
          <w:sz w:val="20"/>
          <w:szCs w:val="20"/>
        </w:rPr>
      </w:pPr>
      <w:r w:rsidRPr="003F4A18">
        <w:rPr>
          <w:rFonts w:ascii="Verdana" w:eastAsia="Arial" w:hAnsi="Verdana" w:cs="Arial"/>
          <w:color w:val="000000"/>
          <w:sz w:val="20"/>
          <w:szCs w:val="20"/>
        </w:rPr>
        <w:lastRenderedPageBreak/>
        <w:t>“ARTÍCULO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17CC9A57" w14:textId="77777777" w:rsidR="00D115BB" w:rsidRPr="003F4A18" w:rsidRDefault="00D115BB" w:rsidP="00D115BB">
      <w:pPr>
        <w:spacing w:after="120" w:line="240" w:lineRule="auto"/>
        <w:ind w:left="709" w:right="709"/>
        <w:jc w:val="both"/>
        <w:rPr>
          <w:rFonts w:ascii="Verdana" w:eastAsia="Arial" w:hAnsi="Verdana" w:cs="Arial"/>
          <w:color w:val="000000"/>
          <w:sz w:val="20"/>
          <w:szCs w:val="20"/>
        </w:rPr>
      </w:pPr>
      <w:r w:rsidRPr="003F4A18">
        <w:rPr>
          <w:rFonts w:ascii="Verdana" w:eastAsia="Arial" w:hAnsi="Verdana" w:cs="Arial"/>
          <w:color w:val="000000"/>
          <w:sz w:val="20"/>
          <w:szCs w:val="20"/>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1F49CB68" w14:textId="77777777" w:rsidR="00D115BB" w:rsidRPr="003F4A18" w:rsidRDefault="00D115BB" w:rsidP="00D115BB">
      <w:pPr>
        <w:spacing w:after="120" w:line="240" w:lineRule="auto"/>
        <w:ind w:left="709" w:right="709"/>
        <w:jc w:val="both"/>
        <w:rPr>
          <w:rFonts w:ascii="Verdana" w:eastAsia="Arial" w:hAnsi="Verdana" w:cs="Arial"/>
          <w:color w:val="000000"/>
          <w:sz w:val="20"/>
          <w:szCs w:val="20"/>
        </w:rPr>
      </w:pPr>
      <w:r w:rsidRPr="003F4A18">
        <w:rPr>
          <w:rFonts w:ascii="Verdana" w:eastAsia="Arial" w:hAnsi="Verdana" w:cs="Arial"/>
          <w:color w:val="000000"/>
          <w:sz w:val="20"/>
          <w:szCs w:val="20"/>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6D0D196A" w14:textId="77777777" w:rsidR="00D115BB" w:rsidRPr="003F4A18" w:rsidRDefault="00D115BB" w:rsidP="00D115BB">
      <w:pPr>
        <w:spacing w:after="120" w:line="240" w:lineRule="auto"/>
        <w:ind w:left="709" w:right="709"/>
        <w:jc w:val="both"/>
        <w:rPr>
          <w:rFonts w:ascii="Verdana" w:eastAsia="Arial" w:hAnsi="Verdana" w:cs="Arial"/>
          <w:color w:val="000000"/>
          <w:sz w:val="20"/>
          <w:szCs w:val="20"/>
        </w:rPr>
      </w:pPr>
      <w:r w:rsidRPr="003F4A18">
        <w:rPr>
          <w:rFonts w:ascii="Verdana" w:eastAsia="Arial" w:hAnsi="Verdana" w:cs="Arial"/>
          <w:color w:val="000000"/>
          <w:sz w:val="20"/>
          <w:szCs w:val="20"/>
        </w:rPr>
        <w:t>En los procesos de selección en los que se tenga en cuenta los factores técnicos y económicos, la oferta más ventajosa será la que resulte de aplicar alguna de las siguientes alternativas:</w:t>
      </w:r>
    </w:p>
    <w:p w14:paraId="2A94E009" w14:textId="77777777" w:rsidR="00D115BB" w:rsidRPr="003F4A18" w:rsidRDefault="00D115BB" w:rsidP="00D115BB">
      <w:pPr>
        <w:spacing w:after="120" w:line="240" w:lineRule="auto"/>
        <w:ind w:left="709" w:right="709"/>
        <w:jc w:val="both"/>
        <w:rPr>
          <w:rFonts w:ascii="Verdana" w:eastAsia="Arial" w:hAnsi="Verdana" w:cs="Arial"/>
          <w:color w:val="000000"/>
          <w:sz w:val="20"/>
          <w:szCs w:val="20"/>
        </w:rPr>
      </w:pPr>
      <w:r w:rsidRPr="003F4A18">
        <w:rPr>
          <w:rFonts w:ascii="Verdana" w:eastAsia="Arial" w:hAnsi="Verdana" w:cs="Arial"/>
          <w:color w:val="000000"/>
          <w:sz w:val="20"/>
          <w:szCs w:val="20"/>
        </w:rPr>
        <w:t>a) La ponderación de los elementos de calidad y precio soportados en puntajes o fórmulas señaladas en el pliego de condiciones; o</w:t>
      </w:r>
    </w:p>
    <w:p w14:paraId="2C637BBC" w14:textId="77777777" w:rsidR="00D115BB" w:rsidRPr="003F4A18" w:rsidRDefault="00D115BB" w:rsidP="00D115BB">
      <w:pPr>
        <w:spacing w:after="120" w:line="240" w:lineRule="auto"/>
        <w:ind w:left="709" w:right="709"/>
        <w:jc w:val="both"/>
        <w:rPr>
          <w:rFonts w:ascii="Verdana" w:eastAsia="Arial" w:hAnsi="Verdana" w:cs="Arial"/>
          <w:color w:val="000000"/>
          <w:sz w:val="20"/>
          <w:szCs w:val="20"/>
        </w:rPr>
      </w:pPr>
      <w:r w:rsidRPr="003F4A18">
        <w:rPr>
          <w:rFonts w:ascii="Verdana" w:eastAsia="Arial" w:hAnsi="Verdana" w:cs="Arial"/>
          <w:color w:val="000000"/>
          <w:sz w:val="20"/>
          <w:szCs w:val="20"/>
        </w:rPr>
        <w:t>b) La ponderación de los elementos de calidad y precio que representen la mejor relación de costo-beneficio para la entidad.</w:t>
      </w:r>
    </w:p>
    <w:p w14:paraId="7F8E9331" w14:textId="77777777" w:rsidR="00D115BB" w:rsidRPr="003F4A18" w:rsidRDefault="00D115BB" w:rsidP="00D115BB">
      <w:pPr>
        <w:spacing w:after="120" w:line="240" w:lineRule="auto"/>
        <w:ind w:left="709" w:right="709"/>
        <w:jc w:val="both"/>
        <w:rPr>
          <w:rFonts w:ascii="Verdana" w:eastAsia="Arial" w:hAnsi="Verdana" w:cs="Arial"/>
          <w:color w:val="000000"/>
          <w:sz w:val="20"/>
          <w:szCs w:val="20"/>
        </w:rPr>
      </w:pPr>
      <w:r w:rsidRPr="003F4A18">
        <w:rPr>
          <w:rFonts w:ascii="Verdana" w:eastAsia="Arial" w:hAnsi="Verdana" w:cs="Arial"/>
          <w:color w:val="000000"/>
          <w:sz w:val="20"/>
          <w:szCs w:val="20"/>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p>
    <w:p w14:paraId="1BB1ABF9" w14:textId="77777777" w:rsidR="00D115BB" w:rsidRPr="003F4A18" w:rsidRDefault="00D115BB" w:rsidP="00D115BB">
      <w:pPr>
        <w:spacing w:after="120" w:line="240" w:lineRule="auto"/>
        <w:ind w:left="709" w:right="709"/>
        <w:jc w:val="both"/>
        <w:rPr>
          <w:rFonts w:ascii="Verdana" w:eastAsia="Arial" w:hAnsi="Verdana" w:cs="Arial"/>
          <w:color w:val="000000"/>
          <w:sz w:val="20"/>
          <w:szCs w:val="20"/>
        </w:rPr>
      </w:pPr>
      <w:r w:rsidRPr="003F4A18">
        <w:rPr>
          <w:rFonts w:ascii="Verdana" w:eastAsia="Arial" w:hAnsi="Verdana" w:cs="Arial"/>
          <w:color w:val="000000"/>
          <w:sz w:val="20"/>
          <w:szCs w:val="20"/>
        </w:rPr>
        <w:lastRenderedPageBreak/>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14:paraId="0A1F3BF6" w14:textId="77777777" w:rsidR="00D115BB" w:rsidRPr="003F4A18" w:rsidRDefault="00D115BB" w:rsidP="00D115BB">
      <w:pPr>
        <w:spacing w:after="120" w:line="240" w:lineRule="auto"/>
        <w:ind w:left="709" w:right="709"/>
        <w:jc w:val="both"/>
        <w:rPr>
          <w:rFonts w:ascii="Verdana" w:eastAsia="Arial" w:hAnsi="Verdana" w:cs="Arial"/>
          <w:color w:val="000000"/>
          <w:sz w:val="20"/>
          <w:szCs w:val="20"/>
        </w:rPr>
      </w:pPr>
      <w:r w:rsidRPr="003F4A18">
        <w:rPr>
          <w:rFonts w:ascii="Verdana" w:eastAsia="Arial" w:hAnsi="Verdana" w:cs="Arial"/>
          <w:color w:val="000000"/>
          <w:sz w:val="20"/>
          <w:szCs w:val="20"/>
        </w:rPr>
        <w:t>En ningún caso se podrá incluir el precio, como factor de escogencia para la selección de consultores.</w:t>
      </w:r>
    </w:p>
    <w:p w14:paraId="6B4C114D" w14:textId="77777777" w:rsidR="00D115BB" w:rsidRPr="003F4A18" w:rsidRDefault="00D115BB" w:rsidP="00D115BB">
      <w:pPr>
        <w:spacing w:after="120" w:line="240" w:lineRule="auto"/>
        <w:ind w:left="709" w:right="709"/>
        <w:jc w:val="both"/>
        <w:rPr>
          <w:rFonts w:ascii="Verdana" w:eastAsia="Arial" w:hAnsi="Verdana" w:cs="Arial"/>
          <w:color w:val="000000"/>
          <w:sz w:val="20"/>
          <w:szCs w:val="20"/>
        </w:rPr>
      </w:pPr>
      <w:r w:rsidRPr="003F4A18">
        <w:rPr>
          <w:rFonts w:ascii="Verdana" w:eastAsia="Arial" w:hAnsi="Verdana" w:cs="Arial"/>
          <w:color w:val="000000"/>
          <w:sz w:val="20"/>
          <w:szCs w:val="20"/>
        </w:rPr>
        <w:t>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60409502" w14:textId="77777777" w:rsidR="00D115BB" w:rsidRPr="003F4A18" w:rsidRDefault="00D115BB" w:rsidP="00D115BB">
      <w:pPr>
        <w:spacing w:after="120" w:line="240" w:lineRule="auto"/>
        <w:ind w:left="709" w:right="709"/>
        <w:jc w:val="both"/>
        <w:rPr>
          <w:rFonts w:ascii="Verdana" w:eastAsia="Arial" w:hAnsi="Verdana" w:cs="Arial"/>
          <w:color w:val="000000"/>
          <w:sz w:val="20"/>
          <w:szCs w:val="20"/>
        </w:rPr>
      </w:pPr>
      <w:r w:rsidRPr="003F4A18">
        <w:rPr>
          <w:rFonts w:ascii="Verdana" w:eastAsia="Arial" w:hAnsi="Verdana" w:cs="Arial"/>
          <w:color w:val="000000"/>
          <w:sz w:val="20"/>
          <w:szCs w:val="20"/>
        </w:rPr>
        <w:t>Durante el término otorgado para subsanar las ofertas, los proponentes no podrán acreditar circunstancias ocurridas con posterioridad al cierre del proceso.</w:t>
      </w:r>
    </w:p>
    <w:p w14:paraId="28A14612" w14:textId="77777777" w:rsidR="00D115BB" w:rsidRPr="003F4A18" w:rsidRDefault="00D115BB" w:rsidP="00D115BB">
      <w:pPr>
        <w:spacing w:after="120" w:line="240" w:lineRule="auto"/>
        <w:ind w:left="709" w:right="709"/>
        <w:jc w:val="both"/>
        <w:rPr>
          <w:rFonts w:ascii="Verdana" w:eastAsia="Arial" w:hAnsi="Verdana" w:cs="Arial"/>
          <w:color w:val="000000"/>
          <w:sz w:val="20"/>
          <w:szCs w:val="20"/>
        </w:rPr>
      </w:pPr>
      <w:r w:rsidRPr="003F4A18">
        <w:rPr>
          <w:rFonts w:ascii="Verdana" w:eastAsia="Arial" w:hAnsi="Verdana" w:cs="Arial"/>
          <w:color w:val="000000"/>
          <w:sz w:val="20"/>
          <w:szCs w:val="20"/>
        </w:rPr>
        <w:t>PARÁGRAFO 2o. Las certificaciones de sistemas de gestión de calidad no serán objeto de calificación, ni podrán establecerse como documento habilitante para participar en licitaciones o concursos.</w:t>
      </w:r>
    </w:p>
    <w:p w14:paraId="4E09D9EF" w14:textId="77777777" w:rsidR="00D115BB" w:rsidRPr="003F4A18" w:rsidRDefault="00D115BB" w:rsidP="00D115BB">
      <w:pPr>
        <w:spacing w:after="120" w:line="240" w:lineRule="auto"/>
        <w:ind w:left="709" w:right="709"/>
        <w:jc w:val="both"/>
        <w:rPr>
          <w:rFonts w:ascii="Verdana" w:eastAsia="Arial" w:hAnsi="Verdana" w:cs="Arial"/>
          <w:color w:val="000000"/>
          <w:sz w:val="20"/>
          <w:szCs w:val="20"/>
        </w:rPr>
      </w:pPr>
      <w:r w:rsidRPr="003F4A18">
        <w:rPr>
          <w:rFonts w:ascii="Verdana" w:eastAsia="Arial" w:hAnsi="Verdana" w:cs="Arial"/>
          <w:color w:val="000000"/>
          <w:sz w:val="20"/>
          <w:szCs w:val="20"/>
        </w:rPr>
        <w:t>PARÁGRAFO 3o. &lt;Parágrafo adicionado por el artículo 5 de la Ley 1882 de 2018. El nuevo texto es el siguiente:&gt; La no entrega de la garantía de seriedad junto con la propuesta no será subsanable y será causal de rechazo de la misma.</w:t>
      </w:r>
    </w:p>
    <w:p w14:paraId="6AFA84E8" w14:textId="77777777" w:rsidR="00D115BB" w:rsidRPr="003F4A18" w:rsidRDefault="00D115BB" w:rsidP="00D115BB">
      <w:pPr>
        <w:spacing w:after="120" w:line="240" w:lineRule="auto"/>
        <w:ind w:left="709" w:right="709"/>
        <w:jc w:val="both"/>
        <w:rPr>
          <w:rFonts w:ascii="Verdana" w:eastAsia="Arial" w:hAnsi="Verdana" w:cs="Arial"/>
          <w:color w:val="000000"/>
          <w:sz w:val="20"/>
          <w:szCs w:val="20"/>
        </w:rPr>
      </w:pPr>
      <w:r w:rsidRPr="003F4A18">
        <w:rPr>
          <w:rFonts w:ascii="Verdana" w:eastAsia="Arial" w:hAnsi="Verdana" w:cs="Arial"/>
          <w:color w:val="000000"/>
          <w:sz w:val="20"/>
          <w:szCs w:val="20"/>
        </w:rPr>
        <w:t>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comparación de las propuestas, deberán ser solicitados hasta el momento previo a su realización.</w:t>
      </w:r>
    </w:p>
    <w:p w14:paraId="27C9A561" w14:textId="77777777" w:rsidR="00D115BB" w:rsidRPr="003F4A18" w:rsidRDefault="00D115BB" w:rsidP="00D115BB">
      <w:pPr>
        <w:spacing w:after="0" w:line="240" w:lineRule="auto"/>
        <w:ind w:left="709" w:right="709"/>
        <w:jc w:val="both"/>
        <w:rPr>
          <w:rFonts w:ascii="Verdana" w:eastAsia="Arial" w:hAnsi="Verdana" w:cs="Arial"/>
          <w:color w:val="000000"/>
          <w:sz w:val="20"/>
          <w:szCs w:val="20"/>
        </w:rPr>
      </w:pPr>
      <w:r w:rsidRPr="003F4A18">
        <w:rPr>
          <w:rFonts w:ascii="Verdana" w:eastAsia="Arial" w:hAnsi="Verdana" w:cs="Arial"/>
          <w:color w:val="000000"/>
          <w:sz w:val="20"/>
          <w:szCs w:val="20"/>
        </w:rPr>
        <w:t xml:space="preserve">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 </w:t>
      </w:r>
    </w:p>
    <w:p w14:paraId="7DDA3FB2" w14:textId="77777777" w:rsidR="00D115BB" w:rsidRPr="003F4A18" w:rsidRDefault="00D115BB" w:rsidP="00D115BB">
      <w:pPr>
        <w:spacing w:after="0" w:line="276" w:lineRule="auto"/>
        <w:jc w:val="both"/>
        <w:rPr>
          <w:rFonts w:ascii="Verdana" w:eastAsia="Arial" w:hAnsi="Verdana" w:cs="Arial"/>
          <w:color w:val="000000"/>
        </w:rPr>
      </w:pPr>
    </w:p>
    <w:p w14:paraId="38CA781D" w14:textId="77777777" w:rsidR="00D115BB" w:rsidRPr="003F4A18" w:rsidRDefault="00D115BB" w:rsidP="00D115BB">
      <w:pPr>
        <w:tabs>
          <w:tab w:val="left" w:pos="0"/>
        </w:tabs>
        <w:spacing w:after="120" w:line="276" w:lineRule="auto"/>
        <w:jc w:val="both"/>
        <w:rPr>
          <w:rFonts w:ascii="Verdana" w:eastAsia="Arial" w:hAnsi="Verdana" w:cs="Arial"/>
          <w:color w:val="000000"/>
        </w:rPr>
      </w:pPr>
      <w:r w:rsidRPr="003F4A18">
        <w:rPr>
          <w:rFonts w:ascii="Verdana" w:eastAsia="Arial" w:hAnsi="Verdana" w:cs="Arial"/>
          <w:color w:val="000000"/>
        </w:rPr>
        <w:lastRenderedPageBreak/>
        <w:tab/>
        <w:t xml:space="preserve">De acuerdo con el artículo 5 de la Ley 1150 de 2007, conforme con lo expresado en el Concepto C-166 del 23 de abril de 2021, el deber de selección objetiva supone que las entidades escojan en los procesos de selección el “[…] ofrecimiento más favorable a la entidad y a los fines que ella busca […]”. Tal favorabilidad debe determinarse a partir de criterios que pueden variar de acuerdo con el objeto contractual o la modalidad de selección aplicable, los cuales, en todo caso, para que la selección sea objetiva, deben señalarse en el pliego de condiciones o documento equivalente. </w:t>
      </w:r>
    </w:p>
    <w:p w14:paraId="4A6ED277" w14:textId="77777777" w:rsidR="00D115BB" w:rsidRPr="003F4A18" w:rsidRDefault="00D115BB" w:rsidP="00D115BB">
      <w:pPr>
        <w:tabs>
          <w:tab w:val="left" w:pos="0"/>
        </w:tabs>
        <w:spacing w:after="120" w:line="276" w:lineRule="auto"/>
        <w:jc w:val="both"/>
        <w:rPr>
          <w:rFonts w:ascii="Verdana" w:eastAsia="Arial" w:hAnsi="Verdana" w:cs="Arial"/>
          <w:color w:val="000000"/>
        </w:rPr>
      </w:pPr>
      <w:bookmarkStart w:id="10" w:name="_1fob9te" w:colFirst="0" w:colLast="0"/>
      <w:bookmarkEnd w:id="10"/>
      <w:r w:rsidRPr="003F4A18">
        <w:rPr>
          <w:rFonts w:ascii="Verdana" w:eastAsia="Arial" w:hAnsi="Verdana" w:cs="Arial"/>
          <w:color w:val="000000"/>
        </w:rPr>
        <w:tab/>
        <w:t>Al respecto, el numeral 1 del artículo 5 de la Ley 1150 de 2007 se refiere a algunos requisitos exigibles en la generalidad de procesos de selección adelantados conforme al EGCAP, tales como la capacidad jurídica, las condiciones de experiencia, la capacidad financiera y de organización, denominados requisitos habilitantes, los cuales –en principio, salvo expresa disposición legal– no otorgan puntaje. Lo anterior comoquiera que estos no se refieren a la oferta misma sino a la idoneidad del oferente para asumir adecuadamente la ejecución del contrato</w:t>
      </w:r>
      <w:r w:rsidRPr="003F4A18">
        <w:rPr>
          <w:rFonts w:ascii="Verdana" w:eastAsia="Arial" w:hAnsi="Verdana" w:cs="Arial"/>
          <w:color w:val="000000"/>
          <w:vertAlign w:val="superscript"/>
        </w:rPr>
        <w:footnoteReference w:id="10"/>
      </w:r>
      <w:r w:rsidRPr="003F4A18">
        <w:rPr>
          <w:rFonts w:ascii="Verdana" w:eastAsia="Arial" w:hAnsi="Verdana" w:cs="Arial"/>
          <w:color w:val="000000"/>
        </w:rPr>
        <w:t xml:space="preserve">. Los oferentes que cumplan estos requisitos habilitantes son considerados idóneos para ejecutar el objeto contractual, de manera que sus ofertas pueden ser consideradas en la evaluación dirigida a determinar cuál es la más favorable para la entidad y los fines de la contratación. En este sentido, los requisitos </w:t>
      </w:r>
      <w:r w:rsidRPr="003F4A18">
        <w:rPr>
          <w:rFonts w:ascii="Verdana" w:eastAsia="Arial" w:hAnsi="Verdana" w:cs="Arial"/>
          <w:i/>
          <w:color w:val="000000"/>
        </w:rPr>
        <w:t xml:space="preserve">habilitantes </w:t>
      </w:r>
      <w:r w:rsidRPr="003F4A18">
        <w:rPr>
          <w:rFonts w:ascii="Verdana" w:eastAsia="Arial" w:hAnsi="Verdana" w:cs="Arial"/>
          <w:color w:val="000000"/>
        </w:rPr>
        <w:t>son aquellos que deben cumplir en igualdad de condiciones los proponentes y cumplido el mínimo establecido en el pliego de condiciones o documento equivalente hacen que los proponentes se habiliten en el procedimiento de selección y sean susceptibles de ser seleccionados como futuros contratistas.</w:t>
      </w:r>
    </w:p>
    <w:p w14:paraId="188D0895" w14:textId="77777777" w:rsidR="00D115BB" w:rsidRPr="003F4A18" w:rsidRDefault="00D115BB" w:rsidP="00D115BB">
      <w:pPr>
        <w:tabs>
          <w:tab w:val="left" w:pos="0"/>
        </w:tabs>
        <w:spacing w:after="120" w:line="276" w:lineRule="auto"/>
        <w:jc w:val="both"/>
        <w:rPr>
          <w:rFonts w:ascii="Verdana" w:eastAsia="Arial" w:hAnsi="Verdana" w:cs="Arial"/>
          <w:color w:val="000000"/>
        </w:rPr>
      </w:pPr>
      <w:r w:rsidRPr="003F4A18">
        <w:rPr>
          <w:rFonts w:ascii="Verdana" w:eastAsia="Arial" w:hAnsi="Verdana" w:cs="Arial"/>
          <w:color w:val="000000"/>
        </w:rPr>
        <w:tab/>
        <w:t xml:space="preserve">En contraposición a los requisitos habilitantes, el artículo 5 de la Ley 1150 de 2007 regula los factores dirigidos a determinar cuál es la propuesta comparativamente más favorable. En ese sentido, el inciso primero dispone los factores de escogencia y calificación que deben indicarse en los pliegos de condiciones. El numeral 2 de esta norma establece que la oferta más favorable es aquella que resulte ser la más ventajosa para la entidad, una vez se realice la ponderación precisa y detallada de los factores técnicos y económicos de escogencia, de acuerdo con los parámetros establecidos en los pliegos de condiciones o equivalentes que permiten la comparación de ofertas. Este </w:t>
      </w:r>
      <w:r w:rsidRPr="003F4A18">
        <w:rPr>
          <w:rFonts w:ascii="Verdana" w:eastAsia="Arial" w:hAnsi="Verdana" w:cs="Arial"/>
          <w:color w:val="000000"/>
        </w:rPr>
        <w:lastRenderedPageBreak/>
        <w:t xml:space="preserve">numeral 2 se divide en dos literales, cada uno de los cuales hace referencia a los mecanismos por los que pueden optar las entidades para ponderar los elementos de calidad y precio de las ofertas. El literal a) alude a la ponderación de los referidos elementos mediante puntajes o fórmulas, mientras que el literal b) se refiere la elección de la oferta que represente la mejor relación costo – beneficio para la entidad. </w:t>
      </w:r>
    </w:p>
    <w:p w14:paraId="758EFE70" w14:textId="77777777" w:rsidR="00D115BB" w:rsidRPr="003F4A18" w:rsidRDefault="00D115BB" w:rsidP="00D115BB">
      <w:pPr>
        <w:tabs>
          <w:tab w:val="left" w:pos="0"/>
        </w:tabs>
        <w:spacing w:after="120" w:line="276" w:lineRule="auto"/>
        <w:jc w:val="both"/>
        <w:rPr>
          <w:rFonts w:ascii="Verdana" w:eastAsia="Arial" w:hAnsi="Verdana" w:cs="Arial"/>
          <w:color w:val="000000"/>
        </w:rPr>
      </w:pPr>
      <w:r w:rsidRPr="003F4A18">
        <w:rPr>
          <w:rFonts w:ascii="Verdana" w:eastAsia="Arial" w:hAnsi="Verdana" w:cs="Arial"/>
          <w:color w:val="000000"/>
        </w:rPr>
        <w:tab/>
        <w:t>Por su parte, el numeral 3 establece que en los procesos de selección de bienes y servicios de características técnicas uniformes y de común utilización el único factor de evaluación consiste en el menor precio. Por último, el numeral 4, referente a procedimientos para selección de consultores, señala que debe hacerse uso de factores de calificación, para valorar los aspectos técnicos de la oferta, permitiendo que entre ellos se pondere la experiencia.</w:t>
      </w:r>
    </w:p>
    <w:p w14:paraId="09C40561" w14:textId="77777777" w:rsidR="00D115BB" w:rsidRPr="003F4A18" w:rsidRDefault="00D115BB" w:rsidP="00D115BB">
      <w:pPr>
        <w:tabs>
          <w:tab w:val="left" w:pos="0"/>
        </w:tabs>
        <w:spacing w:after="0" w:line="276" w:lineRule="auto"/>
        <w:jc w:val="both"/>
        <w:rPr>
          <w:rFonts w:ascii="Verdana" w:eastAsia="Arial" w:hAnsi="Verdana" w:cs="Arial"/>
          <w:color w:val="000000"/>
        </w:rPr>
      </w:pPr>
      <w:r w:rsidRPr="003F4A18">
        <w:rPr>
          <w:rFonts w:ascii="Verdana" w:eastAsia="Arial" w:hAnsi="Verdana" w:cs="Arial"/>
          <w:color w:val="000000"/>
        </w:rPr>
        <w:tab/>
        <w:t xml:space="preserve">Conforme a lo anterior, el artículo 5 de la Ley 1150 de 2007, alude a diferentes conceptos como factores de escogencia, de calificación, técnicos y económicos de escogencia, de evaluación y calificación. Además, el artículo alude a unos factores que no otorgan puntaje y de otros que inciden en la comparación de ofertas. Por ello, la doctrina define los requisitos o factores ponderables como “[…] aquellas condiciones de la oferta y no de quien la presenta, que sí entrarán a ser evaluadas por la Administración y que en consecuencia, darán lugar a la escogencia objetiva de la mejor propuesta para la entidad” </w:t>
      </w:r>
      <w:r w:rsidRPr="003F4A18">
        <w:rPr>
          <w:rFonts w:ascii="Verdana" w:eastAsia="Arial" w:hAnsi="Verdana" w:cs="Arial"/>
          <w:color w:val="000000"/>
          <w:vertAlign w:val="superscript"/>
        </w:rPr>
        <w:footnoteReference w:id="11"/>
      </w:r>
      <w:r w:rsidRPr="003F4A18">
        <w:rPr>
          <w:rFonts w:ascii="Verdana" w:eastAsia="Arial" w:hAnsi="Verdana" w:cs="Arial"/>
          <w:color w:val="000000"/>
        </w:rPr>
        <w:t>. Todas estas categorías designan los “[…] factores a los cuales cabe otorgarles puntajes o que pueden ser ponderados, precisamente, pues estos son los factores que en últimas permiten una comparación de ofertas y una diferenciación entre ellas”</w:t>
      </w:r>
      <w:r w:rsidRPr="003F4A18">
        <w:rPr>
          <w:rFonts w:ascii="Verdana" w:eastAsia="Arial" w:hAnsi="Verdana" w:cs="Arial"/>
          <w:color w:val="000000"/>
          <w:vertAlign w:val="superscript"/>
        </w:rPr>
        <w:footnoteReference w:id="12"/>
      </w:r>
      <w:r w:rsidRPr="003F4A18">
        <w:rPr>
          <w:rFonts w:ascii="Verdana" w:eastAsia="Arial" w:hAnsi="Verdana" w:cs="Arial"/>
          <w:color w:val="000000"/>
        </w:rPr>
        <w:t>. Conforme a esto, la doctrina explica que:</w:t>
      </w:r>
    </w:p>
    <w:p w14:paraId="400F02ED" w14:textId="77777777" w:rsidR="00D115BB" w:rsidRPr="003F4A18" w:rsidRDefault="00D115BB" w:rsidP="00D115BB">
      <w:pPr>
        <w:tabs>
          <w:tab w:val="left" w:pos="0"/>
        </w:tabs>
        <w:spacing w:after="0" w:line="276" w:lineRule="auto"/>
        <w:ind w:left="709" w:right="709"/>
        <w:jc w:val="both"/>
        <w:rPr>
          <w:rFonts w:ascii="Verdana" w:eastAsia="Arial" w:hAnsi="Verdana" w:cs="Arial"/>
          <w:color w:val="000000"/>
          <w:sz w:val="21"/>
          <w:szCs w:val="21"/>
        </w:rPr>
      </w:pPr>
    </w:p>
    <w:p w14:paraId="1AF009C7" w14:textId="77777777" w:rsidR="00D115BB" w:rsidRPr="003F4A18" w:rsidRDefault="00D115BB" w:rsidP="00D115BB">
      <w:pPr>
        <w:tabs>
          <w:tab w:val="left" w:pos="0"/>
        </w:tabs>
        <w:spacing w:after="120" w:line="240" w:lineRule="auto"/>
        <w:ind w:left="709" w:right="709"/>
        <w:jc w:val="both"/>
        <w:rPr>
          <w:rFonts w:ascii="Verdana" w:eastAsia="Arial" w:hAnsi="Verdana" w:cs="Arial"/>
          <w:color w:val="000000"/>
          <w:sz w:val="20"/>
          <w:szCs w:val="20"/>
        </w:rPr>
      </w:pPr>
      <w:r w:rsidRPr="003F4A18">
        <w:rPr>
          <w:rFonts w:ascii="Verdana" w:eastAsia="Arial" w:hAnsi="Verdana" w:cs="Arial"/>
          <w:color w:val="000000"/>
          <w:sz w:val="20"/>
          <w:szCs w:val="20"/>
        </w:rPr>
        <w:t xml:space="preserve">“De acuerdo con ese entendimiento, el numeral 2 del artículo 5.° de la Ley  1150 de 2007, modificado por el artículo 88 de la Ley 1474 de 2011, comienza por señalar que </w:t>
      </w:r>
      <w:r>
        <w:rPr>
          <w:rFonts w:ascii="Verdana" w:eastAsia="Arial" w:hAnsi="Verdana" w:cs="Arial"/>
          <w:color w:val="000000"/>
          <w:sz w:val="20"/>
          <w:szCs w:val="20"/>
        </w:rPr>
        <w:t>‘</w:t>
      </w:r>
      <w:r w:rsidRPr="003F4A18">
        <w:rPr>
          <w:rFonts w:ascii="Verdana" w:eastAsia="Arial" w:hAnsi="Verdana" w:cs="Arial"/>
          <w:color w:val="000000"/>
          <w:sz w:val="20"/>
          <w:szCs w:val="20"/>
        </w:rPr>
        <w:t>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w:t>
      </w:r>
      <w:r>
        <w:rPr>
          <w:rFonts w:ascii="Verdana" w:eastAsia="Arial" w:hAnsi="Verdana" w:cs="Arial"/>
          <w:color w:val="000000"/>
          <w:sz w:val="20"/>
          <w:szCs w:val="20"/>
        </w:rPr>
        <w:t>’</w:t>
      </w:r>
      <w:r w:rsidRPr="003F4A18">
        <w:rPr>
          <w:rFonts w:ascii="Verdana" w:eastAsia="Arial" w:hAnsi="Verdana" w:cs="Arial"/>
          <w:color w:val="000000"/>
          <w:sz w:val="20"/>
          <w:szCs w:val="20"/>
        </w:rPr>
        <w:t xml:space="preserve">. Es decir que los factores de </w:t>
      </w:r>
      <w:r w:rsidRPr="003F4A18">
        <w:rPr>
          <w:rFonts w:ascii="Verdana" w:eastAsia="Arial" w:hAnsi="Verdana" w:cs="Arial"/>
          <w:color w:val="000000"/>
          <w:sz w:val="20"/>
          <w:szCs w:val="20"/>
        </w:rPr>
        <w:lastRenderedPageBreak/>
        <w:t xml:space="preserve">ponderación o de evaluación son los que en realidad determinan la propuesta que mejor satisface las necesidades de la Administración y no simplemente cuál de los proponentes es el más idóneo en la ejecución del contrato, pues, se insiste, todo oferente que supere los requisitos mínimos habilitantes se entiende que es suficientemente idóneo para la ejecución del objeto contractual.  </w:t>
      </w:r>
    </w:p>
    <w:p w14:paraId="05B3DC4E" w14:textId="77777777" w:rsidR="00D115BB" w:rsidRPr="003F4A18" w:rsidRDefault="00D115BB" w:rsidP="00D115BB">
      <w:pPr>
        <w:tabs>
          <w:tab w:val="left" w:pos="0"/>
        </w:tabs>
        <w:spacing w:after="0" w:line="240" w:lineRule="auto"/>
        <w:ind w:left="709" w:right="709"/>
        <w:jc w:val="both"/>
        <w:rPr>
          <w:rFonts w:ascii="Verdana" w:eastAsia="Arial" w:hAnsi="Verdana" w:cs="Arial"/>
          <w:color w:val="000000"/>
          <w:sz w:val="20"/>
          <w:szCs w:val="20"/>
        </w:rPr>
      </w:pPr>
      <w:r w:rsidRPr="003F4A18">
        <w:rPr>
          <w:rFonts w:ascii="Verdana" w:eastAsia="Arial" w:hAnsi="Verdana" w:cs="Arial"/>
          <w:color w:val="000000"/>
          <w:sz w:val="20"/>
          <w:szCs w:val="20"/>
        </w:rPr>
        <w:t xml:space="preserve">De nuevo, aquí es preciso señalar que es el pliego de condiciones el que debe determinar cuáles son esos factores que en cada caso concreto permiten hacer una comparación entre las ofertas presentadas y, con base en ello, determinar cuál es la más favorable para la Administración Pública. </w:t>
      </w:r>
    </w:p>
    <w:p w14:paraId="60175AF9" w14:textId="77777777" w:rsidR="00D115BB" w:rsidRPr="003F4A18" w:rsidRDefault="00D115BB" w:rsidP="00D115BB">
      <w:pPr>
        <w:tabs>
          <w:tab w:val="left" w:pos="0"/>
        </w:tabs>
        <w:spacing w:after="120" w:line="240" w:lineRule="auto"/>
        <w:ind w:left="709" w:right="709"/>
        <w:jc w:val="both"/>
        <w:rPr>
          <w:rFonts w:ascii="Verdana" w:eastAsia="Arial" w:hAnsi="Verdana" w:cs="Arial"/>
          <w:color w:val="000000"/>
          <w:sz w:val="20"/>
          <w:szCs w:val="20"/>
        </w:rPr>
      </w:pPr>
      <w:r w:rsidRPr="003F4A18">
        <w:rPr>
          <w:rFonts w:ascii="Verdana" w:eastAsia="Arial" w:hAnsi="Verdana" w:cs="Arial"/>
          <w:color w:val="000000"/>
          <w:sz w:val="20"/>
          <w:szCs w:val="20"/>
        </w:rPr>
        <w:t>[…]</w:t>
      </w:r>
    </w:p>
    <w:p w14:paraId="7B09FCF6" w14:textId="77777777" w:rsidR="00D115BB" w:rsidRPr="003F4A18" w:rsidRDefault="00D115BB" w:rsidP="00D115BB">
      <w:pPr>
        <w:tabs>
          <w:tab w:val="left" w:pos="0"/>
        </w:tabs>
        <w:spacing w:after="0" w:line="240" w:lineRule="auto"/>
        <w:ind w:left="709" w:right="709"/>
        <w:jc w:val="both"/>
        <w:rPr>
          <w:rFonts w:ascii="Verdana" w:eastAsia="Arial" w:hAnsi="Verdana" w:cs="Arial"/>
          <w:color w:val="000000"/>
          <w:sz w:val="20"/>
          <w:szCs w:val="20"/>
        </w:rPr>
      </w:pPr>
      <w:r w:rsidRPr="003F4A18">
        <w:rPr>
          <w:rFonts w:ascii="Verdana" w:eastAsia="Arial" w:hAnsi="Verdana" w:cs="Arial"/>
          <w:color w:val="000000"/>
          <w:sz w:val="20"/>
          <w:szCs w:val="20"/>
        </w:rPr>
        <w:t>Una siguiente conclusión que se deriva de la norma parcialmente transcrita consiste en que los pliegos de condiciones deben determinar dos situaciones por separado: 1. cuáles serán los factores o requisitos que serán evaluados por la Administración y 2. cuáles son los criterios para asignar puntaje a cada uno de los factores de evaluación y, con base en ello, poder hacer la comparación entre las ofertas y concluir cuál de ellas es la más ventajosa para la entidad estatal”</w:t>
      </w:r>
      <w:r w:rsidRPr="003F4A18">
        <w:rPr>
          <w:rFonts w:ascii="Verdana" w:eastAsia="Arial" w:hAnsi="Verdana" w:cs="Arial"/>
          <w:color w:val="000000"/>
          <w:sz w:val="20"/>
          <w:szCs w:val="20"/>
          <w:vertAlign w:val="superscript"/>
        </w:rPr>
        <w:footnoteReference w:id="13"/>
      </w:r>
      <w:r w:rsidRPr="003F4A18">
        <w:rPr>
          <w:rFonts w:ascii="Verdana" w:eastAsia="Arial" w:hAnsi="Verdana" w:cs="Arial"/>
          <w:color w:val="000000"/>
          <w:sz w:val="20"/>
          <w:szCs w:val="20"/>
        </w:rPr>
        <w:t>.</w:t>
      </w:r>
    </w:p>
    <w:p w14:paraId="493A68E5" w14:textId="77777777" w:rsidR="00D115BB" w:rsidRPr="003F4A18" w:rsidRDefault="00D115BB" w:rsidP="00D115BB">
      <w:pPr>
        <w:tabs>
          <w:tab w:val="left" w:pos="0"/>
        </w:tabs>
        <w:spacing w:after="0" w:line="276" w:lineRule="auto"/>
        <w:ind w:left="709" w:right="709"/>
        <w:jc w:val="both"/>
        <w:rPr>
          <w:rFonts w:ascii="Verdana" w:eastAsia="Arial" w:hAnsi="Verdana" w:cs="Arial"/>
          <w:color w:val="000000"/>
          <w:sz w:val="21"/>
          <w:szCs w:val="21"/>
        </w:rPr>
      </w:pPr>
    </w:p>
    <w:p w14:paraId="60D6F906" w14:textId="77777777" w:rsidR="00D115BB" w:rsidRPr="003F4A18" w:rsidRDefault="00D115BB" w:rsidP="00D115BB">
      <w:pPr>
        <w:tabs>
          <w:tab w:val="left" w:pos="0"/>
        </w:tabs>
        <w:spacing w:after="120" w:line="276" w:lineRule="auto"/>
        <w:jc w:val="both"/>
        <w:rPr>
          <w:rFonts w:ascii="Verdana" w:eastAsia="Arial" w:hAnsi="Verdana" w:cs="Arial"/>
          <w:color w:val="000000"/>
        </w:rPr>
      </w:pPr>
      <w:r w:rsidRPr="003F4A18">
        <w:rPr>
          <w:rFonts w:ascii="Verdana" w:eastAsia="Arial" w:hAnsi="Verdana" w:cs="Arial"/>
          <w:color w:val="000000"/>
        </w:rPr>
        <w:tab/>
        <w:t xml:space="preserve">De acuerdo con lo anterior, es posible asimilar las diferentes categorías a las que hace referencia el artículo 5 de la Ley 1150 de 2007, cuando alude a los factores que, a diferencia de los requisitos habilitantes, determinan la oferta más favorable para la entidad, y que, por lo tanto, hacen que una oferta sea mejor que otra, pese a tener que cumplir todas ellas los requisitos habilitantes. Es frente a aquellos factores que determinan comparativamente que una oferta sea mejor que otra, que la entidad concibe el otorgamiento de puntajes, como mecanismos para ponderar y comparar los ofrecimientos, con el fin de determinar objetivamente la oferta más favorable, aplicando para ello las reglas establecidas en el pliego o documento equivalente para la ponderación de las ofertas. </w:t>
      </w:r>
    </w:p>
    <w:p w14:paraId="321C413C" w14:textId="77777777" w:rsidR="00D115BB" w:rsidRPr="003F4A18" w:rsidRDefault="00D115BB" w:rsidP="00D115BB">
      <w:pPr>
        <w:tabs>
          <w:tab w:val="left" w:pos="0"/>
        </w:tabs>
        <w:spacing w:after="120" w:line="276" w:lineRule="auto"/>
        <w:jc w:val="both"/>
        <w:rPr>
          <w:rFonts w:ascii="Verdana" w:eastAsia="Arial" w:hAnsi="Verdana" w:cs="Arial"/>
          <w:color w:val="000000"/>
        </w:rPr>
      </w:pPr>
      <w:r w:rsidRPr="003F4A18">
        <w:rPr>
          <w:rFonts w:ascii="Verdana" w:eastAsia="Arial" w:hAnsi="Verdana" w:cs="Arial"/>
          <w:color w:val="000000"/>
        </w:rPr>
        <w:tab/>
        <w:t xml:space="preserve">En ese sentido, la asignación de puntaje es un mecanismo mediante el cual las entidades ponderan los factores de calificación </w:t>
      </w:r>
      <w:r w:rsidRPr="003F4A18">
        <w:rPr>
          <w:rFonts w:ascii="Tahoma" w:eastAsia="Tahoma" w:hAnsi="Tahoma" w:cs="Tahoma"/>
          <w:color w:val="000000"/>
        </w:rPr>
        <w:t>ꟷ</w:t>
      </w:r>
      <w:r w:rsidRPr="003F4A18">
        <w:rPr>
          <w:rFonts w:ascii="Verdana" w:eastAsia="Arial" w:hAnsi="Verdana" w:cs="Arial"/>
          <w:i/>
          <w:color w:val="000000"/>
        </w:rPr>
        <w:t>v.g.</w:t>
      </w:r>
      <w:r w:rsidRPr="003F4A18">
        <w:rPr>
          <w:rFonts w:ascii="Verdana" w:eastAsia="Arial" w:hAnsi="Verdana" w:cs="Arial"/>
          <w:color w:val="000000"/>
        </w:rPr>
        <w:t xml:space="preserve"> técnicos y económicos, de calidad y precio, etc.</w:t>
      </w:r>
      <w:r w:rsidRPr="003F4A18">
        <w:rPr>
          <w:rFonts w:ascii="Tahoma" w:eastAsia="Tahoma" w:hAnsi="Tahoma" w:cs="Tahoma"/>
          <w:color w:val="000000"/>
        </w:rPr>
        <w:t>ꟷ</w:t>
      </w:r>
      <w:r w:rsidRPr="003F4A18">
        <w:rPr>
          <w:rFonts w:ascii="Verdana" w:eastAsia="Arial" w:hAnsi="Verdana" w:cs="Arial"/>
          <w:color w:val="000000"/>
        </w:rPr>
        <w:t xml:space="preserve"> en un determinado proceso de selección, como se desprende del </w:t>
      </w:r>
      <w:r>
        <w:rPr>
          <w:rFonts w:ascii="Verdana" w:eastAsia="Arial" w:hAnsi="Verdana" w:cs="Arial"/>
          <w:color w:val="000000"/>
        </w:rPr>
        <w:t>literal a) del numeral 2 del artículo 5 de la Ley 1150 de 2007</w:t>
      </w:r>
      <w:r w:rsidRPr="003F4A18">
        <w:rPr>
          <w:rFonts w:ascii="Verdana" w:eastAsia="Arial" w:hAnsi="Verdana" w:cs="Arial"/>
          <w:color w:val="000000"/>
        </w:rPr>
        <w:t xml:space="preserve">. Sin embargo, no es este el único mecanismo de ponderación que tienen a su alcance las entidades estatales para determinar el ofrecimiento más favorable, pues el propio literal b) del artículo 5.2 posibilita que el ofrecimiento </w:t>
      </w:r>
      <w:r w:rsidRPr="003F4A18">
        <w:rPr>
          <w:rFonts w:ascii="Verdana" w:eastAsia="Arial" w:hAnsi="Verdana" w:cs="Arial"/>
          <w:color w:val="000000"/>
        </w:rPr>
        <w:lastRenderedPageBreak/>
        <w:t xml:space="preserve">más favorable se determine con un análisis de la relación </w:t>
      </w:r>
      <w:r>
        <w:rPr>
          <w:rFonts w:ascii="Verdana" w:eastAsia="Arial" w:hAnsi="Verdana" w:cs="Arial"/>
          <w:color w:val="000000"/>
        </w:rPr>
        <w:t>costo-beneficio</w:t>
      </w:r>
      <w:r w:rsidRPr="003F4A18">
        <w:rPr>
          <w:rFonts w:ascii="Verdana" w:eastAsia="Arial" w:hAnsi="Verdana" w:cs="Arial"/>
          <w:color w:val="000000"/>
        </w:rPr>
        <w:t xml:space="preserve">. A estos se suman, los procesos de selección de bienes y servicios de características técnicas uniformes y de común utilización, así como los de mínima cuantía, en los que –según los artículos 5.3 y 2.5 de la Ley 1150 de 2007– el único factor de selección </w:t>
      </w:r>
      <w:r>
        <w:rPr>
          <w:rFonts w:ascii="Verdana" w:eastAsia="Arial" w:hAnsi="Verdana" w:cs="Arial"/>
          <w:color w:val="000000"/>
        </w:rPr>
        <w:t>es el menor precio ofertado.</w:t>
      </w:r>
    </w:p>
    <w:p w14:paraId="00FF5D6A" w14:textId="77777777" w:rsidR="00D115BB" w:rsidRPr="003F4A18" w:rsidRDefault="00D115BB" w:rsidP="00D115BB">
      <w:pPr>
        <w:spacing w:after="120" w:line="276" w:lineRule="auto"/>
        <w:jc w:val="both"/>
        <w:rPr>
          <w:rFonts w:ascii="Verdana" w:eastAsia="Arial" w:hAnsi="Verdana" w:cs="Arial"/>
          <w:color w:val="000000"/>
        </w:rPr>
      </w:pPr>
      <w:r w:rsidRPr="003F4A18">
        <w:rPr>
          <w:rFonts w:ascii="Verdana" w:eastAsia="Arial" w:hAnsi="Verdana" w:cs="Arial"/>
          <w:color w:val="000000"/>
        </w:rPr>
        <w:tab/>
        <w:t>Es necesario destacar que las reglas para establecer la oferta más favorable conforme al artículo 5 de la Ley 1150 de 2007, se encuentran reglamentadas en el artículo 2.2.1.1.2.2.2 del Decreto 1082 de 2015, modificado recientemente por el Decreto 142 de 2023. Este artículo desarrolla los mecanismos de ponderación previstos en los literales a) y b) del artículo 5.2 de la Ley 1150 de 2007, disponiendo unas pautas para la ponderación de los elementos de calidad y precio que representen la mejor relación de costo-beneficio. Conforme a este artículo, la oferta más favorable en estos casos debe determinarse ponderando en las ofertas: i) las condiciones técnicas y económicas mínimas; ii) las condiciones técnicas adicionales que representan ventajas de calidad o de funcionamiento; iii) las condiciones económicas adicionales que representen ventajas en términos de economía, eficiencia y eficacia; y iv) el valor en dinero que la entidad estatal asigna a cada ofrecimiento técnico o económico adicional. Teniendo en cuenta estos elementos, la entidad estatal debe calcular la relación costo-beneficio de cada oferta “[…] 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 […]”</w:t>
      </w:r>
      <w:r w:rsidRPr="003F4A18">
        <w:rPr>
          <w:rFonts w:ascii="Verdana" w:eastAsia="Arial" w:hAnsi="Verdana" w:cs="Arial"/>
          <w:color w:val="000000"/>
          <w:vertAlign w:val="superscript"/>
        </w:rPr>
        <w:footnoteReference w:id="14"/>
      </w:r>
      <w:r w:rsidRPr="003F4A18">
        <w:rPr>
          <w:rFonts w:ascii="Verdana" w:eastAsia="Arial" w:hAnsi="Verdana" w:cs="Arial"/>
          <w:color w:val="000000"/>
        </w:rPr>
        <w:t>.</w:t>
      </w:r>
    </w:p>
    <w:p w14:paraId="5FAF4AFA" w14:textId="77777777" w:rsidR="00D115BB" w:rsidRPr="003F4A18" w:rsidRDefault="00D115BB" w:rsidP="00D115BB">
      <w:pPr>
        <w:spacing w:after="120" w:line="276" w:lineRule="auto"/>
        <w:ind w:firstLine="709"/>
        <w:jc w:val="both"/>
        <w:rPr>
          <w:rFonts w:ascii="Verdana" w:eastAsia="Arial" w:hAnsi="Verdana" w:cs="Arial"/>
          <w:color w:val="000000"/>
        </w:rPr>
      </w:pPr>
      <w:r w:rsidRPr="003F4A18">
        <w:rPr>
          <w:rFonts w:ascii="Verdana" w:eastAsia="Arial" w:hAnsi="Verdana" w:cs="Arial"/>
          <w:color w:val="000000"/>
        </w:rPr>
        <w:lastRenderedPageBreak/>
        <w:t>Conforme a lo anterior, el deber de selección objetiva está ligado a la determinación del ofrecimiento más favorable, cuyo contenido debe ser precisado a partir de las diferentes alternativas del artículo 5 de la Ley 1150 de 2007, reglamentado por el artículo 2.2.1.1.2.2.2 del Decreto 1082 de 2015, que en todo caso deben reflejarse en el pliego de condiciones o documento equivalente para el respectivo proceso de selección. Estas disposiciones establecen que en los procesos de selección deben evaluarse, fuera de los requisitos habilitantes, los factores de calificación, valoración o evaluación. Estos pueden ponderarse mediante la asignación de puntaje, por lo que la norma se refiere a factores que no otorgan puntaje para diferenciar los requisitos habilitantes de los mencionados factores de calificación. Lo anterior, bajo el entendido que son estos últimos los que determinan la oferta más favorable para la entidad y la que en consecuencia debe elegirse.</w:t>
      </w:r>
    </w:p>
    <w:p w14:paraId="62DC3DC0" w14:textId="77777777" w:rsidR="00D115BB" w:rsidRPr="003F4A18" w:rsidRDefault="00D115BB" w:rsidP="00D115BB">
      <w:pPr>
        <w:spacing w:after="120" w:line="276" w:lineRule="auto"/>
        <w:ind w:firstLine="709"/>
        <w:jc w:val="both"/>
        <w:rPr>
          <w:rFonts w:ascii="Verdana" w:eastAsia="Arial" w:hAnsi="Verdana" w:cs="Arial"/>
          <w:color w:val="000000"/>
        </w:rPr>
      </w:pPr>
      <w:r w:rsidRPr="003F4A18">
        <w:rPr>
          <w:rFonts w:ascii="Verdana" w:eastAsia="Arial" w:hAnsi="Verdana" w:cs="Arial"/>
          <w:color w:val="000000"/>
        </w:rPr>
        <w:t xml:space="preserve">Retomando otros fundamentos jurídicos del deber de “selección objetiva” distintos al artículo 5 de la Ley 1150 de 2007, la Ley 80 de 1993 se refiere a ella en varios apartados, como: i) el primer inciso del artículo 21, que obliga a las entidades estatales a tener en cuenta la selección objetiva, al garantizar la participación de los oferentes de bienes y servicios de origen nacional, ii) el artículo 24, numeral 5º, literal a), que manda que en los pliegos de condiciones se indiquen “[…] los requisitos objetivos necesarios para participar en el correspondiente proceso de selección”, iii) el artículo 24, numeral 5º, literal b), que establece que en los pliegos de condiciones se deben definir “[…] reglas objetivas, justas, claras y completas que permitan la confección de ofrecimientos </w:t>
      </w:r>
      <w:r w:rsidRPr="003F4A18">
        <w:rPr>
          <w:rFonts w:ascii="Verdana" w:eastAsia="Arial" w:hAnsi="Verdana" w:cs="Arial"/>
          <w:color w:val="000000"/>
        </w:rPr>
        <w:lastRenderedPageBreak/>
        <w:t xml:space="preserve">de la misma índole, aseguren una escogencia objetiva y eviten la declaratoria de desierta de la licitación”, iv) el artículo 24, numeral 8º, según el cual “Las autoridades no actuarán con desviación o abuso de poder y ejercerán sus competencias exclusivamente para los fines previstos en la ley. Igualmente, les será prohibido eludir los procedimientos de selección objetiva y los demás requisitos previstos en el presente estatuto”, v) el segundo inciso del parágrafo 3º del artículo 24, que exige tener en cuenta la selección objetiva de la entidad veedora para el procedimiento de venta de bienes de las entidades estatales por el sistema de martillo; vi) el numeral 18 del artículo 25, el cual señala que “La declaratoria de desierta de la licitación únicamente procederá por motivos o causas que impidan la escogencia objetiva”, vii) el numeral 2 del artículo 30, que dispone que “La entidad interesada elaborará los correspondientes pliegos de condiciones […] en los cuales se detallarán especialmente los aspectos relativos al objeto del contrato, su regulación jurídica, los derechos y obligaciones de las partes, la determinación y ponderación de los factores objetivos de selección y todas las demás circunstancias de tiempo, modo y lugar que se consideren necesarias para garantizar reglas objetivas, claras y completas”, viii) el inciso final del artículo 38, que obliga a las entidades estatales que tengan como objeto la prestación de servicios y actividades de telecomunicaciones a respetar el principio de selección objetiva, y ix) el segundo inciso del artículo 76, que ordena cumplir también con dicho principio a las entidades que tengan por objeto la exploración, explotación y comercialización de recursos naturales renovables y no renovables. </w:t>
      </w:r>
    </w:p>
    <w:p w14:paraId="3639C764" w14:textId="77777777" w:rsidR="00D115BB" w:rsidRPr="003F4A18" w:rsidRDefault="00D115BB" w:rsidP="00D115BB">
      <w:pPr>
        <w:spacing w:after="120" w:line="276" w:lineRule="auto"/>
        <w:ind w:firstLine="709"/>
        <w:jc w:val="both"/>
        <w:rPr>
          <w:rFonts w:ascii="Verdana" w:eastAsia="Arial" w:hAnsi="Verdana" w:cs="Arial"/>
          <w:color w:val="000000"/>
        </w:rPr>
      </w:pPr>
      <w:r w:rsidRPr="003F4A18">
        <w:rPr>
          <w:rFonts w:ascii="Verdana" w:eastAsia="Arial" w:hAnsi="Verdana" w:cs="Arial"/>
          <w:color w:val="000000"/>
        </w:rPr>
        <w:t>Por su parte, a nivel reglamentario, el Decreto 1082 de 2015 también hace referencia a la selección objetiva como postulado esencial al interior de los procedimientos de selección. Así se infiere de enunciados como: i) el numeral 4º del artículo 2.2.1.1.2.1.3, que indica que dentro de la información del pliego de condiciones se deben definir “Las condiciones de costo y/o calidad que la Entidad Estatal debe tener en cuenta para la selección objetiva, de acuerdo con la modalidad de selección del contratista”; o ii) el numeral 8º del artículo 2.2.1.2.1.3.13, que establece como obligación del jurado calificador en los concursos de méritos para la selección de consultores de diseño, planos, anteproyectos y proyectos arquitectónicos, “Manifestar a la Entidad Estatal promotora la declaratoria de desierto el concurso de arquitectura, en caso que se presente el impedimento de la escogencia objetiva de que trata el numeral 18 del artículo 25 de la Ley 80 de 1993”.</w:t>
      </w:r>
    </w:p>
    <w:p w14:paraId="61A31C98" w14:textId="77777777" w:rsidR="00D115BB" w:rsidRDefault="00D115BB" w:rsidP="00D115BB">
      <w:pPr>
        <w:spacing w:after="0" w:line="276" w:lineRule="auto"/>
        <w:ind w:firstLine="709"/>
        <w:jc w:val="both"/>
        <w:rPr>
          <w:rFonts w:ascii="Verdana" w:eastAsia="Arial" w:hAnsi="Verdana" w:cs="Arial"/>
          <w:color w:val="000000"/>
        </w:rPr>
      </w:pPr>
      <w:r w:rsidRPr="003F4A18">
        <w:rPr>
          <w:rFonts w:ascii="Verdana" w:eastAsia="Arial" w:hAnsi="Verdana" w:cs="Arial"/>
          <w:color w:val="000000"/>
        </w:rPr>
        <w:lastRenderedPageBreak/>
        <w:t>La jurisprudencia también ha reconocido la preponderancia de este deber en la etapa precontractual, indicando que su garantía es imprescindible para satisfacer adecuadamente las necesidades de la sociedad a través del contrato. A este respecto, la Sección Tercera del Consejo de Estado ha dicho que “la selección de contratistas, para cumplir con el requisito de objetividad, debe caracterizarse por: 1. Ausencia total de subjetividad; 2. Estar determinada por la comparación de distintos factores, establecidos con anterioridad por la Administración en el pliego de condiciones; 3. Estar determinada la forma como los factores de selección serán evaluados y el valor que corresponde a cada uno de ellos en el pliego de condiciones y 4. Estar determinada la adjudicación y celebración del negocio jurídico por un análisis, comparación y evaluación objetiva de las propuestas presentadas”</w:t>
      </w:r>
      <w:r w:rsidRPr="003F4A18">
        <w:rPr>
          <w:rFonts w:ascii="Verdana" w:eastAsia="Arial" w:hAnsi="Verdana" w:cs="Arial"/>
          <w:color w:val="000000"/>
          <w:vertAlign w:val="superscript"/>
        </w:rPr>
        <w:footnoteReference w:id="15"/>
      </w:r>
      <w:r w:rsidRPr="003F4A18">
        <w:rPr>
          <w:rFonts w:ascii="Verdana" w:eastAsia="Arial" w:hAnsi="Verdana" w:cs="Arial"/>
          <w:color w:val="000000"/>
        </w:rPr>
        <w:t>. Igualmente, ha señalado que “el principio de escogencia o selección objetiva de los contratistas fundamenta uno de los principales deberes de todos los responsables de la contratación estatal en el derecho colombiano, cual es el de mantener intacta la institucionalidad por encima de los intereses personales, individuales o subjetivos cuando se trate de escoger al contratista, al margen del procedimiento utilizado, con miras a evitar el actuar arbitrario, abusivo o violatorio de norma superior (numeral 8, art. 24, ley 80) por parte de los servidores públicos”</w:t>
      </w:r>
      <w:r w:rsidRPr="003F4A18">
        <w:rPr>
          <w:rFonts w:ascii="Verdana" w:eastAsia="Arial" w:hAnsi="Verdana" w:cs="Arial"/>
          <w:color w:val="000000"/>
          <w:vertAlign w:val="superscript"/>
        </w:rPr>
        <w:footnoteReference w:id="16"/>
      </w:r>
      <w:r w:rsidRPr="003F4A18">
        <w:rPr>
          <w:rFonts w:ascii="Verdana" w:eastAsia="Arial" w:hAnsi="Verdana" w:cs="Arial"/>
          <w:color w:val="000000"/>
        </w:rPr>
        <w:t>.</w:t>
      </w:r>
    </w:p>
    <w:p w14:paraId="498CE82E" w14:textId="77777777" w:rsidR="00D115BB" w:rsidRPr="003F4A18" w:rsidRDefault="00D115BB" w:rsidP="00D115BB">
      <w:pPr>
        <w:spacing w:after="0" w:line="276" w:lineRule="auto"/>
        <w:ind w:firstLine="709"/>
        <w:jc w:val="both"/>
        <w:rPr>
          <w:rFonts w:ascii="Verdana" w:eastAsia="Arial" w:hAnsi="Verdana" w:cs="Arial"/>
          <w:color w:val="000000"/>
        </w:rPr>
      </w:pPr>
    </w:p>
    <w:p w14:paraId="79E2220C" w14:textId="669F4331" w:rsidR="00CA016C" w:rsidRPr="00495DFD" w:rsidRDefault="006F0352" w:rsidP="00D115BB">
      <w:pPr>
        <w:widowControl w:val="0"/>
        <w:autoSpaceDE w:val="0"/>
        <w:autoSpaceDN w:val="0"/>
        <w:spacing w:after="0" w:line="276" w:lineRule="auto"/>
        <w:ind w:firstLine="708"/>
        <w:jc w:val="both"/>
        <w:rPr>
          <w:rFonts w:ascii="Verdana" w:hAnsi="Verdana" w:cs="Arial"/>
          <w:lang w:eastAsia="es-ES"/>
        </w:rPr>
      </w:pPr>
      <w:r>
        <w:rPr>
          <w:rFonts w:ascii="Verdana" w:hAnsi="Verdana" w:cs="Arial"/>
          <w:lang w:eastAsia="es-ES"/>
        </w:rPr>
        <w:t>Finalmente, d</w:t>
      </w:r>
      <w:r w:rsidR="00D115BB" w:rsidRPr="006539F8">
        <w:rPr>
          <w:rFonts w:ascii="Verdana" w:hAnsi="Verdana" w:cs="Arial"/>
          <w:lang w:eastAsia="es-ES"/>
        </w:rPr>
        <w:t>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00D115BB" w:rsidRPr="00301910">
        <w:rPr>
          <w:rFonts w:ascii="Verdana" w:hAnsi="Verdana" w:cs="Arial"/>
          <w:lang w:eastAsia="es-ES"/>
        </w:rPr>
        <w:t>.</w:t>
      </w:r>
    </w:p>
    <w:p w14:paraId="734124B0" w14:textId="77777777" w:rsidR="00CA016C" w:rsidRPr="003E2344" w:rsidRDefault="00CA016C" w:rsidP="00CA016C">
      <w:pPr>
        <w:tabs>
          <w:tab w:val="left" w:pos="142"/>
          <w:tab w:val="left" w:pos="284"/>
        </w:tabs>
        <w:spacing w:after="0" w:line="276" w:lineRule="auto"/>
        <w:rPr>
          <w:rFonts w:ascii="Verdana" w:eastAsia="Century Gothic" w:hAnsi="Verdana" w:cs="Century Gothic"/>
          <w:b/>
          <w:bCs/>
          <w:lang w:val="es-ES"/>
        </w:rPr>
      </w:pPr>
    </w:p>
    <w:p w14:paraId="2529575F" w14:textId="77777777" w:rsidR="00CA016C" w:rsidRPr="001F4E2F" w:rsidRDefault="00CA016C" w:rsidP="00CA016C">
      <w:pPr>
        <w:tabs>
          <w:tab w:val="left" w:pos="142"/>
          <w:tab w:val="left" w:pos="284"/>
        </w:tabs>
        <w:spacing w:after="0" w:line="276" w:lineRule="auto"/>
        <w:rPr>
          <w:rFonts w:ascii="Verdana" w:eastAsia="Century Gothic" w:hAnsi="Verdana" w:cs="Century Gothic"/>
          <w:b/>
          <w:bCs/>
        </w:rPr>
      </w:pPr>
      <w:r w:rsidRPr="001F4E2F">
        <w:rPr>
          <w:rFonts w:ascii="Verdana" w:eastAsia="Century Gothic" w:hAnsi="Verdana" w:cs="Century Gothic"/>
          <w:b/>
          <w:bCs/>
        </w:rPr>
        <w:t>4. Referencias normativas:</w:t>
      </w:r>
    </w:p>
    <w:bookmarkEnd w:id="5"/>
    <w:p w14:paraId="3E098C7D" w14:textId="77777777" w:rsidR="00CA016C" w:rsidRPr="001F4E2F" w:rsidRDefault="00CA016C" w:rsidP="00CA016C">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A016C" w:rsidRPr="001F4E2F" w14:paraId="5B87997E" w14:textId="77777777" w:rsidTr="0029569F">
        <w:trPr>
          <w:trHeight w:val="439"/>
          <w:jc w:val="center"/>
        </w:trPr>
        <w:tc>
          <w:tcPr>
            <w:tcW w:w="8647" w:type="dxa"/>
          </w:tcPr>
          <w:p w14:paraId="34DDA36B" w14:textId="77777777" w:rsidR="00CE5D9E" w:rsidRDefault="00CE5D9E" w:rsidP="00CE5D9E">
            <w:pPr>
              <w:pStyle w:val="Prrafodelista"/>
              <w:widowControl w:val="0"/>
              <w:numPr>
                <w:ilvl w:val="0"/>
                <w:numId w:val="3"/>
              </w:numPr>
              <w:autoSpaceDE w:val="0"/>
              <w:autoSpaceDN w:val="0"/>
              <w:spacing w:after="120" w:line="276" w:lineRule="auto"/>
              <w:ind w:left="714" w:hanging="357"/>
              <w:contextualSpacing w:val="0"/>
              <w:jc w:val="both"/>
              <w:rPr>
                <w:rFonts w:ascii="Verdana" w:hAnsi="Verdana" w:cs="Arial"/>
              </w:rPr>
            </w:pPr>
            <w:r>
              <w:rPr>
                <w:rFonts w:ascii="Verdana" w:hAnsi="Verdana" w:cs="Arial"/>
              </w:rPr>
              <w:lastRenderedPageBreak/>
              <w:t>Ley 80 de 1993, artículos 21, 24, 25, 30, 38, 76 y 77.</w:t>
            </w:r>
          </w:p>
          <w:p w14:paraId="35D3033C" w14:textId="77777777" w:rsidR="00CE5D9E" w:rsidRDefault="00CE5D9E" w:rsidP="00CE5D9E">
            <w:pPr>
              <w:pStyle w:val="Prrafodelista"/>
              <w:widowControl w:val="0"/>
              <w:numPr>
                <w:ilvl w:val="0"/>
                <w:numId w:val="3"/>
              </w:numPr>
              <w:autoSpaceDE w:val="0"/>
              <w:autoSpaceDN w:val="0"/>
              <w:spacing w:after="120" w:line="276" w:lineRule="auto"/>
              <w:ind w:left="714" w:hanging="357"/>
              <w:contextualSpacing w:val="0"/>
              <w:jc w:val="both"/>
              <w:rPr>
                <w:rFonts w:ascii="Verdana" w:hAnsi="Verdana" w:cs="Arial"/>
              </w:rPr>
            </w:pPr>
            <w:r>
              <w:rPr>
                <w:rFonts w:ascii="Verdana" w:hAnsi="Verdana" w:cs="Arial"/>
              </w:rPr>
              <w:t>Ley 1150 de 2007, artículos 2 y 5.</w:t>
            </w:r>
          </w:p>
          <w:p w14:paraId="7B2FD395" w14:textId="77777777" w:rsidR="00CE5D9E" w:rsidRDefault="00CE5D9E" w:rsidP="00CE5D9E">
            <w:pPr>
              <w:pStyle w:val="Prrafodelista"/>
              <w:widowControl w:val="0"/>
              <w:numPr>
                <w:ilvl w:val="0"/>
                <w:numId w:val="3"/>
              </w:numPr>
              <w:autoSpaceDE w:val="0"/>
              <w:autoSpaceDN w:val="0"/>
              <w:spacing w:after="120" w:line="276" w:lineRule="auto"/>
              <w:ind w:left="714" w:hanging="357"/>
              <w:contextualSpacing w:val="0"/>
              <w:jc w:val="both"/>
              <w:rPr>
                <w:rFonts w:ascii="Verdana" w:hAnsi="Verdana" w:cs="Arial"/>
              </w:rPr>
            </w:pPr>
            <w:r>
              <w:rPr>
                <w:rFonts w:ascii="Verdana" w:hAnsi="Verdana" w:cs="Arial"/>
              </w:rPr>
              <w:t>Ley 1437 de 2011, artículos 2 y 44.</w:t>
            </w:r>
          </w:p>
          <w:p w14:paraId="74D50392" w14:textId="77777777" w:rsidR="00CE5D9E" w:rsidRDefault="00CE5D9E" w:rsidP="00CE5D9E">
            <w:pPr>
              <w:pStyle w:val="Prrafodelista"/>
              <w:widowControl w:val="0"/>
              <w:numPr>
                <w:ilvl w:val="0"/>
                <w:numId w:val="3"/>
              </w:numPr>
              <w:autoSpaceDE w:val="0"/>
              <w:autoSpaceDN w:val="0"/>
              <w:spacing w:after="120" w:line="276" w:lineRule="auto"/>
              <w:ind w:left="714" w:hanging="357"/>
              <w:contextualSpacing w:val="0"/>
              <w:jc w:val="both"/>
              <w:rPr>
                <w:rFonts w:ascii="Verdana" w:hAnsi="Verdana" w:cs="Arial"/>
              </w:rPr>
            </w:pPr>
            <w:r>
              <w:rPr>
                <w:rFonts w:ascii="Verdana" w:hAnsi="Verdana"/>
              </w:rPr>
              <w:t xml:space="preserve">Decreto 1082 de 2015, artículos </w:t>
            </w:r>
            <w:r w:rsidRPr="003F4A18">
              <w:rPr>
                <w:rFonts w:ascii="Verdana" w:eastAsia="Arial" w:hAnsi="Verdana" w:cs="Arial"/>
                <w:color w:val="000000"/>
              </w:rPr>
              <w:t>2.2.1.1.2.1.3</w:t>
            </w:r>
            <w:r>
              <w:rPr>
                <w:rFonts w:ascii="Verdana" w:eastAsia="Arial" w:hAnsi="Verdana" w:cs="Arial"/>
                <w:color w:val="000000"/>
              </w:rPr>
              <w:t>,</w:t>
            </w:r>
            <w:r>
              <w:rPr>
                <w:rFonts w:ascii="Verdana" w:hAnsi="Verdana"/>
              </w:rPr>
              <w:t xml:space="preserve"> </w:t>
            </w:r>
            <w:r w:rsidRPr="00CD2CDF">
              <w:rPr>
                <w:rFonts w:ascii="Verdana" w:hAnsi="Verdana"/>
              </w:rPr>
              <w:t>2.2.1.1.2.2.2</w:t>
            </w:r>
            <w:r>
              <w:rPr>
                <w:rFonts w:ascii="Verdana" w:hAnsi="Verdana"/>
              </w:rPr>
              <w:t xml:space="preserve">, </w:t>
            </w:r>
            <w:r w:rsidRPr="003F4A18">
              <w:rPr>
                <w:rFonts w:ascii="Verdana" w:eastAsia="Arial" w:hAnsi="Verdana" w:cs="Arial"/>
                <w:color w:val="000000"/>
              </w:rPr>
              <w:t>2.2.1.2.1.3.13</w:t>
            </w:r>
            <w:r>
              <w:rPr>
                <w:rFonts w:ascii="Verdana" w:hAnsi="Verdana"/>
              </w:rPr>
              <w:t>.</w:t>
            </w:r>
          </w:p>
          <w:p w14:paraId="2AF6EF67" w14:textId="77777777" w:rsidR="00CE5D9E" w:rsidRPr="00F90929" w:rsidRDefault="00CE5D9E" w:rsidP="00CE5D9E">
            <w:pPr>
              <w:pStyle w:val="Prrafodelista"/>
              <w:widowControl w:val="0"/>
              <w:numPr>
                <w:ilvl w:val="0"/>
                <w:numId w:val="3"/>
              </w:numPr>
              <w:autoSpaceDE w:val="0"/>
              <w:autoSpaceDN w:val="0"/>
              <w:spacing w:after="120" w:line="276" w:lineRule="auto"/>
              <w:ind w:left="714" w:hanging="357"/>
              <w:contextualSpacing w:val="0"/>
              <w:jc w:val="both"/>
              <w:rPr>
                <w:rFonts w:ascii="Verdana" w:hAnsi="Verdana" w:cs="Arial"/>
              </w:rPr>
            </w:pPr>
            <w:r w:rsidRPr="00CF43AF">
              <w:rPr>
                <w:rFonts w:ascii="Verdana" w:hAnsi="Verdana"/>
              </w:rPr>
              <w:t>Decreto 1469 de 2025</w:t>
            </w:r>
            <w:r>
              <w:rPr>
                <w:rFonts w:ascii="Verdana" w:hAnsi="Verdana"/>
              </w:rPr>
              <w:t>, artículo 1.</w:t>
            </w:r>
          </w:p>
          <w:p w14:paraId="4356299F" w14:textId="2B3EA21B" w:rsidR="00CA016C" w:rsidRPr="00CE5D9E" w:rsidRDefault="00CE5D9E" w:rsidP="00CE5D9E">
            <w:pPr>
              <w:widowControl w:val="0"/>
              <w:numPr>
                <w:ilvl w:val="0"/>
                <w:numId w:val="3"/>
              </w:numPr>
              <w:autoSpaceDE w:val="0"/>
              <w:autoSpaceDN w:val="0"/>
              <w:spacing w:line="276" w:lineRule="auto"/>
              <w:contextualSpacing/>
              <w:jc w:val="both"/>
            </w:pPr>
            <w:r>
              <w:rPr>
                <w:rFonts w:ascii="Verdana" w:hAnsi="Verdana"/>
              </w:rPr>
              <w:t>Decreto 159 de 2026, artículo 1.</w:t>
            </w:r>
          </w:p>
        </w:tc>
      </w:tr>
    </w:tbl>
    <w:p w14:paraId="7C1863B7" w14:textId="77777777" w:rsidR="00CA016C" w:rsidRPr="001F4E2F" w:rsidRDefault="00CA016C" w:rsidP="00CA016C">
      <w:pPr>
        <w:widowControl w:val="0"/>
        <w:autoSpaceDE w:val="0"/>
        <w:autoSpaceDN w:val="0"/>
        <w:spacing w:after="0" w:line="276" w:lineRule="auto"/>
        <w:jc w:val="both"/>
        <w:rPr>
          <w:rFonts w:ascii="Verdana" w:hAnsi="Verdana" w:cs="Arial"/>
        </w:rPr>
      </w:pPr>
    </w:p>
    <w:p w14:paraId="4EB667BA" w14:textId="77777777" w:rsidR="00CA016C" w:rsidRPr="001F4E2F" w:rsidRDefault="00CA016C" w:rsidP="00CA016C">
      <w:pPr>
        <w:tabs>
          <w:tab w:val="left" w:pos="142"/>
          <w:tab w:val="left" w:pos="284"/>
        </w:tabs>
        <w:spacing w:after="0" w:line="276" w:lineRule="auto"/>
        <w:jc w:val="both"/>
        <w:rPr>
          <w:rFonts w:ascii="Verdana" w:eastAsia="Century Gothic" w:hAnsi="Verdana" w:cs="Century Gothic"/>
          <w:b/>
          <w:bCs/>
        </w:rPr>
      </w:pPr>
      <w:r w:rsidRPr="001F4E2F">
        <w:rPr>
          <w:rFonts w:ascii="Verdana" w:eastAsia="Century Gothic" w:hAnsi="Verdana" w:cs="Century Gothic"/>
          <w:b/>
          <w:bCs/>
        </w:rPr>
        <w:t>5. Doctrina de la Agencia Nacional de Contratación Pública:</w:t>
      </w:r>
    </w:p>
    <w:p w14:paraId="46B63B56" w14:textId="77777777" w:rsidR="00CA016C" w:rsidRDefault="00CA016C" w:rsidP="00CA016C">
      <w:pPr>
        <w:widowControl w:val="0"/>
        <w:autoSpaceDE w:val="0"/>
        <w:autoSpaceDN w:val="0"/>
        <w:spacing w:after="0" w:line="276" w:lineRule="auto"/>
        <w:jc w:val="both"/>
        <w:rPr>
          <w:rStyle w:val="normaltextrun"/>
          <w:rFonts w:ascii="Verdana" w:hAnsi="Verdana" w:cs="Arial"/>
          <w:shd w:val="clear" w:color="auto" w:fill="FFFFFF"/>
          <w:lang w:val="es-ES"/>
        </w:rPr>
      </w:pPr>
    </w:p>
    <w:p w14:paraId="74437411" w14:textId="71B476EB" w:rsidR="006247AF" w:rsidRPr="00AB5151" w:rsidRDefault="006247AF" w:rsidP="006247AF">
      <w:pPr>
        <w:widowControl w:val="0"/>
        <w:autoSpaceDE w:val="0"/>
        <w:autoSpaceDN w:val="0"/>
        <w:spacing w:after="0" w:line="276" w:lineRule="auto"/>
        <w:jc w:val="both"/>
        <w:rPr>
          <w:rStyle w:val="normaltextrun"/>
          <w:rFonts w:ascii="Verdana" w:hAnsi="Verdana" w:cs="Arial"/>
          <w:shd w:val="clear" w:color="auto" w:fill="FFFFFF"/>
          <w:lang w:val="es-ES"/>
        </w:rPr>
      </w:pPr>
      <w:r w:rsidRPr="001F7FC2">
        <w:rPr>
          <w:rFonts w:ascii="Verdana" w:eastAsia="Calibri" w:hAnsi="Verdana" w:cs="Times New Roman"/>
        </w:rPr>
        <w:t xml:space="preserve">Sobre la modalidad de selección abreviada de menor cuantía, esta Subdirección se ha pronunciado en conceptos </w:t>
      </w:r>
      <w:r>
        <w:rPr>
          <w:rFonts w:ascii="Verdana" w:eastAsia="Calibri" w:hAnsi="Verdana" w:cs="Times New Roman"/>
        </w:rPr>
        <w:t xml:space="preserve">C-425 del 6 de julio de 2022, </w:t>
      </w:r>
      <w:r w:rsidRPr="001F7FC2">
        <w:rPr>
          <w:rFonts w:ascii="Verdana" w:eastAsia="Calibri" w:hAnsi="Verdana" w:cs="Times New Roman"/>
        </w:rPr>
        <w:t>C-687 del 20 de octubre de 2022, C-313 del 31 de julio de 2023, C-377 del 8 de agosto de 2024, C- 535 del 24 de septiembre de 2024, C-840 del 11 de diciembre de 2024, C-716 del 15 de julio de 2025, C-803 del 31 de julio 2025 y C-1150 del 26 de agosto de 2025,</w:t>
      </w:r>
      <w:r>
        <w:rPr>
          <w:rFonts w:ascii="Verdana" w:eastAsia="Calibri" w:hAnsi="Verdana" w:cs="Times New Roman"/>
        </w:rPr>
        <w:t xml:space="preserve"> C-1639 del 17 de diciembre de 2025,</w:t>
      </w:r>
      <w:r w:rsidR="00D2562D">
        <w:rPr>
          <w:rFonts w:ascii="Verdana" w:eastAsia="Calibri" w:hAnsi="Verdana" w:cs="Times New Roman"/>
        </w:rPr>
        <w:t xml:space="preserve"> C-</w:t>
      </w:r>
      <w:r w:rsidR="0063058D">
        <w:rPr>
          <w:rFonts w:ascii="Verdana" w:eastAsia="Calibri" w:hAnsi="Verdana" w:cs="Times New Roman"/>
        </w:rPr>
        <w:t xml:space="preserve">401 del </w:t>
      </w:r>
      <w:r w:rsidR="00D0084E">
        <w:rPr>
          <w:rFonts w:ascii="Verdana" w:eastAsia="Calibri" w:hAnsi="Verdana" w:cs="Times New Roman"/>
        </w:rPr>
        <w:t>27 de marzo de 2026</w:t>
      </w:r>
      <w:r w:rsidRPr="001F7FC2">
        <w:rPr>
          <w:rFonts w:ascii="Verdana" w:eastAsia="Calibri" w:hAnsi="Verdana" w:cs="Times New Roman"/>
        </w:rPr>
        <w:t xml:space="preserve"> entre otro</w:t>
      </w:r>
      <w:r w:rsidRPr="000F3B46">
        <w:rPr>
          <w:rFonts w:ascii="Verdana" w:eastAsia="Calibri" w:hAnsi="Verdana" w:cs="Times New Roman"/>
        </w:rPr>
        <w:t>s</w:t>
      </w:r>
      <w:r w:rsidRPr="000F3B46">
        <w:rPr>
          <w:rFonts w:ascii="Verdana" w:eastAsia="Calibri" w:hAnsi="Verdana" w:cs="Arial"/>
          <w:shd w:val="clear" w:color="auto" w:fill="FFFFFF"/>
          <w:lang w:val="es-ES"/>
        </w:rPr>
        <w:t xml:space="preserve">. </w:t>
      </w:r>
      <w:r w:rsidRPr="000F3B46">
        <w:rPr>
          <w:rStyle w:val="normaltextrun"/>
          <w:rFonts w:ascii="Verdana" w:hAnsi="Verdana" w:cs="Arial"/>
          <w:shd w:val="clear" w:color="auto" w:fill="FFFFFF"/>
          <w:lang w:val="es-ES"/>
        </w:rPr>
        <w:t>Es</w:t>
      </w:r>
      <w:r w:rsidRPr="000F3B46">
        <w:rPr>
          <w:rFonts w:ascii="Verdana" w:hAnsi="Verdana"/>
        </w:rPr>
        <w:t>tos y otros conceptos se encuentran disponibles para consulta en el Sistema</w:t>
      </w:r>
      <w:r w:rsidRPr="00AB5151">
        <w:rPr>
          <w:rFonts w:ascii="Verdana" w:hAnsi="Verdana"/>
        </w:rPr>
        <w:t xml:space="preserve"> de relatoría de la Agencia, al cual se puede acceder a través del siguiente enlace:</w:t>
      </w:r>
      <w:r w:rsidRPr="00AB5151">
        <w:rPr>
          <w:rStyle w:val="normaltextrun"/>
          <w:rFonts w:ascii="Verdana" w:hAnsi="Verdana" w:cs="Arial"/>
          <w:shd w:val="clear" w:color="auto" w:fill="FFFFFF"/>
          <w:lang w:val="es-ES"/>
        </w:rPr>
        <w:t xml:space="preserve"> </w:t>
      </w:r>
      <w:hyperlink r:id="rId9" w:history="1">
        <w:r w:rsidRPr="00AB5151">
          <w:rPr>
            <w:rStyle w:val="Hipervnculo"/>
            <w:rFonts w:ascii="Verdana" w:hAnsi="Verdana" w:cs="Arial"/>
            <w:shd w:val="clear" w:color="auto" w:fill="FFFFFF"/>
            <w:lang w:val="es-ES"/>
          </w:rPr>
          <w:t>https://relatoria.colombiacompra.gov.co/busqueda/conceptos</w:t>
        </w:r>
      </w:hyperlink>
      <w:r w:rsidRPr="00AB5151">
        <w:rPr>
          <w:rStyle w:val="normaltextrun"/>
          <w:rFonts w:ascii="Verdana" w:hAnsi="Verdana" w:cs="Arial"/>
          <w:shd w:val="clear" w:color="auto" w:fill="FFFFFF"/>
          <w:lang w:val="es-ES"/>
        </w:rPr>
        <w:t xml:space="preserve">. </w:t>
      </w:r>
    </w:p>
    <w:p w14:paraId="63F0D7B2" w14:textId="77777777" w:rsidR="00CA016C" w:rsidRDefault="00CA016C" w:rsidP="00CA016C">
      <w:pPr>
        <w:spacing w:after="0" w:line="276" w:lineRule="auto"/>
        <w:jc w:val="both"/>
        <w:rPr>
          <w:rFonts w:ascii="Verdana" w:hAnsi="Verdana"/>
          <w:lang w:val="es-ES"/>
        </w:rPr>
      </w:pPr>
    </w:p>
    <w:p w14:paraId="298FB656" w14:textId="77777777" w:rsidR="00CA016C" w:rsidRDefault="00CA016C" w:rsidP="00CA016C">
      <w:pPr>
        <w:spacing w:after="0" w:line="276" w:lineRule="auto"/>
        <w:jc w:val="both"/>
        <w:rPr>
          <w:rFonts w:ascii="Verdana" w:hAnsi="Verdana"/>
        </w:rPr>
      </w:pPr>
      <w:r w:rsidRPr="001F4E2F">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0952BF96" w14:textId="77777777" w:rsidR="00CA016C" w:rsidRPr="001F4E2F" w:rsidRDefault="00CA016C" w:rsidP="00CA016C">
      <w:pPr>
        <w:spacing w:after="0" w:line="276" w:lineRule="auto"/>
        <w:jc w:val="both"/>
        <w:rPr>
          <w:rFonts w:ascii="Verdana" w:eastAsia="Calibri" w:hAnsi="Verdana" w:cs="Times New Roman"/>
        </w:rPr>
      </w:pPr>
    </w:p>
    <w:p w14:paraId="468C95C3" w14:textId="77777777" w:rsidR="00CA016C" w:rsidRPr="001F4E2F" w:rsidRDefault="00CA016C" w:rsidP="00CA016C">
      <w:pPr>
        <w:pStyle w:val="Prrafodelista"/>
        <w:numPr>
          <w:ilvl w:val="0"/>
          <w:numId w:val="1"/>
        </w:numPr>
        <w:spacing w:after="0" w:line="276" w:lineRule="auto"/>
        <w:contextualSpacing w:val="0"/>
        <w:jc w:val="both"/>
        <w:rPr>
          <w:rFonts w:ascii="Verdana" w:hAnsi="Verdana"/>
        </w:rPr>
      </w:pPr>
      <w:r w:rsidRPr="001F4E2F">
        <w:rPr>
          <w:rFonts w:ascii="Verdana" w:hAnsi="Verdana"/>
        </w:rPr>
        <w:t>Línea nacional gratuita o servicio a la ciudadanía: 01800 0520808</w:t>
      </w:r>
    </w:p>
    <w:p w14:paraId="1A5A437E" w14:textId="77777777" w:rsidR="00CA016C" w:rsidRPr="001F4E2F" w:rsidRDefault="00CA016C" w:rsidP="00CA016C">
      <w:pPr>
        <w:pStyle w:val="Prrafodelista"/>
        <w:numPr>
          <w:ilvl w:val="0"/>
          <w:numId w:val="1"/>
        </w:numPr>
        <w:spacing w:after="0" w:line="276" w:lineRule="auto"/>
        <w:contextualSpacing w:val="0"/>
        <w:jc w:val="both"/>
        <w:rPr>
          <w:rFonts w:ascii="Verdana" w:hAnsi="Verdana"/>
        </w:rPr>
      </w:pPr>
      <w:r w:rsidRPr="001F4E2F">
        <w:rPr>
          <w:rFonts w:ascii="Verdana" w:hAnsi="Verdana"/>
        </w:rPr>
        <w:t>Línea en Bogotá (Mesa de servicio): +57 601 7456788</w:t>
      </w:r>
    </w:p>
    <w:p w14:paraId="13DBF099" w14:textId="77777777" w:rsidR="00CA016C" w:rsidRPr="001F4E2F" w:rsidRDefault="00CA016C" w:rsidP="00CA016C">
      <w:pPr>
        <w:pStyle w:val="Prrafodelista"/>
        <w:numPr>
          <w:ilvl w:val="0"/>
          <w:numId w:val="1"/>
        </w:numPr>
        <w:spacing w:after="0" w:line="276" w:lineRule="auto"/>
        <w:contextualSpacing w:val="0"/>
        <w:jc w:val="both"/>
        <w:rPr>
          <w:rFonts w:ascii="Verdana" w:hAnsi="Verdana"/>
        </w:rPr>
      </w:pPr>
      <w:r w:rsidRPr="001F4E2F">
        <w:rPr>
          <w:rFonts w:ascii="Verdana" w:hAnsi="Verdana"/>
        </w:rPr>
        <w:t>Línea de servicio y atención al ciudadano: +57 601 7956600</w:t>
      </w:r>
    </w:p>
    <w:p w14:paraId="77A9DD6B" w14:textId="77777777" w:rsidR="00CA016C" w:rsidRPr="001F4E2F" w:rsidRDefault="00CA016C" w:rsidP="00CA016C">
      <w:pPr>
        <w:pStyle w:val="Prrafodelista"/>
        <w:numPr>
          <w:ilvl w:val="0"/>
          <w:numId w:val="1"/>
        </w:numPr>
        <w:spacing w:after="0" w:line="276" w:lineRule="auto"/>
        <w:contextualSpacing w:val="0"/>
        <w:jc w:val="both"/>
        <w:rPr>
          <w:rFonts w:ascii="Verdana" w:hAnsi="Verdana"/>
        </w:rPr>
      </w:pPr>
      <w:r w:rsidRPr="001F4E2F">
        <w:rPr>
          <w:rFonts w:ascii="Verdana" w:hAnsi="Verdana"/>
        </w:rPr>
        <w:t xml:space="preserve">Página web: </w:t>
      </w:r>
      <w:hyperlink r:id="rId10" w:history="1">
        <w:r w:rsidRPr="001F4E2F">
          <w:rPr>
            <w:rStyle w:val="Hipervnculo"/>
            <w:rFonts w:ascii="Verdana" w:hAnsi="Verdana"/>
          </w:rPr>
          <w:t>www.colombiacompra.gov.co</w:t>
        </w:r>
      </w:hyperlink>
    </w:p>
    <w:p w14:paraId="4AA048C8" w14:textId="77777777" w:rsidR="00CA016C" w:rsidRPr="001F4E2F" w:rsidRDefault="00CA016C" w:rsidP="00CA016C">
      <w:pPr>
        <w:spacing w:after="0" w:line="276" w:lineRule="auto"/>
        <w:jc w:val="both"/>
        <w:rPr>
          <w:rFonts w:ascii="Verdana" w:hAnsi="Verdana"/>
        </w:rPr>
      </w:pPr>
      <w:r w:rsidRPr="001F4E2F">
        <w:rPr>
          <w:rFonts w:ascii="Verdana" w:hAnsi="Verdana"/>
        </w:rPr>
        <w:t xml:space="preserve">Por último, lo invitamos a seguirnos en las redes sociales en las cuales se difunde información institucional: </w:t>
      </w:r>
    </w:p>
    <w:p w14:paraId="021504B1" w14:textId="77777777" w:rsidR="00CA016C" w:rsidRPr="001F4E2F" w:rsidRDefault="00CA016C" w:rsidP="00CA016C">
      <w:pPr>
        <w:spacing w:after="0" w:line="276" w:lineRule="auto"/>
        <w:jc w:val="both"/>
        <w:rPr>
          <w:rFonts w:ascii="Verdana" w:hAnsi="Verdana"/>
        </w:rPr>
      </w:pPr>
    </w:p>
    <w:p w14:paraId="7B619A38" w14:textId="77777777" w:rsidR="00CA016C" w:rsidRPr="001F4E2F" w:rsidRDefault="00CA016C" w:rsidP="00CA016C">
      <w:pPr>
        <w:spacing w:after="0" w:line="276" w:lineRule="auto"/>
        <w:jc w:val="both"/>
        <w:rPr>
          <w:rFonts w:ascii="Verdana" w:hAnsi="Verdana"/>
        </w:rPr>
      </w:pPr>
      <w:r w:rsidRPr="001F4E2F">
        <w:rPr>
          <w:rFonts w:ascii="Verdana" w:hAnsi="Verdana"/>
        </w:rPr>
        <w:lastRenderedPageBreak/>
        <w:t xml:space="preserve">Twitter: </w:t>
      </w:r>
      <w:r w:rsidRPr="001F4E2F">
        <w:rPr>
          <w:rStyle w:val="Hipervnculo"/>
          <w:rFonts w:ascii="Verdana" w:hAnsi="Verdana"/>
        </w:rPr>
        <w:t>@colombiacompra</w:t>
      </w:r>
      <w:r w:rsidRPr="001F4E2F">
        <w:rPr>
          <w:rFonts w:ascii="Verdana" w:hAnsi="Verdana"/>
        </w:rPr>
        <w:t xml:space="preserve"> </w:t>
      </w:r>
    </w:p>
    <w:p w14:paraId="6A663EB8" w14:textId="77777777" w:rsidR="00CA016C" w:rsidRPr="001F4E2F" w:rsidRDefault="00CA016C" w:rsidP="00CA016C">
      <w:pPr>
        <w:spacing w:after="0" w:line="276" w:lineRule="auto"/>
        <w:jc w:val="both"/>
        <w:rPr>
          <w:rFonts w:ascii="Verdana" w:hAnsi="Verdana"/>
        </w:rPr>
      </w:pPr>
      <w:r w:rsidRPr="001F4E2F">
        <w:rPr>
          <w:rFonts w:ascii="Verdana" w:hAnsi="Verdana"/>
        </w:rPr>
        <w:t xml:space="preserve">Facebook: </w:t>
      </w:r>
      <w:r w:rsidRPr="001F4E2F">
        <w:rPr>
          <w:rStyle w:val="Hipervnculo"/>
          <w:rFonts w:ascii="Verdana" w:hAnsi="Verdana"/>
        </w:rPr>
        <w:t>ColombiaCompraEficiente</w:t>
      </w:r>
    </w:p>
    <w:p w14:paraId="6F810AA8" w14:textId="77777777" w:rsidR="00CA016C" w:rsidRPr="001F4E2F" w:rsidRDefault="00CA016C" w:rsidP="00CA016C">
      <w:pPr>
        <w:spacing w:after="0" w:line="276" w:lineRule="auto"/>
        <w:jc w:val="both"/>
        <w:rPr>
          <w:rFonts w:ascii="Verdana" w:hAnsi="Verdana"/>
        </w:rPr>
      </w:pPr>
      <w:r w:rsidRPr="001F4E2F">
        <w:rPr>
          <w:rFonts w:ascii="Verdana" w:hAnsi="Verdana"/>
        </w:rPr>
        <w:t xml:space="preserve">LinkedIn: </w:t>
      </w:r>
      <w:r w:rsidRPr="001F4E2F">
        <w:rPr>
          <w:rStyle w:val="Hipervnculo"/>
          <w:rFonts w:ascii="Verdana" w:hAnsi="Verdana"/>
        </w:rPr>
        <w:t>Agencia Nacional de Contratación Pública - Colombia Compra Eficiente</w:t>
      </w:r>
      <w:r w:rsidRPr="001F4E2F">
        <w:rPr>
          <w:rFonts w:ascii="Verdana" w:hAnsi="Verdana"/>
        </w:rPr>
        <w:t xml:space="preserve"> Instagram: </w:t>
      </w:r>
      <w:r w:rsidRPr="001F4E2F">
        <w:rPr>
          <w:rStyle w:val="Hipervnculo"/>
          <w:rFonts w:ascii="Verdana" w:hAnsi="Verdana"/>
        </w:rPr>
        <w:t>@colombiacompraeficiente_cce</w:t>
      </w:r>
    </w:p>
    <w:p w14:paraId="4482CBDD" w14:textId="77777777" w:rsidR="00CA016C" w:rsidRPr="001F4E2F" w:rsidRDefault="00CA016C" w:rsidP="00CA016C">
      <w:pPr>
        <w:spacing w:after="0" w:line="276" w:lineRule="auto"/>
        <w:jc w:val="both"/>
        <w:rPr>
          <w:rFonts w:ascii="Verdana" w:hAnsi="Verdana"/>
        </w:rPr>
      </w:pPr>
    </w:p>
    <w:p w14:paraId="68D3A870" w14:textId="77777777" w:rsidR="00CA016C" w:rsidRPr="001F4E2F" w:rsidRDefault="00CA016C" w:rsidP="00CA016C">
      <w:pPr>
        <w:spacing w:after="0" w:line="276" w:lineRule="auto"/>
        <w:jc w:val="both"/>
        <w:rPr>
          <w:rFonts w:ascii="Verdana" w:hAnsi="Verdana"/>
        </w:rPr>
      </w:pPr>
      <w:r w:rsidRPr="001F4E2F">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AF1B1A6" w14:textId="77777777" w:rsidR="00CA016C" w:rsidRPr="001F4E2F" w:rsidRDefault="00CA016C" w:rsidP="00CA016C">
      <w:pPr>
        <w:spacing w:after="0" w:line="276" w:lineRule="auto"/>
        <w:jc w:val="both"/>
        <w:rPr>
          <w:rFonts w:ascii="Verdana" w:eastAsia="Calibri" w:hAnsi="Verdana" w:cs="Times New Roman"/>
        </w:rPr>
      </w:pPr>
    </w:p>
    <w:p w14:paraId="5506CC19" w14:textId="2C5B3243" w:rsidR="00CA016C" w:rsidRPr="004067F0" w:rsidRDefault="00CA016C" w:rsidP="004067F0">
      <w:pPr>
        <w:spacing w:after="0" w:line="276" w:lineRule="auto"/>
        <w:jc w:val="both"/>
        <w:rPr>
          <w:noProof/>
        </w:rPr>
      </w:pPr>
      <w:r w:rsidRPr="001F4E2F">
        <w:rPr>
          <w:rFonts w:ascii="Verdana" w:eastAsia="Calibri" w:hAnsi="Verdana" w:cs="Times New Roman"/>
        </w:rPr>
        <w:t>Atentamente,</w:t>
      </w:r>
      <w:bookmarkEnd w:id="1"/>
      <w:bookmarkEnd w:id="2"/>
    </w:p>
    <w:p w14:paraId="60B3FF2C" w14:textId="1A5E7CBC" w:rsidR="00CA016C" w:rsidRDefault="004067F0" w:rsidP="004067F0">
      <w:pPr>
        <w:spacing w:after="0"/>
        <w:jc w:val="center"/>
        <w:rPr>
          <w:rFonts w:ascii="Verdana" w:hAnsi="Verdana"/>
        </w:rPr>
      </w:pPr>
      <w:r>
        <w:rPr>
          <w:noProof/>
        </w:rPr>
        <w:drawing>
          <wp:inline distT="0" distB="0" distL="0" distR="0" wp14:anchorId="6CC2BC44" wp14:editId="05BD5B44">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1"/>
                    <a:stretch>
                      <a:fillRect/>
                    </a:stretch>
                  </pic:blipFill>
                  <pic:spPr>
                    <a:xfrm>
                      <a:off x="0" y="0"/>
                      <a:ext cx="3771900" cy="1400175"/>
                    </a:xfrm>
                    <a:prstGeom prst="rect">
                      <a:avLst/>
                    </a:prstGeom>
                  </pic:spPr>
                </pic:pic>
              </a:graphicData>
            </a:graphic>
          </wp:inline>
        </w:drawing>
      </w:r>
    </w:p>
    <w:p w14:paraId="7451321E" w14:textId="77777777" w:rsidR="00CA016C" w:rsidRDefault="00CA016C" w:rsidP="00CA016C">
      <w:pPr>
        <w:spacing w:after="0"/>
        <w:rPr>
          <w:rFonts w:ascii="Verdana" w:hAnsi="Verdana"/>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A016C" w:rsidRPr="002423D6" w14:paraId="7698E80A" w14:textId="77777777" w:rsidTr="0029569F">
        <w:trPr>
          <w:trHeight w:val="315"/>
        </w:trPr>
        <w:tc>
          <w:tcPr>
            <w:tcW w:w="893" w:type="dxa"/>
            <w:vAlign w:val="center"/>
            <w:hideMark/>
          </w:tcPr>
          <w:p w14:paraId="69FCAD38" w14:textId="77777777" w:rsidR="00CA016C" w:rsidRPr="002423D6" w:rsidRDefault="00CA016C" w:rsidP="0029569F">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D8E3528" w14:textId="77777777" w:rsidR="00CA016C" w:rsidRPr="002423D6" w:rsidRDefault="00CA016C" w:rsidP="0029569F">
            <w:pPr>
              <w:contextualSpacing/>
              <w:rPr>
                <w:rFonts w:ascii="Verdana" w:eastAsia="Arial" w:hAnsi="Verdana" w:cs="Arial"/>
                <w:color w:val="000000" w:themeColor="text1"/>
                <w:sz w:val="16"/>
                <w:szCs w:val="16"/>
              </w:rPr>
            </w:pPr>
            <w:r w:rsidRPr="002423D6">
              <w:rPr>
                <w:rFonts w:ascii="Verdana" w:eastAsia="Arial" w:hAnsi="Verdana" w:cs="Arial"/>
                <w:color w:val="000000" w:themeColor="text1"/>
                <w:sz w:val="16"/>
                <w:szCs w:val="16"/>
              </w:rPr>
              <w:t>An</w:t>
            </w:r>
            <w:r>
              <w:rPr>
                <w:rFonts w:ascii="Verdana" w:eastAsia="Arial" w:hAnsi="Verdana" w:cs="Arial"/>
                <w:color w:val="000000" w:themeColor="text1"/>
                <w:sz w:val="16"/>
                <w:szCs w:val="16"/>
              </w:rPr>
              <w:t>dreina Cerpa Muñoz</w:t>
            </w:r>
          </w:p>
          <w:p w14:paraId="739A0403" w14:textId="77777777" w:rsidR="00CA016C" w:rsidRPr="002423D6" w:rsidRDefault="00CA016C" w:rsidP="0029569F">
            <w:pPr>
              <w:contextualSpacing/>
              <w:rPr>
                <w:rFonts w:ascii="Verdana" w:eastAsia="Arial" w:hAnsi="Verdana" w:cs="Arial"/>
                <w:color w:val="000000" w:themeColor="text1"/>
                <w:sz w:val="16"/>
                <w:szCs w:val="16"/>
              </w:rPr>
            </w:pPr>
            <w:r w:rsidRPr="002423D6">
              <w:rPr>
                <w:rStyle w:val="normaltextrun"/>
                <w:rFonts w:ascii="Verdana" w:eastAsia="Arial" w:hAnsi="Verdana" w:cs="Arial"/>
                <w:color w:val="000000" w:themeColor="text1"/>
                <w:sz w:val="16"/>
                <w:szCs w:val="16"/>
              </w:rPr>
              <w:t>Analista T2-02 de la Subdirección de Gestión Contractual</w:t>
            </w:r>
          </w:p>
        </w:tc>
      </w:tr>
      <w:tr w:rsidR="00CA016C" w:rsidRPr="002423D6" w14:paraId="42F373B6" w14:textId="77777777" w:rsidTr="0029569F">
        <w:trPr>
          <w:trHeight w:val="330"/>
        </w:trPr>
        <w:tc>
          <w:tcPr>
            <w:tcW w:w="893" w:type="dxa"/>
            <w:vAlign w:val="center"/>
            <w:hideMark/>
          </w:tcPr>
          <w:p w14:paraId="630AB8B3" w14:textId="77777777" w:rsidR="00CA016C" w:rsidRPr="002423D6" w:rsidRDefault="00CA016C" w:rsidP="0029569F">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D5C889D" w14:textId="7F4D4ED1" w:rsidR="00CA016C" w:rsidRPr="00A11861" w:rsidRDefault="00CA2575" w:rsidP="0029569F">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 xml:space="preserve">Juan David Cárdenas Cabeza </w:t>
            </w:r>
          </w:p>
          <w:p w14:paraId="51F1C3DA" w14:textId="77777777" w:rsidR="00CA016C" w:rsidRPr="002423D6" w:rsidRDefault="00CA016C" w:rsidP="0029569F">
            <w:pPr>
              <w:pStyle w:val="paragraph"/>
              <w:spacing w:before="0" w:beforeAutospacing="0" w:after="0" w:afterAutospacing="0"/>
              <w:contextualSpacing/>
              <w:textAlignment w:val="baseline"/>
              <w:rPr>
                <w:rFonts w:ascii="Verdana" w:hAnsi="Verdana" w:cs="Segoe UI"/>
                <w:color w:val="000000" w:themeColor="text1"/>
                <w:sz w:val="16"/>
                <w:szCs w:val="16"/>
              </w:rPr>
            </w:pPr>
            <w:r w:rsidRPr="002423D6">
              <w:rPr>
                <w:rStyle w:val="normaltextrun"/>
                <w:rFonts w:ascii="Verdana" w:hAnsi="Verdana" w:cs="Arial"/>
                <w:color w:val="000000" w:themeColor="text1"/>
                <w:sz w:val="16"/>
                <w:szCs w:val="16"/>
                <w:lang w:val="es-ES"/>
              </w:rPr>
              <w:t>Contratista de la Subdirección de Gestión Contractual</w:t>
            </w:r>
            <w:r w:rsidRPr="002423D6">
              <w:rPr>
                <w:rStyle w:val="eop"/>
                <w:rFonts w:ascii="Verdana" w:hAnsi="Verdana" w:cs="Arial"/>
                <w:color w:val="000000" w:themeColor="text1"/>
                <w:sz w:val="16"/>
                <w:szCs w:val="16"/>
              </w:rPr>
              <w:t> </w:t>
            </w:r>
          </w:p>
        </w:tc>
      </w:tr>
      <w:tr w:rsidR="00CA016C" w:rsidRPr="002423D6" w14:paraId="3F33E9A6" w14:textId="77777777" w:rsidTr="0029569F">
        <w:trPr>
          <w:trHeight w:val="300"/>
        </w:trPr>
        <w:tc>
          <w:tcPr>
            <w:tcW w:w="893" w:type="dxa"/>
            <w:vAlign w:val="center"/>
          </w:tcPr>
          <w:p w14:paraId="10AAEE14" w14:textId="77777777" w:rsidR="00CA016C" w:rsidRPr="002423D6" w:rsidRDefault="00CA016C" w:rsidP="0029569F">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87C2A65" w14:textId="77777777" w:rsidR="00CA016C" w:rsidRPr="002423D6" w:rsidRDefault="00CA016C" w:rsidP="0029569F">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val="pt-BR" w:eastAsia="es-ES"/>
              </w:rPr>
              <w:t>Carolina Quintero Gacharná</w:t>
            </w:r>
          </w:p>
          <w:p w14:paraId="1E730FDA" w14:textId="77777777" w:rsidR="00CA016C" w:rsidRPr="002423D6" w:rsidRDefault="00CA016C" w:rsidP="0029569F">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eastAsia="es-ES"/>
              </w:rPr>
              <w:t>Subdirectora</w:t>
            </w:r>
            <w:r w:rsidRPr="002423D6">
              <w:rPr>
                <w:rFonts w:ascii="Verdana" w:eastAsia="Calibri" w:hAnsi="Verdana" w:cs="Arial"/>
                <w:color w:val="000000" w:themeColor="text1"/>
                <w:sz w:val="16"/>
                <w:szCs w:val="16"/>
                <w:lang w:val="pt-BR" w:eastAsia="es-ES"/>
              </w:rPr>
              <w:t xml:space="preserve"> de Gestión Contractual ANCP – CCE</w:t>
            </w:r>
          </w:p>
        </w:tc>
      </w:tr>
    </w:tbl>
    <w:p w14:paraId="45975BC6" w14:textId="77777777" w:rsidR="00CA016C" w:rsidRDefault="00CA016C" w:rsidP="00CA016C"/>
    <w:p w14:paraId="1D0B034D" w14:textId="1DA8555B" w:rsidR="00CA016C" w:rsidRDefault="00CA016C" w:rsidP="00CA016C"/>
    <w:p w14:paraId="4A8A7378" w14:textId="77777777" w:rsidR="00CA016C" w:rsidRDefault="00CA016C" w:rsidP="00CA016C"/>
    <w:p w14:paraId="3C7C9BE9" w14:textId="77777777" w:rsidR="00CA016C" w:rsidRDefault="00CA016C" w:rsidP="00CA016C"/>
    <w:p w14:paraId="6DBFD514" w14:textId="77777777" w:rsidR="000F5A42" w:rsidRDefault="000F5A42"/>
    <w:sectPr w:rsidR="000F5A42" w:rsidSect="00CA016C">
      <w:headerReference w:type="default" r:id="rId12"/>
      <w:footerReference w:type="default" r:id="rId1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4A5F4" w14:textId="77777777" w:rsidR="00E5318E" w:rsidRDefault="00E5318E" w:rsidP="00CA016C">
      <w:pPr>
        <w:spacing w:after="0" w:line="240" w:lineRule="auto"/>
      </w:pPr>
      <w:r>
        <w:separator/>
      </w:r>
    </w:p>
  </w:endnote>
  <w:endnote w:type="continuationSeparator" w:id="0">
    <w:p w14:paraId="450E0E2D" w14:textId="77777777" w:rsidR="00E5318E" w:rsidRDefault="00E5318E" w:rsidP="00CA01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282F9" w14:textId="77777777" w:rsidR="00CA016C" w:rsidRDefault="00CA016C">
    <w:pPr>
      <w:pStyle w:val="Piedepgina"/>
    </w:pPr>
  </w:p>
  <w:p w14:paraId="3C6766D8" w14:textId="77777777" w:rsidR="00CA016C" w:rsidRPr="00174B77" w:rsidRDefault="00CA016C">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65E144E2" w14:textId="77777777" w:rsidR="00CA016C" w:rsidRDefault="00CA016C">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E1C78D5" w14:textId="77777777" w:rsidR="00CA016C" w:rsidRPr="00E41027" w:rsidRDefault="00CA016C">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55437FA" w14:textId="77777777" w:rsidR="00CA016C" w:rsidRDefault="00CA016C">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8ADBD" w14:textId="77777777" w:rsidR="00E5318E" w:rsidRDefault="00E5318E" w:rsidP="00CA016C">
      <w:pPr>
        <w:spacing w:after="0" w:line="240" w:lineRule="auto"/>
      </w:pPr>
      <w:r>
        <w:separator/>
      </w:r>
    </w:p>
  </w:footnote>
  <w:footnote w:type="continuationSeparator" w:id="0">
    <w:p w14:paraId="5F4771D1" w14:textId="77777777" w:rsidR="00E5318E" w:rsidRDefault="00E5318E" w:rsidP="00CA016C">
      <w:pPr>
        <w:spacing w:after="0" w:line="240" w:lineRule="auto"/>
      </w:pPr>
      <w:r>
        <w:continuationSeparator/>
      </w:r>
    </w:p>
  </w:footnote>
  <w:footnote w:id="1">
    <w:p w14:paraId="6B196C05" w14:textId="77777777" w:rsidR="00D115BB" w:rsidRPr="00E12E59" w:rsidRDefault="00D115BB" w:rsidP="00D115BB">
      <w:pPr>
        <w:pStyle w:val="Textonotapie"/>
        <w:ind w:firstLine="708"/>
        <w:jc w:val="both"/>
        <w:rPr>
          <w:rFonts w:ascii="Verdana" w:hAnsi="Verdana" w:cs="Arial"/>
          <w:sz w:val="16"/>
          <w:szCs w:val="16"/>
        </w:rPr>
      </w:pPr>
      <w:r w:rsidRPr="00E12E59">
        <w:rPr>
          <w:rStyle w:val="Refdenotaalpie"/>
          <w:rFonts w:ascii="Verdana" w:hAnsi="Verdana" w:cs="Arial"/>
          <w:sz w:val="16"/>
          <w:szCs w:val="16"/>
        </w:rPr>
        <w:footnoteRef/>
      </w:r>
      <w:r w:rsidRPr="00E12E59">
        <w:rPr>
          <w:rFonts w:ascii="Verdana" w:hAnsi="Verdana" w:cs="Arial"/>
          <w:sz w:val="16"/>
          <w:szCs w:val="16"/>
        </w:rPr>
        <w:t xml:space="preserve"> Al respecto, la jurisprudencia explica que la garantía del debido proceso “[…] tampoco es exclusiva de los procedimientos sancionatorios contractuales, sino de los demás trámites administrativos que se surten al interior de la actividad contractual, que también deben garantizar un procedimiento previo que racionalice las decisiones que se adoptan a través suyo. Los más representativos son los procesos de selección de contratistas, cuyas etapas y requisitos son de estricta observancia, tanto para la administración como para los participantes, en señal de respeto al principio de legalidad como a este derecho que integra el debido proceso” (CONSEJO DE ESTADO. Sección Tercera. Sentencia del 23 de junio de 2010. Rad. 16.367. C.P. Enrique Gil Botero). </w:t>
      </w:r>
    </w:p>
  </w:footnote>
  <w:footnote w:id="2">
    <w:p w14:paraId="4951F6A0" w14:textId="77777777" w:rsidR="00D115BB" w:rsidRPr="00E12E59" w:rsidRDefault="00D115BB" w:rsidP="00D115BB">
      <w:pPr>
        <w:pStyle w:val="Textonotapie"/>
        <w:ind w:firstLine="708"/>
        <w:jc w:val="both"/>
        <w:rPr>
          <w:rFonts w:ascii="Verdana" w:hAnsi="Verdana" w:cs="Arial"/>
          <w:sz w:val="16"/>
          <w:szCs w:val="16"/>
        </w:rPr>
      </w:pPr>
      <w:r w:rsidRPr="00E12E59">
        <w:rPr>
          <w:rStyle w:val="Refdenotaalpie"/>
          <w:rFonts w:ascii="Verdana" w:hAnsi="Verdana" w:cs="Arial"/>
          <w:sz w:val="16"/>
          <w:szCs w:val="16"/>
        </w:rPr>
        <w:footnoteRef/>
      </w:r>
      <w:r w:rsidRPr="00E12E59">
        <w:rPr>
          <w:rFonts w:ascii="Verdana" w:hAnsi="Verdana" w:cs="Arial"/>
          <w:sz w:val="16"/>
          <w:szCs w:val="16"/>
        </w:rPr>
        <w:t xml:space="preserve"> De hecho, en la exposición de motivos se explicó lo siguiente: “El proyecto mantiene como regla general la utilización de procedimientos reglados de selección objetiva del contratista [...], lo que afirma la ordenación que sobre la materia ha mantenido nuestra legislación desde el Código Fiscal de 1873 en cuanto que su justificación estriba, esencialmente, en los conceptos de seguridad, corrección y moralidad administrativas, así como en el principio de igualdad de oportunidades para que cualquier persona que esté en posibilidad de contratar con la administración tenga acceso a ella” (</w:t>
      </w:r>
      <w:bookmarkStart w:id="6" w:name="_Hlk39067926"/>
      <w:r w:rsidRPr="00E12E59">
        <w:rPr>
          <w:rFonts w:ascii="Verdana" w:hAnsi="Verdana" w:cs="Arial"/>
          <w:sz w:val="16"/>
          <w:szCs w:val="16"/>
        </w:rPr>
        <w:t>CONGRESO DE LA REPÚBLICA. Exposición de motivos de la Ley 80 de 1993. Gaceta del Congreso No. 75 del 23 de septiembre de 1992</w:t>
      </w:r>
      <w:bookmarkEnd w:id="6"/>
      <w:r w:rsidRPr="00E12E59">
        <w:rPr>
          <w:rFonts w:ascii="Verdana" w:hAnsi="Verdana" w:cs="Arial"/>
          <w:sz w:val="16"/>
          <w:szCs w:val="16"/>
        </w:rPr>
        <w:t>).</w:t>
      </w:r>
    </w:p>
  </w:footnote>
  <w:footnote w:id="3">
    <w:p w14:paraId="686F26DF" w14:textId="77777777" w:rsidR="00D115BB" w:rsidRPr="00E12E59" w:rsidRDefault="00D115BB" w:rsidP="00D115BB">
      <w:pPr>
        <w:pStyle w:val="Textonotapie"/>
        <w:ind w:firstLine="708"/>
        <w:jc w:val="both"/>
        <w:rPr>
          <w:rFonts w:ascii="Verdana" w:hAnsi="Verdana" w:cs="Arial"/>
          <w:sz w:val="16"/>
          <w:szCs w:val="16"/>
        </w:rPr>
      </w:pPr>
      <w:r w:rsidRPr="00E12E59">
        <w:rPr>
          <w:rStyle w:val="Refdenotaalpie"/>
          <w:rFonts w:ascii="Verdana" w:hAnsi="Verdana" w:cs="Arial"/>
          <w:sz w:val="16"/>
          <w:szCs w:val="16"/>
        </w:rPr>
        <w:footnoteRef/>
      </w:r>
      <w:r w:rsidRPr="00E12E59">
        <w:rPr>
          <w:rFonts w:ascii="Verdana" w:hAnsi="Verdana" w:cs="Arial"/>
          <w:sz w:val="16"/>
          <w:szCs w:val="16"/>
        </w:rPr>
        <w:t xml:space="preserve"> El inciso primero de norma disponía que, conforme al principio de transparencia, “</w:t>
      </w:r>
      <w:r w:rsidRPr="00E12E59">
        <w:rPr>
          <w:rFonts w:ascii="Verdana" w:hAnsi="Verdana" w:cs="Arial"/>
          <w:i/>
          <w:iCs/>
          <w:sz w:val="16"/>
          <w:szCs w:val="16"/>
        </w:rPr>
        <w:t>La escogencia del contratista se efectuará siempre a través de licitación o concurso públicos</w:t>
      </w:r>
      <w:r w:rsidRPr="00E12E59">
        <w:rPr>
          <w:rFonts w:ascii="Verdana" w:hAnsi="Verdana" w:cs="Arial"/>
          <w:sz w:val="16"/>
          <w:szCs w:val="16"/>
        </w:rPr>
        <w:t>, salvo en los siguientes casos en los que se podrá contratar directamente” (Énfasis fuera de texto). La expresión en cursiva fue declarada exequible por la Corte Constitucional mediante la Sentencia C-400 de 1999, con ponencia del Magistrado Vladimiro Naranjo Mesa, y derogado integralmente por el artículo 32 de la Ley 1150 de 2007.</w:t>
      </w:r>
    </w:p>
  </w:footnote>
  <w:footnote w:id="4">
    <w:p w14:paraId="0B33358C" w14:textId="77777777" w:rsidR="00D115BB" w:rsidRPr="00E12E59" w:rsidRDefault="00D115BB" w:rsidP="00D115BB">
      <w:pPr>
        <w:pStyle w:val="Textonotapie"/>
        <w:ind w:firstLine="708"/>
        <w:jc w:val="both"/>
        <w:rPr>
          <w:rFonts w:ascii="Verdana" w:hAnsi="Verdana" w:cs="Arial"/>
          <w:sz w:val="16"/>
          <w:szCs w:val="16"/>
        </w:rPr>
      </w:pPr>
      <w:r w:rsidRPr="00E12E59">
        <w:rPr>
          <w:rStyle w:val="Refdenotaalpie"/>
          <w:rFonts w:ascii="Verdana" w:hAnsi="Verdana" w:cs="Arial"/>
          <w:sz w:val="16"/>
          <w:szCs w:val="16"/>
        </w:rPr>
        <w:footnoteRef/>
      </w:r>
      <w:r w:rsidRPr="00E12E59">
        <w:rPr>
          <w:rFonts w:ascii="Verdana" w:hAnsi="Verdana" w:cs="Arial"/>
          <w:sz w:val="16"/>
          <w:szCs w:val="16"/>
        </w:rPr>
        <w:t xml:space="preserve"> Sobre la articulación de los diferentes procesos de selección previstos en el artículo 2 de la Ley 1150 de 2007, DÁVILA VINUEZA considera lo siguiente: “En las leyes 80 de 1993 y 1150 de 2007 los demás procedimientos de selección distintos a la licitación pública, se convierten en procedimientos excepcionales y procedentes únicamente en los casos taxativamente contemplados en la ley. Pero la excepción no es respecto de los principios de transparencia, economía y responsabilidad y del deber de selección objetiva como parece lo han entendido algunas entidades estales. Estos principios que […] desarrollan los rectores de la función pública de orden constitucional y legal (art. 209 C.N., y art. 3° Cpaca) son aplicables con todo rigor a los procedimientos de excepción. Siendo ello así, la excepción de que se habla es respecto del proceso licitatorio regulado en el artículo 30 de la Ley 80 de 1993 con las variantes introducidas por el artículo 2°, numeral 1, de la ley 1150 de 2007, en concordancia con el artículo 2.2.1.2.1.1.1 del Decreto 1082 de 2015 (</w:t>
      </w:r>
      <w:r w:rsidRPr="00E12E59">
        <w:rPr>
          <w:rFonts w:ascii="Verdana" w:hAnsi="Verdana" w:cs="Arial"/>
          <w:i/>
          <w:iCs/>
          <w:sz w:val="16"/>
          <w:szCs w:val="16"/>
        </w:rPr>
        <w:t>Presentación de la oferta de manera dinámica</w:t>
      </w:r>
      <w:r w:rsidRPr="00E12E59">
        <w:rPr>
          <w:rFonts w:ascii="Verdana" w:hAnsi="Verdana" w:cs="Arial"/>
          <w:sz w:val="16"/>
          <w:szCs w:val="16"/>
        </w:rPr>
        <w:t xml:space="preserve">). Es decir, que ante la ausencia de una causal concreta para un determinado evento específico, la selección debe asumir la que el ordenamiento jurídico regula como licitación pública. Por eso es que, además, las causas excepcionales de selección son de interpretación restrictiva y no admiten analogía ni la interpretación extensiva. Genera nulidad absoluta del contrato, por abuso o desviación de poder, y nulidad del acto administrativo de selección cualquier artilugio que implique socavar la principal manifestación del principio de transparencia, cual es la selección por vía de licitación”. (DÁVILA VINUEZA, Luis Guillermo. Régimen jurídico de la contratación estatal. Tercera Edición. Bogotá: Legis, 2016. p. 463).      </w:t>
      </w:r>
    </w:p>
  </w:footnote>
  <w:footnote w:id="5">
    <w:p w14:paraId="4699EAFD" w14:textId="77777777" w:rsidR="00D115BB" w:rsidRPr="00E12E59" w:rsidRDefault="00D115BB" w:rsidP="00D115BB">
      <w:pPr>
        <w:pStyle w:val="Textonotapie"/>
        <w:ind w:firstLine="708"/>
        <w:jc w:val="both"/>
        <w:rPr>
          <w:rFonts w:ascii="Verdana" w:hAnsi="Verdana" w:cs="Arial"/>
          <w:sz w:val="16"/>
          <w:szCs w:val="16"/>
        </w:rPr>
      </w:pPr>
      <w:r w:rsidRPr="00E12E59">
        <w:rPr>
          <w:rStyle w:val="Refdenotaalpie"/>
          <w:rFonts w:ascii="Verdana" w:hAnsi="Verdana" w:cs="Arial"/>
          <w:sz w:val="16"/>
          <w:szCs w:val="16"/>
        </w:rPr>
        <w:footnoteRef/>
      </w:r>
      <w:r w:rsidRPr="00E12E59">
        <w:rPr>
          <w:rFonts w:ascii="Verdana" w:hAnsi="Verdana" w:cs="Arial"/>
          <w:sz w:val="16"/>
          <w:szCs w:val="16"/>
        </w:rPr>
        <w:t xml:space="preserve"> El numeral 2 del artículo 2 de la Ley 1150 de 2007 prescribe: “[…] Serán causales de selección abreviada las siguientes:</w:t>
      </w:r>
    </w:p>
    <w:p w14:paraId="19D8CF6B" w14:textId="77777777" w:rsidR="00D115BB" w:rsidRPr="00E12E59" w:rsidRDefault="00D115BB" w:rsidP="00D115BB">
      <w:pPr>
        <w:pStyle w:val="Textonotapie"/>
        <w:ind w:firstLine="708"/>
        <w:jc w:val="both"/>
        <w:rPr>
          <w:rFonts w:ascii="Verdana" w:hAnsi="Verdana" w:cs="Arial"/>
          <w:sz w:val="16"/>
          <w:szCs w:val="16"/>
        </w:rPr>
      </w:pPr>
      <w:r w:rsidRPr="00E12E59">
        <w:rPr>
          <w:rFonts w:ascii="Verdana" w:hAnsi="Verdana" w:cs="Arial"/>
          <w:sz w:val="16"/>
          <w:szCs w:val="16"/>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14:paraId="2D99F7BE" w14:textId="77777777" w:rsidR="00D115BB" w:rsidRPr="00E12E59" w:rsidRDefault="00D115BB" w:rsidP="00D115BB">
      <w:pPr>
        <w:pStyle w:val="Textonotapie"/>
        <w:ind w:firstLine="708"/>
        <w:jc w:val="both"/>
        <w:rPr>
          <w:rFonts w:ascii="Verdana" w:hAnsi="Verdana" w:cs="Arial"/>
          <w:sz w:val="16"/>
          <w:szCs w:val="16"/>
        </w:rPr>
      </w:pPr>
      <w:r w:rsidRPr="00E12E59">
        <w:rPr>
          <w:rFonts w:ascii="Verdana" w:hAnsi="Verdana" w:cs="Arial"/>
          <w:sz w:val="16"/>
          <w:szCs w:val="16"/>
        </w:rPr>
        <w:t xml:space="preserve">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w:t>
      </w:r>
    </w:p>
    <w:p w14:paraId="06C1EC86" w14:textId="77777777" w:rsidR="00D115BB" w:rsidRPr="00E12E59" w:rsidRDefault="00D115BB" w:rsidP="00D115BB">
      <w:pPr>
        <w:pStyle w:val="Textonotapie"/>
        <w:ind w:firstLine="708"/>
        <w:jc w:val="both"/>
        <w:rPr>
          <w:rFonts w:ascii="Verdana" w:hAnsi="Verdana" w:cs="Arial"/>
          <w:sz w:val="16"/>
          <w:szCs w:val="16"/>
        </w:rPr>
      </w:pPr>
      <w:r w:rsidRPr="00E12E59">
        <w:rPr>
          <w:rFonts w:ascii="Verdana" w:hAnsi="Verdana" w:cs="Arial"/>
          <w:sz w:val="16"/>
          <w:szCs w:val="16"/>
        </w:rPr>
        <w:t>b) La contratación de menor cuantía. Se entenderá por menor cuantía los valores que a continuación se relacionan, determinados en función de los presupuestos anuales de las entidades públicas expresados en salarios mínimos legales mensuales.</w:t>
      </w:r>
    </w:p>
    <w:p w14:paraId="589B8281" w14:textId="77777777" w:rsidR="00D115BB" w:rsidRPr="00E12E59" w:rsidRDefault="00D115BB" w:rsidP="00D115BB">
      <w:pPr>
        <w:pStyle w:val="Textonotapie"/>
        <w:ind w:firstLine="708"/>
        <w:jc w:val="both"/>
        <w:rPr>
          <w:rFonts w:ascii="Verdana" w:hAnsi="Verdana" w:cs="Arial"/>
          <w:sz w:val="16"/>
          <w:szCs w:val="16"/>
        </w:rPr>
      </w:pPr>
      <w:r w:rsidRPr="00E12E59">
        <w:rPr>
          <w:rFonts w:ascii="Verdana" w:hAnsi="Verdana" w:cs="Arial"/>
          <w:sz w:val="16"/>
          <w:szCs w:val="16"/>
        </w:rPr>
        <w:t>[…];</w:t>
      </w:r>
    </w:p>
    <w:p w14:paraId="60EA870C" w14:textId="77777777" w:rsidR="00D115BB" w:rsidRPr="00E12E59" w:rsidRDefault="00D115BB" w:rsidP="00D115BB">
      <w:pPr>
        <w:pStyle w:val="Textonotapie"/>
        <w:ind w:firstLine="708"/>
        <w:jc w:val="both"/>
        <w:rPr>
          <w:rFonts w:ascii="Verdana" w:hAnsi="Verdana" w:cs="Arial"/>
          <w:sz w:val="16"/>
          <w:szCs w:val="16"/>
        </w:rPr>
      </w:pPr>
      <w:r w:rsidRPr="00E12E59">
        <w:rPr>
          <w:rFonts w:ascii="Verdana" w:hAnsi="Verdana" w:cs="Arial"/>
          <w:sz w:val="16"/>
          <w:szCs w:val="16"/>
        </w:rPr>
        <w:t>c) Sin perjuicio de lo dispuesto en la Ley 100 de 1993 y en la Ley 1122 de 2007, la celebración de contratos para la prestación de servicios de salud. El reglamento interno correspondiente fijará las garantías a cargo de los contratistas. Los pagos correspondientes se podrán hacer mediante encargos fiduciarios;</w:t>
      </w:r>
    </w:p>
    <w:p w14:paraId="204BBEB0" w14:textId="77777777" w:rsidR="00D115BB" w:rsidRPr="00E12E59" w:rsidRDefault="00D115BB" w:rsidP="00D115BB">
      <w:pPr>
        <w:pStyle w:val="Textonotapie"/>
        <w:ind w:firstLine="708"/>
        <w:jc w:val="both"/>
        <w:rPr>
          <w:rFonts w:ascii="Verdana" w:hAnsi="Verdana" w:cs="Arial"/>
          <w:sz w:val="16"/>
          <w:szCs w:val="16"/>
        </w:rPr>
      </w:pPr>
      <w:r w:rsidRPr="00E12E59">
        <w:rPr>
          <w:rFonts w:ascii="Verdana" w:hAnsi="Verdana" w:cs="Arial"/>
          <w:sz w:val="16"/>
          <w:szCs w:val="16"/>
        </w:rPr>
        <w:t>d) La contratación cuyo proceso de licitación pública haya sido declarado desierto; en cuyo caso la entidad deberá iniciar la selección abreviada dentro de los cuatro meses siguientes a la declaración de desierta del proceso inicial;</w:t>
      </w:r>
    </w:p>
    <w:p w14:paraId="14DF2BEC" w14:textId="77777777" w:rsidR="00D115BB" w:rsidRPr="00E12E59" w:rsidRDefault="00D115BB" w:rsidP="00D115BB">
      <w:pPr>
        <w:pStyle w:val="Textonotapie"/>
        <w:ind w:firstLine="708"/>
        <w:jc w:val="both"/>
        <w:rPr>
          <w:rFonts w:ascii="Verdana" w:hAnsi="Verdana" w:cs="Arial"/>
          <w:sz w:val="16"/>
          <w:szCs w:val="16"/>
        </w:rPr>
      </w:pPr>
      <w:r w:rsidRPr="00E12E59">
        <w:rPr>
          <w:rFonts w:ascii="Verdana" w:hAnsi="Verdana" w:cs="Arial"/>
          <w:sz w:val="16"/>
          <w:szCs w:val="16"/>
        </w:rPr>
        <w:t>e) La enajenación de bienes del Estado, con excepción de aquellos a que se refiere la Ley 226 de 1995.</w:t>
      </w:r>
    </w:p>
    <w:p w14:paraId="50A4C93C" w14:textId="77777777" w:rsidR="00D115BB" w:rsidRPr="00E12E59" w:rsidRDefault="00D115BB" w:rsidP="00D115BB">
      <w:pPr>
        <w:pStyle w:val="Textonotapie"/>
        <w:ind w:firstLine="708"/>
        <w:jc w:val="both"/>
        <w:rPr>
          <w:rFonts w:ascii="Verdana" w:hAnsi="Verdana" w:cs="Arial"/>
          <w:sz w:val="16"/>
          <w:szCs w:val="16"/>
        </w:rPr>
      </w:pPr>
      <w:r w:rsidRPr="00E12E59">
        <w:rPr>
          <w:rFonts w:ascii="Verdana" w:hAnsi="Verdana" w:cs="Arial"/>
          <w:sz w:val="16"/>
          <w:szCs w:val="16"/>
        </w:rPr>
        <w:t xml:space="preserve">[…]; </w:t>
      </w:r>
    </w:p>
    <w:p w14:paraId="5CC8EE18" w14:textId="77777777" w:rsidR="00D115BB" w:rsidRPr="00E12E59" w:rsidRDefault="00D115BB" w:rsidP="00D115BB">
      <w:pPr>
        <w:pStyle w:val="Textonotapie"/>
        <w:ind w:firstLine="708"/>
        <w:jc w:val="both"/>
        <w:rPr>
          <w:rFonts w:ascii="Verdana" w:hAnsi="Verdana" w:cs="Arial"/>
          <w:sz w:val="16"/>
          <w:szCs w:val="16"/>
        </w:rPr>
      </w:pPr>
      <w:r w:rsidRPr="00E12E59">
        <w:rPr>
          <w:rFonts w:ascii="Verdana" w:hAnsi="Verdana" w:cs="Arial"/>
          <w:sz w:val="16"/>
          <w:szCs w:val="16"/>
        </w:rPr>
        <w:t xml:space="preserve">f) Productos de origen o destinación agropecuarios que se ofrezcan en las bolsas de productos legalmente constituidas; </w:t>
      </w:r>
    </w:p>
    <w:p w14:paraId="2362ECC1" w14:textId="77777777" w:rsidR="00D115BB" w:rsidRPr="00E12E59" w:rsidRDefault="00D115BB" w:rsidP="00D115BB">
      <w:pPr>
        <w:pStyle w:val="Textonotapie"/>
        <w:ind w:firstLine="708"/>
        <w:jc w:val="both"/>
        <w:rPr>
          <w:rFonts w:ascii="Verdana" w:hAnsi="Verdana" w:cs="Arial"/>
          <w:sz w:val="16"/>
          <w:szCs w:val="16"/>
        </w:rPr>
      </w:pPr>
      <w:r w:rsidRPr="00E12E59">
        <w:rPr>
          <w:rFonts w:ascii="Verdana" w:hAnsi="Verdana" w:cs="Arial"/>
          <w:sz w:val="16"/>
          <w:szCs w:val="16"/>
        </w:rPr>
        <w:t xml:space="preserve">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w:t>
      </w:r>
    </w:p>
    <w:p w14:paraId="25218061" w14:textId="77777777" w:rsidR="00D115BB" w:rsidRPr="00E12E59" w:rsidRDefault="00D115BB" w:rsidP="00D115BB">
      <w:pPr>
        <w:pStyle w:val="Textonotapie"/>
        <w:ind w:firstLine="708"/>
        <w:jc w:val="both"/>
        <w:rPr>
          <w:rFonts w:ascii="Verdana" w:hAnsi="Verdana" w:cs="Arial"/>
          <w:sz w:val="16"/>
          <w:szCs w:val="16"/>
        </w:rPr>
      </w:pPr>
      <w:r w:rsidRPr="00E12E59">
        <w:rPr>
          <w:rFonts w:ascii="Verdana" w:hAnsi="Verdana" w:cs="Arial"/>
          <w:sz w:val="16"/>
          <w:szCs w:val="16"/>
        </w:rPr>
        <w:t>h) Los contratos de las entidades, a cuyo cargo se encuentre la ejecución de los programas de protección de personas amenazadas, programas de desmovilización y reincorporación a la vida civil de personas y grupos al margen de la ley, incluida la atención de los respectivos grupos familiares, programas de atención a población desplazada por la violencia, programas de protección de derechos humanos de grupos de personas habitantes de la calle, niños y niñas o jóvenes involucrados en grupos juveniles que hayan incurrido en conductas contra el patrimonio económico y sostengan enfrentamientos violentos de diferente tipo, y población en alto grado de vulnerabilidad con reconocido estado de exclusión que requieran capacitación, resocialización y preparación para el trabajo, incluidos los contratos fiduciarios que demanden;</w:t>
      </w:r>
    </w:p>
    <w:p w14:paraId="1146E208" w14:textId="77777777" w:rsidR="00D115BB" w:rsidRPr="00E12E59" w:rsidRDefault="00D115BB" w:rsidP="00D115BB">
      <w:pPr>
        <w:pStyle w:val="Textonotapie"/>
        <w:ind w:firstLine="708"/>
        <w:jc w:val="both"/>
        <w:rPr>
          <w:rFonts w:ascii="Verdana" w:hAnsi="Verdana" w:cs="Arial"/>
          <w:sz w:val="16"/>
          <w:szCs w:val="16"/>
        </w:rPr>
      </w:pPr>
      <w:r w:rsidRPr="00E12E59">
        <w:rPr>
          <w:rFonts w:ascii="Verdana" w:hAnsi="Verdana" w:cs="Arial"/>
          <w:sz w:val="16"/>
          <w:szCs w:val="16"/>
        </w:rPr>
        <w:t>i) La contratación de bienes y servicios que se requieran para la defensa y seguridad nacional.</w:t>
      </w:r>
    </w:p>
    <w:p w14:paraId="675A09BF" w14:textId="77777777" w:rsidR="00D115BB" w:rsidRPr="00E12E59" w:rsidRDefault="00D115BB" w:rsidP="00D115BB">
      <w:pPr>
        <w:pStyle w:val="Textonotapie"/>
        <w:ind w:firstLine="708"/>
        <w:jc w:val="both"/>
        <w:rPr>
          <w:rFonts w:ascii="Verdana" w:hAnsi="Verdana" w:cs="Arial"/>
          <w:sz w:val="16"/>
          <w:szCs w:val="16"/>
        </w:rPr>
      </w:pPr>
      <w:r w:rsidRPr="00E12E59">
        <w:rPr>
          <w:rFonts w:ascii="Verdana" w:hAnsi="Verdana" w:cs="Arial"/>
          <w:sz w:val="16"/>
          <w:szCs w:val="16"/>
        </w:rPr>
        <w:t>j) Los bienes y servicios no uniformes de común utilización por parte de las entidades públicas, para lo cual la Agencia Nacional de Contratación Pública Colombia Compra Eficiente-podrá celebrar acuerdos marco de precios y demás instrumentos de agregación de demanda. Estos acuerdos marco de precios también serán de obligatorio uso de las entidades del Estado a las que se refiere el parágrafo 5° del artículo 2° de la presente ley, modificado por el artículo 41 de la ley 1955 de 2019”.</w:t>
      </w:r>
    </w:p>
  </w:footnote>
  <w:footnote w:id="6">
    <w:p w14:paraId="0434D11D" w14:textId="77777777" w:rsidR="00D115BB" w:rsidRPr="00E12E59" w:rsidRDefault="00D115BB" w:rsidP="00D115BB">
      <w:pPr>
        <w:pStyle w:val="Textonotapie"/>
        <w:ind w:firstLine="708"/>
        <w:jc w:val="both"/>
        <w:rPr>
          <w:rFonts w:ascii="Verdana" w:hAnsi="Verdana" w:cs="Arial"/>
          <w:sz w:val="16"/>
          <w:szCs w:val="16"/>
        </w:rPr>
      </w:pPr>
      <w:r w:rsidRPr="00E12E59">
        <w:rPr>
          <w:rStyle w:val="Refdenotaalpie"/>
          <w:rFonts w:ascii="Verdana" w:hAnsi="Verdana" w:cs="Arial"/>
          <w:sz w:val="16"/>
          <w:szCs w:val="16"/>
        </w:rPr>
        <w:footnoteRef/>
      </w:r>
      <w:r w:rsidRPr="00E12E59">
        <w:rPr>
          <w:rFonts w:ascii="Verdana" w:hAnsi="Verdana" w:cs="Arial"/>
          <w:sz w:val="16"/>
          <w:szCs w:val="16"/>
        </w:rPr>
        <w:t xml:space="preserve"> CONGRESO DE LA REPÚBLICA. Exposición de motivos de la Ley 1150 de 2007. Gaceta del Congreso No. 458 del 1º de agosto de 2005. p. 8. </w:t>
      </w:r>
    </w:p>
  </w:footnote>
  <w:footnote w:id="7">
    <w:p w14:paraId="7946E826" w14:textId="77777777" w:rsidR="00D115BB" w:rsidRPr="00E12E59" w:rsidRDefault="00D115BB" w:rsidP="00D115BB">
      <w:pPr>
        <w:pStyle w:val="Textonotapie"/>
        <w:ind w:firstLine="708"/>
        <w:jc w:val="both"/>
        <w:rPr>
          <w:rFonts w:ascii="Verdana" w:hAnsi="Verdana" w:cs="Arial"/>
          <w:sz w:val="16"/>
          <w:szCs w:val="16"/>
        </w:rPr>
      </w:pPr>
      <w:r w:rsidRPr="00E12E59">
        <w:rPr>
          <w:rStyle w:val="Refdenotaalpie"/>
          <w:rFonts w:ascii="Verdana" w:hAnsi="Verdana" w:cs="Arial"/>
          <w:sz w:val="16"/>
          <w:szCs w:val="16"/>
        </w:rPr>
        <w:footnoteRef/>
      </w:r>
      <w:r w:rsidRPr="00E12E59">
        <w:rPr>
          <w:rFonts w:ascii="Verdana" w:hAnsi="Verdana" w:cs="Arial"/>
          <w:sz w:val="16"/>
          <w:szCs w:val="16"/>
        </w:rPr>
        <w:t xml:space="preserve"> CONSEJO DE ESTADO. Sección Tercera. Subsección A. Sentencia del 23 de julio de 2015. Exp. 36.805. C. P. Hernán Andrade Rincón. </w:t>
      </w:r>
    </w:p>
  </w:footnote>
  <w:footnote w:id="8">
    <w:p w14:paraId="3044F6DC" w14:textId="77777777" w:rsidR="00D115BB" w:rsidRPr="00E12E59" w:rsidRDefault="00D115BB" w:rsidP="00D115BB">
      <w:pPr>
        <w:pStyle w:val="Textonotapie"/>
        <w:ind w:firstLine="708"/>
        <w:jc w:val="both"/>
        <w:rPr>
          <w:rFonts w:ascii="Verdana" w:hAnsi="Verdana"/>
          <w:sz w:val="16"/>
          <w:szCs w:val="16"/>
        </w:rPr>
      </w:pPr>
      <w:r w:rsidRPr="00E12E59">
        <w:rPr>
          <w:rStyle w:val="Refdenotaalpie"/>
          <w:rFonts w:ascii="Verdana" w:hAnsi="Verdana"/>
          <w:sz w:val="16"/>
          <w:szCs w:val="16"/>
        </w:rPr>
        <w:footnoteRef/>
      </w:r>
      <w:r w:rsidRPr="00E12E59">
        <w:rPr>
          <w:rFonts w:ascii="Verdana" w:hAnsi="Verdana"/>
          <w:sz w:val="16"/>
          <w:szCs w:val="16"/>
        </w:rPr>
        <w:t xml:space="preserve"> Al respecto, la jurisprudencia explica que “[…] los contratos sin formalidades plenas no están previstos por la legislación nacional, pues […] el parágrafo del artículo 39 de la Ley 80 de 1993 fue derogado por el artículo 32 de la Ley 1150 de 2007. Ahora se les denomina contratos de mínima cuantía y se encuentran regulados por los artículos 2 de la Ley 1150 de 2007 y 94 de la Ley 1474 de 2011 […]; no obstante la denominación que reciban, realmente los contratos de mínima cuantía están desprovistos de algunas formalidades, como la instrumentación por escrito del acto contractual y ello hace que el tratamiento sea muy similar al que reciben los denominados contratos sin formalidades plenas; sin embargo, es de anotar que en el proceso de formación del consentimiento en los contratos de mínima cuantía, quien presenta la oferta es quien tiene la expectativa de contratar con la entidad estatal y ésta, a su turno, es la que acepta, de manera expresa e incondicional, la oferta presentada por el particular, sin que en estos casos pueda darse el perfeccionamiento del contrato por el consentimiento tácito de los intervinientes, contrario a lo que sucedía en los contratos sin formalidades plenas” (CONSEJO DE ESTADO. Sección Tercera. Subsección A. Sentencia del 3 de octubre de 2012. Exp. 26.140. C.P. Carlos Alberto Zambrano Barrera).</w:t>
      </w:r>
    </w:p>
  </w:footnote>
  <w:footnote w:id="9">
    <w:p w14:paraId="60BF35E7" w14:textId="77777777" w:rsidR="00D115BB" w:rsidRPr="00E12E59" w:rsidRDefault="00D115BB" w:rsidP="00D115BB">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E12E59">
        <w:rPr>
          <w:rFonts w:ascii="Verdana" w:hAnsi="Verdana" w:cs="Arial"/>
          <w:sz w:val="16"/>
          <w:szCs w:val="16"/>
          <w:vertAlign w:val="superscript"/>
        </w:rPr>
        <w:footnoteRef/>
      </w:r>
      <w:r w:rsidRPr="00E12E59">
        <w:rPr>
          <w:rFonts w:ascii="Verdana" w:eastAsia="Arial" w:hAnsi="Verdana" w:cs="Arial"/>
          <w:color w:val="000000"/>
          <w:sz w:val="16"/>
          <w:szCs w:val="16"/>
        </w:rPr>
        <w:t xml:space="preserve"> Al respecto, conviene recordar el artículo 29 de la Ley 80 de 1993, derogado por el artículo 32 de la Ley 1150 de 2007, que establecía: “La selección de contratistas será objetiva.</w:t>
      </w:r>
    </w:p>
    <w:p w14:paraId="2283D2E9" w14:textId="77777777" w:rsidR="00D115BB" w:rsidRPr="00E12E59" w:rsidRDefault="00D115BB" w:rsidP="00D115BB">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E12E59">
        <w:rPr>
          <w:rFonts w:ascii="Verdana" w:eastAsia="Arial" w:hAnsi="Verdana" w:cs="Arial"/>
          <w:color w:val="000000"/>
          <w:sz w:val="16"/>
          <w:szCs w:val="16"/>
        </w:rPr>
        <w:t>Es objetiva la selección en la cual la escogencia se hace al ofrecimiento más favorable a la entidad y a los fines que ella busca, sin tener en consideración factores de afecto o de interés y, en general, cualquier clase de motivación subjetiva.</w:t>
      </w:r>
    </w:p>
    <w:p w14:paraId="363EEF04" w14:textId="77777777" w:rsidR="00D115BB" w:rsidRPr="00E12E59" w:rsidRDefault="00D115BB" w:rsidP="00D115BB">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E12E59">
        <w:rPr>
          <w:rFonts w:ascii="Verdana" w:eastAsia="Arial" w:hAnsi="Verdana" w:cs="Arial"/>
          <w:color w:val="000000"/>
          <w:sz w:val="16"/>
          <w:szCs w:val="16"/>
        </w:rPr>
        <w:t>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pliegos, no será objeto de evaluación” .</w:t>
      </w:r>
    </w:p>
    <w:p w14:paraId="2764330A" w14:textId="77777777" w:rsidR="00D115BB" w:rsidRPr="00E12E59" w:rsidRDefault="00D115BB" w:rsidP="00D115BB">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E12E59">
        <w:rPr>
          <w:rFonts w:ascii="Verdana" w:eastAsia="Arial" w:hAnsi="Verdana" w:cs="Arial"/>
          <w:color w:val="000000"/>
          <w:sz w:val="16"/>
          <w:szCs w:val="16"/>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4A06BE28" w14:textId="77777777" w:rsidR="00D115BB" w:rsidRPr="00E12E59" w:rsidRDefault="00D115BB" w:rsidP="00D115BB">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E12E59">
        <w:rPr>
          <w:rFonts w:ascii="Verdana" w:eastAsia="Arial" w:hAnsi="Verdana" w:cs="Arial"/>
          <w:color w:val="000000"/>
          <w:sz w:val="16"/>
          <w:szCs w:val="16"/>
        </w:rPr>
        <w:t>En caso de comparación de propuestas nacionales y extranjeras, se incluirán los costos necesarios para la entrega del producto terminado en el lugar de su utilización”.</w:t>
      </w:r>
    </w:p>
  </w:footnote>
  <w:footnote w:id="10">
    <w:p w14:paraId="7FB9CEDB" w14:textId="77777777" w:rsidR="00D115BB" w:rsidRPr="00E12E59" w:rsidRDefault="00D115BB" w:rsidP="00D115BB">
      <w:pPr>
        <w:pBdr>
          <w:top w:val="nil"/>
          <w:left w:val="nil"/>
          <w:bottom w:val="nil"/>
          <w:right w:val="nil"/>
          <w:between w:val="nil"/>
        </w:pBdr>
        <w:spacing w:after="0" w:line="240" w:lineRule="auto"/>
        <w:ind w:firstLine="708"/>
        <w:jc w:val="both"/>
        <w:rPr>
          <w:rFonts w:ascii="Verdana" w:eastAsia="Arial" w:hAnsi="Verdana" w:cs="Arial"/>
          <w:color w:val="000000"/>
          <w:sz w:val="16"/>
          <w:szCs w:val="16"/>
        </w:rPr>
      </w:pPr>
      <w:r w:rsidRPr="00E12E59">
        <w:rPr>
          <w:rFonts w:ascii="Verdana" w:hAnsi="Verdana" w:cs="Arial"/>
          <w:sz w:val="16"/>
          <w:szCs w:val="16"/>
          <w:vertAlign w:val="superscript"/>
        </w:rPr>
        <w:footnoteRef/>
      </w:r>
      <w:r w:rsidRPr="00E12E59">
        <w:rPr>
          <w:rFonts w:ascii="Verdana" w:eastAsia="Arial" w:hAnsi="Verdana" w:cs="Arial"/>
          <w:color w:val="000000"/>
          <w:sz w:val="16"/>
          <w:szCs w:val="16"/>
        </w:rPr>
        <w:t xml:space="preserve"> DÁVILA VINUEZA, Luis Guillermo. Régimen jurídico de la contratación estatal. Tercera edición, Bogotá: Legis, 2016. p. 355.</w:t>
      </w:r>
    </w:p>
  </w:footnote>
  <w:footnote w:id="11">
    <w:p w14:paraId="1641AEF5" w14:textId="77777777" w:rsidR="00D115BB" w:rsidRPr="00E12E59" w:rsidRDefault="00D115BB" w:rsidP="00D115BB">
      <w:pPr>
        <w:pBdr>
          <w:top w:val="nil"/>
          <w:left w:val="nil"/>
          <w:bottom w:val="nil"/>
          <w:right w:val="nil"/>
          <w:between w:val="nil"/>
        </w:pBdr>
        <w:spacing w:after="0" w:line="240" w:lineRule="auto"/>
        <w:ind w:firstLine="708"/>
        <w:jc w:val="both"/>
        <w:rPr>
          <w:rFonts w:ascii="Verdana" w:eastAsia="Arial" w:hAnsi="Verdana" w:cs="Arial"/>
          <w:color w:val="000000"/>
          <w:sz w:val="16"/>
          <w:szCs w:val="16"/>
        </w:rPr>
      </w:pPr>
      <w:r w:rsidRPr="00E12E59">
        <w:rPr>
          <w:rFonts w:ascii="Verdana" w:hAnsi="Verdana" w:cs="Arial"/>
          <w:sz w:val="16"/>
          <w:szCs w:val="16"/>
          <w:vertAlign w:val="superscript"/>
        </w:rPr>
        <w:footnoteRef/>
      </w:r>
      <w:r w:rsidRPr="00E12E59">
        <w:rPr>
          <w:rFonts w:ascii="Verdana" w:eastAsia="Arial" w:hAnsi="Verdana" w:cs="Arial"/>
          <w:color w:val="000000"/>
          <w:sz w:val="16"/>
          <w:szCs w:val="16"/>
        </w:rPr>
        <w:t xml:space="preserve"> RODRÍGUEZ TAMAYO, Mauricio F. Evaluación y rechazo de ofertas en la Ley 80 de 1993. Primera edición. Medellín: Librería Jurídica Sánchez, 2016. pp. 110-111.</w:t>
      </w:r>
    </w:p>
  </w:footnote>
  <w:footnote w:id="12">
    <w:p w14:paraId="70E1A92B" w14:textId="77777777" w:rsidR="00D115BB" w:rsidRPr="00E12E59" w:rsidRDefault="00D115BB" w:rsidP="00D115BB">
      <w:pPr>
        <w:pBdr>
          <w:top w:val="nil"/>
          <w:left w:val="nil"/>
          <w:bottom w:val="nil"/>
          <w:right w:val="nil"/>
          <w:between w:val="nil"/>
        </w:pBdr>
        <w:spacing w:after="0" w:line="240" w:lineRule="auto"/>
        <w:ind w:firstLine="708"/>
        <w:jc w:val="both"/>
        <w:rPr>
          <w:rFonts w:ascii="Verdana" w:eastAsia="Arial" w:hAnsi="Verdana" w:cs="Arial"/>
          <w:color w:val="000000"/>
          <w:sz w:val="16"/>
          <w:szCs w:val="16"/>
        </w:rPr>
      </w:pPr>
      <w:r w:rsidRPr="00E12E59">
        <w:rPr>
          <w:rFonts w:ascii="Verdana" w:hAnsi="Verdana" w:cs="Arial"/>
          <w:sz w:val="16"/>
          <w:szCs w:val="16"/>
          <w:vertAlign w:val="superscript"/>
        </w:rPr>
        <w:footnoteRef/>
      </w:r>
      <w:r w:rsidRPr="00E12E59">
        <w:rPr>
          <w:rFonts w:ascii="Verdana" w:eastAsia="Arial" w:hAnsi="Verdana" w:cs="Arial"/>
          <w:color w:val="000000"/>
          <w:sz w:val="16"/>
          <w:szCs w:val="16"/>
        </w:rPr>
        <w:t xml:space="preserve"> EXPÓSITO VELEZ, Juan C., El deber de selección objetiva, en: Del contrato estatal a los sistemas de compras públicas, por COVILLA MARTINEZ Juan C. y LOZANO VILLEGAS Germán (Eds.). Universidad Externado de Colombia, Bogotá, 2019. págs. 118-184.</w:t>
      </w:r>
    </w:p>
  </w:footnote>
  <w:footnote w:id="13">
    <w:p w14:paraId="1C23D15B" w14:textId="77777777" w:rsidR="00D115BB" w:rsidRPr="00E12E59" w:rsidRDefault="00D115BB" w:rsidP="00D115BB">
      <w:pPr>
        <w:pBdr>
          <w:top w:val="nil"/>
          <w:left w:val="nil"/>
          <w:bottom w:val="nil"/>
          <w:right w:val="nil"/>
          <w:between w:val="nil"/>
        </w:pBdr>
        <w:spacing w:after="0" w:line="240" w:lineRule="auto"/>
        <w:ind w:firstLine="708"/>
        <w:rPr>
          <w:rFonts w:ascii="Verdana" w:eastAsia="Arial" w:hAnsi="Verdana" w:cs="Arial"/>
          <w:color w:val="000000"/>
          <w:sz w:val="16"/>
          <w:szCs w:val="16"/>
        </w:rPr>
      </w:pPr>
      <w:r w:rsidRPr="00E12E59">
        <w:rPr>
          <w:rFonts w:ascii="Verdana" w:hAnsi="Verdana" w:cs="Arial"/>
          <w:sz w:val="16"/>
          <w:szCs w:val="16"/>
          <w:vertAlign w:val="superscript"/>
        </w:rPr>
        <w:footnoteRef/>
      </w:r>
      <w:r w:rsidRPr="00E12E59">
        <w:rPr>
          <w:rFonts w:ascii="Verdana" w:eastAsia="Arial" w:hAnsi="Verdana" w:cs="Arial"/>
          <w:i/>
          <w:color w:val="000000"/>
          <w:sz w:val="16"/>
          <w:szCs w:val="16"/>
        </w:rPr>
        <w:t xml:space="preserve"> Ibídem.</w:t>
      </w:r>
    </w:p>
  </w:footnote>
  <w:footnote w:id="14">
    <w:p w14:paraId="252357EB" w14:textId="77777777" w:rsidR="00D115BB" w:rsidRPr="00E12E59" w:rsidRDefault="00D115BB" w:rsidP="00D115BB">
      <w:pPr>
        <w:spacing w:after="0" w:line="240" w:lineRule="auto"/>
        <w:ind w:firstLine="708"/>
        <w:jc w:val="both"/>
        <w:rPr>
          <w:rFonts w:ascii="Verdana" w:eastAsia="Arial" w:hAnsi="Verdana" w:cs="Arial"/>
          <w:sz w:val="16"/>
          <w:szCs w:val="16"/>
          <w:lang w:val="es-MX"/>
        </w:rPr>
      </w:pPr>
      <w:r w:rsidRPr="00E12E59">
        <w:rPr>
          <w:rFonts w:ascii="Verdana" w:hAnsi="Verdana" w:cs="Arial"/>
          <w:sz w:val="16"/>
          <w:szCs w:val="16"/>
          <w:vertAlign w:val="superscript"/>
        </w:rPr>
        <w:footnoteRef/>
      </w:r>
      <w:r w:rsidRPr="00E12E59">
        <w:rPr>
          <w:rFonts w:ascii="Verdana" w:eastAsia="Arial" w:hAnsi="Verdana" w:cs="Arial"/>
          <w:sz w:val="16"/>
          <w:szCs w:val="16"/>
        </w:rPr>
        <w:t xml:space="preserve"> Decreto 1082 de 2015 “Artículo 2.2.1.1.2.2.2. </w:t>
      </w:r>
      <w:bookmarkStart w:id="11" w:name="_Hlk127183858"/>
      <w:r w:rsidRPr="00E12E59">
        <w:rPr>
          <w:rFonts w:ascii="Verdana" w:eastAsia="Arial" w:hAnsi="Verdana" w:cs="Arial"/>
          <w:sz w:val="16"/>
          <w:szCs w:val="16"/>
        </w:rPr>
        <w:t>Modificado por el </w:t>
      </w:r>
      <w:bookmarkEnd w:id="11"/>
      <w:r w:rsidRPr="00E12E59">
        <w:rPr>
          <w:rFonts w:ascii="Verdana" w:eastAsia="Arial" w:hAnsi="Verdana" w:cs="Arial"/>
          <w:sz w:val="16"/>
          <w:szCs w:val="16"/>
        </w:rPr>
        <w:t>Decreto 142 de 2023, artículo 4º. Ofrecimiento más favorable.</w:t>
      </w:r>
      <w:r w:rsidRPr="00E12E59">
        <w:rPr>
          <w:rFonts w:ascii="Verdana" w:eastAsia="Arial" w:hAnsi="Verdana" w:cs="Arial"/>
          <w:b/>
          <w:bCs/>
          <w:sz w:val="16"/>
          <w:szCs w:val="16"/>
        </w:rPr>
        <w:t xml:space="preserve"> </w:t>
      </w:r>
      <w:r w:rsidRPr="00E12E59">
        <w:rPr>
          <w:rFonts w:ascii="Verdana" w:eastAsia="Arial" w:hAnsi="Verdana" w:cs="Arial"/>
          <w:sz w:val="16"/>
          <w:szCs w:val="16"/>
          <w:lang w:val="es-MX"/>
        </w:rPr>
        <w:t>La Entidad Estatal debe determinar la oferta más favorable teniendo en cuenta las normas aplicables a cada modalidad de selección del contratista.</w:t>
      </w:r>
    </w:p>
    <w:p w14:paraId="57F08D43" w14:textId="77777777" w:rsidR="00D115BB" w:rsidRPr="00E12E59" w:rsidRDefault="00D115BB" w:rsidP="00D115BB">
      <w:pPr>
        <w:spacing w:after="0" w:line="240" w:lineRule="auto"/>
        <w:ind w:firstLine="708"/>
        <w:jc w:val="both"/>
        <w:rPr>
          <w:rFonts w:ascii="Verdana" w:eastAsia="Arial" w:hAnsi="Verdana" w:cs="Arial"/>
          <w:sz w:val="16"/>
          <w:szCs w:val="16"/>
          <w:lang w:val="es-MX"/>
        </w:rPr>
      </w:pPr>
      <w:r w:rsidRPr="00E12E59">
        <w:rPr>
          <w:rFonts w:ascii="Verdana" w:eastAsia="Arial" w:hAnsi="Verdana" w:cs="Arial"/>
          <w:sz w:val="16"/>
          <w:szCs w:val="16"/>
          <w:lang w:val="es-MX"/>
        </w:rPr>
        <w:t>En la licitación y la selección abreviada de menor cuantía, la Entidad Estatal debe determinar la oferta más favorable teniendo en cuenta: (a) la ponderación de los elementos de calidad y precio soportados en puntajes o fórmulas; o (b) la ponderación de los elementos de calidad y precio que representen la mejor relación de costo-beneficio. Si la Entidad Estatal decide determinar la oferta de acuerdo con el literal (b) anterior debe señalar en los pliegos de condiciones:</w:t>
      </w:r>
    </w:p>
    <w:p w14:paraId="42683AB3" w14:textId="77777777" w:rsidR="00D115BB" w:rsidRPr="00E12E59" w:rsidRDefault="00D115BB" w:rsidP="00D115BB">
      <w:pPr>
        <w:spacing w:after="0" w:line="240" w:lineRule="auto"/>
        <w:ind w:firstLine="708"/>
        <w:jc w:val="both"/>
        <w:rPr>
          <w:rFonts w:ascii="Verdana" w:eastAsia="Arial" w:hAnsi="Verdana" w:cs="Arial"/>
          <w:sz w:val="16"/>
          <w:szCs w:val="16"/>
          <w:lang w:val="es-MX"/>
        </w:rPr>
      </w:pPr>
      <w:r w:rsidRPr="00E12E59">
        <w:rPr>
          <w:rFonts w:ascii="Verdana" w:eastAsia="Arial" w:hAnsi="Verdana" w:cs="Arial"/>
          <w:sz w:val="16"/>
          <w:szCs w:val="16"/>
          <w:lang w:val="es-MX"/>
        </w:rPr>
        <w:t>1. Las condiciones técnicas y económicas mínimas de la oferta.</w:t>
      </w:r>
    </w:p>
    <w:p w14:paraId="33A0CC6E" w14:textId="77777777" w:rsidR="00D115BB" w:rsidRPr="00E12E59" w:rsidRDefault="00D115BB" w:rsidP="00D115BB">
      <w:pPr>
        <w:spacing w:after="0" w:line="240" w:lineRule="auto"/>
        <w:ind w:firstLine="708"/>
        <w:jc w:val="both"/>
        <w:rPr>
          <w:rFonts w:ascii="Verdana" w:eastAsia="Arial" w:hAnsi="Verdana" w:cs="Arial"/>
          <w:sz w:val="16"/>
          <w:szCs w:val="16"/>
          <w:lang w:val="es-MX"/>
        </w:rPr>
      </w:pPr>
      <w:r w:rsidRPr="00E12E59">
        <w:rPr>
          <w:rFonts w:ascii="Verdana" w:eastAsia="Arial" w:hAnsi="Verdana" w:cs="Arial"/>
          <w:sz w:val="16"/>
          <w:szCs w:val="16"/>
          <w:lang w:val="es-MX"/>
        </w:rPr>
        <w:t>2. Las condiciones técnicas adicionales que representan ventajas de calidad o de funcionamiento, tales como el uso de tecnología o materiales que generen mayor eficiencia, rendimiento o duración del bien, obra o servicio.</w:t>
      </w:r>
    </w:p>
    <w:p w14:paraId="3ACF64EA" w14:textId="77777777" w:rsidR="00D115BB" w:rsidRPr="00E12E59" w:rsidRDefault="00D115BB" w:rsidP="00D115BB">
      <w:pPr>
        <w:spacing w:after="0" w:line="240" w:lineRule="auto"/>
        <w:ind w:firstLine="708"/>
        <w:jc w:val="both"/>
        <w:rPr>
          <w:rFonts w:ascii="Verdana" w:eastAsia="Arial" w:hAnsi="Verdana" w:cs="Arial"/>
          <w:sz w:val="16"/>
          <w:szCs w:val="16"/>
          <w:lang w:val="es-MX"/>
        </w:rPr>
      </w:pPr>
      <w:r w:rsidRPr="00E12E59">
        <w:rPr>
          <w:rFonts w:ascii="Verdana" w:eastAsia="Arial" w:hAnsi="Verdana" w:cs="Arial"/>
          <w:sz w:val="16"/>
          <w:szCs w:val="16"/>
          <w:lang w:val="es-MX"/>
        </w:rPr>
        <w:t>3. Las condiciones económicas adicionales que representen ventajas en términos de economía, eficiencia y eficacia, que puedan ser valoradas en dinero, como por ejemplo la forma de pago, descuentos por adjudicación de varios lotes, descuentos por variaciones en programas de entregas, mayor garantía del bien o servicio respecto de la mínima requerida, impacto económico sobre las condiciones existentes de la Entidad Estatal relacionadas con el objeto a contratar, mayor asunción de los Riesgos, servicios o bienes adicionales y que representen un mayor grado de satisfacción para la entidad, entre otras.</w:t>
      </w:r>
    </w:p>
    <w:p w14:paraId="415F2D64" w14:textId="77777777" w:rsidR="00D115BB" w:rsidRPr="00E12E59" w:rsidRDefault="00D115BB" w:rsidP="00D115BB">
      <w:pPr>
        <w:spacing w:after="0" w:line="240" w:lineRule="auto"/>
        <w:ind w:firstLine="708"/>
        <w:jc w:val="both"/>
        <w:rPr>
          <w:rFonts w:ascii="Verdana" w:eastAsia="Arial" w:hAnsi="Verdana" w:cs="Arial"/>
          <w:sz w:val="16"/>
          <w:szCs w:val="16"/>
          <w:lang w:val="es-MX"/>
        </w:rPr>
      </w:pPr>
      <w:r w:rsidRPr="00E12E59">
        <w:rPr>
          <w:rFonts w:ascii="Verdana" w:eastAsia="Arial" w:hAnsi="Verdana" w:cs="Arial"/>
          <w:sz w:val="16"/>
          <w:szCs w:val="16"/>
          <w:lang w:val="es-MX"/>
        </w:rPr>
        <w:t>4. El valor en dinero que la Entidad Estatal asigna a cada ofrecimiento técnico o económico adicional, para permitir la ponderación de las ofertas presentadas.</w:t>
      </w:r>
    </w:p>
    <w:p w14:paraId="7B5D1AA2" w14:textId="77777777" w:rsidR="00D115BB" w:rsidRPr="00E12E59" w:rsidRDefault="00D115BB" w:rsidP="00D115BB">
      <w:pPr>
        <w:spacing w:after="0" w:line="240" w:lineRule="auto"/>
        <w:ind w:firstLine="708"/>
        <w:jc w:val="both"/>
        <w:rPr>
          <w:rFonts w:ascii="Verdana" w:eastAsia="Arial" w:hAnsi="Verdana" w:cs="Arial"/>
          <w:sz w:val="16"/>
          <w:szCs w:val="16"/>
          <w:lang w:val="es-MX"/>
        </w:rPr>
      </w:pPr>
      <w:r w:rsidRPr="00E12E59">
        <w:rPr>
          <w:rFonts w:ascii="Verdana" w:eastAsia="Arial" w:hAnsi="Verdana" w:cs="Arial"/>
          <w:sz w:val="16"/>
          <w:szCs w:val="16"/>
          <w:lang w:val="es-MX"/>
        </w:rPr>
        <w:t>La Entidad Estatal debe calcular la relación costo-beneficio de cada oferta 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w:t>
      </w:r>
    </w:p>
    <w:p w14:paraId="3DD3B9BB" w14:textId="77777777" w:rsidR="00D115BB" w:rsidRPr="00E12E59" w:rsidRDefault="00D115BB" w:rsidP="00D115BB">
      <w:pPr>
        <w:spacing w:after="0" w:line="240" w:lineRule="auto"/>
        <w:ind w:firstLine="708"/>
        <w:jc w:val="both"/>
        <w:rPr>
          <w:rFonts w:ascii="Verdana" w:eastAsia="Arial" w:hAnsi="Verdana" w:cs="Arial"/>
          <w:sz w:val="16"/>
          <w:szCs w:val="16"/>
          <w:lang w:val="es-MX"/>
        </w:rPr>
      </w:pPr>
      <w:r w:rsidRPr="00E12E59">
        <w:rPr>
          <w:rFonts w:ascii="Verdana" w:eastAsia="Arial" w:hAnsi="Verdana" w:cs="Arial"/>
          <w:sz w:val="16"/>
          <w:szCs w:val="16"/>
          <w:lang w:val="es-MX"/>
        </w:rPr>
        <w:t>La Entidad Estatal debe adjudicar al oferente que presentó la oferta con la mejor relación costo-beneficio y suscribir el contrato por el precio total ofrecido.</w:t>
      </w:r>
    </w:p>
    <w:p w14:paraId="7E88FE97" w14:textId="77777777" w:rsidR="00D115BB" w:rsidRPr="00E12E59" w:rsidRDefault="00D115BB" w:rsidP="00D115BB">
      <w:pPr>
        <w:spacing w:after="0" w:line="240" w:lineRule="auto"/>
        <w:ind w:firstLine="708"/>
        <w:jc w:val="both"/>
        <w:rPr>
          <w:rFonts w:ascii="Verdana" w:eastAsia="Arial" w:hAnsi="Verdana" w:cs="Arial"/>
          <w:sz w:val="16"/>
          <w:szCs w:val="16"/>
          <w:lang w:val="es-MX"/>
        </w:rPr>
      </w:pPr>
      <w:r w:rsidRPr="00E12E59">
        <w:rPr>
          <w:rFonts w:ascii="Verdana" w:eastAsia="Arial" w:hAnsi="Verdana" w:cs="Arial"/>
          <w:sz w:val="16"/>
          <w:szCs w:val="16"/>
          <w:lang w:val="es-MX"/>
        </w:rPr>
        <w:t>Para la adquisición de Bienes y Servicios de Características Técnicas No Uniformes a través de Acuerdos Marco de Precios e Instrumentos de Agregación de Demanda, el ofrecimiento más favorable parte de la definición que la Entidad Estatal que estructura el Instrumento de Agregación de Demanda o Acuerdo Marco de Precios hace en la Operación Principal de las condiciones técnicas y económicas mínimas del bien o servicio.</w:t>
      </w:r>
    </w:p>
    <w:p w14:paraId="689BE7E1" w14:textId="77777777" w:rsidR="00D115BB" w:rsidRPr="00E12E59" w:rsidRDefault="00D115BB" w:rsidP="00D115BB">
      <w:pPr>
        <w:spacing w:after="0" w:line="240" w:lineRule="auto"/>
        <w:ind w:firstLine="708"/>
        <w:jc w:val="both"/>
        <w:rPr>
          <w:rFonts w:ascii="Verdana" w:eastAsia="Arial" w:hAnsi="Verdana" w:cs="Arial"/>
          <w:sz w:val="16"/>
          <w:szCs w:val="16"/>
          <w:lang w:val="es-MX"/>
        </w:rPr>
      </w:pPr>
      <w:r w:rsidRPr="00E12E59">
        <w:rPr>
          <w:rFonts w:ascii="Verdana" w:eastAsia="Arial" w:hAnsi="Verdana" w:cs="Arial"/>
          <w:sz w:val="16"/>
          <w:szCs w:val="16"/>
          <w:lang w:val="es-MX"/>
        </w:rPr>
        <w:t>Las Entidades Estatales que compren en la operación secundaria de un Acuerdo Marco de Precios o Instrumento de Agregación de Demanda, deben evaluar las cotizaciones de los proveedores bajo las condiciones que el instrumento fija para definir la oferta más favorable.</w:t>
      </w:r>
    </w:p>
    <w:p w14:paraId="401B9AD9" w14:textId="77777777" w:rsidR="00D115BB" w:rsidRPr="00E12E59" w:rsidRDefault="00D115BB" w:rsidP="00D115BB">
      <w:pPr>
        <w:spacing w:after="0" w:line="240" w:lineRule="auto"/>
        <w:ind w:firstLine="708"/>
        <w:jc w:val="both"/>
        <w:rPr>
          <w:rFonts w:ascii="Verdana" w:eastAsia="Arial" w:hAnsi="Verdana" w:cs="Arial"/>
          <w:sz w:val="16"/>
          <w:szCs w:val="16"/>
        </w:rPr>
      </w:pPr>
      <w:r w:rsidRPr="00E12E59">
        <w:rPr>
          <w:rFonts w:ascii="Verdana" w:eastAsia="Arial" w:hAnsi="Verdana" w:cs="Arial"/>
          <w:sz w:val="16"/>
          <w:szCs w:val="16"/>
        </w:rPr>
        <w:t>[…]”. </w:t>
      </w:r>
    </w:p>
  </w:footnote>
  <w:footnote w:id="15">
    <w:p w14:paraId="7E105730" w14:textId="77777777" w:rsidR="00D115BB" w:rsidRPr="00E12E59" w:rsidRDefault="00D115BB" w:rsidP="00D115BB">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E12E59">
        <w:rPr>
          <w:rFonts w:ascii="Verdana" w:hAnsi="Verdana" w:cs="Arial"/>
          <w:sz w:val="16"/>
          <w:szCs w:val="16"/>
          <w:vertAlign w:val="superscript"/>
        </w:rPr>
        <w:footnoteRef/>
      </w:r>
      <w:r w:rsidRPr="00E12E59">
        <w:rPr>
          <w:rFonts w:ascii="Verdana" w:eastAsia="Arial" w:hAnsi="Verdana" w:cs="Arial"/>
          <w:color w:val="000000"/>
          <w:sz w:val="16"/>
          <w:szCs w:val="16"/>
        </w:rPr>
        <w:t xml:space="preserve"> Consejo de Estado. Sección Tercera. Subsección A. Sentencia del 25 de octubre de 2019. Exp. 39.945. Consejera Ponente: María Adriana Marín.</w:t>
      </w:r>
    </w:p>
  </w:footnote>
  <w:footnote w:id="16">
    <w:p w14:paraId="53EDBCE7" w14:textId="77777777" w:rsidR="00D115BB" w:rsidRPr="00E12E59" w:rsidRDefault="00D115BB" w:rsidP="00D115BB">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E12E59">
        <w:rPr>
          <w:rFonts w:ascii="Verdana" w:hAnsi="Verdana" w:cs="Arial"/>
          <w:sz w:val="16"/>
          <w:szCs w:val="16"/>
          <w:vertAlign w:val="superscript"/>
        </w:rPr>
        <w:footnoteRef/>
      </w:r>
      <w:r w:rsidRPr="00E12E59">
        <w:rPr>
          <w:rFonts w:ascii="Verdana" w:eastAsia="Arial" w:hAnsi="Verdana" w:cs="Arial"/>
          <w:color w:val="000000"/>
          <w:sz w:val="16"/>
          <w:szCs w:val="16"/>
          <w:vertAlign w:val="superscript"/>
        </w:rPr>
        <w:t xml:space="preserve"> </w:t>
      </w:r>
      <w:r w:rsidRPr="00E12E59">
        <w:rPr>
          <w:rFonts w:ascii="Verdana" w:eastAsia="Arial" w:hAnsi="Verdana" w:cs="Arial"/>
          <w:color w:val="000000"/>
          <w:sz w:val="16"/>
          <w:szCs w:val="16"/>
        </w:rPr>
        <w:t>Consejo de Estado. Sección Tercera. Subsección A. Sentencia del 5 de julio de 2018. Exp. 37.834. Consejero Ponente: Carlos Alberto Zambrano Barrera.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4589D" w14:textId="77777777" w:rsidR="00CA016C" w:rsidRDefault="00CA016C">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48A312A0" wp14:editId="330E6768">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4AA1CE1B" wp14:editId="3C6CCD08">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52E842EB" w14:textId="77777777" w:rsidR="00CA016C" w:rsidRDefault="00CA016C">
    <w:pPr>
      <w:pStyle w:val="Encabezado"/>
    </w:pPr>
  </w:p>
  <w:p w14:paraId="335C20F1" w14:textId="77777777" w:rsidR="00CA016C" w:rsidRPr="004A305D" w:rsidRDefault="00CA016C">
    <w:pPr>
      <w:spacing w:after="0" w:line="120" w:lineRule="auto"/>
      <w:rPr>
        <w:rFonts w:ascii="Century Gothic" w:eastAsia="Geo" w:hAnsi="Century Gothic" w:cs="Geo"/>
        <w:sz w:val="16"/>
        <w:szCs w:val="16"/>
        <w:lang w:eastAsia="es-CO"/>
      </w:rPr>
    </w:pPr>
  </w:p>
  <w:p w14:paraId="706882C8" w14:textId="77777777" w:rsidR="00CA016C" w:rsidRDefault="00CA016C">
    <w:pPr>
      <w:spacing w:after="0" w:line="240" w:lineRule="auto"/>
      <w:rPr>
        <w:rFonts w:ascii="Verdana" w:hAnsi="Verdana"/>
        <w:sz w:val="24"/>
        <w:szCs w:val="24"/>
      </w:rPr>
    </w:pPr>
  </w:p>
  <w:p w14:paraId="746E2C90" w14:textId="77777777" w:rsidR="00CA016C" w:rsidRPr="00C925AC" w:rsidRDefault="00CA016C">
    <w:pPr>
      <w:spacing w:after="0" w:line="240" w:lineRule="auto"/>
      <w:rPr>
        <w:rFonts w:ascii="Verdana" w:hAnsi="Verdana"/>
        <w:sz w:val="24"/>
        <w:szCs w:val="24"/>
      </w:rPr>
    </w:pPr>
  </w:p>
  <w:p w14:paraId="41B07E88" w14:textId="77777777" w:rsidR="00CA016C" w:rsidRPr="00C925AC" w:rsidRDefault="00CA016C">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271631D"/>
    <w:multiLevelType w:val="hybridMultilevel"/>
    <w:tmpl w:val="97C850BA"/>
    <w:lvl w:ilvl="0" w:tplc="6E4843FC">
      <w:start w:val="1"/>
      <w:numFmt w:val="low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53370A7"/>
    <w:multiLevelType w:val="hybridMultilevel"/>
    <w:tmpl w:val="29805A12"/>
    <w:lvl w:ilvl="0" w:tplc="F5E03AC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9D726F5"/>
    <w:multiLevelType w:val="hybridMultilevel"/>
    <w:tmpl w:val="74102A3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3C874D74"/>
    <w:multiLevelType w:val="hybridMultilevel"/>
    <w:tmpl w:val="6D023FC2"/>
    <w:lvl w:ilvl="0" w:tplc="162ACEA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635F73A6"/>
    <w:multiLevelType w:val="hybridMultilevel"/>
    <w:tmpl w:val="338E535E"/>
    <w:lvl w:ilvl="0" w:tplc="EE12C5D6">
      <w:start w:val="4"/>
      <w:numFmt w:val="bullet"/>
      <w:lvlText w:val=""/>
      <w:lvlJc w:val="left"/>
      <w:pPr>
        <w:ind w:left="720" w:hanging="360"/>
      </w:pPr>
      <w:rPr>
        <w:rFonts w:ascii="Symbol" w:eastAsiaTheme="minorHAnsi" w:hAnsi="Symbol" w:cs="Arial" w:hint="default"/>
        <w:color w:val="000000" w:themeColor="text1"/>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390349800">
    <w:abstractNumId w:val="6"/>
  </w:num>
  <w:num w:numId="2" w16cid:durableId="341274352">
    <w:abstractNumId w:val="0"/>
  </w:num>
  <w:num w:numId="3" w16cid:durableId="679089576">
    <w:abstractNumId w:val="3"/>
  </w:num>
  <w:num w:numId="4" w16cid:durableId="976952254">
    <w:abstractNumId w:val="5"/>
  </w:num>
  <w:num w:numId="5" w16cid:durableId="1448542835">
    <w:abstractNumId w:val="1"/>
  </w:num>
  <w:num w:numId="6" w16cid:durableId="973364079">
    <w:abstractNumId w:val="4"/>
  </w:num>
  <w:num w:numId="7" w16cid:durableId="19028624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16C"/>
    <w:rsid w:val="00012A41"/>
    <w:rsid w:val="000348DA"/>
    <w:rsid w:val="00065944"/>
    <w:rsid w:val="0008153C"/>
    <w:rsid w:val="000874C5"/>
    <w:rsid w:val="000C78E6"/>
    <w:rsid w:val="000F5A42"/>
    <w:rsid w:val="00102476"/>
    <w:rsid w:val="0013417E"/>
    <w:rsid w:val="001409B1"/>
    <w:rsid w:val="00170019"/>
    <w:rsid w:val="001734BA"/>
    <w:rsid w:val="001B12FB"/>
    <w:rsid w:val="001D69D2"/>
    <w:rsid w:val="001E03C5"/>
    <w:rsid w:val="00277458"/>
    <w:rsid w:val="0029134A"/>
    <w:rsid w:val="002A6863"/>
    <w:rsid w:val="002D73FA"/>
    <w:rsid w:val="002F4F43"/>
    <w:rsid w:val="00324CB9"/>
    <w:rsid w:val="003822AB"/>
    <w:rsid w:val="004065AE"/>
    <w:rsid w:val="004067F0"/>
    <w:rsid w:val="00431A2B"/>
    <w:rsid w:val="00451F60"/>
    <w:rsid w:val="00482DA1"/>
    <w:rsid w:val="00486801"/>
    <w:rsid w:val="00491FBA"/>
    <w:rsid w:val="00495DFD"/>
    <w:rsid w:val="004C7AD1"/>
    <w:rsid w:val="004F10AB"/>
    <w:rsid w:val="00517FB7"/>
    <w:rsid w:val="00550FA8"/>
    <w:rsid w:val="00561967"/>
    <w:rsid w:val="0056339D"/>
    <w:rsid w:val="00565EC5"/>
    <w:rsid w:val="00577390"/>
    <w:rsid w:val="00592419"/>
    <w:rsid w:val="00592D9D"/>
    <w:rsid w:val="005A1801"/>
    <w:rsid w:val="005A2AE6"/>
    <w:rsid w:val="005B05CC"/>
    <w:rsid w:val="00600FEC"/>
    <w:rsid w:val="00607CE6"/>
    <w:rsid w:val="006247AF"/>
    <w:rsid w:val="0063058D"/>
    <w:rsid w:val="00645AC6"/>
    <w:rsid w:val="00684ACE"/>
    <w:rsid w:val="00694610"/>
    <w:rsid w:val="006A3419"/>
    <w:rsid w:val="006C5E8F"/>
    <w:rsid w:val="006E0E33"/>
    <w:rsid w:val="006F0352"/>
    <w:rsid w:val="0070104F"/>
    <w:rsid w:val="007030AC"/>
    <w:rsid w:val="0072336E"/>
    <w:rsid w:val="007501BD"/>
    <w:rsid w:val="00765BBA"/>
    <w:rsid w:val="00774017"/>
    <w:rsid w:val="00777431"/>
    <w:rsid w:val="00790574"/>
    <w:rsid w:val="007A4F7E"/>
    <w:rsid w:val="007A6C18"/>
    <w:rsid w:val="007D2E05"/>
    <w:rsid w:val="007E715C"/>
    <w:rsid w:val="00811F6B"/>
    <w:rsid w:val="00822F38"/>
    <w:rsid w:val="008233FF"/>
    <w:rsid w:val="00834D06"/>
    <w:rsid w:val="00845DB2"/>
    <w:rsid w:val="008775E3"/>
    <w:rsid w:val="00890DCD"/>
    <w:rsid w:val="008E3E1B"/>
    <w:rsid w:val="008F3C48"/>
    <w:rsid w:val="0090234E"/>
    <w:rsid w:val="00903263"/>
    <w:rsid w:val="00924F92"/>
    <w:rsid w:val="00940418"/>
    <w:rsid w:val="00974633"/>
    <w:rsid w:val="00994AE7"/>
    <w:rsid w:val="009B6CC6"/>
    <w:rsid w:val="009E1D59"/>
    <w:rsid w:val="00A12218"/>
    <w:rsid w:val="00A41AE2"/>
    <w:rsid w:val="00A72A28"/>
    <w:rsid w:val="00A90678"/>
    <w:rsid w:val="00A94A58"/>
    <w:rsid w:val="00AC548E"/>
    <w:rsid w:val="00B50E46"/>
    <w:rsid w:val="00B70335"/>
    <w:rsid w:val="00B8491F"/>
    <w:rsid w:val="00B942B5"/>
    <w:rsid w:val="00BA0211"/>
    <w:rsid w:val="00BC53CE"/>
    <w:rsid w:val="00C37186"/>
    <w:rsid w:val="00C51A55"/>
    <w:rsid w:val="00CA016C"/>
    <w:rsid w:val="00CA2575"/>
    <w:rsid w:val="00CA76E7"/>
    <w:rsid w:val="00CC1BB6"/>
    <w:rsid w:val="00CC3050"/>
    <w:rsid w:val="00CE0373"/>
    <w:rsid w:val="00CE5D9E"/>
    <w:rsid w:val="00D0084E"/>
    <w:rsid w:val="00D115BB"/>
    <w:rsid w:val="00D2562D"/>
    <w:rsid w:val="00D61E38"/>
    <w:rsid w:val="00DC454D"/>
    <w:rsid w:val="00E5318E"/>
    <w:rsid w:val="00EA7535"/>
    <w:rsid w:val="00ED71D6"/>
    <w:rsid w:val="00EE58B5"/>
    <w:rsid w:val="00F04DA5"/>
    <w:rsid w:val="00F14522"/>
    <w:rsid w:val="00F845B9"/>
    <w:rsid w:val="00F84F64"/>
    <w:rsid w:val="00F974B9"/>
    <w:rsid w:val="00FD6D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5BC79"/>
  <w15:chartTrackingRefBased/>
  <w15:docId w15:val="{504E417B-8BA0-4C6F-ACED-16F9470E5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16C"/>
    <w:rPr>
      <w:kern w:val="0"/>
      <w14:ligatures w14:val="none"/>
    </w:rPr>
  </w:style>
  <w:style w:type="paragraph" w:styleId="Ttulo1">
    <w:name w:val="heading 1"/>
    <w:basedOn w:val="Normal"/>
    <w:next w:val="Normal"/>
    <w:link w:val="Ttulo1Car"/>
    <w:uiPriority w:val="9"/>
    <w:qFormat/>
    <w:rsid w:val="00CA01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A01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A016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A016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A016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A016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A016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A016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A016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A016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A016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A016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A016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A016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A016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A016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A016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A016C"/>
    <w:rPr>
      <w:rFonts w:eastAsiaTheme="majorEastAsia" w:cstheme="majorBidi"/>
      <w:color w:val="272727" w:themeColor="text1" w:themeTint="D8"/>
    </w:rPr>
  </w:style>
  <w:style w:type="paragraph" w:styleId="Ttulo">
    <w:name w:val="Title"/>
    <w:basedOn w:val="Normal"/>
    <w:next w:val="Normal"/>
    <w:link w:val="TtuloCar"/>
    <w:uiPriority w:val="10"/>
    <w:qFormat/>
    <w:rsid w:val="00CA01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A016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A016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A016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A016C"/>
    <w:pPr>
      <w:spacing w:before="160"/>
      <w:jc w:val="center"/>
    </w:pPr>
    <w:rPr>
      <w:i/>
      <w:iCs/>
      <w:color w:val="404040" w:themeColor="text1" w:themeTint="BF"/>
    </w:rPr>
  </w:style>
  <w:style w:type="character" w:customStyle="1" w:styleId="CitaCar">
    <w:name w:val="Cita Car"/>
    <w:basedOn w:val="Fuentedeprrafopredeter"/>
    <w:link w:val="Cita"/>
    <w:uiPriority w:val="29"/>
    <w:rsid w:val="00CA016C"/>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CA016C"/>
    <w:pPr>
      <w:ind w:left="720"/>
      <w:contextualSpacing/>
    </w:pPr>
  </w:style>
  <w:style w:type="character" w:styleId="nfasisintenso">
    <w:name w:val="Intense Emphasis"/>
    <w:basedOn w:val="Fuentedeprrafopredeter"/>
    <w:uiPriority w:val="21"/>
    <w:qFormat/>
    <w:rsid w:val="00CA016C"/>
    <w:rPr>
      <w:i/>
      <w:iCs/>
      <w:color w:val="0F4761" w:themeColor="accent1" w:themeShade="BF"/>
    </w:rPr>
  </w:style>
  <w:style w:type="paragraph" w:styleId="Citadestacada">
    <w:name w:val="Intense Quote"/>
    <w:basedOn w:val="Normal"/>
    <w:next w:val="Normal"/>
    <w:link w:val="CitadestacadaCar"/>
    <w:uiPriority w:val="30"/>
    <w:qFormat/>
    <w:rsid w:val="00CA01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A016C"/>
    <w:rPr>
      <w:i/>
      <w:iCs/>
      <w:color w:val="0F4761" w:themeColor="accent1" w:themeShade="BF"/>
    </w:rPr>
  </w:style>
  <w:style w:type="character" w:styleId="Referenciaintensa">
    <w:name w:val="Intense Reference"/>
    <w:basedOn w:val="Fuentedeprrafopredeter"/>
    <w:uiPriority w:val="32"/>
    <w:qFormat/>
    <w:rsid w:val="00CA016C"/>
    <w:rPr>
      <w:b/>
      <w:bCs/>
      <w:smallCaps/>
      <w:color w:val="0F4761" w:themeColor="accent1" w:themeShade="BF"/>
      <w:spacing w:val="5"/>
    </w:rPr>
  </w:style>
  <w:style w:type="paragraph" w:styleId="Encabezado">
    <w:name w:val="header"/>
    <w:basedOn w:val="Normal"/>
    <w:link w:val="EncabezadoCar"/>
    <w:uiPriority w:val="99"/>
    <w:unhideWhenUsed/>
    <w:rsid w:val="00CA016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A016C"/>
    <w:rPr>
      <w:kern w:val="0"/>
      <w14:ligatures w14:val="none"/>
    </w:rPr>
  </w:style>
  <w:style w:type="paragraph" w:styleId="Piedepgina">
    <w:name w:val="footer"/>
    <w:basedOn w:val="Normal"/>
    <w:link w:val="PiedepginaCar"/>
    <w:uiPriority w:val="99"/>
    <w:unhideWhenUsed/>
    <w:rsid w:val="00CA016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A016C"/>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CA016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CA016C"/>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CA016C"/>
    <w:rPr>
      <w:kern w:val="0"/>
      <w:sz w:val="20"/>
      <w:szCs w:val="20"/>
      <w14:ligatures w14:val="none"/>
    </w:rPr>
  </w:style>
  <w:style w:type="character" w:customStyle="1" w:styleId="normaltextrun">
    <w:name w:val="normaltextrun"/>
    <w:basedOn w:val="Fuentedeprrafopredeter"/>
    <w:rsid w:val="00CA016C"/>
  </w:style>
  <w:style w:type="table" w:styleId="Tablaconcuadrcula">
    <w:name w:val="Table Grid"/>
    <w:basedOn w:val="Tablanormal"/>
    <w:uiPriority w:val="39"/>
    <w:qFormat/>
    <w:rsid w:val="00CA016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A016C"/>
    <w:rPr>
      <w:color w:val="0000FF"/>
      <w:u w:val="single"/>
    </w:rPr>
  </w:style>
  <w:style w:type="paragraph" w:customStyle="1" w:styleId="paragraph">
    <w:name w:val="paragraph"/>
    <w:basedOn w:val="Normal"/>
    <w:rsid w:val="00CA016C"/>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CA016C"/>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A016C"/>
  </w:style>
  <w:style w:type="character" w:styleId="Mencinsinresolver">
    <w:name w:val="Unresolved Mention"/>
    <w:basedOn w:val="Fuentedeprrafopredeter"/>
    <w:uiPriority w:val="99"/>
    <w:semiHidden/>
    <w:unhideWhenUsed/>
    <w:rsid w:val="00994AE7"/>
    <w:rPr>
      <w:color w:val="605E5C"/>
      <w:shd w:val="clear" w:color="auto" w:fill="E1DFDD"/>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495DFD"/>
    <w:rPr>
      <w:vertAlign w:val="superscript"/>
    </w:rPr>
  </w:style>
  <w:style w:type="paragraph" w:customStyle="1" w:styleId="Appelnotedebasde">
    <w:name w:val="Appel note de bas de..."/>
    <w:basedOn w:val="Normal"/>
    <w:link w:val="Refdenotaalpie"/>
    <w:uiPriority w:val="99"/>
    <w:rsid w:val="00495DFD"/>
    <w:pPr>
      <w:spacing w:line="240" w:lineRule="exact"/>
    </w:pPr>
    <w:rPr>
      <w:kern w:val="2"/>
      <w:vertAlign w:val="superscript"/>
      <w14:ligatures w14:val="standardContextual"/>
    </w:rPr>
  </w:style>
  <w:style w:type="paragraph" w:styleId="Textoindependiente">
    <w:name w:val="Body Text"/>
    <w:basedOn w:val="Normal"/>
    <w:link w:val="TextoindependienteCar"/>
    <w:uiPriority w:val="99"/>
    <w:unhideWhenUsed/>
    <w:rsid w:val="00495DFD"/>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495DFD"/>
    <w:rPr>
      <w:rFonts w:eastAsiaTheme="minorEastAsia"/>
      <w:kern w:val="0"/>
      <w:lang w:eastAsia="es-C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brinez@bomberosbogota.gov.co" TargetMode="Externa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colombiacompra.gov.co" TargetMode="External"/><Relationship Id="rId4" Type="http://schemas.openxmlformats.org/officeDocument/2006/relationships/webSettings" Target="webSettings.xml"/><Relationship Id="rId9" Type="http://schemas.openxmlformats.org/officeDocument/2006/relationships/hyperlink" Target="https://relatoria.colombiacompra.gov.co/busqueda/concepto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C8A03CC-C70B-4784-B2B7-A6EC3A4C4FA3}"/>
</file>

<file path=customXml/itemProps2.xml><?xml version="1.0" encoding="utf-8"?>
<ds:datastoreItem xmlns:ds="http://schemas.openxmlformats.org/officeDocument/2006/customXml" ds:itemID="{9F1F3710-C00A-4142-9166-92051192E571}"/>
</file>

<file path=customXml/itemProps3.xml><?xml version="1.0" encoding="utf-8"?>
<ds:datastoreItem xmlns:ds="http://schemas.openxmlformats.org/officeDocument/2006/customXml" ds:itemID="{1ADBD940-311E-44F2-B9F2-B62DDABA4743}"/>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1380</TotalTime>
  <Pages>25</Pages>
  <Words>7721</Words>
  <Characters>42467</Characters>
  <Application>Microsoft Office Word</Application>
  <DocSecurity>0</DocSecurity>
  <Lines>353</Lines>
  <Paragraphs>100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106</cp:revision>
  <dcterms:created xsi:type="dcterms:W3CDTF">2026-09-21T20:35:00Z</dcterms:created>
  <dcterms:modified xsi:type="dcterms:W3CDTF">2026-09-29T19:40:00Z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