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9D485" w14:textId="77777777" w:rsidR="00055A4D" w:rsidRPr="009F5AD6" w:rsidRDefault="00055A4D" w:rsidP="00055A4D">
      <w:pPr>
        <w:spacing w:after="0" w:line="240" w:lineRule="auto"/>
        <w:jc w:val="both"/>
        <w:rPr>
          <w:rFonts w:ascii="Verdana" w:hAnsi="Verdana"/>
          <w:b/>
        </w:rPr>
      </w:pPr>
      <w:bookmarkStart w:id="0" w:name="_Hlk143780582"/>
      <w:r w:rsidRPr="009F5AD6">
        <w:rPr>
          <w:rFonts w:ascii="Verdana" w:eastAsia="Arial" w:hAnsi="Verdana" w:cs="Arial"/>
          <w:b/>
          <w:lang w:val="es-ES"/>
        </w:rPr>
        <w:t>PRINCIPIO DE PUBLICIDAD – Concepto – Fundamento axiológico – Fundamento constitucional</w:t>
      </w:r>
    </w:p>
    <w:p w14:paraId="3E4AEEEC" w14:textId="77777777" w:rsidR="00055A4D" w:rsidRPr="009F5AD6" w:rsidRDefault="00055A4D" w:rsidP="00055A4D">
      <w:pPr>
        <w:spacing w:after="0" w:line="240" w:lineRule="auto"/>
        <w:jc w:val="both"/>
        <w:rPr>
          <w:rFonts w:ascii="Verdana" w:hAnsi="Verdana"/>
          <w:sz w:val="20"/>
          <w:szCs w:val="20"/>
        </w:rPr>
      </w:pPr>
    </w:p>
    <w:p w14:paraId="5BBCB045" w14:textId="77777777" w:rsidR="00055A4D" w:rsidRPr="009F5AD6" w:rsidRDefault="00055A4D" w:rsidP="00055A4D">
      <w:pPr>
        <w:spacing w:after="0" w:line="240" w:lineRule="auto"/>
        <w:jc w:val="both"/>
        <w:rPr>
          <w:rFonts w:ascii="Verdana" w:eastAsia="Times New Roman" w:hAnsi="Verdana" w:cs="Arial"/>
          <w:sz w:val="20"/>
          <w:szCs w:val="20"/>
          <w:lang w:val="es-ES" w:eastAsia="es-ES"/>
          <w14:ligatures w14:val="standardContextual"/>
        </w:rPr>
      </w:pPr>
      <w:r w:rsidRPr="009F5AD6">
        <w:rPr>
          <w:rFonts w:ascii="Verdana" w:eastAsia="Times New Roman" w:hAnsi="Verdana" w:cs="Arial"/>
          <w:sz w:val="20"/>
          <w:szCs w:val="20"/>
          <w:lang w:val="es-ES" w:eastAsia="es-ES"/>
          <w14:ligatures w14:val="standardContextual"/>
        </w:rPr>
        <w:t xml:space="preserve">Uno de los postulados más importantes de un Estado Social y Democrático de Derecho es el principio de </w:t>
      </w:r>
      <w:r w:rsidRPr="009F5AD6">
        <w:rPr>
          <w:rFonts w:ascii="Verdana" w:eastAsia="Times New Roman" w:hAnsi="Verdana" w:cs="Arial"/>
          <w:i/>
          <w:iCs/>
          <w:sz w:val="20"/>
          <w:szCs w:val="20"/>
          <w:lang w:val="es-ES" w:eastAsia="es-ES"/>
          <w14:ligatures w14:val="standardContextual"/>
        </w:rPr>
        <w:t>publicidad</w:t>
      </w:r>
      <w:r w:rsidRPr="009F5AD6">
        <w:rPr>
          <w:rFonts w:ascii="Verdana" w:eastAsia="Times New Roman" w:hAnsi="Verdana" w:cs="Arial"/>
          <w:sz w:val="20"/>
          <w:szCs w:val="20"/>
          <w:lang w:val="es-ES" w:eastAsia="es-ES"/>
          <w14:ligatures w14:val="standardContextual"/>
        </w:rPr>
        <w:t xml:space="preserve">, pues este permite que las actuaciones de las autoridades gocen de visibilidad. En tal sentido, la filosofía política ha indicado que la democracia “[…] es idealmente el gobierno de un poder visible, es decir, el gobierno cuyos actos se realizan ante el público y bajo la supervisión de la opinión pública”. El secreto generalizado en el ejercicio del poder político constituye, por el contrario, una negación de la democracia, porque dificulta la supervisión de las autoridades por parte de la sociedad civil y establece una barrera para la participación ciudadana. Inspirada en esta concepción axiológica, en los Estados de derecho se pregona la publicidad de las actuaciones de los poderes públicos. </w:t>
      </w:r>
    </w:p>
    <w:p w14:paraId="70C32D6A" w14:textId="77777777" w:rsidR="00055A4D" w:rsidRPr="009F5AD6" w:rsidRDefault="00055A4D" w:rsidP="00055A4D">
      <w:pPr>
        <w:spacing w:after="0" w:line="240" w:lineRule="auto"/>
        <w:jc w:val="both"/>
        <w:rPr>
          <w:rFonts w:ascii="Verdana" w:eastAsia="Times New Roman" w:hAnsi="Verdana" w:cs="Arial"/>
          <w:sz w:val="20"/>
          <w:szCs w:val="20"/>
          <w:lang w:val="es-ES" w:eastAsia="es-ES"/>
          <w14:ligatures w14:val="standardContextual"/>
        </w:rPr>
      </w:pPr>
    </w:p>
    <w:p w14:paraId="0AB2405C" w14:textId="77777777" w:rsidR="00055A4D" w:rsidRPr="009F5AD6" w:rsidRDefault="00055A4D" w:rsidP="00055A4D">
      <w:pPr>
        <w:spacing w:after="0" w:line="240" w:lineRule="auto"/>
        <w:jc w:val="both"/>
        <w:rPr>
          <w:rFonts w:ascii="Verdana" w:eastAsia="Times New Roman" w:hAnsi="Verdana" w:cs="Arial"/>
          <w:sz w:val="20"/>
          <w:szCs w:val="20"/>
          <w:lang w:val="es-ES" w:eastAsia="es-ES"/>
          <w14:ligatures w14:val="standardContextual"/>
        </w:rPr>
      </w:pPr>
      <w:r w:rsidRPr="009F5AD6">
        <w:rPr>
          <w:rFonts w:ascii="Verdana" w:eastAsia="Times New Roman" w:hAnsi="Verdana" w:cs="Arial"/>
          <w:sz w:val="20"/>
          <w:szCs w:val="20"/>
          <w:lang w:val="es-ES" w:eastAsia="es-ES"/>
          <w14:ligatures w14:val="standardContextual"/>
        </w:rPr>
        <w:t>Como evidencia de ello,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w:t>
      </w:r>
    </w:p>
    <w:p w14:paraId="735BBED8" w14:textId="77777777" w:rsidR="00055A4D" w:rsidRPr="009F5AD6" w:rsidRDefault="00055A4D" w:rsidP="00055A4D">
      <w:pPr>
        <w:spacing w:after="0" w:line="240" w:lineRule="auto"/>
        <w:jc w:val="both"/>
        <w:rPr>
          <w:rFonts w:ascii="Verdana" w:hAnsi="Verdana"/>
          <w:sz w:val="20"/>
          <w:szCs w:val="20"/>
        </w:rPr>
      </w:pPr>
    </w:p>
    <w:p w14:paraId="21B551DE" w14:textId="77777777" w:rsidR="00055A4D" w:rsidRPr="009F5AD6" w:rsidRDefault="00055A4D" w:rsidP="00055A4D">
      <w:pPr>
        <w:spacing w:after="0" w:line="240" w:lineRule="auto"/>
        <w:jc w:val="both"/>
        <w:rPr>
          <w:rFonts w:ascii="Verdana" w:hAnsi="Verdana"/>
          <w:b/>
          <w:bCs/>
          <w:lang w:val="es-ES_tradnl"/>
        </w:rPr>
      </w:pPr>
      <w:r w:rsidRPr="009F5AD6">
        <w:rPr>
          <w:rFonts w:ascii="Verdana" w:hAnsi="Verdana"/>
          <w:b/>
          <w:bCs/>
          <w:lang w:val="es-ES_tradnl"/>
        </w:rPr>
        <w:t>PRINCIPIO DE PUBLICIDAD – SECOP – Documentos del proceso – Deber de publicación</w:t>
      </w:r>
    </w:p>
    <w:p w14:paraId="44126C9E" w14:textId="77777777" w:rsidR="00055A4D" w:rsidRPr="009F5AD6" w:rsidRDefault="00055A4D" w:rsidP="00055A4D">
      <w:pPr>
        <w:spacing w:after="0" w:line="240" w:lineRule="auto"/>
        <w:rPr>
          <w:rFonts w:ascii="Verdana" w:hAnsi="Verdana"/>
          <w:b/>
          <w:bCs/>
          <w:lang w:val="es-ES_tradnl"/>
        </w:rPr>
      </w:pPr>
    </w:p>
    <w:p w14:paraId="11DDC15E" w14:textId="77777777" w:rsidR="00055A4D" w:rsidRPr="00071B1C" w:rsidRDefault="00055A4D" w:rsidP="00055A4D">
      <w:pPr>
        <w:spacing w:after="0" w:line="240" w:lineRule="auto"/>
        <w:jc w:val="both"/>
        <w:rPr>
          <w:rFonts w:ascii="Verdana" w:eastAsia="Times New Roman" w:hAnsi="Verdana" w:cs="Arial"/>
          <w:sz w:val="20"/>
          <w:szCs w:val="20"/>
          <w:lang w:val="es-ES_tradnl" w:eastAsia="es-ES_tradnl"/>
          <w14:ligatures w14:val="standardContextual"/>
        </w:rPr>
      </w:pPr>
      <w:r w:rsidRPr="00071B1C">
        <w:rPr>
          <w:rFonts w:ascii="Verdana" w:eastAsia="Times New Roman" w:hAnsi="Verdana" w:cs="Arial"/>
          <w:sz w:val="20"/>
          <w:szCs w:val="20"/>
          <w:lang w:val="es-ES_tradnl" w:eastAsia="es-ES_tradnl"/>
          <w14:ligatures w14:val="standardContextual"/>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 En ese contexto, las Entidades Estatales, conforme al artículo 2.2.1.1.1.7.1 del Decreto 1082 de 2015, tienen la obligación de publicar en el SECOP “[…] los Documentos del Proceso y los actos administrativos del Proceso de Contratación, dentro de los tres (3) días siguientes a su expedición […]”.</w:t>
      </w:r>
    </w:p>
    <w:p w14:paraId="034FF012" w14:textId="77777777" w:rsidR="00055A4D" w:rsidRPr="00071B1C" w:rsidRDefault="00055A4D" w:rsidP="00055A4D">
      <w:pPr>
        <w:tabs>
          <w:tab w:val="left" w:pos="709"/>
        </w:tabs>
        <w:spacing w:after="0" w:line="240" w:lineRule="auto"/>
        <w:jc w:val="both"/>
        <w:rPr>
          <w:rFonts w:ascii="Verdana" w:hAnsi="Verdana" w:cs="Arial"/>
          <w:sz w:val="20"/>
          <w:szCs w:val="20"/>
          <w:shd w:val="clear" w:color="auto" w:fill="FFFFFF"/>
        </w:rPr>
      </w:pPr>
    </w:p>
    <w:p w14:paraId="2CB98981" w14:textId="77777777" w:rsidR="00055A4D" w:rsidRPr="00071B1C" w:rsidRDefault="00055A4D" w:rsidP="00055A4D">
      <w:pPr>
        <w:tabs>
          <w:tab w:val="left" w:pos="709"/>
        </w:tabs>
        <w:spacing w:after="0" w:line="240" w:lineRule="auto"/>
        <w:jc w:val="both"/>
        <w:rPr>
          <w:rFonts w:ascii="Verdana" w:hAnsi="Verdana" w:cs="Arial"/>
          <w:sz w:val="20"/>
          <w:szCs w:val="20"/>
          <w:shd w:val="clear" w:color="auto" w:fill="FFFFFF"/>
        </w:rPr>
      </w:pPr>
      <w:r w:rsidRPr="00071B1C">
        <w:rPr>
          <w:rFonts w:ascii="Verdana" w:hAnsi="Verdana" w:cs="Arial"/>
          <w:sz w:val="20"/>
          <w:szCs w:val="20"/>
          <w:shd w:val="clear" w:color="auto" w:fill="FFFFFF"/>
        </w:rPr>
        <w:t xml:space="preserve">La expresión Documentos del Proceso está definida en el artículo 2.2.1.1.1.3.1. del Decreto 1082 de 2015, donde se establece que: “son: (a) los estudios y documentos previos; (b) el aviso de convocatoria; (c) los pliegos de condiciones o la invitación; (d) las adendas; (e) la oferta; (f) el informe de evaluación; (g) el contrato; y cualquier otro documento expedido por la Entidad Estatal durante el Proceso de Contratación”. Sin embargo,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Ibidem recoge en la noción de Documentos del Proceso “cualquier otro documento expedido por la Entidad Estatal durante el Proceso de Contratación”. </w:t>
      </w:r>
    </w:p>
    <w:p w14:paraId="64DCDEB9" w14:textId="77777777" w:rsidR="00055A4D" w:rsidRPr="00071B1C" w:rsidRDefault="00055A4D" w:rsidP="00055A4D">
      <w:pPr>
        <w:tabs>
          <w:tab w:val="left" w:pos="709"/>
        </w:tabs>
        <w:spacing w:after="0" w:line="240" w:lineRule="auto"/>
        <w:jc w:val="both"/>
        <w:rPr>
          <w:rFonts w:ascii="Verdana" w:hAnsi="Verdana" w:cs="Arial"/>
          <w:sz w:val="20"/>
          <w:szCs w:val="20"/>
          <w:shd w:val="clear" w:color="auto" w:fill="FFFFFF"/>
        </w:rPr>
      </w:pPr>
    </w:p>
    <w:p w14:paraId="08594D48" w14:textId="77777777" w:rsidR="00055A4D" w:rsidRPr="00071B1C" w:rsidRDefault="00055A4D" w:rsidP="00055A4D">
      <w:pPr>
        <w:tabs>
          <w:tab w:val="left" w:pos="709"/>
        </w:tabs>
        <w:spacing w:after="0" w:line="240" w:lineRule="auto"/>
        <w:jc w:val="both"/>
        <w:rPr>
          <w:rFonts w:ascii="Verdana" w:hAnsi="Verdana" w:cs="Arial"/>
          <w:sz w:val="20"/>
          <w:szCs w:val="20"/>
          <w:shd w:val="clear" w:color="auto" w:fill="FFFFFF"/>
        </w:rPr>
      </w:pPr>
      <w:r w:rsidRPr="00071B1C">
        <w:rPr>
          <w:rFonts w:ascii="Verdana" w:hAnsi="Verdana" w:cs="Arial"/>
          <w:sz w:val="20"/>
          <w:szCs w:val="20"/>
          <w:shd w:val="clear" w:color="auto" w:fill="FFFFFF"/>
        </w:rPr>
        <w:lastRenderedPageBreak/>
        <w:t xml:space="preserve">Este mismo artículo define la expresión Proceso de Contratación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w:t>
      </w:r>
      <w:r w:rsidRPr="00071B1C">
        <w:rPr>
          <w:rFonts w:ascii="Verdana" w:hAnsi="Verdana"/>
          <w:sz w:val="20"/>
          <w:szCs w:val="20"/>
        </w:rPr>
        <w:t>Nótese que la norma</w:t>
      </w:r>
      <w:r w:rsidRPr="00071B1C">
        <w:rPr>
          <w:rFonts w:ascii="Verdana" w:hAnsi="Verdana" w:cs="Arial"/>
          <w:sz w:val="20"/>
          <w:szCs w:val="20"/>
          <w:shd w:val="clear" w:color="auto" w:fill="FFFFFF"/>
        </w:rPr>
        <w:t xml:space="preserve"> se refiere a los documentos “expedidos por la entidad estatal” durante el Proceso de Contratación, excluyendo de la noción de Documentos del Proceso los expedidos por un sujeto distinto a la entidad, salvo la oferta, la cual se incluye expresamente en el referido artículo 2.2.1.1.1.3. En ese sentido, la interpretación sistemática de los preceptos del Decreto 1082 de 2015, de acuerdo con el principio de publicidad, inicialmente, indica que las Entidades Estatales tienen la obligación de publicar todos los documentos que expidan con ocasión del Proceso de Contratación, es decir, que todos los documentos expedidos por la entidad durante las etapas precontractual, de ejecución y </w:t>
      </w:r>
      <w:proofErr w:type="spellStart"/>
      <w:r w:rsidRPr="00071B1C">
        <w:rPr>
          <w:rFonts w:ascii="Verdana" w:hAnsi="Verdana" w:cs="Arial"/>
          <w:sz w:val="20"/>
          <w:szCs w:val="20"/>
          <w:shd w:val="clear" w:color="auto" w:fill="FFFFFF"/>
        </w:rPr>
        <w:t>postcontractual</w:t>
      </w:r>
      <w:proofErr w:type="spellEnd"/>
      <w:r w:rsidRPr="00071B1C">
        <w:rPr>
          <w:rFonts w:ascii="Verdana" w:hAnsi="Verdana" w:cs="Arial"/>
          <w:sz w:val="20"/>
          <w:szCs w:val="20"/>
          <w:shd w:val="clear" w:color="auto" w:fill="FFFFFF"/>
        </w:rPr>
        <w:t xml:space="preserve"> deberán publicarse en SECOP dentro de los tres (3) días siguientes a su expedición, para cumplir el deber de publicidad regulado por el artículo 2.2.1.1.1.7.1. del Decreto 1082 de 2015.</w:t>
      </w:r>
    </w:p>
    <w:p w14:paraId="340F4406" w14:textId="77777777" w:rsidR="00055A4D" w:rsidRDefault="00055A4D" w:rsidP="008C6D48">
      <w:pPr>
        <w:spacing w:after="0" w:line="240" w:lineRule="auto"/>
        <w:rPr>
          <w:rFonts w:ascii="Verdana" w:eastAsia="Times New Roman" w:hAnsi="Verdana" w:cs="Arial"/>
          <w:lang w:val="es-ES" w:eastAsia="es-ES"/>
        </w:rPr>
      </w:pPr>
    </w:p>
    <w:p w14:paraId="5BFBC722" w14:textId="77777777" w:rsidR="00055A4D" w:rsidRDefault="00055A4D" w:rsidP="008C6D48">
      <w:pPr>
        <w:spacing w:after="0" w:line="240" w:lineRule="auto"/>
        <w:rPr>
          <w:rFonts w:ascii="Verdana" w:eastAsia="Times New Roman" w:hAnsi="Verdana" w:cs="Arial"/>
          <w:lang w:val="es-ES" w:eastAsia="es-ES"/>
        </w:rPr>
      </w:pPr>
    </w:p>
    <w:p w14:paraId="2E7E2E35" w14:textId="77777777" w:rsidR="00055A4D" w:rsidRDefault="00055A4D" w:rsidP="008C6D48">
      <w:pPr>
        <w:spacing w:after="0" w:line="240" w:lineRule="auto"/>
        <w:rPr>
          <w:rFonts w:ascii="Verdana" w:eastAsia="Times New Roman" w:hAnsi="Verdana" w:cs="Arial"/>
          <w:lang w:val="es-ES" w:eastAsia="es-ES"/>
        </w:rPr>
      </w:pPr>
    </w:p>
    <w:p w14:paraId="7F950C3F" w14:textId="77777777" w:rsidR="00055A4D" w:rsidRDefault="00055A4D" w:rsidP="008C6D48">
      <w:pPr>
        <w:spacing w:after="0" w:line="240" w:lineRule="auto"/>
        <w:rPr>
          <w:rFonts w:ascii="Verdana" w:eastAsia="Times New Roman" w:hAnsi="Verdana" w:cs="Arial"/>
          <w:lang w:val="es-ES" w:eastAsia="es-ES"/>
        </w:rPr>
      </w:pPr>
    </w:p>
    <w:p w14:paraId="3CE183C3" w14:textId="77777777" w:rsidR="00055A4D" w:rsidRDefault="00055A4D" w:rsidP="008C6D48">
      <w:pPr>
        <w:spacing w:after="0" w:line="240" w:lineRule="auto"/>
        <w:rPr>
          <w:rFonts w:ascii="Verdana" w:eastAsia="Times New Roman" w:hAnsi="Verdana" w:cs="Arial"/>
          <w:lang w:val="es-ES" w:eastAsia="es-ES"/>
        </w:rPr>
      </w:pPr>
    </w:p>
    <w:p w14:paraId="3E35FD27" w14:textId="77777777" w:rsidR="00055A4D" w:rsidRDefault="00055A4D" w:rsidP="008C6D48">
      <w:pPr>
        <w:spacing w:after="0" w:line="240" w:lineRule="auto"/>
        <w:rPr>
          <w:rFonts w:ascii="Verdana" w:eastAsia="Times New Roman" w:hAnsi="Verdana" w:cs="Arial"/>
          <w:lang w:val="es-ES" w:eastAsia="es-ES"/>
        </w:rPr>
      </w:pPr>
    </w:p>
    <w:p w14:paraId="2E67CDCA" w14:textId="77777777" w:rsidR="00055A4D" w:rsidRDefault="00055A4D" w:rsidP="008C6D48">
      <w:pPr>
        <w:spacing w:after="0" w:line="240" w:lineRule="auto"/>
        <w:rPr>
          <w:rFonts w:ascii="Verdana" w:eastAsia="Times New Roman" w:hAnsi="Verdana" w:cs="Arial"/>
          <w:lang w:val="es-ES" w:eastAsia="es-ES"/>
        </w:rPr>
      </w:pPr>
    </w:p>
    <w:p w14:paraId="613BE207" w14:textId="77777777" w:rsidR="00055A4D" w:rsidRDefault="00055A4D" w:rsidP="008C6D48">
      <w:pPr>
        <w:spacing w:after="0" w:line="240" w:lineRule="auto"/>
        <w:rPr>
          <w:rFonts w:ascii="Verdana" w:eastAsia="Times New Roman" w:hAnsi="Verdana" w:cs="Arial"/>
          <w:lang w:val="es-ES" w:eastAsia="es-ES"/>
        </w:rPr>
      </w:pPr>
    </w:p>
    <w:p w14:paraId="30632523" w14:textId="77777777" w:rsidR="00055A4D" w:rsidRDefault="00055A4D" w:rsidP="008C6D48">
      <w:pPr>
        <w:spacing w:after="0" w:line="240" w:lineRule="auto"/>
        <w:rPr>
          <w:rFonts w:ascii="Verdana" w:eastAsia="Times New Roman" w:hAnsi="Verdana" w:cs="Arial"/>
          <w:lang w:val="es-ES" w:eastAsia="es-ES"/>
        </w:rPr>
      </w:pPr>
    </w:p>
    <w:p w14:paraId="6BA47BCC" w14:textId="77777777" w:rsidR="00055A4D" w:rsidRDefault="00055A4D" w:rsidP="008C6D48">
      <w:pPr>
        <w:spacing w:after="0" w:line="240" w:lineRule="auto"/>
        <w:rPr>
          <w:rFonts w:ascii="Verdana" w:eastAsia="Times New Roman" w:hAnsi="Verdana" w:cs="Arial"/>
          <w:lang w:val="es-ES" w:eastAsia="es-ES"/>
        </w:rPr>
      </w:pPr>
    </w:p>
    <w:p w14:paraId="293ECF3A" w14:textId="77777777" w:rsidR="00055A4D" w:rsidRDefault="00055A4D" w:rsidP="008C6D48">
      <w:pPr>
        <w:spacing w:after="0" w:line="240" w:lineRule="auto"/>
        <w:rPr>
          <w:rFonts w:ascii="Verdana" w:eastAsia="Times New Roman" w:hAnsi="Verdana" w:cs="Arial"/>
          <w:lang w:val="es-ES" w:eastAsia="es-ES"/>
        </w:rPr>
      </w:pPr>
    </w:p>
    <w:p w14:paraId="55FE8CB0" w14:textId="77777777" w:rsidR="00055A4D" w:rsidRDefault="00055A4D" w:rsidP="008C6D48">
      <w:pPr>
        <w:spacing w:after="0" w:line="240" w:lineRule="auto"/>
        <w:rPr>
          <w:rFonts w:ascii="Verdana" w:eastAsia="Times New Roman" w:hAnsi="Verdana" w:cs="Arial"/>
          <w:lang w:val="es-ES" w:eastAsia="es-ES"/>
        </w:rPr>
      </w:pPr>
    </w:p>
    <w:p w14:paraId="31BC1D98" w14:textId="77777777" w:rsidR="00055A4D" w:rsidRDefault="00055A4D" w:rsidP="008C6D48">
      <w:pPr>
        <w:spacing w:after="0" w:line="240" w:lineRule="auto"/>
        <w:rPr>
          <w:rFonts w:ascii="Verdana" w:eastAsia="Times New Roman" w:hAnsi="Verdana" w:cs="Arial"/>
          <w:lang w:val="es-ES" w:eastAsia="es-ES"/>
        </w:rPr>
      </w:pPr>
    </w:p>
    <w:p w14:paraId="513BFC0B" w14:textId="77777777" w:rsidR="00055A4D" w:rsidRDefault="00055A4D" w:rsidP="008C6D48">
      <w:pPr>
        <w:spacing w:after="0" w:line="240" w:lineRule="auto"/>
        <w:rPr>
          <w:rFonts w:ascii="Verdana" w:eastAsia="Times New Roman" w:hAnsi="Verdana" w:cs="Arial"/>
          <w:lang w:val="es-ES" w:eastAsia="es-ES"/>
        </w:rPr>
      </w:pPr>
    </w:p>
    <w:p w14:paraId="2DBD27E7" w14:textId="77777777" w:rsidR="00055A4D" w:rsidRDefault="00055A4D" w:rsidP="008C6D48">
      <w:pPr>
        <w:spacing w:after="0" w:line="240" w:lineRule="auto"/>
        <w:rPr>
          <w:rFonts w:ascii="Verdana" w:eastAsia="Times New Roman" w:hAnsi="Verdana" w:cs="Arial"/>
          <w:lang w:val="es-ES" w:eastAsia="es-ES"/>
        </w:rPr>
      </w:pPr>
    </w:p>
    <w:p w14:paraId="2F2FE059" w14:textId="77777777" w:rsidR="00055A4D" w:rsidRDefault="00055A4D" w:rsidP="008C6D48">
      <w:pPr>
        <w:spacing w:after="0" w:line="240" w:lineRule="auto"/>
        <w:rPr>
          <w:rFonts w:ascii="Verdana" w:eastAsia="Times New Roman" w:hAnsi="Verdana" w:cs="Arial"/>
          <w:lang w:val="es-ES" w:eastAsia="es-ES"/>
        </w:rPr>
      </w:pPr>
    </w:p>
    <w:p w14:paraId="5A9CA5F1" w14:textId="77777777" w:rsidR="00055A4D" w:rsidRDefault="00055A4D" w:rsidP="008C6D48">
      <w:pPr>
        <w:spacing w:after="0" w:line="240" w:lineRule="auto"/>
        <w:rPr>
          <w:rFonts w:ascii="Verdana" w:eastAsia="Times New Roman" w:hAnsi="Verdana" w:cs="Arial"/>
          <w:lang w:val="es-ES" w:eastAsia="es-ES"/>
        </w:rPr>
      </w:pPr>
    </w:p>
    <w:p w14:paraId="277AA933" w14:textId="77777777" w:rsidR="00055A4D" w:rsidRDefault="00055A4D" w:rsidP="008C6D48">
      <w:pPr>
        <w:spacing w:after="0" w:line="240" w:lineRule="auto"/>
        <w:rPr>
          <w:rFonts w:ascii="Verdana" w:eastAsia="Times New Roman" w:hAnsi="Verdana" w:cs="Arial"/>
          <w:lang w:val="es-ES" w:eastAsia="es-ES"/>
        </w:rPr>
      </w:pPr>
    </w:p>
    <w:p w14:paraId="1D9CE9A1" w14:textId="77777777" w:rsidR="00055A4D" w:rsidRDefault="00055A4D" w:rsidP="008C6D48">
      <w:pPr>
        <w:spacing w:after="0" w:line="240" w:lineRule="auto"/>
        <w:rPr>
          <w:rFonts w:ascii="Verdana" w:eastAsia="Times New Roman" w:hAnsi="Verdana" w:cs="Arial"/>
          <w:lang w:val="es-ES" w:eastAsia="es-ES"/>
        </w:rPr>
      </w:pPr>
    </w:p>
    <w:p w14:paraId="613E6952" w14:textId="77777777" w:rsidR="00055A4D" w:rsidRDefault="00055A4D" w:rsidP="008C6D48">
      <w:pPr>
        <w:spacing w:after="0" w:line="240" w:lineRule="auto"/>
        <w:rPr>
          <w:rFonts w:ascii="Verdana" w:eastAsia="Times New Roman" w:hAnsi="Verdana" w:cs="Arial"/>
          <w:lang w:val="es-ES" w:eastAsia="es-ES"/>
        </w:rPr>
      </w:pPr>
    </w:p>
    <w:p w14:paraId="7317F8FE" w14:textId="77777777" w:rsidR="00055A4D" w:rsidRDefault="00055A4D" w:rsidP="008C6D48">
      <w:pPr>
        <w:spacing w:after="0" w:line="240" w:lineRule="auto"/>
        <w:rPr>
          <w:rFonts w:ascii="Verdana" w:eastAsia="Times New Roman" w:hAnsi="Verdana" w:cs="Arial"/>
          <w:lang w:val="es-ES" w:eastAsia="es-ES"/>
        </w:rPr>
      </w:pPr>
    </w:p>
    <w:p w14:paraId="291540B9" w14:textId="77777777" w:rsidR="00055A4D" w:rsidRDefault="00055A4D" w:rsidP="008C6D48">
      <w:pPr>
        <w:spacing w:after="0" w:line="240" w:lineRule="auto"/>
        <w:rPr>
          <w:rFonts w:ascii="Verdana" w:eastAsia="Times New Roman" w:hAnsi="Verdana" w:cs="Arial"/>
          <w:lang w:val="es-ES" w:eastAsia="es-ES"/>
        </w:rPr>
      </w:pPr>
    </w:p>
    <w:p w14:paraId="2BCA7BDE" w14:textId="77777777" w:rsidR="00055A4D" w:rsidRDefault="00055A4D" w:rsidP="008C6D48">
      <w:pPr>
        <w:spacing w:after="0" w:line="240" w:lineRule="auto"/>
        <w:rPr>
          <w:rFonts w:ascii="Verdana" w:eastAsia="Times New Roman" w:hAnsi="Verdana" w:cs="Arial"/>
          <w:lang w:val="es-ES" w:eastAsia="es-ES"/>
        </w:rPr>
      </w:pPr>
    </w:p>
    <w:p w14:paraId="7471E4DC" w14:textId="77777777" w:rsidR="00055A4D" w:rsidRDefault="00055A4D" w:rsidP="008C6D48">
      <w:pPr>
        <w:spacing w:after="0" w:line="240" w:lineRule="auto"/>
        <w:rPr>
          <w:rFonts w:ascii="Verdana" w:eastAsia="Times New Roman" w:hAnsi="Verdana" w:cs="Arial"/>
          <w:lang w:val="es-ES" w:eastAsia="es-ES"/>
        </w:rPr>
      </w:pPr>
    </w:p>
    <w:p w14:paraId="69C556DB" w14:textId="77777777" w:rsidR="00055A4D" w:rsidRDefault="00055A4D" w:rsidP="008C6D48">
      <w:pPr>
        <w:spacing w:after="0" w:line="240" w:lineRule="auto"/>
        <w:rPr>
          <w:rFonts w:ascii="Verdana" w:eastAsia="Times New Roman" w:hAnsi="Verdana" w:cs="Arial"/>
          <w:lang w:val="es-ES" w:eastAsia="es-ES"/>
        </w:rPr>
      </w:pPr>
    </w:p>
    <w:p w14:paraId="6E983747" w14:textId="77777777" w:rsidR="00055A4D" w:rsidRDefault="00055A4D" w:rsidP="008C6D48">
      <w:pPr>
        <w:spacing w:after="0" w:line="240" w:lineRule="auto"/>
        <w:rPr>
          <w:rFonts w:ascii="Verdana" w:eastAsia="Times New Roman" w:hAnsi="Verdana" w:cs="Arial"/>
          <w:lang w:val="es-ES" w:eastAsia="es-ES"/>
        </w:rPr>
      </w:pPr>
    </w:p>
    <w:p w14:paraId="32EB9C0A" w14:textId="77777777" w:rsidR="00055A4D" w:rsidRDefault="00055A4D" w:rsidP="008C6D48">
      <w:pPr>
        <w:spacing w:after="0" w:line="240" w:lineRule="auto"/>
        <w:rPr>
          <w:rFonts w:ascii="Verdana" w:eastAsia="Times New Roman" w:hAnsi="Verdana" w:cs="Arial"/>
          <w:lang w:val="es-ES" w:eastAsia="es-ES"/>
        </w:rPr>
      </w:pPr>
    </w:p>
    <w:p w14:paraId="7B8A819E" w14:textId="4F5405E1" w:rsidR="005D556F" w:rsidRDefault="005D556F" w:rsidP="008C6D48">
      <w:pPr>
        <w:spacing w:after="0" w:line="240" w:lineRule="auto"/>
        <w:rPr>
          <w:rFonts w:ascii="Verdana" w:eastAsia="Times New Roman" w:hAnsi="Verdana" w:cs="Arial"/>
          <w:lang w:val="es-ES" w:eastAsia="es-ES"/>
        </w:rPr>
      </w:pPr>
      <w:r w:rsidRPr="008C6D48">
        <w:rPr>
          <w:rFonts w:ascii="Verdana" w:eastAsia="Times New Roman" w:hAnsi="Verdana" w:cs="Arial"/>
          <w:lang w:val="es-ES" w:eastAsia="es-ES"/>
        </w:rPr>
        <w:lastRenderedPageBreak/>
        <w:t xml:space="preserve">Bogotá, </w:t>
      </w:r>
      <w:r w:rsidR="00243382">
        <w:rPr>
          <w:rFonts w:ascii="Verdana" w:eastAsia="Times New Roman" w:hAnsi="Verdana" w:cs="Arial"/>
          <w:lang w:val="es-ES" w:eastAsia="es-ES"/>
        </w:rPr>
        <w:t>24 de septiembre de 2026</w:t>
      </w:r>
    </w:p>
    <w:p w14:paraId="36BB7FF4" w14:textId="77777777" w:rsidR="00243382" w:rsidRDefault="00243382" w:rsidP="008C6D48">
      <w:pPr>
        <w:spacing w:after="0" w:line="240" w:lineRule="auto"/>
        <w:rPr>
          <w:rFonts w:ascii="Verdana" w:hAnsi="Verdana"/>
        </w:rPr>
      </w:pPr>
    </w:p>
    <w:p w14:paraId="4FD06378" w14:textId="613BAC87" w:rsidR="00243382" w:rsidRPr="008C6D48" w:rsidRDefault="00243382" w:rsidP="00243382">
      <w:pPr>
        <w:spacing w:after="0" w:line="240" w:lineRule="auto"/>
        <w:jc w:val="right"/>
        <w:rPr>
          <w:rFonts w:ascii="Verdana" w:hAnsi="Verdana"/>
        </w:rPr>
      </w:pPr>
      <w:r w:rsidRPr="00243382">
        <w:rPr>
          <w:rFonts w:ascii="Verdana" w:hAnsi="Verdana"/>
          <w:noProof/>
        </w:rPr>
        <w:drawing>
          <wp:inline distT="0" distB="0" distL="0" distR="0" wp14:anchorId="4956B320" wp14:editId="1E22A4AD">
            <wp:extent cx="3581900" cy="962159"/>
            <wp:effectExtent l="0" t="0" r="0" b="9525"/>
            <wp:docPr id="12552393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239311" name=""/>
                    <pic:cNvPicPr/>
                  </pic:nvPicPr>
                  <pic:blipFill>
                    <a:blip r:embed="rId10"/>
                    <a:stretch>
                      <a:fillRect/>
                    </a:stretch>
                  </pic:blipFill>
                  <pic:spPr>
                    <a:xfrm>
                      <a:off x="0" y="0"/>
                      <a:ext cx="3581900" cy="962159"/>
                    </a:xfrm>
                    <a:prstGeom prst="rect">
                      <a:avLst/>
                    </a:prstGeom>
                  </pic:spPr>
                </pic:pic>
              </a:graphicData>
            </a:graphic>
          </wp:inline>
        </w:drawing>
      </w:r>
    </w:p>
    <w:p w14:paraId="0B9B8B6E" w14:textId="77777777" w:rsidR="005D556F" w:rsidRPr="008C6D48" w:rsidRDefault="005D556F" w:rsidP="008C6D48">
      <w:pPr>
        <w:spacing w:after="0" w:line="240" w:lineRule="auto"/>
        <w:jc w:val="both"/>
        <w:rPr>
          <w:rStyle w:val="Hipervnculo"/>
          <w:rFonts w:ascii="Verdana" w:hAnsi="Verdana"/>
          <w:color w:val="auto"/>
        </w:rPr>
      </w:pPr>
    </w:p>
    <w:p w14:paraId="6940A658" w14:textId="42D9356D" w:rsidR="005D556F" w:rsidRPr="008C6D48" w:rsidRDefault="005D556F" w:rsidP="008C6D48">
      <w:pPr>
        <w:spacing w:after="0" w:line="240" w:lineRule="auto"/>
        <w:jc w:val="both"/>
        <w:rPr>
          <w:rFonts w:ascii="Verdana" w:hAnsi="Verdana" w:cs="Arial"/>
          <w:bCs/>
          <w:lang w:eastAsia="es-ES" w:bidi="es-ES"/>
        </w:rPr>
      </w:pPr>
      <w:r w:rsidRPr="008C6D48">
        <w:rPr>
          <w:rFonts w:ascii="Verdana" w:hAnsi="Verdana" w:cs="Arial"/>
          <w:bCs/>
          <w:lang w:eastAsia="es-ES" w:bidi="es-ES"/>
        </w:rPr>
        <w:t>Señor</w:t>
      </w:r>
      <w:r w:rsidR="008C6D48">
        <w:rPr>
          <w:rFonts w:ascii="Verdana" w:hAnsi="Verdana" w:cs="Arial"/>
          <w:bCs/>
          <w:lang w:eastAsia="es-ES" w:bidi="es-ES"/>
        </w:rPr>
        <w:t>:</w:t>
      </w:r>
    </w:p>
    <w:p w14:paraId="703A5E53" w14:textId="77777777" w:rsidR="005D556F" w:rsidRPr="008C6D48" w:rsidRDefault="005D556F" w:rsidP="008C6D48">
      <w:pPr>
        <w:spacing w:after="0" w:line="240" w:lineRule="auto"/>
        <w:jc w:val="both"/>
        <w:rPr>
          <w:rFonts w:ascii="Verdana" w:hAnsi="Verdana" w:cs="Arial"/>
          <w:b/>
          <w:bCs/>
          <w:lang w:eastAsia="es-ES" w:bidi="es-ES"/>
        </w:rPr>
      </w:pPr>
      <w:r w:rsidRPr="008C6D48">
        <w:rPr>
          <w:rFonts w:ascii="Verdana" w:hAnsi="Verdana" w:cs="Arial"/>
          <w:b/>
          <w:bCs/>
          <w:lang w:eastAsia="es-ES" w:bidi="es-ES"/>
        </w:rPr>
        <w:t>Luis Alberto Bedoya Duque</w:t>
      </w:r>
    </w:p>
    <w:p w14:paraId="0A4186A0" w14:textId="77777777" w:rsidR="005D556F" w:rsidRPr="008C6D48" w:rsidRDefault="005D556F" w:rsidP="008C6D48">
      <w:pPr>
        <w:spacing w:after="0" w:line="240" w:lineRule="auto"/>
        <w:jc w:val="both"/>
        <w:rPr>
          <w:rFonts w:ascii="Verdana" w:hAnsi="Verdana" w:cs="Arial"/>
          <w:lang w:eastAsia="es-ES" w:bidi="es-ES"/>
        </w:rPr>
      </w:pPr>
      <w:r w:rsidRPr="008C6D48">
        <w:rPr>
          <w:rFonts w:ascii="Verdana" w:hAnsi="Verdana" w:cs="Arial"/>
          <w:lang w:eastAsia="es-ES" w:bidi="es-ES"/>
        </w:rPr>
        <w:t>Veeduría Ciudadana del Municipio de Venecia</w:t>
      </w:r>
    </w:p>
    <w:p w14:paraId="0ED64DF8" w14:textId="77777777" w:rsidR="005D556F" w:rsidRPr="008C6D48" w:rsidRDefault="005D556F" w:rsidP="008C6D48">
      <w:pPr>
        <w:spacing w:after="0" w:line="240" w:lineRule="auto"/>
        <w:jc w:val="both"/>
        <w:rPr>
          <w:rFonts w:ascii="Verdana" w:hAnsi="Verdana"/>
          <w:u w:val="single"/>
        </w:rPr>
      </w:pPr>
      <w:hyperlink r:id="rId11" w:history="1">
        <w:r w:rsidRPr="008C6D48">
          <w:rPr>
            <w:rStyle w:val="Hipervnculo"/>
            <w:rFonts w:ascii="Verdana" w:hAnsi="Verdana"/>
          </w:rPr>
          <w:t>veeduriavenecia@hotmail.com</w:t>
        </w:r>
      </w:hyperlink>
      <w:r w:rsidRPr="008C6D48">
        <w:rPr>
          <w:rFonts w:ascii="Verdana" w:hAnsi="Verdana"/>
        </w:rPr>
        <w:t xml:space="preserve"> </w:t>
      </w:r>
    </w:p>
    <w:p w14:paraId="4E79CC27" w14:textId="77777777" w:rsidR="005D556F" w:rsidRPr="008C6D48" w:rsidRDefault="005D556F" w:rsidP="008C6D48">
      <w:pPr>
        <w:spacing w:after="0" w:line="240" w:lineRule="auto"/>
        <w:jc w:val="both"/>
        <w:rPr>
          <w:rFonts w:ascii="Verdana" w:hAnsi="Verdana" w:cs="Arial"/>
          <w:bCs/>
          <w:lang w:val="es-MX" w:eastAsia="es-ES" w:bidi="es-ES"/>
        </w:rPr>
      </w:pPr>
      <w:r w:rsidRPr="008C6D48">
        <w:rPr>
          <w:rFonts w:ascii="Verdana" w:hAnsi="Verdana" w:cs="Arial"/>
          <w:bCs/>
          <w:lang w:val="es-MX" w:eastAsia="es-ES" w:bidi="es-ES"/>
        </w:rPr>
        <w:t>Venecia, Antioquia</w:t>
      </w:r>
    </w:p>
    <w:p w14:paraId="3199E2B0" w14:textId="77777777" w:rsidR="005D556F" w:rsidRPr="008C6D48" w:rsidRDefault="005D556F" w:rsidP="008C6D48">
      <w:pPr>
        <w:spacing w:after="0" w:line="240" w:lineRule="auto"/>
        <w:jc w:val="both"/>
        <w:rPr>
          <w:rFonts w:ascii="Verdana" w:hAnsi="Verdana" w:cs="Arial"/>
          <w:b/>
          <w:bCs/>
          <w:lang w:val="es-ES_tradnl" w:eastAsia="es-ES" w:bidi="es-ES"/>
        </w:rPr>
      </w:pPr>
    </w:p>
    <w:p w14:paraId="779A50B4" w14:textId="77777777" w:rsidR="005D556F" w:rsidRPr="008C6D48" w:rsidRDefault="005D556F" w:rsidP="008C6D48">
      <w:pPr>
        <w:tabs>
          <w:tab w:val="left" w:pos="7184"/>
        </w:tabs>
        <w:spacing w:after="0" w:line="240" w:lineRule="auto"/>
        <w:jc w:val="both"/>
        <w:rPr>
          <w:rFonts w:ascii="Verdana" w:hAnsi="Verdana" w:cs="Arial"/>
          <w:b/>
          <w:bCs/>
          <w:lang w:val="es-ES_tradnl" w:eastAsia="es-ES" w:bidi="es-ES"/>
        </w:rPr>
      </w:pPr>
      <w:r w:rsidRPr="008C6D48">
        <w:rPr>
          <w:rFonts w:ascii="Verdana" w:hAnsi="Verdana" w:cs="Arial"/>
          <w:b/>
          <w:bCs/>
          <w:lang w:val="es-ES_tradnl" w:eastAsia="es-ES" w:bidi="es-ES"/>
        </w:rPr>
        <w:tab/>
      </w:r>
    </w:p>
    <w:tbl>
      <w:tblPr>
        <w:tblStyle w:val="Tablaconcuadrcula"/>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42"/>
      </w:tblGrid>
      <w:tr w:rsidR="005D556F" w:rsidRPr="008C6D48" w14:paraId="3FEE90CC" w14:textId="77777777" w:rsidTr="001E24BC">
        <w:trPr>
          <w:trHeight w:val="312"/>
        </w:trPr>
        <w:tc>
          <w:tcPr>
            <w:tcW w:w="2689" w:type="dxa"/>
          </w:tcPr>
          <w:p w14:paraId="7616F044" w14:textId="77777777" w:rsidR="005D556F" w:rsidRPr="008C6D48" w:rsidRDefault="005D556F" w:rsidP="008C6D48">
            <w:pPr>
              <w:jc w:val="both"/>
              <w:rPr>
                <w:rFonts w:ascii="Verdana" w:hAnsi="Verdana" w:cs="Arial"/>
                <w:b/>
                <w:bCs/>
                <w:lang w:val="es-ES_tradnl" w:eastAsia="es-ES" w:bidi="es-ES"/>
              </w:rPr>
            </w:pPr>
          </w:p>
        </w:tc>
        <w:tc>
          <w:tcPr>
            <w:tcW w:w="6242" w:type="dxa"/>
          </w:tcPr>
          <w:p w14:paraId="690C49AD" w14:textId="77777777" w:rsidR="005D556F" w:rsidRPr="008C6D48" w:rsidRDefault="005D556F" w:rsidP="008C6D48">
            <w:pPr>
              <w:tabs>
                <w:tab w:val="right" w:pos="6242"/>
              </w:tabs>
              <w:jc w:val="both"/>
              <w:rPr>
                <w:rFonts w:ascii="Verdana" w:hAnsi="Verdana" w:cs="Arial"/>
                <w:b/>
                <w:bCs/>
                <w:lang w:val="es-MX" w:eastAsia="es-ES" w:bidi="es-ES"/>
              </w:rPr>
            </w:pPr>
            <w:r w:rsidRPr="008C6D48">
              <w:rPr>
                <w:rFonts w:ascii="Verdana" w:hAnsi="Verdana" w:cs="Arial"/>
                <w:b/>
                <w:bCs/>
                <w:lang w:val="es-MX" w:eastAsia="es-ES" w:bidi="es-ES"/>
              </w:rPr>
              <w:t>Concepto C- 1429 de 2026</w:t>
            </w:r>
            <w:r w:rsidRPr="008C6D48">
              <w:rPr>
                <w:rFonts w:ascii="Verdana" w:hAnsi="Verdana" w:cs="Arial"/>
                <w:b/>
                <w:bCs/>
                <w:lang w:val="es-MX" w:eastAsia="es-ES" w:bidi="es-ES"/>
              </w:rPr>
              <w:tab/>
            </w:r>
          </w:p>
          <w:p w14:paraId="17735E1F" w14:textId="77777777" w:rsidR="005D556F" w:rsidRPr="008C6D48" w:rsidRDefault="005D556F" w:rsidP="008C6D48">
            <w:pPr>
              <w:jc w:val="both"/>
              <w:rPr>
                <w:rFonts w:ascii="Verdana" w:hAnsi="Verdana" w:cs="Arial"/>
                <w:b/>
                <w:bCs/>
                <w:lang w:val="es-MX" w:eastAsia="es-ES" w:bidi="es-ES"/>
              </w:rPr>
            </w:pPr>
          </w:p>
        </w:tc>
      </w:tr>
      <w:tr w:rsidR="005D556F" w:rsidRPr="008C6D48" w14:paraId="729291EC" w14:textId="77777777" w:rsidTr="001E24BC">
        <w:trPr>
          <w:trHeight w:val="884"/>
        </w:trPr>
        <w:tc>
          <w:tcPr>
            <w:tcW w:w="2689" w:type="dxa"/>
          </w:tcPr>
          <w:p w14:paraId="3E35AB2A" w14:textId="77777777" w:rsidR="005D556F" w:rsidRPr="008C6D48" w:rsidRDefault="005D556F" w:rsidP="008C6D48">
            <w:pPr>
              <w:jc w:val="both"/>
              <w:rPr>
                <w:rFonts w:ascii="Verdana" w:hAnsi="Verdana" w:cs="Arial"/>
                <w:bCs/>
                <w:lang w:val="es-MX" w:eastAsia="es-ES" w:bidi="es-ES"/>
              </w:rPr>
            </w:pPr>
            <w:r w:rsidRPr="008C6D48">
              <w:rPr>
                <w:rFonts w:ascii="Verdana" w:hAnsi="Verdana" w:cs="Arial"/>
                <w:bCs/>
                <w:lang w:val="es-MX" w:eastAsia="es-ES" w:bidi="es-ES"/>
              </w:rPr>
              <w:t xml:space="preserve">Temas:                   </w:t>
            </w:r>
          </w:p>
        </w:tc>
        <w:tc>
          <w:tcPr>
            <w:tcW w:w="6242" w:type="dxa"/>
          </w:tcPr>
          <w:p w14:paraId="2BF447EB" w14:textId="5656563F" w:rsidR="005D556F" w:rsidRPr="008C6D48" w:rsidRDefault="005D556F" w:rsidP="008C6D48">
            <w:pPr>
              <w:jc w:val="both"/>
              <w:rPr>
                <w:rFonts w:ascii="Verdana" w:hAnsi="Verdana" w:cs="Arial"/>
                <w:bCs/>
                <w:lang w:val="es-ES_tradnl" w:eastAsia="es-ES" w:bidi="es-ES"/>
              </w:rPr>
            </w:pPr>
            <w:r w:rsidRPr="008C6D48">
              <w:rPr>
                <w:rFonts w:ascii="Verdana" w:eastAsia="Arial" w:hAnsi="Verdana" w:cs="Arial"/>
                <w:lang w:val="es-ES"/>
              </w:rPr>
              <w:t xml:space="preserve">PRINCIPIO DE PUBLICIDAD – Concepto – Fundamento axiológico – Fundamento constitucional </w:t>
            </w:r>
            <w:r w:rsidRPr="008C6D48">
              <w:rPr>
                <w:rFonts w:ascii="Verdana" w:hAnsi="Verdana" w:cs="Arial"/>
                <w:bCs/>
                <w:lang w:val="es-ES_tradnl" w:eastAsia="es-ES" w:bidi="es-ES"/>
              </w:rPr>
              <w:t>/ PRINCIPIO DE PUBLICIDAD – SECOP – Documentos del proceso – Deber de publicación</w:t>
            </w:r>
            <w:r w:rsidR="009E4B36">
              <w:rPr>
                <w:rFonts w:ascii="Verdana" w:hAnsi="Verdana" w:cs="Arial"/>
                <w:bCs/>
                <w:lang w:val="es-ES_tradnl" w:eastAsia="es-ES" w:bidi="es-ES"/>
              </w:rPr>
              <w:t xml:space="preserve"> </w:t>
            </w:r>
          </w:p>
          <w:p w14:paraId="5577DE28" w14:textId="77777777" w:rsidR="005D556F" w:rsidRPr="008C6D48" w:rsidRDefault="005D556F" w:rsidP="008C6D48">
            <w:pPr>
              <w:jc w:val="both"/>
              <w:rPr>
                <w:rFonts w:ascii="Verdana" w:hAnsi="Verdana" w:cs="Arial"/>
                <w:bCs/>
                <w:lang w:val="es-MX" w:eastAsia="es-ES" w:bidi="es-ES"/>
              </w:rPr>
            </w:pPr>
          </w:p>
        </w:tc>
      </w:tr>
      <w:tr w:rsidR="005D556F" w:rsidRPr="008C6D48" w14:paraId="7EE19052" w14:textId="77777777" w:rsidTr="001E24BC">
        <w:tc>
          <w:tcPr>
            <w:tcW w:w="2689" w:type="dxa"/>
          </w:tcPr>
          <w:p w14:paraId="7BF5126D" w14:textId="77777777" w:rsidR="005D556F" w:rsidRPr="008C6D48" w:rsidRDefault="005D556F" w:rsidP="008C6D48">
            <w:pPr>
              <w:jc w:val="both"/>
              <w:rPr>
                <w:rFonts w:ascii="Verdana" w:hAnsi="Verdana" w:cs="Arial"/>
                <w:bCs/>
                <w:lang w:val="es-MX" w:eastAsia="es-ES" w:bidi="es-ES"/>
              </w:rPr>
            </w:pPr>
            <w:r w:rsidRPr="008C6D48">
              <w:rPr>
                <w:rFonts w:ascii="Verdana" w:hAnsi="Verdana" w:cs="Arial"/>
                <w:bCs/>
                <w:lang w:val="es-MX" w:eastAsia="es-ES" w:bidi="es-ES"/>
              </w:rPr>
              <w:t xml:space="preserve">Radicación:               </w:t>
            </w:r>
          </w:p>
        </w:tc>
        <w:tc>
          <w:tcPr>
            <w:tcW w:w="6242" w:type="dxa"/>
          </w:tcPr>
          <w:p w14:paraId="03D0DE01" w14:textId="77777777" w:rsidR="005D556F" w:rsidRPr="008C6D48" w:rsidRDefault="005D556F" w:rsidP="008C6D48">
            <w:pPr>
              <w:jc w:val="both"/>
              <w:rPr>
                <w:rFonts w:ascii="Verdana" w:hAnsi="Verdana" w:cs="Arial"/>
                <w:bCs/>
                <w:lang w:val="es-MX" w:eastAsia="es-ES" w:bidi="es-ES"/>
              </w:rPr>
            </w:pPr>
            <w:r w:rsidRPr="008C6D48">
              <w:rPr>
                <w:rFonts w:ascii="Verdana" w:hAnsi="Verdana" w:cs="Arial"/>
                <w:bCs/>
                <w:lang w:val="es-MX" w:eastAsia="es-ES" w:bidi="es-ES"/>
              </w:rPr>
              <w:t xml:space="preserve">Respuesta a parcial a consulta con radicado No. </w:t>
            </w:r>
            <w:r w:rsidRPr="008C6D48">
              <w:rPr>
                <w:rFonts w:ascii="Verdana" w:hAnsi="Verdana" w:cs="Arial"/>
                <w:bCs/>
                <w:lang w:eastAsia="es-ES" w:bidi="es-ES"/>
              </w:rPr>
              <w:t>1_2026_09_08_011916</w:t>
            </w:r>
          </w:p>
        </w:tc>
      </w:tr>
    </w:tbl>
    <w:p w14:paraId="2E6A9054" w14:textId="3FE2E01D" w:rsidR="005D556F" w:rsidRDefault="005D556F" w:rsidP="008C6D48">
      <w:pPr>
        <w:spacing w:after="0" w:line="240" w:lineRule="auto"/>
        <w:jc w:val="both"/>
        <w:rPr>
          <w:rFonts w:ascii="Verdana" w:hAnsi="Verdana" w:cs="Arial"/>
          <w:bCs/>
          <w:lang w:val="es-ES_tradnl" w:eastAsia="es-ES" w:bidi="es-ES"/>
        </w:rPr>
      </w:pPr>
    </w:p>
    <w:p w14:paraId="7DBC95BE" w14:textId="77777777" w:rsidR="001735B3" w:rsidRPr="008C6D48" w:rsidRDefault="001735B3" w:rsidP="008C6D48">
      <w:pPr>
        <w:spacing w:after="0" w:line="240" w:lineRule="auto"/>
        <w:jc w:val="both"/>
        <w:rPr>
          <w:rFonts w:ascii="Verdana" w:hAnsi="Verdana" w:cs="Arial"/>
          <w:bCs/>
          <w:lang w:val="es-ES_tradnl" w:eastAsia="es-ES" w:bidi="es-ES"/>
        </w:rPr>
      </w:pPr>
    </w:p>
    <w:p w14:paraId="492FA7C7" w14:textId="77777777" w:rsidR="005D556F" w:rsidRPr="009F5AD6" w:rsidRDefault="005D556F" w:rsidP="001735B3">
      <w:pPr>
        <w:spacing w:after="0" w:line="276" w:lineRule="auto"/>
        <w:jc w:val="both"/>
        <w:rPr>
          <w:rFonts w:ascii="Verdana" w:hAnsi="Verdana" w:cs="Arial"/>
          <w:bCs/>
          <w:lang w:val="es-MX" w:eastAsia="es-ES" w:bidi="es-ES"/>
        </w:rPr>
      </w:pPr>
      <w:r w:rsidRPr="009F5AD6">
        <w:rPr>
          <w:rFonts w:ascii="Verdana" w:hAnsi="Verdana" w:cs="Arial"/>
          <w:bCs/>
          <w:lang w:val="es-MX" w:eastAsia="es-ES" w:bidi="es-ES"/>
        </w:rPr>
        <w:t>Estimad</w:t>
      </w:r>
      <w:r>
        <w:rPr>
          <w:rFonts w:ascii="Verdana" w:hAnsi="Verdana" w:cs="Arial"/>
          <w:bCs/>
          <w:lang w:val="es-MX" w:eastAsia="es-ES" w:bidi="es-ES"/>
        </w:rPr>
        <w:t>o</w:t>
      </w:r>
      <w:r w:rsidRPr="009F5AD6">
        <w:rPr>
          <w:rFonts w:ascii="Verdana" w:hAnsi="Verdana" w:cs="Arial"/>
          <w:bCs/>
          <w:lang w:val="es-MX" w:eastAsia="es-ES" w:bidi="es-ES"/>
        </w:rPr>
        <w:t xml:space="preserve"> Señor </w:t>
      </w:r>
      <w:r>
        <w:rPr>
          <w:rFonts w:ascii="Verdana" w:hAnsi="Verdana" w:cs="Arial"/>
          <w:bCs/>
          <w:lang w:val="es-MX" w:eastAsia="es-ES" w:bidi="es-ES"/>
        </w:rPr>
        <w:t>Bedoya</w:t>
      </w:r>
      <w:r w:rsidRPr="009F5AD6">
        <w:rPr>
          <w:rFonts w:ascii="Verdana" w:hAnsi="Verdana" w:cs="Arial"/>
          <w:bCs/>
          <w:lang w:val="es-MX" w:eastAsia="es-ES" w:bidi="es-ES"/>
        </w:rPr>
        <w:t>:</w:t>
      </w:r>
    </w:p>
    <w:p w14:paraId="44445F26" w14:textId="77777777" w:rsidR="005D556F" w:rsidRPr="009F5AD6" w:rsidRDefault="005D556F" w:rsidP="001735B3">
      <w:pPr>
        <w:spacing w:after="0" w:line="276" w:lineRule="auto"/>
        <w:jc w:val="both"/>
        <w:rPr>
          <w:rFonts w:ascii="Verdana" w:hAnsi="Verdana" w:cs="Arial"/>
          <w:bCs/>
          <w:lang w:val="es-ES" w:eastAsia="es-ES" w:bidi="es-ES"/>
        </w:rPr>
      </w:pPr>
    </w:p>
    <w:p w14:paraId="0E031730" w14:textId="77777777" w:rsidR="005D556F" w:rsidRPr="009F5AD6" w:rsidRDefault="005D556F" w:rsidP="001735B3">
      <w:pPr>
        <w:spacing w:after="0" w:line="276" w:lineRule="auto"/>
        <w:jc w:val="both"/>
        <w:rPr>
          <w:rFonts w:ascii="Verdana" w:hAnsi="Verdana" w:cs="Arial"/>
          <w:bCs/>
          <w:lang w:val="es-ES" w:eastAsia="es-ES" w:bidi="es-ES"/>
        </w:rPr>
      </w:pPr>
      <w:r w:rsidRPr="009F5AD6">
        <w:rPr>
          <w:rFonts w:ascii="Verdana" w:hAnsi="Verdana" w:cs="Arial"/>
          <w:bCs/>
          <w:lang w:val="es-ES" w:eastAsia="es-ES" w:bidi="es-ES"/>
        </w:rPr>
        <w:t xml:space="preserve">En ejercicio de la competencia otorgada por los artículos 3, numeral 5º, y 11, numeral 8º, del Decreto Ley 4170 de 2011, </w:t>
      </w:r>
      <w:r w:rsidRPr="009F5AD6">
        <w:rPr>
          <w:rFonts w:ascii="Verdana" w:hAnsi="Verdana" w:cs="Arial"/>
          <w:bCs/>
          <w:lang w:eastAsia="es-ES" w:bidi="es-ES"/>
        </w:rPr>
        <w:t xml:space="preserve">así como lo establecido en el artículo 4 de la Resolución 1707 de 2018 expedida por esta Entidad, </w:t>
      </w:r>
      <w:r w:rsidRPr="009F5AD6">
        <w:rPr>
          <w:rFonts w:ascii="Verdana" w:hAnsi="Verdana" w:cs="Arial"/>
          <w:bCs/>
          <w:lang w:val="es-ES" w:eastAsia="es-ES" w:bidi="es-ES"/>
        </w:rPr>
        <w:t xml:space="preserve">la Agencia Nacional de Contratación Pública – Colombia Compra Eficiente– responde su petición del 07 de septiembre de 2026, en la que solicita lo siguiente: </w:t>
      </w:r>
    </w:p>
    <w:p w14:paraId="279D52DF" w14:textId="77777777" w:rsidR="005D556F" w:rsidRPr="009F5AD6" w:rsidRDefault="005D556F" w:rsidP="001735B3">
      <w:pPr>
        <w:spacing w:after="0" w:line="276" w:lineRule="auto"/>
        <w:jc w:val="both"/>
        <w:rPr>
          <w:rFonts w:ascii="Verdana" w:hAnsi="Verdana" w:cs="Arial"/>
          <w:b/>
          <w:bCs/>
          <w:lang w:val="es-ES" w:eastAsia="es-ES" w:bidi="es-ES"/>
        </w:rPr>
      </w:pPr>
    </w:p>
    <w:p w14:paraId="598104F5" w14:textId="77777777" w:rsidR="005D556F" w:rsidRPr="009F5AD6" w:rsidRDefault="005D556F" w:rsidP="001735B3">
      <w:pPr>
        <w:spacing w:after="0" w:line="240" w:lineRule="auto"/>
        <w:ind w:left="709" w:right="709"/>
        <w:jc w:val="both"/>
        <w:rPr>
          <w:rFonts w:ascii="Verdana" w:hAnsi="Verdana" w:cs="Arial"/>
          <w:b/>
          <w:sz w:val="20"/>
          <w:lang w:eastAsia="es-ES" w:bidi="es-ES"/>
        </w:rPr>
      </w:pPr>
      <w:r w:rsidRPr="009F5AD6">
        <w:rPr>
          <w:rFonts w:ascii="Verdana" w:hAnsi="Verdana" w:cs="Arial"/>
          <w:bCs/>
          <w:sz w:val="20"/>
          <w:lang w:eastAsia="es-ES" w:bidi="es-ES"/>
        </w:rPr>
        <w:t>“</w:t>
      </w:r>
      <w:r w:rsidRPr="009F5AD6">
        <w:rPr>
          <w:rFonts w:ascii="Verdana" w:hAnsi="Verdana" w:cs="Arial"/>
          <w:b/>
          <w:sz w:val="20"/>
          <w:lang w:eastAsia="es-ES" w:bidi="es-ES"/>
        </w:rPr>
        <w:t>1. Solicitud de verificación en SECOP I / SECOP II</w:t>
      </w:r>
    </w:p>
    <w:p w14:paraId="45A823F0" w14:textId="5C7E47A0" w:rsidR="005D556F" w:rsidRDefault="005D556F" w:rsidP="001735B3">
      <w:pPr>
        <w:spacing w:after="0" w:line="240" w:lineRule="auto"/>
        <w:ind w:left="709" w:right="709"/>
        <w:jc w:val="both"/>
        <w:rPr>
          <w:rFonts w:ascii="Verdana" w:hAnsi="Verdana" w:cs="Arial"/>
          <w:bCs/>
          <w:sz w:val="20"/>
          <w:lang w:eastAsia="es-ES" w:bidi="es-ES"/>
        </w:rPr>
      </w:pPr>
      <w:r w:rsidRPr="009F5AD6">
        <w:rPr>
          <w:rFonts w:ascii="Verdana" w:hAnsi="Verdana" w:cs="Arial"/>
          <w:bCs/>
          <w:sz w:val="20"/>
          <w:lang w:eastAsia="es-ES" w:bidi="es-ES"/>
        </w:rPr>
        <w:t>Solicito respetuosamente:</w:t>
      </w:r>
    </w:p>
    <w:p w14:paraId="738EB37E" w14:textId="77777777" w:rsidR="001735B3" w:rsidRPr="009F5AD6" w:rsidRDefault="001735B3" w:rsidP="001735B3">
      <w:pPr>
        <w:spacing w:after="0" w:line="240" w:lineRule="auto"/>
        <w:ind w:left="709" w:right="709"/>
        <w:jc w:val="both"/>
        <w:rPr>
          <w:rFonts w:ascii="Verdana" w:hAnsi="Verdana" w:cs="Arial"/>
          <w:bCs/>
          <w:sz w:val="20"/>
          <w:lang w:eastAsia="es-ES" w:bidi="es-ES"/>
        </w:rPr>
      </w:pPr>
    </w:p>
    <w:p w14:paraId="5E778E78" w14:textId="256A25FC" w:rsidR="005D556F" w:rsidRDefault="005D556F" w:rsidP="001735B3">
      <w:pPr>
        <w:spacing w:after="0" w:line="240" w:lineRule="auto"/>
        <w:ind w:left="709" w:right="709"/>
        <w:jc w:val="both"/>
        <w:rPr>
          <w:rFonts w:ascii="Verdana" w:hAnsi="Verdana" w:cs="Arial"/>
          <w:b/>
          <w:sz w:val="20"/>
          <w:lang w:eastAsia="es-ES" w:bidi="es-ES"/>
        </w:rPr>
      </w:pPr>
      <w:r w:rsidRPr="009F5AD6">
        <w:rPr>
          <w:rFonts w:ascii="Verdana" w:hAnsi="Verdana" w:cs="Arial"/>
          <w:b/>
          <w:sz w:val="20"/>
          <w:lang w:eastAsia="es-ES" w:bidi="es-ES"/>
        </w:rPr>
        <w:t>1.1. Confirmar si el Municipio de Venecia ha publicado en SECOP I o SECO II:</w:t>
      </w:r>
    </w:p>
    <w:p w14:paraId="743FFA74" w14:textId="77777777" w:rsidR="001735B3" w:rsidRPr="009F5AD6" w:rsidRDefault="001735B3" w:rsidP="001735B3">
      <w:pPr>
        <w:spacing w:after="0" w:line="240" w:lineRule="auto"/>
        <w:ind w:left="709" w:right="709"/>
        <w:jc w:val="both"/>
        <w:rPr>
          <w:rFonts w:ascii="Verdana" w:hAnsi="Verdana" w:cs="Arial"/>
          <w:b/>
          <w:sz w:val="20"/>
          <w:lang w:eastAsia="es-ES" w:bidi="es-ES"/>
        </w:rPr>
      </w:pPr>
    </w:p>
    <w:p w14:paraId="2BA17B18" w14:textId="77777777" w:rsidR="005D556F" w:rsidRPr="009F5AD6" w:rsidRDefault="005D556F" w:rsidP="001735B3">
      <w:pPr>
        <w:pStyle w:val="Prrafodelista"/>
        <w:numPr>
          <w:ilvl w:val="0"/>
          <w:numId w:val="18"/>
        </w:numPr>
        <w:spacing w:after="0" w:line="240" w:lineRule="auto"/>
        <w:ind w:right="709"/>
        <w:contextualSpacing w:val="0"/>
        <w:jc w:val="both"/>
        <w:rPr>
          <w:rFonts w:ascii="Verdana" w:hAnsi="Verdana" w:cs="Arial"/>
          <w:bCs/>
          <w:sz w:val="20"/>
          <w:lang w:eastAsia="es-ES" w:bidi="es-ES"/>
        </w:rPr>
      </w:pPr>
      <w:r w:rsidRPr="009F5AD6">
        <w:rPr>
          <w:rFonts w:ascii="Verdana" w:hAnsi="Verdana" w:cs="Arial"/>
          <w:bCs/>
          <w:sz w:val="20"/>
          <w:lang w:eastAsia="es-ES" w:bidi="es-ES"/>
        </w:rPr>
        <w:lastRenderedPageBreak/>
        <w:t>El contrato 130-10-06-034-2026.</w:t>
      </w:r>
    </w:p>
    <w:p w14:paraId="6CFC17F7" w14:textId="77777777" w:rsidR="005D556F" w:rsidRPr="009F5AD6" w:rsidRDefault="005D556F" w:rsidP="001735B3">
      <w:pPr>
        <w:pStyle w:val="Prrafodelista"/>
        <w:numPr>
          <w:ilvl w:val="0"/>
          <w:numId w:val="18"/>
        </w:numPr>
        <w:spacing w:after="0" w:line="240" w:lineRule="auto"/>
        <w:ind w:right="709"/>
        <w:contextualSpacing w:val="0"/>
        <w:jc w:val="both"/>
        <w:rPr>
          <w:rFonts w:ascii="Verdana" w:hAnsi="Verdana" w:cs="Arial"/>
          <w:bCs/>
          <w:sz w:val="20"/>
          <w:lang w:eastAsia="es-ES" w:bidi="es-ES"/>
        </w:rPr>
      </w:pPr>
      <w:r w:rsidRPr="009F5AD6">
        <w:rPr>
          <w:rFonts w:ascii="Verdana" w:hAnsi="Verdana" w:cs="Arial"/>
          <w:bCs/>
          <w:sz w:val="20"/>
          <w:lang w:eastAsia="es-ES" w:bidi="es-ES"/>
        </w:rPr>
        <w:t>Todos los documentos del proceso contractual, conforme al artículo 2.2.1.1.1.7.1 del Decreto 1082 de 2015.</w:t>
      </w:r>
    </w:p>
    <w:p w14:paraId="1E304D2D" w14:textId="77777777" w:rsidR="005D556F" w:rsidRPr="009F5AD6" w:rsidRDefault="005D556F" w:rsidP="001735B3">
      <w:pPr>
        <w:pStyle w:val="Prrafodelista"/>
        <w:numPr>
          <w:ilvl w:val="0"/>
          <w:numId w:val="18"/>
        </w:numPr>
        <w:spacing w:after="0" w:line="240" w:lineRule="auto"/>
        <w:ind w:right="709"/>
        <w:contextualSpacing w:val="0"/>
        <w:jc w:val="both"/>
        <w:rPr>
          <w:rFonts w:ascii="Verdana" w:hAnsi="Verdana" w:cs="Arial"/>
          <w:bCs/>
          <w:sz w:val="20"/>
          <w:lang w:eastAsia="es-ES" w:bidi="es-ES"/>
        </w:rPr>
      </w:pPr>
      <w:r w:rsidRPr="009F5AD6">
        <w:rPr>
          <w:rFonts w:ascii="Verdana" w:hAnsi="Verdana" w:cs="Arial"/>
          <w:bCs/>
          <w:sz w:val="20"/>
          <w:lang w:eastAsia="es-ES" w:bidi="es-ES"/>
        </w:rPr>
        <w:t>Documentos precontractuales, contractuales y post contractuales exigidos por la Ley 2195 de 2022.</w:t>
      </w:r>
    </w:p>
    <w:p w14:paraId="3E0D874C" w14:textId="4488D7F8" w:rsidR="005D556F" w:rsidRDefault="005D556F" w:rsidP="001735B3">
      <w:pPr>
        <w:pStyle w:val="Prrafodelista"/>
        <w:numPr>
          <w:ilvl w:val="0"/>
          <w:numId w:val="18"/>
        </w:numPr>
        <w:spacing w:after="0" w:line="240" w:lineRule="auto"/>
        <w:ind w:right="709"/>
        <w:contextualSpacing w:val="0"/>
        <w:jc w:val="both"/>
        <w:rPr>
          <w:rFonts w:ascii="Verdana" w:hAnsi="Verdana" w:cs="Arial"/>
          <w:bCs/>
          <w:sz w:val="20"/>
          <w:lang w:eastAsia="es-ES" w:bidi="es-ES"/>
        </w:rPr>
      </w:pPr>
      <w:r w:rsidRPr="009F5AD6">
        <w:rPr>
          <w:rFonts w:ascii="Verdana" w:hAnsi="Verdana" w:cs="Arial"/>
          <w:bCs/>
          <w:sz w:val="20"/>
          <w:lang w:eastAsia="es-ES" w:bidi="es-ES"/>
        </w:rPr>
        <w:t>Informes de supervisión, actas, comunicaciones y demás documentos derivados de la ejecución contractual.</w:t>
      </w:r>
    </w:p>
    <w:p w14:paraId="50D20DD9" w14:textId="77777777" w:rsidR="001735B3" w:rsidRPr="009F5AD6" w:rsidRDefault="001735B3" w:rsidP="001735B3">
      <w:pPr>
        <w:pStyle w:val="Prrafodelista"/>
        <w:spacing w:after="0" w:line="240" w:lineRule="auto"/>
        <w:ind w:left="1429" w:right="709"/>
        <w:contextualSpacing w:val="0"/>
        <w:jc w:val="both"/>
        <w:rPr>
          <w:rFonts w:ascii="Verdana" w:hAnsi="Verdana" w:cs="Arial"/>
          <w:bCs/>
          <w:sz w:val="20"/>
          <w:lang w:eastAsia="es-ES" w:bidi="es-ES"/>
        </w:rPr>
      </w:pPr>
    </w:p>
    <w:p w14:paraId="280C412F" w14:textId="77777777" w:rsidR="005D556F" w:rsidRPr="009F5AD6" w:rsidRDefault="005D556F" w:rsidP="001735B3">
      <w:pPr>
        <w:spacing w:after="0" w:line="240" w:lineRule="auto"/>
        <w:ind w:left="709" w:right="709"/>
        <w:jc w:val="both"/>
        <w:rPr>
          <w:rFonts w:ascii="Verdana" w:hAnsi="Verdana" w:cs="Arial"/>
          <w:b/>
          <w:sz w:val="20"/>
          <w:lang w:eastAsia="es-ES" w:bidi="es-ES"/>
        </w:rPr>
      </w:pPr>
      <w:r w:rsidRPr="009F5AD6">
        <w:rPr>
          <w:rFonts w:ascii="Verdana" w:hAnsi="Verdana" w:cs="Arial"/>
          <w:b/>
          <w:sz w:val="20"/>
          <w:lang w:eastAsia="es-ES" w:bidi="es-ES"/>
        </w:rPr>
        <w:t>1.2. Indicar si la entidad está cumpliendo con:</w:t>
      </w:r>
    </w:p>
    <w:p w14:paraId="792D61FE" w14:textId="77777777" w:rsidR="005D556F" w:rsidRPr="009F5AD6" w:rsidRDefault="005D556F" w:rsidP="001735B3">
      <w:pPr>
        <w:pStyle w:val="Prrafodelista"/>
        <w:numPr>
          <w:ilvl w:val="0"/>
          <w:numId w:val="18"/>
        </w:numPr>
        <w:spacing w:after="0" w:line="240" w:lineRule="auto"/>
        <w:ind w:right="709"/>
        <w:contextualSpacing w:val="0"/>
        <w:jc w:val="both"/>
        <w:rPr>
          <w:rFonts w:ascii="Verdana" w:hAnsi="Verdana" w:cs="Arial"/>
          <w:bCs/>
          <w:sz w:val="20"/>
          <w:lang w:eastAsia="es-ES" w:bidi="es-ES"/>
        </w:rPr>
      </w:pPr>
      <w:r w:rsidRPr="009F5AD6">
        <w:rPr>
          <w:rFonts w:ascii="Verdana" w:hAnsi="Verdana" w:cs="Arial"/>
          <w:bCs/>
          <w:sz w:val="20"/>
          <w:lang w:eastAsia="es-ES" w:bidi="es-ES"/>
        </w:rPr>
        <w:t>La obligación de publicar dentro de los tres (3) días calendario siguientes a la expedición de cada documento.</w:t>
      </w:r>
    </w:p>
    <w:p w14:paraId="5D1536C5" w14:textId="77777777" w:rsidR="005D556F" w:rsidRPr="009F5AD6" w:rsidRDefault="005D556F" w:rsidP="001735B3">
      <w:pPr>
        <w:pStyle w:val="Prrafodelista"/>
        <w:numPr>
          <w:ilvl w:val="0"/>
          <w:numId w:val="18"/>
        </w:numPr>
        <w:spacing w:after="0" w:line="240" w:lineRule="auto"/>
        <w:ind w:right="709"/>
        <w:contextualSpacing w:val="0"/>
        <w:jc w:val="both"/>
        <w:rPr>
          <w:rFonts w:ascii="Verdana" w:hAnsi="Verdana" w:cs="Arial"/>
          <w:bCs/>
          <w:sz w:val="20"/>
          <w:lang w:eastAsia="es-ES" w:bidi="es-ES"/>
        </w:rPr>
      </w:pPr>
      <w:r w:rsidRPr="009F5AD6">
        <w:rPr>
          <w:rFonts w:ascii="Verdana" w:hAnsi="Verdana" w:cs="Arial"/>
          <w:bCs/>
          <w:sz w:val="20"/>
          <w:lang w:eastAsia="es-ES" w:bidi="es-ES"/>
        </w:rPr>
        <w:t xml:space="preserve">La gestión contractual en </w:t>
      </w:r>
      <w:r w:rsidRPr="009F5AD6">
        <w:rPr>
          <w:rFonts w:ascii="Verdana" w:hAnsi="Verdana" w:cs="Arial"/>
          <w:b/>
          <w:sz w:val="20"/>
          <w:lang w:eastAsia="es-ES" w:bidi="es-ES"/>
        </w:rPr>
        <w:t xml:space="preserve">SECOP II, </w:t>
      </w:r>
      <w:r w:rsidRPr="009F5AD6">
        <w:rPr>
          <w:rFonts w:ascii="Verdana" w:hAnsi="Verdana" w:cs="Arial"/>
          <w:bCs/>
          <w:sz w:val="20"/>
          <w:lang w:eastAsia="es-ES" w:bidi="es-ES"/>
        </w:rPr>
        <w:t>conforme a las circulares de la ANCP-CCE.</w:t>
      </w:r>
    </w:p>
    <w:p w14:paraId="11E31A2E" w14:textId="7E356231" w:rsidR="005D556F" w:rsidRDefault="005D556F" w:rsidP="001735B3">
      <w:pPr>
        <w:pStyle w:val="Prrafodelista"/>
        <w:numPr>
          <w:ilvl w:val="0"/>
          <w:numId w:val="18"/>
        </w:numPr>
        <w:spacing w:after="0" w:line="240" w:lineRule="auto"/>
        <w:ind w:right="709"/>
        <w:contextualSpacing w:val="0"/>
        <w:jc w:val="both"/>
        <w:rPr>
          <w:rFonts w:ascii="Verdana" w:hAnsi="Verdana" w:cs="Arial"/>
          <w:bCs/>
          <w:sz w:val="20"/>
          <w:lang w:eastAsia="es-ES" w:bidi="es-ES"/>
        </w:rPr>
      </w:pPr>
      <w:r w:rsidRPr="009F5AD6">
        <w:rPr>
          <w:rFonts w:ascii="Verdana" w:hAnsi="Verdana" w:cs="Arial"/>
          <w:bCs/>
          <w:sz w:val="20"/>
          <w:lang w:eastAsia="es-ES" w:bidi="es-ES"/>
        </w:rPr>
        <w:t>Los estándares de transparencia y publicidad activa establecidos en la Ley 1712 de 2014.</w:t>
      </w:r>
    </w:p>
    <w:p w14:paraId="6104F7FF" w14:textId="77777777" w:rsidR="001735B3" w:rsidRPr="009F5AD6" w:rsidRDefault="001735B3" w:rsidP="001735B3">
      <w:pPr>
        <w:pStyle w:val="Prrafodelista"/>
        <w:spacing w:after="0" w:line="240" w:lineRule="auto"/>
        <w:ind w:left="1429" w:right="709"/>
        <w:contextualSpacing w:val="0"/>
        <w:jc w:val="both"/>
        <w:rPr>
          <w:rFonts w:ascii="Verdana" w:hAnsi="Verdana" w:cs="Arial"/>
          <w:bCs/>
          <w:sz w:val="20"/>
          <w:lang w:eastAsia="es-ES" w:bidi="es-ES"/>
        </w:rPr>
      </w:pPr>
    </w:p>
    <w:p w14:paraId="50701ECB" w14:textId="77777777" w:rsidR="005D556F" w:rsidRPr="009F5AD6" w:rsidRDefault="005D556F" w:rsidP="001735B3">
      <w:pPr>
        <w:spacing w:after="0" w:line="240" w:lineRule="auto"/>
        <w:ind w:left="709" w:right="709"/>
        <w:jc w:val="both"/>
        <w:rPr>
          <w:rFonts w:ascii="Verdana" w:hAnsi="Verdana" w:cs="Arial"/>
          <w:b/>
          <w:sz w:val="20"/>
          <w:lang w:eastAsia="es-ES" w:bidi="es-ES"/>
        </w:rPr>
      </w:pPr>
      <w:r w:rsidRPr="009F5AD6">
        <w:rPr>
          <w:rFonts w:ascii="Verdana" w:hAnsi="Verdana" w:cs="Arial"/>
          <w:b/>
          <w:sz w:val="20"/>
          <w:lang w:eastAsia="es-ES" w:bidi="es-ES"/>
        </w:rPr>
        <w:t>2. Solicitud de acciones de verificación y requerimiento</w:t>
      </w:r>
    </w:p>
    <w:p w14:paraId="785A218B" w14:textId="77777777" w:rsidR="005D556F" w:rsidRPr="009F5AD6" w:rsidRDefault="005D556F" w:rsidP="001735B3">
      <w:pPr>
        <w:pStyle w:val="Prrafodelista"/>
        <w:numPr>
          <w:ilvl w:val="0"/>
          <w:numId w:val="18"/>
        </w:numPr>
        <w:spacing w:after="0" w:line="240" w:lineRule="auto"/>
        <w:ind w:right="709"/>
        <w:contextualSpacing w:val="0"/>
        <w:jc w:val="both"/>
        <w:rPr>
          <w:rFonts w:ascii="Verdana" w:hAnsi="Verdana" w:cs="Arial"/>
          <w:bCs/>
          <w:sz w:val="20"/>
          <w:lang w:eastAsia="es-ES" w:bidi="es-ES"/>
        </w:rPr>
      </w:pPr>
      <w:r w:rsidRPr="009F5AD6">
        <w:rPr>
          <w:rFonts w:ascii="Verdana" w:hAnsi="Verdana" w:cs="Arial"/>
          <w:bCs/>
          <w:sz w:val="20"/>
          <w:lang w:eastAsia="es-ES" w:bidi="es-ES"/>
        </w:rPr>
        <w:t>Que se emita requerimiento formal a la Alcaldía Municipal de Venecia para que publique la totalidad de la información contractual omitida.</w:t>
      </w:r>
    </w:p>
    <w:p w14:paraId="34C5BC7F" w14:textId="77777777" w:rsidR="005D556F" w:rsidRPr="009F5AD6" w:rsidRDefault="005D556F" w:rsidP="001735B3">
      <w:pPr>
        <w:pStyle w:val="Prrafodelista"/>
        <w:numPr>
          <w:ilvl w:val="0"/>
          <w:numId w:val="18"/>
        </w:numPr>
        <w:spacing w:after="0" w:line="240" w:lineRule="auto"/>
        <w:ind w:right="709"/>
        <w:contextualSpacing w:val="0"/>
        <w:jc w:val="both"/>
        <w:rPr>
          <w:rFonts w:ascii="Verdana" w:hAnsi="Verdana" w:cs="Arial"/>
          <w:bCs/>
          <w:sz w:val="20"/>
          <w:lang w:eastAsia="es-ES" w:bidi="es-ES"/>
        </w:rPr>
      </w:pPr>
      <w:r w:rsidRPr="009F5AD6">
        <w:rPr>
          <w:rFonts w:ascii="Verdana" w:hAnsi="Verdana" w:cs="Arial"/>
          <w:bCs/>
          <w:sz w:val="20"/>
          <w:lang w:eastAsia="es-ES" w:bidi="es-ES"/>
        </w:rPr>
        <w:t>Que se informe a esta Veeduría si la entidad presenta reiteración de incumplimientos en materia de publicidad contractual.</w:t>
      </w:r>
    </w:p>
    <w:p w14:paraId="20DD164D" w14:textId="77777777" w:rsidR="005D556F" w:rsidRPr="009F5AD6" w:rsidRDefault="005D556F" w:rsidP="001735B3">
      <w:pPr>
        <w:pStyle w:val="Prrafodelista"/>
        <w:numPr>
          <w:ilvl w:val="0"/>
          <w:numId w:val="18"/>
        </w:numPr>
        <w:spacing w:after="0" w:line="240" w:lineRule="auto"/>
        <w:ind w:right="709"/>
        <w:contextualSpacing w:val="0"/>
        <w:jc w:val="both"/>
        <w:rPr>
          <w:rFonts w:ascii="Verdana" w:hAnsi="Verdana" w:cs="Arial"/>
          <w:bCs/>
          <w:sz w:val="20"/>
          <w:lang w:eastAsia="es-ES" w:bidi="es-ES"/>
        </w:rPr>
      </w:pPr>
      <w:r w:rsidRPr="009F5AD6">
        <w:rPr>
          <w:rFonts w:ascii="Verdana" w:hAnsi="Verdana" w:cs="Arial"/>
          <w:bCs/>
          <w:sz w:val="20"/>
          <w:lang w:eastAsia="es-ES" w:bidi="es-ES"/>
        </w:rPr>
        <w:t>Que se indique si la omisión constituye infracción a las obligaciones de transparencia y si amerita reporte a órganos de control”. [sic] [Negrillas propias]</w:t>
      </w:r>
    </w:p>
    <w:p w14:paraId="5CAD4A5C" w14:textId="77777777" w:rsidR="005D556F" w:rsidRPr="009F5AD6" w:rsidRDefault="005D556F" w:rsidP="005D556F">
      <w:pPr>
        <w:spacing w:after="0" w:line="240" w:lineRule="auto"/>
        <w:jc w:val="both"/>
        <w:rPr>
          <w:rFonts w:ascii="Verdana" w:hAnsi="Verdana" w:cs="Arial"/>
          <w:b/>
          <w:bCs/>
          <w:lang w:val="es-ES" w:eastAsia="es-ES" w:bidi="es-ES"/>
        </w:rPr>
      </w:pPr>
    </w:p>
    <w:p w14:paraId="7F0A82B6" w14:textId="72B52655" w:rsidR="005D556F" w:rsidRPr="009F5AD6" w:rsidRDefault="005D556F" w:rsidP="005D556F">
      <w:pPr>
        <w:spacing w:after="120" w:line="276" w:lineRule="auto"/>
        <w:ind w:firstLine="709"/>
        <w:jc w:val="both"/>
        <w:rPr>
          <w:rFonts w:ascii="Verdana" w:eastAsia="Calibri" w:hAnsi="Verdana" w:cs="Times New Roman"/>
          <w:lang w:val="es-ES"/>
        </w:rPr>
      </w:pPr>
      <w:r w:rsidRPr="009F5AD6">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w:t>
      </w:r>
      <w:r w:rsidR="001735B3">
        <w:rPr>
          <w:rFonts w:ascii="Verdana" w:eastAsia="Calibri" w:hAnsi="Verdana" w:cs="Times New Roman"/>
          <w:lang w:val="es-ES"/>
        </w:rPr>
        <w:t xml:space="preserve"> </w:t>
      </w:r>
      <w:r w:rsidRPr="009F5AD6">
        <w:rPr>
          <w:rFonts w:ascii="Verdana" w:eastAsia="Calibri" w:hAnsi="Verdana" w:cs="Times New Roman"/>
          <w:lang w:val="es-ES"/>
        </w:rPr>
        <w:t xml:space="preserve">ni a brindar asesorías sobre casos puntuales, </w:t>
      </w:r>
      <w:r w:rsidR="001735B3">
        <w:rPr>
          <w:rFonts w:ascii="Verdana" w:eastAsia="Calibri" w:hAnsi="Verdana" w:cs="Times New Roman"/>
          <w:lang w:val="es-ES"/>
        </w:rPr>
        <w:t xml:space="preserve">así como tampoco examinar el cumplimiento de las normas que rigen al sistema, </w:t>
      </w:r>
      <w:r w:rsidRPr="009F5AD6">
        <w:rPr>
          <w:rFonts w:ascii="Verdana" w:eastAsia="Calibri" w:hAnsi="Verdana" w:cs="Times New Roman"/>
          <w:lang w:val="es-ES"/>
        </w:rPr>
        <w:t>ni a determinar grados de responsabilidad por las actuaciones de los diferentes participes del sistema de compra pública.</w:t>
      </w:r>
    </w:p>
    <w:p w14:paraId="51457168" w14:textId="6EB546B2" w:rsidR="005D556F" w:rsidRPr="009F5AD6" w:rsidRDefault="005D556F" w:rsidP="00132ADE">
      <w:pPr>
        <w:spacing w:after="0" w:line="276" w:lineRule="auto"/>
        <w:ind w:firstLine="708"/>
        <w:jc w:val="both"/>
        <w:rPr>
          <w:rFonts w:ascii="Verdana" w:eastAsia="Calibri" w:hAnsi="Verdana" w:cs="Times New Roman"/>
          <w:lang w:val="es-ES"/>
        </w:rPr>
      </w:pPr>
      <w:r w:rsidRPr="009F5AD6">
        <w:rPr>
          <w:rFonts w:ascii="Verdana" w:eastAsia="Calibri" w:hAnsi="Verdana" w:cs="Times New Roman"/>
          <w:lang w:val="es-ES"/>
        </w:rPr>
        <w:lastRenderedPageBreak/>
        <w:t xml:space="preserve">Conforme lo expuesto, en aras de satisfacer el derecho fundamental de petición, la </w:t>
      </w:r>
      <w:r>
        <w:rPr>
          <w:rFonts w:ascii="Verdana" w:eastAsia="Calibri" w:hAnsi="Verdana" w:cs="Times New Roman"/>
          <w:lang w:val="es-ES"/>
        </w:rPr>
        <w:t>S</w:t>
      </w:r>
      <w:r w:rsidRPr="009F5AD6">
        <w:rPr>
          <w:rFonts w:ascii="Verdana" w:eastAsia="Calibri" w:hAnsi="Verdana" w:cs="Times New Roman"/>
          <w:lang w:val="es-ES"/>
        </w:rPr>
        <w:t>ubdirección de Gestión contractual</w:t>
      </w:r>
      <w:r>
        <w:rPr>
          <w:rFonts w:ascii="Verdana" w:eastAsia="Calibri" w:hAnsi="Verdana" w:cs="Times New Roman"/>
          <w:lang w:val="es-ES"/>
        </w:rPr>
        <w:t xml:space="preserve"> de esta Agencia</w:t>
      </w:r>
      <w:r w:rsidRPr="009F5AD6">
        <w:rPr>
          <w:rFonts w:ascii="Verdana" w:eastAsia="Calibri" w:hAnsi="Verdana" w:cs="Times New Roman"/>
          <w:lang w:val="es-ES"/>
        </w:rPr>
        <w:t xml:space="preserve"> resolverá su consulta dentro de los límites de la referida competencia consultiva, esto es, haciendo unas consideraciones sobre las normas generales relacionadas con el problema jurídico de su </w:t>
      </w:r>
      <w:r>
        <w:rPr>
          <w:rFonts w:ascii="Verdana" w:eastAsia="Calibri" w:hAnsi="Verdana" w:cs="Times New Roman"/>
          <w:lang w:val="es-ES"/>
        </w:rPr>
        <w:t>petición</w:t>
      </w:r>
      <w:r w:rsidRPr="009F5AD6">
        <w:rPr>
          <w:rFonts w:ascii="Verdana" w:eastAsia="Calibri" w:hAnsi="Verdana" w:cs="Times New Roman"/>
          <w:lang w:val="es-ES"/>
        </w:rPr>
        <w:t xml:space="preserve">. </w:t>
      </w:r>
      <w:r w:rsidR="00132ADE">
        <w:rPr>
          <w:rFonts w:ascii="Verdana" w:eastAsia="Calibri" w:hAnsi="Verdana" w:cs="Times New Roman"/>
          <w:lang w:val="es-ES"/>
        </w:rPr>
        <w:t>Es importante señalar que, en el marco de la distribución de competencias asignadas a cada una de las dependencias que conforman esta Agencia,</w:t>
      </w:r>
      <w:r w:rsidRPr="009F5AD6">
        <w:rPr>
          <w:rFonts w:ascii="Verdana" w:eastAsia="Calibri" w:hAnsi="Verdana" w:cs="Times New Roman"/>
          <w:lang w:val="es-ES"/>
        </w:rPr>
        <w:t xml:space="preserve"> </w:t>
      </w:r>
      <w:r>
        <w:rPr>
          <w:rFonts w:ascii="Verdana" w:eastAsia="Calibri" w:hAnsi="Verdana" w:cs="Times New Roman"/>
          <w:lang w:val="es-ES"/>
        </w:rPr>
        <w:t>las solicitudes contenidas en el numeral</w:t>
      </w:r>
      <w:r w:rsidRPr="009F5AD6">
        <w:rPr>
          <w:rFonts w:ascii="Verdana" w:eastAsia="Calibri" w:hAnsi="Verdana" w:cs="Times New Roman"/>
          <w:lang w:val="es-ES"/>
        </w:rPr>
        <w:t xml:space="preserve"> 1.1</w:t>
      </w:r>
      <w:r>
        <w:rPr>
          <w:rFonts w:ascii="Verdana" w:eastAsia="Calibri" w:hAnsi="Verdana" w:cs="Times New Roman"/>
          <w:lang w:val="es-ES"/>
        </w:rPr>
        <w:t xml:space="preserve"> </w:t>
      </w:r>
      <w:r w:rsidR="00132ADE">
        <w:rPr>
          <w:rFonts w:ascii="Verdana" w:eastAsia="Calibri" w:hAnsi="Verdana" w:cs="Times New Roman"/>
          <w:lang w:val="es-ES"/>
        </w:rPr>
        <w:t xml:space="preserve">fueron </w:t>
      </w:r>
      <w:r>
        <w:rPr>
          <w:rFonts w:ascii="Verdana" w:eastAsia="Calibri" w:hAnsi="Verdana" w:cs="Times New Roman"/>
          <w:lang w:val="es-ES"/>
        </w:rPr>
        <w:t>atendidas por la Subdirección de Estudios de Mercado y Abastecimiento Estratégico,</w:t>
      </w:r>
      <w:r w:rsidRPr="009F5AD6">
        <w:rPr>
          <w:rFonts w:ascii="Verdana" w:eastAsia="Calibri" w:hAnsi="Verdana" w:cs="Times New Roman"/>
          <w:lang w:val="es-ES"/>
        </w:rPr>
        <w:t xml:space="preserve"> y</w:t>
      </w:r>
      <w:r>
        <w:rPr>
          <w:rFonts w:ascii="Verdana" w:eastAsia="Calibri" w:hAnsi="Verdana" w:cs="Times New Roman"/>
          <w:lang w:val="es-ES"/>
        </w:rPr>
        <w:t xml:space="preserve"> las correspondieres al numeral</w:t>
      </w:r>
      <w:r w:rsidRPr="009F5AD6">
        <w:rPr>
          <w:rFonts w:ascii="Verdana" w:eastAsia="Calibri" w:hAnsi="Verdana" w:cs="Times New Roman"/>
          <w:lang w:val="es-ES"/>
        </w:rPr>
        <w:t xml:space="preserve"> 1.2 de su solicitud por la Subdirecci</w:t>
      </w:r>
      <w:r>
        <w:rPr>
          <w:rFonts w:ascii="Verdana" w:eastAsia="Calibri" w:hAnsi="Verdana" w:cs="Times New Roman"/>
          <w:lang w:val="es-ES"/>
        </w:rPr>
        <w:t xml:space="preserve">ón </w:t>
      </w:r>
      <w:r w:rsidRPr="009F5AD6">
        <w:rPr>
          <w:rFonts w:ascii="Verdana" w:eastAsia="Calibri" w:hAnsi="Verdana" w:cs="Times New Roman"/>
          <w:lang w:val="es-ES"/>
        </w:rPr>
        <w:t>de Información y Desarrollo Tecnológico de esta entidad</w:t>
      </w:r>
      <w:r>
        <w:rPr>
          <w:rFonts w:ascii="Verdana" w:eastAsia="Calibri" w:hAnsi="Verdana" w:cs="Times New Roman"/>
          <w:lang w:val="es-ES"/>
        </w:rPr>
        <w:t xml:space="preserve">. Dichas respuestas se adjuntarán al presente </w:t>
      </w:r>
      <w:r w:rsidR="00132ADE">
        <w:rPr>
          <w:rFonts w:ascii="Verdana" w:eastAsia="Calibri" w:hAnsi="Verdana" w:cs="Times New Roman"/>
          <w:lang w:val="es-ES"/>
        </w:rPr>
        <w:t xml:space="preserve">escrito. </w:t>
      </w:r>
    </w:p>
    <w:p w14:paraId="701C9532" w14:textId="77777777" w:rsidR="005D556F" w:rsidRPr="009F5AD6" w:rsidRDefault="005D556F" w:rsidP="005D556F">
      <w:pPr>
        <w:spacing w:after="0" w:line="276" w:lineRule="auto"/>
        <w:rPr>
          <w:rFonts w:ascii="Verdana" w:eastAsia="Calibri" w:hAnsi="Verdana" w:cs="Times New Roman"/>
          <w:lang w:val="es-ES"/>
        </w:rPr>
      </w:pPr>
    </w:p>
    <w:p w14:paraId="13948705" w14:textId="77777777" w:rsidR="005D556F" w:rsidRPr="009F5AD6" w:rsidRDefault="005D556F" w:rsidP="005D556F">
      <w:pPr>
        <w:numPr>
          <w:ilvl w:val="0"/>
          <w:numId w:val="16"/>
        </w:numPr>
        <w:spacing w:after="0" w:line="276" w:lineRule="auto"/>
        <w:rPr>
          <w:rFonts w:ascii="Verdana" w:eastAsia="Calibri" w:hAnsi="Verdana" w:cs="Times New Roman"/>
          <w:b/>
          <w:bCs/>
          <w:lang w:val="es-ES"/>
        </w:rPr>
      </w:pPr>
      <w:r w:rsidRPr="009F5AD6">
        <w:rPr>
          <w:rFonts w:ascii="Verdana" w:eastAsia="Calibri" w:hAnsi="Verdana" w:cs="Times New Roman"/>
          <w:b/>
          <w:bCs/>
          <w:lang w:val="es-ES"/>
        </w:rPr>
        <w:t>Problema planteado:</w:t>
      </w:r>
    </w:p>
    <w:p w14:paraId="440C7500" w14:textId="77777777" w:rsidR="005D556F" w:rsidRPr="009F5AD6" w:rsidRDefault="005D556F" w:rsidP="005D556F">
      <w:pPr>
        <w:spacing w:after="0" w:line="276" w:lineRule="auto"/>
        <w:rPr>
          <w:rFonts w:ascii="Verdana" w:eastAsia="Calibri" w:hAnsi="Verdana" w:cs="Times New Roman"/>
        </w:rPr>
      </w:pPr>
    </w:p>
    <w:p w14:paraId="2CF164F5" w14:textId="1813257C" w:rsidR="005D556F" w:rsidRPr="009F5AD6" w:rsidRDefault="005D556F" w:rsidP="005D556F">
      <w:pPr>
        <w:spacing w:after="0" w:line="276" w:lineRule="auto"/>
        <w:jc w:val="both"/>
        <w:rPr>
          <w:rFonts w:ascii="Verdana" w:eastAsia="Calibri" w:hAnsi="Verdana" w:cs="Times New Roman"/>
          <w:bCs/>
        </w:rPr>
      </w:pPr>
      <w:r w:rsidRPr="009F5AD6">
        <w:rPr>
          <w:rFonts w:ascii="Verdana" w:eastAsia="Calibri" w:hAnsi="Verdana" w:cs="Times New Roman"/>
        </w:rPr>
        <w:t>De acuerdo con el contenido de su solicitud, le informamos que la misma se resolverá desde los siguientes interrogantes: i) ¿Cuál es la documentación que debe publicarse en el Sistema Electrónico para la Contratación Pública – SECOP</w:t>
      </w:r>
      <w:r w:rsidRPr="009F5AD6">
        <w:rPr>
          <w:rFonts w:ascii="Verdana" w:eastAsia="Calibri" w:hAnsi="Verdana" w:cs="Times New Roman"/>
          <w:bCs/>
        </w:rPr>
        <w:t>?; ii) ¿En qué t</w:t>
      </w:r>
      <w:r w:rsidR="007833A3">
        <w:rPr>
          <w:rFonts w:ascii="Verdana" w:eastAsia="Calibri" w:hAnsi="Verdana" w:cs="Times New Roman"/>
          <w:bCs/>
        </w:rPr>
        <w:t>é</w:t>
      </w:r>
      <w:r w:rsidRPr="009F5AD6">
        <w:rPr>
          <w:rFonts w:ascii="Verdana" w:eastAsia="Calibri" w:hAnsi="Verdana" w:cs="Times New Roman"/>
          <w:bCs/>
        </w:rPr>
        <w:t>rmino</w:t>
      </w:r>
      <w:r w:rsidR="007833A3">
        <w:rPr>
          <w:rFonts w:ascii="Verdana" w:eastAsia="Calibri" w:hAnsi="Verdana" w:cs="Times New Roman"/>
          <w:bCs/>
        </w:rPr>
        <w:t>s</w:t>
      </w:r>
      <w:r w:rsidRPr="009F5AD6">
        <w:rPr>
          <w:rFonts w:ascii="Verdana" w:eastAsia="Calibri" w:hAnsi="Verdana" w:cs="Times New Roman"/>
          <w:bCs/>
        </w:rPr>
        <w:t xml:space="preserve"> debe publicarse </w:t>
      </w:r>
      <w:r w:rsidR="007833A3">
        <w:rPr>
          <w:rFonts w:ascii="Verdana" w:eastAsia="Calibri" w:hAnsi="Verdana" w:cs="Times New Roman"/>
          <w:bCs/>
        </w:rPr>
        <w:t>dicha</w:t>
      </w:r>
      <w:r w:rsidRPr="009F5AD6">
        <w:rPr>
          <w:rFonts w:ascii="Verdana" w:eastAsia="Calibri" w:hAnsi="Verdana" w:cs="Times New Roman"/>
          <w:bCs/>
        </w:rPr>
        <w:t xml:space="preserve"> documentación en SECOP I y SECOP II? y; iii) Qué consecuencias </w:t>
      </w:r>
      <w:r w:rsidR="007833A3">
        <w:rPr>
          <w:rFonts w:ascii="Verdana" w:eastAsia="Calibri" w:hAnsi="Verdana" w:cs="Times New Roman"/>
          <w:bCs/>
        </w:rPr>
        <w:t>se derivan de  falta de</w:t>
      </w:r>
      <w:r w:rsidRPr="009F5AD6">
        <w:rPr>
          <w:rFonts w:ascii="Verdana" w:eastAsia="Calibri" w:hAnsi="Verdana" w:cs="Times New Roman"/>
          <w:bCs/>
        </w:rPr>
        <w:t xml:space="preserve"> publicación de la documentación requerida en </w:t>
      </w:r>
      <w:r>
        <w:rPr>
          <w:rFonts w:ascii="Verdana" w:eastAsia="Calibri" w:hAnsi="Verdana" w:cs="Times New Roman"/>
          <w:bCs/>
        </w:rPr>
        <w:t xml:space="preserve">el </w:t>
      </w:r>
      <w:r w:rsidRPr="009F5AD6">
        <w:rPr>
          <w:rFonts w:ascii="Verdana" w:eastAsia="Calibri" w:hAnsi="Verdana" w:cs="Times New Roman"/>
        </w:rPr>
        <w:t>SECOP</w:t>
      </w:r>
      <w:r w:rsidRPr="009F5AD6">
        <w:rPr>
          <w:rFonts w:ascii="Verdana" w:eastAsia="Calibri" w:hAnsi="Verdana" w:cs="Times New Roman"/>
          <w:bCs/>
        </w:rPr>
        <w:t>?</w:t>
      </w:r>
    </w:p>
    <w:p w14:paraId="43BACA52" w14:textId="77777777" w:rsidR="005D556F" w:rsidRPr="009F5AD6" w:rsidRDefault="005D556F" w:rsidP="005D556F">
      <w:pPr>
        <w:spacing w:after="0" w:line="276" w:lineRule="auto"/>
        <w:jc w:val="both"/>
        <w:rPr>
          <w:rFonts w:ascii="Verdana" w:eastAsia="Calibri" w:hAnsi="Verdana" w:cs="Times New Roman"/>
          <w:bCs/>
        </w:rPr>
      </w:pPr>
    </w:p>
    <w:p w14:paraId="6FF071EB" w14:textId="77777777" w:rsidR="005D556F" w:rsidRPr="009F5AD6" w:rsidRDefault="005D556F" w:rsidP="005D556F">
      <w:pPr>
        <w:numPr>
          <w:ilvl w:val="0"/>
          <w:numId w:val="16"/>
        </w:numPr>
        <w:spacing w:after="0" w:line="276" w:lineRule="auto"/>
        <w:rPr>
          <w:rFonts w:ascii="Verdana" w:eastAsia="Calibri" w:hAnsi="Verdana" w:cs="Times New Roman"/>
          <w:b/>
          <w:bCs/>
          <w:lang w:val="es-ES"/>
        </w:rPr>
      </w:pPr>
      <w:r w:rsidRPr="009F5AD6">
        <w:rPr>
          <w:rFonts w:ascii="Verdana" w:eastAsia="Calibri" w:hAnsi="Verdana" w:cs="Times New Roman"/>
          <w:b/>
          <w:bCs/>
          <w:lang w:val="es-ES"/>
        </w:rPr>
        <w:t>Respuesta:</w:t>
      </w:r>
    </w:p>
    <w:p w14:paraId="764F452B" w14:textId="77777777" w:rsidR="005D556F" w:rsidRPr="009F5AD6" w:rsidRDefault="005D556F" w:rsidP="005D556F">
      <w:pPr>
        <w:spacing w:after="0" w:line="276" w:lineRule="auto"/>
        <w:jc w:val="both"/>
        <w:rPr>
          <w:rFonts w:ascii="Verdana" w:hAnsi="Verdana" w:cs="Arial"/>
          <w:bCs/>
          <w:lang w:val="es-ES" w:eastAsia="es-ES" w:bidi="es-ES"/>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D556F" w:rsidRPr="009F5AD6" w14:paraId="64E78855" w14:textId="77777777" w:rsidTr="001E24BC">
        <w:trPr>
          <w:trHeight w:val="870"/>
          <w:jc w:val="center"/>
        </w:trPr>
        <w:tc>
          <w:tcPr>
            <w:tcW w:w="8647" w:type="dxa"/>
          </w:tcPr>
          <w:p w14:paraId="5A1D8C1D" w14:textId="77777777" w:rsidR="005D556F" w:rsidRPr="009F5AD6" w:rsidRDefault="005D556F" w:rsidP="00F13515">
            <w:pPr>
              <w:spacing w:after="120" w:line="276" w:lineRule="auto"/>
              <w:jc w:val="both"/>
              <w:rPr>
                <w:rFonts w:ascii="Verdana" w:eastAsia="Times New Roman" w:hAnsi="Verdana" w:cs="Arial"/>
                <w:lang w:val="es-ES_tradnl" w:eastAsia="es-ES_tradnl"/>
                <w14:ligatures w14:val="standardContextual"/>
              </w:rPr>
            </w:pPr>
            <w:r w:rsidRPr="009F5AD6">
              <w:rPr>
                <w:rFonts w:ascii="Verdana" w:eastAsia="Aptos" w:hAnsi="Verdana" w:cs="Arial"/>
                <w:kern w:val="2"/>
                <w14:ligatures w14:val="standardContextual"/>
              </w:rPr>
              <w:t xml:space="preserve">i) De manera preliminar, debe precisarse que el acceso </w:t>
            </w:r>
            <w:r w:rsidRPr="009F5AD6">
              <w:rPr>
                <w:rFonts w:ascii="Verdana" w:eastAsia="Times New Roman" w:hAnsi="Verdana" w:cs="Arial"/>
                <w:lang w:val="es-ES_tradnl" w:eastAsia="es-ES_tradnl"/>
                <w14:ligatures w14:val="standardContextual"/>
              </w:rPr>
              <w:t xml:space="preserve">a la información pública o de interés público permite a toda persona, sin necesidad de acreditar calidad, interés o condición particular, conocer la existencia de información pública, acceder a la misma y difundirla o publicarla, según su interés. En ese contexto, las Entidades Estatales, conforme al artículo 2.2.1.1.1.7.1 del Decreto 1082 de 2015, tienen la obligación de publicar en el SECOP “[…] los Documentos del Proceso y los actos administrativos del Proceso de Contratación […]” </w:t>
            </w:r>
          </w:p>
          <w:p w14:paraId="3A951A5D" w14:textId="77777777" w:rsidR="005D556F" w:rsidRPr="009F5AD6" w:rsidRDefault="005D556F" w:rsidP="00F13515">
            <w:pPr>
              <w:spacing w:after="120" w:line="276" w:lineRule="auto"/>
              <w:jc w:val="both"/>
              <w:rPr>
                <w:rFonts w:ascii="Verdana" w:eastAsia="Aptos" w:hAnsi="Verdana" w:cs="Arial"/>
                <w:kern w:val="2"/>
                <w:shd w:val="clear" w:color="auto" w:fill="FFFFFF"/>
                <w14:ligatures w14:val="standardContextual"/>
              </w:rPr>
            </w:pPr>
            <w:r w:rsidRPr="009F5AD6">
              <w:rPr>
                <w:rFonts w:ascii="Verdana" w:eastAsia="Aptos" w:hAnsi="Verdana" w:cs="Arial"/>
                <w:kern w:val="2"/>
                <w14:ligatures w14:val="standardContextual"/>
              </w:rPr>
              <w:tab/>
              <w:t xml:space="preserve">La </w:t>
            </w:r>
            <w:r w:rsidRPr="009F5AD6">
              <w:rPr>
                <w:rFonts w:ascii="Verdana" w:eastAsia="Aptos" w:hAnsi="Verdana" w:cs="Arial"/>
                <w:kern w:val="2"/>
                <w:shd w:val="clear" w:color="auto" w:fill="FFFFFF"/>
                <w14:ligatures w14:val="standardContextual"/>
              </w:rPr>
              <w:t xml:space="preserve">expresión </w:t>
            </w:r>
            <w:r w:rsidRPr="009F5AD6">
              <w:rPr>
                <w:rFonts w:ascii="Verdana" w:eastAsia="Aptos" w:hAnsi="Verdana" w:cs="Arial"/>
                <w:i/>
                <w:iCs/>
                <w:kern w:val="2"/>
                <w:shd w:val="clear" w:color="auto" w:fill="FFFFFF"/>
                <w14:ligatures w14:val="standardContextual"/>
              </w:rPr>
              <w:t xml:space="preserve">Documentos del Proceso </w:t>
            </w:r>
            <w:r w:rsidRPr="009F5AD6">
              <w:rPr>
                <w:rFonts w:ascii="Verdana" w:eastAsia="Aptos" w:hAnsi="Verdana" w:cs="Arial"/>
                <w:kern w:val="2"/>
                <w:shd w:val="clear" w:color="auto" w:fill="FFFFFF"/>
                <w14:ligatures w14:val="standardContextual"/>
              </w:rPr>
              <w:t xml:space="preserve">está definida en el artículo 2.2.1.1.1.3.1. del Decreto 1082 de 2015, donde se establece que: “son: (a) los estudios y documentos previos; (b) el aviso de convocatoria; (c) los pliegos de condiciones o la invitación; (d) las adendas; (e) la oferta; (f) el informe de evaluación; (g) el contrato; </w:t>
            </w:r>
            <w:r w:rsidRPr="009F5AD6">
              <w:rPr>
                <w:rFonts w:ascii="Verdana" w:eastAsia="Aptos" w:hAnsi="Verdana" w:cs="Arial"/>
                <w:i/>
                <w:iCs/>
                <w:kern w:val="2"/>
                <w:shd w:val="clear" w:color="auto" w:fill="FFFFFF"/>
                <w14:ligatures w14:val="standardContextual"/>
              </w:rPr>
              <w:t xml:space="preserve">y cualquier otro documento expedido </w:t>
            </w:r>
            <w:r w:rsidRPr="009F5AD6">
              <w:rPr>
                <w:rFonts w:ascii="Verdana" w:eastAsia="Aptos" w:hAnsi="Verdana" w:cs="Arial"/>
                <w:i/>
                <w:iCs/>
                <w:kern w:val="2"/>
                <w:shd w:val="clear" w:color="auto" w:fill="FFFFFF"/>
                <w14:ligatures w14:val="standardContextual"/>
              </w:rPr>
              <w:lastRenderedPageBreak/>
              <w:t>por la Entidad Estatal durante el Proceso de Contratación</w:t>
            </w:r>
            <w:r w:rsidRPr="009F5AD6">
              <w:rPr>
                <w:rFonts w:ascii="Verdana" w:eastAsia="Aptos" w:hAnsi="Verdana" w:cs="Arial"/>
                <w:kern w:val="2"/>
                <w:shd w:val="clear" w:color="auto" w:fill="FFFFFF"/>
                <w14:ligatures w14:val="standardContextual"/>
              </w:rPr>
              <w:t>”. [Énfasis fuera de texto]. Sin embargo,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Ibidem recoge en la noción de Documentos del Proceso “cualquier otro documento expedido por la Entidad Estatal durante el Proceso de Contratación”.</w:t>
            </w:r>
          </w:p>
          <w:p w14:paraId="052135DC" w14:textId="417BE68A" w:rsidR="005D556F" w:rsidRDefault="005D556F" w:rsidP="00F13515">
            <w:pPr>
              <w:spacing w:after="120" w:line="276" w:lineRule="auto"/>
              <w:jc w:val="both"/>
              <w:rPr>
                <w:rFonts w:ascii="Verdana" w:eastAsia="Aptos" w:hAnsi="Verdana" w:cs="Arial"/>
                <w:kern w:val="2"/>
                <w:shd w:val="clear" w:color="auto" w:fill="FFFFFF"/>
                <w14:ligatures w14:val="standardContextual"/>
              </w:rPr>
            </w:pPr>
            <w:r w:rsidRPr="009F5AD6">
              <w:rPr>
                <w:rFonts w:ascii="Verdana" w:eastAsia="Aptos" w:hAnsi="Verdana" w:cs="Arial"/>
                <w:kern w:val="2"/>
                <w:shd w:val="clear" w:color="auto" w:fill="FFFFFF"/>
                <w14:ligatures w14:val="standardContextual"/>
              </w:rPr>
              <w:tab/>
              <w:t>Este mismo artículo define la expresión Proceso de Contratación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Nótese que la norma se refiere a los documentos “expedidos por la entidad estatal” durante el Proceso de Contratación, excluyendo de la noción de Documentos del Proceso los expedidos por un sujeto distinto a la entidad, salvo la oferta, la cual se incluye expresamente en el referido artículo 2.2.1.1.1.3.</w:t>
            </w:r>
          </w:p>
          <w:p w14:paraId="6BC8A9D4" w14:textId="77777777" w:rsidR="00F13515" w:rsidRPr="00F13515" w:rsidRDefault="00F13515" w:rsidP="00F13515">
            <w:pPr>
              <w:spacing w:after="120" w:line="276" w:lineRule="auto"/>
              <w:ind w:firstLine="709"/>
              <w:jc w:val="both"/>
              <w:rPr>
                <w:rFonts w:ascii="Verdana" w:eastAsia="Aptos" w:hAnsi="Verdana" w:cs="Arial"/>
                <w:kern w:val="2"/>
                <w:shd w:val="clear" w:color="auto" w:fill="FFFFFF"/>
                <w14:ligatures w14:val="standardContextual"/>
              </w:rPr>
            </w:pPr>
            <w:r w:rsidRPr="00F13515">
              <w:rPr>
                <w:rFonts w:ascii="Verdana" w:eastAsia="Aptos" w:hAnsi="Verdana" w:cs="Arial"/>
                <w:kern w:val="2"/>
                <w:shd w:val="clear" w:color="auto" w:fill="FFFFFF"/>
                <w14:ligatures w14:val="standardContextual"/>
              </w:rPr>
              <w:t>De conformidad con lo expuesto, las Entidades Estatales tienen la obligación de publicar en el SECOP los Documentos del Proceso y los actos administrativos que expidan con ocasión del Proceso de Contratación. Esta obligación no se limita a los documentos expresamente relacionados en el artículo 2.2.1.1.1.3.1 del Decreto 1082 de 2015, toda vez que dicha disposición incorpora, de manera amplia, “cualquier otro documento expedido por la Entidad Estatal durante el Proceso de Contratación”.</w:t>
            </w:r>
          </w:p>
          <w:p w14:paraId="0C281132" w14:textId="77777777" w:rsidR="00F13515" w:rsidRPr="00F13515" w:rsidRDefault="00F13515" w:rsidP="00F13515">
            <w:pPr>
              <w:spacing w:line="276" w:lineRule="auto"/>
              <w:ind w:firstLine="709"/>
              <w:jc w:val="both"/>
              <w:rPr>
                <w:rFonts w:ascii="Verdana" w:eastAsia="Aptos" w:hAnsi="Verdana" w:cs="Arial"/>
                <w:kern w:val="2"/>
                <w:shd w:val="clear" w:color="auto" w:fill="FFFFFF"/>
                <w14:ligatures w14:val="standardContextual"/>
              </w:rPr>
            </w:pPr>
            <w:r w:rsidRPr="00F13515">
              <w:rPr>
                <w:rFonts w:ascii="Verdana" w:eastAsia="Aptos" w:hAnsi="Verdana" w:cs="Arial"/>
                <w:kern w:val="2"/>
                <w:shd w:val="clear" w:color="auto" w:fill="FFFFFF"/>
                <w14:ligatures w14:val="standardContextual"/>
              </w:rPr>
              <w:t>En consecuencia, la obligación de publicidad comprende los documentos que sean expedidos por la Entidad Estatal durante las distintas etapas que integran el Proceso de Contratación, esto es, desde la etapa de planeación o precontractual, durante la etapa contractual y hasta la etapa poscontractual, de acuerdo con el alcance que el artículo 2.2.1.1.1.3.1 del Decreto 1082 de 2015 atribuye a la expresión “Proceso de Contratación”. Por tanto, siempre que se trate de documentos expedidos por la Entidad Estatal en desarrollo de dichas etapas, estos deberán ser objeto de publicación en el SECOP, en cumplimiento del principio de publicidad y de las disposiciones que regulan la materia.</w:t>
            </w:r>
          </w:p>
          <w:p w14:paraId="4948094F" w14:textId="77777777" w:rsidR="00F13515" w:rsidRPr="009F5AD6" w:rsidRDefault="00F13515" w:rsidP="00F13515">
            <w:pPr>
              <w:spacing w:line="276" w:lineRule="auto"/>
              <w:jc w:val="both"/>
              <w:rPr>
                <w:rFonts w:ascii="Verdana" w:eastAsia="Aptos" w:hAnsi="Verdana" w:cs="Arial"/>
                <w:kern w:val="2"/>
                <w:shd w:val="clear" w:color="auto" w:fill="FFFFFF"/>
                <w14:ligatures w14:val="standardContextual"/>
              </w:rPr>
            </w:pPr>
          </w:p>
          <w:p w14:paraId="661BE4C1" w14:textId="77777777" w:rsidR="005D556F" w:rsidRPr="009F5AD6" w:rsidRDefault="005D556F" w:rsidP="00F13515">
            <w:pPr>
              <w:tabs>
                <w:tab w:val="left" w:pos="709"/>
              </w:tabs>
              <w:spacing w:after="120" w:line="276" w:lineRule="auto"/>
              <w:jc w:val="both"/>
              <w:rPr>
                <w:rFonts w:ascii="Verdana" w:hAnsi="Verdana" w:cs="Arial"/>
                <w:shd w:val="clear" w:color="auto" w:fill="FFFFFF"/>
              </w:rPr>
            </w:pPr>
            <w:r w:rsidRPr="009F5AD6">
              <w:rPr>
                <w:rFonts w:ascii="Verdana" w:eastAsia="Calibri" w:hAnsi="Verdana" w:cs="Arial"/>
                <w:kern w:val="2"/>
                <w14:ligatures w14:val="standardContextual"/>
              </w:rPr>
              <w:t xml:space="preserve">ii) Sobre este aspecto se aclara que, el Sistema Electrónico para la Contratación Pública – SECOP, </w:t>
            </w:r>
            <w:r w:rsidRPr="009F5AD6">
              <w:rPr>
                <w:rFonts w:ascii="Verdana" w:hAnsi="Verdana" w:cs="Arial"/>
                <w:shd w:val="clear" w:color="auto" w:fill="FFFFFF"/>
              </w:rPr>
              <w:t>ha tenido dos versiones, esto es, el SECOP I y el SECOP II. La primera versión de la plataforma –SECOP I–, sólo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5723A3EB" w14:textId="458FC06B" w:rsidR="005D556F" w:rsidRDefault="005D556F" w:rsidP="001E24BC">
            <w:pPr>
              <w:tabs>
                <w:tab w:val="left" w:pos="709"/>
              </w:tabs>
              <w:spacing w:before="120" w:after="120" w:line="276" w:lineRule="auto"/>
              <w:ind w:firstLine="709"/>
              <w:jc w:val="both"/>
              <w:rPr>
                <w:rFonts w:ascii="Verdana" w:hAnsi="Verdana" w:cs="Arial"/>
                <w:shd w:val="clear" w:color="auto" w:fill="FFFFFF"/>
              </w:rPr>
            </w:pPr>
            <w:r w:rsidRPr="009F5AD6">
              <w:rPr>
                <w:rFonts w:ascii="Verdana" w:hAnsi="Verdana" w:cs="Arial"/>
                <w:shd w:val="clear" w:color="auto" w:fill="FFFFFF"/>
              </w:rPr>
              <w:t>En cambio, el SECOP II, es una plataforma transaccional que permite gestionar en línea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7BFE8382" w14:textId="77777777" w:rsidR="000312D4" w:rsidRPr="000312D4" w:rsidRDefault="000312D4" w:rsidP="000312D4">
            <w:pPr>
              <w:pStyle w:val="isselectedend"/>
              <w:spacing w:before="0" w:beforeAutospacing="0" w:after="120" w:afterAutospacing="0" w:line="276" w:lineRule="auto"/>
              <w:ind w:firstLine="709"/>
              <w:jc w:val="both"/>
              <w:rPr>
                <w:rFonts w:ascii="Verdana" w:hAnsi="Verdana"/>
                <w:sz w:val="22"/>
                <w:szCs w:val="22"/>
              </w:rPr>
            </w:pPr>
            <w:r w:rsidRPr="000312D4">
              <w:rPr>
                <w:rFonts w:ascii="Verdana" w:hAnsi="Verdana"/>
                <w:sz w:val="22"/>
                <w:szCs w:val="22"/>
              </w:rPr>
              <w:t>En relación con los términos para la publicación de los documentos y actos administrativos del Proceso de Contratación, debe distinguirse entre el funcionamiento del SECOP I y el SECOP II, atendiendo a la naturaleza de cada plataforma.</w:t>
            </w:r>
          </w:p>
          <w:p w14:paraId="6E07F9ED" w14:textId="77777777" w:rsidR="000312D4" w:rsidRPr="000312D4" w:rsidRDefault="000312D4" w:rsidP="000312D4">
            <w:pPr>
              <w:pStyle w:val="isselectedend"/>
              <w:spacing w:before="0" w:beforeAutospacing="0" w:after="120" w:afterAutospacing="0" w:line="276" w:lineRule="auto"/>
              <w:ind w:firstLine="709"/>
              <w:jc w:val="both"/>
              <w:rPr>
                <w:rFonts w:ascii="Verdana" w:hAnsi="Verdana"/>
                <w:sz w:val="22"/>
                <w:szCs w:val="22"/>
              </w:rPr>
            </w:pPr>
            <w:r w:rsidRPr="000312D4">
              <w:rPr>
                <w:rFonts w:ascii="Verdana" w:hAnsi="Verdana"/>
                <w:sz w:val="22"/>
                <w:szCs w:val="22"/>
              </w:rPr>
              <w:t xml:space="preserve">En </w:t>
            </w:r>
            <w:r w:rsidRPr="000312D4">
              <w:rPr>
                <w:rStyle w:val="Fuerte"/>
                <w:rFonts w:ascii="Verdana" w:hAnsi="Verdana"/>
                <w:b w:val="0"/>
                <w:bCs w:val="0"/>
                <w:sz w:val="22"/>
                <w:szCs w:val="22"/>
              </w:rPr>
              <w:t>SECOP I</w:t>
            </w:r>
            <w:r w:rsidRPr="000312D4">
              <w:rPr>
                <w:rFonts w:ascii="Verdana" w:hAnsi="Verdana"/>
                <w:sz w:val="22"/>
                <w:szCs w:val="22"/>
              </w:rPr>
              <w:t xml:space="preserve">, la Entidad Estatal debe publicar los Documentos del Proceso y los actos administrativos del Proceso de Contratación dentro de los </w:t>
            </w:r>
            <w:r w:rsidRPr="000312D4">
              <w:rPr>
                <w:rStyle w:val="Fuerte"/>
                <w:rFonts w:ascii="Verdana" w:hAnsi="Verdana"/>
                <w:b w:val="0"/>
                <w:bCs w:val="0"/>
                <w:sz w:val="22"/>
                <w:szCs w:val="22"/>
              </w:rPr>
              <w:t>tres (3) días siguientes a su expedición</w:t>
            </w:r>
            <w:r w:rsidRPr="000312D4">
              <w:rPr>
                <w:rFonts w:ascii="Verdana" w:hAnsi="Verdana"/>
                <w:sz w:val="22"/>
                <w:szCs w:val="22"/>
              </w:rPr>
              <w:t>, de conformidad con el artículo 2.2.1.1.1.7.1 del Decreto 1082 de 2015. En este caso, la regla general parte de que el documento o acto se expide y, posteriormente, se realiza su publicación en la plataforma dentro del término señalado.</w:t>
            </w:r>
          </w:p>
          <w:p w14:paraId="430BE1EC" w14:textId="77777777" w:rsidR="000312D4" w:rsidRPr="000312D4" w:rsidRDefault="000312D4" w:rsidP="000312D4">
            <w:pPr>
              <w:pStyle w:val="isselectedend"/>
              <w:spacing w:before="0" w:beforeAutospacing="0" w:after="120" w:afterAutospacing="0" w:line="276" w:lineRule="auto"/>
              <w:ind w:firstLine="709"/>
              <w:jc w:val="both"/>
              <w:rPr>
                <w:rFonts w:ascii="Verdana" w:hAnsi="Verdana"/>
                <w:sz w:val="22"/>
                <w:szCs w:val="22"/>
              </w:rPr>
            </w:pPr>
            <w:r w:rsidRPr="000312D4">
              <w:rPr>
                <w:rFonts w:ascii="Verdana" w:hAnsi="Verdana"/>
                <w:sz w:val="22"/>
                <w:szCs w:val="22"/>
              </w:rPr>
              <w:t xml:space="preserve">En </w:t>
            </w:r>
            <w:r w:rsidRPr="000312D4">
              <w:rPr>
                <w:rStyle w:val="Fuerte"/>
                <w:rFonts w:ascii="Verdana" w:hAnsi="Verdana"/>
                <w:b w:val="0"/>
                <w:bCs w:val="0"/>
                <w:sz w:val="22"/>
                <w:szCs w:val="22"/>
              </w:rPr>
              <w:t>SECOP II</w:t>
            </w:r>
            <w:r w:rsidRPr="000312D4">
              <w:rPr>
                <w:rFonts w:ascii="Verdana" w:hAnsi="Verdana"/>
                <w:sz w:val="22"/>
                <w:szCs w:val="22"/>
              </w:rPr>
              <w:t xml:space="preserve">, por tratarse de una plataforma de naturaleza transaccional, debe distinguirse entre las actuaciones que se </w:t>
            </w:r>
            <w:r w:rsidRPr="000312D4">
              <w:rPr>
                <w:rStyle w:val="Fuerte"/>
                <w:rFonts w:ascii="Verdana" w:hAnsi="Verdana"/>
                <w:b w:val="0"/>
                <w:bCs w:val="0"/>
                <w:sz w:val="22"/>
                <w:szCs w:val="22"/>
              </w:rPr>
              <w:t>generan, tramitan y aprueban directamente en la plataforma</w:t>
            </w:r>
            <w:r w:rsidRPr="000312D4">
              <w:rPr>
                <w:rFonts w:ascii="Verdana" w:hAnsi="Verdana"/>
                <w:b/>
                <w:bCs/>
                <w:sz w:val="22"/>
                <w:szCs w:val="22"/>
              </w:rPr>
              <w:t xml:space="preserve"> </w:t>
            </w:r>
            <w:r w:rsidRPr="000312D4">
              <w:rPr>
                <w:rFonts w:ascii="Verdana" w:hAnsi="Verdana"/>
                <w:sz w:val="22"/>
                <w:szCs w:val="22"/>
              </w:rPr>
              <w:t xml:space="preserve">y aquellos documentos que son </w:t>
            </w:r>
            <w:r w:rsidRPr="000312D4">
              <w:rPr>
                <w:rStyle w:val="Fuerte"/>
                <w:rFonts w:ascii="Verdana" w:hAnsi="Verdana"/>
                <w:b w:val="0"/>
                <w:bCs w:val="0"/>
                <w:sz w:val="22"/>
                <w:szCs w:val="22"/>
              </w:rPr>
              <w:t>expedidos por fuera de esta</w:t>
            </w:r>
            <w:r w:rsidRPr="000312D4">
              <w:rPr>
                <w:rFonts w:ascii="Verdana" w:hAnsi="Verdana"/>
                <w:b/>
                <w:bCs/>
                <w:sz w:val="22"/>
                <w:szCs w:val="22"/>
              </w:rPr>
              <w:t>.</w:t>
            </w:r>
            <w:r w:rsidRPr="000312D4">
              <w:rPr>
                <w:rFonts w:ascii="Verdana" w:hAnsi="Verdana"/>
                <w:sz w:val="22"/>
                <w:szCs w:val="22"/>
              </w:rPr>
              <w:t xml:space="preserve"> Respecto de las primeras, la publicidad se produce de manera inmediata una vez se realiza la actuación correspondiente y, por tanto, no opera el término general de tres (3) días, </w:t>
            </w:r>
            <w:r w:rsidRPr="000312D4">
              <w:rPr>
                <w:rFonts w:ascii="Verdana" w:hAnsi="Verdana"/>
                <w:sz w:val="22"/>
                <w:szCs w:val="22"/>
              </w:rPr>
              <w:lastRenderedPageBreak/>
              <w:t>pues la publicación constituye parte del desarrollo mismo de la actuación contractual.</w:t>
            </w:r>
          </w:p>
          <w:p w14:paraId="39E6F912" w14:textId="77777777" w:rsidR="000312D4" w:rsidRPr="000312D4" w:rsidRDefault="000312D4" w:rsidP="000312D4">
            <w:pPr>
              <w:pStyle w:val="isselectedend"/>
              <w:spacing w:before="0" w:beforeAutospacing="0" w:after="0" w:afterAutospacing="0" w:line="276" w:lineRule="auto"/>
              <w:ind w:firstLine="709"/>
              <w:jc w:val="both"/>
              <w:rPr>
                <w:rFonts w:ascii="Verdana" w:hAnsi="Verdana"/>
                <w:sz w:val="22"/>
                <w:szCs w:val="22"/>
              </w:rPr>
            </w:pPr>
            <w:r w:rsidRPr="000312D4">
              <w:rPr>
                <w:rFonts w:ascii="Verdana" w:hAnsi="Verdana"/>
                <w:sz w:val="22"/>
                <w:szCs w:val="22"/>
              </w:rPr>
              <w:t xml:space="preserve">Por el contrario, respecto de los documentos que no son generados en línea en SECOP II y que deben ser incorporados posteriormente al expediente electrónico, resulta aplicable la regla prevista en el artículo 2.2.1.1.1.7.1 del Decreto 1082 de 2015, de manera que deberán publicarse dentro de los </w:t>
            </w:r>
            <w:r w:rsidRPr="000312D4">
              <w:rPr>
                <w:rStyle w:val="Fuerte"/>
                <w:rFonts w:ascii="Verdana" w:hAnsi="Verdana"/>
                <w:b w:val="0"/>
                <w:bCs w:val="0"/>
                <w:sz w:val="22"/>
                <w:szCs w:val="22"/>
              </w:rPr>
              <w:t>tres (3) días siguientes a su expedición</w:t>
            </w:r>
            <w:r w:rsidRPr="000312D4">
              <w:rPr>
                <w:rFonts w:ascii="Verdana" w:hAnsi="Verdana"/>
                <w:b/>
                <w:bCs/>
                <w:sz w:val="22"/>
                <w:szCs w:val="22"/>
              </w:rPr>
              <w:t>.</w:t>
            </w:r>
          </w:p>
          <w:p w14:paraId="36D5A52F" w14:textId="77777777" w:rsidR="000312D4" w:rsidRPr="009F5AD6" w:rsidRDefault="000312D4" w:rsidP="000312D4">
            <w:pPr>
              <w:tabs>
                <w:tab w:val="left" w:pos="709"/>
              </w:tabs>
              <w:spacing w:before="120" w:line="276" w:lineRule="auto"/>
              <w:ind w:firstLine="709"/>
              <w:jc w:val="both"/>
              <w:rPr>
                <w:rFonts w:ascii="Verdana" w:hAnsi="Verdana" w:cs="Arial"/>
                <w:shd w:val="clear" w:color="auto" w:fill="FFFFFF"/>
              </w:rPr>
            </w:pPr>
          </w:p>
          <w:p w14:paraId="6CFFB387" w14:textId="77777777" w:rsidR="005D556F" w:rsidRDefault="005D556F" w:rsidP="000312D4">
            <w:pPr>
              <w:tabs>
                <w:tab w:val="left" w:pos="709"/>
              </w:tabs>
              <w:spacing w:line="276" w:lineRule="auto"/>
              <w:jc w:val="both"/>
              <w:rPr>
                <w:rFonts w:ascii="Verdana" w:hAnsi="Verdana" w:cs="Arial"/>
                <w:shd w:val="clear" w:color="auto" w:fill="FFFFFF"/>
              </w:rPr>
            </w:pPr>
            <w:r w:rsidRPr="009F5AD6">
              <w:rPr>
                <w:rFonts w:ascii="Verdana" w:eastAsia="Calibri" w:hAnsi="Verdana" w:cs="Arial"/>
                <w:kern w:val="2"/>
                <w14:ligatures w14:val="standardContextual"/>
              </w:rPr>
              <w:t>iii)</w:t>
            </w:r>
            <w:r w:rsidRPr="009F5AD6">
              <w:rPr>
                <w:rFonts w:ascii="Verdana" w:hAnsi="Verdana" w:cs="Arial"/>
                <w:shd w:val="clear" w:color="auto" w:fill="FFFFFF"/>
              </w:rPr>
              <w:t xml:space="preserve"> Es clara la obligatoriedad de publicar la información de la actividad contractual que se realiza por parte de las Entidades Estatales en el SECOP, incluidas aquellas con cargo a recursos públicos que adelanten las entidades con regímenes contractuales especiales. Esta obligación incluye todos los documentos generados durante las fases precontractual, contractual y </w:t>
            </w:r>
            <w:proofErr w:type="spellStart"/>
            <w:r w:rsidRPr="009F5AD6">
              <w:rPr>
                <w:rFonts w:ascii="Verdana" w:hAnsi="Verdana" w:cs="Arial"/>
                <w:shd w:val="clear" w:color="auto" w:fill="FFFFFF"/>
              </w:rPr>
              <w:t>postcontractual</w:t>
            </w:r>
            <w:proofErr w:type="spellEnd"/>
            <w:r w:rsidRPr="009F5AD6">
              <w:rPr>
                <w:rFonts w:ascii="Verdana" w:hAnsi="Verdana" w:cs="Arial"/>
                <w:shd w:val="clear" w:color="auto" w:fill="FFFFFF"/>
              </w:rPr>
              <w:t>, como contratos, actos administrativos e información generada con ocasión al proceso de contratación. Esto tiene como objetivo garantizar la transparencia, el acceso público a la información y el control social sobre la contratación pública, permitiendo que la ciudadanía tenga acceso a los documentos en un sistema unificado y oficial, por lo que, en caso de no cumplir con tal deber, la entidad que adelante el proceso de contratación desconocería el mandato legal establecido en las disposiciones previamente citadas en este concepto, así como la imposición de sanciones</w:t>
            </w:r>
            <w:r>
              <w:rPr>
                <w:rFonts w:ascii="Verdana" w:hAnsi="Verdana" w:cs="Arial"/>
                <w:shd w:val="clear" w:color="auto" w:fill="FFFFFF"/>
              </w:rPr>
              <w:t xml:space="preserve"> </w:t>
            </w:r>
            <w:r w:rsidRPr="009F5AD6">
              <w:rPr>
                <w:rFonts w:ascii="Verdana" w:hAnsi="Verdana" w:cs="Arial"/>
                <w:shd w:val="clear" w:color="auto" w:fill="FFFFFF"/>
              </w:rPr>
              <w:t xml:space="preserve">a lugar. Por último, se precisa, que corresponderá a la Entidad Estatal, previo concepto de sus órganos asesores, cumplir con la publicación de los documentos que expiden dentro de un Proceso de Contratación en el SECOP, ya sea en SECOP I o en SECOP II en cumplimiento de las disposiciones legales y reglamentarias. </w:t>
            </w:r>
          </w:p>
          <w:p w14:paraId="4CB8A95D" w14:textId="77777777" w:rsidR="00EE3ECA" w:rsidRDefault="00EE3ECA" w:rsidP="000312D4">
            <w:pPr>
              <w:tabs>
                <w:tab w:val="left" w:pos="709"/>
              </w:tabs>
              <w:spacing w:line="276" w:lineRule="auto"/>
              <w:jc w:val="both"/>
              <w:rPr>
                <w:rFonts w:ascii="Verdana" w:hAnsi="Verdana" w:cs="Arial"/>
                <w:shd w:val="clear" w:color="auto" w:fill="FFFFFF"/>
              </w:rPr>
            </w:pPr>
          </w:p>
          <w:p w14:paraId="751294E8" w14:textId="594FDDE4" w:rsidR="00EE3ECA" w:rsidRPr="009F5AD6" w:rsidRDefault="00EE3ECA" w:rsidP="000312D4">
            <w:pPr>
              <w:tabs>
                <w:tab w:val="left" w:pos="709"/>
              </w:tabs>
              <w:spacing w:line="276" w:lineRule="auto"/>
              <w:jc w:val="both"/>
              <w:rPr>
                <w:rFonts w:ascii="Verdana" w:hAnsi="Verdana" w:cs="Arial"/>
                <w:shd w:val="clear" w:color="auto" w:fill="FFFFFF"/>
              </w:rPr>
            </w:pPr>
            <w:r>
              <w:rPr>
                <w:rFonts w:ascii="Verdana" w:hAnsi="Verdana" w:cs="Arial"/>
                <w:shd w:val="clear" w:color="auto" w:fill="FFFFFF"/>
              </w:rPr>
              <w:t xml:space="preserve">iv. Finalmente, es importante resaltar que la Agencia ha emitido diferentes circulares en la cuales hace un llamado a las entidades que contratan con cargo a recursos públicos para que observen el deber de publicidad que les asiste, a través del SECOP. No obstante, no  tiene la potestad de requerir a una entidad o iniciar procesos tendientes a determinar la responsabilidad – disciplinaria o penal – por el incumplimiento de los deberes a cargo, ya que esto le corresponde a los órganos de control y a los jueces de la republica.   </w:t>
            </w:r>
          </w:p>
        </w:tc>
      </w:tr>
    </w:tbl>
    <w:p w14:paraId="21660F0E" w14:textId="77777777" w:rsidR="005D556F" w:rsidRPr="009F5AD6" w:rsidRDefault="005D556F" w:rsidP="005D556F">
      <w:pPr>
        <w:spacing w:after="0" w:line="276" w:lineRule="auto"/>
        <w:jc w:val="both"/>
        <w:rPr>
          <w:rFonts w:ascii="Verdana" w:eastAsia="Calibri" w:hAnsi="Verdana" w:cs="Arial"/>
          <w:bCs/>
          <w:color w:val="000000" w:themeColor="text1"/>
        </w:rPr>
      </w:pPr>
    </w:p>
    <w:p w14:paraId="635C4E52" w14:textId="77777777" w:rsidR="005D556F" w:rsidRPr="009F5AD6" w:rsidRDefault="005D556F" w:rsidP="005D556F">
      <w:pPr>
        <w:numPr>
          <w:ilvl w:val="0"/>
          <w:numId w:val="16"/>
        </w:numPr>
        <w:spacing w:after="0" w:line="276" w:lineRule="auto"/>
        <w:ind w:left="0" w:firstLine="0"/>
        <w:rPr>
          <w:rFonts w:ascii="Verdana" w:eastAsia="Calibri" w:hAnsi="Verdana" w:cs="Times New Roman"/>
          <w:b/>
          <w:bCs/>
          <w:lang w:val="es-ES"/>
        </w:rPr>
      </w:pPr>
      <w:r w:rsidRPr="009F5AD6">
        <w:rPr>
          <w:rFonts w:ascii="Verdana" w:eastAsia="Calibri" w:hAnsi="Verdana" w:cs="Times New Roman"/>
          <w:b/>
          <w:bCs/>
          <w:lang w:val="es-ES"/>
        </w:rPr>
        <w:lastRenderedPageBreak/>
        <w:t>Razones de la respuesta:</w:t>
      </w:r>
    </w:p>
    <w:p w14:paraId="67358F81" w14:textId="77777777" w:rsidR="005D556F" w:rsidRPr="009F5AD6" w:rsidRDefault="005D556F" w:rsidP="005D556F">
      <w:pPr>
        <w:spacing w:after="0" w:line="276" w:lineRule="auto"/>
        <w:rPr>
          <w:rFonts w:ascii="Verdana" w:eastAsia="Calibri" w:hAnsi="Verdana" w:cs="Times New Roman"/>
          <w:b/>
          <w:bCs/>
          <w:lang w:val="es-ES"/>
        </w:rPr>
      </w:pPr>
    </w:p>
    <w:p w14:paraId="0CCF4167" w14:textId="77777777" w:rsidR="005D556F" w:rsidRPr="009F5AD6" w:rsidRDefault="005D556F" w:rsidP="005D556F">
      <w:pPr>
        <w:spacing w:after="0" w:line="276" w:lineRule="auto"/>
        <w:jc w:val="both"/>
        <w:rPr>
          <w:rFonts w:ascii="Verdana" w:eastAsia="Calibri" w:hAnsi="Verdana" w:cs="Arial"/>
          <w:lang w:val="es-ES"/>
        </w:rPr>
      </w:pPr>
      <w:r w:rsidRPr="009F5AD6">
        <w:rPr>
          <w:rFonts w:ascii="Verdana" w:eastAsia="Calibri" w:hAnsi="Verdana" w:cs="Arial"/>
          <w:lang w:val="es-ES"/>
        </w:rPr>
        <w:t xml:space="preserve">Lo anterior se sustenta en las siguientes consideraciones: </w:t>
      </w:r>
    </w:p>
    <w:p w14:paraId="060CB15D" w14:textId="77777777" w:rsidR="005D556F" w:rsidRPr="009F5AD6" w:rsidRDefault="005D556F" w:rsidP="005D556F">
      <w:pPr>
        <w:spacing w:after="0" w:line="276" w:lineRule="auto"/>
        <w:jc w:val="both"/>
        <w:rPr>
          <w:rFonts w:ascii="Verdana" w:hAnsi="Verdana" w:cs="Arial"/>
          <w:bCs/>
          <w:lang w:val="es-ES" w:eastAsia="es-ES" w:bidi="es-ES"/>
        </w:rPr>
      </w:pPr>
    </w:p>
    <w:p w14:paraId="2FFCDEF4" w14:textId="3057C237" w:rsidR="005D556F" w:rsidRPr="006813A7" w:rsidRDefault="005D556F" w:rsidP="006813A7">
      <w:pPr>
        <w:spacing w:after="120" w:line="276" w:lineRule="auto"/>
        <w:jc w:val="both"/>
        <w:rPr>
          <w:rFonts w:ascii="Verdana" w:eastAsia="Times New Roman" w:hAnsi="Verdana" w:cs="Arial"/>
          <w:lang w:val="es-ES" w:eastAsia="es-ES"/>
          <w14:ligatures w14:val="standardContextual"/>
        </w:rPr>
      </w:pPr>
      <w:r w:rsidRPr="006813A7">
        <w:rPr>
          <w:rFonts w:ascii="Verdana" w:eastAsia="Times New Roman" w:hAnsi="Verdana" w:cs="Arial"/>
          <w:lang w:val="es-ES" w:eastAsia="es-ES"/>
          <w14:ligatures w14:val="standardContextual"/>
        </w:rPr>
        <w:t xml:space="preserve">Uno de los postulados más importantes de un Estado Social y Democrático de Derecho es el principio de </w:t>
      </w:r>
      <w:r w:rsidRPr="006813A7">
        <w:rPr>
          <w:rFonts w:ascii="Verdana" w:eastAsia="Times New Roman" w:hAnsi="Verdana" w:cs="Arial"/>
          <w:i/>
          <w:iCs/>
          <w:lang w:val="es-ES" w:eastAsia="es-ES"/>
          <w14:ligatures w14:val="standardContextual"/>
        </w:rPr>
        <w:t>publicidad</w:t>
      </w:r>
      <w:r w:rsidRPr="006813A7">
        <w:rPr>
          <w:rFonts w:ascii="Verdana" w:eastAsia="Times New Roman" w:hAnsi="Verdana" w:cs="Arial"/>
          <w:lang w:val="es-ES" w:eastAsia="es-ES"/>
          <w14:ligatures w14:val="standardContextual"/>
        </w:rPr>
        <w:t>, pues este permite que las actuaciones de las autoridades gocen de visibilidad. En tal sentido, la filosofía política ha indicado que la democracia “[…] es idealmente el gobierno de un poder visible, es decir, el gobierno cuyos actos se realizan ante el público y bajo la supervisión de la opinión pública”</w:t>
      </w:r>
      <w:r w:rsidRPr="006813A7">
        <w:rPr>
          <w:rFonts w:ascii="Verdana" w:eastAsia="Times New Roman" w:hAnsi="Verdana" w:cs="Arial"/>
          <w:vertAlign w:val="superscript"/>
          <w:lang w:val="es-ES" w:eastAsia="es-ES"/>
          <w14:ligatures w14:val="standardContextual"/>
        </w:rPr>
        <w:footnoteReference w:id="1"/>
      </w:r>
      <w:r w:rsidRPr="006813A7">
        <w:rPr>
          <w:rFonts w:ascii="Verdana" w:eastAsia="Times New Roman" w:hAnsi="Verdana" w:cs="Arial"/>
          <w:lang w:val="es-ES" w:eastAsia="es-ES"/>
          <w14:ligatures w14:val="standardContextual"/>
        </w:rPr>
        <w:t xml:space="preserve">. El secreto generalizado en el ejercicio del poder político constituye, por el contrario, una negación de la democracia, porque dificulta la supervisión de las autoridades por parte de la sociedad civil y establece una barrera para la participación ciudadana. Inspirada en esta concepción axiológica, en los Estados de derecho se pregona la publicidad de las actuaciones de los poderes públicos. </w:t>
      </w:r>
    </w:p>
    <w:p w14:paraId="130209E4" w14:textId="77777777" w:rsidR="005D556F" w:rsidRPr="006813A7" w:rsidRDefault="005D556F" w:rsidP="006813A7">
      <w:pPr>
        <w:spacing w:after="120" w:line="276" w:lineRule="auto"/>
        <w:ind w:firstLine="709"/>
        <w:jc w:val="both"/>
        <w:rPr>
          <w:rFonts w:ascii="Verdana" w:eastAsia="Times New Roman" w:hAnsi="Verdana" w:cs="Arial"/>
          <w:lang w:val="es-ES" w:eastAsia="es-ES"/>
          <w14:ligatures w14:val="standardContextual"/>
        </w:rPr>
      </w:pPr>
      <w:r w:rsidRPr="006813A7">
        <w:rPr>
          <w:rFonts w:ascii="Verdana" w:eastAsia="Times New Roman" w:hAnsi="Verdana" w:cs="Arial"/>
          <w:lang w:val="es-ES" w:eastAsia="es-ES"/>
          <w14:ligatures w14:val="standardContextual"/>
        </w:rPr>
        <w:t xml:space="preserve">Como evidencia de ello,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w:t>
      </w:r>
    </w:p>
    <w:p w14:paraId="50421BBC" w14:textId="4D75A78A" w:rsidR="005D556F" w:rsidRPr="006813A7" w:rsidRDefault="005D556F" w:rsidP="006813A7">
      <w:pPr>
        <w:spacing w:after="120" w:line="276" w:lineRule="auto"/>
        <w:ind w:firstLine="709"/>
        <w:jc w:val="both"/>
        <w:rPr>
          <w:rFonts w:ascii="Verdana" w:eastAsia="Times New Roman" w:hAnsi="Verdana" w:cs="Arial"/>
          <w:lang w:val="es-ES_tradnl" w:eastAsia="es-ES_tradnl"/>
          <w14:ligatures w14:val="standardContextual"/>
        </w:rPr>
      </w:pPr>
      <w:r w:rsidRPr="006813A7">
        <w:rPr>
          <w:rFonts w:ascii="Verdana" w:eastAsia="Times New Roman" w:hAnsi="Verdana" w:cs="Arial"/>
          <w:lang w:val="es-ES_tradnl" w:eastAsia="es-ES_tradnl"/>
          <w14:ligatures w14:val="standardContextual"/>
        </w:rPr>
        <w:t>El principio de publicidad impone a las autoridades administrativas el deber de dar a conocer sus actos, contratos y decisiones, para que se divulguen y eventualmente se controlen. En sintonía con este postulado, en la contratación estatal el literal c) del artículo 3 de la Ley 1150 de 2007 establece el SECOP, como un mecanismo que “contará con la información oficial de la contratación realizada con dineros públicos, para lo cual establecerá los patrones a que haya lugar y se encargará de su difusión a través de canales electrónicos”</w:t>
      </w:r>
      <w:r w:rsidRPr="006813A7">
        <w:rPr>
          <w:rFonts w:ascii="Verdana" w:eastAsia="Times New Roman" w:hAnsi="Verdana" w:cs="Arial"/>
          <w:vertAlign w:val="superscript"/>
          <w:lang w:val="es-ES_tradnl" w:eastAsia="es-ES_tradnl"/>
          <w14:ligatures w14:val="standardContextual"/>
        </w:rPr>
        <w:footnoteReference w:id="2"/>
      </w:r>
      <w:r w:rsidRPr="006813A7">
        <w:rPr>
          <w:rFonts w:ascii="Verdana" w:eastAsia="Times New Roman" w:hAnsi="Verdana" w:cs="Arial"/>
          <w:lang w:val="es-ES_tradnl" w:eastAsia="es-ES_tradnl"/>
          <w14:ligatures w14:val="standardContextual"/>
        </w:rPr>
        <w:t>.</w:t>
      </w:r>
    </w:p>
    <w:p w14:paraId="132EE613" w14:textId="3668D3E4" w:rsidR="005D556F" w:rsidRPr="006813A7" w:rsidRDefault="005D556F" w:rsidP="006813A7">
      <w:pPr>
        <w:spacing w:after="120" w:line="276" w:lineRule="auto"/>
        <w:ind w:firstLine="709"/>
        <w:jc w:val="both"/>
        <w:rPr>
          <w:rFonts w:ascii="Verdana" w:eastAsia="Times New Roman" w:hAnsi="Verdana" w:cs="Arial"/>
          <w:lang w:val="es-ES" w:eastAsia="es-ES"/>
          <w14:ligatures w14:val="standardContextual"/>
        </w:rPr>
      </w:pPr>
      <w:r w:rsidRPr="006813A7">
        <w:rPr>
          <w:rFonts w:ascii="Verdana" w:eastAsia="Times New Roman" w:hAnsi="Verdana" w:cs="Arial"/>
          <w:lang w:val="es-ES" w:eastAsia="es-ES"/>
          <w14:ligatures w14:val="standardContextual"/>
        </w:rPr>
        <w:lastRenderedPageBreak/>
        <w:t xml:space="preserve">De otra parte, la Ley 1712 de 2014 –Ley </w:t>
      </w:r>
      <w:r w:rsidR="00D047EA" w:rsidRPr="006813A7">
        <w:rPr>
          <w:rFonts w:ascii="Verdana" w:eastAsia="Times New Roman" w:hAnsi="Verdana" w:cs="Arial"/>
          <w:lang w:val="es-ES" w:eastAsia="es-ES"/>
          <w14:ligatures w14:val="standardContextual"/>
        </w:rPr>
        <w:t>E</w:t>
      </w:r>
      <w:r w:rsidRPr="006813A7">
        <w:rPr>
          <w:rFonts w:ascii="Verdana" w:eastAsia="Times New Roman" w:hAnsi="Verdana" w:cs="Arial"/>
          <w:lang w:val="es-ES" w:eastAsia="es-ES"/>
          <w14:ligatures w14:val="standardContextual"/>
        </w:rPr>
        <w:t>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6813A7">
        <w:rPr>
          <w:rFonts w:ascii="Verdana" w:eastAsia="Times New Roman" w:hAnsi="Verdana" w:cs="Arial"/>
          <w:vertAlign w:val="superscript"/>
          <w:lang w:val="es-ES" w:eastAsia="es-ES"/>
        </w:rPr>
        <w:footnoteReference w:id="3"/>
      </w:r>
      <w:r w:rsidRPr="006813A7">
        <w:rPr>
          <w:rFonts w:ascii="Verdana" w:eastAsia="Times New Roman" w:hAnsi="Verdana" w:cs="Arial"/>
          <w:lang w:val="es-ES" w:eastAsia="es-ES"/>
          <w14:ligatures w14:val="standardContextual"/>
        </w:rPr>
        <w:t>. El principio de transparencia en la información alude al deber de los sujetos de proporcionar y facilitar el acceso a la misma en los términos más amplios posibles, y a través de los medios y procedimientos legales.</w:t>
      </w:r>
    </w:p>
    <w:p w14:paraId="093D142A" w14:textId="77777777" w:rsidR="005D556F" w:rsidRPr="006813A7" w:rsidRDefault="005D556F" w:rsidP="006813A7">
      <w:pPr>
        <w:spacing w:after="120" w:line="276" w:lineRule="auto"/>
        <w:ind w:firstLine="709"/>
        <w:jc w:val="both"/>
        <w:rPr>
          <w:rFonts w:ascii="Verdana" w:eastAsia="Times New Roman" w:hAnsi="Verdana" w:cs="Arial"/>
          <w:lang w:val="es-ES_tradnl" w:eastAsia="es-ES_tradnl"/>
          <w14:ligatures w14:val="standardContextual"/>
        </w:rPr>
      </w:pPr>
      <w:r w:rsidRPr="006813A7">
        <w:rPr>
          <w:rFonts w:ascii="Verdana" w:eastAsia="Times New Roman" w:hAnsi="Verdana" w:cs="Arial"/>
          <w:lang w:val="es-ES_tradnl" w:eastAsia="es-ES_tradnl"/>
          <w14:ligatures w14:val="standardContextual"/>
        </w:rPr>
        <w:t>La Ley Estatutaria citada establece, en el literal e) del artículo 9, que los sujetos obligados, que son todas las entidades públicas</w:t>
      </w:r>
      <w:r w:rsidRPr="006813A7">
        <w:rPr>
          <w:rFonts w:ascii="Verdana" w:eastAsia="Times New Roman" w:hAnsi="Verdana" w:cs="Arial"/>
          <w:vertAlign w:val="superscript"/>
          <w:lang w:val="es-ES_tradnl" w:eastAsia="es-ES_tradnl"/>
          <w14:ligatures w14:val="standardContextual"/>
        </w:rPr>
        <w:footnoteReference w:id="4"/>
      </w:r>
      <w:r w:rsidRPr="006813A7">
        <w:rPr>
          <w:rFonts w:ascii="Verdana" w:eastAsia="Times New Roman" w:hAnsi="Verdana" w:cs="Arial"/>
          <w:lang w:val="es-ES_tradnl" w:eastAsia="es-ES_tradnl"/>
          <w14:ligatures w14:val="standardContextual"/>
        </w:rPr>
        <w:t>, deben publicar la información relativa a su contratación. Esta obligación fue desarrollada por el Decreto Único Reglamentario 1081 de 2015</w:t>
      </w:r>
      <w:r w:rsidRPr="006813A7">
        <w:rPr>
          <w:rFonts w:ascii="Verdana" w:eastAsia="Times New Roman" w:hAnsi="Verdana" w:cs="Arial"/>
          <w:vertAlign w:val="superscript"/>
          <w:lang w:val="es-ES_tradnl" w:eastAsia="es-ES_tradnl"/>
          <w14:ligatures w14:val="standardContextual"/>
        </w:rPr>
        <w:footnoteReference w:id="5"/>
      </w:r>
      <w:r w:rsidRPr="006813A7">
        <w:rPr>
          <w:rFonts w:ascii="Verdana" w:eastAsia="Times New Roman" w:hAnsi="Verdana" w:cs="Arial"/>
          <w:lang w:val="es-ES_tradnl" w:eastAsia="es-ES_tradnl"/>
          <w14:ligatures w14:val="standardContextual"/>
        </w:rPr>
        <w:t>, el cual dispuso que la publicación de la información contractual de los sujetos obligados, que contratan con cargo a recursos públicos, debe hacerse en el SECOP.</w:t>
      </w:r>
    </w:p>
    <w:p w14:paraId="073B37A6" w14:textId="77777777" w:rsidR="005D556F" w:rsidRPr="006813A7" w:rsidRDefault="005D556F" w:rsidP="006813A7">
      <w:pPr>
        <w:spacing w:after="120" w:line="276" w:lineRule="auto"/>
        <w:ind w:firstLine="709"/>
        <w:jc w:val="both"/>
        <w:rPr>
          <w:rFonts w:ascii="Verdana" w:eastAsia="Times New Roman" w:hAnsi="Verdana" w:cs="Arial"/>
          <w:lang w:val="es-ES_tradnl" w:eastAsia="es-ES_tradnl"/>
          <w14:ligatures w14:val="standardContextual"/>
        </w:rPr>
      </w:pPr>
      <w:r w:rsidRPr="006813A7">
        <w:rPr>
          <w:rFonts w:ascii="Verdana" w:eastAsia="Times New Roman" w:hAnsi="Verdana" w:cs="Arial"/>
          <w:lang w:val="es-ES_tradnl" w:eastAsia="es-ES_tradnl"/>
          <w14:ligatures w14:val="standardContextual"/>
        </w:rPr>
        <w:t xml:space="preserve">Asimismo, de acuerdo con el literal g) del artículo 11 de la Ley 1712 de 2014, todos los destinatarios de la Ley Estatutaria de Transparencia y Acceso a la Información Pública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05D28B1D" w14:textId="77777777" w:rsidR="005D556F" w:rsidRPr="006813A7" w:rsidRDefault="005D556F" w:rsidP="006813A7">
      <w:pPr>
        <w:spacing w:after="120" w:line="276" w:lineRule="auto"/>
        <w:ind w:firstLine="709"/>
        <w:jc w:val="both"/>
        <w:rPr>
          <w:rFonts w:ascii="Verdana" w:eastAsia="Times New Roman" w:hAnsi="Verdana" w:cs="Arial"/>
          <w:lang w:val="es-ES_tradnl" w:eastAsia="es-ES_tradnl"/>
          <w14:ligatures w14:val="standardContextual"/>
        </w:rPr>
      </w:pPr>
      <w:r w:rsidRPr="006813A7">
        <w:rPr>
          <w:rFonts w:ascii="Verdana" w:eastAsia="Times New Roman" w:hAnsi="Verdana" w:cs="Arial"/>
          <w:lang w:val="es-ES_tradnl" w:eastAsia="es-ES_tradnl"/>
          <w14:ligatures w14:val="standardContextual"/>
        </w:rPr>
        <w:lastRenderedPageBreak/>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6813A7">
        <w:rPr>
          <w:rFonts w:ascii="Verdana" w:eastAsia="Times New Roman" w:hAnsi="Verdana" w:cs="Arial"/>
          <w:vertAlign w:val="superscript"/>
          <w:lang w:val="es-ES_tradnl" w:eastAsia="es-ES_tradnl"/>
          <w14:ligatures w14:val="standardContextual"/>
        </w:rPr>
        <w:footnoteReference w:id="6"/>
      </w:r>
      <w:r w:rsidRPr="006813A7">
        <w:rPr>
          <w:rFonts w:ascii="Verdana" w:eastAsia="Times New Roman" w:hAnsi="Verdana" w:cs="Arial"/>
          <w:lang w:val="es-ES_tradnl" w:eastAsia="es-ES_tradnl"/>
          <w14:ligatures w14:val="standardContextual"/>
        </w:rPr>
        <w:t xml:space="preserve">. En ese contexto, las Entidades Estatales, conforme al artículo 2.2.1.1.1.7.1 del Decreto 1082 de 2015, tienen la obligación de publicar en el SECOP “[…] los Documentos del Proceso y los actos administrativos del Proceso de Contratación, </w:t>
      </w:r>
      <w:r w:rsidRPr="006813A7">
        <w:rPr>
          <w:rFonts w:ascii="Verdana" w:eastAsia="Times New Roman" w:hAnsi="Verdana" w:cs="Arial"/>
          <w:i/>
          <w:iCs/>
          <w:lang w:val="es-ES_tradnl" w:eastAsia="es-ES_tradnl"/>
          <w14:ligatures w14:val="standardContextual"/>
        </w:rPr>
        <w:t>dentro de los tres (3) días siguientes a su expedición</w:t>
      </w:r>
      <w:r w:rsidRPr="006813A7">
        <w:rPr>
          <w:rFonts w:ascii="Verdana" w:eastAsia="Times New Roman" w:hAnsi="Verdana" w:cs="Arial"/>
          <w:lang w:val="es-ES_tradnl" w:eastAsia="es-ES_tradnl"/>
          <w14:ligatures w14:val="standardContextual"/>
        </w:rPr>
        <w:t xml:space="preserve"> […]” [Énfasis fuera del texto original].</w:t>
      </w:r>
    </w:p>
    <w:p w14:paraId="792F86A9" w14:textId="7245A784" w:rsidR="005D556F" w:rsidRPr="006813A7" w:rsidRDefault="00D047EA" w:rsidP="006813A7">
      <w:pPr>
        <w:tabs>
          <w:tab w:val="left" w:pos="709"/>
        </w:tabs>
        <w:spacing w:after="120" w:line="276" w:lineRule="auto"/>
        <w:ind w:firstLine="709"/>
        <w:jc w:val="both"/>
        <w:rPr>
          <w:rFonts w:ascii="Verdana" w:hAnsi="Verdana" w:cs="Arial"/>
          <w:shd w:val="clear" w:color="auto" w:fill="FFFFFF"/>
        </w:rPr>
      </w:pPr>
      <w:r w:rsidRPr="006813A7">
        <w:rPr>
          <w:rFonts w:ascii="Verdana" w:hAnsi="Verdana" w:cs="Arial"/>
          <w:shd w:val="clear" w:color="auto" w:fill="FFFFFF"/>
        </w:rPr>
        <w:t>En relación con el primer problema jurídico, es necesario señalar que, l</w:t>
      </w:r>
      <w:r w:rsidR="005D556F" w:rsidRPr="006813A7">
        <w:rPr>
          <w:rFonts w:ascii="Verdana" w:hAnsi="Verdana" w:cs="Arial"/>
          <w:shd w:val="clear" w:color="auto" w:fill="FFFFFF"/>
        </w:rPr>
        <w:t xml:space="preserve">a expresión </w:t>
      </w:r>
      <w:r w:rsidR="005D556F" w:rsidRPr="006813A7">
        <w:rPr>
          <w:rFonts w:ascii="Verdana" w:hAnsi="Verdana" w:cs="Arial"/>
          <w:i/>
          <w:iCs/>
          <w:shd w:val="clear" w:color="auto" w:fill="FFFFFF"/>
        </w:rPr>
        <w:t xml:space="preserve">Documentos del Proceso </w:t>
      </w:r>
      <w:r w:rsidR="005D556F" w:rsidRPr="006813A7">
        <w:rPr>
          <w:rFonts w:ascii="Verdana" w:hAnsi="Verdana" w:cs="Arial"/>
          <w:shd w:val="clear" w:color="auto" w:fill="FFFFFF"/>
        </w:rPr>
        <w:t xml:space="preserve">está definida en el artículo 2.2.1.1.1.3.1. del Decreto 1082 de 2015, donde se establece que: “son: (a) los estudios y documentos previos; (b) el aviso de convocatoria; (c) los pliegos de condiciones o la invitación; (d) las adendas; (e) la oferta; (f) el informe de evaluación; (g) el contrato; </w:t>
      </w:r>
      <w:r w:rsidR="005D556F" w:rsidRPr="006813A7">
        <w:rPr>
          <w:rFonts w:ascii="Verdana" w:hAnsi="Verdana" w:cs="Arial"/>
          <w:i/>
          <w:iCs/>
          <w:shd w:val="clear" w:color="auto" w:fill="FFFFFF"/>
        </w:rPr>
        <w:t>y cualquier otro documento expedido por la Entidad Estatal durante el Proceso de Contratación</w:t>
      </w:r>
      <w:r w:rsidR="005D556F" w:rsidRPr="006813A7">
        <w:rPr>
          <w:rFonts w:ascii="Verdana" w:hAnsi="Verdana" w:cs="Arial"/>
          <w:shd w:val="clear" w:color="auto" w:fill="FFFFFF"/>
        </w:rPr>
        <w:t>”. [Énfasis fuera de texto].</w:t>
      </w:r>
    </w:p>
    <w:p w14:paraId="2F4E0B44" w14:textId="77777777" w:rsidR="005D556F" w:rsidRPr="006813A7" w:rsidRDefault="005D556F" w:rsidP="006813A7">
      <w:pPr>
        <w:tabs>
          <w:tab w:val="left" w:pos="709"/>
        </w:tabs>
        <w:spacing w:after="120" w:line="276" w:lineRule="auto"/>
        <w:ind w:firstLine="709"/>
        <w:jc w:val="both"/>
        <w:rPr>
          <w:rFonts w:ascii="Verdana" w:hAnsi="Verdana" w:cs="Arial"/>
          <w:shd w:val="clear" w:color="auto" w:fill="FFFFFF"/>
        </w:rPr>
      </w:pPr>
      <w:r w:rsidRPr="006813A7">
        <w:rPr>
          <w:rFonts w:ascii="Verdana" w:hAnsi="Verdana" w:cs="Arial"/>
          <w:shd w:val="clear" w:color="auto" w:fill="FFFFFF"/>
        </w:rPr>
        <w:t xml:space="preserve">Sin embargo,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w:t>
      </w:r>
      <w:r w:rsidRPr="006813A7">
        <w:rPr>
          <w:rFonts w:ascii="Verdana" w:hAnsi="Verdana" w:cs="Arial"/>
          <w:i/>
          <w:iCs/>
          <w:shd w:val="clear" w:color="auto" w:fill="FFFFFF"/>
        </w:rPr>
        <w:t>Ibidem</w:t>
      </w:r>
      <w:r w:rsidRPr="006813A7">
        <w:rPr>
          <w:rFonts w:ascii="Verdana" w:hAnsi="Verdana" w:cs="Arial"/>
          <w:shd w:val="clear" w:color="auto" w:fill="FFFFFF"/>
        </w:rPr>
        <w:t xml:space="preserve"> recoge en la noción de Documentos del Proceso “cualquier otro documento expedido por la Entidad Estatal durante el Proceso de Contratación”. </w:t>
      </w:r>
    </w:p>
    <w:p w14:paraId="6012EB92" w14:textId="77777777" w:rsidR="005D556F" w:rsidRPr="006813A7" w:rsidRDefault="005D556F" w:rsidP="006813A7">
      <w:pPr>
        <w:tabs>
          <w:tab w:val="left" w:pos="709"/>
        </w:tabs>
        <w:spacing w:after="120" w:line="276" w:lineRule="auto"/>
        <w:ind w:firstLine="709"/>
        <w:jc w:val="both"/>
        <w:rPr>
          <w:rFonts w:ascii="Verdana" w:hAnsi="Verdana" w:cs="Arial"/>
          <w:shd w:val="clear" w:color="auto" w:fill="FFFFFF"/>
        </w:rPr>
      </w:pPr>
      <w:r w:rsidRPr="006813A7">
        <w:rPr>
          <w:rFonts w:ascii="Verdana" w:hAnsi="Verdana" w:cs="Arial"/>
          <w:shd w:val="clear" w:color="auto" w:fill="FFFFFF"/>
        </w:rPr>
        <w:t>Este mismo artículo define la expresión Proceso de Contratación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Nótese que la norma se refiere a los documentos “expedidos por la entidad estatal” durante el Proceso de Contratación, excluyendo de la noción de Documentos del Proceso los expedidos por un sujeto distinto a la entidad, salvo la oferta, la cual se incluye expresamente en el referido artículo 2.2.1.1.1.3.</w:t>
      </w:r>
    </w:p>
    <w:p w14:paraId="50E41EE6" w14:textId="5EAF0233" w:rsidR="005D556F" w:rsidRPr="006813A7" w:rsidRDefault="00D047EA" w:rsidP="006813A7">
      <w:pPr>
        <w:tabs>
          <w:tab w:val="left" w:pos="709"/>
        </w:tabs>
        <w:spacing w:after="120" w:line="276" w:lineRule="auto"/>
        <w:ind w:firstLine="709"/>
        <w:jc w:val="both"/>
        <w:rPr>
          <w:rFonts w:ascii="Verdana" w:hAnsi="Verdana" w:cs="Arial"/>
          <w:shd w:val="clear" w:color="auto" w:fill="FFFFFF"/>
        </w:rPr>
      </w:pPr>
      <w:r w:rsidRPr="006813A7">
        <w:rPr>
          <w:rFonts w:ascii="Verdana" w:hAnsi="Verdana" w:cs="Arial"/>
          <w:shd w:val="clear" w:color="auto" w:fill="FFFFFF"/>
        </w:rPr>
        <w:lastRenderedPageBreak/>
        <w:t>Ahora bien, c</w:t>
      </w:r>
      <w:r w:rsidR="005D556F" w:rsidRPr="006813A7">
        <w:rPr>
          <w:rFonts w:ascii="Verdana" w:hAnsi="Verdana" w:cs="Arial"/>
          <w:shd w:val="clear" w:color="auto" w:fill="FFFFFF"/>
        </w:rPr>
        <w:t>on el propósito de garantizar el cumplimiento del mencionado deber de publicidad, se le asignó a la Agencia Nacional de Contratación Pública - Colombia Compra Eficiente, la función de administrar el SECOP</w:t>
      </w:r>
      <w:r w:rsidR="005D556F" w:rsidRPr="006813A7">
        <w:rPr>
          <w:rFonts w:ascii="Verdana" w:hAnsi="Verdana" w:cs="Arial"/>
          <w:shd w:val="clear" w:color="auto" w:fill="FFFFFF"/>
          <w:vertAlign w:val="superscript"/>
        </w:rPr>
        <w:footnoteReference w:id="7"/>
      </w:r>
      <w:r w:rsidR="005D556F" w:rsidRPr="006813A7">
        <w:rPr>
          <w:rFonts w:ascii="Verdana" w:hAnsi="Verdana" w:cs="Arial"/>
          <w:shd w:val="clear" w:color="auto" w:fill="FFFFFF"/>
        </w:rPr>
        <w:t>. Dicha plataforma ha tenido dos versiones, esto es, el SECOP I y el SECOP II. La primera versión de la plataforma –SECOP I–, sólo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5A8235BE" w14:textId="77777777" w:rsidR="005D556F" w:rsidRPr="006813A7" w:rsidRDefault="005D556F" w:rsidP="006813A7">
      <w:pPr>
        <w:tabs>
          <w:tab w:val="left" w:pos="709"/>
        </w:tabs>
        <w:spacing w:after="120" w:line="276" w:lineRule="auto"/>
        <w:ind w:firstLine="709"/>
        <w:jc w:val="both"/>
        <w:rPr>
          <w:rFonts w:ascii="Verdana" w:hAnsi="Verdana" w:cs="Arial"/>
          <w:shd w:val="clear" w:color="auto" w:fill="FFFFFF"/>
        </w:rPr>
      </w:pPr>
      <w:r w:rsidRPr="006813A7">
        <w:rPr>
          <w:rFonts w:ascii="Verdana" w:hAnsi="Verdana" w:cs="Arial"/>
          <w:shd w:val="clear" w:color="auto" w:fill="FFFFFF"/>
        </w:rPr>
        <w:t>En cambio, el SECOP II, es una plataforma transaccional que permite gestionar en línea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5054B235" w14:textId="6F45E411" w:rsidR="005D556F" w:rsidRDefault="005D556F" w:rsidP="006813A7">
      <w:pPr>
        <w:spacing w:after="120" w:line="276" w:lineRule="auto"/>
        <w:ind w:firstLine="709"/>
        <w:jc w:val="both"/>
        <w:rPr>
          <w:rFonts w:ascii="Verdana" w:eastAsia="Calibri" w:hAnsi="Verdana" w:cs="Arial"/>
          <w:lang w:val="es-ES"/>
        </w:rPr>
      </w:pPr>
      <w:r w:rsidRPr="006813A7">
        <w:rPr>
          <w:rFonts w:ascii="Verdana" w:eastAsia="Calibri" w:hAnsi="Verdana" w:cs="Arial"/>
          <w:lang w:val="es-ES"/>
        </w:rPr>
        <w:t xml:space="preserve">Sin embargo, pese a que los documentos que deben publicarse en el SECOP II corresponden a los mismos que deben publicarse en el SECOP I, esto es, todos los expedidos con ocasión el Proceso de Contratación, con excepción de los expresamente excluidos, la naturaleza transaccional del SECOP II implica que los procesos contractuales no sólo deban ser publicados mediante esta plataforma, sino también gestionados a través de ella, al consistir la mayoría de los hitos contractuales en documentos y actuaciones electrónicas generadas en tiempo real, de tal manera que el proceso contractual avanza en la medida en la que se generen y aprueben estos documentos y actuaciones electrónicas en la plataforma. Esto a diferencia de los procesos publicados en el SECOP I, en los que primero se generan los documentos escritos y luego se publican en la plataforma dentro del plazo de tres (3) días previsto en el artículo 2.2.1.1.1.7.1 del Decreto 1082 de 2015. </w:t>
      </w:r>
    </w:p>
    <w:p w14:paraId="674B54FD" w14:textId="35EE03C9" w:rsidR="006813A7" w:rsidRDefault="006813A7" w:rsidP="006813A7">
      <w:pPr>
        <w:spacing w:after="120" w:line="276" w:lineRule="auto"/>
        <w:ind w:firstLine="709"/>
        <w:jc w:val="both"/>
        <w:rPr>
          <w:rFonts w:ascii="Verdana" w:eastAsia="Calibri" w:hAnsi="Verdana" w:cs="Arial"/>
          <w:lang w:val="es-ES"/>
        </w:rPr>
      </w:pPr>
      <w:r>
        <w:rPr>
          <w:rFonts w:ascii="Verdana" w:eastAsia="Calibri" w:hAnsi="Verdana" w:cs="Arial"/>
          <w:lang w:val="es-ES"/>
        </w:rPr>
        <w:lastRenderedPageBreak/>
        <w:t xml:space="preserve">Así las cosas, respecto del segundo problema jurídico, relacionado con los términos para la publicación de los documentos y actos administrativos del Proceso de Contratación debe distinguirse entre el funcionamiento del SECOP I y el SECOP II, atendiendo a la naturaleza de cada plataforma. </w:t>
      </w:r>
    </w:p>
    <w:p w14:paraId="6E25BBC4" w14:textId="77777777" w:rsidR="006813A7" w:rsidRPr="006813A7" w:rsidRDefault="006813A7" w:rsidP="006813A7">
      <w:pPr>
        <w:spacing w:after="120" w:line="276" w:lineRule="auto"/>
        <w:ind w:firstLine="709"/>
        <w:jc w:val="both"/>
        <w:rPr>
          <w:rFonts w:ascii="Verdana" w:eastAsia="Calibri" w:hAnsi="Verdana" w:cs="Arial"/>
          <w:lang w:val="es-ES"/>
        </w:rPr>
      </w:pPr>
      <w:r w:rsidRPr="006813A7">
        <w:rPr>
          <w:rFonts w:ascii="Verdana" w:eastAsia="Calibri" w:hAnsi="Verdana" w:cs="Arial"/>
          <w:lang w:val="es-ES"/>
        </w:rPr>
        <w:t>En SECOP I, la Entidad Estatal debe publicar los Documentos del Proceso y los actos administrativos del Proceso de Contratación dentro de los tres (3) días siguientes a su expedición, de conformidad con el artículo 2.2.1.1.1.7.1 del Decreto 1082 de 2015. En este caso, la regla general parte de que el documento o acto se expide y, posteriormente, se realiza su publicación en la plataforma dentro del término señalado.</w:t>
      </w:r>
    </w:p>
    <w:p w14:paraId="38A14F3B" w14:textId="77777777" w:rsidR="006813A7" w:rsidRPr="006813A7" w:rsidRDefault="006813A7" w:rsidP="006813A7">
      <w:pPr>
        <w:spacing w:after="120" w:line="276" w:lineRule="auto"/>
        <w:ind w:firstLine="709"/>
        <w:jc w:val="both"/>
        <w:rPr>
          <w:rFonts w:ascii="Verdana" w:eastAsia="Calibri" w:hAnsi="Verdana" w:cs="Arial"/>
          <w:lang w:val="es-ES"/>
        </w:rPr>
      </w:pPr>
      <w:r w:rsidRPr="006813A7">
        <w:rPr>
          <w:rFonts w:ascii="Verdana" w:eastAsia="Calibri" w:hAnsi="Verdana" w:cs="Arial"/>
          <w:lang w:val="es-ES"/>
        </w:rPr>
        <w:t>En SECOP II, por tratarse de una plataforma de naturaleza transaccional, debe distinguirse entre las actuaciones que se generan, tramitan y aprueban directamente en la plataforma y aquellos documentos que son expedidos por fuera de esta. Respecto de las primeras, la publicidad se produce de manera inmediata una vez se realiza la actuación correspondiente y, por tanto, no opera el término general de tres (3) días, pues la publicación constituye parte del desarrollo mismo de la actuación contractual.</w:t>
      </w:r>
    </w:p>
    <w:p w14:paraId="0713F616" w14:textId="53130B11" w:rsidR="006813A7" w:rsidRPr="006813A7" w:rsidRDefault="006813A7" w:rsidP="006813A7">
      <w:pPr>
        <w:spacing w:after="120" w:line="276" w:lineRule="auto"/>
        <w:ind w:firstLine="709"/>
        <w:jc w:val="both"/>
        <w:rPr>
          <w:rFonts w:ascii="Verdana" w:eastAsia="Calibri" w:hAnsi="Verdana" w:cs="Arial"/>
          <w:lang w:val="es-ES"/>
        </w:rPr>
      </w:pPr>
      <w:r w:rsidRPr="006813A7">
        <w:rPr>
          <w:rFonts w:ascii="Verdana" w:eastAsia="Calibri" w:hAnsi="Verdana" w:cs="Arial"/>
          <w:lang w:val="es-ES"/>
        </w:rPr>
        <w:t>Por el contrario, respecto de los documentos que no son generados en línea en SECOP II y que deben ser incorporados posteriormente al expediente electrónico, resulta aplicable la regla prevista en el artículo 2.2.1.1.1.7.1 del Decreto 1082 de 2015, de manera que deberán publicarse dentro de los tres (3) días siguientes a su expedición.</w:t>
      </w:r>
    </w:p>
    <w:p w14:paraId="5FCCD9BA" w14:textId="77777777" w:rsidR="00556E53" w:rsidRPr="006813A7" w:rsidRDefault="005D556F" w:rsidP="006813A7">
      <w:pPr>
        <w:tabs>
          <w:tab w:val="left" w:pos="709"/>
        </w:tabs>
        <w:spacing w:after="120" w:line="276" w:lineRule="auto"/>
        <w:ind w:firstLine="709"/>
        <w:jc w:val="both"/>
        <w:rPr>
          <w:rFonts w:ascii="Verdana" w:hAnsi="Verdana" w:cs="Arial"/>
          <w:shd w:val="clear" w:color="auto" w:fill="FFFFFF"/>
        </w:rPr>
      </w:pPr>
      <w:r w:rsidRPr="006813A7">
        <w:rPr>
          <w:rFonts w:ascii="Verdana" w:hAnsi="Verdana" w:cs="Arial"/>
          <w:shd w:val="clear" w:color="auto" w:fill="FFFFFF"/>
        </w:rPr>
        <w:t xml:space="preserve">Conforme a lo anterior, es clara la obligatoriedad de publicar la información de la actividad contractual que se realiza por parte de las Entidades Estatales en el SECOP, incluidas aquellas con cargo a recursos públicos que adelanten las entidades con regímenes contractuales especiales. Esta obligación incluye </w:t>
      </w:r>
      <w:r w:rsidR="00556E53" w:rsidRPr="006813A7">
        <w:rPr>
          <w:rFonts w:ascii="Verdana" w:hAnsi="Verdana" w:cs="Arial"/>
          <w:shd w:val="clear" w:color="auto" w:fill="FFFFFF"/>
        </w:rPr>
        <w:t xml:space="preserve">el deber de publicar </w:t>
      </w:r>
      <w:r w:rsidRPr="006813A7">
        <w:rPr>
          <w:rFonts w:ascii="Verdana" w:hAnsi="Verdana" w:cs="Arial"/>
          <w:shd w:val="clear" w:color="auto" w:fill="FFFFFF"/>
        </w:rPr>
        <w:t xml:space="preserve">todos los documentos generados durante las fases precontractual, contractual y </w:t>
      </w:r>
      <w:proofErr w:type="spellStart"/>
      <w:r w:rsidRPr="006813A7">
        <w:rPr>
          <w:rFonts w:ascii="Verdana" w:hAnsi="Verdana" w:cs="Arial"/>
          <w:shd w:val="clear" w:color="auto" w:fill="FFFFFF"/>
        </w:rPr>
        <w:t>postcontractual</w:t>
      </w:r>
      <w:proofErr w:type="spellEnd"/>
      <w:r w:rsidRPr="006813A7">
        <w:rPr>
          <w:rFonts w:ascii="Verdana" w:hAnsi="Verdana" w:cs="Arial"/>
          <w:shd w:val="clear" w:color="auto" w:fill="FFFFFF"/>
        </w:rPr>
        <w:t xml:space="preserve">, como contratos, actos administrativos e información generada con ocasión al proceso de contratación. </w:t>
      </w:r>
    </w:p>
    <w:p w14:paraId="5C458294" w14:textId="244015F1" w:rsidR="005D556F" w:rsidRPr="006813A7" w:rsidRDefault="00556E53" w:rsidP="006813A7">
      <w:pPr>
        <w:tabs>
          <w:tab w:val="left" w:pos="709"/>
        </w:tabs>
        <w:spacing w:after="120" w:line="276" w:lineRule="auto"/>
        <w:ind w:firstLine="709"/>
        <w:jc w:val="both"/>
        <w:rPr>
          <w:rFonts w:ascii="Verdana" w:hAnsi="Verdana" w:cs="Arial"/>
          <w:shd w:val="clear" w:color="auto" w:fill="FFFFFF"/>
        </w:rPr>
      </w:pPr>
      <w:r w:rsidRPr="006813A7">
        <w:rPr>
          <w:rFonts w:ascii="Verdana" w:hAnsi="Verdana" w:cs="Arial"/>
          <w:shd w:val="clear" w:color="auto" w:fill="FFFFFF"/>
        </w:rPr>
        <w:t xml:space="preserve">La obligación de publicidad </w:t>
      </w:r>
      <w:r w:rsidR="005D556F" w:rsidRPr="006813A7">
        <w:rPr>
          <w:rFonts w:ascii="Verdana" w:hAnsi="Verdana" w:cs="Arial"/>
          <w:shd w:val="clear" w:color="auto" w:fill="FFFFFF"/>
        </w:rPr>
        <w:t xml:space="preserve">tiene como objetivo garantizar la transparencia, el acceso público a la información y el control social sobre la contratación pública, permitiendo que la ciudadanía tenga acceso a los documentos en un sistema unificado y oficial, por lo que, en caso de no cumplir con tal deber, la entidad que adelante el proceso de contratación desconocería </w:t>
      </w:r>
      <w:r w:rsidR="005D556F" w:rsidRPr="006813A7">
        <w:rPr>
          <w:rFonts w:ascii="Verdana" w:hAnsi="Verdana" w:cs="Arial"/>
          <w:shd w:val="clear" w:color="auto" w:fill="FFFFFF"/>
        </w:rPr>
        <w:lastRenderedPageBreak/>
        <w:t xml:space="preserve">el mandato legal establecido en las disposiciones previamente citadas en este concepto, así como la imposición de sanciones a lugar. </w:t>
      </w:r>
    </w:p>
    <w:p w14:paraId="5072481A" w14:textId="77777777" w:rsidR="006813A7" w:rsidRPr="006813A7" w:rsidRDefault="006813A7" w:rsidP="006813A7">
      <w:pPr>
        <w:spacing w:after="120" w:line="276" w:lineRule="auto"/>
        <w:ind w:firstLine="709"/>
        <w:jc w:val="both"/>
        <w:rPr>
          <w:rFonts w:ascii="Verdana" w:eastAsia="Times New Roman" w:hAnsi="Verdana" w:cs="Times New Roman"/>
          <w:lang w:eastAsia="es-ES_tradnl"/>
        </w:rPr>
      </w:pPr>
      <w:r w:rsidRPr="006813A7">
        <w:rPr>
          <w:rFonts w:ascii="Verdana" w:eastAsia="Times New Roman" w:hAnsi="Verdana" w:cs="Times New Roman"/>
          <w:lang w:eastAsia="es-ES_tradnl"/>
        </w:rPr>
        <w:t>Finalmente, es preciso señalar que Colombia Compra Eficiente no tiene dentro de sus competencias efectuar seguimiento, vigilancia o control sobre la gestión contractual que adelantan las Entidades Estatales, ni requerirlas para que realicen el cargue, actualización o publicación de documentos que se encuentren pendientes o faltantes en el SECOP. En consecuencia, las consideraciones expuestas en el presente concepto tienen un alcance exclusivamente orientador y general, y no pueden entenderse como un pronunciamiento, valoración o juicio de valor respecto de situaciones fácticas o actuaciones contractuales particulares que hayan dado lugar a la consulta.</w:t>
      </w:r>
    </w:p>
    <w:p w14:paraId="4B44E8EF" w14:textId="77777777" w:rsidR="006813A7" w:rsidRPr="006813A7" w:rsidRDefault="006813A7" w:rsidP="006813A7">
      <w:pPr>
        <w:spacing w:after="120" w:line="276" w:lineRule="auto"/>
        <w:ind w:firstLine="709"/>
        <w:jc w:val="both"/>
        <w:rPr>
          <w:rFonts w:ascii="Verdana" w:eastAsia="Times New Roman" w:hAnsi="Verdana" w:cs="Times New Roman"/>
          <w:lang w:eastAsia="es-ES_tradnl"/>
        </w:rPr>
      </w:pPr>
      <w:r w:rsidRPr="006813A7">
        <w:rPr>
          <w:rFonts w:ascii="Verdana" w:eastAsia="Times New Roman" w:hAnsi="Verdana" w:cs="Times New Roman"/>
          <w:lang w:eastAsia="es-ES_tradnl"/>
        </w:rPr>
        <w:t>Por lo anterior, corresponde a la Entidad Estatal, en ejercicio de sus competencias y con fundamento en el análisis de las circunstancias concretas del caso, adoptar las decisiones que resulten procedentes, con el apoyo de sus órganos o asesores jurídicos, según corresponda. En caso de que se presenten controversias o eventuales responsabilidades derivadas de actuaciones u omisiones en materia contractual, su conocimiento y determinación corresponderá a las autoridades competentes, de conformidad con sus respectivas competencias legales.</w:t>
      </w:r>
    </w:p>
    <w:p w14:paraId="71AF541C" w14:textId="4416026A" w:rsidR="005D556F" w:rsidRPr="006813A7" w:rsidRDefault="006813A7" w:rsidP="00F13515">
      <w:pPr>
        <w:spacing w:after="0" w:line="276" w:lineRule="auto"/>
        <w:ind w:firstLine="709"/>
        <w:jc w:val="both"/>
        <w:rPr>
          <w:rFonts w:ascii="Verdana" w:eastAsia="Times New Roman" w:hAnsi="Verdana" w:cs="Times New Roman"/>
          <w:lang w:eastAsia="es-ES_tradnl"/>
        </w:rPr>
      </w:pPr>
      <w:r w:rsidRPr="006813A7">
        <w:rPr>
          <w:rFonts w:ascii="Verdana" w:eastAsia="Times New Roman" w:hAnsi="Verdana" w:cs="Times New Roman"/>
          <w:lang w:eastAsia="es-ES_tradnl"/>
        </w:rPr>
        <w:t>En este sentido, corresponde a las Entidades Estatales garantizar el cumplimiento de las obligaciones legales y reglamentarias relacionadas con la publicidad de los documentos y actuaciones que se produzcan con ocasión de los procesos de contratación, mediante su publicación oportuna en el SECOP, según corresponda, ya sea a través de SECOP I o SECOP II. El cumplimiento de esta obligación es responsabilidad de la respectiva Entidad Estatal, de acuerdo con el régimen jurídico aplicable y las funcionalidades dispuestas en cada plataforma.</w:t>
      </w:r>
    </w:p>
    <w:p w14:paraId="6E3AA909" w14:textId="77777777" w:rsidR="005D556F" w:rsidRPr="006813A7" w:rsidRDefault="005D556F" w:rsidP="00F13515">
      <w:pPr>
        <w:tabs>
          <w:tab w:val="left" w:pos="709"/>
        </w:tabs>
        <w:spacing w:after="0" w:line="276" w:lineRule="auto"/>
        <w:ind w:firstLine="709"/>
        <w:jc w:val="both"/>
        <w:rPr>
          <w:rFonts w:ascii="Verdana" w:hAnsi="Verdana" w:cs="Arial"/>
          <w:shd w:val="clear" w:color="auto" w:fill="FFFFFF"/>
        </w:rPr>
      </w:pPr>
    </w:p>
    <w:p w14:paraId="5B73A9A4" w14:textId="77777777" w:rsidR="005D556F" w:rsidRPr="009F5AD6" w:rsidRDefault="005D556F" w:rsidP="00F13515">
      <w:pPr>
        <w:numPr>
          <w:ilvl w:val="0"/>
          <w:numId w:val="16"/>
        </w:numPr>
        <w:spacing w:after="0" w:line="276" w:lineRule="auto"/>
        <w:ind w:left="0" w:firstLine="0"/>
        <w:rPr>
          <w:rFonts w:ascii="Verdana" w:eastAsia="Calibri" w:hAnsi="Verdana" w:cs="Times New Roman"/>
          <w:b/>
          <w:bCs/>
          <w:lang w:val="es-ES"/>
        </w:rPr>
      </w:pPr>
      <w:r w:rsidRPr="009F5AD6">
        <w:rPr>
          <w:rFonts w:ascii="Verdana" w:eastAsia="Calibri" w:hAnsi="Verdana" w:cs="Times New Roman"/>
          <w:b/>
          <w:bCs/>
          <w:lang w:val="es-ES"/>
        </w:rPr>
        <w:t>Referencias normativas, jurisprudenciales y otras fuentes:</w:t>
      </w:r>
    </w:p>
    <w:p w14:paraId="7F3FDDA7" w14:textId="77777777" w:rsidR="005D556F" w:rsidRPr="009F5AD6" w:rsidRDefault="005D556F" w:rsidP="00F13515">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D556F" w:rsidRPr="009F5AD6" w14:paraId="259D8A08" w14:textId="77777777" w:rsidTr="001E24BC">
        <w:trPr>
          <w:trHeight w:val="870"/>
          <w:jc w:val="center"/>
        </w:trPr>
        <w:tc>
          <w:tcPr>
            <w:tcW w:w="8647" w:type="dxa"/>
          </w:tcPr>
          <w:p w14:paraId="50275125" w14:textId="77777777" w:rsidR="005D556F" w:rsidRPr="009F5AD6" w:rsidRDefault="005D556F" w:rsidP="00F13515">
            <w:pPr>
              <w:pStyle w:val="Prrafodelista"/>
              <w:numPr>
                <w:ilvl w:val="0"/>
                <w:numId w:val="17"/>
              </w:numPr>
              <w:spacing w:line="276" w:lineRule="auto"/>
              <w:jc w:val="both"/>
              <w:rPr>
                <w:rFonts w:ascii="Verdana" w:eastAsia="Geomanist Light" w:hAnsi="Verdana" w:cs="Arial"/>
                <w:color w:val="000000" w:themeColor="text1"/>
                <w:lang w:val="es-MX"/>
              </w:rPr>
            </w:pPr>
            <w:r w:rsidRPr="009F5AD6">
              <w:rPr>
                <w:rFonts w:ascii="Verdana" w:eastAsia="Geomanist Light" w:hAnsi="Verdana" w:cs="Arial"/>
                <w:color w:val="000000" w:themeColor="text1"/>
                <w:lang w:val="es-MX"/>
              </w:rPr>
              <w:t>Constitución Política. Artículos 74 y 209.</w:t>
            </w:r>
          </w:p>
          <w:p w14:paraId="0F60CD7D" w14:textId="77777777" w:rsidR="005D556F" w:rsidRPr="009F5AD6" w:rsidRDefault="005D556F" w:rsidP="00F13515">
            <w:pPr>
              <w:pStyle w:val="Prrafodelista"/>
              <w:numPr>
                <w:ilvl w:val="0"/>
                <w:numId w:val="17"/>
              </w:numPr>
              <w:spacing w:line="276" w:lineRule="auto"/>
              <w:jc w:val="both"/>
              <w:rPr>
                <w:rFonts w:ascii="Verdana" w:eastAsia="Geomanist Light" w:hAnsi="Verdana" w:cs="Arial"/>
                <w:color w:val="000000" w:themeColor="text1"/>
                <w:lang w:val="es-MX"/>
              </w:rPr>
            </w:pPr>
            <w:r w:rsidRPr="009F5AD6">
              <w:rPr>
                <w:rFonts w:ascii="Verdana" w:eastAsia="Geomanist Light" w:hAnsi="Verdana" w:cs="Arial"/>
                <w:color w:val="000000" w:themeColor="text1"/>
                <w:lang w:val="es-MX"/>
              </w:rPr>
              <w:t>Ley 1150 de 2007. Artículo 3.</w:t>
            </w:r>
          </w:p>
          <w:p w14:paraId="0FB7EE1C" w14:textId="77777777" w:rsidR="005D556F" w:rsidRPr="009F5AD6" w:rsidRDefault="005D556F" w:rsidP="00F13515">
            <w:pPr>
              <w:pStyle w:val="Prrafodelista"/>
              <w:numPr>
                <w:ilvl w:val="0"/>
                <w:numId w:val="17"/>
              </w:numPr>
              <w:spacing w:line="276" w:lineRule="auto"/>
              <w:jc w:val="both"/>
              <w:rPr>
                <w:rFonts w:ascii="Verdana" w:eastAsia="Geomanist Light" w:hAnsi="Verdana" w:cs="Arial"/>
                <w:color w:val="000000" w:themeColor="text1"/>
                <w:lang w:val="es-MX"/>
              </w:rPr>
            </w:pPr>
            <w:r w:rsidRPr="009F5AD6">
              <w:rPr>
                <w:rFonts w:ascii="Verdana" w:eastAsia="Geomanist Light" w:hAnsi="Verdana" w:cs="Arial"/>
                <w:color w:val="000000" w:themeColor="text1"/>
                <w:lang w:val="es-MX"/>
              </w:rPr>
              <w:t>Ley 1712 de 2014. Artículos 2, 5 y 11.</w:t>
            </w:r>
          </w:p>
          <w:p w14:paraId="1E365668" w14:textId="77777777" w:rsidR="005D556F" w:rsidRPr="009F5AD6" w:rsidRDefault="005D556F" w:rsidP="00F13515">
            <w:pPr>
              <w:pStyle w:val="Prrafodelista"/>
              <w:numPr>
                <w:ilvl w:val="0"/>
                <w:numId w:val="17"/>
              </w:numPr>
              <w:spacing w:line="276" w:lineRule="auto"/>
              <w:jc w:val="both"/>
              <w:rPr>
                <w:rFonts w:ascii="Verdana" w:hAnsi="Verdana" w:cs="Arial"/>
                <w:lang w:val="es-ES_tradnl"/>
              </w:rPr>
            </w:pPr>
            <w:r w:rsidRPr="009F5AD6">
              <w:rPr>
                <w:rFonts w:ascii="Verdana" w:eastAsia="Geomanist Light" w:hAnsi="Verdana" w:cs="Arial"/>
                <w:color w:val="000000" w:themeColor="text1"/>
                <w:lang w:val="es-MX"/>
              </w:rPr>
              <w:t>Decreto 1082 de 2015, artículos 2.2.1.1.1.7.1, 2.2.1.1.1.3.1., 2.2.2.1.8.3., 2.2.2.1.5.11., 2.2.2.1.12.7.</w:t>
            </w:r>
          </w:p>
        </w:tc>
      </w:tr>
    </w:tbl>
    <w:p w14:paraId="27C51BDD" w14:textId="77777777" w:rsidR="005D556F" w:rsidRPr="00F13515" w:rsidRDefault="005D556F" w:rsidP="00F13515">
      <w:pPr>
        <w:spacing w:after="0" w:line="276" w:lineRule="auto"/>
        <w:ind w:right="709"/>
        <w:jc w:val="both"/>
        <w:rPr>
          <w:rFonts w:ascii="Verdana" w:hAnsi="Verdana" w:cs="Arial"/>
          <w:color w:val="000000" w:themeColor="text1"/>
          <w:lang w:val="es-ES_tradnl"/>
        </w:rPr>
      </w:pPr>
    </w:p>
    <w:p w14:paraId="4FCAC7A6" w14:textId="77777777" w:rsidR="005D556F" w:rsidRPr="00F13515" w:rsidRDefault="005D556F" w:rsidP="00F13515">
      <w:pPr>
        <w:numPr>
          <w:ilvl w:val="0"/>
          <w:numId w:val="16"/>
        </w:numPr>
        <w:spacing w:after="0" w:line="276" w:lineRule="auto"/>
        <w:ind w:left="0" w:firstLine="0"/>
        <w:rPr>
          <w:rFonts w:ascii="Verdana" w:eastAsia="Calibri" w:hAnsi="Verdana" w:cs="Times New Roman"/>
          <w:b/>
          <w:bCs/>
          <w:lang w:val="es-ES"/>
        </w:rPr>
      </w:pPr>
      <w:r w:rsidRPr="00F13515">
        <w:rPr>
          <w:rFonts w:ascii="Verdana" w:eastAsia="Calibri" w:hAnsi="Verdana" w:cs="Times New Roman"/>
          <w:b/>
          <w:bCs/>
          <w:lang w:val="es-ES"/>
        </w:rPr>
        <w:t>Doctrina de la Agencia Nacional de Contratación Pública:</w:t>
      </w:r>
    </w:p>
    <w:p w14:paraId="315A0765" w14:textId="77777777" w:rsidR="005D556F" w:rsidRPr="00F13515" w:rsidRDefault="005D556F" w:rsidP="00F13515">
      <w:pPr>
        <w:widowControl w:val="0"/>
        <w:autoSpaceDE w:val="0"/>
        <w:autoSpaceDN w:val="0"/>
        <w:spacing w:after="0" w:line="276" w:lineRule="auto"/>
        <w:jc w:val="both"/>
        <w:rPr>
          <w:rFonts w:ascii="Verdana" w:hAnsi="Verdana" w:cs="Arial"/>
          <w:bCs/>
          <w:shd w:val="clear" w:color="auto" w:fill="FFFFFF"/>
        </w:rPr>
      </w:pPr>
    </w:p>
    <w:p w14:paraId="7D64A367" w14:textId="7A3C0EBF" w:rsidR="005D556F" w:rsidRPr="00F13515" w:rsidRDefault="005D556F" w:rsidP="00F13515">
      <w:pPr>
        <w:widowControl w:val="0"/>
        <w:autoSpaceDE w:val="0"/>
        <w:autoSpaceDN w:val="0"/>
        <w:spacing w:after="0" w:line="276" w:lineRule="auto"/>
        <w:jc w:val="both"/>
        <w:rPr>
          <w:rFonts w:ascii="Verdana" w:eastAsia="Calibri" w:hAnsi="Verdana" w:cs="Times New Roman"/>
        </w:rPr>
      </w:pPr>
      <w:r w:rsidRPr="00F13515">
        <w:rPr>
          <w:rFonts w:ascii="Verdana" w:hAnsi="Verdana" w:cs="Arial"/>
          <w:bCs/>
          <w:shd w:val="clear" w:color="auto" w:fill="FFFFFF"/>
        </w:rPr>
        <w:t xml:space="preserve">La Agencia Nacional de Contratación Pública – Colombia Compra Eficiente, en los conceptos </w:t>
      </w:r>
      <w:r w:rsidRPr="00F13515">
        <w:rPr>
          <w:rFonts w:ascii="Verdana" w:hAnsi="Verdana" w:cs="Arial"/>
          <w:bCs/>
          <w:shd w:val="clear" w:color="auto" w:fill="FFFFFF"/>
          <w:lang w:val="es-ES_tradnl"/>
        </w:rPr>
        <w:t>CU-367 del 23 de julio de 2020, reiterado en los conceptos: C−433 de 24 de julio de 2020, C−468 del 24 de julio de 2020, C−474 de 24 de julio de 2020, C−488 del 28 de julio de 2020, C−544 del 21 de agosto de 2020, C−575 del 27 de agosto de 2020, C−643 del 26 de octubre de 2020, C−661 del 17 de noviembre de 2020, C-094 del 13 de abril de 2021, C−068 del 22 de abril de 2021, C-185 del 29 de abril de 2021, C-472 del 6 de septiembre de 2021 y C-804 de 2024</w:t>
      </w:r>
      <w:r w:rsidRPr="00F13515">
        <w:rPr>
          <w:rFonts w:ascii="Verdana" w:hAnsi="Verdana" w:cs="Arial"/>
          <w:bCs/>
          <w:shd w:val="clear" w:color="auto" w:fill="FFFFFF"/>
        </w:rPr>
        <w:t xml:space="preserve">, C-185 del 24 de marzo de 2025, entre otros, así como nuevas precisiones dispuestas en este concepto sobre el alcance del deber de publicidad del Decreto 1081 de 2015. </w:t>
      </w:r>
      <w:r w:rsidRPr="00F13515">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hyperlink r:id="rId12" w:history="1">
        <w:r w:rsidR="00F13515" w:rsidRPr="00F13515">
          <w:rPr>
            <w:rStyle w:val="Hipervnculo"/>
            <w:rFonts w:ascii="Verdana" w:hAnsi="Verdana"/>
          </w:rPr>
          <w:t>https://www.colombiacompra.gov.co/normativa-y-relatoria/conoce-la-relatoria</w:t>
        </w:r>
      </w:hyperlink>
      <w:r w:rsidRPr="00F13515">
        <w:rPr>
          <w:rFonts w:ascii="Verdana" w:hAnsi="Verdana"/>
        </w:rPr>
        <w:t xml:space="preserve"> </w:t>
      </w:r>
    </w:p>
    <w:p w14:paraId="61BEB27F" w14:textId="77777777" w:rsidR="00F13515" w:rsidRDefault="00F13515" w:rsidP="00F13515">
      <w:pPr>
        <w:widowControl w:val="0"/>
        <w:autoSpaceDE w:val="0"/>
        <w:autoSpaceDN w:val="0"/>
        <w:spacing w:after="0" w:line="276" w:lineRule="auto"/>
        <w:jc w:val="both"/>
        <w:rPr>
          <w:rFonts w:ascii="Verdana" w:eastAsia="Aptos" w:hAnsi="Verdana" w:cs="Arial"/>
          <w:shd w:val="clear" w:color="auto" w:fill="FFFFFF"/>
        </w:rPr>
      </w:pPr>
    </w:p>
    <w:p w14:paraId="18DDA1FA" w14:textId="02CF3206" w:rsidR="005D556F" w:rsidRPr="00F13515" w:rsidRDefault="005D556F" w:rsidP="00F13515">
      <w:pPr>
        <w:widowControl w:val="0"/>
        <w:autoSpaceDE w:val="0"/>
        <w:autoSpaceDN w:val="0"/>
        <w:spacing w:after="0" w:line="276" w:lineRule="auto"/>
        <w:jc w:val="both"/>
        <w:rPr>
          <w:rFonts w:ascii="Verdana" w:eastAsia="Aptos" w:hAnsi="Verdana" w:cs="Arial"/>
          <w:shd w:val="clear" w:color="auto" w:fill="FFFFFF"/>
        </w:rPr>
      </w:pPr>
      <w:r w:rsidRPr="00F13515">
        <w:rPr>
          <w:rFonts w:ascii="Verdana" w:eastAsia="Aptos" w:hAnsi="Verdana" w:cs="Arial"/>
          <w:shd w:val="clear" w:color="auto" w:fill="FFFFFF"/>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F13515">
        <w:rPr>
          <w:rFonts w:ascii="Verdana" w:eastAsia="Aptos" w:hAnsi="Verdana" w:cs="Arial"/>
          <w:b/>
          <w:bCs/>
          <w:shd w:val="clear" w:color="auto" w:fill="FFFFFF"/>
        </w:rPr>
        <w:t>Guía para la Exigencia y Constitución de Garantías en los Procesos de Contratación</w:t>
      </w:r>
      <w:r w:rsidRPr="00F13515">
        <w:rPr>
          <w:rFonts w:ascii="Verdana" w:eastAsia="Aptos" w:hAnsi="Verdana" w:cs="Arial"/>
          <w:shd w:val="clear" w:color="auto" w:fill="FFFFFF"/>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3" w:tgtFrame="_blank" w:history="1">
        <w:r w:rsidRPr="00F13515">
          <w:rPr>
            <w:rStyle w:val="Hipervnculo"/>
            <w:rFonts w:ascii="Verdana" w:eastAsia="Aptos" w:hAnsi="Verdana" w:cs="Arial"/>
            <w:shd w:val="clear" w:color="auto" w:fill="FFFFFF"/>
          </w:rPr>
          <w:t>https://www.colombiacompra.gov.co/archivos/manual/guia-de-garantias-en-procesos-de-contratacion</w:t>
        </w:r>
      </w:hyperlink>
      <w:r w:rsidRPr="00F13515">
        <w:rPr>
          <w:rFonts w:ascii="Verdana" w:eastAsia="Aptos" w:hAnsi="Verdana" w:cs="Arial"/>
          <w:shd w:val="clear" w:color="auto" w:fill="FFFFFF"/>
        </w:rPr>
        <w:t> </w:t>
      </w:r>
    </w:p>
    <w:p w14:paraId="0BDCC51D" w14:textId="77777777" w:rsidR="00F13515" w:rsidRDefault="00F13515" w:rsidP="00F13515">
      <w:pPr>
        <w:widowControl w:val="0"/>
        <w:autoSpaceDE w:val="0"/>
        <w:autoSpaceDN w:val="0"/>
        <w:spacing w:after="0" w:line="276" w:lineRule="auto"/>
        <w:jc w:val="both"/>
        <w:rPr>
          <w:rFonts w:ascii="Verdana" w:eastAsia="Aptos" w:hAnsi="Verdana" w:cs="Arial"/>
          <w:shd w:val="clear" w:color="auto" w:fill="FFFFFF"/>
        </w:rPr>
      </w:pPr>
    </w:p>
    <w:p w14:paraId="099BBB88" w14:textId="6BD2AA51" w:rsidR="005D556F" w:rsidRPr="00F13515" w:rsidRDefault="005D556F" w:rsidP="00F13515">
      <w:pPr>
        <w:widowControl w:val="0"/>
        <w:autoSpaceDE w:val="0"/>
        <w:autoSpaceDN w:val="0"/>
        <w:spacing w:after="0" w:line="276" w:lineRule="auto"/>
        <w:jc w:val="both"/>
        <w:rPr>
          <w:rFonts w:ascii="Verdana" w:eastAsia="Aptos" w:hAnsi="Verdana" w:cs="Arial"/>
          <w:shd w:val="clear" w:color="auto" w:fill="FFFFFF"/>
        </w:rPr>
      </w:pPr>
      <w:r w:rsidRPr="00F13515">
        <w:rPr>
          <w:rFonts w:ascii="Verdana" w:eastAsia="Aptos" w:hAnsi="Verdana" w:cs="Arial"/>
          <w:shd w:val="clear" w:color="auto" w:fill="FFFFFF"/>
        </w:rPr>
        <w:t>De otro lado, te contamos que el Decreto 287 del 19 de marzo de 2026 sustituyó los artículos 2.2.1.2.4.2.6., 2.2.1.2.4.2.7. y 2.2.1.2.4.2.8. del Decreto 1082 de 2015 y estructuró el </w:t>
      </w:r>
      <w:r w:rsidRPr="00F13515">
        <w:rPr>
          <w:rFonts w:ascii="Verdana" w:eastAsia="Aptos" w:hAnsi="Verdana" w:cs="Arial"/>
          <w:b/>
          <w:bCs/>
          <w:shd w:val="clear" w:color="auto" w:fill="FFFFFF"/>
        </w:rPr>
        <w:t>Sistema Integral de Preferencias en favor de las personas con discapacidad</w:t>
      </w:r>
      <w:r w:rsidRPr="00F13515">
        <w:rPr>
          <w:rFonts w:ascii="Verdana" w:eastAsia="Aptos" w:hAnsi="Verdana" w:cs="Arial"/>
          <w:shd w:val="clear" w:color="auto" w:fill="FFFFFF"/>
        </w:rPr>
        <w:t xml:space="preserve">, en cumplimiento del artículo 13 de la Ley </w:t>
      </w:r>
      <w:r w:rsidRPr="00F13515">
        <w:rPr>
          <w:rFonts w:ascii="Verdana" w:eastAsia="Aptos" w:hAnsi="Verdana" w:cs="Arial"/>
          <w:shd w:val="clear" w:color="auto" w:fill="FFFFFF"/>
        </w:rPr>
        <w:lastRenderedPageBreak/>
        <w:t>Estatutaria 1618 de 2013. Para orientar su aplicación, esta Agencia expidió la </w:t>
      </w:r>
      <w:r w:rsidRPr="00F13515">
        <w:rPr>
          <w:rFonts w:ascii="Verdana" w:eastAsia="Aptos" w:hAnsi="Verdana" w:cs="Arial"/>
          <w:b/>
          <w:bCs/>
          <w:shd w:val="clear" w:color="auto" w:fill="FFFFFF"/>
        </w:rPr>
        <w:t>Circular Externa 003 del 12 de mayo de 2026, </w:t>
      </w:r>
      <w:r w:rsidRPr="00F13515">
        <w:rPr>
          <w:rFonts w:ascii="Verdana" w:eastAsia="Aptos" w:hAnsi="Verdana" w:cs="Arial"/>
          <w:shd w:val="clear" w:color="auto" w:fill="FFFFFF"/>
        </w:rPr>
        <w:t>en la que precisa quiénes son los beneficiarios, las cinco medidas que integran el sistema y su obligatoriedad según la modalidad de selección, y el régimen de transición aplicable a los procesos en curso. Consúltala aquí: </w:t>
      </w:r>
      <w:hyperlink r:id="rId14" w:tgtFrame="_blank" w:history="1">
        <w:r w:rsidRPr="00F13515">
          <w:rPr>
            <w:rStyle w:val="Hipervnculo"/>
            <w:rFonts w:ascii="Verdana" w:eastAsia="Aptos" w:hAnsi="Verdana" w:cs="Arial"/>
            <w:shd w:val="clear" w:color="auto" w:fill="FFFFFF"/>
          </w:rPr>
          <w:t>https://www.colombiacompra.gov.co/archivos/circular/circular-externa-003-de-2026</w:t>
        </w:r>
      </w:hyperlink>
      <w:r w:rsidRPr="00F13515">
        <w:rPr>
          <w:rFonts w:ascii="Verdana" w:eastAsia="Aptos" w:hAnsi="Verdana" w:cs="Arial"/>
          <w:shd w:val="clear" w:color="auto" w:fill="FFFFFF"/>
        </w:rPr>
        <w:t> </w:t>
      </w:r>
    </w:p>
    <w:p w14:paraId="408F109B" w14:textId="77777777" w:rsidR="00F13515" w:rsidRDefault="00F13515" w:rsidP="00F13515">
      <w:pPr>
        <w:widowControl w:val="0"/>
        <w:autoSpaceDE w:val="0"/>
        <w:autoSpaceDN w:val="0"/>
        <w:spacing w:after="0" w:line="276" w:lineRule="auto"/>
        <w:jc w:val="both"/>
        <w:rPr>
          <w:rFonts w:ascii="Verdana" w:eastAsia="Aptos" w:hAnsi="Verdana" w:cs="Arial"/>
          <w:shd w:val="clear" w:color="auto" w:fill="FFFFFF"/>
        </w:rPr>
      </w:pPr>
    </w:p>
    <w:p w14:paraId="3675FD5D" w14:textId="2F829B5D" w:rsidR="005D556F" w:rsidRPr="00F13515" w:rsidRDefault="005D556F" w:rsidP="00F13515">
      <w:pPr>
        <w:widowControl w:val="0"/>
        <w:autoSpaceDE w:val="0"/>
        <w:autoSpaceDN w:val="0"/>
        <w:spacing w:after="0" w:line="276" w:lineRule="auto"/>
        <w:jc w:val="both"/>
        <w:rPr>
          <w:rFonts w:ascii="Verdana" w:eastAsia="Aptos" w:hAnsi="Verdana" w:cs="Arial"/>
          <w:shd w:val="clear" w:color="auto" w:fill="FFFFFF"/>
        </w:rPr>
      </w:pPr>
      <w:r w:rsidRPr="00F13515">
        <w:rPr>
          <w:rFonts w:ascii="Verdana" w:eastAsia="Aptos" w:hAnsi="Verdana" w:cs="Arial"/>
          <w:shd w:val="clear" w:color="auto" w:fill="FFFFFF"/>
        </w:rPr>
        <w:t>Recuerda también que la</w:t>
      </w:r>
      <w:r w:rsidRPr="00F13515">
        <w:rPr>
          <w:rFonts w:ascii="Verdana" w:eastAsia="Aptos" w:hAnsi="Verdana" w:cs="Arial"/>
          <w:b/>
          <w:bCs/>
          <w:shd w:val="clear" w:color="auto" w:fill="FFFFFF"/>
        </w:rPr>
        <w:t> información sobre sanciones e inhabilidades </w:t>
      </w:r>
      <w:r w:rsidRPr="00F13515">
        <w:rPr>
          <w:rFonts w:ascii="Verdana" w:eastAsia="Aptos" w:hAnsi="Verdana" w:cs="Arial"/>
          <w:shd w:val="clear" w:color="auto" w:fill="FFFFFF"/>
        </w:rPr>
        <w:t>solo cumple su función preventiva si llega oportunamente a los registros públicos. Sobre este deber, esta Agencia expidió la </w:t>
      </w:r>
      <w:r w:rsidRPr="00F13515">
        <w:rPr>
          <w:rFonts w:ascii="Verdana" w:eastAsia="Aptos" w:hAnsi="Verdana" w:cs="Arial"/>
          <w:b/>
          <w:bCs/>
          <w:shd w:val="clear" w:color="auto" w:fill="FFFFFF"/>
        </w:rPr>
        <w:t>Circular Externa 002 del 5 de mayo de 2026,</w:t>
      </w:r>
      <w:r w:rsidRPr="00F13515">
        <w:rPr>
          <w:rFonts w:ascii="Verdana" w:eastAsia="Aptos" w:hAnsi="Verdana" w:cs="Arial"/>
          <w:shd w:val="clear" w:color="auto" w:fill="FFFFFF"/>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5" w:tgtFrame="_blank" w:history="1">
        <w:r w:rsidRPr="00F13515">
          <w:rPr>
            <w:rStyle w:val="Hipervnculo"/>
            <w:rFonts w:ascii="Verdana" w:eastAsia="Aptos" w:hAnsi="Verdana" w:cs="Arial"/>
            <w:shd w:val="clear" w:color="auto" w:fill="FFFFFF"/>
          </w:rPr>
          <w:t>https://www.colombiacompra.gov.co/archivos/circular/circular-externa-002-de-2026</w:t>
        </w:r>
      </w:hyperlink>
      <w:r w:rsidRPr="00F13515">
        <w:rPr>
          <w:rFonts w:ascii="Verdana" w:eastAsia="Aptos" w:hAnsi="Verdana" w:cs="Arial"/>
          <w:shd w:val="clear" w:color="auto" w:fill="FFFFFF"/>
        </w:rPr>
        <w:t> </w:t>
      </w:r>
    </w:p>
    <w:p w14:paraId="134EC033" w14:textId="77777777" w:rsidR="00F13515" w:rsidRDefault="00F13515" w:rsidP="00F13515">
      <w:pPr>
        <w:widowControl w:val="0"/>
        <w:autoSpaceDE w:val="0"/>
        <w:autoSpaceDN w:val="0"/>
        <w:spacing w:after="0" w:line="276" w:lineRule="auto"/>
        <w:jc w:val="both"/>
        <w:rPr>
          <w:rFonts w:ascii="Verdana" w:eastAsia="Aptos" w:hAnsi="Verdana" w:cs="Arial"/>
          <w:shd w:val="clear" w:color="auto" w:fill="FFFFFF"/>
        </w:rPr>
      </w:pPr>
    </w:p>
    <w:p w14:paraId="6785B206" w14:textId="4B7CF1A2" w:rsidR="005D556F" w:rsidRPr="00F13515" w:rsidRDefault="005D556F" w:rsidP="00F13515">
      <w:pPr>
        <w:widowControl w:val="0"/>
        <w:autoSpaceDE w:val="0"/>
        <w:autoSpaceDN w:val="0"/>
        <w:spacing w:after="0" w:line="276" w:lineRule="auto"/>
        <w:jc w:val="both"/>
        <w:rPr>
          <w:rFonts w:ascii="Verdana" w:eastAsia="Aptos" w:hAnsi="Verdana" w:cs="Arial"/>
          <w:shd w:val="clear" w:color="auto" w:fill="FFFFFF"/>
        </w:rPr>
      </w:pPr>
      <w:r w:rsidRPr="00F13515">
        <w:rPr>
          <w:rFonts w:ascii="Verdana" w:eastAsia="Aptos" w:hAnsi="Verdana" w:cs="Arial"/>
          <w:shd w:val="clear" w:color="auto" w:fill="FFFFFF"/>
        </w:rPr>
        <w:t>De otra parte, si quieres seguir de cerca la actividad de la Agencia, la tercera edición de 2026 del</w:t>
      </w:r>
      <w:r w:rsidRPr="00F13515">
        <w:rPr>
          <w:rFonts w:ascii="Verdana" w:eastAsia="Aptos" w:hAnsi="Verdana" w:cs="Arial"/>
          <w:b/>
          <w:bCs/>
          <w:shd w:val="clear" w:color="auto" w:fill="FFFFFF"/>
        </w:rPr>
        <w:t> Radar de la Compra Pública</w:t>
      </w:r>
      <w:r w:rsidRPr="00F13515">
        <w:rPr>
          <w:rFonts w:ascii="Verdana" w:eastAsia="Aptos" w:hAnsi="Verdana" w:cs="Arial"/>
          <w:shd w:val="clear" w:color="auto" w:fill="FFFFFF"/>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6" w:tgtFrame="_blank" w:history="1">
        <w:r w:rsidRPr="00F13515">
          <w:rPr>
            <w:rStyle w:val="Hipervnculo"/>
            <w:rFonts w:ascii="Verdana" w:eastAsia="Aptos" w:hAnsi="Verdana" w:cs="Arial"/>
            <w:shd w:val="clear" w:color="auto" w:fill="FFFFFF"/>
          </w:rPr>
          <w:t>https://www.colombiacompra.gov.co/archivos/boletin/boletin-edicion-n-3-de-2026-radar-de-la-compra-publica</w:t>
        </w:r>
      </w:hyperlink>
      <w:r w:rsidRPr="00F13515">
        <w:rPr>
          <w:rFonts w:ascii="Verdana" w:eastAsia="Aptos" w:hAnsi="Verdana" w:cs="Arial"/>
          <w:shd w:val="clear" w:color="auto" w:fill="FFFFFF"/>
        </w:rPr>
        <w:t>" </w:t>
      </w:r>
    </w:p>
    <w:p w14:paraId="17421F59" w14:textId="77777777" w:rsidR="00F13515" w:rsidRDefault="00F13515" w:rsidP="00F13515">
      <w:pPr>
        <w:spacing w:after="0" w:line="276" w:lineRule="auto"/>
        <w:jc w:val="both"/>
        <w:rPr>
          <w:rFonts w:ascii="Verdana" w:eastAsia="Aptos" w:hAnsi="Verdana" w:cs="Arial"/>
          <w:shd w:val="clear" w:color="auto" w:fill="FFFFFF"/>
          <w:lang w:val="es-ES"/>
        </w:rPr>
      </w:pPr>
    </w:p>
    <w:p w14:paraId="2DFF8948" w14:textId="51ED4A24" w:rsidR="005D556F" w:rsidRPr="00F13515" w:rsidRDefault="005D556F" w:rsidP="00F13515">
      <w:pPr>
        <w:spacing w:after="0" w:line="276" w:lineRule="auto"/>
        <w:jc w:val="both"/>
        <w:rPr>
          <w:rFonts w:ascii="Verdana" w:eastAsia="Verdana" w:hAnsi="Verdana" w:cs="Verdana"/>
        </w:rPr>
      </w:pPr>
      <w:r w:rsidRPr="00F13515">
        <w:rPr>
          <w:rFonts w:ascii="Verdana" w:eastAsia="Verdana" w:hAnsi="Verdana" w:cs="Verdana"/>
        </w:rPr>
        <w:t xml:space="preserve">Por último, lo invitamos a seguirnos en las redes sociales en las cuales se difunde información institucional: </w:t>
      </w:r>
    </w:p>
    <w:p w14:paraId="3F42646D" w14:textId="77777777" w:rsidR="005D556F" w:rsidRPr="00F13515" w:rsidRDefault="005D556F" w:rsidP="00F13515">
      <w:pPr>
        <w:spacing w:after="0" w:line="276" w:lineRule="auto"/>
        <w:jc w:val="both"/>
        <w:rPr>
          <w:rFonts w:ascii="Verdana" w:eastAsia="Verdana" w:hAnsi="Verdana" w:cs="Verdana"/>
        </w:rPr>
      </w:pPr>
    </w:p>
    <w:p w14:paraId="71137832" w14:textId="77777777" w:rsidR="005D556F" w:rsidRPr="00F13515" w:rsidRDefault="005D556F" w:rsidP="00F13515">
      <w:pPr>
        <w:spacing w:after="0" w:line="276" w:lineRule="auto"/>
        <w:jc w:val="both"/>
        <w:rPr>
          <w:rFonts w:ascii="Verdana" w:eastAsia="Verdana" w:hAnsi="Verdana" w:cs="Verdana"/>
        </w:rPr>
      </w:pPr>
      <w:r w:rsidRPr="00F13515">
        <w:rPr>
          <w:rFonts w:ascii="Verdana" w:eastAsia="Verdana" w:hAnsi="Verdana" w:cs="Verdana"/>
        </w:rPr>
        <w:t xml:space="preserve">Twitter: </w:t>
      </w:r>
      <w:r w:rsidRPr="00F13515">
        <w:rPr>
          <w:rFonts w:ascii="Verdana" w:eastAsia="Aptos" w:hAnsi="Verdana" w:cs="Arial"/>
          <w:u w:val="single"/>
          <w:shd w:val="clear" w:color="auto" w:fill="FFFFFF"/>
          <w:lang w:val="es-ES"/>
        </w:rPr>
        <w:t>@colombiacompra</w:t>
      </w:r>
      <w:r w:rsidRPr="00F13515">
        <w:rPr>
          <w:rFonts w:ascii="Verdana" w:eastAsia="Verdana" w:hAnsi="Verdana" w:cs="Verdana"/>
        </w:rPr>
        <w:t xml:space="preserve"> </w:t>
      </w:r>
    </w:p>
    <w:p w14:paraId="12F704C3" w14:textId="77777777" w:rsidR="005D556F" w:rsidRPr="00F13515" w:rsidRDefault="005D556F" w:rsidP="00F13515">
      <w:pPr>
        <w:spacing w:after="0" w:line="276" w:lineRule="auto"/>
        <w:jc w:val="both"/>
        <w:rPr>
          <w:rFonts w:ascii="Verdana" w:eastAsia="Verdana" w:hAnsi="Verdana" w:cs="Verdana"/>
        </w:rPr>
      </w:pPr>
      <w:r w:rsidRPr="00F13515">
        <w:rPr>
          <w:rFonts w:ascii="Verdana" w:eastAsia="Verdana" w:hAnsi="Verdana" w:cs="Verdana"/>
        </w:rPr>
        <w:t xml:space="preserve">Facebook: </w:t>
      </w:r>
      <w:proofErr w:type="spellStart"/>
      <w:r w:rsidRPr="00F13515">
        <w:rPr>
          <w:rFonts w:ascii="Verdana" w:eastAsia="Aptos" w:hAnsi="Verdana" w:cs="Arial"/>
          <w:u w:val="single"/>
          <w:shd w:val="clear" w:color="auto" w:fill="FFFFFF"/>
          <w:lang w:val="es-ES"/>
        </w:rPr>
        <w:t>ColombiaCompraEficiente</w:t>
      </w:r>
      <w:proofErr w:type="spellEnd"/>
    </w:p>
    <w:p w14:paraId="297E6437" w14:textId="77777777" w:rsidR="005D556F" w:rsidRPr="00F13515" w:rsidRDefault="005D556F" w:rsidP="00F13515">
      <w:pPr>
        <w:spacing w:after="0" w:line="276" w:lineRule="auto"/>
        <w:jc w:val="both"/>
        <w:rPr>
          <w:rFonts w:ascii="Verdana" w:eastAsia="Verdana" w:hAnsi="Verdana" w:cs="Verdana"/>
        </w:rPr>
      </w:pPr>
      <w:r w:rsidRPr="00F13515">
        <w:rPr>
          <w:rFonts w:ascii="Verdana" w:eastAsia="Verdana" w:hAnsi="Verdana" w:cs="Verdana"/>
        </w:rPr>
        <w:t xml:space="preserve">LinkedIn: </w:t>
      </w:r>
      <w:r w:rsidRPr="00F13515">
        <w:rPr>
          <w:rFonts w:ascii="Verdana" w:eastAsia="Aptos" w:hAnsi="Verdana" w:cs="Arial"/>
          <w:u w:val="single"/>
          <w:shd w:val="clear" w:color="auto" w:fill="FFFFFF"/>
          <w:lang w:val="es-ES"/>
        </w:rPr>
        <w:t>Agencia Nacional de Contratación Pública - Colombia Compra Eficiente</w:t>
      </w:r>
      <w:r w:rsidRPr="00F13515">
        <w:rPr>
          <w:rFonts w:ascii="Verdana" w:eastAsia="Verdana" w:hAnsi="Verdana" w:cs="Verdana"/>
        </w:rPr>
        <w:t xml:space="preserve"> Instagram: </w:t>
      </w:r>
      <w:r w:rsidRPr="00F13515">
        <w:rPr>
          <w:rFonts w:ascii="Verdana" w:eastAsia="Aptos" w:hAnsi="Verdana" w:cs="Arial"/>
          <w:u w:val="single"/>
          <w:shd w:val="clear" w:color="auto" w:fill="FFFFFF"/>
          <w:lang w:val="es-ES"/>
        </w:rPr>
        <w:t>@colombiacompraeficiente_cce</w:t>
      </w:r>
    </w:p>
    <w:p w14:paraId="70D74E5F" w14:textId="77777777" w:rsidR="005D556F" w:rsidRPr="00F13515" w:rsidRDefault="005D556F" w:rsidP="00F13515">
      <w:pPr>
        <w:widowControl w:val="0"/>
        <w:autoSpaceDE w:val="0"/>
        <w:autoSpaceDN w:val="0"/>
        <w:spacing w:after="0" w:line="276" w:lineRule="auto"/>
        <w:jc w:val="both"/>
        <w:rPr>
          <w:rFonts w:ascii="Verdana" w:eastAsia="Verdana" w:hAnsi="Verdana" w:cs="Verdana"/>
        </w:rPr>
      </w:pPr>
    </w:p>
    <w:p w14:paraId="11DC3CDF" w14:textId="77777777" w:rsidR="005D556F" w:rsidRPr="00F13515" w:rsidRDefault="005D556F" w:rsidP="00F13515">
      <w:pPr>
        <w:widowControl w:val="0"/>
        <w:autoSpaceDE w:val="0"/>
        <w:autoSpaceDN w:val="0"/>
        <w:spacing w:after="0" w:line="276" w:lineRule="auto"/>
        <w:jc w:val="both"/>
        <w:rPr>
          <w:rFonts w:ascii="Verdana" w:eastAsia="Aptos" w:hAnsi="Verdana" w:cs="Arial"/>
          <w:lang w:val="es-ES_tradnl"/>
        </w:rPr>
      </w:pPr>
      <w:r w:rsidRPr="00F13515">
        <w:rPr>
          <w:rFonts w:ascii="Verdana" w:eastAsia="Aptos" w:hAnsi="Verdana" w:cs="Arial"/>
        </w:rPr>
        <w:t xml:space="preserve">Este concepto tiene el alcance previsto en el artículo 28 del Código de Procedimiento Administrativo y de lo Contencioso Administrativo </w:t>
      </w:r>
      <w:r w:rsidRPr="00F13515">
        <w:rPr>
          <w:rFonts w:ascii="Verdana" w:eastAsia="Aptos" w:hAnsi="Verdana" w:cs="Arial"/>
          <w:lang w:val="es-ES_tradnl"/>
        </w:rPr>
        <w:t>y las expresiones aquí utilizadas con mayúscula inicial deben ser entendidas con el significado que les otorga el artículo 2.2.1.1.1.3.1. del Decreto 1082 de 2015.</w:t>
      </w:r>
    </w:p>
    <w:p w14:paraId="4918005E" w14:textId="77777777" w:rsidR="005D556F" w:rsidRPr="00F13515" w:rsidRDefault="005D556F" w:rsidP="00F13515">
      <w:pPr>
        <w:widowControl w:val="0"/>
        <w:autoSpaceDE w:val="0"/>
        <w:autoSpaceDN w:val="0"/>
        <w:spacing w:after="0" w:line="276" w:lineRule="auto"/>
        <w:jc w:val="both"/>
        <w:rPr>
          <w:rFonts w:ascii="Verdana" w:eastAsia="Aptos" w:hAnsi="Verdana" w:cs="Arial"/>
        </w:rPr>
      </w:pPr>
    </w:p>
    <w:p w14:paraId="38D2E952" w14:textId="77777777" w:rsidR="005D556F" w:rsidRPr="00F13515" w:rsidRDefault="005D556F" w:rsidP="00F13515">
      <w:pPr>
        <w:spacing w:after="0" w:line="276" w:lineRule="auto"/>
        <w:rPr>
          <w:rFonts w:ascii="Verdana" w:eastAsia="Aptos" w:hAnsi="Verdana" w:cs="Arial"/>
          <w:lang w:eastAsia="es-CO"/>
        </w:rPr>
      </w:pPr>
      <w:r w:rsidRPr="00F13515">
        <w:rPr>
          <w:rFonts w:ascii="Verdana" w:eastAsia="Times New Roman" w:hAnsi="Verdana" w:cs="Arial"/>
          <w:lang w:eastAsia="es-CO"/>
        </w:rPr>
        <w:t>Atentamente,</w:t>
      </w:r>
      <w:r w:rsidRPr="00F13515">
        <w:rPr>
          <w:rFonts w:ascii="Verdana" w:eastAsia="Aptos" w:hAnsi="Verdana" w:cs="Arial"/>
          <w:lang w:eastAsia="es-CO"/>
        </w:rPr>
        <w:t xml:space="preserve"> </w:t>
      </w:r>
    </w:p>
    <w:p w14:paraId="0E4DBA18" w14:textId="77777777" w:rsidR="005D556F" w:rsidRPr="009F5AD6" w:rsidRDefault="005D556F" w:rsidP="005D556F">
      <w:pPr>
        <w:spacing w:after="0" w:line="276" w:lineRule="auto"/>
        <w:jc w:val="center"/>
        <w:rPr>
          <w:rFonts w:ascii="Verdana" w:eastAsia="Aptos" w:hAnsi="Verdana" w:cs="Arial"/>
          <w:lang w:val="es-ES_tradnl" w:eastAsia="es-CO"/>
        </w:rPr>
      </w:pPr>
    </w:p>
    <w:p w14:paraId="56E8F340" w14:textId="09411FDC" w:rsidR="005D556F" w:rsidRPr="009F5AD6" w:rsidRDefault="00C0612E" w:rsidP="005D556F">
      <w:pPr>
        <w:spacing w:after="0" w:line="276" w:lineRule="auto"/>
        <w:jc w:val="center"/>
        <w:rPr>
          <w:rFonts w:ascii="Verdana" w:eastAsia="Aptos" w:hAnsi="Verdana" w:cs="Arial"/>
          <w:lang w:val="es-ES_tradnl" w:eastAsia="es-CO"/>
        </w:rPr>
      </w:pPr>
      <w:r>
        <w:rPr>
          <w:noProof/>
        </w:rPr>
        <w:drawing>
          <wp:inline distT="0" distB="0" distL="0" distR="0" wp14:anchorId="27300F62" wp14:editId="36C045C3">
            <wp:extent cx="3769995" cy="1405890"/>
            <wp:effectExtent l="0" t="0" r="1905" b="3810"/>
            <wp:docPr id="41450668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xto&#10;&#10;Descripción generada automáticament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69995" cy="1405890"/>
                    </a:xfrm>
                    <a:prstGeom prst="rect">
                      <a:avLst/>
                    </a:prstGeom>
                    <a:noFill/>
                    <a:ln>
                      <a:noFill/>
                    </a:ln>
                  </pic:spPr>
                </pic:pic>
              </a:graphicData>
            </a:graphic>
          </wp:inline>
        </w:drawing>
      </w: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6896"/>
      </w:tblGrid>
      <w:tr w:rsidR="005D556F" w:rsidRPr="009F5AD6" w14:paraId="1BA43A35" w14:textId="77777777" w:rsidTr="00622DC4">
        <w:trPr>
          <w:trHeight w:val="286"/>
        </w:trPr>
        <w:tc>
          <w:tcPr>
            <w:tcW w:w="901" w:type="dxa"/>
            <w:vAlign w:val="center"/>
            <w:hideMark/>
          </w:tcPr>
          <w:p w14:paraId="41C8B17F" w14:textId="77777777" w:rsidR="005D556F" w:rsidRPr="009F5AD6" w:rsidRDefault="005D556F" w:rsidP="001E24BC">
            <w:pPr>
              <w:rPr>
                <w:rFonts w:ascii="Verdana" w:eastAsia="Aptos" w:hAnsi="Verdana" w:cs="Arial"/>
                <w:sz w:val="14"/>
                <w:szCs w:val="14"/>
                <w:lang w:eastAsia="es-ES"/>
              </w:rPr>
            </w:pPr>
            <w:r w:rsidRPr="009F5AD6">
              <w:rPr>
                <w:rFonts w:ascii="Verdana" w:eastAsia="Aptos" w:hAnsi="Verdana" w:cs="Arial"/>
                <w:sz w:val="14"/>
                <w:szCs w:val="14"/>
                <w:lang w:eastAsia="es-ES"/>
              </w:rPr>
              <w:t>Elaboró:</w:t>
            </w:r>
          </w:p>
        </w:tc>
        <w:tc>
          <w:tcPr>
            <w:tcW w:w="6896" w:type="dxa"/>
            <w:tcBorders>
              <w:top w:val="nil"/>
              <w:left w:val="nil"/>
              <w:bottom w:val="dotted" w:sz="4" w:space="0" w:color="7F7F7F"/>
              <w:right w:val="nil"/>
            </w:tcBorders>
            <w:vAlign w:val="center"/>
            <w:hideMark/>
          </w:tcPr>
          <w:p w14:paraId="4B4E2768" w14:textId="77777777" w:rsidR="005D556F" w:rsidRPr="009F5AD6" w:rsidRDefault="005D556F" w:rsidP="001E24BC">
            <w:pPr>
              <w:rPr>
                <w:rFonts w:ascii="Verdana" w:eastAsia="Aptos" w:hAnsi="Verdana" w:cs="Arial"/>
                <w:sz w:val="14"/>
                <w:szCs w:val="14"/>
                <w:lang w:eastAsia="es-ES"/>
              </w:rPr>
            </w:pPr>
            <w:r w:rsidRPr="009F5AD6">
              <w:rPr>
                <w:rFonts w:ascii="Verdana" w:eastAsia="Aptos" w:hAnsi="Verdana" w:cs="Arial"/>
                <w:sz w:val="14"/>
                <w:szCs w:val="14"/>
                <w:lang w:eastAsia="es-ES"/>
              </w:rPr>
              <w:t>Nasly Yeana Mosquera Rivas</w:t>
            </w:r>
          </w:p>
          <w:p w14:paraId="104AAB8F" w14:textId="77777777" w:rsidR="005D556F" w:rsidRPr="009F5AD6" w:rsidRDefault="005D556F" w:rsidP="001E24BC">
            <w:pPr>
              <w:rPr>
                <w:rFonts w:ascii="Verdana" w:eastAsia="Aptos" w:hAnsi="Verdana" w:cs="Arial"/>
                <w:sz w:val="14"/>
                <w:szCs w:val="14"/>
                <w:lang w:eastAsia="es-ES"/>
              </w:rPr>
            </w:pPr>
            <w:r w:rsidRPr="009F5AD6">
              <w:rPr>
                <w:rFonts w:ascii="Verdana" w:eastAsia="Aptos" w:hAnsi="Verdana" w:cs="Arial"/>
                <w:sz w:val="14"/>
                <w:szCs w:val="14"/>
                <w:lang w:eastAsia="es-ES"/>
              </w:rPr>
              <w:t>Analista T2–06 de la Subdirección de Gestión Contractual</w:t>
            </w:r>
          </w:p>
        </w:tc>
      </w:tr>
      <w:tr w:rsidR="005D556F" w:rsidRPr="009F5AD6" w14:paraId="1D52EF10" w14:textId="77777777" w:rsidTr="00622DC4">
        <w:trPr>
          <w:trHeight w:val="299"/>
        </w:trPr>
        <w:tc>
          <w:tcPr>
            <w:tcW w:w="901" w:type="dxa"/>
            <w:vAlign w:val="center"/>
          </w:tcPr>
          <w:p w14:paraId="0659D202" w14:textId="77777777" w:rsidR="005D556F" w:rsidRPr="009F5AD6" w:rsidRDefault="005D556F" w:rsidP="001E24BC">
            <w:pPr>
              <w:rPr>
                <w:rFonts w:ascii="Verdana" w:eastAsia="Aptos" w:hAnsi="Verdana" w:cs="Arial"/>
                <w:sz w:val="14"/>
                <w:szCs w:val="14"/>
                <w:lang w:eastAsia="es-ES"/>
              </w:rPr>
            </w:pPr>
            <w:r w:rsidRPr="009F5AD6">
              <w:rPr>
                <w:rFonts w:ascii="Verdana" w:eastAsia="Aptos" w:hAnsi="Verdana" w:cs="Arial"/>
                <w:sz w:val="14"/>
                <w:szCs w:val="14"/>
                <w:lang w:eastAsia="es-ES"/>
              </w:rPr>
              <w:t>Revisó:</w:t>
            </w:r>
          </w:p>
        </w:tc>
        <w:tc>
          <w:tcPr>
            <w:tcW w:w="6896" w:type="dxa"/>
            <w:tcBorders>
              <w:top w:val="dotted" w:sz="4" w:space="0" w:color="7F7F7F"/>
              <w:left w:val="nil"/>
              <w:bottom w:val="dotted" w:sz="4" w:space="0" w:color="7F7F7F"/>
              <w:right w:val="nil"/>
            </w:tcBorders>
            <w:vAlign w:val="center"/>
          </w:tcPr>
          <w:p w14:paraId="3EDA4688" w14:textId="77777777" w:rsidR="005D556F" w:rsidRPr="009F5AD6" w:rsidRDefault="005D556F" w:rsidP="001E24BC">
            <w:pPr>
              <w:rPr>
                <w:rFonts w:ascii="Verdana" w:eastAsia="Aptos" w:hAnsi="Verdana" w:cs="Arial"/>
                <w:sz w:val="14"/>
                <w:szCs w:val="14"/>
                <w:lang w:eastAsia="es-ES"/>
              </w:rPr>
            </w:pPr>
            <w:r w:rsidRPr="009F5AD6">
              <w:rPr>
                <w:rFonts w:ascii="Verdana" w:eastAsia="Aptos" w:hAnsi="Verdana" w:cs="Arial"/>
                <w:sz w:val="14"/>
                <w:szCs w:val="14"/>
                <w:lang w:eastAsia="es-ES"/>
              </w:rPr>
              <w:t>Diana Lucía Saavedra Castañeda</w:t>
            </w:r>
          </w:p>
          <w:p w14:paraId="56D0A4E6" w14:textId="77777777" w:rsidR="005D556F" w:rsidRPr="009F5AD6" w:rsidRDefault="005D556F" w:rsidP="001E24BC">
            <w:pPr>
              <w:rPr>
                <w:rFonts w:ascii="Verdana" w:eastAsia="Aptos" w:hAnsi="Verdana" w:cs="Arial"/>
                <w:sz w:val="14"/>
                <w:szCs w:val="14"/>
                <w:lang w:eastAsia="es-ES"/>
              </w:rPr>
            </w:pPr>
            <w:r w:rsidRPr="009F5AD6">
              <w:rPr>
                <w:rFonts w:ascii="Verdana" w:eastAsia="Aptos" w:hAnsi="Verdana" w:cs="Arial"/>
                <w:sz w:val="14"/>
                <w:szCs w:val="14"/>
                <w:lang w:eastAsia="es-ES"/>
              </w:rPr>
              <w:t>Contratista de la Subdirección de Gestión Contractual</w:t>
            </w:r>
          </w:p>
        </w:tc>
      </w:tr>
      <w:tr w:rsidR="005D556F" w:rsidRPr="0067635F" w14:paraId="1979BFC2" w14:textId="77777777" w:rsidTr="00622DC4">
        <w:trPr>
          <w:trHeight w:val="272"/>
        </w:trPr>
        <w:tc>
          <w:tcPr>
            <w:tcW w:w="901" w:type="dxa"/>
            <w:vAlign w:val="center"/>
            <w:hideMark/>
          </w:tcPr>
          <w:p w14:paraId="11A9F4AF" w14:textId="77777777" w:rsidR="005D556F" w:rsidRPr="009F5AD6" w:rsidRDefault="005D556F" w:rsidP="001E24BC">
            <w:pPr>
              <w:rPr>
                <w:rFonts w:ascii="Verdana" w:eastAsia="Aptos" w:hAnsi="Verdana" w:cs="Arial"/>
                <w:sz w:val="14"/>
                <w:szCs w:val="14"/>
                <w:lang w:eastAsia="es-ES"/>
              </w:rPr>
            </w:pPr>
            <w:r w:rsidRPr="009F5AD6">
              <w:rPr>
                <w:rFonts w:ascii="Verdana" w:eastAsia="Aptos" w:hAnsi="Verdana" w:cs="Arial"/>
                <w:sz w:val="14"/>
                <w:szCs w:val="14"/>
                <w:lang w:eastAsia="es-ES"/>
              </w:rPr>
              <w:t>Aprobó:</w:t>
            </w:r>
          </w:p>
        </w:tc>
        <w:tc>
          <w:tcPr>
            <w:tcW w:w="6896" w:type="dxa"/>
            <w:tcBorders>
              <w:top w:val="dotted" w:sz="4" w:space="0" w:color="7F7F7F"/>
              <w:left w:val="nil"/>
              <w:bottom w:val="dotted" w:sz="4" w:space="0" w:color="7F7F7F"/>
              <w:right w:val="nil"/>
            </w:tcBorders>
            <w:vAlign w:val="center"/>
            <w:hideMark/>
          </w:tcPr>
          <w:p w14:paraId="401C9612" w14:textId="77777777" w:rsidR="005D556F" w:rsidRPr="009F5AD6" w:rsidRDefault="005D556F" w:rsidP="001E24BC">
            <w:pPr>
              <w:rPr>
                <w:rFonts w:ascii="Verdana" w:eastAsia="Aptos" w:hAnsi="Verdana" w:cs="Arial"/>
                <w:sz w:val="14"/>
                <w:szCs w:val="14"/>
                <w:lang w:eastAsia="es-ES"/>
              </w:rPr>
            </w:pPr>
            <w:r w:rsidRPr="009F5AD6">
              <w:rPr>
                <w:rFonts w:ascii="Verdana" w:eastAsia="Aptos" w:hAnsi="Verdana" w:cs="Arial"/>
                <w:sz w:val="14"/>
                <w:szCs w:val="14"/>
                <w:lang w:eastAsia="es-ES"/>
              </w:rPr>
              <w:t>Carolina Quintero Gacharná</w:t>
            </w:r>
          </w:p>
          <w:p w14:paraId="23B608BB" w14:textId="77777777" w:rsidR="005D556F" w:rsidRPr="0067635F" w:rsidRDefault="005D556F" w:rsidP="001E24BC">
            <w:pPr>
              <w:rPr>
                <w:rFonts w:ascii="Verdana" w:eastAsia="Aptos" w:hAnsi="Verdana" w:cs="Arial"/>
                <w:sz w:val="14"/>
                <w:szCs w:val="14"/>
                <w:lang w:eastAsia="es-ES"/>
              </w:rPr>
            </w:pPr>
            <w:r w:rsidRPr="009F5AD6">
              <w:rPr>
                <w:rFonts w:ascii="Verdana" w:eastAsia="Aptos" w:hAnsi="Verdana" w:cs="Arial"/>
                <w:sz w:val="14"/>
                <w:szCs w:val="14"/>
                <w:lang w:eastAsia="es-ES"/>
              </w:rPr>
              <w:t>Subdirectora de Gestión Contractual ANCP – CCE</w:t>
            </w:r>
          </w:p>
        </w:tc>
      </w:tr>
      <w:tr w:rsidR="005D556F" w:rsidRPr="0067635F" w14:paraId="12ACCC9C" w14:textId="77777777" w:rsidTr="00622DC4">
        <w:trPr>
          <w:trHeight w:val="272"/>
        </w:trPr>
        <w:tc>
          <w:tcPr>
            <w:tcW w:w="901" w:type="dxa"/>
            <w:vAlign w:val="center"/>
          </w:tcPr>
          <w:p w14:paraId="6EBE3670" w14:textId="77777777" w:rsidR="005D556F" w:rsidRPr="009F5AD6" w:rsidRDefault="005D556F" w:rsidP="001E24BC">
            <w:pPr>
              <w:rPr>
                <w:rFonts w:ascii="Verdana" w:eastAsia="Aptos" w:hAnsi="Verdana" w:cs="Arial"/>
                <w:sz w:val="14"/>
                <w:szCs w:val="14"/>
                <w:lang w:eastAsia="es-ES"/>
              </w:rPr>
            </w:pPr>
            <w:r>
              <w:rPr>
                <w:rFonts w:ascii="Verdana" w:eastAsia="Aptos" w:hAnsi="Verdana" w:cs="Arial"/>
                <w:sz w:val="14"/>
                <w:szCs w:val="14"/>
                <w:lang w:eastAsia="es-ES"/>
              </w:rPr>
              <w:t>Anexos:</w:t>
            </w:r>
          </w:p>
        </w:tc>
        <w:tc>
          <w:tcPr>
            <w:tcW w:w="6896" w:type="dxa"/>
            <w:tcBorders>
              <w:top w:val="dotted" w:sz="4" w:space="0" w:color="7F7F7F"/>
              <w:left w:val="nil"/>
              <w:bottom w:val="dotted" w:sz="4" w:space="0" w:color="7F7F7F"/>
              <w:right w:val="nil"/>
            </w:tcBorders>
            <w:vAlign w:val="center"/>
          </w:tcPr>
          <w:p w14:paraId="41476F76" w14:textId="77777777" w:rsidR="00622DC4" w:rsidRDefault="005D556F" w:rsidP="004C0F39">
            <w:pPr>
              <w:pStyle w:val="Prrafodelista"/>
              <w:numPr>
                <w:ilvl w:val="0"/>
                <w:numId w:val="19"/>
              </w:numPr>
              <w:ind w:left="360"/>
              <w:rPr>
                <w:rFonts w:ascii="Verdana" w:eastAsia="Aptos" w:hAnsi="Verdana" w:cs="Arial"/>
                <w:sz w:val="14"/>
                <w:szCs w:val="14"/>
                <w:lang w:eastAsia="es-ES"/>
              </w:rPr>
            </w:pPr>
            <w:r w:rsidRPr="00622DC4">
              <w:rPr>
                <w:rFonts w:ascii="Verdana" w:eastAsia="Aptos" w:hAnsi="Verdana" w:cs="Arial"/>
                <w:sz w:val="14"/>
                <w:szCs w:val="14"/>
                <w:lang w:eastAsia="es-ES"/>
              </w:rPr>
              <w:t>Respuesta de la Subdirección de Estudios de Mercado y Abastecimiento Estratégico</w:t>
            </w:r>
            <w:r w:rsidR="00622DC4">
              <w:rPr>
                <w:rFonts w:ascii="Verdana" w:eastAsia="Aptos" w:hAnsi="Verdana" w:cs="Arial"/>
                <w:sz w:val="14"/>
                <w:szCs w:val="14"/>
                <w:lang w:eastAsia="es-ES"/>
              </w:rPr>
              <w:t>.</w:t>
            </w:r>
          </w:p>
          <w:p w14:paraId="08ED4CED" w14:textId="5CABAE38" w:rsidR="005D556F" w:rsidRPr="00622DC4" w:rsidRDefault="005D556F" w:rsidP="004C0F39">
            <w:pPr>
              <w:pStyle w:val="Prrafodelista"/>
              <w:numPr>
                <w:ilvl w:val="0"/>
                <w:numId w:val="19"/>
              </w:numPr>
              <w:ind w:left="360"/>
              <w:rPr>
                <w:rFonts w:ascii="Verdana" w:eastAsia="Aptos" w:hAnsi="Verdana" w:cs="Arial"/>
                <w:sz w:val="14"/>
                <w:szCs w:val="14"/>
                <w:lang w:eastAsia="es-ES"/>
              </w:rPr>
            </w:pPr>
            <w:r w:rsidRPr="00622DC4">
              <w:rPr>
                <w:rFonts w:ascii="Verdana" w:eastAsia="Aptos" w:hAnsi="Verdana" w:cs="Arial"/>
                <w:sz w:val="14"/>
                <w:szCs w:val="14"/>
                <w:lang w:eastAsia="es-ES"/>
              </w:rPr>
              <w:t>Respuesta de la Subdirección de Información y Desarrollo Tecnológico</w:t>
            </w:r>
          </w:p>
        </w:tc>
      </w:tr>
    </w:tbl>
    <w:p w14:paraId="0A322C1B" w14:textId="77777777" w:rsidR="005D556F" w:rsidRPr="0067635F" w:rsidRDefault="005D556F" w:rsidP="005D556F">
      <w:pPr>
        <w:spacing w:after="0" w:line="240" w:lineRule="auto"/>
        <w:rPr>
          <w:rFonts w:ascii="Verdana" w:eastAsia="Times New Roman" w:hAnsi="Verdana" w:cs="Arial"/>
          <w:sz w:val="24"/>
          <w:szCs w:val="24"/>
          <w:lang w:eastAsia="es-ES"/>
        </w:rPr>
      </w:pPr>
    </w:p>
    <w:p w14:paraId="41D2BA76" w14:textId="77777777" w:rsidR="005D556F" w:rsidRPr="0067635F" w:rsidRDefault="005D556F" w:rsidP="005D556F">
      <w:pPr>
        <w:rPr>
          <w:rFonts w:ascii="Verdana" w:eastAsia="Aptos" w:hAnsi="Verdana" w:cs="Times New Roman"/>
        </w:rPr>
      </w:pPr>
    </w:p>
    <w:p w14:paraId="4C48129D" w14:textId="77777777" w:rsidR="005D556F" w:rsidRPr="0067635F" w:rsidRDefault="005D556F" w:rsidP="005D556F">
      <w:pPr>
        <w:rPr>
          <w:rFonts w:ascii="Verdana" w:hAnsi="Verdana"/>
        </w:rPr>
      </w:pPr>
    </w:p>
    <w:p w14:paraId="03FEF166" w14:textId="77777777" w:rsidR="005D556F" w:rsidRPr="000E2B93" w:rsidRDefault="005D556F" w:rsidP="005D556F">
      <w:pPr>
        <w:spacing w:after="0" w:line="240" w:lineRule="auto"/>
        <w:textAlignment w:val="baseline"/>
        <w:rPr>
          <w:rFonts w:ascii="Verdana" w:eastAsia="Verdana" w:hAnsi="Verdana" w:cs="Verdana"/>
          <w:lang w:eastAsia="es-CO"/>
        </w:rPr>
      </w:pPr>
      <w:r w:rsidRPr="0067635F">
        <w:rPr>
          <w:rFonts w:ascii="Verdana" w:eastAsia="Verdana" w:hAnsi="Verdana" w:cs="Verdana"/>
          <w:lang w:eastAsia="es-CO"/>
        </w:rPr>
        <w:t> </w:t>
      </w:r>
    </w:p>
    <w:p w14:paraId="667F79CB" w14:textId="70B9542E" w:rsidR="005D556F" w:rsidRPr="000E2B93" w:rsidRDefault="005D556F" w:rsidP="005D556F">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p w14:paraId="0F293BF4" w14:textId="06A1AF7E" w:rsidR="00127233" w:rsidRPr="005D556F" w:rsidRDefault="00127233" w:rsidP="005D556F"/>
    <w:sectPr w:rsidR="00127233" w:rsidRPr="005D556F"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F3079" w14:textId="77777777" w:rsidR="00A86319" w:rsidRDefault="00A86319" w:rsidP="004A1847">
      <w:pPr>
        <w:spacing w:after="0" w:line="240" w:lineRule="auto"/>
      </w:pPr>
      <w:r>
        <w:separator/>
      </w:r>
    </w:p>
  </w:endnote>
  <w:endnote w:type="continuationSeparator" w:id="0">
    <w:p w14:paraId="4F9045D4" w14:textId="77777777" w:rsidR="00A86319" w:rsidRDefault="00A86319"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panose1 w:val="02000503000000020004"/>
    <w:charset w:val="00"/>
    <w:family w:val="modern"/>
    <w:notTrueType/>
    <w:pitch w:val="variable"/>
    <w:sig w:usb0="A000002F" w:usb1="1000004A" w:usb2="00000000" w:usb3="00000000" w:csb0="00000193" w:csb1="00000000"/>
  </w:font>
  <w:font w:name="Geomanist">
    <w:panose1 w:val="020005030000000200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15D53" w14:textId="77777777" w:rsidR="00A86319" w:rsidRDefault="00A86319" w:rsidP="004A1847">
      <w:pPr>
        <w:spacing w:after="0" w:line="240" w:lineRule="auto"/>
      </w:pPr>
      <w:r>
        <w:separator/>
      </w:r>
    </w:p>
  </w:footnote>
  <w:footnote w:type="continuationSeparator" w:id="0">
    <w:p w14:paraId="108645BE" w14:textId="77777777" w:rsidR="00A86319" w:rsidRDefault="00A86319" w:rsidP="004A1847">
      <w:pPr>
        <w:spacing w:after="0" w:line="240" w:lineRule="auto"/>
      </w:pPr>
      <w:r>
        <w:continuationSeparator/>
      </w:r>
    </w:p>
  </w:footnote>
  <w:footnote w:id="1">
    <w:p w14:paraId="08FB4590" w14:textId="77777777" w:rsidR="005D556F" w:rsidRPr="00D047EA" w:rsidRDefault="005D556F" w:rsidP="005D556F">
      <w:pPr>
        <w:pStyle w:val="Textonotapie"/>
        <w:ind w:firstLine="709"/>
        <w:jc w:val="both"/>
        <w:rPr>
          <w:rFonts w:ascii="Verdana" w:hAnsi="Verdana" w:cs="Arial"/>
          <w:sz w:val="14"/>
          <w:szCs w:val="14"/>
          <w:lang w:val="es-ES"/>
        </w:rPr>
      </w:pPr>
      <w:r w:rsidRPr="00D047EA">
        <w:rPr>
          <w:rStyle w:val="Refdenotaalpie"/>
          <w:rFonts w:ascii="Verdana" w:hAnsi="Verdana" w:cs="Arial"/>
          <w:sz w:val="14"/>
          <w:szCs w:val="14"/>
        </w:rPr>
        <w:footnoteRef/>
      </w:r>
      <w:r w:rsidRPr="00D047EA">
        <w:rPr>
          <w:rFonts w:ascii="Verdana" w:hAnsi="Verdana" w:cs="Arial"/>
          <w:sz w:val="14"/>
          <w:szCs w:val="14"/>
        </w:rPr>
        <w:t xml:space="preserve"> </w:t>
      </w:r>
      <w:r w:rsidRPr="00D047EA">
        <w:rPr>
          <w:rFonts w:ascii="Verdana" w:hAnsi="Verdana" w:cs="Arial"/>
          <w:sz w:val="14"/>
          <w:szCs w:val="14"/>
          <w:lang w:val="es-ES"/>
        </w:rPr>
        <w:t>BOBBIO, Norberto. Democracia y secreto. México: Fondo de Cultura Económica, 2013. p. 27.</w:t>
      </w:r>
    </w:p>
  </w:footnote>
  <w:footnote w:id="2">
    <w:p w14:paraId="2AA8618E" w14:textId="77777777" w:rsidR="005D556F" w:rsidRPr="00D047EA" w:rsidRDefault="005D556F" w:rsidP="005D556F">
      <w:pPr>
        <w:pStyle w:val="Textonotapie"/>
        <w:ind w:firstLine="709"/>
        <w:jc w:val="both"/>
        <w:rPr>
          <w:rFonts w:ascii="Verdana" w:hAnsi="Verdana" w:cs="Arial"/>
          <w:color w:val="000000" w:themeColor="text1"/>
          <w:sz w:val="14"/>
          <w:szCs w:val="14"/>
        </w:rPr>
      </w:pPr>
      <w:r w:rsidRPr="00D047EA">
        <w:rPr>
          <w:rStyle w:val="Refdenotaalpie"/>
          <w:rFonts w:ascii="Verdana" w:hAnsi="Verdana" w:cs="Arial"/>
          <w:color w:val="000000" w:themeColor="text1"/>
          <w:sz w:val="14"/>
          <w:szCs w:val="14"/>
        </w:rPr>
        <w:footnoteRef/>
      </w:r>
      <w:r w:rsidRPr="00D047EA">
        <w:rPr>
          <w:rFonts w:ascii="Verdana" w:hAnsi="Verdana" w:cs="Arial"/>
          <w:color w:val="000000" w:themeColor="text1"/>
          <w:sz w:val="14"/>
          <w:szCs w:val="14"/>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18B35FED" w14:textId="77777777" w:rsidR="005D556F" w:rsidRPr="00D047EA" w:rsidRDefault="005D556F" w:rsidP="005D556F">
      <w:pPr>
        <w:pStyle w:val="Textonotapie"/>
        <w:ind w:firstLine="709"/>
        <w:jc w:val="both"/>
        <w:rPr>
          <w:rFonts w:ascii="Verdana" w:hAnsi="Verdana" w:cs="Arial"/>
          <w:color w:val="000000" w:themeColor="text1"/>
          <w:sz w:val="14"/>
          <w:szCs w:val="14"/>
        </w:rPr>
      </w:pPr>
      <w:r w:rsidRPr="00D047EA">
        <w:rPr>
          <w:rFonts w:ascii="Verdana" w:hAnsi="Verdana" w:cs="Arial"/>
          <w:color w:val="000000" w:themeColor="text1"/>
          <w:sz w:val="14"/>
          <w:szCs w:val="14"/>
        </w:rPr>
        <w:t>Lo anterior, sin perjuicio de las publicaciones previstas en el numeral 3 del artículo 30 de la Ley 80 de 1993.</w:t>
      </w:r>
    </w:p>
    <w:p w14:paraId="3473CAAF" w14:textId="77777777" w:rsidR="005D556F" w:rsidRPr="00D047EA" w:rsidRDefault="005D556F" w:rsidP="005D556F">
      <w:pPr>
        <w:pStyle w:val="Textonotapie"/>
        <w:ind w:firstLine="709"/>
        <w:jc w:val="both"/>
        <w:rPr>
          <w:rFonts w:ascii="Verdana" w:hAnsi="Verdana" w:cs="Arial"/>
          <w:color w:val="000000" w:themeColor="text1"/>
          <w:sz w:val="14"/>
          <w:szCs w:val="14"/>
        </w:rPr>
      </w:pPr>
      <w:r w:rsidRPr="00D047EA">
        <w:rPr>
          <w:rFonts w:ascii="Verdana" w:hAnsi="Verdana" w:cs="Arial"/>
          <w:color w:val="000000" w:themeColor="text1"/>
          <w:sz w:val="14"/>
          <w:szCs w:val="14"/>
        </w:rPr>
        <w:t xml:space="preserve">Con el fin de materializar los objetivos a que se refiere el inciso anterior, el Gobierno Nacional desarrollará el Sistema Electrónico para la Contratación Pública, Secop, el cual: </w:t>
      </w:r>
    </w:p>
    <w:p w14:paraId="59336F45" w14:textId="77777777" w:rsidR="005D556F" w:rsidRPr="00D047EA" w:rsidRDefault="005D556F" w:rsidP="005D556F">
      <w:pPr>
        <w:pStyle w:val="Textonotapie"/>
        <w:ind w:firstLine="709"/>
        <w:jc w:val="both"/>
        <w:rPr>
          <w:rFonts w:ascii="Verdana" w:hAnsi="Verdana" w:cs="Arial"/>
          <w:color w:val="000000" w:themeColor="text1"/>
          <w:sz w:val="14"/>
          <w:szCs w:val="14"/>
        </w:rPr>
      </w:pPr>
      <w:r w:rsidRPr="00D047EA">
        <w:rPr>
          <w:rFonts w:ascii="Verdana" w:hAnsi="Verdana" w:cs="Arial"/>
          <w:color w:val="000000" w:themeColor="text1"/>
          <w:sz w:val="14"/>
          <w:szCs w:val="14"/>
        </w:rPr>
        <w:t>[…]</w:t>
      </w:r>
    </w:p>
    <w:p w14:paraId="25407FC9" w14:textId="77777777" w:rsidR="005D556F" w:rsidRPr="00D047EA" w:rsidRDefault="005D556F" w:rsidP="005D556F">
      <w:pPr>
        <w:pStyle w:val="Textonotapie"/>
        <w:ind w:firstLine="709"/>
        <w:jc w:val="both"/>
        <w:rPr>
          <w:rFonts w:ascii="Verdana" w:hAnsi="Verdana" w:cs="Arial"/>
          <w:color w:val="000000" w:themeColor="text1"/>
          <w:sz w:val="14"/>
          <w:szCs w:val="14"/>
        </w:rPr>
      </w:pPr>
      <w:r w:rsidRPr="00D047EA">
        <w:rPr>
          <w:rFonts w:ascii="Verdana" w:hAnsi="Verdana" w:cs="Arial"/>
          <w:color w:val="000000" w:themeColor="text1"/>
          <w:sz w:val="14"/>
          <w:szCs w:val="14"/>
        </w:rPr>
        <w:t xml:space="preserve">c) Contará con la información oficial de la contratación realizada con dineros públicos, para lo cual establecerá los patrones a que haya lugar y se encargará de su difusión a través de canales electrónico”. </w:t>
      </w:r>
    </w:p>
    <w:p w14:paraId="36731411" w14:textId="77777777" w:rsidR="005D556F" w:rsidRPr="00D047EA" w:rsidRDefault="005D556F" w:rsidP="005D556F">
      <w:pPr>
        <w:pStyle w:val="Textonotapie"/>
        <w:ind w:firstLine="709"/>
        <w:jc w:val="both"/>
        <w:rPr>
          <w:rFonts w:ascii="Verdana" w:hAnsi="Verdana" w:cs="Arial"/>
          <w:color w:val="000000" w:themeColor="text1"/>
          <w:sz w:val="14"/>
          <w:szCs w:val="14"/>
          <w:lang w:val="es-CO"/>
        </w:rPr>
      </w:pPr>
    </w:p>
  </w:footnote>
  <w:footnote w:id="3">
    <w:p w14:paraId="77D5A60A" w14:textId="77777777" w:rsidR="005D556F" w:rsidRPr="00D047EA" w:rsidRDefault="005D556F" w:rsidP="005D556F">
      <w:pPr>
        <w:pStyle w:val="Textonotapie"/>
        <w:ind w:firstLine="709"/>
        <w:jc w:val="both"/>
        <w:rPr>
          <w:rFonts w:ascii="Verdana" w:hAnsi="Verdana" w:cs="Arial"/>
          <w:color w:val="000000" w:themeColor="text1"/>
          <w:sz w:val="14"/>
          <w:szCs w:val="14"/>
        </w:rPr>
      </w:pPr>
      <w:r w:rsidRPr="00D047EA">
        <w:rPr>
          <w:rStyle w:val="Refdenotaalpie"/>
          <w:rFonts w:ascii="Verdana" w:hAnsi="Verdana" w:cs="Arial"/>
          <w:color w:val="000000" w:themeColor="text1"/>
          <w:sz w:val="14"/>
          <w:szCs w:val="14"/>
        </w:rPr>
        <w:footnoteRef/>
      </w:r>
      <w:r w:rsidRPr="00D047EA">
        <w:rPr>
          <w:rFonts w:ascii="Verdana" w:hAnsi="Verdana" w:cs="Arial"/>
          <w:color w:val="000000" w:themeColor="text1"/>
          <w:sz w:val="14"/>
          <w:szCs w:val="14"/>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5A4FD3FA" w14:textId="77777777" w:rsidR="005D556F" w:rsidRPr="00D047EA" w:rsidRDefault="005D556F" w:rsidP="005D556F">
      <w:pPr>
        <w:pStyle w:val="Textonotapie"/>
        <w:ind w:firstLine="709"/>
        <w:jc w:val="both"/>
        <w:rPr>
          <w:rFonts w:ascii="Verdana" w:hAnsi="Verdana" w:cs="Arial"/>
          <w:color w:val="000000" w:themeColor="text1"/>
          <w:sz w:val="14"/>
          <w:szCs w:val="14"/>
          <w:lang w:val="es-CO"/>
        </w:rPr>
      </w:pPr>
    </w:p>
  </w:footnote>
  <w:footnote w:id="4">
    <w:p w14:paraId="438411E2" w14:textId="77777777" w:rsidR="005D556F" w:rsidRPr="00D047EA" w:rsidRDefault="005D556F" w:rsidP="005D556F">
      <w:pPr>
        <w:pStyle w:val="Textonotapie"/>
        <w:ind w:firstLine="709"/>
        <w:jc w:val="both"/>
        <w:rPr>
          <w:rFonts w:ascii="Verdana" w:hAnsi="Verdana" w:cs="Arial"/>
          <w:color w:val="000000" w:themeColor="text1"/>
          <w:sz w:val="14"/>
          <w:szCs w:val="14"/>
        </w:rPr>
      </w:pPr>
      <w:r w:rsidRPr="00D047EA">
        <w:rPr>
          <w:rStyle w:val="Refdenotaalpie"/>
          <w:rFonts w:ascii="Verdana" w:hAnsi="Verdana" w:cs="Arial"/>
          <w:color w:val="000000" w:themeColor="text1"/>
          <w:sz w:val="14"/>
          <w:szCs w:val="14"/>
        </w:rPr>
        <w:footnoteRef/>
      </w:r>
      <w:r w:rsidRPr="00D047EA">
        <w:rPr>
          <w:rFonts w:ascii="Verdana" w:hAnsi="Verdana" w:cs="Arial"/>
          <w:color w:val="000000" w:themeColor="text1"/>
          <w:sz w:val="14"/>
          <w:szCs w:val="14"/>
        </w:rPr>
        <w:t xml:space="preserve"> Ley 1712 de 2014: “Artículo 5. Ámbito de aplicación. Las disposiciones de esta ley serán aplicables a las siguientes personas en calidad de sujetos obligados: </w:t>
      </w:r>
    </w:p>
    <w:p w14:paraId="3CAEF2CE" w14:textId="77777777" w:rsidR="005D556F" w:rsidRPr="00D047EA" w:rsidRDefault="005D556F" w:rsidP="005D556F">
      <w:pPr>
        <w:pStyle w:val="Textonotapie"/>
        <w:ind w:firstLine="709"/>
        <w:jc w:val="both"/>
        <w:rPr>
          <w:rFonts w:ascii="Verdana" w:hAnsi="Verdana" w:cs="Arial"/>
          <w:color w:val="000000" w:themeColor="text1"/>
          <w:sz w:val="14"/>
          <w:szCs w:val="14"/>
        </w:rPr>
      </w:pPr>
      <w:r w:rsidRPr="00D047EA">
        <w:rPr>
          <w:rFonts w:ascii="Verdana" w:hAnsi="Verdana" w:cs="Arial"/>
          <w:color w:val="000000" w:themeColor="text1"/>
          <w:sz w:val="14"/>
          <w:szCs w:val="14"/>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1EA58B4D" w14:textId="77777777" w:rsidR="005D556F" w:rsidRPr="00D047EA" w:rsidRDefault="005D556F" w:rsidP="005D556F">
      <w:pPr>
        <w:pStyle w:val="Textonotapie"/>
        <w:ind w:firstLine="709"/>
        <w:jc w:val="both"/>
        <w:rPr>
          <w:rFonts w:ascii="Verdana" w:hAnsi="Verdana" w:cs="Arial"/>
          <w:color w:val="000000" w:themeColor="text1"/>
          <w:sz w:val="14"/>
          <w:szCs w:val="14"/>
          <w:lang w:val="es-CO"/>
        </w:rPr>
      </w:pPr>
    </w:p>
  </w:footnote>
  <w:footnote w:id="5">
    <w:p w14:paraId="4FDDC0DE" w14:textId="77777777" w:rsidR="005D556F" w:rsidRPr="00D047EA" w:rsidRDefault="005D556F" w:rsidP="005D556F">
      <w:pPr>
        <w:pStyle w:val="Textonotapie"/>
        <w:ind w:firstLine="709"/>
        <w:jc w:val="both"/>
        <w:rPr>
          <w:rFonts w:ascii="Verdana" w:hAnsi="Verdana" w:cs="Arial"/>
          <w:color w:val="000000" w:themeColor="text1"/>
          <w:sz w:val="14"/>
          <w:szCs w:val="14"/>
        </w:rPr>
      </w:pPr>
      <w:r w:rsidRPr="00D047EA">
        <w:rPr>
          <w:rFonts w:ascii="Verdana" w:eastAsia="Times New Roman" w:hAnsi="Verdana" w:cs="Arial"/>
          <w:color w:val="000000" w:themeColor="text1"/>
          <w:sz w:val="14"/>
          <w:szCs w:val="14"/>
          <w:vertAlign w:val="superscript"/>
          <w:lang w:val="es-ES" w:eastAsia="es-ES"/>
        </w:rPr>
        <w:footnoteRef/>
      </w:r>
      <w:r w:rsidRPr="00D047EA">
        <w:rPr>
          <w:rFonts w:ascii="Verdana" w:eastAsia="Times New Roman" w:hAnsi="Verdana" w:cs="Arial"/>
          <w:color w:val="000000" w:themeColor="text1"/>
          <w:sz w:val="14"/>
          <w:szCs w:val="14"/>
          <w:vertAlign w:val="superscript"/>
          <w:lang w:val="es-ES" w:eastAsia="es-ES"/>
        </w:rPr>
        <w:t xml:space="preserve"> </w:t>
      </w:r>
      <w:r w:rsidRPr="00D047EA">
        <w:rPr>
          <w:rFonts w:ascii="Verdana" w:eastAsia="Times New Roman" w:hAnsi="Verdana" w:cs="Arial"/>
          <w:color w:val="000000" w:themeColor="text1"/>
          <w:sz w:val="14"/>
          <w:szCs w:val="14"/>
          <w:lang w:val="es-ES" w:eastAsia="es-ES"/>
        </w:rPr>
        <w:t>“</w:t>
      </w:r>
      <w:r w:rsidRPr="00D047EA">
        <w:rPr>
          <w:rFonts w:ascii="Verdana" w:hAnsi="Verdana" w:cs="Arial"/>
          <w:color w:val="000000" w:themeColor="text1"/>
          <w:sz w:val="14"/>
          <w:szCs w:val="14"/>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093CF1D3" w14:textId="77777777" w:rsidR="005D556F" w:rsidRPr="00D047EA" w:rsidRDefault="005D556F" w:rsidP="005D556F">
      <w:pPr>
        <w:pStyle w:val="Textonotapie"/>
        <w:ind w:firstLine="709"/>
        <w:jc w:val="both"/>
        <w:rPr>
          <w:rFonts w:ascii="Verdana" w:eastAsia="Times New Roman" w:hAnsi="Verdana" w:cs="Arial"/>
          <w:color w:val="000000" w:themeColor="text1"/>
          <w:sz w:val="14"/>
          <w:szCs w:val="14"/>
          <w:lang w:val="es-ES" w:eastAsia="es-ES"/>
        </w:rPr>
      </w:pPr>
      <w:r w:rsidRPr="00D047EA">
        <w:rPr>
          <w:rFonts w:ascii="Verdana" w:hAnsi="Verdana" w:cs="Arial"/>
          <w:color w:val="000000" w:themeColor="text1"/>
          <w:sz w:val="14"/>
          <w:szCs w:val="14"/>
        </w:rPr>
        <w:t>[…].</w:t>
      </w:r>
    </w:p>
    <w:p w14:paraId="0215D1B8" w14:textId="77777777" w:rsidR="005D556F" w:rsidRPr="00D047EA" w:rsidRDefault="005D556F" w:rsidP="005D556F">
      <w:pPr>
        <w:pStyle w:val="Textonotapie"/>
        <w:ind w:firstLine="709"/>
        <w:jc w:val="both"/>
        <w:rPr>
          <w:rFonts w:ascii="Verdana" w:eastAsia="Times New Roman" w:hAnsi="Verdana" w:cs="Arial"/>
          <w:color w:val="000000" w:themeColor="text1"/>
          <w:sz w:val="14"/>
          <w:szCs w:val="14"/>
          <w:lang w:val="es-ES" w:eastAsia="es-ES"/>
        </w:rPr>
      </w:pPr>
      <w:r w:rsidRPr="00D047EA">
        <w:rPr>
          <w:rFonts w:ascii="Verdana" w:eastAsia="Times New Roman" w:hAnsi="Verdana" w:cs="Arial"/>
          <w:color w:val="000000" w:themeColor="text1"/>
          <w:sz w:val="14"/>
          <w:szCs w:val="14"/>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1A1B3DD0" w14:textId="77777777" w:rsidR="005D556F" w:rsidRPr="00D047EA" w:rsidRDefault="005D556F" w:rsidP="005D556F">
      <w:pPr>
        <w:pStyle w:val="Textonotapie"/>
        <w:ind w:firstLine="709"/>
        <w:jc w:val="both"/>
        <w:rPr>
          <w:rFonts w:ascii="Verdana" w:eastAsia="Times New Roman" w:hAnsi="Verdana" w:cs="Arial"/>
          <w:color w:val="000000" w:themeColor="text1"/>
          <w:sz w:val="14"/>
          <w:szCs w:val="14"/>
          <w:lang w:val="es-ES" w:eastAsia="es-ES"/>
        </w:rPr>
      </w:pPr>
    </w:p>
  </w:footnote>
  <w:footnote w:id="6">
    <w:p w14:paraId="221F105C" w14:textId="77777777" w:rsidR="005D556F" w:rsidRPr="00D047EA" w:rsidRDefault="005D556F" w:rsidP="005D556F">
      <w:pPr>
        <w:pStyle w:val="Textonotapie"/>
        <w:ind w:firstLine="709"/>
        <w:jc w:val="both"/>
        <w:rPr>
          <w:rFonts w:ascii="Verdana" w:hAnsi="Verdana" w:cs="Arial"/>
          <w:color w:val="000000"/>
          <w:sz w:val="14"/>
          <w:szCs w:val="14"/>
        </w:rPr>
      </w:pPr>
      <w:r w:rsidRPr="00D047EA">
        <w:rPr>
          <w:rStyle w:val="Refdenotaalpie"/>
          <w:rFonts w:ascii="Verdana" w:hAnsi="Verdana" w:cs="Arial"/>
          <w:color w:val="000000"/>
          <w:sz w:val="14"/>
          <w:szCs w:val="14"/>
        </w:rPr>
        <w:footnoteRef/>
      </w:r>
      <w:r w:rsidRPr="00D047EA">
        <w:rPr>
          <w:rFonts w:ascii="Verdana" w:hAnsi="Verdana" w:cs="Arial"/>
          <w:color w:val="000000"/>
          <w:sz w:val="14"/>
          <w:szCs w:val="14"/>
        </w:rPr>
        <w:t xml:space="preserve"> C</w:t>
      </w:r>
      <w:r w:rsidRPr="00D047EA">
        <w:rPr>
          <w:rFonts w:ascii="Verdana" w:eastAsia="Times New Roman" w:hAnsi="Verdana" w:cs="Arial"/>
          <w:color w:val="000000"/>
          <w:sz w:val="14"/>
          <w:szCs w:val="14"/>
          <w:lang w:val="es-ES" w:eastAsia="es-ES"/>
        </w:rPr>
        <w:t>orte Constitucional. Sentencia C‒274 de 9 de mayo de 2013. M.P. Mar</w:t>
      </w:r>
      <w:r w:rsidRPr="00D047EA">
        <w:rPr>
          <w:rFonts w:ascii="Verdana" w:eastAsia="Times New Roman" w:hAnsi="Verdana" w:cs="Century Gothic"/>
          <w:color w:val="000000"/>
          <w:sz w:val="14"/>
          <w:szCs w:val="14"/>
          <w:lang w:val="es-ES" w:eastAsia="es-ES"/>
        </w:rPr>
        <w:t>í</w:t>
      </w:r>
      <w:r w:rsidRPr="00D047EA">
        <w:rPr>
          <w:rFonts w:ascii="Verdana" w:eastAsia="Times New Roman" w:hAnsi="Verdana" w:cs="Arial"/>
          <w:color w:val="000000"/>
          <w:sz w:val="14"/>
          <w:szCs w:val="14"/>
          <w:lang w:val="es-ES" w:eastAsia="es-ES"/>
        </w:rPr>
        <w:t xml:space="preserve">a Victoria Calle Correa. </w:t>
      </w:r>
    </w:p>
    <w:p w14:paraId="1CC361F4" w14:textId="77777777" w:rsidR="005D556F" w:rsidRPr="00D047EA" w:rsidRDefault="005D556F" w:rsidP="005D556F">
      <w:pPr>
        <w:pStyle w:val="Textonotapie"/>
        <w:ind w:firstLine="709"/>
        <w:jc w:val="both"/>
        <w:rPr>
          <w:rFonts w:ascii="Verdana" w:hAnsi="Verdana" w:cs="Arial"/>
          <w:color w:val="000000"/>
          <w:sz w:val="14"/>
          <w:szCs w:val="14"/>
          <w:lang w:val="es-CO"/>
        </w:rPr>
      </w:pPr>
    </w:p>
  </w:footnote>
  <w:footnote w:id="7">
    <w:p w14:paraId="0E91A0E4" w14:textId="77777777" w:rsidR="005D556F" w:rsidRPr="00D047EA" w:rsidRDefault="005D556F" w:rsidP="005D556F">
      <w:pPr>
        <w:pStyle w:val="Textonotapie"/>
        <w:ind w:firstLine="708"/>
        <w:jc w:val="both"/>
        <w:rPr>
          <w:rFonts w:ascii="Verdana" w:hAnsi="Verdana" w:cs="Arial"/>
          <w:color w:val="000000"/>
          <w:sz w:val="14"/>
          <w:szCs w:val="14"/>
        </w:rPr>
      </w:pPr>
      <w:r w:rsidRPr="00D047EA">
        <w:rPr>
          <w:rStyle w:val="Refdenotaalpie"/>
          <w:rFonts w:ascii="Verdana" w:hAnsi="Verdana" w:cs="Arial"/>
          <w:color w:val="000000"/>
          <w:sz w:val="14"/>
          <w:szCs w:val="14"/>
        </w:rPr>
        <w:footnoteRef/>
      </w:r>
      <w:r w:rsidRPr="00D047EA">
        <w:rPr>
          <w:rFonts w:ascii="Verdana" w:hAnsi="Verdana" w:cs="Arial"/>
          <w:color w:val="000000"/>
          <w:sz w:val="14"/>
          <w:szCs w:val="14"/>
        </w:rPr>
        <w:t xml:space="preserve"> Decreto 4170 de 2011: “Artículo 3. Funciones: La Agencia Nacional de Contratación Pública –Colombia Compra Eficiente– ejercerá las siguientes funciones: [...]</w:t>
      </w:r>
    </w:p>
    <w:p w14:paraId="03D5F6BD" w14:textId="77777777" w:rsidR="005D556F" w:rsidRPr="00D047EA" w:rsidRDefault="005D556F" w:rsidP="005D556F">
      <w:pPr>
        <w:pStyle w:val="Textonotapie"/>
        <w:ind w:firstLine="708"/>
        <w:jc w:val="both"/>
        <w:rPr>
          <w:rFonts w:ascii="Verdana" w:hAnsi="Verdana" w:cs="Arial"/>
          <w:color w:val="000000"/>
          <w:sz w:val="14"/>
          <w:szCs w:val="14"/>
        </w:rPr>
      </w:pPr>
      <w:r w:rsidRPr="00D047EA">
        <w:rPr>
          <w:rFonts w:ascii="Verdana" w:hAnsi="Verdana" w:cs="Arial"/>
          <w:color w:val="000000"/>
          <w:sz w:val="14"/>
          <w:szCs w:val="14"/>
        </w:rPr>
        <w:t>8. Desarrollar y administrar el Sistema Electrónico para la Contratación Pública (SECOP) o el que haga sus veces, y gestionar nuevos desarrollos tecnológicos en los asuntos de su competencia, teniendo en cuenta los parámetros fijados por el Consejo Directivo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5pt;height:10.8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6130827"/>
    <w:multiLevelType w:val="hybridMultilevel"/>
    <w:tmpl w:val="FD24F2B6"/>
    <w:lvl w:ilvl="0" w:tplc="240A0001">
      <w:start w:val="1"/>
      <w:numFmt w:val="bullet"/>
      <w:lvlText w:val=""/>
      <w:lvlJc w:val="left"/>
      <w:pPr>
        <w:ind w:left="1429" w:hanging="360"/>
      </w:pPr>
      <w:rPr>
        <w:rFonts w:ascii="Symbol" w:hAnsi="Symbol" w:hint="default"/>
      </w:rPr>
    </w:lvl>
    <w:lvl w:ilvl="1" w:tplc="240A0003">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5425A2"/>
    <w:multiLevelType w:val="hybridMultilevel"/>
    <w:tmpl w:val="58DEB14A"/>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95A4E35"/>
    <w:multiLevelType w:val="hybridMultilevel"/>
    <w:tmpl w:val="2F461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87743A8"/>
    <w:multiLevelType w:val="hybridMultilevel"/>
    <w:tmpl w:val="6E9836E6"/>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16cid:durableId="1131292602">
    <w:abstractNumId w:val="7"/>
  </w:num>
  <w:num w:numId="2" w16cid:durableId="587078215">
    <w:abstractNumId w:val="1"/>
  </w:num>
  <w:num w:numId="3" w16cid:durableId="2098135151">
    <w:abstractNumId w:val="5"/>
  </w:num>
  <w:num w:numId="4" w16cid:durableId="259538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20805326">
    <w:abstractNumId w:val="1"/>
  </w:num>
  <w:num w:numId="6" w16cid:durableId="1580099425">
    <w:abstractNumId w:val="14"/>
  </w:num>
  <w:num w:numId="7" w16cid:durableId="126750909">
    <w:abstractNumId w:val="6"/>
  </w:num>
  <w:num w:numId="8" w16cid:durableId="1585454043">
    <w:abstractNumId w:val="13"/>
  </w:num>
  <w:num w:numId="9" w16cid:durableId="329987537">
    <w:abstractNumId w:val="8"/>
  </w:num>
  <w:num w:numId="10" w16cid:durableId="1950162430">
    <w:abstractNumId w:val="12"/>
  </w:num>
  <w:num w:numId="11" w16cid:durableId="1855147073">
    <w:abstractNumId w:val="9"/>
  </w:num>
  <w:num w:numId="12" w16cid:durableId="1201086813">
    <w:abstractNumId w:val="0"/>
  </w:num>
  <w:num w:numId="13" w16cid:durableId="1383556786">
    <w:abstractNumId w:val="3"/>
  </w:num>
  <w:num w:numId="14" w16cid:durableId="465127799">
    <w:abstractNumId w:val="15"/>
  </w:num>
  <w:num w:numId="15" w16cid:durableId="342436825">
    <w:abstractNumId w:val="11"/>
  </w:num>
  <w:num w:numId="16" w16cid:durableId="728697740">
    <w:abstractNumId w:val="4"/>
  </w:num>
  <w:num w:numId="17" w16cid:durableId="653333339">
    <w:abstractNumId w:val="10"/>
  </w:num>
  <w:num w:numId="18" w16cid:durableId="964964818">
    <w:abstractNumId w:val="2"/>
  </w:num>
  <w:num w:numId="19" w16cid:durableId="64254514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12D4"/>
    <w:rsid w:val="00037F9A"/>
    <w:rsid w:val="00046945"/>
    <w:rsid w:val="00055A4D"/>
    <w:rsid w:val="00061B2A"/>
    <w:rsid w:val="00082362"/>
    <w:rsid w:val="000A683E"/>
    <w:rsid w:val="000B19B9"/>
    <w:rsid w:val="000D0334"/>
    <w:rsid w:val="000D5DA7"/>
    <w:rsid w:val="000F6486"/>
    <w:rsid w:val="00116940"/>
    <w:rsid w:val="00125105"/>
    <w:rsid w:val="00127233"/>
    <w:rsid w:val="00132ADE"/>
    <w:rsid w:val="0015699B"/>
    <w:rsid w:val="001735B3"/>
    <w:rsid w:val="001A33BF"/>
    <w:rsid w:val="001B076E"/>
    <w:rsid w:val="001E24BC"/>
    <w:rsid w:val="001E4177"/>
    <w:rsid w:val="001F0B24"/>
    <w:rsid w:val="001F7DC6"/>
    <w:rsid w:val="0022400B"/>
    <w:rsid w:val="002421BB"/>
    <w:rsid w:val="00243382"/>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0B7"/>
    <w:rsid w:val="00466E39"/>
    <w:rsid w:val="004A1847"/>
    <w:rsid w:val="004A305D"/>
    <w:rsid w:val="004C0F39"/>
    <w:rsid w:val="004F21C4"/>
    <w:rsid w:val="004F5CED"/>
    <w:rsid w:val="004F685F"/>
    <w:rsid w:val="005566E8"/>
    <w:rsid w:val="00556E53"/>
    <w:rsid w:val="00574867"/>
    <w:rsid w:val="00591460"/>
    <w:rsid w:val="005A65E0"/>
    <w:rsid w:val="005C3777"/>
    <w:rsid w:val="005C5CDC"/>
    <w:rsid w:val="005D476C"/>
    <w:rsid w:val="005D556F"/>
    <w:rsid w:val="006200BF"/>
    <w:rsid w:val="006219F8"/>
    <w:rsid w:val="00622DC4"/>
    <w:rsid w:val="00624206"/>
    <w:rsid w:val="006302F7"/>
    <w:rsid w:val="00646B9F"/>
    <w:rsid w:val="00665D70"/>
    <w:rsid w:val="006813A7"/>
    <w:rsid w:val="006900D9"/>
    <w:rsid w:val="00706C16"/>
    <w:rsid w:val="00711E0A"/>
    <w:rsid w:val="00721D6C"/>
    <w:rsid w:val="007340C3"/>
    <w:rsid w:val="00735EF9"/>
    <w:rsid w:val="0075235A"/>
    <w:rsid w:val="00756841"/>
    <w:rsid w:val="007649AB"/>
    <w:rsid w:val="00771D0C"/>
    <w:rsid w:val="007833A3"/>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C0E04"/>
    <w:rsid w:val="008C6D48"/>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E4B36"/>
    <w:rsid w:val="009F3A13"/>
    <w:rsid w:val="00A122D3"/>
    <w:rsid w:val="00A13E5D"/>
    <w:rsid w:val="00A14468"/>
    <w:rsid w:val="00A17F13"/>
    <w:rsid w:val="00A20739"/>
    <w:rsid w:val="00A23AF9"/>
    <w:rsid w:val="00A33C78"/>
    <w:rsid w:val="00A52A38"/>
    <w:rsid w:val="00A86319"/>
    <w:rsid w:val="00AB0ADB"/>
    <w:rsid w:val="00B00C0E"/>
    <w:rsid w:val="00B01B1A"/>
    <w:rsid w:val="00B0381D"/>
    <w:rsid w:val="00B44A47"/>
    <w:rsid w:val="00B72CD3"/>
    <w:rsid w:val="00B72FFF"/>
    <w:rsid w:val="00BC3D36"/>
    <w:rsid w:val="00BD4480"/>
    <w:rsid w:val="00BD54A6"/>
    <w:rsid w:val="00BD7F72"/>
    <w:rsid w:val="00BE6DD3"/>
    <w:rsid w:val="00BF7425"/>
    <w:rsid w:val="00C04FB3"/>
    <w:rsid w:val="00C0612E"/>
    <w:rsid w:val="00C11D8B"/>
    <w:rsid w:val="00C15139"/>
    <w:rsid w:val="00C330EB"/>
    <w:rsid w:val="00C50D69"/>
    <w:rsid w:val="00C5365C"/>
    <w:rsid w:val="00C672D1"/>
    <w:rsid w:val="00C754BE"/>
    <w:rsid w:val="00C76B1C"/>
    <w:rsid w:val="00C925AC"/>
    <w:rsid w:val="00CB6357"/>
    <w:rsid w:val="00CC1B26"/>
    <w:rsid w:val="00CD1E52"/>
    <w:rsid w:val="00D047EA"/>
    <w:rsid w:val="00D361FD"/>
    <w:rsid w:val="00D423A2"/>
    <w:rsid w:val="00D44E26"/>
    <w:rsid w:val="00D520D8"/>
    <w:rsid w:val="00D63AC2"/>
    <w:rsid w:val="00D7383B"/>
    <w:rsid w:val="00D7788A"/>
    <w:rsid w:val="00DA231B"/>
    <w:rsid w:val="00DC39FC"/>
    <w:rsid w:val="00DF5254"/>
    <w:rsid w:val="00E02524"/>
    <w:rsid w:val="00E130C0"/>
    <w:rsid w:val="00E16408"/>
    <w:rsid w:val="00E20894"/>
    <w:rsid w:val="00E245AB"/>
    <w:rsid w:val="00E2764C"/>
    <w:rsid w:val="00E27F2E"/>
    <w:rsid w:val="00E35775"/>
    <w:rsid w:val="00E50AFE"/>
    <w:rsid w:val="00E75C92"/>
    <w:rsid w:val="00E771DC"/>
    <w:rsid w:val="00E8772A"/>
    <w:rsid w:val="00E90F6B"/>
    <w:rsid w:val="00E91D51"/>
    <w:rsid w:val="00E92C27"/>
    <w:rsid w:val="00EA0E3D"/>
    <w:rsid w:val="00EC38A7"/>
    <w:rsid w:val="00EE1AA8"/>
    <w:rsid w:val="00EE3ECA"/>
    <w:rsid w:val="00F13515"/>
    <w:rsid w:val="00F23FEA"/>
    <w:rsid w:val="00F31EDC"/>
    <w:rsid w:val="00F462B3"/>
    <w:rsid w:val="00F5664F"/>
    <w:rsid w:val="00F666C4"/>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DBDBC186-043C-49B8-8794-7A914B941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5D556F"/>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D556F"/>
    <w:rPr>
      <w:rFonts w:ascii="Geomanist Light" w:hAnsi="Geomanist Light"/>
      <w:lang w:val="es-ES"/>
    </w:rPr>
  </w:style>
  <w:style w:type="table" w:customStyle="1" w:styleId="Tablaconcuadrcula11">
    <w:name w:val="Tabla con cuadrícula11"/>
    <w:basedOn w:val="Tablanormal"/>
    <w:next w:val="Tablaconcuadrcula"/>
    <w:uiPriority w:val="59"/>
    <w:qFormat/>
    <w:rsid w:val="005D55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6813A7"/>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styleId="Fuerte">
    <w:name w:val="Strong"/>
    <w:basedOn w:val="Fuentedeprrafopredeter"/>
    <w:uiPriority w:val="22"/>
    <w:qFormat/>
    <w:rsid w:val="006813A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1823734">
      <w:bodyDiv w:val="1"/>
      <w:marLeft w:val="0"/>
      <w:marRight w:val="0"/>
      <w:marTop w:val="0"/>
      <w:marBottom w:val="0"/>
      <w:divBdr>
        <w:top w:val="none" w:sz="0" w:space="0" w:color="auto"/>
        <w:left w:val="none" w:sz="0" w:space="0" w:color="auto"/>
        <w:bottom w:val="none" w:sz="0" w:space="0" w:color="auto"/>
        <w:right w:val="none" w:sz="0" w:space="0" w:color="auto"/>
      </w:divBdr>
    </w:div>
    <w:div w:id="443773110">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15343735">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615820209">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nasly.mosquera%40colombiacompra.gov.co%7C7128555136e04fa6887d08dee99e1b50%7C7b09041e245149d08cb179d5e3d8c1be%7C0%7C0%7C639205062451728331%7CUnknown%7CTWFpbGZsb3d8eyJFbXB0eU1hcGkiOnRydWUsIlYiOiIwLjAuMDAwMCIsIlAiOiJXaW4zMiIsIkFOIjoiTWFpbCIsIldUIjoyfQ%3D%3D%7C0%7C%7C%7C&amp;sdata=mpBUgI4TXQKUTiyJ3t%2BZk2bDWYkbeNUXbMTuRbUjxuA%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colombiacompra.gov.co/normativa-y-relatoria/conoce-la-relatoria"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www.colombiacompra.gov.co/archivos/boletin/boletin-edicion-n-3-de-2026-radar-de-la-compra-public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veeduriavenecia@hot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nasly.mosquera%40colombiacompra.gov.co%7C7128555136e04fa6887d08dee99e1b50%7C7b09041e245149d08cb179d5e3d8c1be%7C0%7C0%7C639205062451781137%7CUnknown%7CTWFpbGZsb3d8eyJFbXB0eU1hcGkiOnRydWUsIlYiOiIwLjAuMDAwMCIsIlAiOiJXaW4zMiIsIkFOIjoiTWFpbCIsIldUIjoyfQ%3D%3D%7C0%7C%7C%7C&amp;sdata=SXRTp2tiejOc5p2GVUwQiVeHZcjBX97o%2BwIhu4ngMCc%3D&amp;reserved=0"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nasly.mosquera%40colombiacompra.gov.co%7C7128555136e04fa6887d08dee99e1b50%7C7b09041e245149d08cb179d5e3d8c1be%7C0%7C0%7C639205062451758910%7CUnknown%7CTWFpbGZsb3d8eyJFbXB0eU1hcGkiOnRydWUsIlYiOiIwLjAuMDAwMCIsIlAiOiJXaW4zMiIsIkFOIjoiTWFpbCIsIldUIjoyfQ%3D%3D%7C0%7C%7C%7C&amp;sdata=OPnXajpdAyoK0A6MfQYru7F7qDuDOdN2UPaU0NJQ1Gk%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2CF12544-0164-4BBF-953B-F09F501C75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TotalTime>
  <Pages>17</Pages>
  <Words>5590</Words>
  <Characters>30746</Characters>
  <Application>Microsoft Office Word</Application>
  <DocSecurity>0</DocSecurity>
  <Lines>256</Lines>
  <Paragraphs>72</Paragraphs>
  <ScaleCrop>false</ScaleCrop>
  <Company/>
  <LinksUpToDate>false</LinksUpToDate>
  <CharactersWithSpaces>36264</CharactersWithSpaces>
  <SharedDoc>false</SharedDoc>
  <HLinks>
    <vt:vector size="36" baseType="variant">
      <vt:variant>
        <vt:i4>589855</vt:i4>
      </vt:variant>
      <vt:variant>
        <vt:i4>15</vt:i4>
      </vt:variant>
      <vt:variant>
        <vt:i4>0</vt:i4>
      </vt:variant>
      <vt:variant>
        <vt:i4>5</vt:i4>
      </vt:variant>
      <vt:variant>
        <vt:lpwstr>https://www.colombiacompra.gov.co/archivos/boletin/boletin-edicion-n-3-de-2026-radar-de-la-compra-publica</vt:lpwstr>
      </vt:variant>
      <vt:variant>
        <vt:lpwstr/>
      </vt:variant>
      <vt:variant>
        <vt:i4>6488098</vt:i4>
      </vt:variant>
      <vt:variant>
        <vt:i4>12</vt:i4>
      </vt:variant>
      <vt:variant>
        <vt:i4>0</vt:i4>
      </vt:variant>
      <vt:variant>
        <vt:i4>5</vt:i4>
      </vt:variant>
      <vt:variant>
        <vt:lpwstr>https://nam02.safelinks.protection.outlook.com/?url=https%3A%2F%2Fwww.colombiacompra.gov.co%2Farchivos%2Fcircular%2Fcircular-externa-002-de-2026&amp;data=05%7C02%7Cnasly.mosquera%40colombiacompra.gov.co%7C7128555136e04fa6887d08dee99e1b50%7C7b09041e245149d08cb179d5e3d8c1be%7C0%7C0%7C639205062451781137%7CUnknown%7CTWFpbGZsb3d8eyJFbXB0eU1hcGkiOnRydWUsIlYiOiIwLjAuMDAwMCIsIlAiOiJXaW4zMiIsIkFOIjoiTWFpbCIsIldUIjoyfQ%3D%3D%7C0%7C%7C%7C&amp;sdata=SXRTp2tiejOc5p2GVUwQiVeHZcjBX97o%2BwIhu4ngMCc%3D&amp;reserved=0</vt:lpwstr>
      </vt:variant>
      <vt:variant>
        <vt:lpwstr/>
      </vt:variant>
      <vt:variant>
        <vt:i4>6422562</vt:i4>
      </vt:variant>
      <vt:variant>
        <vt:i4>9</vt:i4>
      </vt:variant>
      <vt:variant>
        <vt:i4>0</vt:i4>
      </vt:variant>
      <vt:variant>
        <vt:i4>5</vt:i4>
      </vt:variant>
      <vt:variant>
        <vt:lpwstr>https://nam02.safelinks.protection.outlook.com/?url=https%3A%2F%2Fwww.colombiacompra.gov.co%2Farchivos%2Fcircular%2Fcircular-externa-003-de-2026&amp;data=05%7C02%7Cnasly.mosquera%40colombiacompra.gov.co%7C7128555136e04fa6887d08dee99e1b50%7C7b09041e245149d08cb179d5e3d8c1be%7C0%7C0%7C639205062451758910%7CUnknown%7CTWFpbGZsb3d8eyJFbXB0eU1hcGkiOnRydWUsIlYiOiIwLjAuMDAwMCIsIlAiOiJXaW4zMiIsIkFOIjoiTWFpbCIsIldUIjoyfQ%3D%3D%7C0%7C%7C%7C&amp;sdata=OPnXajpdAyoK0A6MfQYru7F7qDuDOdN2UPaU0NJQ1Gk%3D&amp;reserved=0</vt:lpwstr>
      </vt:variant>
      <vt:variant>
        <vt:lpwstr/>
      </vt:variant>
      <vt:variant>
        <vt:i4>2883616</vt:i4>
      </vt:variant>
      <vt:variant>
        <vt:i4>6</vt:i4>
      </vt:variant>
      <vt:variant>
        <vt:i4>0</vt:i4>
      </vt:variant>
      <vt:variant>
        <vt:i4>5</vt:i4>
      </vt:variant>
      <vt:variant>
        <vt:lpwstr>https://nam02.safelinks.protection.outlook.com/?url=https%3A%2F%2Fwww.colombiacompra.gov.co%2Farchivos%2Fmanual%2Fguia-de-garantias-en-procesos-de-contratacion&amp;data=05%7C02%7Cnasly.mosquera%40colombiacompra.gov.co%7C7128555136e04fa6887d08dee99e1b50%7C7b09041e245149d08cb179d5e3d8c1be%7C0%7C0%7C639205062451728331%7CUnknown%7CTWFpbGZsb3d8eyJFbXB0eU1hcGkiOnRydWUsIlYiOiIwLjAuMDAwMCIsIlAiOiJXaW4zMiIsIkFOIjoiTWFpbCIsIldUIjoyfQ%3D%3D%7C0%7C%7C%7C&amp;sdata=mpBUgI4TXQKUTiyJ3t%2BZk2bDWYkbeNUXbMTuRbUjxuA%3D&amp;reserved=0</vt:lpwstr>
      </vt:variant>
      <vt:variant>
        <vt:lpwstr/>
      </vt:variant>
      <vt:variant>
        <vt:i4>6488184</vt:i4>
      </vt:variant>
      <vt:variant>
        <vt:i4>3</vt:i4>
      </vt:variant>
      <vt:variant>
        <vt:i4>0</vt:i4>
      </vt:variant>
      <vt:variant>
        <vt:i4>5</vt:i4>
      </vt:variant>
      <vt:variant>
        <vt:lpwstr>https://www.colombiacompra.gov.co/normativa-y-relatoria/conoce-la-relatoria</vt:lpwstr>
      </vt:variant>
      <vt:variant>
        <vt:lpwstr/>
      </vt:variant>
      <vt:variant>
        <vt:i4>6815835</vt:i4>
      </vt:variant>
      <vt:variant>
        <vt:i4>0</vt:i4>
      </vt:variant>
      <vt:variant>
        <vt:i4>0</vt:i4>
      </vt:variant>
      <vt:variant>
        <vt:i4>5</vt:i4>
      </vt:variant>
      <vt:variant>
        <vt:lpwstr>mailto:veeduriavenecia@hotmail.com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Nasly Yeana Mosquera Rivas</cp:lastModifiedBy>
  <cp:revision>3</cp:revision>
  <cp:lastPrinted>2023-01-11T00:18:00Z</cp:lastPrinted>
  <dcterms:created xsi:type="dcterms:W3CDTF">2026-09-28T13:07:00Z</dcterms:created>
  <dcterms:modified xsi:type="dcterms:W3CDTF">2026-09-29T21:02:00Z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