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6321F74B" w14:textId="77777777" w:rsidR="000C1656" w:rsidRPr="00E52C9F" w:rsidRDefault="000C1656" w:rsidP="000C1656">
      <w:pPr>
        <w:spacing w:after="0" w:line="240" w:lineRule="auto"/>
        <w:jc w:val="both"/>
        <w:rPr>
          <w:rFonts w:ascii="Verdana" w:eastAsia="Calibri" w:hAnsi="Verdana" w:cs="Arial"/>
          <w:b/>
          <w:lang w:eastAsia="es-ES"/>
        </w:rPr>
      </w:pPr>
      <w:r w:rsidRPr="00E52C9F">
        <w:rPr>
          <w:rFonts w:ascii="Verdana" w:eastAsia="Calibri" w:hAnsi="Verdana" w:cs="Arial"/>
          <w:b/>
          <w:lang w:eastAsia="es-ES"/>
        </w:rPr>
        <w:t>LIQUIDACIÓN DEL CONTRATO – Concepto – Naturaleza jurídica – Finalidad</w:t>
      </w:r>
    </w:p>
    <w:p w14:paraId="2918F408" w14:textId="77777777" w:rsidR="000C1656" w:rsidRPr="00E52C9F" w:rsidRDefault="000C1656" w:rsidP="000C1656">
      <w:pPr>
        <w:spacing w:after="0" w:line="240" w:lineRule="auto"/>
        <w:jc w:val="both"/>
        <w:rPr>
          <w:rFonts w:ascii="Verdana" w:eastAsia="Calibri" w:hAnsi="Verdana" w:cs="Arial"/>
          <w:b/>
          <w:sz w:val="20"/>
          <w:szCs w:val="20"/>
          <w:lang w:eastAsia="es-ES"/>
        </w:rPr>
      </w:pPr>
    </w:p>
    <w:p w14:paraId="3D568D14" w14:textId="77777777" w:rsidR="000C1656" w:rsidRPr="00E52C9F" w:rsidRDefault="000C1656" w:rsidP="000C1656">
      <w:pPr>
        <w:spacing w:after="0" w:line="240" w:lineRule="auto"/>
        <w:jc w:val="both"/>
        <w:rPr>
          <w:rFonts w:ascii="Verdana" w:eastAsia="Calibri" w:hAnsi="Verdana" w:cs="Arial"/>
          <w:sz w:val="20"/>
          <w:szCs w:val="20"/>
          <w:lang w:val="es-ES" w:eastAsia="es-ES"/>
        </w:rPr>
      </w:pPr>
      <w:r w:rsidRPr="00E52C9F">
        <w:rPr>
          <w:rFonts w:ascii="Verdana" w:eastAsia="Calibri" w:hAnsi="Verdana" w:cs="Arial"/>
          <w:bCs/>
          <w:sz w:val="20"/>
          <w:szCs w:val="20"/>
          <w:lang w:val="es-ES_tradnl" w:eastAsia="es-ES"/>
        </w:rPr>
        <w:t>[…] la liquidación del contrato estatal es el ajuste de cuentas en el cual se realiza un balance económico, técnico y jurídico del negocio. Así lo manifestó el Consejo de Estado en la sentencia del 20 de octubre de 2014, en la que consideró, por un lado, que liquidar supone un ajuste en relación con las cuentas y el estado de cumplimiento del contrato estatal y, por otro, que la liquidación debe incluir el análisis de las condiciones de calidad y oportunidad en la entrega de los bienes, obras o servicios, así como el balance económico y el comportamiento financiero del negocio</w:t>
      </w:r>
      <w:r w:rsidRPr="00E52C9F">
        <w:rPr>
          <w:rFonts w:ascii="Verdana" w:eastAsia="Calibri" w:hAnsi="Verdana" w:cs="Arial"/>
          <w:sz w:val="20"/>
          <w:szCs w:val="20"/>
          <w:lang w:eastAsia="es-ES"/>
        </w:rPr>
        <w:t>.</w:t>
      </w:r>
    </w:p>
    <w:p w14:paraId="3C6F1E9E" w14:textId="77777777" w:rsidR="000C1656" w:rsidRPr="00E52C9F" w:rsidRDefault="000C1656" w:rsidP="000C1656">
      <w:pPr>
        <w:spacing w:after="0" w:line="240" w:lineRule="auto"/>
        <w:jc w:val="both"/>
        <w:rPr>
          <w:rFonts w:ascii="Verdana" w:eastAsia="Calibri" w:hAnsi="Verdana" w:cs="Arial"/>
          <w:sz w:val="20"/>
          <w:szCs w:val="20"/>
          <w:lang w:val="es-ES" w:eastAsia="es-ES"/>
        </w:rPr>
      </w:pPr>
    </w:p>
    <w:p w14:paraId="0DF671E3" w14:textId="77777777" w:rsidR="000C1656" w:rsidRPr="00E52C9F" w:rsidRDefault="000C1656" w:rsidP="000C1656">
      <w:pPr>
        <w:spacing w:after="0" w:line="240" w:lineRule="auto"/>
        <w:jc w:val="both"/>
        <w:rPr>
          <w:rFonts w:ascii="Verdana" w:eastAsia="Calibri" w:hAnsi="Verdana" w:cs="Arial"/>
          <w:b/>
          <w:lang w:eastAsia="es-ES"/>
        </w:rPr>
      </w:pPr>
      <w:r w:rsidRPr="00E52C9F">
        <w:rPr>
          <w:rFonts w:ascii="Verdana" w:eastAsia="Calibri" w:hAnsi="Verdana" w:cs="Arial"/>
          <w:b/>
          <w:lang w:eastAsia="es-ES"/>
        </w:rPr>
        <w:t>LIQUIDACIÓN DEL CONTRATO – Tipos de liquidación – Bilateral, unilateral y liquidación judicial</w:t>
      </w:r>
    </w:p>
    <w:p w14:paraId="427BC6D0" w14:textId="77777777" w:rsidR="000C1656" w:rsidRPr="00E52C9F" w:rsidRDefault="000C1656" w:rsidP="000C1656">
      <w:pPr>
        <w:spacing w:after="0" w:line="240" w:lineRule="auto"/>
        <w:rPr>
          <w:rFonts w:ascii="Verdana" w:eastAsia="Calibri" w:hAnsi="Verdana" w:cs="Arial"/>
          <w:sz w:val="20"/>
          <w:szCs w:val="20"/>
          <w:lang w:eastAsia="es-ES"/>
        </w:rPr>
      </w:pPr>
    </w:p>
    <w:p w14:paraId="2186FFFE" w14:textId="77777777" w:rsidR="000C1656" w:rsidRDefault="000C1656" w:rsidP="000C1656">
      <w:pPr>
        <w:spacing w:after="0" w:line="240" w:lineRule="auto"/>
        <w:jc w:val="both"/>
        <w:rPr>
          <w:rFonts w:ascii="Verdana" w:eastAsia="Calibri" w:hAnsi="Verdana" w:cs="Arial"/>
          <w:bCs/>
          <w:sz w:val="20"/>
          <w:szCs w:val="20"/>
          <w:lang w:val="es-ES_tradnl" w:eastAsia="es-ES"/>
        </w:rPr>
      </w:pPr>
      <w:r w:rsidRPr="00E52C9F">
        <w:rPr>
          <w:rFonts w:ascii="Verdana" w:eastAsia="Calibri" w:hAnsi="Verdana" w:cs="Arial"/>
          <w:bCs/>
          <w:sz w:val="20"/>
          <w:szCs w:val="20"/>
          <w:lang w:val="es-ES_tradnl" w:eastAsia="es-ES"/>
        </w:rPr>
        <w:t xml:space="preserve">En suma, de acuerdo con el artículo 11 de la Ley 1150 de 2007, existen tres (3) tipos de liquidación: i) bilateral, </w:t>
      </w:r>
      <w:proofErr w:type="spellStart"/>
      <w:r w:rsidRPr="00E52C9F">
        <w:rPr>
          <w:rFonts w:ascii="Verdana" w:eastAsia="Calibri" w:hAnsi="Verdana" w:cs="Arial"/>
          <w:bCs/>
          <w:sz w:val="20"/>
          <w:szCs w:val="20"/>
          <w:lang w:val="es-ES_tradnl" w:eastAsia="es-ES"/>
        </w:rPr>
        <w:t>ii</w:t>
      </w:r>
      <w:proofErr w:type="spellEnd"/>
      <w:r w:rsidRPr="00E52C9F">
        <w:rPr>
          <w:rFonts w:ascii="Verdana" w:eastAsia="Calibri" w:hAnsi="Verdana" w:cs="Arial"/>
          <w:bCs/>
          <w:sz w:val="20"/>
          <w:szCs w:val="20"/>
          <w:lang w:val="es-ES_tradnl" w:eastAsia="es-ES"/>
        </w:rPr>
        <w:t xml:space="preserve">) unilateral y </w:t>
      </w:r>
      <w:proofErr w:type="spellStart"/>
      <w:r w:rsidRPr="00E52C9F">
        <w:rPr>
          <w:rFonts w:ascii="Verdana" w:eastAsia="Calibri" w:hAnsi="Verdana" w:cs="Arial"/>
          <w:bCs/>
          <w:sz w:val="20"/>
          <w:szCs w:val="20"/>
          <w:lang w:val="es-ES_tradnl" w:eastAsia="es-ES"/>
        </w:rPr>
        <w:t>iii</w:t>
      </w:r>
      <w:proofErr w:type="spellEnd"/>
      <w:r w:rsidRPr="00E52C9F">
        <w:rPr>
          <w:rFonts w:ascii="Verdana" w:eastAsia="Calibri" w:hAnsi="Verdana" w:cs="Arial"/>
          <w:bCs/>
          <w:sz w:val="20"/>
          <w:szCs w:val="20"/>
          <w:lang w:val="es-ES_tradnl" w:eastAsia="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5317725D" w14:textId="77777777" w:rsidR="000C1656" w:rsidRDefault="000C1656" w:rsidP="000C1656">
      <w:pPr>
        <w:spacing w:after="0" w:line="240" w:lineRule="auto"/>
        <w:jc w:val="both"/>
        <w:rPr>
          <w:rFonts w:ascii="Verdana" w:eastAsia="Calibri" w:hAnsi="Verdana" w:cs="Arial"/>
          <w:bCs/>
          <w:sz w:val="20"/>
          <w:szCs w:val="20"/>
          <w:lang w:val="es-ES_tradnl" w:eastAsia="es-ES"/>
        </w:rPr>
      </w:pPr>
    </w:p>
    <w:p w14:paraId="458B3160" w14:textId="77777777" w:rsidR="000C1656" w:rsidRPr="00E52C9F" w:rsidRDefault="000C1656" w:rsidP="000C1656">
      <w:pPr>
        <w:spacing w:after="0" w:line="240" w:lineRule="auto"/>
        <w:jc w:val="both"/>
        <w:rPr>
          <w:rFonts w:ascii="Verdana" w:eastAsia="Calibri" w:hAnsi="Verdana" w:cs="Arial"/>
          <w:b/>
          <w:lang w:eastAsia="es-ES"/>
        </w:rPr>
      </w:pPr>
      <w:r w:rsidRPr="00E52C9F">
        <w:rPr>
          <w:rFonts w:ascii="Verdana" w:eastAsia="Calibri" w:hAnsi="Verdana" w:cs="Arial"/>
          <w:b/>
          <w:lang w:eastAsia="es-ES"/>
        </w:rPr>
        <w:t xml:space="preserve">LIQUIDACIÓN DEL CONTRATO – </w:t>
      </w:r>
      <w:r>
        <w:rPr>
          <w:rFonts w:ascii="Verdana" w:eastAsia="Calibri" w:hAnsi="Verdana" w:cs="Arial"/>
          <w:b/>
          <w:lang w:eastAsia="es-ES"/>
        </w:rPr>
        <w:t>Órdenes de Compra</w:t>
      </w:r>
    </w:p>
    <w:p w14:paraId="07F216AE" w14:textId="77777777" w:rsidR="000C1656" w:rsidRDefault="000C1656" w:rsidP="000C1656">
      <w:pPr>
        <w:spacing w:after="0" w:line="240" w:lineRule="auto"/>
        <w:jc w:val="both"/>
      </w:pPr>
    </w:p>
    <w:p w14:paraId="6D5CCCC7" w14:textId="77777777" w:rsidR="000C1656" w:rsidRDefault="000C1656" w:rsidP="000C1656">
      <w:pPr>
        <w:spacing w:after="0" w:line="240" w:lineRule="auto"/>
        <w:jc w:val="both"/>
        <w:rPr>
          <w:rFonts w:ascii="Verdana" w:eastAsia="Calibri" w:hAnsi="Verdana" w:cs="Arial"/>
          <w:sz w:val="20"/>
          <w:szCs w:val="20"/>
          <w:lang w:eastAsia="es-ES"/>
        </w:rPr>
      </w:pPr>
      <w:r w:rsidRPr="003D1BCF">
        <w:rPr>
          <w:rFonts w:ascii="Verdana" w:eastAsia="Calibri" w:hAnsi="Verdana" w:cs="Arial"/>
          <w:sz w:val="20"/>
          <w:szCs w:val="20"/>
          <w:lang w:eastAsia="es-ES"/>
        </w:rPr>
        <w:t>En el caso de la liquidación de las órdenes de compra derivadas de un Acuerdo Marco de Precios (AMP) o Instrumento de Agregación de Demanda (IAD), la entidad compradora debe atenerse prioritariamente a lo establecido en las cláusulas y condiciones particulares del respectivo Acuerdo Marco de Precios y a los plazos fijados en la Orden de Compra generada a través de la Tienda Virtual del Estado Colombiano. En subsidio o ante vacíos en el Instrumento de Agregación de Demanda, aplicarán las reglas generales de liquidación contractual y los términos consagrados en la Ley 1150 de 2007</w:t>
      </w:r>
    </w:p>
    <w:p w14:paraId="1C28D7A5" w14:textId="77777777" w:rsidR="000C1656" w:rsidRPr="00E52C9F" w:rsidRDefault="000C1656" w:rsidP="000C1656">
      <w:pPr>
        <w:spacing w:after="0" w:line="240" w:lineRule="auto"/>
        <w:jc w:val="both"/>
        <w:rPr>
          <w:rFonts w:ascii="Verdana" w:eastAsia="Calibri" w:hAnsi="Verdana" w:cs="Arial"/>
          <w:sz w:val="20"/>
          <w:szCs w:val="20"/>
          <w:lang w:eastAsia="es-ES"/>
        </w:rPr>
      </w:pPr>
    </w:p>
    <w:p w14:paraId="65E59767" w14:textId="77777777" w:rsidR="000C1656" w:rsidRPr="00E52C9F" w:rsidRDefault="000C1656" w:rsidP="000C1656">
      <w:pPr>
        <w:spacing w:after="0" w:line="240" w:lineRule="auto"/>
        <w:rPr>
          <w:rFonts w:ascii="Verdana" w:eastAsia="Calibri" w:hAnsi="Verdana" w:cs="Arial"/>
          <w:sz w:val="20"/>
          <w:szCs w:val="20"/>
          <w:lang w:eastAsia="es-ES"/>
        </w:rPr>
      </w:pPr>
    </w:p>
    <w:p w14:paraId="33EE28AE" w14:textId="77777777" w:rsidR="000C1656" w:rsidRPr="00E52C9F" w:rsidRDefault="000C1656" w:rsidP="000C1656">
      <w:pPr>
        <w:spacing w:after="0" w:line="240" w:lineRule="auto"/>
        <w:jc w:val="both"/>
        <w:rPr>
          <w:rFonts w:ascii="Verdana" w:eastAsia="Calibri" w:hAnsi="Verdana" w:cs="Arial"/>
          <w:b/>
          <w:lang w:eastAsia="es-ES"/>
        </w:rPr>
      </w:pPr>
      <w:r w:rsidRPr="00E52C9F">
        <w:rPr>
          <w:rFonts w:ascii="Verdana" w:eastAsia="Calibri" w:hAnsi="Verdana" w:cs="Arial"/>
          <w:b/>
          <w:lang w:eastAsia="es-ES"/>
        </w:rPr>
        <w:t>GARANTÍA ÚNICA DE CUMPLIMIENTO – Amparos – Definición – Coberturas – Vigencia mínima</w:t>
      </w:r>
    </w:p>
    <w:p w14:paraId="529B6204" w14:textId="77777777" w:rsidR="000C1656" w:rsidRPr="00E52C9F" w:rsidRDefault="000C1656" w:rsidP="000C1656">
      <w:pPr>
        <w:spacing w:after="0" w:line="240" w:lineRule="auto"/>
        <w:jc w:val="both"/>
        <w:rPr>
          <w:rFonts w:ascii="Verdana" w:eastAsia="Calibri" w:hAnsi="Verdana" w:cs="Arial"/>
          <w:sz w:val="20"/>
          <w:szCs w:val="20"/>
          <w:lang w:eastAsia="es-ES"/>
        </w:rPr>
      </w:pPr>
    </w:p>
    <w:p w14:paraId="2E0C263F" w14:textId="77777777" w:rsidR="000C1656" w:rsidRPr="00E52C9F" w:rsidRDefault="000C1656" w:rsidP="000C1656">
      <w:pPr>
        <w:spacing w:after="0" w:line="240" w:lineRule="auto"/>
        <w:jc w:val="both"/>
        <w:rPr>
          <w:rFonts w:ascii="Verdana" w:eastAsia="Calibri" w:hAnsi="Verdana" w:cs="Arial"/>
          <w:sz w:val="20"/>
          <w:szCs w:val="20"/>
          <w:lang w:eastAsia="es-ES"/>
        </w:rPr>
      </w:pPr>
      <w:r w:rsidRPr="00E52C9F">
        <w:rPr>
          <w:rFonts w:ascii="Verdana" w:eastAsia="Calibri" w:hAnsi="Verdana" w:cs="Arial"/>
          <w:sz w:val="20"/>
          <w:szCs w:val="20"/>
          <w:lang w:eastAsia="es-ES"/>
        </w:rPr>
        <w:t xml:space="preserve">Ahora bien, la suficiencia de la garantía de cumplimiento, sobre la que se consulta, debe entenderse a la luz de este marco temporal. El artículo 2.2.1.2.3.1.12 del Decreto 1082 </w:t>
      </w:r>
      <w:r w:rsidRPr="00E52C9F">
        <w:rPr>
          <w:rFonts w:ascii="Verdana" w:eastAsia="Calibri" w:hAnsi="Verdana" w:cs="Arial"/>
          <w:sz w:val="20"/>
          <w:szCs w:val="20"/>
          <w:lang w:eastAsia="es-ES"/>
        </w:rPr>
        <w:lastRenderedPageBreak/>
        <w:t>de 2015 establece que el amparo de cumplimiento “deberá tener una vigencia mínima hasta la liquidación del contrato”. Conforme la norma citada,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p>
    <w:p w14:paraId="2323FCDB" w14:textId="77777777" w:rsidR="000C1656" w:rsidRPr="00E52C9F" w:rsidRDefault="000C1656" w:rsidP="000C1656">
      <w:pPr>
        <w:spacing w:after="0" w:line="240" w:lineRule="auto"/>
        <w:jc w:val="both"/>
        <w:rPr>
          <w:rFonts w:ascii="Verdana" w:eastAsia="Calibri" w:hAnsi="Verdana" w:cs="Arial"/>
          <w:sz w:val="20"/>
          <w:szCs w:val="20"/>
          <w:lang w:eastAsia="es-ES"/>
        </w:rPr>
      </w:pPr>
    </w:p>
    <w:p w14:paraId="36A8195A" w14:textId="77777777" w:rsidR="000C1656" w:rsidRPr="00E52C9F" w:rsidRDefault="000C1656" w:rsidP="000C1656">
      <w:pPr>
        <w:spacing w:after="0" w:line="240" w:lineRule="auto"/>
        <w:jc w:val="both"/>
        <w:rPr>
          <w:rFonts w:ascii="Verdana" w:eastAsia="Calibri" w:hAnsi="Verdana" w:cs="Arial"/>
          <w:b/>
          <w:lang w:eastAsia="es-ES"/>
        </w:rPr>
      </w:pPr>
      <w:r w:rsidRPr="00E52C9F">
        <w:rPr>
          <w:rFonts w:ascii="Verdana" w:eastAsia="Calibri" w:hAnsi="Verdana" w:cs="Arial"/>
          <w:b/>
          <w:lang w:eastAsia="es-ES"/>
        </w:rPr>
        <w:t>DECRETO 1082 DE 2015 – Régimen de garantías – Definición de amparos – Reglas sobre suficiencia y vigencia</w:t>
      </w:r>
    </w:p>
    <w:p w14:paraId="69E16995" w14:textId="77777777" w:rsidR="000C1656" w:rsidRPr="00E52C9F" w:rsidRDefault="000C1656" w:rsidP="000C1656">
      <w:pPr>
        <w:spacing w:after="0" w:line="240" w:lineRule="auto"/>
        <w:jc w:val="both"/>
        <w:rPr>
          <w:rFonts w:ascii="Verdana" w:eastAsia="Calibri" w:hAnsi="Verdana" w:cs="Arial"/>
          <w:sz w:val="20"/>
          <w:szCs w:val="20"/>
          <w:lang w:eastAsia="es-ES"/>
        </w:rPr>
      </w:pPr>
    </w:p>
    <w:p w14:paraId="079C7BCF" w14:textId="77777777" w:rsidR="000C1656" w:rsidRPr="00E52C9F" w:rsidRDefault="000C1656" w:rsidP="000C1656">
      <w:pPr>
        <w:spacing w:after="0" w:line="240" w:lineRule="auto"/>
        <w:jc w:val="both"/>
        <w:rPr>
          <w:rFonts w:ascii="Verdana" w:eastAsia="Calibri" w:hAnsi="Verdana" w:cs="Arial"/>
          <w:sz w:val="20"/>
          <w:szCs w:val="20"/>
          <w:lang w:eastAsia="es-ES"/>
        </w:rPr>
      </w:pPr>
      <w:r w:rsidRPr="00E52C9F">
        <w:rPr>
          <w:rFonts w:ascii="Verdana" w:eastAsia="Calibri" w:hAnsi="Verdana" w:cs="Arial"/>
          <w:sz w:val="20"/>
          <w:szCs w:val="20"/>
          <w:lang w:eastAsia="es-ES"/>
        </w:rPr>
        <w:t>En ese orden, no existe una regla legal que imponga, para los amparos de calidad del servicio o de calidad y correcto funcionamiento de los bienes, un plazo uniforme equivalente al período de ejecución más treinta meses. Ese plazo solo sería admisible si corresponde a una determinación contractual soportada en un estudio de riesgos que así lo justifique. Tampoco existe fundamento legal para aplicar de manera general la regla utilizada en algunos Acuerdos Marco de “plazo de la orden más seis meses”, pues esa fórmula corresponde exclusivamente a las decisiones regulatorias para ese instrumento contractual y no se proyecta automáticamente sobre los procesos de selección ordinarios. Los amparos deben responder a la naturaleza específica del riesgo y a la duración temporal del mismo.</w:t>
      </w:r>
    </w:p>
    <w:p w14:paraId="19465F49" w14:textId="77777777" w:rsidR="000C1656" w:rsidRPr="00E52C9F" w:rsidRDefault="000C1656" w:rsidP="000C1656">
      <w:pPr>
        <w:spacing w:after="0" w:line="240" w:lineRule="auto"/>
        <w:rPr>
          <w:rFonts w:ascii="Verdana" w:eastAsia="Calibri" w:hAnsi="Verdana" w:cs="Arial"/>
          <w:sz w:val="20"/>
          <w:szCs w:val="20"/>
          <w:lang w:eastAsia="es-ES"/>
        </w:rPr>
      </w:pPr>
    </w:p>
    <w:p w14:paraId="3BC23801" w14:textId="77777777" w:rsidR="000C1656" w:rsidRPr="00E52C9F" w:rsidRDefault="000C1656" w:rsidP="000C1656">
      <w:pPr>
        <w:spacing w:after="0" w:line="240" w:lineRule="auto"/>
        <w:rPr>
          <w:rFonts w:ascii="Verdana" w:eastAsia="Calibri" w:hAnsi="Verdana" w:cs="Arial"/>
          <w:sz w:val="20"/>
          <w:szCs w:val="20"/>
          <w:lang w:eastAsia="es-ES"/>
        </w:rPr>
      </w:pPr>
      <w:r w:rsidRPr="00E52C9F">
        <w:rPr>
          <w:rFonts w:ascii="Verdana" w:eastAsia="Calibri" w:hAnsi="Verdana" w:cs="Arial"/>
          <w:sz w:val="20"/>
          <w:szCs w:val="20"/>
          <w:lang w:eastAsia="es-ES"/>
        </w:rPr>
        <w:t>[…]</w:t>
      </w:r>
    </w:p>
    <w:p w14:paraId="24EB58F4" w14:textId="77777777" w:rsidR="000C1656" w:rsidRPr="00E52C9F" w:rsidRDefault="000C1656" w:rsidP="000C1656">
      <w:pPr>
        <w:spacing w:after="0" w:line="240" w:lineRule="auto"/>
        <w:rPr>
          <w:rFonts w:ascii="Verdana" w:eastAsia="Calibri" w:hAnsi="Verdana" w:cs="Arial"/>
          <w:sz w:val="20"/>
          <w:szCs w:val="20"/>
          <w:lang w:eastAsia="es-ES"/>
        </w:rPr>
      </w:pPr>
    </w:p>
    <w:p w14:paraId="73C05344" w14:textId="77777777" w:rsidR="000C1656" w:rsidRDefault="000C1656" w:rsidP="000C1656">
      <w:pPr>
        <w:spacing w:after="0" w:line="240" w:lineRule="auto"/>
        <w:jc w:val="both"/>
      </w:pPr>
      <w:r w:rsidRPr="00E52C9F">
        <w:rPr>
          <w:rFonts w:ascii="Verdana" w:eastAsia="Calibri" w:hAnsi="Verdana" w:cs="Arial"/>
          <w:sz w:val="20"/>
          <w:szCs w:val="20"/>
          <w:lang w:eastAsia="es-ES"/>
        </w:rPr>
        <w:t>En consecuencia, al integrar las reglas legales sobre la liquidación de los contratos estatales, la jurisprudencia reiterada del Consejo de Estado sobre la competencia de la administración durante dicha etapa, y el contenido de los artículos 2.2.1.2.3.1.12, 2.2.1.2.3.1.15 y 2.2.1.2.3.1.16 del Decreto 1082 de 2015, se evidencia que la determinación de la vigencia de los amparos de la garantía única de cumplimiento no puede desvincularse del período en que el contrato permanece jurídicamente abierto, ni de la duración real de los riesgos que cada amparo está llamado a cubrir. La vigencia de los amparos debe extenderse, como mínimo, hasta el cierre integral de la relación contractual, el cual solo se consolida con la liquidación en cualquiera de sus modalidades. Y en el caso de los amparos de calidad del servicio y de calidad y correcto funcionamiento de los bienes, la extensión adicional de su vigencia debe corresponder al análisis técnico del riesgo y no a la aplicación automática de plazos uniformes no previstos en la ley. Toda determinación que restrinja la vigencia a la mera ejecución, o que establezca un término fijo sin justificación en el estudio de riesgos, desconocería la competencia de la administración para declarar incumplimientos durante la liquidación y comprometería la suficiencia de la garantía.</w:t>
      </w:r>
      <w:r w:rsidRPr="003D1BCF">
        <w:t xml:space="preserve"> </w:t>
      </w:r>
    </w:p>
    <w:p w14:paraId="3447549C" w14:textId="77777777" w:rsidR="000C1656" w:rsidRDefault="000C1656" w:rsidP="000C1656">
      <w:pPr>
        <w:spacing w:after="0" w:line="240" w:lineRule="auto"/>
        <w:jc w:val="both"/>
      </w:pPr>
    </w:p>
    <w:p w14:paraId="2F85B6B8" w14:textId="77777777" w:rsidR="000C1656" w:rsidRPr="00BA2580" w:rsidRDefault="000C1656" w:rsidP="000C1656">
      <w:pPr>
        <w:spacing w:after="0" w:line="278" w:lineRule="auto"/>
        <w:jc w:val="both"/>
        <w:rPr>
          <w:rFonts w:ascii="Verdana" w:eastAsia="Aptos" w:hAnsi="Verdana" w:cs="Times New Roman"/>
          <w:kern w:val="2"/>
          <w14:ligatures w14:val="standardContextual"/>
        </w:rPr>
      </w:pPr>
    </w:p>
    <w:p w14:paraId="37BF86B6" w14:textId="77777777" w:rsidR="000C1656" w:rsidRPr="006263D8" w:rsidRDefault="000C1656" w:rsidP="000C1656">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499FD41A" w14:textId="77777777" w:rsidR="000C1656" w:rsidRDefault="000C1656" w:rsidP="000C1656">
      <w:pPr>
        <w:spacing w:after="0" w:line="240" w:lineRule="auto"/>
        <w:rPr>
          <w:rFonts w:ascii="Verdana" w:eastAsia="Geomanist Light" w:hAnsi="Verdana" w:cs="Arial"/>
          <w:color w:val="000000" w:themeColor="text1"/>
          <w:lang w:val="es-MX"/>
        </w:rPr>
      </w:pPr>
    </w:p>
    <w:p w14:paraId="1398B713" w14:textId="77777777" w:rsidR="000C1656" w:rsidRDefault="000C1656" w:rsidP="000C1656">
      <w:pPr>
        <w:spacing w:after="0" w:line="240" w:lineRule="auto"/>
        <w:rPr>
          <w:rFonts w:ascii="Verdana" w:eastAsia="Geomanist Light" w:hAnsi="Verdana" w:cs="Arial"/>
          <w:color w:val="000000" w:themeColor="text1"/>
          <w:lang w:val="es-MX"/>
        </w:rPr>
      </w:pPr>
    </w:p>
    <w:p w14:paraId="64B40E45" w14:textId="77777777" w:rsidR="000C1656" w:rsidRDefault="000C1656" w:rsidP="000C1656">
      <w:pPr>
        <w:spacing w:after="0" w:line="240" w:lineRule="auto"/>
        <w:rPr>
          <w:rFonts w:ascii="Verdana" w:eastAsia="Geomanist Light" w:hAnsi="Verdana" w:cs="Arial"/>
          <w:color w:val="000000" w:themeColor="text1"/>
          <w:lang w:val="es-MX"/>
        </w:rPr>
      </w:pPr>
    </w:p>
    <w:p w14:paraId="584E02F9" w14:textId="49C5E411" w:rsidR="000C1656" w:rsidRPr="0015699B" w:rsidRDefault="000C1656" w:rsidP="000C1656">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sidR="003934EB">
        <w:rPr>
          <w:rFonts w:ascii="Verdana" w:eastAsia="Verdana" w:hAnsi="Verdana" w:cs="Verdana"/>
          <w:color w:val="000000" w:themeColor="text1"/>
          <w:lang w:val="es"/>
        </w:rPr>
        <w:t>2</w:t>
      </w:r>
      <w:r w:rsidR="00CD7C14">
        <w:rPr>
          <w:rFonts w:ascii="Verdana" w:eastAsia="Verdana" w:hAnsi="Verdana" w:cs="Verdana"/>
          <w:color w:val="000000" w:themeColor="text1"/>
          <w:lang w:val="es"/>
        </w:rPr>
        <w:t>1</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43D4FB26" w14:textId="77777777" w:rsidR="000C1656" w:rsidRDefault="000C1656" w:rsidP="000C1656">
      <w:pPr>
        <w:spacing w:after="0" w:line="240" w:lineRule="auto"/>
        <w:jc w:val="both"/>
        <w:textAlignment w:val="baseline"/>
        <w:rPr>
          <w:rFonts w:ascii="Verdana" w:eastAsia="Verdana" w:hAnsi="Verdana" w:cs="Verdana"/>
          <w:color w:val="000000" w:themeColor="text1"/>
          <w:lang w:val="es"/>
        </w:rPr>
      </w:pPr>
    </w:p>
    <w:p w14:paraId="76AE44B6" w14:textId="49B3B6A1" w:rsidR="00CD7C14" w:rsidRDefault="00CD7C14" w:rsidP="00CD7C14">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7E331239" wp14:editId="749D1822">
            <wp:extent cx="3067050" cy="866775"/>
            <wp:effectExtent l="0" t="0" r="0" b="9525"/>
            <wp:docPr id="5746879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866775"/>
                    </a:xfrm>
                    <a:prstGeom prst="rect">
                      <a:avLst/>
                    </a:prstGeom>
                    <a:noFill/>
                    <a:ln>
                      <a:noFill/>
                    </a:ln>
                  </pic:spPr>
                </pic:pic>
              </a:graphicData>
            </a:graphic>
          </wp:inline>
        </w:drawing>
      </w:r>
    </w:p>
    <w:p w14:paraId="61A1B75A" w14:textId="77777777" w:rsidR="00CD7C14" w:rsidRDefault="00CD7C14" w:rsidP="000C1656">
      <w:pPr>
        <w:spacing w:after="0" w:line="240" w:lineRule="auto"/>
        <w:jc w:val="both"/>
        <w:textAlignment w:val="baseline"/>
        <w:rPr>
          <w:rFonts w:ascii="Verdana" w:eastAsia="Verdana" w:hAnsi="Verdana" w:cs="Verdana"/>
          <w:color w:val="000000" w:themeColor="text1"/>
          <w:lang w:val="es"/>
        </w:rPr>
      </w:pPr>
    </w:p>
    <w:p w14:paraId="73D4AC0E" w14:textId="77777777" w:rsidR="00CD7C14" w:rsidRDefault="00CD7C14" w:rsidP="000C1656">
      <w:pPr>
        <w:spacing w:after="0" w:line="240" w:lineRule="auto"/>
        <w:jc w:val="both"/>
        <w:textAlignment w:val="baseline"/>
        <w:rPr>
          <w:rFonts w:ascii="Verdana" w:eastAsia="Verdana" w:hAnsi="Verdana" w:cs="Verdana"/>
          <w:color w:val="000000" w:themeColor="text1"/>
          <w:lang w:val="es"/>
        </w:rPr>
      </w:pPr>
    </w:p>
    <w:p w14:paraId="5CB3C1D6" w14:textId="77777777" w:rsidR="000C1656" w:rsidRDefault="000C1656" w:rsidP="000C1656">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r>
        <w:rPr>
          <w:rFonts w:ascii="Verdana" w:eastAsia="Verdana" w:hAnsi="Verdana" w:cs="Verdana"/>
          <w:color w:val="000000" w:themeColor="text1"/>
          <w:lang w:val="es"/>
        </w:rPr>
        <w:t>a</w:t>
      </w:r>
    </w:p>
    <w:p w14:paraId="77201132" w14:textId="77777777" w:rsidR="000C1656" w:rsidRPr="00D70045" w:rsidRDefault="000C1656" w:rsidP="000C1656">
      <w:pPr>
        <w:spacing w:after="0" w:line="240" w:lineRule="auto"/>
        <w:jc w:val="both"/>
        <w:textAlignment w:val="baseline"/>
        <w:rPr>
          <w:rFonts w:ascii="Verdana" w:hAnsi="Verdana"/>
          <w:b/>
          <w:bCs/>
        </w:rPr>
      </w:pPr>
      <w:r w:rsidRPr="00F34E43">
        <w:rPr>
          <w:rFonts w:ascii="Verdana" w:hAnsi="Verdana"/>
          <w:b/>
          <w:bCs/>
        </w:rPr>
        <w:t>LUZ ANGELA AMAYA HERNANDEZ</w:t>
      </w:r>
    </w:p>
    <w:p w14:paraId="24409EEE" w14:textId="77777777" w:rsidR="000C1656" w:rsidRPr="00D70045" w:rsidRDefault="000C1656" w:rsidP="000C1656">
      <w:pPr>
        <w:spacing w:after="0" w:line="240" w:lineRule="auto"/>
        <w:jc w:val="both"/>
        <w:textAlignment w:val="baseline"/>
        <w:rPr>
          <w:rFonts w:ascii="Verdana" w:hAnsi="Verdana"/>
        </w:rPr>
      </w:pPr>
      <w:hyperlink r:id="rId11" w:history="1">
        <w:r w:rsidRPr="00CF54F9">
          <w:rPr>
            <w:rStyle w:val="Hipervnculo"/>
            <w:rFonts w:ascii="Verdana" w:hAnsi="Verdana"/>
          </w:rPr>
          <w:t>luz.amaya@mindefensa.gov.co</w:t>
        </w:r>
      </w:hyperlink>
      <w:r>
        <w:rPr>
          <w:rFonts w:ascii="Verdana" w:hAnsi="Verdana"/>
        </w:rPr>
        <w:t xml:space="preserve"> </w:t>
      </w:r>
    </w:p>
    <w:p w14:paraId="5E1DDC5D" w14:textId="77777777" w:rsidR="000C1656" w:rsidRDefault="000C1656" w:rsidP="000C1656">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3A9BB5B3" w14:textId="77777777" w:rsidR="000C1656" w:rsidRPr="003D5882" w:rsidRDefault="000C1656" w:rsidP="000C1656">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0C1656" w14:paraId="574917EE" w14:textId="77777777" w:rsidTr="006C464A">
        <w:trPr>
          <w:trHeight w:val="615"/>
        </w:trPr>
        <w:tc>
          <w:tcPr>
            <w:tcW w:w="2265" w:type="dxa"/>
            <w:shd w:val="clear" w:color="auto" w:fill="FFFFFF" w:themeFill="background1"/>
            <w:tcMar>
              <w:left w:w="108" w:type="dxa"/>
              <w:right w:w="108" w:type="dxa"/>
            </w:tcMar>
          </w:tcPr>
          <w:p w14:paraId="02966CAC" w14:textId="77777777" w:rsidR="000C1656" w:rsidRDefault="000C1656" w:rsidP="006C464A">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FD3B163" w14:textId="16FE6429" w:rsidR="000C1656" w:rsidRDefault="000C1656" w:rsidP="006C464A">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w:t>
            </w:r>
            <w:r w:rsidR="003934EB">
              <w:rPr>
                <w:rFonts w:ascii="Verdana" w:eastAsia="Verdana" w:hAnsi="Verdana" w:cs="Verdana"/>
                <w:b/>
                <w:bCs/>
                <w:color w:val="000000" w:themeColor="text1"/>
                <w:lang w:val="es"/>
              </w:rPr>
              <w:t>194</w:t>
            </w:r>
            <w:r>
              <w:rPr>
                <w:rFonts w:ascii="Verdana" w:eastAsia="Verdana" w:hAnsi="Verdana" w:cs="Verdana"/>
                <w:b/>
                <w:bCs/>
                <w:color w:val="000000" w:themeColor="text1"/>
                <w:lang w:val="es"/>
              </w:rPr>
              <w:t xml:space="preserve"> </w:t>
            </w:r>
            <w:r w:rsidRPr="40A87941">
              <w:rPr>
                <w:rFonts w:ascii="Verdana" w:eastAsia="Verdana" w:hAnsi="Verdana" w:cs="Verdana"/>
                <w:b/>
                <w:bCs/>
                <w:color w:val="000000" w:themeColor="text1"/>
                <w:lang w:val="es"/>
              </w:rPr>
              <w:t>de 2026</w:t>
            </w:r>
          </w:p>
        </w:tc>
      </w:tr>
      <w:tr w:rsidR="000C1656" w:rsidRPr="004F242E" w14:paraId="65564EB4" w14:textId="77777777" w:rsidTr="006C464A">
        <w:trPr>
          <w:trHeight w:val="1065"/>
        </w:trPr>
        <w:tc>
          <w:tcPr>
            <w:tcW w:w="2265" w:type="dxa"/>
            <w:shd w:val="clear" w:color="auto" w:fill="FFFFFF" w:themeFill="background1"/>
            <w:tcMar>
              <w:left w:w="108" w:type="dxa"/>
              <w:right w:w="108" w:type="dxa"/>
            </w:tcMar>
          </w:tcPr>
          <w:p w14:paraId="2A27E4B2" w14:textId="77777777" w:rsidR="000C1656" w:rsidRDefault="000C1656" w:rsidP="006C464A">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577D5555" w14:textId="77777777" w:rsidR="000C1656" w:rsidRDefault="000C1656" w:rsidP="006C464A">
            <w:pPr>
              <w:spacing w:line="276" w:lineRule="auto"/>
              <w:jc w:val="both"/>
              <w:rPr>
                <w:rFonts w:ascii="Verdana" w:eastAsia="Calibri" w:hAnsi="Verdana" w:cs="Arial"/>
                <w:lang w:val="es-ES" w:eastAsia="es-ES"/>
              </w:rPr>
            </w:pPr>
            <w:r w:rsidRPr="005A4AC7">
              <w:rPr>
                <w:rFonts w:ascii="Verdana" w:eastAsia="Calibri" w:hAnsi="Verdana" w:cs="Arial"/>
                <w:lang w:val="es-ES" w:eastAsia="es-ES"/>
              </w:rPr>
              <w:t xml:space="preserve">LIQUIDACIÓN DEL CONTRATO – Concepto – Naturaleza jurídica – Finalidad / LIQUIDACIÓN DEL CONTRATO – Tipos de liquidación – Bilateral, unilateral y liquidación judicial / </w:t>
            </w:r>
            <w:r w:rsidRPr="003D1BCF">
              <w:rPr>
                <w:rFonts w:ascii="Verdana" w:eastAsia="Calibri" w:hAnsi="Verdana" w:cs="Arial"/>
                <w:lang w:val="es-ES" w:eastAsia="es-ES"/>
              </w:rPr>
              <w:t>LIQUIDACIÓN DEL CONTRATO – Órdenes de Compra</w:t>
            </w:r>
            <w:r>
              <w:rPr>
                <w:rFonts w:ascii="Verdana" w:eastAsia="Calibri" w:hAnsi="Verdana" w:cs="Arial"/>
                <w:lang w:val="es-ES" w:eastAsia="es-ES"/>
              </w:rPr>
              <w:t xml:space="preserve"> / </w:t>
            </w:r>
            <w:r w:rsidRPr="005A4AC7">
              <w:rPr>
                <w:rFonts w:ascii="Verdana" w:eastAsia="Calibri" w:hAnsi="Verdana" w:cs="Arial"/>
                <w:lang w:val="es-ES" w:eastAsia="es-ES"/>
              </w:rPr>
              <w:t>GARANTÍA ÚNICA DE CUMPLIMIENTO – Amparos – Definición – Coberturas – Vigencia mínima / DECRETO 1082 DE 2015 – Régimen de garantías – Definición de amparos – Reglas sobre suficiencia y vigencia</w:t>
            </w:r>
          </w:p>
          <w:p w14:paraId="7E3F8175" w14:textId="77777777" w:rsidR="000C1656" w:rsidRPr="00967C68" w:rsidRDefault="000C1656" w:rsidP="006C464A">
            <w:pPr>
              <w:spacing w:line="276" w:lineRule="auto"/>
              <w:jc w:val="both"/>
              <w:rPr>
                <w:highlight w:val="yellow"/>
              </w:rPr>
            </w:pPr>
          </w:p>
        </w:tc>
      </w:tr>
      <w:tr w:rsidR="000C1656" w14:paraId="2BFD71E3" w14:textId="77777777" w:rsidTr="006C464A">
        <w:trPr>
          <w:trHeight w:val="660"/>
        </w:trPr>
        <w:tc>
          <w:tcPr>
            <w:tcW w:w="2265" w:type="dxa"/>
            <w:shd w:val="clear" w:color="auto" w:fill="FFFFFF" w:themeFill="background1"/>
            <w:tcMar>
              <w:left w:w="108" w:type="dxa"/>
              <w:right w:w="108" w:type="dxa"/>
            </w:tcMar>
          </w:tcPr>
          <w:p w14:paraId="3B162A21" w14:textId="77777777" w:rsidR="000C1656" w:rsidRDefault="000C1656" w:rsidP="006C464A">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5C5B0C8D" w14:textId="77777777" w:rsidR="000C1656" w:rsidRDefault="000C1656" w:rsidP="006C464A">
            <w:pPr>
              <w:ind w:right="1"/>
              <w:jc w:val="both"/>
            </w:pPr>
            <w:r w:rsidRPr="39124533">
              <w:rPr>
                <w:rFonts w:ascii="Verdana" w:eastAsia="Verdana" w:hAnsi="Verdana" w:cs="Verdana"/>
                <w:color w:val="000000" w:themeColor="text1"/>
              </w:rPr>
              <w:t xml:space="preserve">Respuesta a consulta con radicado N.º </w:t>
            </w:r>
            <w:r w:rsidRPr="00AA3040">
              <w:rPr>
                <w:rFonts w:ascii="Verdana" w:eastAsia="Verdana" w:hAnsi="Verdana" w:cs="Verdana"/>
                <w:color w:val="000000" w:themeColor="text1"/>
              </w:rPr>
              <w:t>1_2026_09_09_01201</w:t>
            </w:r>
            <w:r>
              <w:rPr>
                <w:rFonts w:ascii="Verdana" w:eastAsia="Verdana" w:hAnsi="Verdana" w:cs="Verdana"/>
                <w:color w:val="000000" w:themeColor="text1"/>
              </w:rPr>
              <w:t xml:space="preserve">0 acumulado con el </w:t>
            </w:r>
            <w:r w:rsidRPr="00CC033E">
              <w:rPr>
                <w:rFonts w:ascii="Verdana" w:eastAsia="Verdana" w:hAnsi="Verdana" w:cs="Verdana"/>
                <w:color w:val="000000" w:themeColor="text1"/>
              </w:rPr>
              <w:t>1_2026_09_09_01201</w:t>
            </w:r>
            <w:r>
              <w:rPr>
                <w:rFonts w:ascii="Verdana" w:eastAsia="Verdana" w:hAnsi="Verdana" w:cs="Verdana"/>
                <w:color w:val="000000" w:themeColor="text1"/>
              </w:rPr>
              <w:t>1.</w:t>
            </w:r>
          </w:p>
        </w:tc>
      </w:tr>
    </w:tbl>
    <w:p w14:paraId="3506E430" w14:textId="77777777" w:rsidR="000C1656" w:rsidRPr="001D2321" w:rsidRDefault="000C1656" w:rsidP="000C1656">
      <w:pPr>
        <w:spacing w:after="0" w:line="276" w:lineRule="auto"/>
        <w:jc w:val="both"/>
        <w:textAlignment w:val="baseline"/>
        <w:rPr>
          <w:rFonts w:ascii="Verdana" w:eastAsia="Verdana" w:hAnsi="Verdana" w:cs="Verdana"/>
          <w:b/>
          <w:bCs/>
          <w:color w:val="000000" w:themeColor="text1"/>
          <w:lang w:val="es"/>
        </w:rPr>
      </w:pPr>
    </w:p>
    <w:p w14:paraId="646CCD4B" w14:textId="77777777" w:rsidR="000C1656" w:rsidRPr="0015699B" w:rsidRDefault="000C1656" w:rsidP="000C165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a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a Amaya</w:t>
      </w:r>
      <w:r w:rsidRPr="40A87941">
        <w:rPr>
          <w:rFonts w:ascii="Verdana" w:eastAsia="Verdana" w:hAnsi="Verdana" w:cs="Verdana"/>
          <w:color w:val="000000" w:themeColor="text1"/>
          <w:lang w:val="es"/>
        </w:rPr>
        <w:t>;</w:t>
      </w:r>
    </w:p>
    <w:p w14:paraId="3D0C9781" w14:textId="77777777" w:rsidR="000C1656" w:rsidRDefault="000C1656" w:rsidP="000C1656">
      <w:pPr>
        <w:spacing w:after="120" w:line="276" w:lineRule="auto"/>
        <w:jc w:val="both"/>
        <w:textAlignment w:val="baseline"/>
        <w:rPr>
          <w:rFonts w:ascii="Verdana" w:eastAsia="Verdana" w:hAnsi="Verdana" w:cs="Verdana"/>
          <w:color w:val="000000" w:themeColor="text1"/>
          <w:lang w:val="es-ES"/>
        </w:rPr>
      </w:pPr>
    </w:p>
    <w:p w14:paraId="271D00DD" w14:textId="77777777" w:rsidR="000C1656" w:rsidRDefault="000C1656" w:rsidP="000C1656">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w:t>
      </w:r>
      <w:r w:rsidRPr="39124533">
        <w:rPr>
          <w:rFonts w:ascii="Verdana" w:eastAsia="Verdana" w:hAnsi="Verdana" w:cs="Verdana"/>
          <w:color w:val="000000" w:themeColor="text1"/>
          <w:lang w:val="es-ES"/>
        </w:rPr>
        <w:lastRenderedPageBreak/>
        <w:t xml:space="preserve">radicada ante esta entidad el </w:t>
      </w:r>
      <w:r>
        <w:rPr>
          <w:rFonts w:ascii="Verdana" w:eastAsia="Verdana" w:hAnsi="Verdana" w:cs="Verdana"/>
          <w:color w:val="000000" w:themeColor="text1"/>
          <w:lang w:val="es-ES"/>
        </w:rPr>
        <w:t>09</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1EB6DF53" w14:textId="77777777" w:rsidR="000C1656" w:rsidRDefault="000C1656" w:rsidP="000C1656">
      <w:pPr>
        <w:ind w:left="567" w:right="758"/>
        <w:jc w:val="both"/>
        <w:rPr>
          <w:rFonts w:ascii="Verdana" w:hAnsi="Verdana"/>
          <w:sz w:val="21"/>
          <w:szCs w:val="21"/>
        </w:rPr>
      </w:pPr>
      <w:r w:rsidRPr="00161DA1">
        <w:rPr>
          <w:rFonts w:ascii="Verdana" w:hAnsi="Verdana"/>
          <w:sz w:val="21"/>
          <w:szCs w:val="21"/>
        </w:rPr>
        <w:t>“</w:t>
      </w:r>
      <w:r w:rsidRPr="00A75A5D">
        <w:rPr>
          <w:rFonts w:ascii="Verdana" w:hAnsi="Verdana"/>
          <w:sz w:val="21"/>
          <w:szCs w:val="21"/>
        </w:rPr>
        <w:t>1.cuál es la pauta a seguir para la liquidación de los contratos de</w:t>
      </w:r>
      <w:r>
        <w:rPr>
          <w:rFonts w:ascii="Verdana" w:hAnsi="Verdana"/>
          <w:sz w:val="21"/>
          <w:szCs w:val="21"/>
        </w:rPr>
        <w:t xml:space="preserve"> </w:t>
      </w:r>
      <w:r w:rsidRPr="00A75A5D">
        <w:rPr>
          <w:rFonts w:ascii="Verdana" w:hAnsi="Verdana"/>
          <w:sz w:val="21"/>
          <w:szCs w:val="21"/>
        </w:rPr>
        <w:t>suscripciones, créditos, renovaciones y/o licenciamientos, debiendo,</w:t>
      </w:r>
      <w:r>
        <w:rPr>
          <w:rFonts w:ascii="Verdana" w:hAnsi="Verdana"/>
          <w:sz w:val="21"/>
          <w:szCs w:val="21"/>
        </w:rPr>
        <w:t xml:space="preserve"> </w:t>
      </w:r>
      <w:r w:rsidRPr="00A75A5D">
        <w:rPr>
          <w:rFonts w:ascii="Verdana" w:hAnsi="Verdana"/>
          <w:sz w:val="21"/>
          <w:szCs w:val="21"/>
        </w:rPr>
        <w:t>además, clarificar si los términos de la Ley 1150 de 2007 para este tipo</w:t>
      </w:r>
      <w:r>
        <w:rPr>
          <w:rFonts w:ascii="Verdana" w:hAnsi="Verdana"/>
          <w:sz w:val="21"/>
          <w:szCs w:val="21"/>
        </w:rPr>
        <w:t xml:space="preserve"> </w:t>
      </w:r>
      <w:r w:rsidRPr="00A75A5D">
        <w:rPr>
          <w:rFonts w:ascii="Verdana" w:hAnsi="Verdana"/>
          <w:sz w:val="21"/>
          <w:szCs w:val="21"/>
        </w:rPr>
        <w:t>de contratos, empezará a regir al vencimiento de las suscripciones,</w:t>
      </w:r>
      <w:r>
        <w:rPr>
          <w:rFonts w:ascii="Verdana" w:hAnsi="Verdana"/>
          <w:sz w:val="21"/>
          <w:szCs w:val="21"/>
        </w:rPr>
        <w:t xml:space="preserve"> </w:t>
      </w:r>
      <w:r w:rsidRPr="00A75A5D">
        <w:rPr>
          <w:rFonts w:ascii="Verdana" w:hAnsi="Verdana"/>
          <w:sz w:val="21"/>
          <w:szCs w:val="21"/>
        </w:rPr>
        <w:t>créditos, renovaciones y/o licenciamientos o al finalizar el plazo de</w:t>
      </w:r>
      <w:r>
        <w:rPr>
          <w:rFonts w:ascii="Verdana" w:hAnsi="Verdana"/>
          <w:sz w:val="21"/>
          <w:szCs w:val="21"/>
        </w:rPr>
        <w:t xml:space="preserve"> </w:t>
      </w:r>
      <w:r w:rsidRPr="00A75A5D">
        <w:rPr>
          <w:rFonts w:ascii="Verdana" w:hAnsi="Verdana"/>
          <w:sz w:val="21"/>
          <w:szCs w:val="21"/>
        </w:rPr>
        <w:t xml:space="preserve">ejecución. </w:t>
      </w:r>
    </w:p>
    <w:p w14:paraId="68A2401A" w14:textId="77777777" w:rsidR="000C1656" w:rsidRDefault="000C1656" w:rsidP="000C1656">
      <w:pPr>
        <w:ind w:left="567" w:right="758"/>
        <w:jc w:val="both"/>
        <w:rPr>
          <w:rFonts w:ascii="Verdana" w:hAnsi="Verdana"/>
          <w:sz w:val="21"/>
          <w:szCs w:val="21"/>
        </w:rPr>
      </w:pPr>
      <w:r w:rsidRPr="00A75A5D">
        <w:rPr>
          <w:rFonts w:ascii="Verdana" w:hAnsi="Verdana"/>
          <w:sz w:val="21"/>
          <w:szCs w:val="21"/>
        </w:rPr>
        <w:t>2. Se aclare, sí para llevar a cabo la liquidación de los</w:t>
      </w:r>
      <w:r>
        <w:rPr>
          <w:rFonts w:ascii="Verdana" w:hAnsi="Verdana"/>
          <w:sz w:val="21"/>
          <w:szCs w:val="21"/>
        </w:rPr>
        <w:t xml:space="preserve"> </w:t>
      </w:r>
      <w:r w:rsidRPr="00A75A5D">
        <w:rPr>
          <w:rFonts w:ascii="Verdana" w:hAnsi="Verdana"/>
          <w:sz w:val="21"/>
          <w:szCs w:val="21"/>
        </w:rPr>
        <w:t>contratos, indistintamente su objeto y el plazo de ejecución, ¿se deberá</w:t>
      </w:r>
      <w:r>
        <w:rPr>
          <w:rFonts w:ascii="Verdana" w:hAnsi="Verdana"/>
          <w:sz w:val="21"/>
          <w:szCs w:val="21"/>
        </w:rPr>
        <w:t xml:space="preserve"> </w:t>
      </w:r>
      <w:r w:rsidRPr="00A75A5D">
        <w:rPr>
          <w:rFonts w:ascii="Verdana" w:hAnsi="Verdana"/>
          <w:sz w:val="21"/>
          <w:szCs w:val="21"/>
        </w:rPr>
        <w:t>esperar que el amparo de las coberturas de la póliza finalice?</w:t>
      </w:r>
    </w:p>
    <w:p w14:paraId="33821431" w14:textId="77777777" w:rsidR="000C1656" w:rsidRDefault="000C1656" w:rsidP="000C1656">
      <w:pPr>
        <w:ind w:left="567" w:right="758"/>
        <w:jc w:val="both"/>
        <w:rPr>
          <w:rFonts w:ascii="Verdana" w:hAnsi="Verdana"/>
          <w:sz w:val="21"/>
          <w:szCs w:val="21"/>
        </w:rPr>
      </w:pPr>
      <w:r w:rsidRPr="00A75A5D">
        <w:rPr>
          <w:rFonts w:ascii="Verdana" w:hAnsi="Verdana"/>
          <w:sz w:val="21"/>
          <w:szCs w:val="21"/>
        </w:rPr>
        <w:t>3. Se aclare,</w:t>
      </w:r>
      <w:r>
        <w:rPr>
          <w:rFonts w:ascii="Verdana" w:hAnsi="Verdana"/>
          <w:sz w:val="21"/>
          <w:szCs w:val="21"/>
        </w:rPr>
        <w:t xml:space="preserve"> </w:t>
      </w:r>
      <w:r w:rsidRPr="00A75A5D">
        <w:rPr>
          <w:rFonts w:ascii="Verdana" w:hAnsi="Verdana"/>
          <w:sz w:val="21"/>
          <w:szCs w:val="21"/>
        </w:rPr>
        <w:t>sí para el caso de liquidación de las órdenes de compra derivadas de un</w:t>
      </w:r>
      <w:r>
        <w:rPr>
          <w:rFonts w:ascii="Verdana" w:hAnsi="Verdana"/>
          <w:sz w:val="21"/>
          <w:szCs w:val="21"/>
        </w:rPr>
        <w:t xml:space="preserve"> </w:t>
      </w:r>
      <w:r w:rsidRPr="00A75A5D">
        <w:rPr>
          <w:rFonts w:ascii="Verdana" w:hAnsi="Verdana"/>
          <w:sz w:val="21"/>
          <w:szCs w:val="21"/>
        </w:rPr>
        <w:t>acuerdo marco o instrumento de agregación de demanda, se deberá</w:t>
      </w:r>
      <w:r>
        <w:rPr>
          <w:rFonts w:ascii="Verdana" w:hAnsi="Verdana"/>
          <w:sz w:val="21"/>
          <w:szCs w:val="21"/>
        </w:rPr>
        <w:t xml:space="preserve"> </w:t>
      </w:r>
      <w:r w:rsidRPr="00A75A5D">
        <w:rPr>
          <w:rFonts w:ascii="Verdana" w:hAnsi="Verdana"/>
          <w:sz w:val="21"/>
          <w:szCs w:val="21"/>
        </w:rPr>
        <w:t>tener en cuenta el plazo establecido en los acuerdos o el vencimiento de</w:t>
      </w:r>
      <w:r>
        <w:rPr>
          <w:rFonts w:ascii="Verdana" w:hAnsi="Verdana"/>
          <w:sz w:val="21"/>
          <w:szCs w:val="21"/>
        </w:rPr>
        <w:t xml:space="preserve"> </w:t>
      </w:r>
      <w:r w:rsidRPr="00A75A5D">
        <w:rPr>
          <w:rFonts w:ascii="Verdana" w:hAnsi="Verdana"/>
          <w:sz w:val="21"/>
          <w:szCs w:val="21"/>
        </w:rPr>
        <w:t>las suscripciones, créditos, renovaciones y/o licenciamientos</w:t>
      </w:r>
    </w:p>
    <w:p w14:paraId="204D611D" w14:textId="77777777" w:rsidR="000C1656" w:rsidRPr="00161DA1" w:rsidRDefault="000C1656" w:rsidP="000C1656">
      <w:pPr>
        <w:ind w:left="567" w:right="758"/>
        <w:jc w:val="both"/>
        <w:rPr>
          <w:rFonts w:ascii="Verdana" w:hAnsi="Verdana"/>
          <w:sz w:val="21"/>
          <w:szCs w:val="21"/>
        </w:rPr>
      </w:pPr>
      <w:r>
        <w:rPr>
          <w:rFonts w:ascii="Verdana" w:hAnsi="Verdana"/>
          <w:sz w:val="21"/>
          <w:szCs w:val="21"/>
        </w:rPr>
        <w:t>4.</w:t>
      </w:r>
      <w:r w:rsidRPr="009C22ED">
        <w:rPr>
          <w:rFonts w:ascii="Verdana" w:hAnsi="Verdana"/>
          <w:sz w:val="21"/>
          <w:szCs w:val="21"/>
        </w:rPr>
        <w:t>Se aclare, sí para todos los contratos prevalecerá la cláusula de la</w:t>
      </w:r>
      <w:r>
        <w:rPr>
          <w:rFonts w:ascii="Verdana" w:hAnsi="Verdana"/>
          <w:sz w:val="21"/>
          <w:szCs w:val="21"/>
        </w:rPr>
        <w:t xml:space="preserve"> </w:t>
      </w:r>
      <w:r w:rsidRPr="009C22ED">
        <w:rPr>
          <w:rFonts w:ascii="Verdana" w:hAnsi="Verdana"/>
          <w:sz w:val="21"/>
          <w:szCs w:val="21"/>
        </w:rPr>
        <w:t>vigencia para llevar a cabo la liquidación o esta última deberá realizarse</w:t>
      </w:r>
      <w:r>
        <w:rPr>
          <w:rFonts w:ascii="Verdana" w:hAnsi="Verdana"/>
          <w:sz w:val="21"/>
          <w:szCs w:val="21"/>
        </w:rPr>
        <w:t xml:space="preserve"> </w:t>
      </w:r>
      <w:r w:rsidRPr="009C22ED">
        <w:rPr>
          <w:rFonts w:ascii="Verdana" w:hAnsi="Verdana"/>
          <w:sz w:val="21"/>
          <w:szCs w:val="21"/>
        </w:rPr>
        <w:t>una vez finalizado el periodo de las suscripciones, créditos, renovaciones</w:t>
      </w:r>
      <w:r>
        <w:rPr>
          <w:rFonts w:ascii="Verdana" w:hAnsi="Verdana"/>
          <w:sz w:val="21"/>
          <w:szCs w:val="21"/>
        </w:rPr>
        <w:t xml:space="preserve"> </w:t>
      </w:r>
      <w:r w:rsidRPr="009C22ED">
        <w:rPr>
          <w:rFonts w:ascii="Verdana" w:hAnsi="Verdana"/>
          <w:sz w:val="21"/>
          <w:szCs w:val="21"/>
        </w:rPr>
        <w:t>y/o licenciamientos.5.Se indique, sí para la liquidación de los contratos</w:t>
      </w:r>
      <w:r>
        <w:rPr>
          <w:rFonts w:ascii="Verdana" w:hAnsi="Verdana"/>
          <w:sz w:val="21"/>
          <w:szCs w:val="21"/>
        </w:rPr>
        <w:t xml:space="preserve"> </w:t>
      </w:r>
      <w:r w:rsidRPr="009C22ED">
        <w:rPr>
          <w:rFonts w:ascii="Verdana" w:hAnsi="Verdana"/>
          <w:sz w:val="21"/>
          <w:szCs w:val="21"/>
        </w:rPr>
        <w:t>se deberá contar con la suficiencia de la garantía de cumplimiento de</w:t>
      </w:r>
      <w:r>
        <w:rPr>
          <w:rFonts w:ascii="Verdana" w:hAnsi="Verdana"/>
          <w:sz w:val="21"/>
          <w:szCs w:val="21"/>
        </w:rPr>
        <w:t xml:space="preserve"> </w:t>
      </w:r>
      <w:r w:rsidRPr="009C22ED">
        <w:rPr>
          <w:rFonts w:ascii="Verdana" w:hAnsi="Verdana"/>
          <w:sz w:val="21"/>
          <w:szCs w:val="21"/>
        </w:rPr>
        <w:t>conformidad con lo dispuesto en el Decreto 1082 de 2015; en caso</w:t>
      </w:r>
      <w:r>
        <w:rPr>
          <w:rFonts w:ascii="Verdana" w:hAnsi="Verdana"/>
          <w:sz w:val="21"/>
          <w:szCs w:val="21"/>
        </w:rPr>
        <w:t xml:space="preserve"> </w:t>
      </w:r>
      <w:r w:rsidRPr="009C22ED">
        <w:rPr>
          <w:rFonts w:ascii="Verdana" w:hAnsi="Verdana"/>
          <w:sz w:val="21"/>
          <w:szCs w:val="21"/>
        </w:rPr>
        <w:t>afirmativo, señalar cual sería el parámetro a aplicar, teniendo en cuenta</w:t>
      </w:r>
      <w:r>
        <w:rPr>
          <w:rFonts w:ascii="Verdana" w:hAnsi="Verdana"/>
          <w:sz w:val="21"/>
          <w:szCs w:val="21"/>
        </w:rPr>
        <w:t xml:space="preserve"> </w:t>
      </w:r>
      <w:r w:rsidRPr="009C22ED">
        <w:rPr>
          <w:rFonts w:ascii="Verdana" w:hAnsi="Verdana"/>
          <w:sz w:val="21"/>
          <w:szCs w:val="21"/>
        </w:rPr>
        <w:t>que la cobertura de las garantías recae sobre el plazo de ejecución del</w:t>
      </w:r>
      <w:r>
        <w:rPr>
          <w:rFonts w:ascii="Verdana" w:hAnsi="Verdana"/>
          <w:sz w:val="21"/>
          <w:szCs w:val="21"/>
        </w:rPr>
        <w:t xml:space="preserve"> </w:t>
      </w:r>
      <w:r w:rsidRPr="009C22ED">
        <w:rPr>
          <w:rFonts w:ascii="Verdana" w:hAnsi="Verdana"/>
          <w:sz w:val="21"/>
          <w:szCs w:val="21"/>
        </w:rPr>
        <w:t>contrato y no del periodo de las suscripciones, créditos, renovaciones y/o</w:t>
      </w:r>
      <w:r>
        <w:rPr>
          <w:rFonts w:ascii="Verdana" w:hAnsi="Verdana"/>
          <w:sz w:val="21"/>
          <w:szCs w:val="21"/>
        </w:rPr>
        <w:t xml:space="preserve"> </w:t>
      </w:r>
      <w:r w:rsidRPr="009C22ED">
        <w:rPr>
          <w:rFonts w:ascii="Verdana" w:hAnsi="Verdana"/>
          <w:sz w:val="21"/>
          <w:szCs w:val="21"/>
        </w:rPr>
        <w:t>licenciamientos.</w:t>
      </w:r>
      <w:r w:rsidRPr="00161DA1">
        <w:rPr>
          <w:rFonts w:ascii="Verdana" w:hAnsi="Verdana"/>
          <w:sz w:val="21"/>
          <w:szCs w:val="21"/>
        </w:rPr>
        <w:t>”</w:t>
      </w:r>
    </w:p>
    <w:p w14:paraId="539349AF" w14:textId="77777777" w:rsidR="000C1656" w:rsidRPr="0015699B" w:rsidRDefault="000C1656" w:rsidP="000C1656">
      <w:pPr>
        <w:ind w:right="49"/>
        <w:jc w:val="both"/>
        <w:rPr>
          <w:rFonts w:ascii="Calibri" w:eastAsia="Calibri" w:hAnsi="Calibri" w:cs="Calibri"/>
          <w:lang w:val="es"/>
        </w:rPr>
      </w:pPr>
      <w:r>
        <w:rPr>
          <w:rFonts w:ascii="Verdana" w:eastAsia="Verdana" w:hAnsi="Verdana" w:cs="Verdana"/>
          <w:color w:val="000000" w:themeColor="text1"/>
          <w:sz w:val="21"/>
          <w:szCs w:val="21"/>
        </w:rPr>
        <w:t xml:space="preserve">        </w:t>
      </w:r>
      <w:r w:rsidRPr="00C57436">
        <w:rPr>
          <w:rFonts w:ascii="Verdana" w:eastAsia="Verdana" w:hAnsi="Verdana" w:cs="Verdana"/>
          <w:color w:val="000000" w:themeColor="text1"/>
          <w:sz w:val="21"/>
          <w:szCs w:val="21"/>
        </w:rPr>
        <w:t xml:space="preserve"> </w:t>
      </w: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w:t>
      </w:r>
      <w:r w:rsidRPr="39124533">
        <w:rPr>
          <w:rFonts w:ascii="Verdana" w:eastAsia="Verdana" w:hAnsi="Verdana" w:cs="Verdana"/>
          <w:color w:val="000000" w:themeColor="text1"/>
          <w:lang w:val="es"/>
        </w:rPr>
        <w:lastRenderedPageBreak/>
        <w:t xml:space="preserve">extenderse a la resolución de controversias, ni a brindar asesorías sobre casos puntuales. </w:t>
      </w:r>
      <w:r w:rsidRPr="39124533">
        <w:rPr>
          <w:rFonts w:ascii="Calibri" w:eastAsia="Calibri" w:hAnsi="Calibri" w:cs="Calibri"/>
          <w:lang w:val="es"/>
        </w:rPr>
        <w:t xml:space="preserve">      </w:t>
      </w:r>
    </w:p>
    <w:p w14:paraId="547EA899" w14:textId="77777777" w:rsidR="000C1656" w:rsidRPr="0015699B" w:rsidRDefault="000C1656" w:rsidP="000C1656">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A16D03F" w14:textId="77777777" w:rsidR="000C1656" w:rsidRDefault="000C1656" w:rsidP="000C1656">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83FD27B" w14:textId="77777777" w:rsidR="000C1656" w:rsidRPr="0015699B" w:rsidRDefault="000C1656" w:rsidP="000C1656">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 </w:t>
      </w:r>
      <w:r w:rsidRPr="40A87941">
        <w:rPr>
          <w:rFonts w:ascii="Verdana" w:eastAsia="Verdana" w:hAnsi="Verdana" w:cs="Verdana"/>
          <w:b/>
          <w:bCs/>
          <w:color w:val="000000" w:themeColor="text1"/>
          <w:lang w:val="es"/>
        </w:rPr>
        <w:t>planteado:</w:t>
      </w:r>
    </w:p>
    <w:p w14:paraId="437AB178" w14:textId="77777777" w:rsidR="000C1656" w:rsidRPr="0015699B" w:rsidRDefault="000C1656" w:rsidP="000C1656">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4F71AF0" w14:textId="77777777" w:rsidR="000C1656" w:rsidRDefault="000C1656" w:rsidP="000C1656">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AC5D87">
        <w:rPr>
          <w:rFonts w:ascii="Verdana" w:eastAsia="Verdana" w:hAnsi="Verdana" w:cs="Verdana"/>
          <w:color w:val="000000" w:themeColor="text1"/>
        </w:rPr>
        <w:t>¿</w:t>
      </w:r>
      <w:r w:rsidRPr="00F11F42">
        <w:rPr>
          <w:rFonts w:ascii="Verdana" w:eastAsia="Verdana" w:hAnsi="Verdana" w:cs="Verdana"/>
          <w:color w:val="000000" w:themeColor="text1"/>
        </w:rPr>
        <w:t>Cuál es el marco jurídico aplicable a las garantías contractuales y a la liquidación de los contratos estatales, y cuáles son sus implicaciones frente al vencimiento de los amparos y los términos legales para liquidar?</w:t>
      </w:r>
    </w:p>
    <w:p w14:paraId="26D15AEE" w14:textId="77777777" w:rsidR="000C1656" w:rsidRDefault="000C1656" w:rsidP="000C1656">
      <w:pPr>
        <w:spacing w:after="0" w:line="276" w:lineRule="auto"/>
        <w:ind w:left="284"/>
        <w:jc w:val="both"/>
        <w:textAlignment w:val="baseline"/>
        <w:rPr>
          <w:rFonts w:ascii="Verdana" w:eastAsia="Verdana" w:hAnsi="Verdana" w:cs="Verdana"/>
          <w:color w:val="000000" w:themeColor="text1"/>
        </w:rPr>
      </w:pPr>
    </w:p>
    <w:p w14:paraId="489A2BF6" w14:textId="77777777" w:rsidR="000C1656" w:rsidRDefault="000C1656" w:rsidP="000C1656">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D954B7D" w14:textId="77777777" w:rsidR="000C1656" w:rsidRPr="0015699B" w:rsidRDefault="000C1656" w:rsidP="000C1656">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0C1656" w14:paraId="1B269873" w14:textId="77777777" w:rsidTr="006C464A">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437DF36B" w14:textId="77777777" w:rsidR="000C1656" w:rsidRPr="002A6824" w:rsidRDefault="000C1656" w:rsidP="006C464A">
            <w:pPr>
              <w:spacing w:after="120" w:line="276" w:lineRule="auto"/>
              <w:jc w:val="both"/>
              <w:rPr>
                <w:rFonts w:ascii="Verdana" w:eastAsia="Verdana" w:hAnsi="Verdana" w:cs="Verdana"/>
              </w:rPr>
            </w:pPr>
            <w:r w:rsidRPr="40A87941">
              <w:rPr>
                <w:rFonts w:ascii="Verdana" w:eastAsia="Verdana" w:hAnsi="Verdana" w:cs="Verdana"/>
                <w:b/>
                <w:bCs/>
                <w:color w:val="000000" w:themeColor="text1"/>
                <w:lang w:val="es"/>
              </w:rPr>
              <w:t xml:space="preserve"> </w:t>
            </w:r>
            <w:r>
              <w:rPr>
                <w:rFonts w:ascii="Verdana" w:eastAsia="Verdana" w:hAnsi="Verdana" w:cs="Verdana"/>
              </w:rPr>
              <w:t xml:space="preserve">       </w:t>
            </w:r>
            <w:r w:rsidRPr="002A6824">
              <w:rPr>
                <w:rFonts w:ascii="Verdana" w:eastAsia="Verdana" w:hAnsi="Verdana" w:cs="Verdana"/>
              </w:rPr>
              <w:t>El artículo 2.2.1.2.3.1.12 del Decreto 1082 de 2015 establece que la garantía de cumplimiento debe tener una vigencia mínima hasta la liquidación del contrato. En consecuencia, su cobertura debe comprender tanto el plazo de ejecución contractual como el período durante el cual subsiste la obligación de liquidarlo. Por lo tanto, la circunstancia de que el objeto contractual se haya ejecutado en su totalidad no determina, por sí sola, que haya finalizado la vigencia exigible del amparo de cumplimiento.</w:t>
            </w:r>
          </w:p>
          <w:p w14:paraId="51F0371F"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De conformidad con el artículo 11 de la Ley 1150 de 2007, la liquidación contractual puede ser bilateral, unilateral o judicial. La liquidación bilateral debe efectuarse dentro del término convenido por las partes o, en su defecto, dentro de los cuatro (4) meses siguientes a la expiración del plazo de ejecución. Si no se logra dentro de ese término, la entidad puede proceder a la liquidación unilateral dentro de los dos (2) meses siguientes, de acuerdo con los presupuestos legales. Posteriormente, podrá acudirse a la liquidación judicial dentro del término correspondiente, cuya oportunidad debe establecerse conforme a las reglas de caducidad del artículo 164 del CPACA.</w:t>
            </w:r>
          </w:p>
          <w:p w14:paraId="077F85A5"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lastRenderedPageBreak/>
              <w:t xml:space="preserve">         </w:t>
            </w:r>
            <w:r w:rsidRPr="002A6824">
              <w:rPr>
                <w:rFonts w:ascii="Verdana" w:eastAsia="Verdana" w:hAnsi="Verdana" w:cs="Verdana"/>
              </w:rPr>
              <w:t>Sobre el particular, el cómputo de los términos previstos en la Ley 1150 de 2007 para adelantar la liquidación en contratos de suscripciones, créditos, renovaciones y/o licenciamientos debe iniciar estrictamente a partir del vencimiento del plazo de ejecución contractual fijado en el respectivo contrato u orden de compra, y no a partir de la finalización indeterminada de la vigencia del uso o goce de las licencias o suscripciones, salvo que en los documentos del proceso contractual se haya pactado de manera expresa que el plazo de ejecución comprende la totalidad del periodo del licenciamiento o servicio.</w:t>
            </w:r>
          </w:p>
          <w:p w14:paraId="4236B533"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En el caso de la liquidación de las órdenes de compra derivadas de un Acuerdo Marco de Precios (AMP) o Instrumento de Agregación de Demanda (IAD), la entidad compradora debe atenerse prioritariamente a lo establecido en las cláusulas y condiciones particulares del respectivo Acuerdo Marco de Precios y a los plazos fijados en la Orden de Compra generada a través de la Tienda Virtual del Estado Colombiano. En subsidio o ante vacíos en el Instrumento de Agregación de Demanda, aplicarán las reglas generales de liquidación contractual y los términos consagrados en la Ley 1150 de 2007.</w:t>
            </w:r>
          </w:p>
          <w:p w14:paraId="47D25073"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En este sentido, Colombia Compra Eficiente, mediante el Concepto C-367 del 16 de abril de 2026, precisó que la vigencia mínima del amparo de cumplimiento comprende el plazo de ejecución y el período de vigencia contractual que finaliza con la liquidación. Asimismo, indicó que, vencidos los términos legales para liquidar sin que esta se haya realizado, la entidad pierde la oportunidad para efectuar el balance final del contrato, por tratarse de plazos perentorios.</w:t>
            </w:r>
          </w:p>
          <w:p w14:paraId="6A652D55"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Por otra parte, la vigencia de los amparos de calidad del servicio y de calidad y correcto funcionamiento de los bienes no puede fijarse mediante la aplicación automática de períodos uniformes que carezcan de fundamento normativo o técnico. De acuerdo con los artículos 2.2.1.2.3.1.15 y 2.2.1.2.3.1.16 del Decreto 1082 de 2015, su duración debe corresponder a lo establecido en el contrato y en los documentos del proceso, atendiendo al análisis del riesgo que se pretende cubrir.</w:t>
            </w:r>
          </w:p>
          <w:p w14:paraId="468902C0"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 xml:space="preserve">Al respecto, en el Concepto C-1464 del 20 de noviembre de 2025, esta Subdirección Contractual señaló que las entidades estatales no deben exigir automáticamente que los amparos de calidad del servicio y de calidad y correcto funcionamiento de los bienes tengan una vigencia equivalente al </w:t>
            </w:r>
            <w:r w:rsidRPr="002A6824">
              <w:rPr>
                <w:rFonts w:ascii="Verdana" w:eastAsia="Verdana" w:hAnsi="Verdana" w:cs="Verdana"/>
              </w:rPr>
              <w:lastRenderedPageBreak/>
              <w:t>plazo de ejecución más treinta (30) meses, puesto que dicho término no constituye una exigencia general prevista en la ley. Su determinación debe sustentarse en el estudio de riesgos y en la duración de las obligaciones y responsabilidades contractuales que se pretenden amparar.</w:t>
            </w:r>
          </w:p>
          <w:p w14:paraId="113B56AC"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En consecuencia, la exigencia de ampliar las pólizas debe examinarse individualmente, atendiendo a la naturaleza del amparo, su vigencia efectiva, las estipulaciones contractuales y el período durante el cual subsisten los riesgos asegurados y la competencia de la administración para exigir responsabilidades. No resulta procedente imponer indistintamente la ampliación de todos los amparos sin identificar su fundamento legal, contractual o técnico.</w:t>
            </w:r>
          </w:p>
          <w:p w14:paraId="2C78AC93"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Ahora bien, cuando los términos para liquidar el contrato se encuentren próximos a vencer, la entidad debe adelantar oportunamente las actuaciones que correspondan, sin supeditar indefinidamente el cierre contractual ni condicionar la liquidación a que finalice el amparo de las coberturas de la póliza o a la obtención de su ampliación. Si los términos perentorios han vencido sin que se haya efectuado la liquidación, deberá tenerse en cuenta la pérdida de competencia para realizarla, sin que la permanencia o ampliación de una póliza permita restablecer una facultad temporalmente extinguida.</w:t>
            </w:r>
          </w:p>
          <w:p w14:paraId="2C813DB3" w14:textId="77777777" w:rsidR="000C1656" w:rsidRPr="002A6824" w:rsidRDefault="000C1656" w:rsidP="006C464A">
            <w:pPr>
              <w:spacing w:after="120" w:line="276" w:lineRule="auto"/>
              <w:jc w:val="both"/>
              <w:rPr>
                <w:rFonts w:ascii="Verdana" w:eastAsia="Verdana" w:hAnsi="Verdana" w:cs="Verdana"/>
              </w:rPr>
            </w:pPr>
            <w:r>
              <w:rPr>
                <w:rFonts w:ascii="Verdana" w:eastAsia="Verdana" w:hAnsi="Verdana" w:cs="Verdana"/>
              </w:rPr>
              <w:t xml:space="preserve">          </w:t>
            </w:r>
            <w:r w:rsidRPr="002A6824">
              <w:rPr>
                <w:rFonts w:ascii="Verdana" w:eastAsia="Verdana" w:hAnsi="Verdana" w:cs="Verdana"/>
              </w:rPr>
              <w:t>Así las cosas, ante la imposibilidad de ampliar una garantía, corresponde a la entidad verificar las obligaciones contractuales pendientes, establecer si existe un incumplimiento exigible y determinar las actuaciones jurídicamente procedentes conforme a las condiciones particulares del contrato. Como lo precisó esta Agencia en el Concepto C-367 del 16 de abril de 2026, la determinación de las medidas que deban adoptarse frente a la vigencia del amparo una vez vencidos los términos para liquidar depende de las circunstancias del procedimiento contractual específico y debe realizarse conforme al principio de juridicidad, sin que la Agencia pueda validar por vía consultiva las actuaciones particulares de cada entidad.</w:t>
            </w:r>
          </w:p>
          <w:p w14:paraId="7528BBA3" w14:textId="77777777" w:rsidR="000C1656" w:rsidRDefault="000C1656" w:rsidP="006C464A">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w:t>
            </w:r>
            <w:r w:rsidRPr="00DB4737">
              <w:rPr>
                <w:rFonts w:ascii="Verdana" w:eastAsia="Calibri" w:hAnsi="Verdana" w:cs="Times New Roman"/>
                <w:lang w:val="es-ES"/>
              </w:rPr>
              <w:lastRenderedPageBreak/>
              <w:t xml:space="preserve">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36B36496" w14:textId="77777777" w:rsidR="000C1656" w:rsidRPr="00F87343" w:rsidRDefault="000C1656" w:rsidP="006C464A">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32B331F8" w14:textId="77777777" w:rsidR="000C1656" w:rsidRPr="0015699B" w:rsidRDefault="000C1656" w:rsidP="000C165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1F90C7CB" w14:textId="77777777" w:rsidR="000C1656" w:rsidRDefault="000C1656" w:rsidP="000C1656">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104D8247" w14:textId="77777777" w:rsidR="000C1656" w:rsidRDefault="000C1656" w:rsidP="000C1656">
      <w:pPr>
        <w:spacing w:after="0" w:line="276" w:lineRule="auto"/>
        <w:jc w:val="both"/>
        <w:textAlignment w:val="baseline"/>
        <w:rPr>
          <w:rFonts w:ascii="Verdana" w:eastAsia="Verdana" w:hAnsi="Verdana" w:cs="Verdana"/>
          <w:b/>
          <w:bCs/>
          <w:color w:val="000000" w:themeColor="text1"/>
          <w:lang w:val="es"/>
        </w:rPr>
      </w:pPr>
    </w:p>
    <w:p w14:paraId="088B94DE" w14:textId="77777777" w:rsidR="000C1656" w:rsidRPr="001E1DB9" w:rsidRDefault="000C1656" w:rsidP="000C1656">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6DDACF87" w14:textId="77777777" w:rsidR="000C1656" w:rsidRPr="0015699B" w:rsidRDefault="000C1656" w:rsidP="000C165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7E5867CC" w14:textId="77777777" w:rsidR="000C1656" w:rsidRPr="00B54634" w:rsidRDefault="000C1656" w:rsidP="000C1656">
      <w:pPr>
        <w:spacing w:after="120" w:line="276" w:lineRule="auto"/>
        <w:ind w:firstLine="708"/>
        <w:jc w:val="both"/>
        <w:rPr>
          <w:rFonts w:ascii="Verdana" w:eastAsia="Calibri" w:hAnsi="Verdana" w:cs="Arial"/>
          <w:lang w:val="es-ES_tradnl"/>
        </w:rPr>
      </w:pPr>
      <w:r w:rsidRPr="007D1C1B">
        <w:rPr>
          <w:rFonts w:ascii="Verdana" w:eastAsia="Verdana" w:hAnsi="Verdana" w:cs="Verdana"/>
        </w:rPr>
        <w:t>La Agencia Nacional de Contratación Pública – Colombia Compra Eficiente</w:t>
      </w:r>
      <w:r>
        <w:rPr>
          <w:rFonts w:ascii="Verdana" w:eastAsia="Verdana" w:hAnsi="Verdana" w:cs="Verdana"/>
        </w:rPr>
        <w:t xml:space="preserve"> </w:t>
      </w:r>
      <w:r w:rsidRPr="00B54634">
        <w:rPr>
          <w:rFonts w:ascii="Verdana" w:eastAsia="Calibri" w:hAnsi="Verdana" w:cs="Arial"/>
          <w:lang w:val="es-ES"/>
        </w:rPr>
        <w:t xml:space="preserve">Inicialmente debe precisarse que, el Estatuto General de Contratación de la Administración Pública, exige por regla general, </w:t>
      </w:r>
      <w:r w:rsidRPr="00B54634">
        <w:rPr>
          <w:rFonts w:ascii="Verdana" w:eastAsia="Calibri" w:hAnsi="Verdana" w:cs="Arial"/>
          <w:lang w:val="es-ES_tradnl"/>
        </w:rPr>
        <w:t xml:space="preserve">en los procesos de contratación pública </w:t>
      </w:r>
      <w:r w:rsidRPr="00B54634">
        <w:rPr>
          <w:rFonts w:ascii="Verdana" w:eastAsia="Calibri" w:hAnsi="Verdana" w:cs="Arial"/>
          <w:lang w:val="es-ES"/>
        </w:rPr>
        <w:t xml:space="preserve">la constitución de garantías ya sea en la etapa precontractual, contractual o </w:t>
      </w:r>
      <w:proofErr w:type="spellStart"/>
      <w:r w:rsidRPr="00B54634">
        <w:rPr>
          <w:rFonts w:ascii="Verdana" w:eastAsia="Calibri" w:hAnsi="Verdana" w:cs="Arial"/>
          <w:lang w:val="es-ES"/>
        </w:rPr>
        <w:t>postcontractual</w:t>
      </w:r>
      <w:proofErr w:type="spellEnd"/>
      <w:r w:rsidRPr="00B54634">
        <w:rPr>
          <w:rFonts w:ascii="Verdana" w:eastAsia="Calibri" w:hAnsi="Verdana" w:cs="Arial"/>
          <w:lang w:val="es-ES"/>
        </w:rPr>
        <w:t>, con el fin de evitar o mitigar posibles riesgos</w:t>
      </w:r>
      <w:r w:rsidRPr="00B54634">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209303C2"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p>
    <w:p w14:paraId="4303ECB0"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089BF328"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p>
    <w:p w14:paraId="61CC097D"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i/>
          <w:iCs/>
          <w:sz w:val="20"/>
          <w:szCs w:val="20"/>
          <w:lang w:val="es-ES_tradnl"/>
        </w:rPr>
        <w:t>Las garantías consistirán en pólizas expedidas por compañías de seguros legalmente autorizadas para funcionar en Colombia, en garantías bancarias y en general, en los demás mecanismos de cobertura del riesgo autorizados por el reglamento para el efecto.</w:t>
      </w:r>
      <w:r w:rsidRPr="00B54634">
        <w:rPr>
          <w:rFonts w:ascii="Verdana" w:eastAsia="Calibri" w:hAnsi="Verdana" w:cs="Arial"/>
          <w:sz w:val="20"/>
          <w:szCs w:val="20"/>
          <w:lang w:val="es-ES_tradnl"/>
        </w:rPr>
        <w:t xml:space="preserve"> Tratándose de pólizas, las mismas no expirarán por falta de pago de la prima o por revocatoria unilateral. El Gobierno Nacional señalará las condiciones generales que </w:t>
      </w:r>
      <w:r w:rsidRPr="00B54634">
        <w:rPr>
          <w:rFonts w:ascii="Verdana" w:eastAsia="Calibri" w:hAnsi="Verdana" w:cs="Arial"/>
          <w:sz w:val="20"/>
          <w:szCs w:val="20"/>
          <w:lang w:val="es-ES_tradnl"/>
        </w:rPr>
        <w:lastRenderedPageBreak/>
        <w:t>deberán ser incluidas en las pólizas de cumplimiento de los contratos estatales.</w:t>
      </w:r>
    </w:p>
    <w:p w14:paraId="6B94F6F2"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p>
    <w:p w14:paraId="4CD28964" w14:textId="77777777" w:rsidR="000C1656" w:rsidRPr="00B54634" w:rsidRDefault="000C1656" w:rsidP="000C1656">
      <w:pPr>
        <w:spacing w:after="0" w:line="240" w:lineRule="auto"/>
        <w:ind w:left="709" w:right="709"/>
        <w:jc w:val="both"/>
        <w:rPr>
          <w:rFonts w:ascii="Verdana" w:eastAsia="Calibri" w:hAnsi="Verdana" w:cs="Arial"/>
          <w:sz w:val="20"/>
          <w:szCs w:val="20"/>
          <w:lang w:val="es-ES"/>
        </w:rPr>
      </w:pPr>
      <w:r w:rsidRPr="00B54634">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sidRPr="00B54634">
        <w:rPr>
          <w:rFonts w:ascii="Verdana" w:eastAsia="Calibri" w:hAnsi="Verdana" w:cs="Arial"/>
          <w:sz w:val="20"/>
          <w:szCs w:val="20"/>
          <w:lang w:val="es-ES"/>
        </w:rPr>
        <w:t>que</w:t>
      </w:r>
      <w:proofErr w:type="gramEnd"/>
      <w:r w:rsidRPr="00B54634">
        <w:rPr>
          <w:rFonts w:ascii="Verdana" w:eastAsia="Calibri" w:hAnsi="Verdana" w:cs="Arial"/>
          <w:sz w:val="20"/>
          <w:szCs w:val="20"/>
          <w:lang w:val="es-ES"/>
        </w:rPr>
        <w:t xml:space="preserve"> por las características y complejidad del contrato a celebrar, la garantía pueda ser dividida teniendo en cuenta las etapas o riesgos relativos a la ejecución del respectivo contrato. </w:t>
      </w:r>
    </w:p>
    <w:p w14:paraId="43ED9553"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p>
    <w:p w14:paraId="0C865C62"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1992DD2B"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 </w:t>
      </w:r>
    </w:p>
    <w:p w14:paraId="323B6BA0" w14:textId="77777777" w:rsidR="000C1656" w:rsidRPr="00B54634" w:rsidRDefault="000C1656" w:rsidP="000C1656">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[Énfasis fuera de texto]</w:t>
      </w:r>
    </w:p>
    <w:p w14:paraId="2C9CAB06" w14:textId="77777777" w:rsidR="000C1656" w:rsidRPr="00B54634" w:rsidRDefault="000C1656" w:rsidP="000C1656">
      <w:pPr>
        <w:spacing w:after="0" w:line="276" w:lineRule="auto"/>
        <w:jc w:val="both"/>
        <w:rPr>
          <w:rFonts w:ascii="Verdana" w:eastAsia="Calibri" w:hAnsi="Verdana" w:cs="Arial"/>
          <w:lang w:val="es-ES"/>
        </w:rPr>
      </w:pPr>
    </w:p>
    <w:p w14:paraId="1159CD1D" w14:textId="77777777" w:rsidR="000C1656" w:rsidRPr="00B54634" w:rsidRDefault="000C1656" w:rsidP="000C1656">
      <w:pPr>
        <w:spacing w:after="120" w:line="276" w:lineRule="auto"/>
        <w:ind w:firstLine="709"/>
        <w:jc w:val="both"/>
        <w:rPr>
          <w:rFonts w:ascii="Verdana" w:eastAsia="Calibri" w:hAnsi="Verdana" w:cs="Arial"/>
          <w:color w:val="000000"/>
          <w:lang w:val="es-ES_tradnl"/>
        </w:rPr>
      </w:pPr>
      <w:r w:rsidRPr="00B54634">
        <w:rPr>
          <w:rFonts w:ascii="Verdana" w:eastAsia="Calibri" w:hAnsi="Verdana" w:cs="Arial"/>
          <w:color w:val="000000"/>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3D1E9366" w14:textId="77777777" w:rsidR="000C1656" w:rsidRPr="00B54634" w:rsidRDefault="000C1656" w:rsidP="000C1656">
      <w:pPr>
        <w:spacing w:after="0" w:line="276" w:lineRule="auto"/>
        <w:ind w:firstLine="709"/>
        <w:jc w:val="both"/>
        <w:rPr>
          <w:rFonts w:ascii="Verdana" w:eastAsia="Calibri" w:hAnsi="Verdana" w:cs="Arial"/>
          <w:color w:val="000000"/>
        </w:rPr>
      </w:pPr>
      <w:r w:rsidRPr="00B54634">
        <w:rPr>
          <w:rFonts w:ascii="Verdana" w:eastAsia="Calibri" w:hAnsi="Verdana" w:cs="Arial"/>
          <w:color w:val="000000"/>
          <w:lang w:val="es-ES_tradnl"/>
        </w:rPr>
        <w:t>De acuerdo a lo expresado anteriormente, l</w:t>
      </w:r>
      <w:r w:rsidRPr="00B54634">
        <w:rPr>
          <w:rFonts w:ascii="Verdana" w:eastAsia="Calibri" w:hAnsi="Verdana" w:cs="Arial"/>
          <w:color w:val="000000"/>
        </w:rPr>
        <w:t xml:space="preserve">os proponentes o contratistas, para garantizar el cumplimiento de sus obligaciones frente a entidades estatales en materia contractual, pueden otorgar, las garantías mediante los siguientes mecanismos de cobertura de los riesgos: i) contratos de seguro, que por su esencia, es el medio más usado para amparar los riesgos contractuales; </w:t>
      </w:r>
      <w:proofErr w:type="spellStart"/>
      <w:r w:rsidRPr="00B54634">
        <w:rPr>
          <w:rFonts w:ascii="Verdana" w:eastAsia="Calibri" w:hAnsi="Verdana" w:cs="Arial"/>
          <w:color w:val="000000"/>
        </w:rPr>
        <w:t>ii</w:t>
      </w:r>
      <w:proofErr w:type="spellEnd"/>
      <w:r w:rsidRPr="00B54634">
        <w:rPr>
          <w:rFonts w:ascii="Verdana" w:eastAsia="Calibri" w:hAnsi="Verdana" w:cs="Arial"/>
          <w:color w:val="000000"/>
        </w:rPr>
        <w:t xml:space="preserve">)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w:t>
      </w:r>
      <w:r w:rsidRPr="00B54634">
        <w:rPr>
          <w:rFonts w:ascii="Verdana" w:eastAsia="Calibri" w:hAnsi="Verdana" w:cs="Arial"/>
          <w:color w:val="000000"/>
        </w:rPr>
        <w:lastRenderedPageBreak/>
        <w:t>las obligaciones del oferente o contratista con la entidad estatal beneficiaria</w:t>
      </w:r>
      <w:r w:rsidRPr="00B54634">
        <w:rPr>
          <w:rFonts w:ascii="Verdana" w:eastAsia="Calibri" w:hAnsi="Verdana" w:cs="Arial"/>
          <w:color w:val="000000"/>
          <w:vertAlign w:val="superscript"/>
        </w:rPr>
        <w:footnoteReference w:id="1"/>
      </w:r>
      <w:r w:rsidRPr="00B54634">
        <w:rPr>
          <w:rFonts w:ascii="Verdana" w:eastAsia="Calibri" w:hAnsi="Verdana" w:cs="Arial"/>
          <w:color w:val="000000"/>
        </w:rPr>
        <w:t xml:space="preserve">;  </w:t>
      </w:r>
      <w:proofErr w:type="spellStart"/>
      <w:r w:rsidRPr="00B54634">
        <w:rPr>
          <w:rFonts w:ascii="Verdana" w:eastAsia="Calibri" w:hAnsi="Verdana" w:cs="Arial"/>
          <w:color w:val="000000"/>
        </w:rPr>
        <w:t>iii</w:t>
      </w:r>
      <w:proofErr w:type="spellEnd"/>
      <w:r w:rsidRPr="00B54634">
        <w:rPr>
          <w:rFonts w:ascii="Verdana" w:eastAsia="Calibri" w:hAnsi="Verdana" w:cs="Arial"/>
          <w:color w:val="000000"/>
        </w:rPr>
        <w:t xml:space="preserve">) garantías bancarias o cartas de crédito </w:t>
      </w:r>
      <w:r w:rsidRPr="00B54634">
        <w:rPr>
          <w:rFonts w:ascii="Verdana" w:eastAsia="Calibri" w:hAnsi="Verdana" w:cs="Arial"/>
          <w:i/>
          <w:iCs/>
          <w:color w:val="000000"/>
        </w:rPr>
        <w:t>stand</w:t>
      </w:r>
      <w:r w:rsidRPr="00B54634">
        <w:rPr>
          <w:rFonts w:ascii="Verdana" w:eastAsia="Calibri" w:hAnsi="Verdana" w:cs="Arial"/>
          <w:color w:val="000000"/>
        </w:rPr>
        <w:t xml:space="preserve"> </w:t>
      </w:r>
      <w:proofErr w:type="spellStart"/>
      <w:r w:rsidRPr="00B54634">
        <w:rPr>
          <w:rFonts w:ascii="Verdana" w:eastAsia="Calibri" w:hAnsi="Verdana" w:cs="Arial"/>
          <w:i/>
          <w:iCs/>
          <w:color w:val="000000"/>
        </w:rPr>
        <w:t>by</w:t>
      </w:r>
      <w:proofErr w:type="spellEnd"/>
      <w:r w:rsidRPr="00B54634">
        <w:rPr>
          <w:rFonts w:ascii="Verdana" w:eastAsia="Calibri" w:hAnsi="Verdana" w:cs="Arial"/>
          <w:color w:val="000000"/>
        </w:rPr>
        <w:t>, que consisten en compromisos irrevocables o incondicionales asumidos por una entidad financiera de pagar una suma determinada de dinero</w:t>
      </w:r>
      <w:r w:rsidRPr="00B54634">
        <w:rPr>
          <w:rFonts w:ascii="Verdana" w:eastAsia="Calibri" w:hAnsi="Verdana" w:cs="Arial"/>
          <w:color w:val="000000"/>
          <w:vertAlign w:val="superscript"/>
        </w:rPr>
        <w:footnoteReference w:id="2"/>
      </w:r>
      <w:r w:rsidRPr="00B54634">
        <w:rPr>
          <w:rFonts w:ascii="Verdana" w:eastAsia="Calibri" w:hAnsi="Verdana" w:cs="Arial"/>
          <w:color w:val="000000"/>
        </w:rPr>
        <w:t xml:space="preserve">. La suficiencia y la vigencia de las garantías deben ser las reguladas en los artículos 2.2.1.2.3.1.9 a 2.2.1.2.3.1.16 del Decreto 1082 de 2015. </w:t>
      </w:r>
    </w:p>
    <w:p w14:paraId="59097CEE" w14:textId="77777777" w:rsidR="000C1656" w:rsidRPr="00B54634" w:rsidRDefault="000C1656" w:rsidP="000C1656">
      <w:pPr>
        <w:spacing w:before="120" w:after="0" w:line="276" w:lineRule="auto"/>
        <w:ind w:firstLine="709"/>
        <w:jc w:val="both"/>
        <w:rPr>
          <w:rFonts w:ascii="Verdana" w:eastAsia="Calibri" w:hAnsi="Verdana" w:cs="Times New Roman"/>
          <w:spacing w:val="-2"/>
        </w:rPr>
      </w:pPr>
      <w:r w:rsidRPr="00B54634">
        <w:rPr>
          <w:rFonts w:ascii="Verdana" w:eastAsia="Calibri" w:hAnsi="Verdana" w:cs="Arial"/>
          <w:color w:val="000000"/>
        </w:rPr>
        <w:t>En ese sentido, y por resultar relevante al objeto consultado, se aclara que de acuerdo con lo establecido en el artículo 2.2.1.2.3.1.12 ibidem, regula la suficiencia de la garantía de cumplimiento, la garantía de cumplimiento debe tener una vigencia mínima hasta la liquidación del contrato. En ese sentido,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r w:rsidRPr="00B54634">
        <w:rPr>
          <w:rFonts w:ascii="Verdana" w:eastAsia="Calibri" w:hAnsi="Verdana" w:cs="Times New Roman"/>
          <w:vertAlign w:val="superscript"/>
        </w:rPr>
        <w:footnoteReference w:id="3"/>
      </w:r>
      <w:r w:rsidRPr="00B54634">
        <w:rPr>
          <w:rFonts w:ascii="Verdana" w:eastAsia="Calibri" w:hAnsi="Verdana" w:cs="Times New Roman"/>
        </w:rPr>
        <w:t>.</w:t>
      </w:r>
      <w:r w:rsidRPr="00B54634">
        <w:rPr>
          <w:rFonts w:ascii="Verdana" w:eastAsia="Calibri" w:hAnsi="Verdana" w:cs="Times New Roman"/>
          <w:spacing w:val="-2"/>
        </w:rPr>
        <w:t xml:space="preserve"> </w:t>
      </w:r>
    </w:p>
    <w:p w14:paraId="5C0A9E3C" w14:textId="77777777" w:rsidR="000C1656" w:rsidRPr="00B54634" w:rsidRDefault="000C1656" w:rsidP="000C1656">
      <w:pPr>
        <w:spacing w:before="120" w:after="0" w:line="276" w:lineRule="auto"/>
        <w:ind w:firstLine="709"/>
        <w:jc w:val="both"/>
        <w:rPr>
          <w:rFonts w:ascii="Verdana" w:eastAsia="Calibri" w:hAnsi="Verdana" w:cs="Times New Roman"/>
          <w:spacing w:val="-2"/>
        </w:rPr>
      </w:pPr>
      <w:r w:rsidRPr="00B54634">
        <w:rPr>
          <w:rFonts w:ascii="Verdana" w:eastAsia="Calibri" w:hAnsi="Verdana" w:cs="Times New Roman"/>
        </w:rPr>
        <w:t>Conforme la</w:t>
      </w:r>
      <w:r w:rsidRPr="00B54634">
        <w:rPr>
          <w:rFonts w:ascii="Verdana" w:eastAsia="Calibri" w:hAnsi="Verdana" w:cs="Times New Roman"/>
          <w:spacing w:val="-2"/>
        </w:rPr>
        <w:t xml:space="preserve"> </w:t>
      </w:r>
      <w:r w:rsidRPr="00B54634">
        <w:rPr>
          <w:rFonts w:ascii="Verdana" w:eastAsia="Calibri" w:hAnsi="Verdana" w:cs="Times New Roman"/>
        </w:rPr>
        <w:t>norma</w:t>
      </w:r>
      <w:r w:rsidRPr="00B54634">
        <w:rPr>
          <w:rFonts w:ascii="Verdana" w:eastAsia="Calibri" w:hAnsi="Verdana" w:cs="Times New Roman"/>
          <w:spacing w:val="-1"/>
        </w:rPr>
        <w:t xml:space="preserve"> </w:t>
      </w:r>
      <w:r w:rsidRPr="00B54634">
        <w:rPr>
          <w:rFonts w:ascii="Verdana" w:eastAsia="Calibri" w:hAnsi="Verdana" w:cs="Times New Roman"/>
        </w:rPr>
        <w:t>citada, el</w:t>
      </w:r>
      <w:r w:rsidRPr="00B54634">
        <w:rPr>
          <w:rFonts w:ascii="Verdana" w:eastAsia="Calibri" w:hAnsi="Verdana" w:cs="Times New Roman"/>
          <w:spacing w:val="-2"/>
        </w:rPr>
        <w:t xml:space="preserve"> </w:t>
      </w:r>
      <w:r w:rsidRPr="00B54634">
        <w:rPr>
          <w:rFonts w:ascii="Verdana" w:eastAsia="Calibri" w:hAnsi="Verdana" w:cs="Times New Roman"/>
        </w:rPr>
        <w:t>amparo cubre</w:t>
      </w:r>
      <w:r w:rsidRPr="00B54634">
        <w:rPr>
          <w:rFonts w:ascii="Verdana" w:eastAsia="Calibri" w:hAnsi="Verdana" w:cs="Times New Roman"/>
          <w:spacing w:val="-1"/>
        </w:rPr>
        <w:t xml:space="preserve"> </w:t>
      </w:r>
      <w:r w:rsidRPr="00B54634">
        <w:rPr>
          <w:rFonts w:ascii="Verdana" w:eastAsia="Calibri" w:hAnsi="Verdana" w:cs="Times New Roman"/>
        </w:rPr>
        <w:t>tanto</w:t>
      </w:r>
      <w:r w:rsidRPr="00B54634">
        <w:rPr>
          <w:rFonts w:ascii="Verdana" w:eastAsia="Calibri" w:hAnsi="Verdana" w:cs="Times New Roman"/>
          <w:spacing w:val="-1"/>
        </w:rPr>
        <w:t xml:space="preserve"> </w:t>
      </w:r>
      <w:r w:rsidRPr="00B54634">
        <w:rPr>
          <w:rFonts w:ascii="Verdana" w:eastAsia="Calibri" w:hAnsi="Verdana" w:cs="Times New Roman"/>
        </w:rPr>
        <w:t>el</w:t>
      </w:r>
      <w:r w:rsidRPr="00B54634">
        <w:rPr>
          <w:rFonts w:ascii="Verdana" w:eastAsia="Calibri" w:hAnsi="Verdana" w:cs="Times New Roman"/>
          <w:spacing w:val="-2"/>
        </w:rPr>
        <w:t xml:space="preserve"> </w:t>
      </w:r>
      <w:r w:rsidRPr="00B54634">
        <w:rPr>
          <w:rFonts w:ascii="Verdana" w:eastAsia="Calibri" w:hAnsi="Verdana" w:cs="Times New Roman"/>
          <w:i/>
        </w:rPr>
        <w:t>plazo</w:t>
      </w:r>
      <w:r w:rsidRPr="00B54634">
        <w:rPr>
          <w:rFonts w:ascii="Verdana" w:eastAsia="Calibri" w:hAnsi="Verdana" w:cs="Times New Roman"/>
          <w:i/>
          <w:spacing w:val="-1"/>
        </w:rPr>
        <w:t xml:space="preserve"> </w:t>
      </w:r>
      <w:r w:rsidRPr="00B54634">
        <w:rPr>
          <w:rFonts w:ascii="Verdana" w:eastAsia="Calibri" w:hAnsi="Verdana" w:cs="Times New Roman"/>
          <w:i/>
        </w:rPr>
        <w:t xml:space="preserve">de ejecución </w:t>
      </w:r>
      <w:r w:rsidRPr="00B54634">
        <w:rPr>
          <w:rFonts w:ascii="Verdana" w:eastAsia="Calibri" w:hAnsi="Verdana" w:cs="Times New Roman"/>
        </w:rPr>
        <w:t xml:space="preserve">como el </w:t>
      </w:r>
      <w:r w:rsidRPr="00B54634">
        <w:rPr>
          <w:rFonts w:ascii="Verdana" w:eastAsia="Calibri" w:hAnsi="Verdana" w:cs="Times New Roman"/>
          <w:i/>
        </w:rPr>
        <w:t xml:space="preserve">plazo de vigencia </w:t>
      </w:r>
      <w:r w:rsidRPr="00B54634">
        <w:rPr>
          <w:rFonts w:ascii="Verdana" w:eastAsia="Calibri" w:hAnsi="Verdana" w:cs="Times New Roman"/>
        </w:rPr>
        <w:t xml:space="preserve">del contrato. Al respecto, la jurisprudencia define el </w:t>
      </w:r>
      <w:r w:rsidRPr="00B54634">
        <w:rPr>
          <w:rFonts w:ascii="Verdana" w:eastAsia="Calibri" w:hAnsi="Verdana" w:cs="Times New Roman"/>
          <w:i/>
        </w:rPr>
        <w:t xml:space="preserve">plazo de ejecución </w:t>
      </w:r>
      <w:r w:rsidRPr="00B54634">
        <w:rPr>
          <w:rFonts w:ascii="Verdana" w:eastAsia="Calibri" w:hAnsi="Verdana" w:cs="Times New Roman"/>
        </w:rPr>
        <w:t>como el establecido para la realización</w:t>
      </w:r>
      <w:r w:rsidRPr="00B54634">
        <w:rPr>
          <w:rFonts w:ascii="Verdana" w:eastAsia="Calibri" w:hAnsi="Verdana" w:cs="Times New Roman"/>
          <w:spacing w:val="-1"/>
        </w:rPr>
        <w:t xml:space="preserve"> </w:t>
      </w:r>
      <w:r w:rsidRPr="00B54634">
        <w:rPr>
          <w:rFonts w:ascii="Verdana" w:eastAsia="Calibri" w:hAnsi="Verdana" w:cs="Times New Roman"/>
        </w:rPr>
        <w:t>de</w:t>
      </w:r>
      <w:r w:rsidRPr="00B54634">
        <w:rPr>
          <w:rFonts w:ascii="Verdana" w:eastAsia="Calibri" w:hAnsi="Verdana" w:cs="Times New Roman"/>
          <w:spacing w:val="-5"/>
        </w:rPr>
        <w:t xml:space="preserve"> </w:t>
      </w:r>
      <w:r w:rsidRPr="00B54634">
        <w:rPr>
          <w:rFonts w:ascii="Verdana" w:eastAsia="Calibri" w:hAnsi="Verdana" w:cs="Times New Roman"/>
        </w:rPr>
        <w:t>las</w:t>
      </w:r>
      <w:r w:rsidRPr="00B54634">
        <w:rPr>
          <w:rFonts w:ascii="Verdana" w:eastAsia="Calibri" w:hAnsi="Verdana" w:cs="Times New Roman"/>
          <w:spacing w:val="-4"/>
        </w:rPr>
        <w:t xml:space="preserve"> </w:t>
      </w:r>
      <w:r w:rsidRPr="00B54634">
        <w:rPr>
          <w:rFonts w:ascii="Verdana" w:eastAsia="Calibri" w:hAnsi="Verdana" w:cs="Times New Roman"/>
        </w:rPr>
        <w:t>prestaciones</w:t>
      </w:r>
      <w:r w:rsidRPr="00B54634">
        <w:rPr>
          <w:rFonts w:ascii="Verdana" w:eastAsia="Calibri" w:hAnsi="Verdana" w:cs="Times New Roman"/>
          <w:spacing w:val="-2"/>
        </w:rPr>
        <w:t xml:space="preserve"> </w:t>
      </w:r>
      <w:r w:rsidRPr="00B54634">
        <w:rPr>
          <w:rFonts w:ascii="Verdana" w:eastAsia="Calibri" w:hAnsi="Verdana" w:cs="Times New Roman"/>
        </w:rPr>
        <w:t>contractuales</w:t>
      </w:r>
      <w:r w:rsidRPr="00B54634">
        <w:rPr>
          <w:rFonts w:ascii="Verdana" w:eastAsia="Calibri" w:hAnsi="Verdana" w:cs="Times New Roman"/>
          <w:spacing w:val="-1"/>
        </w:rPr>
        <w:t xml:space="preserve"> </w:t>
      </w:r>
      <w:r w:rsidRPr="00B54634">
        <w:rPr>
          <w:rFonts w:ascii="Verdana" w:eastAsia="Calibri" w:hAnsi="Verdana" w:cs="Times New Roman"/>
        </w:rPr>
        <w:t>y,</w:t>
      </w:r>
      <w:r w:rsidRPr="00B54634">
        <w:rPr>
          <w:rFonts w:ascii="Verdana" w:eastAsia="Calibri" w:hAnsi="Verdana" w:cs="Times New Roman"/>
          <w:spacing w:val="-5"/>
        </w:rPr>
        <w:t xml:space="preserve"> </w:t>
      </w:r>
      <w:r w:rsidRPr="00B54634">
        <w:rPr>
          <w:rFonts w:ascii="Verdana" w:eastAsia="Calibri" w:hAnsi="Verdana" w:cs="Times New Roman"/>
        </w:rPr>
        <w:t>de</w:t>
      </w:r>
      <w:r w:rsidRPr="00B54634">
        <w:rPr>
          <w:rFonts w:ascii="Verdana" w:eastAsia="Calibri" w:hAnsi="Verdana" w:cs="Times New Roman"/>
          <w:spacing w:val="-5"/>
        </w:rPr>
        <w:t xml:space="preserve"> </w:t>
      </w:r>
      <w:r w:rsidRPr="00B54634">
        <w:rPr>
          <w:rFonts w:ascii="Verdana" w:eastAsia="Calibri" w:hAnsi="Verdana" w:cs="Times New Roman"/>
        </w:rPr>
        <w:t>igual</w:t>
      </w:r>
      <w:r w:rsidRPr="00B54634">
        <w:rPr>
          <w:rFonts w:ascii="Verdana" w:eastAsia="Calibri" w:hAnsi="Verdana" w:cs="Times New Roman"/>
          <w:spacing w:val="-4"/>
        </w:rPr>
        <w:t xml:space="preserve"> </w:t>
      </w:r>
      <w:r w:rsidRPr="00B54634">
        <w:rPr>
          <w:rFonts w:ascii="Verdana" w:eastAsia="Calibri" w:hAnsi="Verdana" w:cs="Times New Roman"/>
        </w:rPr>
        <w:t>forma,</w:t>
      </w:r>
      <w:r w:rsidRPr="00B54634">
        <w:rPr>
          <w:rFonts w:ascii="Verdana" w:eastAsia="Calibri" w:hAnsi="Verdana" w:cs="Times New Roman"/>
          <w:spacing w:val="-3"/>
        </w:rPr>
        <w:t xml:space="preserve"> </w:t>
      </w:r>
      <w:r w:rsidRPr="00B54634">
        <w:rPr>
          <w:rFonts w:ascii="Verdana" w:eastAsia="Calibri" w:hAnsi="Verdana" w:cs="Times New Roman"/>
        </w:rPr>
        <w:t xml:space="preserve">considera que el </w:t>
      </w:r>
      <w:r w:rsidRPr="00B54634">
        <w:rPr>
          <w:rFonts w:ascii="Verdana" w:eastAsia="Calibri" w:hAnsi="Verdana" w:cs="Times New Roman"/>
          <w:i/>
        </w:rPr>
        <w:t xml:space="preserve">plazo de vigencia </w:t>
      </w:r>
      <w:r w:rsidRPr="00B54634">
        <w:rPr>
          <w:rFonts w:ascii="Verdana" w:eastAsia="Calibri" w:hAnsi="Verdana" w:cs="Times New Roman"/>
        </w:rPr>
        <w:t>de este no ha finalizado mientras subsista la obligación para las partes de liquidar el contrato</w:t>
      </w:r>
      <w:r w:rsidRPr="00B54634">
        <w:rPr>
          <w:rFonts w:ascii="Verdana" w:eastAsia="Calibri" w:hAnsi="Verdana" w:cs="Times New Roman"/>
          <w:vertAlign w:val="superscript"/>
        </w:rPr>
        <w:footnoteReference w:id="4"/>
      </w:r>
      <w:r w:rsidRPr="00B54634">
        <w:rPr>
          <w:rFonts w:ascii="Verdana" w:eastAsia="Calibri" w:hAnsi="Verdana" w:cs="Times New Roman"/>
        </w:rPr>
        <w:t xml:space="preserve">. Por ello, explica lo </w:t>
      </w:r>
      <w:r w:rsidRPr="00B54634">
        <w:rPr>
          <w:rFonts w:ascii="Verdana" w:eastAsia="Calibri" w:hAnsi="Verdana" w:cs="Times New Roman"/>
          <w:spacing w:val="-2"/>
        </w:rPr>
        <w:t>siguiente:</w:t>
      </w:r>
    </w:p>
    <w:p w14:paraId="1E655398" w14:textId="77777777" w:rsidR="000C1656" w:rsidRPr="00B54634" w:rsidRDefault="000C1656" w:rsidP="000C1656">
      <w:pPr>
        <w:spacing w:after="0" w:line="276" w:lineRule="auto"/>
        <w:ind w:firstLine="709"/>
        <w:jc w:val="both"/>
        <w:rPr>
          <w:rFonts w:ascii="Verdana" w:eastAsia="Calibri" w:hAnsi="Verdana" w:cs="Arial"/>
          <w:color w:val="000000"/>
          <w:lang w:val="es-ES" w:eastAsia="es-MX"/>
        </w:rPr>
      </w:pPr>
    </w:p>
    <w:p w14:paraId="3044A1FF" w14:textId="77777777" w:rsidR="000C1656" w:rsidRPr="00B54634" w:rsidRDefault="000C1656" w:rsidP="000C1656">
      <w:pPr>
        <w:spacing w:after="0" w:line="240" w:lineRule="auto"/>
        <w:ind w:left="709" w:right="709"/>
        <w:jc w:val="both"/>
        <w:rPr>
          <w:rFonts w:ascii="Verdana" w:eastAsia="Calibri" w:hAnsi="Verdana" w:cs="Times New Roman"/>
          <w:sz w:val="20"/>
          <w:szCs w:val="20"/>
        </w:rPr>
      </w:pPr>
      <w:r w:rsidRPr="00B54634">
        <w:rPr>
          <w:rFonts w:ascii="Verdana" w:eastAsia="Calibri" w:hAnsi="Verdana" w:cs="Arial"/>
          <w:color w:val="000000"/>
          <w:lang w:val="es-ES" w:eastAsia="es-MX"/>
        </w:rPr>
        <w:t>“</w:t>
      </w:r>
      <w:r w:rsidRPr="00B54634">
        <w:rPr>
          <w:rFonts w:ascii="Verdana" w:eastAsia="Calibri" w:hAnsi="Verdana" w:cs="Times New Roman"/>
          <w:sz w:val="20"/>
          <w:szCs w:val="20"/>
        </w:rPr>
        <w:t>[…] si bien es cierto en la mayoría de los casos el plazo del contrato coincide con</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ejecución de</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obra,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con</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entrega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suministro, con la prestación del servicio, también lo es, que este plazo no constituye propiamente hablando</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periodo</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ejecución del</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contrato porque al finalizar el plazo que se ha destinado para el cumplimiento de</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obligación</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principal</w:t>
      </w:r>
      <w:r w:rsidRPr="00B54634">
        <w:rPr>
          <w:rFonts w:ascii="Verdana" w:eastAsia="Calibri" w:hAnsi="Verdana" w:cs="Times New Roman"/>
          <w:spacing w:val="-14"/>
          <w:sz w:val="20"/>
          <w:szCs w:val="20"/>
        </w:rPr>
        <w:t xml:space="preserve"> </w:t>
      </w:r>
      <w:r w:rsidRPr="00B54634">
        <w:rPr>
          <w:rFonts w:ascii="Verdana" w:eastAsia="Calibri" w:hAnsi="Verdana" w:cs="Times New Roman"/>
          <w:sz w:val="20"/>
          <w:szCs w:val="20"/>
        </w:rPr>
        <w:t>por</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parte</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contratista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las</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partes</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no</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quedan liberadas de pleno derecho mientras no se extingan todas las obligaciones</w:t>
      </w:r>
      <w:r w:rsidRPr="00B54634">
        <w:rPr>
          <w:rFonts w:ascii="Verdana" w:eastAsia="Calibri" w:hAnsi="Verdana" w:cs="Times New Roman"/>
          <w:spacing w:val="-5"/>
          <w:sz w:val="20"/>
          <w:szCs w:val="20"/>
        </w:rPr>
        <w:t xml:space="preserve"> </w:t>
      </w:r>
      <w:r w:rsidRPr="00B54634">
        <w:rPr>
          <w:rFonts w:ascii="Verdana" w:eastAsia="Calibri" w:hAnsi="Verdana" w:cs="Times New Roman"/>
          <w:sz w:val="20"/>
          <w:szCs w:val="20"/>
        </w:rPr>
        <w:t>adquiridas,</w:t>
      </w:r>
      <w:r w:rsidRPr="00B54634">
        <w:rPr>
          <w:rFonts w:ascii="Verdana" w:eastAsia="Calibri" w:hAnsi="Verdana" w:cs="Times New Roman"/>
          <w:spacing w:val="-5"/>
          <w:sz w:val="20"/>
          <w:szCs w:val="20"/>
        </w:rPr>
        <w:t xml:space="preserve"> </w:t>
      </w:r>
      <w:r w:rsidRPr="00B54634">
        <w:rPr>
          <w:rFonts w:ascii="Verdana" w:eastAsia="Calibri" w:hAnsi="Verdana" w:cs="Times New Roman"/>
          <w:sz w:val="20"/>
          <w:szCs w:val="20"/>
        </w:rPr>
        <w:t>lo</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cual</w:t>
      </w:r>
      <w:r w:rsidRPr="00B54634">
        <w:rPr>
          <w:rFonts w:ascii="Verdana" w:eastAsia="Calibri" w:hAnsi="Verdana" w:cs="Times New Roman"/>
          <w:spacing w:val="-7"/>
          <w:sz w:val="20"/>
          <w:szCs w:val="20"/>
        </w:rPr>
        <w:t xml:space="preserve"> </w:t>
      </w:r>
      <w:r w:rsidRPr="00B54634">
        <w:rPr>
          <w:rFonts w:ascii="Verdana" w:eastAsia="Calibri" w:hAnsi="Verdana" w:cs="Times New Roman"/>
          <w:sz w:val="20"/>
          <w:szCs w:val="20"/>
        </w:rPr>
        <w:t>se</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cumple</w:t>
      </w:r>
      <w:r w:rsidRPr="00B54634">
        <w:rPr>
          <w:rFonts w:ascii="Verdana" w:eastAsia="Calibri" w:hAnsi="Verdana" w:cs="Times New Roman"/>
          <w:spacing w:val="-6"/>
          <w:sz w:val="20"/>
          <w:szCs w:val="20"/>
        </w:rPr>
        <w:t xml:space="preserve"> </w:t>
      </w:r>
      <w:r w:rsidRPr="00B54634">
        <w:rPr>
          <w:rFonts w:ascii="Verdana" w:eastAsia="Calibri" w:hAnsi="Verdana" w:cs="Times New Roman"/>
          <w:sz w:val="20"/>
          <w:szCs w:val="20"/>
        </w:rPr>
        <w:t>necesariamente</w:t>
      </w:r>
      <w:r w:rsidRPr="00B54634">
        <w:rPr>
          <w:rFonts w:ascii="Verdana" w:eastAsia="Calibri" w:hAnsi="Verdana" w:cs="Times New Roman"/>
          <w:spacing w:val="-3"/>
          <w:sz w:val="20"/>
          <w:szCs w:val="20"/>
        </w:rPr>
        <w:t xml:space="preserve"> </w:t>
      </w:r>
      <w:r w:rsidRPr="00B54634">
        <w:rPr>
          <w:rFonts w:ascii="Verdana" w:eastAsia="Calibri" w:hAnsi="Verdana" w:cs="Times New Roman"/>
          <w:sz w:val="20"/>
          <w:szCs w:val="20"/>
        </w:rPr>
        <w:t>en</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etapa de</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liquidación</w:t>
      </w:r>
      <w:r w:rsidRPr="00B54634">
        <w:rPr>
          <w:rFonts w:ascii="Verdana" w:eastAsia="Calibri" w:hAnsi="Verdana" w:cs="Times New Roman"/>
          <w:spacing w:val="-10"/>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contrato</w:t>
      </w:r>
      <w:r w:rsidRPr="00B54634">
        <w:rPr>
          <w:rFonts w:ascii="Verdana" w:eastAsia="Calibri" w:hAnsi="Verdana" w:cs="Times New Roman"/>
          <w:spacing w:val="-11"/>
          <w:sz w:val="20"/>
          <w:szCs w:val="20"/>
        </w:rPr>
        <w:t xml:space="preserve"> </w:t>
      </w:r>
      <w:r w:rsidRPr="00B54634">
        <w:rPr>
          <w:rFonts w:ascii="Verdana" w:eastAsia="Calibri" w:hAnsi="Verdana" w:cs="Times New Roman"/>
          <w:sz w:val="20"/>
          <w:szCs w:val="20"/>
        </w:rPr>
        <w:t>en</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cual</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es</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donde</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administración</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puede valorar</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cumplimiento</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total</w:t>
      </w:r>
      <w:r w:rsidRPr="00B54634">
        <w:rPr>
          <w:rFonts w:ascii="Verdana" w:eastAsia="Calibri" w:hAnsi="Verdana" w:cs="Times New Roman"/>
          <w:spacing w:val="-17"/>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las</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obligaciones</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a</w:t>
      </w:r>
      <w:r w:rsidRPr="00B54634">
        <w:rPr>
          <w:rFonts w:ascii="Verdana" w:eastAsia="Calibri" w:hAnsi="Verdana" w:cs="Times New Roman"/>
          <w:spacing w:val="-19"/>
          <w:sz w:val="20"/>
          <w:szCs w:val="20"/>
        </w:rPr>
        <w:t xml:space="preserve"> </w:t>
      </w:r>
      <w:r w:rsidRPr="00B54634">
        <w:rPr>
          <w:rFonts w:ascii="Verdana" w:eastAsia="Calibri" w:hAnsi="Verdana" w:cs="Times New Roman"/>
          <w:sz w:val="20"/>
          <w:szCs w:val="20"/>
        </w:rPr>
        <w:t>cargo</w:t>
      </w:r>
      <w:r w:rsidRPr="00B54634">
        <w:rPr>
          <w:rFonts w:ascii="Verdana" w:eastAsia="Calibri" w:hAnsi="Verdana" w:cs="Times New Roman"/>
          <w:spacing w:val="-17"/>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contratista y es la que le pone término a la vinculación de las partes</w:t>
      </w:r>
      <w:r w:rsidRPr="00B54634">
        <w:rPr>
          <w:rFonts w:ascii="Verdana" w:eastAsia="Calibri" w:hAnsi="Verdana" w:cs="Times New Roman"/>
          <w:spacing w:val="-53"/>
          <w:sz w:val="20"/>
          <w:szCs w:val="20"/>
        </w:rPr>
        <w:t xml:space="preserve"> </w:t>
      </w:r>
      <w:r w:rsidRPr="00B54634">
        <w:rPr>
          <w:rFonts w:ascii="Verdana" w:eastAsia="Calibri" w:hAnsi="Verdana" w:cs="Times New Roman"/>
          <w:sz w:val="20"/>
          <w:szCs w:val="20"/>
        </w:rPr>
        <w:t>”</w:t>
      </w:r>
      <w:r w:rsidRPr="00B54634">
        <w:rPr>
          <w:rFonts w:ascii="Verdana" w:eastAsia="Calibri" w:hAnsi="Verdana" w:cs="Times New Roman"/>
          <w:sz w:val="20"/>
          <w:szCs w:val="20"/>
          <w:vertAlign w:val="superscript"/>
        </w:rPr>
        <w:footnoteReference w:id="5"/>
      </w:r>
      <w:r w:rsidRPr="00B54634">
        <w:rPr>
          <w:rFonts w:ascii="Verdana" w:eastAsia="Calibri" w:hAnsi="Verdana" w:cs="Times New Roman"/>
          <w:sz w:val="20"/>
          <w:szCs w:val="20"/>
        </w:rPr>
        <w:t>.</w:t>
      </w:r>
    </w:p>
    <w:p w14:paraId="54077AD1" w14:textId="77777777" w:rsidR="000C1656" w:rsidRPr="00B54634" w:rsidRDefault="000C1656" w:rsidP="000C1656">
      <w:pPr>
        <w:spacing w:before="120" w:after="0" w:line="276" w:lineRule="auto"/>
        <w:jc w:val="both"/>
        <w:rPr>
          <w:rFonts w:ascii="Verdana" w:eastAsia="Calibri" w:hAnsi="Verdana" w:cs="Arial"/>
          <w:color w:val="000000"/>
        </w:rPr>
      </w:pPr>
    </w:p>
    <w:p w14:paraId="3DFF9332" w14:textId="77777777" w:rsidR="000C1656" w:rsidRPr="00B54634" w:rsidRDefault="000C1656" w:rsidP="000C1656">
      <w:pPr>
        <w:spacing w:after="0" w:line="276" w:lineRule="auto"/>
        <w:jc w:val="both"/>
        <w:rPr>
          <w:rFonts w:ascii="Verdana" w:eastAsia="Aptos" w:hAnsi="Verdana" w:cs="Times New Roman"/>
        </w:rPr>
      </w:pPr>
      <w:r w:rsidRPr="00B54634">
        <w:rPr>
          <w:rFonts w:ascii="Verdana" w:eastAsia="Calibri" w:hAnsi="Verdana" w:cs="Arial"/>
          <w:lang w:val="es-ES"/>
        </w:rPr>
        <w:tab/>
        <w:t xml:space="preserve">De lo anterior se colige que, la cobertura mínima del amparo de cumplimiento cubre el </w:t>
      </w:r>
      <w:r w:rsidRPr="00B54634">
        <w:rPr>
          <w:rFonts w:ascii="Verdana" w:eastAsia="Calibri" w:hAnsi="Verdana" w:cs="Arial"/>
          <w:i/>
          <w:iCs/>
          <w:lang w:val="es-ES"/>
        </w:rPr>
        <w:t xml:space="preserve">plazo de ejecución </w:t>
      </w:r>
      <w:r w:rsidRPr="00B54634">
        <w:rPr>
          <w:rFonts w:ascii="Verdana" w:eastAsia="Aptos" w:hAnsi="Verdana" w:cs="Times New Roman"/>
        </w:rPr>
        <w:t xml:space="preserve">y el </w:t>
      </w:r>
      <w:r w:rsidRPr="00B54634">
        <w:rPr>
          <w:rFonts w:ascii="Verdana" w:eastAsia="Aptos" w:hAnsi="Verdana" w:cs="Times New Roman"/>
          <w:i/>
        </w:rPr>
        <w:t>plazo de vigencia</w:t>
      </w:r>
      <w:r w:rsidRPr="00B54634">
        <w:rPr>
          <w:rFonts w:ascii="Verdana" w:eastAsia="Aptos" w:hAnsi="Verdana" w:cs="Times New Roman"/>
        </w:rPr>
        <w:t>, el cual finaliza con la liquidación. Para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B54634">
        <w:rPr>
          <w:rFonts w:ascii="Verdana" w:eastAsia="Aptos" w:hAnsi="Verdana" w:cs="Times New Roman"/>
          <w:vertAlign w:val="superscript"/>
        </w:rPr>
        <w:footnoteReference w:id="6"/>
      </w:r>
      <w:r w:rsidRPr="00B54634">
        <w:rPr>
          <w:rFonts w:ascii="Verdana" w:eastAsia="Aptos" w:hAnsi="Verdana" w:cs="Times New Roman"/>
        </w:rPr>
        <w:t xml:space="preserve">. </w:t>
      </w:r>
    </w:p>
    <w:p w14:paraId="10BEB4E4" w14:textId="77777777" w:rsidR="000C1656" w:rsidRPr="00B54634" w:rsidRDefault="000C1656" w:rsidP="000C1656">
      <w:pPr>
        <w:spacing w:before="120" w:after="0" w:line="276" w:lineRule="auto"/>
        <w:ind w:firstLine="708"/>
        <w:jc w:val="both"/>
        <w:rPr>
          <w:rFonts w:ascii="Verdana" w:eastAsia="Calibri" w:hAnsi="Verdana" w:cs="Arial"/>
          <w:lang w:val="es-MX"/>
        </w:rPr>
      </w:pPr>
      <w:r w:rsidRPr="00B54634">
        <w:rPr>
          <w:rFonts w:ascii="Verdana" w:eastAsia="Calibri" w:hAnsi="Verdana" w:cs="Arial"/>
          <w:lang w:val="es-MX"/>
        </w:rPr>
        <w:t xml:space="preserve">En ese sentido, se tiene que, las Entidades Estatales sujetas al Estatuto General de Contratación de la Administración Pública, deben liquidar, conforme al artículo 60 de la Ley 80 de 1993: a) los contratos de tracto sucesivo, esto es aquellos cuyas obligaciones se ejecuten de manera periódica o difieren en el tiempo o sucesivamente a medida que se van causando; b) aquellos contratos cuya ejecución o cumplimiento se prolonguen en el tiempo, ya sea por la naturaleza periódica de las prestaciones o por las vicisitudes que se presenten en su ejecución que lo dilaten o prorroguen y; c) los demás que lo requieran, con fundamento en su naturaleza, objeto y plazo, así como su importancia o relevancia o por la eventualidad de discrepancias y controversias en torno a su ejecución; salvo, en los contratos de prestación de servicios profesionales y de apoyo a la gestión, pues en estos no es obligatoria la liquidación. </w:t>
      </w:r>
    </w:p>
    <w:p w14:paraId="7F2E4C7E" w14:textId="77777777" w:rsidR="000C1656" w:rsidRPr="00B54634" w:rsidRDefault="000C1656" w:rsidP="000C1656">
      <w:pPr>
        <w:spacing w:before="120" w:after="120" w:line="276" w:lineRule="auto"/>
        <w:ind w:firstLine="703"/>
        <w:jc w:val="both"/>
        <w:rPr>
          <w:rFonts w:ascii="Verdana" w:eastAsia="Calibri" w:hAnsi="Verdana" w:cs="Arial"/>
          <w:lang w:val="es-MX"/>
        </w:rPr>
      </w:pPr>
      <w:r w:rsidRPr="00B54634">
        <w:rPr>
          <w:rFonts w:ascii="Verdana" w:eastAsia="Calibri" w:hAnsi="Verdana" w:cs="Arial"/>
          <w:lang w:val="es-MX"/>
        </w:rPr>
        <w:lastRenderedPageBreak/>
        <w:t xml:space="preserve">De esta forma, se aclara que, si se cumplen con las condiciones antes señaladas, la entidad contratante deberá determinar sobre cada caso particular y concreto, si procede la liquidación y la forma en la que la adelantará, obedeciendo claramente, a las reglas procedimentales señaladas en el artículo 11 de la Ley 1150 de 2007. Con fundamento en lo estableciendo en el artículo 11 </w:t>
      </w:r>
      <w:r w:rsidRPr="00B54634">
        <w:rPr>
          <w:rFonts w:ascii="Verdana" w:eastAsia="Calibri" w:hAnsi="Verdana" w:cs="Arial"/>
          <w:i/>
          <w:iCs/>
          <w:lang w:val="es-MX"/>
        </w:rPr>
        <w:t>ibidem</w:t>
      </w:r>
      <w:r w:rsidRPr="00B54634">
        <w:rPr>
          <w:rFonts w:ascii="Verdana" w:eastAsia="Calibri" w:hAnsi="Verdana" w:cs="Arial"/>
          <w:lang w:val="es-MX"/>
        </w:rPr>
        <w:t>, las Entidades Estatales en el ejercicio de la autonomía de la voluntad y de conformidad con los criterios de la naturaleza, objeto y plazo del contrato, podrán definir en el pliego de condiciones o en el contrato el plazo para efectuar la liquidación de mutuo acuerdo. Sin embargo, en ausencia de pacto contractual, la referida norma prevé un término supletivo de cuatro (4) meses contados desde: i) el vencimiento del plazo previsto para la ejecución del contrato; ii) la expedición del acto administrativo que ordene la terminación del contrato; o iii) la fecha del acuerdo que disponga la terminación del contrato.</w:t>
      </w:r>
    </w:p>
    <w:p w14:paraId="2E396A6C" w14:textId="77777777" w:rsidR="000C1656" w:rsidRPr="00B54634" w:rsidRDefault="000C1656" w:rsidP="000C1656">
      <w:pPr>
        <w:spacing w:after="0" w:line="276" w:lineRule="auto"/>
        <w:ind w:firstLine="703"/>
        <w:jc w:val="both"/>
        <w:rPr>
          <w:rFonts w:ascii="Verdana" w:eastAsia="Calibri" w:hAnsi="Verdana" w:cs="Arial"/>
          <w:lang w:val="es-MX"/>
        </w:rPr>
      </w:pPr>
      <w:r w:rsidRPr="00B54634">
        <w:rPr>
          <w:rFonts w:ascii="Verdana" w:eastAsia="Calibri" w:hAnsi="Verdana" w:cs="Arial"/>
          <w:lang w:val="es-MX"/>
        </w:rPr>
        <w:t>Durante dichos términos, el contratista puede solicitar que se adelante el trámite de liquidación. Sin embargo, es responsabilidad de la Entidad Estatal convocarlo para adelantar la liquidación de común acuerdo o notificarlo para que se presente a realizarla</w:t>
      </w:r>
      <w:r w:rsidRPr="00B54634">
        <w:rPr>
          <w:rFonts w:ascii="Aptos" w:eastAsia="Aptos" w:hAnsi="Aptos" w:cs="Times New Roman"/>
          <w:color w:val="000000"/>
          <w:vertAlign w:val="superscript"/>
          <w:lang w:val="es-ES_tradnl"/>
        </w:rPr>
        <w:footnoteReference w:id="7"/>
      </w:r>
      <w:r w:rsidRPr="00B54634">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(4) meses señalados en la ley, según corresponda. Esta liquidación bilateral puede ser total o parcial</w:t>
      </w:r>
      <w:r w:rsidRPr="00B54634">
        <w:rPr>
          <w:rFonts w:ascii="Aptos" w:eastAsia="Aptos" w:hAnsi="Aptos" w:cs="Times New Roman"/>
          <w:iCs/>
          <w:color w:val="000000"/>
          <w:vertAlign w:val="superscript"/>
          <w:lang w:val="es-ES_tradnl"/>
        </w:rPr>
        <w:footnoteReference w:id="8"/>
      </w:r>
      <w:r w:rsidRPr="00B54634">
        <w:rPr>
          <w:rFonts w:ascii="Verdana" w:eastAsia="Calibri" w:hAnsi="Verdana" w:cs="Arial"/>
          <w:color w:val="000000"/>
          <w:lang w:val="es-ES_tradnl"/>
        </w:rPr>
        <w:t>, y el documento que la contiene presta mérito ejecutivo, siempre que se satisfagan los elementos para considerarlo como tal. Si no es posible efectuar la liquidación de manera bilateral, el ordenamiento jurídico prevé de facultad, de manera subsidiaria, a la Entidad Estatal para que realice la liquidación unilateralmente.</w:t>
      </w:r>
    </w:p>
    <w:p w14:paraId="6BB47365" w14:textId="77777777" w:rsidR="000C1656" w:rsidRPr="00B54634" w:rsidRDefault="000C1656" w:rsidP="000C1656">
      <w:pPr>
        <w:spacing w:before="120" w:after="0" w:line="276" w:lineRule="auto"/>
        <w:ind w:firstLine="703"/>
        <w:jc w:val="both"/>
        <w:rPr>
          <w:rFonts w:ascii="Verdana" w:eastAsia="Times New Roman" w:hAnsi="Verdana" w:cs="Arial"/>
          <w:color w:val="000000"/>
          <w:lang w:eastAsia="es-ES_tradnl"/>
        </w:rPr>
      </w:pPr>
      <w:r w:rsidRPr="00B54634">
        <w:rPr>
          <w:rFonts w:ascii="Verdana" w:eastAsia="Calibri" w:hAnsi="Verdana" w:cs="Arial"/>
          <w:lang w:val="es-MX"/>
        </w:rPr>
        <w:t xml:space="preserve">Si no es posible efectuar la liquidación </w:t>
      </w:r>
      <w:r w:rsidRPr="00B54634">
        <w:rPr>
          <w:rFonts w:ascii="Verdana" w:eastAsia="Times New Roman" w:hAnsi="Verdana" w:cs="Arial"/>
          <w:color w:val="000000"/>
          <w:bdr w:val="none" w:sz="0" w:space="0" w:color="auto" w:frame="1"/>
          <w:shd w:val="clear" w:color="auto" w:fill="FFFFFF"/>
          <w:lang w:val="es-ES" w:eastAsia="es-ES_tradnl"/>
        </w:rPr>
        <w:t xml:space="preserve">de manera bilateral, el ordenamiento jurídico prevé una facultad, de carácter subsidiario, para que la Entidad Estatal realice la liquidación unilateralmente. En relación con este aspecto, la </w:t>
      </w:r>
      <w:r w:rsidRPr="00B5463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B54634">
        <w:rPr>
          <w:rFonts w:ascii="Verdana" w:eastAsia="Times New Roman" w:hAnsi="Verdana" w:cs="Arial"/>
          <w:color w:val="000000"/>
          <w:bdr w:val="none" w:sz="0" w:space="0" w:color="auto" w:frame="1"/>
          <w:shd w:val="clear" w:color="auto" w:fill="FFFFFF"/>
          <w:lang w:val="es-ES" w:eastAsia="es-ES_tradnl"/>
        </w:rPr>
        <w:t>Consejo de Estado</w:t>
      </w:r>
      <w:r w:rsidRPr="00B54634">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04BBD272" w14:textId="77777777" w:rsidR="000C1656" w:rsidRPr="00B54634" w:rsidRDefault="000C1656" w:rsidP="000C1656">
      <w:pPr>
        <w:spacing w:after="0" w:line="276" w:lineRule="auto"/>
        <w:ind w:left="705" w:right="750"/>
        <w:jc w:val="both"/>
        <w:rPr>
          <w:rFonts w:ascii="Verdana" w:eastAsia="Times New Roman" w:hAnsi="Verdana" w:cs="Arial"/>
          <w:color w:val="000000"/>
          <w:lang w:eastAsia="es-ES_tradnl"/>
        </w:rPr>
      </w:pPr>
    </w:p>
    <w:p w14:paraId="3485107E" w14:textId="77777777" w:rsidR="000C1656" w:rsidRPr="00B54634" w:rsidRDefault="000C1656" w:rsidP="000C1656">
      <w:pPr>
        <w:spacing w:after="0" w:line="240" w:lineRule="auto"/>
        <w:ind w:left="705" w:right="750"/>
        <w:jc w:val="both"/>
        <w:rPr>
          <w:rFonts w:ascii="Verdana" w:eastAsia="Times New Roman" w:hAnsi="Verdana" w:cs="Arial"/>
          <w:color w:val="000000"/>
          <w:sz w:val="20"/>
          <w:szCs w:val="20"/>
          <w:lang w:eastAsia="es-ES_tradnl"/>
        </w:rPr>
      </w:pPr>
      <w:r w:rsidRPr="00B54634">
        <w:rPr>
          <w:rFonts w:ascii="Verdana" w:eastAsia="Times New Roman" w:hAnsi="Verdana" w:cs="Arial"/>
          <w:i/>
          <w:iCs/>
          <w:sz w:val="20"/>
          <w:szCs w:val="20"/>
          <w:lang w:val="es-ES_tradnl" w:eastAsia="es-ES_tradnl"/>
        </w:rPr>
        <w:t>“</w:t>
      </w:r>
      <w:r w:rsidRPr="00B54634">
        <w:rPr>
          <w:rFonts w:ascii="Verdana" w:eastAsia="Calibri" w:hAnsi="Verdana" w:cs="Arial"/>
          <w:color w:val="000000"/>
          <w:sz w:val="20"/>
          <w:szCs w:val="20"/>
          <w:lang w:val="es-ES" w:eastAsia="es-ES_tradnl"/>
        </w:rPr>
        <w:t>[</w:t>
      </w:r>
      <w:r w:rsidRPr="00B54634">
        <w:rPr>
          <w:rFonts w:ascii="Verdana" w:eastAsia="Times New Roman" w:hAnsi="Verdana" w:cs="Arial"/>
          <w:color w:val="000000"/>
          <w:sz w:val="20"/>
          <w:szCs w:val="20"/>
          <w:bdr w:val="none" w:sz="0" w:space="0" w:color="auto" w:frame="1"/>
          <w:shd w:val="clear" w:color="auto" w:fill="FFFFFF"/>
          <w:lang w:eastAsia="es-ES_tradnl"/>
        </w:rPr>
        <w:t xml:space="preserve">…] </w:t>
      </w:r>
      <w:r w:rsidRPr="00B54634">
        <w:rPr>
          <w:rFonts w:ascii="Verdana" w:eastAsia="Times New Roman" w:hAnsi="Verdana"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B54634">
        <w:rPr>
          <w:rFonts w:ascii="Verdana" w:eastAsia="Times New Roman" w:hAnsi="Verdana" w:cs="Arial"/>
          <w:color w:val="000000"/>
          <w:sz w:val="20"/>
          <w:szCs w:val="20"/>
          <w:bdr w:val="none" w:sz="0" w:space="0" w:color="auto" w:frame="1"/>
          <w:shd w:val="clear" w:color="auto" w:fill="FFFFFF"/>
          <w:vertAlign w:val="superscript"/>
          <w:lang w:val="es-MX" w:eastAsia="es-ES_tradnl"/>
        </w:rPr>
        <w:footnoteReference w:id="9"/>
      </w:r>
      <w:r w:rsidRPr="00B54634">
        <w:rPr>
          <w:rFonts w:ascii="Verdana" w:eastAsia="Times New Roman" w:hAnsi="Verdana" w:cs="Arial"/>
          <w:color w:val="000000"/>
          <w:sz w:val="20"/>
          <w:szCs w:val="20"/>
          <w:bdr w:val="none" w:sz="0" w:space="0" w:color="auto" w:frame="1"/>
          <w:shd w:val="clear" w:color="auto" w:fill="FFFFFF"/>
          <w:lang w:val="es-ES" w:eastAsia="es-ES_tradnl"/>
        </w:rPr>
        <w:t>. </w:t>
      </w:r>
      <w:r w:rsidRPr="00B54634">
        <w:rPr>
          <w:rFonts w:ascii="Verdana" w:eastAsia="Times New Roman" w:hAnsi="Verdana" w:cs="Arial"/>
          <w:color w:val="000000"/>
          <w:sz w:val="20"/>
          <w:szCs w:val="20"/>
          <w:bdr w:val="none" w:sz="0" w:space="0" w:color="auto" w:frame="1"/>
          <w:shd w:val="clear" w:color="auto" w:fill="FFFFFF"/>
          <w:lang w:eastAsia="es-ES_tradnl"/>
        </w:rPr>
        <w:t>  </w:t>
      </w:r>
    </w:p>
    <w:p w14:paraId="6FD68AA3" w14:textId="77777777" w:rsidR="000C1656" w:rsidRPr="00B54634" w:rsidRDefault="000C1656" w:rsidP="000C1656">
      <w:pPr>
        <w:spacing w:after="0" w:line="276" w:lineRule="auto"/>
        <w:ind w:left="705" w:right="750"/>
        <w:jc w:val="both"/>
        <w:rPr>
          <w:rFonts w:ascii="Verdana" w:eastAsia="Times New Roman" w:hAnsi="Verdana" w:cs="Arial"/>
          <w:color w:val="000000"/>
          <w:lang w:eastAsia="es-ES_tradnl"/>
        </w:rPr>
      </w:pPr>
    </w:p>
    <w:p w14:paraId="14917964" w14:textId="77777777" w:rsidR="000C1656" w:rsidRPr="00B54634" w:rsidRDefault="000C1656" w:rsidP="000C1656">
      <w:pPr>
        <w:spacing w:after="0" w:line="276" w:lineRule="auto"/>
        <w:jc w:val="both"/>
        <w:rPr>
          <w:rFonts w:ascii="Verdana" w:eastAsia="Times New Roman" w:hAnsi="Verdana" w:cs="Arial"/>
          <w:color w:val="000000"/>
          <w:lang w:eastAsia="es-ES_tradnl"/>
        </w:rPr>
      </w:pPr>
      <w:bookmarkStart w:id="1" w:name="_Hlk141851266"/>
      <w:r w:rsidRPr="00B5463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sidRPr="00B54634">
        <w:rPr>
          <w:rFonts w:ascii="Verdana" w:eastAsia="Times New Roman" w:hAnsi="Verdana" w:cs="Arial"/>
          <w:color w:val="000000"/>
          <w:lang w:eastAsia="es-ES_tradnl"/>
        </w:rPr>
        <w:t xml:space="preserve"> </w:t>
      </w:r>
      <w:r w:rsidRPr="00B5463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1"/>
      <w:r w:rsidRPr="00B5463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B54634">
        <w:rPr>
          <w:rFonts w:ascii="Verdana" w:eastAsia="Times New Roman" w:hAnsi="Verdana" w:cs="Arial"/>
          <w:color w:val="000000"/>
          <w:bdr w:val="none" w:sz="0" w:space="0" w:color="auto" w:frame="1"/>
          <w:shd w:val="clear" w:color="auto" w:fill="FFFFFF"/>
          <w:lang w:val="es-MX" w:eastAsia="es-ES_tradnl"/>
        </w:rPr>
        <w:t>Sección Tercera</w:t>
      </w:r>
      <w:r w:rsidRPr="00B5463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B54634">
        <w:rPr>
          <w:rFonts w:ascii="Verdana" w:eastAsia="Times New Roman" w:hAnsi="Verdana" w:cs="Arial"/>
          <w:color w:val="000000"/>
          <w:bdr w:val="none" w: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hd w:val="clear" w:color="auto" w:fill="FFFFFF"/>
          <w:lang w:eastAsia="es-ES_tradnl"/>
        </w:rPr>
        <w:t>1 de agosto de 2019, se expresó: </w:t>
      </w:r>
    </w:p>
    <w:p w14:paraId="2BEAB3A4" w14:textId="77777777" w:rsidR="000C1656" w:rsidRPr="00B54634" w:rsidRDefault="000C1656" w:rsidP="000C1656">
      <w:pPr>
        <w:spacing w:after="0" w:line="276" w:lineRule="auto"/>
        <w:ind w:firstLine="705"/>
        <w:jc w:val="both"/>
        <w:rPr>
          <w:rFonts w:ascii="Verdana" w:eastAsia="Times New Roman" w:hAnsi="Verdana" w:cs="Arial"/>
          <w:color w:val="000000"/>
          <w:lang w:eastAsia="es-ES_tradnl"/>
        </w:rPr>
      </w:pPr>
    </w:p>
    <w:p w14:paraId="65FA6AE6" w14:textId="77777777" w:rsidR="000C1656" w:rsidRPr="00B54634" w:rsidRDefault="000C1656" w:rsidP="000C1656">
      <w:pPr>
        <w:spacing w:after="0" w:line="240" w:lineRule="auto"/>
        <w:ind w:left="705" w:right="750"/>
        <w:jc w:val="both"/>
        <w:rPr>
          <w:rFonts w:ascii="Verdana" w:eastAsia="Times New Roman" w:hAnsi="Verdana" w:cs="Arial"/>
          <w:color w:val="000000"/>
          <w:sz w:val="20"/>
          <w:szCs w:val="20"/>
          <w:lang w:eastAsia="es-ES_tradnl"/>
        </w:rPr>
      </w:pP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B54634">
        <w:rPr>
          <w:rFonts w:ascii="Verdana" w:eastAsia="Times New Roman" w:hAnsi="Verdana" w:cs="Arial"/>
          <w:color w:val="000000"/>
          <w:sz w:val="20"/>
          <w:szCs w:val="20"/>
          <w:bdr w:val="none" w:sz="0" w:space="0" w:color="auto" w:frame="1"/>
          <w:shd w:val="clear" w:color="auto" w:fill="FFFFFF"/>
          <w:lang w:val="es-ES" w:eastAsia="es-ES_tradnl"/>
        </w:rPr>
        <w:t>liquidatorio</w:t>
      </w:r>
      <w:proofErr w:type="spellEnd"/>
      <w:r w:rsidRPr="00B54634">
        <w:rPr>
          <w:rFonts w:ascii="Verdana" w:eastAsia="Times New Roman" w:hAnsi="Verdana" w:cs="Arial"/>
          <w:color w:val="000000"/>
          <w:sz w:val="20"/>
          <w:szCs w:val="20"/>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vertAlign w:val="superscript"/>
          <w:lang w:eastAsia="es-ES_tradnl"/>
        </w:rPr>
        <w:t xml:space="preserve"> </w:t>
      </w:r>
      <w:r w:rsidRPr="00B54634">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0"/>
      </w: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lang w:val="es-ES" w:eastAsia="es-ES_tradnl"/>
        </w:rPr>
        <w:t> </w:t>
      </w:r>
    </w:p>
    <w:p w14:paraId="52E3EEF7" w14:textId="77777777" w:rsidR="000C1656" w:rsidRPr="00B54634" w:rsidRDefault="000C1656" w:rsidP="000C1656">
      <w:pPr>
        <w:spacing w:after="0" w:line="276" w:lineRule="auto"/>
        <w:ind w:firstLine="708"/>
        <w:jc w:val="both"/>
        <w:rPr>
          <w:rFonts w:ascii="Verdana" w:eastAsia="Times New Roman" w:hAnsi="Verdana" w:cs="Arial"/>
          <w:color w:val="000000"/>
          <w:lang w:eastAsia="es-ES_tradnl"/>
        </w:rPr>
      </w:pPr>
    </w:p>
    <w:p w14:paraId="0D536BC6" w14:textId="77777777" w:rsidR="000C1656" w:rsidRPr="00B54634" w:rsidRDefault="000C1656" w:rsidP="000C1656">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B54634">
        <w:rPr>
          <w:rFonts w:ascii="Verdana" w:eastAsia="Times New Roman" w:hAnsi="Verdana" w:cs="Arial"/>
          <w:color w:val="000000"/>
          <w:bdr w:val="none" w:sz="0" w:space="0" w:color="auto" w:frame="1"/>
          <w:shd w:val="clear" w:color="auto" w:fill="FFFFFF"/>
          <w:lang w:eastAsia="es-ES_tradnl"/>
        </w:rPr>
        <w:t xml:space="preserve">A su turno, la liquidación judicial hace parte de una de las pretensiones que admite el medio de control de controversias contractuales. Al respecto, el artículo 141 de la Ley 1437 de 2011 dispone que “[…] el interesado podrá </w:t>
      </w:r>
      <w:bookmarkStart w:id="2" w:name="_Hlk172560769"/>
      <w:r w:rsidRPr="00B54634">
        <w:rPr>
          <w:rFonts w:ascii="Verdana" w:eastAsia="Times New Roman" w:hAnsi="Verdana" w:cs="Arial"/>
          <w:color w:val="000000"/>
          <w:bdr w:val="none" w:sz="0" w:space="0" w:color="auto" w:frame="1"/>
          <w:shd w:val="clear" w:color="auto" w:fill="FFFFFF"/>
          <w:lang w:eastAsia="es-ES_tradnl"/>
        </w:rPr>
        <w:t>solicitar la liquidación judicial</w:t>
      </w:r>
      <w:bookmarkEnd w:id="2"/>
      <w:r w:rsidRPr="00B54634">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14:paraId="545A4FF0" w14:textId="77777777" w:rsidR="000C1656" w:rsidRPr="00B54634" w:rsidRDefault="000C1656" w:rsidP="000C1656">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
        </w:rPr>
      </w:pPr>
      <w:r w:rsidRPr="00B54634">
        <w:rPr>
          <w:rFonts w:ascii="Verdana" w:eastAsia="Times New Roman" w:hAnsi="Verdana" w:cs="Arial"/>
          <w:color w:val="000000"/>
          <w:bdr w:val="none" w:sz="0" w:space="0" w:color="auto" w:frame="1"/>
          <w:shd w:val="clear" w:color="auto" w:fill="FFFFFF"/>
          <w:lang w:eastAsia="es-ES_tradnl"/>
        </w:rPr>
        <w:tab/>
      </w:r>
      <w:r w:rsidRPr="00B54634">
        <w:rPr>
          <w:rFonts w:ascii="Verdana" w:eastAsia="Times New Roman" w:hAnsi="Verdana" w:cs="Arial"/>
          <w:color w:val="000000"/>
          <w:bdr w:val="none" w:sz="0" w:space="0" w:color="auto" w:frame="1"/>
          <w:shd w:val="clear" w:color="auto" w:fill="FFFFFF"/>
          <w:lang w:val="es-ES" w:eastAsia="es-ES"/>
        </w:rPr>
        <w:t xml:space="preserve">En suma, de acuerdo con el artículo 11 de la Ley 1150 de 2007, existen tres (3) tipos de liquidación: i) bilateral, </w:t>
      </w:r>
      <w:proofErr w:type="spellStart"/>
      <w:r w:rsidRPr="00B54634">
        <w:rPr>
          <w:rFonts w:ascii="Verdana" w:eastAsia="Times New Roman" w:hAnsi="Verdana" w:cs="Arial"/>
          <w:color w:val="000000"/>
          <w:bdr w:val="none" w:sz="0" w:space="0" w:color="auto" w:frame="1"/>
          <w:shd w:val="clear" w:color="auto" w:fill="FFFFFF"/>
          <w:lang w:val="es-ES" w:eastAsia="es-ES"/>
        </w:rPr>
        <w:t>ii</w:t>
      </w:r>
      <w:proofErr w:type="spellEnd"/>
      <w:r w:rsidRPr="00B54634">
        <w:rPr>
          <w:rFonts w:ascii="Verdana" w:eastAsia="Times New Roman" w:hAnsi="Verdana" w:cs="Arial"/>
          <w:color w:val="000000"/>
          <w:bdr w:val="none" w:sz="0" w:space="0" w:color="auto" w:frame="1"/>
          <w:shd w:val="clear" w:color="auto" w:fill="FFFFFF"/>
          <w:lang w:val="es-ES" w:eastAsia="es-ES"/>
        </w:rPr>
        <w:t xml:space="preserve">) unilateral y </w:t>
      </w:r>
      <w:proofErr w:type="spellStart"/>
      <w:r w:rsidRPr="00B54634">
        <w:rPr>
          <w:rFonts w:ascii="Verdana" w:eastAsia="Times New Roman" w:hAnsi="Verdana" w:cs="Arial"/>
          <w:color w:val="000000"/>
          <w:bdr w:val="none" w:sz="0" w:space="0" w:color="auto" w:frame="1"/>
          <w:shd w:val="clear" w:color="auto" w:fill="FFFFFF"/>
          <w:lang w:val="es-ES" w:eastAsia="es-ES"/>
        </w:rPr>
        <w:t>iii</w:t>
      </w:r>
      <w:proofErr w:type="spellEnd"/>
      <w:r w:rsidRPr="00B54634">
        <w:rPr>
          <w:rFonts w:ascii="Verdana" w:eastAsia="Times New Roman" w:hAnsi="Verdana" w:cs="Arial"/>
          <w:color w:val="000000"/>
          <w:bdr w:val="none" w:sz="0" w:space="0" w:color="auto" w:frame="1"/>
          <w:shd w:val="clear" w:color="auto" w:fill="FFFFFF"/>
          <w:lang w:val="es-ES" w:eastAsia="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27B98F31" w14:textId="77777777" w:rsidR="000C1656" w:rsidRPr="00B54634" w:rsidRDefault="000C1656" w:rsidP="000C1656">
      <w:pPr>
        <w:spacing w:after="0" w:line="276" w:lineRule="auto"/>
        <w:ind w:firstLine="708"/>
        <w:jc w:val="both"/>
        <w:rPr>
          <w:rFonts w:ascii="Verdana" w:eastAsia="Times New Roman" w:hAnsi="Verdana" w:cs="Arial"/>
          <w:color w:val="000000"/>
          <w:lang w:eastAsia="es-CO"/>
        </w:rPr>
      </w:pPr>
      <w:r w:rsidRPr="00B54634">
        <w:rPr>
          <w:rFonts w:ascii="Verdana" w:eastAsia="Times New Roman" w:hAnsi="Verdana" w:cs="Arial"/>
          <w:color w:val="000000"/>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14B71EF3" w14:textId="77777777" w:rsidR="000C1656" w:rsidRPr="00B54634" w:rsidRDefault="000C1656" w:rsidP="000C1656">
      <w:pPr>
        <w:spacing w:after="0" w:line="276" w:lineRule="auto"/>
        <w:jc w:val="both"/>
        <w:rPr>
          <w:rFonts w:ascii="Verdana" w:eastAsia="Times New Roman" w:hAnsi="Verdana" w:cs="Arial"/>
          <w:color w:val="000000"/>
          <w:lang w:eastAsia="es-CO"/>
        </w:rPr>
      </w:pPr>
    </w:p>
    <w:p w14:paraId="502B0314" w14:textId="77777777" w:rsidR="000C1656" w:rsidRPr="00B54634" w:rsidRDefault="000C1656" w:rsidP="000C1656">
      <w:pPr>
        <w:spacing w:after="0" w:line="240" w:lineRule="auto"/>
        <w:ind w:left="709" w:right="709"/>
        <w:jc w:val="both"/>
        <w:rPr>
          <w:rFonts w:ascii="Verdana" w:eastAsia="Times New Roman" w:hAnsi="Verdana" w:cs="Arial"/>
          <w:color w:val="000000"/>
          <w:sz w:val="20"/>
          <w:szCs w:val="20"/>
          <w:lang w:eastAsia="es-CO"/>
        </w:rPr>
      </w:pPr>
      <w:r w:rsidRPr="00B54634">
        <w:rPr>
          <w:rFonts w:ascii="Verdana" w:eastAsia="Times New Roman" w:hAnsi="Verdana" w:cs="Arial"/>
          <w:color w:val="000000"/>
          <w:sz w:val="20"/>
          <w:szCs w:val="20"/>
          <w:lang w:eastAsia="es-CO"/>
        </w:rPr>
        <w:t xml:space="preserve">“Suele argüirse, en la práctica, que es factible efectuar la liquidación del contrato, así haya operado la caducidad de la acción, con base en la </w:t>
      </w:r>
      <w:r w:rsidRPr="00B54634">
        <w:rPr>
          <w:rFonts w:ascii="Verdana" w:eastAsia="Times New Roman" w:hAnsi="Verdana" w:cs="Arial"/>
          <w:color w:val="000000"/>
          <w:sz w:val="20"/>
          <w:szCs w:val="20"/>
          <w:lang w:eastAsia="es-CO"/>
        </w:rPr>
        <w:lastRenderedPageBreak/>
        <w:t>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B54634">
        <w:rPr>
          <w:rFonts w:ascii="Verdana" w:eastAsia="Times New Roman" w:hAnsi="Verdana" w:cs="Arial"/>
          <w:color w:val="000000"/>
          <w:sz w:val="20"/>
          <w:szCs w:val="20"/>
          <w:vertAlign w:val="superscript"/>
          <w:lang w:eastAsia="es-CO"/>
        </w:rPr>
        <w:footnoteReference w:id="11"/>
      </w:r>
      <w:r w:rsidRPr="00B54634">
        <w:rPr>
          <w:rFonts w:ascii="Verdana" w:eastAsia="Times New Roman" w:hAnsi="Verdana" w:cs="Arial"/>
          <w:color w:val="000000"/>
          <w:sz w:val="20"/>
          <w:szCs w:val="20"/>
          <w:lang w:eastAsia="es-CO"/>
        </w:rPr>
        <w:t xml:space="preserve">.   </w:t>
      </w:r>
    </w:p>
    <w:p w14:paraId="1D21F5F4" w14:textId="77777777" w:rsidR="000C1656" w:rsidRPr="00B54634" w:rsidRDefault="000C1656" w:rsidP="000C1656">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3AE54365" w14:textId="77777777" w:rsidR="000C1656" w:rsidRDefault="000C1656" w:rsidP="000C1656">
      <w:pPr>
        <w:tabs>
          <w:tab w:val="left" w:pos="709"/>
        </w:tabs>
        <w:spacing w:after="0"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ab/>
      </w:r>
      <w:r w:rsidRPr="00B54634">
        <w:rPr>
          <w:rFonts w:ascii="Verdana" w:eastAsia="Calibri" w:hAnsi="Verdana" w:cs="Arial"/>
          <w:color w:val="000000"/>
          <w:lang w:val="es-ES" w:eastAsia="es-ES"/>
        </w:rPr>
        <w:t xml:space="preserve">En consecuencia, dentro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0857448C" w14:textId="77777777" w:rsidR="000C1656" w:rsidRDefault="000C1656" w:rsidP="000C1656">
      <w:pPr>
        <w:tabs>
          <w:tab w:val="left" w:pos="709"/>
        </w:tabs>
        <w:spacing w:after="0" w:line="276" w:lineRule="auto"/>
        <w:jc w:val="both"/>
        <w:rPr>
          <w:rFonts w:ascii="Verdana" w:eastAsia="Calibri" w:hAnsi="Verdana" w:cs="Arial"/>
          <w:color w:val="000000"/>
          <w:lang w:val="es-ES" w:eastAsia="es-ES"/>
        </w:rPr>
      </w:pPr>
    </w:p>
    <w:p w14:paraId="16ED73F2" w14:textId="77777777" w:rsidR="000C1656" w:rsidRDefault="000C1656" w:rsidP="000C1656">
      <w:pPr>
        <w:tabs>
          <w:tab w:val="left" w:pos="709"/>
        </w:tabs>
        <w:spacing w:after="0" w:line="276" w:lineRule="auto"/>
        <w:jc w:val="both"/>
        <w:rPr>
          <w:rFonts w:ascii="Verdana" w:eastAsia="Calibri" w:hAnsi="Verdana" w:cs="Arial"/>
          <w:color w:val="000000"/>
          <w:lang w:val="es-ES" w:eastAsia="es-ES"/>
        </w:rPr>
      </w:pPr>
      <w:r>
        <w:rPr>
          <w:rFonts w:ascii="Verdana" w:eastAsia="Verdana" w:hAnsi="Verdana" w:cs="Verdana"/>
        </w:rPr>
        <w:t xml:space="preserve">         Por su parte, e</w:t>
      </w:r>
      <w:r w:rsidRPr="002A6824">
        <w:rPr>
          <w:rFonts w:ascii="Verdana" w:eastAsia="Verdana" w:hAnsi="Verdana" w:cs="Verdana"/>
        </w:rPr>
        <w:t>n el caso de la liquidación de las órdenes de compra derivadas de un Acuerdo Marco de Precios (AMP) o Instrumento de Agregación de Demanda (IAD), la entidad compradora debe atenerse prioritariamente a lo establecido en las cláusulas y condiciones particulares del respectivo Acuerdo Marco de Precios y a los plazos fijados en la Orden de Compra generada a través de la Tienda Virtual del Estado Colombiano. En subsidio o ante vacíos en el Instrumento de Agregación de Demanda, aplicarán las reglas generales de liquidación contractual y los términos consagrados en la Ley 1150 de 2007</w:t>
      </w:r>
    </w:p>
    <w:p w14:paraId="2E85D086" w14:textId="77777777" w:rsidR="000C1656" w:rsidRPr="00B54634" w:rsidRDefault="000C1656" w:rsidP="000C1656">
      <w:pPr>
        <w:tabs>
          <w:tab w:val="left" w:pos="709"/>
        </w:tabs>
        <w:spacing w:after="0" w:line="276" w:lineRule="auto"/>
        <w:jc w:val="both"/>
        <w:rPr>
          <w:rFonts w:ascii="Verdana" w:eastAsia="Calibri" w:hAnsi="Verdana" w:cs="Arial"/>
          <w:color w:val="000000"/>
          <w:lang w:val="es-ES" w:eastAsia="es-ES"/>
        </w:rPr>
      </w:pPr>
    </w:p>
    <w:p w14:paraId="5E9D74B4" w14:textId="77777777" w:rsidR="000C1656" w:rsidRPr="007426DA" w:rsidRDefault="000C1656" w:rsidP="000C1656">
      <w:pPr>
        <w:spacing w:after="120" w:line="276" w:lineRule="auto"/>
        <w:ind w:firstLine="708"/>
        <w:jc w:val="both"/>
        <w:rPr>
          <w:rFonts w:ascii="Verdana" w:eastAsia="Verdana" w:hAnsi="Verdana" w:cs="Verdana"/>
        </w:rPr>
      </w:pPr>
      <w:r w:rsidRPr="007D1C1B">
        <w:rPr>
          <w:rFonts w:ascii="Verdana" w:eastAsia="Calibri" w:hAnsi="Verdana" w:cs="Arial"/>
          <w:lang w:eastAsia="es-ES_tradnl"/>
          <w14:ligatures w14:val="standardContextual"/>
        </w:rPr>
        <w:t>Ahora bien, en atención al problema jurídico planteado,</w:t>
      </w:r>
      <w:r w:rsidRPr="00B54634">
        <w:rPr>
          <w:rFonts w:ascii="Verdana" w:eastAsia="Calibri" w:hAnsi="Verdana" w:cs="Arial"/>
          <w:lang w:eastAsia="es-ES_tradnl"/>
          <w14:ligatures w14:val="standardContextual"/>
        </w:rPr>
        <w:t xml:space="preserve"> </w:t>
      </w:r>
      <w:r>
        <w:rPr>
          <w:rFonts w:ascii="Verdana" w:eastAsia="Calibri" w:hAnsi="Verdana" w:cs="Arial"/>
          <w:lang w:eastAsia="es-ES_tradnl"/>
          <w14:ligatures w14:val="standardContextual"/>
        </w:rPr>
        <w:t>es de precisar que esta Subdirección Contractual</w:t>
      </w:r>
      <w:r w:rsidRPr="007426DA">
        <w:rPr>
          <w:rFonts w:ascii="Verdana" w:eastAsia="Verdana" w:hAnsi="Verdana" w:cs="Verdana"/>
        </w:rPr>
        <w:t xml:space="preserve">, mediante el Concepto C-367 del 16 de abril de 2026, precisó que la vigencia mínima del amparo de cumplimiento comprende el plazo de ejecución y el período de vigencia contractual que finaliza con la liquidación. Asimismo, indicó que, vencidos los términos legales para liquidar sin </w:t>
      </w:r>
      <w:r w:rsidRPr="007426DA">
        <w:rPr>
          <w:rFonts w:ascii="Verdana" w:eastAsia="Verdana" w:hAnsi="Verdana" w:cs="Verdana"/>
        </w:rPr>
        <w:lastRenderedPageBreak/>
        <w:t>que esta se haya realizado, la entidad pierde la oportunidad para efectuar el balance final del contrato, por tratarse de plazos perentorios.</w:t>
      </w:r>
    </w:p>
    <w:p w14:paraId="5992F6EE" w14:textId="77777777" w:rsidR="000C1656" w:rsidRPr="007426DA" w:rsidRDefault="000C1656" w:rsidP="000C1656">
      <w:pPr>
        <w:spacing w:after="120" w:line="276" w:lineRule="auto"/>
        <w:jc w:val="both"/>
        <w:rPr>
          <w:rFonts w:ascii="Verdana" w:eastAsia="Verdana" w:hAnsi="Verdana" w:cs="Verdana"/>
        </w:rPr>
      </w:pPr>
      <w:r>
        <w:rPr>
          <w:rFonts w:ascii="Verdana" w:eastAsia="Verdana" w:hAnsi="Verdana" w:cs="Verdana"/>
        </w:rPr>
        <w:t xml:space="preserve">        </w:t>
      </w:r>
      <w:r w:rsidRPr="007426DA">
        <w:rPr>
          <w:rFonts w:ascii="Verdana" w:eastAsia="Verdana" w:hAnsi="Verdana" w:cs="Verdana"/>
        </w:rPr>
        <w:t>Por otra parte, la vigencia de los amparos de calidad del servicio y de calidad y correcto funcionamiento de los bienes no puede fijarse mediante la aplicación automática de períodos uniformes que carezcan de fundamento normativo o técnico. De acuerdo con los artículos 2.2.1.2.3.1.15 y 2.2.1.2.3.1.16 del Decreto 1082 de 2015, su duración debe corresponder a lo establecido en el contrato y en los documentos del proceso, atendiendo al análisis del riesgo que se pretende cubrir.</w:t>
      </w:r>
    </w:p>
    <w:p w14:paraId="7617E49F" w14:textId="77777777" w:rsidR="000C1656" w:rsidRPr="007426DA" w:rsidRDefault="000C1656" w:rsidP="000C1656">
      <w:pPr>
        <w:spacing w:after="120" w:line="276" w:lineRule="auto"/>
        <w:jc w:val="both"/>
        <w:rPr>
          <w:rFonts w:ascii="Verdana" w:eastAsia="Verdana" w:hAnsi="Verdana" w:cs="Verdana"/>
        </w:rPr>
      </w:pPr>
      <w:r>
        <w:rPr>
          <w:rFonts w:ascii="Verdana" w:eastAsia="Verdana" w:hAnsi="Verdana" w:cs="Verdana"/>
        </w:rPr>
        <w:t xml:space="preserve">         </w:t>
      </w:r>
      <w:r w:rsidRPr="007426DA">
        <w:rPr>
          <w:rFonts w:ascii="Verdana" w:eastAsia="Verdana" w:hAnsi="Verdana" w:cs="Verdana"/>
        </w:rPr>
        <w:t xml:space="preserve">Al respecto, en el Concepto C-1464 del 20 de noviembre de 2025, </w:t>
      </w:r>
      <w:r>
        <w:rPr>
          <w:rFonts w:ascii="Verdana" w:eastAsia="Verdana" w:hAnsi="Verdana" w:cs="Verdana"/>
        </w:rPr>
        <w:t xml:space="preserve">esta </w:t>
      </w:r>
      <w:r w:rsidRPr="007426DA">
        <w:rPr>
          <w:rFonts w:ascii="Verdana" w:eastAsia="Verdana" w:hAnsi="Verdana" w:cs="Verdana"/>
        </w:rPr>
        <w:t xml:space="preserve"> </w:t>
      </w:r>
      <w:r>
        <w:rPr>
          <w:rFonts w:ascii="Verdana" w:eastAsia="Verdana" w:hAnsi="Verdana" w:cs="Verdana"/>
        </w:rPr>
        <w:t xml:space="preserve">Agencia </w:t>
      </w:r>
      <w:r w:rsidRPr="007426DA">
        <w:rPr>
          <w:rFonts w:ascii="Verdana" w:eastAsia="Verdana" w:hAnsi="Verdana" w:cs="Verdana"/>
        </w:rPr>
        <w:t>señaló que las entidades estatales no deben exigir automáticamente que los amparos de calidad del servicio y de calidad y correcto funcionamiento de los bienes tengan una vigencia equivalente al plazo de ejecución más treinta (30) meses, puesto que dicho término no constituye una exigencia general prevista en la ley. Su determinación debe sustentarse en el estudio de riesgos y en la duración de las obligaciones y responsabilidades contractuales que se pretenden amparar.</w:t>
      </w:r>
    </w:p>
    <w:p w14:paraId="0DAA91A4" w14:textId="77777777" w:rsidR="000C1656" w:rsidRPr="007426DA" w:rsidRDefault="000C1656" w:rsidP="000C1656">
      <w:pPr>
        <w:spacing w:after="120" w:line="276" w:lineRule="auto"/>
        <w:jc w:val="both"/>
        <w:rPr>
          <w:rFonts w:ascii="Verdana" w:eastAsia="Verdana" w:hAnsi="Verdana" w:cs="Verdana"/>
        </w:rPr>
      </w:pPr>
      <w:r>
        <w:rPr>
          <w:rFonts w:ascii="Verdana" w:eastAsia="Verdana" w:hAnsi="Verdana" w:cs="Verdana"/>
        </w:rPr>
        <w:t xml:space="preserve">        </w:t>
      </w:r>
      <w:r w:rsidRPr="007426DA">
        <w:rPr>
          <w:rFonts w:ascii="Verdana" w:eastAsia="Verdana" w:hAnsi="Verdana" w:cs="Verdana"/>
        </w:rPr>
        <w:t>En consecuencia, la exigencia de ampliar las pólizas debe examinarse individualmente, atendiendo a la naturaleza del amparo, su vigencia efectiva, las estipulaciones contractuales y el período durante el cual subsisten los riesgos asegurados y la competencia de la administración para exigir responsabilidades. No resulta procedente imponer indistintamente la ampliación de todos los amparos sin identificar su fundamento legal, contractual o técnico.</w:t>
      </w:r>
    </w:p>
    <w:p w14:paraId="63A1E704" w14:textId="77777777" w:rsidR="000C1656" w:rsidRPr="007426DA" w:rsidRDefault="000C1656" w:rsidP="000C1656">
      <w:pPr>
        <w:spacing w:after="120" w:line="276" w:lineRule="auto"/>
        <w:jc w:val="both"/>
        <w:rPr>
          <w:rFonts w:ascii="Verdana" w:eastAsia="Verdana" w:hAnsi="Verdana" w:cs="Verdana"/>
        </w:rPr>
      </w:pPr>
      <w:r>
        <w:rPr>
          <w:rFonts w:ascii="Verdana" w:eastAsia="Verdana" w:hAnsi="Verdana" w:cs="Verdana"/>
        </w:rPr>
        <w:t xml:space="preserve">        </w:t>
      </w:r>
      <w:r w:rsidRPr="007426DA">
        <w:rPr>
          <w:rFonts w:ascii="Verdana" w:eastAsia="Verdana" w:hAnsi="Verdana" w:cs="Verdana"/>
        </w:rPr>
        <w:t>Ahora bien, cuando los términos para liquidar el contrato se encuentren próximos a vencer, la entidad debe adelantar oportunamente las actuaciones que correspondan, sin supeditar indefinidamente el cierre contractual a la obtención de una ampliación de la garantía. Si los términos perentorios han vencido sin que se haya efectuado la liquidación, deberá tenerse en cuenta la pérdida de competencia para realizarla, sin que la permanencia o ampliación de una póliza permita restablecer una facultad temporalmente extinguida.</w:t>
      </w:r>
    </w:p>
    <w:p w14:paraId="55286542" w14:textId="77777777" w:rsidR="000C1656" w:rsidRPr="007426DA" w:rsidRDefault="000C1656" w:rsidP="000C1656">
      <w:pPr>
        <w:spacing w:after="120" w:line="276" w:lineRule="auto"/>
        <w:jc w:val="both"/>
        <w:rPr>
          <w:rFonts w:ascii="Verdana" w:eastAsia="Verdana" w:hAnsi="Verdana" w:cs="Verdana"/>
        </w:rPr>
      </w:pPr>
      <w:r>
        <w:rPr>
          <w:rFonts w:ascii="Verdana" w:eastAsia="Verdana" w:hAnsi="Verdana" w:cs="Verdana"/>
        </w:rPr>
        <w:t xml:space="preserve">        Así las cosas</w:t>
      </w:r>
      <w:r w:rsidRPr="007426DA">
        <w:rPr>
          <w:rFonts w:ascii="Verdana" w:eastAsia="Verdana" w:hAnsi="Verdana" w:cs="Verdana"/>
        </w:rPr>
        <w:t xml:space="preserve">, ante la imposibilidad de ampliar una garantía, corresponde a la entidad verificar las obligaciones contractuales pendientes, establecer si existe un incumplimiento exigible y determinar las actuaciones jurídicamente procedentes conforme a las condiciones particulares del contrato. Como lo </w:t>
      </w:r>
      <w:r w:rsidRPr="007426DA">
        <w:rPr>
          <w:rFonts w:ascii="Verdana" w:eastAsia="Verdana" w:hAnsi="Verdana" w:cs="Verdana"/>
        </w:rPr>
        <w:lastRenderedPageBreak/>
        <w:t>precisó Colombia Compra Eficiente en el Concepto C-367 del 16 de abril de 2026, la determinación de las medidas que deban adoptarse frente a la vigencia del amparo una vez vencidos los términos para liquidar depende de las circunstancias del procedimiento contractual específico y debe realizarse conforme al principio de juridicidad, sin que la Agencia pueda validar por vía consultiva las actuaciones particulares de cada entidad</w:t>
      </w:r>
    </w:p>
    <w:p w14:paraId="09C188E5" w14:textId="77777777" w:rsidR="000C1656" w:rsidRPr="00BA2580" w:rsidRDefault="000C1656" w:rsidP="000C1656">
      <w:pPr>
        <w:spacing w:after="120" w:line="276" w:lineRule="auto"/>
        <w:ind w:firstLine="708"/>
        <w:jc w:val="both"/>
        <w:rPr>
          <w:rFonts w:ascii="Verdana" w:eastAsia="Aptos" w:hAnsi="Verdana" w:cs="Times New Roman"/>
          <w:kern w:val="2"/>
          <w14:ligatures w14:val="standardContextual"/>
        </w:rPr>
      </w:pPr>
      <w:bookmarkStart w:id="3" w:name="_Hlk35876968"/>
      <w:bookmarkStart w:id="4" w:name="_Hlk98159514"/>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AD6C97" w14:textId="77777777" w:rsidR="000C1656" w:rsidRDefault="000C1656" w:rsidP="000C1656">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3"/>
    <w:bookmarkEnd w:id="4"/>
    <w:p w14:paraId="782BCDEB" w14:textId="77777777" w:rsidR="000C1656" w:rsidRPr="0015699B" w:rsidRDefault="000C1656" w:rsidP="000C1656">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4387B43F" w14:textId="77777777" w:rsidR="000C1656" w:rsidRPr="0015699B" w:rsidRDefault="000C1656" w:rsidP="000C1656">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481AA2BD" w14:textId="77777777" w:rsidR="000C1656" w:rsidRPr="0015699B" w:rsidRDefault="000C1656" w:rsidP="000C165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0C1656" w14:paraId="3D3FD50B" w14:textId="77777777" w:rsidTr="006C464A">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0E1FBEF" w14:textId="77777777" w:rsidR="000C1656" w:rsidRPr="00B54634" w:rsidRDefault="000C1656" w:rsidP="000C1656">
            <w:pPr>
              <w:widowControl w:val="0"/>
              <w:numPr>
                <w:ilvl w:val="0"/>
                <w:numId w:val="17"/>
              </w:numPr>
              <w:autoSpaceDE w:val="0"/>
              <w:autoSpaceDN w:val="0"/>
              <w:spacing w:after="120" w:line="276" w:lineRule="auto"/>
              <w:contextualSpacing/>
              <w:jc w:val="both"/>
              <w:rPr>
                <w:rFonts w:ascii="Verdana" w:eastAsia="Aptos" w:hAnsi="Verdana" w:cs="Arial"/>
              </w:rPr>
            </w:pPr>
            <w:r w:rsidRPr="00B54634">
              <w:rPr>
                <w:rFonts w:ascii="Verdana" w:eastAsia="Calibri" w:hAnsi="Verdana" w:cs="Arial"/>
                <w:lang w:val="es-ES"/>
              </w:rPr>
              <w:t>Ley 80 de 1993. Artículo 41 y 60.</w:t>
            </w:r>
          </w:p>
          <w:p w14:paraId="388AE068" w14:textId="77777777" w:rsidR="000C1656" w:rsidRPr="00B54634" w:rsidRDefault="000C1656" w:rsidP="000C1656">
            <w:pPr>
              <w:widowControl w:val="0"/>
              <w:numPr>
                <w:ilvl w:val="0"/>
                <w:numId w:val="17"/>
              </w:numPr>
              <w:autoSpaceDE w:val="0"/>
              <w:autoSpaceDN w:val="0"/>
              <w:spacing w:line="276" w:lineRule="auto"/>
              <w:contextualSpacing/>
              <w:jc w:val="both"/>
              <w:rPr>
                <w:rFonts w:ascii="Verdana" w:eastAsia="Aptos" w:hAnsi="Verdana" w:cs="Arial"/>
              </w:rPr>
            </w:pPr>
            <w:r w:rsidRPr="00B54634">
              <w:rPr>
                <w:rFonts w:ascii="Verdana" w:eastAsia="Calibri" w:hAnsi="Verdana" w:cs="Arial"/>
                <w:lang w:val="es-ES"/>
              </w:rPr>
              <w:t>Ley 1150 de 2007. Artículo 7 y 11</w:t>
            </w:r>
          </w:p>
          <w:p w14:paraId="42CFD4CA" w14:textId="77777777" w:rsidR="000C1656" w:rsidRPr="00B54634" w:rsidRDefault="000C1656" w:rsidP="000C1656">
            <w:pPr>
              <w:numPr>
                <w:ilvl w:val="0"/>
                <w:numId w:val="17"/>
              </w:numPr>
              <w:contextualSpacing/>
              <w:rPr>
                <w:rFonts w:ascii="Verdana" w:eastAsia="Aptos" w:hAnsi="Verdana" w:cs="Arial"/>
              </w:rPr>
            </w:pPr>
            <w:r w:rsidRPr="00B54634">
              <w:rPr>
                <w:rFonts w:ascii="Verdana" w:eastAsia="Aptos" w:hAnsi="Verdana" w:cs="Arial"/>
              </w:rPr>
              <w:t xml:space="preserve">Decreto 1082 de 2015, artículo 2.2.1.2.3.1.18. </w:t>
            </w:r>
          </w:p>
          <w:p w14:paraId="3A232F83" w14:textId="77777777" w:rsidR="000C1656" w:rsidRPr="00B54634" w:rsidRDefault="000C1656" w:rsidP="000C1656">
            <w:pPr>
              <w:widowControl w:val="0"/>
              <w:numPr>
                <w:ilvl w:val="0"/>
                <w:numId w:val="17"/>
              </w:numPr>
              <w:autoSpaceDE w:val="0"/>
              <w:autoSpaceDN w:val="0"/>
              <w:spacing w:line="276" w:lineRule="auto"/>
              <w:contextualSpacing/>
              <w:jc w:val="both"/>
              <w:rPr>
                <w:rFonts w:ascii="Verdana" w:eastAsia="Aptos" w:hAnsi="Verdana" w:cs="Arial"/>
              </w:rPr>
            </w:pPr>
            <w:r w:rsidRPr="00B54634">
              <w:rPr>
                <w:rFonts w:ascii="Verdana" w:eastAsia="Aptos" w:hAnsi="Verdana" w:cs="Arial"/>
              </w:rPr>
              <w:t>Decreto 19 de 2012. Artículo 217</w:t>
            </w:r>
          </w:p>
          <w:p w14:paraId="72E27E2B" w14:textId="77777777" w:rsidR="000C1656" w:rsidRPr="00B54634" w:rsidRDefault="000C1656" w:rsidP="000C1656">
            <w:pPr>
              <w:widowControl w:val="0"/>
              <w:numPr>
                <w:ilvl w:val="0"/>
                <w:numId w:val="17"/>
              </w:numPr>
              <w:autoSpaceDE w:val="0"/>
              <w:autoSpaceDN w:val="0"/>
              <w:spacing w:line="276" w:lineRule="auto"/>
              <w:contextualSpacing/>
              <w:jc w:val="both"/>
              <w:rPr>
                <w:rFonts w:ascii="Verdana" w:eastAsia="Aptos" w:hAnsi="Verdana" w:cs="Arial"/>
              </w:rPr>
            </w:pPr>
            <w:r w:rsidRPr="00B54634">
              <w:rPr>
                <w:rFonts w:ascii="Verdana" w:eastAsia="Aptos" w:hAnsi="Verdana" w:cs="Arial"/>
              </w:rPr>
              <w:t xml:space="preserve">Guía para la Liquidación de los Procesos de Contratación. Disponible </w:t>
            </w:r>
            <w:hyperlink r:id="rId12" w:history="1">
              <w:r w:rsidRPr="00B54634">
                <w:rPr>
                  <w:rFonts w:ascii="Verdana" w:eastAsia="Aptos" w:hAnsi="Verdana" w:cs="Arial"/>
                  <w:color w:val="467886"/>
                  <w:u w:val="single"/>
                </w:rPr>
                <w:t>aquí</w:t>
              </w:r>
            </w:hyperlink>
          </w:p>
          <w:p w14:paraId="760F1FB2" w14:textId="77777777" w:rsidR="000C1656" w:rsidRPr="00A24BA3" w:rsidRDefault="000C1656" w:rsidP="000C1656">
            <w:pPr>
              <w:widowControl w:val="0"/>
              <w:numPr>
                <w:ilvl w:val="0"/>
                <w:numId w:val="17"/>
              </w:numPr>
              <w:autoSpaceDE w:val="0"/>
              <w:autoSpaceDN w:val="0"/>
              <w:spacing w:line="276" w:lineRule="auto"/>
              <w:contextualSpacing/>
              <w:jc w:val="both"/>
              <w:rPr>
                <w:rFonts w:ascii="Verdana" w:eastAsia="Verdana" w:hAnsi="Verdana" w:cs="Verdana"/>
                <w:lang w:val="es"/>
              </w:rPr>
            </w:pPr>
            <w:r w:rsidRPr="00B54634">
              <w:rPr>
                <w:rFonts w:ascii="Verdana" w:eastAsia="Calibri" w:hAnsi="Verdana" w:cs="Arial"/>
                <w:lang w:eastAsia="es-ES" w:bidi="es-ES"/>
              </w:rPr>
              <w:t>CONSEJO DE ESTADO. Sala de Consulta y Servicio Civil. Concepto de 28 de junio de 2016. Radicación: 2253. C.P. Álvaro Namén Vargas</w:t>
            </w:r>
            <w:r>
              <w:rPr>
                <w:rFonts w:ascii="Verdana" w:eastAsia="Calibri" w:hAnsi="Verdana" w:cs="Arial"/>
                <w:lang w:eastAsia="es-ES" w:bidi="es-ES"/>
              </w:rPr>
              <w:t>.</w:t>
            </w:r>
          </w:p>
        </w:tc>
      </w:tr>
    </w:tbl>
    <w:p w14:paraId="54DCD7B1" w14:textId="77777777" w:rsidR="000C1656" w:rsidRPr="0015699B" w:rsidRDefault="000C1656" w:rsidP="000C165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lastRenderedPageBreak/>
        <w:t xml:space="preserve"> </w:t>
      </w:r>
    </w:p>
    <w:p w14:paraId="374B9331" w14:textId="77777777" w:rsidR="000C1656" w:rsidRPr="003D5882" w:rsidRDefault="000C1656" w:rsidP="000C1656">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695A9C3C" w14:textId="77777777" w:rsidR="000C1656" w:rsidRPr="003D5882" w:rsidRDefault="000C1656" w:rsidP="000C1656">
      <w:pPr>
        <w:pStyle w:val="Prrafodelista"/>
        <w:spacing w:before="1" w:after="0" w:line="240" w:lineRule="auto"/>
        <w:jc w:val="both"/>
        <w:textAlignment w:val="baseline"/>
        <w:rPr>
          <w:rFonts w:ascii="Verdana" w:eastAsia="Verdana" w:hAnsi="Verdana" w:cs="Verdana"/>
          <w:b/>
          <w:bCs/>
          <w:lang w:val="es"/>
        </w:rPr>
      </w:pPr>
    </w:p>
    <w:p w14:paraId="5428970B" w14:textId="77777777" w:rsidR="000C1656" w:rsidRPr="00BA2580" w:rsidRDefault="000C1656" w:rsidP="000C1656">
      <w:pPr>
        <w:spacing w:after="0" w:line="276" w:lineRule="auto"/>
        <w:jc w:val="both"/>
        <w:rPr>
          <w:rFonts w:ascii="Verdana" w:eastAsia="Calibri" w:hAnsi="Verdana" w:cs="Arial"/>
          <w:kern w:val="2"/>
          <w:shd w:val="clear" w:color="auto" w:fill="FFFFFF"/>
          <w:lang w:val="es-ES"/>
          <w14:ligatures w14:val="standardContextual"/>
        </w:rPr>
      </w:pPr>
      <w:r w:rsidRPr="00B54634">
        <w:rPr>
          <w:rFonts w:ascii="Verdana" w:eastAsia="Aptos" w:hAnsi="Verdana" w:cs="Arial"/>
          <w:shd w:val="clear" w:color="auto" w:fill="FFFFFF"/>
          <w:lang w:val="es-ES"/>
        </w:rPr>
        <w:t>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septiembre de 2024, C-968 del 16 de diciembre de 2024,</w:t>
      </w:r>
      <w:r>
        <w:rPr>
          <w:rFonts w:ascii="Verdana" w:eastAsia="Aptos" w:hAnsi="Verdana" w:cs="Arial"/>
          <w:shd w:val="clear" w:color="auto" w:fill="FFFFFF"/>
          <w:lang w:val="es-ES"/>
        </w:rPr>
        <w:t xml:space="preserve"> C-1464 del 20 de noviembre de 2025,</w:t>
      </w:r>
      <w:r w:rsidRPr="00B54634">
        <w:rPr>
          <w:rFonts w:ascii="Verdana" w:eastAsia="Aptos" w:hAnsi="Verdana" w:cs="Arial"/>
          <w:shd w:val="clear" w:color="auto" w:fill="FFFFFF"/>
          <w:lang w:val="es-ES"/>
        </w:rPr>
        <w:t xml:space="preserve"> C-1865 del 01 de diciembre de 2025, C-1818 del 13 de enero de 2026</w:t>
      </w:r>
      <w:r>
        <w:rPr>
          <w:rFonts w:ascii="Verdana" w:eastAsia="Aptos" w:hAnsi="Verdana" w:cs="Arial"/>
          <w:shd w:val="clear" w:color="auto" w:fill="FFFFFF"/>
          <w:lang w:val="es-ES"/>
        </w:rPr>
        <w:t xml:space="preserve"> y C-367 del 16 de abril de 2026</w:t>
      </w:r>
      <w:r>
        <w:rPr>
          <w:rFonts w:ascii="Verdana" w:eastAsia="Calibri" w:hAnsi="Verdana" w:cs="Arial"/>
          <w:kern w:val="2"/>
          <w:shd w:val="clear" w:color="auto" w:fill="FFFFFF"/>
          <w:lang w:val="es-ES"/>
          <w14:ligatures w14:val="standardContextual"/>
        </w:rPr>
        <w:t xml:space="preserve">, </w:t>
      </w:r>
      <w:r w:rsidRPr="00BA2580">
        <w:rPr>
          <w:rFonts w:ascii="Verdana" w:eastAsia="Calibri" w:hAnsi="Verdana" w:cs="Arial"/>
          <w:kern w:val="2"/>
          <w:shd w:val="clear" w:color="auto" w:fill="FFFFFF"/>
          <w:lang w:val="es-ES"/>
          <w14:ligatures w14:val="standardContextual"/>
        </w:rPr>
        <w:t xml:space="preserve">entre otros. </w:t>
      </w:r>
    </w:p>
    <w:p w14:paraId="34375464" w14:textId="77777777" w:rsidR="000C1656" w:rsidRDefault="000C1656" w:rsidP="000C1656">
      <w:pPr>
        <w:spacing w:after="0" w:line="276" w:lineRule="auto"/>
        <w:jc w:val="both"/>
        <w:rPr>
          <w:rStyle w:val="normaltextrun"/>
          <w:rFonts w:ascii="Verdana" w:hAnsi="Verdana" w:cs="Arial"/>
          <w:shd w:val="clear" w:color="auto" w:fill="FFFFFF"/>
          <w:lang w:val="es-ES"/>
        </w:rPr>
      </w:pPr>
    </w:p>
    <w:p w14:paraId="49AD6089" w14:textId="77777777" w:rsidR="000C1656" w:rsidRPr="005510A2" w:rsidRDefault="000C1656" w:rsidP="000C1656">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3"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1B5D4A4E" w14:textId="77777777" w:rsidR="000C1656" w:rsidRDefault="000C1656" w:rsidP="000C1656">
      <w:pPr>
        <w:spacing w:after="0" w:line="276" w:lineRule="auto"/>
        <w:jc w:val="both"/>
        <w:textAlignment w:val="baseline"/>
        <w:rPr>
          <w:rFonts w:ascii="Verdana" w:eastAsia="Verdana" w:hAnsi="Verdana" w:cs="Verdana"/>
        </w:rPr>
      </w:pPr>
    </w:p>
    <w:p w14:paraId="64F84057" w14:textId="77777777" w:rsidR="000C1656" w:rsidRPr="00010A5F" w:rsidRDefault="000C1656" w:rsidP="000C1656">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4">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22C937AD" w14:textId="77777777" w:rsidR="000C1656" w:rsidRDefault="000C1656" w:rsidP="000C1656">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1C69BB2C" w14:textId="77777777" w:rsidR="000C1656" w:rsidRDefault="000C1656" w:rsidP="000C1656">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54CF0A3">
          <w:rPr>
            <w:rStyle w:val="Hipervnculo"/>
            <w:rFonts w:ascii="Verdana" w:eastAsia="Verdana" w:hAnsi="Verdana" w:cs="Verdana"/>
            <w:color w:val="000000" w:themeColor="text1"/>
          </w:rPr>
          <w:t>https://www.colombiacompra.gov.co/archivos/manual/guia-de-garantias-en-procesos-de-contratacion</w:t>
        </w:r>
      </w:hyperlink>
    </w:p>
    <w:p w14:paraId="1F3E39DD" w14:textId="77777777" w:rsidR="000C1656" w:rsidRDefault="000C1656" w:rsidP="000C165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w:t>
      </w:r>
      <w:r w:rsidRPr="054CF0A3">
        <w:rPr>
          <w:rFonts w:ascii="Verdana" w:eastAsia="Verdana" w:hAnsi="Verdana" w:cs="Verdana"/>
          <w:color w:val="000000" w:themeColor="text1"/>
        </w:rPr>
        <w:lastRenderedPageBreak/>
        <w:t xml:space="preserve">son los beneficiarios, las cinco medidas que integran el sistema y su obligatoriedad según la modalidad de selección, y el régimen de transición aplicable a los procesos en curso. Consúltala aquí: </w:t>
      </w:r>
      <w:hyperlink r:id="rId16">
        <w:r w:rsidRPr="054CF0A3">
          <w:rPr>
            <w:rStyle w:val="Hipervnculo"/>
            <w:rFonts w:ascii="Verdana" w:eastAsia="Verdana" w:hAnsi="Verdana" w:cs="Verdana"/>
            <w:color w:val="000000" w:themeColor="text1"/>
          </w:rPr>
          <w:t>https://www.colombiacompra.gov.co/archivos/circular/circular-externa-003-de-2026</w:t>
        </w:r>
      </w:hyperlink>
    </w:p>
    <w:p w14:paraId="313E9393" w14:textId="77777777" w:rsidR="000C1656" w:rsidRDefault="000C1656" w:rsidP="000C165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r w:rsidRPr="054CF0A3">
          <w:rPr>
            <w:rStyle w:val="Hipervnculo"/>
            <w:rFonts w:ascii="Verdana" w:eastAsia="Verdana" w:hAnsi="Verdana" w:cs="Verdana"/>
            <w:color w:val="000000" w:themeColor="text1"/>
          </w:rPr>
          <w:t>https://www.colombiacompra.gov.co/archivos/circular/circular-externa-002-de-2026</w:t>
        </w:r>
      </w:hyperlink>
    </w:p>
    <w:p w14:paraId="48B04266" w14:textId="77777777" w:rsidR="000C1656" w:rsidRDefault="000C1656" w:rsidP="000C1656">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r w:rsidRPr="054CF0A3">
          <w:rPr>
            <w:rStyle w:val="Hipervnculo"/>
            <w:rFonts w:ascii="Verdana" w:eastAsia="Verdana" w:hAnsi="Verdana" w:cs="Verdana"/>
            <w:color w:val="000000" w:themeColor="text1"/>
          </w:rPr>
          <w:t>https://www.colombiacompra.gov.co/archivos/boletin/boletin-edicion-n-3-de-2026-radar-de-la-compra-publica</w:t>
        </w:r>
      </w:hyperlink>
    </w:p>
    <w:p w14:paraId="2CF00E49" w14:textId="77777777" w:rsidR="000C1656" w:rsidRPr="003D5882" w:rsidRDefault="000C1656" w:rsidP="000C1656">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1060C816" w14:textId="77777777" w:rsidR="000C1656" w:rsidRPr="0015699B" w:rsidRDefault="000C1656" w:rsidP="000C165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BE8A4FE" w14:textId="77777777" w:rsidR="000C1656" w:rsidRPr="0015699B" w:rsidRDefault="000C1656" w:rsidP="000C165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570E9C88" w14:textId="77777777" w:rsidR="000C1656" w:rsidRPr="0015699B" w:rsidRDefault="000C1656" w:rsidP="000C1656">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6697FBC6" w14:textId="77777777" w:rsidR="000C1656" w:rsidRPr="0015699B" w:rsidRDefault="000C1656" w:rsidP="000C1656">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6FA2CA1F" w14:textId="77777777" w:rsidR="000C1656" w:rsidRPr="0015699B" w:rsidRDefault="000C1656" w:rsidP="000C165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330F661" w14:textId="77777777" w:rsidR="000C1656" w:rsidRPr="0015699B" w:rsidRDefault="000C1656" w:rsidP="000C165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868CF77" w14:textId="77777777" w:rsidR="000C1656" w:rsidRPr="0015699B" w:rsidRDefault="000C1656" w:rsidP="000C165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lastRenderedPageBreak/>
        <w:t xml:space="preserve"> </w:t>
      </w:r>
    </w:p>
    <w:p w14:paraId="07EBD51C" w14:textId="77777777" w:rsidR="000C1656" w:rsidRPr="0015699B" w:rsidRDefault="000C1656" w:rsidP="000C1656">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7D5B5495" w14:textId="77777777" w:rsidR="000C1656" w:rsidRDefault="000C1656" w:rsidP="000C1656">
      <w:pPr>
        <w:spacing w:after="0" w:line="240" w:lineRule="auto"/>
        <w:ind w:left="2340"/>
        <w:jc w:val="both"/>
        <w:rPr>
          <w:noProof/>
        </w:rPr>
      </w:pPr>
    </w:p>
    <w:p w14:paraId="33C8C7EC" w14:textId="77777777" w:rsidR="000C1656" w:rsidRDefault="000C1656" w:rsidP="000C1656">
      <w:pPr>
        <w:spacing w:after="0" w:line="240" w:lineRule="auto"/>
        <w:ind w:left="2340"/>
        <w:jc w:val="both"/>
        <w:rPr>
          <w:noProof/>
        </w:rPr>
      </w:pPr>
    </w:p>
    <w:p w14:paraId="38AA82E0" w14:textId="77777777" w:rsidR="000C1656" w:rsidRDefault="000C1656" w:rsidP="000C1656">
      <w:pPr>
        <w:spacing w:after="0" w:line="240" w:lineRule="auto"/>
        <w:ind w:left="2340"/>
        <w:jc w:val="both"/>
        <w:rPr>
          <w:noProof/>
        </w:rPr>
      </w:pPr>
    </w:p>
    <w:p w14:paraId="006B9290" w14:textId="77777777" w:rsidR="000C1656" w:rsidRDefault="000C1656" w:rsidP="000C1656">
      <w:pPr>
        <w:spacing w:after="0" w:line="240" w:lineRule="auto"/>
        <w:ind w:left="2340"/>
        <w:jc w:val="both"/>
        <w:rPr>
          <w:noProof/>
        </w:rPr>
      </w:pPr>
    </w:p>
    <w:p w14:paraId="39E240DB" w14:textId="77777777" w:rsidR="000C1656" w:rsidRPr="00D56119" w:rsidRDefault="000C1656" w:rsidP="000C1656">
      <w:pPr>
        <w:spacing w:after="0" w:line="240" w:lineRule="auto"/>
        <w:ind w:left="2340"/>
        <w:jc w:val="both"/>
        <w:rPr>
          <w:rFonts w:ascii="Verdana" w:eastAsia="Verdana" w:hAnsi="Verdana" w:cs="Verdana"/>
          <w:b/>
          <w:bCs/>
          <w:color w:val="000000" w:themeColor="text1"/>
          <w:lang w:val="es"/>
        </w:rPr>
      </w:pPr>
    </w:p>
    <w:p w14:paraId="3F1C74FD" w14:textId="75CAF156" w:rsidR="000C1656" w:rsidRDefault="00CD7C14" w:rsidP="000C1656">
      <w:pPr>
        <w:spacing w:line="240" w:lineRule="auto"/>
        <w:jc w:val="both"/>
        <w:textAlignment w:val="baseline"/>
        <w:rPr>
          <w:rFonts w:ascii="Verdana" w:eastAsia="Verdana" w:hAnsi="Verdana" w:cs="Verdana"/>
          <w:b/>
          <w:bCs/>
          <w:color w:val="000000" w:themeColor="text1"/>
          <w:lang w:val="es"/>
        </w:rPr>
      </w:pPr>
      <w:r>
        <w:rPr>
          <w:noProof/>
        </w:rPr>
        <w:drawing>
          <wp:inline distT="0" distB="0" distL="0" distR="0" wp14:anchorId="6FF123D0" wp14:editId="738FFC32">
            <wp:extent cx="2847975" cy="1076325"/>
            <wp:effectExtent l="0" t="0" r="9525" b="9525"/>
            <wp:docPr id="3741778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37DEE149" w14:textId="41C0E401" w:rsidR="000C1656" w:rsidRPr="00D56119" w:rsidRDefault="000C1656" w:rsidP="000C1656">
      <w:pPr>
        <w:spacing w:line="240" w:lineRule="auto"/>
        <w:jc w:val="both"/>
        <w:textAlignment w:val="baseline"/>
        <w:rPr>
          <w:rFonts w:ascii="Verdana" w:eastAsia="Verdana" w:hAnsi="Verdana" w:cs="Verdana"/>
          <w:b/>
          <w:bCs/>
          <w:color w:val="000000" w:themeColor="text1"/>
          <w:lang w:val="es"/>
        </w:rPr>
      </w:pPr>
      <w:r w:rsidRPr="00D56119">
        <w:rPr>
          <w:rFonts w:ascii="Verdana" w:eastAsia="Verdana" w:hAnsi="Verdana" w:cs="Verdana"/>
          <w:b/>
          <w:bCs/>
          <w:color w:val="000000" w:themeColor="text1"/>
          <w:lang w:val="es"/>
        </w:rPr>
        <w:t xml:space="preserve">WILLIAM JAVIER MURCIA ACEVEDO </w:t>
      </w:r>
    </w:p>
    <w:p w14:paraId="7C7576A5" w14:textId="77777777" w:rsidR="000C1656" w:rsidRPr="00D56119" w:rsidRDefault="000C1656" w:rsidP="000C1656">
      <w:pPr>
        <w:spacing w:line="240" w:lineRule="auto"/>
        <w:jc w:val="both"/>
        <w:textAlignment w:val="baseline"/>
        <w:rPr>
          <w:rFonts w:ascii="Verdana" w:eastAsia="Verdana" w:hAnsi="Verdana" w:cs="Verdana"/>
          <w:b/>
          <w:bCs/>
          <w:color w:val="000000" w:themeColor="text1"/>
          <w:lang w:val="es"/>
        </w:rPr>
      </w:pPr>
      <w:r w:rsidRPr="00D56119">
        <w:rPr>
          <w:rFonts w:ascii="Verdana" w:eastAsia="Verdana" w:hAnsi="Verdana" w:cs="Verdana"/>
          <w:b/>
          <w:bCs/>
          <w:color w:val="000000" w:themeColor="text1"/>
          <w:lang w:val="es"/>
        </w:rPr>
        <w:t>Subdirector de Gestión Contractual ANCP – CCE (E)</w:t>
      </w:r>
    </w:p>
    <w:p w14:paraId="4155A2EF" w14:textId="77777777" w:rsidR="000C1656" w:rsidRDefault="000C1656" w:rsidP="000C1656">
      <w:pPr>
        <w:spacing w:after="0" w:line="240" w:lineRule="auto"/>
        <w:ind w:left="2340"/>
        <w:jc w:val="both"/>
        <w:rPr>
          <w:noProof/>
        </w:rPr>
      </w:pPr>
    </w:p>
    <w:p w14:paraId="0D588292" w14:textId="77777777" w:rsidR="000C1656" w:rsidRDefault="000C1656" w:rsidP="000C1656">
      <w:pPr>
        <w:spacing w:after="0" w:line="240" w:lineRule="auto"/>
        <w:ind w:left="2340"/>
        <w:jc w:val="both"/>
        <w:rPr>
          <w:noProof/>
        </w:rPr>
      </w:pPr>
    </w:p>
    <w:p w14:paraId="1795C30E" w14:textId="77777777" w:rsidR="000C1656" w:rsidRDefault="000C1656" w:rsidP="000C1656">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0C1656" w14:paraId="24184D02" w14:textId="77777777" w:rsidTr="006C464A">
        <w:trPr>
          <w:trHeight w:val="307"/>
        </w:trPr>
        <w:tc>
          <w:tcPr>
            <w:tcW w:w="858" w:type="dxa"/>
            <w:tcBorders>
              <w:top w:val="nil"/>
              <w:bottom w:val="nil"/>
              <w:right w:val="nil"/>
            </w:tcBorders>
            <w:tcMar>
              <w:left w:w="108" w:type="dxa"/>
              <w:right w:w="108" w:type="dxa"/>
            </w:tcMar>
            <w:vAlign w:val="center"/>
          </w:tcPr>
          <w:p w14:paraId="6768A369" w14:textId="77777777" w:rsidR="000C1656" w:rsidRDefault="000C1656" w:rsidP="006C464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3451DD3E" w14:textId="77777777" w:rsidR="000C1656" w:rsidRDefault="000C1656" w:rsidP="006C464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43A17528" w14:textId="77777777" w:rsidR="000C1656" w:rsidRDefault="000C1656" w:rsidP="006C464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0C1656" w14:paraId="61DFAE5F" w14:textId="77777777" w:rsidTr="006C464A">
        <w:trPr>
          <w:trHeight w:val="321"/>
        </w:trPr>
        <w:tc>
          <w:tcPr>
            <w:tcW w:w="858" w:type="dxa"/>
            <w:tcBorders>
              <w:top w:val="nil"/>
              <w:bottom w:val="nil"/>
              <w:right w:val="nil"/>
            </w:tcBorders>
            <w:tcMar>
              <w:left w:w="108" w:type="dxa"/>
              <w:right w:w="108" w:type="dxa"/>
            </w:tcMar>
            <w:vAlign w:val="center"/>
          </w:tcPr>
          <w:p w14:paraId="534F1885" w14:textId="77777777" w:rsidR="000C1656" w:rsidRDefault="000C1656" w:rsidP="006C464A">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1C6C9B82" w14:textId="77777777" w:rsidR="000C1656" w:rsidRDefault="000C1656" w:rsidP="006C464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0D968101" w14:textId="77777777" w:rsidR="000C1656" w:rsidRDefault="000C1656" w:rsidP="006C464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0C1656" w14:paraId="0BEA0488" w14:textId="77777777" w:rsidTr="006C464A">
        <w:trPr>
          <w:trHeight w:val="292"/>
        </w:trPr>
        <w:tc>
          <w:tcPr>
            <w:tcW w:w="858" w:type="dxa"/>
            <w:tcBorders>
              <w:top w:val="nil"/>
              <w:bottom w:val="nil"/>
              <w:right w:val="nil"/>
            </w:tcBorders>
            <w:tcMar>
              <w:left w:w="108" w:type="dxa"/>
              <w:right w:w="108" w:type="dxa"/>
            </w:tcMar>
            <w:vAlign w:val="center"/>
          </w:tcPr>
          <w:p w14:paraId="5D315664" w14:textId="77777777" w:rsidR="000C1656" w:rsidRDefault="000C1656" w:rsidP="006C464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48CC190A" w14:textId="77777777" w:rsidR="000C1656" w:rsidRDefault="000C1656" w:rsidP="006C464A">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William Javier Murcia Acevedo</w:t>
            </w:r>
          </w:p>
          <w:p w14:paraId="58E95EE3" w14:textId="77777777" w:rsidR="000C1656" w:rsidRDefault="000C1656" w:rsidP="006C464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Contractual ANCP – CCE</w:t>
            </w:r>
            <w:r>
              <w:rPr>
                <w:rFonts w:ascii="Verdana" w:eastAsia="Verdana" w:hAnsi="Verdana" w:cs="Verdana"/>
                <w:color w:val="000000" w:themeColor="text1"/>
                <w:sz w:val="16"/>
                <w:szCs w:val="16"/>
                <w:lang w:val="pt-BR"/>
              </w:rPr>
              <w:t xml:space="preserve"> (E)</w:t>
            </w:r>
          </w:p>
        </w:tc>
      </w:tr>
    </w:tbl>
    <w:p w14:paraId="2BBC959F" w14:textId="77777777" w:rsidR="000C1656" w:rsidRPr="000E1832" w:rsidRDefault="000C1656" w:rsidP="000C1656">
      <w:pPr>
        <w:spacing w:line="240" w:lineRule="auto"/>
        <w:jc w:val="both"/>
        <w:textAlignment w:val="baseline"/>
        <w:rPr>
          <w:rFonts w:ascii="Verdana" w:eastAsia="Calibri" w:hAnsi="Verdana" w:cs="Calibri"/>
          <w:sz w:val="16"/>
          <w:szCs w:val="16"/>
          <w:lang w:val="es-E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FA570A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8E609" w14:textId="77777777" w:rsidR="00AF40AC" w:rsidRDefault="00AF40AC" w:rsidP="004A1847">
      <w:pPr>
        <w:spacing w:after="0" w:line="240" w:lineRule="auto"/>
      </w:pPr>
      <w:r>
        <w:separator/>
      </w:r>
    </w:p>
  </w:endnote>
  <w:endnote w:type="continuationSeparator" w:id="0">
    <w:p w14:paraId="7D1CE9E5" w14:textId="77777777" w:rsidR="00AF40AC" w:rsidRDefault="00AF40A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36D5B" w14:textId="77777777" w:rsidR="00AF40AC" w:rsidRDefault="00AF40AC" w:rsidP="004A1847">
      <w:pPr>
        <w:spacing w:after="0" w:line="240" w:lineRule="auto"/>
      </w:pPr>
      <w:r>
        <w:separator/>
      </w:r>
    </w:p>
  </w:footnote>
  <w:footnote w:type="continuationSeparator" w:id="0">
    <w:p w14:paraId="02B1B663" w14:textId="77777777" w:rsidR="00AF40AC" w:rsidRDefault="00AF40AC" w:rsidP="004A1847">
      <w:pPr>
        <w:spacing w:after="0" w:line="240" w:lineRule="auto"/>
      </w:pPr>
      <w:r>
        <w:continuationSeparator/>
      </w:r>
    </w:p>
  </w:footnote>
  <w:footnote w:id="1">
    <w:p w14:paraId="7CC4C1C9" w14:textId="77777777" w:rsidR="000C1656" w:rsidRPr="00341963" w:rsidRDefault="000C1656" w:rsidP="000C1656">
      <w:pPr>
        <w:pStyle w:val="Textonotapie"/>
        <w:ind w:firstLine="708"/>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COLOMBIA COMPRA EFICIENTE. Guía de garantías en procesos de contratación. p. 12. Disponible en: </w:t>
      </w:r>
      <w:hyperlink r:id="rId1" w:history="1">
        <w:r w:rsidRPr="00341963">
          <w:rPr>
            <w:rStyle w:val="Hipervnculo"/>
            <w:rFonts w:ascii="Verdana" w:hAnsi="Verdana" w:cs="Arial"/>
            <w:sz w:val="14"/>
            <w:szCs w:val="14"/>
          </w:rPr>
          <w:t>https://www.colombiacompra.gov.co/manuales-guias-y-pliegos-tipo/manuales-y-guias</w:t>
        </w:r>
      </w:hyperlink>
      <w:r w:rsidRPr="00341963">
        <w:rPr>
          <w:rFonts w:ascii="Verdana" w:hAnsi="Verdana" w:cs="Arial"/>
          <w:sz w:val="14"/>
          <w:szCs w:val="14"/>
        </w:rPr>
        <w:t xml:space="preserve">. </w:t>
      </w:r>
    </w:p>
  </w:footnote>
  <w:footnote w:id="2">
    <w:p w14:paraId="234B31BC" w14:textId="77777777" w:rsidR="000C1656" w:rsidRPr="00341963" w:rsidRDefault="000C1656" w:rsidP="000C1656">
      <w:pPr>
        <w:pStyle w:val="Textonotapie"/>
        <w:ind w:firstLine="708"/>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3">
    <w:p w14:paraId="16BFBA90" w14:textId="77777777" w:rsidR="000C1656" w:rsidRPr="009563F2" w:rsidRDefault="000C1656" w:rsidP="000C1656">
      <w:pPr>
        <w:spacing w:after="0" w:line="240" w:lineRule="auto"/>
        <w:ind w:right="51" w:firstLine="2"/>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“Artículo</w:t>
      </w:r>
      <w:r w:rsidRPr="009563F2">
        <w:rPr>
          <w:rFonts w:ascii="Verdana" w:hAnsi="Verdana"/>
          <w:spacing w:val="-9"/>
          <w:sz w:val="16"/>
          <w:szCs w:val="16"/>
        </w:rPr>
        <w:t xml:space="preserve"> </w:t>
      </w:r>
      <w:r w:rsidRPr="009563F2">
        <w:rPr>
          <w:rFonts w:ascii="Verdana" w:hAnsi="Verdana"/>
          <w:sz w:val="16"/>
          <w:szCs w:val="16"/>
        </w:rPr>
        <w:t>2.2.1.2.3.1.12.</w:t>
      </w:r>
      <w:r w:rsidRPr="009563F2">
        <w:rPr>
          <w:rFonts w:ascii="Verdana" w:hAnsi="Verdana"/>
          <w:spacing w:val="-7"/>
          <w:sz w:val="16"/>
          <w:szCs w:val="16"/>
        </w:rPr>
        <w:t xml:space="preserve"> </w:t>
      </w:r>
      <w:r w:rsidRPr="009563F2">
        <w:rPr>
          <w:rFonts w:ascii="Verdana" w:hAnsi="Verdana"/>
          <w:sz w:val="16"/>
          <w:szCs w:val="16"/>
        </w:rPr>
        <w:t>Suficiencia</w:t>
      </w:r>
      <w:r w:rsidRPr="009563F2">
        <w:rPr>
          <w:rFonts w:ascii="Verdana" w:hAnsi="Verdana"/>
          <w:spacing w:val="-7"/>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garantía</w:t>
      </w:r>
      <w:r w:rsidRPr="009563F2">
        <w:rPr>
          <w:rFonts w:ascii="Verdana" w:hAnsi="Verdana"/>
          <w:spacing w:val="-8"/>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cumplimiento.</w:t>
      </w:r>
      <w:r w:rsidRPr="009563F2">
        <w:rPr>
          <w:rFonts w:ascii="Verdana" w:hAnsi="Verdana"/>
          <w:spacing w:val="-7"/>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garantía</w:t>
      </w:r>
      <w:r w:rsidRPr="009563F2">
        <w:rPr>
          <w:rFonts w:ascii="Verdana" w:hAnsi="Verdana"/>
          <w:spacing w:val="-8"/>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cumplimiento</w:t>
      </w:r>
      <w:r w:rsidRPr="009563F2">
        <w:rPr>
          <w:rFonts w:ascii="Verdana" w:hAnsi="Verdana"/>
          <w:spacing w:val="-7"/>
          <w:sz w:val="16"/>
          <w:szCs w:val="16"/>
        </w:rPr>
        <w:t xml:space="preserve"> </w:t>
      </w:r>
      <w:r w:rsidRPr="009563F2">
        <w:rPr>
          <w:rFonts w:ascii="Verdana" w:hAnsi="Verdana"/>
          <w:sz w:val="16"/>
          <w:szCs w:val="16"/>
        </w:rPr>
        <w:t>del</w:t>
      </w:r>
      <w:r w:rsidRPr="009563F2">
        <w:rPr>
          <w:rFonts w:ascii="Verdana" w:hAnsi="Verdana"/>
          <w:spacing w:val="-9"/>
          <w:sz w:val="16"/>
          <w:szCs w:val="16"/>
        </w:rPr>
        <w:t xml:space="preserve"> </w:t>
      </w:r>
      <w:r w:rsidRPr="009563F2">
        <w:rPr>
          <w:rFonts w:ascii="Verdana" w:hAnsi="Verdana"/>
          <w:sz w:val="16"/>
          <w:szCs w:val="16"/>
        </w:rPr>
        <w:t>contrato</w:t>
      </w:r>
      <w:r w:rsidRPr="009563F2">
        <w:rPr>
          <w:rFonts w:ascii="Verdana" w:hAnsi="Verdana"/>
          <w:spacing w:val="-8"/>
          <w:sz w:val="16"/>
          <w:szCs w:val="16"/>
        </w:rPr>
        <w:t xml:space="preserve"> </w:t>
      </w:r>
      <w:r w:rsidRPr="009563F2">
        <w:rPr>
          <w:rFonts w:ascii="Verdana" w:hAnsi="Verdana"/>
          <w:sz w:val="16"/>
          <w:szCs w:val="16"/>
        </w:rPr>
        <w:t>debe</w:t>
      </w:r>
      <w:r w:rsidRPr="009563F2">
        <w:rPr>
          <w:rFonts w:ascii="Verdana" w:hAnsi="Verdana"/>
          <w:spacing w:val="-9"/>
          <w:sz w:val="16"/>
          <w:szCs w:val="16"/>
        </w:rPr>
        <w:t xml:space="preserve"> </w:t>
      </w:r>
      <w:r w:rsidRPr="009563F2">
        <w:rPr>
          <w:rFonts w:ascii="Verdana" w:hAnsi="Verdana"/>
          <w:sz w:val="16"/>
          <w:szCs w:val="16"/>
        </w:rPr>
        <w:t>tener</w:t>
      </w:r>
      <w:r w:rsidRPr="009563F2">
        <w:rPr>
          <w:rFonts w:ascii="Verdana" w:hAnsi="Verdana"/>
          <w:spacing w:val="-8"/>
          <w:sz w:val="16"/>
          <w:szCs w:val="16"/>
        </w:rPr>
        <w:t xml:space="preserve"> </w:t>
      </w:r>
      <w:r w:rsidRPr="009563F2">
        <w:rPr>
          <w:rFonts w:ascii="Verdana" w:hAnsi="Verdana"/>
          <w:sz w:val="16"/>
          <w:szCs w:val="16"/>
        </w:rPr>
        <w:t>una</w:t>
      </w:r>
      <w:r w:rsidRPr="009563F2">
        <w:rPr>
          <w:rFonts w:ascii="Verdana" w:hAnsi="Verdana"/>
          <w:spacing w:val="-9"/>
          <w:sz w:val="16"/>
          <w:szCs w:val="16"/>
        </w:rPr>
        <w:t xml:space="preserve"> </w:t>
      </w:r>
      <w:r w:rsidRPr="009563F2">
        <w:rPr>
          <w:rFonts w:ascii="Verdana" w:hAnsi="Verdana"/>
          <w:sz w:val="16"/>
          <w:szCs w:val="16"/>
        </w:rPr>
        <w:t>vigencia</w:t>
      </w:r>
      <w:r w:rsidRPr="009563F2">
        <w:rPr>
          <w:rFonts w:ascii="Verdana" w:hAnsi="Verdana"/>
          <w:spacing w:val="-8"/>
          <w:sz w:val="16"/>
          <w:szCs w:val="16"/>
        </w:rPr>
        <w:t xml:space="preserve"> </w:t>
      </w:r>
      <w:r w:rsidRPr="009563F2">
        <w:rPr>
          <w:rFonts w:ascii="Verdana" w:hAnsi="Verdana"/>
          <w:sz w:val="16"/>
          <w:szCs w:val="16"/>
        </w:rPr>
        <w:t>mínima</w:t>
      </w:r>
      <w:r w:rsidRPr="009563F2">
        <w:rPr>
          <w:rFonts w:ascii="Verdana" w:hAnsi="Verdana"/>
          <w:spacing w:val="-8"/>
          <w:sz w:val="16"/>
          <w:szCs w:val="16"/>
        </w:rPr>
        <w:t xml:space="preserve"> </w:t>
      </w:r>
      <w:r w:rsidRPr="009563F2">
        <w:rPr>
          <w:rFonts w:ascii="Verdana" w:hAnsi="Verdana"/>
          <w:sz w:val="16"/>
          <w:szCs w:val="16"/>
        </w:rPr>
        <w:t>hasta</w:t>
      </w:r>
      <w:r w:rsidRPr="009563F2">
        <w:rPr>
          <w:rFonts w:ascii="Verdana" w:hAnsi="Verdana"/>
          <w:spacing w:val="-8"/>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liquidación</w:t>
      </w:r>
      <w:r w:rsidRPr="009563F2">
        <w:rPr>
          <w:rFonts w:ascii="Verdana" w:hAnsi="Verdana"/>
          <w:spacing w:val="40"/>
          <w:sz w:val="16"/>
          <w:szCs w:val="16"/>
        </w:rPr>
        <w:t xml:space="preserve"> </w:t>
      </w:r>
      <w:r w:rsidRPr="009563F2">
        <w:rPr>
          <w:rFonts w:ascii="Verdana" w:hAnsi="Verdana"/>
          <w:sz w:val="16"/>
          <w:szCs w:val="16"/>
        </w:rPr>
        <w:t>del contrato. El valor de esta garantía debe ser de por lo menos el diez por ciento (10%) del valor del contrato a menos que el valor del contrato sea superior a un millón</w:t>
      </w:r>
      <w:r w:rsidRPr="009563F2">
        <w:rPr>
          <w:rFonts w:ascii="Verdana" w:hAnsi="Verdana"/>
          <w:spacing w:val="40"/>
          <w:sz w:val="16"/>
          <w:szCs w:val="16"/>
        </w:rPr>
        <w:t xml:space="preserve"> </w:t>
      </w:r>
      <w:r w:rsidRPr="009563F2">
        <w:rPr>
          <w:rFonts w:ascii="Verdana" w:hAnsi="Verdana"/>
          <w:sz w:val="16"/>
          <w:szCs w:val="16"/>
        </w:rPr>
        <w:t>(1.000.000) de smmlv, caso en el cual la Entidad Estatal aplicará las siguientes reglas:</w:t>
      </w:r>
      <w:r>
        <w:rPr>
          <w:rFonts w:ascii="Verdana" w:hAnsi="Verdana"/>
          <w:sz w:val="16"/>
          <w:szCs w:val="16"/>
        </w:rPr>
        <w:t xml:space="preserve"> </w:t>
      </w:r>
      <w:r w:rsidRPr="009563F2">
        <w:rPr>
          <w:rFonts w:ascii="Verdana" w:hAnsi="Verdana"/>
          <w:sz w:val="16"/>
          <w:szCs w:val="16"/>
        </w:rPr>
        <w:t>1.Si</w:t>
      </w:r>
      <w:r w:rsidRPr="009563F2">
        <w:rPr>
          <w:rFonts w:ascii="Verdana" w:hAnsi="Verdana"/>
          <w:spacing w:val="-3"/>
          <w:sz w:val="16"/>
          <w:szCs w:val="16"/>
        </w:rPr>
        <w:t xml:space="preserve"> </w:t>
      </w:r>
      <w:r w:rsidRPr="009563F2">
        <w:rPr>
          <w:rFonts w:ascii="Verdana" w:hAnsi="Verdana"/>
          <w:sz w:val="16"/>
          <w:szCs w:val="16"/>
        </w:rPr>
        <w:t>el</w:t>
      </w:r>
      <w:r w:rsidRPr="009563F2">
        <w:rPr>
          <w:rFonts w:ascii="Verdana" w:hAnsi="Verdana"/>
          <w:spacing w:val="-3"/>
          <w:sz w:val="16"/>
          <w:szCs w:val="16"/>
        </w:rPr>
        <w:t xml:space="preserve"> </w:t>
      </w:r>
      <w:r w:rsidRPr="009563F2">
        <w:rPr>
          <w:rFonts w:ascii="Verdana" w:hAnsi="Verdana"/>
          <w:sz w:val="16"/>
          <w:szCs w:val="16"/>
        </w:rPr>
        <w:t>valor</w:t>
      </w:r>
      <w:r w:rsidRPr="009563F2">
        <w:rPr>
          <w:rFonts w:ascii="Verdana" w:hAnsi="Verdana"/>
          <w:spacing w:val="-3"/>
          <w:sz w:val="16"/>
          <w:szCs w:val="16"/>
        </w:rPr>
        <w:t xml:space="preserve"> </w:t>
      </w:r>
      <w:r w:rsidRPr="009563F2">
        <w:rPr>
          <w:rFonts w:ascii="Verdana" w:hAnsi="Verdana"/>
          <w:sz w:val="16"/>
          <w:szCs w:val="16"/>
        </w:rPr>
        <w:t>del</w:t>
      </w:r>
      <w:r w:rsidRPr="009563F2">
        <w:rPr>
          <w:rFonts w:ascii="Verdana" w:hAnsi="Verdana"/>
          <w:spacing w:val="-3"/>
          <w:sz w:val="16"/>
          <w:szCs w:val="16"/>
        </w:rPr>
        <w:t xml:space="preserve"> </w:t>
      </w:r>
      <w:r w:rsidRPr="009563F2">
        <w:rPr>
          <w:rFonts w:ascii="Verdana" w:hAnsi="Verdana"/>
          <w:sz w:val="16"/>
          <w:szCs w:val="16"/>
        </w:rPr>
        <w:t>contrato</w:t>
      </w:r>
      <w:r w:rsidRPr="009563F2">
        <w:rPr>
          <w:rFonts w:ascii="Verdana" w:hAnsi="Verdana"/>
          <w:spacing w:val="-2"/>
          <w:sz w:val="16"/>
          <w:szCs w:val="16"/>
        </w:rPr>
        <w:t xml:space="preserve"> </w:t>
      </w:r>
      <w:r w:rsidRPr="009563F2">
        <w:rPr>
          <w:rFonts w:ascii="Verdana" w:hAnsi="Verdana"/>
          <w:sz w:val="16"/>
          <w:szCs w:val="16"/>
        </w:rPr>
        <w:t>es</w:t>
      </w:r>
      <w:r w:rsidRPr="009563F2">
        <w:rPr>
          <w:rFonts w:ascii="Verdana" w:hAnsi="Verdana"/>
          <w:spacing w:val="-3"/>
          <w:sz w:val="16"/>
          <w:szCs w:val="16"/>
        </w:rPr>
        <w:t xml:space="preserve"> </w:t>
      </w:r>
      <w:r w:rsidRPr="009563F2">
        <w:rPr>
          <w:rFonts w:ascii="Verdana" w:hAnsi="Verdana"/>
          <w:sz w:val="16"/>
          <w:szCs w:val="16"/>
        </w:rPr>
        <w:t>superior</w:t>
      </w:r>
      <w:r w:rsidRPr="009563F2">
        <w:rPr>
          <w:rFonts w:ascii="Verdana" w:hAnsi="Verdana"/>
          <w:spacing w:val="-2"/>
          <w:sz w:val="16"/>
          <w:szCs w:val="16"/>
        </w:rPr>
        <w:t xml:space="preserve"> </w:t>
      </w:r>
      <w:r w:rsidRPr="009563F2">
        <w:rPr>
          <w:rFonts w:ascii="Verdana" w:hAnsi="Verdana"/>
          <w:sz w:val="16"/>
          <w:szCs w:val="16"/>
        </w:rPr>
        <w:t>a</w:t>
      </w:r>
      <w:r w:rsidRPr="009563F2">
        <w:rPr>
          <w:rFonts w:ascii="Verdana" w:hAnsi="Verdana"/>
          <w:spacing w:val="-3"/>
          <w:sz w:val="16"/>
          <w:szCs w:val="16"/>
        </w:rPr>
        <w:t xml:space="preserve"> </w:t>
      </w:r>
      <w:r w:rsidRPr="009563F2">
        <w:rPr>
          <w:rFonts w:ascii="Verdana" w:hAnsi="Verdana"/>
          <w:sz w:val="16"/>
          <w:szCs w:val="16"/>
        </w:rPr>
        <w:t>un</w:t>
      </w:r>
      <w:r w:rsidRPr="009563F2">
        <w:rPr>
          <w:rFonts w:ascii="Verdana" w:hAnsi="Verdana"/>
          <w:spacing w:val="-3"/>
          <w:sz w:val="16"/>
          <w:szCs w:val="16"/>
        </w:rPr>
        <w:t xml:space="preserve"> </w:t>
      </w:r>
      <w:r w:rsidRPr="009563F2">
        <w:rPr>
          <w:rFonts w:ascii="Verdana" w:hAnsi="Verdana"/>
          <w:sz w:val="16"/>
          <w:szCs w:val="16"/>
        </w:rPr>
        <w:t>millón</w:t>
      </w:r>
      <w:r w:rsidRPr="009563F2">
        <w:rPr>
          <w:rFonts w:ascii="Verdana" w:hAnsi="Verdana"/>
          <w:spacing w:val="-3"/>
          <w:sz w:val="16"/>
          <w:szCs w:val="16"/>
        </w:rPr>
        <w:t xml:space="preserve"> </w:t>
      </w:r>
      <w:r w:rsidRPr="009563F2">
        <w:rPr>
          <w:rFonts w:ascii="Verdana" w:hAnsi="Verdana"/>
          <w:sz w:val="16"/>
          <w:szCs w:val="16"/>
        </w:rPr>
        <w:t>(1.000.000)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3"/>
          <w:sz w:val="16"/>
          <w:szCs w:val="16"/>
        </w:rPr>
        <w:t xml:space="preserve"> </w:t>
      </w:r>
      <w:r w:rsidRPr="009563F2">
        <w:rPr>
          <w:rFonts w:ascii="Verdana" w:hAnsi="Verdana"/>
          <w:sz w:val="16"/>
          <w:szCs w:val="16"/>
        </w:rPr>
        <w:t>smmlv</w:t>
      </w:r>
      <w:r w:rsidRPr="009563F2">
        <w:rPr>
          <w:rFonts w:ascii="Verdana" w:hAnsi="Verdana"/>
          <w:spacing w:val="-3"/>
          <w:sz w:val="16"/>
          <w:szCs w:val="16"/>
        </w:rPr>
        <w:t xml:space="preserve"> </w:t>
      </w:r>
      <w:r w:rsidRPr="009563F2">
        <w:rPr>
          <w:rFonts w:ascii="Verdana" w:hAnsi="Verdana"/>
          <w:sz w:val="16"/>
          <w:szCs w:val="16"/>
        </w:rPr>
        <w:t>y</w:t>
      </w:r>
      <w:r w:rsidRPr="009563F2">
        <w:rPr>
          <w:rFonts w:ascii="Verdana" w:hAnsi="Verdana"/>
          <w:spacing w:val="-3"/>
          <w:sz w:val="16"/>
          <w:szCs w:val="16"/>
        </w:rPr>
        <w:t xml:space="preserve"> </w:t>
      </w:r>
      <w:r w:rsidRPr="009563F2">
        <w:rPr>
          <w:rFonts w:ascii="Verdana" w:hAnsi="Verdana"/>
          <w:sz w:val="16"/>
          <w:szCs w:val="16"/>
        </w:rPr>
        <w:t>hasta</w:t>
      </w:r>
      <w:r w:rsidRPr="009563F2">
        <w:rPr>
          <w:rFonts w:ascii="Verdana" w:hAnsi="Verdana"/>
          <w:spacing w:val="-3"/>
          <w:sz w:val="16"/>
          <w:szCs w:val="16"/>
        </w:rPr>
        <w:t xml:space="preserve"> </w:t>
      </w:r>
      <w:r w:rsidRPr="009563F2">
        <w:rPr>
          <w:rFonts w:ascii="Verdana" w:hAnsi="Verdana"/>
          <w:sz w:val="16"/>
          <w:szCs w:val="16"/>
        </w:rPr>
        <w:t>cinco</w:t>
      </w:r>
      <w:r w:rsidRPr="009563F2">
        <w:rPr>
          <w:rFonts w:ascii="Verdana" w:hAnsi="Verdana"/>
          <w:spacing w:val="-3"/>
          <w:sz w:val="16"/>
          <w:szCs w:val="16"/>
        </w:rPr>
        <w:t xml:space="preserve"> </w:t>
      </w:r>
      <w:r w:rsidRPr="009563F2">
        <w:rPr>
          <w:rFonts w:ascii="Verdana" w:hAnsi="Verdana"/>
          <w:sz w:val="16"/>
          <w:szCs w:val="16"/>
        </w:rPr>
        <w:t>millones</w:t>
      </w:r>
      <w:r w:rsidRPr="009563F2">
        <w:rPr>
          <w:rFonts w:ascii="Verdana" w:hAnsi="Verdana"/>
          <w:spacing w:val="-2"/>
          <w:sz w:val="16"/>
          <w:szCs w:val="16"/>
        </w:rPr>
        <w:t xml:space="preserve"> </w:t>
      </w:r>
      <w:r w:rsidRPr="009563F2">
        <w:rPr>
          <w:rFonts w:ascii="Verdana" w:hAnsi="Verdana"/>
          <w:sz w:val="16"/>
          <w:szCs w:val="16"/>
        </w:rPr>
        <w:t>(5.000.000)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3"/>
          <w:sz w:val="16"/>
          <w:szCs w:val="16"/>
        </w:rPr>
        <w:t xml:space="preserve"> </w:t>
      </w:r>
      <w:r w:rsidRPr="009563F2">
        <w:rPr>
          <w:rFonts w:ascii="Verdana" w:hAnsi="Verdana"/>
          <w:sz w:val="16"/>
          <w:szCs w:val="16"/>
        </w:rPr>
        <w:t>smmlv,</w:t>
      </w:r>
      <w:r w:rsidRPr="009563F2">
        <w:rPr>
          <w:rFonts w:ascii="Verdana" w:hAnsi="Verdana"/>
          <w:spacing w:val="-3"/>
          <w:sz w:val="16"/>
          <w:szCs w:val="16"/>
        </w:rPr>
        <w:t xml:space="preserve"> </w:t>
      </w:r>
      <w:r w:rsidRPr="009563F2">
        <w:rPr>
          <w:rFonts w:ascii="Verdana" w:hAnsi="Verdana"/>
          <w:sz w:val="16"/>
          <w:szCs w:val="16"/>
        </w:rPr>
        <w:t>la</w:t>
      </w:r>
      <w:r w:rsidRPr="009563F2">
        <w:rPr>
          <w:rFonts w:ascii="Verdana" w:hAnsi="Verdana"/>
          <w:spacing w:val="-3"/>
          <w:sz w:val="16"/>
          <w:szCs w:val="16"/>
        </w:rPr>
        <w:t xml:space="preserve"> </w:t>
      </w:r>
      <w:r w:rsidRPr="009563F2">
        <w:rPr>
          <w:rFonts w:ascii="Verdana" w:hAnsi="Verdana"/>
          <w:sz w:val="16"/>
          <w:szCs w:val="16"/>
        </w:rPr>
        <w:t>Entidad</w:t>
      </w:r>
      <w:r w:rsidRPr="009563F2">
        <w:rPr>
          <w:rFonts w:ascii="Verdana" w:hAnsi="Verdana"/>
          <w:spacing w:val="-3"/>
          <w:sz w:val="16"/>
          <w:szCs w:val="16"/>
        </w:rPr>
        <w:t xml:space="preserve"> </w:t>
      </w:r>
      <w:r w:rsidRPr="009563F2">
        <w:rPr>
          <w:rFonts w:ascii="Verdana" w:hAnsi="Verdana"/>
          <w:sz w:val="16"/>
          <w:szCs w:val="16"/>
        </w:rPr>
        <w:t>Estatal</w:t>
      </w:r>
      <w:r w:rsidRPr="009563F2">
        <w:rPr>
          <w:rFonts w:ascii="Verdana" w:hAnsi="Verdana"/>
          <w:spacing w:val="-2"/>
          <w:sz w:val="16"/>
          <w:szCs w:val="16"/>
        </w:rPr>
        <w:t xml:space="preserve"> </w:t>
      </w:r>
      <w:r w:rsidRPr="009563F2">
        <w:rPr>
          <w:rFonts w:ascii="Verdana" w:hAnsi="Verdana"/>
          <w:sz w:val="16"/>
          <w:szCs w:val="16"/>
        </w:rPr>
        <w:t>puede</w:t>
      </w:r>
      <w:r w:rsidRPr="009563F2">
        <w:rPr>
          <w:rFonts w:ascii="Verdana" w:hAnsi="Verdana"/>
          <w:spacing w:val="-3"/>
          <w:sz w:val="16"/>
          <w:szCs w:val="16"/>
        </w:rPr>
        <w:t xml:space="preserve"> </w:t>
      </w:r>
      <w:r w:rsidRPr="009563F2">
        <w:rPr>
          <w:rFonts w:ascii="Verdana" w:hAnsi="Verdana"/>
          <w:sz w:val="16"/>
          <w:szCs w:val="16"/>
        </w:rPr>
        <w:t>aceptar</w:t>
      </w:r>
      <w:r w:rsidRPr="009563F2">
        <w:rPr>
          <w:rFonts w:ascii="Verdana" w:hAnsi="Verdana"/>
          <w:spacing w:val="-2"/>
          <w:sz w:val="16"/>
          <w:szCs w:val="16"/>
        </w:rPr>
        <w:t xml:space="preserve"> </w:t>
      </w:r>
      <w:r w:rsidRPr="009563F2">
        <w:rPr>
          <w:rFonts w:ascii="Verdana" w:hAnsi="Verdana"/>
          <w:sz w:val="16"/>
          <w:szCs w:val="16"/>
        </w:rPr>
        <w:t>garantías</w:t>
      </w:r>
      <w:r w:rsidRPr="009563F2">
        <w:rPr>
          <w:rFonts w:ascii="Verdana" w:hAnsi="Verdana"/>
          <w:spacing w:val="40"/>
          <w:sz w:val="16"/>
          <w:szCs w:val="16"/>
        </w:rPr>
        <w:t xml:space="preserve"> </w:t>
      </w:r>
      <w:r w:rsidRPr="009563F2">
        <w:rPr>
          <w:rFonts w:ascii="Verdana" w:hAnsi="Verdana"/>
          <w:sz w:val="16"/>
          <w:szCs w:val="16"/>
        </w:rPr>
        <w:t>que cubran al menos el dos punto cinco por ciento (2,5%) del valor del contrato.</w:t>
      </w:r>
      <w:r>
        <w:rPr>
          <w:rFonts w:ascii="Verdana" w:hAnsi="Verdana"/>
          <w:sz w:val="16"/>
          <w:szCs w:val="16"/>
        </w:rPr>
        <w:t xml:space="preserve"> </w:t>
      </w:r>
      <w:r w:rsidRPr="009563F2">
        <w:rPr>
          <w:rFonts w:ascii="Verdana" w:hAnsi="Verdana"/>
          <w:sz w:val="16"/>
          <w:szCs w:val="16"/>
        </w:rPr>
        <w:t>2.Si el valor del contrato es superior a cinco millones (5.000.000) de smmlv y hasta diez millones (10.000.000) de smmlv, la Entidad Estatal puede aceptar</w:t>
      </w:r>
      <w:r w:rsidRPr="009563F2">
        <w:rPr>
          <w:rFonts w:ascii="Verdana" w:hAnsi="Verdana"/>
          <w:spacing w:val="40"/>
          <w:sz w:val="16"/>
          <w:szCs w:val="16"/>
        </w:rPr>
        <w:t xml:space="preserve"> </w:t>
      </w:r>
      <w:r w:rsidRPr="009563F2">
        <w:rPr>
          <w:rFonts w:ascii="Verdana" w:hAnsi="Verdana"/>
          <w:sz w:val="16"/>
          <w:szCs w:val="16"/>
        </w:rPr>
        <w:t>garantías que cubran al menos el uno por ciento (1%) del valor del contrato.</w:t>
      </w:r>
      <w:r>
        <w:rPr>
          <w:rFonts w:ascii="Verdana" w:hAnsi="Verdana"/>
          <w:sz w:val="16"/>
          <w:szCs w:val="16"/>
        </w:rPr>
        <w:t xml:space="preserve"> </w:t>
      </w:r>
      <w:r w:rsidRPr="009563F2">
        <w:rPr>
          <w:rFonts w:ascii="Verdana" w:hAnsi="Verdana"/>
          <w:sz w:val="16"/>
          <w:szCs w:val="16"/>
        </w:rPr>
        <w:t>3.Si</w:t>
      </w:r>
      <w:r w:rsidRPr="009563F2">
        <w:rPr>
          <w:rFonts w:ascii="Verdana" w:hAnsi="Verdana"/>
          <w:spacing w:val="-4"/>
          <w:sz w:val="16"/>
          <w:szCs w:val="16"/>
        </w:rPr>
        <w:t xml:space="preserve"> </w:t>
      </w:r>
      <w:r w:rsidRPr="009563F2">
        <w:rPr>
          <w:rFonts w:ascii="Verdana" w:hAnsi="Verdana"/>
          <w:sz w:val="16"/>
          <w:szCs w:val="16"/>
        </w:rPr>
        <w:t>el</w:t>
      </w:r>
      <w:r w:rsidRPr="009563F2">
        <w:rPr>
          <w:rFonts w:ascii="Verdana" w:hAnsi="Verdana"/>
          <w:spacing w:val="-4"/>
          <w:sz w:val="16"/>
          <w:szCs w:val="16"/>
        </w:rPr>
        <w:t xml:space="preserve"> </w:t>
      </w:r>
      <w:r w:rsidRPr="009563F2">
        <w:rPr>
          <w:rFonts w:ascii="Verdana" w:hAnsi="Verdana"/>
          <w:sz w:val="16"/>
          <w:szCs w:val="16"/>
        </w:rPr>
        <w:t>valor</w:t>
      </w:r>
      <w:r w:rsidRPr="009563F2">
        <w:rPr>
          <w:rFonts w:ascii="Verdana" w:hAnsi="Verdana"/>
          <w:spacing w:val="-3"/>
          <w:sz w:val="16"/>
          <w:szCs w:val="16"/>
        </w:rPr>
        <w:t xml:space="preserve"> </w:t>
      </w:r>
      <w:r w:rsidRPr="009563F2">
        <w:rPr>
          <w:rFonts w:ascii="Verdana" w:hAnsi="Verdana"/>
          <w:sz w:val="16"/>
          <w:szCs w:val="16"/>
        </w:rPr>
        <w:t>del</w:t>
      </w:r>
      <w:r w:rsidRPr="009563F2">
        <w:rPr>
          <w:rFonts w:ascii="Verdana" w:hAnsi="Verdana"/>
          <w:spacing w:val="-3"/>
          <w:sz w:val="16"/>
          <w:szCs w:val="16"/>
        </w:rPr>
        <w:t xml:space="preserve"> </w:t>
      </w:r>
      <w:r w:rsidRPr="009563F2">
        <w:rPr>
          <w:rFonts w:ascii="Verdana" w:hAnsi="Verdana"/>
          <w:sz w:val="16"/>
          <w:szCs w:val="16"/>
        </w:rPr>
        <w:t>contrato</w:t>
      </w:r>
      <w:r w:rsidRPr="009563F2">
        <w:rPr>
          <w:rFonts w:ascii="Verdana" w:hAnsi="Verdana"/>
          <w:spacing w:val="-3"/>
          <w:sz w:val="16"/>
          <w:szCs w:val="16"/>
        </w:rPr>
        <w:t xml:space="preserve"> </w:t>
      </w:r>
      <w:r w:rsidRPr="009563F2">
        <w:rPr>
          <w:rFonts w:ascii="Verdana" w:hAnsi="Verdana"/>
          <w:sz w:val="16"/>
          <w:szCs w:val="16"/>
        </w:rPr>
        <w:t>es</w:t>
      </w:r>
      <w:r w:rsidRPr="009563F2">
        <w:rPr>
          <w:rFonts w:ascii="Verdana" w:hAnsi="Verdana"/>
          <w:spacing w:val="-4"/>
          <w:sz w:val="16"/>
          <w:szCs w:val="16"/>
        </w:rPr>
        <w:t xml:space="preserve"> </w:t>
      </w:r>
      <w:r w:rsidRPr="009563F2">
        <w:rPr>
          <w:rFonts w:ascii="Verdana" w:hAnsi="Verdana"/>
          <w:sz w:val="16"/>
          <w:szCs w:val="16"/>
        </w:rPr>
        <w:t>superior</w:t>
      </w:r>
      <w:r w:rsidRPr="009563F2">
        <w:rPr>
          <w:rFonts w:ascii="Verdana" w:hAnsi="Verdana"/>
          <w:spacing w:val="-3"/>
          <w:sz w:val="16"/>
          <w:szCs w:val="16"/>
        </w:rPr>
        <w:t xml:space="preserve"> </w:t>
      </w:r>
      <w:r w:rsidRPr="009563F2">
        <w:rPr>
          <w:rFonts w:ascii="Verdana" w:hAnsi="Verdana"/>
          <w:sz w:val="16"/>
          <w:szCs w:val="16"/>
        </w:rPr>
        <w:t>a</w:t>
      </w:r>
      <w:r w:rsidRPr="009563F2">
        <w:rPr>
          <w:rFonts w:ascii="Verdana" w:hAnsi="Verdana"/>
          <w:spacing w:val="-4"/>
          <w:sz w:val="16"/>
          <w:szCs w:val="16"/>
        </w:rPr>
        <w:t xml:space="preserve"> </w:t>
      </w:r>
      <w:r w:rsidRPr="009563F2">
        <w:rPr>
          <w:rFonts w:ascii="Verdana" w:hAnsi="Verdana"/>
          <w:sz w:val="16"/>
          <w:szCs w:val="16"/>
        </w:rPr>
        <w:t>diez</w:t>
      </w:r>
      <w:r w:rsidRPr="009563F2">
        <w:rPr>
          <w:rFonts w:ascii="Verdana" w:hAnsi="Verdana"/>
          <w:spacing w:val="-3"/>
          <w:sz w:val="16"/>
          <w:szCs w:val="16"/>
        </w:rPr>
        <w:t xml:space="preserve"> </w:t>
      </w:r>
      <w:r w:rsidRPr="009563F2">
        <w:rPr>
          <w:rFonts w:ascii="Verdana" w:hAnsi="Verdana"/>
          <w:sz w:val="16"/>
          <w:szCs w:val="16"/>
        </w:rPr>
        <w:t>millones</w:t>
      </w:r>
      <w:r w:rsidRPr="009563F2">
        <w:rPr>
          <w:rFonts w:ascii="Verdana" w:hAnsi="Verdana"/>
          <w:spacing w:val="-3"/>
          <w:sz w:val="16"/>
          <w:szCs w:val="16"/>
        </w:rPr>
        <w:t xml:space="preserve"> </w:t>
      </w:r>
      <w:r w:rsidRPr="009563F2">
        <w:rPr>
          <w:rFonts w:ascii="Verdana" w:hAnsi="Verdana"/>
          <w:sz w:val="16"/>
          <w:szCs w:val="16"/>
        </w:rPr>
        <w:t>(10.000.000)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4"/>
          <w:sz w:val="16"/>
          <w:szCs w:val="16"/>
        </w:rPr>
        <w:t xml:space="preserve"> </w:t>
      </w:r>
      <w:r w:rsidRPr="009563F2">
        <w:rPr>
          <w:rFonts w:ascii="Verdana" w:hAnsi="Verdana"/>
          <w:sz w:val="16"/>
          <w:szCs w:val="16"/>
        </w:rPr>
        <w:t>smmlv,</w:t>
      </w:r>
      <w:r w:rsidRPr="009563F2">
        <w:rPr>
          <w:rFonts w:ascii="Verdana" w:hAnsi="Verdana"/>
          <w:spacing w:val="-4"/>
          <w:sz w:val="16"/>
          <w:szCs w:val="16"/>
        </w:rPr>
        <w:t xml:space="preserve"> </w:t>
      </w:r>
      <w:r w:rsidRPr="009563F2">
        <w:rPr>
          <w:rFonts w:ascii="Verdana" w:hAnsi="Verdana"/>
          <w:sz w:val="16"/>
          <w:szCs w:val="16"/>
        </w:rPr>
        <w:t>la</w:t>
      </w:r>
      <w:r w:rsidRPr="009563F2">
        <w:rPr>
          <w:rFonts w:ascii="Verdana" w:hAnsi="Verdana"/>
          <w:spacing w:val="-4"/>
          <w:sz w:val="16"/>
          <w:szCs w:val="16"/>
        </w:rPr>
        <w:t xml:space="preserve"> </w:t>
      </w:r>
      <w:r w:rsidRPr="009563F2">
        <w:rPr>
          <w:rFonts w:ascii="Verdana" w:hAnsi="Verdana"/>
          <w:sz w:val="16"/>
          <w:szCs w:val="16"/>
        </w:rPr>
        <w:t>Entidad</w:t>
      </w:r>
      <w:r w:rsidRPr="009563F2">
        <w:rPr>
          <w:rFonts w:ascii="Verdana" w:hAnsi="Verdana"/>
          <w:spacing w:val="-3"/>
          <w:sz w:val="16"/>
          <w:szCs w:val="16"/>
        </w:rPr>
        <w:t xml:space="preserve"> </w:t>
      </w:r>
      <w:r w:rsidRPr="009563F2">
        <w:rPr>
          <w:rFonts w:ascii="Verdana" w:hAnsi="Verdana"/>
          <w:sz w:val="16"/>
          <w:szCs w:val="16"/>
        </w:rPr>
        <w:t>Estatal</w:t>
      </w:r>
      <w:r w:rsidRPr="009563F2">
        <w:rPr>
          <w:rFonts w:ascii="Verdana" w:hAnsi="Verdana"/>
          <w:spacing w:val="-3"/>
          <w:sz w:val="16"/>
          <w:szCs w:val="16"/>
        </w:rPr>
        <w:t xml:space="preserve"> </w:t>
      </w:r>
      <w:r w:rsidRPr="009563F2">
        <w:rPr>
          <w:rFonts w:ascii="Verdana" w:hAnsi="Verdana"/>
          <w:sz w:val="16"/>
          <w:szCs w:val="16"/>
        </w:rPr>
        <w:t>puede</w:t>
      </w:r>
      <w:r w:rsidRPr="009563F2">
        <w:rPr>
          <w:rFonts w:ascii="Verdana" w:hAnsi="Verdana"/>
          <w:spacing w:val="-3"/>
          <w:sz w:val="16"/>
          <w:szCs w:val="16"/>
        </w:rPr>
        <w:t xml:space="preserve"> </w:t>
      </w:r>
      <w:r w:rsidRPr="009563F2">
        <w:rPr>
          <w:rFonts w:ascii="Verdana" w:hAnsi="Verdana"/>
          <w:sz w:val="16"/>
          <w:szCs w:val="16"/>
        </w:rPr>
        <w:t>aceptar</w:t>
      </w:r>
      <w:r w:rsidRPr="009563F2">
        <w:rPr>
          <w:rFonts w:ascii="Verdana" w:hAnsi="Verdana"/>
          <w:spacing w:val="-3"/>
          <w:sz w:val="16"/>
          <w:szCs w:val="16"/>
        </w:rPr>
        <w:t xml:space="preserve"> </w:t>
      </w:r>
      <w:r w:rsidRPr="009563F2">
        <w:rPr>
          <w:rFonts w:ascii="Verdana" w:hAnsi="Verdana"/>
          <w:sz w:val="16"/>
          <w:szCs w:val="16"/>
        </w:rPr>
        <w:t>garantías</w:t>
      </w:r>
      <w:r w:rsidRPr="009563F2">
        <w:rPr>
          <w:rFonts w:ascii="Verdana" w:hAnsi="Verdana"/>
          <w:spacing w:val="-3"/>
          <w:sz w:val="16"/>
          <w:szCs w:val="16"/>
        </w:rPr>
        <w:t xml:space="preserve"> </w:t>
      </w:r>
      <w:r w:rsidRPr="009563F2">
        <w:rPr>
          <w:rFonts w:ascii="Verdana" w:hAnsi="Verdana"/>
          <w:sz w:val="16"/>
          <w:szCs w:val="16"/>
        </w:rPr>
        <w:t>que</w:t>
      </w:r>
      <w:r w:rsidRPr="009563F2">
        <w:rPr>
          <w:rFonts w:ascii="Verdana" w:hAnsi="Verdana"/>
          <w:spacing w:val="-3"/>
          <w:sz w:val="16"/>
          <w:szCs w:val="16"/>
        </w:rPr>
        <w:t xml:space="preserve"> </w:t>
      </w:r>
      <w:r w:rsidRPr="009563F2">
        <w:rPr>
          <w:rFonts w:ascii="Verdana" w:hAnsi="Verdana"/>
          <w:sz w:val="16"/>
          <w:szCs w:val="16"/>
        </w:rPr>
        <w:t>cubran</w:t>
      </w:r>
      <w:r w:rsidRPr="009563F2">
        <w:rPr>
          <w:rFonts w:ascii="Verdana" w:hAnsi="Verdana"/>
          <w:spacing w:val="-3"/>
          <w:sz w:val="16"/>
          <w:szCs w:val="16"/>
        </w:rPr>
        <w:t xml:space="preserve"> </w:t>
      </w:r>
      <w:r w:rsidRPr="009563F2">
        <w:rPr>
          <w:rFonts w:ascii="Verdana" w:hAnsi="Verdana"/>
          <w:sz w:val="16"/>
          <w:szCs w:val="16"/>
        </w:rPr>
        <w:t>al</w:t>
      </w:r>
      <w:r w:rsidRPr="009563F2">
        <w:rPr>
          <w:rFonts w:ascii="Verdana" w:hAnsi="Verdana"/>
          <w:spacing w:val="-4"/>
          <w:sz w:val="16"/>
          <w:szCs w:val="16"/>
        </w:rPr>
        <w:t xml:space="preserve"> </w:t>
      </w:r>
      <w:r w:rsidRPr="009563F2">
        <w:rPr>
          <w:rFonts w:ascii="Verdana" w:hAnsi="Verdana"/>
          <w:sz w:val="16"/>
          <w:szCs w:val="16"/>
        </w:rPr>
        <w:t>menos</w:t>
      </w:r>
      <w:r w:rsidRPr="009563F2">
        <w:rPr>
          <w:rFonts w:ascii="Verdana" w:hAnsi="Verdana"/>
          <w:spacing w:val="-3"/>
          <w:sz w:val="16"/>
          <w:szCs w:val="16"/>
        </w:rPr>
        <w:t xml:space="preserve"> </w:t>
      </w:r>
      <w:r w:rsidRPr="009563F2">
        <w:rPr>
          <w:rFonts w:ascii="Verdana" w:hAnsi="Verdana"/>
          <w:sz w:val="16"/>
          <w:szCs w:val="16"/>
        </w:rPr>
        <w:t>el</w:t>
      </w:r>
      <w:r w:rsidRPr="009563F2">
        <w:rPr>
          <w:rFonts w:ascii="Verdana" w:hAnsi="Verdana"/>
          <w:spacing w:val="-4"/>
          <w:sz w:val="16"/>
          <w:szCs w:val="16"/>
        </w:rPr>
        <w:t xml:space="preserve"> </w:t>
      </w:r>
      <w:r w:rsidRPr="009563F2">
        <w:rPr>
          <w:rFonts w:ascii="Verdana" w:hAnsi="Verdana"/>
          <w:sz w:val="16"/>
          <w:szCs w:val="16"/>
        </w:rPr>
        <w:t>cero</w:t>
      </w:r>
      <w:r w:rsidRPr="009563F2">
        <w:rPr>
          <w:rFonts w:ascii="Verdana" w:hAnsi="Verdana"/>
          <w:spacing w:val="-3"/>
          <w:sz w:val="16"/>
          <w:szCs w:val="16"/>
        </w:rPr>
        <w:t xml:space="preserve"> </w:t>
      </w:r>
      <w:r w:rsidRPr="009563F2">
        <w:rPr>
          <w:rFonts w:ascii="Verdana" w:hAnsi="Verdana"/>
          <w:sz w:val="16"/>
          <w:szCs w:val="16"/>
        </w:rPr>
        <w:t>punto</w:t>
      </w:r>
      <w:r w:rsidRPr="009563F2">
        <w:rPr>
          <w:rFonts w:ascii="Verdana" w:hAnsi="Verdana"/>
          <w:spacing w:val="-3"/>
          <w:sz w:val="16"/>
          <w:szCs w:val="16"/>
        </w:rPr>
        <w:t xml:space="preserve"> </w:t>
      </w:r>
      <w:r w:rsidRPr="009563F2">
        <w:rPr>
          <w:rFonts w:ascii="Verdana" w:hAnsi="Verdana"/>
          <w:sz w:val="16"/>
          <w:szCs w:val="16"/>
        </w:rPr>
        <w:t>cinco</w:t>
      </w:r>
      <w:r w:rsidRPr="009563F2">
        <w:rPr>
          <w:rFonts w:ascii="Verdana" w:hAnsi="Verdana"/>
          <w:spacing w:val="40"/>
          <w:sz w:val="16"/>
          <w:szCs w:val="16"/>
        </w:rPr>
        <w:t xml:space="preserve"> </w:t>
      </w:r>
      <w:r w:rsidRPr="009563F2">
        <w:rPr>
          <w:rFonts w:ascii="Verdana" w:hAnsi="Verdana"/>
          <w:sz w:val="16"/>
          <w:szCs w:val="16"/>
        </w:rPr>
        <w:t>por ciento (0,5%) del valor del contrato. Colombia Compra Eficiente debe determinar el valor de la garantía única de cumplimiento del Acuerdo Marco de Precios de acuerdo con el objeto, el valor, la</w:t>
      </w:r>
      <w:r w:rsidRPr="009563F2">
        <w:rPr>
          <w:rFonts w:ascii="Verdana" w:hAnsi="Verdana"/>
          <w:spacing w:val="40"/>
          <w:sz w:val="16"/>
          <w:szCs w:val="16"/>
        </w:rPr>
        <w:t xml:space="preserve"> </w:t>
      </w:r>
      <w:r w:rsidRPr="009563F2">
        <w:rPr>
          <w:rFonts w:ascii="Verdana" w:hAnsi="Verdana"/>
          <w:sz w:val="16"/>
          <w:szCs w:val="16"/>
        </w:rPr>
        <w:t>naturaleza y las obligaciones contenidas en este”.</w:t>
      </w:r>
    </w:p>
  </w:footnote>
  <w:footnote w:id="4">
    <w:p w14:paraId="5464E1CE" w14:textId="77777777" w:rsidR="000C1656" w:rsidRPr="009563F2" w:rsidRDefault="000C1656" w:rsidP="000C1656">
      <w:pPr>
        <w:spacing w:after="0" w:line="240" w:lineRule="auto"/>
        <w:ind w:right="51"/>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 xml:space="preserve"> COLOMBIA</w:t>
      </w:r>
      <w:r w:rsidRPr="009563F2">
        <w:rPr>
          <w:rFonts w:ascii="Verdana" w:hAnsi="Verdana"/>
          <w:spacing w:val="49"/>
          <w:sz w:val="16"/>
          <w:szCs w:val="16"/>
        </w:rPr>
        <w:t xml:space="preserve">  </w:t>
      </w:r>
      <w:r w:rsidRPr="009563F2">
        <w:rPr>
          <w:rFonts w:ascii="Verdana" w:hAnsi="Verdana"/>
          <w:sz w:val="16"/>
          <w:szCs w:val="16"/>
        </w:rPr>
        <w:t>COMPRA</w:t>
      </w:r>
      <w:r w:rsidRPr="009563F2">
        <w:rPr>
          <w:rFonts w:ascii="Verdana" w:hAnsi="Verdana"/>
          <w:spacing w:val="49"/>
          <w:sz w:val="16"/>
          <w:szCs w:val="16"/>
        </w:rPr>
        <w:t xml:space="preserve">  </w:t>
      </w:r>
      <w:r w:rsidRPr="009563F2">
        <w:rPr>
          <w:rFonts w:ascii="Verdana" w:hAnsi="Verdana"/>
          <w:sz w:val="16"/>
          <w:szCs w:val="16"/>
        </w:rPr>
        <w:t>EFICIENTE.</w:t>
      </w:r>
      <w:r w:rsidRPr="009563F2">
        <w:rPr>
          <w:rFonts w:ascii="Verdana" w:hAnsi="Verdana"/>
          <w:spacing w:val="50"/>
          <w:sz w:val="16"/>
          <w:szCs w:val="16"/>
        </w:rPr>
        <w:t xml:space="preserve">  </w:t>
      </w:r>
      <w:r w:rsidRPr="009563F2">
        <w:rPr>
          <w:rFonts w:ascii="Verdana" w:hAnsi="Verdana"/>
          <w:sz w:val="16"/>
          <w:szCs w:val="16"/>
        </w:rPr>
        <w:t>Guía</w:t>
      </w:r>
      <w:r w:rsidRPr="009563F2">
        <w:rPr>
          <w:rFonts w:ascii="Verdana" w:hAnsi="Verdana"/>
          <w:spacing w:val="49"/>
          <w:sz w:val="16"/>
          <w:szCs w:val="16"/>
        </w:rPr>
        <w:t xml:space="preserve">  </w:t>
      </w:r>
      <w:r w:rsidRPr="009563F2">
        <w:rPr>
          <w:rFonts w:ascii="Verdana" w:hAnsi="Verdana"/>
          <w:sz w:val="16"/>
          <w:szCs w:val="16"/>
        </w:rPr>
        <w:t>para</w:t>
      </w:r>
      <w:r w:rsidRPr="009563F2">
        <w:rPr>
          <w:rFonts w:ascii="Verdana" w:hAnsi="Verdana"/>
          <w:spacing w:val="49"/>
          <w:sz w:val="16"/>
          <w:szCs w:val="16"/>
        </w:rPr>
        <w:t xml:space="preserve">  </w:t>
      </w:r>
      <w:r w:rsidRPr="009563F2">
        <w:rPr>
          <w:rFonts w:ascii="Verdana" w:hAnsi="Verdana"/>
          <w:sz w:val="16"/>
          <w:szCs w:val="16"/>
        </w:rPr>
        <w:t>la</w:t>
      </w:r>
      <w:r w:rsidRPr="009563F2">
        <w:rPr>
          <w:rFonts w:ascii="Verdana" w:hAnsi="Verdana"/>
          <w:spacing w:val="49"/>
          <w:sz w:val="16"/>
          <w:szCs w:val="16"/>
        </w:rPr>
        <w:t xml:space="preserve">  </w:t>
      </w:r>
      <w:r w:rsidRPr="009563F2">
        <w:rPr>
          <w:rFonts w:ascii="Verdana" w:hAnsi="Verdana"/>
          <w:sz w:val="16"/>
          <w:szCs w:val="16"/>
        </w:rPr>
        <w:t>Liquidación</w:t>
      </w:r>
      <w:r w:rsidRPr="009563F2">
        <w:rPr>
          <w:rFonts w:ascii="Verdana" w:hAnsi="Verdana"/>
          <w:spacing w:val="50"/>
          <w:sz w:val="16"/>
          <w:szCs w:val="16"/>
        </w:rPr>
        <w:t xml:space="preserve">  </w:t>
      </w:r>
      <w:r w:rsidRPr="009563F2">
        <w:rPr>
          <w:rFonts w:ascii="Verdana" w:hAnsi="Verdana"/>
          <w:sz w:val="16"/>
          <w:szCs w:val="16"/>
        </w:rPr>
        <w:t>de</w:t>
      </w:r>
      <w:r w:rsidRPr="009563F2">
        <w:rPr>
          <w:rFonts w:ascii="Verdana" w:hAnsi="Verdana"/>
          <w:spacing w:val="49"/>
          <w:sz w:val="16"/>
          <w:szCs w:val="16"/>
        </w:rPr>
        <w:t xml:space="preserve">  </w:t>
      </w:r>
      <w:r w:rsidRPr="009563F2">
        <w:rPr>
          <w:rFonts w:ascii="Verdana" w:hAnsi="Verdana"/>
          <w:sz w:val="16"/>
          <w:szCs w:val="16"/>
        </w:rPr>
        <w:t>los</w:t>
      </w:r>
      <w:r w:rsidRPr="009563F2">
        <w:rPr>
          <w:rFonts w:ascii="Verdana" w:hAnsi="Verdana"/>
          <w:spacing w:val="50"/>
          <w:sz w:val="16"/>
          <w:szCs w:val="16"/>
        </w:rPr>
        <w:t xml:space="preserve">  </w:t>
      </w:r>
      <w:r w:rsidRPr="009563F2">
        <w:rPr>
          <w:rFonts w:ascii="Verdana" w:hAnsi="Verdana"/>
          <w:sz w:val="16"/>
          <w:szCs w:val="16"/>
        </w:rPr>
        <w:t>Procesos</w:t>
      </w:r>
      <w:r w:rsidRPr="009563F2">
        <w:rPr>
          <w:rFonts w:ascii="Verdana" w:hAnsi="Verdana"/>
          <w:spacing w:val="49"/>
          <w:sz w:val="16"/>
          <w:szCs w:val="16"/>
        </w:rPr>
        <w:t xml:space="preserve">  </w:t>
      </w:r>
      <w:r w:rsidRPr="009563F2">
        <w:rPr>
          <w:rFonts w:ascii="Verdana" w:hAnsi="Verdana"/>
          <w:sz w:val="16"/>
          <w:szCs w:val="16"/>
        </w:rPr>
        <w:t>de</w:t>
      </w:r>
      <w:r w:rsidRPr="009563F2">
        <w:rPr>
          <w:rFonts w:ascii="Verdana" w:hAnsi="Verdana"/>
          <w:spacing w:val="49"/>
          <w:sz w:val="16"/>
          <w:szCs w:val="16"/>
        </w:rPr>
        <w:t xml:space="preserve">  </w:t>
      </w:r>
      <w:r w:rsidRPr="009563F2">
        <w:rPr>
          <w:rFonts w:ascii="Verdana" w:hAnsi="Verdana"/>
          <w:sz w:val="16"/>
          <w:szCs w:val="16"/>
        </w:rPr>
        <w:t>Contratación.</w:t>
      </w:r>
      <w:r w:rsidRPr="009563F2">
        <w:rPr>
          <w:rFonts w:ascii="Verdana" w:hAnsi="Verdana"/>
          <w:spacing w:val="50"/>
          <w:sz w:val="16"/>
          <w:szCs w:val="16"/>
        </w:rPr>
        <w:t xml:space="preserve">                  </w:t>
      </w:r>
      <w:r w:rsidRPr="009563F2">
        <w:rPr>
          <w:rFonts w:ascii="Verdana" w:hAnsi="Verdana"/>
          <w:sz w:val="16"/>
          <w:szCs w:val="16"/>
        </w:rPr>
        <w:t>página</w:t>
      </w:r>
      <w:r w:rsidRPr="009563F2">
        <w:rPr>
          <w:rFonts w:ascii="Verdana" w:hAnsi="Verdana"/>
          <w:spacing w:val="49"/>
          <w:sz w:val="16"/>
          <w:szCs w:val="16"/>
        </w:rPr>
        <w:t xml:space="preserve">  </w:t>
      </w:r>
      <w:r w:rsidRPr="009563F2">
        <w:rPr>
          <w:rFonts w:ascii="Verdana" w:hAnsi="Verdana"/>
          <w:sz w:val="16"/>
          <w:szCs w:val="16"/>
        </w:rPr>
        <w:t>5,</w:t>
      </w:r>
      <w:r w:rsidRPr="009563F2">
        <w:rPr>
          <w:rFonts w:ascii="Verdana" w:hAnsi="Verdana"/>
          <w:spacing w:val="49"/>
          <w:sz w:val="16"/>
          <w:szCs w:val="16"/>
        </w:rPr>
        <w:t xml:space="preserve">  </w:t>
      </w:r>
      <w:r w:rsidRPr="009563F2">
        <w:rPr>
          <w:rFonts w:ascii="Verdana" w:hAnsi="Verdana"/>
          <w:sz w:val="16"/>
          <w:szCs w:val="16"/>
        </w:rPr>
        <w:t>disponible</w:t>
      </w:r>
      <w:r w:rsidRPr="009563F2">
        <w:rPr>
          <w:rFonts w:ascii="Verdana" w:hAnsi="Verdana"/>
          <w:spacing w:val="50"/>
          <w:sz w:val="16"/>
          <w:szCs w:val="16"/>
        </w:rPr>
        <w:t xml:space="preserve">  </w:t>
      </w:r>
      <w:r w:rsidRPr="009563F2">
        <w:rPr>
          <w:rFonts w:ascii="Verdana" w:hAnsi="Verdana"/>
          <w:spacing w:val="-5"/>
          <w:sz w:val="16"/>
          <w:szCs w:val="16"/>
        </w:rPr>
        <w:t xml:space="preserve">en: </w:t>
      </w:r>
      <w:hyperlink r:id="rId2" w:history="1">
        <w:r w:rsidRPr="00032695">
          <w:rPr>
            <w:rStyle w:val="Hipervnculo"/>
            <w:rFonts w:ascii="Verdana" w:hAnsi="Verdana"/>
            <w:spacing w:val="-2"/>
            <w:sz w:val="16"/>
            <w:szCs w:val="16"/>
          </w:rPr>
          <w:t>https://www.colombiacompra.gov.co/sites/cce_public/files/cce_documents /cce_guia_liquidacion_procesos.pdf</w:t>
        </w:r>
      </w:hyperlink>
    </w:p>
  </w:footnote>
  <w:footnote w:id="5">
    <w:p w14:paraId="3D377E38" w14:textId="77777777" w:rsidR="000C1656" w:rsidRPr="009563F2" w:rsidRDefault="000C1656" w:rsidP="000C1656">
      <w:pPr>
        <w:pStyle w:val="Textonotapie"/>
        <w:ind w:right="51"/>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 xml:space="preserve"> CONSEJO DE ESTADO. Sala de Consulta y Servicio Civil. Concepto de 28 de junio de 2016. Radicación: 2253. C.P. Álvaro Namén Vargas.</w:t>
      </w:r>
    </w:p>
  </w:footnote>
  <w:footnote w:id="6">
    <w:p w14:paraId="14F1F0C8" w14:textId="77777777" w:rsidR="000C1656" w:rsidRPr="00F660DA" w:rsidRDefault="000C1656" w:rsidP="000C1656">
      <w:pPr>
        <w:pStyle w:val="Textonotapie"/>
        <w:ind w:right="49"/>
        <w:contextualSpacing/>
        <w:jc w:val="both"/>
        <w:rPr>
          <w:rFonts w:ascii="Verdana" w:hAnsi="Verdana"/>
          <w:sz w:val="16"/>
          <w:szCs w:val="16"/>
          <w:lang w:val="es-ES"/>
        </w:rPr>
      </w:pPr>
      <w:r w:rsidRPr="00F660DA">
        <w:rPr>
          <w:rStyle w:val="Refdenotaalpie"/>
          <w:rFonts w:ascii="Verdana" w:hAnsi="Verdana"/>
          <w:sz w:val="16"/>
          <w:szCs w:val="16"/>
        </w:rPr>
        <w:footnoteRef/>
      </w:r>
      <w:r w:rsidRPr="00F660DA">
        <w:rPr>
          <w:rFonts w:ascii="Verdana" w:hAnsi="Verdana"/>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w:t>
      </w:r>
    </w:p>
  </w:footnote>
  <w:footnote w:id="7">
    <w:p w14:paraId="20AED23E" w14:textId="77777777" w:rsidR="000C1656" w:rsidRPr="0027107E" w:rsidRDefault="000C1656" w:rsidP="000C1656">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r:id="rId3" w:history="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8">
    <w:p w14:paraId="6DC46718" w14:textId="77777777" w:rsidR="000C1656" w:rsidRPr="0027107E" w:rsidRDefault="000C1656" w:rsidP="000C1656">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9">
    <w:p w14:paraId="22B3E401" w14:textId="77777777" w:rsidR="000C1656" w:rsidRPr="00224A89" w:rsidRDefault="000C1656" w:rsidP="000C1656">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Concepto de 28 de Junio de 2016. Radicación: 2253. C.P. Álvaro Namén Vargas. </w:t>
      </w:r>
    </w:p>
  </w:footnote>
  <w:footnote w:id="10">
    <w:p w14:paraId="6A3EBD92" w14:textId="77777777" w:rsidR="000C1656" w:rsidRPr="00224A89" w:rsidRDefault="000C1656" w:rsidP="000C1656">
      <w:pPr>
        <w:pStyle w:val="Textonotapie"/>
        <w:ind w:firstLine="708"/>
        <w:jc w:val="both"/>
        <w:rPr>
          <w:rFonts w:ascii="Verdana" w:hAnsi="Verdana"/>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w:t>
      </w:r>
      <w:r w:rsidRPr="00224A89">
        <w:rPr>
          <w:rFonts w:ascii="Verdana" w:hAnsi="Verdana" w:cs="Arial"/>
          <w:color w:val="000000"/>
          <w:sz w:val="16"/>
          <w:szCs w:val="16"/>
          <w:lang w:val="es-CO"/>
        </w:rPr>
        <w:t xml:space="preserve">Sala Plena. Auto del 1 de agosto de 2019. </w:t>
      </w:r>
      <w:r w:rsidRPr="00224A89">
        <w:rPr>
          <w:rFonts w:ascii="Verdana" w:hAnsi="Verdana" w:cs="Arial"/>
          <w:color w:val="000000"/>
          <w:sz w:val="16"/>
          <w:szCs w:val="16"/>
        </w:rPr>
        <w:t xml:space="preserve">Exp. 62009. C.P. Jaime Enrique Rodríguez Navas. </w:t>
      </w:r>
      <w:r w:rsidRPr="00224A89">
        <w:rPr>
          <w:rFonts w:ascii="Verdana" w:hAnsi="Verdana"/>
          <w:color w:val="000000"/>
          <w:sz w:val="16"/>
          <w:szCs w:val="16"/>
          <w:lang w:val="es-ES"/>
        </w:rPr>
        <w:t xml:space="preserve"> </w:t>
      </w:r>
    </w:p>
  </w:footnote>
  <w:footnote w:id="11">
    <w:p w14:paraId="03FB879F" w14:textId="77777777" w:rsidR="000C1656" w:rsidRPr="00224A89" w:rsidRDefault="000C1656" w:rsidP="000C1656">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DÍAZ DÍEZ, La liquidación… Op. cit., pp. 255-256.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773792879">
    <w:abstractNumId w:val="9"/>
  </w:num>
  <w:num w:numId="17" w16cid:durableId="1867480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656"/>
    <w:rsid w:val="000D0334"/>
    <w:rsid w:val="000D5DA7"/>
    <w:rsid w:val="000F6486"/>
    <w:rsid w:val="00116940"/>
    <w:rsid w:val="00125105"/>
    <w:rsid w:val="00127233"/>
    <w:rsid w:val="0015699B"/>
    <w:rsid w:val="001A33BF"/>
    <w:rsid w:val="001E4177"/>
    <w:rsid w:val="001F0B24"/>
    <w:rsid w:val="001F7DC6"/>
    <w:rsid w:val="0020207D"/>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34EB"/>
    <w:rsid w:val="003A779E"/>
    <w:rsid w:val="003D0F4D"/>
    <w:rsid w:val="003D5B0D"/>
    <w:rsid w:val="003E0499"/>
    <w:rsid w:val="003E4F80"/>
    <w:rsid w:val="003E6439"/>
    <w:rsid w:val="003F3941"/>
    <w:rsid w:val="00406575"/>
    <w:rsid w:val="00414C74"/>
    <w:rsid w:val="0042722E"/>
    <w:rsid w:val="0044528D"/>
    <w:rsid w:val="00466E39"/>
    <w:rsid w:val="004910C1"/>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E75E2"/>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40AC"/>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7C14"/>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C165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C165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liquidacion_procesos.pdf"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z.amaya@mindefens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ceficiente.sharepoint.com/sites/SGDEA/TRD_254/EXPEDIENTE_1668/DOCUMENTO_407171/DOCUMENTO_407171.docx" TargetMode="External"/><Relationship Id="rId2" Type="http://schemas.openxmlformats.org/officeDocument/2006/relationships/hyperlink" Target="https://www.colombiacompra.gov.co/sites/cce_public/files/cce_documents%20/cce_guia_liquidacion_proceso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88A263-8FC3-460A-ADC8-A015AF7B28C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7083</Words>
  <Characters>38961</Characters>
  <Application>Microsoft Office Word</Application>
  <DocSecurity>0</DocSecurity>
  <Lines>324</Lines>
  <Paragraphs>91</Paragraphs>
  <ScaleCrop>false</ScaleCrop>
  <Company/>
  <LinksUpToDate>false</LinksUpToDate>
  <CharactersWithSpaces>45953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2026-10-21T10:07:00Z</dcterms:created>
  <dcterms:modified xsi:type="dcterms:W3CDTF">2026-10-21T10:12:00Z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