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957CD" w14:textId="77777777" w:rsidR="00455F2B" w:rsidRPr="00FC6043" w:rsidRDefault="00455F2B" w:rsidP="00455F2B">
      <w:pPr>
        <w:jc w:val="both"/>
        <w:rPr>
          <w:rFonts w:ascii="Verdana" w:eastAsia="Calibri" w:hAnsi="Verdana" w:cs="Arial"/>
          <w:b/>
          <w:bCs/>
          <w:lang w:val="es-ES" w:eastAsia="es-ES"/>
        </w:rPr>
      </w:pPr>
      <w:bookmarkStart w:id="0" w:name="_Hlk143780582"/>
      <w:r w:rsidRPr="00FC6043">
        <w:rPr>
          <w:rFonts w:ascii="Verdana" w:eastAsia="Calibri" w:hAnsi="Verdana" w:cs="Arial"/>
          <w:b/>
          <w:bCs/>
          <w:lang w:val="es-ES" w:eastAsia="es-ES"/>
        </w:rPr>
        <w:t xml:space="preserve">RUP- Alcance – plena prueba </w:t>
      </w:r>
    </w:p>
    <w:p w14:paraId="1AE9FE8F" w14:textId="77777777" w:rsidR="00455F2B" w:rsidRDefault="00455F2B" w:rsidP="00455F2B">
      <w:pPr>
        <w:jc w:val="both"/>
        <w:rPr>
          <w:rFonts w:ascii="Verdana" w:hAnsi="Verdana" w:cs="Arial"/>
          <w:sz w:val="20"/>
          <w:szCs w:val="20"/>
        </w:rPr>
      </w:pPr>
      <w:r w:rsidRPr="00C52870">
        <w:rPr>
          <w:rFonts w:ascii="Verdana" w:hAnsi="Verdana" w:cs="Arial"/>
          <w:sz w:val="20"/>
          <w:szCs w:val="20"/>
        </w:rPr>
        <w:t xml:space="preserve">El Registro Único de Proponentes - en adelante RUP - es un instrumento de acreditación de los requisitos habilitantes en los procesos de selección que adelanta el Estado (salvo las excepciones contenidas en el artículo 6 inciso segundo de la Ley 1150 de 2007). Este registro resulta ser un instrumento en el que consta la información relacionada con las personas naturales y jurídicas y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 </w:t>
      </w:r>
    </w:p>
    <w:p w14:paraId="1DD77870" w14:textId="77777777" w:rsidR="00455F2B" w:rsidRDefault="00455F2B" w:rsidP="00455F2B">
      <w:pPr>
        <w:jc w:val="both"/>
        <w:rPr>
          <w:rFonts w:ascii="Verdana" w:hAnsi="Verdana" w:cs="Arial"/>
          <w:sz w:val="20"/>
          <w:szCs w:val="20"/>
        </w:rPr>
      </w:pPr>
      <w:r>
        <w:rPr>
          <w:rFonts w:ascii="Verdana" w:hAnsi="Verdana" w:cs="Arial"/>
          <w:sz w:val="20"/>
          <w:szCs w:val="20"/>
        </w:rPr>
        <w:t xml:space="preserve">[…] </w:t>
      </w:r>
    </w:p>
    <w:p w14:paraId="6E3414E9" w14:textId="77777777" w:rsidR="00455F2B" w:rsidRDefault="00455F2B" w:rsidP="00455F2B">
      <w:pPr>
        <w:jc w:val="both"/>
        <w:rPr>
          <w:rFonts w:ascii="Verdana" w:hAnsi="Verdana" w:cs="Arial"/>
          <w:sz w:val="20"/>
          <w:szCs w:val="20"/>
        </w:rPr>
      </w:pPr>
      <w:r w:rsidRPr="00C52870">
        <w:rPr>
          <w:rFonts w:ascii="Verdana" w:hAnsi="Verdana" w:cs="Arial"/>
          <w:sz w:val="20"/>
          <w:szCs w:val="20"/>
        </w:rPr>
        <w:t>El artículo 6.1 de la Ley 1150 de 2007 dispone que el RUP es plena prueba de la información que contiene</w:t>
      </w:r>
      <w:r>
        <w:rPr>
          <w:rFonts w:ascii="Verdana" w:hAnsi="Verdana" w:cs="Arial"/>
          <w:sz w:val="20"/>
          <w:szCs w:val="20"/>
        </w:rPr>
        <w:t>.</w:t>
      </w:r>
    </w:p>
    <w:p w14:paraId="5F131FA3" w14:textId="77777777" w:rsidR="00455F2B" w:rsidRDefault="00455F2B" w:rsidP="00455F2B">
      <w:pPr>
        <w:jc w:val="both"/>
        <w:rPr>
          <w:rFonts w:ascii="Verdana" w:eastAsia="Calibri" w:hAnsi="Verdana" w:cs="Arial"/>
          <w:b/>
          <w:bCs/>
          <w:lang w:val="es-ES" w:eastAsia="es-ES"/>
        </w:rPr>
      </w:pPr>
      <w:r w:rsidRPr="00C52870">
        <w:rPr>
          <w:rFonts w:ascii="Verdana" w:eastAsia="Calibri" w:hAnsi="Verdana" w:cs="Arial"/>
          <w:b/>
          <w:bCs/>
          <w:lang w:val="es-ES" w:eastAsia="es-ES"/>
        </w:rPr>
        <w:t xml:space="preserve">RUP – Firmeza </w:t>
      </w:r>
    </w:p>
    <w:p w14:paraId="7BB186C1" w14:textId="77777777" w:rsidR="00455F2B" w:rsidRPr="00975F8A" w:rsidRDefault="00455F2B" w:rsidP="00455F2B">
      <w:pPr>
        <w:widowControl w:val="0"/>
        <w:autoSpaceDE w:val="0"/>
        <w:autoSpaceDN w:val="0"/>
        <w:jc w:val="both"/>
        <w:rPr>
          <w:rFonts w:ascii="Verdana" w:eastAsia="Arial" w:hAnsi="Verdana" w:cs="Arial"/>
          <w:b/>
          <w:sz w:val="20"/>
          <w:szCs w:val="20"/>
          <w:lang w:val="es-ES"/>
        </w:rPr>
      </w:pPr>
      <w:r w:rsidRPr="00975F8A">
        <w:rPr>
          <w:rFonts w:ascii="Verdana" w:hAnsi="Verdana" w:cs="Arial"/>
          <w:sz w:val="20"/>
          <w:szCs w:val="20"/>
        </w:rPr>
        <w:t>[…] en relación con la firmeza del RUP, debe señalarse que, en concordancia</w:t>
      </w:r>
      <w:r w:rsidRPr="00975F8A">
        <w:rPr>
          <w:rFonts w:ascii="Verdana" w:hAnsi="Verdana" w:cs="Arial"/>
          <w:spacing w:val="-4"/>
          <w:sz w:val="20"/>
          <w:szCs w:val="20"/>
        </w:rPr>
        <w:t xml:space="preserve"> </w:t>
      </w:r>
      <w:r w:rsidRPr="00975F8A">
        <w:rPr>
          <w:rFonts w:ascii="Verdana" w:hAnsi="Verdana" w:cs="Arial"/>
          <w:sz w:val="20"/>
          <w:szCs w:val="20"/>
        </w:rPr>
        <w:t>con</w:t>
      </w:r>
      <w:r w:rsidRPr="00975F8A">
        <w:rPr>
          <w:rFonts w:ascii="Verdana" w:hAnsi="Verdana" w:cs="Arial"/>
          <w:spacing w:val="-5"/>
          <w:sz w:val="20"/>
          <w:szCs w:val="20"/>
        </w:rPr>
        <w:t xml:space="preserve"> </w:t>
      </w:r>
      <w:r w:rsidRPr="00975F8A">
        <w:rPr>
          <w:rFonts w:ascii="Verdana" w:hAnsi="Verdana" w:cs="Arial"/>
          <w:sz w:val="20"/>
          <w:szCs w:val="20"/>
        </w:rPr>
        <w:t>lo</w:t>
      </w:r>
      <w:r w:rsidRPr="00975F8A">
        <w:rPr>
          <w:rFonts w:ascii="Verdana" w:hAnsi="Verdana" w:cs="Arial"/>
          <w:spacing w:val="-4"/>
          <w:sz w:val="20"/>
          <w:szCs w:val="20"/>
        </w:rPr>
        <w:t xml:space="preserve"> </w:t>
      </w:r>
      <w:r w:rsidRPr="00975F8A">
        <w:rPr>
          <w:rFonts w:ascii="Verdana" w:hAnsi="Verdana" w:cs="Arial"/>
          <w:sz w:val="20"/>
          <w:szCs w:val="20"/>
        </w:rPr>
        <w:t>establecido</w:t>
      </w:r>
      <w:r w:rsidRPr="00975F8A">
        <w:rPr>
          <w:rFonts w:ascii="Verdana" w:hAnsi="Verdana" w:cs="Arial"/>
          <w:spacing w:val="-4"/>
          <w:sz w:val="20"/>
          <w:szCs w:val="20"/>
        </w:rPr>
        <w:t xml:space="preserve"> </w:t>
      </w:r>
      <w:r w:rsidRPr="00975F8A">
        <w:rPr>
          <w:rFonts w:ascii="Verdana" w:hAnsi="Verdana" w:cs="Arial"/>
          <w:sz w:val="20"/>
          <w:szCs w:val="20"/>
        </w:rPr>
        <w:t>en</w:t>
      </w:r>
      <w:r w:rsidRPr="00975F8A">
        <w:rPr>
          <w:rFonts w:ascii="Verdana" w:hAnsi="Verdana" w:cs="Arial"/>
          <w:spacing w:val="-5"/>
          <w:sz w:val="20"/>
          <w:szCs w:val="20"/>
        </w:rPr>
        <w:t xml:space="preserve"> </w:t>
      </w:r>
      <w:r w:rsidRPr="00975F8A">
        <w:rPr>
          <w:rFonts w:ascii="Verdana" w:hAnsi="Verdana" w:cs="Arial"/>
          <w:sz w:val="20"/>
          <w:szCs w:val="20"/>
        </w:rPr>
        <w:t>el</w:t>
      </w:r>
      <w:r w:rsidRPr="00975F8A">
        <w:rPr>
          <w:rFonts w:ascii="Verdana" w:hAnsi="Verdana" w:cs="Arial"/>
          <w:spacing w:val="-4"/>
          <w:sz w:val="20"/>
          <w:szCs w:val="20"/>
        </w:rPr>
        <w:t xml:space="preserve"> </w:t>
      </w:r>
      <w:r w:rsidRPr="00975F8A">
        <w:rPr>
          <w:rFonts w:ascii="Verdana" w:hAnsi="Verdana" w:cs="Arial"/>
          <w:sz w:val="20"/>
          <w:szCs w:val="20"/>
        </w:rPr>
        <w:t>numeral</w:t>
      </w:r>
      <w:r w:rsidRPr="00975F8A">
        <w:rPr>
          <w:rFonts w:ascii="Verdana" w:hAnsi="Verdana" w:cs="Arial"/>
          <w:spacing w:val="-4"/>
          <w:sz w:val="20"/>
          <w:szCs w:val="20"/>
        </w:rPr>
        <w:t xml:space="preserve"> </w:t>
      </w:r>
      <w:r w:rsidRPr="00975F8A">
        <w:rPr>
          <w:rFonts w:ascii="Verdana" w:hAnsi="Verdana" w:cs="Arial"/>
          <w:sz w:val="20"/>
          <w:szCs w:val="20"/>
        </w:rPr>
        <w:t>6.3</w:t>
      </w:r>
      <w:r w:rsidRPr="00975F8A">
        <w:rPr>
          <w:rFonts w:ascii="Verdana" w:hAnsi="Verdana" w:cs="Arial"/>
          <w:spacing w:val="-5"/>
          <w:sz w:val="20"/>
          <w:szCs w:val="20"/>
        </w:rPr>
        <w:t xml:space="preserve"> </w:t>
      </w:r>
      <w:r w:rsidRPr="00975F8A">
        <w:rPr>
          <w:rFonts w:ascii="Verdana" w:hAnsi="Verdana" w:cs="Arial"/>
          <w:sz w:val="20"/>
          <w:szCs w:val="20"/>
        </w:rPr>
        <w:t>de</w:t>
      </w:r>
      <w:r w:rsidRPr="00975F8A">
        <w:rPr>
          <w:rFonts w:ascii="Verdana" w:hAnsi="Verdana" w:cs="Arial"/>
          <w:spacing w:val="-4"/>
          <w:sz w:val="20"/>
          <w:szCs w:val="20"/>
        </w:rPr>
        <w:t xml:space="preserve"> </w:t>
      </w:r>
      <w:r w:rsidRPr="00975F8A">
        <w:rPr>
          <w:rFonts w:ascii="Verdana" w:hAnsi="Verdana" w:cs="Arial"/>
          <w:sz w:val="20"/>
          <w:szCs w:val="20"/>
        </w:rPr>
        <w:t>la</w:t>
      </w:r>
      <w:r w:rsidRPr="00975F8A">
        <w:rPr>
          <w:rFonts w:ascii="Verdana" w:hAnsi="Verdana" w:cs="Arial"/>
          <w:spacing w:val="-4"/>
          <w:sz w:val="20"/>
          <w:szCs w:val="20"/>
        </w:rPr>
        <w:t xml:space="preserve"> </w:t>
      </w:r>
      <w:r w:rsidRPr="00975F8A">
        <w:rPr>
          <w:rFonts w:ascii="Verdana" w:hAnsi="Verdana" w:cs="Arial"/>
          <w:sz w:val="20"/>
          <w:szCs w:val="20"/>
        </w:rPr>
        <w:t>Ley</w:t>
      </w:r>
      <w:r w:rsidRPr="00975F8A">
        <w:rPr>
          <w:rFonts w:ascii="Verdana" w:hAnsi="Verdana" w:cs="Arial"/>
          <w:spacing w:val="-4"/>
          <w:sz w:val="20"/>
          <w:szCs w:val="20"/>
        </w:rPr>
        <w:t xml:space="preserve"> </w:t>
      </w:r>
      <w:r w:rsidRPr="00975F8A">
        <w:rPr>
          <w:rFonts w:ascii="Verdana" w:hAnsi="Verdana" w:cs="Arial"/>
          <w:sz w:val="20"/>
          <w:szCs w:val="20"/>
        </w:rPr>
        <w:t>1150</w:t>
      </w:r>
      <w:r w:rsidRPr="00975F8A">
        <w:rPr>
          <w:rFonts w:ascii="Verdana" w:hAnsi="Verdana" w:cs="Arial"/>
          <w:spacing w:val="-5"/>
          <w:sz w:val="20"/>
          <w:szCs w:val="20"/>
        </w:rPr>
        <w:t xml:space="preserve"> </w:t>
      </w:r>
      <w:r w:rsidRPr="00975F8A">
        <w:rPr>
          <w:rFonts w:ascii="Verdana" w:hAnsi="Verdana" w:cs="Arial"/>
          <w:sz w:val="20"/>
          <w:szCs w:val="20"/>
        </w:rPr>
        <w:t>de</w:t>
      </w:r>
      <w:r w:rsidRPr="00975F8A">
        <w:rPr>
          <w:rFonts w:ascii="Verdana" w:hAnsi="Verdana" w:cs="Arial"/>
          <w:spacing w:val="-4"/>
          <w:sz w:val="20"/>
          <w:szCs w:val="20"/>
        </w:rPr>
        <w:t xml:space="preserve"> </w:t>
      </w:r>
      <w:r w:rsidRPr="00975F8A">
        <w:rPr>
          <w:rFonts w:ascii="Verdana" w:hAnsi="Verdana" w:cs="Arial"/>
          <w:sz w:val="20"/>
          <w:szCs w:val="20"/>
        </w:rPr>
        <w:t>2007, la cámara de comercio, verificada la información aportada por el proponente, publicará el acto de inscripción del RUP. Contra dicho acto cualquier</w:t>
      </w:r>
      <w:r w:rsidRPr="00975F8A">
        <w:rPr>
          <w:rFonts w:ascii="Verdana" w:hAnsi="Verdana" w:cs="Arial"/>
          <w:spacing w:val="1"/>
          <w:sz w:val="20"/>
          <w:szCs w:val="20"/>
        </w:rPr>
        <w:t xml:space="preserve"> </w:t>
      </w:r>
      <w:r w:rsidRPr="00975F8A">
        <w:rPr>
          <w:rFonts w:ascii="Verdana" w:hAnsi="Verdana" w:cs="Arial"/>
          <w:sz w:val="20"/>
          <w:szCs w:val="20"/>
        </w:rPr>
        <w:t>persona podrá interponer recurso de reposición dentro de los diez (10) días hábiles</w:t>
      </w:r>
      <w:r w:rsidRPr="00975F8A">
        <w:rPr>
          <w:rFonts w:ascii="Verdana" w:hAnsi="Verdana" w:cs="Arial"/>
          <w:spacing w:val="1"/>
          <w:sz w:val="20"/>
          <w:szCs w:val="20"/>
        </w:rPr>
        <w:t xml:space="preserve"> </w:t>
      </w:r>
      <w:r w:rsidRPr="00975F8A">
        <w:rPr>
          <w:rFonts w:ascii="Verdana" w:hAnsi="Verdana" w:cs="Arial"/>
          <w:sz w:val="20"/>
          <w:szCs w:val="20"/>
        </w:rPr>
        <w:t>siguientes</w:t>
      </w:r>
      <w:r w:rsidRPr="00975F8A">
        <w:rPr>
          <w:rFonts w:ascii="Verdana" w:hAnsi="Verdana" w:cs="Arial"/>
          <w:spacing w:val="1"/>
          <w:sz w:val="20"/>
          <w:szCs w:val="20"/>
        </w:rPr>
        <w:t xml:space="preserve"> </w:t>
      </w:r>
      <w:r w:rsidRPr="00975F8A">
        <w:rPr>
          <w:rFonts w:ascii="Verdana" w:hAnsi="Verdana" w:cs="Arial"/>
          <w:sz w:val="20"/>
          <w:szCs w:val="20"/>
        </w:rPr>
        <w:t>contados</w:t>
      </w:r>
      <w:r w:rsidRPr="00975F8A">
        <w:rPr>
          <w:rFonts w:ascii="Verdana" w:hAnsi="Verdana" w:cs="Arial"/>
          <w:spacing w:val="1"/>
          <w:sz w:val="20"/>
          <w:szCs w:val="20"/>
        </w:rPr>
        <w:t xml:space="preserve"> </w:t>
      </w:r>
      <w:r w:rsidRPr="00975F8A">
        <w:rPr>
          <w:rFonts w:ascii="Verdana" w:hAnsi="Verdana" w:cs="Arial"/>
          <w:sz w:val="20"/>
          <w:szCs w:val="20"/>
        </w:rPr>
        <w:t>a</w:t>
      </w:r>
      <w:r w:rsidRPr="00975F8A">
        <w:rPr>
          <w:rFonts w:ascii="Verdana" w:hAnsi="Verdana" w:cs="Arial"/>
          <w:spacing w:val="1"/>
          <w:sz w:val="20"/>
          <w:szCs w:val="20"/>
        </w:rPr>
        <w:t xml:space="preserve"> </w:t>
      </w:r>
      <w:r w:rsidRPr="00975F8A">
        <w:rPr>
          <w:rFonts w:ascii="Verdana" w:hAnsi="Verdana" w:cs="Arial"/>
          <w:sz w:val="20"/>
          <w:szCs w:val="20"/>
        </w:rPr>
        <w:t>partir</w:t>
      </w:r>
      <w:r w:rsidRPr="00975F8A">
        <w:rPr>
          <w:rFonts w:ascii="Verdana" w:hAnsi="Verdana" w:cs="Arial"/>
          <w:spacing w:val="1"/>
          <w:sz w:val="20"/>
          <w:szCs w:val="20"/>
        </w:rPr>
        <w:t xml:space="preserve"> </w:t>
      </w:r>
      <w:r w:rsidRPr="00975F8A">
        <w:rPr>
          <w:rFonts w:ascii="Verdana" w:hAnsi="Verdana" w:cs="Arial"/>
          <w:sz w:val="20"/>
          <w:szCs w:val="20"/>
        </w:rPr>
        <w:t>de</w:t>
      </w:r>
      <w:r w:rsidRPr="00975F8A">
        <w:rPr>
          <w:rFonts w:ascii="Verdana" w:hAnsi="Verdana" w:cs="Arial"/>
          <w:spacing w:val="1"/>
          <w:sz w:val="20"/>
          <w:szCs w:val="20"/>
        </w:rPr>
        <w:t xml:space="preserve"> </w:t>
      </w:r>
      <w:r w:rsidRPr="00975F8A">
        <w:rPr>
          <w:rFonts w:ascii="Verdana" w:hAnsi="Verdana" w:cs="Arial"/>
          <w:sz w:val="20"/>
          <w:szCs w:val="20"/>
        </w:rPr>
        <w:t>su</w:t>
      </w:r>
      <w:r w:rsidRPr="00975F8A">
        <w:rPr>
          <w:rFonts w:ascii="Verdana" w:hAnsi="Verdana" w:cs="Arial"/>
          <w:spacing w:val="1"/>
          <w:sz w:val="20"/>
          <w:szCs w:val="20"/>
        </w:rPr>
        <w:t xml:space="preserve"> </w:t>
      </w:r>
      <w:r w:rsidRPr="00975F8A">
        <w:rPr>
          <w:rFonts w:ascii="Verdana" w:hAnsi="Verdana" w:cs="Arial"/>
          <w:sz w:val="20"/>
          <w:szCs w:val="20"/>
        </w:rPr>
        <w:t>publicación</w:t>
      </w:r>
      <w:r w:rsidRPr="00975F8A">
        <w:rPr>
          <w:rFonts w:ascii="Verdana" w:hAnsi="Verdana" w:cs="Arial"/>
          <w:spacing w:val="1"/>
          <w:sz w:val="20"/>
          <w:szCs w:val="20"/>
        </w:rPr>
        <w:t xml:space="preserve"> </w:t>
      </w:r>
      <w:r w:rsidRPr="00975F8A">
        <w:rPr>
          <w:rFonts w:ascii="Verdana" w:hAnsi="Verdana" w:cs="Arial"/>
          <w:sz w:val="20"/>
          <w:szCs w:val="20"/>
        </w:rPr>
        <w:t>–posibilidad</w:t>
      </w:r>
      <w:r w:rsidRPr="00975F8A">
        <w:rPr>
          <w:rFonts w:ascii="Verdana" w:hAnsi="Verdana" w:cs="Arial"/>
          <w:spacing w:val="1"/>
          <w:sz w:val="20"/>
          <w:szCs w:val="20"/>
        </w:rPr>
        <w:t xml:space="preserve"> </w:t>
      </w:r>
      <w:r w:rsidRPr="00975F8A">
        <w:rPr>
          <w:rFonts w:ascii="Verdana" w:hAnsi="Verdana" w:cs="Arial"/>
          <w:sz w:val="20"/>
          <w:szCs w:val="20"/>
        </w:rPr>
        <w:t>aplicable</w:t>
      </w:r>
      <w:r w:rsidRPr="00975F8A">
        <w:rPr>
          <w:rFonts w:ascii="Verdana" w:hAnsi="Verdana" w:cs="Arial"/>
          <w:spacing w:val="1"/>
          <w:sz w:val="20"/>
          <w:szCs w:val="20"/>
        </w:rPr>
        <w:t xml:space="preserve"> </w:t>
      </w:r>
      <w:r w:rsidRPr="00975F8A">
        <w:rPr>
          <w:rFonts w:ascii="Verdana" w:hAnsi="Verdana" w:cs="Arial"/>
          <w:sz w:val="20"/>
          <w:szCs w:val="20"/>
        </w:rPr>
        <w:t>frente</w:t>
      </w:r>
      <w:r w:rsidRPr="00975F8A">
        <w:rPr>
          <w:rFonts w:ascii="Verdana" w:hAnsi="Verdana" w:cs="Arial"/>
          <w:spacing w:val="1"/>
          <w:sz w:val="20"/>
          <w:szCs w:val="20"/>
        </w:rPr>
        <w:t xml:space="preserve"> </w:t>
      </w:r>
      <w:r w:rsidRPr="00975F8A">
        <w:rPr>
          <w:rFonts w:ascii="Verdana" w:hAnsi="Verdana" w:cs="Arial"/>
          <w:sz w:val="20"/>
          <w:szCs w:val="20"/>
        </w:rPr>
        <w:t>a</w:t>
      </w:r>
      <w:r w:rsidRPr="00975F8A">
        <w:rPr>
          <w:rFonts w:ascii="Verdana" w:hAnsi="Verdana" w:cs="Arial"/>
          <w:spacing w:val="1"/>
          <w:sz w:val="20"/>
          <w:szCs w:val="20"/>
        </w:rPr>
        <w:t xml:space="preserve"> </w:t>
      </w:r>
      <w:r w:rsidRPr="00975F8A">
        <w:rPr>
          <w:rFonts w:ascii="Verdana" w:hAnsi="Verdana" w:cs="Arial"/>
          <w:sz w:val="20"/>
          <w:szCs w:val="20"/>
        </w:rPr>
        <w:t>la</w:t>
      </w:r>
      <w:r w:rsidRPr="00975F8A">
        <w:rPr>
          <w:rFonts w:ascii="Verdana" w:hAnsi="Verdana" w:cs="Arial"/>
          <w:spacing w:val="1"/>
          <w:sz w:val="20"/>
          <w:szCs w:val="20"/>
        </w:rPr>
        <w:t xml:space="preserve"> </w:t>
      </w:r>
      <w:r w:rsidRPr="00975F8A">
        <w:rPr>
          <w:rFonts w:ascii="Verdana" w:hAnsi="Verdana" w:cs="Arial"/>
          <w:i/>
          <w:sz w:val="20"/>
          <w:szCs w:val="20"/>
        </w:rPr>
        <w:t>inscripción, renovación o actualización–</w:t>
      </w:r>
      <w:r w:rsidRPr="00975F8A">
        <w:rPr>
          <w:rFonts w:ascii="Verdana" w:hAnsi="Verdana" w:cs="Arial"/>
          <w:sz w:val="20"/>
          <w:szCs w:val="20"/>
        </w:rPr>
        <w:t>. En firme el acto administrativo que realiza la</w:t>
      </w:r>
      <w:r w:rsidRPr="00975F8A">
        <w:rPr>
          <w:rFonts w:ascii="Verdana" w:hAnsi="Verdana" w:cs="Arial"/>
          <w:spacing w:val="1"/>
          <w:sz w:val="20"/>
          <w:szCs w:val="20"/>
        </w:rPr>
        <w:t xml:space="preserve"> </w:t>
      </w:r>
      <w:r w:rsidRPr="00975F8A">
        <w:rPr>
          <w:rFonts w:ascii="Verdana" w:hAnsi="Verdana" w:cs="Arial"/>
          <w:sz w:val="20"/>
          <w:szCs w:val="20"/>
        </w:rPr>
        <w:t>inscripción</w:t>
      </w:r>
      <w:r w:rsidRPr="00975F8A">
        <w:rPr>
          <w:rFonts w:ascii="Verdana" w:hAnsi="Verdana" w:cs="Arial"/>
          <w:spacing w:val="-8"/>
          <w:sz w:val="20"/>
          <w:szCs w:val="20"/>
        </w:rPr>
        <w:t xml:space="preserve"> </w:t>
      </w:r>
      <w:r w:rsidRPr="00975F8A">
        <w:rPr>
          <w:rFonts w:ascii="Verdana" w:hAnsi="Verdana" w:cs="Arial"/>
          <w:sz w:val="20"/>
          <w:szCs w:val="20"/>
        </w:rPr>
        <w:t>en</w:t>
      </w:r>
      <w:r w:rsidRPr="00975F8A">
        <w:rPr>
          <w:rFonts w:ascii="Verdana" w:hAnsi="Verdana" w:cs="Arial"/>
          <w:spacing w:val="-9"/>
          <w:sz w:val="20"/>
          <w:szCs w:val="20"/>
        </w:rPr>
        <w:t xml:space="preserve"> </w:t>
      </w:r>
      <w:r w:rsidRPr="00975F8A">
        <w:rPr>
          <w:rFonts w:ascii="Verdana" w:hAnsi="Verdana" w:cs="Arial"/>
          <w:sz w:val="20"/>
          <w:szCs w:val="20"/>
        </w:rPr>
        <w:t>el</w:t>
      </w:r>
      <w:r w:rsidRPr="00975F8A">
        <w:rPr>
          <w:rFonts w:ascii="Verdana" w:hAnsi="Verdana" w:cs="Arial"/>
          <w:spacing w:val="-9"/>
          <w:sz w:val="20"/>
          <w:szCs w:val="20"/>
        </w:rPr>
        <w:t xml:space="preserve"> </w:t>
      </w:r>
      <w:r w:rsidRPr="00975F8A">
        <w:rPr>
          <w:rFonts w:ascii="Verdana" w:hAnsi="Verdana" w:cs="Arial"/>
          <w:sz w:val="20"/>
          <w:szCs w:val="20"/>
        </w:rPr>
        <w:t>RUP</w:t>
      </w:r>
      <w:r w:rsidRPr="00975F8A">
        <w:rPr>
          <w:rFonts w:ascii="Verdana" w:hAnsi="Verdana" w:cs="Arial"/>
          <w:spacing w:val="-7"/>
          <w:sz w:val="20"/>
          <w:szCs w:val="20"/>
        </w:rPr>
        <w:t xml:space="preserve"> </w:t>
      </w:r>
      <w:r w:rsidRPr="00975F8A">
        <w:rPr>
          <w:rFonts w:ascii="Verdana" w:hAnsi="Verdana" w:cs="Arial"/>
          <w:sz w:val="20"/>
          <w:szCs w:val="20"/>
        </w:rPr>
        <w:t>se</w:t>
      </w:r>
      <w:r w:rsidRPr="00975F8A">
        <w:rPr>
          <w:rFonts w:ascii="Verdana" w:hAnsi="Verdana" w:cs="Arial"/>
          <w:spacing w:val="-9"/>
          <w:sz w:val="20"/>
          <w:szCs w:val="20"/>
        </w:rPr>
        <w:t xml:space="preserve"> </w:t>
      </w:r>
      <w:r w:rsidRPr="00975F8A">
        <w:rPr>
          <w:rFonts w:ascii="Verdana" w:hAnsi="Verdana" w:cs="Arial"/>
          <w:sz w:val="20"/>
          <w:szCs w:val="20"/>
        </w:rPr>
        <w:t>podrá</w:t>
      </w:r>
      <w:r w:rsidRPr="00975F8A">
        <w:rPr>
          <w:rFonts w:ascii="Verdana" w:hAnsi="Verdana" w:cs="Arial"/>
          <w:spacing w:val="-9"/>
          <w:sz w:val="20"/>
          <w:szCs w:val="20"/>
        </w:rPr>
        <w:t xml:space="preserve"> </w:t>
      </w:r>
      <w:r w:rsidRPr="00975F8A">
        <w:rPr>
          <w:rFonts w:ascii="Verdana" w:hAnsi="Verdana" w:cs="Arial"/>
          <w:sz w:val="20"/>
          <w:szCs w:val="20"/>
        </w:rPr>
        <w:t>demandar</w:t>
      </w:r>
      <w:r w:rsidRPr="00975F8A">
        <w:rPr>
          <w:rFonts w:ascii="Verdana" w:hAnsi="Verdana" w:cs="Arial"/>
          <w:spacing w:val="-9"/>
          <w:sz w:val="20"/>
          <w:szCs w:val="20"/>
        </w:rPr>
        <w:t xml:space="preserve"> </w:t>
      </w:r>
      <w:r w:rsidRPr="00975F8A">
        <w:rPr>
          <w:rFonts w:ascii="Verdana" w:hAnsi="Verdana" w:cs="Arial"/>
          <w:sz w:val="20"/>
          <w:szCs w:val="20"/>
        </w:rPr>
        <w:t>su</w:t>
      </w:r>
      <w:r w:rsidRPr="00975F8A">
        <w:rPr>
          <w:rFonts w:ascii="Verdana" w:hAnsi="Verdana" w:cs="Arial"/>
          <w:spacing w:val="-8"/>
          <w:sz w:val="20"/>
          <w:szCs w:val="20"/>
        </w:rPr>
        <w:t xml:space="preserve"> </w:t>
      </w:r>
      <w:r w:rsidRPr="00975F8A">
        <w:rPr>
          <w:rFonts w:ascii="Verdana" w:hAnsi="Verdana" w:cs="Arial"/>
          <w:sz w:val="20"/>
          <w:szCs w:val="20"/>
        </w:rPr>
        <w:t>nulidad,</w:t>
      </w:r>
      <w:r w:rsidRPr="00975F8A">
        <w:rPr>
          <w:rFonts w:ascii="Verdana" w:hAnsi="Verdana" w:cs="Arial"/>
          <w:spacing w:val="-9"/>
          <w:sz w:val="20"/>
          <w:szCs w:val="20"/>
        </w:rPr>
        <w:t xml:space="preserve"> </w:t>
      </w:r>
      <w:r w:rsidRPr="00975F8A">
        <w:rPr>
          <w:rFonts w:ascii="Verdana" w:hAnsi="Verdana" w:cs="Arial"/>
          <w:sz w:val="20"/>
          <w:szCs w:val="20"/>
        </w:rPr>
        <w:t>sin que la</w:t>
      </w:r>
      <w:r w:rsidRPr="00975F8A">
        <w:rPr>
          <w:rFonts w:ascii="Verdana" w:hAnsi="Verdana" w:cs="Arial"/>
          <w:spacing w:val="-9"/>
          <w:sz w:val="20"/>
          <w:szCs w:val="20"/>
        </w:rPr>
        <w:t xml:space="preserve"> </w:t>
      </w:r>
      <w:r w:rsidRPr="00975F8A">
        <w:rPr>
          <w:rFonts w:ascii="Verdana" w:hAnsi="Verdana" w:cs="Arial"/>
          <w:sz w:val="20"/>
          <w:szCs w:val="20"/>
        </w:rPr>
        <w:t>presentación</w:t>
      </w:r>
      <w:r w:rsidRPr="00975F8A">
        <w:rPr>
          <w:rFonts w:ascii="Verdana" w:hAnsi="Verdana" w:cs="Arial"/>
          <w:spacing w:val="-2"/>
          <w:sz w:val="20"/>
          <w:szCs w:val="20"/>
        </w:rPr>
        <w:t xml:space="preserve"> </w:t>
      </w:r>
      <w:r w:rsidRPr="00975F8A">
        <w:rPr>
          <w:rFonts w:ascii="Verdana" w:hAnsi="Verdana" w:cs="Arial"/>
          <w:sz w:val="20"/>
          <w:szCs w:val="20"/>
        </w:rPr>
        <w:t>de</w:t>
      </w:r>
      <w:r w:rsidRPr="00975F8A">
        <w:rPr>
          <w:rFonts w:ascii="Verdana" w:hAnsi="Verdana" w:cs="Arial"/>
          <w:spacing w:val="-2"/>
          <w:sz w:val="20"/>
          <w:szCs w:val="20"/>
        </w:rPr>
        <w:t xml:space="preserve"> </w:t>
      </w:r>
      <w:r w:rsidRPr="00975F8A">
        <w:rPr>
          <w:rFonts w:ascii="Verdana" w:hAnsi="Verdana" w:cs="Arial"/>
          <w:sz w:val="20"/>
          <w:szCs w:val="20"/>
        </w:rPr>
        <w:t>la</w:t>
      </w:r>
      <w:r w:rsidRPr="00975F8A">
        <w:rPr>
          <w:rFonts w:ascii="Verdana" w:hAnsi="Verdana" w:cs="Arial"/>
          <w:spacing w:val="-2"/>
          <w:sz w:val="20"/>
          <w:szCs w:val="20"/>
        </w:rPr>
        <w:t xml:space="preserve"> </w:t>
      </w:r>
      <w:r w:rsidRPr="00975F8A">
        <w:rPr>
          <w:rFonts w:ascii="Verdana" w:hAnsi="Verdana" w:cs="Arial"/>
          <w:sz w:val="20"/>
          <w:szCs w:val="20"/>
        </w:rPr>
        <w:t>demanda</w:t>
      </w:r>
      <w:r w:rsidRPr="00975F8A">
        <w:rPr>
          <w:rFonts w:ascii="Verdana" w:hAnsi="Verdana" w:cs="Arial"/>
          <w:spacing w:val="-1"/>
          <w:sz w:val="20"/>
          <w:szCs w:val="20"/>
        </w:rPr>
        <w:t xml:space="preserve"> </w:t>
      </w:r>
      <w:r w:rsidRPr="00975F8A">
        <w:rPr>
          <w:rFonts w:ascii="Verdana" w:hAnsi="Verdana" w:cs="Arial"/>
          <w:sz w:val="20"/>
          <w:szCs w:val="20"/>
        </w:rPr>
        <w:t>suspenda</w:t>
      </w:r>
      <w:r w:rsidRPr="00975F8A">
        <w:rPr>
          <w:rFonts w:ascii="Verdana" w:hAnsi="Verdana" w:cs="Arial"/>
          <w:spacing w:val="-2"/>
          <w:sz w:val="20"/>
          <w:szCs w:val="20"/>
        </w:rPr>
        <w:t xml:space="preserve"> </w:t>
      </w:r>
      <w:r w:rsidRPr="00975F8A">
        <w:rPr>
          <w:rFonts w:ascii="Verdana" w:hAnsi="Verdana" w:cs="Arial"/>
          <w:sz w:val="20"/>
          <w:szCs w:val="20"/>
        </w:rPr>
        <w:t>la</w:t>
      </w:r>
      <w:r w:rsidRPr="00975F8A">
        <w:rPr>
          <w:rFonts w:ascii="Verdana" w:hAnsi="Verdana" w:cs="Arial"/>
          <w:spacing w:val="-2"/>
          <w:sz w:val="20"/>
          <w:szCs w:val="20"/>
        </w:rPr>
        <w:t xml:space="preserve"> </w:t>
      </w:r>
      <w:r w:rsidRPr="00975F8A">
        <w:rPr>
          <w:rFonts w:ascii="Verdana" w:hAnsi="Verdana" w:cs="Arial"/>
          <w:sz w:val="20"/>
          <w:szCs w:val="20"/>
        </w:rPr>
        <w:t>inscripción</w:t>
      </w:r>
      <w:r w:rsidRPr="00975F8A">
        <w:rPr>
          <w:rFonts w:ascii="Verdana" w:hAnsi="Verdana" w:cs="Arial"/>
          <w:spacing w:val="-2"/>
          <w:sz w:val="20"/>
          <w:szCs w:val="20"/>
        </w:rPr>
        <w:t xml:space="preserve"> </w:t>
      </w:r>
      <w:r w:rsidRPr="00975F8A">
        <w:rPr>
          <w:rFonts w:ascii="Verdana" w:hAnsi="Verdana" w:cs="Arial"/>
          <w:sz w:val="20"/>
          <w:szCs w:val="20"/>
        </w:rPr>
        <w:t>del registro</w:t>
      </w:r>
      <w:r w:rsidRPr="00975F8A">
        <w:rPr>
          <w:rFonts w:ascii="Verdana" w:eastAsia="Arial" w:hAnsi="Verdana" w:cs="Arial"/>
          <w:b/>
          <w:sz w:val="20"/>
          <w:szCs w:val="20"/>
          <w:lang w:val="es-ES"/>
        </w:rPr>
        <w:t>.</w:t>
      </w:r>
    </w:p>
    <w:p w14:paraId="648B9272" w14:textId="77777777" w:rsidR="00455F2B" w:rsidRDefault="00455F2B" w:rsidP="00455F2B">
      <w:pPr>
        <w:jc w:val="both"/>
        <w:rPr>
          <w:rFonts w:ascii="Verdana" w:eastAsia="Calibri" w:hAnsi="Verdana" w:cs="Arial"/>
          <w:b/>
          <w:bCs/>
          <w:lang w:val="es-ES" w:eastAsia="es-ES"/>
        </w:rPr>
      </w:pPr>
      <w:r w:rsidRPr="00C52870">
        <w:rPr>
          <w:rFonts w:ascii="Verdana" w:eastAsia="Calibri" w:hAnsi="Verdana" w:cs="Arial"/>
          <w:b/>
          <w:bCs/>
          <w:lang w:val="es-ES" w:eastAsia="es-ES"/>
        </w:rPr>
        <w:t xml:space="preserve">RUP – Renovación </w:t>
      </w:r>
    </w:p>
    <w:p w14:paraId="597E14D3" w14:textId="77777777" w:rsidR="00455F2B" w:rsidRDefault="00455F2B" w:rsidP="00455F2B">
      <w:pPr>
        <w:jc w:val="both"/>
        <w:rPr>
          <w:rFonts w:ascii="Verdana" w:hAnsi="Verdana" w:cs="Arial"/>
          <w:sz w:val="20"/>
          <w:szCs w:val="20"/>
        </w:rPr>
      </w:pPr>
      <w:r w:rsidRPr="00975F8A">
        <w:rPr>
          <w:rFonts w:ascii="Verdana" w:hAnsi="Verdana" w:cs="Arial"/>
          <w:sz w:val="20"/>
          <w:szCs w:val="20"/>
        </w:rPr>
        <w:t>Conforme con lo anterior y en armonía con lo señalado en el artículo 2.2.1.1.1.5.1. del Decreto 1082 de 2015, si el proponente no presenta la información para renovar su registro antes del quinto día hábil del mes de abril de cada año –o el quinto día hábil del mes de julio, para el 2020–, cesarán los efectos del RUP. Lo anterior implica que el proponente 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54F1D4B1" w14:textId="77777777" w:rsidR="00455F2B" w:rsidRDefault="00455F2B" w:rsidP="00455F2B">
      <w:pPr>
        <w:jc w:val="both"/>
        <w:rPr>
          <w:rFonts w:ascii="Verdana" w:hAnsi="Verdana" w:cs="Arial"/>
          <w:sz w:val="20"/>
          <w:szCs w:val="20"/>
        </w:rPr>
      </w:pPr>
      <w:r>
        <w:rPr>
          <w:rFonts w:ascii="Verdana" w:hAnsi="Verdana" w:cs="Arial"/>
          <w:sz w:val="20"/>
          <w:szCs w:val="20"/>
        </w:rPr>
        <w:t xml:space="preserve">[…] </w:t>
      </w:r>
    </w:p>
    <w:p w14:paraId="5C7975AC" w14:textId="77777777" w:rsidR="00455F2B" w:rsidRPr="00A760A6" w:rsidRDefault="00455F2B" w:rsidP="00455F2B">
      <w:pPr>
        <w:jc w:val="both"/>
        <w:rPr>
          <w:rFonts w:ascii="Verdana" w:hAnsi="Verdana" w:cs="Arial"/>
          <w:sz w:val="20"/>
          <w:szCs w:val="20"/>
        </w:rPr>
      </w:pPr>
      <w:r w:rsidRPr="00A760A6">
        <w:rPr>
          <w:rFonts w:ascii="Verdana" w:hAnsi="Verdana" w:cs="Arial"/>
          <w:sz w:val="20"/>
          <w:szCs w:val="20"/>
        </w:rPr>
        <w:t xml:space="preserve">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w:t>
      </w:r>
      <w:r w:rsidRPr="00A760A6">
        <w:rPr>
          <w:rFonts w:ascii="Verdana" w:hAnsi="Verdana" w:cs="Arial"/>
          <w:sz w:val="20"/>
          <w:szCs w:val="20"/>
        </w:rPr>
        <w:lastRenderedPageBreak/>
        <w:t>la información del RUP que está en firme antes de iniciar el trámite de renovación, cuyos efectos no han cesado por encontrarse vigente.</w:t>
      </w:r>
    </w:p>
    <w:p w14:paraId="3AA42C7D" w14:textId="77777777" w:rsidR="00455F2B" w:rsidRPr="00975F8A" w:rsidRDefault="00455F2B" w:rsidP="00455F2B">
      <w:pPr>
        <w:jc w:val="both"/>
        <w:rPr>
          <w:rFonts w:ascii="Verdana" w:hAnsi="Verdana" w:cs="Arial"/>
          <w:sz w:val="20"/>
          <w:szCs w:val="20"/>
        </w:rPr>
      </w:pPr>
      <w:r w:rsidRPr="00A760A6">
        <w:rPr>
          <w:rFonts w:ascii="Verdana" w:hAnsi="Verdana" w:cs="Arial"/>
          <w:sz w:val="20"/>
          <w:szCs w:val="20"/>
        </w:rPr>
        <w:t xml:space="preserve">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por lo que al no haber libertad probatoria que permita establecer la forma de acreditar el trámite de renovación, la entidad estatal debe verificar que el documento aportado por el proponente ofrezca certeza sobre el estado </w:t>
      </w:r>
      <w:proofErr w:type="gramStart"/>
      <w:r w:rsidRPr="00A760A6">
        <w:rPr>
          <w:rFonts w:ascii="Verdana" w:hAnsi="Verdana" w:cs="Arial"/>
          <w:sz w:val="20"/>
          <w:szCs w:val="20"/>
        </w:rPr>
        <w:t>del mismo</w:t>
      </w:r>
      <w:proofErr w:type="gramEnd"/>
      <w:r w:rsidRPr="00A760A6">
        <w:rPr>
          <w:rFonts w:ascii="Verdana" w:hAnsi="Verdana" w:cs="Arial"/>
          <w:sz w:val="20"/>
          <w:szCs w:val="20"/>
        </w:rPr>
        <w:t>.</w:t>
      </w:r>
    </w:p>
    <w:p w14:paraId="474B8B8E" w14:textId="77777777" w:rsidR="00455F2B" w:rsidRDefault="00455F2B" w:rsidP="00455F2B">
      <w:pPr>
        <w:jc w:val="both"/>
        <w:rPr>
          <w:rFonts w:ascii="Verdana" w:eastAsia="Calibri" w:hAnsi="Verdana" w:cs="Arial"/>
          <w:b/>
          <w:bCs/>
          <w:lang w:val="es-ES" w:eastAsia="es-ES"/>
        </w:rPr>
      </w:pPr>
      <w:r w:rsidRPr="00C52870">
        <w:rPr>
          <w:rFonts w:ascii="Verdana" w:eastAsia="Calibri" w:hAnsi="Verdana" w:cs="Arial"/>
          <w:b/>
          <w:bCs/>
          <w:lang w:val="es-ES" w:eastAsia="es-ES"/>
        </w:rPr>
        <w:t xml:space="preserve">RUP – Inscripción </w:t>
      </w:r>
    </w:p>
    <w:p w14:paraId="38359FC0" w14:textId="77777777" w:rsidR="00455F2B" w:rsidRPr="0024667E" w:rsidRDefault="00455F2B" w:rsidP="00455F2B">
      <w:pPr>
        <w:jc w:val="both"/>
        <w:rPr>
          <w:rFonts w:ascii="Verdana" w:hAnsi="Verdana" w:cs="Arial"/>
          <w:sz w:val="20"/>
          <w:szCs w:val="20"/>
        </w:rPr>
      </w:pPr>
      <w:r w:rsidRPr="0024667E">
        <w:rPr>
          <w:rFonts w:ascii="Verdana" w:hAnsi="Verdana" w:cs="Arial"/>
          <w:sz w:val="20"/>
          <w:szCs w:val="20"/>
        </w:rPr>
        <w:t xml:space="preserve">En relación con la </w:t>
      </w:r>
      <w:r w:rsidRPr="0024667E">
        <w:rPr>
          <w:rFonts w:ascii="Verdana" w:hAnsi="Verdana" w:cs="Arial"/>
          <w:i/>
          <w:sz w:val="20"/>
          <w:szCs w:val="20"/>
        </w:rPr>
        <w:t>inscripción</w:t>
      </w:r>
      <w:r w:rsidRPr="0024667E">
        <w:rPr>
          <w:rFonts w:ascii="Verdana" w:hAnsi="Verdana" w:cs="Arial"/>
          <w:sz w:val="20"/>
          <w:szCs w:val="20"/>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unido a lo expresado por la Sala de Consulta y Servicio Civil del Consejo de Estado, quien interpretó una norma de igual contenido a la anterior,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p>
    <w:p w14:paraId="7C3E686E" w14:textId="77777777" w:rsidR="00455F2B" w:rsidRPr="0024667E" w:rsidRDefault="00455F2B" w:rsidP="00455F2B">
      <w:pPr>
        <w:jc w:val="both"/>
        <w:rPr>
          <w:rFonts w:ascii="Verdana" w:hAnsi="Verdana" w:cs="Arial"/>
          <w:sz w:val="20"/>
          <w:szCs w:val="20"/>
        </w:rPr>
      </w:pPr>
      <w:r w:rsidRPr="0024667E">
        <w:rPr>
          <w:rFonts w:ascii="Verdana" w:hAnsi="Verdana" w:cs="Arial"/>
          <w:sz w:val="20"/>
          <w:szCs w:val="20"/>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01394272" w14:textId="77777777" w:rsidR="00455F2B" w:rsidRDefault="00455F2B" w:rsidP="00455F2B">
      <w:pPr>
        <w:jc w:val="both"/>
        <w:rPr>
          <w:rFonts w:ascii="Verdana" w:eastAsia="Calibri" w:hAnsi="Verdana" w:cs="Arial"/>
          <w:b/>
          <w:bCs/>
          <w:lang w:val="es-ES" w:eastAsia="es-ES"/>
        </w:rPr>
      </w:pPr>
      <w:r w:rsidRPr="00C52870">
        <w:rPr>
          <w:rFonts w:ascii="Verdana" w:eastAsia="Calibri" w:hAnsi="Verdana" w:cs="Arial"/>
          <w:b/>
          <w:bCs/>
          <w:lang w:val="es-ES" w:eastAsia="es-ES"/>
        </w:rPr>
        <w:t xml:space="preserve">RUP Renovación – Finalidad </w:t>
      </w:r>
    </w:p>
    <w:p w14:paraId="0CB6B3E8" w14:textId="77777777" w:rsidR="00455F2B" w:rsidRPr="0024667E" w:rsidRDefault="00455F2B" w:rsidP="00455F2B">
      <w:pPr>
        <w:jc w:val="both"/>
        <w:rPr>
          <w:rFonts w:ascii="Verdana" w:hAnsi="Verdana" w:cs="Arial"/>
          <w:sz w:val="20"/>
          <w:szCs w:val="20"/>
        </w:rPr>
      </w:pPr>
      <w:r w:rsidRPr="0024667E">
        <w:rPr>
          <w:rFonts w:ascii="Verdana" w:hAnsi="Verdana" w:cs="Arial"/>
          <w:sz w:val="20"/>
          <w:szCs w:val="20"/>
        </w:rPr>
        <w:t xml:space="preserve">Tratándose del trámite de </w:t>
      </w:r>
      <w:r w:rsidRPr="0024667E">
        <w:rPr>
          <w:rFonts w:ascii="Verdana" w:hAnsi="Verdana" w:cs="Arial"/>
          <w:i/>
          <w:sz w:val="20"/>
          <w:szCs w:val="20"/>
        </w:rPr>
        <w:t>renovación</w:t>
      </w:r>
      <w:r w:rsidRPr="0024667E">
        <w:rPr>
          <w:rFonts w:ascii="Verdana" w:hAnsi="Verdana" w:cs="Arial"/>
          <w:sz w:val="20"/>
          <w:szCs w:val="20"/>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lo anterior se desprende que en el período comprendido entre el momento de la solicitud de renovación y el de su firmeza, se debe emplear la </w:t>
      </w:r>
      <w:r w:rsidRPr="0024667E">
        <w:rPr>
          <w:rFonts w:ascii="Verdana" w:hAnsi="Verdana" w:cs="Arial"/>
          <w:sz w:val="20"/>
          <w:szCs w:val="20"/>
        </w:rPr>
        <w:lastRenderedPageBreak/>
        <w:t>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5820905D" w14:textId="77777777" w:rsidR="00455F2B" w:rsidRPr="0024667E" w:rsidRDefault="00455F2B" w:rsidP="00455F2B">
      <w:pPr>
        <w:jc w:val="both"/>
        <w:rPr>
          <w:rFonts w:ascii="Verdana" w:eastAsia="Calibri" w:hAnsi="Verdana" w:cs="Arial"/>
          <w:color w:val="000000"/>
          <w:sz w:val="20"/>
          <w:szCs w:val="20"/>
        </w:rPr>
      </w:pPr>
      <w:r w:rsidRPr="0024667E">
        <w:rPr>
          <w:rFonts w:ascii="Verdana" w:eastAsia="Calibri" w:hAnsi="Verdana" w:cs="Arial"/>
          <w:color w:val="000000"/>
          <w:sz w:val="20"/>
          <w:szCs w:val="20"/>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24667E">
        <w:rPr>
          <w:rFonts w:ascii="Verdana" w:eastAsia="Calibri" w:hAnsi="Verdana" w:cs="Arial"/>
          <w:i/>
          <w:color w:val="000000"/>
          <w:sz w:val="20"/>
          <w:szCs w:val="20"/>
        </w:rPr>
        <w:t>subsanar</w:t>
      </w:r>
      <w:r w:rsidRPr="0024667E">
        <w:rPr>
          <w:rFonts w:ascii="Verdana" w:eastAsia="Calibri" w:hAnsi="Verdana" w:cs="Arial"/>
          <w:color w:val="000000"/>
          <w:sz w:val="20"/>
          <w:szCs w:val="20"/>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En tal sentido, se incurriría en la prohibición anterior si se presentara o acreditara un RUP diferente </w:t>
      </w:r>
      <w:r w:rsidRPr="0024667E">
        <w:rPr>
          <w:rFonts w:ascii="Verdana" w:eastAsia="Calibri" w:hAnsi="Verdana" w:cs="Arial"/>
          <w:i/>
          <w:color w:val="000000"/>
          <w:sz w:val="20"/>
          <w:szCs w:val="20"/>
        </w:rPr>
        <w:t xml:space="preserve">renovado, </w:t>
      </w:r>
      <w:r w:rsidRPr="0024667E">
        <w:rPr>
          <w:rFonts w:ascii="Verdana" w:eastAsia="Calibri" w:hAnsi="Verdana" w:cs="Arial"/>
          <w:color w:val="000000"/>
          <w:sz w:val="20"/>
          <w:szCs w:val="20"/>
        </w:rPr>
        <w:t>que no estaba en firme para el cierre del proceso; independientemente de que este nuevo RUP favorezca o perjudique al interesado.</w:t>
      </w:r>
    </w:p>
    <w:p w14:paraId="744F3741" w14:textId="77777777" w:rsidR="00455F2B" w:rsidRPr="0024667E" w:rsidRDefault="00455F2B" w:rsidP="00455F2B">
      <w:pPr>
        <w:jc w:val="both"/>
        <w:rPr>
          <w:rFonts w:ascii="Verdana" w:hAnsi="Verdana" w:cs="Arial"/>
          <w:sz w:val="20"/>
          <w:szCs w:val="20"/>
        </w:rPr>
      </w:pPr>
      <w:r w:rsidRPr="0024667E">
        <w:rPr>
          <w:rFonts w:ascii="Verdana" w:hAnsi="Verdana" w:cs="Arial"/>
          <w:sz w:val="20"/>
          <w:szCs w:val="20"/>
        </w:rPr>
        <w:t xml:space="preserve">Ahora bien, el deber de renovación, para impedir que el RUP deje de producir efectos consiste en “presentar la información para renovar su registro antes del quinto día hábil del mes de abril de cada año”.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w:t>
      </w:r>
    </w:p>
    <w:p w14:paraId="1E07BDB0" w14:textId="77777777" w:rsidR="00455F2B" w:rsidRPr="00B310DA" w:rsidRDefault="00455F2B" w:rsidP="00455F2B">
      <w:pPr>
        <w:spacing w:after="0"/>
        <w:jc w:val="both"/>
        <w:rPr>
          <w:rFonts w:ascii="Verdana" w:eastAsia="Calibri" w:hAnsi="Verdana" w:cs="Times New Roman"/>
          <w:b/>
          <w:bCs/>
          <w:lang w:val="es-ES"/>
        </w:rPr>
      </w:pPr>
      <w:r w:rsidRPr="00B310DA">
        <w:rPr>
          <w:rFonts w:ascii="Verdana" w:eastAsia="Calibri" w:hAnsi="Verdana" w:cs="Times New Roman"/>
          <w:b/>
          <w:bCs/>
          <w:lang w:val="es-ES"/>
        </w:rPr>
        <w:t>DOCUMENTOS TIPO – Inalterabilidad – Alcance</w:t>
      </w:r>
    </w:p>
    <w:p w14:paraId="2A04D331" w14:textId="77777777" w:rsidR="00455F2B" w:rsidRPr="00B310DA" w:rsidRDefault="00455F2B" w:rsidP="00455F2B">
      <w:pPr>
        <w:spacing w:after="0" w:line="240" w:lineRule="auto"/>
        <w:jc w:val="both"/>
        <w:rPr>
          <w:rFonts w:ascii="Verdana" w:eastAsia="Calibri" w:hAnsi="Verdana" w:cs="Times New Roman"/>
          <w:b/>
          <w:bCs/>
          <w:lang w:val="es-ES"/>
        </w:rPr>
      </w:pPr>
    </w:p>
    <w:p w14:paraId="1626D8DE" w14:textId="77777777" w:rsidR="00455F2B" w:rsidRPr="00B310DA" w:rsidRDefault="00455F2B" w:rsidP="00455F2B">
      <w:pPr>
        <w:tabs>
          <w:tab w:val="center" w:pos="4419"/>
          <w:tab w:val="right" w:pos="8838"/>
        </w:tabs>
        <w:spacing w:after="0" w:line="240" w:lineRule="auto"/>
        <w:jc w:val="both"/>
        <w:rPr>
          <w:rFonts w:ascii="Verdana" w:eastAsia="Calibri" w:hAnsi="Verdana" w:cs="Arial"/>
          <w:color w:val="000000"/>
          <w:sz w:val="20"/>
          <w:szCs w:val="20"/>
          <w:lang w:val="es-ES"/>
        </w:rPr>
      </w:pPr>
      <w:r w:rsidRPr="00B310DA">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B310DA">
        <w:rPr>
          <w:rFonts w:ascii="Verdana" w:eastAsia="Calibri" w:hAnsi="Verdana" w:cs="Arial"/>
          <w:i/>
          <w:iCs/>
          <w:color w:val="000000"/>
          <w:sz w:val="20"/>
          <w:szCs w:val="20"/>
          <w:lang w:val="es-ES"/>
        </w:rPr>
        <w:t>Documentos del Proceso</w:t>
      </w:r>
      <w:r w:rsidRPr="00B310DA">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w:t>
      </w:r>
      <w:r w:rsidRPr="00B310DA">
        <w:rPr>
          <w:rFonts w:ascii="Verdana" w:eastAsia="Calibri" w:hAnsi="Verdana" w:cs="Arial"/>
          <w:color w:val="000000"/>
          <w:sz w:val="20"/>
          <w:szCs w:val="20"/>
          <w:lang w:val="es-ES"/>
        </w:rPr>
        <w:lastRenderedPageBreak/>
        <w:t>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B5A7CDC" w14:textId="77777777" w:rsidR="00455F2B" w:rsidRPr="00B310DA" w:rsidRDefault="00455F2B" w:rsidP="00455F2B">
      <w:pPr>
        <w:spacing w:after="0" w:line="240" w:lineRule="auto"/>
        <w:jc w:val="both"/>
        <w:rPr>
          <w:rFonts w:ascii="Verdana" w:eastAsia="Calibri" w:hAnsi="Verdana" w:cs="Arial"/>
          <w:sz w:val="20"/>
          <w:szCs w:val="20"/>
          <w:lang w:val="es-ES_tradnl"/>
        </w:rPr>
      </w:pPr>
      <w:r w:rsidRPr="00B310DA">
        <w:rPr>
          <w:rFonts w:ascii="Verdana" w:eastAsia="Calibri" w:hAnsi="Verdana" w:cs="Arial"/>
          <w:sz w:val="20"/>
          <w:szCs w:val="20"/>
          <w:lang w:val="es-ES_tradnl"/>
        </w:rPr>
        <w:t>(…)</w:t>
      </w:r>
    </w:p>
    <w:p w14:paraId="0974F751" w14:textId="77777777" w:rsidR="00455F2B" w:rsidRPr="00B310DA" w:rsidRDefault="00455F2B" w:rsidP="00455F2B">
      <w:pPr>
        <w:spacing w:after="0" w:line="240" w:lineRule="auto"/>
        <w:jc w:val="both"/>
        <w:rPr>
          <w:rFonts w:ascii="Verdana" w:eastAsia="Calibri" w:hAnsi="Verdana" w:cs="Arial"/>
          <w:color w:val="000000"/>
          <w:sz w:val="20"/>
          <w:szCs w:val="20"/>
          <w:lang w:val="es-ES"/>
        </w:rPr>
      </w:pPr>
      <w:r w:rsidRPr="00B310DA">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67408769" w14:textId="77777777" w:rsidR="00455F2B" w:rsidRPr="00B310DA" w:rsidRDefault="00455F2B" w:rsidP="00455F2B">
      <w:pPr>
        <w:spacing w:after="0" w:line="240" w:lineRule="auto"/>
        <w:jc w:val="both"/>
        <w:rPr>
          <w:rFonts w:ascii="Verdana" w:eastAsia="Calibri" w:hAnsi="Verdana" w:cs="Arial"/>
          <w:color w:val="000000"/>
          <w:sz w:val="20"/>
          <w:szCs w:val="20"/>
          <w:lang w:val="es-ES"/>
        </w:rPr>
      </w:pPr>
    </w:p>
    <w:p w14:paraId="3197AEB2" w14:textId="77777777" w:rsidR="00455F2B" w:rsidRPr="00B310DA" w:rsidRDefault="00455F2B" w:rsidP="00455F2B">
      <w:pPr>
        <w:spacing w:after="0" w:line="240" w:lineRule="auto"/>
        <w:jc w:val="both"/>
        <w:rPr>
          <w:rFonts w:ascii="Verdana" w:eastAsia="Calibri" w:hAnsi="Verdana" w:cs="Arial"/>
          <w:color w:val="000000"/>
          <w:sz w:val="20"/>
          <w:szCs w:val="20"/>
          <w:lang w:val="es-ES"/>
        </w:rPr>
      </w:pPr>
      <w:r w:rsidRPr="00B310DA">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2315BD8E" w14:textId="77777777" w:rsidR="00455F2B" w:rsidRPr="00B310DA" w:rsidRDefault="00455F2B" w:rsidP="00455F2B">
      <w:pPr>
        <w:spacing w:after="0" w:line="240" w:lineRule="auto"/>
        <w:jc w:val="both"/>
        <w:rPr>
          <w:rFonts w:ascii="Verdana" w:eastAsia="Calibri" w:hAnsi="Verdana" w:cs="Arial"/>
          <w:color w:val="000000"/>
          <w:sz w:val="20"/>
          <w:szCs w:val="20"/>
          <w:lang w:val="es-ES"/>
        </w:rPr>
      </w:pPr>
      <w:r w:rsidRPr="00B310DA">
        <w:rPr>
          <w:rFonts w:ascii="Verdana" w:eastAsia="Calibri" w:hAnsi="Verdana" w:cs="Arial"/>
          <w:color w:val="000000"/>
          <w:sz w:val="20"/>
          <w:szCs w:val="20"/>
          <w:lang w:val="es-ES"/>
        </w:rPr>
        <w:t>(…)</w:t>
      </w:r>
    </w:p>
    <w:p w14:paraId="1415B0BA" w14:textId="77777777" w:rsidR="00455F2B" w:rsidRDefault="00455F2B" w:rsidP="00455F2B">
      <w:pPr>
        <w:spacing w:after="0" w:line="240" w:lineRule="auto"/>
        <w:jc w:val="both"/>
        <w:rPr>
          <w:rFonts w:ascii="Verdana" w:eastAsia="Calibri" w:hAnsi="Verdana" w:cs="Arial"/>
          <w:color w:val="000000"/>
          <w:sz w:val="20"/>
          <w:szCs w:val="20"/>
          <w:lang w:val="es-ES"/>
        </w:rPr>
      </w:pPr>
      <w:r w:rsidRPr="00B310DA">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B310DA">
        <w:rPr>
          <w:rFonts w:ascii="Verdana" w:eastAsia="Aptos" w:hAnsi="Verdana" w:cs="Arial"/>
          <w:sz w:val="20"/>
          <w:szCs w:val="20"/>
        </w:rPr>
        <w:t>–[</w:t>
      </w:r>
      <w:r w:rsidRPr="00B310DA">
        <w:rPr>
          <w:rFonts w:ascii="Verdana" w:eastAsia="Aptos" w:hAnsi="Verdana" w:cs="Arial"/>
          <w:sz w:val="20"/>
          <w:szCs w:val="20"/>
          <w:highlight w:val="lightGray"/>
        </w:rPr>
        <w:t>texto de ejemplo</w:t>
      </w:r>
      <w:r w:rsidRPr="00B310DA">
        <w:rPr>
          <w:rFonts w:ascii="Verdana" w:eastAsia="Aptos" w:hAnsi="Verdana" w:cs="Arial"/>
          <w:sz w:val="20"/>
          <w:szCs w:val="20"/>
        </w:rPr>
        <w:t xml:space="preserve">]– </w:t>
      </w:r>
      <w:r w:rsidRPr="00B310DA">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1F2995A1" w14:textId="77777777" w:rsidR="00455F2B" w:rsidRPr="001E2F86" w:rsidRDefault="00455F2B" w:rsidP="00455F2B">
      <w:pPr>
        <w:spacing w:after="0" w:line="240" w:lineRule="auto"/>
        <w:jc w:val="both"/>
        <w:rPr>
          <w:rFonts w:ascii="Verdana" w:eastAsia="Calibri" w:hAnsi="Verdana" w:cs="Arial"/>
          <w:b/>
          <w:bCs/>
          <w:color w:val="000000"/>
          <w:lang w:val="es-ES"/>
        </w:rPr>
      </w:pPr>
    </w:p>
    <w:p w14:paraId="195E14F6" w14:textId="77777777" w:rsidR="00455F2B" w:rsidRPr="001E2F86" w:rsidRDefault="00455F2B" w:rsidP="00455F2B">
      <w:pPr>
        <w:spacing w:after="0" w:line="240" w:lineRule="auto"/>
        <w:jc w:val="both"/>
        <w:rPr>
          <w:rFonts w:ascii="Verdana" w:eastAsia="Calibri" w:hAnsi="Verdana" w:cs="Arial"/>
          <w:b/>
          <w:bCs/>
          <w:color w:val="000000"/>
          <w:lang w:val="es-ES"/>
        </w:rPr>
      </w:pPr>
      <w:r w:rsidRPr="001E2F86">
        <w:rPr>
          <w:rFonts w:ascii="Verdana" w:eastAsia="Verdana" w:hAnsi="Verdana" w:cs="Verdana"/>
          <w:b/>
          <w:bCs/>
        </w:rPr>
        <w:t>DECIMALES Y APROXIMACIONES - Documentos del proceso</w:t>
      </w:r>
    </w:p>
    <w:p w14:paraId="4956E22E" w14:textId="77777777" w:rsidR="00455F2B" w:rsidRDefault="00455F2B" w:rsidP="00455F2B">
      <w:pPr>
        <w:spacing w:after="0" w:line="240" w:lineRule="auto"/>
        <w:rPr>
          <w:rFonts w:ascii="Verdana" w:eastAsia="Geomanist Light" w:hAnsi="Verdana" w:cs="Arial"/>
          <w:color w:val="000000" w:themeColor="text1"/>
          <w:lang w:val="es-MX"/>
        </w:rPr>
      </w:pPr>
    </w:p>
    <w:p w14:paraId="252FDD1F" w14:textId="77777777" w:rsidR="00455F2B" w:rsidRDefault="00455F2B" w:rsidP="00455F2B">
      <w:pPr>
        <w:jc w:val="both"/>
        <w:rPr>
          <w:rFonts w:ascii="Verdana" w:eastAsia="Verdana" w:hAnsi="Verdana" w:cs="Verdana"/>
          <w:sz w:val="20"/>
          <w:szCs w:val="20"/>
        </w:rPr>
      </w:pPr>
      <w:r w:rsidRPr="001E2F86">
        <w:rPr>
          <w:rFonts w:ascii="Verdana" w:eastAsia="Verdana" w:hAnsi="Verdana" w:cs="Verdana"/>
          <w:sz w:val="20"/>
          <w:szCs w:val="20"/>
        </w:rPr>
        <w:t>Salvo las reglas particulares previstas para el RUP, en las cuales los indicadores financieros y organizacionales deben expresarse con dos decimales, el Estatuto General de Contratación de la Administración Pública no establece un límite uniforme respecto del número de decimales que deben utilizarse en la estructuración del presupuesto oficial, los estudios de sector, los precios unitarios o las ofertas económicas.</w:t>
      </w:r>
    </w:p>
    <w:p w14:paraId="3842C302" w14:textId="77777777" w:rsidR="00455F2B" w:rsidRDefault="00455F2B" w:rsidP="00455F2B">
      <w:pPr>
        <w:jc w:val="both"/>
        <w:rPr>
          <w:rFonts w:ascii="Verdana" w:eastAsia="Verdana" w:hAnsi="Verdana" w:cs="Verdana"/>
          <w:sz w:val="20"/>
          <w:szCs w:val="20"/>
        </w:rPr>
      </w:pPr>
      <w:r w:rsidRPr="001E2F86">
        <w:rPr>
          <w:rFonts w:ascii="Verdana" w:eastAsia="Verdana" w:hAnsi="Verdana" w:cs="Verdana"/>
          <w:sz w:val="20"/>
          <w:szCs w:val="20"/>
        </w:rPr>
        <w:t xml:space="preserve">En consecuencia, las entidades estatales cuentan con cierto margen para definir la metodología aplicable al manejo de decimales y aproximaciones, pero, en aplicación de </w:t>
      </w:r>
      <w:r w:rsidRPr="001E2F86">
        <w:rPr>
          <w:rFonts w:ascii="Verdana" w:eastAsia="Verdana" w:hAnsi="Verdana" w:cs="Verdana"/>
          <w:sz w:val="20"/>
          <w:szCs w:val="20"/>
        </w:rPr>
        <w:lastRenderedPageBreak/>
        <w:t>los principios de transparencia, economía y selección objetiva, dicha metodología debe establecerse de manera clara, previa y uniforme en los documentos del proceso, indicando, cuando resulte necesario, el número de decimales que deberán utilizar los proponentes y la forma en que deberán efectuarse las operaciones de redondeo.</w:t>
      </w:r>
    </w:p>
    <w:p w14:paraId="743FE7E9" w14:textId="77777777" w:rsidR="00455F2B" w:rsidRPr="001E2F86" w:rsidRDefault="00455F2B" w:rsidP="00455F2B">
      <w:pPr>
        <w:jc w:val="both"/>
        <w:rPr>
          <w:rFonts w:ascii="Verdana" w:eastAsia="Verdana" w:hAnsi="Verdana" w:cs="Verdana"/>
          <w:sz w:val="20"/>
          <w:szCs w:val="20"/>
        </w:rPr>
      </w:pPr>
      <w:r w:rsidRPr="001E2F86">
        <w:rPr>
          <w:rFonts w:ascii="Verdana" w:eastAsia="Verdana" w:hAnsi="Verdana" w:cs="Verdana"/>
          <w:sz w:val="20"/>
          <w:szCs w:val="20"/>
        </w:rPr>
        <w:t>En este sentido, no resulta adecuado que el estudio de sector o el presupuesto oficial se estructure con un número determinado de decimales y que posteriormente, durante la evaluación de las ofertas, se aplique una regla de redondeo que no fue previamente establecida o que genere diferencias respecto del precio techo. Las reglas matemáticas utilizadas para determinar los precios unitarios y totales deben ser conocidas por los interesados desde la estructuración y publicación del proceso, con el fin de garantizar la comparabilidad de las propuestas y la igualdad entre los oferentes.</w:t>
      </w:r>
    </w:p>
    <w:p w14:paraId="52B0BAB9" w14:textId="77777777" w:rsidR="00455F2B" w:rsidRDefault="00455F2B" w:rsidP="00455F2B">
      <w:pPr>
        <w:spacing w:after="0" w:line="240" w:lineRule="auto"/>
        <w:rPr>
          <w:rFonts w:ascii="Verdana" w:eastAsia="Geomanist Light" w:hAnsi="Verdana" w:cs="Arial"/>
          <w:color w:val="000000" w:themeColor="text1"/>
          <w:lang w:val="es-MX"/>
        </w:rPr>
      </w:pPr>
    </w:p>
    <w:p w14:paraId="60F82665" w14:textId="77777777" w:rsidR="00455F2B" w:rsidRDefault="00455F2B" w:rsidP="00455F2B">
      <w:pPr>
        <w:spacing w:after="0" w:line="240" w:lineRule="auto"/>
        <w:rPr>
          <w:rFonts w:ascii="Verdana" w:eastAsia="Geomanist Light" w:hAnsi="Verdana" w:cs="Arial"/>
          <w:color w:val="000000" w:themeColor="text1"/>
          <w:lang w:val="es-MX"/>
        </w:rPr>
      </w:pPr>
    </w:p>
    <w:p w14:paraId="2AE5CCB4" w14:textId="77777777" w:rsidR="00455F2B" w:rsidRDefault="00455F2B" w:rsidP="00455F2B">
      <w:pPr>
        <w:spacing w:after="0" w:line="240" w:lineRule="auto"/>
        <w:rPr>
          <w:rFonts w:ascii="Verdana" w:eastAsia="Geomanist Light" w:hAnsi="Verdana" w:cs="Arial"/>
          <w:color w:val="000000" w:themeColor="text1"/>
          <w:lang w:val="es-MX"/>
        </w:rPr>
      </w:pPr>
    </w:p>
    <w:p w14:paraId="4CEAF154" w14:textId="77777777" w:rsidR="00455F2B" w:rsidRDefault="00455F2B" w:rsidP="00455F2B">
      <w:pPr>
        <w:spacing w:after="0" w:line="240" w:lineRule="auto"/>
        <w:rPr>
          <w:rFonts w:ascii="Verdana" w:eastAsia="Geomanist Light" w:hAnsi="Verdana" w:cs="Arial"/>
          <w:color w:val="000000" w:themeColor="text1"/>
          <w:lang w:val="es-MX"/>
        </w:rPr>
      </w:pPr>
    </w:p>
    <w:p w14:paraId="6C38F87B" w14:textId="77777777" w:rsidR="00455F2B" w:rsidRDefault="00455F2B" w:rsidP="00455F2B">
      <w:pPr>
        <w:spacing w:after="0" w:line="240" w:lineRule="auto"/>
        <w:rPr>
          <w:rFonts w:ascii="Verdana" w:eastAsia="Geomanist Light" w:hAnsi="Verdana" w:cs="Arial"/>
          <w:color w:val="000000" w:themeColor="text1"/>
          <w:lang w:val="es-MX"/>
        </w:rPr>
      </w:pPr>
    </w:p>
    <w:p w14:paraId="60A18623" w14:textId="77777777" w:rsidR="00455F2B" w:rsidRDefault="00455F2B" w:rsidP="00455F2B">
      <w:pPr>
        <w:spacing w:after="0" w:line="240" w:lineRule="auto"/>
        <w:rPr>
          <w:rFonts w:ascii="Verdana" w:eastAsia="Geomanist Light" w:hAnsi="Verdana" w:cs="Arial"/>
          <w:color w:val="000000" w:themeColor="text1"/>
          <w:lang w:val="es-MX"/>
        </w:rPr>
      </w:pPr>
    </w:p>
    <w:p w14:paraId="2FA3C582" w14:textId="77777777" w:rsidR="00455F2B" w:rsidRDefault="00455F2B" w:rsidP="00455F2B">
      <w:pPr>
        <w:spacing w:after="0" w:line="240" w:lineRule="auto"/>
        <w:rPr>
          <w:rFonts w:ascii="Verdana" w:eastAsia="Geomanist Light" w:hAnsi="Verdana" w:cs="Arial"/>
          <w:color w:val="000000" w:themeColor="text1"/>
          <w:lang w:val="es-MX"/>
        </w:rPr>
      </w:pPr>
    </w:p>
    <w:p w14:paraId="38DCC912" w14:textId="77777777" w:rsidR="00455F2B" w:rsidRDefault="00455F2B" w:rsidP="00455F2B">
      <w:pPr>
        <w:spacing w:after="0" w:line="240" w:lineRule="auto"/>
        <w:rPr>
          <w:rFonts w:ascii="Verdana" w:eastAsia="Geomanist Light" w:hAnsi="Verdana" w:cs="Arial"/>
          <w:color w:val="000000" w:themeColor="text1"/>
          <w:lang w:val="es-MX"/>
        </w:rPr>
      </w:pPr>
    </w:p>
    <w:p w14:paraId="091A7DE7" w14:textId="77777777" w:rsidR="00455F2B" w:rsidRDefault="00455F2B" w:rsidP="00455F2B">
      <w:pPr>
        <w:spacing w:after="0" w:line="240" w:lineRule="auto"/>
        <w:rPr>
          <w:rFonts w:ascii="Verdana" w:eastAsia="Geomanist Light" w:hAnsi="Verdana" w:cs="Arial"/>
          <w:color w:val="000000" w:themeColor="text1"/>
          <w:lang w:val="es-MX"/>
        </w:rPr>
      </w:pPr>
    </w:p>
    <w:p w14:paraId="585CA989" w14:textId="77777777" w:rsidR="00455F2B" w:rsidRDefault="00455F2B" w:rsidP="00455F2B">
      <w:pPr>
        <w:spacing w:after="0" w:line="240" w:lineRule="auto"/>
        <w:rPr>
          <w:rFonts w:ascii="Verdana" w:eastAsia="Geomanist Light" w:hAnsi="Verdana" w:cs="Arial"/>
          <w:color w:val="000000" w:themeColor="text1"/>
          <w:lang w:val="es-MX"/>
        </w:rPr>
      </w:pPr>
    </w:p>
    <w:p w14:paraId="75E0C375" w14:textId="77777777" w:rsidR="00455F2B" w:rsidRDefault="00455F2B" w:rsidP="00455F2B">
      <w:pPr>
        <w:spacing w:after="0" w:line="240" w:lineRule="auto"/>
        <w:rPr>
          <w:rFonts w:ascii="Verdana" w:eastAsia="Geomanist Light" w:hAnsi="Verdana" w:cs="Arial"/>
          <w:color w:val="000000" w:themeColor="text1"/>
          <w:lang w:val="es-MX"/>
        </w:rPr>
      </w:pPr>
    </w:p>
    <w:p w14:paraId="4AB765C6" w14:textId="77777777" w:rsidR="00455F2B" w:rsidRDefault="00455F2B" w:rsidP="00455F2B">
      <w:pPr>
        <w:spacing w:after="0" w:line="240" w:lineRule="auto"/>
        <w:rPr>
          <w:rFonts w:ascii="Verdana" w:eastAsia="Geomanist Light" w:hAnsi="Verdana" w:cs="Arial"/>
          <w:color w:val="000000" w:themeColor="text1"/>
          <w:lang w:val="es-MX"/>
        </w:rPr>
      </w:pPr>
    </w:p>
    <w:p w14:paraId="78C849F2" w14:textId="77777777" w:rsidR="00455F2B" w:rsidRDefault="00455F2B" w:rsidP="00455F2B">
      <w:pPr>
        <w:spacing w:after="0" w:line="240" w:lineRule="auto"/>
        <w:rPr>
          <w:rFonts w:ascii="Verdana" w:eastAsia="Geomanist Light" w:hAnsi="Verdana" w:cs="Arial"/>
          <w:color w:val="000000" w:themeColor="text1"/>
          <w:lang w:val="es-MX"/>
        </w:rPr>
      </w:pPr>
    </w:p>
    <w:p w14:paraId="36C9D422" w14:textId="77777777" w:rsidR="00455F2B" w:rsidRDefault="00455F2B" w:rsidP="00455F2B">
      <w:pPr>
        <w:spacing w:after="0" w:line="240" w:lineRule="auto"/>
        <w:rPr>
          <w:rFonts w:ascii="Verdana" w:eastAsia="Geomanist Light" w:hAnsi="Verdana" w:cs="Arial"/>
          <w:color w:val="000000" w:themeColor="text1"/>
          <w:lang w:val="es-MX"/>
        </w:rPr>
      </w:pPr>
    </w:p>
    <w:p w14:paraId="77DBE2B5" w14:textId="77777777" w:rsidR="00455F2B" w:rsidRDefault="00455F2B" w:rsidP="00455F2B">
      <w:pPr>
        <w:spacing w:after="0" w:line="240" w:lineRule="auto"/>
        <w:rPr>
          <w:rFonts w:ascii="Verdana" w:eastAsia="Geomanist Light" w:hAnsi="Verdana" w:cs="Arial"/>
          <w:color w:val="000000" w:themeColor="text1"/>
          <w:lang w:val="es-MX"/>
        </w:rPr>
      </w:pPr>
    </w:p>
    <w:p w14:paraId="49952919" w14:textId="77777777" w:rsidR="00455F2B" w:rsidRDefault="00455F2B" w:rsidP="00455F2B">
      <w:pPr>
        <w:spacing w:after="0" w:line="240" w:lineRule="auto"/>
        <w:rPr>
          <w:rFonts w:ascii="Verdana" w:eastAsia="Geomanist Light" w:hAnsi="Verdana" w:cs="Arial"/>
          <w:color w:val="000000" w:themeColor="text1"/>
          <w:lang w:val="es-MX"/>
        </w:rPr>
      </w:pPr>
    </w:p>
    <w:p w14:paraId="7A567AEC" w14:textId="77777777" w:rsidR="00455F2B" w:rsidRDefault="00455F2B" w:rsidP="00455F2B">
      <w:pPr>
        <w:spacing w:after="0" w:line="240" w:lineRule="auto"/>
        <w:rPr>
          <w:rFonts w:ascii="Verdana" w:eastAsia="Geomanist Light" w:hAnsi="Verdana" w:cs="Arial"/>
          <w:color w:val="000000" w:themeColor="text1"/>
          <w:lang w:val="es-MX"/>
        </w:rPr>
      </w:pPr>
    </w:p>
    <w:p w14:paraId="62B69D94" w14:textId="77777777" w:rsidR="00455F2B" w:rsidRDefault="00455F2B" w:rsidP="00455F2B">
      <w:pPr>
        <w:spacing w:after="0" w:line="240" w:lineRule="auto"/>
        <w:rPr>
          <w:rFonts w:ascii="Verdana" w:eastAsia="Geomanist Light" w:hAnsi="Verdana" w:cs="Arial"/>
          <w:color w:val="000000" w:themeColor="text1"/>
          <w:lang w:val="es-MX"/>
        </w:rPr>
      </w:pPr>
    </w:p>
    <w:p w14:paraId="12C81BB2" w14:textId="77777777" w:rsidR="00455F2B" w:rsidRDefault="00455F2B" w:rsidP="00455F2B">
      <w:pPr>
        <w:spacing w:after="0" w:line="240" w:lineRule="auto"/>
        <w:rPr>
          <w:rFonts w:ascii="Verdana" w:eastAsia="Geomanist Light" w:hAnsi="Verdana" w:cs="Arial"/>
          <w:color w:val="000000" w:themeColor="text1"/>
          <w:lang w:val="es-MX"/>
        </w:rPr>
      </w:pPr>
    </w:p>
    <w:p w14:paraId="21DB48D8" w14:textId="77777777" w:rsidR="00455F2B" w:rsidRDefault="00455F2B" w:rsidP="00455F2B">
      <w:pPr>
        <w:spacing w:after="0" w:line="240" w:lineRule="auto"/>
        <w:rPr>
          <w:rFonts w:ascii="Verdana" w:eastAsia="Geomanist Light" w:hAnsi="Verdana" w:cs="Arial"/>
          <w:color w:val="000000" w:themeColor="text1"/>
          <w:lang w:val="es-MX"/>
        </w:rPr>
      </w:pPr>
    </w:p>
    <w:p w14:paraId="74863D63" w14:textId="77777777" w:rsidR="00455F2B" w:rsidRDefault="00455F2B" w:rsidP="00455F2B">
      <w:pPr>
        <w:spacing w:after="0" w:line="240" w:lineRule="auto"/>
        <w:rPr>
          <w:rFonts w:ascii="Verdana" w:eastAsia="Geomanist Light" w:hAnsi="Verdana" w:cs="Arial"/>
          <w:color w:val="000000" w:themeColor="text1"/>
          <w:lang w:val="es-MX"/>
        </w:rPr>
      </w:pPr>
    </w:p>
    <w:p w14:paraId="5CEE04A3" w14:textId="77777777" w:rsidR="00455F2B" w:rsidRDefault="00455F2B" w:rsidP="00455F2B">
      <w:pPr>
        <w:spacing w:after="0" w:line="240" w:lineRule="auto"/>
        <w:rPr>
          <w:rFonts w:ascii="Verdana" w:eastAsia="Geomanist Light" w:hAnsi="Verdana" w:cs="Arial"/>
          <w:color w:val="000000" w:themeColor="text1"/>
          <w:lang w:val="es-MX"/>
        </w:rPr>
      </w:pPr>
    </w:p>
    <w:p w14:paraId="3234BCDA" w14:textId="77777777" w:rsidR="00455F2B" w:rsidRDefault="00455F2B" w:rsidP="00455F2B">
      <w:pPr>
        <w:spacing w:after="0" w:line="240" w:lineRule="auto"/>
        <w:rPr>
          <w:rFonts w:ascii="Verdana" w:eastAsia="Geomanist Light" w:hAnsi="Verdana" w:cs="Arial"/>
          <w:color w:val="000000" w:themeColor="text1"/>
          <w:lang w:val="es-MX"/>
        </w:rPr>
      </w:pPr>
    </w:p>
    <w:p w14:paraId="2C3DD6A8" w14:textId="77777777" w:rsidR="00455F2B" w:rsidRDefault="00455F2B" w:rsidP="00455F2B">
      <w:pPr>
        <w:spacing w:after="0" w:line="240" w:lineRule="auto"/>
        <w:rPr>
          <w:rFonts w:ascii="Verdana" w:eastAsia="Geomanist Light" w:hAnsi="Verdana" w:cs="Arial"/>
          <w:color w:val="000000" w:themeColor="text1"/>
          <w:lang w:val="es-MX"/>
        </w:rPr>
      </w:pPr>
    </w:p>
    <w:p w14:paraId="5B60AE3E" w14:textId="77777777" w:rsidR="00455F2B" w:rsidRDefault="00455F2B" w:rsidP="00455F2B">
      <w:pPr>
        <w:spacing w:after="0" w:line="240" w:lineRule="auto"/>
        <w:rPr>
          <w:rFonts w:ascii="Verdana" w:eastAsia="Geomanist Light" w:hAnsi="Verdana" w:cs="Arial"/>
          <w:color w:val="000000" w:themeColor="text1"/>
          <w:lang w:val="es-MX"/>
        </w:rPr>
      </w:pPr>
    </w:p>
    <w:p w14:paraId="270957BE" w14:textId="77777777" w:rsidR="00455F2B" w:rsidRDefault="00455F2B" w:rsidP="00455F2B">
      <w:pPr>
        <w:spacing w:after="0" w:line="240" w:lineRule="auto"/>
        <w:rPr>
          <w:rFonts w:ascii="Verdana" w:eastAsia="Geomanist Light" w:hAnsi="Verdana" w:cs="Arial"/>
          <w:color w:val="000000" w:themeColor="text1"/>
          <w:lang w:val="es-MX"/>
        </w:rPr>
      </w:pPr>
    </w:p>
    <w:p w14:paraId="2C77D7FC" w14:textId="77777777" w:rsidR="00455F2B" w:rsidRDefault="00455F2B" w:rsidP="00455F2B">
      <w:pPr>
        <w:spacing w:after="0" w:line="240" w:lineRule="auto"/>
        <w:rPr>
          <w:rFonts w:ascii="Verdana" w:eastAsia="Geomanist Light" w:hAnsi="Verdana" w:cs="Arial"/>
          <w:color w:val="000000" w:themeColor="text1"/>
          <w:lang w:val="es-MX"/>
        </w:rPr>
      </w:pPr>
    </w:p>
    <w:p w14:paraId="0CA5AEB9" w14:textId="77777777" w:rsidR="00455F2B" w:rsidRDefault="00455F2B" w:rsidP="00455F2B">
      <w:pPr>
        <w:spacing w:after="0" w:line="240" w:lineRule="auto"/>
        <w:rPr>
          <w:rFonts w:ascii="Verdana" w:eastAsia="Geomanist Light" w:hAnsi="Verdana" w:cs="Arial"/>
          <w:color w:val="000000" w:themeColor="text1"/>
          <w:lang w:val="es-MX"/>
        </w:rPr>
      </w:pPr>
    </w:p>
    <w:p w14:paraId="4B2CB052" w14:textId="77777777" w:rsidR="00455F2B" w:rsidRDefault="00455F2B" w:rsidP="00455F2B">
      <w:pPr>
        <w:spacing w:after="0" w:line="240" w:lineRule="auto"/>
        <w:rPr>
          <w:rFonts w:ascii="Verdana" w:eastAsia="Geomanist Light" w:hAnsi="Verdana" w:cs="Arial"/>
          <w:color w:val="000000" w:themeColor="text1"/>
          <w:lang w:val="es-MX"/>
        </w:rPr>
      </w:pPr>
    </w:p>
    <w:p w14:paraId="0C750DB6" w14:textId="77777777" w:rsidR="00455F2B" w:rsidRDefault="00455F2B" w:rsidP="00455F2B">
      <w:pPr>
        <w:spacing w:after="0" w:line="240" w:lineRule="auto"/>
        <w:rPr>
          <w:rFonts w:ascii="Verdana" w:eastAsia="Geomanist Light" w:hAnsi="Verdana" w:cs="Arial"/>
          <w:color w:val="000000" w:themeColor="text1"/>
          <w:lang w:val="es-MX"/>
        </w:rPr>
      </w:pPr>
    </w:p>
    <w:p w14:paraId="4FA325EC" w14:textId="74C95AB1" w:rsidR="00455F2B" w:rsidRPr="0015699B" w:rsidRDefault="00455F2B" w:rsidP="00455F2B">
      <w:pPr>
        <w:spacing w:line="240" w:lineRule="auto"/>
        <w:jc w:val="both"/>
        <w:rPr>
          <w:rFonts w:ascii="Verdana" w:eastAsia="Verdana" w:hAnsi="Verdana" w:cs="Verdana"/>
          <w:color w:val="000000" w:themeColor="text1"/>
          <w:lang w:val="es"/>
        </w:rPr>
      </w:pPr>
      <w:r>
        <w:rPr>
          <w:rFonts w:ascii="Verdana" w:eastAsia="Verdana" w:hAnsi="Verdana" w:cs="Verdana"/>
          <w:color w:val="000000" w:themeColor="text1"/>
          <w:lang w:val="es"/>
        </w:rPr>
        <w:lastRenderedPageBreak/>
        <w:t>Bog</w:t>
      </w:r>
      <w:r w:rsidRPr="39124533">
        <w:rPr>
          <w:rFonts w:ascii="Verdana" w:eastAsia="Verdana" w:hAnsi="Verdana" w:cs="Verdana"/>
          <w:color w:val="000000" w:themeColor="text1"/>
          <w:lang w:val="es"/>
        </w:rPr>
        <w:t xml:space="preserve">otá D.C., </w:t>
      </w:r>
      <w:r>
        <w:rPr>
          <w:rFonts w:ascii="Verdana" w:eastAsia="Verdana" w:hAnsi="Verdana" w:cs="Verdana"/>
          <w:color w:val="000000" w:themeColor="text1"/>
          <w:lang w:val="es"/>
        </w:rPr>
        <w:t>0</w:t>
      </w:r>
      <w:r w:rsidR="00EE6C61">
        <w:rPr>
          <w:rFonts w:ascii="Verdana" w:eastAsia="Verdana" w:hAnsi="Verdana" w:cs="Verdana"/>
          <w:color w:val="000000" w:themeColor="text1"/>
          <w:lang w:val="es"/>
        </w:rPr>
        <w:t>5</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de </w:t>
      </w:r>
      <w:r>
        <w:rPr>
          <w:rFonts w:ascii="Verdana" w:eastAsia="Verdana" w:hAnsi="Verdana" w:cs="Verdana"/>
          <w:color w:val="000000" w:themeColor="text1"/>
          <w:lang w:val="es"/>
        </w:rPr>
        <w:t>octubre</w:t>
      </w:r>
      <w:r w:rsidRPr="39124533">
        <w:rPr>
          <w:rFonts w:ascii="Verdana" w:eastAsia="Verdana" w:hAnsi="Verdana" w:cs="Verdana"/>
          <w:color w:val="000000" w:themeColor="text1"/>
          <w:lang w:val="es"/>
        </w:rPr>
        <w:t xml:space="preserve"> de 2026</w:t>
      </w:r>
    </w:p>
    <w:p w14:paraId="40F2A5BA" w14:textId="2B1C67C7" w:rsidR="00455F2B" w:rsidRDefault="00EE6C61" w:rsidP="00EE6C61">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562E29BA" wp14:editId="54390908">
            <wp:extent cx="2486025" cy="809625"/>
            <wp:effectExtent l="0" t="0" r="9525" b="9525"/>
            <wp:docPr id="13855015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6025" cy="809625"/>
                    </a:xfrm>
                    <a:prstGeom prst="rect">
                      <a:avLst/>
                    </a:prstGeom>
                    <a:noFill/>
                    <a:ln>
                      <a:noFill/>
                    </a:ln>
                  </pic:spPr>
                </pic:pic>
              </a:graphicData>
            </a:graphic>
          </wp:inline>
        </w:drawing>
      </w:r>
    </w:p>
    <w:p w14:paraId="3B15C779" w14:textId="77777777" w:rsidR="00EE6C61" w:rsidRDefault="00EE6C61" w:rsidP="00455F2B">
      <w:pPr>
        <w:spacing w:after="0" w:line="240" w:lineRule="auto"/>
        <w:jc w:val="both"/>
        <w:textAlignment w:val="baseline"/>
        <w:rPr>
          <w:rFonts w:ascii="Verdana" w:eastAsia="Verdana" w:hAnsi="Verdana" w:cs="Verdana"/>
          <w:color w:val="000000" w:themeColor="text1"/>
          <w:lang w:val="es"/>
        </w:rPr>
      </w:pPr>
    </w:p>
    <w:p w14:paraId="37CCB174" w14:textId="77777777" w:rsidR="00455F2B" w:rsidRDefault="00455F2B" w:rsidP="00455F2B">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p>
    <w:p w14:paraId="42C083A9" w14:textId="77777777" w:rsidR="00455F2B" w:rsidRPr="00D70045" w:rsidRDefault="00455F2B" w:rsidP="00455F2B">
      <w:pPr>
        <w:spacing w:after="0" w:line="240" w:lineRule="auto"/>
        <w:jc w:val="both"/>
        <w:textAlignment w:val="baseline"/>
        <w:rPr>
          <w:rFonts w:ascii="Verdana" w:hAnsi="Verdana"/>
          <w:b/>
          <w:bCs/>
        </w:rPr>
      </w:pPr>
      <w:r>
        <w:rPr>
          <w:rFonts w:ascii="Verdana" w:hAnsi="Verdana"/>
          <w:b/>
          <w:bCs/>
        </w:rPr>
        <w:t>ANA YANCI GONZALEZ REYES</w:t>
      </w:r>
    </w:p>
    <w:p w14:paraId="6E87C009" w14:textId="03C6FEB5" w:rsidR="00455F2B" w:rsidRPr="00D70045" w:rsidRDefault="00F05599" w:rsidP="00455F2B">
      <w:pPr>
        <w:spacing w:after="0" w:line="240" w:lineRule="auto"/>
        <w:jc w:val="both"/>
        <w:textAlignment w:val="baseline"/>
        <w:rPr>
          <w:rFonts w:ascii="Verdana" w:hAnsi="Verdana"/>
        </w:rPr>
      </w:pPr>
      <w:r>
        <w:rPr>
          <w:rStyle w:val="Hipervnculo"/>
          <w:rFonts w:ascii="Verdana" w:hAnsi="Verdana"/>
        </w:rPr>
        <w:t>a</w:t>
      </w:r>
      <w:r w:rsidR="00455F2B">
        <w:rPr>
          <w:rStyle w:val="Hipervnculo"/>
          <w:rFonts w:ascii="Verdana" w:hAnsi="Verdana"/>
        </w:rPr>
        <w:t>na.gonzalezr@icbf.gov.co</w:t>
      </w:r>
    </w:p>
    <w:p w14:paraId="68DF0AB5" w14:textId="77777777" w:rsidR="00455F2B" w:rsidRDefault="00455F2B" w:rsidP="00455F2B">
      <w:pPr>
        <w:spacing w:after="0" w:line="240" w:lineRule="auto"/>
        <w:jc w:val="both"/>
        <w:textAlignment w:val="baseline"/>
        <w:rPr>
          <w:rFonts w:ascii="Verdana" w:hAnsi="Verdana"/>
        </w:rPr>
      </w:pPr>
      <w:r>
        <w:rPr>
          <w:rFonts w:ascii="Verdana" w:hAnsi="Verdana"/>
        </w:rPr>
        <w:t>Bogotá</w:t>
      </w:r>
      <w:r w:rsidRPr="002167A2">
        <w:rPr>
          <w:rFonts w:ascii="Verdana" w:hAnsi="Verdana"/>
        </w:rPr>
        <w:t xml:space="preserve"> </w:t>
      </w:r>
      <w:r>
        <w:rPr>
          <w:rFonts w:ascii="Verdana" w:hAnsi="Verdana"/>
        </w:rPr>
        <w:t>D.C.</w:t>
      </w:r>
    </w:p>
    <w:p w14:paraId="4FAAC241" w14:textId="77777777" w:rsidR="00455F2B" w:rsidRPr="003D5882" w:rsidRDefault="00455F2B" w:rsidP="00455F2B">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455F2B" w14:paraId="322AAE33" w14:textId="77777777" w:rsidTr="003C710A">
        <w:trPr>
          <w:trHeight w:val="615"/>
        </w:trPr>
        <w:tc>
          <w:tcPr>
            <w:tcW w:w="2265" w:type="dxa"/>
            <w:shd w:val="clear" w:color="auto" w:fill="FFFFFF" w:themeFill="background1"/>
            <w:tcMar>
              <w:left w:w="108" w:type="dxa"/>
              <w:right w:w="108" w:type="dxa"/>
            </w:tcMar>
          </w:tcPr>
          <w:p w14:paraId="64EB2528" w14:textId="77777777" w:rsidR="00455F2B" w:rsidRDefault="00455F2B" w:rsidP="003C710A">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2BFD5ECD" w14:textId="77777777" w:rsidR="00455F2B" w:rsidRDefault="00455F2B" w:rsidP="003C710A">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 xml:space="preserve">1284 </w:t>
            </w:r>
            <w:r w:rsidRPr="40A87941">
              <w:rPr>
                <w:rFonts w:ascii="Verdana" w:eastAsia="Verdana" w:hAnsi="Verdana" w:cs="Verdana"/>
                <w:b/>
                <w:bCs/>
                <w:color w:val="000000" w:themeColor="text1"/>
                <w:lang w:val="es"/>
              </w:rPr>
              <w:t>de 2026</w:t>
            </w:r>
          </w:p>
        </w:tc>
      </w:tr>
      <w:tr w:rsidR="00455F2B" w:rsidRPr="004F242E" w14:paraId="788B6531" w14:textId="77777777" w:rsidTr="003C710A">
        <w:trPr>
          <w:trHeight w:val="1065"/>
        </w:trPr>
        <w:tc>
          <w:tcPr>
            <w:tcW w:w="2265" w:type="dxa"/>
            <w:shd w:val="clear" w:color="auto" w:fill="FFFFFF" w:themeFill="background1"/>
            <w:tcMar>
              <w:left w:w="108" w:type="dxa"/>
              <w:right w:w="108" w:type="dxa"/>
            </w:tcMar>
          </w:tcPr>
          <w:p w14:paraId="2A699832" w14:textId="77777777" w:rsidR="00455F2B" w:rsidRDefault="00455F2B" w:rsidP="003C710A">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30007C73" w14:textId="77777777" w:rsidR="00455F2B" w:rsidRPr="001E2F86" w:rsidRDefault="00455F2B" w:rsidP="003C710A">
            <w:pPr>
              <w:jc w:val="both"/>
              <w:rPr>
                <w:rFonts w:ascii="Verdana" w:eastAsia="Calibri" w:hAnsi="Verdana" w:cs="Arial"/>
                <w:b/>
                <w:bCs/>
                <w:color w:val="000000"/>
                <w:lang w:val="es-ES"/>
              </w:rPr>
            </w:pPr>
            <w:r w:rsidRPr="00564A15">
              <w:rPr>
                <w:rFonts w:ascii="Verdana" w:eastAsia="Calibri" w:hAnsi="Verdana" w:cs="Arial"/>
                <w:lang w:val="es-ES" w:eastAsia="es-ES"/>
              </w:rPr>
              <w:t xml:space="preserve">RUP- Alcance – plena prueba / / RUP – Firmeza / RUP – Renovación / RUP – Inscripción / RUP Renovación – Finalidad </w:t>
            </w:r>
            <w:r w:rsidRPr="00FC6043">
              <w:rPr>
                <w:rFonts w:ascii="Verdana" w:eastAsia="Calibri" w:hAnsi="Verdana" w:cs="Arial"/>
                <w:lang w:eastAsia="es-ES"/>
              </w:rPr>
              <w:t xml:space="preserve">/ </w:t>
            </w:r>
            <w:r w:rsidRPr="00B310DA">
              <w:rPr>
                <w:rFonts w:ascii="Verdana" w:eastAsia="Calibri" w:hAnsi="Verdana" w:cs="Times New Roman"/>
                <w:lang w:val="es-ES"/>
              </w:rPr>
              <w:t>DOCUMENTOS TIPO – Inalterabilidad – Alcance</w:t>
            </w:r>
            <w:r>
              <w:rPr>
                <w:rFonts w:ascii="Verdana" w:eastAsia="Calibri" w:hAnsi="Verdana" w:cs="Times New Roman"/>
                <w:lang w:val="es-ES"/>
              </w:rPr>
              <w:t xml:space="preserve"> / </w:t>
            </w:r>
            <w:r w:rsidRPr="001E2F86">
              <w:rPr>
                <w:rFonts w:ascii="Verdana" w:eastAsia="Verdana" w:hAnsi="Verdana" w:cs="Verdana"/>
              </w:rPr>
              <w:t>DECIMALES Y APROXIMACIONES - Documentos del proceso</w:t>
            </w:r>
          </w:p>
          <w:p w14:paraId="1DB309CB" w14:textId="77777777" w:rsidR="00455F2B" w:rsidRPr="00967C68" w:rsidRDefault="00455F2B" w:rsidP="003C710A">
            <w:pPr>
              <w:spacing w:line="276" w:lineRule="auto"/>
              <w:jc w:val="both"/>
              <w:rPr>
                <w:highlight w:val="yellow"/>
              </w:rPr>
            </w:pPr>
          </w:p>
        </w:tc>
      </w:tr>
      <w:tr w:rsidR="00455F2B" w14:paraId="1C3D4FC3" w14:textId="77777777" w:rsidTr="003C710A">
        <w:trPr>
          <w:trHeight w:val="660"/>
        </w:trPr>
        <w:tc>
          <w:tcPr>
            <w:tcW w:w="2265" w:type="dxa"/>
            <w:shd w:val="clear" w:color="auto" w:fill="FFFFFF" w:themeFill="background1"/>
            <w:tcMar>
              <w:left w:w="108" w:type="dxa"/>
              <w:right w:w="108" w:type="dxa"/>
            </w:tcMar>
          </w:tcPr>
          <w:p w14:paraId="16B60EB3" w14:textId="77777777" w:rsidR="00455F2B" w:rsidRDefault="00455F2B" w:rsidP="003C710A">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615EB348" w14:textId="77777777" w:rsidR="00455F2B" w:rsidRDefault="00455F2B" w:rsidP="003C710A">
            <w:pPr>
              <w:ind w:right="1"/>
              <w:jc w:val="both"/>
              <w:rPr>
                <w:rFonts w:ascii="Verdana" w:eastAsia="Verdana" w:hAnsi="Verdana" w:cs="Verdana"/>
                <w:color w:val="000000" w:themeColor="text1"/>
              </w:rPr>
            </w:pPr>
            <w:r w:rsidRPr="39124533">
              <w:rPr>
                <w:rFonts w:ascii="Verdana" w:eastAsia="Verdana" w:hAnsi="Verdana" w:cs="Verdana"/>
                <w:color w:val="000000" w:themeColor="text1"/>
              </w:rPr>
              <w:t xml:space="preserve">Respuesta a consulta con radicado N.º </w:t>
            </w:r>
            <w:r w:rsidRPr="00090673">
              <w:rPr>
                <w:rFonts w:ascii="Verdana" w:eastAsia="Verdana" w:hAnsi="Verdana" w:cs="Verdana"/>
                <w:color w:val="000000" w:themeColor="text1"/>
              </w:rPr>
              <w:t>1_2026_08_26_011348</w:t>
            </w:r>
            <w:r>
              <w:rPr>
                <w:rFonts w:ascii="Verdana" w:eastAsia="Verdana" w:hAnsi="Verdana" w:cs="Verdana"/>
                <w:color w:val="000000" w:themeColor="text1"/>
              </w:rPr>
              <w:t>.</w:t>
            </w:r>
          </w:p>
          <w:p w14:paraId="0910AB39" w14:textId="77777777" w:rsidR="00455F2B" w:rsidRDefault="00455F2B" w:rsidP="003C710A">
            <w:pPr>
              <w:ind w:right="1"/>
              <w:jc w:val="both"/>
              <w:rPr>
                <w:rFonts w:ascii="Verdana" w:eastAsia="Verdana" w:hAnsi="Verdana" w:cs="Verdana"/>
                <w:color w:val="000000" w:themeColor="text1"/>
              </w:rPr>
            </w:pPr>
          </w:p>
          <w:p w14:paraId="5F8569EB" w14:textId="77777777" w:rsidR="00455F2B" w:rsidRPr="00F92037" w:rsidRDefault="00455F2B" w:rsidP="003C710A">
            <w:pPr>
              <w:ind w:right="1"/>
              <w:rPr>
                <w:rFonts w:ascii="Verdana" w:eastAsia="Verdana" w:hAnsi="Verdana" w:cs="Verdana"/>
                <w:color w:val="000000" w:themeColor="text1"/>
              </w:rPr>
            </w:pPr>
          </w:p>
        </w:tc>
      </w:tr>
    </w:tbl>
    <w:p w14:paraId="7729BB30" w14:textId="77777777" w:rsidR="00455F2B" w:rsidRPr="00F92037" w:rsidRDefault="00455F2B" w:rsidP="527016F6">
      <w:pPr>
        <w:spacing w:after="0" w:line="240" w:lineRule="auto"/>
        <w:jc w:val="both"/>
        <w:textAlignment w:val="baseline"/>
        <w:rPr>
          <w:rFonts w:ascii="Verdana" w:eastAsia="Verdana" w:hAnsi="Verdana" w:cs="Verdana"/>
          <w:color w:val="000000" w:themeColor="text1"/>
          <w:lang w:val="es-ES"/>
        </w:rPr>
      </w:pPr>
      <w:r w:rsidRPr="527016F6">
        <w:rPr>
          <w:rFonts w:ascii="Verdana" w:eastAsia="Verdana" w:hAnsi="Verdana" w:cs="Verdana"/>
          <w:color w:val="000000" w:themeColor="text1"/>
          <w:lang w:val="es-ES"/>
        </w:rPr>
        <w:t>Estimada señora Gonzalez:</w:t>
      </w:r>
    </w:p>
    <w:p w14:paraId="16FF07FE" w14:textId="77777777" w:rsidR="00455F2B" w:rsidRPr="0015699B" w:rsidRDefault="00455F2B" w:rsidP="00455F2B">
      <w:pPr>
        <w:spacing w:after="0" w:line="240" w:lineRule="auto"/>
        <w:jc w:val="both"/>
        <w:textAlignment w:val="baseline"/>
        <w:rPr>
          <w:rFonts w:ascii="Verdana" w:eastAsia="Verdana" w:hAnsi="Verdana" w:cs="Verdana"/>
          <w:b/>
          <w:bCs/>
          <w:color w:val="000000" w:themeColor="text1"/>
          <w:lang w:val="es"/>
        </w:rPr>
      </w:pPr>
    </w:p>
    <w:p w14:paraId="50E24FF3" w14:textId="77777777" w:rsidR="00455F2B" w:rsidRDefault="00455F2B" w:rsidP="00455F2B">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21</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agosto</w:t>
      </w:r>
      <w:r w:rsidRPr="39124533">
        <w:rPr>
          <w:rFonts w:ascii="Verdana" w:eastAsia="Verdana" w:hAnsi="Verdana" w:cs="Verdana"/>
          <w:color w:val="000000" w:themeColor="text1"/>
          <w:lang w:val="es-ES"/>
        </w:rPr>
        <w:t xml:space="preserve"> de 2026 en la cual manifiesta lo siguiente:</w:t>
      </w:r>
    </w:p>
    <w:p w14:paraId="1521EB5B" w14:textId="77777777" w:rsidR="00455F2B" w:rsidRDefault="00455F2B" w:rsidP="00455F2B">
      <w:pPr>
        <w:spacing w:after="120" w:line="276" w:lineRule="auto"/>
        <w:ind w:left="567" w:right="758"/>
        <w:jc w:val="both"/>
        <w:textAlignment w:val="baseline"/>
        <w:rPr>
          <w:rFonts w:ascii="Verdana" w:eastAsia="Verdana" w:hAnsi="Verdana" w:cs="Verdana"/>
          <w:color w:val="000000" w:themeColor="text1"/>
          <w:sz w:val="21"/>
          <w:szCs w:val="21"/>
        </w:rPr>
      </w:pPr>
      <w:r w:rsidRPr="00971885">
        <w:rPr>
          <w:rFonts w:ascii="Verdana" w:eastAsia="Verdana" w:hAnsi="Verdana" w:cs="Verdana"/>
          <w:color w:val="000000" w:themeColor="text1"/>
          <w:sz w:val="21"/>
          <w:szCs w:val="21"/>
        </w:rPr>
        <w:t>“</w:t>
      </w:r>
    </w:p>
    <w:p w14:paraId="514EBFE0" w14:textId="77777777" w:rsidR="00455F2B" w:rsidRPr="00802497" w:rsidRDefault="00455F2B" w:rsidP="00455F2B">
      <w:pPr>
        <w:pStyle w:val="Prrafodelista"/>
        <w:numPr>
          <w:ilvl w:val="0"/>
          <w:numId w:val="18"/>
        </w:numPr>
        <w:spacing w:after="120" w:line="276" w:lineRule="auto"/>
        <w:ind w:left="851" w:right="758" w:hanging="284"/>
        <w:jc w:val="both"/>
        <w:textAlignment w:val="baseline"/>
        <w:rPr>
          <w:rFonts w:ascii="Verdana" w:eastAsia="Verdana" w:hAnsi="Verdana" w:cs="Verdana"/>
          <w:color w:val="000000" w:themeColor="text1"/>
          <w:sz w:val="21"/>
          <w:szCs w:val="21"/>
        </w:rPr>
      </w:pPr>
      <w:r w:rsidRPr="00802497">
        <w:rPr>
          <w:rFonts w:ascii="Verdana" w:eastAsia="Verdana" w:hAnsi="Verdana" w:cs="Verdana"/>
          <w:color w:val="000000" w:themeColor="text1"/>
          <w:sz w:val="21"/>
          <w:szCs w:val="21"/>
        </w:rPr>
        <w:t xml:space="preserve">Cuando el registro único de proponentes RUP se encuentre en el periodo de transición con respecto a la renovación de la información financiera más los días que toma la cámara de comercio para revisar y publicar la información y dar firmeza al documento no hay un tiempo límite para que la cámara de comercio revise la </w:t>
      </w:r>
      <w:r w:rsidRPr="00802497">
        <w:rPr>
          <w:rFonts w:ascii="Verdana" w:eastAsia="Verdana" w:hAnsi="Verdana" w:cs="Verdana"/>
          <w:color w:val="000000" w:themeColor="text1"/>
          <w:sz w:val="21"/>
          <w:szCs w:val="21"/>
        </w:rPr>
        <w:lastRenderedPageBreak/>
        <w:t>documentación y las subsanaciones solicitadas, en este proceso se ha evidenciado que puede superar hasta los 30 días hábiles, en este sentido, no existe una norma que precise en señalar si se debe tomar la información financiera anterior para evaluar ya que es la que se encuentra en firme, siempre y cuando los interesados hayan realizado el trámite de renovación correspondiente conforme lo señalado en el Decreto 1082 de 2025 (…).</w:t>
      </w:r>
    </w:p>
    <w:p w14:paraId="5523C898" w14:textId="77777777" w:rsidR="00455F2B" w:rsidRDefault="00455F2B" w:rsidP="00455F2B">
      <w:pPr>
        <w:pStyle w:val="Prrafodelista"/>
        <w:spacing w:after="120" w:line="276" w:lineRule="auto"/>
        <w:ind w:left="851" w:right="758" w:hanging="284"/>
        <w:jc w:val="both"/>
        <w:textAlignment w:val="baseline"/>
        <w:rPr>
          <w:rFonts w:ascii="Verdana" w:eastAsia="Verdana" w:hAnsi="Verdana" w:cs="Verdana"/>
          <w:color w:val="000000" w:themeColor="text1"/>
          <w:sz w:val="21"/>
          <w:szCs w:val="21"/>
        </w:rPr>
      </w:pPr>
    </w:p>
    <w:p w14:paraId="58D34F5A" w14:textId="77777777" w:rsidR="00455F2B" w:rsidRPr="00802497" w:rsidRDefault="00455F2B" w:rsidP="00455F2B">
      <w:pPr>
        <w:pStyle w:val="Prrafodelista"/>
        <w:spacing w:after="120" w:line="276" w:lineRule="auto"/>
        <w:ind w:left="851" w:right="758" w:hanging="284"/>
        <w:jc w:val="both"/>
        <w:textAlignment w:val="baseline"/>
        <w:rPr>
          <w:rFonts w:ascii="Verdana" w:eastAsia="Verdana" w:hAnsi="Verdana" w:cs="Verdana"/>
          <w:color w:val="000000" w:themeColor="text1"/>
          <w:sz w:val="21"/>
          <w:szCs w:val="21"/>
        </w:rPr>
      </w:pPr>
      <w:r w:rsidRPr="00802497">
        <w:rPr>
          <w:rFonts w:ascii="Verdana" w:eastAsia="Verdana" w:hAnsi="Verdana" w:cs="Verdana"/>
          <w:color w:val="000000" w:themeColor="text1"/>
          <w:sz w:val="21"/>
          <w:szCs w:val="21"/>
        </w:rPr>
        <w:t>“SUBSECCIÓN 5 REGISTRO ÚNICO DE PROPONENTES (RUP)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 La persona inscrita en el RUP debe presentar la información para renovar su registro a más tardar el quinto día hábil del mes de abril de cada año.</w:t>
      </w:r>
    </w:p>
    <w:p w14:paraId="3D980B42" w14:textId="77777777" w:rsidR="00455F2B" w:rsidRPr="00090673" w:rsidRDefault="00455F2B" w:rsidP="00455F2B">
      <w:pPr>
        <w:spacing w:after="120" w:line="276" w:lineRule="auto"/>
        <w:ind w:left="851" w:right="758"/>
        <w:jc w:val="both"/>
        <w:textAlignment w:val="baseline"/>
        <w:rPr>
          <w:rFonts w:ascii="Verdana" w:eastAsia="Verdana" w:hAnsi="Verdana" w:cs="Verdana"/>
          <w:color w:val="000000" w:themeColor="text1"/>
          <w:sz w:val="21"/>
          <w:szCs w:val="21"/>
        </w:rPr>
      </w:pPr>
      <w:r w:rsidRPr="00090673">
        <w:rPr>
          <w:rFonts w:ascii="Verdana" w:eastAsia="Verdana" w:hAnsi="Verdana" w:cs="Verdana"/>
          <w:color w:val="000000" w:themeColor="text1"/>
          <w:sz w:val="21"/>
          <w:szCs w:val="21"/>
        </w:rPr>
        <w:t>De lo contrario cesan los efectos del RUP. La persona inscrita en el RUP puede actualizar la</w:t>
      </w:r>
      <w:r>
        <w:rPr>
          <w:rFonts w:ascii="Verdana" w:eastAsia="Verdana" w:hAnsi="Verdana" w:cs="Verdana"/>
          <w:color w:val="000000" w:themeColor="text1"/>
          <w:sz w:val="21"/>
          <w:szCs w:val="21"/>
        </w:rPr>
        <w:t xml:space="preserve"> </w:t>
      </w:r>
      <w:r w:rsidRPr="00090673">
        <w:rPr>
          <w:rFonts w:ascii="Verdana" w:eastAsia="Verdana" w:hAnsi="Verdana" w:cs="Verdana"/>
          <w:color w:val="000000" w:themeColor="text1"/>
          <w:sz w:val="21"/>
          <w:szCs w:val="21"/>
        </w:rPr>
        <w:t>información registrada relativa a su experiencia y capacidad jurídica en cualquier momento”.</w:t>
      </w:r>
    </w:p>
    <w:p w14:paraId="0CF4BB78" w14:textId="77777777" w:rsidR="00455F2B" w:rsidRDefault="00455F2B" w:rsidP="00455F2B">
      <w:pPr>
        <w:spacing w:after="120" w:line="276" w:lineRule="auto"/>
        <w:ind w:left="851" w:right="758"/>
        <w:jc w:val="both"/>
        <w:textAlignment w:val="baseline"/>
        <w:rPr>
          <w:rFonts w:ascii="Verdana" w:eastAsia="Verdana" w:hAnsi="Verdana" w:cs="Verdana"/>
          <w:color w:val="000000" w:themeColor="text1"/>
          <w:sz w:val="21"/>
          <w:szCs w:val="21"/>
        </w:rPr>
      </w:pPr>
      <w:r w:rsidRPr="00090673">
        <w:rPr>
          <w:rFonts w:ascii="Verdana" w:eastAsia="Verdana" w:hAnsi="Verdana" w:cs="Verdana"/>
          <w:color w:val="000000" w:themeColor="text1"/>
          <w:sz w:val="21"/>
          <w:szCs w:val="21"/>
        </w:rPr>
        <w:t>Por lo anterior, solicitamos nos indiquen si existe una norma jurídicamente vinculante a los procesos de selección para</w:t>
      </w:r>
      <w:r>
        <w:rPr>
          <w:rFonts w:ascii="Verdana" w:eastAsia="Verdana" w:hAnsi="Verdana" w:cs="Verdana"/>
          <w:color w:val="000000" w:themeColor="text1"/>
          <w:sz w:val="21"/>
          <w:szCs w:val="21"/>
        </w:rPr>
        <w:t xml:space="preserve"> </w:t>
      </w:r>
      <w:r w:rsidRPr="00090673">
        <w:rPr>
          <w:rFonts w:ascii="Verdana" w:eastAsia="Verdana" w:hAnsi="Verdana" w:cs="Verdana"/>
          <w:color w:val="000000" w:themeColor="text1"/>
          <w:sz w:val="21"/>
          <w:szCs w:val="21"/>
        </w:rPr>
        <w:t>tomar la información que se encuentre vigente y en firme durante el periodo de la coyuntura de renovación de la</w:t>
      </w:r>
      <w:r>
        <w:rPr>
          <w:rFonts w:ascii="Verdana" w:eastAsia="Verdana" w:hAnsi="Verdana" w:cs="Verdana"/>
          <w:color w:val="000000" w:themeColor="text1"/>
          <w:sz w:val="21"/>
          <w:szCs w:val="21"/>
        </w:rPr>
        <w:t xml:space="preserve"> </w:t>
      </w:r>
      <w:r w:rsidRPr="00090673">
        <w:rPr>
          <w:rFonts w:ascii="Verdana" w:eastAsia="Verdana" w:hAnsi="Verdana" w:cs="Verdana"/>
          <w:color w:val="000000" w:themeColor="text1"/>
          <w:sz w:val="21"/>
          <w:szCs w:val="21"/>
        </w:rPr>
        <w:t>información financiera.</w:t>
      </w:r>
    </w:p>
    <w:p w14:paraId="23C8B1ED" w14:textId="77777777" w:rsidR="00455F2B" w:rsidRDefault="00455F2B" w:rsidP="00455F2B">
      <w:pPr>
        <w:spacing w:after="120" w:line="276" w:lineRule="auto"/>
        <w:ind w:left="851" w:right="758"/>
        <w:jc w:val="both"/>
        <w:textAlignment w:val="baseline"/>
        <w:rPr>
          <w:rFonts w:ascii="Verdana" w:eastAsia="Verdana" w:hAnsi="Verdana" w:cs="Verdana"/>
          <w:color w:val="000000" w:themeColor="text1"/>
          <w:sz w:val="21"/>
          <w:szCs w:val="21"/>
        </w:rPr>
      </w:pPr>
      <w:r w:rsidRPr="00802497">
        <w:rPr>
          <w:rFonts w:ascii="Verdana" w:eastAsia="Verdana" w:hAnsi="Verdana" w:cs="Verdana"/>
          <w:color w:val="000000" w:themeColor="text1"/>
          <w:sz w:val="21"/>
          <w:szCs w:val="21"/>
        </w:rPr>
        <w:t>2- Con referencia a los pliegos tipo y teniendo en cuenta que las condiciones definidas en el componente</w:t>
      </w:r>
      <w:r>
        <w:rPr>
          <w:rFonts w:ascii="Verdana" w:eastAsia="Verdana" w:hAnsi="Verdana" w:cs="Verdana"/>
          <w:color w:val="000000" w:themeColor="text1"/>
          <w:sz w:val="21"/>
          <w:szCs w:val="21"/>
        </w:rPr>
        <w:t xml:space="preserve"> </w:t>
      </w:r>
      <w:r w:rsidRPr="00802497">
        <w:rPr>
          <w:rFonts w:ascii="Verdana" w:eastAsia="Verdana" w:hAnsi="Verdana" w:cs="Verdana"/>
          <w:color w:val="000000" w:themeColor="text1"/>
          <w:sz w:val="21"/>
          <w:szCs w:val="21"/>
        </w:rPr>
        <w:t>financiero son generales, es posible realizar algunos cambios para dejar requisitos y condiciones específicos</w:t>
      </w:r>
      <w:r>
        <w:rPr>
          <w:rFonts w:ascii="Verdana" w:eastAsia="Verdana" w:hAnsi="Verdana" w:cs="Verdana"/>
          <w:color w:val="000000" w:themeColor="text1"/>
          <w:sz w:val="21"/>
          <w:szCs w:val="21"/>
        </w:rPr>
        <w:t xml:space="preserve"> </w:t>
      </w:r>
      <w:r w:rsidRPr="00802497">
        <w:rPr>
          <w:rFonts w:ascii="Verdana" w:eastAsia="Verdana" w:hAnsi="Verdana" w:cs="Verdana"/>
          <w:color w:val="000000" w:themeColor="text1"/>
          <w:sz w:val="21"/>
          <w:szCs w:val="21"/>
        </w:rPr>
        <w:t>para dar mayor claridad sobre la forma y métodos de evaluación y que los interesados tengan pleno</w:t>
      </w:r>
      <w:r>
        <w:rPr>
          <w:rFonts w:ascii="Verdana" w:eastAsia="Verdana" w:hAnsi="Verdana" w:cs="Verdana"/>
          <w:color w:val="000000" w:themeColor="text1"/>
          <w:sz w:val="21"/>
          <w:szCs w:val="21"/>
        </w:rPr>
        <w:t xml:space="preserve"> </w:t>
      </w:r>
      <w:r w:rsidRPr="00802497">
        <w:rPr>
          <w:rFonts w:ascii="Verdana" w:eastAsia="Verdana" w:hAnsi="Verdana" w:cs="Verdana"/>
          <w:color w:val="000000" w:themeColor="text1"/>
          <w:sz w:val="21"/>
          <w:szCs w:val="21"/>
        </w:rPr>
        <w:t>conocimiento sobre como presentar las propuestas y minimizar el tema de observaciones en todas las etapas</w:t>
      </w:r>
      <w:r>
        <w:rPr>
          <w:rFonts w:ascii="Verdana" w:eastAsia="Verdana" w:hAnsi="Verdana" w:cs="Verdana"/>
          <w:color w:val="000000" w:themeColor="text1"/>
          <w:sz w:val="21"/>
          <w:szCs w:val="21"/>
        </w:rPr>
        <w:t xml:space="preserve"> </w:t>
      </w:r>
      <w:r w:rsidRPr="00802497">
        <w:rPr>
          <w:rFonts w:ascii="Verdana" w:eastAsia="Verdana" w:hAnsi="Verdana" w:cs="Verdana"/>
          <w:color w:val="000000" w:themeColor="text1"/>
          <w:sz w:val="21"/>
          <w:szCs w:val="21"/>
        </w:rPr>
        <w:t>del proceso.</w:t>
      </w:r>
    </w:p>
    <w:p w14:paraId="655EA7F0" w14:textId="77777777" w:rsidR="00455F2B" w:rsidRDefault="00455F2B" w:rsidP="00455F2B">
      <w:pPr>
        <w:spacing w:after="120" w:line="276" w:lineRule="auto"/>
        <w:ind w:left="851" w:right="758"/>
        <w:jc w:val="both"/>
        <w:textAlignment w:val="baseline"/>
        <w:rPr>
          <w:rFonts w:ascii="Verdana" w:eastAsia="Verdana" w:hAnsi="Verdana" w:cs="Verdana"/>
          <w:color w:val="000000" w:themeColor="text1"/>
          <w:sz w:val="21"/>
          <w:szCs w:val="21"/>
        </w:rPr>
      </w:pPr>
      <w:r w:rsidRPr="00802497">
        <w:rPr>
          <w:rFonts w:ascii="Verdana" w:eastAsia="Verdana" w:hAnsi="Verdana" w:cs="Verdana"/>
          <w:color w:val="000000" w:themeColor="text1"/>
          <w:sz w:val="21"/>
          <w:szCs w:val="21"/>
        </w:rPr>
        <w:t>3- Con referencia a la presentación de la oferta económica vs estudios de sector y costos, se ha evidenciado</w:t>
      </w:r>
      <w:r>
        <w:rPr>
          <w:rFonts w:ascii="Verdana" w:eastAsia="Verdana" w:hAnsi="Verdana" w:cs="Verdana"/>
          <w:color w:val="000000" w:themeColor="text1"/>
          <w:sz w:val="21"/>
          <w:szCs w:val="21"/>
        </w:rPr>
        <w:t xml:space="preserve"> </w:t>
      </w:r>
      <w:r w:rsidRPr="00802497">
        <w:rPr>
          <w:rFonts w:ascii="Verdana" w:eastAsia="Verdana" w:hAnsi="Verdana" w:cs="Verdana"/>
          <w:color w:val="000000" w:themeColor="text1"/>
          <w:sz w:val="21"/>
          <w:szCs w:val="21"/>
        </w:rPr>
        <w:t>que algunos estudios de sector y costos presentan los valores techo con hasta 13 decimales lo cual se replica</w:t>
      </w:r>
      <w:r>
        <w:rPr>
          <w:rFonts w:ascii="Verdana" w:eastAsia="Verdana" w:hAnsi="Verdana" w:cs="Verdana"/>
          <w:color w:val="000000" w:themeColor="text1"/>
          <w:sz w:val="21"/>
          <w:szCs w:val="21"/>
        </w:rPr>
        <w:t xml:space="preserve"> </w:t>
      </w:r>
      <w:r w:rsidRPr="00802497">
        <w:rPr>
          <w:rFonts w:ascii="Verdana" w:eastAsia="Verdana" w:hAnsi="Verdana" w:cs="Verdana"/>
          <w:color w:val="000000" w:themeColor="text1"/>
          <w:sz w:val="21"/>
          <w:szCs w:val="21"/>
        </w:rPr>
        <w:t>en el formato de oferta económica y en la aplicación de la fórmula de REDONDEO sobre pasa el valor de</w:t>
      </w:r>
      <w:r>
        <w:rPr>
          <w:rFonts w:ascii="Verdana" w:eastAsia="Verdana" w:hAnsi="Verdana" w:cs="Verdana"/>
          <w:color w:val="000000" w:themeColor="text1"/>
          <w:sz w:val="21"/>
          <w:szCs w:val="21"/>
        </w:rPr>
        <w:t xml:space="preserve"> </w:t>
      </w:r>
      <w:r w:rsidRPr="00802497">
        <w:rPr>
          <w:rFonts w:ascii="Verdana" w:eastAsia="Verdana" w:hAnsi="Verdana" w:cs="Verdana"/>
          <w:color w:val="000000" w:themeColor="text1"/>
          <w:sz w:val="21"/>
          <w:szCs w:val="21"/>
        </w:rPr>
        <w:lastRenderedPageBreak/>
        <w:t>precio techo incurriendo en causales de rechazo, por lo cual solicitamos nos indiquen si existe una norma</w:t>
      </w:r>
      <w:r>
        <w:rPr>
          <w:rFonts w:ascii="Verdana" w:eastAsia="Verdana" w:hAnsi="Verdana" w:cs="Verdana"/>
          <w:color w:val="000000" w:themeColor="text1"/>
          <w:sz w:val="21"/>
          <w:szCs w:val="21"/>
        </w:rPr>
        <w:t xml:space="preserve"> </w:t>
      </w:r>
      <w:r w:rsidRPr="00802497">
        <w:rPr>
          <w:rFonts w:ascii="Verdana" w:eastAsia="Verdana" w:hAnsi="Verdana" w:cs="Verdana"/>
          <w:color w:val="000000" w:themeColor="text1"/>
          <w:sz w:val="21"/>
          <w:szCs w:val="21"/>
        </w:rPr>
        <w:t>jurídicamente vinculante donde se indique hasta cuantos decimales es recomendable para manejar los</w:t>
      </w:r>
      <w:r>
        <w:rPr>
          <w:rFonts w:ascii="Verdana" w:eastAsia="Verdana" w:hAnsi="Verdana" w:cs="Verdana"/>
          <w:color w:val="000000" w:themeColor="text1"/>
          <w:sz w:val="21"/>
          <w:szCs w:val="21"/>
        </w:rPr>
        <w:t xml:space="preserve"> </w:t>
      </w:r>
      <w:r w:rsidRPr="00802497">
        <w:rPr>
          <w:rFonts w:ascii="Verdana" w:eastAsia="Verdana" w:hAnsi="Verdana" w:cs="Verdana"/>
          <w:color w:val="000000" w:themeColor="text1"/>
          <w:sz w:val="21"/>
          <w:szCs w:val="21"/>
        </w:rPr>
        <w:t>precios techo y poder calcular el valor del bien más el IVA en los precios unitarios y totales, con el fin de evitar</w:t>
      </w:r>
      <w:r>
        <w:rPr>
          <w:rFonts w:ascii="Verdana" w:eastAsia="Verdana" w:hAnsi="Verdana" w:cs="Verdana"/>
          <w:color w:val="000000" w:themeColor="text1"/>
          <w:sz w:val="21"/>
          <w:szCs w:val="21"/>
        </w:rPr>
        <w:t xml:space="preserve"> </w:t>
      </w:r>
      <w:r w:rsidRPr="00802497">
        <w:rPr>
          <w:rFonts w:ascii="Verdana" w:eastAsia="Verdana" w:hAnsi="Verdana" w:cs="Verdana"/>
          <w:color w:val="000000" w:themeColor="text1"/>
          <w:sz w:val="21"/>
          <w:szCs w:val="21"/>
        </w:rPr>
        <w:t>correcciones aritméticas innecesarias o si en su defecto se debe aplicar la fórmula de REDONDEO desde el</w:t>
      </w:r>
      <w:r>
        <w:rPr>
          <w:rFonts w:ascii="Verdana" w:eastAsia="Verdana" w:hAnsi="Verdana" w:cs="Verdana"/>
          <w:color w:val="000000" w:themeColor="text1"/>
          <w:sz w:val="21"/>
          <w:szCs w:val="21"/>
        </w:rPr>
        <w:t xml:space="preserve"> </w:t>
      </w:r>
      <w:r w:rsidRPr="00802497">
        <w:rPr>
          <w:rFonts w:ascii="Verdana" w:eastAsia="Verdana" w:hAnsi="Verdana" w:cs="Verdana"/>
          <w:color w:val="000000" w:themeColor="text1"/>
          <w:sz w:val="21"/>
          <w:szCs w:val="21"/>
        </w:rPr>
        <w:t>inicio de la proyección del estudio de sector y costos calculando el precio del bien más el IVA sin decimales</w:t>
      </w:r>
      <w:r>
        <w:rPr>
          <w:rFonts w:ascii="Verdana" w:eastAsia="Verdana" w:hAnsi="Verdana" w:cs="Verdana"/>
          <w:color w:val="000000" w:themeColor="text1"/>
          <w:sz w:val="21"/>
          <w:szCs w:val="21"/>
        </w:rPr>
        <w:t>”</w:t>
      </w:r>
      <w:r w:rsidRPr="00802497">
        <w:rPr>
          <w:rFonts w:ascii="Verdana" w:eastAsia="Verdana" w:hAnsi="Verdana" w:cs="Verdana"/>
          <w:color w:val="000000" w:themeColor="text1"/>
          <w:sz w:val="21"/>
          <w:szCs w:val="21"/>
        </w:rPr>
        <w:t>.</w:t>
      </w:r>
    </w:p>
    <w:p w14:paraId="7B5D9007" w14:textId="77777777" w:rsidR="00455F2B" w:rsidRPr="0015699B" w:rsidRDefault="00455F2B" w:rsidP="00455F2B">
      <w:pPr>
        <w:spacing w:after="120" w:line="276" w:lineRule="auto"/>
        <w:ind w:right="51" w:firstLine="709"/>
        <w:jc w:val="both"/>
        <w:textAlignment w:val="baseline"/>
        <w:rPr>
          <w:rFonts w:ascii="Calibri" w:eastAsia="Calibri" w:hAnsi="Calibri" w:cs="Calibri"/>
          <w:lang w:val="es"/>
        </w:rPr>
      </w:pP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4F6B67AF" w14:textId="77777777" w:rsidR="00455F2B" w:rsidRPr="0015699B" w:rsidRDefault="00455F2B" w:rsidP="00455F2B">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6758A40" w14:textId="77777777" w:rsidR="00455F2B" w:rsidRDefault="00455F2B" w:rsidP="00455F2B">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645A5BF" w14:textId="77777777" w:rsidR="00455F2B" w:rsidRPr="0015699B" w:rsidRDefault="00455F2B" w:rsidP="00455F2B">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 xml:space="preserve"> 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78F46AD2" w14:textId="77777777" w:rsidR="00455F2B" w:rsidRPr="0015699B" w:rsidRDefault="00455F2B" w:rsidP="00455F2B">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3B303B5" w14:textId="77777777" w:rsidR="00455F2B" w:rsidRDefault="00455F2B" w:rsidP="00455F2B">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los siguientes problemas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s:</w:t>
      </w:r>
    </w:p>
    <w:p w14:paraId="15A215B1" w14:textId="77777777" w:rsidR="00455F2B" w:rsidRDefault="00455F2B" w:rsidP="00455F2B">
      <w:pPr>
        <w:spacing w:after="0" w:line="276" w:lineRule="auto"/>
        <w:jc w:val="both"/>
        <w:textAlignment w:val="baseline"/>
        <w:rPr>
          <w:rFonts w:ascii="Verdana" w:eastAsia="Verdana" w:hAnsi="Verdana" w:cs="Verdana"/>
          <w:color w:val="000000" w:themeColor="text1"/>
        </w:rPr>
      </w:pPr>
    </w:p>
    <w:p w14:paraId="0626E01A" w14:textId="77777777" w:rsidR="00455F2B" w:rsidRPr="00406066" w:rsidRDefault="00455F2B" w:rsidP="00455F2B">
      <w:pPr>
        <w:spacing w:after="0" w:line="276" w:lineRule="auto"/>
        <w:ind w:left="284"/>
        <w:jc w:val="both"/>
        <w:textAlignment w:val="baseline"/>
        <w:rPr>
          <w:rFonts w:ascii="Verdana" w:eastAsia="Verdana" w:hAnsi="Verdana" w:cs="Verdana"/>
          <w:color w:val="000000" w:themeColor="text1"/>
        </w:rPr>
      </w:pPr>
      <w:r>
        <w:rPr>
          <w:rFonts w:ascii="Verdana" w:eastAsia="Verdana" w:hAnsi="Verdana" w:cs="Verdana"/>
          <w:color w:val="000000" w:themeColor="text1"/>
        </w:rPr>
        <w:t xml:space="preserve">i. </w:t>
      </w:r>
      <w:r w:rsidRPr="00406066">
        <w:rPr>
          <w:rFonts w:ascii="Verdana" w:eastAsia="Verdana" w:hAnsi="Verdana" w:cs="Verdana"/>
          <w:color w:val="000000" w:themeColor="text1"/>
        </w:rPr>
        <w:t>¿</w:t>
      </w:r>
      <w:r w:rsidRPr="008E5AB7">
        <w:rPr>
          <w:rFonts w:ascii="Verdana" w:eastAsia="Verdana" w:hAnsi="Verdana" w:cs="Verdana"/>
          <w:color w:val="000000" w:themeColor="text1"/>
        </w:rPr>
        <w:t>Durante la renovación oportuna del RUP, debe evaluarse la capacidad financiera y organizacional con la información anterior que se encuentra vigente y en firme, mientras la nueva información aún está en trámite</w:t>
      </w:r>
      <w:r w:rsidRPr="00406066">
        <w:rPr>
          <w:rFonts w:ascii="Verdana" w:eastAsia="Verdana" w:hAnsi="Verdana" w:cs="Verdana"/>
          <w:color w:val="000000" w:themeColor="text1"/>
        </w:rPr>
        <w:t>?</w:t>
      </w:r>
    </w:p>
    <w:p w14:paraId="1C6FECC9" w14:textId="77777777" w:rsidR="00455F2B" w:rsidRDefault="00455F2B" w:rsidP="00455F2B">
      <w:pPr>
        <w:spacing w:after="0" w:line="276" w:lineRule="auto"/>
        <w:ind w:left="284"/>
        <w:jc w:val="both"/>
        <w:textAlignment w:val="baseline"/>
        <w:rPr>
          <w:rFonts w:ascii="Verdana" w:eastAsia="Verdana" w:hAnsi="Verdana" w:cs="Verdana"/>
          <w:color w:val="000000" w:themeColor="text1"/>
        </w:rPr>
      </w:pPr>
    </w:p>
    <w:p w14:paraId="0CDB9C5C" w14:textId="77777777" w:rsidR="00455F2B" w:rsidRDefault="00455F2B" w:rsidP="00455F2B">
      <w:pPr>
        <w:spacing w:after="0" w:line="276" w:lineRule="auto"/>
        <w:ind w:left="284"/>
        <w:jc w:val="both"/>
        <w:textAlignment w:val="baseline"/>
        <w:rPr>
          <w:rFonts w:ascii="Verdana" w:eastAsia="Verdana" w:hAnsi="Verdana" w:cs="Verdana"/>
          <w:color w:val="000000" w:themeColor="text1"/>
        </w:rPr>
      </w:pPr>
      <w:proofErr w:type="spellStart"/>
      <w:r>
        <w:rPr>
          <w:rFonts w:ascii="Verdana" w:eastAsia="Verdana" w:hAnsi="Verdana" w:cs="Verdana"/>
          <w:color w:val="000000" w:themeColor="text1"/>
        </w:rPr>
        <w:t>ii</w:t>
      </w:r>
      <w:proofErr w:type="spellEnd"/>
      <w:r>
        <w:rPr>
          <w:rFonts w:ascii="Verdana" w:eastAsia="Verdana" w:hAnsi="Verdana" w:cs="Verdana"/>
          <w:color w:val="000000" w:themeColor="text1"/>
        </w:rPr>
        <w:t xml:space="preserve">. </w:t>
      </w:r>
      <w:r w:rsidRPr="00406066">
        <w:rPr>
          <w:rFonts w:ascii="Verdana" w:eastAsia="Verdana" w:hAnsi="Verdana" w:cs="Verdana"/>
          <w:color w:val="000000" w:themeColor="text1"/>
        </w:rPr>
        <w:t>¿</w:t>
      </w:r>
      <w:r w:rsidRPr="008E5AB7">
        <w:rPr>
          <w:rFonts w:ascii="Verdana" w:eastAsia="Verdana" w:hAnsi="Verdana" w:cs="Verdana"/>
          <w:color w:val="000000" w:themeColor="text1"/>
        </w:rPr>
        <w:t>Pueden las entidades sometidas a Documentos Tipo modificar o complementar los requisitos financieros y las metodologías de evaluación, o deben sujetarse al principio de inalterabilidad?</w:t>
      </w:r>
      <w:r>
        <w:rPr>
          <w:rFonts w:ascii="Verdana" w:eastAsia="Verdana" w:hAnsi="Verdana" w:cs="Verdana"/>
          <w:color w:val="000000" w:themeColor="text1"/>
        </w:rPr>
        <w:t xml:space="preserve"> </w:t>
      </w:r>
    </w:p>
    <w:p w14:paraId="600A37E2" w14:textId="77777777" w:rsidR="00455F2B" w:rsidRDefault="00455F2B" w:rsidP="00455F2B">
      <w:pPr>
        <w:spacing w:after="0" w:line="276" w:lineRule="auto"/>
        <w:ind w:left="284"/>
        <w:jc w:val="both"/>
        <w:textAlignment w:val="baseline"/>
        <w:rPr>
          <w:rFonts w:ascii="Verdana" w:eastAsia="Verdana" w:hAnsi="Verdana" w:cs="Verdana"/>
          <w:color w:val="000000" w:themeColor="text1"/>
        </w:rPr>
      </w:pPr>
    </w:p>
    <w:p w14:paraId="030EB75E" w14:textId="77777777" w:rsidR="00455F2B" w:rsidRPr="00406066" w:rsidRDefault="00455F2B" w:rsidP="00455F2B">
      <w:pPr>
        <w:spacing w:after="0" w:line="276" w:lineRule="auto"/>
        <w:ind w:left="284"/>
        <w:jc w:val="both"/>
        <w:textAlignment w:val="baseline"/>
        <w:rPr>
          <w:rFonts w:ascii="Verdana" w:eastAsia="Verdana" w:hAnsi="Verdana" w:cs="Verdana"/>
          <w:color w:val="000000" w:themeColor="text1"/>
        </w:rPr>
      </w:pPr>
      <w:proofErr w:type="spellStart"/>
      <w:r>
        <w:rPr>
          <w:rFonts w:ascii="Verdana" w:eastAsia="Verdana" w:hAnsi="Verdana" w:cs="Verdana"/>
          <w:color w:val="000000" w:themeColor="text1"/>
        </w:rPr>
        <w:t>iii</w:t>
      </w:r>
      <w:proofErr w:type="spellEnd"/>
      <w:r>
        <w:rPr>
          <w:rFonts w:ascii="Verdana" w:eastAsia="Verdana" w:hAnsi="Verdana" w:cs="Verdana"/>
          <w:color w:val="000000" w:themeColor="text1"/>
        </w:rPr>
        <w:t xml:space="preserve">. </w:t>
      </w:r>
      <w:r w:rsidRPr="00406066">
        <w:rPr>
          <w:rFonts w:ascii="Verdana" w:eastAsia="Verdana" w:hAnsi="Verdana" w:cs="Verdana"/>
          <w:color w:val="000000" w:themeColor="text1"/>
        </w:rPr>
        <w:t>¿</w:t>
      </w:r>
      <w:r w:rsidRPr="008E5AB7">
        <w:rPr>
          <w:rFonts w:ascii="Verdana" w:eastAsia="Verdana" w:hAnsi="Verdana" w:cs="Verdana"/>
          <w:color w:val="000000" w:themeColor="text1"/>
        </w:rPr>
        <w:t>Existe una regla sobre el número de decimales aplicable a los estudios de mercado, presupuestos y ofertas económicas, y cómo deben manejarse las diferencias derivadas del redondeo frente al precio techo</w:t>
      </w:r>
      <w:r w:rsidRPr="00406066">
        <w:rPr>
          <w:rFonts w:ascii="Verdana" w:eastAsia="Verdana" w:hAnsi="Verdana" w:cs="Verdana"/>
          <w:color w:val="000000" w:themeColor="text1"/>
        </w:rPr>
        <w:t>?</w:t>
      </w:r>
    </w:p>
    <w:p w14:paraId="669D3197" w14:textId="77777777" w:rsidR="00455F2B" w:rsidRDefault="00455F2B" w:rsidP="00455F2B">
      <w:pPr>
        <w:spacing w:after="0" w:line="276" w:lineRule="auto"/>
        <w:jc w:val="both"/>
        <w:textAlignment w:val="baseline"/>
        <w:rPr>
          <w:rFonts w:ascii="Verdana" w:eastAsia="Verdana" w:hAnsi="Verdana" w:cs="Verdana"/>
          <w:color w:val="000000" w:themeColor="text1"/>
        </w:rPr>
      </w:pPr>
    </w:p>
    <w:p w14:paraId="378460A6" w14:textId="77777777" w:rsidR="00455F2B" w:rsidRPr="0015699B" w:rsidRDefault="00455F2B" w:rsidP="00455F2B">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6C7C9545" w14:textId="77777777" w:rsidR="00455F2B" w:rsidRPr="0015699B" w:rsidRDefault="00455F2B" w:rsidP="00455F2B">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818"/>
      </w:tblGrid>
      <w:tr w:rsidR="00455F2B" w14:paraId="6CAC0D4E" w14:textId="77777777" w:rsidTr="003C710A">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02777786" w14:textId="77777777" w:rsidR="00455F2B" w:rsidRPr="00EC79DE" w:rsidRDefault="00455F2B" w:rsidP="003C710A">
            <w:pPr>
              <w:spacing w:after="120" w:line="276" w:lineRule="auto"/>
              <w:jc w:val="both"/>
              <w:rPr>
                <w:rFonts w:ascii="Verdana" w:eastAsia="Verdana" w:hAnsi="Verdana" w:cs="Verdana"/>
              </w:rPr>
            </w:pPr>
            <w:r>
              <w:rPr>
                <w:rFonts w:ascii="Verdana" w:eastAsia="Verdana" w:hAnsi="Verdana" w:cs="Verdana"/>
              </w:rPr>
              <w:t xml:space="preserve">         i) </w:t>
            </w:r>
            <w:r w:rsidRPr="00EC79DE">
              <w:rPr>
                <w:rFonts w:ascii="Verdana" w:eastAsia="Verdana" w:hAnsi="Verdana" w:cs="Verdana"/>
              </w:rPr>
              <w:t>De conformidad con lo dispuesto en el artículo 6 de la Ley 1150 de 2007 y en los artículos 2.2.1.1.1.5.1 y 2.2.1.1.1.5.2 del Decreto 1082 de 2015, el Registro Único de Proponentes –RUP– constituye el instrumento a través del cual se acredita la información relacionada con la capacidad jurídica, financiera, organizacional y técnica de los proponentes, en los términos establecidos por el ordenamiento jurídico.</w:t>
            </w:r>
          </w:p>
          <w:p w14:paraId="3C31021B" w14:textId="77777777" w:rsidR="00455F2B" w:rsidRPr="00EC79DE"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EC79DE">
              <w:rPr>
                <w:rFonts w:ascii="Verdana" w:eastAsia="Verdana" w:hAnsi="Verdana" w:cs="Verdana"/>
              </w:rPr>
              <w:t>En relación con la renovación del RUP, el artículo 2.2.1.1.1.5.1 del Decreto 1082 de 2015 establece que la persona inscrita debe presentar la información para renovar su registro a más tardar el quinto día hábil de abril de cada año, so pena del cese de los efectos del registro. Sobre este aspecto, la Agencia Nacional de Contratación Pública – Colombia Compra Eficiente, en el Concepto C-868 de 2026, señaló que, si el proponente no presenta oportunamente la información para renovar el registro, “cesarán los efectos del RUP” y que, en tal evento, deberá realizar una nueva inscripción, la cual solo le permitirá participar cuando se encuentre en firme.</w:t>
            </w:r>
          </w:p>
          <w:p w14:paraId="3F2AA904" w14:textId="77777777" w:rsidR="00455F2B" w:rsidRPr="00EC79DE"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EC79DE">
              <w:rPr>
                <w:rFonts w:ascii="Verdana" w:eastAsia="Verdana" w:hAnsi="Verdana" w:cs="Verdana"/>
              </w:rPr>
              <w:t>De esta manera, cuando el proponente presenta oportunamente la solicitud de renovación, no se produce el cese de los efectos de su inscripción anterior por el solo hecho de que la Cámara de Comercio se encuentre verificando la información renovada. En consecuencia, mientras culmina dicho trámite, la información que se encuentra vigente en el RUP mantiene sus efectos para acreditar los requisitos habilitantes.</w:t>
            </w:r>
          </w:p>
          <w:p w14:paraId="62A2DBD0" w14:textId="77777777" w:rsidR="00455F2B" w:rsidRPr="00EC79DE"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EC79DE">
              <w:rPr>
                <w:rFonts w:ascii="Verdana" w:eastAsia="Verdana" w:hAnsi="Verdana" w:cs="Verdana"/>
              </w:rPr>
              <w:t xml:space="preserve">Ahora bien, debe distinguirse entre la vigencia del RUP y los efectos de la información objeto de renovación. La presentación oportuna de la renovación permite conservar los efectos del registro, pero la nueva </w:t>
            </w:r>
            <w:r w:rsidRPr="00EC79DE">
              <w:rPr>
                <w:rFonts w:ascii="Verdana" w:eastAsia="Verdana" w:hAnsi="Verdana" w:cs="Verdana"/>
              </w:rPr>
              <w:lastRenderedPageBreak/>
              <w:t>información financiera y organizacional solo puede ser tenida en cuenta una vez haya sido verificada, incorporada y se encuentre en firme. Por tanto, no resulta jurídicamente procedente que la entidad estatal evalúe información financiera que aún se encuentra en trámite y que no ha adquirido firmeza.</w:t>
            </w:r>
          </w:p>
          <w:p w14:paraId="1CD7A0D8" w14:textId="77777777" w:rsidR="00455F2B" w:rsidRPr="00EC79DE"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EC79DE">
              <w:rPr>
                <w:rFonts w:ascii="Verdana" w:eastAsia="Verdana" w:hAnsi="Verdana" w:cs="Verdana"/>
              </w:rPr>
              <w:t>En consecuencia, para efectos de la verificación de la capacidad financiera y organizacional en un proceso de selección cuyo cierre tiene lugar durante el trámite de renovación, la entidad estatal deberá considerar la información que se encuentre vigente y en firme en el RUP, sin que el tiempo empleado por la Cámara de Comercio para verificar, publicar y dar firmeza a la renovación pueda generar la pérdida de efectos del registro ni permitir que se utilice anticipadamente la información renovada.</w:t>
            </w:r>
          </w:p>
          <w:p w14:paraId="17422FA0" w14:textId="77777777" w:rsidR="00455F2B" w:rsidRPr="00EC79DE"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EC79DE">
              <w:rPr>
                <w:rFonts w:ascii="Verdana" w:eastAsia="Verdana" w:hAnsi="Verdana" w:cs="Verdana"/>
              </w:rPr>
              <w:t>Esta interpretación resulta concordante con la función probatoria atribuida al RUP por el artículo 6.1 de la Ley 1150 de 2007, en cuanto la información que debe ser acreditada mediante dicho registro es aquella que se encuentra debidamente registrada y vigente.</w:t>
            </w:r>
          </w:p>
          <w:p w14:paraId="6129C698" w14:textId="77777777" w:rsidR="00455F2B" w:rsidRPr="000E6F15"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proofErr w:type="spellStart"/>
            <w:r>
              <w:rPr>
                <w:rFonts w:ascii="Verdana" w:eastAsia="Verdana" w:hAnsi="Verdana" w:cs="Verdana"/>
              </w:rPr>
              <w:t>ii</w:t>
            </w:r>
            <w:proofErr w:type="spellEnd"/>
            <w:r w:rsidRPr="000E6F15">
              <w:rPr>
                <w:rFonts w:ascii="Verdana" w:eastAsia="Verdana" w:hAnsi="Verdana" w:cs="Verdana"/>
              </w:rPr>
              <w:t xml:space="preserve">) De conformidad con el artículo 1 de la Ley 2022 de 2020 y las disposiciones que regulan los Documentos Tipo, cuando un proceso de selección se encuentra sometido a estos instrumentos, las entidades estatales deben sujetarse a las condiciones allí establecidas. En consecuencia, no resulta jurídicamente procedente que la entidad modifique o adicione, de manera autónoma, los requisitos habilitantes, los factores de evaluación o los sistemas de ponderación establecidos en los Documentos Tipo, salvo en aquellos aspectos en los que estos expresamente permitan su diligenciamiento o determinación por parte de la entidad. </w:t>
            </w:r>
          </w:p>
          <w:p w14:paraId="1AB49B46" w14:textId="77777777" w:rsidR="00455F2B" w:rsidRPr="000E6F15"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0E6F15">
              <w:rPr>
                <w:rFonts w:ascii="Verdana" w:eastAsia="Verdana" w:hAnsi="Verdana" w:cs="Verdana"/>
              </w:rPr>
              <w:t xml:space="preserve">Sobre el particular, la Agencia Nacional de Contratación Pública – Colombia Compra Eficiente, en el Concepto C-512 del 7 de mayo de 2026, precisó que la inalterabilidad de los Documentos Tipo “es una manifestación en mayor grado de las potestades regladas”, lo que implica una reducción de la discrecionalidad de la Administración al momento de estructurar el proceso de contratación. En ese sentido, señaló que cada entidad sometida a estos documentos debe realizar una “aplicación o constatación irrestricta de las reglas y condiciones dispuestas en estos”, salvo aquellos aspectos respecto de los cuales el propio Documento Tipo permita algún margen de decisión. </w:t>
            </w:r>
          </w:p>
          <w:p w14:paraId="1DB58F0B" w14:textId="77777777" w:rsidR="00455F2B" w:rsidRPr="000E6F15" w:rsidRDefault="00455F2B" w:rsidP="003C710A">
            <w:pPr>
              <w:spacing w:after="120" w:line="276" w:lineRule="auto"/>
              <w:jc w:val="both"/>
              <w:rPr>
                <w:rFonts w:ascii="Verdana" w:eastAsia="Verdana" w:hAnsi="Verdana" w:cs="Verdana"/>
              </w:rPr>
            </w:pPr>
            <w:r>
              <w:rPr>
                <w:rFonts w:ascii="Verdana" w:eastAsia="Verdana" w:hAnsi="Verdana" w:cs="Verdana"/>
              </w:rPr>
              <w:lastRenderedPageBreak/>
              <w:t xml:space="preserve">         </w:t>
            </w:r>
            <w:r w:rsidRPr="000E6F15">
              <w:rPr>
                <w:rFonts w:ascii="Verdana" w:eastAsia="Verdana" w:hAnsi="Verdana" w:cs="Verdana"/>
              </w:rPr>
              <w:t xml:space="preserve">Asimismo, el citado concepto señala que las entidades estatales no pueden incluir o modificar condiciones habilitantes, factores técnicos y económicos de escogencia o sistemas de ponderación diferentes de los previstos en los Documentos Tipo. Por ello, si las condiciones financieras se encuentran previamente definidas en el Documento Tipo aplicable, la entidad no puede establecer requisitos adicionales ni modificar la metodología de evaluación con el propósito de precisar o complementar dichas condiciones. </w:t>
            </w:r>
          </w:p>
          <w:p w14:paraId="593D5ED4" w14:textId="77777777" w:rsidR="00455F2B" w:rsidRPr="000E6F15"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0E6F15">
              <w:rPr>
                <w:rFonts w:ascii="Verdana" w:eastAsia="Verdana" w:hAnsi="Verdana" w:cs="Verdana"/>
              </w:rPr>
              <w:t>Lo anterior también encuentra fundamento en el principio de economía, en virtud del cual las entidades estatales no pueden exigir documentos, requisitos o actuaciones distintos de aquellos que resulten necesarios y que estén autorizados por la Constitución, la ley y los reglamentos. En este sentido, el Concepto C-512 de 2026 destaca que la exigencia de documentación innecesaria desconoce dicho principio y se opone a la finalidad de simplificación y racionalización de los procedimientos administrativos.</w:t>
            </w:r>
          </w:p>
          <w:p w14:paraId="226BCFF2" w14:textId="77777777" w:rsidR="00455F2B" w:rsidRPr="000E6F15"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0E6F15">
              <w:rPr>
                <w:rFonts w:ascii="Verdana" w:eastAsia="Verdana" w:hAnsi="Verdana" w:cs="Verdana"/>
              </w:rPr>
              <w:t xml:space="preserve">No obstante, la regla de inalterabilidad no significa que la entidad carezca absolutamente de facultades para diligenciar o definir aspectos del proceso. El propio Concepto C-512 de 2026 reconoce que los Documentos Tipo contienen espacios —por ejemplo, textos entre corchetes y resaltados en gris— que deben ser diligenciados por la entidad de acuerdo con sus necesidades y con las instrucciones contenidas en el respectivo Documento Tipo. </w:t>
            </w:r>
          </w:p>
          <w:p w14:paraId="1D154418" w14:textId="77777777" w:rsidR="00455F2B" w:rsidRPr="000E6F15"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0E6F15">
              <w:rPr>
                <w:rFonts w:ascii="Verdana" w:eastAsia="Verdana" w:hAnsi="Verdana" w:cs="Verdana"/>
              </w:rPr>
              <w:t>Por tanto, la entidad podrá complementar o precisar únicamente aquellos aspectos que el Documento Tipo le permita expresamente determinar, pero no podrá utilizar esa facultad para introducir nuevos requisitos financieros, modificar indicadores, alterar fórmulas de evaluación o establecer condiciones diferentes a las previstas en el instrumento obligatorio</w:t>
            </w:r>
          </w:p>
          <w:p w14:paraId="53E203A4" w14:textId="77777777" w:rsidR="00455F2B" w:rsidRPr="004512DD" w:rsidRDefault="00455F2B" w:rsidP="003C710A">
            <w:pPr>
              <w:spacing w:after="120" w:line="276" w:lineRule="auto"/>
              <w:jc w:val="both"/>
              <w:rPr>
                <w:rFonts w:ascii="Verdana" w:eastAsia="Verdana" w:hAnsi="Verdana" w:cs="Verdana"/>
              </w:rPr>
            </w:pPr>
            <w:r w:rsidRPr="00892A92">
              <w:rPr>
                <w:rFonts w:ascii="Verdana" w:eastAsia="Verdana" w:hAnsi="Verdana" w:cs="Verdana"/>
              </w:rPr>
              <w:t xml:space="preserve"> </w:t>
            </w:r>
            <w:r>
              <w:rPr>
                <w:rFonts w:ascii="Verdana" w:eastAsia="Verdana" w:hAnsi="Verdana" w:cs="Verdana"/>
              </w:rPr>
              <w:t xml:space="preserve">        </w:t>
            </w:r>
            <w:proofErr w:type="spellStart"/>
            <w:r>
              <w:rPr>
                <w:rFonts w:ascii="Verdana" w:eastAsia="Verdana" w:hAnsi="Verdana" w:cs="Verdana"/>
              </w:rPr>
              <w:t>iii</w:t>
            </w:r>
            <w:proofErr w:type="spellEnd"/>
            <w:r>
              <w:rPr>
                <w:rFonts w:ascii="Verdana" w:eastAsia="Verdana" w:hAnsi="Verdana" w:cs="Verdana"/>
              </w:rPr>
              <w:t xml:space="preserve">) </w:t>
            </w:r>
            <w:r w:rsidRPr="004512DD">
              <w:rPr>
                <w:rFonts w:ascii="Verdana" w:eastAsia="Verdana" w:hAnsi="Verdana" w:cs="Verdana"/>
              </w:rPr>
              <w:t>Salvo las reglas particulares previstas para el RUP, en las cuales los indicadores financieros y organizacionales deben expresarse con dos decimales, el Estatuto General de Contratación de la Administración Pública no establece un límite uniforme respecto del número de decimales que deben utilizarse en la estructuración del presupuesto oficial, los estudios de sector, los precios unitarios o las ofertas económicas.</w:t>
            </w:r>
          </w:p>
          <w:p w14:paraId="20B289E4" w14:textId="77777777" w:rsidR="00455F2B" w:rsidRPr="004512DD"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4512DD">
              <w:rPr>
                <w:rFonts w:ascii="Verdana" w:eastAsia="Verdana" w:hAnsi="Verdana" w:cs="Verdana"/>
              </w:rPr>
              <w:t xml:space="preserve">En consecuencia, las entidades estatales cuentan con cierto margen para definir la metodología aplicable al manejo de decimales y </w:t>
            </w:r>
            <w:r w:rsidRPr="004512DD">
              <w:rPr>
                <w:rFonts w:ascii="Verdana" w:eastAsia="Verdana" w:hAnsi="Verdana" w:cs="Verdana"/>
              </w:rPr>
              <w:lastRenderedPageBreak/>
              <w:t>aproximaciones, pero, en aplicación de los principios de transparencia, economía y selección objetiva, dicha metodología debe establecerse de manera clara, previa y uniforme en los documentos del proceso, indicando, cuando resulte necesario, el número de decimales que deberán utilizar los proponentes y la forma en que deberán efectuarse las operaciones de redondeo.</w:t>
            </w:r>
          </w:p>
          <w:p w14:paraId="7C60A519" w14:textId="77777777" w:rsidR="00455F2B" w:rsidRPr="004512DD"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4512DD">
              <w:rPr>
                <w:rFonts w:ascii="Verdana" w:eastAsia="Verdana" w:hAnsi="Verdana" w:cs="Verdana"/>
              </w:rPr>
              <w:t>En este sentido, no resulta adecuado que el estudio de sector o el presupuesto oficial se estructure con un número determinado de decimales y que posteriormente, durante la evaluación de las ofertas, se aplique una regla de redondeo que no fue previamente establecida o que genere diferencias respecto del precio techo. Las reglas matemáticas utilizadas para determinar los precios unitarios y totales deben ser conocidas por los interesados desde la estructuración y publicación del proceso, con el fin de garantizar la comparabilidad de las propuestas y la igualdad entre los oferentes.</w:t>
            </w:r>
          </w:p>
          <w:p w14:paraId="22AAB5E8" w14:textId="77777777" w:rsidR="00455F2B" w:rsidRPr="004512DD"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4512DD">
              <w:rPr>
                <w:rFonts w:ascii="Verdana" w:eastAsia="Verdana" w:hAnsi="Verdana" w:cs="Verdana"/>
              </w:rPr>
              <w:t>Por tanto, si los documentos del proceso no establecen de manera clara el número de decimales ni la metodología de redondeo, la entidad no debería estructurar una causal de rechazo fundada exclusivamente en diferencias menores derivadas de aproximaciones matemáticas, particularmente cuando estas no implican superar el presupuesto oficial o el precio máximo establecido ni afectan la comparabilidad de las ofertas.</w:t>
            </w:r>
          </w:p>
          <w:p w14:paraId="0A1148A5" w14:textId="77777777" w:rsidR="00455F2B" w:rsidRPr="004512DD"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4512DD">
              <w:rPr>
                <w:rFonts w:ascii="Verdana" w:eastAsia="Verdana" w:hAnsi="Verdana" w:cs="Verdana"/>
              </w:rPr>
              <w:t>En consecuencia, frente a la situación planteada, resulta jurídicamente recomendable que la entidad defina desde la elaboración del estudio de sector y del presupuesto oficial una regla uniforme de manejo de decimales y redondeo, y que dicha regla sea trasladada de manera expresa al formato de oferta económica y a las condiciones de evaluación. De esta manera se evita que las operaciones matemáticas realizadas por los proponentes produzcan diferencias posteriores que puedan generar correcciones aritméticas o rechazos que no fueron previsibles al momento de presentar la oferta.</w:t>
            </w:r>
          </w:p>
          <w:p w14:paraId="541CA0BB" w14:textId="77777777" w:rsidR="00455F2B" w:rsidRPr="004512DD" w:rsidRDefault="00455F2B" w:rsidP="003C710A">
            <w:pPr>
              <w:spacing w:after="120" w:line="276" w:lineRule="auto"/>
              <w:jc w:val="both"/>
              <w:rPr>
                <w:rFonts w:ascii="Verdana" w:eastAsia="Verdana" w:hAnsi="Verdana" w:cs="Verdana"/>
              </w:rPr>
            </w:pPr>
            <w:r>
              <w:rPr>
                <w:rFonts w:ascii="Verdana" w:eastAsia="Verdana" w:hAnsi="Verdana" w:cs="Verdana"/>
              </w:rPr>
              <w:t xml:space="preserve">        </w:t>
            </w:r>
            <w:r w:rsidRPr="004512DD">
              <w:rPr>
                <w:rFonts w:ascii="Verdana" w:eastAsia="Verdana" w:hAnsi="Verdana" w:cs="Verdana"/>
              </w:rPr>
              <w:t>Esta interpretación debe armonizarse con las reglas específicas de los Documentos Tipo, cuando estos resulten aplicables, pues la entidad no podrá introducir una metodología de decimales o redondeo que contradiga las reglas establecidas en el Documento Tipo correspondiente.</w:t>
            </w:r>
          </w:p>
          <w:p w14:paraId="694F0803" w14:textId="77777777" w:rsidR="00455F2B" w:rsidRPr="00892A92" w:rsidRDefault="00455F2B" w:rsidP="003C710A">
            <w:pPr>
              <w:spacing w:after="120" w:line="276" w:lineRule="auto"/>
              <w:jc w:val="both"/>
              <w:rPr>
                <w:rFonts w:ascii="Verdana" w:eastAsia="Calibri" w:hAnsi="Verdana" w:cs="Times New Roman"/>
                <w:lang w:val="es-ES"/>
              </w:rPr>
            </w:pPr>
            <w:r w:rsidRPr="00892A92">
              <w:rPr>
                <w:rFonts w:ascii="Verdana" w:eastAsia="Verdana" w:hAnsi="Verdana" w:cs="Verdana"/>
              </w:rPr>
              <w:t xml:space="preserve">      </w:t>
            </w:r>
            <w:r w:rsidRPr="00892A92">
              <w:rPr>
                <w:rFonts w:ascii="Verdana" w:eastAsia="Arial" w:hAnsi="Verdana" w:cs="Arial"/>
              </w:rPr>
              <w:t xml:space="preserve">   F</w:t>
            </w:r>
            <w:r w:rsidRPr="00892A92">
              <w:rPr>
                <w:rFonts w:ascii="Verdana" w:eastAsia="Calibri" w:hAnsi="Verdana" w:cs="Arial"/>
                <w:color w:val="000000" w:themeColor="text1"/>
              </w:rPr>
              <w:t>inalmente</w:t>
            </w:r>
            <w:r w:rsidRPr="00892A92">
              <w:rPr>
                <w:rFonts w:ascii="Verdana" w:eastAsia="Calibri" w:hAnsi="Verdana" w:cs="Times New Roman"/>
                <w:lang w:val="es-ES"/>
              </w:rPr>
              <w:t xml:space="preserve">, debe advertirse que el análisis en torno a un proceso de contratación especifico debe ser realizado por quienes tengan interés en ello. </w:t>
            </w:r>
            <w:r w:rsidRPr="00892A92">
              <w:rPr>
                <w:rFonts w:ascii="Verdana" w:eastAsia="Calibri" w:hAnsi="Verdana" w:cs="Times New Roman"/>
                <w:lang w:val="es-ES"/>
              </w:rPr>
              <w:lastRenderedPageBreak/>
              <w:t>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17F35261" w14:textId="77777777" w:rsidR="00455F2B" w:rsidRDefault="00455F2B" w:rsidP="003C710A">
            <w:pPr>
              <w:spacing w:after="120" w:line="276" w:lineRule="auto"/>
              <w:jc w:val="both"/>
              <w:rPr>
                <w:rFonts w:ascii="Verdana" w:eastAsia="Verdana" w:hAnsi="Verdana" w:cs="Verdana"/>
              </w:rPr>
            </w:pPr>
            <w:r w:rsidRPr="00892A92">
              <w:rPr>
                <w:rFonts w:ascii="Verdana" w:eastAsia="Calibri" w:hAnsi="Verdana" w:cs="Times New Roman"/>
                <w:lang w:val="es-ES"/>
              </w:rPr>
              <w:t xml:space="preserve">         Así las cosas,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1F8760C6" w14:textId="77777777" w:rsidR="00455F2B" w:rsidRPr="0015699B" w:rsidRDefault="00455F2B" w:rsidP="00455F2B">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27985416" w14:textId="77777777" w:rsidR="00455F2B" w:rsidRPr="0015699B" w:rsidRDefault="00455F2B" w:rsidP="00455F2B">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19DEA6C3" w14:textId="77777777" w:rsidR="00455F2B" w:rsidRPr="0015699B" w:rsidRDefault="00455F2B" w:rsidP="00455F2B">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0DB0475B" w14:textId="77777777" w:rsidR="00455F2B" w:rsidRDefault="00455F2B" w:rsidP="00455F2B">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Lo anterior se sustenta en las siguientes consideraciones: </w:t>
      </w:r>
    </w:p>
    <w:p w14:paraId="3EAE3098" w14:textId="77777777" w:rsidR="00455F2B" w:rsidRPr="0015699B" w:rsidRDefault="00455F2B" w:rsidP="00455F2B">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3B8B1C73" w14:textId="77777777" w:rsidR="00455F2B" w:rsidRPr="004260E0" w:rsidRDefault="00455F2B" w:rsidP="00455F2B">
      <w:pPr>
        <w:spacing w:after="120" w:line="276" w:lineRule="auto"/>
        <w:jc w:val="both"/>
        <w:rPr>
          <w:rFonts w:ascii="Verdana" w:hAnsi="Verdana" w:cs="Arial"/>
        </w:rPr>
      </w:pPr>
      <w:bookmarkStart w:id="1" w:name="_Hlk35876968"/>
      <w:bookmarkStart w:id="2" w:name="_Hlk98159514"/>
      <w:r w:rsidRPr="004260E0">
        <w:rPr>
          <w:rFonts w:ascii="Verdana" w:eastAsia="Calibri" w:hAnsi="Verdana" w:cs="Arial"/>
          <w:lang w:val="es-ES"/>
        </w:rPr>
        <w:t xml:space="preserve">i. </w:t>
      </w:r>
      <w:bookmarkStart w:id="3" w:name="_Hlk107927289"/>
      <w:r w:rsidRPr="004260E0">
        <w:rPr>
          <w:rFonts w:ascii="Verdana" w:hAnsi="Verdana" w:cs="Arial"/>
        </w:rPr>
        <w:t xml:space="preserve">El Registro Único de Proponentes - en adelante RUP - </w:t>
      </w:r>
      <w:bookmarkEnd w:id="3"/>
      <w:r w:rsidRPr="004260E0">
        <w:rPr>
          <w:rFonts w:ascii="Verdana" w:hAnsi="Verdana" w:cs="Arial"/>
        </w:rPr>
        <w:t>es un instrumento de acreditación de los requisitos habilitantes en los procesos de selección que adelanta el Estado</w:t>
      </w:r>
      <w:r w:rsidRPr="004260E0">
        <w:rPr>
          <w:rStyle w:val="Refdenotaalpie"/>
          <w:rFonts w:ascii="Verdana" w:hAnsi="Verdana" w:cs="Arial"/>
        </w:rPr>
        <w:footnoteReference w:id="1"/>
      </w:r>
      <w:r w:rsidRPr="004260E0">
        <w:rPr>
          <w:rFonts w:ascii="Verdana" w:hAnsi="Verdana" w:cs="Arial"/>
        </w:rPr>
        <w:t xml:space="preserve"> (salvo las excepciones contenidas en el artículo 6 inciso segundo de la Ley 1150 de 2007). Este registro resulta ser un instrumento en el que consta la información relacionada con las personas naturales y jurídicas y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 </w:t>
      </w:r>
    </w:p>
    <w:p w14:paraId="62CF2A76" w14:textId="77777777" w:rsidR="00455F2B" w:rsidRDefault="00455F2B" w:rsidP="00455F2B">
      <w:pPr>
        <w:spacing w:line="276" w:lineRule="auto"/>
        <w:ind w:firstLine="709"/>
        <w:jc w:val="both"/>
        <w:rPr>
          <w:rFonts w:ascii="Verdana" w:hAnsi="Verdana" w:cs="Arial"/>
        </w:rPr>
      </w:pPr>
      <w:r w:rsidRPr="004260E0">
        <w:rPr>
          <w:rFonts w:ascii="Verdana" w:hAnsi="Verdana" w:cs="Arial"/>
        </w:rPr>
        <w:t>El Consejo de Estado definió la naturaleza y finalidad del RUP de la siguiente forma:</w:t>
      </w:r>
    </w:p>
    <w:p w14:paraId="409CE408" w14:textId="77777777" w:rsidR="00455F2B" w:rsidRPr="00596393" w:rsidRDefault="00455F2B" w:rsidP="00455F2B">
      <w:pPr>
        <w:tabs>
          <w:tab w:val="left" w:pos="8505"/>
        </w:tabs>
        <w:ind w:left="709" w:right="709"/>
        <w:contextualSpacing/>
        <w:jc w:val="both"/>
        <w:rPr>
          <w:rFonts w:ascii="Verdana" w:hAnsi="Verdana" w:cs="Arial"/>
          <w:sz w:val="20"/>
          <w:szCs w:val="20"/>
        </w:rPr>
      </w:pPr>
      <w:r w:rsidRPr="00596393">
        <w:rPr>
          <w:rFonts w:ascii="Verdana" w:hAnsi="Verdana" w:cs="Arial"/>
          <w:sz w:val="20"/>
          <w:szCs w:val="20"/>
        </w:rPr>
        <w:t xml:space="preserve">“El Registro de Proponentes es un registro de creación legal en el cual se inscriben las personas naturales o jurídicas que aspiran a celebrar con </w:t>
      </w:r>
      <w:r w:rsidRPr="00596393">
        <w:rPr>
          <w:rFonts w:ascii="Verdana" w:hAnsi="Verdana" w:cs="Arial"/>
          <w:sz w:val="20"/>
          <w:szCs w:val="20"/>
        </w:rPr>
        <w:lastRenderedPageBreak/>
        <w:t>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596393">
        <w:rPr>
          <w:rFonts w:ascii="Verdana" w:hAnsi="Verdana" w:cs="Arial"/>
          <w:sz w:val="20"/>
          <w:szCs w:val="20"/>
          <w:vertAlign w:val="superscript"/>
        </w:rPr>
        <w:footnoteReference w:id="2"/>
      </w:r>
      <w:r w:rsidRPr="00596393">
        <w:rPr>
          <w:rFonts w:ascii="Verdana" w:hAnsi="Verdana" w:cs="Arial"/>
          <w:sz w:val="20"/>
          <w:szCs w:val="20"/>
        </w:rPr>
        <w:t>.</w:t>
      </w:r>
    </w:p>
    <w:p w14:paraId="5DE4E7B6" w14:textId="77777777" w:rsidR="00455F2B" w:rsidRPr="00596393" w:rsidRDefault="00455F2B" w:rsidP="00455F2B">
      <w:pPr>
        <w:spacing w:line="276" w:lineRule="auto"/>
        <w:contextualSpacing/>
        <w:jc w:val="both"/>
        <w:rPr>
          <w:rFonts w:ascii="Verdana" w:hAnsi="Verdana" w:cs="Arial"/>
          <w:sz w:val="20"/>
          <w:szCs w:val="20"/>
        </w:rPr>
      </w:pPr>
    </w:p>
    <w:p w14:paraId="319A2508" w14:textId="77777777" w:rsidR="00455F2B" w:rsidRPr="004260E0" w:rsidRDefault="00455F2B" w:rsidP="00455F2B">
      <w:pPr>
        <w:spacing w:after="120" w:line="276" w:lineRule="auto"/>
        <w:ind w:firstLine="709"/>
        <w:jc w:val="both"/>
        <w:rPr>
          <w:rFonts w:ascii="Arial" w:hAnsi="Arial" w:cs="Arial"/>
        </w:rPr>
      </w:pPr>
      <w:r w:rsidRPr="004260E0">
        <w:rPr>
          <w:rFonts w:ascii="Verdana" w:hAnsi="Verdana" w:cs="Arial"/>
        </w:rPr>
        <w:t>El artículo 6.1 de la Ley 1150 de 2007 dispone que el RUP es plena prueba de la información que contiene</w:t>
      </w:r>
      <w:r w:rsidRPr="004260E0">
        <w:rPr>
          <w:rFonts w:ascii="Verdana" w:hAnsi="Verdana" w:cs="Arial"/>
          <w:vertAlign w:val="superscript"/>
        </w:rPr>
        <w:footnoteReference w:id="3"/>
      </w:r>
      <w:r w:rsidRPr="004260E0">
        <w:rPr>
          <w:rFonts w:ascii="Verdana" w:hAnsi="Verdana" w:cs="Arial"/>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4260E0">
        <w:rPr>
          <w:rFonts w:ascii="Verdana" w:hAnsi="Verdana" w:cs="Arial"/>
          <w:vertAlign w:val="superscript"/>
        </w:rPr>
        <w:footnoteReference w:id="4"/>
      </w:r>
      <w:r w:rsidRPr="004260E0">
        <w:rPr>
          <w:rFonts w:ascii="Verdana" w:hAnsi="Verdana" w:cs="Arial"/>
        </w:rPr>
        <w:t xml:space="preserve">. </w:t>
      </w:r>
    </w:p>
    <w:p w14:paraId="018B7DAD" w14:textId="77777777" w:rsidR="00455F2B" w:rsidRPr="00FF1D54" w:rsidRDefault="00455F2B" w:rsidP="00455F2B">
      <w:pPr>
        <w:spacing w:after="120" w:line="276" w:lineRule="auto"/>
        <w:ind w:firstLine="709"/>
        <w:jc w:val="both"/>
        <w:rPr>
          <w:rFonts w:ascii="Verdana" w:hAnsi="Verdana" w:cs="Arial"/>
        </w:rPr>
      </w:pPr>
      <w:r w:rsidRPr="004260E0">
        <w:rPr>
          <w:rFonts w:ascii="Verdana" w:hAnsi="Verdana" w:cs="Arial"/>
        </w:rPr>
        <w:t xml:space="preserve">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w:t>
      </w:r>
      <w:r w:rsidRPr="004260E0">
        <w:rPr>
          <w:rFonts w:ascii="Verdana" w:hAnsi="Verdana" w:cs="Arial"/>
        </w:rPr>
        <w:lastRenderedPageBreak/>
        <w:t>tengan por objeto el desarrollo de sus actividades industriales y comerciales, razón por la cual las entidades estatales deben verificar directamente el cumplimiento de los requisitos habilitantes</w:t>
      </w:r>
      <w:r w:rsidRPr="00FF1D54">
        <w:rPr>
          <w:rFonts w:ascii="Verdana" w:hAnsi="Verdana" w:cs="Arial"/>
          <w:vertAlign w:val="superscript"/>
        </w:rPr>
        <w:footnoteReference w:id="5"/>
      </w:r>
      <w:r w:rsidRPr="00FF1D54">
        <w:rPr>
          <w:rFonts w:ascii="Verdana" w:hAnsi="Verdana" w:cs="Arial"/>
        </w:rPr>
        <w:t xml:space="preserve">. </w:t>
      </w:r>
    </w:p>
    <w:p w14:paraId="5F60FA30" w14:textId="77777777" w:rsidR="00455F2B" w:rsidRPr="00FF1D54" w:rsidRDefault="00455F2B" w:rsidP="00455F2B">
      <w:pPr>
        <w:spacing w:after="120" w:line="276" w:lineRule="auto"/>
        <w:ind w:firstLine="709"/>
        <w:jc w:val="both"/>
        <w:rPr>
          <w:rFonts w:ascii="Verdana" w:hAnsi="Verdana" w:cs="Arial"/>
        </w:rPr>
      </w:pPr>
      <w:r w:rsidRPr="00FF1D54">
        <w:rPr>
          <w:rFonts w:ascii="Verdana" w:hAnsi="Verdana" w:cs="Arial"/>
          <w:lang w:val="es-ES_tradnl"/>
        </w:rPr>
        <w:t xml:space="preserve">Las anteriores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FF1D54">
        <w:rPr>
          <w:rFonts w:ascii="Verdana" w:hAnsi="Verdana" w:cs="Aria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FF1D54">
        <w:rPr>
          <w:rFonts w:ascii="Verdana" w:hAnsi="Verdana" w:cs="Arial"/>
          <w:vertAlign w:val="superscript"/>
        </w:rPr>
        <w:footnoteReference w:id="6"/>
      </w:r>
      <w:r w:rsidRPr="00FF1D54">
        <w:rPr>
          <w:rFonts w:ascii="Verdana" w:hAnsi="Verdana" w:cs="Arial"/>
        </w:rPr>
        <w:t>.</w:t>
      </w:r>
    </w:p>
    <w:p w14:paraId="266AE0F3" w14:textId="77777777" w:rsidR="00455F2B" w:rsidRPr="00FF1D54" w:rsidRDefault="00455F2B" w:rsidP="00455F2B">
      <w:pPr>
        <w:spacing w:after="120" w:line="276" w:lineRule="auto"/>
        <w:ind w:firstLine="709"/>
        <w:jc w:val="both"/>
        <w:rPr>
          <w:rFonts w:ascii="Verdana" w:hAnsi="Verdana" w:cs="Arial"/>
        </w:rPr>
      </w:pPr>
      <w:r w:rsidRPr="00FF1D54">
        <w:rPr>
          <w:rFonts w:ascii="Verdana" w:hAnsi="Verdana" w:cs="Aria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sidRPr="00FF1D54">
        <w:rPr>
          <w:rStyle w:val="Refdenotaalpie"/>
          <w:rFonts w:ascii="Verdana" w:hAnsi="Verdana" w:cs="Arial"/>
        </w:rPr>
        <w:footnoteReference w:id="7"/>
      </w:r>
      <w:r w:rsidRPr="00FF1D54">
        <w:rPr>
          <w:rFonts w:ascii="Verdana" w:hAnsi="Verdana" w:cs="Arial"/>
        </w:rPr>
        <w:t>. Lo anterior fue ratificado por el Consejo de Estado cuando enumeró las excepciones en las cuales las entidades tienen la obligación de verificar los requisitos habilitantes de los proponentes</w:t>
      </w:r>
      <w:r w:rsidRPr="00FF1D54">
        <w:rPr>
          <w:rFonts w:ascii="Verdana" w:hAnsi="Verdana" w:cs="Arial"/>
          <w:vertAlign w:val="superscript"/>
        </w:rPr>
        <w:footnoteReference w:id="8"/>
      </w:r>
      <w:r w:rsidRPr="00FF1D54">
        <w:rPr>
          <w:rFonts w:ascii="Verdana" w:hAnsi="Verdana" w:cs="Arial"/>
        </w:rPr>
        <w:t xml:space="preserve">.  </w:t>
      </w:r>
    </w:p>
    <w:p w14:paraId="6D44A397" w14:textId="77777777" w:rsidR="00455F2B" w:rsidRPr="00FF1D54" w:rsidRDefault="00455F2B" w:rsidP="00455F2B">
      <w:pPr>
        <w:spacing w:after="120" w:line="276" w:lineRule="auto"/>
        <w:ind w:firstLine="709"/>
        <w:jc w:val="both"/>
        <w:rPr>
          <w:rFonts w:ascii="Verdana" w:hAnsi="Verdana" w:cs="Arial"/>
        </w:rPr>
      </w:pPr>
      <w:r w:rsidRPr="00FF1D54">
        <w:rPr>
          <w:rFonts w:ascii="Verdana" w:hAnsi="Verdana" w:cs="Arial"/>
        </w:rPr>
        <w:lastRenderedPageBreak/>
        <w:t>Ahora bien, el inciso 1 del artículo 6 de la Ley 1150 de 2007</w:t>
      </w:r>
      <w:r w:rsidRPr="00FF1D54">
        <w:rPr>
          <w:rFonts w:ascii="Verdana" w:hAnsi="Verdana" w:cs="Arial"/>
          <w:vertAlign w:val="superscript"/>
        </w:rPr>
        <w:footnoteReference w:id="9"/>
      </w:r>
      <w:r w:rsidRPr="00FF1D54">
        <w:rPr>
          <w:rFonts w:ascii="Verdana" w:hAnsi="Verdana" w:cs="Arial"/>
        </w:rPr>
        <w:t>, mediante el cual se regulan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w:t>
      </w:r>
      <w:r w:rsidRPr="00FF1D54">
        <w:rPr>
          <w:rFonts w:ascii="Verdana" w:hAnsi="Verdana" w:cs="Arial"/>
          <w:vertAlign w:val="superscript"/>
        </w:rPr>
        <w:footnoteReference w:id="10"/>
      </w:r>
      <w:r w:rsidRPr="00FF1D54">
        <w:rPr>
          <w:rFonts w:ascii="Verdana" w:hAnsi="Verdana" w:cs="Arial"/>
        </w:rPr>
        <w:t xml:space="preserve">. </w:t>
      </w:r>
    </w:p>
    <w:p w14:paraId="7D44C579" w14:textId="77777777" w:rsidR="00455F2B" w:rsidRPr="00EE232B" w:rsidRDefault="00455F2B" w:rsidP="00455F2B">
      <w:pPr>
        <w:widowControl w:val="0"/>
        <w:autoSpaceDE w:val="0"/>
        <w:autoSpaceDN w:val="0"/>
        <w:spacing w:after="120" w:line="276" w:lineRule="auto"/>
        <w:ind w:firstLine="709"/>
        <w:jc w:val="both"/>
        <w:rPr>
          <w:rFonts w:ascii="Verdana" w:hAnsi="Verdana" w:cs="Arial"/>
        </w:rPr>
      </w:pPr>
      <w:r w:rsidRPr="00FF1D54">
        <w:rPr>
          <w:rFonts w:ascii="Verdana" w:hAnsi="Verdana" w:cs="Arial"/>
        </w:rPr>
        <w:t>En el mismo sentido, el Decreto 1082 de 2015</w:t>
      </w:r>
      <w:r w:rsidRPr="00FF1D54">
        <w:rPr>
          <w:rFonts w:ascii="Verdana" w:hAnsi="Verdana" w:cs="Arial"/>
          <w:vertAlign w:val="superscript"/>
        </w:rPr>
        <w:footnoteReference w:id="11"/>
      </w:r>
      <w:r w:rsidRPr="00FF1D54">
        <w:rPr>
          <w:rFonts w:ascii="Verdana" w:hAnsi="Verdana" w:cs="Arial"/>
        </w:rPr>
        <w:t xml:space="preserve"> dispone quiénes deben inscribirse en el RUP, el momento de la renovación del registro, la información requerida para la inscripción, renovación o actualización</w:t>
      </w:r>
      <w:r w:rsidRPr="00FF1D54">
        <w:rPr>
          <w:rStyle w:val="Refdenotaalpie"/>
          <w:rFonts w:ascii="Verdana" w:hAnsi="Verdana" w:cs="Arial"/>
        </w:rPr>
        <w:footnoteReference w:id="12"/>
      </w:r>
      <w:r w:rsidRPr="00FF1D54">
        <w:rPr>
          <w:rFonts w:ascii="Verdana" w:hAnsi="Verdana" w:cs="Arial"/>
        </w:rPr>
        <w:t xml:space="preserve"> y la posibilidad de </w:t>
      </w:r>
      <w:r w:rsidRPr="00FF1D54">
        <w:rPr>
          <w:rFonts w:ascii="Verdana" w:hAnsi="Verdana" w:cs="Arial"/>
        </w:rPr>
        <w:lastRenderedPageBreak/>
        <w:t>solicitar la cancelación de la inscripción, en cualquier momento ante la cámara de comercio correspondiente</w:t>
      </w:r>
      <w:r w:rsidRPr="00EE232B">
        <w:rPr>
          <w:rFonts w:ascii="Verdana" w:hAnsi="Verdana" w:cs="Arial"/>
          <w:vertAlign w:val="superscript"/>
        </w:rPr>
        <w:footnoteReference w:id="13"/>
      </w:r>
      <w:r w:rsidRPr="00EE232B">
        <w:rPr>
          <w:rFonts w:ascii="Verdana" w:hAnsi="Verdana" w:cs="Arial"/>
        </w:rPr>
        <w:t>.</w:t>
      </w:r>
    </w:p>
    <w:p w14:paraId="5258A945" w14:textId="77777777" w:rsidR="00455F2B" w:rsidRPr="00EE232B" w:rsidRDefault="00455F2B" w:rsidP="00455F2B">
      <w:pPr>
        <w:widowControl w:val="0"/>
        <w:autoSpaceDE w:val="0"/>
        <w:autoSpaceDN w:val="0"/>
        <w:spacing w:after="120" w:line="276" w:lineRule="auto"/>
        <w:ind w:firstLine="709"/>
        <w:jc w:val="both"/>
        <w:rPr>
          <w:rFonts w:ascii="Verdana" w:eastAsia="Arial" w:hAnsi="Verdana" w:cs="Arial"/>
          <w:b/>
          <w:lang w:val="es-ES"/>
        </w:rPr>
      </w:pPr>
      <w:r w:rsidRPr="00EE232B">
        <w:rPr>
          <w:rFonts w:ascii="Verdana" w:hAnsi="Verdana" w:cs="Arial"/>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bookmarkStart w:id="4" w:name="_Hlk104368148"/>
      <w:r>
        <w:rPr>
          <w:rFonts w:ascii="Verdana" w:eastAsia="Arial" w:hAnsi="Verdana" w:cs="Arial"/>
          <w:b/>
          <w:lang w:val="es-ES"/>
        </w:rPr>
        <w:t>.</w:t>
      </w:r>
      <w:bookmarkStart w:id="5" w:name="_Hlk107927340"/>
      <w:bookmarkEnd w:id="4"/>
    </w:p>
    <w:p w14:paraId="2E628EB7" w14:textId="77777777" w:rsidR="00455F2B" w:rsidRPr="00EE232B" w:rsidRDefault="00455F2B" w:rsidP="00455F2B">
      <w:pPr>
        <w:widowControl w:val="0"/>
        <w:autoSpaceDE w:val="0"/>
        <w:autoSpaceDN w:val="0"/>
        <w:spacing w:after="120" w:line="276" w:lineRule="auto"/>
        <w:ind w:firstLine="709"/>
        <w:jc w:val="both"/>
        <w:rPr>
          <w:rFonts w:ascii="Verdana" w:eastAsia="Arial" w:hAnsi="Verdana" w:cs="Arial"/>
          <w:b/>
          <w:lang w:val="es-ES"/>
        </w:rPr>
      </w:pPr>
      <w:r w:rsidRPr="00EE232B">
        <w:rPr>
          <w:rFonts w:ascii="Verdana" w:hAnsi="Verdana" w:cs="Arial"/>
        </w:rPr>
        <w:t>Ahora bien, en relación con la firmeza del RUP, debe señalarse que, en concordancia</w:t>
      </w:r>
      <w:r w:rsidRPr="00EE232B">
        <w:rPr>
          <w:rFonts w:ascii="Verdana" w:hAnsi="Verdana" w:cs="Arial"/>
          <w:spacing w:val="-4"/>
        </w:rPr>
        <w:t xml:space="preserve"> </w:t>
      </w:r>
      <w:r w:rsidRPr="00EE232B">
        <w:rPr>
          <w:rFonts w:ascii="Verdana" w:hAnsi="Verdana" w:cs="Arial"/>
        </w:rPr>
        <w:t>con</w:t>
      </w:r>
      <w:r w:rsidRPr="00EE232B">
        <w:rPr>
          <w:rFonts w:ascii="Verdana" w:hAnsi="Verdana" w:cs="Arial"/>
          <w:spacing w:val="-5"/>
        </w:rPr>
        <w:t xml:space="preserve"> </w:t>
      </w:r>
      <w:r w:rsidRPr="00EE232B">
        <w:rPr>
          <w:rFonts w:ascii="Verdana" w:hAnsi="Verdana" w:cs="Arial"/>
        </w:rPr>
        <w:t>lo</w:t>
      </w:r>
      <w:r w:rsidRPr="00EE232B">
        <w:rPr>
          <w:rFonts w:ascii="Verdana" w:hAnsi="Verdana" w:cs="Arial"/>
          <w:spacing w:val="-4"/>
        </w:rPr>
        <w:t xml:space="preserve"> </w:t>
      </w:r>
      <w:r w:rsidRPr="00EE232B">
        <w:rPr>
          <w:rFonts w:ascii="Verdana" w:hAnsi="Verdana" w:cs="Arial"/>
        </w:rPr>
        <w:t>establecido</w:t>
      </w:r>
      <w:r w:rsidRPr="00EE232B">
        <w:rPr>
          <w:rFonts w:ascii="Verdana" w:hAnsi="Verdana" w:cs="Arial"/>
          <w:spacing w:val="-4"/>
        </w:rPr>
        <w:t xml:space="preserve"> </w:t>
      </w:r>
      <w:r w:rsidRPr="00EE232B">
        <w:rPr>
          <w:rFonts w:ascii="Verdana" w:hAnsi="Verdana" w:cs="Arial"/>
        </w:rPr>
        <w:t>en</w:t>
      </w:r>
      <w:r w:rsidRPr="00EE232B">
        <w:rPr>
          <w:rFonts w:ascii="Verdana" w:hAnsi="Verdana" w:cs="Arial"/>
          <w:spacing w:val="-5"/>
        </w:rPr>
        <w:t xml:space="preserve"> </w:t>
      </w:r>
      <w:r w:rsidRPr="00EE232B">
        <w:rPr>
          <w:rFonts w:ascii="Verdana" w:hAnsi="Verdana" w:cs="Arial"/>
        </w:rPr>
        <w:t>el</w:t>
      </w:r>
      <w:r w:rsidRPr="00EE232B">
        <w:rPr>
          <w:rFonts w:ascii="Verdana" w:hAnsi="Verdana" w:cs="Arial"/>
          <w:spacing w:val="-4"/>
        </w:rPr>
        <w:t xml:space="preserve"> </w:t>
      </w:r>
      <w:r w:rsidRPr="00EE232B">
        <w:rPr>
          <w:rFonts w:ascii="Verdana" w:hAnsi="Verdana" w:cs="Arial"/>
        </w:rPr>
        <w:t>numeral</w:t>
      </w:r>
      <w:r w:rsidRPr="00EE232B">
        <w:rPr>
          <w:rFonts w:ascii="Verdana" w:hAnsi="Verdana" w:cs="Arial"/>
          <w:spacing w:val="-4"/>
        </w:rPr>
        <w:t xml:space="preserve"> </w:t>
      </w:r>
      <w:r w:rsidRPr="00EE232B">
        <w:rPr>
          <w:rFonts w:ascii="Verdana" w:hAnsi="Verdana" w:cs="Arial"/>
        </w:rPr>
        <w:t>6.3</w:t>
      </w:r>
      <w:r w:rsidRPr="00EE232B">
        <w:rPr>
          <w:rFonts w:ascii="Verdana" w:hAnsi="Verdana" w:cs="Arial"/>
          <w:spacing w:val="-5"/>
        </w:rPr>
        <w:t xml:space="preserve"> </w:t>
      </w:r>
      <w:r w:rsidRPr="00EE232B">
        <w:rPr>
          <w:rFonts w:ascii="Verdana" w:hAnsi="Verdana" w:cs="Arial"/>
        </w:rPr>
        <w:t>de</w:t>
      </w:r>
      <w:r w:rsidRPr="00EE232B">
        <w:rPr>
          <w:rFonts w:ascii="Verdana" w:hAnsi="Verdana" w:cs="Arial"/>
          <w:spacing w:val="-4"/>
        </w:rPr>
        <w:t xml:space="preserve"> </w:t>
      </w:r>
      <w:r w:rsidRPr="00EE232B">
        <w:rPr>
          <w:rFonts w:ascii="Verdana" w:hAnsi="Verdana" w:cs="Arial"/>
        </w:rPr>
        <w:t>la</w:t>
      </w:r>
      <w:r w:rsidRPr="00EE232B">
        <w:rPr>
          <w:rFonts w:ascii="Verdana" w:hAnsi="Verdana" w:cs="Arial"/>
          <w:spacing w:val="-4"/>
        </w:rPr>
        <w:t xml:space="preserve"> </w:t>
      </w:r>
      <w:r w:rsidRPr="00EE232B">
        <w:rPr>
          <w:rFonts w:ascii="Verdana" w:hAnsi="Verdana" w:cs="Arial"/>
        </w:rPr>
        <w:t>Ley</w:t>
      </w:r>
      <w:r w:rsidRPr="00EE232B">
        <w:rPr>
          <w:rFonts w:ascii="Verdana" w:hAnsi="Verdana" w:cs="Arial"/>
          <w:spacing w:val="-4"/>
        </w:rPr>
        <w:t xml:space="preserve"> </w:t>
      </w:r>
      <w:r w:rsidRPr="00EE232B">
        <w:rPr>
          <w:rFonts w:ascii="Verdana" w:hAnsi="Verdana" w:cs="Arial"/>
        </w:rPr>
        <w:t>1150</w:t>
      </w:r>
      <w:r w:rsidRPr="00EE232B">
        <w:rPr>
          <w:rFonts w:ascii="Verdana" w:hAnsi="Verdana" w:cs="Arial"/>
          <w:spacing w:val="-5"/>
        </w:rPr>
        <w:t xml:space="preserve"> </w:t>
      </w:r>
      <w:r w:rsidRPr="00EE232B">
        <w:rPr>
          <w:rFonts w:ascii="Verdana" w:hAnsi="Verdana" w:cs="Arial"/>
        </w:rPr>
        <w:t>de</w:t>
      </w:r>
      <w:r w:rsidRPr="00EE232B">
        <w:rPr>
          <w:rFonts w:ascii="Verdana" w:hAnsi="Verdana" w:cs="Arial"/>
          <w:spacing w:val="-4"/>
        </w:rPr>
        <w:t xml:space="preserve"> </w:t>
      </w:r>
      <w:r w:rsidRPr="00EE232B">
        <w:rPr>
          <w:rFonts w:ascii="Verdana" w:hAnsi="Verdana" w:cs="Arial"/>
        </w:rPr>
        <w:t>2007, la cámara de comercio, verificada la información aportada por el proponente, publicará el acto de inscripción del RUP. Contra dicho acto cualquier</w:t>
      </w:r>
      <w:r w:rsidRPr="00EE232B">
        <w:rPr>
          <w:rFonts w:ascii="Verdana" w:hAnsi="Verdana" w:cs="Arial"/>
          <w:spacing w:val="1"/>
        </w:rPr>
        <w:t xml:space="preserve"> </w:t>
      </w:r>
      <w:r w:rsidRPr="00EE232B">
        <w:rPr>
          <w:rFonts w:ascii="Verdana" w:hAnsi="Verdana" w:cs="Arial"/>
        </w:rPr>
        <w:t>persona podrá interponer recurso de reposición dentro de los diez (10) días hábiles</w:t>
      </w:r>
      <w:r w:rsidRPr="00EE232B">
        <w:rPr>
          <w:rFonts w:ascii="Verdana" w:hAnsi="Verdana" w:cs="Arial"/>
          <w:spacing w:val="1"/>
        </w:rPr>
        <w:t xml:space="preserve"> </w:t>
      </w:r>
      <w:r w:rsidRPr="00EE232B">
        <w:rPr>
          <w:rFonts w:ascii="Verdana" w:hAnsi="Verdana" w:cs="Arial"/>
        </w:rPr>
        <w:t>siguientes</w:t>
      </w:r>
      <w:r w:rsidRPr="00EE232B">
        <w:rPr>
          <w:rFonts w:ascii="Verdana" w:hAnsi="Verdana" w:cs="Arial"/>
          <w:spacing w:val="1"/>
        </w:rPr>
        <w:t xml:space="preserve"> </w:t>
      </w:r>
      <w:r w:rsidRPr="00EE232B">
        <w:rPr>
          <w:rFonts w:ascii="Verdana" w:hAnsi="Verdana" w:cs="Arial"/>
        </w:rPr>
        <w:t>contados</w:t>
      </w:r>
      <w:r w:rsidRPr="00EE232B">
        <w:rPr>
          <w:rFonts w:ascii="Verdana" w:hAnsi="Verdana" w:cs="Arial"/>
          <w:spacing w:val="1"/>
        </w:rPr>
        <w:t xml:space="preserve"> </w:t>
      </w:r>
      <w:r w:rsidRPr="00EE232B">
        <w:rPr>
          <w:rFonts w:ascii="Verdana" w:hAnsi="Verdana" w:cs="Arial"/>
        </w:rPr>
        <w:t>a</w:t>
      </w:r>
      <w:r w:rsidRPr="00EE232B">
        <w:rPr>
          <w:rFonts w:ascii="Verdana" w:hAnsi="Verdana" w:cs="Arial"/>
          <w:spacing w:val="1"/>
        </w:rPr>
        <w:t xml:space="preserve"> </w:t>
      </w:r>
      <w:r w:rsidRPr="00EE232B">
        <w:rPr>
          <w:rFonts w:ascii="Verdana" w:hAnsi="Verdana" w:cs="Arial"/>
        </w:rPr>
        <w:t>partir</w:t>
      </w:r>
      <w:r w:rsidRPr="00EE232B">
        <w:rPr>
          <w:rFonts w:ascii="Verdana" w:hAnsi="Verdana" w:cs="Arial"/>
          <w:spacing w:val="1"/>
        </w:rPr>
        <w:t xml:space="preserve"> </w:t>
      </w:r>
      <w:r w:rsidRPr="00EE232B">
        <w:rPr>
          <w:rFonts w:ascii="Verdana" w:hAnsi="Verdana" w:cs="Arial"/>
        </w:rPr>
        <w:t>de</w:t>
      </w:r>
      <w:r w:rsidRPr="00EE232B">
        <w:rPr>
          <w:rFonts w:ascii="Verdana" w:hAnsi="Verdana" w:cs="Arial"/>
          <w:spacing w:val="1"/>
        </w:rPr>
        <w:t xml:space="preserve"> </w:t>
      </w:r>
      <w:r w:rsidRPr="00EE232B">
        <w:rPr>
          <w:rFonts w:ascii="Verdana" w:hAnsi="Verdana" w:cs="Arial"/>
        </w:rPr>
        <w:t>su</w:t>
      </w:r>
      <w:r w:rsidRPr="00EE232B">
        <w:rPr>
          <w:rFonts w:ascii="Verdana" w:hAnsi="Verdana" w:cs="Arial"/>
          <w:spacing w:val="1"/>
        </w:rPr>
        <w:t xml:space="preserve"> </w:t>
      </w:r>
      <w:r w:rsidRPr="00EE232B">
        <w:rPr>
          <w:rFonts w:ascii="Verdana" w:hAnsi="Verdana" w:cs="Arial"/>
        </w:rPr>
        <w:t>publicación</w:t>
      </w:r>
      <w:r w:rsidRPr="00EE232B">
        <w:rPr>
          <w:rFonts w:ascii="Verdana" w:hAnsi="Verdana" w:cs="Arial"/>
          <w:spacing w:val="1"/>
        </w:rPr>
        <w:t xml:space="preserve"> </w:t>
      </w:r>
      <w:r w:rsidRPr="00EE232B">
        <w:rPr>
          <w:rFonts w:ascii="Verdana" w:hAnsi="Verdana" w:cs="Arial"/>
        </w:rPr>
        <w:t>–posibilidad</w:t>
      </w:r>
      <w:r w:rsidRPr="00EE232B">
        <w:rPr>
          <w:rFonts w:ascii="Verdana" w:hAnsi="Verdana" w:cs="Arial"/>
          <w:spacing w:val="1"/>
        </w:rPr>
        <w:t xml:space="preserve"> </w:t>
      </w:r>
      <w:r w:rsidRPr="00EE232B">
        <w:rPr>
          <w:rFonts w:ascii="Verdana" w:hAnsi="Verdana" w:cs="Arial"/>
        </w:rPr>
        <w:t>aplicable</w:t>
      </w:r>
      <w:r w:rsidRPr="00EE232B">
        <w:rPr>
          <w:rFonts w:ascii="Verdana" w:hAnsi="Verdana" w:cs="Arial"/>
          <w:spacing w:val="1"/>
        </w:rPr>
        <w:t xml:space="preserve"> </w:t>
      </w:r>
      <w:r w:rsidRPr="00EE232B">
        <w:rPr>
          <w:rFonts w:ascii="Verdana" w:hAnsi="Verdana" w:cs="Arial"/>
        </w:rPr>
        <w:t>frente</w:t>
      </w:r>
      <w:r w:rsidRPr="00EE232B">
        <w:rPr>
          <w:rFonts w:ascii="Verdana" w:hAnsi="Verdana" w:cs="Arial"/>
          <w:spacing w:val="1"/>
        </w:rPr>
        <w:t xml:space="preserve"> </w:t>
      </w:r>
      <w:r w:rsidRPr="00EE232B">
        <w:rPr>
          <w:rFonts w:ascii="Verdana" w:hAnsi="Verdana" w:cs="Arial"/>
        </w:rPr>
        <w:t>a</w:t>
      </w:r>
      <w:r w:rsidRPr="00EE232B">
        <w:rPr>
          <w:rFonts w:ascii="Verdana" w:hAnsi="Verdana" w:cs="Arial"/>
          <w:spacing w:val="1"/>
        </w:rPr>
        <w:t xml:space="preserve"> </w:t>
      </w:r>
      <w:r w:rsidRPr="00EE232B">
        <w:rPr>
          <w:rFonts w:ascii="Verdana" w:hAnsi="Verdana" w:cs="Arial"/>
        </w:rPr>
        <w:t>la</w:t>
      </w:r>
      <w:r w:rsidRPr="00EE232B">
        <w:rPr>
          <w:rFonts w:ascii="Verdana" w:hAnsi="Verdana" w:cs="Arial"/>
          <w:spacing w:val="1"/>
        </w:rPr>
        <w:t xml:space="preserve"> </w:t>
      </w:r>
      <w:r w:rsidRPr="00EE232B">
        <w:rPr>
          <w:rFonts w:ascii="Verdana" w:hAnsi="Verdana" w:cs="Arial"/>
          <w:i/>
        </w:rPr>
        <w:t>inscripción, renovación o actualización–</w:t>
      </w:r>
      <w:r w:rsidRPr="00EE232B">
        <w:rPr>
          <w:rStyle w:val="Refdenotaalpie"/>
          <w:rFonts w:ascii="Verdana" w:hAnsi="Verdana" w:cs="Arial"/>
        </w:rPr>
        <w:footnoteReference w:id="14"/>
      </w:r>
      <w:r w:rsidRPr="00EE232B">
        <w:rPr>
          <w:rFonts w:ascii="Verdana" w:hAnsi="Verdana" w:cs="Arial"/>
        </w:rPr>
        <w:t xml:space="preserve">. </w:t>
      </w:r>
      <w:bookmarkEnd w:id="5"/>
      <w:r w:rsidRPr="00EE232B">
        <w:rPr>
          <w:rFonts w:ascii="Verdana" w:hAnsi="Verdana" w:cs="Arial"/>
        </w:rPr>
        <w:t xml:space="preserve">En firme el acto administrativo que </w:t>
      </w:r>
      <w:r w:rsidRPr="00EE232B">
        <w:rPr>
          <w:rFonts w:ascii="Verdana" w:hAnsi="Verdana" w:cs="Arial"/>
        </w:rPr>
        <w:lastRenderedPageBreak/>
        <w:t>realiza la</w:t>
      </w:r>
      <w:r w:rsidRPr="00EE232B">
        <w:rPr>
          <w:rFonts w:ascii="Verdana" w:hAnsi="Verdana" w:cs="Arial"/>
          <w:spacing w:val="1"/>
        </w:rPr>
        <w:t xml:space="preserve"> </w:t>
      </w:r>
      <w:r w:rsidRPr="00EE232B">
        <w:rPr>
          <w:rFonts w:ascii="Verdana" w:hAnsi="Verdana" w:cs="Arial"/>
        </w:rPr>
        <w:t>inscripción</w:t>
      </w:r>
      <w:r w:rsidRPr="00EE232B">
        <w:rPr>
          <w:rFonts w:ascii="Verdana" w:hAnsi="Verdana" w:cs="Arial"/>
          <w:spacing w:val="-8"/>
        </w:rPr>
        <w:t xml:space="preserve"> </w:t>
      </w:r>
      <w:r w:rsidRPr="00EE232B">
        <w:rPr>
          <w:rFonts w:ascii="Verdana" w:hAnsi="Verdana" w:cs="Arial"/>
        </w:rPr>
        <w:t>en</w:t>
      </w:r>
      <w:r w:rsidRPr="00EE232B">
        <w:rPr>
          <w:rFonts w:ascii="Verdana" w:hAnsi="Verdana" w:cs="Arial"/>
          <w:spacing w:val="-9"/>
        </w:rPr>
        <w:t xml:space="preserve"> </w:t>
      </w:r>
      <w:r w:rsidRPr="00EE232B">
        <w:rPr>
          <w:rFonts w:ascii="Verdana" w:hAnsi="Verdana" w:cs="Arial"/>
        </w:rPr>
        <w:t>el</w:t>
      </w:r>
      <w:r w:rsidRPr="00EE232B">
        <w:rPr>
          <w:rFonts w:ascii="Verdana" w:hAnsi="Verdana" w:cs="Arial"/>
          <w:spacing w:val="-9"/>
        </w:rPr>
        <w:t xml:space="preserve"> </w:t>
      </w:r>
      <w:r w:rsidRPr="00EE232B">
        <w:rPr>
          <w:rFonts w:ascii="Verdana" w:hAnsi="Verdana" w:cs="Arial"/>
        </w:rPr>
        <w:t>RUP</w:t>
      </w:r>
      <w:r w:rsidRPr="00EE232B">
        <w:rPr>
          <w:rFonts w:ascii="Verdana" w:hAnsi="Verdana" w:cs="Arial"/>
          <w:spacing w:val="-7"/>
        </w:rPr>
        <w:t xml:space="preserve"> </w:t>
      </w:r>
      <w:r w:rsidRPr="00EE232B">
        <w:rPr>
          <w:rFonts w:ascii="Verdana" w:hAnsi="Verdana" w:cs="Arial"/>
        </w:rPr>
        <w:t>se</w:t>
      </w:r>
      <w:r w:rsidRPr="00EE232B">
        <w:rPr>
          <w:rFonts w:ascii="Verdana" w:hAnsi="Verdana" w:cs="Arial"/>
          <w:spacing w:val="-9"/>
        </w:rPr>
        <w:t xml:space="preserve"> </w:t>
      </w:r>
      <w:r w:rsidRPr="00EE232B">
        <w:rPr>
          <w:rFonts w:ascii="Verdana" w:hAnsi="Verdana" w:cs="Arial"/>
        </w:rPr>
        <w:t>podrá</w:t>
      </w:r>
      <w:r w:rsidRPr="00EE232B">
        <w:rPr>
          <w:rFonts w:ascii="Verdana" w:hAnsi="Verdana" w:cs="Arial"/>
          <w:spacing w:val="-9"/>
        </w:rPr>
        <w:t xml:space="preserve"> </w:t>
      </w:r>
      <w:r w:rsidRPr="00EE232B">
        <w:rPr>
          <w:rFonts w:ascii="Verdana" w:hAnsi="Verdana" w:cs="Arial"/>
        </w:rPr>
        <w:t>demandar</w:t>
      </w:r>
      <w:r w:rsidRPr="00EE232B">
        <w:rPr>
          <w:rFonts w:ascii="Verdana" w:hAnsi="Verdana" w:cs="Arial"/>
          <w:spacing w:val="-9"/>
        </w:rPr>
        <w:t xml:space="preserve"> </w:t>
      </w:r>
      <w:r w:rsidRPr="00EE232B">
        <w:rPr>
          <w:rFonts w:ascii="Verdana" w:hAnsi="Verdana" w:cs="Arial"/>
        </w:rPr>
        <w:t>su</w:t>
      </w:r>
      <w:r w:rsidRPr="00EE232B">
        <w:rPr>
          <w:rFonts w:ascii="Verdana" w:hAnsi="Verdana" w:cs="Arial"/>
          <w:spacing w:val="-8"/>
        </w:rPr>
        <w:t xml:space="preserve"> </w:t>
      </w:r>
      <w:r w:rsidRPr="00EE232B">
        <w:rPr>
          <w:rFonts w:ascii="Verdana" w:hAnsi="Verdana" w:cs="Arial"/>
        </w:rPr>
        <w:t>nulidad,</w:t>
      </w:r>
      <w:r w:rsidRPr="00EE232B">
        <w:rPr>
          <w:rFonts w:ascii="Verdana" w:hAnsi="Verdana" w:cs="Arial"/>
          <w:spacing w:val="-9"/>
        </w:rPr>
        <w:t xml:space="preserve"> </w:t>
      </w:r>
      <w:r w:rsidRPr="00EE232B">
        <w:rPr>
          <w:rFonts w:ascii="Verdana" w:hAnsi="Verdana" w:cs="Arial"/>
        </w:rPr>
        <w:t>sin que la</w:t>
      </w:r>
      <w:r w:rsidRPr="00EE232B">
        <w:rPr>
          <w:rFonts w:ascii="Verdana" w:hAnsi="Verdana" w:cs="Arial"/>
          <w:spacing w:val="-9"/>
        </w:rPr>
        <w:t xml:space="preserve"> </w:t>
      </w:r>
      <w:r w:rsidRPr="00EE232B">
        <w:rPr>
          <w:rFonts w:ascii="Verdana" w:hAnsi="Verdana" w:cs="Arial"/>
        </w:rPr>
        <w:t>presentación</w:t>
      </w:r>
      <w:r w:rsidRPr="00EE232B">
        <w:rPr>
          <w:rFonts w:ascii="Verdana" w:hAnsi="Verdana" w:cs="Arial"/>
          <w:spacing w:val="-2"/>
        </w:rPr>
        <w:t xml:space="preserve"> </w:t>
      </w:r>
      <w:r w:rsidRPr="00EE232B">
        <w:rPr>
          <w:rFonts w:ascii="Verdana" w:hAnsi="Verdana" w:cs="Arial"/>
        </w:rPr>
        <w:t>de</w:t>
      </w:r>
      <w:r w:rsidRPr="00EE232B">
        <w:rPr>
          <w:rFonts w:ascii="Verdana" w:hAnsi="Verdana" w:cs="Arial"/>
          <w:spacing w:val="-2"/>
        </w:rPr>
        <w:t xml:space="preserve"> </w:t>
      </w:r>
      <w:r w:rsidRPr="00EE232B">
        <w:rPr>
          <w:rFonts w:ascii="Verdana" w:hAnsi="Verdana" w:cs="Arial"/>
        </w:rPr>
        <w:t>la</w:t>
      </w:r>
      <w:r w:rsidRPr="00EE232B">
        <w:rPr>
          <w:rFonts w:ascii="Verdana" w:hAnsi="Verdana" w:cs="Arial"/>
          <w:spacing w:val="-2"/>
        </w:rPr>
        <w:t xml:space="preserve"> </w:t>
      </w:r>
      <w:r w:rsidRPr="00EE232B">
        <w:rPr>
          <w:rFonts w:ascii="Verdana" w:hAnsi="Verdana" w:cs="Arial"/>
        </w:rPr>
        <w:t>demanda</w:t>
      </w:r>
      <w:r w:rsidRPr="00EE232B">
        <w:rPr>
          <w:rFonts w:ascii="Verdana" w:hAnsi="Verdana" w:cs="Arial"/>
          <w:spacing w:val="-1"/>
        </w:rPr>
        <w:t xml:space="preserve"> </w:t>
      </w:r>
      <w:r w:rsidRPr="00EE232B">
        <w:rPr>
          <w:rFonts w:ascii="Verdana" w:hAnsi="Verdana" w:cs="Arial"/>
        </w:rPr>
        <w:t>suspenda</w:t>
      </w:r>
      <w:r w:rsidRPr="00EE232B">
        <w:rPr>
          <w:rFonts w:ascii="Verdana" w:hAnsi="Verdana" w:cs="Arial"/>
          <w:spacing w:val="-2"/>
        </w:rPr>
        <w:t xml:space="preserve"> </w:t>
      </w:r>
      <w:r w:rsidRPr="00EE232B">
        <w:rPr>
          <w:rFonts w:ascii="Verdana" w:hAnsi="Verdana" w:cs="Arial"/>
        </w:rPr>
        <w:t>la</w:t>
      </w:r>
      <w:r w:rsidRPr="00EE232B">
        <w:rPr>
          <w:rFonts w:ascii="Verdana" w:hAnsi="Verdana" w:cs="Arial"/>
          <w:spacing w:val="-2"/>
        </w:rPr>
        <w:t xml:space="preserve"> </w:t>
      </w:r>
      <w:r w:rsidRPr="00EE232B">
        <w:rPr>
          <w:rFonts w:ascii="Verdana" w:hAnsi="Verdana" w:cs="Arial"/>
        </w:rPr>
        <w:t>inscripción</w:t>
      </w:r>
      <w:r w:rsidRPr="00EE232B">
        <w:rPr>
          <w:rFonts w:ascii="Verdana" w:hAnsi="Verdana" w:cs="Arial"/>
          <w:spacing w:val="-2"/>
        </w:rPr>
        <w:t xml:space="preserve"> </w:t>
      </w:r>
      <w:r w:rsidRPr="00EE232B">
        <w:rPr>
          <w:rFonts w:ascii="Verdana" w:hAnsi="Verdana" w:cs="Arial"/>
        </w:rPr>
        <w:t>del registro</w:t>
      </w:r>
      <w:r>
        <w:rPr>
          <w:rFonts w:ascii="Verdana" w:eastAsia="Arial" w:hAnsi="Verdana" w:cs="Arial"/>
          <w:b/>
          <w:lang w:val="es-ES"/>
        </w:rPr>
        <w:t>.</w:t>
      </w:r>
    </w:p>
    <w:p w14:paraId="1609C35F" w14:textId="77777777" w:rsidR="00455F2B" w:rsidRPr="00EE232B" w:rsidRDefault="00455F2B" w:rsidP="00455F2B">
      <w:pPr>
        <w:widowControl w:val="0"/>
        <w:autoSpaceDE w:val="0"/>
        <w:autoSpaceDN w:val="0"/>
        <w:spacing w:after="120" w:line="276" w:lineRule="auto"/>
        <w:ind w:firstLine="709"/>
        <w:contextualSpacing/>
        <w:jc w:val="both"/>
        <w:rPr>
          <w:rFonts w:ascii="Verdana" w:eastAsia="Arial" w:hAnsi="Verdana" w:cs="Arial"/>
          <w:b/>
          <w:lang w:val="es-ES"/>
        </w:rPr>
      </w:pPr>
      <w:r w:rsidRPr="00EE232B">
        <w:rPr>
          <w:rFonts w:ascii="Verdana" w:hAnsi="Verdana" w:cs="Arial"/>
        </w:rPr>
        <w:t xml:space="preserve">De otro lado, el artículo 2.2.1.1.1.5.1. del Decreto 1082 de 2015 señala que las personas inscritas en el RUP </w:t>
      </w:r>
      <w:r w:rsidRPr="00EE232B">
        <w:rPr>
          <w:rFonts w:ascii="Verdana" w:hAnsi="Verdana" w:cs="Arial"/>
          <w:i/>
        </w:rPr>
        <w:t>deben presentar la información para renovar su registro a más tardar el quinto día hábil del mes de abril de cada año</w:t>
      </w:r>
      <w:r w:rsidRPr="00EE232B">
        <w:rPr>
          <w:rFonts w:ascii="Verdana" w:hAnsi="Verdana" w:cs="Arial"/>
        </w:rPr>
        <w:t>, de lo contrario cesan los efectos del RUP</w:t>
      </w:r>
      <w:r w:rsidRPr="00EE232B">
        <w:rPr>
          <w:rStyle w:val="Refdenotaalpie"/>
          <w:rFonts w:ascii="Verdana" w:hAnsi="Verdana" w:cs="Arial"/>
        </w:rPr>
        <w:footnoteReference w:id="15"/>
      </w:r>
      <w:r w:rsidRPr="00EE232B">
        <w:rPr>
          <w:rFonts w:ascii="Verdana" w:hAnsi="Verdana" w:cs="Arial"/>
        </w:rPr>
        <w:t>. Sin perjuicio de lo indicado, para el año 2020, conforme al Decreto Legislativo 434 de 2020, debió entenderse a más tardar el quinto día hábil del mes de julio de 2020. El Consejo de Estado, en sentencia del 19 de septiembre de 2019, señaló la finalidad de la renovación del RUP y las consecuencias de no hacerlo en el término previsto, así:</w:t>
      </w:r>
    </w:p>
    <w:p w14:paraId="0F98D288" w14:textId="77777777" w:rsidR="00455F2B" w:rsidRPr="00EE232B" w:rsidRDefault="00455F2B" w:rsidP="00455F2B">
      <w:pPr>
        <w:ind w:firstLine="709"/>
        <w:contextualSpacing/>
        <w:jc w:val="both"/>
        <w:rPr>
          <w:rFonts w:ascii="Verdana" w:hAnsi="Verdana" w:cs="Arial"/>
          <w:b/>
          <w:lang w:val="es-ES"/>
        </w:rPr>
      </w:pPr>
    </w:p>
    <w:p w14:paraId="74D155AA" w14:textId="77777777" w:rsidR="00455F2B" w:rsidRPr="00D57160" w:rsidRDefault="00455F2B" w:rsidP="00455F2B">
      <w:pPr>
        <w:widowControl w:val="0"/>
        <w:autoSpaceDE w:val="0"/>
        <w:autoSpaceDN w:val="0"/>
        <w:ind w:left="709" w:right="709"/>
        <w:contextualSpacing/>
        <w:jc w:val="both"/>
        <w:rPr>
          <w:rFonts w:ascii="Verdana" w:eastAsia="Arial MT" w:hAnsi="Verdana" w:cs="Arial"/>
          <w:sz w:val="20"/>
          <w:szCs w:val="20"/>
          <w:lang w:val="es-ES"/>
        </w:rPr>
      </w:pPr>
      <w:r w:rsidRPr="00D57160">
        <w:rPr>
          <w:rFonts w:ascii="Verdana" w:eastAsia="Arial MT" w:hAnsi="Verdana" w:cs="Arial"/>
          <w:sz w:val="20"/>
          <w:szCs w:val="20"/>
          <w:lang w:val="es-ES"/>
        </w:rPr>
        <w:t>“Al respecto, no puede perderse de vista que la finalidad principal de la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renovación del RUP, al margen de que con ese acto se nutra del registro de</w:t>
      </w:r>
      <w:r w:rsidRPr="00D57160">
        <w:rPr>
          <w:rFonts w:ascii="Verdana" w:eastAsia="Arial MT" w:hAnsi="Verdana" w:cs="Arial"/>
          <w:spacing w:val="-56"/>
          <w:sz w:val="20"/>
          <w:szCs w:val="20"/>
          <w:lang w:val="es-ES"/>
        </w:rPr>
        <w:t xml:space="preserve"> </w:t>
      </w:r>
      <w:r w:rsidRPr="00D57160">
        <w:rPr>
          <w:rFonts w:ascii="Verdana" w:eastAsia="Arial MT" w:hAnsi="Verdana" w:cs="Arial"/>
          <w:sz w:val="20"/>
          <w:szCs w:val="20"/>
          <w:lang w:val="es-ES"/>
        </w:rPr>
        <w:t>nueva</w:t>
      </w:r>
      <w:r w:rsidRPr="00D57160">
        <w:rPr>
          <w:rFonts w:ascii="Verdana" w:eastAsia="Arial MT" w:hAnsi="Verdana" w:cs="Arial"/>
          <w:spacing w:val="-6"/>
          <w:sz w:val="20"/>
          <w:szCs w:val="20"/>
          <w:lang w:val="es-ES"/>
        </w:rPr>
        <w:t xml:space="preserve"> </w:t>
      </w:r>
      <w:r w:rsidRPr="00D57160">
        <w:rPr>
          <w:rFonts w:ascii="Verdana" w:eastAsia="Arial MT" w:hAnsi="Verdana" w:cs="Arial"/>
          <w:sz w:val="20"/>
          <w:szCs w:val="20"/>
          <w:lang w:val="es-ES"/>
        </w:rPr>
        <w:t>información,</w:t>
      </w:r>
      <w:r w:rsidRPr="00D57160">
        <w:rPr>
          <w:rFonts w:ascii="Verdana" w:eastAsia="Arial MT" w:hAnsi="Verdana" w:cs="Arial"/>
          <w:spacing w:val="-4"/>
          <w:sz w:val="20"/>
          <w:szCs w:val="20"/>
          <w:lang w:val="es-ES"/>
        </w:rPr>
        <w:t xml:space="preserve"> </w:t>
      </w:r>
      <w:r w:rsidRPr="00D57160">
        <w:rPr>
          <w:rFonts w:ascii="Verdana" w:eastAsia="Arial MT" w:hAnsi="Verdana" w:cs="Arial"/>
          <w:sz w:val="20"/>
          <w:szCs w:val="20"/>
          <w:lang w:val="es-ES"/>
        </w:rPr>
        <w:t>es</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conservar</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su</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vigencia,</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propósito</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que,</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de</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acuerdo con el</w:t>
      </w:r>
      <w:r w:rsidRPr="00D57160">
        <w:rPr>
          <w:rFonts w:ascii="Verdana" w:eastAsia="Arial MT" w:hAnsi="Verdana" w:cs="Arial"/>
          <w:spacing w:val="-4"/>
          <w:sz w:val="20"/>
          <w:szCs w:val="20"/>
          <w:lang w:val="es-ES"/>
        </w:rPr>
        <w:t xml:space="preserve"> </w:t>
      </w:r>
      <w:r w:rsidRPr="00D57160">
        <w:rPr>
          <w:rFonts w:ascii="Verdana" w:eastAsia="Arial MT" w:hAnsi="Verdana" w:cs="Arial"/>
          <w:sz w:val="20"/>
          <w:szCs w:val="20"/>
          <w:lang w:val="es-ES"/>
        </w:rPr>
        <w:t>artículo 8 del Decreto 1510 de 2013, solo ha de cumplirse si el mismo se</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realiza dentro del plazo allí establecido, comprendido entre el 1 de enero</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hasta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quinto</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día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hábil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mes</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de</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abril.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En</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defecto,</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la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disposición</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reglamentaria establece como consecuencia la cesación de los efectos del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RUP.</w:t>
      </w:r>
    </w:p>
    <w:p w14:paraId="1DD045AF" w14:textId="77777777" w:rsidR="00455F2B" w:rsidRDefault="00455F2B" w:rsidP="00455F2B">
      <w:pPr>
        <w:widowControl w:val="0"/>
        <w:autoSpaceDE w:val="0"/>
        <w:autoSpaceDN w:val="0"/>
        <w:ind w:left="709" w:right="709"/>
        <w:contextualSpacing/>
        <w:jc w:val="both"/>
        <w:rPr>
          <w:rFonts w:ascii="Verdana" w:eastAsia="Arial MT" w:hAnsi="Verdana" w:cs="Arial"/>
          <w:sz w:val="20"/>
          <w:szCs w:val="20"/>
          <w:lang w:val="es-ES"/>
        </w:rPr>
      </w:pPr>
    </w:p>
    <w:p w14:paraId="5A0E05D7" w14:textId="77777777" w:rsidR="00455F2B" w:rsidRPr="00250FCC" w:rsidRDefault="00455F2B" w:rsidP="00455F2B">
      <w:pPr>
        <w:widowControl w:val="0"/>
        <w:autoSpaceDE w:val="0"/>
        <w:autoSpaceDN w:val="0"/>
        <w:ind w:left="709" w:right="709"/>
        <w:contextualSpacing/>
        <w:jc w:val="both"/>
        <w:rPr>
          <w:rFonts w:ascii="Verdana" w:eastAsia="Arial MT" w:hAnsi="Verdana" w:cs="Arial"/>
          <w:sz w:val="20"/>
          <w:szCs w:val="20"/>
          <w:lang w:val="es-ES"/>
        </w:rPr>
      </w:pPr>
      <w:r w:rsidRPr="00D57160">
        <w:rPr>
          <w:rFonts w:ascii="Verdana" w:eastAsia="Arial MT" w:hAnsi="Verdana" w:cs="Arial"/>
          <w:sz w:val="20"/>
          <w:szCs w:val="20"/>
          <w:lang w:val="es-ES"/>
        </w:rPr>
        <w:t>Ante ese panorama, el incumplimiento del deber de renovar el RUP en 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período trae como consecuencia la cesación de efectos respecto de la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información</w:t>
      </w:r>
      <w:r w:rsidRPr="00D57160">
        <w:rPr>
          <w:rFonts w:ascii="Verdana" w:eastAsia="Arial MT" w:hAnsi="Verdana" w:cs="Arial"/>
          <w:spacing w:val="-8"/>
          <w:sz w:val="20"/>
          <w:szCs w:val="20"/>
          <w:lang w:val="es-ES"/>
        </w:rPr>
        <w:t xml:space="preserve"> </w:t>
      </w:r>
      <w:r w:rsidRPr="00D57160">
        <w:rPr>
          <w:rFonts w:ascii="Verdana" w:eastAsia="Arial MT" w:hAnsi="Verdana" w:cs="Arial"/>
          <w:sz w:val="20"/>
          <w:szCs w:val="20"/>
          <w:lang w:val="es-ES"/>
        </w:rPr>
        <w:t>certificada</w:t>
      </w:r>
      <w:r w:rsidRPr="00D57160">
        <w:rPr>
          <w:rFonts w:ascii="Verdana" w:eastAsia="Arial MT" w:hAnsi="Verdana" w:cs="Arial"/>
          <w:spacing w:val="-8"/>
          <w:sz w:val="20"/>
          <w:szCs w:val="20"/>
          <w:lang w:val="es-ES"/>
        </w:rPr>
        <w:t xml:space="preserve"> </w:t>
      </w:r>
      <w:r w:rsidRPr="00D57160">
        <w:rPr>
          <w:rFonts w:ascii="Verdana" w:eastAsia="Arial MT" w:hAnsi="Verdana" w:cs="Arial"/>
          <w:sz w:val="20"/>
          <w:szCs w:val="20"/>
          <w:lang w:val="es-ES"/>
        </w:rPr>
        <w:t>en</w:t>
      </w:r>
      <w:r w:rsidRPr="00D57160">
        <w:rPr>
          <w:rFonts w:ascii="Verdana" w:eastAsia="Arial MT" w:hAnsi="Verdana" w:cs="Arial"/>
          <w:spacing w:val="-9"/>
          <w:sz w:val="20"/>
          <w:szCs w:val="20"/>
          <w:lang w:val="es-ES"/>
        </w:rPr>
        <w:t xml:space="preserve"> </w:t>
      </w:r>
      <w:r w:rsidRPr="00D57160">
        <w:rPr>
          <w:rFonts w:ascii="Verdana" w:eastAsia="Arial MT" w:hAnsi="Verdana" w:cs="Arial"/>
          <w:sz w:val="20"/>
          <w:szCs w:val="20"/>
          <w:lang w:val="es-ES"/>
        </w:rPr>
        <w:t>ese</w:t>
      </w:r>
      <w:r w:rsidRPr="00D57160">
        <w:rPr>
          <w:rFonts w:ascii="Verdana" w:eastAsia="Arial MT" w:hAnsi="Verdana" w:cs="Arial"/>
          <w:spacing w:val="-8"/>
          <w:sz w:val="20"/>
          <w:szCs w:val="20"/>
          <w:lang w:val="es-ES"/>
        </w:rPr>
        <w:t xml:space="preserve"> </w:t>
      </w:r>
      <w:r w:rsidRPr="00D57160">
        <w:rPr>
          <w:rFonts w:ascii="Verdana" w:eastAsia="Arial MT" w:hAnsi="Verdana" w:cs="Arial"/>
          <w:sz w:val="20"/>
          <w:szCs w:val="20"/>
          <w:lang w:val="es-ES"/>
        </w:rPr>
        <w:t>documento</w:t>
      </w:r>
      <w:r w:rsidRPr="00D57160">
        <w:rPr>
          <w:rFonts w:ascii="Verdana" w:eastAsia="Arial MT" w:hAnsi="Verdana" w:cs="Arial"/>
          <w:spacing w:val="-9"/>
          <w:sz w:val="20"/>
          <w:szCs w:val="20"/>
          <w:lang w:val="es-ES"/>
        </w:rPr>
        <w:t xml:space="preserve"> </w:t>
      </w:r>
      <w:r w:rsidRPr="00D57160">
        <w:rPr>
          <w:rFonts w:ascii="Verdana" w:eastAsia="Arial MT" w:hAnsi="Verdana" w:cs="Arial"/>
          <w:sz w:val="20"/>
          <w:szCs w:val="20"/>
          <w:lang w:val="es-ES"/>
        </w:rPr>
        <w:t>y,</w:t>
      </w:r>
      <w:r w:rsidRPr="00D57160">
        <w:rPr>
          <w:rFonts w:ascii="Verdana" w:eastAsia="Arial MT" w:hAnsi="Verdana" w:cs="Arial"/>
          <w:spacing w:val="-8"/>
          <w:sz w:val="20"/>
          <w:szCs w:val="20"/>
          <w:lang w:val="es-ES"/>
        </w:rPr>
        <w:t xml:space="preserve"> </w:t>
      </w:r>
      <w:r w:rsidRPr="00D57160">
        <w:rPr>
          <w:rFonts w:ascii="Verdana" w:eastAsia="Arial MT" w:hAnsi="Verdana" w:cs="Arial"/>
          <w:sz w:val="20"/>
          <w:szCs w:val="20"/>
          <w:lang w:val="es-ES"/>
        </w:rPr>
        <w:t>por</w:t>
      </w:r>
      <w:r w:rsidRPr="00D57160">
        <w:rPr>
          <w:rFonts w:ascii="Verdana" w:eastAsia="Arial MT" w:hAnsi="Verdana" w:cs="Arial"/>
          <w:spacing w:val="-9"/>
          <w:sz w:val="20"/>
          <w:szCs w:val="20"/>
          <w:lang w:val="es-ES"/>
        </w:rPr>
        <w:t xml:space="preserve"> </w:t>
      </w:r>
      <w:r w:rsidRPr="00D57160">
        <w:rPr>
          <w:rFonts w:ascii="Verdana" w:eastAsia="Arial MT" w:hAnsi="Verdana" w:cs="Arial"/>
          <w:sz w:val="20"/>
          <w:szCs w:val="20"/>
          <w:lang w:val="es-ES"/>
        </w:rPr>
        <w:t>contera,</w:t>
      </w:r>
      <w:r w:rsidRPr="00D57160">
        <w:rPr>
          <w:rFonts w:ascii="Verdana" w:eastAsia="Arial MT" w:hAnsi="Verdana" w:cs="Arial"/>
          <w:spacing w:val="-8"/>
          <w:sz w:val="20"/>
          <w:szCs w:val="20"/>
          <w:lang w:val="es-ES"/>
        </w:rPr>
        <w:t xml:space="preserve"> </w:t>
      </w:r>
      <w:r w:rsidRPr="00D57160">
        <w:rPr>
          <w:rFonts w:ascii="Verdana" w:eastAsia="Arial MT" w:hAnsi="Verdana" w:cs="Arial"/>
          <w:sz w:val="20"/>
          <w:szCs w:val="20"/>
          <w:lang w:val="es-ES"/>
        </w:rPr>
        <w:t>la</w:t>
      </w:r>
      <w:r w:rsidRPr="00D57160">
        <w:rPr>
          <w:rFonts w:ascii="Verdana" w:eastAsia="Arial MT" w:hAnsi="Verdana" w:cs="Arial"/>
          <w:spacing w:val="-9"/>
          <w:sz w:val="20"/>
          <w:szCs w:val="20"/>
          <w:lang w:val="es-ES"/>
        </w:rPr>
        <w:t xml:space="preserve"> </w:t>
      </w:r>
      <w:r w:rsidRPr="00D57160">
        <w:rPr>
          <w:rFonts w:ascii="Verdana" w:eastAsia="Arial MT" w:hAnsi="Verdana" w:cs="Arial"/>
          <w:sz w:val="20"/>
          <w:szCs w:val="20"/>
          <w:lang w:val="es-ES"/>
        </w:rPr>
        <w:t>falta</w:t>
      </w:r>
      <w:r w:rsidRPr="00D57160">
        <w:rPr>
          <w:rFonts w:ascii="Verdana" w:eastAsia="Arial MT" w:hAnsi="Verdana" w:cs="Arial"/>
          <w:spacing w:val="-7"/>
          <w:sz w:val="20"/>
          <w:szCs w:val="20"/>
          <w:lang w:val="es-ES"/>
        </w:rPr>
        <w:t xml:space="preserve"> </w:t>
      </w:r>
      <w:r w:rsidRPr="00D57160">
        <w:rPr>
          <w:rFonts w:ascii="Verdana" w:eastAsia="Arial MT" w:hAnsi="Verdana" w:cs="Arial"/>
          <w:sz w:val="20"/>
          <w:szCs w:val="20"/>
          <w:lang w:val="es-ES"/>
        </w:rPr>
        <w:t xml:space="preserve">de vocación </w:t>
      </w:r>
      <w:r w:rsidRPr="00D2638E">
        <w:rPr>
          <w:rFonts w:ascii="Verdana" w:eastAsia="Arial MT" w:hAnsi="Verdana" w:cs="Arial"/>
          <w:b/>
          <w:bCs/>
          <w:sz w:val="20"/>
          <w:szCs w:val="20"/>
          <w:u w:val="single"/>
          <w:lang w:val="es-ES"/>
        </w:rPr>
        <w:t>como</w:t>
      </w:r>
      <w:r w:rsidRPr="00D2638E">
        <w:rPr>
          <w:rFonts w:ascii="Verdana" w:eastAsia="Arial MT" w:hAnsi="Verdana" w:cs="Arial"/>
          <w:b/>
          <w:bCs/>
          <w:spacing w:val="-9"/>
          <w:sz w:val="20"/>
          <w:szCs w:val="20"/>
          <w:u w:val="single"/>
          <w:lang w:val="es-ES"/>
        </w:rPr>
        <w:t xml:space="preserve"> </w:t>
      </w:r>
      <w:r w:rsidRPr="00D2638E">
        <w:rPr>
          <w:rFonts w:ascii="Verdana" w:eastAsia="Arial MT" w:hAnsi="Verdana" w:cs="Arial"/>
          <w:b/>
          <w:bCs/>
          <w:sz w:val="20"/>
          <w:szCs w:val="20"/>
          <w:u w:val="single"/>
          <w:lang w:val="es-ES"/>
        </w:rPr>
        <w:t>plena</w:t>
      </w:r>
      <w:r w:rsidRPr="00D2638E">
        <w:rPr>
          <w:rFonts w:ascii="Verdana" w:eastAsia="Arial MT" w:hAnsi="Verdana" w:cs="Arial"/>
          <w:b/>
          <w:bCs/>
          <w:spacing w:val="1"/>
          <w:sz w:val="20"/>
          <w:szCs w:val="20"/>
          <w:u w:val="single"/>
          <w:lang w:val="es-ES"/>
        </w:rPr>
        <w:t xml:space="preserve"> </w:t>
      </w:r>
      <w:r w:rsidRPr="00D2638E">
        <w:rPr>
          <w:rFonts w:ascii="Verdana" w:eastAsia="Arial MT" w:hAnsi="Verdana" w:cs="Arial"/>
          <w:b/>
          <w:bCs/>
          <w:sz w:val="20"/>
          <w:szCs w:val="20"/>
          <w:u w:val="single"/>
          <w:lang w:val="es-ES"/>
        </w:rPr>
        <w:t>prueba</w:t>
      </w:r>
      <w:r w:rsidRPr="00D2638E">
        <w:rPr>
          <w:rFonts w:ascii="Verdana" w:eastAsia="Arial MT" w:hAnsi="Verdana" w:cs="Arial"/>
          <w:b/>
          <w:bCs/>
          <w:spacing w:val="1"/>
          <w:sz w:val="20"/>
          <w:szCs w:val="20"/>
          <w:u w:val="single"/>
          <w:lang w:val="es-ES"/>
        </w:rPr>
        <w:t xml:space="preserve"> </w:t>
      </w:r>
      <w:r w:rsidRPr="00D2638E">
        <w:rPr>
          <w:rFonts w:ascii="Verdana" w:eastAsia="Arial MT" w:hAnsi="Verdana" w:cs="Arial"/>
          <w:b/>
          <w:bCs/>
          <w:sz w:val="20"/>
          <w:szCs w:val="20"/>
          <w:u w:val="single"/>
          <w:lang w:val="es-ES"/>
        </w:rPr>
        <w:t>para</w:t>
      </w:r>
      <w:r w:rsidRPr="00D2638E">
        <w:rPr>
          <w:rFonts w:ascii="Verdana" w:eastAsia="Arial MT" w:hAnsi="Verdana" w:cs="Arial"/>
          <w:b/>
          <w:bCs/>
          <w:spacing w:val="1"/>
          <w:sz w:val="20"/>
          <w:szCs w:val="20"/>
          <w:u w:val="single"/>
          <w:lang w:val="es-ES"/>
        </w:rPr>
        <w:t xml:space="preserve"> </w:t>
      </w:r>
      <w:r w:rsidRPr="00D2638E">
        <w:rPr>
          <w:rFonts w:ascii="Verdana" w:eastAsia="Arial MT" w:hAnsi="Verdana" w:cs="Arial"/>
          <w:b/>
          <w:bCs/>
          <w:sz w:val="20"/>
          <w:szCs w:val="20"/>
          <w:u w:val="single"/>
          <w:lang w:val="es-ES"/>
        </w:rPr>
        <w:t>acreditar</w:t>
      </w:r>
      <w:r w:rsidRPr="00D2638E">
        <w:rPr>
          <w:rFonts w:ascii="Verdana" w:eastAsia="Arial MT" w:hAnsi="Verdana" w:cs="Arial"/>
          <w:b/>
          <w:bCs/>
          <w:spacing w:val="1"/>
          <w:sz w:val="20"/>
          <w:szCs w:val="20"/>
          <w:u w:val="single"/>
          <w:lang w:val="es-ES"/>
        </w:rPr>
        <w:t xml:space="preserve"> </w:t>
      </w:r>
      <w:r w:rsidRPr="00D2638E">
        <w:rPr>
          <w:rFonts w:ascii="Verdana" w:eastAsia="Arial MT" w:hAnsi="Verdana" w:cs="Arial"/>
          <w:b/>
          <w:bCs/>
          <w:sz w:val="20"/>
          <w:szCs w:val="20"/>
          <w:u w:val="single"/>
          <w:lang w:val="es-ES"/>
        </w:rPr>
        <w:t>el</w:t>
      </w:r>
      <w:r w:rsidRPr="00D2638E">
        <w:rPr>
          <w:rFonts w:ascii="Verdana" w:eastAsia="Arial MT" w:hAnsi="Verdana" w:cs="Arial"/>
          <w:b/>
          <w:bCs/>
          <w:spacing w:val="1"/>
          <w:sz w:val="20"/>
          <w:szCs w:val="20"/>
          <w:u w:val="single"/>
          <w:lang w:val="es-ES"/>
        </w:rPr>
        <w:t xml:space="preserve"> </w:t>
      </w:r>
      <w:r w:rsidRPr="00D2638E">
        <w:rPr>
          <w:rFonts w:ascii="Verdana" w:eastAsia="Arial MT" w:hAnsi="Verdana" w:cs="Arial"/>
          <w:b/>
          <w:bCs/>
          <w:sz w:val="20"/>
          <w:szCs w:val="20"/>
          <w:u w:val="single"/>
          <w:lang w:val="es-ES"/>
        </w:rPr>
        <w:t>cumplimiento</w:t>
      </w:r>
      <w:r w:rsidRPr="00D2638E">
        <w:rPr>
          <w:rFonts w:ascii="Verdana" w:eastAsia="Arial MT" w:hAnsi="Verdana" w:cs="Arial"/>
          <w:b/>
          <w:bCs/>
          <w:spacing w:val="1"/>
          <w:sz w:val="20"/>
          <w:szCs w:val="20"/>
          <w:u w:val="single"/>
          <w:lang w:val="es-ES"/>
        </w:rPr>
        <w:t xml:space="preserve"> </w:t>
      </w:r>
      <w:r w:rsidRPr="00D2638E">
        <w:rPr>
          <w:rFonts w:ascii="Verdana" w:eastAsia="Arial MT" w:hAnsi="Verdana" w:cs="Arial"/>
          <w:b/>
          <w:bCs/>
          <w:sz w:val="20"/>
          <w:szCs w:val="20"/>
          <w:u w:val="single"/>
          <w:lang w:val="es-ES"/>
        </w:rPr>
        <w:t>de</w:t>
      </w:r>
      <w:r w:rsidRPr="00D2638E">
        <w:rPr>
          <w:rFonts w:ascii="Verdana" w:eastAsia="Arial MT" w:hAnsi="Verdana" w:cs="Arial"/>
          <w:b/>
          <w:bCs/>
          <w:spacing w:val="1"/>
          <w:sz w:val="20"/>
          <w:szCs w:val="20"/>
          <w:u w:val="single"/>
          <w:lang w:val="es-ES"/>
        </w:rPr>
        <w:t xml:space="preserve"> </w:t>
      </w:r>
      <w:r w:rsidRPr="00D2638E">
        <w:rPr>
          <w:rFonts w:ascii="Verdana" w:eastAsia="Arial MT" w:hAnsi="Verdana" w:cs="Arial"/>
          <w:b/>
          <w:bCs/>
          <w:sz w:val="20"/>
          <w:szCs w:val="20"/>
          <w:u w:val="single"/>
          <w:lang w:val="es-ES"/>
        </w:rPr>
        <w:t>los</w:t>
      </w:r>
      <w:r w:rsidRPr="00D2638E">
        <w:rPr>
          <w:rFonts w:ascii="Verdana" w:eastAsia="Arial MT" w:hAnsi="Verdana" w:cs="Arial"/>
          <w:b/>
          <w:bCs/>
          <w:spacing w:val="1"/>
          <w:sz w:val="20"/>
          <w:szCs w:val="20"/>
          <w:u w:val="single"/>
          <w:lang w:val="es-ES"/>
        </w:rPr>
        <w:t xml:space="preserve"> </w:t>
      </w:r>
      <w:r w:rsidRPr="00D2638E">
        <w:rPr>
          <w:rFonts w:ascii="Verdana" w:eastAsia="Arial MT" w:hAnsi="Verdana" w:cs="Arial"/>
          <w:b/>
          <w:bCs/>
          <w:sz w:val="20"/>
          <w:szCs w:val="20"/>
          <w:u w:val="single"/>
          <w:lang w:val="es-ES"/>
        </w:rPr>
        <w:lastRenderedPageBreak/>
        <w:t>requisitos</w:t>
      </w:r>
      <w:r w:rsidRPr="00D2638E">
        <w:rPr>
          <w:rFonts w:ascii="Verdana" w:eastAsia="Arial MT" w:hAnsi="Verdana" w:cs="Arial"/>
          <w:b/>
          <w:bCs/>
          <w:spacing w:val="1"/>
          <w:sz w:val="20"/>
          <w:szCs w:val="20"/>
          <w:u w:val="single"/>
          <w:lang w:val="es-ES"/>
        </w:rPr>
        <w:t xml:space="preserve"> </w:t>
      </w:r>
      <w:r w:rsidRPr="00D2638E">
        <w:rPr>
          <w:rFonts w:ascii="Verdana" w:eastAsia="Arial MT" w:hAnsi="Verdana" w:cs="Arial"/>
          <w:b/>
          <w:bCs/>
          <w:sz w:val="20"/>
          <w:szCs w:val="20"/>
          <w:u w:val="single"/>
          <w:lang w:val="es-ES"/>
        </w:rPr>
        <w:t>habilitantes del proponente</w:t>
      </w:r>
      <w:r w:rsidRPr="00D57160">
        <w:rPr>
          <w:rFonts w:ascii="Verdana" w:eastAsia="Arial MT" w:hAnsi="Verdana" w:cs="Arial"/>
          <w:sz w:val="20"/>
          <w:szCs w:val="20"/>
          <w:lang w:val="es-ES"/>
        </w:rPr>
        <w:t>, anomalía que en manera alguna se sanea o</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convalida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por</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hecho</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de</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realizar</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una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renovación</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por</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fuera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plazo reglamentado, en tanto no resulta jurídicamente admisible extender una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vigencia que por ministerio de la ley se encuentra vencida y cuyos efectos</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cesaron,</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precisamente</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por</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no</w:t>
      </w:r>
      <w:r w:rsidRPr="00D57160">
        <w:rPr>
          <w:rFonts w:ascii="Verdana" w:eastAsia="Arial MT" w:hAnsi="Verdana" w:cs="Arial"/>
          <w:spacing w:val="-2"/>
          <w:sz w:val="20"/>
          <w:szCs w:val="20"/>
          <w:lang w:val="es-ES"/>
        </w:rPr>
        <w:t xml:space="preserve"> </w:t>
      </w:r>
      <w:r w:rsidRPr="00D57160">
        <w:rPr>
          <w:rFonts w:ascii="Verdana" w:eastAsia="Arial MT" w:hAnsi="Verdana" w:cs="Arial"/>
          <w:sz w:val="20"/>
          <w:szCs w:val="20"/>
          <w:lang w:val="es-ES"/>
        </w:rPr>
        <w:t>haberse</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renovado</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en</w:t>
      </w:r>
      <w:r w:rsidRPr="00D57160">
        <w:rPr>
          <w:rFonts w:ascii="Verdana" w:eastAsia="Arial MT" w:hAnsi="Verdana" w:cs="Arial"/>
          <w:spacing w:val="-2"/>
          <w:sz w:val="20"/>
          <w:szCs w:val="20"/>
          <w:lang w:val="es-ES"/>
        </w:rPr>
        <w:t xml:space="preserve"> </w:t>
      </w:r>
      <w:r w:rsidRPr="00D57160">
        <w:rPr>
          <w:rFonts w:ascii="Verdana" w:eastAsia="Arial MT" w:hAnsi="Verdana" w:cs="Arial"/>
          <w:sz w:val="20"/>
          <w:szCs w:val="20"/>
          <w:lang w:val="es-ES"/>
        </w:rPr>
        <w:t>el</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término</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señalado”</w:t>
      </w:r>
      <w:r w:rsidRPr="00D57160">
        <w:rPr>
          <w:rStyle w:val="Refdenotaalpie"/>
          <w:rFonts w:ascii="Verdana" w:eastAsia="Arial MT" w:hAnsi="Verdana" w:cs="Arial"/>
          <w:sz w:val="20"/>
          <w:szCs w:val="20"/>
          <w:lang w:val="es-ES"/>
        </w:rPr>
        <w:footnoteReference w:id="16"/>
      </w:r>
      <w:r w:rsidRPr="00D57160">
        <w:rPr>
          <w:rFonts w:ascii="Verdana" w:eastAsia="Arial MT" w:hAnsi="Verdana" w:cs="Arial"/>
          <w:sz w:val="20"/>
          <w:szCs w:val="20"/>
          <w:lang w:val="es-ES"/>
        </w:rPr>
        <w:t>.</w:t>
      </w:r>
      <w:r>
        <w:rPr>
          <w:rFonts w:ascii="Verdana" w:eastAsia="Arial MT" w:hAnsi="Verdana" w:cs="Arial"/>
          <w:sz w:val="20"/>
          <w:szCs w:val="20"/>
          <w:lang w:val="es-ES"/>
        </w:rPr>
        <w:t xml:space="preserve"> </w:t>
      </w:r>
    </w:p>
    <w:p w14:paraId="6702FCF1" w14:textId="77777777" w:rsidR="00455F2B" w:rsidRDefault="00455F2B" w:rsidP="00455F2B">
      <w:pPr>
        <w:spacing w:after="120" w:line="276" w:lineRule="auto"/>
        <w:ind w:firstLine="709"/>
        <w:jc w:val="both"/>
        <w:rPr>
          <w:rFonts w:ascii="Verdana" w:hAnsi="Verdana" w:cs="Arial"/>
        </w:rPr>
      </w:pPr>
    </w:p>
    <w:p w14:paraId="78AEA2B5" w14:textId="77777777" w:rsidR="00455F2B" w:rsidRPr="00EE232B" w:rsidRDefault="00455F2B" w:rsidP="00455F2B">
      <w:pPr>
        <w:spacing w:after="120" w:line="276" w:lineRule="auto"/>
        <w:ind w:firstLine="709"/>
        <w:jc w:val="both"/>
        <w:rPr>
          <w:rFonts w:ascii="Verdana" w:hAnsi="Verdana" w:cs="Arial"/>
        </w:rPr>
      </w:pPr>
      <w:r w:rsidRPr="00EE232B">
        <w:rPr>
          <w:rFonts w:ascii="Verdana" w:hAnsi="Verdana" w:cs="Arial"/>
        </w:rPr>
        <w:t>Conforme con lo anterior y en armonía con lo señalado en el artículo 2.2.1.1.1.5.1. del Decreto 1082 de 2015, si el proponente no presenta la información para renovar su registro antes del quinto día hábil del mes de abril de cada año –o el quinto día hábil del mes de julio, para el 2020–, cesarán los efectos del RUP. Lo anterior implica que el proponente 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5EA4EEF1" w14:textId="77777777" w:rsidR="00455F2B" w:rsidRPr="00EE232B" w:rsidRDefault="00455F2B" w:rsidP="00455F2B">
      <w:pPr>
        <w:spacing w:after="120" w:line="276" w:lineRule="auto"/>
        <w:ind w:firstLine="709"/>
        <w:jc w:val="both"/>
        <w:rPr>
          <w:rFonts w:ascii="Verdana" w:hAnsi="Verdana" w:cs="Arial"/>
        </w:rPr>
      </w:pPr>
      <w:r w:rsidRPr="00EE232B">
        <w:rPr>
          <w:rFonts w:ascii="Verdana" w:hAnsi="Verdana" w:cs="Arial"/>
        </w:rPr>
        <w:t>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786F70AF" w14:textId="77777777" w:rsidR="00455F2B" w:rsidRPr="00EE232B" w:rsidRDefault="00455F2B" w:rsidP="00455F2B">
      <w:pPr>
        <w:spacing w:after="120" w:line="276" w:lineRule="auto"/>
        <w:ind w:firstLine="709"/>
        <w:jc w:val="both"/>
        <w:rPr>
          <w:rFonts w:ascii="Verdana" w:hAnsi="Verdana" w:cs="Arial"/>
        </w:rPr>
      </w:pPr>
      <w:r w:rsidRPr="00EE232B">
        <w:rPr>
          <w:rFonts w:ascii="Verdana" w:hAnsi="Verdana" w:cs="Arial"/>
        </w:rPr>
        <w:t xml:space="preserve">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por lo que al no haber libertad probatoria que permita establecer la forma de acreditar el </w:t>
      </w:r>
      <w:r w:rsidRPr="00EE232B">
        <w:rPr>
          <w:rFonts w:ascii="Verdana" w:hAnsi="Verdana" w:cs="Arial"/>
        </w:rPr>
        <w:lastRenderedPageBreak/>
        <w:t xml:space="preserve">trámite de renovación, la entidad estatal debe verificar que el documento aportado por el proponente ofrezca certeza sobre el estado </w:t>
      </w:r>
      <w:proofErr w:type="gramStart"/>
      <w:r w:rsidRPr="00EE232B">
        <w:rPr>
          <w:rFonts w:ascii="Verdana" w:hAnsi="Verdana" w:cs="Arial"/>
        </w:rPr>
        <w:t>del mismo</w:t>
      </w:r>
      <w:proofErr w:type="gramEnd"/>
      <w:r w:rsidRPr="00EE232B">
        <w:rPr>
          <w:rFonts w:ascii="Verdana" w:hAnsi="Verdana" w:cs="Arial"/>
        </w:rPr>
        <w:t>.</w:t>
      </w:r>
    </w:p>
    <w:p w14:paraId="6642E14F" w14:textId="77777777" w:rsidR="00455F2B" w:rsidRPr="00EE232B" w:rsidRDefault="00455F2B" w:rsidP="00455F2B">
      <w:pPr>
        <w:spacing w:after="120" w:line="276" w:lineRule="auto"/>
        <w:ind w:firstLine="709"/>
        <w:jc w:val="both"/>
        <w:rPr>
          <w:rFonts w:ascii="Verdana" w:hAnsi="Verdana" w:cs="Arial"/>
        </w:rPr>
      </w:pPr>
      <w:r w:rsidRPr="00EE232B">
        <w:rPr>
          <w:rFonts w:ascii="Verdana" w:hAnsi="Verdana"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EE232B">
        <w:rPr>
          <w:rStyle w:val="Refdenotaalpie"/>
          <w:rFonts w:ascii="Verdana" w:hAnsi="Verdana" w:cs="Arial"/>
        </w:rPr>
        <w:footnoteReference w:id="17"/>
      </w:r>
      <w:r w:rsidRPr="00EE232B">
        <w:rPr>
          <w:rFonts w:ascii="Verdana" w:hAnsi="Verdana" w:cs="Arial"/>
        </w:rPr>
        <w:t>.</w:t>
      </w:r>
    </w:p>
    <w:p w14:paraId="2ECA77BB" w14:textId="77777777" w:rsidR="00455F2B" w:rsidRPr="00EE232B" w:rsidRDefault="00455F2B" w:rsidP="00455F2B">
      <w:pPr>
        <w:spacing w:after="120" w:line="276" w:lineRule="auto"/>
        <w:ind w:firstLine="709"/>
        <w:jc w:val="both"/>
        <w:rPr>
          <w:rFonts w:ascii="Verdana" w:hAnsi="Verdana" w:cs="Arial"/>
        </w:rPr>
      </w:pPr>
      <w:r w:rsidRPr="00EE232B">
        <w:rPr>
          <w:rFonts w:ascii="Verdana" w:hAnsi="Verdana" w:cs="Arial"/>
        </w:rPr>
        <w:t>Conforme a lo anterior,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en Colombia, que aspiran celebrar contratos con las entidades estatales, salvo las excepciones establecidas en la ley.</w:t>
      </w:r>
    </w:p>
    <w:p w14:paraId="28600738" w14:textId="77777777" w:rsidR="00455F2B" w:rsidRPr="00EE232B" w:rsidRDefault="00455F2B" w:rsidP="00455F2B">
      <w:pPr>
        <w:spacing w:after="120" w:line="276" w:lineRule="auto"/>
        <w:ind w:firstLine="709"/>
        <w:jc w:val="both"/>
        <w:rPr>
          <w:rFonts w:ascii="Verdana" w:hAnsi="Verdana" w:cs="Arial"/>
        </w:rPr>
      </w:pPr>
      <w:r w:rsidRPr="00EE232B">
        <w:rPr>
          <w:rFonts w:ascii="Verdana" w:hAnsi="Verdana" w:cs="Arial"/>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EE232B">
        <w:rPr>
          <w:rStyle w:val="Refdenotaalpie"/>
          <w:rFonts w:ascii="Verdana" w:hAnsi="Verdana" w:cs="Arial"/>
        </w:rPr>
        <w:footnoteReference w:id="18"/>
      </w:r>
      <w:r w:rsidRPr="00EE232B">
        <w:rPr>
          <w:rFonts w:ascii="Verdana" w:hAnsi="Verdana" w:cs="Arial"/>
        </w:rPr>
        <w:t>.</w:t>
      </w:r>
    </w:p>
    <w:p w14:paraId="0701B15C" w14:textId="77777777" w:rsidR="00455F2B" w:rsidRPr="00EE232B" w:rsidRDefault="00455F2B" w:rsidP="00455F2B">
      <w:pPr>
        <w:spacing w:after="120" w:line="276" w:lineRule="auto"/>
        <w:ind w:firstLine="709"/>
        <w:jc w:val="both"/>
        <w:rPr>
          <w:rFonts w:ascii="Verdana" w:hAnsi="Verdana" w:cs="Arial"/>
        </w:rPr>
      </w:pPr>
      <w:r w:rsidRPr="00EE232B">
        <w:rPr>
          <w:rFonts w:ascii="Verdana" w:hAnsi="Verdana" w:cs="Arial"/>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66FDCADF" w14:textId="77777777" w:rsidR="00455F2B" w:rsidRPr="00EE232B" w:rsidRDefault="00455F2B" w:rsidP="00455F2B">
      <w:pPr>
        <w:spacing w:after="120" w:line="276" w:lineRule="auto"/>
        <w:ind w:firstLine="709"/>
        <w:jc w:val="both"/>
        <w:rPr>
          <w:rFonts w:ascii="Verdana" w:hAnsi="Verdana" w:cs="Arial"/>
        </w:rPr>
      </w:pPr>
      <w:r w:rsidRPr="00EE232B">
        <w:rPr>
          <w:rFonts w:ascii="Verdana" w:hAnsi="Verdana" w:cs="Arial"/>
        </w:rPr>
        <w:lastRenderedPageBreak/>
        <w:t>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w:t>
      </w:r>
    </w:p>
    <w:p w14:paraId="315CAC8C" w14:textId="77777777" w:rsidR="00455F2B" w:rsidRPr="00932FE6" w:rsidRDefault="00455F2B" w:rsidP="00455F2B">
      <w:pPr>
        <w:spacing w:after="120" w:line="276" w:lineRule="auto"/>
        <w:ind w:firstLine="709"/>
        <w:jc w:val="both"/>
        <w:rPr>
          <w:rFonts w:ascii="Verdana" w:hAnsi="Verdana" w:cs="Arial"/>
        </w:rPr>
      </w:pPr>
      <w:bookmarkStart w:id="6" w:name="_Hlk104368216"/>
      <w:r w:rsidRPr="00EE232B">
        <w:rPr>
          <w:rFonts w:ascii="Verdana" w:hAnsi="Verdana" w:cs="Arial"/>
        </w:rPr>
        <w:t xml:space="preserve">En relación con la </w:t>
      </w:r>
      <w:r w:rsidRPr="00EE232B">
        <w:rPr>
          <w:rFonts w:ascii="Verdana" w:hAnsi="Verdana" w:cs="Arial"/>
          <w:i/>
        </w:rPr>
        <w:t>inscripción</w:t>
      </w:r>
      <w:r w:rsidRPr="00EE232B">
        <w:rPr>
          <w:rFonts w:ascii="Verdana" w:hAnsi="Verdana" w:cs="Aria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Pr="00932FE6">
        <w:rPr>
          <w:rStyle w:val="Refdenotaalpie"/>
          <w:rFonts w:ascii="Verdana" w:hAnsi="Verdana" w:cs="Arial"/>
        </w:rPr>
        <w:footnoteReference w:id="19"/>
      </w:r>
      <w:r w:rsidRPr="00932FE6">
        <w:rPr>
          <w:rFonts w:ascii="Verdana" w:hAnsi="Verdana" w:cs="Arial"/>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Pr="00932FE6">
        <w:rPr>
          <w:rStyle w:val="Refdenotaalpie"/>
          <w:rFonts w:ascii="Verdana" w:hAnsi="Verdana" w:cs="Arial"/>
        </w:rPr>
        <w:footnoteReference w:id="20"/>
      </w:r>
      <w:r w:rsidRPr="00932FE6">
        <w:rPr>
          <w:rFonts w:ascii="Verdana" w:hAnsi="Verdana" w:cs="Arial"/>
        </w:rPr>
        <w:t>,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bookmarkEnd w:id="6"/>
      <w:r w:rsidRPr="00932FE6">
        <w:rPr>
          <w:rStyle w:val="Refdenotaalpie"/>
          <w:rFonts w:ascii="Verdana" w:hAnsi="Verdana" w:cs="Arial"/>
        </w:rPr>
        <w:footnoteReference w:id="21"/>
      </w:r>
      <w:r w:rsidRPr="00932FE6">
        <w:rPr>
          <w:rFonts w:ascii="Verdana" w:hAnsi="Verdana" w:cs="Arial"/>
        </w:rPr>
        <w:t>.</w:t>
      </w:r>
    </w:p>
    <w:p w14:paraId="4B54410A" w14:textId="77777777" w:rsidR="00455F2B" w:rsidRPr="00932FE6" w:rsidRDefault="00455F2B" w:rsidP="00455F2B">
      <w:pPr>
        <w:spacing w:after="120" w:line="276" w:lineRule="auto"/>
        <w:ind w:firstLine="709"/>
        <w:jc w:val="both"/>
        <w:rPr>
          <w:rFonts w:ascii="Verdana" w:hAnsi="Verdana" w:cs="Arial"/>
        </w:rPr>
      </w:pPr>
      <w:bookmarkStart w:id="7" w:name="_Hlk107927422"/>
      <w:r w:rsidRPr="00932FE6">
        <w:rPr>
          <w:rFonts w:ascii="Verdana" w:hAnsi="Verdana" w:cs="Arial"/>
        </w:rPr>
        <w:lastRenderedPageBreak/>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7A4FEFBA" w14:textId="77777777" w:rsidR="00455F2B" w:rsidRPr="00932FE6" w:rsidRDefault="00455F2B" w:rsidP="00455F2B">
      <w:pPr>
        <w:spacing w:after="120" w:line="276" w:lineRule="auto"/>
        <w:ind w:firstLine="709"/>
        <w:jc w:val="both"/>
        <w:rPr>
          <w:rFonts w:ascii="Verdana" w:hAnsi="Verdana" w:cs="Arial"/>
        </w:rPr>
      </w:pPr>
      <w:bookmarkStart w:id="8" w:name="_Hlk107927453"/>
      <w:bookmarkStart w:id="9" w:name="_Hlk104368238"/>
      <w:bookmarkEnd w:id="7"/>
      <w:r w:rsidRPr="00932FE6">
        <w:rPr>
          <w:rFonts w:ascii="Verdana" w:hAnsi="Verdana" w:cs="Arial"/>
        </w:rPr>
        <w:t xml:space="preserve">Tratándose del trámite de </w:t>
      </w:r>
      <w:r w:rsidRPr="00932FE6">
        <w:rPr>
          <w:rFonts w:ascii="Verdana" w:hAnsi="Verdana" w:cs="Arial"/>
          <w:i/>
        </w:rPr>
        <w:t>renovación</w:t>
      </w:r>
      <w:r w:rsidRPr="00932FE6">
        <w:rPr>
          <w:rFonts w:ascii="Verdana" w:hAnsi="Verdana" w:cs="Arial"/>
        </w:rPr>
        <w:t>,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67AC9D44" w14:textId="77777777" w:rsidR="00455F2B" w:rsidRPr="00932FE6" w:rsidRDefault="00455F2B" w:rsidP="00455F2B">
      <w:pPr>
        <w:spacing w:after="120" w:line="276" w:lineRule="auto"/>
        <w:ind w:firstLine="708"/>
        <w:jc w:val="both"/>
        <w:rPr>
          <w:rFonts w:ascii="Verdana" w:eastAsia="Calibri" w:hAnsi="Verdana" w:cs="Arial"/>
          <w:color w:val="000000"/>
        </w:rPr>
      </w:pPr>
      <w:bookmarkStart w:id="10" w:name="_Hlk107927484"/>
      <w:bookmarkEnd w:id="8"/>
      <w:r w:rsidRPr="00932FE6">
        <w:rPr>
          <w:rFonts w:ascii="Verdana" w:eastAsia="Calibri" w:hAnsi="Verdana" w:cs="Arial"/>
          <w:color w:val="000000"/>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w:t>
      </w:r>
      <w:r w:rsidRPr="00932FE6">
        <w:rPr>
          <w:rFonts w:ascii="Verdana" w:eastAsia="Calibri" w:hAnsi="Verdana" w:cs="Arial"/>
          <w:color w:val="000000"/>
        </w:rPr>
        <w:lastRenderedPageBreak/>
        <w:t xml:space="preserve">ocurridas con posterioridad al cierre del proceso”. Esta regla tiene un alcance muy amplio, pues no expresa, como pudo haberlo hecho, que durante dicho término no se pueden </w:t>
      </w:r>
      <w:r w:rsidRPr="00932FE6">
        <w:rPr>
          <w:rFonts w:ascii="Verdana" w:eastAsia="Calibri" w:hAnsi="Verdana" w:cs="Arial"/>
          <w:i/>
          <w:color w:val="000000"/>
        </w:rPr>
        <w:t>subsanar</w:t>
      </w:r>
      <w:r w:rsidRPr="00932FE6">
        <w:rPr>
          <w:rFonts w:ascii="Verdana" w:eastAsia="Calibri" w:hAnsi="Verdana" w:cs="Arial"/>
          <w:color w:val="000000"/>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En tal sentido, se incurriría en la prohibición anterior si se presentara o acreditara un RUP diferente </w:t>
      </w:r>
      <w:r w:rsidRPr="00932FE6">
        <w:rPr>
          <w:rFonts w:ascii="Verdana" w:eastAsia="Calibri" w:hAnsi="Verdana" w:cs="Arial"/>
          <w:i/>
          <w:color w:val="000000"/>
        </w:rPr>
        <w:t xml:space="preserve">renovado, </w:t>
      </w:r>
      <w:r w:rsidRPr="00932FE6">
        <w:rPr>
          <w:rFonts w:ascii="Verdana" w:eastAsia="Calibri" w:hAnsi="Verdana" w:cs="Arial"/>
          <w:color w:val="000000"/>
        </w:rPr>
        <w:t>que no estaba en firme para el cierre del proceso; independientemente de que este nuevo RUP favorezca o perjudique al interesado.</w:t>
      </w:r>
    </w:p>
    <w:p w14:paraId="641A2CB7" w14:textId="77777777" w:rsidR="00455F2B" w:rsidRPr="00932FE6" w:rsidRDefault="00455F2B" w:rsidP="00455F2B">
      <w:pPr>
        <w:spacing w:after="120" w:line="276" w:lineRule="auto"/>
        <w:ind w:firstLine="709"/>
        <w:jc w:val="both"/>
        <w:rPr>
          <w:rFonts w:ascii="Verdana" w:hAnsi="Verdana" w:cs="Arial"/>
        </w:rPr>
      </w:pPr>
      <w:bookmarkStart w:id="11" w:name="_Hlk107927497"/>
      <w:bookmarkEnd w:id="9"/>
      <w:bookmarkEnd w:id="10"/>
      <w:r w:rsidRPr="00932FE6">
        <w:rPr>
          <w:rFonts w:ascii="Verdana" w:hAnsi="Verdana" w:cs="Arial"/>
        </w:rPr>
        <w:t>Ahora bien, el deber de renovación, para impedir que el RUP deje de producir efectos consiste en “presentar la información para renovar su registro antes del quinto día hábil del mes de abril de cada año”</w:t>
      </w:r>
      <w:r w:rsidRPr="00932FE6">
        <w:rPr>
          <w:rStyle w:val="Refdenotaalpie"/>
          <w:rFonts w:ascii="Verdana" w:hAnsi="Verdana" w:cs="Arial"/>
        </w:rPr>
        <w:footnoteReference w:id="22"/>
      </w:r>
      <w:r w:rsidRPr="00932FE6">
        <w:rPr>
          <w:rFonts w:ascii="Verdana" w:hAnsi="Verdana" w:cs="Arial"/>
        </w:rPr>
        <w:t xml:space="preserve">.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w:t>
      </w:r>
    </w:p>
    <w:p w14:paraId="5B3261B7" w14:textId="77777777" w:rsidR="00455F2B" w:rsidRPr="00932FE6" w:rsidRDefault="00455F2B" w:rsidP="00455F2B">
      <w:pPr>
        <w:spacing w:after="120" w:line="276" w:lineRule="auto"/>
        <w:ind w:firstLine="709"/>
        <w:jc w:val="both"/>
        <w:rPr>
          <w:rFonts w:ascii="Verdana" w:hAnsi="Verdana" w:cs="Arial"/>
        </w:rPr>
      </w:pPr>
      <w:r w:rsidRPr="00932FE6">
        <w:rPr>
          <w:rFonts w:ascii="Verdana" w:hAnsi="Verdana" w:cs="Arial"/>
        </w:rPr>
        <w:t>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bookmarkEnd w:id="11"/>
    <w:p w14:paraId="36DB7F46" w14:textId="77777777" w:rsidR="00455F2B" w:rsidRPr="00932FE6" w:rsidRDefault="00455F2B" w:rsidP="00455F2B">
      <w:pPr>
        <w:spacing w:line="276" w:lineRule="auto"/>
        <w:ind w:firstLine="709"/>
        <w:contextualSpacing/>
        <w:jc w:val="both"/>
        <w:rPr>
          <w:rFonts w:ascii="Verdana" w:hAnsi="Verdana" w:cs="Arial"/>
        </w:rPr>
      </w:pPr>
      <w:r w:rsidRPr="00932FE6">
        <w:rPr>
          <w:rFonts w:ascii="Verdana" w:hAnsi="Verdana" w:cs="Arial"/>
        </w:rPr>
        <w:t>En concordancia con lo anterior, la Circular Externa Única de Colombia Compra Eficiente</w:t>
      </w:r>
      <w:r w:rsidRPr="00932FE6">
        <w:rPr>
          <w:rStyle w:val="Refdenotaalpie"/>
          <w:rFonts w:ascii="Verdana" w:hAnsi="Verdana" w:cs="Arial"/>
        </w:rPr>
        <w:footnoteReference w:id="23"/>
      </w:r>
      <w:r w:rsidRPr="00932FE6">
        <w:rPr>
          <w:rFonts w:ascii="Verdana" w:hAnsi="Verdana" w:cs="Arial"/>
        </w:rPr>
        <w:t xml:space="preserve"> en su numeral 12.3. recoge la tesis antes planteada respecto de la renovación del RUP al indicar: </w:t>
      </w:r>
    </w:p>
    <w:p w14:paraId="1DAE7972" w14:textId="77777777" w:rsidR="00455F2B" w:rsidRPr="00932FE6" w:rsidRDefault="00455F2B" w:rsidP="00455F2B">
      <w:pPr>
        <w:ind w:firstLine="709"/>
        <w:contextualSpacing/>
        <w:jc w:val="both"/>
        <w:rPr>
          <w:rFonts w:ascii="Verdana" w:hAnsi="Verdana" w:cs="Arial"/>
        </w:rPr>
      </w:pPr>
    </w:p>
    <w:p w14:paraId="4975DC29" w14:textId="77777777" w:rsidR="00455F2B" w:rsidRPr="00B457DD" w:rsidRDefault="00455F2B" w:rsidP="00455F2B">
      <w:pPr>
        <w:ind w:left="709" w:right="709"/>
        <w:contextualSpacing/>
        <w:jc w:val="both"/>
        <w:rPr>
          <w:rFonts w:ascii="Verdana" w:hAnsi="Verdana" w:cs="Arial"/>
          <w:sz w:val="20"/>
          <w:szCs w:val="20"/>
        </w:rPr>
      </w:pPr>
      <w:r w:rsidRPr="00B457DD">
        <w:rPr>
          <w:rFonts w:ascii="Verdana" w:hAnsi="Verdana" w:cs="Arial"/>
          <w:sz w:val="20"/>
          <w:szCs w:val="20"/>
        </w:rPr>
        <w:t>“El artículo 2.2.1.1.1.5.1. del Decreto 1082 de 2015 establece que las personas inscritas en el RUP deben presentar la información para renovar su registro a más tardar el quinto día hábil del mes de abril de cada año, pues de lo contrario cesan los efectos del RUP.</w:t>
      </w:r>
    </w:p>
    <w:p w14:paraId="498BF141" w14:textId="77777777" w:rsidR="00455F2B" w:rsidRPr="00B457DD" w:rsidRDefault="00455F2B" w:rsidP="00455F2B">
      <w:pPr>
        <w:ind w:left="709" w:right="709"/>
        <w:contextualSpacing/>
        <w:jc w:val="both"/>
        <w:rPr>
          <w:rFonts w:ascii="Verdana" w:hAnsi="Verdana" w:cs="Arial"/>
          <w:sz w:val="20"/>
          <w:szCs w:val="20"/>
        </w:rPr>
      </w:pPr>
    </w:p>
    <w:p w14:paraId="18B314B8" w14:textId="77777777" w:rsidR="00455F2B" w:rsidRPr="00B457DD" w:rsidRDefault="00455F2B" w:rsidP="00455F2B">
      <w:pPr>
        <w:ind w:left="709" w:right="709"/>
        <w:contextualSpacing/>
        <w:jc w:val="both"/>
        <w:rPr>
          <w:rFonts w:ascii="Verdana" w:hAnsi="Verdana" w:cs="Arial"/>
          <w:sz w:val="20"/>
          <w:szCs w:val="20"/>
        </w:rPr>
      </w:pPr>
      <w:r w:rsidRPr="00B457DD">
        <w:rPr>
          <w:rFonts w:ascii="Verdana" w:hAnsi="Verdana" w:cs="Arial"/>
          <w:sz w:val="20"/>
          <w:szCs w:val="20"/>
        </w:rPr>
        <w:t>Al cierre del procedimiento de selección, es decir, hasta el plazo para presentar ofertas, el RUP debe encontrarse vigente, esto es, que el proponente haya presentado la información para renovar el registro en el término anteriormente establecido.</w:t>
      </w:r>
    </w:p>
    <w:p w14:paraId="292EA2F9" w14:textId="77777777" w:rsidR="00455F2B" w:rsidRPr="00B457DD" w:rsidRDefault="00455F2B" w:rsidP="00455F2B">
      <w:pPr>
        <w:ind w:left="709" w:right="709"/>
        <w:contextualSpacing/>
        <w:jc w:val="both"/>
        <w:rPr>
          <w:rFonts w:ascii="Verdana" w:hAnsi="Verdana" w:cs="Arial"/>
          <w:sz w:val="20"/>
          <w:szCs w:val="20"/>
        </w:rPr>
      </w:pPr>
    </w:p>
    <w:p w14:paraId="7D2EF2E9" w14:textId="77777777" w:rsidR="00455F2B" w:rsidRPr="00B457DD" w:rsidRDefault="00455F2B" w:rsidP="00455F2B">
      <w:pPr>
        <w:ind w:left="709" w:right="709"/>
        <w:contextualSpacing/>
        <w:jc w:val="both"/>
        <w:rPr>
          <w:rFonts w:ascii="Verdana" w:hAnsi="Verdana" w:cs="Arial"/>
          <w:sz w:val="20"/>
          <w:szCs w:val="20"/>
        </w:rPr>
      </w:pPr>
      <w:r w:rsidRPr="00B457DD">
        <w:rPr>
          <w:rFonts w:ascii="Verdana" w:hAnsi="Verdana" w:cs="Arial"/>
          <w:i/>
          <w:iCs/>
          <w:sz w:val="20"/>
          <w:szCs w:val="20"/>
        </w:rPr>
        <w:t>Tratándose del trámite de renovación, la persona que haya presentado la información para renovar su registro a más tardar el quinto día hábil del mes de abril, cumpliendo con el requisito exigido en el artículo 2.2.1.1.1.5.1. del Decreto 1082 de 2015, puede participar en los procedimientos de selección, debiéndose tener en cuenta la información antigua, esto es, la que estuviera en firme antes del cierre del proceso</w:t>
      </w:r>
      <w:r w:rsidRPr="00B457DD">
        <w:rPr>
          <w:rFonts w:ascii="Verdana" w:hAnsi="Verdana" w:cs="Arial"/>
          <w:sz w:val="20"/>
          <w:szCs w:val="20"/>
        </w:rPr>
        <w:t xml:space="preserve">. Así, en el periodo comprendido entre el momento de la solicitud de renovación y el momento en que adquiera firmeza la información renovada, debe emplearse la información del RUP que está en firme antes de iniciar el trámite de renovación, cuyos efectos no habrían cesado y se encontraría vigente. </w:t>
      </w:r>
      <w:r w:rsidRPr="00B457DD">
        <w:rPr>
          <w:rFonts w:ascii="Verdana" w:hAnsi="Verdana" w:cs="Arial"/>
          <w:i/>
          <w:iCs/>
          <w:sz w:val="20"/>
          <w:szCs w:val="20"/>
        </w:rPr>
        <w:t>En todo caso, la evaluación de las ofertas se realizará con la información del RUP en firme antes del cierre del proceso</w:t>
      </w:r>
      <w:r w:rsidRPr="00B457DD">
        <w:rPr>
          <w:rFonts w:ascii="Verdana" w:hAnsi="Verdana" w:cs="Arial"/>
          <w:sz w:val="20"/>
          <w:szCs w:val="20"/>
        </w:rPr>
        <w:t>.</w:t>
      </w:r>
    </w:p>
    <w:p w14:paraId="0D29C74A" w14:textId="77777777" w:rsidR="00455F2B" w:rsidRDefault="00455F2B" w:rsidP="00455F2B">
      <w:pPr>
        <w:ind w:left="709" w:right="709"/>
        <w:contextualSpacing/>
        <w:jc w:val="both"/>
        <w:rPr>
          <w:rFonts w:ascii="Verdana" w:hAnsi="Verdana" w:cs="Arial"/>
          <w:sz w:val="20"/>
          <w:szCs w:val="20"/>
        </w:rPr>
      </w:pPr>
      <w:bookmarkStart w:id="12" w:name="_Hlk136445517"/>
    </w:p>
    <w:p w14:paraId="16CF1211" w14:textId="77777777" w:rsidR="00455F2B" w:rsidRPr="00B457DD" w:rsidRDefault="00455F2B" w:rsidP="00455F2B">
      <w:pPr>
        <w:ind w:left="709" w:right="709"/>
        <w:contextualSpacing/>
        <w:jc w:val="both"/>
        <w:rPr>
          <w:rFonts w:ascii="Verdana" w:hAnsi="Verdana" w:cs="Arial"/>
          <w:sz w:val="20"/>
          <w:szCs w:val="20"/>
        </w:rPr>
      </w:pPr>
      <w:r w:rsidRPr="00B457DD">
        <w:rPr>
          <w:rFonts w:ascii="Verdana" w:hAnsi="Verdana" w:cs="Arial"/>
          <w:sz w:val="20"/>
          <w:szCs w:val="20"/>
        </w:rPr>
        <w:t xml:space="preserve">Para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mediante el medio documental expedido por la cámara de comercio correspondiente. De este modo, al no existir tarifa legal que permita establecer la forma de acreditar el trámite de renovación, la entidad estatal debe verificar que el documento aportado por el proponente ofrezca certeza sobre el estado del trámite. </w:t>
      </w:r>
      <w:bookmarkEnd w:id="12"/>
    </w:p>
    <w:p w14:paraId="20F4C1C9" w14:textId="77777777" w:rsidR="00455F2B" w:rsidRDefault="00455F2B" w:rsidP="00455F2B">
      <w:pPr>
        <w:ind w:left="709" w:right="709"/>
        <w:contextualSpacing/>
        <w:jc w:val="both"/>
        <w:rPr>
          <w:rFonts w:ascii="Verdana" w:hAnsi="Verdana" w:cs="Arial"/>
          <w:sz w:val="20"/>
          <w:szCs w:val="20"/>
        </w:rPr>
      </w:pPr>
    </w:p>
    <w:p w14:paraId="68BB0AEB" w14:textId="77777777" w:rsidR="00455F2B" w:rsidRPr="00B457DD" w:rsidRDefault="00455F2B" w:rsidP="00455F2B">
      <w:pPr>
        <w:ind w:left="709" w:right="709"/>
        <w:contextualSpacing/>
        <w:jc w:val="both"/>
        <w:rPr>
          <w:rFonts w:ascii="Verdana" w:hAnsi="Verdana" w:cs="Arial"/>
          <w:sz w:val="20"/>
          <w:szCs w:val="20"/>
        </w:rPr>
      </w:pPr>
      <w:r w:rsidRPr="00B457DD">
        <w:rPr>
          <w:rFonts w:ascii="Verdana" w:hAnsi="Verdana" w:cs="Arial"/>
          <w:sz w:val="20"/>
          <w:szCs w:val="20"/>
        </w:rPr>
        <w:t xml:space="preserve">La firmeza del acto de inscripción, renovación y actualización del RUP debe armonizarse con las prescripciones establecidas para la generalidad de los actos administrativos, esto es, de acuerdo con el artículo 87 de la Ley 1437 de 2011. Conforme con lo anterior, la persona natural o jurídica podrá presentarse a los procedimientos de selección cuanto el acto </w:t>
      </w:r>
      <w:r w:rsidRPr="00B457DD">
        <w:rPr>
          <w:rFonts w:ascii="Verdana" w:hAnsi="Verdana" w:cs="Arial"/>
          <w:sz w:val="20"/>
          <w:szCs w:val="20"/>
        </w:rPr>
        <w:lastRenderedPageBreak/>
        <w:t xml:space="preserve">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(Cursiva fuera del texto). </w:t>
      </w:r>
    </w:p>
    <w:p w14:paraId="6A9EBD79" w14:textId="77777777" w:rsidR="00455F2B" w:rsidRPr="00932FE6" w:rsidRDefault="00455F2B" w:rsidP="00455F2B">
      <w:pPr>
        <w:spacing w:line="276" w:lineRule="auto"/>
        <w:ind w:left="709" w:right="709"/>
        <w:contextualSpacing/>
        <w:jc w:val="both"/>
        <w:rPr>
          <w:rFonts w:ascii="Verdana" w:hAnsi="Verdana" w:cs="Arial"/>
        </w:rPr>
      </w:pPr>
    </w:p>
    <w:p w14:paraId="66D7BE92" w14:textId="77777777" w:rsidR="00455F2B" w:rsidRPr="00932FE6" w:rsidRDefault="00455F2B" w:rsidP="00455F2B">
      <w:pPr>
        <w:spacing w:after="120" w:line="276" w:lineRule="auto"/>
        <w:ind w:firstLine="709"/>
        <w:jc w:val="both"/>
        <w:rPr>
          <w:rFonts w:ascii="Verdana" w:hAnsi="Verdana" w:cs="Arial"/>
        </w:rPr>
      </w:pPr>
      <w:bookmarkStart w:id="13" w:name="_Hlk104368249"/>
      <w:r w:rsidRPr="00932FE6">
        <w:rPr>
          <w:rFonts w:ascii="Verdana" w:hAnsi="Verdana" w:cs="Arial"/>
        </w:rPr>
        <w:t xml:space="preserve">En efecto, la Circular Externa Única establece que, con el fin de que el RUP se mantenga vigente y continúe produciendo efectos, se debe realizar la renovación </w:t>
      </w:r>
      <w:proofErr w:type="gramStart"/>
      <w:r w:rsidRPr="00932FE6">
        <w:rPr>
          <w:rFonts w:ascii="Verdana" w:hAnsi="Verdana" w:cs="Arial"/>
        </w:rPr>
        <w:t>del mismo</w:t>
      </w:r>
      <w:proofErr w:type="gramEnd"/>
      <w:r w:rsidRPr="00932FE6">
        <w:rPr>
          <w:rFonts w:ascii="Verdana" w:hAnsi="Verdana" w:cs="Arial"/>
        </w:rPr>
        <w:t>, consistente en que el proponente presente, antes del quinto día hábil del mes de abril de cada año, la información requerida ante la Cámara de Comercio respectiva. En ese sentido, cumplir con el deber de renovación de manera oportuna garantiza que el RUP no pierda vigencia y el proponente pueda presentarse en un proceso de contratación, aun cuando la información nueva no hubiera adquirido firmeza de acuerdo con lo previsto en el artículo 87 de la Ley 1437 de 2011, caso en el cual la información “antigua”.</w:t>
      </w:r>
      <w:bookmarkEnd w:id="13"/>
    </w:p>
    <w:p w14:paraId="7DB6CB4A" w14:textId="77777777" w:rsidR="00455F2B" w:rsidRPr="00932FE6" w:rsidRDefault="00455F2B" w:rsidP="00455F2B">
      <w:pPr>
        <w:spacing w:after="120" w:line="276" w:lineRule="auto"/>
        <w:ind w:firstLine="709"/>
        <w:jc w:val="both"/>
        <w:rPr>
          <w:rFonts w:ascii="Verdana" w:hAnsi="Verdana" w:cs="Arial"/>
        </w:rPr>
      </w:pPr>
      <w:r w:rsidRPr="00932FE6">
        <w:rPr>
          <w:rFonts w:ascii="Verdana" w:hAnsi="Verdana" w:cs="Arial"/>
        </w:rPr>
        <w:t>De acuerdo con el anterior contexto relativo al RUP, se precisa que sus efectos tienen incidencia es en la etapa de selección para la escogencia del contratista por parte de la entidad del estado. De esta manera, no existe norma alguna que se refiera a los efectos que se puedan generar en los eventos en que, estando en ejecución el contrato, el contratista no renueva el RUP. Esta situación tiene efectos jurídicos para el contratista quien, al momento de presentarse a un nuevo proceso precontractual, no tendría capacidad para participar y, por tanto, tendría que inscribirse nuevamente, caso en el que solo se podrá presentar cuando la inscripción esté en firme.</w:t>
      </w:r>
    </w:p>
    <w:p w14:paraId="68A1D76F" w14:textId="77777777" w:rsidR="00455F2B" w:rsidRDefault="00455F2B" w:rsidP="00455F2B">
      <w:pPr>
        <w:spacing w:line="276" w:lineRule="auto"/>
        <w:ind w:firstLine="708"/>
        <w:jc w:val="both"/>
        <w:rPr>
          <w:rFonts w:ascii="Verdana" w:hAnsi="Verdana" w:cs="Segoe UI"/>
        </w:rPr>
      </w:pPr>
      <w:r w:rsidRPr="00932FE6">
        <w:rPr>
          <w:rFonts w:ascii="Verdana" w:hAnsi="Verdana" w:cs="Arial"/>
        </w:rPr>
        <w:t xml:space="preserve">Así las cosas, </w:t>
      </w:r>
      <w:r>
        <w:rPr>
          <w:rFonts w:ascii="Verdana" w:hAnsi="Verdana" w:cs="Arial"/>
        </w:rPr>
        <w:t xml:space="preserve">en principio, </w:t>
      </w:r>
      <w:r w:rsidRPr="00932FE6">
        <w:rPr>
          <w:rFonts w:ascii="Verdana" w:hAnsi="Verdana" w:cs="Arial"/>
        </w:rPr>
        <w:t>se considera que, el RUP sirve para verificar la capacidad jurídica, financiera, organizacional</w:t>
      </w:r>
      <w:r w:rsidRPr="00877464">
        <w:rPr>
          <w:rFonts w:ascii="Verdana" w:hAnsi="Verdana" w:cs="Arial"/>
        </w:rPr>
        <w:t>,</w:t>
      </w:r>
      <w:r w:rsidRPr="00932FE6">
        <w:rPr>
          <w:rFonts w:ascii="Verdana" w:hAnsi="Verdana" w:cs="Arial"/>
        </w:rPr>
        <w:t xml:space="preserve"> la experiencia </w:t>
      </w:r>
      <w:r w:rsidRPr="00877464">
        <w:rPr>
          <w:rFonts w:ascii="Verdana" w:hAnsi="Verdana" w:cs="Arial"/>
        </w:rPr>
        <w:t xml:space="preserve">y demás requisitos habitantes </w:t>
      </w:r>
      <w:r w:rsidRPr="00932FE6">
        <w:rPr>
          <w:rFonts w:ascii="Verdana" w:hAnsi="Verdana" w:cs="Arial"/>
        </w:rPr>
        <w:t>del proponente dentro del procedimiento de selección</w:t>
      </w:r>
      <w:r w:rsidRPr="00877464">
        <w:rPr>
          <w:rFonts w:ascii="Verdana" w:hAnsi="Verdana" w:cs="Arial"/>
        </w:rPr>
        <w:t xml:space="preserve">. </w:t>
      </w:r>
      <w:r w:rsidRPr="00932FE6">
        <w:rPr>
          <w:rFonts w:ascii="Verdana" w:hAnsi="Verdana" w:cs="Segoe UI"/>
        </w:rPr>
        <w:t xml:space="preserve">Por esa razón, la pérdida de vigencia o el cese de efectos del RUP durante la ejecución contractual </w:t>
      </w:r>
      <w:r w:rsidRPr="00932FE6">
        <w:rPr>
          <w:rStyle w:val="Fuerte"/>
          <w:rFonts w:ascii="Verdana" w:hAnsi="Verdana" w:cs="Segoe UI"/>
        </w:rPr>
        <w:t>no genera automáticamente la terminación del contrato ni impide que el contratista continúe ejecutándolo</w:t>
      </w:r>
      <w:r w:rsidRPr="00932FE6">
        <w:rPr>
          <w:rFonts w:ascii="Verdana" w:hAnsi="Verdana" w:cs="Segoe UI"/>
        </w:rPr>
        <w:t xml:space="preserve">, siempre que el contrato haya sido adjudicado válidamente cuando el RUP se encontraba vigente y en firme. Esta interpretación se deriva de la naturaleza del RUP como requisito de participación </w:t>
      </w:r>
      <w:r w:rsidRPr="001E2F86">
        <w:rPr>
          <w:rFonts w:ascii="Verdana" w:hAnsi="Verdana" w:cs="Segoe UI"/>
        </w:rPr>
        <w:t>y selección, no como requisito permanente de ejecución contractual.</w:t>
      </w:r>
    </w:p>
    <w:p w14:paraId="23D2996A" w14:textId="77777777" w:rsidR="00455F2B" w:rsidRPr="00B310DA" w:rsidRDefault="00455F2B" w:rsidP="00455F2B">
      <w:pPr>
        <w:spacing w:line="276" w:lineRule="auto"/>
        <w:ind w:firstLine="708"/>
        <w:jc w:val="both"/>
        <w:rPr>
          <w:rFonts w:ascii="Verdana" w:eastAsia="Calibri" w:hAnsi="Verdana" w:cs="Arial"/>
          <w:color w:val="000000"/>
          <w:lang w:val="es-ES"/>
        </w:rPr>
      </w:pPr>
      <w:proofErr w:type="spellStart"/>
      <w:r>
        <w:rPr>
          <w:rFonts w:ascii="Verdana" w:eastAsia="Calibri" w:hAnsi="Verdana" w:cs="Arial"/>
          <w:color w:val="000000"/>
          <w:lang w:val="es-ES"/>
        </w:rPr>
        <w:lastRenderedPageBreak/>
        <w:t>ii</w:t>
      </w:r>
      <w:proofErr w:type="spellEnd"/>
      <w:r>
        <w:rPr>
          <w:rFonts w:ascii="Verdana" w:eastAsia="Calibri" w:hAnsi="Verdana" w:cs="Arial"/>
          <w:color w:val="000000"/>
          <w:lang w:val="es-ES"/>
        </w:rPr>
        <w:t>) En relación con el segundo problema jurídico es de precisar t</w:t>
      </w:r>
      <w:r w:rsidRPr="00B310DA">
        <w:rPr>
          <w:rFonts w:ascii="Verdana" w:eastAsia="Calibri" w:hAnsi="Verdana" w:cs="Arial"/>
          <w:color w:val="000000"/>
          <w:lang w:val="es-ES"/>
        </w:rPr>
        <w:t>odas las resoluciones</w:t>
      </w:r>
      <w:r w:rsidRPr="00B310DA">
        <w:rPr>
          <w:rFonts w:ascii="Verdana" w:eastAsia="Calibri" w:hAnsi="Verdana" w:cs="Arial"/>
          <w:color w:val="000000"/>
          <w:vertAlign w:val="superscript"/>
          <w:lang w:val="es-ES"/>
        </w:rPr>
        <w:footnoteReference w:id="24"/>
      </w:r>
      <w:r w:rsidRPr="00B310DA">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B310DA">
        <w:rPr>
          <w:rFonts w:ascii="Verdana" w:eastAsia="Calibri" w:hAnsi="Verdana" w:cs="Arial"/>
          <w:i/>
          <w:iCs/>
          <w:color w:val="000000"/>
          <w:lang w:val="es-ES"/>
        </w:rPr>
        <w:t>Documentos del Proceso</w:t>
      </w:r>
      <w:r w:rsidRPr="00B310DA">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154340C" w14:textId="77777777" w:rsidR="00455F2B" w:rsidRPr="00B310DA" w:rsidRDefault="00455F2B" w:rsidP="00455F2B">
      <w:pPr>
        <w:spacing w:before="120" w:after="120" w:line="276" w:lineRule="auto"/>
        <w:ind w:firstLine="709"/>
        <w:jc w:val="both"/>
        <w:rPr>
          <w:rFonts w:ascii="Verdana" w:eastAsia="Calibri" w:hAnsi="Verdana" w:cs="Arial"/>
          <w:lang w:val="es-ES_tradnl"/>
        </w:rPr>
      </w:pPr>
      <w:r w:rsidRPr="00B310DA">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765DA791" w14:textId="77777777" w:rsidR="00455F2B" w:rsidRPr="00B310DA" w:rsidRDefault="00455F2B" w:rsidP="00455F2B">
      <w:pPr>
        <w:spacing w:before="120" w:after="120" w:line="276" w:lineRule="auto"/>
        <w:ind w:firstLine="709"/>
        <w:jc w:val="both"/>
        <w:rPr>
          <w:rFonts w:ascii="Verdana" w:eastAsia="Calibri" w:hAnsi="Verdana" w:cs="Arial"/>
          <w:lang w:val="es-ES_tradnl"/>
        </w:rPr>
      </w:pPr>
      <w:r w:rsidRPr="00B310DA">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w:t>
      </w:r>
      <w:r w:rsidRPr="00B310DA">
        <w:rPr>
          <w:rFonts w:ascii="Verdana" w:eastAsia="Calibri" w:hAnsi="Verdana" w:cs="Arial"/>
          <w:lang w:val="es-ES_tradnl"/>
        </w:rPr>
        <w:lastRenderedPageBreak/>
        <w:t>el proceso de contratación</w:t>
      </w:r>
      <w:r w:rsidRPr="00B310DA">
        <w:rPr>
          <w:rFonts w:ascii="Verdana" w:eastAsia="Calibri" w:hAnsi="Verdana" w:cs="Arial"/>
          <w:vertAlign w:val="superscript"/>
          <w:lang w:val="es-ES_tradnl"/>
        </w:rPr>
        <w:footnoteReference w:id="25"/>
      </w:r>
      <w:r w:rsidRPr="00B310DA">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01F26582" w14:textId="77777777" w:rsidR="00455F2B" w:rsidRPr="00B310DA" w:rsidRDefault="00455F2B" w:rsidP="00455F2B">
      <w:pPr>
        <w:spacing w:before="120" w:after="120" w:line="276" w:lineRule="auto"/>
        <w:ind w:firstLine="709"/>
        <w:jc w:val="both"/>
        <w:rPr>
          <w:rFonts w:ascii="Verdana" w:eastAsia="Calibri" w:hAnsi="Verdana" w:cs="Arial"/>
          <w:lang w:val="es-ES"/>
        </w:rPr>
      </w:pPr>
      <w:r w:rsidRPr="00B310DA">
        <w:rPr>
          <w:rFonts w:ascii="Verdana" w:eastAsia="Calibri" w:hAnsi="Verdana" w:cs="Arial"/>
          <w:lang w:val="es-ES"/>
        </w:rPr>
        <w:t xml:space="preserve">Además, las entidades estatales deben garantizar el </w:t>
      </w:r>
      <w:r w:rsidRPr="00B310DA">
        <w:rPr>
          <w:rFonts w:ascii="Verdana" w:eastAsia="Calibri" w:hAnsi="Verdana" w:cs="Arial"/>
          <w:i/>
          <w:iCs/>
          <w:lang w:val="es-ES"/>
        </w:rPr>
        <w:t>principio de economía</w:t>
      </w:r>
      <w:r w:rsidRPr="00B310DA">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B310DA">
        <w:rPr>
          <w:rFonts w:ascii="Verdana" w:eastAsia="Calibri" w:hAnsi="Verdana" w:cs="Arial"/>
          <w:vertAlign w:val="superscript"/>
          <w:lang w:val="es-ES"/>
        </w:rPr>
        <w:footnoteReference w:id="26"/>
      </w:r>
      <w:r w:rsidRPr="00B310DA">
        <w:rPr>
          <w:rFonts w:ascii="Verdana" w:eastAsia="Calibri" w:hAnsi="Verdana" w:cs="Arial"/>
          <w:lang w:val="es-ES"/>
        </w:rPr>
        <w:t xml:space="preserve"> sino además en la normativa </w:t>
      </w:r>
      <w:proofErr w:type="spellStart"/>
      <w:r w:rsidRPr="00B310DA">
        <w:rPr>
          <w:rFonts w:ascii="Verdana" w:eastAsia="Calibri" w:hAnsi="Verdana" w:cs="Arial"/>
          <w:lang w:val="es-ES"/>
        </w:rPr>
        <w:t>antitrámites</w:t>
      </w:r>
      <w:proofErr w:type="spellEnd"/>
      <w:r w:rsidRPr="00B310DA">
        <w:rPr>
          <w:rFonts w:ascii="Verdana" w:eastAsia="Calibri" w:hAnsi="Verdana" w:cs="Arial"/>
          <w:vertAlign w:val="superscript"/>
          <w:lang w:val="es-ES"/>
        </w:rPr>
        <w:footnoteReference w:id="27"/>
      </w:r>
      <w:r w:rsidRPr="00B310DA">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4B2CDB35" w14:textId="77777777" w:rsidR="00455F2B" w:rsidRPr="00B310DA" w:rsidRDefault="00455F2B" w:rsidP="00455F2B">
      <w:pPr>
        <w:spacing w:after="120" w:line="276" w:lineRule="auto"/>
        <w:ind w:firstLine="708"/>
        <w:jc w:val="both"/>
        <w:rPr>
          <w:rFonts w:ascii="Verdana" w:eastAsia="Calibri" w:hAnsi="Verdana" w:cs="Arial"/>
          <w:color w:val="000000"/>
          <w:lang w:val="es-ES"/>
        </w:rPr>
      </w:pPr>
      <w:r w:rsidRPr="00B310DA">
        <w:rPr>
          <w:rFonts w:ascii="Verdana" w:eastAsia="Calibri" w:hAnsi="Verdana" w:cs="Arial"/>
          <w:color w:val="000000"/>
          <w:lang w:val="es-ES"/>
        </w:rPr>
        <w:t xml:space="preserve">Otro aspecto sobre el principio que inalterabilidad que debe destacarse es que, sin mínimos inalterables, los documentos tipo, estándar o normalizados, sencillamente, perderían sus características. Bajo riesgo de señalar una </w:t>
      </w:r>
      <w:r w:rsidRPr="00B310DA">
        <w:rPr>
          <w:rFonts w:ascii="Verdana" w:eastAsia="Calibri" w:hAnsi="Verdana" w:cs="Arial"/>
          <w:color w:val="000000"/>
          <w:lang w:val="es-ES"/>
        </w:rPr>
        <w:lastRenderedPageBreak/>
        <w:t>obviedad, se debe decir que la definición del término estándar es “Que sirve como tipo, modelo, norma, patrón o referencia”</w:t>
      </w:r>
      <w:r w:rsidRPr="00B310DA">
        <w:rPr>
          <w:rFonts w:ascii="Verdana" w:eastAsia="Calibri" w:hAnsi="Verdana" w:cs="Arial"/>
          <w:color w:val="000000"/>
          <w:vertAlign w:val="superscript"/>
          <w:lang w:val="es-ES"/>
        </w:rPr>
        <w:footnoteReference w:id="28"/>
      </w:r>
      <w:r w:rsidRPr="00B310DA">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12E255D4" w14:textId="77777777" w:rsidR="00455F2B" w:rsidRPr="00B310DA" w:rsidRDefault="00455F2B" w:rsidP="00455F2B">
      <w:pPr>
        <w:spacing w:after="120" w:line="276" w:lineRule="auto"/>
        <w:ind w:firstLine="708"/>
        <w:jc w:val="both"/>
        <w:rPr>
          <w:rFonts w:ascii="Verdana" w:eastAsia="Calibri" w:hAnsi="Verdana" w:cs="Arial"/>
          <w:color w:val="000000"/>
          <w:lang w:val="es-ES"/>
        </w:rPr>
      </w:pPr>
      <w:r w:rsidRPr="00B310DA">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10035AC5" w14:textId="77777777" w:rsidR="00455F2B" w:rsidRPr="00B310DA" w:rsidRDefault="00455F2B" w:rsidP="00455F2B">
      <w:pPr>
        <w:spacing w:after="120" w:line="276" w:lineRule="auto"/>
        <w:ind w:firstLine="708"/>
        <w:jc w:val="both"/>
        <w:rPr>
          <w:rFonts w:ascii="Verdana" w:eastAsia="Calibri" w:hAnsi="Verdana" w:cs="Arial"/>
          <w:color w:val="000000"/>
          <w:lang w:val="es-ES"/>
        </w:rPr>
      </w:pPr>
      <w:r w:rsidRPr="00B310DA">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6BBDE63F" w14:textId="77777777" w:rsidR="00455F2B" w:rsidRPr="00B310DA" w:rsidRDefault="00455F2B" w:rsidP="00455F2B">
      <w:pPr>
        <w:spacing w:after="120" w:line="276" w:lineRule="auto"/>
        <w:ind w:firstLine="708"/>
        <w:jc w:val="both"/>
        <w:rPr>
          <w:rFonts w:ascii="Verdana" w:eastAsia="Calibri" w:hAnsi="Verdana" w:cs="Arial"/>
          <w:color w:val="000000"/>
          <w:lang w:val="es-ES"/>
        </w:rPr>
      </w:pPr>
      <w:r w:rsidRPr="00B310DA">
        <w:rPr>
          <w:rFonts w:ascii="Verdana" w:eastAsia="Calibri" w:hAnsi="Verdana" w:cs="Arial"/>
          <w:lang w:val="es-MX"/>
        </w:rPr>
        <w:t xml:space="preserve">No obstante, la parte introductoria de los documentos base de los documentos tipo disponen que los aspectos incluidos en corchetes y resaltados en gris </w:t>
      </w:r>
      <w:r w:rsidRPr="00B310DA">
        <w:rPr>
          <w:rFonts w:ascii="Verdana" w:eastAsia="Aptos" w:hAnsi="Verdana" w:cs="Arial"/>
        </w:rPr>
        <w:t>–[</w:t>
      </w:r>
      <w:r w:rsidRPr="00B310DA">
        <w:rPr>
          <w:rFonts w:ascii="Verdana" w:eastAsia="Aptos" w:hAnsi="Verdana" w:cs="Arial"/>
          <w:highlight w:val="lightGray"/>
        </w:rPr>
        <w:t>texto de ejemplo</w:t>
      </w:r>
      <w:r w:rsidRPr="00B310DA">
        <w:rPr>
          <w:rFonts w:ascii="Verdana" w:eastAsia="Aptos" w:hAnsi="Verdana" w:cs="Arial"/>
        </w:rPr>
        <w:t xml:space="preserve">]– </w:t>
      </w:r>
      <w:r w:rsidRPr="00B310DA">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F36DEF1" w14:textId="77777777" w:rsidR="00455F2B" w:rsidRPr="00B310DA" w:rsidRDefault="00455F2B" w:rsidP="00455F2B">
      <w:pPr>
        <w:spacing w:after="120" w:line="276" w:lineRule="auto"/>
        <w:ind w:firstLine="708"/>
        <w:jc w:val="both"/>
        <w:rPr>
          <w:rFonts w:ascii="Aptos" w:eastAsia="Aptos" w:hAnsi="Aptos" w:cs="Times New Roman"/>
          <w:kern w:val="2"/>
          <w:sz w:val="24"/>
          <w:szCs w:val="24"/>
          <w:lang w:val="es-MX"/>
          <w14:ligatures w14:val="standardContextual"/>
        </w:rPr>
      </w:pPr>
      <w:r w:rsidRPr="00B310DA">
        <w:rPr>
          <w:rFonts w:ascii="Verdana" w:eastAsia="Calibri" w:hAnsi="Verdana" w:cs="Arial"/>
          <w:lang w:val="es-MX"/>
        </w:rPr>
        <w:t xml:space="preserve">Debe indicarse que, la regla de inalterabilidad que recae sobre los documentos tipo, también se encuentra consagrada de forma expresa en el </w:t>
      </w:r>
      <w:r w:rsidRPr="00B310DA">
        <w:rPr>
          <w:rFonts w:ascii="Verdana" w:eastAsia="Calibri" w:hAnsi="Verdana" w:cs="Arial"/>
          <w:lang w:val="es-MX"/>
        </w:rPr>
        <w:lastRenderedPageBreak/>
        <w:t xml:space="preserve">documento base. Así, en el aparte sobre las normas de interpretación del pliego de condiciones, el literal I del numeral 1.17 del pliego tipo de los documentos tipo de licitación de obra pública de infraestructura de transporte dispone lo siguiente: </w:t>
      </w:r>
      <w:r w:rsidRPr="00B310DA">
        <w:rPr>
          <w:rFonts w:ascii="Verdana" w:eastAsia="Calibri" w:hAnsi="Verdana" w:cs="Arial"/>
          <w:i/>
          <w:iCs/>
          <w:lang w:val="es-MX"/>
        </w:rPr>
        <w:t>“</w:t>
      </w:r>
      <w:r w:rsidRPr="00B310DA">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B310DA">
        <w:rPr>
          <w:rFonts w:ascii="Aptos" w:eastAsia="Aptos" w:hAnsi="Aptos" w:cs="Times New Roman"/>
          <w:kern w:val="2"/>
          <w:sz w:val="24"/>
          <w:szCs w:val="24"/>
          <w:lang w:val="es-MX"/>
          <w14:ligatures w14:val="standardContextual"/>
        </w:rPr>
        <w:t xml:space="preserve"> </w:t>
      </w:r>
    </w:p>
    <w:p w14:paraId="2713BEA9" w14:textId="77777777" w:rsidR="00455F2B" w:rsidRPr="00B310DA" w:rsidRDefault="00455F2B" w:rsidP="00455F2B">
      <w:pPr>
        <w:spacing w:before="120" w:after="120" w:line="276" w:lineRule="auto"/>
        <w:ind w:firstLine="709"/>
        <w:jc w:val="both"/>
        <w:rPr>
          <w:rFonts w:ascii="Verdana" w:eastAsia="Calibri" w:hAnsi="Verdana" w:cs="Arial"/>
          <w:bCs/>
          <w:lang w:val="es-MX"/>
        </w:rPr>
      </w:pPr>
      <w:r w:rsidRPr="00B310DA">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3B861DA8" w14:textId="77777777" w:rsidR="00455F2B" w:rsidRPr="00B310DA" w:rsidRDefault="00455F2B" w:rsidP="00455F2B">
      <w:pPr>
        <w:spacing w:before="120" w:after="120" w:line="276" w:lineRule="auto"/>
        <w:ind w:firstLine="709"/>
        <w:jc w:val="both"/>
        <w:rPr>
          <w:rFonts w:ascii="Verdana" w:eastAsia="Calibri" w:hAnsi="Verdana" w:cs="Arial"/>
          <w:bCs/>
          <w:lang w:val="es-MX"/>
        </w:rPr>
      </w:pPr>
      <w:r w:rsidRPr="00B310DA">
        <w:rPr>
          <w:rFonts w:ascii="Verdana" w:eastAsia="Calibri" w:hAnsi="Verdana" w:cs="Arial"/>
          <w:bCs/>
          <w:lang w:val="es-MX"/>
        </w:rPr>
        <w:t xml:space="preserve">Esta regla de inalterabilidad </w:t>
      </w:r>
      <w:r w:rsidRPr="00B310DA">
        <w:rPr>
          <w:rFonts w:ascii="Verdana" w:eastAsia="Calibri" w:hAnsi="Verdana" w:cs="Arial"/>
          <w:bCs/>
          <w:i/>
          <w:iCs/>
          <w:lang w:val="es-MX"/>
        </w:rPr>
        <w:t>también aplica a los formatos, formularios, anexos y matrices</w:t>
      </w:r>
      <w:r w:rsidRPr="00B310DA">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232C7BB7" w14:textId="77777777" w:rsidR="00455F2B" w:rsidRPr="00B310DA" w:rsidRDefault="00455F2B" w:rsidP="00455F2B">
      <w:pPr>
        <w:spacing w:before="120" w:after="120" w:line="276" w:lineRule="auto"/>
        <w:ind w:firstLine="709"/>
        <w:jc w:val="both"/>
        <w:rPr>
          <w:rFonts w:ascii="Verdana" w:eastAsia="Calibri" w:hAnsi="Verdana" w:cs="Arial"/>
          <w:lang w:val="es-MX"/>
        </w:rPr>
      </w:pPr>
      <w:r w:rsidRPr="00B310DA">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7C92F278" w14:textId="77777777" w:rsidR="00455F2B" w:rsidRPr="00B310DA" w:rsidRDefault="00455F2B" w:rsidP="00455F2B">
      <w:pPr>
        <w:spacing w:before="120" w:after="120" w:line="276" w:lineRule="auto"/>
        <w:ind w:firstLine="709"/>
        <w:jc w:val="both"/>
        <w:rPr>
          <w:rFonts w:ascii="Verdana" w:eastAsia="Aptos" w:hAnsi="Verdana" w:cs="Arial"/>
        </w:rPr>
      </w:pPr>
      <w:r w:rsidRPr="00B310DA">
        <w:rPr>
          <w:rFonts w:ascii="Verdana" w:eastAsia="Aptos" w:hAnsi="Verdana" w:cs="Arial"/>
        </w:rPr>
        <w:t xml:space="preserve">En relación con el principio constitucional </w:t>
      </w:r>
      <w:r w:rsidRPr="00B310DA">
        <w:rPr>
          <w:rFonts w:ascii="Verdana" w:eastAsia="Aptos" w:hAnsi="Verdana" w:cs="Arial"/>
          <w:i/>
          <w:iCs/>
        </w:rPr>
        <w:t>sub examine</w:t>
      </w:r>
      <w:r w:rsidRPr="00B310DA">
        <w:rPr>
          <w:rFonts w:ascii="Verdana" w:eastAsia="Aptos" w:hAnsi="Verdana" w:cs="Arial"/>
        </w:rPr>
        <w:t xml:space="preserve">, la Corte Constitucional explica que “(…) por disposición del artículo 228 Superior, las formas no deben convertirse en un obstáculo para la efectividad del derecho sustancial, sino que deben propender por su realización. Es decir, que las normas </w:t>
      </w:r>
      <w:r w:rsidRPr="00B310DA">
        <w:rPr>
          <w:rFonts w:ascii="Verdana" w:eastAsia="Aptos" w:hAnsi="Verdana" w:cs="Arial"/>
        </w:rPr>
        <w:lastRenderedPageBreak/>
        <w:t>procesales son un medio para lograr la efectividad de los derechos subjetivos y no fines en sí mismas”</w:t>
      </w:r>
      <w:r w:rsidRPr="00B310DA">
        <w:rPr>
          <w:rFonts w:ascii="Verdana" w:eastAsia="Aptos" w:hAnsi="Verdana" w:cs="Arial"/>
          <w:vertAlign w:val="superscript"/>
        </w:rPr>
        <w:footnoteReference w:id="29"/>
      </w:r>
      <w:r w:rsidRPr="00B310DA">
        <w:rPr>
          <w:rFonts w:ascii="Verdana" w:eastAsia="Aptos" w:hAnsi="Verdana" w:cs="Arial"/>
        </w:rPr>
        <w:t xml:space="preserve">. </w:t>
      </w:r>
    </w:p>
    <w:p w14:paraId="2C6CE160" w14:textId="77777777" w:rsidR="00455F2B" w:rsidRPr="00B310DA" w:rsidRDefault="00455F2B" w:rsidP="00455F2B">
      <w:pPr>
        <w:spacing w:after="0" w:line="276" w:lineRule="auto"/>
        <w:ind w:firstLine="709"/>
        <w:jc w:val="both"/>
        <w:rPr>
          <w:rFonts w:ascii="Verdana" w:eastAsia="Calibri" w:hAnsi="Verdana" w:cs="Arial"/>
          <w:lang w:val="es-MX"/>
        </w:rPr>
      </w:pPr>
      <w:r w:rsidRPr="00B310DA">
        <w:rPr>
          <w:rFonts w:ascii="Verdana" w:eastAsia="Calibri" w:hAnsi="Verdana" w:cs="Arial"/>
          <w:lang w:val="es-MX"/>
        </w:rPr>
        <w:t xml:space="preserve">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w:t>
      </w:r>
      <w:r w:rsidRPr="001209A7">
        <w:rPr>
          <w:rFonts w:ascii="Verdana" w:eastAsia="Calibri" w:hAnsi="Verdana" w:cs="Arial"/>
          <w:lang w:val="es-MX"/>
        </w:rPr>
        <w:t>las obligaciones, deberes y derechos que se derivan para las partes contratantes.</w:t>
      </w:r>
    </w:p>
    <w:p w14:paraId="680EFC69" w14:textId="77777777" w:rsidR="00455F2B" w:rsidRDefault="00455F2B" w:rsidP="00455F2B">
      <w:pPr>
        <w:spacing w:after="0" w:line="276" w:lineRule="auto"/>
        <w:ind w:firstLine="708"/>
        <w:jc w:val="both"/>
        <w:rPr>
          <w:rFonts w:ascii="Verdana" w:eastAsia="Calibri" w:hAnsi="Verdana" w:cs="Arial"/>
          <w:lang w:val="es-ES"/>
        </w:rPr>
      </w:pPr>
    </w:p>
    <w:p w14:paraId="21F62E80" w14:textId="77777777" w:rsidR="00455F2B" w:rsidRDefault="00455F2B" w:rsidP="00455F2B">
      <w:pPr>
        <w:spacing w:after="0" w:line="276" w:lineRule="auto"/>
        <w:ind w:firstLine="708"/>
        <w:jc w:val="both"/>
        <w:rPr>
          <w:rFonts w:ascii="Verdana" w:eastAsia="Calibri" w:hAnsi="Verdana" w:cs="Arial"/>
        </w:rPr>
      </w:pPr>
      <w:proofErr w:type="spellStart"/>
      <w:r>
        <w:rPr>
          <w:rFonts w:ascii="Verdana" w:eastAsia="Calibri" w:hAnsi="Verdana" w:cs="Arial"/>
          <w:lang w:val="es-ES"/>
        </w:rPr>
        <w:t>iii</w:t>
      </w:r>
      <w:proofErr w:type="spellEnd"/>
      <w:r>
        <w:rPr>
          <w:rFonts w:ascii="Verdana" w:eastAsia="Calibri" w:hAnsi="Verdana" w:cs="Arial"/>
          <w:lang w:val="es-ES"/>
        </w:rPr>
        <w:t xml:space="preserve">) Frente al tercer problema jurídico planteado es de precisar que el </w:t>
      </w:r>
      <w:r w:rsidRPr="008E0174">
        <w:rPr>
          <w:rFonts w:ascii="Verdana" w:eastAsia="Calibri" w:hAnsi="Verdana" w:cs="Arial"/>
        </w:rPr>
        <w:t>Estatuto General de Contratación de la Administración Pública no establece, como regla general y transversal aplicable a todos los procedimientos de selección, un número único de decimales que deba utilizarse en la estructuración del presupuesto oficial, los estudios del sector, la determinación de los precios unitarios o la presentación de las ofertas económicas. Lo anterior debe distinguirse de aquellas materias en las que el ordenamiento jurídico sí ha establecido reglas particulares sobre la expresión de determinadas cifras. Así ocurre, por ejemplo, con la información financiera y organizacional que debe constar en el Registro Único de Proponentes, respecto de la cual existen disposiciones específicas en el Decreto 1082 de 2015. Por tanto, una regla particular prevista para una materia determinada no puede extenderse, sin fundamento normativo, a todas las operaciones económicas que se desarrollen durante la estructuración y evaluación de un proceso de contratación.</w:t>
      </w:r>
    </w:p>
    <w:p w14:paraId="7C629C9E" w14:textId="77777777" w:rsidR="00455F2B" w:rsidRPr="008E0174" w:rsidRDefault="00455F2B" w:rsidP="00455F2B">
      <w:pPr>
        <w:spacing w:after="0" w:line="276" w:lineRule="auto"/>
        <w:ind w:firstLine="708"/>
        <w:jc w:val="both"/>
        <w:rPr>
          <w:rFonts w:ascii="Verdana" w:eastAsia="Calibri" w:hAnsi="Verdana" w:cs="Arial"/>
        </w:rPr>
      </w:pPr>
    </w:p>
    <w:p w14:paraId="6E1F5B79"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 xml:space="preserve">En ausencia de una disposición legal o reglamentaria que establezca expresamente el número de decimales aplicable a una determinada operación, las entidades estatales cuentan con un margen para definir, de acuerdo con las características del proceso, la metodología que utilizarán para expresar, calcular y aproximar los valores económicos que integran el presupuesto oficial y las ofertas. Sin embargo, dicha facultad no es absoluta, pues debe ejercerse en </w:t>
      </w:r>
      <w:r w:rsidRPr="008E0174">
        <w:rPr>
          <w:rFonts w:ascii="Verdana" w:eastAsia="Calibri" w:hAnsi="Verdana" w:cs="Arial"/>
        </w:rPr>
        <w:lastRenderedPageBreak/>
        <w:t>observancia de los principios que rigen la contratación estatal y, particularmente, de los principios de transparencia, economía, responsabilidad y selección objetiva previstos en la Ley 80 de 1993. En consecuencia, cuando la entidad considere necesario establecer un número determinado de decimales, una regla de aproximación o un procedimiento específico para realizar las operaciones aritméticas de las ofertas, estas condiciones deben ser definidas de manera previa, clara, objetiva y uniforme en los documentos que rigen el proceso.</w:t>
      </w:r>
    </w:p>
    <w:p w14:paraId="44051762" w14:textId="77777777" w:rsidR="00455F2B" w:rsidRPr="008E0174" w:rsidRDefault="00455F2B" w:rsidP="00455F2B">
      <w:pPr>
        <w:spacing w:after="0" w:line="276" w:lineRule="auto"/>
        <w:ind w:firstLine="708"/>
        <w:jc w:val="both"/>
        <w:rPr>
          <w:rFonts w:ascii="Verdana" w:eastAsia="Calibri" w:hAnsi="Verdana" w:cs="Arial"/>
        </w:rPr>
      </w:pPr>
    </w:p>
    <w:p w14:paraId="125EF022"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Lo anterior obedece a que las reglas relativas a la elaboración y evaluación de la oferta económica constituyen elementos relevantes para la formulación de las propuestas. En efecto, cuando el proceso se estructura con precios unitarios, cantidades, subtotales y un valor total, la forma en que se realizan las operaciones y se aproximan sus resultados puede producir diferencias entre los valores inicialmente calculados y aquellos que finalmente serán considerados por la entidad para efectos de la evaluación. Por esta razón, los interesados deben conocer desde el momento de la estructuración y publicación del proceso cuáles son las reglas matemáticas que serán aplicadas a sus propuestas, de manera que todos los oferentes puedan formular sus ofertas bajo unas mismas condiciones y exista certeza respecto de la metodología mediante la cual serán comparadas.</w:t>
      </w:r>
    </w:p>
    <w:p w14:paraId="5F2F008C" w14:textId="77777777" w:rsidR="00455F2B" w:rsidRPr="008E0174" w:rsidRDefault="00455F2B" w:rsidP="00455F2B">
      <w:pPr>
        <w:spacing w:after="0" w:line="276" w:lineRule="auto"/>
        <w:ind w:firstLine="708"/>
        <w:jc w:val="both"/>
        <w:rPr>
          <w:rFonts w:ascii="Verdana" w:eastAsia="Calibri" w:hAnsi="Verdana" w:cs="Arial"/>
        </w:rPr>
      </w:pPr>
    </w:p>
    <w:p w14:paraId="2934DD8B"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Esta exigencia encuentra fundamento, entre otras disposiciones, en el artículo 24 de la Ley 80 de 1993, conforme al cual las actuaciones de las autoridades contractuales deben desarrollarse con arreglo al principio de transparencia. En particular, el numeral 5 de dicha disposición establece que en los pliegos de condiciones o términos de referencia deben definirse, entre otros aspectos, las reglas objetivas, justas, claras y completas que permitan la confección de ofrecimientos y aseguren una escogencia objetiva. De esta manera, las condiciones que tengan incidencia en la preparación y evaluación de las ofertas no deberían quedar sujetas a decisiones posteriores de la entidad, sino que deben encontrarse previamente determinadas en los documentos del proceso.</w:t>
      </w:r>
    </w:p>
    <w:p w14:paraId="6C23D970" w14:textId="77777777" w:rsidR="00455F2B" w:rsidRPr="008E0174" w:rsidRDefault="00455F2B" w:rsidP="00455F2B">
      <w:pPr>
        <w:spacing w:after="0" w:line="276" w:lineRule="auto"/>
        <w:ind w:firstLine="708"/>
        <w:jc w:val="both"/>
        <w:rPr>
          <w:rFonts w:ascii="Verdana" w:eastAsia="Calibri" w:hAnsi="Verdana" w:cs="Arial"/>
        </w:rPr>
      </w:pPr>
    </w:p>
    <w:p w14:paraId="36598384"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 xml:space="preserve">En ese sentido, la metodología relacionada con el manejo de decimales no constituye exclusivamente una cuestión de carácter matemático o contable. </w:t>
      </w:r>
      <w:r w:rsidRPr="008E0174">
        <w:rPr>
          <w:rFonts w:ascii="Verdana" w:eastAsia="Calibri" w:hAnsi="Verdana" w:cs="Arial"/>
        </w:rPr>
        <w:lastRenderedPageBreak/>
        <w:t>Cuando el tratamiento de los decimales puede modificar el valor de un precio unitario, un subtotal o el valor total de la oferta, dicha metodología adquiere relevancia para efectos de la comparación de las propuestas y, por tanto, debe estar sometida a las reglas de transparencia, publicidad y previsibilidad propias de la contratación estatal. No resultaría compatible con estos principios que la entidad estructure el estudio de sector y el presupuesto oficial utilizando una determinada cantidad de decimales y que, posteriormente, durante la evaluación, aplique una regla diferente de aproximación que no hubiese sido previamente informada a los interesados.</w:t>
      </w:r>
    </w:p>
    <w:p w14:paraId="2317331A" w14:textId="77777777" w:rsidR="00455F2B" w:rsidRPr="008E0174" w:rsidRDefault="00455F2B" w:rsidP="00455F2B">
      <w:pPr>
        <w:spacing w:after="0" w:line="276" w:lineRule="auto"/>
        <w:ind w:firstLine="708"/>
        <w:jc w:val="both"/>
        <w:rPr>
          <w:rFonts w:ascii="Verdana" w:eastAsia="Calibri" w:hAnsi="Verdana" w:cs="Arial"/>
        </w:rPr>
      </w:pPr>
    </w:p>
    <w:p w14:paraId="4C101F3F"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La misma consideración resulta aplicable cuando la diferencia entre los valores obedece exclusivamente a operaciones de aproximación. En estos eventos, debe distinguirse entre la existencia de un verdadero incumplimiento de una condición económica previamente establecida y una diferencia matemática derivada de la utilización de un número distinto de decimales o de una metodología de redondeo que no fue definida en los documentos del proceso. No toda diferencia aritmética entre el valor calculado por la entidad y el valor consignado por un proponente constituye, por sí misma, una modificación sustancial de la oferta o un incumplimiento susceptible de generar su rechazo. Para determinar las consecuencias jurídicas de la diferencia debe establecerse, en primer lugar, cuál era la regla aplicable y si esta fue efectivamente puesta en conocimiento de los interesados antes de la presentación de las ofertas.</w:t>
      </w:r>
    </w:p>
    <w:p w14:paraId="218B9393" w14:textId="77777777" w:rsidR="00455F2B" w:rsidRPr="008E0174" w:rsidRDefault="00455F2B" w:rsidP="00455F2B">
      <w:pPr>
        <w:spacing w:after="0" w:line="276" w:lineRule="auto"/>
        <w:ind w:firstLine="708"/>
        <w:jc w:val="both"/>
        <w:rPr>
          <w:rFonts w:ascii="Verdana" w:eastAsia="Calibri" w:hAnsi="Verdana" w:cs="Arial"/>
        </w:rPr>
      </w:pPr>
    </w:p>
    <w:p w14:paraId="02A92029"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En este punto adquiere especial importancia la distinción entre la corrección de errores aritméticos y la introducción de una regla nueva durante la evaluación. La corrección aritmética tiene por objeto determinar el resultado correcto de una operación a partir de los datos que fueron efectivamente suministrados por el proponente, siempre que ello pueda realizarse conforme a las reglas previamente establecidas en el proceso. Por el contrario, no resulta equivalente que la entidad, una vez recibidas las ofertas, establezca una metodología de redondeo que no había sido contemplada previamente y que, como consecuencia de su aplicación, modifique los valores con los cuales fueron formuladas las propuestas.</w:t>
      </w:r>
    </w:p>
    <w:p w14:paraId="2D436963" w14:textId="77777777" w:rsidR="00455F2B" w:rsidRPr="008E0174" w:rsidRDefault="00455F2B" w:rsidP="00455F2B">
      <w:pPr>
        <w:spacing w:after="0" w:line="276" w:lineRule="auto"/>
        <w:ind w:firstLine="708"/>
        <w:jc w:val="both"/>
        <w:rPr>
          <w:rFonts w:ascii="Verdana" w:eastAsia="Calibri" w:hAnsi="Verdana" w:cs="Arial"/>
        </w:rPr>
      </w:pPr>
    </w:p>
    <w:p w14:paraId="0E2EC00E"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lastRenderedPageBreak/>
        <w:t>En consecuencia, si los documentos del proceso establecen expresamente, por ejemplo, que los precios unitarios deben presentarse con dos decimales y que los resultados de las operaciones deben aproximarse al segundo decimal, dicha regla deberá ser aplicada de manera uniforme a todos los oferentes. Del mismo modo, si los documentos disponen una determinada metodología para el tratamiento de los valores que resulten de las multiplicaciones o sumatorias, la entidad deberá sujetarse a ella durante la evaluación. Lo que no resultaría procedente sería que, ante la ausencia de una regla previa, la entidad adopte durante la evaluación un criterio matemático que no era conocido por los proponentes y que posteriormente utilice ese criterio como fundamento para determinar que una oferta incumple las condiciones económicas del proceso.</w:t>
      </w:r>
    </w:p>
    <w:p w14:paraId="328A8F56" w14:textId="77777777" w:rsidR="00455F2B" w:rsidRPr="008E0174" w:rsidRDefault="00455F2B" w:rsidP="00455F2B">
      <w:pPr>
        <w:spacing w:after="0" w:line="276" w:lineRule="auto"/>
        <w:ind w:firstLine="708"/>
        <w:jc w:val="both"/>
        <w:rPr>
          <w:rFonts w:ascii="Verdana" w:eastAsia="Calibri" w:hAnsi="Verdana" w:cs="Arial"/>
        </w:rPr>
      </w:pPr>
    </w:p>
    <w:p w14:paraId="08A99D34"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Esto adquiere particular relevancia cuando la diferencia producida por la aproximación no supone superar el presupuesto oficial, el precio máximo permitido o cualquier otro límite económico expresamente establecido en los documentos del proceso. En estos casos, la entidad debe analizar si la diferencia realmente configura un incumplimiento de una condición previamente establecida o si corresponde simplemente a una consecuencia matemática derivada de la forma en que fueron expresadas las cifras. La circunstancia de que exista una diferencia entre dos resultados matemáticos no permite, por sí sola, convertir dicha diferencia en una causal de rechazo si el parámetro que determina la forma correcta de realizar la operación no había sido previamente establecido.</w:t>
      </w:r>
    </w:p>
    <w:p w14:paraId="6E0087E3" w14:textId="77777777" w:rsidR="00455F2B" w:rsidRPr="008E0174" w:rsidRDefault="00455F2B" w:rsidP="00455F2B">
      <w:pPr>
        <w:spacing w:after="0" w:line="276" w:lineRule="auto"/>
        <w:ind w:firstLine="708"/>
        <w:jc w:val="both"/>
        <w:rPr>
          <w:rFonts w:ascii="Verdana" w:eastAsia="Calibri" w:hAnsi="Verdana" w:cs="Arial"/>
        </w:rPr>
      </w:pPr>
    </w:p>
    <w:p w14:paraId="256A11EB"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De esta manera, las entidades deberían procurar que desde la elaboración del estudio de sector y del presupuesto oficial exista correspondencia entre la metodología utilizada para determinar los valores de referencia y las reglas que posteriormente serán aplicadas a las ofertas. Cuando se trate de procesos estructurados mediante precios unitarios, resulta particularmente conveniente que el formato de oferta económica indique de manera expresa el número de decimales que deben utilizar los proponentes, la forma en que deben realizarse las operaciones, el tratamiento de los subtotales y totales y, cuando sea necesario, la metodología de aproximación o redondeo. Esto permite que la información utilizada para estructurar el presupuesto y aquella empleada para evaluar las ofertas respondan a parámetros homogéneos.</w:t>
      </w:r>
    </w:p>
    <w:p w14:paraId="713E20FC"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lastRenderedPageBreak/>
        <w:t>Ahora bien, lo anterior debe entenderse sin perjuicio de las reglas especiales que resulten aplicables a determinados procesos. En particular, cuando el procedimiento de selección se encuentre sometido a los Documentos Tipo expedidos por la Agencia Nacional de Contratación Pública – Colombia Compra Eficiente, la entidad deberá observar las reglas contenidas en el Documento Base, sus anexos y formularios respecto de la presentación y evaluación de la oferta económica, así como las disposiciones específicas sobre correcciones aritméticas y aproximaciones de cifras decimales. En estos casos, la entidad no podrá sustituir las reglas establecidas en el Documento Tipo por una metodología propia que resulte contraria o incompatible con aquellas.</w:t>
      </w:r>
    </w:p>
    <w:p w14:paraId="778461B9" w14:textId="77777777" w:rsidR="00455F2B" w:rsidRPr="008E0174" w:rsidRDefault="00455F2B" w:rsidP="00455F2B">
      <w:pPr>
        <w:spacing w:after="0" w:line="276" w:lineRule="auto"/>
        <w:ind w:firstLine="708"/>
        <w:jc w:val="both"/>
        <w:rPr>
          <w:rFonts w:ascii="Verdana" w:eastAsia="Calibri" w:hAnsi="Verdana" w:cs="Arial"/>
        </w:rPr>
      </w:pPr>
    </w:p>
    <w:p w14:paraId="2CA5F1EA"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En efecto, los Documentos Tipo contienen reglas específicas que deben ser aplicadas por las entidades sometidas a su ámbito de obligatoriedad y que buscan precisamente establecer condiciones uniformes para la estructuración, presentación y evaluación de las ofertas. Por ello, cuando el Documento Tipo aplicable contemple una regla determinada sobre el número de decimales, la aproximación de cifras o la corrección de operaciones aritméticas, esta deberá ser observada por la entidad, sin que resulte jurídicamente admisible establecer durante la evaluación un tratamiento diferente para las cifras económicas de los proponentes.</w:t>
      </w:r>
    </w:p>
    <w:p w14:paraId="753E73A6" w14:textId="77777777" w:rsidR="00455F2B" w:rsidRPr="008E0174" w:rsidRDefault="00455F2B" w:rsidP="00455F2B">
      <w:pPr>
        <w:spacing w:after="0" w:line="276" w:lineRule="auto"/>
        <w:ind w:firstLine="708"/>
        <w:jc w:val="both"/>
        <w:rPr>
          <w:rFonts w:ascii="Verdana" w:eastAsia="Calibri" w:hAnsi="Verdana" w:cs="Arial"/>
        </w:rPr>
      </w:pPr>
    </w:p>
    <w:p w14:paraId="77E798BE"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Así las cosas, la ausencia de una regla general en el Estatuto General de Contratación que determine un número único de decimales no significa que las entidades puedan aplicar discrecionalmente cualquier metodología durante la evaluación. Su margen de configuración se encuentra condicionado por las reglas previamente incorporadas en los documentos del proceso, por los principios de transparencia, economía y selección objetiva y, cuando corresponda, por las disposiciones específicas contenidas en los Documentos Tipo. La regla matemática que pueda incidir en la determinación del valor de una oferta debe ser conocida por los interesados con anterioridad a su presentación y debe aplicarse de manera uniforme a todos los proponentes.</w:t>
      </w:r>
    </w:p>
    <w:p w14:paraId="0ADBB187" w14:textId="77777777" w:rsidR="00455F2B" w:rsidRPr="008E0174" w:rsidRDefault="00455F2B" w:rsidP="00455F2B">
      <w:pPr>
        <w:spacing w:after="0" w:line="276" w:lineRule="auto"/>
        <w:ind w:firstLine="708"/>
        <w:jc w:val="both"/>
        <w:rPr>
          <w:rFonts w:ascii="Verdana" w:eastAsia="Calibri" w:hAnsi="Verdana" w:cs="Arial"/>
        </w:rPr>
      </w:pPr>
    </w:p>
    <w:p w14:paraId="29364F4D" w14:textId="77777777" w:rsidR="00455F2B"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 xml:space="preserve">Por lo anterior, cuando los documentos del proceso no establezcan de manera clara el número de decimales ni la metodología de redondeo o aproximación aplicable a los precios unitarios, subtotales o valores totales, no resultaría jurídicamente adecuado que la entidad, durante la etapa de </w:t>
      </w:r>
      <w:r w:rsidRPr="008E0174">
        <w:rPr>
          <w:rFonts w:ascii="Verdana" w:eastAsia="Calibri" w:hAnsi="Verdana" w:cs="Arial"/>
        </w:rPr>
        <w:lastRenderedPageBreak/>
        <w:t>evaluación, introduzca una regla nueva y utilice las diferencias producidas por su aplicación como fundamento exclusivo para rechazar una oferta, especialmente cuando dichas diferencias correspondan a aproximaciones matemáticas menores y no impliquen superar el presupuesto oficial, el precio máximo establecido o alguna otra condición económica expresamente prevista. En estos eventos, la entidad deberá analizar la naturaleza de la diferencia, las reglas efectivamente contenidas en los documentos del proceso y las consecuencias que el ordenamiento jurídico atribuye a los errores o diferencias aritméticas, procurando que la decisión de evaluación se encuentre sustentada en condiciones previamente conocidas por todos los participantes.</w:t>
      </w:r>
    </w:p>
    <w:p w14:paraId="238D0CD9" w14:textId="77777777" w:rsidR="00455F2B" w:rsidRPr="008E0174" w:rsidRDefault="00455F2B" w:rsidP="00455F2B">
      <w:pPr>
        <w:spacing w:after="0" w:line="276" w:lineRule="auto"/>
        <w:ind w:firstLine="708"/>
        <w:jc w:val="both"/>
        <w:rPr>
          <w:rFonts w:ascii="Verdana" w:eastAsia="Calibri" w:hAnsi="Verdana" w:cs="Arial"/>
        </w:rPr>
      </w:pPr>
    </w:p>
    <w:p w14:paraId="7532AC6F" w14:textId="77777777" w:rsidR="00455F2B" w:rsidRPr="008E0174" w:rsidRDefault="00455F2B" w:rsidP="00455F2B">
      <w:pPr>
        <w:spacing w:after="0" w:line="276" w:lineRule="auto"/>
        <w:ind w:firstLine="708"/>
        <w:jc w:val="both"/>
        <w:rPr>
          <w:rFonts w:ascii="Verdana" w:eastAsia="Calibri" w:hAnsi="Verdana" w:cs="Arial"/>
        </w:rPr>
      </w:pPr>
      <w:r w:rsidRPr="008E0174">
        <w:rPr>
          <w:rFonts w:ascii="Verdana" w:eastAsia="Calibri" w:hAnsi="Verdana" w:cs="Arial"/>
        </w:rPr>
        <w:t>En consecuencia, desde la estructuración del proceso resulta jurídicamente recomendable que la entidad defina una metodología uniforme para el manejo de los decimales y las aproximaciones y que esta sea incorporada expresamente en los documentos que regulan la presentación y evaluación de las ofertas económicas. De esta manera, los proponentes podrán conocer anticipadamente las reglas matemáticas que serán utilizadas para determinar el valor de sus propuestas, se garantiza la comparabilidad de las ofertas y se evita que, una vez presentadas estas, surjan diferencias derivadas de criterios de redondeo que no fueron previsibles al momento de su elaboración. Esta metodología, en todo caso, deberá armonizarse con las reglas especiales que resulten aplicables al proceso y, particularmente, con las previstas en los Documentos Tipo cuando estos sean de obligatorio cumplimiento.</w:t>
      </w:r>
    </w:p>
    <w:bookmarkEnd w:id="1"/>
    <w:bookmarkEnd w:id="2"/>
    <w:p w14:paraId="340E02BB" w14:textId="77777777" w:rsidR="00455F2B" w:rsidRPr="00AE0BC7" w:rsidRDefault="00455F2B" w:rsidP="00455F2B">
      <w:pPr>
        <w:spacing w:before="120" w:after="0" w:line="276" w:lineRule="auto"/>
        <w:ind w:firstLine="709"/>
        <w:jc w:val="both"/>
        <w:rPr>
          <w:rFonts w:ascii="Verdana" w:hAnsi="Verdana" w:cs="Arial"/>
          <w:lang w:eastAsia="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188B82B3" w14:textId="77777777" w:rsidR="00455F2B" w:rsidRPr="00DC7DA9" w:rsidRDefault="00455F2B" w:rsidP="00455F2B">
      <w:pPr>
        <w:spacing w:after="0" w:line="276" w:lineRule="auto"/>
        <w:ind w:firstLine="708"/>
        <w:jc w:val="both"/>
        <w:rPr>
          <w:rFonts w:ascii="Verdana" w:hAnsi="Verdana"/>
          <w:lang w:val="es-ES"/>
        </w:rPr>
      </w:pPr>
    </w:p>
    <w:p w14:paraId="3B21BA6F" w14:textId="77777777" w:rsidR="00455F2B" w:rsidRPr="00DC7DA9" w:rsidRDefault="00455F2B" w:rsidP="00455F2B">
      <w:pPr>
        <w:spacing w:line="276" w:lineRule="auto"/>
        <w:ind w:firstLine="708"/>
        <w:contextualSpacing/>
        <w:jc w:val="both"/>
        <w:rPr>
          <w:rFonts w:ascii="Verdana" w:eastAsia="Calibri" w:hAnsi="Verdana" w:cs="Times New Roman"/>
          <w:lang w:val="es-ES"/>
        </w:rPr>
      </w:pPr>
      <w:r w:rsidRPr="00AE7E03">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w:t>
      </w:r>
      <w:r w:rsidRPr="00AE7E03">
        <w:rPr>
          <w:rFonts w:ascii="Verdana" w:eastAsia="Calibri" w:hAnsi="Verdana" w:cs="Times New Roman"/>
          <w:lang w:val="es-ES"/>
        </w:rPr>
        <w:lastRenderedPageBreak/>
        <w:t>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17FA1103" w14:textId="77777777" w:rsidR="00455F2B" w:rsidRPr="0015699B" w:rsidRDefault="00455F2B" w:rsidP="00455F2B">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6F6B6E03" w14:textId="77777777" w:rsidR="00455F2B" w:rsidRPr="0015699B" w:rsidRDefault="00455F2B" w:rsidP="00455F2B">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076865B3" w14:textId="77777777" w:rsidR="00455F2B" w:rsidRPr="0015699B" w:rsidRDefault="00455F2B" w:rsidP="00455F2B">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455F2B" w14:paraId="62CA453F" w14:textId="77777777" w:rsidTr="003C710A">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4B123A33" w14:textId="77777777" w:rsidR="00455F2B"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Pr>
                <w:rFonts w:ascii="Verdana" w:hAnsi="Verdana" w:cs="Arial"/>
                <w:lang w:eastAsia="es-ES"/>
              </w:rPr>
              <w:t>Código Civil. Artículo 1495.</w:t>
            </w:r>
          </w:p>
          <w:p w14:paraId="154F9CE2" w14:textId="77777777" w:rsidR="00455F2B"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Pr>
                <w:rFonts w:ascii="Verdana" w:hAnsi="Verdana" w:cs="Arial"/>
                <w:lang w:eastAsia="es-ES"/>
              </w:rPr>
              <w:t xml:space="preserve">Ley 80 de 1993. Artículos 1, 32, 41. </w:t>
            </w:r>
          </w:p>
          <w:p w14:paraId="2A424239" w14:textId="77777777" w:rsidR="00455F2B"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sidRPr="00453C30">
              <w:rPr>
                <w:rFonts w:ascii="Verdana" w:hAnsi="Verdana" w:cs="Arial"/>
                <w:lang w:eastAsia="es-ES"/>
              </w:rPr>
              <w:t>Ley 1150 de 2007</w:t>
            </w:r>
            <w:r>
              <w:rPr>
                <w:rFonts w:ascii="Verdana" w:hAnsi="Verdana" w:cs="Arial"/>
                <w:lang w:eastAsia="es-ES"/>
              </w:rPr>
              <w:t>. Artículos 5, 6.</w:t>
            </w:r>
          </w:p>
          <w:p w14:paraId="4AF3606B" w14:textId="77777777" w:rsidR="00455F2B" w:rsidRPr="001209A7" w:rsidRDefault="00455F2B" w:rsidP="00455F2B">
            <w:pPr>
              <w:pStyle w:val="Prrafodelista"/>
              <w:numPr>
                <w:ilvl w:val="0"/>
                <w:numId w:val="17"/>
              </w:numPr>
              <w:rPr>
                <w:rFonts w:ascii="Verdana" w:hAnsi="Verdana" w:cs="Arial"/>
                <w:lang w:eastAsia="es-ES"/>
              </w:rPr>
            </w:pPr>
            <w:r w:rsidRPr="001209A7">
              <w:rPr>
                <w:rFonts w:ascii="Verdana" w:hAnsi="Verdana" w:cs="Arial"/>
                <w:lang w:eastAsia="es-ES"/>
              </w:rPr>
              <w:t xml:space="preserve">Ley 2022 de 2020, artículo 1. </w:t>
            </w:r>
          </w:p>
          <w:p w14:paraId="75C6CF4C" w14:textId="77777777" w:rsidR="00455F2B"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Pr>
                <w:rFonts w:ascii="Verdana" w:hAnsi="Verdana" w:cs="Arial"/>
                <w:lang w:eastAsia="es-ES"/>
              </w:rPr>
              <w:t>Ley 1437 de 2011. Artículo 87.</w:t>
            </w:r>
          </w:p>
          <w:p w14:paraId="670B7C0F" w14:textId="77777777" w:rsidR="00455F2B" w:rsidRPr="00B310DA" w:rsidRDefault="00455F2B" w:rsidP="00455F2B">
            <w:pPr>
              <w:widowControl w:val="0"/>
              <w:numPr>
                <w:ilvl w:val="0"/>
                <w:numId w:val="17"/>
              </w:numPr>
              <w:autoSpaceDE w:val="0"/>
              <w:autoSpaceDN w:val="0"/>
              <w:snapToGrid w:val="0"/>
              <w:spacing w:after="120" w:line="276" w:lineRule="auto"/>
              <w:jc w:val="both"/>
              <w:rPr>
                <w:rFonts w:ascii="Verdana" w:eastAsia="Calibri" w:hAnsi="Verdana" w:cs="Arial"/>
              </w:rPr>
            </w:pPr>
            <w:r w:rsidRPr="00B310DA">
              <w:rPr>
                <w:rFonts w:ascii="Verdana" w:eastAsia="Aptos" w:hAnsi="Verdana" w:cs="Arial"/>
              </w:rPr>
              <w:t>Decreto Ley 4170 de 2011, artículos 1 y 11.</w:t>
            </w:r>
          </w:p>
          <w:p w14:paraId="3EA3498E" w14:textId="77777777" w:rsidR="00455F2B" w:rsidRPr="00B310DA" w:rsidRDefault="00455F2B" w:rsidP="00455F2B">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B310DA">
              <w:rPr>
                <w:rFonts w:ascii="Verdana" w:eastAsia="Calibri" w:hAnsi="Verdana" w:cs="Arial"/>
                <w:lang w:val="es-ES_tradnl"/>
              </w:rPr>
              <w:t>Decreto 287 de 2026, artículos 1 y 2.</w:t>
            </w:r>
          </w:p>
          <w:p w14:paraId="19499AF7" w14:textId="77777777" w:rsidR="00455F2B" w:rsidRPr="001209A7" w:rsidRDefault="00455F2B" w:rsidP="00455F2B">
            <w:pPr>
              <w:widowControl w:val="0"/>
              <w:numPr>
                <w:ilvl w:val="0"/>
                <w:numId w:val="17"/>
              </w:numPr>
              <w:autoSpaceDE w:val="0"/>
              <w:autoSpaceDN w:val="0"/>
              <w:snapToGrid w:val="0"/>
              <w:spacing w:after="120" w:line="276" w:lineRule="auto"/>
              <w:jc w:val="both"/>
              <w:rPr>
                <w:rFonts w:ascii="Verdana" w:hAnsi="Verdana" w:cs="Arial"/>
                <w:lang w:eastAsia="es-ES"/>
              </w:rPr>
            </w:pPr>
            <w:r w:rsidRPr="001209A7">
              <w:rPr>
                <w:rFonts w:ascii="Verdana" w:hAnsi="Verdana" w:cs="Arial"/>
                <w:lang w:eastAsia="es-ES"/>
              </w:rPr>
              <w:t xml:space="preserve">Decreto 1082 de 2015. Artículos </w:t>
            </w:r>
            <w:r w:rsidRPr="001209A7">
              <w:rPr>
                <w:rFonts w:ascii="Verdana" w:hAnsi="Verdana" w:cs="Arial"/>
                <w:lang w:val="es-ES_tradnl"/>
              </w:rPr>
              <w:t>2.2.1.1.1.5.1, 2.2.1.1.1.5.2.,</w:t>
            </w:r>
            <w:r w:rsidRPr="001209A7">
              <w:rPr>
                <w:rFonts w:ascii="Verdana" w:eastAsia="Calibri" w:hAnsi="Verdana" w:cs="Arial"/>
                <w:lang w:val="es-ES_tradnl"/>
              </w:rPr>
              <w:t xml:space="preserve"> 2.2.1.2.4.2.6., 2.2.1.2.4.2.7., y 2.2.1.2.4.2.8.</w:t>
            </w:r>
          </w:p>
          <w:p w14:paraId="37CAA90F" w14:textId="77777777" w:rsidR="00455F2B" w:rsidRPr="001209A7" w:rsidRDefault="00455F2B" w:rsidP="00455F2B">
            <w:pPr>
              <w:widowControl w:val="0"/>
              <w:numPr>
                <w:ilvl w:val="0"/>
                <w:numId w:val="17"/>
              </w:numPr>
              <w:autoSpaceDE w:val="0"/>
              <w:autoSpaceDN w:val="0"/>
              <w:snapToGrid w:val="0"/>
              <w:spacing w:after="120" w:line="276" w:lineRule="auto"/>
              <w:jc w:val="both"/>
              <w:rPr>
                <w:rFonts w:ascii="Verdana" w:hAnsi="Verdana" w:cs="Arial"/>
                <w:lang w:eastAsia="es-ES"/>
              </w:rPr>
            </w:pPr>
            <w:r w:rsidRPr="001209A7">
              <w:rPr>
                <w:rFonts w:ascii="Verdana" w:hAnsi="Verdana" w:cs="Arial"/>
                <w:lang w:eastAsia="es-ES"/>
              </w:rPr>
              <w:t>Consejo de Estado. Sala de lo Contencioso Administrativo. Sección Tercera. Subsección A. Sentencia del 1 de septiembre de 2025. Radicado: 11001-03-26-000-2023-000-94-00 (69.959). CP: José Roberto Sanchica Méndez.</w:t>
            </w:r>
          </w:p>
          <w:p w14:paraId="74C4682E" w14:textId="77777777" w:rsidR="00455F2B"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sidRPr="00453C30">
              <w:rPr>
                <w:rFonts w:ascii="Verdana" w:hAnsi="Verdana" w:cs="Arial"/>
                <w:lang w:eastAsia="es-ES"/>
              </w:rPr>
              <w:t>Consejo de Estado. Sala de lo Contencioso Administrativo. Sección Tercera. Subsección B. Sentencia del 6 de junio de 2013. Radicado: 11001-03-26-000-2003-00026-01 (25151-25152) C.P. Stella Conto Díaz del Castillo.</w:t>
            </w:r>
          </w:p>
          <w:p w14:paraId="2DDDB4B5" w14:textId="77777777" w:rsidR="00455F2B"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sidRPr="00453C30">
              <w:rPr>
                <w:rFonts w:ascii="Verdana" w:hAnsi="Verdana" w:cs="Arial"/>
                <w:lang w:eastAsia="es-ES"/>
              </w:rPr>
              <w:t>Consejo de Estado. Sala de Consulta y Servicio Civil. Consulta del 20 de mayo de 2010. Exp.1992. C. P. Enrique José Arboleda Perdomo.</w:t>
            </w:r>
          </w:p>
          <w:p w14:paraId="2D6A514E" w14:textId="77777777" w:rsidR="00455F2B"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sidRPr="00453C30">
              <w:rPr>
                <w:rFonts w:ascii="Verdana" w:hAnsi="Verdana" w:cs="Arial"/>
                <w:lang w:eastAsia="es-ES"/>
              </w:rPr>
              <w:t>Consejo de Estado. Sala de lo Contencioso Administrativo. Sección Tercera. Subsección A. Sentencia del 19 de septiembre de 2019. Radicado: 25000-23-36-000-2015-02571-02 (59432). C.P. Marta Nubia Velásquez Rico.</w:t>
            </w:r>
          </w:p>
          <w:p w14:paraId="62BDF719" w14:textId="77777777" w:rsidR="00455F2B"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sidRPr="00453C30">
              <w:rPr>
                <w:rFonts w:ascii="Verdana" w:hAnsi="Verdana" w:cs="Arial"/>
                <w:lang w:eastAsia="es-ES"/>
              </w:rPr>
              <w:t>Consejo de Estado. Sala de lo Contencioso Administrativo. Sección Cuarta. Sentencia del 19 de noviembre de 1999. Radicado: 11001-03-27-000-2012-00031-00 (9453). C</w:t>
            </w:r>
            <w:r>
              <w:rPr>
                <w:rFonts w:ascii="Verdana" w:hAnsi="Verdana" w:cs="Arial"/>
                <w:lang w:eastAsia="es-ES"/>
              </w:rPr>
              <w:t>.</w:t>
            </w:r>
            <w:r w:rsidRPr="00453C30">
              <w:rPr>
                <w:rFonts w:ascii="Verdana" w:hAnsi="Verdana" w:cs="Arial"/>
                <w:lang w:eastAsia="es-ES"/>
              </w:rPr>
              <w:t>P</w:t>
            </w:r>
            <w:r>
              <w:rPr>
                <w:rFonts w:ascii="Verdana" w:hAnsi="Verdana" w:cs="Arial"/>
                <w:lang w:eastAsia="es-ES"/>
              </w:rPr>
              <w:t>:</w:t>
            </w:r>
            <w:r w:rsidRPr="00453C30">
              <w:rPr>
                <w:rFonts w:ascii="Verdana" w:hAnsi="Verdana" w:cs="Arial"/>
                <w:lang w:eastAsia="es-ES"/>
              </w:rPr>
              <w:t xml:space="preserve"> Daniel Manrique Guzmán.</w:t>
            </w:r>
          </w:p>
          <w:p w14:paraId="2CBD6B26" w14:textId="77777777" w:rsidR="00455F2B"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sidRPr="00453C30">
              <w:rPr>
                <w:rFonts w:ascii="Verdana" w:hAnsi="Verdana" w:cs="Arial"/>
                <w:lang w:eastAsia="es-ES"/>
              </w:rPr>
              <w:t xml:space="preserve">Consejo de Estado. Sala de Consulta y Servicio Civil. Concepto del 6 </w:t>
            </w:r>
            <w:r w:rsidRPr="00453C30">
              <w:rPr>
                <w:rFonts w:ascii="Verdana" w:hAnsi="Verdana" w:cs="Arial"/>
                <w:lang w:eastAsia="es-ES"/>
              </w:rPr>
              <w:lastRenderedPageBreak/>
              <w:t>de noviembre de 2008. Radicado: 11001-03-06-000-2008-00079-00 (1.927). C.P. William Zambrano Cetina</w:t>
            </w:r>
            <w:r>
              <w:rPr>
                <w:rFonts w:ascii="Verdana" w:hAnsi="Verdana" w:cs="Arial"/>
                <w:lang w:eastAsia="es-ES"/>
              </w:rPr>
              <w:t>.</w:t>
            </w:r>
          </w:p>
          <w:p w14:paraId="79C46E50" w14:textId="77777777" w:rsidR="00455F2B"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sidRPr="00453C30">
              <w:rPr>
                <w:rFonts w:ascii="Verdana" w:hAnsi="Verdana" w:cs="Arial"/>
                <w:lang w:eastAsia="es-ES"/>
              </w:rPr>
              <w:t>Consejo de Estado. Sala de lo Contencioso Administrativo. Sección Tercera. Sentencia del 4 de abril de 2002. Rad. 1999-0290-01 (17.244). C.P: Alier E. Hernández Enríquez</w:t>
            </w:r>
            <w:r>
              <w:rPr>
                <w:rFonts w:ascii="Verdana" w:hAnsi="Verdana" w:cs="Arial"/>
                <w:lang w:eastAsia="es-ES"/>
              </w:rPr>
              <w:t>.</w:t>
            </w:r>
          </w:p>
          <w:p w14:paraId="7FC8E746" w14:textId="77777777" w:rsidR="00455F2B"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sidRPr="00453C30">
              <w:rPr>
                <w:rFonts w:ascii="Verdana" w:hAnsi="Verdana" w:cs="Arial"/>
                <w:lang w:eastAsia="es-ES"/>
              </w:rPr>
              <w:t>Corte Constitucional, sentencia C-949 de 2001. M.P: Clara Inés Vargas Hernández.</w:t>
            </w:r>
          </w:p>
          <w:p w14:paraId="595D5E24" w14:textId="77777777" w:rsidR="00455F2B" w:rsidRPr="00453C30" w:rsidRDefault="00455F2B" w:rsidP="00455F2B">
            <w:pPr>
              <w:pStyle w:val="Prrafodelista"/>
              <w:widowControl w:val="0"/>
              <w:numPr>
                <w:ilvl w:val="0"/>
                <w:numId w:val="17"/>
              </w:numPr>
              <w:autoSpaceDE w:val="0"/>
              <w:autoSpaceDN w:val="0"/>
              <w:spacing w:after="160" w:line="276" w:lineRule="auto"/>
              <w:jc w:val="both"/>
              <w:rPr>
                <w:rFonts w:ascii="Verdana" w:hAnsi="Verdana" w:cs="Arial"/>
                <w:lang w:eastAsia="es-ES"/>
              </w:rPr>
            </w:pPr>
            <w:r w:rsidRPr="00453C30">
              <w:rPr>
                <w:rFonts w:ascii="Verdana" w:hAnsi="Verdana"/>
              </w:rPr>
              <w:t xml:space="preserve">Circular Externa Única de Colombia Compra Eficiente. </w:t>
            </w:r>
            <w:r w:rsidRPr="00092A7C">
              <w:rPr>
                <w:rFonts w:ascii="Verdana" w:hAnsi="Verdana"/>
              </w:rPr>
              <w:t xml:space="preserve">Disponible en  </w:t>
            </w:r>
            <w:hyperlink r:id="rId11" w:history="1">
              <w:r w:rsidRPr="00092A7C">
                <w:rPr>
                  <w:rStyle w:val="Hipervnculo"/>
                  <w:rFonts w:ascii="Verdana" w:hAnsi="Verdana"/>
                  <w:lang w:val="es-CO"/>
                </w:rPr>
                <w:t>circular_externa_unica_version_3_vf49.pdf</w:t>
              </w:r>
            </w:hyperlink>
          </w:p>
          <w:p w14:paraId="6DF172B4" w14:textId="77777777" w:rsidR="00455F2B" w:rsidRPr="00A24BA3" w:rsidRDefault="00455F2B" w:rsidP="00455F2B">
            <w:pPr>
              <w:pStyle w:val="Prrafodelista"/>
              <w:numPr>
                <w:ilvl w:val="0"/>
                <w:numId w:val="17"/>
              </w:numPr>
              <w:spacing w:after="120" w:line="276" w:lineRule="auto"/>
              <w:jc w:val="both"/>
              <w:rPr>
                <w:rFonts w:ascii="Verdana" w:eastAsia="Verdana" w:hAnsi="Verdana" w:cs="Verdana"/>
                <w:lang w:val="es"/>
              </w:rPr>
            </w:pPr>
            <w:r w:rsidRPr="00453C30">
              <w:rPr>
                <w:rFonts w:ascii="Verdana" w:hAnsi="Verdana" w:cs="Arial"/>
                <w:lang w:eastAsia="es-ES"/>
              </w:rPr>
              <w:t>CLARO SOLAR, Luis. Explicaciones de derecho civil chileno y comparado. Tomo Décimo – Obligaciones y contratos 1. Santiago de Chile, Nascimiento, 1936.</w:t>
            </w:r>
          </w:p>
        </w:tc>
      </w:tr>
    </w:tbl>
    <w:p w14:paraId="04CF646C" w14:textId="77777777" w:rsidR="00455F2B" w:rsidRPr="0015699B" w:rsidRDefault="00455F2B" w:rsidP="00455F2B">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lastRenderedPageBreak/>
        <w:t xml:space="preserve"> </w:t>
      </w:r>
    </w:p>
    <w:p w14:paraId="234C313E" w14:textId="77777777" w:rsidR="00455F2B" w:rsidRPr="003D5882" w:rsidRDefault="00455F2B" w:rsidP="00455F2B">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3D09DF3B" w14:textId="77777777" w:rsidR="00455F2B" w:rsidRPr="003D5882" w:rsidRDefault="00455F2B" w:rsidP="00455F2B">
      <w:pPr>
        <w:pStyle w:val="Prrafodelista"/>
        <w:spacing w:before="1" w:after="0" w:line="240" w:lineRule="auto"/>
        <w:jc w:val="both"/>
        <w:textAlignment w:val="baseline"/>
        <w:rPr>
          <w:rFonts w:ascii="Verdana" w:eastAsia="Verdana" w:hAnsi="Verdana" w:cs="Verdana"/>
          <w:b/>
          <w:bCs/>
          <w:lang w:val="es"/>
        </w:rPr>
      </w:pPr>
    </w:p>
    <w:p w14:paraId="3EC5ADC1" w14:textId="77777777" w:rsidR="00455F2B" w:rsidRDefault="00455F2B" w:rsidP="00455F2B">
      <w:pPr>
        <w:spacing w:after="0" w:line="276" w:lineRule="auto"/>
        <w:jc w:val="both"/>
        <w:rPr>
          <w:rFonts w:ascii="Verdana" w:eastAsia="Calibri" w:hAnsi="Verdana" w:cs="Arial"/>
        </w:rPr>
      </w:pPr>
      <w:r w:rsidRPr="00932FE6">
        <w:rPr>
          <w:rFonts w:ascii="Verdana" w:eastAsia="Calibri" w:hAnsi="Verdana"/>
        </w:rPr>
        <w:t xml:space="preserve">La Agencia Nacional de Contratación Pública se </w:t>
      </w:r>
      <w:r w:rsidRPr="00932FE6">
        <w:rPr>
          <w:rFonts w:ascii="Verdana" w:eastAsia="Calibri" w:hAnsi="Verdana" w:cs="Arial"/>
          <w:lang w:val="es-ES" w:eastAsia="es-ES"/>
        </w:rPr>
        <w:t>pronunciado sobre el RUP</w:t>
      </w:r>
      <w:r w:rsidRPr="00932FE6">
        <w:rPr>
          <w:rFonts w:ascii="Verdana" w:hAnsi="Verdana" w:cs="Arial"/>
          <w:shd w:val="clear" w:color="auto" w:fill="FFFFFF"/>
        </w:rPr>
        <w:t xml:space="preserve"> su</w:t>
      </w:r>
      <w:r w:rsidRPr="00932FE6">
        <w:rPr>
          <w:rFonts w:ascii="Verdana" w:eastAsia="Calibri" w:hAnsi="Verdana" w:cs="Arial"/>
          <w:lang w:val="es-ES_tradnl"/>
        </w:rPr>
        <w:t xml:space="preserve"> firmeza, renovación y actualización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 C-325 del 29 de julio de 2024, C-353 del 30 de agosto de 2024, C-1006 del 30 de diciembre de 2024, C-287 del 16 de abril de 2025, C-321 del 17 de junio de 2025, </w:t>
      </w:r>
      <w:r w:rsidRPr="00932FE6">
        <w:rPr>
          <w:rFonts w:ascii="Verdana" w:eastAsia="Calibri" w:hAnsi="Verdana" w:cs="Arial"/>
        </w:rPr>
        <w:t>C-544 del 16 de junio 2025, C-1874 del 28 de enero de 2026, C-729 del 11 de junio de 2026,  C-749 del 16 de junio de 2026</w:t>
      </w:r>
      <w:r>
        <w:rPr>
          <w:rFonts w:ascii="Verdana" w:eastAsia="Calibri" w:hAnsi="Verdana" w:cs="Arial"/>
        </w:rPr>
        <w:t xml:space="preserve"> y C-868 del 05 de julio de 2026,</w:t>
      </w:r>
      <w:r w:rsidRPr="00932FE6">
        <w:rPr>
          <w:rFonts w:ascii="Verdana" w:eastAsia="Calibri" w:hAnsi="Verdana" w:cs="Arial"/>
        </w:rPr>
        <w:t xml:space="preserve"> entre otros.</w:t>
      </w:r>
      <w:r>
        <w:rPr>
          <w:rFonts w:ascii="Verdana" w:eastAsia="Calibri" w:hAnsi="Verdana" w:cs="Arial"/>
        </w:rPr>
        <w:t xml:space="preserve"> </w:t>
      </w:r>
    </w:p>
    <w:p w14:paraId="40A79E5A" w14:textId="77777777" w:rsidR="00455F2B" w:rsidRDefault="00455F2B" w:rsidP="00455F2B">
      <w:pPr>
        <w:spacing w:after="0" w:line="276" w:lineRule="auto"/>
        <w:jc w:val="both"/>
        <w:rPr>
          <w:rFonts w:ascii="Verdana" w:eastAsia="Calibri" w:hAnsi="Verdana" w:cs="Arial"/>
        </w:rPr>
      </w:pPr>
    </w:p>
    <w:p w14:paraId="7972C958" w14:textId="77777777" w:rsidR="00455F2B" w:rsidRDefault="00455F2B" w:rsidP="00455F2B">
      <w:pPr>
        <w:spacing w:after="0" w:line="276" w:lineRule="auto"/>
        <w:jc w:val="both"/>
        <w:rPr>
          <w:rFonts w:ascii="Verdana" w:eastAsia="Calibri" w:hAnsi="Verdana" w:cs="Arial"/>
        </w:rPr>
      </w:pPr>
      <w:r>
        <w:rPr>
          <w:rFonts w:ascii="Verdana" w:eastAsia="Calibri" w:hAnsi="Verdana" w:cs="Arial"/>
        </w:rPr>
        <w:t xml:space="preserve">Por otra parte respecto de </w:t>
      </w:r>
      <w:r w:rsidRPr="00B310DA">
        <w:rPr>
          <w:rFonts w:ascii="Verdana" w:eastAsia="Calibri" w:hAnsi="Verdana" w:cs="Arial"/>
          <w:kern w:val="2"/>
          <w:shd w:val="clear" w:color="auto" w:fill="FFFFFF"/>
          <w:lang w:val="es-ES"/>
          <w14:ligatures w14:val="standardContextual"/>
        </w:rPr>
        <w:t xml:space="preserve">la regla de la inalterabilidad de los documentos tipo </w:t>
      </w:r>
      <w:r>
        <w:rPr>
          <w:rFonts w:ascii="Verdana" w:eastAsia="Calibri" w:hAnsi="Verdana" w:cs="Arial"/>
          <w:kern w:val="2"/>
          <w:shd w:val="clear" w:color="auto" w:fill="FFFFFF"/>
          <w:lang w:val="es-ES"/>
          <w14:ligatures w14:val="standardContextual"/>
        </w:rPr>
        <w:t>esta Agencia se ha pronunciado en los</w:t>
      </w:r>
      <w:r w:rsidRPr="00B310DA">
        <w:rPr>
          <w:rFonts w:ascii="Verdana" w:eastAsia="Calibri" w:hAnsi="Verdana" w:cs="Arial"/>
          <w:kern w:val="2"/>
          <w:shd w:val="clear" w:color="auto" w:fill="FFFFFF"/>
          <w:lang w:val="es-ES"/>
          <w14:ligatures w14:val="standardContextual"/>
        </w:rPr>
        <w:t xml:space="preserve"> conceptos: C-058 del 8 de marzo de 2022, C-657 del 11 de octubre de 2022, C-051 del 28 de abril de 2023</w:t>
      </w:r>
      <w:r w:rsidRPr="00B310DA">
        <w:rPr>
          <w:rFonts w:ascii="Verdana" w:eastAsia="Times New Roman" w:hAnsi="Verdana" w:cs="Arial"/>
          <w:kern w:val="2"/>
          <w:shd w:val="clear" w:color="auto" w:fill="FFFFFF"/>
          <w:lang w:val="es-ES"/>
          <w14:ligatures w14:val="standardContextual"/>
        </w:rPr>
        <w:t xml:space="preserve">, </w:t>
      </w:r>
      <w:r w:rsidRPr="00B310DA">
        <w:rPr>
          <w:rFonts w:ascii="Verdana" w:eastAsia="Calibri" w:hAnsi="Verdana" w:cs="Arial"/>
          <w:kern w:val="2"/>
          <w:shd w:val="clear" w:color="auto" w:fill="FFFFFF"/>
          <w:lang w:val="es-ES"/>
          <w14:ligatures w14:val="standardContextual"/>
        </w:rPr>
        <w:t xml:space="preserve">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w:t>
      </w:r>
      <w:r w:rsidRPr="00B310DA">
        <w:rPr>
          <w:rFonts w:ascii="Verdana" w:eastAsia="Calibri" w:hAnsi="Verdana" w:cs="Arial"/>
          <w:kern w:val="2"/>
          <w:shd w:val="clear" w:color="auto" w:fill="FFFFFF"/>
          <w:lang w:val="es-ES"/>
          <w14:ligatures w14:val="standardContextual"/>
        </w:rPr>
        <w:lastRenderedPageBreak/>
        <w:t>2025, C-365 del 2 de mayo de 2025, C-382 del 6 de mayo de 2025, C497 del 5 de junio de 2025, C-522 del 9 de junio de 2025, C-562 del 19 de junio de 2025, C-582 del 25 de junio de 2025</w:t>
      </w:r>
      <w:r w:rsidRPr="00B310DA">
        <w:rPr>
          <w:rFonts w:ascii="Verdana" w:eastAsia="Calibri" w:hAnsi="Verdana" w:cs="Arial"/>
          <w:shd w:val="clear" w:color="auto" w:fill="FFFFFF"/>
          <w:lang w:val="es-ES"/>
        </w:rPr>
        <w:t>, C-043 del 13 de febrero de 2026, C-246 del 12 de marzo de 2026, C-467 del 21 de abril de 2026</w:t>
      </w:r>
      <w:r>
        <w:rPr>
          <w:rFonts w:ascii="Verdana" w:eastAsia="Calibri" w:hAnsi="Verdana" w:cs="Arial"/>
          <w:shd w:val="clear" w:color="auto" w:fill="FFFFFF"/>
          <w:lang w:val="es-ES"/>
        </w:rPr>
        <w:t xml:space="preserve"> y C-512 </w:t>
      </w:r>
      <w:r>
        <w:rPr>
          <w:rFonts w:ascii="Verdana" w:eastAsia="Calibri" w:hAnsi="Verdana" w:cs="Arial"/>
        </w:rPr>
        <w:t>del 07 de mayo de 2026.</w:t>
      </w:r>
    </w:p>
    <w:p w14:paraId="43A32F54" w14:textId="77777777" w:rsidR="00455F2B" w:rsidRDefault="00455F2B" w:rsidP="00455F2B">
      <w:pPr>
        <w:spacing w:after="0" w:line="276" w:lineRule="auto"/>
        <w:jc w:val="both"/>
        <w:rPr>
          <w:rFonts w:ascii="Verdana" w:eastAsia="Calibri" w:hAnsi="Verdana" w:cs="Arial"/>
        </w:rPr>
      </w:pPr>
    </w:p>
    <w:p w14:paraId="665B74D1" w14:textId="77777777" w:rsidR="00455F2B" w:rsidRDefault="00455F2B" w:rsidP="00455F2B">
      <w:pPr>
        <w:spacing w:after="0" w:line="276" w:lineRule="auto"/>
        <w:jc w:val="both"/>
        <w:rPr>
          <w:rFonts w:ascii="Verdana" w:eastAsia="Calibri" w:hAnsi="Verdana" w:cs="Arial"/>
        </w:rPr>
      </w:pPr>
      <w:r>
        <w:rPr>
          <w:rFonts w:ascii="Verdana" w:hAnsi="Verdana" w:cs="Arial"/>
          <w:shd w:val="clear" w:color="auto" w:fill="FFFFFF"/>
        </w:rPr>
        <w:t>S</w:t>
      </w:r>
      <w:r w:rsidRPr="00D86CA8">
        <w:rPr>
          <w:rFonts w:ascii="Verdana" w:hAnsi="Verdana" w:cs="Arial"/>
          <w:shd w:val="clear" w:color="auto" w:fill="FFFFFF"/>
        </w:rPr>
        <w:t xml:space="preserve">obre </w:t>
      </w:r>
      <w:r w:rsidRPr="00434706">
        <w:rPr>
          <w:rFonts w:ascii="Verdana" w:eastAsia="Calibri" w:hAnsi="Verdana" w:cs="Arial"/>
          <w:lang w:val="es-ES" w:eastAsia="es-ES"/>
        </w:rPr>
        <w:t>los requisitos habilitantes en los procesos de contratación</w:t>
      </w:r>
      <w:r>
        <w:rPr>
          <w:rFonts w:ascii="Verdana" w:eastAsia="Calibri" w:hAnsi="Verdana" w:cs="Arial"/>
          <w:lang w:val="es-ES"/>
        </w:rPr>
        <w:t xml:space="preserve"> </w:t>
      </w:r>
      <w:r w:rsidRPr="00D16A5E">
        <w:rPr>
          <w:rFonts w:ascii="Verdana" w:eastAsia="Calibri" w:hAnsi="Verdana" w:cs="Arial"/>
          <w:lang w:val="es-ES"/>
        </w:rPr>
        <w:t xml:space="preserve">en los conceptos 4201913000007643 del 26 de diciembre de 2019, C-343 del 17 de junio de 2020, C-518 del 9 de septiembre de 2020, C-614 del 5 de </w:t>
      </w:r>
      <w:r w:rsidRPr="000A5510">
        <w:rPr>
          <w:rFonts w:ascii="Verdana" w:eastAsia="Calibri" w:hAnsi="Verdana" w:cs="Arial"/>
          <w:lang w:val="es-ES"/>
        </w:rPr>
        <w:t>octubre de 2022, C-882 del 21 de diciembre de 2022, C-172 del 6 de junio de 2023</w:t>
      </w:r>
      <w:r>
        <w:rPr>
          <w:rFonts w:ascii="Verdana" w:hAnsi="Verdana" w:cs="Arial"/>
          <w:shd w:val="clear" w:color="auto" w:fill="FFFFFF"/>
          <w:lang w:val="es-ES"/>
        </w:rPr>
        <w:t>,</w:t>
      </w:r>
      <w:r w:rsidRPr="000A5510">
        <w:rPr>
          <w:rFonts w:ascii="Verdana" w:hAnsi="Verdana" w:cs="Arial"/>
          <w:shd w:val="clear" w:color="auto" w:fill="FFFFFF"/>
          <w:lang w:val="es-ES"/>
        </w:rPr>
        <w:t xml:space="preserve"> C-720 del 25 de noviembre 2024</w:t>
      </w:r>
      <w:r>
        <w:rPr>
          <w:rFonts w:ascii="Verdana" w:hAnsi="Verdana" w:cs="Arial"/>
          <w:shd w:val="clear" w:color="auto" w:fill="FFFFFF"/>
          <w:lang w:val="es-ES"/>
        </w:rPr>
        <w:t>, C-549 del 20 de mayo de 2026</w:t>
      </w:r>
      <w:r>
        <w:rPr>
          <w:rFonts w:ascii="Verdana" w:eastAsia="Arial MT" w:hAnsi="Verdana" w:cs="Arial"/>
          <w:lang w:val="es-ES"/>
        </w:rPr>
        <w:t>, C-626 del 29 de mayo de 2026.</w:t>
      </w:r>
    </w:p>
    <w:p w14:paraId="5D9D64D1" w14:textId="77777777" w:rsidR="00455F2B" w:rsidRDefault="00455F2B" w:rsidP="00455F2B">
      <w:pPr>
        <w:spacing w:after="0" w:line="276" w:lineRule="auto"/>
        <w:jc w:val="both"/>
        <w:rPr>
          <w:rFonts w:ascii="Verdana" w:eastAsia="Calibri" w:hAnsi="Verdana" w:cs="Arial"/>
        </w:rPr>
      </w:pPr>
    </w:p>
    <w:p w14:paraId="7A319F88" w14:textId="77777777" w:rsidR="00455F2B" w:rsidRPr="005510A2" w:rsidRDefault="00455F2B" w:rsidP="00455F2B">
      <w:pPr>
        <w:spacing w:after="0" w:line="276" w:lineRule="auto"/>
        <w:jc w:val="both"/>
        <w:rPr>
          <w:rStyle w:val="normaltextrun"/>
          <w:rFonts w:ascii="Verdana" w:hAnsi="Verdana" w:cs="Arial"/>
          <w:bCs/>
          <w:shd w:val="clear" w:color="auto" w:fill="FFFFFF"/>
        </w:rPr>
      </w:pPr>
      <w:r w:rsidRPr="00C331E4">
        <w:rPr>
          <w:rStyle w:val="normaltextrun"/>
          <w:rFonts w:ascii="Verdana" w:hAnsi="Verdana" w:cs="Arial"/>
          <w:shd w:val="clear" w:color="auto" w:fill="FFFFFF"/>
          <w:lang w:val="es-ES"/>
        </w:rPr>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2" w:history="1">
        <w:r w:rsidRPr="003A00C9">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5CC21D0A" w14:textId="77777777" w:rsidR="00455F2B" w:rsidRDefault="00455F2B" w:rsidP="00455F2B">
      <w:pPr>
        <w:spacing w:after="0" w:line="276" w:lineRule="auto"/>
        <w:jc w:val="both"/>
        <w:textAlignment w:val="baseline"/>
        <w:rPr>
          <w:rFonts w:ascii="Verdana" w:eastAsia="Verdana" w:hAnsi="Verdana" w:cs="Verdana"/>
        </w:rPr>
      </w:pPr>
    </w:p>
    <w:p w14:paraId="1DE0F38F" w14:textId="77777777" w:rsidR="00455F2B" w:rsidRPr="00010A5F" w:rsidRDefault="00455F2B" w:rsidP="00455F2B">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3">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59EC7024" w14:textId="77777777" w:rsidR="00455F2B" w:rsidRDefault="00455F2B" w:rsidP="00455F2B">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5E9701F3" w14:textId="77777777" w:rsidR="00455F2B" w:rsidRDefault="00455F2B" w:rsidP="00455F2B">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r w:rsidRPr="054CF0A3">
          <w:rPr>
            <w:rStyle w:val="Hipervnculo"/>
            <w:rFonts w:ascii="Verdana" w:eastAsia="Verdana" w:hAnsi="Verdana" w:cs="Verdana"/>
            <w:color w:val="000000" w:themeColor="text1"/>
          </w:rPr>
          <w:t>https://www.colombiacompra.gov.co/archivos/manual/guia-de-garantias-en-procesos-de-contratacion</w:t>
        </w:r>
      </w:hyperlink>
    </w:p>
    <w:p w14:paraId="62329E31" w14:textId="77777777" w:rsidR="00455F2B" w:rsidRDefault="00455F2B" w:rsidP="00455F2B">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lastRenderedPageBreak/>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5">
        <w:r w:rsidRPr="054CF0A3">
          <w:rPr>
            <w:rStyle w:val="Hipervnculo"/>
            <w:rFonts w:ascii="Verdana" w:eastAsia="Verdana" w:hAnsi="Verdana" w:cs="Verdana"/>
            <w:color w:val="000000" w:themeColor="text1"/>
          </w:rPr>
          <w:t>https://www.colombiacompra.gov.co/archivos/circular/circular-externa-003-de-2026</w:t>
        </w:r>
      </w:hyperlink>
    </w:p>
    <w:p w14:paraId="4AEBB29D" w14:textId="77777777" w:rsidR="00455F2B" w:rsidRDefault="00455F2B" w:rsidP="00455F2B">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r w:rsidRPr="054CF0A3">
          <w:rPr>
            <w:rStyle w:val="Hipervnculo"/>
            <w:rFonts w:ascii="Verdana" w:eastAsia="Verdana" w:hAnsi="Verdana" w:cs="Verdana"/>
            <w:color w:val="000000" w:themeColor="text1"/>
          </w:rPr>
          <w:t>https://www.colombiacompra.gov.co/archivos/circular/circular-externa-002-de-2026</w:t>
        </w:r>
      </w:hyperlink>
    </w:p>
    <w:p w14:paraId="4F3011B1" w14:textId="77777777" w:rsidR="00455F2B" w:rsidRDefault="00455F2B" w:rsidP="00455F2B">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r w:rsidRPr="054CF0A3">
          <w:rPr>
            <w:rStyle w:val="Hipervnculo"/>
            <w:rFonts w:ascii="Verdana" w:eastAsia="Verdana" w:hAnsi="Verdana" w:cs="Verdana"/>
            <w:color w:val="000000" w:themeColor="text1"/>
          </w:rPr>
          <w:t>https://www.colombiacompra.gov.co/archivos/boletin/boletin-edicion-n-3-de-2026-radar-de-la-compra-publica</w:t>
        </w:r>
      </w:hyperlink>
    </w:p>
    <w:p w14:paraId="02239948" w14:textId="77777777" w:rsidR="00455F2B" w:rsidRPr="003D5882" w:rsidRDefault="00455F2B" w:rsidP="00455F2B">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2ABC1ACD" w14:textId="77777777" w:rsidR="00455F2B" w:rsidRPr="0015699B" w:rsidRDefault="00455F2B" w:rsidP="00455F2B">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0D5CF46F" w14:textId="77777777" w:rsidR="00455F2B" w:rsidRPr="0015699B" w:rsidRDefault="00455F2B" w:rsidP="00455F2B">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4219F528" w14:textId="77777777" w:rsidR="00455F2B" w:rsidRPr="0015699B" w:rsidRDefault="00455F2B" w:rsidP="00455F2B">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78DEC729" w14:textId="77777777" w:rsidR="00455F2B" w:rsidRPr="0015699B" w:rsidRDefault="00455F2B" w:rsidP="00455F2B">
      <w:pPr>
        <w:spacing w:after="0" w:line="240"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158B629D" w14:textId="77777777" w:rsidR="00455F2B" w:rsidRPr="0015699B" w:rsidRDefault="00455F2B" w:rsidP="00455F2B">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1F52D81C" w14:textId="77777777" w:rsidR="00455F2B" w:rsidRPr="0015699B" w:rsidRDefault="00455F2B" w:rsidP="00455F2B">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Este concepto tiene el alcance previsto en el artículo 28 del Código de Procedimiento Administrativo y de lo Contencioso Administrativo y las </w:t>
      </w:r>
      <w:r w:rsidRPr="40A87941">
        <w:rPr>
          <w:rFonts w:ascii="Verdana" w:eastAsia="Verdana" w:hAnsi="Verdana" w:cs="Verdana"/>
          <w:color w:val="000000" w:themeColor="text1"/>
          <w:lang w:val="es"/>
        </w:rPr>
        <w:lastRenderedPageBreak/>
        <w:t>expresiones aquí utilizadas con mayúscula inicial deben ser entendidas con el significado que les otorga el artículo 2.2.1.1.1.3.1. del Decreto 1082 de 2015.</w:t>
      </w:r>
    </w:p>
    <w:p w14:paraId="4839710E" w14:textId="77777777" w:rsidR="00455F2B" w:rsidRPr="0015699B" w:rsidRDefault="00455F2B" w:rsidP="00455F2B">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EB2F97B" w14:textId="77777777" w:rsidR="00455F2B" w:rsidRDefault="00455F2B" w:rsidP="00455F2B">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Atentamente, </w:t>
      </w:r>
    </w:p>
    <w:p w14:paraId="5BA77B45" w14:textId="77777777" w:rsidR="00EE6C61" w:rsidRDefault="00EE6C61" w:rsidP="00455F2B">
      <w:pPr>
        <w:spacing w:after="0" w:line="240" w:lineRule="auto"/>
        <w:jc w:val="both"/>
        <w:textAlignment w:val="baseline"/>
        <w:rPr>
          <w:rFonts w:ascii="Verdana" w:eastAsia="Verdana" w:hAnsi="Verdana" w:cs="Verdana"/>
          <w:color w:val="000000" w:themeColor="text1"/>
          <w:lang w:val="es"/>
        </w:rPr>
      </w:pPr>
    </w:p>
    <w:p w14:paraId="19CB94B1" w14:textId="5CC38A78" w:rsidR="00EE6C61" w:rsidRDefault="00EE6C61" w:rsidP="00EE6C61">
      <w:pPr>
        <w:spacing w:after="0" w:line="240" w:lineRule="auto"/>
        <w:jc w:val="center"/>
        <w:textAlignment w:val="baseline"/>
        <w:rPr>
          <w:rFonts w:ascii="Verdana" w:eastAsia="Verdana" w:hAnsi="Verdana" w:cs="Verdana"/>
          <w:color w:val="000000" w:themeColor="text1"/>
          <w:lang w:val="es"/>
        </w:rPr>
      </w:pPr>
      <w:r>
        <w:rPr>
          <w:noProof/>
        </w:rPr>
        <w:drawing>
          <wp:inline distT="0" distB="0" distL="0" distR="0" wp14:anchorId="2A4CDAE1" wp14:editId="4DFFA3F3">
            <wp:extent cx="4097655" cy="1759052"/>
            <wp:effectExtent l="0" t="0" r="0" b="0"/>
            <wp:docPr id="1396064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02957" cy="1761328"/>
                    </a:xfrm>
                    <a:prstGeom prst="rect">
                      <a:avLst/>
                    </a:prstGeom>
                    <a:noFill/>
                    <a:ln>
                      <a:noFill/>
                    </a:ln>
                  </pic:spPr>
                </pic:pic>
              </a:graphicData>
            </a:graphic>
          </wp:inline>
        </w:drawing>
      </w:r>
    </w:p>
    <w:p w14:paraId="4382D266" w14:textId="77777777" w:rsidR="00EE6C61" w:rsidRDefault="00EE6C61" w:rsidP="00455F2B">
      <w:pPr>
        <w:spacing w:after="0" w:line="240" w:lineRule="auto"/>
        <w:jc w:val="both"/>
        <w:textAlignment w:val="baseline"/>
        <w:rPr>
          <w:rFonts w:ascii="Verdana" w:eastAsia="Verdana" w:hAnsi="Verdana" w:cs="Verdana"/>
          <w:color w:val="000000" w:themeColor="text1"/>
          <w:lang w:val="es"/>
        </w:rPr>
      </w:pPr>
    </w:p>
    <w:p w14:paraId="63547FF8" w14:textId="77777777" w:rsidR="00EE6C61" w:rsidRDefault="00EE6C61" w:rsidP="00455F2B">
      <w:pPr>
        <w:spacing w:after="0" w:line="240" w:lineRule="auto"/>
        <w:jc w:val="both"/>
        <w:textAlignment w:val="baseline"/>
        <w:rPr>
          <w:rFonts w:ascii="Verdana" w:eastAsia="Verdana" w:hAnsi="Verdana" w:cs="Verdana"/>
          <w:color w:val="000000" w:themeColor="text1"/>
          <w:lang w:val="es"/>
        </w:rPr>
      </w:pPr>
    </w:p>
    <w:p w14:paraId="0BB7102B" w14:textId="77777777" w:rsidR="00EE6C61" w:rsidRPr="0015699B" w:rsidRDefault="00EE6C61" w:rsidP="00455F2B">
      <w:pPr>
        <w:spacing w:after="0" w:line="240" w:lineRule="auto"/>
        <w:jc w:val="both"/>
        <w:textAlignment w:val="baseline"/>
      </w:pPr>
    </w:p>
    <w:p w14:paraId="1319C3E5" w14:textId="53711B10" w:rsidR="00455F2B" w:rsidRDefault="00455F2B" w:rsidP="00455F2B">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455F2B" w14:paraId="4AC07589" w14:textId="77777777" w:rsidTr="003C710A">
        <w:trPr>
          <w:trHeight w:val="307"/>
        </w:trPr>
        <w:tc>
          <w:tcPr>
            <w:tcW w:w="858" w:type="dxa"/>
            <w:tcBorders>
              <w:top w:val="nil"/>
              <w:bottom w:val="nil"/>
              <w:right w:val="nil"/>
            </w:tcBorders>
            <w:tcMar>
              <w:left w:w="108" w:type="dxa"/>
              <w:right w:w="108" w:type="dxa"/>
            </w:tcMar>
            <w:vAlign w:val="center"/>
          </w:tcPr>
          <w:p w14:paraId="5E7CE45B" w14:textId="77777777" w:rsidR="00455F2B" w:rsidRDefault="00455F2B" w:rsidP="003C710A">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785171CA" w14:textId="77777777" w:rsidR="00455F2B" w:rsidRDefault="00455F2B" w:rsidP="003C710A">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67874073" w14:textId="77777777" w:rsidR="00455F2B" w:rsidRDefault="00455F2B" w:rsidP="003C710A">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455F2B" w14:paraId="64332A08" w14:textId="77777777" w:rsidTr="003C710A">
        <w:trPr>
          <w:trHeight w:val="321"/>
        </w:trPr>
        <w:tc>
          <w:tcPr>
            <w:tcW w:w="858" w:type="dxa"/>
            <w:tcBorders>
              <w:top w:val="nil"/>
              <w:bottom w:val="nil"/>
              <w:right w:val="nil"/>
            </w:tcBorders>
            <w:tcMar>
              <w:left w:w="108" w:type="dxa"/>
              <w:right w:w="108" w:type="dxa"/>
            </w:tcMar>
            <w:vAlign w:val="center"/>
          </w:tcPr>
          <w:p w14:paraId="5469E8FA" w14:textId="77777777" w:rsidR="00455F2B" w:rsidRDefault="00455F2B" w:rsidP="003C710A">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7E1BA159" w14:textId="77777777" w:rsidR="00455F2B" w:rsidRDefault="00455F2B" w:rsidP="003C710A">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Juan David Cárdenas Cabeza</w:t>
            </w:r>
          </w:p>
          <w:p w14:paraId="0509CE12" w14:textId="77777777" w:rsidR="00455F2B" w:rsidRDefault="00455F2B" w:rsidP="003C710A">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455F2B" w14:paraId="37040168" w14:textId="77777777" w:rsidTr="003C710A">
        <w:trPr>
          <w:trHeight w:val="292"/>
        </w:trPr>
        <w:tc>
          <w:tcPr>
            <w:tcW w:w="858" w:type="dxa"/>
            <w:tcBorders>
              <w:top w:val="nil"/>
              <w:bottom w:val="nil"/>
              <w:right w:val="nil"/>
            </w:tcBorders>
            <w:tcMar>
              <w:left w:w="108" w:type="dxa"/>
              <w:right w:w="108" w:type="dxa"/>
            </w:tcMar>
            <w:vAlign w:val="center"/>
          </w:tcPr>
          <w:p w14:paraId="19E0562A" w14:textId="77777777" w:rsidR="00455F2B" w:rsidRDefault="00455F2B" w:rsidP="003C710A">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4E565A41" w14:textId="77777777" w:rsidR="00455F2B" w:rsidRDefault="00455F2B" w:rsidP="003C710A">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lang w:val="pt-BR"/>
              </w:rPr>
              <w:t xml:space="preserve">Carolina Quintero </w:t>
            </w:r>
            <w:proofErr w:type="spellStart"/>
            <w:r w:rsidRPr="40A87941">
              <w:rPr>
                <w:rFonts w:ascii="Verdana" w:eastAsia="Verdana" w:hAnsi="Verdana" w:cs="Verdana"/>
                <w:color w:val="000000" w:themeColor="text1"/>
                <w:sz w:val="16"/>
                <w:szCs w:val="16"/>
                <w:lang w:val="pt-BR"/>
              </w:rPr>
              <w:t>Gacharná</w:t>
            </w:r>
            <w:proofErr w:type="spellEnd"/>
          </w:p>
          <w:p w14:paraId="61D15703" w14:textId="77777777" w:rsidR="00455F2B" w:rsidRDefault="00455F2B" w:rsidP="003C710A">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Subdirectora</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p>
        </w:tc>
      </w:tr>
    </w:tbl>
    <w:p w14:paraId="0EE67BCA" w14:textId="2EDFD11A" w:rsidR="002A0DD0" w:rsidRPr="00E02524" w:rsidRDefault="002A0DD0" w:rsidP="00455F2B">
      <w:pPr>
        <w:spacing w:after="0"/>
        <w:rPr>
          <w:rFonts w:ascii="Verdana" w:eastAsia="Verdana" w:hAnsi="Verdana" w:cs="Verdana"/>
          <w:lang w:val="es-MX"/>
        </w:rPr>
      </w:pPr>
    </w:p>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6BA92804"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540D6" w14:textId="77777777" w:rsidR="00692348" w:rsidRDefault="00692348" w:rsidP="004A1847">
      <w:pPr>
        <w:spacing w:after="0" w:line="240" w:lineRule="auto"/>
      </w:pPr>
      <w:r>
        <w:separator/>
      </w:r>
    </w:p>
  </w:endnote>
  <w:endnote w:type="continuationSeparator" w:id="0">
    <w:p w14:paraId="24099748" w14:textId="77777777" w:rsidR="00692348" w:rsidRDefault="0069234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4665B" w14:textId="77777777" w:rsidR="00692348" w:rsidRDefault="00692348" w:rsidP="004A1847">
      <w:pPr>
        <w:spacing w:after="0" w:line="240" w:lineRule="auto"/>
      </w:pPr>
      <w:r>
        <w:separator/>
      </w:r>
    </w:p>
  </w:footnote>
  <w:footnote w:type="continuationSeparator" w:id="0">
    <w:p w14:paraId="0D710070" w14:textId="77777777" w:rsidR="00692348" w:rsidRDefault="00692348" w:rsidP="004A1847">
      <w:pPr>
        <w:spacing w:after="0" w:line="240" w:lineRule="auto"/>
      </w:pPr>
      <w:r>
        <w:continuationSeparator/>
      </w:r>
    </w:p>
  </w:footnote>
  <w:footnote w:id="1">
    <w:p w14:paraId="2F337376" w14:textId="77777777" w:rsidR="00455F2B" w:rsidRPr="006E426E" w:rsidRDefault="00455F2B" w:rsidP="00455F2B">
      <w:pPr>
        <w:pStyle w:val="Textonotapie"/>
        <w:ind w:firstLine="709"/>
        <w:jc w:val="both"/>
        <w:rPr>
          <w:rFonts w:ascii="Verdana" w:hAnsi="Verdana"/>
          <w:sz w:val="14"/>
          <w:szCs w:val="14"/>
          <w:lang w:val="es-CO"/>
        </w:rPr>
      </w:pPr>
      <w:r w:rsidRPr="006E426E">
        <w:rPr>
          <w:rStyle w:val="Refdenotaalpie"/>
          <w:rFonts w:ascii="Verdana" w:hAnsi="Verdana"/>
          <w:sz w:val="14"/>
          <w:szCs w:val="14"/>
        </w:rPr>
        <w:footnoteRef/>
      </w:r>
      <w:r w:rsidRPr="006E426E">
        <w:rPr>
          <w:rFonts w:ascii="Verdana" w:hAnsi="Verdana"/>
          <w:sz w:val="14"/>
          <w:szCs w:val="14"/>
        </w:rPr>
        <w:t xml:space="preserve"> </w:t>
      </w:r>
      <w:r w:rsidRPr="006E426E">
        <w:rPr>
          <w:rFonts w:ascii="Verdana" w:hAnsi="Verdana"/>
          <w:sz w:val="14"/>
          <w:szCs w:val="14"/>
          <w:lang w:val="es-ES"/>
        </w:rPr>
        <w:t xml:space="preserve">Consejo de Estado. Sala de lo Contencioso Administrativo. Sección Tercera. Subsección A. Sentencia del 1 de septiembre de 2025. Radicado: </w:t>
      </w:r>
      <w:r w:rsidRPr="006E426E">
        <w:rPr>
          <w:rFonts w:ascii="Verdana" w:hAnsi="Verdana"/>
          <w:sz w:val="14"/>
          <w:szCs w:val="14"/>
          <w:lang w:val="es-CO"/>
        </w:rPr>
        <w:t xml:space="preserve">11001-03-26-000-2023-000-94-00 (69.959). CP: José Roberto Sanchica Méndez. </w:t>
      </w:r>
    </w:p>
    <w:p w14:paraId="63E15087" w14:textId="77777777" w:rsidR="00455F2B" w:rsidRPr="006E426E" w:rsidRDefault="00455F2B" w:rsidP="00455F2B">
      <w:pPr>
        <w:pStyle w:val="Textonotapie"/>
        <w:ind w:firstLine="709"/>
        <w:jc w:val="both"/>
        <w:rPr>
          <w:rFonts w:ascii="Verdana" w:hAnsi="Verdana"/>
          <w:sz w:val="14"/>
          <w:szCs w:val="14"/>
          <w:lang w:val="es-ES"/>
        </w:rPr>
      </w:pPr>
    </w:p>
  </w:footnote>
  <w:footnote w:id="2">
    <w:p w14:paraId="55DB4301" w14:textId="77777777" w:rsidR="00455F2B" w:rsidRPr="006E426E" w:rsidRDefault="00455F2B" w:rsidP="00455F2B">
      <w:pPr>
        <w:pStyle w:val="Textonotapie"/>
        <w:ind w:firstLine="708"/>
        <w:jc w:val="both"/>
        <w:rPr>
          <w:rFonts w:ascii="Verdana" w:hAnsi="Verdana"/>
          <w:sz w:val="14"/>
          <w:szCs w:val="14"/>
        </w:rPr>
      </w:pPr>
      <w:r w:rsidRPr="006E426E">
        <w:rPr>
          <w:rStyle w:val="Refdenotaalpie"/>
          <w:rFonts w:ascii="Verdana" w:hAnsi="Verdana"/>
          <w:sz w:val="14"/>
          <w:szCs w:val="14"/>
        </w:rPr>
        <w:footnoteRef/>
      </w:r>
      <w:r w:rsidRPr="006E426E">
        <w:rPr>
          <w:rFonts w:ascii="Verdana" w:hAnsi="Verdana"/>
          <w:sz w:val="14"/>
          <w:szCs w:val="14"/>
        </w:rPr>
        <w:t xml:space="preserve"> Consejo de Estado. Sala de lo Contencioso Administrativo. Sección Tercera. Subsección B. Sentencia del 6 de junio de 2013. Radicado: 11001-03-26-000-2003-00026-01 (25151-25152) C.P. Stella Conto Díaz del Castillo.</w:t>
      </w:r>
    </w:p>
  </w:footnote>
  <w:footnote w:id="3">
    <w:p w14:paraId="57A64FC9" w14:textId="77777777" w:rsidR="00455F2B" w:rsidRPr="006E426E" w:rsidRDefault="00455F2B" w:rsidP="00455F2B">
      <w:pPr>
        <w:pStyle w:val="Textonotapie"/>
        <w:ind w:firstLine="709"/>
        <w:jc w:val="both"/>
        <w:rPr>
          <w:rFonts w:ascii="Verdana" w:hAnsi="Verdana"/>
          <w:sz w:val="14"/>
          <w:szCs w:val="14"/>
        </w:rPr>
      </w:pPr>
      <w:r w:rsidRPr="006E426E">
        <w:rPr>
          <w:rStyle w:val="Refdenotaalpie"/>
          <w:rFonts w:ascii="Verdana" w:hAnsi="Verdana"/>
          <w:sz w:val="14"/>
          <w:szCs w:val="14"/>
        </w:rPr>
        <w:footnoteRef/>
      </w:r>
      <w:r w:rsidRPr="006E426E">
        <w:rPr>
          <w:rFonts w:ascii="Verdana" w:hAnsi="Verdana"/>
          <w:sz w:val="14"/>
          <w:szCs w:val="14"/>
        </w:rPr>
        <w:t xml:space="preserve"> Ley 1150 de 2007: “Artículo 6. De la verificación de las condiciones de los proponentes.</w:t>
      </w:r>
    </w:p>
    <w:p w14:paraId="224FA45E" w14:textId="77777777" w:rsidR="00455F2B" w:rsidRPr="006E426E" w:rsidRDefault="00455F2B" w:rsidP="00455F2B">
      <w:pPr>
        <w:pStyle w:val="Textonotapie"/>
        <w:ind w:firstLine="709"/>
        <w:jc w:val="both"/>
        <w:rPr>
          <w:rFonts w:ascii="Verdana" w:hAnsi="Verdana"/>
          <w:sz w:val="14"/>
          <w:szCs w:val="14"/>
          <w:lang w:eastAsia="es-CO"/>
        </w:rPr>
      </w:pPr>
      <w:r w:rsidRPr="006E426E">
        <w:rPr>
          <w:rFonts w:ascii="Verdana" w:hAnsi="Verdana"/>
          <w:sz w:val="14"/>
          <w:szCs w:val="14"/>
          <w:lang w:eastAsia="es-CO"/>
        </w:rPr>
        <w:t>[…]</w:t>
      </w:r>
    </w:p>
    <w:p w14:paraId="64617586" w14:textId="77777777" w:rsidR="00455F2B" w:rsidRPr="006E426E" w:rsidRDefault="00455F2B" w:rsidP="00455F2B">
      <w:pPr>
        <w:pStyle w:val="Textonotapie"/>
        <w:ind w:firstLine="709"/>
        <w:jc w:val="both"/>
        <w:rPr>
          <w:rFonts w:ascii="Verdana" w:hAnsi="Verdana"/>
          <w:sz w:val="14"/>
          <w:szCs w:val="14"/>
          <w:lang w:eastAsia="es-CO"/>
        </w:rPr>
      </w:pPr>
      <w:r w:rsidRPr="006E426E">
        <w:rPr>
          <w:rFonts w:ascii="Verdana" w:hAnsi="Verdana"/>
          <w:sz w:val="14"/>
          <w:szCs w:val="14"/>
          <w:lang w:eastAsia="es-CO"/>
        </w:rPr>
        <w:t>“6.1. […]</w:t>
      </w:r>
    </w:p>
    <w:p w14:paraId="09E68B8C" w14:textId="77777777" w:rsidR="00455F2B" w:rsidRPr="006E426E" w:rsidRDefault="00455F2B" w:rsidP="00455F2B">
      <w:pPr>
        <w:pStyle w:val="Textonotapie"/>
        <w:ind w:firstLine="709"/>
        <w:jc w:val="both"/>
        <w:rPr>
          <w:rFonts w:ascii="Verdana" w:hAnsi="Verdana"/>
          <w:sz w:val="14"/>
          <w:szCs w:val="14"/>
          <w:lang w:eastAsia="es-CO"/>
        </w:rPr>
      </w:pPr>
      <w:r w:rsidRPr="006E426E">
        <w:rPr>
          <w:rFonts w:ascii="Verdana" w:hAnsi="Verdana"/>
          <w:sz w:val="14"/>
          <w:szCs w:val="14"/>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C84229E" w14:textId="77777777" w:rsidR="00455F2B" w:rsidRPr="006E426E" w:rsidRDefault="00455F2B" w:rsidP="00455F2B">
      <w:pPr>
        <w:pStyle w:val="Textonotapie"/>
        <w:ind w:firstLine="709"/>
        <w:jc w:val="both"/>
        <w:rPr>
          <w:rFonts w:ascii="Verdana" w:hAnsi="Verdana"/>
          <w:sz w:val="14"/>
          <w:szCs w:val="14"/>
          <w:lang w:eastAsia="es-CO"/>
        </w:rPr>
      </w:pPr>
      <w:r w:rsidRPr="006E426E">
        <w:rPr>
          <w:rFonts w:ascii="Verdana" w:hAnsi="Verdana"/>
          <w:sz w:val="14"/>
          <w:szCs w:val="14"/>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 […]”.</w:t>
      </w:r>
    </w:p>
  </w:footnote>
  <w:footnote w:id="4">
    <w:p w14:paraId="24310069" w14:textId="77777777" w:rsidR="00455F2B" w:rsidRPr="006E426E" w:rsidRDefault="00455F2B" w:rsidP="00455F2B">
      <w:pPr>
        <w:pStyle w:val="Textonotapie"/>
        <w:ind w:firstLine="709"/>
        <w:jc w:val="both"/>
        <w:rPr>
          <w:rFonts w:ascii="Verdana" w:hAnsi="Verdana"/>
          <w:sz w:val="14"/>
          <w:szCs w:val="14"/>
          <w:lang w:eastAsia="es-CO"/>
        </w:rPr>
      </w:pPr>
      <w:r w:rsidRPr="006E426E">
        <w:rPr>
          <w:rStyle w:val="Refdenotaalpie"/>
          <w:rFonts w:ascii="Verdana" w:hAnsi="Verdana"/>
          <w:sz w:val="14"/>
          <w:szCs w:val="14"/>
        </w:rPr>
        <w:footnoteRef/>
      </w:r>
      <w:r w:rsidRPr="006E426E">
        <w:rPr>
          <w:rFonts w:ascii="Verdana" w:hAnsi="Verdana"/>
          <w:sz w:val="14"/>
          <w:szCs w:val="14"/>
        </w:rPr>
        <w:t xml:space="preserve"> Ley 1150 de 2007: “Artículo 5. De la selección objetiva.</w:t>
      </w:r>
      <w:r w:rsidRPr="006E426E">
        <w:rPr>
          <w:rFonts w:ascii="Verdana" w:hAnsi="Verdana"/>
          <w:sz w:val="14"/>
          <w:szCs w:val="14"/>
          <w:lang w:eastAsia="es-CO"/>
        </w:rPr>
        <w:t xml:space="preserve"> </w:t>
      </w:r>
    </w:p>
    <w:p w14:paraId="06E97D1C" w14:textId="77777777" w:rsidR="00455F2B" w:rsidRPr="006E426E" w:rsidRDefault="00455F2B" w:rsidP="00455F2B">
      <w:pPr>
        <w:pStyle w:val="Textonotapie"/>
        <w:ind w:firstLine="709"/>
        <w:jc w:val="both"/>
        <w:rPr>
          <w:rFonts w:ascii="Verdana" w:hAnsi="Verdana"/>
          <w:sz w:val="14"/>
          <w:szCs w:val="14"/>
          <w:lang w:eastAsia="es-CO"/>
        </w:rPr>
      </w:pPr>
      <w:r w:rsidRPr="006E426E">
        <w:rPr>
          <w:rFonts w:ascii="Verdana" w:hAnsi="Verdana"/>
          <w:sz w:val="14"/>
          <w:szCs w:val="14"/>
          <w:lang w:eastAsia="es-CO"/>
        </w:rPr>
        <w:t>[…]</w:t>
      </w:r>
    </w:p>
    <w:p w14:paraId="46716128" w14:textId="77777777" w:rsidR="00455F2B" w:rsidRPr="006E426E" w:rsidRDefault="00455F2B" w:rsidP="00455F2B">
      <w:pPr>
        <w:pStyle w:val="Textonotapie"/>
        <w:ind w:firstLine="709"/>
        <w:jc w:val="both"/>
        <w:rPr>
          <w:rFonts w:ascii="Verdana" w:hAnsi="Verdana"/>
          <w:sz w:val="14"/>
          <w:szCs w:val="14"/>
          <w:lang w:eastAsia="es-CO"/>
        </w:rPr>
      </w:pPr>
      <w:r w:rsidRPr="006E426E">
        <w:rPr>
          <w:rFonts w:ascii="Verdana" w:hAnsi="Verdana"/>
          <w:sz w:val="14"/>
          <w:szCs w:val="14"/>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06A90809" w14:textId="77777777" w:rsidR="00455F2B" w:rsidRPr="006E426E" w:rsidRDefault="00455F2B" w:rsidP="00455F2B">
      <w:pPr>
        <w:pStyle w:val="Textonotapie"/>
        <w:ind w:firstLine="709"/>
        <w:jc w:val="both"/>
        <w:rPr>
          <w:rFonts w:ascii="Verdana" w:hAnsi="Verdana"/>
          <w:sz w:val="14"/>
          <w:szCs w:val="14"/>
        </w:rPr>
      </w:pPr>
    </w:p>
  </w:footnote>
  <w:footnote w:id="5">
    <w:p w14:paraId="1DA60635" w14:textId="77777777" w:rsidR="00455F2B" w:rsidRPr="006E426E" w:rsidRDefault="00455F2B" w:rsidP="00455F2B">
      <w:pPr>
        <w:pStyle w:val="Textonotapie"/>
        <w:ind w:firstLine="709"/>
        <w:jc w:val="both"/>
        <w:rPr>
          <w:rFonts w:ascii="Verdana" w:hAnsi="Verdana"/>
          <w:sz w:val="14"/>
          <w:szCs w:val="14"/>
          <w:lang w:eastAsia="es-CO"/>
        </w:rPr>
      </w:pPr>
      <w:r w:rsidRPr="006E426E">
        <w:rPr>
          <w:rStyle w:val="Refdenotaalpie"/>
          <w:rFonts w:ascii="Verdana" w:hAnsi="Verdana"/>
          <w:sz w:val="14"/>
          <w:szCs w:val="14"/>
        </w:rPr>
        <w:footnoteRef/>
      </w:r>
      <w:r w:rsidRPr="006E426E">
        <w:rPr>
          <w:rFonts w:ascii="Verdana" w:hAnsi="Verdana"/>
          <w:sz w:val="14"/>
          <w:szCs w:val="14"/>
        </w:rPr>
        <w:t xml:space="preserve"> </w:t>
      </w:r>
      <w:r w:rsidRPr="006E426E">
        <w:rPr>
          <w:rFonts w:ascii="Verdana" w:hAnsi="Verdana"/>
          <w:sz w:val="14"/>
          <w:szCs w:val="14"/>
          <w:lang w:eastAsia="es-CO"/>
        </w:rPr>
        <w:t xml:space="preserve">Ley 1150 de 2007: “Artículo 6.  De la verificación de las condiciones de los proponentes. </w:t>
      </w:r>
    </w:p>
    <w:p w14:paraId="0548D6EE" w14:textId="77777777" w:rsidR="00455F2B" w:rsidRPr="006E426E" w:rsidRDefault="00455F2B" w:rsidP="00455F2B">
      <w:pPr>
        <w:pStyle w:val="Textonotapie"/>
        <w:ind w:firstLine="709"/>
        <w:jc w:val="both"/>
        <w:rPr>
          <w:rFonts w:ascii="Verdana" w:hAnsi="Verdana"/>
          <w:sz w:val="14"/>
          <w:szCs w:val="14"/>
          <w:lang w:eastAsia="es-CO"/>
        </w:rPr>
      </w:pPr>
      <w:r w:rsidRPr="006E426E">
        <w:rPr>
          <w:rFonts w:ascii="Verdana" w:hAnsi="Verdana"/>
          <w:sz w:val="14"/>
          <w:szCs w:val="14"/>
          <w:lang w:eastAsia="es-CO"/>
        </w:rPr>
        <w:t xml:space="preserve">[...] </w:t>
      </w:r>
    </w:p>
    <w:p w14:paraId="566A1A5D" w14:textId="77777777" w:rsidR="00455F2B" w:rsidRPr="006E426E" w:rsidRDefault="00455F2B" w:rsidP="00455F2B">
      <w:pPr>
        <w:pStyle w:val="Textonotapie"/>
        <w:ind w:firstLine="709"/>
        <w:jc w:val="both"/>
        <w:rPr>
          <w:rFonts w:ascii="Verdana" w:hAnsi="Verdana"/>
          <w:sz w:val="14"/>
          <w:szCs w:val="14"/>
          <w:lang w:eastAsia="es-CO"/>
        </w:rPr>
      </w:pPr>
      <w:r w:rsidRPr="006E426E">
        <w:rPr>
          <w:rFonts w:ascii="Verdana" w:hAnsi="Verdana"/>
          <w:sz w:val="14"/>
          <w:szCs w:val="14"/>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footnote>
  <w:footnote w:id="6">
    <w:p w14:paraId="3F823A93" w14:textId="77777777" w:rsidR="00455F2B" w:rsidRPr="006E426E" w:rsidRDefault="00455F2B" w:rsidP="00455F2B">
      <w:pPr>
        <w:pStyle w:val="Textonotapie"/>
        <w:ind w:firstLine="709"/>
        <w:jc w:val="both"/>
        <w:rPr>
          <w:rFonts w:ascii="Verdana" w:hAnsi="Verdana"/>
          <w:sz w:val="14"/>
          <w:szCs w:val="14"/>
          <w:lang w:eastAsia="es-CO"/>
        </w:rPr>
      </w:pPr>
      <w:r w:rsidRPr="006E426E">
        <w:rPr>
          <w:rStyle w:val="Refdenotaalpie"/>
          <w:rFonts w:ascii="Verdana" w:hAnsi="Verdana"/>
          <w:sz w:val="14"/>
          <w:szCs w:val="14"/>
        </w:rPr>
        <w:footnoteRef/>
      </w:r>
      <w:r w:rsidRPr="006E426E">
        <w:rPr>
          <w:rFonts w:ascii="Verdana" w:hAnsi="Verdana"/>
          <w:sz w:val="14"/>
          <w:szCs w:val="14"/>
        </w:rPr>
        <w:t xml:space="preserve"> </w:t>
      </w:r>
      <w:r w:rsidRPr="006E426E">
        <w:rPr>
          <w:rFonts w:ascii="Verdana" w:hAnsi="Verdana"/>
          <w:sz w:val="14"/>
          <w:szCs w:val="14"/>
          <w:lang w:eastAsia="es-CO"/>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7">
    <w:p w14:paraId="020DFC9D" w14:textId="77777777" w:rsidR="00455F2B" w:rsidRPr="006E426E" w:rsidRDefault="00455F2B" w:rsidP="00455F2B">
      <w:pPr>
        <w:pStyle w:val="Textonotapie"/>
        <w:ind w:firstLine="709"/>
        <w:contextualSpacing/>
        <w:jc w:val="both"/>
        <w:rPr>
          <w:rFonts w:ascii="Verdana" w:hAnsi="Verdana" w:cs="Arial"/>
          <w:sz w:val="14"/>
          <w:szCs w:val="14"/>
          <w:lang w:eastAsia="es-CO"/>
        </w:rPr>
      </w:pPr>
      <w:r w:rsidRPr="006E426E">
        <w:rPr>
          <w:rStyle w:val="Refdenotaalpie"/>
          <w:rFonts w:ascii="Verdana" w:hAnsi="Verdana"/>
          <w:sz w:val="14"/>
          <w:szCs w:val="14"/>
        </w:rPr>
        <w:footnoteRef/>
      </w:r>
      <w:r w:rsidRPr="006E426E">
        <w:rPr>
          <w:rFonts w:ascii="Verdana" w:hAnsi="Verdana"/>
          <w:sz w:val="14"/>
          <w:szCs w:val="14"/>
        </w:rPr>
        <w:t xml:space="preserve"> </w:t>
      </w:r>
      <w:r w:rsidRPr="006E426E">
        <w:rPr>
          <w:rFonts w:ascii="Verdana" w:hAnsi="Verdana" w:cs="Arial"/>
          <w:sz w:val="14"/>
          <w:szCs w:val="14"/>
          <w:lang w:eastAsia="es-CO"/>
        </w:rPr>
        <w:t xml:space="preserve">Ley 1150 de 2007: “Artículo 6.  De la verificación de las condiciones de los proponentes. </w:t>
      </w:r>
    </w:p>
    <w:p w14:paraId="6DA0B307" w14:textId="77777777" w:rsidR="00455F2B" w:rsidRPr="006E426E" w:rsidRDefault="00455F2B" w:rsidP="00455F2B">
      <w:pPr>
        <w:pStyle w:val="Textonotapie"/>
        <w:ind w:firstLine="709"/>
        <w:contextualSpacing/>
        <w:jc w:val="both"/>
        <w:rPr>
          <w:rFonts w:ascii="Verdana" w:hAnsi="Verdana" w:cs="Arial"/>
          <w:sz w:val="14"/>
          <w:szCs w:val="14"/>
          <w:lang w:eastAsia="es-CO"/>
        </w:rPr>
      </w:pPr>
      <w:r w:rsidRPr="006E426E">
        <w:rPr>
          <w:rFonts w:ascii="Verdana" w:hAnsi="Verdana" w:cs="Arial"/>
          <w:sz w:val="14"/>
          <w:szCs w:val="14"/>
          <w:lang w:eastAsia="es-CO"/>
        </w:rPr>
        <w:t xml:space="preserve">[...] </w:t>
      </w:r>
    </w:p>
    <w:p w14:paraId="490102E3" w14:textId="77777777" w:rsidR="00455F2B" w:rsidRPr="006E426E" w:rsidRDefault="00455F2B" w:rsidP="00455F2B">
      <w:pPr>
        <w:pStyle w:val="Textonotapie"/>
        <w:ind w:firstLine="709"/>
        <w:contextualSpacing/>
        <w:jc w:val="both"/>
        <w:rPr>
          <w:rFonts w:ascii="Verdana" w:hAnsi="Verdana" w:cs="Arial"/>
          <w:sz w:val="14"/>
          <w:szCs w:val="14"/>
          <w:lang w:eastAsia="es-CO"/>
        </w:rPr>
      </w:pPr>
      <w:r w:rsidRPr="006E426E">
        <w:rPr>
          <w:rFonts w:ascii="Verdana" w:hAnsi="Verdana" w:cs="Arial"/>
          <w:sz w:val="14"/>
          <w:szCs w:val="14"/>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footnote>
  <w:footnote w:id="8">
    <w:p w14:paraId="46D8AC3C" w14:textId="77777777" w:rsidR="00455F2B" w:rsidRPr="006E426E" w:rsidRDefault="00455F2B" w:rsidP="00455F2B">
      <w:pPr>
        <w:pStyle w:val="Textonotapie"/>
        <w:ind w:firstLine="709"/>
        <w:jc w:val="both"/>
        <w:rPr>
          <w:rFonts w:ascii="Verdana" w:hAnsi="Verdana"/>
          <w:sz w:val="14"/>
          <w:szCs w:val="14"/>
        </w:rPr>
      </w:pPr>
      <w:r w:rsidRPr="006E426E">
        <w:rPr>
          <w:rStyle w:val="Refdenotaalpie"/>
          <w:rFonts w:ascii="Verdana" w:hAnsi="Verdana"/>
          <w:sz w:val="14"/>
          <w:szCs w:val="14"/>
        </w:rPr>
        <w:footnoteRef/>
      </w:r>
      <w:r w:rsidRPr="006E426E">
        <w:rPr>
          <w:rFonts w:ascii="Verdana" w:hAnsi="Verdana"/>
          <w:sz w:val="14"/>
          <w:szCs w:val="14"/>
        </w:rPr>
        <w:t xml:space="preserve"> </w:t>
      </w:r>
      <w:r w:rsidRPr="006E426E">
        <w:rPr>
          <w:rFonts w:ascii="Verdana" w:hAnsi="Verdana"/>
          <w:sz w:val="14"/>
          <w:szCs w:val="14"/>
          <w:lang w:eastAsia="es-CO"/>
        </w:rPr>
        <w:t>Consejo de Estado. Sala de Consulta y Servicio Civil. Consulta del 20 de mayo de 2010. Exp.1992. C. P. Enrique José Arboleda Perdomo.</w:t>
      </w:r>
    </w:p>
    <w:p w14:paraId="0154579C" w14:textId="77777777" w:rsidR="00455F2B" w:rsidRPr="006E426E" w:rsidRDefault="00455F2B" w:rsidP="00455F2B">
      <w:pPr>
        <w:pStyle w:val="Textonotapie"/>
        <w:ind w:firstLine="709"/>
        <w:jc w:val="both"/>
        <w:rPr>
          <w:rFonts w:ascii="Verdana" w:hAnsi="Verdana"/>
          <w:sz w:val="14"/>
          <w:szCs w:val="14"/>
        </w:rPr>
      </w:pPr>
    </w:p>
  </w:footnote>
  <w:footnote w:id="9">
    <w:p w14:paraId="1BB1BF09" w14:textId="77777777" w:rsidR="00455F2B" w:rsidRPr="006E426E" w:rsidRDefault="00455F2B" w:rsidP="00455F2B">
      <w:pPr>
        <w:pStyle w:val="Textonotapie"/>
        <w:ind w:firstLine="709"/>
        <w:jc w:val="both"/>
        <w:rPr>
          <w:rFonts w:ascii="Verdana" w:hAnsi="Verdana"/>
          <w:sz w:val="14"/>
          <w:szCs w:val="14"/>
        </w:rPr>
      </w:pPr>
      <w:r w:rsidRPr="006E426E">
        <w:rPr>
          <w:rStyle w:val="Refdenotaalpie"/>
          <w:rFonts w:ascii="Verdana" w:hAnsi="Verdana"/>
          <w:sz w:val="14"/>
          <w:szCs w:val="14"/>
        </w:rPr>
        <w:footnoteRef/>
      </w:r>
      <w:r w:rsidRPr="006E426E">
        <w:rPr>
          <w:rFonts w:ascii="Verdana" w:hAnsi="Verdana"/>
          <w:sz w:val="14"/>
          <w:szCs w:val="14"/>
          <w:lang w:eastAsia="es-CO"/>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6E426E">
        <w:rPr>
          <w:rFonts w:ascii="Verdana" w:hAnsi="Verdana"/>
          <w:sz w:val="14"/>
          <w:szCs w:val="14"/>
        </w:rPr>
        <w:t xml:space="preserve"> </w:t>
      </w:r>
    </w:p>
  </w:footnote>
  <w:footnote w:id="10">
    <w:p w14:paraId="0CFA7B10" w14:textId="77777777" w:rsidR="00455F2B" w:rsidRPr="006E426E" w:rsidRDefault="00455F2B" w:rsidP="00455F2B">
      <w:pPr>
        <w:pStyle w:val="Textonotapie"/>
        <w:ind w:firstLine="708"/>
        <w:jc w:val="both"/>
        <w:rPr>
          <w:rFonts w:ascii="Verdana" w:hAnsi="Verdana"/>
          <w:sz w:val="14"/>
          <w:szCs w:val="14"/>
          <w:lang w:val="es-CO"/>
        </w:rPr>
      </w:pPr>
      <w:r w:rsidRPr="006E426E">
        <w:rPr>
          <w:rStyle w:val="Refdenotaalpie"/>
          <w:rFonts w:ascii="Verdana" w:hAnsi="Verdana"/>
          <w:sz w:val="14"/>
          <w:szCs w:val="14"/>
        </w:rPr>
        <w:footnoteRef/>
      </w:r>
      <w:r w:rsidRPr="006E426E">
        <w:rPr>
          <w:rFonts w:ascii="Verdana" w:hAnsi="Verdana"/>
          <w:sz w:val="14"/>
          <w:szCs w:val="14"/>
          <w:lang w:eastAsia="es-CO"/>
        </w:rPr>
        <w:t xml:space="preserve"> “[...] </w:t>
      </w:r>
      <w:r w:rsidRPr="006E426E">
        <w:rPr>
          <w:rFonts w:ascii="Verdana" w:hAnsi="Verdana"/>
          <w:sz w:val="14"/>
          <w:szCs w:val="14"/>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6E426E">
        <w:rPr>
          <w:rFonts w:ascii="Verdana" w:hAnsi="Verdana"/>
          <w:sz w:val="14"/>
          <w:szCs w:val="14"/>
          <w:lang w:eastAsia="es-CO"/>
        </w:rPr>
        <w:t xml:space="preserve">[...]”. </w:t>
      </w:r>
      <w:r w:rsidRPr="006E426E">
        <w:rPr>
          <w:rFonts w:ascii="Verdana" w:hAnsi="Verdana"/>
          <w:sz w:val="14"/>
          <w:szCs w:val="14"/>
        </w:rPr>
        <w:t xml:space="preserve"> </w:t>
      </w:r>
    </w:p>
  </w:footnote>
  <w:footnote w:id="11">
    <w:p w14:paraId="004FDC09" w14:textId="77777777" w:rsidR="00455F2B" w:rsidRPr="006E426E" w:rsidRDefault="00455F2B" w:rsidP="00455F2B">
      <w:pPr>
        <w:pStyle w:val="Textonotapie"/>
        <w:ind w:firstLine="708"/>
        <w:jc w:val="both"/>
        <w:rPr>
          <w:rFonts w:ascii="Verdana" w:hAnsi="Verdana"/>
          <w:sz w:val="14"/>
          <w:szCs w:val="14"/>
          <w:shd w:val="clear" w:color="auto" w:fill="FFFFFF"/>
        </w:rPr>
      </w:pPr>
      <w:r w:rsidRPr="006E426E">
        <w:rPr>
          <w:rStyle w:val="Refdenotaalpie"/>
          <w:rFonts w:ascii="Verdana" w:hAnsi="Verdana"/>
          <w:sz w:val="14"/>
          <w:szCs w:val="14"/>
        </w:rPr>
        <w:footnoteRef/>
      </w:r>
      <w:r w:rsidRPr="006E426E">
        <w:rPr>
          <w:rFonts w:ascii="Verdana" w:hAnsi="Verdana"/>
          <w:sz w:val="14"/>
          <w:szCs w:val="14"/>
          <w:lang w:eastAsia="es-CO"/>
        </w:rPr>
        <w:t xml:space="preserve"> “</w:t>
      </w:r>
      <w:r w:rsidRPr="006E426E">
        <w:rPr>
          <w:rStyle w:val="Fuerte"/>
          <w:rFonts w:ascii="Verdana" w:hAnsi="Verdana"/>
          <w:sz w:val="14"/>
          <w:szCs w:val="14"/>
          <w:shd w:val="clear" w:color="auto" w:fill="FFFFFF"/>
        </w:rPr>
        <w:t>Artículo 2.2.1.1.1.5.1.</w:t>
      </w:r>
      <w:r w:rsidRPr="006E426E">
        <w:rPr>
          <w:rStyle w:val="Fuerte"/>
          <w:rFonts w:ascii="Verdana" w:hAnsi="Verdana"/>
          <w:i/>
          <w:sz w:val="14"/>
          <w:szCs w:val="14"/>
          <w:shd w:val="clear" w:color="auto" w:fill="FFFFFF"/>
        </w:rPr>
        <w:t> </w:t>
      </w:r>
      <w:r w:rsidRPr="006E426E">
        <w:rPr>
          <w:rStyle w:val="nfasis"/>
          <w:rFonts w:ascii="Verdana" w:hAnsi="Verdana"/>
          <w:sz w:val="14"/>
          <w:szCs w:val="14"/>
          <w:shd w:val="clear" w:color="auto" w:fill="FFFFFF"/>
        </w:rPr>
        <w:t>Inscripción, renovación, actualización y cancelación del RUP. </w:t>
      </w:r>
      <w:r w:rsidRPr="006E426E">
        <w:rPr>
          <w:rFonts w:ascii="Verdana" w:hAnsi="Verdana"/>
          <w:sz w:val="14"/>
          <w:szCs w:val="14"/>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6E426E">
        <w:rPr>
          <w:rFonts w:ascii="Verdana" w:hAnsi="Verdana"/>
          <w:sz w:val="14"/>
          <w:szCs w:val="14"/>
          <w:lang w:eastAsia="es-CO"/>
        </w:rPr>
        <w:t>”</w:t>
      </w:r>
      <w:r w:rsidRPr="006E426E">
        <w:rPr>
          <w:rFonts w:ascii="Verdana" w:hAnsi="Verdana"/>
          <w:sz w:val="14"/>
          <w:szCs w:val="14"/>
          <w:shd w:val="clear" w:color="auto" w:fill="FFFFFF"/>
        </w:rPr>
        <w:t>.</w:t>
      </w:r>
    </w:p>
  </w:footnote>
  <w:footnote w:id="12">
    <w:p w14:paraId="12B8FE7B"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Style w:val="Refdenotaalpie"/>
          <w:rFonts w:ascii="Verdana" w:eastAsiaTheme="majorEastAsia" w:hAnsi="Verdana" w:cs="Arial"/>
          <w:sz w:val="14"/>
          <w:szCs w:val="14"/>
        </w:rPr>
        <w:footnoteRef/>
      </w:r>
      <w:r w:rsidRPr="006E426E">
        <w:rPr>
          <w:rFonts w:ascii="Verdana" w:hAnsi="Verdana" w:cs="Arial"/>
          <w:sz w:val="14"/>
          <w:szCs w:val="14"/>
        </w:rPr>
        <w:t xml:space="preserve"> Decreto 1082 de 2015: “</w:t>
      </w:r>
      <w:r w:rsidRPr="006E426E">
        <w:rPr>
          <w:rStyle w:val="Fuerte"/>
          <w:rFonts w:ascii="Verdana" w:hAnsi="Verdana" w:cs="Arial"/>
          <w:sz w:val="14"/>
          <w:szCs w:val="14"/>
        </w:rPr>
        <w:t>Artículo 2.2.1.1.1.5.2. </w:t>
      </w:r>
      <w:r w:rsidRPr="006E426E">
        <w:rPr>
          <w:rStyle w:val="nfasis"/>
          <w:rFonts w:ascii="Verdana" w:hAnsi="Verdana" w:cs="Arial"/>
          <w:sz w:val="14"/>
          <w:szCs w:val="14"/>
        </w:rPr>
        <w:t>Información para inscripción, renovación o actualización. </w:t>
      </w:r>
      <w:r w:rsidRPr="006E426E">
        <w:rPr>
          <w:rFonts w:ascii="Verdana" w:hAnsi="Verdana" w:cs="Arial"/>
          <w:sz w:val="14"/>
          <w:szCs w:val="14"/>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E076F2A" w14:textId="77777777" w:rsidR="00455F2B" w:rsidRPr="006E426E" w:rsidRDefault="00455F2B" w:rsidP="00455F2B">
      <w:pPr>
        <w:pStyle w:val="NormalWeb"/>
        <w:shd w:val="clear" w:color="auto" w:fill="FFFFFF"/>
        <w:spacing w:before="0" w:beforeAutospacing="0" w:after="0" w:afterAutospacing="0"/>
        <w:jc w:val="both"/>
        <w:rPr>
          <w:rFonts w:ascii="Verdana" w:hAnsi="Verdana" w:cs="Arial"/>
          <w:sz w:val="14"/>
          <w:szCs w:val="14"/>
        </w:rPr>
      </w:pPr>
      <w:r w:rsidRPr="006E426E">
        <w:rPr>
          <w:rFonts w:ascii="Verdana" w:hAnsi="Verdana" w:cs="Arial"/>
          <w:sz w:val="14"/>
          <w:szCs w:val="14"/>
        </w:rPr>
        <w:tab/>
        <w:t>“1.    Si es una persona natural:</w:t>
      </w:r>
    </w:p>
    <w:p w14:paraId="5E4090D7" w14:textId="77777777" w:rsidR="00455F2B" w:rsidRPr="006E426E" w:rsidRDefault="00455F2B" w:rsidP="00455F2B">
      <w:pPr>
        <w:pStyle w:val="NormalWeb"/>
        <w:shd w:val="clear" w:color="auto" w:fill="FFFFFF"/>
        <w:spacing w:before="0" w:beforeAutospacing="0" w:after="0" w:afterAutospacing="0"/>
        <w:jc w:val="both"/>
        <w:rPr>
          <w:rFonts w:ascii="Verdana" w:hAnsi="Verdana" w:cs="Arial"/>
          <w:sz w:val="14"/>
          <w:szCs w:val="14"/>
        </w:rPr>
      </w:pPr>
      <w:r w:rsidRPr="006E426E">
        <w:rPr>
          <w:rFonts w:ascii="Verdana" w:hAnsi="Verdana" w:cs="Arial"/>
          <w:sz w:val="14"/>
          <w:szCs w:val="14"/>
        </w:rPr>
        <w:tab/>
        <w:t>“1.1.   Bienes, obras y servicios que ofrecerá a las Entidades Estatales, identificados con el Clasificador de Bienes y Servicios en el tercer nivel.</w:t>
      </w:r>
    </w:p>
    <w:p w14:paraId="6E017606"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Fonts w:ascii="Verdana" w:hAnsi="Verdana"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6E426E">
        <w:rPr>
          <w:rFonts w:ascii="Verdana" w:hAnsi="Verdana" w:cs="Arial"/>
          <w:sz w:val="14"/>
          <w:szCs w:val="14"/>
        </w:rPr>
        <w:softHyphen/>
        <w:t>sificador de Bienes y Servicios en el tercer nivel.</w:t>
      </w:r>
    </w:p>
    <w:p w14:paraId="4919AFED"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Fonts w:ascii="Verdana" w:hAnsi="Verdana" w:cs="Arial"/>
          <w:sz w:val="14"/>
          <w:szCs w:val="14"/>
        </w:rPr>
        <w:t>“1.3.   Si la persona está obligada a llevar contabilidad, copia de la información contable del último año exigida por las normas tributarias.</w:t>
      </w:r>
    </w:p>
    <w:p w14:paraId="797EF8BA"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Fonts w:ascii="Verdana" w:hAnsi="Verdana" w:cs="Arial"/>
          <w:sz w:val="14"/>
          <w:szCs w:val="14"/>
        </w:rPr>
        <w:t>“1.4.   Certificado expedido por la persona natural o su contador, relativa al tamaño empre</w:t>
      </w:r>
      <w:r w:rsidRPr="006E426E">
        <w:rPr>
          <w:rFonts w:ascii="Verdana" w:hAnsi="Verdana" w:cs="Arial"/>
          <w:sz w:val="14"/>
          <w:szCs w:val="14"/>
        </w:rPr>
        <w:softHyphen/>
        <w:t>sarial de acuerdo con la definición legal y reglamentaria.</w:t>
      </w:r>
    </w:p>
    <w:p w14:paraId="1718EB6A" w14:textId="77777777" w:rsidR="00455F2B" w:rsidRPr="006E426E" w:rsidRDefault="00455F2B" w:rsidP="00455F2B">
      <w:pPr>
        <w:pStyle w:val="NormalWeb"/>
        <w:shd w:val="clear" w:color="auto" w:fill="FFFFFF"/>
        <w:spacing w:before="0" w:beforeAutospacing="0" w:after="0" w:afterAutospacing="0"/>
        <w:jc w:val="both"/>
        <w:rPr>
          <w:rFonts w:ascii="Verdana" w:hAnsi="Verdana" w:cs="Arial"/>
          <w:sz w:val="14"/>
          <w:szCs w:val="14"/>
        </w:rPr>
      </w:pPr>
      <w:r w:rsidRPr="006E426E">
        <w:rPr>
          <w:rFonts w:ascii="Verdana" w:hAnsi="Verdana" w:cs="Arial"/>
          <w:sz w:val="14"/>
          <w:szCs w:val="14"/>
        </w:rPr>
        <w:tab/>
        <w:t>“2.    Si es una persona jurídica:</w:t>
      </w:r>
    </w:p>
    <w:p w14:paraId="320BEE17" w14:textId="77777777" w:rsidR="00455F2B" w:rsidRPr="006E426E" w:rsidRDefault="00455F2B" w:rsidP="00455F2B">
      <w:pPr>
        <w:pStyle w:val="NormalWeb"/>
        <w:shd w:val="clear" w:color="auto" w:fill="FFFFFF"/>
        <w:spacing w:before="0" w:beforeAutospacing="0" w:after="0" w:afterAutospacing="0"/>
        <w:jc w:val="both"/>
        <w:rPr>
          <w:rFonts w:ascii="Verdana" w:hAnsi="Verdana" w:cs="Arial"/>
          <w:sz w:val="14"/>
          <w:szCs w:val="14"/>
        </w:rPr>
      </w:pPr>
      <w:r w:rsidRPr="006E426E">
        <w:rPr>
          <w:rFonts w:ascii="Verdana" w:hAnsi="Verdana" w:cs="Arial"/>
          <w:sz w:val="14"/>
          <w:szCs w:val="14"/>
        </w:rPr>
        <w:tab/>
        <w:t>“2.1.   Bienes, obras y servicios que ofrecerá a las Entidades Estatales, identificados con el Clasificador de Bienes y Servicios en el tercer nivel.</w:t>
      </w:r>
    </w:p>
    <w:p w14:paraId="0EB9C51F"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Fonts w:ascii="Verdana" w:hAnsi="Verdana" w:cs="Arial"/>
          <w:sz w:val="14"/>
          <w:szCs w:val="14"/>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07CBE4CC"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Fonts w:ascii="Verdana" w:hAnsi="Verdana" w:cs="Arial"/>
          <w:sz w:val="14"/>
          <w:szCs w:val="14"/>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341511DE" w14:textId="77777777" w:rsidR="00455F2B" w:rsidRPr="006E426E" w:rsidRDefault="00455F2B" w:rsidP="00455F2B">
      <w:pPr>
        <w:pStyle w:val="NormalWeb"/>
        <w:shd w:val="clear" w:color="auto" w:fill="FFFFFF"/>
        <w:spacing w:before="0" w:beforeAutospacing="0" w:after="0" w:afterAutospacing="0"/>
        <w:jc w:val="both"/>
        <w:rPr>
          <w:rFonts w:ascii="Verdana" w:hAnsi="Verdana" w:cs="Arial"/>
          <w:sz w:val="14"/>
          <w:szCs w:val="14"/>
        </w:rPr>
      </w:pPr>
      <w:r w:rsidRPr="006E426E">
        <w:rPr>
          <w:rFonts w:ascii="Verdana" w:hAnsi="Verdana" w:cs="Arial"/>
          <w:sz w:val="14"/>
          <w:szCs w:val="14"/>
        </w:rPr>
        <w:t xml:space="preserve">    </w:t>
      </w:r>
      <w:r w:rsidRPr="006E426E">
        <w:rPr>
          <w:rFonts w:ascii="Verdana" w:hAnsi="Verdana" w:cs="Arial"/>
          <w:sz w:val="14"/>
          <w:szCs w:val="14"/>
        </w:rPr>
        <w:tab/>
        <w:t>“I. Principales cuentas detalladas del balance general.</w:t>
      </w:r>
    </w:p>
    <w:p w14:paraId="275B4E7D"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Fonts w:ascii="Verdana" w:hAnsi="Verdana" w:cs="Arial"/>
          <w:sz w:val="14"/>
          <w:szCs w:val="14"/>
        </w:rPr>
        <w:t>“II. Principales cuentas del estado de pérdidas y ganancias.</w:t>
      </w:r>
    </w:p>
    <w:p w14:paraId="74DEC6E8"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Fonts w:ascii="Verdana" w:hAnsi="Verdana" w:cs="Arial"/>
          <w:sz w:val="14"/>
          <w:szCs w:val="14"/>
        </w:rPr>
        <w:t>“III. Cuentas contingentes deudoras y acreedoras.</w:t>
      </w:r>
    </w:p>
    <w:p w14:paraId="2181A6A6"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Fonts w:ascii="Verdana" w:hAnsi="Verdana" w:cs="Arial"/>
          <w:sz w:val="14"/>
          <w:szCs w:val="14"/>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05E2E53B"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Fonts w:ascii="Verdana" w:hAnsi="Verdana" w:cs="Arial"/>
          <w:sz w:val="14"/>
          <w:szCs w:val="14"/>
        </w:rPr>
        <w:t>“2.4.   Copia de los documentos adicionales exigidos por la Superintendencia de Sociedades respecto de las sociedades sometidas a su inspección, vigilancia o control.</w:t>
      </w:r>
    </w:p>
    <w:p w14:paraId="6C80C160"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Fonts w:ascii="Verdana" w:hAnsi="Verdana" w:cs="Arial"/>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6E426E">
        <w:rPr>
          <w:rFonts w:ascii="Verdana" w:hAnsi="Verdana" w:cs="Arial"/>
          <w:sz w:val="14"/>
          <w:szCs w:val="14"/>
        </w:rPr>
        <w:softHyphen/>
        <w:t>ficador de Bienes y Servicios en el tercer nivel. Si la constitución del interesado es menor a tres (3) años, puede acreditar la experiencia de sus accionistas, socios o constituyentes.</w:t>
      </w:r>
    </w:p>
    <w:p w14:paraId="228781E1" w14:textId="77777777" w:rsidR="00455F2B" w:rsidRPr="006E426E" w:rsidRDefault="00455F2B" w:rsidP="00455F2B">
      <w:pPr>
        <w:pStyle w:val="NormalWeb"/>
        <w:shd w:val="clear" w:color="auto" w:fill="FFFFFF"/>
        <w:spacing w:before="0" w:beforeAutospacing="0" w:after="0" w:afterAutospacing="0"/>
        <w:ind w:firstLine="708"/>
        <w:jc w:val="both"/>
        <w:rPr>
          <w:rFonts w:ascii="Verdana" w:hAnsi="Verdana" w:cs="Arial"/>
          <w:sz w:val="14"/>
          <w:szCs w:val="14"/>
        </w:rPr>
      </w:pPr>
      <w:r w:rsidRPr="006E426E">
        <w:rPr>
          <w:rFonts w:ascii="Verdana" w:hAnsi="Verdana" w:cs="Arial"/>
          <w:sz w:val="14"/>
          <w:szCs w:val="14"/>
        </w:rPr>
        <w:t>“2.6.   Certificado expedido por el representante legal y el revisor fiscal, si la persona jurídica está obligada a tenerlo, o el auditor o contador, relativa al tamaño empresarial de acuerdo con la definición legal y reglamentaria.</w:t>
      </w:r>
    </w:p>
    <w:p w14:paraId="438E4DE9" w14:textId="77777777" w:rsidR="00455F2B" w:rsidRPr="006E426E" w:rsidRDefault="00455F2B" w:rsidP="00455F2B">
      <w:pPr>
        <w:pStyle w:val="NormalWeb"/>
        <w:shd w:val="clear" w:color="auto" w:fill="FFFFFF"/>
        <w:spacing w:before="0" w:beforeAutospacing="0" w:after="0" w:afterAutospacing="0"/>
        <w:jc w:val="both"/>
        <w:rPr>
          <w:rFonts w:ascii="Verdana" w:hAnsi="Verdana" w:cs="Arial"/>
          <w:sz w:val="14"/>
          <w:szCs w:val="14"/>
        </w:rPr>
      </w:pPr>
      <w:r w:rsidRPr="006E426E">
        <w:rPr>
          <w:rFonts w:ascii="Verdana" w:hAnsi="Verdana" w:cs="Arial"/>
          <w:sz w:val="14"/>
          <w:szCs w:val="14"/>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454FADD3" w14:textId="77777777" w:rsidR="00455F2B" w:rsidRPr="006E426E" w:rsidRDefault="00455F2B" w:rsidP="00455F2B">
      <w:pPr>
        <w:pStyle w:val="NormalWeb"/>
        <w:shd w:val="clear" w:color="auto" w:fill="FFFFFF"/>
        <w:spacing w:before="0" w:beforeAutospacing="0" w:after="0" w:afterAutospacing="0"/>
        <w:jc w:val="both"/>
        <w:rPr>
          <w:rFonts w:ascii="Verdana" w:hAnsi="Verdana" w:cs="Arial"/>
          <w:sz w:val="14"/>
          <w:szCs w:val="14"/>
        </w:rPr>
      </w:pPr>
      <w:r w:rsidRPr="006E426E">
        <w:rPr>
          <w:rFonts w:ascii="Verdana" w:hAnsi="Verdana" w:cs="Arial"/>
          <w:sz w:val="14"/>
          <w:szCs w:val="14"/>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6E426E">
        <w:rPr>
          <w:rStyle w:val="Fuerte"/>
          <w:rFonts w:ascii="Verdana" w:hAnsi="Verdana" w:cs="Arial"/>
          <w:sz w:val="14"/>
          <w:szCs w:val="14"/>
        </w:rPr>
        <w:t> </w:t>
      </w:r>
      <w:r w:rsidRPr="006E426E">
        <w:rPr>
          <w:rFonts w:ascii="Verdana" w:hAnsi="Verdana" w:cs="Arial"/>
          <w:sz w:val="14"/>
          <w:szCs w:val="14"/>
        </w:rPr>
        <w:t>del presente decreto”.</w:t>
      </w:r>
    </w:p>
  </w:footnote>
  <w:footnote w:id="13">
    <w:p w14:paraId="1CCC4AC0" w14:textId="77777777" w:rsidR="00455F2B" w:rsidRPr="006E426E" w:rsidRDefault="00455F2B" w:rsidP="00455F2B">
      <w:pPr>
        <w:pStyle w:val="Textonotapie"/>
        <w:ind w:firstLine="709"/>
        <w:jc w:val="both"/>
        <w:rPr>
          <w:rFonts w:ascii="Verdana" w:hAnsi="Verdana"/>
          <w:sz w:val="14"/>
          <w:szCs w:val="14"/>
          <w:lang w:eastAsia="es-CO"/>
        </w:rPr>
      </w:pPr>
      <w:r w:rsidRPr="006E426E">
        <w:rPr>
          <w:rStyle w:val="Refdenotaalpie"/>
          <w:rFonts w:ascii="Verdana" w:hAnsi="Verdana"/>
          <w:sz w:val="14"/>
          <w:szCs w:val="14"/>
        </w:rPr>
        <w:footnoteRef/>
      </w:r>
      <w:r w:rsidRPr="006E426E">
        <w:rPr>
          <w:rFonts w:ascii="Verdana" w:hAnsi="Verdana"/>
          <w:sz w:val="14"/>
          <w:szCs w:val="14"/>
        </w:rPr>
        <w:t xml:space="preserve"> </w:t>
      </w:r>
      <w:r w:rsidRPr="006E426E">
        <w:rPr>
          <w:rFonts w:ascii="Verdana" w:hAnsi="Verdana"/>
          <w:sz w:val="14"/>
          <w:szCs w:val="14"/>
          <w:lang w:eastAsia="es-CO"/>
        </w:rPr>
        <w:t>Decreto 1082 de 2015:</w:t>
      </w:r>
      <w:r w:rsidRPr="006E426E">
        <w:rPr>
          <w:rFonts w:ascii="Verdana" w:hAnsi="Verdana"/>
          <w:sz w:val="14"/>
          <w:szCs w:val="14"/>
        </w:rPr>
        <w:t xml:space="preserve"> </w:t>
      </w:r>
      <w:r w:rsidRPr="006E426E">
        <w:rPr>
          <w:rFonts w:ascii="Verdana" w:hAnsi="Verdana"/>
          <w:sz w:val="14"/>
          <w:szCs w:val="14"/>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645C6C15" w14:textId="77777777" w:rsidR="00455F2B" w:rsidRPr="006E426E" w:rsidRDefault="00455F2B" w:rsidP="00455F2B">
      <w:pPr>
        <w:pStyle w:val="Textonotapie"/>
        <w:ind w:firstLine="709"/>
        <w:jc w:val="both"/>
        <w:rPr>
          <w:rFonts w:ascii="Verdana" w:hAnsi="Verdana"/>
          <w:sz w:val="14"/>
          <w:szCs w:val="14"/>
          <w:lang w:eastAsia="es-CO"/>
        </w:rPr>
      </w:pPr>
      <w:r w:rsidRPr="006E426E">
        <w:rPr>
          <w:rFonts w:ascii="Verdana" w:hAnsi="Verdana"/>
          <w:sz w:val="14"/>
          <w:szCs w:val="14"/>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48AB54A5" w14:textId="77777777" w:rsidR="00455F2B" w:rsidRPr="006E426E" w:rsidRDefault="00455F2B" w:rsidP="00455F2B">
      <w:pPr>
        <w:pStyle w:val="Textonotapie"/>
        <w:ind w:firstLine="709"/>
        <w:jc w:val="both"/>
        <w:rPr>
          <w:rFonts w:ascii="Verdana" w:hAnsi="Verdana"/>
          <w:sz w:val="14"/>
          <w:szCs w:val="14"/>
          <w:lang w:eastAsia="es-CO"/>
        </w:rPr>
      </w:pPr>
      <w:r w:rsidRPr="006E426E">
        <w:rPr>
          <w:rFonts w:ascii="Verdana" w:hAnsi="Verdana"/>
          <w:sz w:val="14"/>
          <w:szCs w:val="14"/>
          <w:lang w:eastAsia="es-CO"/>
        </w:rPr>
        <w:t>“Los inscritos en el RUP pueden en cualquier momento solicitar a la cámara de comercio cancelar su inscripción”.</w:t>
      </w:r>
    </w:p>
  </w:footnote>
  <w:footnote w:id="14">
    <w:p w14:paraId="6FDB10CF" w14:textId="77777777" w:rsidR="00455F2B" w:rsidRPr="006E426E" w:rsidRDefault="00455F2B" w:rsidP="00455F2B">
      <w:pPr>
        <w:ind w:firstLine="708"/>
        <w:contextualSpacing/>
        <w:jc w:val="both"/>
        <w:rPr>
          <w:rFonts w:ascii="Verdana" w:hAnsi="Verdana" w:cs="Arial"/>
          <w:sz w:val="14"/>
          <w:szCs w:val="14"/>
        </w:rPr>
      </w:pPr>
      <w:r w:rsidRPr="006E426E">
        <w:rPr>
          <w:rStyle w:val="Refdenotaalpie"/>
          <w:rFonts w:ascii="Verdana" w:hAnsi="Verdana" w:cs="Arial"/>
          <w:sz w:val="14"/>
          <w:szCs w:val="14"/>
        </w:rPr>
        <w:footnoteRef/>
      </w:r>
      <w:r w:rsidRPr="006E426E">
        <w:rPr>
          <w:rFonts w:ascii="Verdana" w:hAnsi="Verdana" w:cs="Arial"/>
          <w:sz w:val="14"/>
          <w:szCs w:val="14"/>
        </w:rPr>
        <w:t xml:space="preserve"> “6.3. De la impugnación de la inscripción en el Registro Único de Proponentes (RUP). Realizada la verificación a que se refiere el numeral 6.1</w:t>
      </w:r>
      <w:r w:rsidRPr="006E426E">
        <w:rPr>
          <w:rFonts w:ascii="Verdana" w:hAnsi="Verdana" w:cs="Arial"/>
          <w:spacing w:val="1"/>
          <w:sz w:val="14"/>
          <w:szCs w:val="14"/>
        </w:rPr>
        <w:t xml:space="preserve"> </w:t>
      </w:r>
      <w:r w:rsidRPr="006E426E">
        <w:rPr>
          <w:rFonts w:ascii="Verdana" w:hAnsi="Verdana" w:cs="Arial"/>
          <w:spacing w:val="-1"/>
          <w:sz w:val="14"/>
          <w:szCs w:val="14"/>
        </w:rPr>
        <w:t>del</w:t>
      </w:r>
      <w:r w:rsidRPr="006E426E">
        <w:rPr>
          <w:rFonts w:ascii="Verdana" w:hAnsi="Verdana" w:cs="Arial"/>
          <w:spacing w:val="-8"/>
          <w:sz w:val="14"/>
          <w:szCs w:val="14"/>
        </w:rPr>
        <w:t xml:space="preserve"> </w:t>
      </w:r>
      <w:r w:rsidRPr="006E426E">
        <w:rPr>
          <w:rFonts w:ascii="Verdana" w:hAnsi="Verdana" w:cs="Arial"/>
          <w:spacing w:val="-1"/>
          <w:sz w:val="14"/>
          <w:szCs w:val="14"/>
        </w:rPr>
        <w:t>presente</w:t>
      </w:r>
      <w:r w:rsidRPr="006E426E">
        <w:rPr>
          <w:rFonts w:ascii="Verdana" w:hAnsi="Verdana" w:cs="Arial"/>
          <w:spacing w:val="-8"/>
          <w:sz w:val="14"/>
          <w:szCs w:val="14"/>
        </w:rPr>
        <w:t xml:space="preserve"> </w:t>
      </w:r>
      <w:r w:rsidRPr="006E426E">
        <w:rPr>
          <w:rFonts w:ascii="Verdana" w:hAnsi="Verdana" w:cs="Arial"/>
          <w:spacing w:val="-1"/>
          <w:sz w:val="14"/>
          <w:szCs w:val="14"/>
        </w:rPr>
        <w:t>artículo,</w:t>
      </w:r>
      <w:r w:rsidRPr="006E426E">
        <w:rPr>
          <w:rFonts w:ascii="Verdana" w:hAnsi="Verdana" w:cs="Arial"/>
          <w:spacing w:val="-8"/>
          <w:sz w:val="14"/>
          <w:szCs w:val="14"/>
        </w:rPr>
        <w:t xml:space="preserve"> </w:t>
      </w:r>
      <w:r w:rsidRPr="006E426E">
        <w:rPr>
          <w:rFonts w:ascii="Verdana" w:hAnsi="Verdana" w:cs="Arial"/>
          <w:spacing w:val="-1"/>
          <w:sz w:val="14"/>
          <w:szCs w:val="14"/>
        </w:rPr>
        <w:t>la</w:t>
      </w:r>
      <w:r w:rsidRPr="006E426E">
        <w:rPr>
          <w:rFonts w:ascii="Verdana" w:hAnsi="Verdana" w:cs="Arial"/>
          <w:spacing w:val="-7"/>
          <w:sz w:val="14"/>
          <w:szCs w:val="14"/>
        </w:rPr>
        <w:t xml:space="preserve"> </w:t>
      </w:r>
      <w:r w:rsidRPr="006E426E">
        <w:rPr>
          <w:rFonts w:ascii="Verdana" w:hAnsi="Verdana" w:cs="Arial"/>
          <w:spacing w:val="-1"/>
          <w:sz w:val="14"/>
          <w:szCs w:val="14"/>
        </w:rPr>
        <w:t>Cámara</w:t>
      </w:r>
      <w:r w:rsidRPr="006E426E">
        <w:rPr>
          <w:rFonts w:ascii="Verdana" w:hAnsi="Verdana" w:cs="Arial"/>
          <w:spacing w:val="-8"/>
          <w:sz w:val="14"/>
          <w:szCs w:val="14"/>
        </w:rPr>
        <w:t xml:space="preserve"> </w:t>
      </w:r>
      <w:r w:rsidRPr="006E426E">
        <w:rPr>
          <w:rFonts w:ascii="Verdana" w:hAnsi="Verdana" w:cs="Arial"/>
          <w:spacing w:val="-1"/>
          <w:sz w:val="14"/>
          <w:szCs w:val="14"/>
        </w:rPr>
        <w:t>publicará</w:t>
      </w:r>
      <w:r w:rsidRPr="006E426E">
        <w:rPr>
          <w:rFonts w:ascii="Verdana" w:hAnsi="Verdana" w:cs="Arial"/>
          <w:spacing w:val="-8"/>
          <w:sz w:val="14"/>
          <w:szCs w:val="14"/>
        </w:rPr>
        <w:t xml:space="preserve"> </w:t>
      </w:r>
      <w:r w:rsidRPr="006E426E">
        <w:rPr>
          <w:rFonts w:ascii="Verdana" w:hAnsi="Verdana" w:cs="Arial"/>
          <w:spacing w:val="-1"/>
          <w:sz w:val="14"/>
          <w:szCs w:val="14"/>
        </w:rPr>
        <w:t>el</w:t>
      </w:r>
      <w:r w:rsidRPr="006E426E">
        <w:rPr>
          <w:rFonts w:ascii="Verdana" w:hAnsi="Verdana" w:cs="Arial"/>
          <w:spacing w:val="-8"/>
          <w:sz w:val="14"/>
          <w:szCs w:val="14"/>
        </w:rPr>
        <w:t xml:space="preserve"> </w:t>
      </w:r>
      <w:r w:rsidRPr="006E426E">
        <w:rPr>
          <w:rFonts w:ascii="Verdana" w:hAnsi="Verdana" w:cs="Arial"/>
          <w:spacing w:val="-1"/>
          <w:sz w:val="14"/>
          <w:szCs w:val="14"/>
        </w:rPr>
        <w:t>acto</w:t>
      </w:r>
      <w:r w:rsidRPr="006E426E">
        <w:rPr>
          <w:rFonts w:ascii="Verdana" w:hAnsi="Verdana" w:cs="Arial"/>
          <w:spacing w:val="-7"/>
          <w:sz w:val="14"/>
          <w:szCs w:val="14"/>
        </w:rPr>
        <w:t xml:space="preserve"> </w:t>
      </w:r>
      <w:r w:rsidRPr="006E426E">
        <w:rPr>
          <w:rFonts w:ascii="Verdana" w:hAnsi="Verdana" w:cs="Arial"/>
          <w:spacing w:val="-1"/>
          <w:sz w:val="14"/>
          <w:szCs w:val="14"/>
        </w:rPr>
        <w:t>de</w:t>
      </w:r>
      <w:r w:rsidRPr="006E426E">
        <w:rPr>
          <w:rFonts w:ascii="Verdana" w:hAnsi="Verdana" w:cs="Arial"/>
          <w:spacing w:val="-8"/>
          <w:sz w:val="14"/>
          <w:szCs w:val="14"/>
        </w:rPr>
        <w:t xml:space="preserve"> </w:t>
      </w:r>
      <w:r w:rsidRPr="006E426E">
        <w:rPr>
          <w:rFonts w:ascii="Verdana" w:hAnsi="Verdana" w:cs="Arial"/>
          <w:spacing w:val="-1"/>
          <w:sz w:val="14"/>
          <w:szCs w:val="14"/>
        </w:rPr>
        <w:t>inscripción,</w:t>
      </w:r>
      <w:r w:rsidRPr="006E426E">
        <w:rPr>
          <w:rFonts w:ascii="Verdana" w:hAnsi="Verdana" w:cs="Arial"/>
          <w:spacing w:val="-8"/>
          <w:sz w:val="14"/>
          <w:szCs w:val="14"/>
        </w:rPr>
        <w:t xml:space="preserve"> </w:t>
      </w:r>
      <w:r w:rsidRPr="006E426E">
        <w:rPr>
          <w:rFonts w:ascii="Verdana" w:hAnsi="Verdana" w:cs="Arial"/>
          <w:spacing w:val="-1"/>
          <w:sz w:val="14"/>
          <w:szCs w:val="14"/>
        </w:rPr>
        <w:t>contra</w:t>
      </w:r>
      <w:r w:rsidRPr="006E426E">
        <w:rPr>
          <w:rFonts w:ascii="Verdana" w:hAnsi="Verdana" w:cs="Arial"/>
          <w:spacing w:val="-8"/>
          <w:sz w:val="14"/>
          <w:szCs w:val="14"/>
        </w:rPr>
        <w:t xml:space="preserve"> </w:t>
      </w:r>
      <w:r w:rsidRPr="006E426E">
        <w:rPr>
          <w:rFonts w:ascii="Verdana" w:hAnsi="Verdana" w:cs="Arial"/>
          <w:spacing w:val="-1"/>
          <w:sz w:val="14"/>
          <w:szCs w:val="14"/>
        </w:rPr>
        <w:t>el</w:t>
      </w:r>
      <w:r w:rsidRPr="006E426E">
        <w:rPr>
          <w:rFonts w:ascii="Verdana" w:hAnsi="Verdana" w:cs="Arial"/>
          <w:spacing w:val="-7"/>
          <w:sz w:val="14"/>
          <w:szCs w:val="14"/>
        </w:rPr>
        <w:t xml:space="preserve"> </w:t>
      </w:r>
      <w:r w:rsidRPr="006E426E">
        <w:rPr>
          <w:rFonts w:ascii="Verdana" w:hAnsi="Verdana" w:cs="Arial"/>
          <w:spacing w:val="-1"/>
          <w:sz w:val="14"/>
          <w:szCs w:val="14"/>
        </w:rPr>
        <w:t>cual</w:t>
      </w:r>
      <w:r w:rsidRPr="006E426E">
        <w:rPr>
          <w:rFonts w:ascii="Verdana" w:hAnsi="Verdana" w:cs="Arial"/>
          <w:spacing w:val="-8"/>
          <w:sz w:val="14"/>
          <w:szCs w:val="14"/>
        </w:rPr>
        <w:t xml:space="preserve"> </w:t>
      </w:r>
      <w:r w:rsidRPr="006E426E">
        <w:rPr>
          <w:rFonts w:ascii="Verdana" w:hAnsi="Verdana" w:cs="Arial"/>
          <w:spacing w:val="-1"/>
          <w:sz w:val="14"/>
          <w:szCs w:val="14"/>
        </w:rPr>
        <w:t>cualquier</w:t>
      </w:r>
      <w:r w:rsidRPr="006E426E">
        <w:rPr>
          <w:rFonts w:ascii="Verdana" w:hAnsi="Verdana" w:cs="Arial"/>
          <w:spacing w:val="-8"/>
          <w:sz w:val="14"/>
          <w:szCs w:val="14"/>
        </w:rPr>
        <w:t xml:space="preserve"> </w:t>
      </w:r>
      <w:r w:rsidRPr="006E426E">
        <w:rPr>
          <w:rFonts w:ascii="Verdana" w:hAnsi="Verdana" w:cs="Arial"/>
          <w:spacing w:val="-1"/>
          <w:sz w:val="14"/>
          <w:szCs w:val="14"/>
        </w:rPr>
        <w:t>persona</w:t>
      </w:r>
      <w:r w:rsidRPr="006E426E">
        <w:rPr>
          <w:rFonts w:ascii="Verdana" w:hAnsi="Verdana" w:cs="Arial"/>
          <w:spacing w:val="-8"/>
          <w:sz w:val="14"/>
          <w:szCs w:val="14"/>
        </w:rPr>
        <w:t xml:space="preserve"> </w:t>
      </w:r>
      <w:r w:rsidRPr="006E426E">
        <w:rPr>
          <w:rFonts w:ascii="Verdana" w:hAnsi="Verdana" w:cs="Arial"/>
          <w:sz w:val="14"/>
          <w:szCs w:val="14"/>
        </w:rPr>
        <w:t>podrá</w:t>
      </w:r>
      <w:r w:rsidRPr="006E426E">
        <w:rPr>
          <w:rFonts w:ascii="Verdana" w:hAnsi="Verdana" w:cs="Arial"/>
          <w:spacing w:val="-7"/>
          <w:sz w:val="14"/>
          <w:szCs w:val="14"/>
        </w:rPr>
        <w:t xml:space="preserve"> </w:t>
      </w:r>
      <w:r w:rsidRPr="006E426E">
        <w:rPr>
          <w:rFonts w:ascii="Verdana" w:hAnsi="Verdana" w:cs="Arial"/>
          <w:sz w:val="14"/>
          <w:szCs w:val="14"/>
        </w:rPr>
        <w:t>interponer</w:t>
      </w:r>
      <w:r w:rsidRPr="006E426E">
        <w:rPr>
          <w:rFonts w:ascii="Verdana" w:hAnsi="Verdana" w:cs="Arial"/>
          <w:spacing w:val="-8"/>
          <w:sz w:val="14"/>
          <w:szCs w:val="14"/>
        </w:rPr>
        <w:t xml:space="preserve"> </w:t>
      </w:r>
      <w:r w:rsidRPr="006E426E">
        <w:rPr>
          <w:rFonts w:ascii="Verdana" w:hAnsi="Verdana" w:cs="Arial"/>
          <w:sz w:val="14"/>
          <w:szCs w:val="14"/>
        </w:rPr>
        <w:t>recurso</w:t>
      </w:r>
      <w:r w:rsidRPr="006E426E">
        <w:rPr>
          <w:rFonts w:ascii="Verdana" w:hAnsi="Verdana" w:cs="Arial"/>
          <w:spacing w:val="-8"/>
          <w:sz w:val="14"/>
          <w:szCs w:val="14"/>
        </w:rPr>
        <w:t xml:space="preserve"> </w:t>
      </w:r>
      <w:r w:rsidRPr="006E426E">
        <w:rPr>
          <w:rFonts w:ascii="Verdana" w:hAnsi="Verdana" w:cs="Arial"/>
          <w:sz w:val="14"/>
          <w:szCs w:val="14"/>
        </w:rPr>
        <w:t>de</w:t>
      </w:r>
      <w:r w:rsidRPr="006E426E">
        <w:rPr>
          <w:rFonts w:ascii="Verdana" w:hAnsi="Verdana" w:cs="Arial"/>
          <w:spacing w:val="-7"/>
          <w:sz w:val="14"/>
          <w:szCs w:val="14"/>
        </w:rPr>
        <w:t xml:space="preserve"> </w:t>
      </w:r>
      <w:r w:rsidRPr="006E426E">
        <w:rPr>
          <w:rFonts w:ascii="Verdana" w:hAnsi="Verdana" w:cs="Arial"/>
          <w:sz w:val="14"/>
          <w:szCs w:val="14"/>
        </w:rPr>
        <w:t>reposición</w:t>
      </w:r>
      <w:r w:rsidRPr="006E426E">
        <w:rPr>
          <w:rFonts w:ascii="Verdana" w:hAnsi="Verdana" w:cs="Arial"/>
          <w:spacing w:val="-8"/>
          <w:sz w:val="14"/>
          <w:szCs w:val="14"/>
        </w:rPr>
        <w:t xml:space="preserve"> </w:t>
      </w:r>
      <w:r w:rsidRPr="006E426E">
        <w:rPr>
          <w:rFonts w:ascii="Verdana" w:hAnsi="Verdana" w:cs="Arial"/>
          <w:sz w:val="14"/>
          <w:szCs w:val="14"/>
        </w:rPr>
        <w:t>ante</w:t>
      </w:r>
      <w:r w:rsidRPr="006E426E">
        <w:rPr>
          <w:rFonts w:ascii="Verdana" w:hAnsi="Verdana" w:cs="Arial"/>
          <w:spacing w:val="-8"/>
          <w:sz w:val="14"/>
          <w:szCs w:val="14"/>
        </w:rPr>
        <w:t xml:space="preserve"> </w:t>
      </w:r>
      <w:r w:rsidRPr="006E426E">
        <w:rPr>
          <w:rFonts w:ascii="Verdana" w:hAnsi="Verdana" w:cs="Arial"/>
          <w:sz w:val="14"/>
          <w:szCs w:val="14"/>
        </w:rPr>
        <w:t>la</w:t>
      </w:r>
      <w:r w:rsidRPr="006E426E">
        <w:rPr>
          <w:rFonts w:ascii="Verdana" w:hAnsi="Verdana" w:cs="Arial"/>
          <w:spacing w:val="-8"/>
          <w:sz w:val="14"/>
          <w:szCs w:val="14"/>
        </w:rPr>
        <w:t xml:space="preserve"> </w:t>
      </w:r>
      <w:r w:rsidRPr="006E426E">
        <w:rPr>
          <w:rFonts w:ascii="Verdana" w:hAnsi="Verdana" w:cs="Arial"/>
          <w:sz w:val="14"/>
          <w:szCs w:val="14"/>
        </w:rPr>
        <w:t>respectiva</w:t>
      </w:r>
      <w:r w:rsidRPr="006E426E">
        <w:rPr>
          <w:rFonts w:ascii="Verdana" w:hAnsi="Verdana" w:cs="Arial"/>
          <w:spacing w:val="-7"/>
          <w:sz w:val="14"/>
          <w:szCs w:val="14"/>
        </w:rPr>
        <w:t xml:space="preserve"> </w:t>
      </w:r>
      <w:r w:rsidRPr="006E426E">
        <w:rPr>
          <w:rFonts w:ascii="Verdana" w:hAnsi="Verdana" w:cs="Arial"/>
          <w:sz w:val="14"/>
          <w:szCs w:val="14"/>
        </w:rPr>
        <w:t>Cámara</w:t>
      </w:r>
      <w:r w:rsidRPr="006E426E">
        <w:rPr>
          <w:rFonts w:ascii="Verdana" w:hAnsi="Verdana" w:cs="Arial"/>
          <w:spacing w:val="1"/>
          <w:sz w:val="14"/>
          <w:szCs w:val="14"/>
        </w:rPr>
        <w:t xml:space="preserve"> </w:t>
      </w:r>
      <w:r w:rsidRPr="006E426E">
        <w:rPr>
          <w:rFonts w:ascii="Verdana" w:hAnsi="Verdana" w:cs="Arial"/>
          <w:sz w:val="14"/>
          <w:szCs w:val="14"/>
        </w:rPr>
        <w:t>de Comercio, durante los diez (10) días hábiles siguientes a la publicación, sin que para ello requiera demostrar interés alguno. Para que la impugnación sea</w:t>
      </w:r>
      <w:r w:rsidRPr="006E426E">
        <w:rPr>
          <w:rFonts w:ascii="Verdana" w:hAnsi="Verdana" w:cs="Arial"/>
          <w:spacing w:val="1"/>
          <w:sz w:val="14"/>
          <w:szCs w:val="14"/>
        </w:rPr>
        <w:t xml:space="preserve"> </w:t>
      </w:r>
      <w:r w:rsidRPr="006E426E">
        <w:rPr>
          <w:rFonts w:ascii="Verdana" w:hAnsi="Verdana" w:cs="Arial"/>
          <w:sz w:val="14"/>
          <w:szCs w:val="14"/>
        </w:rPr>
        <w:t>admisible deberá prestarse caución bancaria o de compañía de seguros para garantizar los perjuicios que se puedan causar al inscrito. Contra la decisión que</w:t>
      </w:r>
      <w:r w:rsidRPr="006E426E">
        <w:rPr>
          <w:rFonts w:ascii="Verdana" w:hAnsi="Verdana" w:cs="Arial"/>
          <w:spacing w:val="1"/>
          <w:sz w:val="14"/>
          <w:szCs w:val="14"/>
        </w:rPr>
        <w:t xml:space="preserve"> </w:t>
      </w:r>
      <w:r w:rsidRPr="006E426E">
        <w:rPr>
          <w:rFonts w:ascii="Verdana" w:hAnsi="Verdana" w:cs="Arial"/>
          <w:sz w:val="14"/>
          <w:szCs w:val="14"/>
        </w:rPr>
        <w:t>resuelva</w:t>
      </w:r>
      <w:r w:rsidRPr="006E426E">
        <w:rPr>
          <w:rFonts w:ascii="Verdana" w:hAnsi="Verdana" w:cs="Arial"/>
          <w:spacing w:val="-2"/>
          <w:sz w:val="14"/>
          <w:szCs w:val="14"/>
        </w:rPr>
        <w:t xml:space="preserve"> </w:t>
      </w:r>
      <w:r w:rsidRPr="006E426E">
        <w:rPr>
          <w:rFonts w:ascii="Verdana" w:hAnsi="Verdana" w:cs="Arial"/>
          <w:sz w:val="14"/>
          <w:szCs w:val="14"/>
        </w:rPr>
        <w:t>el</w:t>
      </w:r>
      <w:r w:rsidRPr="006E426E">
        <w:rPr>
          <w:rFonts w:ascii="Verdana" w:hAnsi="Verdana" w:cs="Arial"/>
          <w:spacing w:val="-1"/>
          <w:sz w:val="14"/>
          <w:szCs w:val="14"/>
        </w:rPr>
        <w:t xml:space="preserve"> </w:t>
      </w:r>
      <w:r w:rsidRPr="006E426E">
        <w:rPr>
          <w:rFonts w:ascii="Verdana" w:hAnsi="Verdana" w:cs="Arial"/>
          <w:sz w:val="14"/>
          <w:szCs w:val="14"/>
        </w:rPr>
        <w:t>recurso</w:t>
      </w:r>
      <w:r w:rsidRPr="006E426E">
        <w:rPr>
          <w:rFonts w:ascii="Verdana" w:hAnsi="Verdana" w:cs="Arial"/>
          <w:spacing w:val="-1"/>
          <w:sz w:val="14"/>
          <w:szCs w:val="14"/>
        </w:rPr>
        <w:t xml:space="preserve"> </w:t>
      </w:r>
      <w:r w:rsidRPr="006E426E">
        <w:rPr>
          <w:rFonts w:ascii="Verdana" w:hAnsi="Verdana" w:cs="Arial"/>
          <w:sz w:val="14"/>
          <w:szCs w:val="14"/>
        </w:rPr>
        <w:t>de</w:t>
      </w:r>
      <w:r w:rsidRPr="006E426E">
        <w:rPr>
          <w:rFonts w:ascii="Verdana" w:hAnsi="Verdana" w:cs="Arial"/>
          <w:spacing w:val="-1"/>
          <w:sz w:val="14"/>
          <w:szCs w:val="14"/>
        </w:rPr>
        <w:t xml:space="preserve"> </w:t>
      </w:r>
      <w:r w:rsidRPr="006E426E">
        <w:rPr>
          <w:rFonts w:ascii="Verdana" w:hAnsi="Verdana" w:cs="Arial"/>
          <w:sz w:val="14"/>
          <w:szCs w:val="14"/>
        </w:rPr>
        <w:t>reposición,</w:t>
      </w:r>
      <w:r w:rsidRPr="006E426E">
        <w:rPr>
          <w:rFonts w:ascii="Verdana" w:hAnsi="Verdana" w:cs="Arial"/>
          <w:spacing w:val="-1"/>
          <w:sz w:val="14"/>
          <w:szCs w:val="14"/>
        </w:rPr>
        <w:t xml:space="preserve"> </w:t>
      </w:r>
      <w:r w:rsidRPr="006E426E">
        <w:rPr>
          <w:rFonts w:ascii="Verdana" w:hAnsi="Verdana" w:cs="Arial"/>
          <w:sz w:val="14"/>
          <w:szCs w:val="14"/>
        </w:rPr>
        <w:t>no</w:t>
      </w:r>
      <w:r w:rsidRPr="006E426E">
        <w:rPr>
          <w:rFonts w:ascii="Verdana" w:hAnsi="Verdana" w:cs="Arial"/>
          <w:spacing w:val="-1"/>
          <w:sz w:val="14"/>
          <w:szCs w:val="14"/>
        </w:rPr>
        <w:t xml:space="preserve"> </w:t>
      </w:r>
      <w:r w:rsidRPr="006E426E">
        <w:rPr>
          <w:rFonts w:ascii="Verdana" w:hAnsi="Verdana" w:cs="Arial"/>
          <w:sz w:val="14"/>
          <w:szCs w:val="14"/>
        </w:rPr>
        <w:t>procederá</w:t>
      </w:r>
      <w:r w:rsidRPr="006E426E">
        <w:rPr>
          <w:rFonts w:ascii="Verdana" w:hAnsi="Verdana" w:cs="Arial"/>
          <w:spacing w:val="-1"/>
          <w:sz w:val="14"/>
          <w:szCs w:val="14"/>
        </w:rPr>
        <w:t xml:space="preserve"> </w:t>
      </w:r>
      <w:r w:rsidRPr="006E426E">
        <w:rPr>
          <w:rFonts w:ascii="Verdana" w:hAnsi="Verdana" w:cs="Arial"/>
          <w:sz w:val="14"/>
          <w:szCs w:val="14"/>
        </w:rPr>
        <w:t>apelación.</w:t>
      </w:r>
    </w:p>
    <w:p w14:paraId="4220D15B" w14:textId="77777777" w:rsidR="00455F2B" w:rsidRPr="006E426E" w:rsidRDefault="00455F2B" w:rsidP="00455F2B">
      <w:pPr>
        <w:ind w:firstLine="708"/>
        <w:contextualSpacing/>
        <w:jc w:val="both"/>
        <w:rPr>
          <w:rFonts w:ascii="Verdana" w:hAnsi="Verdana" w:cs="Arial"/>
          <w:sz w:val="14"/>
          <w:szCs w:val="14"/>
        </w:rPr>
      </w:pPr>
      <w:r w:rsidRPr="006E426E">
        <w:rPr>
          <w:rFonts w:ascii="Verdana" w:hAnsi="Verdana" w:cs="Arial"/>
          <w:sz w:val="14"/>
          <w:szCs w:val="14"/>
        </w:rPr>
        <w:t>En</w:t>
      </w:r>
      <w:r w:rsidRPr="006E426E">
        <w:rPr>
          <w:rFonts w:ascii="Verdana" w:hAnsi="Verdana" w:cs="Arial"/>
          <w:spacing w:val="-8"/>
          <w:sz w:val="14"/>
          <w:szCs w:val="14"/>
        </w:rPr>
        <w:t xml:space="preserve"> </w:t>
      </w:r>
      <w:r w:rsidRPr="006E426E">
        <w:rPr>
          <w:rFonts w:ascii="Verdana" w:hAnsi="Verdana" w:cs="Arial"/>
          <w:sz w:val="14"/>
          <w:szCs w:val="14"/>
        </w:rPr>
        <w:t>firme</w:t>
      </w:r>
      <w:r w:rsidRPr="006E426E">
        <w:rPr>
          <w:rFonts w:ascii="Verdana" w:hAnsi="Verdana" w:cs="Arial"/>
          <w:spacing w:val="-7"/>
          <w:sz w:val="14"/>
          <w:szCs w:val="14"/>
        </w:rPr>
        <w:t xml:space="preserve"> </w:t>
      </w:r>
      <w:r w:rsidRPr="006E426E">
        <w:rPr>
          <w:rFonts w:ascii="Verdana" w:hAnsi="Verdana" w:cs="Arial"/>
          <w:sz w:val="14"/>
          <w:szCs w:val="14"/>
        </w:rPr>
        <w:t>la</w:t>
      </w:r>
      <w:r w:rsidRPr="006E426E">
        <w:rPr>
          <w:rFonts w:ascii="Verdana" w:hAnsi="Verdana" w:cs="Arial"/>
          <w:spacing w:val="-7"/>
          <w:sz w:val="14"/>
          <w:szCs w:val="14"/>
        </w:rPr>
        <w:t xml:space="preserve"> </w:t>
      </w:r>
      <w:r w:rsidRPr="006E426E">
        <w:rPr>
          <w:rFonts w:ascii="Verdana" w:hAnsi="Verdana" w:cs="Arial"/>
          <w:sz w:val="14"/>
          <w:szCs w:val="14"/>
        </w:rPr>
        <w:t>inscripción,</w:t>
      </w:r>
      <w:r w:rsidRPr="006E426E">
        <w:rPr>
          <w:rFonts w:ascii="Verdana" w:hAnsi="Verdana" w:cs="Arial"/>
          <w:spacing w:val="-7"/>
          <w:sz w:val="14"/>
          <w:szCs w:val="14"/>
        </w:rPr>
        <w:t xml:space="preserve"> </w:t>
      </w:r>
      <w:r w:rsidRPr="006E426E">
        <w:rPr>
          <w:rFonts w:ascii="Verdana" w:hAnsi="Verdana" w:cs="Arial"/>
          <w:sz w:val="14"/>
          <w:szCs w:val="14"/>
        </w:rPr>
        <w:t>cualquier</w:t>
      </w:r>
      <w:r w:rsidRPr="006E426E">
        <w:rPr>
          <w:rFonts w:ascii="Verdana" w:hAnsi="Verdana" w:cs="Arial"/>
          <w:spacing w:val="-7"/>
          <w:sz w:val="14"/>
          <w:szCs w:val="14"/>
        </w:rPr>
        <w:t xml:space="preserve"> </w:t>
      </w:r>
      <w:r w:rsidRPr="006E426E">
        <w:rPr>
          <w:rFonts w:ascii="Verdana" w:hAnsi="Verdana" w:cs="Arial"/>
          <w:sz w:val="14"/>
          <w:szCs w:val="14"/>
        </w:rPr>
        <w:t>persona</w:t>
      </w:r>
      <w:r w:rsidRPr="006E426E">
        <w:rPr>
          <w:rFonts w:ascii="Verdana" w:hAnsi="Verdana" w:cs="Arial"/>
          <w:spacing w:val="-7"/>
          <w:sz w:val="14"/>
          <w:szCs w:val="14"/>
        </w:rPr>
        <w:t xml:space="preserve"> </w:t>
      </w:r>
      <w:r w:rsidRPr="006E426E">
        <w:rPr>
          <w:rFonts w:ascii="Verdana" w:hAnsi="Verdana" w:cs="Arial"/>
          <w:sz w:val="14"/>
          <w:szCs w:val="14"/>
        </w:rPr>
        <w:t>podrá</w:t>
      </w:r>
      <w:r w:rsidRPr="006E426E">
        <w:rPr>
          <w:rFonts w:ascii="Verdana" w:hAnsi="Verdana" w:cs="Arial"/>
          <w:spacing w:val="-7"/>
          <w:sz w:val="14"/>
          <w:szCs w:val="14"/>
        </w:rPr>
        <w:t xml:space="preserve"> </w:t>
      </w:r>
      <w:r w:rsidRPr="006E426E">
        <w:rPr>
          <w:rFonts w:ascii="Verdana" w:hAnsi="Verdana" w:cs="Arial"/>
          <w:sz w:val="14"/>
          <w:szCs w:val="14"/>
        </w:rPr>
        <w:t>demandar</w:t>
      </w:r>
      <w:r w:rsidRPr="006E426E">
        <w:rPr>
          <w:rFonts w:ascii="Verdana" w:hAnsi="Verdana" w:cs="Arial"/>
          <w:spacing w:val="-7"/>
          <w:sz w:val="14"/>
          <w:szCs w:val="14"/>
        </w:rPr>
        <w:t xml:space="preserve"> </w:t>
      </w:r>
      <w:r w:rsidRPr="006E426E">
        <w:rPr>
          <w:rFonts w:ascii="Verdana" w:hAnsi="Verdana" w:cs="Arial"/>
          <w:sz w:val="14"/>
          <w:szCs w:val="14"/>
        </w:rPr>
        <w:t>su</w:t>
      </w:r>
      <w:r w:rsidRPr="006E426E">
        <w:rPr>
          <w:rFonts w:ascii="Verdana" w:hAnsi="Verdana" w:cs="Arial"/>
          <w:spacing w:val="-7"/>
          <w:sz w:val="14"/>
          <w:szCs w:val="14"/>
        </w:rPr>
        <w:t xml:space="preserve"> </w:t>
      </w:r>
      <w:r w:rsidRPr="006E426E">
        <w:rPr>
          <w:rFonts w:ascii="Verdana" w:hAnsi="Verdana" w:cs="Arial"/>
          <w:sz w:val="14"/>
          <w:szCs w:val="14"/>
        </w:rPr>
        <w:t>nulidad</w:t>
      </w:r>
      <w:r w:rsidRPr="006E426E">
        <w:rPr>
          <w:rFonts w:ascii="Verdana" w:hAnsi="Verdana" w:cs="Arial"/>
          <w:spacing w:val="-7"/>
          <w:sz w:val="14"/>
          <w:szCs w:val="14"/>
        </w:rPr>
        <w:t xml:space="preserve"> </w:t>
      </w:r>
      <w:r w:rsidRPr="006E426E">
        <w:rPr>
          <w:rFonts w:ascii="Verdana" w:hAnsi="Verdana" w:cs="Arial"/>
          <w:sz w:val="14"/>
          <w:szCs w:val="14"/>
        </w:rPr>
        <w:t>en</w:t>
      </w:r>
      <w:r w:rsidRPr="006E426E">
        <w:rPr>
          <w:rFonts w:ascii="Verdana" w:hAnsi="Verdana" w:cs="Arial"/>
          <w:spacing w:val="-8"/>
          <w:sz w:val="14"/>
          <w:szCs w:val="14"/>
        </w:rPr>
        <w:t xml:space="preserve"> </w:t>
      </w:r>
      <w:r w:rsidRPr="006E426E">
        <w:rPr>
          <w:rFonts w:ascii="Verdana" w:hAnsi="Verdana" w:cs="Arial"/>
          <w:sz w:val="14"/>
          <w:szCs w:val="14"/>
        </w:rPr>
        <w:t>desarrollo</w:t>
      </w:r>
      <w:r w:rsidRPr="006E426E">
        <w:rPr>
          <w:rFonts w:ascii="Verdana" w:hAnsi="Verdana" w:cs="Arial"/>
          <w:spacing w:val="-6"/>
          <w:sz w:val="14"/>
          <w:szCs w:val="14"/>
        </w:rPr>
        <w:t xml:space="preserve"> </w:t>
      </w:r>
      <w:r w:rsidRPr="006E426E">
        <w:rPr>
          <w:rFonts w:ascii="Verdana" w:hAnsi="Verdana" w:cs="Arial"/>
          <w:sz w:val="14"/>
          <w:szCs w:val="14"/>
        </w:rPr>
        <w:t>de</w:t>
      </w:r>
      <w:r w:rsidRPr="006E426E">
        <w:rPr>
          <w:rFonts w:ascii="Verdana" w:hAnsi="Verdana" w:cs="Arial"/>
          <w:spacing w:val="-8"/>
          <w:sz w:val="14"/>
          <w:szCs w:val="14"/>
        </w:rPr>
        <w:t xml:space="preserve"> </w:t>
      </w:r>
      <w:r w:rsidRPr="006E426E">
        <w:rPr>
          <w:rFonts w:ascii="Verdana" w:hAnsi="Verdana" w:cs="Arial"/>
          <w:sz w:val="14"/>
          <w:szCs w:val="14"/>
        </w:rPr>
        <w:t>la</w:t>
      </w:r>
      <w:r w:rsidRPr="006E426E">
        <w:rPr>
          <w:rFonts w:ascii="Verdana" w:hAnsi="Verdana" w:cs="Arial"/>
          <w:spacing w:val="-7"/>
          <w:sz w:val="14"/>
          <w:szCs w:val="14"/>
        </w:rPr>
        <w:t xml:space="preserve"> </w:t>
      </w:r>
      <w:r w:rsidRPr="006E426E">
        <w:rPr>
          <w:rFonts w:ascii="Verdana" w:hAnsi="Verdana" w:cs="Arial"/>
          <w:sz w:val="14"/>
          <w:szCs w:val="14"/>
        </w:rPr>
        <w:t>acción</w:t>
      </w:r>
      <w:r w:rsidRPr="006E426E">
        <w:rPr>
          <w:rFonts w:ascii="Verdana" w:hAnsi="Verdana" w:cs="Arial"/>
          <w:spacing w:val="-7"/>
          <w:sz w:val="14"/>
          <w:szCs w:val="14"/>
        </w:rPr>
        <w:t xml:space="preserve"> </w:t>
      </w:r>
      <w:r w:rsidRPr="006E426E">
        <w:rPr>
          <w:rFonts w:ascii="Verdana" w:hAnsi="Verdana" w:cs="Arial"/>
          <w:sz w:val="14"/>
          <w:szCs w:val="14"/>
        </w:rPr>
        <w:t>prevista</w:t>
      </w:r>
      <w:r w:rsidRPr="006E426E">
        <w:rPr>
          <w:rFonts w:ascii="Verdana" w:hAnsi="Verdana" w:cs="Arial"/>
          <w:spacing w:val="-6"/>
          <w:sz w:val="14"/>
          <w:szCs w:val="14"/>
        </w:rPr>
        <w:t xml:space="preserve"> </w:t>
      </w:r>
      <w:r w:rsidRPr="006E426E">
        <w:rPr>
          <w:rFonts w:ascii="Verdana" w:hAnsi="Verdana" w:cs="Arial"/>
          <w:sz w:val="14"/>
          <w:szCs w:val="14"/>
        </w:rPr>
        <w:t>en</w:t>
      </w:r>
      <w:r w:rsidRPr="006E426E">
        <w:rPr>
          <w:rFonts w:ascii="Verdana" w:hAnsi="Verdana" w:cs="Arial"/>
          <w:spacing w:val="-8"/>
          <w:sz w:val="14"/>
          <w:szCs w:val="14"/>
        </w:rPr>
        <w:t xml:space="preserve"> </w:t>
      </w:r>
      <w:r w:rsidRPr="006E426E">
        <w:rPr>
          <w:rFonts w:ascii="Verdana" w:hAnsi="Verdana" w:cs="Arial"/>
          <w:sz w:val="14"/>
          <w:szCs w:val="14"/>
        </w:rPr>
        <w:t>el</w:t>
      </w:r>
      <w:r w:rsidRPr="006E426E">
        <w:rPr>
          <w:rFonts w:ascii="Verdana" w:hAnsi="Verdana" w:cs="Arial"/>
          <w:spacing w:val="-7"/>
          <w:sz w:val="14"/>
          <w:szCs w:val="14"/>
        </w:rPr>
        <w:t xml:space="preserve"> </w:t>
      </w:r>
      <w:r w:rsidRPr="006E426E">
        <w:rPr>
          <w:rFonts w:ascii="Verdana" w:hAnsi="Verdana" w:cs="Arial"/>
          <w:sz w:val="14"/>
          <w:szCs w:val="14"/>
        </w:rPr>
        <w:t>Código</w:t>
      </w:r>
      <w:r w:rsidRPr="006E426E">
        <w:rPr>
          <w:rFonts w:ascii="Verdana" w:hAnsi="Verdana" w:cs="Arial"/>
          <w:spacing w:val="-7"/>
          <w:sz w:val="14"/>
          <w:szCs w:val="14"/>
        </w:rPr>
        <w:t xml:space="preserve"> </w:t>
      </w:r>
      <w:r w:rsidRPr="006E426E">
        <w:rPr>
          <w:rFonts w:ascii="Verdana" w:hAnsi="Verdana" w:cs="Arial"/>
          <w:sz w:val="14"/>
          <w:szCs w:val="14"/>
        </w:rPr>
        <w:t>Contencioso</w:t>
      </w:r>
      <w:r w:rsidRPr="006E426E">
        <w:rPr>
          <w:rFonts w:ascii="Verdana" w:hAnsi="Verdana" w:cs="Arial"/>
          <w:spacing w:val="-7"/>
          <w:sz w:val="14"/>
          <w:szCs w:val="14"/>
        </w:rPr>
        <w:t xml:space="preserve"> </w:t>
      </w:r>
      <w:r w:rsidRPr="006E426E">
        <w:rPr>
          <w:rFonts w:ascii="Verdana" w:hAnsi="Verdana" w:cs="Arial"/>
          <w:sz w:val="14"/>
          <w:szCs w:val="14"/>
        </w:rPr>
        <w:t>Administrativo.</w:t>
      </w:r>
    </w:p>
    <w:p w14:paraId="000C6927" w14:textId="77777777" w:rsidR="00455F2B" w:rsidRPr="006E426E" w:rsidRDefault="00455F2B" w:rsidP="00455F2B">
      <w:pPr>
        <w:contextualSpacing/>
        <w:jc w:val="both"/>
        <w:rPr>
          <w:rFonts w:ascii="Verdana" w:hAnsi="Verdana" w:cs="Arial"/>
          <w:sz w:val="14"/>
          <w:szCs w:val="14"/>
        </w:rPr>
      </w:pPr>
      <w:r w:rsidRPr="006E426E">
        <w:rPr>
          <w:rFonts w:ascii="Verdana" w:hAnsi="Verdana" w:cs="Arial"/>
          <w:sz w:val="14"/>
          <w:szCs w:val="14"/>
        </w:rPr>
        <w:t>Para</w:t>
      </w:r>
      <w:r w:rsidRPr="006E426E">
        <w:rPr>
          <w:rFonts w:ascii="Verdana" w:hAnsi="Verdana" w:cs="Arial"/>
          <w:spacing w:val="-5"/>
          <w:sz w:val="14"/>
          <w:szCs w:val="14"/>
        </w:rPr>
        <w:t xml:space="preserve"> </w:t>
      </w:r>
      <w:r w:rsidRPr="006E426E">
        <w:rPr>
          <w:rFonts w:ascii="Verdana" w:hAnsi="Verdana" w:cs="Arial"/>
          <w:sz w:val="14"/>
          <w:szCs w:val="14"/>
        </w:rPr>
        <w:t>el</w:t>
      </w:r>
      <w:r w:rsidRPr="006E426E">
        <w:rPr>
          <w:rFonts w:ascii="Verdana" w:hAnsi="Verdana" w:cs="Arial"/>
          <w:spacing w:val="-5"/>
          <w:sz w:val="14"/>
          <w:szCs w:val="14"/>
        </w:rPr>
        <w:t xml:space="preserve"> </w:t>
      </w:r>
      <w:r w:rsidRPr="006E426E">
        <w:rPr>
          <w:rFonts w:ascii="Verdana" w:hAnsi="Verdana" w:cs="Arial"/>
          <w:sz w:val="14"/>
          <w:szCs w:val="14"/>
        </w:rPr>
        <w:t>efecto</w:t>
      </w:r>
      <w:r w:rsidRPr="006E426E">
        <w:rPr>
          <w:rFonts w:ascii="Verdana" w:hAnsi="Verdana" w:cs="Arial"/>
          <w:spacing w:val="-4"/>
          <w:sz w:val="14"/>
          <w:szCs w:val="14"/>
        </w:rPr>
        <w:t xml:space="preserve"> </w:t>
      </w:r>
      <w:r w:rsidRPr="006E426E">
        <w:rPr>
          <w:rFonts w:ascii="Verdana" w:hAnsi="Verdana" w:cs="Arial"/>
          <w:sz w:val="14"/>
          <w:szCs w:val="14"/>
        </w:rPr>
        <w:t>será</w:t>
      </w:r>
      <w:r w:rsidRPr="006E426E">
        <w:rPr>
          <w:rFonts w:ascii="Verdana" w:hAnsi="Verdana" w:cs="Arial"/>
          <w:spacing w:val="-5"/>
          <w:sz w:val="14"/>
          <w:szCs w:val="14"/>
        </w:rPr>
        <w:t xml:space="preserve"> </w:t>
      </w:r>
      <w:r w:rsidRPr="006E426E">
        <w:rPr>
          <w:rFonts w:ascii="Verdana" w:hAnsi="Verdana" w:cs="Arial"/>
          <w:sz w:val="14"/>
          <w:szCs w:val="14"/>
        </w:rPr>
        <w:t>competente</w:t>
      </w:r>
      <w:r w:rsidRPr="006E426E">
        <w:rPr>
          <w:rFonts w:ascii="Verdana" w:hAnsi="Verdana" w:cs="Arial"/>
          <w:spacing w:val="-4"/>
          <w:sz w:val="14"/>
          <w:szCs w:val="14"/>
        </w:rPr>
        <w:t xml:space="preserve"> </w:t>
      </w:r>
      <w:r w:rsidRPr="006E426E">
        <w:rPr>
          <w:rFonts w:ascii="Verdana" w:hAnsi="Verdana" w:cs="Arial"/>
          <w:sz w:val="14"/>
          <w:szCs w:val="14"/>
        </w:rPr>
        <w:t>el</w:t>
      </w:r>
      <w:r w:rsidRPr="006E426E">
        <w:rPr>
          <w:rFonts w:ascii="Verdana" w:hAnsi="Verdana" w:cs="Arial"/>
          <w:spacing w:val="-5"/>
          <w:sz w:val="14"/>
          <w:szCs w:val="14"/>
        </w:rPr>
        <w:t xml:space="preserve"> </w:t>
      </w:r>
      <w:r w:rsidRPr="006E426E">
        <w:rPr>
          <w:rFonts w:ascii="Verdana" w:hAnsi="Verdana" w:cs="Arial"/>
          <w:sz w:val="14"/>
          <w:szCs w:val="14"/>
        </w:rPr>
        <w:t>Juez</w:t>
      </w:r>
      <w:r w:rsidRPr="006E426E">
        <w:rPr>
          <w:rFonts w:ascii="Verdana" w:hAnsi="Verdana" w:cs="Arial"/>
          <w:spacing w:val="-4"/>
          <w:sz w:val="14"/>
          <w:szCs w:val="14"/>
        </w:rPr>
        <w:t xml:space="preserve"> </w:t>
      </w:r>
      <w:r w:rsidRPr="006E426E">
        <w:rPr>
          <w:rFonts w:ascii="Verdana" w:hAnsi="Verdana" w:cs="Arial"/>
          <w:sz w:val="14"/>
          <w:szCs w:val="14"/>
        </w:rPr>
        <w:t>de</w:t>
      </w:r>
      <w:r w:rsidRPr="006E426E">
        <w:rPr>
          <w:rFonts w:ascii="Verdana" w:hAnsi="Verdana" w:cs="Arial"/>
          <w:spacing w:val="-5"/>
          <w:sz w:val="14"/>
          <w:szCs w:val="14"/>
        </w:rPr>
        <w:t xml:space="preserve"> </w:t>
      </w:r>
      <w:r w:rsidRPr="006E426E">
        <w:rPr>
          <w:rFonts w:ascii="Verdana" w:hAnsi="Verdana" w:cs="Arial"/>
          <w:sz w:val="14"/>
          <w:szCs w:val="14"/>
        </w:rPr>
        <w:t>lo</w:t>
      </w:r>
      <w:r w:rsidRPr="006E426E">
        <w:rPr>
          <w:rFonts w:ascii="Verdana" w:hAnsi="Verdana" w:cs="Arial"/>
          <w:spacing w:val="-4"/>
          <w:sz w:val="14"/>
          <w:szCs w:val="14"/>
        </w:rPr>
        <w:t xml:space="preserve"> </w:t>
      </w:r>
      <w:r w:rsidRPr="006E426E">
        <w:rPr>
          <w:rFonts w:ascii="Verdana" w:hAnsi="Verdana" w:cs="Arial"/>
          <w:sz w:val="14"/>
          <w:szCs w:val="14"/>
        </w:rPr>
        <w:t>Contencioso</w:t>
      </w:r>
      <w:r w:rsidRPr="006E426E">
        <w:rPr>
          <w:rFonts w:ascii="Verdana" w:hAnsi="Verdana" w:cs="Arial"/>
          <w:spacing w:val="-5"/>
          <w:sz w:val="14"/>
          <w:szCs w:val="14"/>
        </w:rPr>
        <w:t xml:space="preserve"> </w:t>
      </w:r>
      <w:r w:rsidRPr="006E426E">
        <w:rPr>
          <w:rFonts w:ascii="Verdana" w:hAnsi="Verdana" w:cs="Arial"/>
          <w:sz w:val="14"/>
          <w:szCs w:val="14"/>
        </w:rPr>
        <w:t>Administrativo</w:t>
      </w:r>
      <w:r w:rsidRPr="006E426E">
        <w:rPr>
          <w:rFonts w:ascii="Verdana" w:hAnsi="Verdana" w:cs="Arial"/>
          <w:spacing w:val="-4"/>
          <w:sz w:val="14"/>
          <w:szCs w:val="14"/>
        </w:rPr>
        <w:t xml:space="preserve"> </w:t>
      </w:r>
      <w:r w:rsidRPr="006E426E">
        <w:rPr>
          <w:rFonts w:ascii="Verdana" w:hAnsi="Verdana" w:cs="Arial"/>
          <w:sz w:val="14"/>
          <w:szCs w:val="14"/>
        </w:rPr>
        <w:t>en</w:t>
      </w:r>
      <w:r w:rsidRPr="006E426E">
        <w:rPr>
          <w:rFonts w:ascii="Verdana" w:hAnsi="Verdana" w:cs="Arial"/>
          <w:spacing w:val="-5"/>
          <w:sz w:val="14"/>
          <w:szCs w:val="14"/>
        </w:rPr>
        <w:t xml:space="preserve"> </w:t>
      </w:r>
      <w:r w:rsidRPr="006E426E">
        <w:rPr>
          <w:rFonts w:ascii="Verdana" w:hAnsi="Verdana" w:cs="Arial"/>
          <w:sz w:val="14"/>
          <w:szCs w:val="14"/>
        </w:rPr>
        <w:t>única</w:t>
      </w:r>
      <w:r w:rsidRPr="006E426E">
        <w:rPr>
          <w:rFonts w:ascii="Verdana" w:hAnsi="Verdana" w:cs="Arial"/>
          <w:spacing w:val="-4"/>
          <w:sz w:val="14"/>
          <w:szCs w:val="14"/>
        </w:rPr>
        <w:t xml:space="preserve"> </w:t>
      </w:r>
      <w:r w:rsidRPr="006E426E">
        <w:rPr>
          <w:rFonts w:ascii="Verdana" w:hAnsi="Verdana" w:cs="Arial"/>
          <w:sz w:val="14"/>
          <w:szCs w:val="14"/>
        </w:rPr>
        <w:t>instancia.</w:t>
      </w:r>
    </w:p>
    <w:p w14:paraId="772AAF84" w14:textId="77777777" w:rsidR="00455F2B" w:rsidRPr="006E426E" w:rsidRDefault="00455F2B" w:rsidP="00455F2B">
      <w:pPr>
        <w:ind w:firstLine="708"/>
        <w:contextualSpacing/>
        <w:jc w:val="both"/>
        <w:rPr>
          <w:rFonts w:ascii="Verdana" w:hAnsi="Verdana" w:cs="Arial"/>
          <w:sz w:val="14"/>
          <w:szCs w:val="14"/>
        </w:rPr>
      </w:pPr>
      <w:r w:rsidRPr="006E426E">
        <w:rPr>
          <w:rFonts w:ascii="Verdana" w:hAnsi="Verdana" w:cs="Arial"/>
          <w:sz w:val="14"/>
          <w:szCs w:val="14"/>
        </w:rPr>
        <w:t>La presentación de la demanda no suspenderá la inscripción, ni será causal de suspensión de los procesos de selección en curso en los que el</w:t>
      </w:r>
      <w:r w:rsidRPr="006E426E">
        <w:rPr>
          <w:rFonts w:ascii="Verdana" w:hAnsi="Verdana" w:cs="Arial"/>
          <w:spacing w:val="1"/>
          <w:sz w:val="14"/>
          <w:szCs w:val="14"/>
        </w:rPr>
        <w:t xml:space="preserve"> </w:t>
      </w:r>
      <w:r w:rsidRPr="006E426E">
        <w:rPr>
          <w:rFonts w:ascii="Verdana" w:hAnsi="Verdana" w:cs="Arial"/>
          <w:spacing w:val="-1"/>
          <w:sz w:val="14"/>
          <w:szCs w:val="14"/>
        </w:rPr>
        <w:t>proponente</w:t>
      </w:r>
      <w:r w:rsidRPr="006E426E">
        <w:rPr>
          <w:rFonts w:ascii="Verdana" w:hAnsi="Verdana" w:cs="Arial"/>
          <w:spacing w:val="-8"/>
          <w:sz w:val="14"/>
          <w:szCs w:val="14"/>
        </w:rPr>
        <w:t xml:space="preserve"> </w:t>
      </w:r>
      <w:r w:rsidRPr="006E426E">
        <w:rPr>
          <w:rFonts w:ascii="Verdana" w:hAnsi="Verdana" w:cs="Arial"/>
          <w:spacing w:val="-1"/>
          <w:sz w:val="14"/>
          <w:szCs w:val="14"/>
        </w:rPr>
        <w:t>sea</w:t>
      </w:r>
      <w:r w:rsidRPr="006E426E">
        <w:rPr>
          <w:rFonts w:ascii="Verdana" w:hAnsi="Verdana" w:cs="Arial"/>
          <w:spacing w:val="-8"/>
          <w:sz w:val="14"/>
          <w:szCs w:val="14"/>
        </w:rPr>
        <w:t xml:space="preserve"> </w:t>
      </w:r>
      <w:r w:rsidRPr="006E426E">
        <w:rPr>
          <w:rFonts w:ascii="Verdana" w:hAnsi="Verdana" w:cs="Arial"/>
          <w:spacing w:val="-1"/>
          <w:sz w:val="14"/>
          <w:szCs w:val="14"/>
        </w:rPr>
        <w:t>parte.</w:t>
      </w:r>
      <w:r w:rsidRPr="006E426E">
        <w:rPr>
          <w:rFonts w:ascii="Verdana" w:hAnsi="Verdana" w:cs="Arial"/>
          <w:spacing w:val="-7"/>
          <w:sz w:val="14"/>
          <w:szCs w:val="14"/>
        </w:rPr>
        <w:t xml:space="preserve"> </w:t>
      </w:r>
      <w:r w:rsidRPr="006E426E">
        <w:rPr>
          <w:rFonts w:ascii="Verdana" w:hAnsi="Verdana" w:cs="Arial"/>
          <w:spacing w:val="-1"/>
          <w:sz w:val="14"/>
          <w:szCs w:val="14"/>
        </w:rPr>
        <w:t>El</w:t>
      </w:r>
      <w:r w:rsidRPr="006E426E">
        <w:rPr>
          <w:rFonts w:ascii="Verdana" w:hAnsi="Verdana" w:cs="Arial"/>
          <w:spacing w:val="-8"/>
          <w:sz w:val="14"/>
          <w:szCs w:val="14"/>
        </w:rPr>
        <w:t xml:space="preserve"> </w:t>
      </w:r>
      <w:r w:rsidRPr="006E426E">
        <w:rPr>
          <w:rFonts w:ascii="Verdana" w:hAnsi="Verdana" w:cs="Arial"/>
          <w:spacing w:val="-1"/>
          <w:sz w:val="14"/>
          <w:szCs w:val="14"/>
        </w:rPr>
        <w:t>proceso</w:t>
      </w:r>
      <w:r w:rsidRPr="006E426E">
        <w:rPr>
          <w:rFonts w:ascii="Verdana" w:hAnsi="Verdana" w:cs="Arial"/>
          <w:spacing w:val="-7"/>
          <w:sz w:val="14"/>
          <w:szCs w:val="14"/>
        </w:rPr>
        <w:t xml:space="preserve"> </w:t>
      </w:r>
      <w:r w:rsidRPr="006E426E">
        <w:rPr>
          <w:rFonts w:ascii="Verdana" w:hAnsi="Verdana" w:cs="Arial"/>
          <w:spacing w:val="-1"/>
          <w:sz w:val="14"/>
          <w:szCs w:val="14"/>
        </w:rPr>
        <w:t>se</w:t>
      </w:r>
      <w:r w:rsidRPr="006E426E">
        <w:rPr>
          <w:rFonts w:ascii="Verdana" w:hAnsi="Verdana" w:cs="Arial"/>
          <w:spacing w:val="-8"/>
          <w:sz w:val="14"/>
          <w:szCs w:val="14"/>
        </w:rPr>
        <w:t xml:space="preserve"> </w:t>
      </w:r>
      <w:r w:rsidRPr="006E426E">
        <w:rPr>
          <w:rFonts w:ascii="Verdana" w:hAnsi="Verdana" w:cs="Arial"/>
          <w:spacing w:val="-1"/>
          <w:sz w:val="14"/>
          <w:szCs w:val="14"/>
        </w:rPr>
        <w:t>tramitará</w:t>
      </w:r>
      <w:r w:rsidRPr="006E426E">
        <w:rPr>
          <w:rFonts w:ascii="Verdana" w:hAnsi="Verdana" w:cs="Arial"/>
          <w:spacing w:val="-7"/>
          <w:sz w:val="14"/>
          <w:szCs w:val="14"/>
        </w:rPr>
        <w:t xml:space="preserve"> </w:t>
      </w:r>
      <w:r w:rsidRPr="006E426E">
        <w:rPr>
          <w:rFonts w:ascii="Verdana" w:hAnsi="Verdana" w:cs="Arial"/>
          <w:spacing w:val="-1"/>
          <w:sz w:val="14"/>
          <w:szCs w:val="14"/>
        </w:rPr>
        <w:t>por</w:t>
      </w:r>
      <w:r w:rsidRPr="006E426E">
        <w:rPr>
          <w:rFonts w:ascii="Verdana" w:hAnsi="Verdana" w:cs="Arial"/>
          <w:spacing w:val="-8"/>
          <w:sz w:val="14"/>
          <w:szCs w:val="14"/>
        </w:rPr>
        <w:t xml:space="preserve"> </w:t>
      </w:r>
      <w:r w:rsidRPr="006E426E">
        <w:rPr>
          <w:rFonts w:ascii="Verdana" w:hAnsi="Verdana" w:cs="Arial"/>
          <w:spacing w:val="-1"/>
          <w:sz w:val="14"/>
          <w:szCs w:val="14"/>
        </w:rPr>
        <w:t>el</w:t>
      </w:r>
      <w:r w:rsidRPr="006E426E">
        <w:rPr>
          <w:rFonts w:ascii="Verdana" w:hAnsi="Verdana" w:cs="Arial"/>
          <w:spacing w:val="-8"/>
          <w:sz w:val="14"/>
          <w:szCs w:val="14"/>
        </w:rPr>
        <w:t xml:space="preserve"> </w:t>
      </w:r>
      <w:r w:rsidRPr="006E426E">
        <w:rPr>
          <w:rFonts w:ascii="Verdana" w:hAnsi="Verdana" w:cs="Arial"/>
          <w:spacing w:val="-1"/>
          <w:sz w:val="14"/>
          <w:szCs w:val="14"/>
        </w:rPr>
        <w:t>procedimiento</w:t>
      </w:r>
      <w:r w:rsidRPr="006E426E">
        <w:rPr>
          <w:rFonts w:ascii="Verdana" w:hAnsi="Verdana" w:cs="Arial"/>
          <w:spacing w:val="-7"/>
          <w:sz w:val="14"/>
          <w:szCs w:val="14"/>
        </w:rPr>
        <w:t xml:space="preserve"> </w:t>
      </w:r>
      <w:r w:rsidRPr="006E426E">
        <w:rPr>
          <w:rFonts w:ascii="Verdana" w:hAnsi="Verdana" w:cs="Arial"/>
          <w:spacing w:val="-1"/>
          <w:sz w:val="14"/>
          <w:szCs w:val="14"/>
        </w:rPr>
        <w:t>ordinario</w:t>
      </w:r>
      <w:r w:rsidRPr="006E426E">
        <w:rPr>
          <w:rFonts w:ascii="Verdana" w:hAnsi="Verdana" w:cs="Arial"/>
          <w:spacing w:val="-8"/>
          <w:sz w:val="14"/>
          <w:szCs w:val="14"/>
        </w:rPr>
        <w:t xml:space="preserve"> </w:t>
      </w:r>
      <w:r w:rsidRPr="006E426E">
        <w:rPr>
          <w:rFonts w:ascii="Verdana" w:hAnsi="Verdana" w:cs="Arial"/>
          <w:spacing w:val="-1"/>
          <w:sz w:val="14"/>
          <w:szCs w:val="14"/>
        </w:rPr>
        <w:t>a</w:t>
      </w:r>
      <w:r w:rsidRPr="006E426E">
        <w:rPr>
          <w:rFonts w:ascii="Verdana" w:hAnsi="Verdana" w:cs="Arial"/>
          <w:spacing w:val="-7"/>
          <w:sz w:val="14"/>
          <w:szCs w:val="14"/>
        </w:rPr>
        <w:t xml:space="preserve"> </w:t>
      </w:r>
      <w:r w:rsidRPr="006E426E">
        <w:rPr>
          <w:rFonts w:ascii="Verdana" w:hAnsi="Verdana" w:cs="Arial"/>
          <w:spacing w:val="-1"/>
          <w:sz w:val="14"/>
          <w:szCs w:val="14"/>
        </w:rPr>
        <w:t>que</w:t>
      </w:r>
      <w:r w:rsidRPr="006E426E">
        <w:rPr>
          <w:rFonts w:ascii="Verdana" w:hAnsi="Verdana" w:cs="Arial"/>
          <w:spacing w:val="-8"/>
          <w:sz w:val="14"/>
          <w:szCs w:val="14"/>
        </w:rPr>
        <w:t xml:space="preserve"> </w:t>
      </w:r>
      <w:r w:rsidRPr="006E426E">
        <w:rPr>
          <w:rFonts w:ascii="Verdana" w:hAnsi="Verdana" w:cs="Arial"/>
          <w:spacing w:val="-1"/>
          <w:sz w:val="14"/>
          <w:szCs w:val="14"/>
        </w:rPr>
        <w:t>se</w:t>
      </w:r>
      <w:r w:rsidRPr="006E426E">
        <w:rPr>
          <w:rFonts w:ascii="Verdana" w:hAnsi="Verdana" w:cs="Arial"/>
          <w:spacing w:val="-7"/>
          <w:sz w:val="14"/>
          <w:szCs w:val="14"/>
        </w:rPr>
        <w:t xml:space="preserve"> </w:t>
      </w:r>
      <w:r w:rsidRPr="006E426E">
        <w:rPr>
          <w:rFonts w:ascii="Verdana" w:hAnsi="Verdana" w:cs="Arial"/>
          <w:spacing w:val="-1"/>
          <w:sz w:val="14"/>
          <w:szCs w:val="14"/>
        </w:rPr>
        <w:t>refiere</w:t>
      </w:r>
      <w:r w:rsidRPr="006E426E">
        <w:rPr>
          <w:rFonts w:ascii="Verdana" w:hAnsi="Verdana" w:cs="Arial"/>
          <w:spacing w:val="-8"/>
          <w:sz w:val="14"/>
          <w:szCs w:val="14"/>
        </w:rPr>
        <w:t xml:space="preserve"> </w:t>
      </w:r>
      <w:r w:rsidRPr="006E426E">
        <w:rPr>
          <w:rFonts w:ascii="Verdana" w:hAnsi="Verdana" w:cs="Arial"/>
          <w:spacing w:val="-1"/>
          <w:sz w:val="14"/>
          <w:szCs w:val="14"/>
        </w:rPr>
        <w:t>el</w:t>
      </w:r>
      <w:r w:rsidRPr="006E426E">
        <w:rPr>
          <w:rFonts w:ascii="Verdana" w:hAnsi="Verdana" w:cs="Arial"/>
          <w:spacing w:val="-7"/>
          <w:sz w:val="14"/>
          <w:szCs w:val="14"/>
        </w:rPr>
        <w:t xml:space="preserve"> </w:t>
      </w:r>
      <w:r w:rsidRPr="006E426E">
        <w:rPr>
          <w:rFonts w:ascii="Verdana" w:hAnsi="Verdana" w:cs="Arial"/>
          <w:spacing w:val="-1"/>
          <w:sz w:val="14"/>
          <w:szCs w:val="14"/>
        </w:rPr>
        <w:t>Código</w:t>
      </w:r>
      <w:r w:rsidRPr="006E426E">
        <w:rPr>
          <w:rFonts w:ascii="Verdana" w:hAnsi="Verdana" w:cs="Arial"/>
          <w:spacing w:val="-8"/>
          <w:sz w:val="14"/>
          <w:szCs w:val="14"/>
        </w:rPr>
        <w:t xml:space="preserve"> </w:t>
      </w:r>
      <w:r w:rsidRPr="006E426E">
        <w:rPr>
          <w:rFonts w:ascii="Verdana" w:hAnsi="Verdana" w:cs="Arial"/>
          <w:spacing w:val="-1"/>
          <w:sz w:val="14"/>
          <w:szCs w:val="14"/>
        </w:rPr>
        <w:t>Contencioso</w:t>
      </w:r>
      <w:r w:rsidRPr="006E426E">
        <w:rPr>
          <w:rFonts w:ascii="Verdana" w:hAnsi="Verdana" w:cs="Arial"/>
          <w:spacing w:val="-8"/>
          <w:sz w:val="14"/>
          <w:szCs w:val="14"/>
        </w:rPr>
        <w:t xml:space="preserve"> </w:t>
      </w:r>
      <w:r w:rsidRPr="006E426E">
        <w:rPr>
          <w:rFonts w:ascii="Verdana" w:hAnsi="Verdana" w:cs="Arial"/>
          <w:spacing w:val="-1"/>
          <w:sz w:val="14"/>
          <w:szCs w:val="14"/>
        </w:rPr>
        <w:t>Administrativo.</w:t>
      </w:r>
      <w:r w:rsidRPr="006E426E">
        <w:rPr>
          <w:rFonts w:ascii="Verdana" w:hAnsi="Verdana" w:cs="Arial"/>
          <w:spacing w:val="-6"/>
          <w:sz w:val="14"/>
          <w:szCs w:val="14"/>
        </w:rPr>
        <w:t xml:space="preserve"> </w:t>
      </w:r>
      <w:r w:rsidRPr="006E426E">
        <w:rPr>
          <w:rFonts w:ascii="Verdana" w:hAnsi="Verdana" w:cs="Arial"/>
          <w:sz w:val="14"/>
          <w:szCs w:val="14"/>
        </w:rPr>
        <w:t>Adoptada</w:t>
      </w:r>
      <w:r w:rsidRPr="006E426E">
        <w:rPr>
          <w:rFonts w:ascii="Verdana" w:hAnsi="Verdana" w:cs="Arial"/>
          <w:spacing w:val="-8"/>
          <w:sz w:val="14"/>
          <w:szCs w:val="14"/>
        </w:rPr>
        <w:t xml:space="preserve"> </w:t>
      </w:r>
      <w:r w:rsidRPr="006E426E">
        <w:rPr>
          <w:rFonts w:ascii="Verdana" w:hAnsi="Verdana" w:cs="Arial"/>
          <w:sz w:val="14"/>
          <w:szCs w:val="14"/>
        </w:rPr>
        <w:t>la</w:t>
      </w:r>
      <w:r w:rsidRPr="006E426E">
        <w:rPr>
          <w:rFonts w:ascii="Verdana" w:hAnsi="Verdana" w:cs="Arial"/>
          <w:spacing w:val="-7"/>
          <w:sz w:val="14"/>
          <w:szCs w:val="14"/>
        </w:rPr>
        <w:t xml:space="preserve"> </w:t>
      </w:r>
      <w:r w:rsidRPr="006E426E">
        <w:rPr>
          <w:rFonts w:ascii="Verdana" w:hAnsi="Verdana" w:cs="Arial"/>
          <w:sz w:val="14"/>
          <w:szCs w:val="14"/>
        </w:rPr>
        <w:t>decisión,</w:t>
      </w:r>
      <w:r w:rsidRPr="006E426E">
        <w:rPr>
          <w:rFonts w:ascii="Verdana" w:hAnsi="Verdana" w:cs="Arial"/>
          <w:spacing w:val="-8"/>
          <w:sz w:val="14"/>
          <w:szCs w:val="14"/>
        </w:rPr>
        <w:t xml:space="preserve"> </w:t>
      </w:r>
      <w:r w:rsidRPr="006E426E">
        <w:rPr>
          <w:rFonts w:ascii="Verdana" w:hAnsi="Verdana" w:cs="Arial"/>
          <w:sz w:val="14"/>
          <w:szCs w:val="14"/>
        </w:rPr>
        <w:t>la</w:t>
      </w:r>
      <w:r w:rsidRPr="006E426E">
        <w:rPr>
          <w:rFonts w:ascii="Verdana" w:hAnsi="Verdana" w:cs="Arial"/>
          <w:spacing w:val="-7"/>
          <w:sz w:val="14"/>
          <w:szCs w:val="14"/>
        </w:rPr>
        <w:t xml:space="preserve"> </w:t>
      </w:r>
      <w:r w:rsidRPr="006E426E">
        <w:rPr>
          <w:rFonts w:ascii="Verdana" w:hAnsi="Verdana" w:cs="Arial"/>
          <w:sz w:val="14"/>
          <w:szCs w:val="14"/>
        </w:rPr>
        <w:t>misma</w:t>
      </w:r>
      <w:r w:rsidRPr="006E426E">
        <w:rPr>
          <w:rFonts w:ascii="Verdana" w:hAnsi="Verdana" w:cs="Arial"/>
          <w:spacing w:val="1"/>
          <w:sz w:val="14"/>
          <w:szCs w:val="14"/>
        </w:rPr>
        <w:t xml:space="preserve"> </w:t>
      </w:r>
      <w:r w:rsidRPr="006E426E">
        <w:rPr>
          <w:rFonts w:ascii="Verdana" w:hAnsi="Verdana" w:cs="Arial"/>
          <w:sz w:val="14"/>
          <w:szCs w:val="14"/>
        </w:rPr>
        <w:t>sólo</w:t>
      </w:r>
      <w:r w:rsidRPr="006E426E">
        <w:rPr>
          <w:rFonts w:ascii="Verdana" w:hAnsi="Verdana" w:cs="Arial"/>
          <w:spacing w:val="-2"/>
          <w:sz w:val="14"/>
          <w:szCs w:val="14"/>
        </w:rPr>
        <w:t xml:space="preserve"> </w:t>
      </w:r>
      <w:r w:rsidRPr="006E426E">
        <w:rPr>
          <w:rFonts w:ascii="Verdana" w:hAnsi="Verdana" w:cs="Arial"/>
          <w:sz w:val="14"/>
          <w:szCs w:val="14"/>
        </w:rPr>
        <w:t>tendrá</w:t>
      </w:r>
      <w:r w:rsidRPr="006E426E">
        <w:rPr>
          <w:rFonts w:ascii="Verdana" w:hAnsi="Verdana" w:cs="Arial"/>
          <w:spacing w:val="-1"/>
          <w:sz w:val="14"/>
          <w:szCs w:val="14"/>
        </w:rPr>
        <w:t xml:space="preserve"> </w:t>
      </w:r>
      <w:r w:rsidRPr="006E426E">
        <w:rPr>
          <w:rFonts w:ascii="Verdana" w:hAnsi="Verdana" w:cs="Arial"/>
          <w:sz w:val="14"/>
          <w:szCs w:val="14"/>
        </w:rPr>
        <w:t>efectos</w:t>
      </w:r>
      <w:r w:rsidRPr="006E426E">
        <w:rPr>
          <w:rFonts w:ascii="Verdana" w:hAnsi="Verdana" w:cs="Arial"/>
          <w:spacing w:val="-1"/>
          <w:sz w:val="14"/>
          <w:szCs w:val="14"/>
        </w:rPr>
        <w:t xml:space="preserve"> </w:t>
      </w:r>
      <w:r w:rsidRPr="006E426E">
        <w:rPr>
          <w:rFonts w:ascii="Verdana" w:hAnsi="Verdana" w:cs="Arial"/>
          <w:sz w:val="14"/>
          <w:szCs w:val="14"/>
        </w:rPr>
        <w:t>hacia</w:t>
      </w:r>
      <w:r w:rsidRPr="006E426E">
        <w:rPr>
          <w:rFonts w:ascii="Verdana" w:hAnsi="Verdana" w:cs="Arial"/>
          <w:spacing w:val="-1"/>
          <w:sz w:val="14"/>
          <w:szCs w:val="14"/>
        </w:rPr>
        <w:t xml:space="preserve"> </w:t>
      </w:r>
      <w:r w:rsidRPr="006E426E">
        <w:rPr>
          <w:rFonts w:ascii="Verdana" w:hAnsi="Verdana" w:cs="Arial"/>
          <w:sz w:val="14"/>
          <w:szCs w:val="14"/>
        </w:rPr>
        <w:t>el</w:t>
      </w:r>
      <w:r w:rsidRPr="006E426E">
        <w:rPr>
          <w:rFonts w:ascii="Verdana" w:hAnsi="Verdana" w:cs="Arial"/>
          <w:spacing w:val="-1"/>
          <w:sz w:val="14"/>
          <w:szCs w:val="14"/>
        </w:rPr>
        <w:t xml:space="preserve"> </w:t>
      </w:r>
      <w:r w:rsidRPr="006E426E">
        <w:rPr>
          <w:rFonts w:ascii="Verdana" w:hAnsi="Verdana" w:cs="Arial"/>
          <w:sz w:val="14"/>
          <w:szCs w:val="14"/>
        </w:rPr>
        <w:t>futuro.</w:t>
      </w:r>
    </w:p>
    <w:p w14:paraId="3B9C5D8E" w14:textId="77777777" w:rsidR="00455F2B" w:rsidRPr="006E426E" w:rsidRDefault="00455F2B" w:rsidP="00455F2B">
      <w:pPr>
        <w:ind w:firstLine="708"/>
        <w:contextualSpacing/>
        <w:jc w:val="both"/>
        <w:rPr>
          <w:rFonts w:ascii="Verdana" w:hAnsi="Verdana" w:cs="Arial"/>
          <w:sz w:val="14"/>
          <w:szCs w:val="14"/>
        </w:rPr>
      </w:pPr>
      <w:r w:rsidRPr="006E426E">
        <w:rPr>
          <w:rFonts w:ascii="Verdana" w:hAnsi="Verdana" w:cs="Arial"/>
          <w:sz w:val="14"/>
          <w:szCs w:val="14"/>
        </w:rPr>
        <w:t>Cuando en desarrollo de un proceso de selección una entidad estatal advierta la existencia de posibles irregularidades en el contenido de la</w:t>
      </w:r>
      <w:r w:rsidRPr="006E426E">
        <w:rPr>
          <w:rFonts w:ascii="Verdana" w:hAnsi="Verdana" w:cs="Arial"/>
          <w:spacing w:val="1"/>
          <w:sz w:val="14"/>
          <w:szCs w:val="14"/>
        </w:rPr>
        <w:t xml:space="preserve"> </w:t>
      </w:r>
      <w:r w:rsidRPr="006E426E">
        <w:rPr>
          <w:rFonts w:ascii="Verdana" w:hAnsi="Verdana" w:cs="Arial"/>
          <w:spacing w:val="-1"/>
          <w:sz w:val="14"/>
          <w:szCs w:val="14"/>
        </w:rPr>
        <w:t>información</w:t>
      </w:r>
      <w:r w:rsidRPr="006E426E">
        <w:rPr>
          <w:rFonts w:ascii="Verdana" w:hAnsi="Verdana" w:cs="Arial"/>
          <w:spacing w:val="-7"/>
          <w:sz w:val="14"/>
          <w:szCs w:val="14"/>
        </w:rPr>
        <w:t xml:space="preserve"> </w:t>
      </w:r>
      <w:r w:rsidRPr="006E426E">
        <w:rPr>
          <w:rFonts w:ascii="Verdana" w:hAnsi="Verdana" w:cs="Arial"/>
          <w:spacing w:val="-1"/>
          <w:sz w:val="14"/>
          <w:szCs w:val="14"/>
        </w:rPr>
        <w:t>del</w:t>
      </w:r>
      <w:r w:rsidRPr="006E426E">
        <w:rPr>
          <w:rFonts w:ascii="Verdana" w:hAnsi="Verdana" w:cs="Arial"/>
          <w:spacing w:val="-7"/>
          <w:sz w:val="14"/>
          <w:szCs w:val="14"/>
        </w:rPr>
        <w:t xml:space="preserve"> </w:t>
      </w:r>
      <w:r w:rsidRPr="006E426E">
        <w:rPr>
          <w:rFonts w:ascii="Verdana" w:hAnsi="Verdana" w:cs="Arial"/>
          <w:spacing w:val="-1"/>
          <w:sz w:val="14"/>
          <w:szCs w:val="14"/>
        </w:rPr>
        <w:t>RUP,</w:t>
      </w:r>
      <w:r w:rsidRPr="006E426E">
        <w:rPr>
          <w:rFonts w:ascii="Verdana" w:hAnsi="Verdana" w:cs="Arial"/>
          <w:spacing w:val="-6"/>
          <w:sz w:val="14"/>
          <w:szCs w:val="14"/>
        </w:rPr>
        <w:t xml:space="preserve"> </w:t>
      </w:r>
      <w:r w:rsidRPr="006E426E">
        <w:rPr>
          <w:rFonts w:ascii="Verdana" w:hAnsi="Verdana" w:cs="Arial"/>
          <w:spacing w:val="-1"/>
          <w:sz w:val="14"/>
          <w:szCs w:val="14"/>
        </w:rPr>
        <w:t>que</w:t>
      </w:r>
      <w:r w:rsidRPr="006E426E">
        <w:rPr>
          <w:rFonts w:ascii="Verdana" w:hAnsi="Verdana" w:cs="Arial"/>
          <w:spacing w:val="-7"/>
          <w:sz w:val="14"/>
          <w:szCs w:val="14"/>
        </w:rPr>
        <w:t xml:space="preserve"> </w:t>
      </w:r>
      <w:r w:rsidRPr="006E426E">
        <w:rPr>
          <w:rFonts w:ascii="Verdana" w:hAnsi="Verdana" w:cs="Arial"/>
          <w:spacing w:val="-1"/>
          <w:sz w:val="14"/>
          <w:szCs w:val="14"/>
        </w:rPr>
        <w:t>puedan</w:t>
      </w:r>
      <w:r w:rsidRPr="006E426E">
        <w:rPr>
          <w:rFonts w:ascii="Verdana" w:hAnsi="Verdana" w:cs="Arial"/>
          <w:spacing w:val="-7"/>
          <w:sz w:val="14"/>
          <w:szCs w:val="14"/>
        </w:rPr>
        <w:t xml:space="preserve"> </w:t>
      </w:r>
      <w:r w:rsidRPr="006E426E">
        <w:rPr>
          <w:rFonts w:ascii="Verdana" w:hAnsi="Verdana" w:cs="Arial"/>
          <w:spacing w:val="-1"/>
          <w:sz w:val="14"/>
          <w:szCs w:val="14"/>
        </w:rPr>
        <w:t>afectar</w:t>
      </w:r>
      <w:r w:rsidRPr="006E426E">
        <w:rPr>
          <w:rFonts w:ascii="Verdana" w:hAnsi="Verdana" w:cs="Arial"/>
          <w:spacing w:val="-6"/>
          <w:sz w:val="14"/>
          <w:szCs w:val="14"/>
        </w:rPr>
        <w:t xml:space="preserve"> </w:t>
      </w:r>
      <w:r w:rsidRPr="006E426E">
        <w:rPr>
          <w:rFonts w:ascii="Verdana" w:hAnsi="Verdana" w:cs="Arial"/>
          <w:spacing w:val="-1"/>
          <w:sz w:val="14"/>
          <w:szCs w:val="14"/>
        </w:rPr>
        <w:t>el</w:t>
      </w:r>
      <w:r w:rsidRPr="006E426E">
        <w:rPr>
          <w:rFonts w:ascii="Verdana" w:hAnsi="Verdana" w:cs="Arial"/>
          <w:spacing w:val="-7"/>
          <w:sz w:val="14"/>
          <w:szCs w:val="14"/>
        </w:rPr>
        <w:t xml:space="preserve"> </w:t>
      </w:r>
      <w:r w:rsidRPr="006E426E">
        <w:rPr>
          <w:rFonts w:ascii="Verdana" w:hAnsi="Verdana" w:cs="Arial"/>
          <w:spacing w:val="-1"/>
          <w:sz w:val="14"/>
          <w:szCs w:val="14"/>
        </w:rPr>
        <w:t>cumplimiento</w:t>
      </w:r>
      <w:r w:rsidRPr="006E426E">
        <w:rPr>
          <w:rFonts w:ascii="Verdana" w:hAnsi="Verdana" w:cs="Arial"/>
          <w:spacing w:val="-7"/>
          <w:sz w:val="14"/>
          <w:szCs w:val="14"/>
        </w:rPr>
        <w:t xml:space="preserve"> </w:t>
      </w:r>
      <w:r w:rsidRPr="006E426E">
        <w:rPr>
          <w:rFonts w:ascii="Verdana" w:hAnsi="Verdana" w:cs="Arial"/>
          <w:sz w:val="14"/>
          <w:szCs w:val="14"/>
        </w:rPr>
        <w:t>de</w:t>
      </w:r>
      <w:r w:rsidRPr="006E426E">
        <w:rPr>
          <w:rFonts w:ascii="Verdana" w:hAnsi="Verdana" w:cs="Arial"/>
          <w:spacing w:val="-8"/>
          <w:sz w:val="14"/>
          <w:szCs w:val="14"/>
        </w:rPr>
        <w:t xml:space="preserve"> </w:t>
      </w:r>
      <w:r w:rsidRPr="006E426E">
        <w:rPr>
          <w:rFonts w:ascii="Verdana" w:hAnsi="Verdana" w:cs="Arial"/>
          <w:sz w:val="14"/>
          <w:szCs w:val="14"/>
        </w:rPr>
        <w:t>los</w:t>
      </w:r>
      <w:r w:rsidRPr="006E426E">
        <w:rPr>
          <w:rFonts w:ascii="Verdana" w:hAnsi="Verdana" w:cs="Arial"/>
          <w:spacing w:val="-6"/>
          <w:sz w:val="14"/>
          <w:szCs w:val="14"/>
        </w:rPr>
        <w:t xml:space="preserve"> </w:t>
      </w:r>
      <w:r w:rsidRPr="006E426E">
        <w:rPr>
          <w:rFonts w:ascii="Verdana" w:hAnsi="Verdana" w:cs="Arial"/>
          <w:sz w:val="14"/>
          <w:szCs w:val="14"/>
        </w:rPr>
        <w:t>requisitos</w:t>
      </w:r>
      <w:r w:rsidRPr="006E426E">
        <w:rPr>
          <w:rFonts w:ascii="Verdana" w:hAnsi="Verdana" w:cs="Arial"/>
          <w:spacing w:val="-7"/>
          <w:sz w:val="14"/>
          <w:szCs w:val="14"/>
        </w:rPr>
        <w:t xml:space="preserve"> </w:t>
      </w:r>
      <w:r w:rsidRPr="006E426E">
        <w:rPr>
          <w:rFonts w:ascii="Verdana" w:hAnsi="Verdana" w:cs="Arial"/>
          <w:sz w:val="14"/>
          <w:szCs w:val="14"/>
        </w:rPr>
        <w:t>exigidos</w:t>
      </w:r>
      <w:r w:rsidRPr="006E426E">
        <w:rPr>
          <w:rFonts w:ascii="Verdana" w:hAnsi="Verdana" w:cs="Arial"/>
          <w:spacing w:val="-6"/>
          <w:sz w:val="14"/>
          <w:szCs w:val="14"/>
        </w:rPr>
        <w:t xml:space="preserve"> </w:t>
      </w:r>
      <w:r w:rsidRPr="006E426E">
        <w:rPr>
          <w:rFonts w:ascii="Verdana" w:hAnsi="Verdana" w:cs="Arial"/>
          <w:sz w:val="14"/>
          <w:szCs w:val="14"/>
        </w:rPr>
        <w:t>al</w:t>
      </w:r>
      <w:r w:rsidRPr="006E426E">
        <w:rPr>
          <w:rFonts w:ascii="Verdana" w:hAnsi="Verdana" w:cs="Arial"/>
          <w:spacing w:val="-8"/>
          <w:sz w:val="14"/>
          <w:szCs w:val="14"/>
        </w:rPr>
        <w:t xml:space="preserve"> </w:t>
      </w:r>
      <w:r w:rsidRPr="006E426E">
        <w:rPr>
          <w:rFonts w:ascii="Verdana" w:hAnsi="Verdana" w:cs="Arial"/>
          <w:sz w:val="14"/>
          <w:szCs w:val="14"/>
        </w:rPr>
        <w:t>proponente</w:t>
      </w:r>
      <w:r w:rsidRPr="006E426E">
        <w:rPr>
          <w:rFonts w:ascii="Verdana" w:hAnsi="Verdana" w:cs="Arial"/>
          <w:spacing w:val="-6"/>
          <w:sz w:val="14"/>
          <w:szCs w:val="14"/>
        </w:rPr>
        <w:t xml:space="preserve"> </w:t>
      </w:r>
      <w:r w:rsidRPr="006E426E">
        <w:rPr>
          <w:rFonts w:ascii="Verdana" w:hAnsi="Verdana" w:cs="Arial"/>
          <w:sz w:val="14"/>
          <w:szCs w:val="14"/>
        </w:rPr>
        <w:t>dentro</w:t>
      </w:r>
      <w:r w:rsidRPr="006E426E">
        <w:rPr>
          <w:rFonts w:ascii="Verdana" w:hAnsi="Verdana" w:cs="Arial"/>
          <w:spacing w:val="-6"/>
          <w:sz w:val="14"/>
          <w:szCs w:val="14"/>
        </w:rPr>
        <w:t xml:space="preserve"> </w:t>
      </w:r>
      <w:r w:rsidRPr="006E426E">
        <w:rPr>
          <w:rFonts w:ascii="Verdana" w:hAnsi="Verdana" w:cs="Arial"/>
          <w:sz w:val="14"/>
          <w:szCs w:val="14"/>
        </w:rPr>
        <w:t>del</w:t>
      </w:r>
      <w:r w:rsidRPr="006E426E">
        <w:rPr>
          <w:rFonts w:ascii="Verdana" w:hAnsi="Verdana" w:cs="Arial"/>
          <w:spacing w:val="-7"/>
          <w:sz w:val="14"/>
          <w:szCs w:val="14"/>
        </w:rPr>
        <w:t xml:space="preserve"> </w:t>
      </w:r>
      <w:r w:rsidRPr="006E426E">
        <w:rPr>
          <w:rFonts w:ascii="Verdana" w:hAnsi="Verdana" w:cs="Arial"/>
          <w:sz w:val="14"/>
          <w:szCs w:val="14"/>
        </w:rPr>
        <w:t>proceso</w:t>
      </w:r>
      <w:r w:rsidRPr="006E426E">
        <w:rPr>
          <w:rFonts w:ascii="Verdana" w:hAnsi="Verdana" w:cs="Arial"/>
          <w:spacing w:val="-7"/>
          <w:sz w:val="14"/>
          <w:szCs w:val="14"/>
        </w:rPr>
        <w:t xml:space="preserve"> </w:t>
      </w:r>
      <w:r w:rsidRPr="006E426E">
        <w:rPr>
          <w:rFonts w:ascii="Verdana" w:hAnsi="Verdana" w:cs="Arial"/>
          <w:sz w:val="14"/>
          <w:szCs w:val="14"/>
        </w:rPr>
        <w:t>de</w:t>
      </w:r>
      <w:r w:rsidRPr="006E426E">
        <w:rPr>
          <w:rFonts w:ascii="Verdana" w:hAnsi="Verdana" w:cs="Arial"/>
          <w:spacing w:val="-7"/>
          <w:sz w:val="14"/>
          <w:szCs w:val="14"/>
        </w:rPr>
        <w:t xml:space="preserve"> </w:t>
      </w:r>
      <w:r w:rsidRPr="006E426E">
        <w:rPr>
          <w:rFonts w:ascii="Verdana" w:hAnsi="Verdana" w:cs="Arial"/>
          <w:sz w:val="14"/>
          <w:szCs w:val="14"/>
        </w:rPr>
        <w:t>que</w:t>
      </w:r>
      <w:r w:rsidRPr="006E426E">
        <w:rPr>
          <w:rFonts w:ascii="Verdana" w:hAnsi="Verdana" w:cs="Arial"/>
          <w:spacing w:val="-7"/>
          <w:sz w:val="14"/>
          <w:szCs w:val="14"/>
        </w:rPr>
        <w:t xml:space="preserve"> </w:t>
      </w:r>
      <w:r w:rsidRPr="006E426E">
        <w:rPr>
          <w:rFonts w:ascii="Verdana" w:hAnsi="Verdana" w:cs="Arial"/>
          <w:sz w:val="14"/>
          <w:szCs w:val="14"/>
        </w:rPr>
        <w:t>se</w:t>
      </w:r>
      <w:r w:rsidRPr="006E426E">
        <w:rPr>
          <w:rFonts w:ascii="Verdana" w:hAnsi="Verdana" w:cs="Arial"/>
          <w:spacing w:val="-7"/>
          <w:sz w:val="14"/>
          <w:szCs w:val="14"/>
        </w:rPr>
        <w:t xml:space="preserve"> </w:t>
      </w:r>
      <w:r w:rsidRPr="006E426E">
        <w:rPr>
          <w:rFonts w:ascii="Verdana" w:hAnsi="Verdana" w:cs="Arial"/>
          <w:sz w:val="14"/>
          <w:szCs w:val="14"/>
        </w:rPr>
        <w:t>trate,</w:t>
      </w:r>
      <w:r w:rsidRPr="006E426E">
        <w:rPr>
          <w:rFonts w:ascii="Verdana" w:hAnsi="Verdana" w:cs="Arial"/>
          <w:spacing w:val="-6"/>
          <w:sz w:val="14"/>
          <w:szCs w:val="14"/>
        </w:rPr>
        <w:t xml:space="preserve"> </w:t>
      </w:r>
      <w:r w:rsidRPr="006E426E">
        <w:rPr>
          <w:rFonts w:ascii="Verdana" w:hAnsi="Verdana" w:cs="Arial"/>
          <w:sz w:val="14"/>
          <w:szCs w:val="14"/>
        </w:rPr>
        <w:t>podrá</w:t>
      </w:r>
      <w:r w:rsidRPr="006E426E">
        <w:rPr>
          <w:rFonts w:ascii="Verdana" w:hAnsi="Verdana" w:cs="Arial"/>
          <w:spacing w:val="-7"/>
          <w:sz w:val="14"/>
          <w:szCs w:val="14"/>
        </w:rPr>
        <w:t xml:space="preserve"> </w:t>
      </w:r>
      <w:r w:rsidRPr="006E426E">
        <w:rPr>
          <w:rFonts w:ascii="Verdana" w:hAnsi="Verdana" w:cs="Arial"/>
          <w:sz w:val="14"/>
          <w:szCs w:val="14"/>
        </w:rPr>
        <w:t>suspender</w:t>
      </w:r>
      <w:r w:rsidRPr="006E426E">
        <w:rPr>
          <w:rFonts w:ascii="Verdana" w:hAnsi="Verdana" w:cs="Arial"/>
          <w:spacing w:val="-7"/>
          <w:sz w:val="14"/>
          <w:szCs w:val="14"/>
        </w:rPr>
        <w:t xml:space="preserve"> </w:t>
      </w:r>
      <w:r w:rsidRPr="006E426E">
        <w:rPr>
          <w:rFonts w:ascii="Verdana" w:hAnsi="Verdana" w:cs="Arial"/>
          <w:sz w:val="14"/>
          <w:szCs w:val="14"/>
        </w:rPr>
        <w:t>el</w:t>
      </w:r>
      <w:r w:rsidRPr="006E426E">
        <w:rPr>
          <w:rFonts w:ascii="Verdana" w:hAnsi="Verdana" w:cs="Arial"/>
          <w:spacing w:val="-7"/>
          <w:sz w:val="14"/>
          <w:szCs w:val="14"/>
        </w:rPr>
        <w:t xml:space="preserve"> </w:t>
      </w:r>
      <w:r w:rsidRPr="006E426E">
        <w:rPr>
          <w:rFonts w:ascii="Verdana" w:hAnsi="Verdana" w:cs="Arial"/>
          <w:sz w:val="14"/>
          <w:szCs w:val="14"/>
        </w:rPr>
        <w:t>proceso</w:t>
      </w:r>
      <w:r w:rsidRPr="006E426E">
        <w:rPr>
          <w:rFonts w:ascii="Verdana" w:hAnsi="Verdana" w:cs="Arial"/>
          <w:spacing w:val="1"/>
          <w:sz w:val="14"/>
          <w:szCs w:val="14"/>
        </w:rPr>
        <w:t xml:space="preserve"> </w:t>
      </w:r>
      <w:r w:rsidRPr="006E426E">
        <w:rPr>
          <w:rFonts w:ascii="Verdana" w:hAnsi="Verdana" w:cs="Arial"/>
          <w:sz w:val="14"/>
          <w:szCs w:val="14"/>
        </w:rPr>
        <w:t>de</w:t>
      </w:r>
      <w:r w:rsidRPr="006E426E">
        <w:rPr>
          <w:rFonts w:ascii="Verdana" w:hAnsi="Verdana" w:cs="Arial"/>
          <w:spacing w:val="-7"/>
          <w:sz w:val="14"/>
          <w:szCs w:val="14"/>
        </w:rPr>
        <w:t xml:space="preserve"> </w:t>
      </w:r>
      <w:r w:rsidRPr="006E426E">
        <w:rPr>
          <w:rFonts w:ascii="Verdana" w:hAnsi="Verdana" w:cs="Arial"/>
          <w:sz w:val="14"/>
          <w:szCs w:val="14"/>
        </w:rPr>
        <w:t>selección</w:t>
      </w:r>
      <w:r w:rsidRPr="006E426E">
        <w:rPr>
          <w:rFonts w:ascii="Verdana" w:hAnsi="Verdana" w:cs="Arial"/>
          <w:spacing w:val="-7"/>
          <w:sz w:val="14"/>
          <w:szCs w:val="14"/>
        </w:rPr>
        <w:t xml:space="preserve"> </w:t>
      </w:r>
      <w:r w:rsidRPr="006E426E">
        <w:rPr>
          <w:rFonts w:ascii="Verdana" w:hAnsi="Verdana" w:cs="Arial"/>
          <w:sz w:val="14"/>
          <w:szCs w:val="14"/>
        </w:rPr>
        <w:t>e</w:t>
      </w:r>
      <w:r w:rsidRPr="006E426E">
        <w:rPr>
          <w:rFonts w:ascii="Verdana" w:hAnsi="Verdana" w:cs="Arial"/>
          <w:spacing w:val="-7"/>
          <w:sz w:val="14"/>
          <w:szCs w:val="14"/>
        </w:rPr>
        <w:t xml:space="preserve"> </w:t>
      </w:r>
      <w:r w:rsidRPr="006E426E">
        <w:rPr>
          <w:rFonts w:ascii="Verdana" w:hAnsi="Verdana" w:cs="Arial"/>
          <w:sz w:val="14"/>
          <w:szCs w:val="14"/>
        </w:rPr>
        <w:t>impugnar</w:t>
      </w:r>
      <w:r w:rsidRPr="006E426E">
        <w:rPr>
          <w:rFonts w:ascii="Verdana" w:hAnsi="Verdana" w:cs="Arial"/>
          <w:spacing w:val="-7"/>
          <w:sz w:val="14"/>
          <w:szCs w:val="14"/>
        </w:rPr>
        <w:t xml:space="preserve"> </w:t>
      </w:r>
      <w:r w:rsidRPr="006E426E">
        <w:rPr>
          <w:rFonts w:ascii="Verdana" w:hAnsi="Verdana" w:cs="Arial"/>
          <w:sz w:val="14"/>
          <w:szCs w:val="14"/>
        </w:rPr>
        <w:t>ante</w:t>
      </w:r>
      <w:r w:rsidRPr="006E426E">
        <w:rPr>
          <w:rFonts w:ascii="Verdana" w:hAnsi="Verdana" w:cs="Arial"/>
          <w:spacing w:val="-7"/>
          <w:sz w:val="14"/>
          <w:szCs w:val="14"/>
        </w:rPr>
        <w:t xml:space="preserve"> </w:t>
      </w:r>
      <w:r w:rsidRPr="006E426E">
        <w:rPr>
          <w:rFonts w:ascii="Verdana" w:hAnsi="Verdana" w:cs="Arial"/>
          <w:sz w:val="14"/>
          <w:szCs w:val="14"/>
        </w:rPr>
        <w:t>la</w:t>
      </w:r>
      <w:r w:rsidRPr="006E426E">
        <w:rPr>
          <w:rFonts w:ascii="Verdana" w:hAnsi="Verdana" w:cs="Arial"/>
          <w:spacing w:val="-7"/>
          <w:sz w:val="14"/>
          <w:szCs w:val="14"/>
        </w:rPr>
        <w:t xml:space="preserve"> </w:t>
      </w:r>
      <w:r w:rsidRPr="006E426E">
        <w:rPr>
          <w:rFonts w:ascii="Verdana" w:hAnsi="Verdana" w:cs="Arial"/>
          <w:sz w:val="14"/>
          <w:szCs w:val="14"/>
        </w:rPr>
        <w:t>Cámara</w:t>
      </w:r>
      <w:r w:rsidRPr="006E426E">
        <w:rPr>
          <w:rFonts w:ascii="Verdana" w:hAnsi="Verdana" w:cs="Arial"/>
          <w:spacing w:val="-7"/>
          <w:sz w:val="14"/>
          <w:szCs w:val="14"/>
        </w:rPr>
        <w:t xml:space="preserve"> </w:t>
      </w:r>
      <w:r w:rsidRPr="006E426E">
        <w:rPr>
          <w:rFonts w:ascii="Verdana" w:hAnsi="Verdana" w:cs="Arial"/>
          <w:sz w:val="14"/>
          <w:szCs w:val="14"/>
        </w:rPr>
        <w:t>de</w:t>
      </w:r>
      <w:r w:rsidRPr="006E426E">
        <w:rPr>
          <w:rFonts w:ascii="Verdana" w:hAnsi="Verdana" w:cs="Arial"/>
          <w:spacing w:val="-7"/>
          <w:sz w:val="14"/>
          <w:szCs w:val="14"/>
        </w:rPr>
        <w:t xml:space="preserve"> </w:t>
      </w:r>
      <w:r w:rsidRPr="006E426E">
        <w:rPr>
          <w:rFonts w:ascii="Verdana" w:hAnsi="Verdana" w:cs="Arial"/>
          <w:sz w:val="14"/>
          <w:szCs w:val="14"/>
        </w:rPr>
        <w:t>Comercio</w:t>
      </w:r>
      <w:r w:rsidRPr="006E426E">
        <w:rPr>
          <w:rFonts w:ascii="Verdana" w:hAnsi="Verdana" w:cs="Arial"/>
          <w:spacing w:val="-7"/>
          <w:sz w:val="14"/>
          <w:szCs w:val="14"/>
        </w:rPr>
        <w:t xml:space="preserve"> </w:t>
      </w:r>
      <w:r w:rsidRPr="006E426E">
        <w:rPr>
          <w:rFonts w:ascii="Verdana" w:hAnsi="Verdana" w:cs="Arial"/>
          <w:sz w:val="14"/>
          <w:szCs w:val="14"/>
        </w:rPr>
        <w:t>la</w:t>
      </w:r>
      <w:r w:rsidRPr="006E426E">
        <w:rPr>
          <w:rFonts w:ascii="Verdana" w:hAnsi="Verdana" w:cs="Arial"/>
          <w:spacing w:val="-7"/>
          <w:sz w:val="14"/>
          <w:szCs w:val="14"/>
        </w:rPr>
        <w:t xml:space="preserve"> </w:t>
      </w:r>
      <w:r w:rsidRPr="006E426E">
        <w:rPr>
          <w:rFonts w:ascii="Verdana" w:hAnsi="Verdana" w:cs="Arial"/>
          <w:sz w:val="14"/>
          <w:szCs w:val="14"/>
        </w:rPr>
        <w:t>inscripción,</w:t>
      </w:r>
      <w:r w:rsidRPr="006E426E">
        <w:rPr>
          <w:rFonts w:ascii="Verdana" w:hAnsi="Verdana" w:cs="Arial"/>
          <w:spacing w:val="-7"/>
          <w:sz w:val="14"/>
          <w:szCs w:val="14"/>
        </w:rPr>
        <w:t xml:space="preserve"> </w:t>
      </w:r>
      <w:r w:rsidRPr="006E426E">
        <w:rPr>
          <w:rFonts w:ascii="Verdana" w:hAnsi="Verdana" w:cs="Arial"/>
          <w:sz w:val="14"/>
          <w:szCs w:val="14"/>
        </w:rPr>
        <w:t>para</w:t>
      </w:r>
      <w:r w:rsidRPr="006E426E">
        <w:rPr>
          <w:rFonts w:ascii="Verdana" w:hAnsi="Verdana" w:cs="Arial"/>
          <w:spacing w:val="-7"/>
          <w:sz w:val="14"/>
          <w:szCs w:val="14"/>
        </w:rPr>
        <w:t xml:space="preserve"> </w:t>
      </w:r>
      <w:r w:rsidRPr="006E426E">
        <w:rPr>
          <w:rFonts w:ascii="Verdana" w:hAnsi="Verdana" w:cs="Arial"/>
          <w:sz w:val="14"/>
          <w:szCs w:val="14"/>
        </w:rPr>
        <w:t>lo</w:t>
      </w:r>
      <w:r w:rsidRPr="006E426E">
        <w:rPr>
          <w:rFonts w:ascii="Verdana" w:hAnsi="Verdana" w:cs="Arial"/>
          <w:spacing w:val="-7"/>
          <w:sz w:val="14"/>
          <w:szCs w:val="14"/>
        </w:rPr>
        <w:t xml:space="preserve"> </w:t>
      </w:r>
      <w:r w:rsidRPr="006E426E">
        <w:rPr>
          <w:rFonts w:ascii="Verdana" w:hAnsi="Verdana" w:cs="Arial"/>
          <w:sz w:val="14"/>
          <w:szCs w:val="14"/>
        </w:rPr>
        <w:t>cual</w:t>
      </w:r>
      <w:r w:rsidRPr="006E426E">
        <w:rPr>
          <w:rFonts w:ascii="Verdana" w:hAnsi="Verdana" w:cs="Arial"/>
          <w:spacing w:val="-7"/>
          <w:sz w:val="14"/>
          <w:szCs w:val="14"/>
        </w:rPr>
        <w:t xml:space="preserve"> </w:t>
      </w:r>
      <w:r w:rsidRPr="006E426E">
        <w:rPr>
          <w:rFonts w:ascii="Verdana" w:hAnsi="Verdana" w:cs="Arial"/>
          <w:sz w:val="14"/>
          <w:szCs w:val="14"/>
        </w:rPr>
        <w:t>no</w:t>
      </w:r>
      <w:r w:rsidRPr="006E426E">
        <w:rPr>
          <w:rFonts w:ascii="Verdana" w:hAnsi="Verdana" w:cs="Arial"/>
          <w:spacing w:val="-7"/>
          <w:sz w:val="14"/>
          <w:szCs w:val="14"/>
        </w:rPr>
        <w:t xml:space="preserve"> </w:t>
      </w:r>
      <w:r w:rsidRPr="006E426E">
        <w:rPr>
          <w:rFonts w:ascii="Verdana" w:hAnsi="Verdana" w:cs="Arial"/>
          <w:sz w:val="14"/>
          <w:szCs w:val="14"/>
        </w:rPr>
        <w:t>estarán</w:t>
      </w:r>
      <w:r w:rsidRPr="006E426E">
        <w:rPr>
          <w:rFonts w:ascii="Verdana" w:hAnsi="Verdana" w:cs="Arial"/>
          <w:spacing w:val="-7"/>
          <w:sz w:val="14"/>
          <w:szCs w:val="14"/>
        </w:rPr>
        <w:t xml:space="preserve"> </w:t>
      </w:r>
      <w:r w:rsidRPr="006E426E">
        <w:rPr>
          <w:rFonts w:ascii="Verdana" w:hAnsi="Verdana" w:cs="Arial"/>
          <w:sz w:val="14"/>
          <w:szCs w:val="14"/>
        </w:rPr>
        <w:t>obligadas</w:t>
      </w:r>
      <w:r w:rsidRPr="006E426E">
        <w:rPr>
          <w:rFonts w:ascii="Verdana" w:hAnsi="Verdana" w:cs="Arial"/>
          <w:spacing w:val="-7"/>
          <w:sz w:val="14"/>
          <w:szCs w:val="14"/>
        </w:rPr>
        <w:t xml:space="preserve"> </w:t>
      </w:r>
      <w:r w:rsidRPr="006E426E">
        <w:rPr>
          <w:rFonts w:ascii="Verdana" w:hAnsi="Verdana" w:cs="Arial"/>
          <w:sz w:val="14"/>
          <w:szCs w:val="14"/>
        </w:rPr>
        <w:t>a</w:t>
      </w:r>
      <w:r w:rsidRPr="006E426E">
        <w:rPr>
          <w:rFonts w:ascii="Verdana" w:hAnsi="Verdana" w:cs="Arial"/>
          <w:spacing w:val="-7"/>
          <w:sz w:val="14"/>
          <w:szCs w:val="14"/>
        </w:rPr>
        <w:t xml:space="preserve"> </w:t>
      </w:r>
      <w:r w:rsidRPr="006E426E">
        <w:rPr>
          <w:rFonts w:ascii="Verdana" w:hAnsi="Verdana" w:cs="Arial"/>
          <w:sz w:val="14"/>
          <w:szCs w:val="14"/>
        </w:rPr>
        <w:t>prestar</w:t>
      </w:r>
      <w:r w:rsidRPr="006E426E">
        <w:rPr>
          <w:rFonts w:ascii="Verdana" w:hAnsi="Verdana" w:cs="Arial"/>
          <w:spacing w:val="-7"/>
          <w:sz w:val="14"/>
          <w:szCs w:val="14"/>
        </w:rPr>
        <w:t xml:space="preserve"> </w:t>
      </w:r>
      <w:r w:rsidRPr="006E426E">
        <w:rPr>
          <w:rFonts w:ascii="Verdana" w:hAnsi="Verdana" w:cs="Arial"/>
          <w:sz w:val="14"/>
          <w:szCs w:val="14"/>
        </w:rPr>
        <w:t>caución.</w:t>
      </w:r>
      <w:r w:rsidRPr="006E426E">
        <w:rPr>
          <w:rFonts w:ascii="Verdana" w:hAnsi="Verdana" w:cs="Arial"/>
          <w:spacing w:val="-7"/>
          <w:sz w:val="14"/>
          <w:szCs w:val="14"/>
        </w:rPr>
        <w:t xml:space="preserve"> </w:t>
      </w:r>
      <w:r w:rsidRPr="006E426E">
        <w:rPr>
          <w:rFonts w:ascii="Verdana" w:hAnsi="Verdana" w:cs="Arial"/>
          <w:sz w:val="14"/>
          <w:szCs w:val="14"/>
        </w:rPr>
        <w:t>Para</w:t>
      </w:r>
      <w:r w:rsidRPr="006E426E">
        <w:rPr>
          <w:rFonts w:ascii="Verdana" w:hAnsi="Verdana" w:cs="Arial"/>
          <w:spacing w:val="-6"/>
          <w:sz w:val="14"/>
          <w:szCs w:val="14"/>
        </w:rPr>
        <w:t xml:space="preserve"> </w:t>
      </w:r>
      <w:r w:rsidRPr="006E426E">
        <w:rPr>
          <w:rFonts w:ascii="Verdana" w:hAnsi="Verdana" w:cs="Arial"/>
          <w:sz w:val="14"/>
          <w:szCs w:val="14"/>
        </w:rPr>
        <w:t>el</w:t>
      </w:r>
      <w:r w:rsidRPr="006E426E">
        <w:rPr>
          <w:rFonts w:ascii="Verdana" w:hAnsi="Verdana" w:cs="Arial"/>
          <w:spacing w:val="-7"/>
          <w:sz w:val="14"/>
          <w:szCs w:val="14"/>
        </w:rPr>
        <w:t xml:space="preserve"> </w:t>
      </w:r>
      <w:r w:rsidRPr="006E426E">
        <w:rPr>
          <w:rFonts w:ascii="Verdana" w:hAnsi="Verdana" w:cs="Arial"/>
          <w:sz w:val="14"/>
          <w:szCs w:val="14"/>
        </w:rPr>
        <w:t>trámite</w:t>
      </w:r>
      <w:r w:rsidRPr="006E426E">
        <w:rPr>
          <w:rFonts w:ascii="Verdana" w:hAnsi="Verdana" w:cs="Arial"/>
          <w:spacing w:val="-7"/>
          <w:sz w:val="14"/>
          <w:szCs w:val="14"/>
        </w:rPr>
        <w:t xml:space="preserve"> </w:t>
      </w:r>
      <w:r w:rsidRPr="006E426E">
        <w:rPr>
          <w:rFonts w:ascii="Verdana" w:hAnsi="Verdana" w:cs="Arial"/>
          <w:sz w:val="14"/>
          <w:szCs w:val="14"/>
        </w:rPr>
        <w:t>y</w:t>
      </w:r>
      <w:r w:rsidRPr="006E426E">
        <w:rPr>
          <w:rFonts w:ascii="Verdana" w:hAnsi="Verdana" w:cs="Arial"/>
          <w:spacing w:val="-7"/>
          <w:sz w:val="14"/>
          <w:szCs w:val="14"/>
        </w:rPr>
        <w:t xml:space="preserve"> </w:t>
      </w:r>
      <w:r w:rsidRPr="006E426E">
        <w:rPr>
          <w:rFonts w:ascii="Verdana" w:hAnsi="Verdana" w:cs="Arial"/>
          <w:sz w:val="14"/>
          <w:szCs w:val="14"/>
        </w:rPr>
        <w:t>adopción</w:t>
      </w:r>
      <w:r w:rsidRPr="006E426E">
        <w:rPr>
          <w:rFonts w:ascii="Verdana" w:hAnsi="Verdana" w:cs="Arial"/>
          <w:spacing w:val="-7"/>
          <w:sz w:val="14"/>
          <w:szCs w:val="14"/>
        </w:rPr>
        <w:t xml:space="preserve"> </w:t>
      </w:r>
      <w:r w:rsidRPr="006E426E">
        <w:rPr>
          <w:rFonts w:ascii="Verdana" w:hAnsi="Verdana" w:cs="Arial"/>
          <w:sz w:val="14"/>
          <w:szCs w:val="14"/>
        </w:rPr>
        <w:t>de</w:t>
      </w:r>
      <w:r w:rsidRPr="006E426E">
        <w:rPr>
          <w:rFonts w:ascii="Verdana" w:hAnsi="Verdana" w:cs="Arial"/>
          <w:spacing w:val="-7"/>
          <w:sz w:val="14"/>
          <w:szCs w:val="14"/>
        </w:rPr>
        <w:t xml:space="preserve"> </w:t>
      </w:r>
      <w:r w:rsidRPr="006E426E">
        <w:rPr>
          <w:rFonts w:ascii="Verdana" w:hAnsi="Verdana" w:cs="Arial"/>
          <w:sz w:val="14"/>
          <w:szCs w:val="14"/>
        </w:rPr>
        <w:t>la</w:t>
      </w:r>
      <w:r w:rsidRPr="006E426E">
        <w:rPr>
          <w:rFonts w:ascii="Verdana" w:hAnsi="Verdana" w:cs="Arial"/>
          <w:spacing w:val="-7"/>
          <w:sz w:val="14"/>
          <w:szCs w:val="14"/>
        </w:rPr>
        <w:t xml:space="preserve"> </w:t>
      </w:r>
      <w:r w:rsidRPr="006E426E">
        <w:rPr>
          <w:rFonts w:ascii="Verdana" w:hAnsi="Verdana" w:cs="Arial"/>
          <w:sz w:val="14"/>
          <w:szCs w:val="14"/>
        </w:rPr>
        <w:t>decisión</w:t>
      </w:r>
      <w:r w:rsidRPr="006E426E">
        <w:rPr>
          <w:rFonts w:ascii="Verdana" w:hAnsi="Verdana" w:cs="Arial"/>
          <w:spacing w:val="1"/>
          <w:sz w:val="14"/>
          <w:szCs w:val="14"/>
        </w:rPr>
        <w:t xml:space="preserve"> </w:t>
      </w:r>
      <w:r w:rsidRPr="006E426E">
        <w:rPr>
          <w:rFonts w:ascii="Verdana" w:hAnsi="Verdana" w:cs="Arial"/>
          <w:sz w:val="14"/>
          <w:szCs w:val="14"/>
        </w:rPr>
        <w:t>las</w:t>
      </w:r>
      <w:r w:rsidRPr="006E426E">
        <w:rPr>
          <w:rFonts w:ascii="Verdana" w:hAnsi="Verdana" w:cs="Arial"/>
          <w:spacing w:val="-5"/>
          <w:sz w:val="14"/>
          <w:szCs w:val="14"/>
        </w:rPr>
        <w:t xml:space="preserve"> </w:t>
      </w:r>
      <w:r w:rsidRPr="006E426E">
        <w:rPr>
          <w:rFonts w:ascii="Verdana" w:hAnsi="Verdana" w:cs="Arial"/>
          <w:sz w:val="14"/>
          <w:szCs w:val="14"/>
        </w:rPr>
        <w:t>Cámaras</w:t>
      </w:r>
      <w:r w:rsidRPr="006E426E">
        <w:rPr>
          <w:rFonts w:ascii="Verdana" w:hAnsi="Verdana" w:cs="Arial"/>
          <w:spacing w:val="-4"/>
          <w:sz w:val="14"/>
          <w:szCs w:val="14"/>
        </w:rPr>
        <w:t xml:space="preserve"> </w:t>
      </w:r>
      <w:r w:rsidRPr="006E426E">
        <w:rPr>
          <w:rFonts w:ascii="Verdana" w:hAnsi="Verdana" w:cs="Arial"/>
          <w:sz w:val="14"/>
          <w:szCs w:val="14"/>
        </w:rPr>
        <w:t>de</w:t>
      </w:r>
      <w:r w:rsidRPr="006E426E">
        <w:rPr>
          <w:rFonts w:ascii="Verdana" w:hAnsi="Verdana" w:cs="Arial"/>
          <w:spacing w:val="-4"/>
          <w:sz w:val="14"/>
          <w:szCs w:val="14"/>
        </w:rPr>
        <w:t xml:space="preserve"> </w:t>
      </w:r>
      <w:r w:rsidRPr="006E426E">
        <w:rPr>
          <w:rFonts w:ascii="Verdana" w:hAnsi="Verdana" w:cs="Arial"/>
          <w:sz w:val="14"/>
          <w:szCs w:val="14"/>
        </w:rPr>
        <w:t>Comercio</w:t>
      </w:r>
      <w:r w:rsidRPr="006E426E">
        <w:rPr>
          <w:rFonts w:ascii="Verdana" w:hAnsi="Verdana" w:cs="Arial"/>
          <w:spacing w:val="-4"/>
          <w:sz w:val="14"/>
          <w:szCs w:val="14"/>
        </w:rPr>
        <w:t xml:space="preserve"> </w:t>
      </w:r>
      <w:r w:rsidRPr="006E426E">
        <w:rPr>
          <w:rFonts w:ascii="Verdana" w:hAnsi="Verdana" w:cs="Arial"/>
          <w:sz w:val="14"/>
          <w:szCs w:val="14"/>
        </w:rPr>
        <w:t>tendrán</w:t>
      </w:r>
      <w:r w:rsidRPr="006E426E">
        <w:rPr>
          <w:rFonts w:ascii="Verdana" w:hAnsi="Verdana" w:cs="Arial"/>
          <w:spacing w:val="-4"/>
          <w:sz w:val="14"/>
          <w:szCs w:val="14"/>
        </w:rPr>
        <w:t xml:space="preserve"> </w:t>
      </w:r>
      <w:r w:rsidRPr="006E426E">
        <w:rPr>
          <w:rFonts w:ascii="Verdana" w:hAnsi="Verdana" w:cs="Arial"/>
          <w:sz w:val="14"/>
          <w:szCs w:val="14"/>
        </w:rPr>
        <w:t>un</w:t>
      </w:r>
      <w:r w:rsidRPr="006E426E">
        <w:rPr>
          <w:rFonts w:ascii="Verdana" w:hAnsi="Verdana" w:cs="Arial"/>
          <w:spacing w:val="-4"/>
          <w:sz w:val="14"/>
          <w:szCs w:val="14"/>
        </w:rPr>
        <w:t xml:space="preserve"> </w:t>
      </w:r>
      <w:r w:rsidRPr="006E426E">
        <w:rPr>
          <w:rFonts w:ascii="Verdana" w:hAnsi="Verdana" w:cs="Arial"/>
          <w:sz w:val="14"/>
          <w:szCs w:val="14"/>
        </w:rPr>
        <w:t>plazo</w:t>
      </w:r>
      <w:r w:rsidRPr="006E426E">
        <w:rPr>
          <w:rFonts w:ascii="Verdana" w:hAnsi="Verdana" w:cs="Arial"/>
          <w:spacing w:val="-4"/>
          <w:sz w:val="14"/>
          <w:szCs w:val="14"/>
        </w:rPr>
        <w:t xml:space="preserve"> </w:t>
      </w:r>
      <w:r w:rsidRPr="006E426E">
        <w:rPr>
          <w:rFonts w:ascii="Verdana" w:hAnsi="Verdana" w:cs="Arial"/>
          <w:sz w:val="14"/>
          <w:szCs w:val="14"/>
        </w:rPr>
        <w:t>de</w:t>
      </w:r>
      <w:r w:rsidRPr="006E426E">
        <w:rPr>
          <w:rFonts w:ascii="Verdana" w:hAnsi="Verdana" w:cs="Arial"/>
          <w:spacing w:val="-4"/>
          <w:sz w:val="14"/>
          <w:szCs w:val="14"/>
        </w:rPr>
        <w:t xml:space="preserve"> </w:t>
      </w:r>
      <w:r w:rsidRPr="006E426E">
        <w:rPr>
          <w:rFonts w:ascii="Verdana" w:hAnsi="Verdana" w:cs="Arial"/>
          <w:sz w:val="14"/>
          <w:szCs w:val="14"/>
        </w:rPr>
        <w:t>veinte</w:t>
      </w:r>
      <w:r w:rsidRPr="006E426E">
        <w:rPr>
          <w:rFonts w:ascii="Verdana" w:hAnsi="Verdana" w:cs="Arial"/>
          <w:spacing w:val="-4"/>
          <w:sz w:val="14"/>
          <w:szCs w:val="14"/>
        </w:rPr>
        <w:t xml:space="preserve"> </w:t>
      </w:r>
      <w:r w:rsidRPr="006E426E">
        <w:rPr>
          <w:rFonts w:ascii="Verdana" w:hAnsi="Verdana" w:cs="Arial"/>
          <w:sz w:val="14"/>
          <w:szCs w:val="14"/>
        </w:rPr>
        <w:t>(20)</w:t>
      </w:r>
      <w:r w:rsidRPr="006E426E">
        <w:rPr>
          <w:rFonts w:ascii="Verdana" w:hAnsi="Verdana" w:cs="Arial"/>
          <w:spacing w:val="-4"/>
          <w:sz w:val="14"/>
          <w:szCs w:val="14"/>
        </w:rPr>
        <w:t xml:space="preserve"> </w:t>
      </w:r>
      <w:r w:rsidRPr="006E426E">
        <w:rPr>
          <w:rFonts w:ascii="Verdana" w:hAnsi="Verdana" w:cs="Arial"/>
          <w:sz w:val="14"/>
          <w:szCs w:val="14"/>
        </w:rPr>
        <w:t>días.</w:t>
      </w:r>
      <w:r w:rsidRPr="006E426E">
        <w:rPr>
          <w:rFonts w:ascii="Verdana" w:hAnsi="Verdana" w:cs="Arial"/>
          <w:spacing w:val="-4"/>
          <w:sz w:val="14"/>
          <w:szCs w:val="14"/>
        </w:rPr>
        <w:t xml:space="preserve"> </w:t>
      </w:r>
      <w:r w:rsidRPr="006E426E">
        <w:rPr>
          <w:rFonts w:ascii="Verdana" w:hAnsi="Verdana" w:cs="Arial"/>
          <w:sz w:val="14"/>
          <w:szCs w:val="14"/>
        </w:rPr>
        <w:t>De</w:t>
      </w:r>
      <w:r w:rsidRPr="006E426E">
        <w:rPr>
          <w:rFonts w:ascii="Verdana" w:hAnsi="Verdana" w:cs="Arial"/>
          <w:spacing w:val="-4"/>
          <w:sz w:val="14"/>
          <w:szCs w:val="14"/>
        </w:rPr>
        <w:t xml:space="preserve"> </w:t>
      </w:r>
      <w:r w:rsidRPr="006E426E">
        <w:rPr>
          <w:rFonts w:ascii="Verdana" w:hAnsi="Verdana" w:cs="Arial"/>
          <w:sz w:val="14"/>
          <w:szCs w:val="14"/>
        </w:rPr>
        <w:t>no</w:t>
      </w:r>
      <w:r w:rsidRPr="006E426E">
        <w:rPr>
          <w:rFonts w:ascii="Verdana" w:hAnsi="Verdana" w:cs="Arial"/>
          <w:spacing w:val="-4"/>
          <w:sz w:val="14"/>
          <w:szCs w:val="14"/>
        </w:rPr>
        <w:t xml:space="preserve"> </w:t>
      </w:r>
      <w:r w:rsidRPr="006E426E">
        <w:rPr>
          <w:rFonts w:ascii="Verdana" w:hAnsi="Verdana" w:cs="Arial"/>
          <w:sz w:val="14"/>
          <w:szCs w:val="14"/>
        </w:rPr>
        <w:t>haberse</w:t>
      </w:r>
      <w:r w:rsidRPr="006E426E">
        <w:rPr>
          <w:rFonts w:ascii="Verdana" w:hAnsi="Verdana" w:cs="Arial"/>
          <w:spacing w:val="-4"/>
          <w:sz w:val="14"/>
          <w:szCs w:val="14"/>
        </w:rPr>
        <w:t xml:space="preserve"> </w:t>
      </w:r>
      <w:r w:rsidRPr="006E426E">
        <w:rPr>
          <w:rFonts w:ascii="Verdana" w:hAnsi="Verdana" w:cs="Arial"/>
          <w:sz w:val="14"/>
          <w:szCs w:val="14"/>
        </w:rPr>
        <w:t>adoptado</w:t>
      </w:r>
      <w:r w:rsidRPr="006E426E">
        <w:rPr>
          <w:rFonts w:ascii="Verdana" w:hAnsi="Verdana" w:cs="Arial"/>
          <w:spacing w:val="-4"/>
          <w:sz w:val="14"/>
          <w:szCs w:val="14"/>
        </w:rPr>
        <w:t xml:space="preserve"> </w:t>
      </w:r>
      <w:r w:rsidRPr="006E426E">
        <w:rPr>
          <w:rFonts w:ascii="Verdana" w:hAnsi="Verdana" w:cs="Arial"/>
          <w:sz w:val="14"/>
          <w:szCs w:val="14"/>
        </w:rPr>
        <w:t>una</w:t>
      </w:r>
      <w:r w:rsidRPr="006E426E">
        <w:rPr>
          <w:rFonts w:ascii="Verdana" w:hAnsi="Verdana" w:cs="Arial"/>
          <w:spacing w:val="-4"/>
          <w:sz w:val="14"/>
          <w:szCs w:val="14"/>
        </w:rPr>
        <w:t xml:space="preserve"> </w:t>
      </w:r>
      <w:r w:rsidRPr="006E426E">
        <w:rPr>
          <w:rFonts w:ascii="Verdana" w:hAnsi="Verdana" w:cs="Arial"/>
          <w:sz w:val="14"/>
          <w:szCs w:val="14"/>
        </w:rPr>
        <w:t>decisión</w:t>
      </w:r>
      <w:r w:rsidRPr="006E426E">
        <w:rPr>
          <w:rFonts w:ascii="Verdana" w:hAnsi="Verdana" w:cs="Arial"/>
          <w:spacing w:val="-4"/>
          <w:sz w:val="14"/>
          <w:szCs w:val="14"/>
        </w:rPr>
        <w:t xml:space="preserve"> </w:t>
      </w:r>
      <w:r w:rsidRPr="006E426E">
        <w:rPr>
          <w:rFonts w:ascii="Verdana" w:hAnsi="Verdana" w:cs="Arial"/>
          <w:sz w:val="14"/>
          <w:szCs w:val="14"/>
        </w:rPr>
        <w:t>en</w:t>
      </w:r>
      <w:r w:rsidRPr="006E426E">
        <w:rPr>
          <w:rFonts w:ascii="Verdana" w:hAnsi="Verdana" w:cs="Arial"/>
          <w:spacing w:val="-4"/>
          <w:sz w:val="14"/>
          <w:szCs w:val="14"/>
        </w:rPr>
        <w:t xml:space="preserve"> </w:t>
      </w:r>
      <w:r w:rsidRPr="006E426E">
        <w:rPr>
          <w:rFonts w:ascii="Verdana" w:hAnsi="Verdana" w:cs="Arial"/>
          <w:sz w:val="14"/>
          <w:szCs w:val="14"/>
        </w:rPr>
        <w:t>el</w:t>
      </w:r>
      <w:r w:rsidRPr="006E426E">
        <w:rPr>
          <w:rFonts w:ascii="Verdana" w:hAnsi="Verdana" w:cs="Arial"/>
          <w:spacing w:val="-4"/>
          <w:sz w:val="14"/>
          <w:szCs w:val="14"/>
        </w:rPr>
        <w:t xml:space="preserve"> </w:t>
      </w:r>
      <w:r w:rsidRPr="006E426E">
        <w:rPr>
          <w:rFonts w:ascii="Verdana" w:hAnsi="Verdana" w:cs="Arial"/>
          <w:sz w:val="14"/>
          <w:szCs w:val="14"/>
        </w:rPr>
        <w:t>término</w:t>
      </w:r>
      <w:r w:rsidRPr="006E426E">
        <w:rPr>
          <w:rFonts w:ascii="Verdana" w:hAnsi="Verdana" w:cs="Arial"/>
          <w:spacing w:val="-4"/>
          <w:sz w:val="14"/>
          <w:szCs w:val="14"/>
        </w:rPr>
        <w:t xml:space="preserve"> </w:t>
      </w:r>
      <w:r w:rsidRPr="006E426E">
        <w:rPr>
          <w:rFonts w:ascii="Verdana" w:hAnsi="Verdana" w:cs="Arial"/>
          <w:sz w:val="14"/>
          <w:szCs w:val="14"/>
        </w:rPr>
        <w:t>anterior,</w:t>
      </w:r>
      <w:r w:rsidRPr="006E426E">
        <w:rPr>
          <w:rFonts w:ascii="Verdana" w:hAnsi="Verdana" w:cs="Arial"/>
          <w:spacing w:val="-4"/>
          <w:sz w:val="14"/>
          <w:szCs w:val="14"/>
        </w:rPr>
        <w:t xml:space="preserve"> </w:t>
      </w:r>
      <w:r w:rsidRPr="006E426E">
        <w:rPr>
          <w:rFonts w:ascii="Verdana" w:hAnsi="Verdana" w:cs="Arial"/>
          <w:sz w:val="14"/>
          <w:szCs w:val="14"/>
        </w:rPr>
        <w:t>la</w:t>
      </w:r>
      <w:r w:rsidRPr="006E426E">
        <w:rPr>
          <w:rFonts w:ascii="Verdana" w:hAnsi="Verdana" w:cs="Arial"/>
          <w:spacing w:val="-4"/>
          <w:sz w:val="14"/>
          <w:szCs w:val="14"/>
        </w:rPr>
        <w:t xml:space="preserve"> </w:t>
      </w:r>
      <w:r w:rsidRPr="006E426E">
        <w:rPr>
          <w:rFonts w:ascii="Verdana" w:hAnsi="Verdana" w:cs="Arial"/>
          <w:sz w:val="14"/>
          <w:szCs w:val="14"/>
        </w:rPr>
        <w:t>entidad</w:t>
      </w:r>
      <w:r w:rsidRPr="006E426E">
        <w:rPr>
          <w:rFonts w:ascii="Verdana" w:hAnsi="Verdana" w:cs="Arial"/>
          <w:spacing w:val="-4"/>
          <w:sz w:val="14"/>
          <w:szCs w:val="14"/>
        </w:rPr>
        <w:t xml:space="preserve"> </w:t>
      </w:r>
      <w:r w:rsidRPr="006E426E">
        <w:rPr>
          <w:rFonts w:ascii="Verdana" w:hAnsi="Verdana" w:cs="Arial"/>
          <w:sz w:val="14"/>
          <w:szCs w:val="14"/>
        </w:rPr>
        <w:t>reanudará</w:t>
      </w:r>
      <w:r w:rsidRPr="006E426E">
        <w:rPr>
          <w:rFonts w:ascii="Verdana" w:hAnsi="Verdana" w:cs="Arial"/>
          <w:spacing w:val="-4"/>
          <w:sz w:val="14"/>
          <w:szCs w:val="14"/>
        </w:rPr>
        <w:t xml:space="preserve"> </w:t>
      </w:r>
      <w:r w:rsidRPr="006E426E">
        <w:rPr>
          <w:rFonts w:ascii="Verdana" w:hAnsi="Verdana" w:cs="Arial"/>
          <w:sz w:val="14"/>
          <w:szCs w:val="14"/>
        </w:rPr>
        <w:t>el</w:t>
      </w:r>
      <w:r w:rsidRPr="006E426E">
        <w:rPr>
          <w:rFonts w:ascii="Verdana" w:hAnsi="Verdana" w:cs="Arial"/>
          <w:spacing w:val="-4"/>
          <w:sz w:val="14"/>
          <w:szCs w:val="14"/>
        </w:rPr>
        <w:t xml:space="preserve"> </w:t>
      </w:r>
      <w:r w:rsidRPr="006E426E">
        <w:rPr>
          <w:rFonts w:ascii="Verdana" w:hAnsi="Verdana" w:cs="Arial"/>
          <w:sz w:val="14"/>
          <w:szCs w:val="14"/>
        </w:rPr>
        <w:t>proceso</w:t>
      </w:r>
      <w:r w:rsidRPr="006E426E">
        <w:rPr>
          <w:rFonts w:ascii="Verdana" w:hAnsi="Verdana" w:cs="Arial"/>
          <w:spacing w:val="-4"/>
          <w:sz w:val="14"/>
          <w:szCs w:val="14"/>
        </w:rPr>
        <w:t xml:space="preserve"> </w:t>
      </w:r>
      <w:r w:rsidRPr="006E426E">
        <w:rPr>
          <w:rFonts w:ascii="Verdana" w:hAnsi="Verdana" w:cs="Arial"/>
          <w:sz w:val="14"/>
          <w:szCs w:val="14"/>
        </w:rPr>
        <w:t>de</w:t>
      </w:r>
      <w:r w:rsidRPr="006E426E">
        <w:rPr>
          <w:rFonts w:ascii="Verdana" w:hAnsi="Verdana" w:cs="Arial"/>
          <w:spacing w:val="1"/>
          <w:sz w:val="14"/>
          <w:szCs w:val="14"/>
        </w:rPr>
        <w:t xml:space="preserve"> </w:t>
      </w:r>
      <w:r w:rsidRPr="006E426E">
        <w:rPr>
          <w:rFonts w:ascii="Verdana" w:hAnsi="Verdana" w:cs="Arial"/>
          <w:sz w:val="14"/>
          <w:szCs w:val="14"/>
        </w:rPr>
        <w:t>selección</w:t>
      </w:r>
      <w:r w:rsidRPr="006E426E">
        <w:rPr>
          <w:rFonts w:ascii="Verdana" w:hAnsi="Verdana" w:cs="Arial"/>
          <w:spacing w:val="-2"/>
          <w:sz w:val="14"/>
          <w:szCs w:val="14"/>
        </w:rPr>
        <w:t xml:space="preserve"> </w:t>
      </w:r>
      <w:r w:rsidRPr="006E426E">
        <w:rPr>
          <w:rFonts w:ascii="Verdana" w:hAnsi="Verdana" w:cs="Arial"/>
          <w:sz w:val="14"/>
          <w:szCs w:val="14"/>
        </w:rPr>
        <w:t>de</w:t>
      </w:r>
      <w:r w:rsidRPr="006E426E">
        <w:rPr>
          <w:rFonts w:ascii="Verdana" w:hAnsi="Verdana" w:cs="Arial"/>
          <w:spacing w:val="-1"/>
          <w:sz w:val="14"/>
          <w:szCs w:val="14"/>
        </w:rPr>
        <w:t xml:space="preserve"> </w:t>
      </w:r>
      <w:r w:rsidRPr="006E426E">
        <w:rPr>
          <w:rFonts w:ascii="Verdana" w:hAnsi="Verdana" w:cs="Arial"/>
          <w:sz w:val="14"/>
          <w:szCs w:val="14"/>
        </w:rPr>
        <w:t>acuerdo</w:t>
      </w:r>
      <w:r w:rsidRPr="006E426E">
        <w:rPr>
          <w:rFonts w:ascii="Verdana" w:hAnsi="Verdana" w:cs="Arial"/>
          <w:spacing w:val="-1"/>
          <w:sz w:val="14"/>
          <w:szCs w:val="14"/>
        </w:rPr>
        <w:t xml:space="preserve"> </w:t>
      </w:r>
      <w:r w:rsidRPr="006E426E">
        <w:rPr>
          <w:rFonts w:ascii="Verdana" w:hAnsi="Verdana" w:cs="Arial"/>
          <w:sz w:val="14"/>
          <w:szCs w:val="14"/>
        </w:rPr>
        <w:t>con</w:t>
      </w:r>
      <w:r w:rsidRPr="006E426E">
        <w:rPr>
          <w:rFonts w:ascii="Verdana" w:hAnsi="Verdana" w:cs="Arial"/>
          <w:spacing w:val="-1"/>
          <w:sz w:val="14"/>
          <w:szCs w:val="14"/>
        </w:rPr>
        <w:t xml:space="preserve"> </w:t>
      </w:r>
      <w:r w:rsidRPr="006E426E">
        <w:rPr>
          <w:rFonts w:ascii="Verdana" w:hAnsi="Verdana" w:cs="Arial"/>
          <w:sz w:val="14"/>
          <w:szCs w:val="14"/>
        </w:rPr>
        <w:t>la</w:t>
      </w:r>
      <w:r w:rsidRPr="006E426E">
        <w:rPr>
          <w:rFonts w:ascii="Verdana" w:hAnsi="Verdana" w:cs="Arial"/>
          <w:spacing w:val="-1"/>
          <w:sz w:val="14"/>
          <w:szCs w:val="14"/>
        </w:rPr>
        <w:t xml:space="preserve"> </w:t>
      </w:r>
      <w:r w:rsidRPr="006E426E">
        <w:rPr>
          <w:rFonts w:ascii="Verdana" w:hAnsi="Verdana" w:cs="Arial"/>
          <w:sz w:val="14"/>
          <w:szCs w:val="14"/>
        </w:rPr>
        <w:t>información</w:t>
      </w:r>
      <w:r w:rsidRPr="006E426E">
        <w:rPr>
          <w:rFonts w:ascii="Verdana" w:hAnsi="Verdana" w:cs="Arial"/>
          <w:spacing w:val="-1"/>
          <w:sz w:val="14"/>
          <w:szCs w:val="14"/>
        </w:rPr>
        <w:t xml:space="preserve"> </w:t>
      </w:r>
      <w:r w:rsidRPr="006E426E">
        <w:rPr>
          <w:rFonts w:ascii="Verdana" w:hAnsi="Verdana" w:cs="Arial"/>
          <w:sz w:val="14"/>
          <w:szCs w:val="14"/>
        </w:rPr>
        <w:t>certificada</w:t>
      </w:r>
      <w:r w:rsidRPr="006E426E">
        <w:rPr>
          <w:rFonts w:ascii="Verdana" w:hAnsi="Verdana" w:cs="Arial"/>
          <w:spacing w:val="-1"/>
          <w:sz w:val="14"/>
          <w:szCs w:val="14"/>
        </w:rPr>
        <w:t xml:space="preserve"> </w:t>
      </w:r>
      <w:r w:rsidRPr="006E426E">
        <w:rPr>
          <w:rFonts w:ascii="Verdana" w:hAnsi="Verdana" w:cs="Arial"/>
          <w:sz w:val="14"/>
          <w:szCs w:val="14"/>
        </w:rPr>
        <w:t>en</w:t>
      </w:r>
      <w:r w:rsidRPr="006E426E">
        <w:rPr>
          <w:rFonts w:ascii="Verdana" w:hAnsi="Verdana" w:cs="Arial"/>
          <w:spacing w:val="-2"/>
          <w:sz w:val="14"/>
          <w:szCs w:val="14"/>
        </w:rPr>
        <w:t xml:space="preserve"> </w:t>
      </w:r>
      <w:r w:rsidRPr="006E426E">
        <w:rPr>
          <w:rFonts w:ascii="Verdana" w:hAnsi="Verdana" w:cs="Arial"/>
          <w:sz w:val="14"/>
          <w:szCs w:val="14"/>
        </w:rPr>
        <w:t>el</w:t>
      </w:r>
      <w:r w:rsidRPr="006E426E">
        <w:rPr>
          <w:rFonts w:ascii="Verdana" w:hAnsi="Verdana" w:cs="Arial"/>
          <w:spacing w:val="-1"/>
          <w:sz w:val="14"/>
          <w:szCs w:val="14"/>
        </w:rPr>
        <w:t xml:space="preserve"> </w:t>
      </w:r>
      <w:r w:rsidRPr="006E426E">
        <w:rPr>
          <w:rFonts w:ascii="Verdana" w:hAnsi="Verdana" w:cs="Arial"/>
          <w:sz w:val="14"/>
          <w:szCs w:val="14"/>
        </w:rPr>
        <w:t>RUP.</w:t>
      </w:r>
    </w:p>
    <w:p w14:paraId="78BDE8C6" w14:textId="77777777" w:rsidR="00455F2B" w:rsidRPr="006E426E" w:rsidRDefault="00455F2B" w:rsidP="00455F2B">
      <w:pPr>
        <w:ind w:firstLine="708"/>
        <w:contextualSpacing/>
        <w:jc w:val="both"/>
        <w:rPr>
          <w:rFonts w:ascii="Verdana" w:hAnsi="Verdana" w:cs="Arial"/>
          <w:sz w:val="14"/>
          <w:szCs w:val="14"/>
        </w:rPr>
      </w:pPr>
      <w:r w:rsidRPr="006E426E">
        <w:rPr>
          <w:rFonts w:ascii="Verdana" w:hAnsi="Verdana" w:cs="Arial"/>
          <w:sz w:val="14"/>
          <w:szCs w:val="14"/>
        </w:rPr>
        <w:t>En el evento en que la Cámara de Comercio establezca la existencia de graves inconsistencias se le cancelará la inscripción en el registro</w:t>
      </w:r>
      <w:r w:rsidRPr="006E426E">
        <w:rPr>
          <w:rFonts w:ascii="Verdana" w:hAnsi="Verdana" w:cs="Arial"/>
          <w:spacing w:val="1"/>
          <w:sz w:val="14"/>
          <w:szCs w:val="14"/>
        </w:rPr>
        <w:t xml:space="preserve"> </w:t>
      </w:r>
      <w:r w:rsidRPr="006E426E">
        <w:rPr>
          <w:rFonts w:ascii="Verdana" w:hAnsi="Verdana" w:cs="Arial"/>
          <w:sz w:val="14"/>
          <w:szCs w:val="14"/>
        </w:rPr>
        <w:t>quedando en tal caso inhabilitado para contratar con las entidades estatales por el término de cinco (5) años, sin perjuicio de las acciones penales a que haya</w:t>
      </w:r>
      <w:r w:rsidRPr="006E426E">
        <w:rPr>
          <w:rFonts w:ascii="Verdana" w:hAnsi="Verdana" w:cs="Arial"/>
          <w:spacing w:val="1"/>
          <w:sz w:val="14"/>
          <w:szCs w:val="14"/>
        </w:rPr>
        <w:t xml:space="preserve"> </w:t>
      </w:r>
      <w:r w:rsidRPr="006E426E">
        <w:rPr>
          <w:rFonts w:ascii="Verdana" w:hAnsi="Verdana" w:cs="Arial"/>
          <w:sz w:val="14"/>
          <w:szCs w:val="14"/>
        </w:rPr>
        <w:t>lugar.</w:t>
      </w:r>
      <w:r w:rsidRPr="006E426E">
        <w:rPr>
          <w:rFonts w:ascii="Verdana" w:hAnsi="Verdana" w:cs="Arial"/>
          <w:spacing w:val="-1"/>
          <w:sz w:val="14"/>
          <w:szCs w:val="14"/>
        </w:rPr>
        <w:t xml:space="preserve"> </w:t>
      </w:r>
      <w:r w:rsidRPr="006E426E">
        <w:rPr>
          <w:rFonts w:ascii="Verdana" w:hAnsi="Verdana" w:cs="Arial"/>
          <w:sz w:val="14"/>
          <w:szCs w:val="14"/>
        </w:rPr>
        <w:t>En</w:t>
      </w:r>
      <w:r w:rsidRPr="006E426E">
        <w:rPr>
          <w:rFonts w:ascii="Verdana" w:hAnsi="Verdana" w:cs="Arial"/>
          <w:spacing w:val="-1"/>
          <w:sz w:val="14"/>
          <w:szCs w:val="14"/>
        </w:rPr>
        <w:t xml:space="preserve"> </w:t>
      </w:r>
      <w:r w:rsidRPr="006E426E">
        <w:rPr>
          <w:rFonts w:ascii="Verdana" w:hAnsi="Verdana" w:cs="Arial"/>
          <w:sz w:val="14"/>
          <w:szCs w:val="14"/>
        </w:rPr>
        <w:t>caso</w:t>
      </w:r>
      <w:r w:rsidRPr="006E426E">
        <w:rPr>
          <w:rFonts w:ascii="Verdana" w:hAnsi="Verdana" w:cs="Arial"/>
          <w:spacing w:val="-1"/>
          <w:sz w:val="14"/>
          <w:szCs w:val="14"/>
        </w:rPr>
        <w:t xml:space="preserve"> </w:t>
      </w:r>
      <w:r w:rsidRPr="006E426E">
        <w:rPr>
          <w:rFonts w:ascii="Verdana" w:hAnsi="Verdana" w:cs="Arial"/>
          <w:sz w:val="14"/>
          <w:szCs w:val="14"/>
        </w:rPr>
        <w:t>de</w:t>
      </w:r>
      <w:r w:rsidRPr="006E426E">
        <w:rPr>
          <w:rFonts w:ascii="Verdana" w:hAnsi="Verdana" w:cs="Arial"/>
          <w:spacing w:val="-1"/>
          <w:sz w:val="14"/>
          <w:szCs w:val="14"/>
        </w:rPr>
        <w:t xml:space="preserve"> </w:t>
      </w:r>
      <w:r w:rsidRPr="006E426E">
        <w:rPr>
          <w:rFonts w:ascii="Verdana" w:hAnsi="Verdana" w:cs="Arial"/>
          <w:sz w:val="14"/>
          <w:szCs w:val="14"/>
        </w:rPr>
        <w:t>reincidencia</w:t>
      </w:r>
      <w:r w:rsidRPr="006E426E">
        <w:rPr>
          <w:rFonts w:ascii="Verdana" w:hAnsi="Verdana" w:cs="Arial"/>
          <w:spacing w:val="-1"/>
          <w:sz w:val="14"/>
          <w:szCs w:val="14"/>
        </w:rPr>
        <w:t xml:space="preserve"> </w:t>
      </w:r>
      <w:r w:rsidRPr="006E426E">
        <w:rPr>
          <w:rFonts w:ascii="Verdana" w:hAnsi="Verdana" w:cs="Arial"/>
          <w:sz w:val="14"/>
          <w:szCs w:val="14"/>
        </w:rPr>
        <w:t>la</w:t>
      </w:r>
      <w:r w:rsidRPr="006E426E">
        <w:rPr>
          <w:rFonts w:ascii="Verdana" w:hAnsi="Verdana" w:cs="Arial"/>
          <w:spacing w:val="-2"/>
          <w:sz w:val="14"/>
          <w:szCs w:val="14"/>
        </w:rPr>
        <w:t xml:space="preserve"> </w:t>
      </w:r>
      <w:r w:rsidRPr="006E426E">
        <w:rPr>
          <w:rFonts w:ascii="Verdana" w:hAnsi="Verdana" w:cs="Arial"/>
          <w:sz w:val="14"/>
          <w:szCs w:val="14"/>
        </w:rPr>
        <w:t>inhabilidad</w:t>
      </w:r>
      <w:r w:rsidRPr="006E426E">
        <w:rPr>
          <w:rFonts w:ascii="Verdana" w:hAnsi="Verdana" w:cs="Arial"/>
          <w:spacing w:val="-1"/>
          <w:sz w:val="14"/>
          <w:szCs w:val="14"/>
        </w:rPr>
        <w:t xml:space="preserve"> </w:t>
      </w:r>
      <w:r w:rsidRPr="006E426E">
        <w:rPr>
          <w:rFonts w:ascii="Verdana" w:hAnsi="Verdana" w:cs="Arial"/>
          <w:sz w:val="14"/>
          <w:szCs w:val="14"/>
        </w:rPr>
        <w:t>será</w:t>
      </w:r>
      <w:r w:rsidRPr="006E426E">
        <w:rPr>
          <w:rFonts w:ascii="Verdana" w:hAnsi="Verdana" w:cs="Arial"/>
          <w:spacing w:val="-1"/>
          <w:sz w:val="14"/>
          <w:szCs w:val="14"/>
        </w:rPr>
        <w:t xml:space="preserve"> </w:t>
      </w:r>
      <w:r w:rsidRPr="006E426E">
        <w:rPr>
          <w:rFonts w:ascii="Verdana" w:hAnsi="Verdana" w:cs="Arial"/>
          <w:sz w:val="14"/>
          <w:szCs w:val="14"/>
        </w:rPr>
        <w:t>permanente.</w:t>
      </w:r>
    </w:p>
    <w:p w14:paraId="2897EC1E" w14:textId="77777777" w:rsidR="00455F2B" w:rsidRPr="006E426E" w:rsidRDefault="00455F2B" w:rsidP="00455F2B">
      <w:pPr>
        <w:ind w:firstLine="708"/>
        <w:contextualSpacing/>
        <w:jc w:val="both"/>
        <w:rPr>
          <w:rFonts w:ascii="Verdana" w:hAnsi="Verdana" w:cs="Arial"/>
          <w:sz w:val="14"/>
          <w:szCs w:val="14"/>
        </w:rPr>
      </w:pPr>
      <w:r w:rsidRPr="006E426E">
        <w:rPr>
          <w:rFonts w:ascii="Verdana" w:hAnsi="Verdana" w:cs="Arial"/>
          <w:sz w:val="14"/>
          <w:szCs w:val="14"/>
        </w:rPr>
        <w:t>Las</w:t>
      </w:r>
      <w:r w:rsidRPr="006E426E">
        <w:rPr>
          <w:rFonts w:ascii="Verdana" w:hAnsi="Verdana" w:cs="Arial"/>
          <w:spacing w:val="-8"/>
          <w:sz w:val="14"/>
          <w:szCs w:val="14"/>
        </w:rPr>
        <w:t xml:space="preserve"> </w:t>
      </w:r>
      <w:r w:rsidRPr="006E426E">
        <w:rPr>
          <w:rFonts w:ascii="Verdana" w:hAnsi="Verdana" w:cs="Arial"/>
          <w:sz w:val="14"/>
          <w:szCs w:val="14"/>
        </w:rPr>
        <w:t>mismas</w:t>
      </w:r>
      <w:r w:rsidRPr="006E426E">
        <w:rPr>
          <w:rFonts w:ascii="Verdana" w:hAnsi="Verdana" w:cs="Arial"/>
          <w:spacing w:val="-7"/>
          <w:sz w:val="14"/>
          <w:szCs w:val="14"/>
        </w:rPr>
        <w:t xml:space="preserve"> </w:t>
      </w:r>
      <w:r w:rsidRPr="006E426E">
        <w:rPr>
          <w:rFonts w:ascii="Verdana" w:hAnsi="Verdana" w:cs="Arial"/>
          <w:sz w:val="14"/>
          <w:szCs w:val="14"/>
        </w:rPr>
        <w:t>sanciones</w:t>
      </w:r>
      <w:r w:rsidRPr="006E426E">
        <w:rPr>
          <w:rFonts w:ascii="Verdana" w:hAnsi="Verdana" w:cs="Arial"/>
          <w:spacing w:val="-7"/>
          <w:sz w:val="14"/>
          <w:szCs w:val="14"/>
        </w:rPr>
        <w:t xml:space="preserve"> </w:t>
      </w:r>
      <w:r w:rsidRPr="006E426E">
        <w:rPr>
          <w:rFonts w:ascii="Verdana" w:hAnsi="Verdana" w:cs="Arial"/>
          <w:sz w:val="14"/>
          <w:szCs w:val="14"/>
        </w:rPr>
        <w:t>previstas</w:t>
      </w:r>
      <w:r w:rsidRPr="006E426E">
        <w:rPr>
          <w:rFonts w:ascii="Verdana" w:hAnsi="Verdana" w:cs="Arial"/>
          <w:spacing w:val="-7"/>
          <w:sz w:val="14"/>
          <w:szCs w:val="14"/>
        </w:rPr>
        <w:t xml:space="preserve"> </w:t>
      </w:r>
      <w:r w:rsidRPr="006E426E">
        <w:rPr>
          <w:rFonts w:ascii="Verdana" w:hAnsi="Verdana" w:cs="Arial"/>
          <w:sz w:val="14"/>
          <w:szCs w:val="14"/>
        </w:rPr>
        <w:t>en</w:t>
      </w:r>
      <w:r w:rsidRPr="006E426E">
        <w:rPr>
          <w:rFonts w:ascii="Verdana" w:hAnsi="Verdana" w:cs="Arial"/>
          <w:spacing w:val="-8"/>
          <w:sz w:val="14"/>
          <w:szCs w:val="14"/>
        </w:rPr>
        <w:t xml:space="preserve"> </w:t>
      </w:r>
      <w:r w:rsidRPr="006E426E">
        <w:rPr>
          <w:rFonts w:ascii="Verdana" w:hAnsi="Verdana" w:cs="Arial"/>
          <w:sz w:val="14"/>
          <w:szCs w:val="14"/>
        </w:rPr>
        <w:t>el</w:t>
      </w:r>
      <w:r w:rsidRPr="006E426E">
        <w:rPr>
          <w:rFonts w:ascii="Verdana" w:hAnsi="Verdana" w:cs="Arial"/>
          <w:spacing w:val="-7"/>
          <w:sz w:val="14"/>
          <w:szCs w:val="14"/>
        </w:rPr>
        <w:t xml:space="preserve"> </w:t>
      </w:r>
      <w:r w:rsidRPr="006E426E">
        <w:rPr>
          <w:rFonts w:ascii="Verdana" w:hAnsi="Verdana" w:cs="Arial"/>
          <w:sz w:val="14"/>
          <w:szCs w:val="14"/>
        </w:rPr>
        <w:t>inciso</w:t>
      </w:r>
      <w:r w:rsidRPr="006E426E">
        <w:rPr>
          <w:rFonts w:ascii="Verdana" w:hAnsi="Verdana" w:cs="Arial"/>
          <w:spacing w:val="-7"/>
          <w:sz w:val="14"/>
          <w:szCs w:val="14"/>
        </w:rPr>
        <w:t xml:space="preserve"> </w:t>
      </w:r>
      <w:r w:rsidRPr="006E426E">
        <w:rPr>
          <w:rFonts w:ascii="Verdana" w:hAnsi="Verdana" w:cs="Arial"/>
          <w:sz w:val="14"/>
          <w:szCs w:val="14"/>
        </w:rPr>
        <w:t>anterior</w:t>
      </w:r>
      <w:r w:rsidRPr="006E426E">
        <w:rPr>
          <w:rFonts w:ascii="Verdana" w:hAnsi="Verdana" w:cs="Arial"/>
          <w:spacing w:val="-7"/>
          <w:sz w:val="14"/>
          <w:szCs w:val="14"/>
        </w:rPr>
        <w:t xml:space="preserve"> </w:t>
      </w:r>
      <w:r w:rsidRPr="006E426E">
        <w:rPr>
          <w:rFonts w:ascii="Verdana" w:hAnsi="Verdana" w:cs="Arial"/>
          <w:sz w:val="14"/>
          <w:szCs w:val="14"/>
        </w:rPr>
        <w:t>se</w:t>
      </w:r>
      <w:r w:rsidRPr="006E426E">
        <w:rPr>
          <w:rFonts w:ascii="Verdana" w:hAnsi="Verdana" w:cs="Arial"/>
          <w:spacing w:val="-7"/>
          <w:sz w:val="14"/>
          <w:szCs w:val="14"/>
        </w:rPr>
        <w:t xml:space="preserve"> </w:t>
      </w:r>
      <w:r w:rsidRPr="006E426E">
        <w:rPr>
          <w:rFonts w:ascii="Verdana" w:hAnsi="Verdana" w:cs="Arial"/>
          <w:sz w:val="14"/>
          <w:szCs w:val="14"/>
        </w:rPr>
        <w:t>predicarán</w:t>
      </w:r>
      <w:r w:rsidRPr="006E426E">
        <w:rPr>
          <w:rFonts w:ascii="Verdana" w:hAnsi="Verdana" w:cs="Arial"/>
          <w:spacing w:val="-8"/>
          <w:sz w:val="14"/>
          <w:szCs w:val="14"/>
        </w:rPr>
        <w:t xml:space="preserve"> </w:t>
      </w:r>
      <w:r w:rsidRPr="006E426E">
        <w:rPr>
          <w:rFonts w:ascii="Verdana" w:hAnsi="Verdana" w:cs="Arial"/>
          <w:sz w:val="14"/>
          <w:szCs w:val="14"/>
        </w:rPr>
        <w:t>en</w:t>
      </w:r>
      <w:r w:rsidRPr="006E426E">
        <w:rPr>
          <w:rFonts w:ascii="Verdana" w:hAnsi="Verdana" w:cs="Arial"/>
          <w:spacing w:val="-7"/>
          <w:sz w:val="14"/>
          <w:szCs w:val="14"/>
        </w:rPr>
        <w:t xml:space="preserve"> </w:t>
      </w:r>
      <w:r w:rsidRPr="006E426E">
        <w:rPr>
          <w:rFonts w:ascii="Verdana" w:hAnsi="Verdana" w:cs="Arial"/>
          <w:sz w:val="14"/>
          <w:szCs w:val="14"/>
        </w:rPr>
        <w:t>el</w:t>
      </w:r>
      <w:r w:rsidRPr="006E426E">
        <w:rPr>
          <w:rFonts w:ascii="Verdana" w:hAnsi="Verdana" w:cs="Arial"/>
          <w:spacing w:val="-7"/>
          <w:sz w:val="14"/>
          <w:szCs w:val="14"/>
        </w:rPr>
        <w:t xml:space="preserve"> </w:t>
      </w:r>
      <w:r w:rsidRPr="006E426E">
        <w:rPr>
          <w:rFonts w:ascii="Verdana" w:hAnsi="Verdana" w:cs="Arial"/>
          <w:sz w:val="14"/>
          <w:szCs w:val="14"/>
        </w:rPr>
        <w:t>evento</w:t>
      </w:r>
      <w:r w:rsidRPr="006E426E">
        <w:rPr>
          <w:rFonts w:ascii="Verdana" w:hAnsi="Verdana" w:cs="Arial"/>
          <w:spacing w:val="-7"/>
          <w:sz w:val="14"/>
          <w:szCs w:val="14"/>
        </w:rPr>
        <w:t xml:space="preserve"> </w:t>
      </w:r>
      <w:r w:rsidRPr="006E426E">
        <w:rPr>
          <w:rFonts w:ascii="Verdana" w:hAnsi="Verdana" w:cs="Arial"/>
          <w:sz w:val="14"/>
          <w:szCs w:val="14"/>
        </w:rPr>
        <w:t>en</w:t>
      </w:r>
      <w:r w:rsidRPr="006E426E">
        <w:rPr>
          <w:rFonts w:ascii="Verdana" w:hAnsi="Verdana" w:cs="Arial"/>
          <w:spacing w:val="-8"/>
          <w:sz w:val="14"/>
          <w:szCs w:val="14"/>
        </w:rPr>
        <w:t xml:space="preserve"> </w:t>
      </w:r>
      <w:r w:rsidRPr="006E426E">
        <w:rPr>
          <w:rFonts w:ascii="Verdana" w:hAnsi="Verdana" w:cs="Arial"/>
          <w:sz w:val="14"/>
          <w:szCs w:val="14"/>
        </w:rPr>
        <w:t>que</w:t>
      </w:r>
      <w:r w:rsidRPr="006E426E">
        <w:rPr>
          <w:rFonts w:ascii="Verdana" w:hAnsi="Verdana" w:cs="Arial"/>
          <w:spacing w:val="-7"/>
          <w:sz w:val="14"/>
          <w:szCs w:val="14"/>
        </w:rPr>
        <w:t xml:space="preserve"> </w:t>
      </w:r>
      <w:r w:rsidRPr="006E426E">
        <w:rPr>
          <w:rFonts w:ascii="Verdana" w:hAnsi="Verdana" w:cs="Arial"/>
          <w:sz w:val="14"/>
          <w:szCs w:val="14"/>
        </w:rPr>
        <w:t>el</w:t>
      </w:r>
      <w:r w:rsidRPr="006E426E">
        <w:rPr>
          <w:rFonts w:ascii="Verdana" w:hAnsi="Verdana" w:cs="Arial"/>
          <w:spacing w:val="-7"/>
          <w:sz w:val="14"/>
          <w:szCs w:val="14"/>
        </w:rPr>
        <w:t xml:space="preserve"> </w:t>
      </w:r>
      <w:r w:rsidRPr="006E426E">
        <w:rPr>
          <w:rFonts w:ascii="Verdana" w:hAnsi="Verdana" w:cs="Arial"/>
          <w:sz w:val="14"/>
          <w:szCs w:val="14"/>
        </w:rPr>
        <w:t>Juez</w:t>
      </w:r>
      <w:r w:rsidRPr="006E426E">
        <w:rPr>
          <w:rFonts w:ascii="Verdana" w:hAnsi="Verdana" w:cs="Arial"/>
          <w:spacing w:val="-7"/>
          <w:sz w:val="14"/>
          <w:szCs w:val="14"/>
        </w:rPr>
        <w:t xml:space="preserve"> </w:t>
      </w:r>
      <w:r w:rsidRPr="006E426E">
        <w:rPr>
          <w:rFonts w:ascii="Verdana" w:hAnsi="Verdana" w:cs="Arial"/>
          <w:sz w:val="14"/>
          <w:szCs w:val="14"/>
        </w:rPr>
        <w:t>de</w:t>
      </w:r>
      <w:r w:rsidRPr="006E426E">
        <w:rPr>
          <w:rFonts w:ascii="Verdana" w:hAnsi="Verdana" w:cs="Arial"/>
          <w:spacing w:val="-7"/>
          <w:sz w:val="14"/>
          <w:szCs w:val="14"/>
        </w:rPr>
        <w:t xml:space="preserve"> </w:t>
      </w:r>
      <w:r w:rsidRPr="006E426E">
        <w:rPr>
          <w:rFonts w:ascii="Verdana" w:hAnsi="Verdana" w:cs="Arial"/>
          <w:sz w:val="14"/>
          <w:szCs w:val="14"/>
        </w:rPr>
        <w:t>lo</w:t>
      </w:r>
      <w:r w:rsidRPr="006E426E">
        <w:rPr>
          <w:rFonts w:ascii="Verdana" w:hAnsi="Verdana" w:cs="Arial"/>
          <w:spacing w:val="-8"/>
          <w:sz w:val="14"/>
          <w:szCs w:val="14"/>
        </w:rPr>
        <w:t xml:space="preserve"> </w:t>
      </w:r>
      <w:r w:rsidRPr="006E426E">
        <w:rPr>
          <w:rFonts w:ascii="Verdana" w:hAnsi="Verdana" w:cs="Arial"/>
          <w:sz w:val="14"/>
          <w:szCs w:val="14"/>
        </w:rPr>
        <w:t>Contencioso</w:t>
      </w:r>
      <w:r w:rsidRPr="006E426E">
        <w:rPr>
          <w:rFonts w:ascii="Verdana" w:hAnsi="Verdana" w:cs="Arial"/>
          <w:spacing w:val="-7"/>
          <w:sz w:val="14"/>
          <w:szCs w:val="14"/>
        </w:rPr>
        <w:t xml:space="preserve"> </w:t>
      </w:r>
      <w:r w:rsidRPr="006E426E">
        <w:rPr>
          <w:rFonts w:ascii="Verdana" w:hAnsi="Verdana" w:cs="Arial"/>
          <w:sz w:val="14"/>
          <w:szCs w:val="14"/>
        </w:rPr>
        <w:t>Administrativa</w:t>
      </w:r>
      <w:r w:rsidRPr="006E426E">
        <w:rPr>
          <w:rFonts w:ascii="Verdana" w:hAnsi="Verdana" w:cs="Arial"/>
          <w:spacing w:val="-6"/>
          <w:sz w:val="14"/>
          <w:szCs w:val="14"/>
        </w:rPr>
        <w:t xml:space="preserve"> </w:t>
      </w:r>
      <w:r w:rsidRPr="006E426E">
        <w:rPr>
          <w:rFonts w:ascii="Verdana" w:hAnsi="Verdana" w:cs="Arial"/>
          <w:sz w:val="14"/>
          <w:szCs w:val="14"/>
        </w:rPr>
        <w:t>declare</w:t>
      </w:r>
      <w:r w:rsidRPr="006E426E">
        <w:rPr>
          <w:rFonts w:ascii="Verdana" w:hAnsi="Verdana" w:cs="Arial"/>
          <w:spacing w:val="-7"/>
          <w:sz w:val="14"/>
          <w:szCs w:val="14"/>
        </w:rPr>
        <w:t xml:space="preserve"> </w:t>
      </w:r>
      <w:r w:rsidRPr="006E426E">
        <w:rPr>
          <w:rFonts w:ascii="Verdana" w:hAnsi="Verdana" w:cs="Arial"/>
          <w:sz w:val="14"/>
          <w:szCs w:val="14"/>
        </w:rPr>
        <w:t>la</w:t>
      </w:r>
      <w:r w:rsidRPr="006E426E">
        <w:rPr>
          <w:rFonts w:ascii="Verdana" w:hAnsi="Verdana" w:cs="Arial"/>
          <w:spacing w:val="-8"/>
          <w:sz w:val="14"/>
          <w:szCs w:val="14"/>
        </w:rPr>
        <w:t xml:space="preserve"> </w:t>
      </w:r>
      <w:r w:rsidRPr="006E426E">
        <w:rPr>
          <w:rFonts w:ascii="Verdana" w:hAnsi="Verdana" w:cs="Arial"/>
          <w:sz w:val="14"/>
          <w:szCs w:val="14"/>
        </w:rPr>
        <w:t>nulidad</w:t>
      </w:r>
      <w:r w:rsidRPr="006E426E">
        <w:rPr>
          <w:rFonts w:ascii="Verdana" w:hAnsi="Verdana" w:cs="Arial"/>
          <w:spacing w:val="1"/>
          <w:sz w:val="14"/>
          <w:szCs w:val="14"/>
        </w:rPr>
        <w:t xml:space="preserve"> </w:t>
      </w:r>
      <w:r w:rsidRPr="006E426E">
        <w:rPr>
          <w:rFonts w:ascii="Verdana" w:hAnsi="Verdana" w:cs="Arial"/>
          <w:sz w:val="14"/>
          <w:szCs w:val="14"/>
        </w:rPr>
        <w:t>del</w:t>
      </w:r>
      <w:r w:rsidRPr="006E426E">
        <w:rPr>
          <w:rFonts w:ascii="Verdana" w:hAnsi="Verdana" w:cs="Arial"/>
          <w:spacing w:val="-2"/>
          <w:sz w:val="14"/>
          <w:szCs w:val="14"/>
        </w:rPr>
        <w:t xml:space="preserve"> </w:t>
      </w:r>
      <w:r w:rsidRPr="006E426E">
        <w:rPr>
          <w:rFonts w:ascii="Verdana" w:hAnsi="Verdana" w:cs="Arial"/>
          <w:sz w:val="14"/>
          <w:szCs w:val="14"/>
        </w:rPr>
        <w:t>acto</w:t>
      </w:r>
      <w:r w:rsidRPr="006E426E">
        <w:rPr>
          <w:rFonts w:ascii="Verdana" w:hAnsi="Verdana" w:cs="Arial"/>
          <w:spacing w:val="-1"/>
          <w:sz w:val="14"/>
          <w:szCs w:val="14"/>
        </w:rPr>
        <w:t xml:space="preserve"> </w:t>
      </w:r>
      <w:r w:rsidRPr="006E426E">
        <w:rPr>
          <w:rFonts w:ascii="Verdana" w:hAnsi="Verdana" w:cs="Arial"/>
          <w:sz w:val="14"/>
          <w:szCs w:val="14"/>
        </w:rPr>
        <w:t>de</w:t>
      </w:r>
      <w:r w:rsidRPr="006E426E">
        <w:rPr>
          <w:rFonts w:ascii="Verdana" w:hAnsi="Verdana" w:cs="Arial"/>
          <w:spacing w:val="-1"/>
          <w:sz w:val="14"/>
          <w:szCs w:val="14"/>
        </w:rPr>
        <w:t xml:space="preserve"> </w:t>
      </w:r>
      <w:r w:rsidRPr="006E426E">
        <w:rPr>
          <w:rFonts w:ascii="Verdana" w:hAnsi="Verdana" w:cs="Arial"/>
          <w:sz w:val="14"/>
          <w:szCs w:val="14"/>
        </w:rPr>
        <w:t>inscripción.</w:t>
      </w:r>
    </w:p>
    <w:p w14:paraId="6749FBDC" w14:textId="77777777" w:rsidR="00455F2B" w:rsidRPr="006E426E" w:rsidRDefault="00455F2B" w:rsidP="00455F2B">
      <w:pPr>
        <w:ind w:firstLine="709"/>
        <w:contextualSpacing/>
        <w:jc w:val="both"/>
        <w:rPr>
          <w:rFonts w:ascii="Verdana" w:hAnsi="Verdana" w:cs="Arial"/>
          <w:sz w:val="14"/>
          <w:szCs w:val="14"/>
        </w:rPr>
      </w:pPr>
      <w:r w:rsidRPr="006E426E">
        <w:rPr>
          <w:rFonts w:ascii="Verdana" w:hAnsi="Verdana" w:cs="Arial"/>
          <w:sz w:val="14"/>
          <w:szCs w:val="14"/>
        </w:rPr>
        <w:t>“La</w:t>
      </w:r>
      <w:r w:rsidRPr="006E426E">
        <w:rPr>
          <w:rFonts w:ascii="Verdana" w:hAnsi="Verdana" w:cs="Arial"/>
          <w:spacing w:val="-4"/>
          <w:sz w:val="14"/>
          <w:szCs w:val="14"/>
        </w:rPr>
        <w:t xml:space="preserve"> </w:t>
      </w:r>
      <w:r w:rsidRPr="006E426E">
        <w:rPr>
          <w:rFonts w:ascii="Verdana" w:hAnsi="Verdana" w:cs="Arial"/>
          <w:sz w:val="14"/>
          <w:szCs w:val="14"/>
        </w:rPr>
        <w:t>información</w:t>
      </w:r>
      <w:r w:rsidRPr="006E426E">
        <w:rPr>
          <w:rFonts w:ascii="Verdana" w:hAnsi="Verdana" w:cs="Arial"/>
          <w:spacing w:val="-3"/>
          <w:sz w:val="14"/>
          <w:szCs w:val="14"/>
        </w:rPr>
        <w:t xml:space="preserve"> </w:t>
      </w:r>
      <w:r w:rsidRPr="006E426E">
        <w:rPr>
          <w:rFonts w:ascii="Verdana" w:hAnsi="Verdana" w:cs="Arial"/>
          <w:sz w:val="14"/>
          <w:szCs w:val="14"/>
        </w:rPr>
        <w:t>contenida</w:t>
      </w:r>
      <w:r w:rsidRPr="006E426E">
        <w:rPr>
          <w:rFonts w:ascii="Verdana" w:hAnsi="Verdana" w:cs="Arial"/>
          <w:spacing w:val="-4"/>
          <w:sz w:val="14"/>
          <w:szCs w:val="14"/>
        </w:rPr>
        <w:t xml:space="preserve"> </w:t>
      </w:r>
      <w:r w:rsidRPr="006E426E">
        <w:rPr>
          <w:rFonts w:ascii="Verdana" w:hAnsi="Verdana" w:cs="Arial"/>
          <w:sz w:val="14"/>
          <w:szCs w:val="14"/>
        </w:rPr>
        <w:t>en</w:t>
      </w:r>
      <w:r w:rsidRPr="006E426E">
        <w:rPr>
          <w:rFonts w:ascii="Verdana" w:hAnsi="Verdana" w:cs="Arial"/>
          <w:spacing w:val="-3"/>
          <w:sz w:val="14"/>
          <w:szCs w:val="14"/>
        </w:rPr>
        <w:t xml:space="preserve"> </w:t>
      </w:r>
      <w:r w:rsidRPr="006E426E">
        <w:rPr>
          <w:rFonts w:ascii="Verdana" w:hAnsi="Verdana" w:cs="Arial"/>
          <w:sz w:val="14"/>
          <w:szCs w:val="14"/>
        </w:rPr>
        <w:t>el</w:t>
      </w:r>
      <w:r w:rsidRPr="006E426E">
        <w:rPr>
          <w:rFonts w:ascii="Verdana" w:hAnsi="Verdana" w:cs="Arial"/>
          <w:spacing w:val="-3"/>
          <w:sz w:val="14"/>
          <w:szCs w:val="14"/>
        </w:rPr>
        <w:t xml:space="preserve"> </w:t>
      </w:r>
      <w:r w:rsidRPr="006E426E">
        <w:rPr>
          <w:rFonts w:ascii="Verdana" w:hAnsi="Verdana" w:cs="Arial"/>
          <w:sz w:val="14"/>
          <w:szCs w:val="14"/>
        </w:rPr>
        <w:t>registro</w:t>
      </w:r>
      <w:r w:rsidRPr="006E426E">
        <w:rPr>
          <w:rFonts w:ascii="Verdana" w:hAnsi="Verdana" w:cs="Arial"/>
          <w:spacing w:val="-4"/>
          <w:sz w:val="14"/>
          <w:szCs w:val="14"/>
        </w:rPr>
        <w:t xml:space="preserve"> </w:t>
      </w:r>
      <w:r w:rsidRPr="006E426E">
        <w:rPr>
          <w:rFonts w:ascii="Verdana" w:hAnsi="Verdana" w:cs="Arial"/>
          <w:sz w:val="14"/>
          <w:szCs w:val="14"/>
        </w:rPr>
        <w:t>es</w:t>
      </w:r>
      <w:r w:rsidRPr="006E426E">
        <w:rPr>
          <w:rFonts w:ascii="Verdana" w:hAnsi="Verdana" w:cs="Arial"/>
          <w:spacing w:val="-3"/>
          <w:sz w:val="14"/>
          <w:szCs w:val="14"/>
        </w:rPr>
        <w:t xml:space="preserve"> </w:t>
      </w:r>
      <w:r w:rsidRPr="006E426E">
        <w:rPr>
          <w:rFonts w:ascii="Verdana" w:hAnsi="Verdana" w:cs="Arial"/>
          <w:sz w:val="14"/>
          <w:szCs w:val="14"/>
        </w:rPr>
        <w:t>pública</w:t>
      </w:r>
      <w:r w:rsidRPr="006E426E">
        <w:rPr>
          <w:rFonts w:ascii="Verdana" w:hAnsi="Verdana" w:cs="Arial"/>
          <w:spacing w:val="-3"/>
          <w:sz w:val="14"/>
          <w:szCs w:val="14"/>
        </w:rPr>
        <w:t xml:space="preserve"> </w:t>
      </w:r>
      <w:r w:rsidRPr="006E426E">
        <w:rPr>
          <w:rFonts w:ascii="Verdana" w:hAnsi="Verdana" w:cs="Arial"/>
          <w:sz w:val="14"/>
          <w:szCs w:val="14"/>
        </w:rPr>
        <w:t>y</w:t>
      </w:r>
      <w:r w:rsidRPr="006E426E">
        <w:rPr>
          <w:rFonts w:ascii="Verdana" w:hAnsi="Verdana" w:cs="Arial"/>
          <w:spacing w:val="-4"/>
          <w:sz w:val="14"/>
          <w:szCs w:val="14"/>
        </w:rPr>
        <w:t xml:space="preserve"> </w:t>
      </w:r>
      <w:r w:rsidRPr="006E426E">
        <w:rPr>
          <w:rFonts w:ascii="Verdana" w:hAnsi="Verdana" w:cs="Arial"/>
          <w:sz w:val="14"/>
          <w:szCs w:val="14"/>
        </w:rPr>
        <w:t>su</w:t>
      </w:r>
      <w:r w:rsidRPr="006E426E">
        <w:rPr>
          <w:rFonts w:ascii="Verdana" w:hAnsi="Verdana" w:cs="Arial"/>
          <w:spacing w:val="-3"/>
          <w:sz w:val="14"/>
          <w:szCs w:val="14"/>
        </w:rPr>
        <w:t xml:space="preserve"> </w:t>
      </w:r>
      <w:r w:rsidRPr="006E426E">
        <w:rPr>
          <w:rFonts w:ascii="Verdana" w:hAnsi="Verdana" w:cs="Arial"/>
          <w:sz w:val="14"/>
          <w:szCs w:val="14"/>
        </w:rPr>
        <w:t>consulta</w:t>
      </w:r>
      <w:r w:rsidRPr="006E426E">
        <w:rPr>
          <w:rFonts w:ascii="Verdana" w:hAnsi="Verdana" w:cs="Arial"/>
          <w:spacing w:val="-3"/>
          <w:sz w:val="14"/>
          <w:szCs w:val="14"/>
        </w:rPr>
        <w:t xml:space="preserve"> </w:t>
      </w:r>
      <w:r w:rsidRPr="006E426E">
        <w:rPr>
          <w:rFonts w:ascii="Verdana" w:hAnsi="Verdana" w:cs="Arial"/>
          <w:sz w:val="14"/>
          <w:szCs w:val="14"/>
        </w:rPr>
        <w:t>será</w:t>
      </w:r>
      <w:r w:rsidRPr="006E426E">
        <w:rPr>
          <w:rFonts w:ascii="Verdana" w:hAnsi="Verdana" w:cs="Arial"/>
          <w:spacing w:val="-4"/>
          <w:sz w:val="14"/>
          <w:szCs w:val="14"/>
        </w:rPr>
        <w:t xml:space="preserve"> </w:t>
      </w:r>
      <w:r w:rsidRPr="006E426E">
        <w:rPr>
          <w:rFonts w:ascii="Verdana" w:hAnsi="Verdana" w:cs="Arial"/>
          <w:sz w:val="14"/>
          <w:szCs w:val="14"/>
        </w:rPr>
        <w:t>gratuita”</w:t>
      </w:r>
    </w:p>
  </w:footnote>
  <w:footnote w:id="15">
    <w:p w14:paraId="1C501345" w14:textId="77777777" w:rsidR="00455F2B" w:rsidRPr="006E426E" w:rsidRDefault="00455F2B" w:rsidP="00455F2B">
      <w:pPr>
        <w:ind w:firstLine="708"/>
        <w:contextualSpacing/>
        <w:jc w:val="both"/>
        <w:rPr>
          <w:rFonts w:ascii="Verdana" w:hAnsi="Verdana" w:cs="Arial"/>
          <w:sz w:val="14"/>
          <w:szCs w:val="14"/>
        </w:rPr>
      </w:pPr>
      <w:r w:rsidRPr="006E426E">
        <w:rPr>
          <w:rStyle w:val="Refdenotaalpie"/>
          <w:rFonts w:ascii="Verdana" w:hAnsi="Verdana" w:cs="Arial"/>
          <w:sz w:val="14"/>
          <w:szCs w:val="14"/>
        </w:rPr>
        <w:footnoteRef/>
      </w:r>
      <w:r w:rsidRPr="006E426E">
        <w:rPr>
          <w:rFonts w:ascii="Verdana" w:hAnsi="Verdana" w:cs="Arial"/>
          <w:sz w:val="14"/>
          <w:szCs w:val="14"/>
        </w:rPr>
        <w:t xml:space="preserve"> “Artículo 2.2.1.1.1.5.1. Inscripción, renovación, actualización y cancelación del RUP. </w:t>
      </w:r>
    </w:p>
    <w:p w14:paraId="47000A91" w14:textId="77777777" w:rsidR="00455F2B" w:rsidRPr="006E426E" w:rsidRDefault="00455F2B" w:rsidP="00455F2B">
      <w:pPr>
        <w:ind w:firstLine="708"/>
        <w:contextualSpacing/>
        <w:jc w:val="both"/>
        <w:rPr>
          <w:rFonts w:ascii="Verdana" w:hAnsi="Verdana" w:cs="Arial"/>
          <w:sz w:val="14"/>
          <w:szCs w:val="14"/>
        </w:rPr>
      </w:pPr>
      <w:r w:rsidRPr="006E426E">
        <w:rPr>
          <w:rFonts w:ascii="Verdana" w:hAnsi="Verdana" w:cs="Arial"/>
          <w:sz w:val="14"/>
          <w:szCs w:val="14"/>
        </w:rPr>
        <w:t>[…]</w:t>
      </w:r>
    </w:p>
    <w:p w14:paraId="67A247F9" w14:textId="77777777" w:rsidR="00455F2B" w:rsidRPr="006E426E" w:rsidRDefault="00455F2B" w:rsidP="00455F2B">
      <w:pPr>
        <w:ind w:firstLine="708"/>
        <w:contextualSpacing/>
        <w:jc w:val="both"/>
        <w:rPr>
          <w:rFonts w:ascii="Verdana" w:hAnsi="Verdana" w:cs="Arial"/>
          <w:sz w:val="14"/>
          <w:szCs w:val="14"/>
        </w:rPr>
      </w:pPr>
      <w:r w:rsidRPr="006E426E">
        <w:rPr>
          <w:rFonts w:ascii="Verdana" w:hAnsi="Verdana" w:cs="Arial"/>
          <w:sz w:val="14"/>
          <w:szCs w:val="14"/>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57AFF97E" w14:textId="77777777" w:rsidR="00455F2B" w:rsidRPr="006E426E" w:rsidRDefault="00455F2B" w:rsidP="00455F2B">
      <w:pPr>
        <w:pStyle w:val="Textonotapie"/>
        <w:contextualSpacing/>
        <w:jc w:val="both"/>
        <w:rPr>
          <w:rFonts w:ascii="Verdana" w:hAnsi="Verdana" w:cs="Arial"/>
          <w:sz w:val="14"/>
          <w:szCs w:val="14"/>
        </w:rPr>
      </w:pPr>
    </w:p>
  </w:footnote>
  <w:footnote w:id="16">
    <w:p w14:paraId="15032F0B" w14:textId="77777777" w:rsidR="00455F2B" w:rsidRPr="006E426E" w:rsidRDefault="00455F2B" w:rsidP="00455F2B">
      <w:pPr>
        <w:ind w:firstLine="708"/>
        <w:jc w:val="both"/>
        <w:rPr>
          <w:rFonts w:ascii="Verdana" w:hAnsi="Verdana" w:cs="Arial"/>
          <w:sz w:val="14"/>
          <w:szCs w:val="14"/>
        </w:rPr>
      </w:pPr>
      <w:r w:rsidRPr="006E426E">
        <w:rPr>
          <w:rStyle w:val="Refdenotaalpie"/>
          <w:rFonts w:ascii="Verdana" w:hAnsi="Verdana" w:cs="Arial"/>
          <w:sz w:val="14"/>
          <w:szCs w:val="14"/>
        </w:rPr>
        <w:footnoteRef/>
      </w:r>
      <w:r w:rsidRPr="006E426E">
        <w:rPr>
          <w:rFonts w:ascii="Verdana" w:hAnsi="Verdana" w:cs="Arial"/>
          <w:sz w:val="14"/>
          <w:szCs w:val="14"/>
        </w:rPr>
        <w:t xml:space="preserve"> Consejo de Estado. Sala de lo Contencioso Administrativo. Sección Tercera. Subsección A. Sentencia del 19 de septiembre de 2019. Radicado: 25000-23-36-000-2015-02571-02 (59432). C.P. Marta Nubia Velásquez Rico.</w:t>
      </w:r>
    </w:p>
    <w:p w14:paraId="36306B6C" w14:textId="77777777" w:rsidR="00455F2B" w:rsidRPr="006E426E" w:rsidRDefault="00455F2B" w:rsidP="00455F2B">
      <w:pPr>
        <w:pStyle w:val="Textonotapie"/>
        <w:jc w:val="both"/>
        <w:rPr>
          <w:rFonts w:ascii="Verdana" w:hAnsi="Verdana"/>
          <w:sz w:val="14"/>
          <w:szCs w:val="14"/>
        </w:rPr>
      </w:pPr>
    </w:p>
  </w:footnote>
  <w:footnote w:id="17">
    <w:p w14:paraId="7A95F170" w14:textId="77777777" w:rsidR="00455F2B" w:rsidRPr="006E426E" w:rsidRDefault="00455F2B" w:rsidP="00455F2B">
      <w:pPr>
        <w:ind w:firstLine="709"/>
        <w:jc w:val="both"/>
        <w:rPr>
          <w:rFonts w:ascii="Verdana" w:hAnsi="Verdana" w:cs="Arial"/>
          <w:sz w:val="14"/>
          <w:szCs w:val="14"/>
        </w:rPr>
      </w:pPr>
      <w:r w:rsidRPr="006E426E">
        <w:rPr>
          <w:rStyle w:val="Refdenotaalpie"/>
          <w:rFonts w:ascii="Verdana" w:hAnsi="Verdana" w:cs="Arial"/>
          <w:sz w:val="14"/>
          <w:szCs w:val="14"/>
        </w:rPr>
        <w:footnoteRef/>
      </w:r>
      <w:r w:rsidRPr="006E426E">
        <w:rPr>
          <w:rFonts w:ascii="Verdana" w:hAnsi="Verdana" w:cs="Arial"/>
          <w:sz w:val="14"/>
          <w:szCs w:val="14"/>
        </w:rPr>
        <w:t xml:space="preserve"> “Artículo</w:t>
      </w:r>
      <w:r w:rsidRPr="006E426E">
        <w:rPr>
          <w:rFonts w:ascii="Verdana" w:hAnsi="Verdana" w:cs="Arial"/>
          <w:spacing w:val="-6"/>
          <w:sz w:val="14"/>
          <w:szCs w:val="14"/>
        </w:rPr>
        <w:t xml:space="preserve"> </w:t>
      </w:r>
      <w:r w:rsidRPr="006E426E">
        <w:rPr>
          <w:rFonts w:ascii="Verdana" w:hAnsi="Verdana" w:cs="Arial"/>
          <w:sz w:val="14"/>
          <w:szCs w:val="14"/>
        </w:rPr>
        <w:t>87.</w:t>
      </w:r>
      <w:r w:rsidRPr="006E426E">
        <w:rPr>
          <w:rFonts w:ascii="Verdana" w:hAnsi="Verdana" w:cs="Arial"/>
          <w:spacing w:val="-6"/>
          <w:sz w:val="14"/>
          <w:szCs w:val="14"/>
        </w:rPr>
        <w:t xml:space="preserve"> </w:t>
      </w:r>
      <w:r w:rsidRPr="006E426E">
        <w:rPr>
          <w:rFonts w:ascii="Verdana" w:hAnsi="Verdana" w:cs="Arial"/>
          <w:sz w:val="14"/>
          <w:szCs w:val="14"/>
        </w:rPr>
        <w:t>Firmeza</w:t>
      </w:r>
      <w:r w:rsidRPr="006E426E">
        <w:rPr>
          <w:rFonts w:ascii="Verdana" w:hAnsi="Verdana" w:cs="Arial"/>
          <w:spacing w:val="-6"/>
          <w:sz w:val="14"/>
          <w:szCs w:val="14"/>
        </w:rPr>
        <w:t xml:space="preserve"> </w:t>
      </w:r>
      <w:r w:rsidRPr="006E426E">
        <w:rPr>
          <w:rFonts w:ascii="Verdana" w:hAnsi="Verdana" w:cs="Arial"/>
          <w:sz w:val="14"/>
          <w:szCs w:val="14"/>
        </w:rPr>
        <w:t>de</w:t>
      </w:r>
      <w:r w:rsidRPr="006E426E">
        <w:rPr>
          <w:rFonts w:ascii="Verdana" w:hAnsi="Verdana" w:cs="Arial"/>
          <w:spacing w:val="-6"/>
          <w:sz w:val="14"/>
          <w:szCs w:val="14"/>
        </w:rPr>
        <w:t xml:space="preserve"> </w:t>
      </w:r>
      <w:r w:rsidRPr="006E426E">
        <w:rPr>
          <w:rFonts w:ascii="Verdana" w:hAnsi="Verdana" w:cs="Arial"/>
          <w:sz w:val="14"/>
          <w:szCs w:val="14"/>
        </w:rPr>
        <w:t>los</w:t>
      </w:r>
      <w:r w:rsidRPr="006E426E">
        <w:rPr>
          <w:rFonts w:ascii="Verdana" w:hAnsi="Verdana" w:cs="Arial"/>
          <w:spacing w:val="-6"/>
          <w:sz w:val="14"/>
          <w:szCs w:val="14"/>
        </w:rPr>
        <w:t xml:space="preserve"> </w:t>
      </w:r>
      <w:r w:rsidRPr="006E426E">
        <w:rPr>
          <w:rFonts w:ascii="Verdana" w:hAnsi="Verdana" w:cs="Arial"/>
          <w:sz w:val="14"/>
          <w:szCs w:val="14"/>
        </w:rPr>
        <w:t>actos</w:t>
      </w:r>
      <w:r w:rsidRPr="006E426E">
        <w:rPr>
          <w:rFonts w:ascii="Verdana" w:hAnsi="Verdana" w:cs="Arial"/>
          <w:spacing w:val="-6"/>
          <w:sz w:val="14"/>
          <w:szCs w:val="14"/>
        </w:rPr>
        <w:t xml:space="preserve"> </w:t>
      </w:r>
      <w:r w:rsidRPr="006E426E">
        <w:rPr>
          <w:rFonts w:ascii="Verdana" w:hAnsi="Verdana" w:cs="Arial"/>
          <w:sz w:val="14"/>
          <w:szCs w:val="14"/>
        </w:rPr>
        <w:t>administrativos.</w:t>
      </w:r>
      <w:r w:rsidRPr="006E426E">
        <w:rPr>
          <w:rFonts w:ascii="Verdana" w:hAnsi="Verdana" w:cs="Arial"/>
          <w:spacing w:val="-6"/>
          <w:sz w:val="14"/>
          <w:szCs w:val="14"/>
        </w:rPr>
        <w:t xml:space="preserve"> </w:t>
      </w:r>
      <w:r w:rsidRPr="006E426E">
        <w:rPr>
          <w:rFonts w:ascii="Verdana" w:hAnsi="Verdana" w:cs="Arial"/>
          <w:sz w:val="14"/>
          <w:szCs w:val="14"/>
        </w:rPr>
        <w:t>Los</w:t>
      </w:r>
      <w:r w:rsidRPr="006E426E">
        <w:rPr>
          <w:rFonts w:ascii="Verdana" w:hAnsi="Verdana" w:cs="Arial"/>
          <w:spacing w:val="-6"/>
          <w:sz w:val="14"/>
          <w:szCs w:val="14"/>
        </w:rPr>
        <w:t xml:space="preserve"> </w:t>
      </w:r>
      <w:r w:rsidRPr="006E426E">
        <w:rPr>
          <w:rFonts w:ascii="Verdana" w:hAnsi="Verdana" w:cs="Arial"/>
          <w:sz w:val="14"/>
          <w:szCs w:val="14"/>
        </w:rPr>
        <w:t>actos</w:t>
      </w:r>
      <w:r w:rsidRPr="006E426E">
        <w:rPr>
          <w:rFonts w:ascii="Verdana" w:hAnsi="Verdana" w:cs="Arial"/>
          <w:spacing w:val="-6"/>
          <w:sz w:val="14"/>
          <w:szCs w:val="14"/>
        </w:rPr>
        <w:t xml:space="preserve"> </w:t>
      </w:r>
      <w:r w:rsidRPr="006E426E">
        <w:rPr>
          <w:rFonts w:ascii="Verdana" w:hAnsi="Verdana" w:cs="Arial"/>
          <w:sz w:val="14"/>
          <w:szCs w:val="14"/>
        </w:rPr>
        <w:t>administrativos</w:t>
      </w:r>
      <w:r w:rsidRPr="006E426E">
        <w:rPr>
          <w:rFonts w:ascii="Verdana" w:hAnsi="Verdana" w:cs="Arial"/>
          <w:spacing w:val="-6"/>
          <w:sz w:val="14"/>
          <w:szCs w:val="14"/>
        </w:rPr>
        <w:t xml:space="preserve"> </w:t>
      </w:r>
      <w:r w:rsidRPr="006E426E">
        <w:rPr>
          <w:rFonts w:ascii="Verdana" w:hAnsi="Verdana" w:cs="Arial"/>
          <w:sz w:val="14"/>
          <w:szCs w:val="14"/>
        </w:rPr>
        <w:t>quedarán</w:t>
      </w:r>
      <w:r w:rsidRPr="006E426E">
        <w:rPr>
          <w:rFonts w:ascii="Verdana" w:hAnsi="Verdana" w:cs="Arial"/>
          <w:spacing w:val="-6"/>
          <w:sz w:val="14"/>
          <w:szCs w:val="14"/>
        </w:rPr>
        <w:t xml:space="preserve"> </w:t>
      </w:r>
      <w:r w:rsidRPr="006E426E">
        <w:rPr>
          <w:rFonts w:ascii="Verdana" w:hAnsi="Verdana" w:cs="Arial"/>
          <w:sz w:val="14"/>
          <w:szCs w:val="14"/>
        </w:rPr>
        <w:t>en</w:t>
      </w:r>
      <w:r w:rsidRPr="006E426E">
        <w:rPr>
          <w:rFonts w:ascii="Verdana" w:hAnsi="Verdana" w:cs="Arial"/>
          <w:spacing w:val="-6"/>
          <w:sz w:val="14"/>
          <w:szCs w:val="14"/>
        </w:rPr>
        <w:t xml:space="preserve"> </w:t>
      </w:r>
      <w:r w:rsidRPr="006E426E">
        <w:rPr>
          <w:rFonts w:ascii="Verdana" w:hAnsi="Verdana" w:cs="Arial"/>
          <w:sz w:val="14"/>
          <w:szCs w:val="14"/>
        </w:rPr>
        <w:t>firme:</w:t>
      </w:r>
    </w:p>
    <w:p w14:paraId="655C4268" w14:textId="77777777" w:rsidR="00455F2B" w:rsidRPr="006E426E" w:rsidRDefault="00455F2B" w:rsidP="00455F2B">
      <w:pPr>
        <w:ind w:firstLine="709"/>
        <w:jc w:val="both"/>
        <w:rPr>
          <w:rFonts w:ascii="Verdana" w:hAnsi="Verdana" w:cs="Arial"/>
          <w:sz w:val="14"/>
          <w:szCs w:val="14"/>
        </w:rPr>
      </w:pPr>
      <w:r w:rsidRPr="006E426E">
        <w:rPr>
          <w:rFonts w:ascii="Verdana" w:hAnsi="Verdana" w:cs="Arial"/>
          <w:sz w:val="14"/>
          <w:szCs w:val="14"/>
        </w:rPr>
        <w:t>“1.</w:t>
      </w:r>
      <w:r w:rsidRPr="006E426E">
        <w:rPr>
          <w:rFonts w:ascii="Verdana" w:hAnsi="Verdana" w:cs="Arial"/>
          <w:spacing w:val="-4"/>
          <w:sz w:val="14"/>
          <w:szCs w:val="14"/>
        </w:rPr>
        <w:t xml:space="preserve"> </w:t>
      </w:r>
      <w:r w:rsidRPr="006E426E">
        <w:rPr>
          <w:rFonts w:ascii="Verdana" w:hAnsi="Verdana" w:cs="Arial"/>
          <w:sz w:val="14"/>
          <w:szCs w:val="14"/>
        </w:rPr>
        <w:t>Cuando</w:t>
      </w:r>
      <w:r w:rsidRPr="006E426E">
        <w:rPr>
          <w:rFonts w:ascii="Verdana" w:hAnsi="Verdana" w:cs="Arial"/>
          <w:spacing w:val="-3"/>
          <w:sz w:val="14"/>
          <w:szCs w:val="14"/>
        </w:rPr>
        <w:t xml:space="preserve"> </w:t>
      </w:r>
      <w:r w:rsidRPr="006E426E">
        <w:rPr>
          <w:rFonts w:ascii="Verdana" w:hAnsi="Verdana" w:cs="Arial"/>
          <w:sz w:val="14"/>
          <w:szCs w:val="14"/>
        </w:rPr>
        <w:t>contra</w:t>
      </w:r>
      <w:r w:rsidRPr="006E426E">
        <w:rPr>
          <w:rFonts w:ascii="Verdana" w:hAnsi="Verdana" w:cs="Arial"/>
          <w:spacing w:val="-4"/>
          <w:sz w:val="14"/>
          <w:szCs w:val="14"/>
        </w:rPr>
        <w:t xml:space="preserve"> </w:t>
      </w:r>
      <w:r w:rsidRPr="006E426E">
        <w:rPr>
          <w:rFonts w:ascii="Verdana" w:hAnsi="Verdana" w:cs="Arial"/>
          <w:sz w:val="14"/>
          <w:szCs w:val="14"/>
        </w:rPr>
        <w:t>ellos</w:t>
      </w:r>
      <w:r w:rsidRPr="006E426E">
        <w:rPr>
          <w:rFonts w:ascii="Verdana" w:hAnsi="Verdana" w:cs="Arial"/>
          <w:spacing w:val="-3"/>
          <w:sz w:val="14"/>
          <w:szCs w:val="14"/>
        </w:rPr>
        <w:t xml:space="preserve"> </w:t>
      </w:r>
      <w:r w:rsidRPr="006E426E">
        <w:rPr>
          <w:rFonts w:ascii="Verdana" w:hAnsi="Verdana" w:cs="Arial"/>
          <w:sz w:val="14"/>
          <w:szCs w:val="14"/>
        </w:rPr>
        <w:t>no</w:t>
      </w:r>
      <w:r w:rsidRPr="006E426E">
        <w:rPr>
          <w:rFonts w:ascii="Verdana" w:hAnsi="Verdana" w:cs="Arial"/>
          <w:spacing w:val="-4"/>
          <w:sz w:val="14"/>
          <w:szCs w:val="14"/>
        </w:rPr>
        <w:t xml:space="preserve"> </w:t>
      </w:r>
      <w:r w:rsidRPr="006E426E">
        <w:rPr>
          <w:rFonts w:ascii="Verdana" w:hAnsi="Verdana" w:cs="Arial"/>
          <w:sz w:val="14"/>
          <w:szCs w:val="14"/>
        </w:rPr>
        <w:t>proceda</w:t>
      </w:r>
      <w:r w:rsidRPr="006E426E">
        <w:rPr>
          <w:rFonts w:ascii="Verdana" w:hAnsi="Verdana" w:cs="Arial"/>
          <w:spacing w:val="-3"/>
          <w:sz w:val="14"/>
          <w:szCs w:val="14"/>
        </w:rPr>
        <w:t xml:space="preserve"> </w:t>
      </w:r>
      <w:r w:rsidRPr="006E426E">
        <w:rPr>
          <w:rFonts w:ascii="Verdana" w:hAnsi="Verdana" w:cs="Arial"/>
          <w:sz w:val="14"/>
          <w:szCs w:val="14"/>
        </w:rPr>
        <w:t>ningún</w:t>
      </w:r>
      <w:r w:rsidRPr="006E426E">
        <w:rPr>
          <w:rFonts w:ascii="Verdana" w:hAnsi="Verdana" w:cs="Arial"/>
          <w:spacing w:val="-4"/>
          <w:sz w:val="14"/>
          <w:szCs w:val="14"/>
        </w:rPr>
        <w:t xml:space="preserve"> </w:t>
      </w:r>
      <w:r w:rsidRPr="006E426E">
        <w:rPr>
          <w:rFonts w:ascii="Verdana" w:hAnsi="Verdana" w:cs="Arial"/>
          <w:sz w:val="14"/>
          <w:szCs w:val="14"/>
        </w:rPr>
        <w:t>recurso,</w:t>
      </w:r>
      <w:r w:rsidRPr="006E426E">
        <w:rPr>
          <w:rFonts w:ascii="Verdana" w:hAnsi="Verdana" w:cs="Arial"/>
          <w:spacing w:val="-3"/>
          <w:sz w:val="14"/>
          <w:szCs w:val="14"/>
        </w:rPr>
        <w:t xml:space="preserve"> </w:t>
      </w:r>
      <w:r w:rsidRPr="006E426E">
        <w:rPr>
          <w:rFonts w:ascii="Verdana" w:hAnsi="Verdana" w:cs="Arial"/>
          <w:sz w:val="14"/>
          <w:szCs w:val="14"/>
        </w:rPr>
        <w:t>desde</w:t>
      </w:r>
      <w:r w:rsidRPr="006E426E">
        <w:rPr>
          <w:rFonts w:ascii="Verdana" w:hAnsi="Verdana" w:cs="Arial"/>
          <w:spacing w:val="-4"/>
          <w:sz w:val="14"/>
          <w:szCs w:val="14"/>
        </w:rPr>
        <w:t xml:space="preserve"> </w:t>
      </w:r>
      <w:r w:rsidRPr="006E426E">
        <w:rPr>
          <w:rFonts w:ascii="Verdana" w:hAnsi="Verdana" w:cs="Arial"/>
          <w:sz w:val="14"/>
          <w:szCs w:val="14"/>
        </w:rPr>
        <w:t>el</w:t>
      </w:r>
      <w:r w:rsidRPr="006E426E">
        <w:rPr>
          <w:rFonts w:ascii="Verdana" w:hAnsi="Verdana" w:cs="Arial"/>
          <w:spacing w:val="-3"/>
          <w:sz w:val="14"/>
          <w:szCs w:val="14"/>
        </w:rPr>
        <w:t xml:space="preserve"> </w:t>
      </w:r>
      <w:r w:rsidRPr="006E426E">
        <w:rPr>
          <w:rFonts w:ascii="Verdana" w:hAnsi="Verdana" w:cs="Arial"/>
          <w:sz w:val="14"/>
          <w:szCs w:val="14"/>
        </w:rPr>
        <w:t>día</w:t>
      </w:r>
      <w:r w:rsidRPr="006E426E">
        <w:rPr>
          <w:rFonts w:ascii="Verdana" w:hAnsi="Verdana" w:cs="Arial"/>
          <w:spacing w:val="-4"/>
          <w:sz w:val="14"/>
          <w:szCs w:val="14"/>
        </w:rPr>
        <w:t xml:space="preserve"> </w:t>
      </w:r>
      <w:r w:rsidRPr="006E426E">
        <w:rPr>
          <w:rFonts w:ascii="Verdana" w:hAnsi="Verdana" w:cs="Arial"/>
          <w:sz w:val="14"/>
          <w:szCs w:val="14"/>
        </w:rPr>
        <w:t>siguiente</w:t>
      </w:r>
      <w:r w:rsidRPr="006E426E">
        <w:rPr>
          <w:rFonts w:ascii="Verdana" w:hAnsi="Verdana" w:cs="Arial"/>
          <w:spacing w:val="-3"/>
          <w:sz w:val="14"/>
          <w:szCs w:val="14"/>
        </w:rPr>
        <w:t xml:space="preserve"> </w:t>
      </w:r>
      <w:r w:rsidRPr="006E426E">
        <w:rPr>
          <w:rFonts w:ascii="Verdana" w:hAnsi="Verdana" w:cs="Arial"/>
          <w:sz w:val="14"/>
          <w:szCs w:val="14"/>
        </w:rPr>
        <w:t>al</w:t>
      </w:r>
      <w:r w:rsidRPr="006E426E">
        <w:rPr>
          <w:rFonts w:ascii="Verdana" w:hAnsi="Verdana" w:cs="Arial"/>
          <w:spacing w:val="-4"/>
          <w:sz w:val="14"/>
          <w:szCs w:val="14"/>
        </w:rPr>
        <w:t xml:space="preserve"> </w:t>
      </w:r>
      <w:r w:rsidRPr="006E426E">
        <w:rPr>
          <w:rFonts w:ascii="Verdana" w:hAnsi="Verdana" w:cs="Arial"/>
          <w:sz w:val="14"/>
          <w:szCs w:val="14"/>
        </w:rPr>
        <w:t>de</w:t>
      </w:r>
      <w:r w:rsidRPr="006E426E">
        <w:rPr>
          <w:rFonts w:ascii="Verdana" w:hAnsi="Verdana" w:cs="Arial"/>
          <w:spacing w:val="-3"/>
          <w:sz w:val="14"/>
          <w:szCs w:val="14"/>
        </w:rPr>
        <w:t xml:space="preserve"> </w:t>
      </w:r>
      <w:r w:rsidRPr="006E426E">
        <w:rPr>
          <w:rFonts w:ascii="Verdana" w:hAnsi="Verdana" w:cs="Arial"/>
          <w:sz w:val="14"/>
          <w:szCs w:val="14"/>
        </w:rPr>
        <w:t>su</w:t>
      </w:r>
      <w:r w:rsidRPr="006E426E">
        <w:rPr>
          <w:rFonts w:ascii="Verdana" w:hAnsi="Verdana" w:cs="Arial"/>
          <w:spacing w:val="-4"/>
          <w:sz w:val="14"/>
          <w:szCs w:val="14"/>
        </w:rPr>
        <w:t xml:space="preserve"> </w:t>
      </w:r>
      <w:r w:rsidRPr="006E426E">
        <w:rPr>
          <w:rFonts w:ascii="Verdana" w:hAnsi="Verdana" w:cs="Arial"/>
          <w:sz w:val="14"/>
          <w:szCs w:val="14"/>
        </w:rPr>
        <w:t>notificación,</w:t>
      </w:r>
      <w:r w:rsidRPr="006E426E">
        <w:rPr>
          <w:rFonts w:ascii="Verdana" w:hAnsi="Verdana" w:cs="Arial"/>
          <w:spacing w:val="-3"/>
          <w:sz w:val="14"/>
          <w:szCs w:val="14"/>
        </w:rPr>
        <w:t xml:space="preserve"> </w:t>
      </w:r>
      <w:r w:rsidRPr="006E426E">
        <w:rPr>
          <w:rFonts w:ascii="Verdana" w:hAnsi="Verdana" w:cs="Arial"/>
          <w:sz w:val="14"/>
          <w:szCs w:val="14"/>
        </w:rPr>
        <w:t>comunicación</w:t>
      </w:r>
      <w:r w:rsidRPr="006E426E">
        <w:rPr>
          <w:rFonts w:ascii="Verdana" w:hAnsi="Verdana" w:cs="Arial"/>
          <w:spacing w:val="-4"/>
          <w:sz w:val="14"/>
          <w:szCs w:val="14"/>
        </w:rPr>
        <w:t xml:space="preserve"> </w:t>
      </w:r>
      <w:r w:rsidRPr="006E426E">
        <w:rPr>
          <w:rFonts w:ascii="Verdana" w:hAnsi="Verdana" w:cs="Arial"/>
          <w:sz w:val="14"/>
          <w:szCs w:val="14"/>
        </w:rPr>
        <w:t>o</w:t>
      </w:r>
      <w:r w:rsidRPr="006E426E">
        <w:rPr>
          <w:rFonts w:ascii="Verdana" w:hAnsi="Verdana" w:cs="Arial"/>
          <w:spacing w:val="-3"/>
          <w:sz w:val="14"/>
          <w:szCs w:val="14"/>
        </w:rPr>
        <w:t xml:space="preserve"> </w:t>
      </w:r>
      <w:r w:rsidRPr="006E426E">
        <w:rPr>
          <w:rFonts w:ascii="Verdana" w:hAnsi="Verdana" w:cs="Arial"/>
          <w:sz w:val="14"/>
          <w:szCs w:val="14"/>
        </w:rPr>
        <w:t>publicación</w:t>
      </w:r>
      <w:r w:rsidRPr="006E426E">
        <w:rPr>
          <w:rFonts w:ascii="Verdana" w:hAnsi="Verdana" w:cs="Arial"/>
          <w:spacing w:val="-3"/>
          <w:sz w:val="14"/>
          <w:szCs w:val="14"/>
        </w:rPr>
        <w:t xml:space="preserve"> </w:t>
      </w:r>
      <w:r w:rsidRPr="006E426E">
        <w:rPr>
          <w:rFonts w:ascii="Verdana" w:hAnsi="Verdana" w:cs="Arial"/>
          <w:sz w:val="14"/>
          <w:szCs w:val="14"/>
        </w:rPr>
        <w:t>según</w:t>
      </w:r>
      <w:r w:rsidRPr="006E426E">
        <w:rPr>
          <w:rFonts w:ascii="Verdana" w:hAnsi="Verdana" w:cs="Arial"/>
          <w:spacing w:val="-4"/>
          <w:sz w:val="14"/>
          <w:szCs w:val="14"/>
        </w:rPr>
        <w:t xml:space="preserve"> </w:t>
      </w:r>
      <w:r w:rsidRPr="006E426E">
        <w:rPr>
          <w:rFonts w:ascii="Verdana" w:hAnsi="Verdana" w:cs="Arial"/>
          <w:sz w:val="14"/>
          <w:szCs w:val="14"/>
        </w:rPr>
        <w:t>el</w:t>
      </w:r>
      <w:r w:rsidRPr="006E426E">
        <w:rPr>
          <w:rFonts w:ascii="Verdana" w:hAnsi="Verdana" w:cs="Arial"/>
          <w:spacing w:val="-3"/>
          <w:sz w:val="14"/>
          <w:szCs w:val="14"/>
        </w:rPr>
        <w:t xml:space="preserve"> </w:t>
      </w:r>
      <w:r w:rsidRPr="006E426E">
        <w:rPr>
          <w:rFonts w:ascii="Verdana" w:hAnsi="Verdana" w:cs="Arial"/>
          <w:sz w:val="14"/>
          <w:szCs w:val="14"/>
        </w:rPr>
        <w:t>caso.</w:t>
      </w:r>
    </w:p>
    <w:p w14:paraId="1F6C7F34" w14:textId="77777777" w:rsidR="00455F2B" w:rsidRPr="006E426E" w:rsidRDefault="00455F2B" w:rsidP="00455F2B">
      <w:pPr>
        <w:ind w:firstLine="709"/>
        <w:jc w:val="both"/>
        <w:rPr>
          <w:rFonts w:ascii="Verdana" w:hAnsi="Verdana" w:cs="Arial"/>
          <w:sz w:val="14"/>
          <w:szCs w:val="14"/>
        </w:rPr>
      </w:pPr>
      <w:r w:rsidRPr="006E426E">
        <w:rPr>
          <w:rFonts w:ascii="Verdana" w:hAnsi="Verdana" w:cs="Arial"/>
          <w:sz w:val="14"/>
          <w:szCs w:val="14"/>
        </w:rPr>
        <w:t>“2.</w:t>
      </w:r>
      <w:r w:rsidRPr="006E426E">
        <w:rPr>
          <w:rFonts w:ascii="Verdana" w:hAnsi="Verdana" w:cs="Arial"/>
          <w:spacing w:val="-5"/>
          <w:sz w:val="14"/>
          <w:szCs w:val="14"/>
        </w:rPr>
        <w:t xml:space="preserve"> </w:t>
      </w:r>
      <w:r w:rsidRPr="006E426E">
        <w:rPr>
          <w:rFonts w:ascii="Verdana" w:hAnsi="Verdana" w:cs="Arial"/>
          <w:sz w:val="14"/>
          <w:szCs w:val="14"/>
        </w:rPr>
        <w:t>Desde</w:t>
      </w:r>
      <w:r w:rsidRPr="006E426E">
        <w:rPr>
          <w:rFonts w:ascii="Verdana" w:hAnsi="Verdana" w:cs="Arial"/>
          <w:spacing w:val="-4"/>
          <w:sz w:val="14"/>
          <w:szCs w:val="14"/>
        </w:rPr>
        <w:t xml:space="preserve"> </w:t>
      </w:r>
      <w:r w:rsidRPr="006E426E">
        <w:rPr>
          <w:rFonts w:ascii="Verdana" w:hAnsi="Verdana" w:cs="Arial"/>
          <w:sz w:val="14"/>
          <w:szCs w:val="14"/>
        </w:rPr>
        <w:t>el</w:t>
      </w:r>
      <w:r w:rsidRPr="006E426E">
        <w:rPr>
          <w:rFonts w:ascii="Verdana" w:hAnsi="Verdana" w:cs="Arial"/>
          <w:spacing w:val="-4"/>
          <w:sz w:val="14"/>
          <w:szCs w:val="14"/>
        </w:rPr>
        <w:t xml:space="preserve"> </w:t>
      </w:r>
      <w:r w:rsidRPr="006E426E">
        <w:rPr>
          <w:rFonts w:ascii="Verdana" w:hAnsi="Verdana" w:cs="Arial"/>
          <w:sz w:val="14"/>
          <w:szCs w:val="14"/>
        </w:rPr>
        <w:t>día</w:t>
      </w:r>
      <w:r w:rsidRPr="006E426E">
        <w:rPr>
          <w:rFonts w:ascii="Verdana" w:hAnsi="Verdana" w:cs="Arial"/>
          <w:spacing w:val="-4"/>
          <w:sz w:val="14"/>
          <w:szCs w:val="14"/>
        </w:rPr>
        <w:t xml:space="preserve"> </w:t>
      </w:r>
      <w:r w:rsidRPr="006E426E">
        <w:rPr>
          <w:rFonts w:ascii="Verdana" w:hAnsi="Verdana" w:cs="Arial"/>
          <w:sz w:val="14"/>
          <w:szCs w:val="14"/>
        </w:rPr>
        <w:t>siguiente</w:t>
      </w:r>
      <w:r w:rsidRPr="006E426E">
        <w:rPr>
          <w:rFonts w:ascii="Verdana" w:hAnsi="Verdana" w:cs="Arial"/>
          <w:spacing w:val="-4"/>
          <w:sz w:val="14"/>
          <w:szCs w:val="14"/>
        </w:rPr>
        <w:t xml:space="preserve"> </w:t>
      </w:r>
      <w:r w:rsidRPr="006E426E">
        <w:rPr>
          <w:rFonts w:ascii="Verdana" w:hAnsi="Verdana" w:cs="Arial"/>
          <w:sz w:val="14"/>
          <w:szCs w:val="14"/>
        </w:rPr>
        <w:t>a</w:t>
      </w:r>
      <w:r w:rsidRPr="006E426E">
        <w:rPr>
          <w:rFonts w:ascii="Verdana" w:hAnsi="Verdana" w:cs="Arial"/>
          <w:spacing w:val="-4"/>
          <w:sz w:val="14"/>
          <w:szCs w:val="14"/>
        </w:rPr>
        <w:t xml:space="preserve"> </w:t>
      </w:r>
      <w:r w:rsidRPr="006E426E">
        <w:rPr>
          <w:rFonts w:ascii="Verdana" w:hAnsi="Verdana" w:cs="Arial"/>
          <w:sz w:val="14"/>
          <w:szCs w:val="14"/>
        </w:rPr>
        <w:t>la</w:t>
      </w:r>
      <w:r w:rsidRPr="006E426E">
        <w:rPr>
          <w:rFonts w:ascii="Verdana" w:hAnsi="Verdana" w:cs="Arial"/>
          <w:spacing w:val="-4"/>
          <w:sz w:val="14"/>
          <w:szCs w:val="14"/>
        </w:rPr>
        <w:t xml:space="preserve"> </w:t>
      </w:r>
      <w:r w:rsidRPr="006E426E">
        <w:rPr>
          <w:rFonts w:ascii="Verdana" w:hAnsi="Verdana" w:cs="Arial"/>
          <w:sz w:val="14"/>
          <w:szCs w:val="14"/>
        </w:rPr>
        <w:t>publicación,</w:t>
      </w:r>
      <w:r w:rsidRPr="006E426E">
        <w:rPr>
          <w:rFonts w:ascii="Verdana" w:hAnsi="Verdana" w:cs="Arial"/>
          <w:spacing w:val="-4"/>
          <w:sz w:val="14"/>
          <w:szCs w:val="14"/>
        </w:rPr>
        <w:t xml:space="preserve"> </w:t>
      </w:r>
      <w:r w:rsidRPr="006E426E">
        <w:rPr>
          <w:rFonts w:ascii="Verdana" w:hAnsi="Verdana" w:cs="Arial"/>
          <w:sz w:val="14"/>
          <w:szCs w:val="14"/>
        </w:rPr>
        <w:t>comunicación</w:t>
      </w:r>
      <w:r w:rsidRPr="006E426E">
        <w:rPr>
          <w:rFonts w:ascii="Verdana" w:hAnsi="Verdana" w:cs="Arial"/>
          <w:spacing w:val="-4"/>
          <w:sz w:val="14"/>
          <w:szCs w:val="14"/>
        </w:rPr>
        <w:t xml:space="preserve"> </w:t>
      </w:r>
      <w:r w:rsidRPr="006E426E">
        <w:rPr>
          <w:rFonts w:ascii="Verdana" w:hAnsi="Verdana" w:cs="Arial"/>
          <w:sz w:val="14"/>
          <w:szCs w:val="14"/>
        </w:rPr>
        <w:t>o</w:t>
      </w:r>
      <w:r w:rsidRPr="006E426E">
        <w:rPr>
          <w:rFonts w:ascii="Verdana" w:hAnsi="Verdana" w:cs="Arial"/>
          <w:spacing w:val="-4"/>
          <w:sz w:val="14"/>
          <w:szCs w:val="14"/>
        </w:rPr>
        <w:t xml:space="preserve"> </w:t>
      </w:r>
      <w:r w:rsidRPr="006E426E">
        <w:rPr>
          <w:rFonts w:ascii="Verdana" w:hAnsi="Verdana" w:cs="Arial"/>
          <w:sz w:val="14"/>
          <w:szCs w:val="14"/>
        </w:rPr>
        <w:t>notificación</w:t>
      </w:r>
      <w:r w:rsidRPr="006E426E">
        <w:rPr>
          <w:rFonts w:ascii="Verdana" w:hAnsi="Verdana" w:cs="Arial"/>
          <w:spacing w:val="-4"/>
          <w:sz w:val="14"/>
          <w:szCs w:val="14"/>
        </w:rPr>
        <w:t xml:space="preserve"> </w:t>
      </w:r>
      <w:r w:rsidRPr="006E426E">
        <w:rPr>
          <w:rFonts w:ascii="Verdana" w:hAnsi="Verdana" w:cs="Arial"/>
          <w:sz w:val="14"/>
          <w:szCs w:val="14"/>
        </w:rPr>
        <w:t>de</w:t>
      </w:r>
      <w:r w:rsidRPr="006E426E">
        <w:rPr>
          <w:rFonts w:ascii="Verdana" w:hAnsi="Verdana" w:cs="Arial"/>
          <w:spacing w:val="-4"/>
          <w:sz w:val="14"/>
          <w:szCs w:val="14"/>
        </w:rPr>
        <w:t xml:space="preserve"> </w:t>
      </w:r>
      <w:r w:rsidRPr="006E426E">
        <w:rPr>
          <w:rFonts w:ascii="Verdana" w:hAnsi="Verdana" w:cs="Arial"/>
          <w:sz w:val="14"/>
          <w:szCs w:val="14"/>
        </w:rPr>
        <w:t>la</w:t>
      </w:r>
      <w:r w:rsidRPr="006E426E">
        <w:rPr>
          <w:rFonts w:ascii="Verdana" w:hAnsi="Verdana" w:cs="Arial"/>
          <w:spacing w:val="-4"/>
          <w:sz w:val="14"/>
          <w:szCs w:val="14"/>
        </w:rPr>
        <w:t xml:space="preserve"> </w:t>
      </w:r>
      <w:r w:rsidRPr="006E426E">
        <w:rPr>
          <w:rFonts w:ascii="Verdana" w:hAnsi="Verdana" w:cs="Arial"/>
          <w:sz w:val="14"/>
          <w:szCs w:val="14"/>
        </w:rPr>
        <w:t>decisión</w:t>
      </w:r>
      <w:r w:rsidRPr="006E426E">
        <w:rPr>
          <w:rFonts w:ascii="Verdana" w:hAnsi="Verdana" w:cs="Arial"/>
          <w:spacing w:val="-4"/>
          <w:sz w:val="14"/>
          <w:szCs w:val="14"/>
        </w:rPr>
        <w:t xml:space="preserve"> </w:t>
      </w:r>
      <w:r w:rsidRPr="006E426E">
        <w:rPr>
          <w:rFonts w:ascii="Verdana" w:hAnsi="Verdana" w:cs="Arial"/>
          <w:sz w:val="14"/>
          <w:szCs w:val="14"/>
        </w:rPr>
        <w:t>sobre</w:t>
      </w:r>
      <w:r w:rsidRPr="006E426E">
        <w:rPr>
          <w:rFonts w:ascii="Verdana" w:hAnsi="Verdana" w:cs="Arial"/>
          <w:spacing w:val="-5"/>
          <w:sz w:val="14"/>
          <w:szCs w:val="14"/>
        </w:rPr>
        <w:t xml:space="preserve"> </w:t>
      </w:r>
      <w:r w:rsidRPr="006E426E">
        <w:rPr>
          <w:rFonts w:ascii="Verdana" w:hAnsi="Verdana" w:cs="Arial"/>
          <w:sz w:val="14"/>
          <w:szCs w:val="14"/>
        </w:rPr>
        <w:t>los</w:t>
      </w:r>
      <w:r w:rsidRPr="006E426E">
        <w:rPr>
          <w:rFonts w:ascii="Verdana" w:hAnsi="Verdana" w:cs="Arial"/>
          <w:spacing w:val="-4"/>
          <w:sz w:val="14"/>
          <w:szCs w:val="14"/>
        </w:rPr>
        <w:t xml:space="preserve"> </w:t>
      </w:r>
      <w:r w:rsidRPr="006E426E">
        <w:rPr>
          <w:rFonts w:ascii="Verdana" w:hAnsi="Verdana" w:cs="Arial"/>
          <w:sz w:val="14"/>
          <w:szCs w:val="14"/>
        </w:rPr>
        <w:t>recursos</w:t>
      </w:r>
      <w:r w:rsidRPr="006E426E">
        <w:rPr>
          <w:rFonts w:ascii="Verdana" w:hAnsi="Verdana" w:cs="Arial"/>
          <w:spacing w:val="-4"/>
          <w:sz w:val="14"/>
          <w:szCs w:val="14"/>
        </w:rPr>
        <w:t xml:space="preserve"> </w:t>
      </w:r>
      <w:r w:rsidRPr="006E426E">
        <w:rPr>
          <w:rFonts w:ascii="Verdana" w:hAnsi="Verdana" w:cs="Arial"/>
          <w:sz w:val="14"/>
          <w:szCs w:val="14"/>
        </w:rPr>
        <w:t>interpuestos.</w:t>
      </w:r>
    </w:p>
    <w:p w14:paraId="2058A531" w14:textId="77777777" w:rsidR="00455F2B" w:rsidRPr="006E426E" w:rsidRDefault="00455F2B" w:rsidP="00455F2B">
      <w:pPr>
        <w:ind w:firstLine="709"/>
        <w:jc w:val="both"/>
        <w:rPr>
          <w:rFonts w:ascii="Verdana" w:hAnsi="Verdana" w:cs="Arial"/>
          <w:sz w:val="14"/>
          <w:szCs w:val="14"/>
        </w:rPr>
      </w:pPr>
      <w:r w:rsidRPr="006E426E">
        <w:rPr>
          <w:rFonts w:ascii="Verdana" w:hAnsi="Verdana" w:cs="Arial"/>
          <w:sz w:val="14"/>
          <w:szCs w:val="14"/>
        </w:rPr>
        <w:t>“3.</w:t>
      </w:r>
      <w:r w:rsidRPr="006E426E">
        <w:rPr>
          <w:rFonts w:ascii="Verdana" w:hAnsi="Verdana" w:cs="Arial"/>
          <w:spacing w:val="6"/>
          <w:sz w:val="14"/>
          <w:szCs w:val="14"/>
        </w:rPr>
        <w:t xml:space="preserve"> </w:t>
      </w:r>
      <w:r w:rsidRPr="006E426E">
        <w:rPr>
          <w:rFonts w:ascii="Verdana" w:hAnsi="Verdana" w:cs="Arial"/>
          <w:sz w:val="14"/>
          <w:szCs w:val="14"/>
        </w:rPr>
        <w:t>Desde</w:t>
      </w:r>
      <w:r w:rsidRPr="006E426E">
        <w:rPr>
          <w:rFonts w:ascii="Verdana" w:hAnsi="Verdana" w:cs="Arial"/>
          <w:spacing w:val="6"/>
          <w:sz w:val="14"/>
          <w:szCs w:val="14"/>
        </w:rPr>
        <w:t xml:space="preserve"> </w:t>
      </w:r>
      <w:r w:rsidRPr="006E426E">
        <w:rPr>
          <w:rFonts w:ascii="Verdana" w:hAnsi="Verdana" w:cs="Arial"/>
          <w:sz w:val="14"/>
          <w:szCs w:val="14"/>
        </w:rPr>
        <w:t>el</w:t>
      </w:r>
      <w:r w:rsidRPr="006E426E">
        <w:rPr>
          <w:rFonts w:ascii="Verdana" w:hAnsi="Verdana" w:cs="Arial"/>
          <w:spacing w:val="7"/>
          <w:sz w:val="14"/>
          <w:szCs w:val="14"/>
        </w:rPr>
        <w:t xml:space="preserve"> </w:t>
      </w:r>
      <w:r w:rsidRPr="006E426E">
        <w:rPr>
          <w:rFonts w:ascii="Verdana" w:hAnsi="Verdana" w:cs="Arial"/>
          <w:sz w:val="14"/>
          <w:szCs w:val="14"/>
        </w:rPr>
        <w:t>día</w:t>
      </w:r>
      <w:r w:rsidRPr="006E426E">
        <w:rPr>
          <w:rFonts w:ascii="Verdana" w:hAnsi="Verdana" w:cs="Arial"/>
          <w:spacing w:val="6"/>
          <w:sz w:val="14"/>
          <w:szCs w:val="14"/>
        </w:rPr>
        <w:t xml:space="preserve"> </w:t>
      </w:r>
      <w:r w:rsidRPr="006E426E">
        <w:rPr>
          <w:rFonts w:ascii="Verdana" w:hAnsi="Verdana" w:cs="Arial"/>
          <w:sz w:val="14"/>
          <w:szCs w:val="14"/>
        </w:rPr>
        <w:t>siguiente</w:t>
      </w:r>
      <w:r w:rsidRPr="006E426E">
        <w:rPr>
          <w:rFonts w:ascii="Verdana" w:hAnsi="Verdana" w:cs="Arial"/>
          <w:spacing w:val="6"/>
          <w:sz w:val="14"/>
          <w:szCs w:val="14"/>
        </w:rPr>
        <w:t xml:space="preserve"> </w:t>
      </w:r>
      <w:r w:rsidRPr="006E426E">
        <w:rPr>
          <w:rFonts w:ascii="Verdana" w:hAnsi="Verdana" w:cs="Arial"/>
          <w:sz w:val="14"/>
          <w:szCs w:val="14"/>
        </w:rPr>
        <w:t>al</w:t>
      </w:r>
      <w:r w:rsidRPr="006E426E">
        <w:rPr>
          <w:rFonts w:ascii="Verdana" w:hAnsi="Verdana" w:cs="Arial"/>
          <w:spacing w:val="7"/>
          <w:sz w:val="14"/>
          <w:szCs w:val="14"/>
        </w:rPr>
        <w:t xml:space="preserve"> </w:t>
      </w:r>
      <w:r w:rsidRPr="006E426E">
        <w:rPr>
          <w:rFonts w:ascii="Verdana" w:hAnsi="Verdana" w:cs="Arial"/>
          <w:sz w:val="14"/>
          <w:szCs w:val="14"/>
        </w:rPr>
        <w:t>del</w:t>
      </w:r>
      <w:r w:rsidRPr="006E426E">
        <w:rPr>
          <w:rFonts w:ascii="Verdana" w:hAnsi="Verdana" w:cs="Arial"/>
          <w:spacing w:val="6"/>
          <w:sz w:val="14"/>
          <w:szCs w:val="14"/>
        </w:rPr>
        <w:t xml:space="preserve"> </w:t>
      </w:r>
      <w:r w:rsidRPr="006E426E">
        <w:rPr>
          <w:rFonts w:ascii="Verdana" w:hAnsi="Verdana" w:cs="Arial"/>
          <w:sz w:val="14"/>
          <w:szCs w:val="14"/>
        </w:rPr>
        <w:t>vencimiento</w:t>
      </w:r>
      <w:r w:rsidRPr="006E426E">
        <w:rPr>
          <w:rFonts w:ascii="Verdana" w:hAnsi="Verdana" w:cs="Arial"/>
          <w:spacing w:val="7"/>
          <w:sz w:val="14"/>
          <w:szCs w:val="14"/>
        </w:rPr>
        <w:t xml:space="preserve"> </w:t>
      </w:r>
      <w:r w:rsidRPr="006E426E">
        <w:rPr>
          <w:rFonts w:ascii="Verdana" w:hAnsi="Verdana" w:cs="Arial"/>
          <w:sz w:val="14"/>
          <w:szCs w:val="14"/>
        </w:rPr>
        <w:t>del</w:t>
      </w:r>
      <w:r w:rsidRPr="006E426E">
        <w:rPr>
          <w:rFonts w:ascii="Verdana" w:hAnsi="Verdana" w:cs="Arial"/>
          <w:spacing w:val="6"/>
          <w:sz w:val="14"/>
          <w:szCs w:val="14"/>
        </w:rPr>
        <w:t xml:space="preserve"> </w:t>
      </w:r>
      <w:r w:rsidRPr="006E426E">
        <w:rPr>
          <w:rFonts w:ascii="Verdana" w:hAnsi="Verdana" w:cs="Arial"/>
          <w:sz w:val="14"/>
          <w:szCs w:val="14"/>
        </w:rPr>
        <w:t>término</w:t>
      </w:r>
      <w:r w:rsidRPr="006E426E">
        <w:rPr>
          <w:rFonts w:ascii="Verdana" w:hAnsi="Verdana" w:cs="Arial"/>
          <w:spacing w:val="6"/>
          <w:sz w:val="14"/>
          <w:szCs w:val="14"/>
        </w:rPr>
        <w:t xml:space="preserve"> </w:t>
      </w:r>
      <w:r w:rsidRPr="006E426E">
        <w:rPr>
          <w:rFonts w:ascii="Verdana" w:hAnsi="Verdana" w:cs="Arial"/>
          <w:sz w:val="14"/>
          <w:szCs w:val="14"/>
        </w:rPr>
        <w:t>para</w:t>
      </w:r>
      <w:r w:rsidRPr="006E426E">
        <w:rPr>
          <w:rFonts w:ascii="Verdana" w:hAnsi="Verdana" w:cs="Arial"/>
          <w:spacing w:val="7"/>
          <w:sz w:val="14"/>
          <w:szCs w:val="14"/>
        </w:rPr>
        <w:t xml:space="preserve"> </w:t>
      </w:r>
      <w:r w:rsidRPr="006E426E">
        <w:rPr>
          <w:rFonts w:ascii="Verdana" w:hAnsi="Verdana" w:cs="Arial"/>
          <w:sz w:val="14"/>
          <w:szCs w:val="14"/>
        </w:rPr>
        <w:t>interponer</w:t>
      </w:r>
      <w:r w:rsidRPr="006E426E">
        <w:rPr>
          <w:rFonts w:ascii="Verdana" w:hAnsi="Verdana" w:cs="Arial"/>
          <w:spacing w:val="6"/>
          <w:sz w:val="14"/>
          <w:szCs w:val="14"/>
        </w:rPr>
        <w:t xml:space="preserve"> </w:t>
      </w:r>
      <w:r w:rsidRPr="006E426E">
        <w:rPr>
          <w:rFonts w:ascii="Verdana" w:hAnsi="Verdana" w:cs="Arial"/>
          <w:sz w:val="14"/>
          <w:szCs w:val="14"/>
        </w:rPr>
        <w:t>los</w:t>
      </w:r>
      <w:r w:rsidRPr="006E426E">
        <w:rPr>
          <w:rFonts w:ascii="Verdana" w:hAnsi="Verdana" w:cs="Arial"/>
          <w:spacing w:val="6"/>
          <w:sz w:val="14"/>
          <w:szCs w:val="14"/>
        </w:rPr>
        <w:t xml:space="preserve"> </w:t>
      </w:r>
      <w:r w:rsidRPr="006E426E">
        <w:rPr>
          <w:rFonts w:ascii="Verdana" w:hAnsi="Verdana" w:cs="Arial"/>
          <w:sz w:val="14"/>
          <w:szCs w:val="14"/>
        </w:rPr>
        <w:t>recursos,</w:t>
      </w:r>
      <w:r w:rsidRPr="006E426E">
        <w:rPr>
          <w:rFonts w:ascii="Verdana" w:hAnsi="Verdana" w:cs="Arial"/>
          <w:spacing w:val="7"/>
          <w:sz w:val="14"/>
          <w:szCs w:val="14"/>
        </w:rPr>
        <w:t xml:space="preserve"> </w:t>
      </w:r>
      <w:r w:rsidRPr="006E426E">
        <w:rPr>
          <w:rFonts w:ascii="Verdana" w:hAnsi="Verdana" w:cs="Arial"/>
          <w:sz w:val="14"/>
          <w:szCs w:val="14"/>
        </w:rPr>
        <w:t>si</w:t>
      </w:r>
      <w:r w:rsidRPr="006E426E">
        <w:rPr>
          <w:rFonts w:ascii="Verdana" w:hAnsi="Verdana" w:cs="Arial"/>
          <w:spacing w:val="6"/>
          <w:sz w:val="14"/>
          <w:szCs w:val="14"/>
        </w:rPr>
        <w:t xml:space="preserve"> </w:t>
      </w:r>
      <w:r w:rsidRPr="006E426E">
        <w:rPr>
          <w:rFonts w:ascii="Verdana" w:hAnsi="Verdana" w:cs="Arial"/>
          <w:sz w:val="14"/>
          <w:szCs w:val="14"/>
        </w:rPr>
        <w:t>estos</w:t>
      </w:r>
      <w:r w:rsidRPr="006E426E">
        <w:rPr>
          <w:rFonts w:ascii="Verdana" w:hAnsi="Verdana" w:cs="Arial"/>
          <w:spacing w:val="7"/>
          <w:sz w:val="14"/>
          <w:szCs w:val="14"/>
        </w:rPr>
        <w:t xml:space="preserve"> </w:t>
      </w:r>
      <w:r w:rsidRPr="006E426E">
        <w:rPr>
          <w:rFonts w:ascii="Verdana" w:hAnsi="Verdana" w:cs="Arial"/>
          <w:sz w:val="14"/>
          <w:szCs w:val="14"/>
        </w:rPr>
        <w:t>no</w:t>
      </w:r>
      <w:r w:rsidRPr="006E426E">
        <w:rPr>
          <w:rFonts w:ascii="Verdana" w:hAnsi="Verdana" w:cs="Arial"/>
          <w:spacing w:val="6"/>
          <w:sz w:val="14"/>
          <w:szCs w:val="14"/>
        </w:rPr>
        <w:t xml:space="preserve"> </w:t>
      </w:r>
      <w:r w:rsidRPr="006E426E">
        <w:rPr>
          <w:rFonts w:ascii="Verdana" w:hAnsi="Verdana" w:cs="Arial"/>
          <w:sz w:val="14"/>
          <w:szCs w:val="14"/>
        </w:rPr>
        <w:t>fueron</w:t>
      </w:r>
      <w:r w:rsidRPr="006E426E">
        <w:rPr>
          <w:rFonts w:ascii="Verdana" w:hAnsi="Verdana" w:cs="Arial"/>
          <w:spacing w:val="6"/>
          <w:sz w:val="14"/>
          <w:szCs w:val="14"/>
        </w:rPr>
        <w:t xml:space="preserve"> </w:t>
      </w:r>
      <w:r w:rsidRPr="006E426E">
        <w:rPr>
          <w:rFonts w:ascii="Verdana" w:hAnsi="Verdana" w:cs="Arial"/>
          <w:sz w:val="14"/>
          <w:szCs w:val="14"/>
        </w:rPr>
        <w:t>interpuestos,</w:t>
      </w:r>
      <w:r w:rsidRPr="006E426E">
        <w:rPr>
          <w:rFonts w:ascii="Verdana" w:hAnsi="Verdana" w:cs="Arial"/>
          <w:spacing w:val="7"/>
          <w:sz w:val="14"/>
          <w:szCs w:val="14"/>
        </w:rPr>
        <w:t xml:space="preserve"> </w:t>
      </w:r>
      <w:r w:rsidRPr="006E426E">
        <w:rPr>
          <w:rFonts w:ascii="Verdana" w:hAnsi="Verdana" w:cs="Arial"/>
          <w:sz w:val="14"/>
          <w:szCs w:val="14"/>
        </w:rPr>
        <w:t>o</w:t>
      </w:r>
      <w:r w:rsidRPr="006E426E">
        <w:rPr>
          <w:rFonts w:ascii="Verdana" w:hAnsi="Verdana" w:cs="Arial"/>
          <w:spacing w:val="6"/>
          <w:sz w:val="14"/>
          <w:szCs w:val="14"/>
        </w:rPr>
        <w:t xml:space="preserve"> </w:t>
      </w:r>
      <w:r w:rsidRPr="006E426E">
        <w:rPr>
          <w:rFonts w:ascii="Verdana" w:hAnsi="Verdana" w:cs="Arial"/>
          <w:sz w:val="14"/>
          <w:szCs w:val="14"/>
        </w:rPr>
        <w:t>se</w:t>
      </w:r>
      <w:r w:rsidRPr="006E426E">
        <w:rPr>
          <w:rFonts w:ascii="Verdana" w:hAnsi="Verdana" w:cs="Arial"/>
          <w:spacing w:val="7"/>
          <w:sz w:val="14"/>
          <w:szCs w:val="14"/>
        </w:rPr>
        <w:t xml:space="preserve"> </w:t>
      </w:r>
      <w:r w:rsidRPr="006E426E">
        <w:rPr>
          <w:rFonts w:ascii="Verdana" w:hAnsi="Verdana" w:cs="Arial"/>
          <w:sz w:val="14"/>
          <w:szCs w:val="14"/>
        </w:rPr>
        <w:t>hubiere</w:t>
      </w:r>
      <w:r w:rsidRPr="006E426E">
        <w:rPr>
          <w:rFonts w:ascii="Verdana" w:hAnsi="Verdana" w:cs="Arial"/>
          <w:spacing w:val="6"/>
          <w:sz w:val="14"/>
          <w:szCs w:val="14"/>
        </w:rPr>
        <w:t xml:space="preserve"> </w:t>
      </w:r>
      <w:r w:rsidRPr="006E426E">
        <w:rPr>
          <w:rFonts w:ascii="Verdana" w:hAnsi="Verdana" w:cs="Arial"/>
          <w:sz w:val="14"/>
          <w:szCs w:val="14"/>
        </w:rPr>
        <w:t>renunciado</w:t>
      </w:r>
      <w:r w:rsidRPr="006E426E">
        <w:rPr>
          <w:rFonts w:ascii="Verdana" w:hAnsi="Verdana" w:cs="Arial"/>
          <w:spacing w:val="1"/>
          <w:sz w:val="14"/>
          <w:szCs w:val="14"/>
        </w:rPr>
        <w:t xml:space="preserve"> </w:t>
      </w:r>
      <w:r w:rsidRPr="006E426E">
        <w:rPr>
          <w:rFonts w:ascii="Verdana" w:hAnsi="Verdana" w:cs="Arial"/>
          <w:sz w:val="14"/>
          <w:szCs w:val="14"/>
        </w:rPr>
        <w:t>expresamente</w:t>
      </w:r>
      <w:r w:rsidRPr="006E426E">
        <w:rPr>
          <w:rFonts w:ascii="Verdana" w:hAnsi="Verdana" w:cs="Arial"/>
          <w:spacing w:val="-2"/>
          <w:sz w:val="14"/>
          <w:szCs w:val="14"/>
        </w:rPr>
        <w:t xml:space="preserve"> </w:t>
      </w:r>
      <w:r w:rsidRPr="006E426E">
        <w:rPr>
          <w:rFonts w:ascii="Verdana" w:hAnsi="Verdana" w:cs="Arial"/>
          <w:sz w:val="14"/>
          <w:szCs w:val="14"/>
        </w:rPr>
        <w:t>a</w:t>
      </w:r>
      <w:r w:rsidRPr="006E426E">
        <w:rPr>
          <w:rFonts w:ascii="Verdana" w:hAnsi="Verdana" w:cs="Arial"/>
          <w:spacing w:val="-1"/>
          <w:sz w:val="14"/>
          <w:szCs w:val="14"/>
        </w:rPr>
        <w:t xml:space="preserve"> </w:t>
      </w:r>
      <w:r w:rsidRPr="006E426E">
        <w:rPr>
          <w:rFonts w:ascii="Verdana" w:hAnsi="Verdana" w:cs="Arial"/>
          <w:sz w:val="14"/>
          <w:szCs w:val="14"/>
        </w:rPr>
        <w:t>ellos.</w:t>
      </w:r>
    </w:p>
    <w:p w14:paraId="03C5FE3B" w14:textId="77777777" w:rsidR="00455F2B" w:rsidRPr="006E426E" w:rsidRDefault="00455F2B" w:rsidP="00455F2B">
      <w:pPr>
        <w:ind w:firstLine="709"/>
        <w:jc w:val="both"/>
        <w:rPr>
          <w:rFonts w:ascii="Verdana" w:hAnsi="Verdana" w:cs="Arial"/>
          <w:sz w:val="14"/>
          <w:szCs w:val="14"/>
        </w:rPr>
      </w:pPr>
      <w:r w:rsidRPr="006E426E">
        <w:rPr>
          <w:rFonts w:ascii="Verdana" w:hAnsi="Verdana" w:cs="Arial"/>
          <w:sz w:val="14"/>
          <w:szCs w:val="14"/>
        </w:rPr>
        <w:t>“4.</w:t>
      </w:r>
      <w:r w:rsidRPr="006E426E">
        <w:rPr>
          <w:rFonts w:ascii="Verdana" w:hAnsi="Verdana" w:cs="Arial"/>
          <w:spacing w:val="-4"/>
          <w:sz w:val="14"/>
          <w:szCs w:val="14"/>
        </w:rPr>
        <w:t xml:space="preserve"> </w:t>
      </w:r>
      <w:r w:rsidRPr="006E426E">
        <w:rPr>
          <w:rFonts w:ascii="Verdana" w:hAnsi="Verdana" w:cs="Arial"/>
          <w:sz w:val="14"/>
          <w:szCs w:val="14"/>
        </w:rPr>
        <w:t>Desde</w:t>
      </w:r>
      <w:r w:rsidRPr="006E426E">
        <w:rPr>
          <w:rFonts w:ascii="Verdana" w:hAnsi="Verdana" w:cs="Arial"/>
          <w:spacing w:val="-4"/>
          <w:sz w:val="14"/>
          <w:szCs w:val="14"/>
        </w:rPr>
        <w:t xml:space="preserve"> </w:t>
      </w:r>
      <w:r w:rsidRPr="006E426E">
        <w:rPr>
          <w:rFonts w:ascii="Verdana" w:hAnsi="Verdana" w:cs="Arial"/>
          <w:sz w:val="14"/>
          <w:szCs w:val="14"/>
        </w:rPr>
        <w:t>el</w:t>
      </w:r>
      <w:r w:rsidRPr="006E426E">
        <w:rPr>
          <w:rFonts w:ascii="Verdana" w:hAnsi="Verdana" w:cs="Arial"/>
          <w:spacing w:val="-4"/>
          <w:sz w:val="14"/>
          <w:szCs w:val="14"/>
        </w:rPr>
        <w:t xml:space="preserve"> </w:t>
      </w:r>
      <w:r w:rsidRPr="006E426E">
        <w:rPr>
          <w:rFonts w:ascii="Verdana" w:hAnsi="Verdana" w:cs="Arial"/>
          <w:sz w:val="14"/>
          <w:szCs w:val="14"/>
        </w:rPr>
        <w:t>día</w:t>
      </w:r>
      <w:r w:rsidRPr="006E426E">
        <w:rPr>
          <w:rFonts w:ascii="Verdana" w:hAnsi="Verdana" w:cs="Arial"/>
          <w:spacing w:val="-4"/>
          <w:sz w:val="14"/>
          <w:szCs w:val="14"/>
        </w:rPr>
        <w:t xml:space="preserve"> </w:t>
      </w:r>
      <w:r w:rsidRPr="006E426E">
        <w:rPr>
          <w:rFonts w:ascii="Verdana" w:hAnsi="Verdana" w:cs="Arial"/>
          <w:sz w:val="14"/>
          <w:szCs w:val="14"/>
        </w:rPr>
        <w:t>siguiente</w:t>
      </w:r>
      <w:r w:rsidRPr="006E426E">
        <w:rPr>
          <w:rFonts w:ascii="Verdana" w:hAnsi="Verdana" w:cs="Arial"/>
          <w:spacing w:val="-4"/>
          <w:sz w:val="14"/>
          <w:szCs w:val="14"/>
        </w:rPr>
        <w:t xml:space="preserve"> </w:t>
      </w:r>
      <w:r w:rsidRPr="006E426E">
        <w:rPr>
          <w:rFonts w:ascii="Verdana" w:hAnsi="Verdana" w:cs="Arial"/>
          <w:sz w:val="14"/>
          <w:szCs w:val="14"/>
        </w:rPr>
        <w:t>al</w:t>
      </w:r>
      <w:r w:rsidRPr="006E426E">
        <w:rPr>
          <w:rFonts w:ascii="Verdana" w:hAnsi="Verdana" w:cs="Arial"/>
          <w:spacing w:val="-4"/>
          <w:sz w:val="14"/>
          <w:szCs w:val="14"/>
        </w:rPr>
        <w:t xml:space="preserve"> </w:t>
      </w:r>
      <w:r w:rsidRPr="006E426E">
        <w:rPr>
          <w:rFonts w:ascii="Verdana" w:hAnsi="Verdana" w:cs="Arial"/>
          <w:sz w:val="14"/>
          <w:szCs w:val="14"/>
        </w:rPr>
        <w:t>de</w:t>
      </w:r>
      <w:r w:rsidRPr="006E426E">
        <w:rPr>
          <w:rFonts w:ascii="Verdana" w:hAnsi="Verdana" w:cs="Arial"/>
          <w:spacing w:val="-4"/>
          <w:sz w:val="14"/>
          <w:szCs w:val="14"/>
        </w:rPr>
        <w:t xml:space="preserve"> </w:t>
      </w:r>
      <w:r w:rsidRPr="006E426E">
        <w:rPr>
          <w:rFonts w:ascii="Verdana" w:hAnsi="Verdana" w:cs="Arial"/>
          <w:sz w:val="14"/>
          <w:szCs w:val="14"/>
        </w:rPr>
        <w:t>la</w:t>
      </w:r>
      <w:r w:rsidRPr="006E426E">
        <w:rPr>
          <w:rFonts w:ascii="Verdana" w:hAnsi="Verdana" w:cs="Arial"/>
          <w:spacing w:val="-4"/>
          <w:sz w:val="14"/>
          <w:szCs w:val="14"/>
        </w:rPr>
        <w:t xml:space="preserve"> </w:t>
      </w:r>
      <w:r w:rsidRPr="006E426E">
        <w:rPr>
          <w:rFonts w:ascii="Verdana" w:hAnsi="Verdana" w:cs="Arial"/>
          <w:sz w:val="14"/>
          <w:szCs w:val="14"/>
        </w:rPr>
        <w:t>notificación</w:t>
      </w:r>
      <w:r w:rsidRPr="006E426E">
        <w:rPr>
          <w:rFonts w:ascii="Verdana" w:hAnsi="Verdana" w:cs="Arial"/>
          <w:spacing w:val="-4"/>
          <w:sz w:val="14"/>
          <w:szCs w:val="14"/>
        </w:rPr>
        <w:t xml:space="preserve"> </w:t>
      </w:r>
      <w:r w:rsidRPr="006E426E">
        <w:rPr>
          <w:rFonts w:ascii="Verdana" w:hAnsi="Verdana" w:cs="Arial"/>
          <w:sz w:val="14"/>
          <w:szCs w:val="14"/>
        </w:rPr>
        <w:t>de</w:t>
      </w:r>
      <w:r w:rsidRPr="006E426E">
        <w:rPr>
          <w:rFonts w:ascii="Verdana" w:hAnsi="Verdana" w:cs="Arial"/>
          <w:spacing w:val="-4"/>
          <w:sz w:val="14"/>
          <w:szCs w:val="14"/>
        </w:rPr>
        <w:t xml:space="preserve"> </w:t>
      </w:r>
      <w:r w:rsidRPr="006E426E">
        <w:rPr>
          <w:rFonts w:ascii="Verdana" w:hAnsi="Verdana" w:cs="Arial"/>
          <w:sz w:val="14"/>
          <w:szCs w:val="14"/>
        </w:rPr>
        <w:t>la</w:t>
      </w:r>
      <w:r w:rsidRPr="006E426E">
        <w:rPr>
          <w:rFonts w:ascii="Verdana" w:hAnsi="Verdana" w:cs="Arial"/>
          <w:spacing w:val="-4"/>
          <w:sz w:val="14"/>
          <w:szCs w:val="14"/>
        </w:rPr>
        <w:t xml:space="preserve"> </w:t>
      </w:r>
      <w:r w:rsidRPr="006E426E">
        <w:rPr>
          <w:rFonts w:ascii="Verdana" w:hAnsi="Verdana" w:cs="Arial"/>
          <w:sz w:val="14"/>
          <w:szCs w:val="14"/>
        </w:rPr>
        <w:t>aceptación</w:t>
      </w:r>
      <w:r w:rsidRPr="006E426E">
        <w:rPr>
          <w:rFonts w:ascii="Verdana" w:hAnsi="Verdana" w:cs="Arial"/>
          <w:spacing w:val="-4"/>
          <w:sz w:val="14"/>
          <w:szCs w:val="14"/>
        </w:rPr>
        <w:t xml:space="preserve"> </w:t>
      </w:r>
      <w:r w:rsidRPr="006E426E">
        <w:rPr>
          <w:rFonts w:ascii="Verdana" w:hAnsi="Verdana" w:cs="Arial"/>
          <w:sz w:val="14"/>
          <w:szCs w:val="14"/>
        </w:rPr>
        <w:t>del</w:t>
      </w:r>
      <w:r w:rsidRPr="006E426E">
        <w:rPr>
          <w:rFonts w:ascii="Verdana" w:hAnsi="Verdana" w:cs="Arial"/>
          <w:spacing w:val="-4"/>
          <w:sz w:val="14"/>
          <w:szCs w:val="14"/>
        </w:rPr>
        <w:t xml:space="preserve"> </w:t>
      </w:r>
      <w:r w:rsidRPr="006E426E">
        <w:rPr>
          <w:rFonts w:ascii="Verdana" w:hAnsi="Verdana" w:cs="Arial"/>
          <w:sz w:val="14"/>
          <w:szCs w:val="14"/>
        </w:rPr>
        <w:t>desistimiento</w:t>
      </w:r>
      <w:r w:rsidRPr="006E426E">
        <w:rPr>
          <w:rFonts w:ascii="Verdana" w:hAnsi="Verdana" w:cs="Arial"/>
          <w:spacing w:val="-4"/>
          <w:sz w:val="14"/>
          <w:szCs w:val="14"/>
        </w:rPr>
        <w:t xml:space="preserve"> </w:t>
      </w:r>
      <w:r w:rsidRPr="006E426E">
        <w:rPr>
          <w:rFonts w:ascii="Verdana" w:hAnsi="Verdana" w:cs="Arial"/>
          <w:sz w:val="14"/>
          <w:szCs w:val="14"/>
        </w:rPr>
        <w:t>de</w:t>
      </w:r>
      <w:r w:rsidRPr="006E426E">
        <w:rPr>
          <w:rFonts w:ascii="Verdana" w:hAnsi="Verdana" w:cs="Arial"/>
          <w:spacing w:val="-4"/>
          <w:sz w:val="14"/>
          <w:szCs w:val="14"/>
        </w:rPr>
        <w:t xml:space="preserve"> </w:t>
      </w:r>
      <w:r w:rsidRPr="006E426E">
        <w:rPr>
          <w:rFonts w:ascii="Verdana" w:hAnsi="Verdana" w:cs="Arial"/>
          <w:sz w:val="14"/>
          <w:szCs w:val="14"/>
        </w:rPr>
        <w:t>los</w:t>
      </w:r>
      <w:r w:rsidRPr="006E426E">
        <w:rPr>
          <w:rFonts w:ascii="Verdana" w:hAnsi="Verdana" w:cs="Arial"/>
          <w:spacing w:val="-4"/>
          <w:sz w:val="14"/>
          <w:szCs w:val="14"/>
        </w:rPr>
        <w:t xml:space="preserve"> </w:t>
      </w:r>
      <w:r w:rsidRPr="006E426E">
        <w:rPr>
          <w:rFonts w:ascii="Verdana" w:hAnsi="Verdana" w:cs="Arial"/>
          <w:sz w:val="14"/>
          <w:szCs w:val="14"/>
        </w:rPr>
        <w:t>recursos.</w:t>
      </w:r>
    </w:p>
    <w:p w14:paraId="5DB6BE1A" w14:textId="77777777" w:rsidR="00455F2B" w:rsidRPr="006E426E" w:rsidRDefault="00455F2B" w:rsidP="00455F2B">
      <w:pPr>
        <w:ind w:firstLine="708"/>
        <w:jc w:val="both"/>
        <w:rPr>
          <w:rFonts w:ascii="Verdana" w:hAnsi="Verdana" w:cs="Arial"/>
          <w:sz w:val="14"/>
          <w:szCs w:val="14"/>
        </w:rPr>
      </w:pPr>
      <w:r w:rsidRPr="006E426E">
        <w:rPr>
          <w:rFonts w:ascii="Verdana" w:hAnsi="Verdana" w:cs="Arial"/>
          <w:sz w:val="14"/>
          <w:szCs w:val="14"/>
        </w:rPr>
        <w:t>“5.</w:t>
      </w:r>
      <w:r w:rsidRPr="006E426E">
        <w:rPr>
          <w:rFonts w:ascii="Verdana" w:hAnsi="Verdana" w:cs="Arial"/>
          <w:spacing w:val="-5"/>
          <w:sz w:val="14"/>
          <w:szCs w:val="14"/>
        </w:rPr>
        <w:t xml:space="preserve"> </w:t>
      </w:r>
      <w:r w:rsidRPr="006E426E">
        <w:rPr>
          <w:rFonts w:ascii="Verdana" w:hAnsi="Verdana" w:cs="Arial"/>
          <w:sz w:val="14"/>
          <w:szCs w:val="14"/>
        </w:rPr>
        <w:t>Desde</w:t>
      </w:r>
      <w:r w:rsidRPr="006E426E">
        <w:rPr>
          <w:rFonts w:ascii="Verdana" w:hAnsi="Verdana" w:cs="Arial"/>
          <w:spacing w:val="-4"/>
          <w:sz w:val="14"/>
          <w:szCs w:val="14"/>
        </w:rPr>
        <w:t xml:space="preserve"> </w:t>
      </w:r>
      <w:r w:rsidRPr="006E426E">
        <w:rPr>
          <w:rFonts w:ascii="Verdana" w:hAnsi="Verdana" w:cs="Arial"/>
          <w:sz w:val="14"/>
          <w:szCs w:val="14"/>
        </w:rPr>
        <w:t>el</w:t>
      </w:r>
      <w:r w:rsidRPr="006E426E">
        <w:rPr>
          <w:rFonts w:ascii="Verdana" w:hAnsi="Verdana" w:cs="Arial"/>
          <w:spacing w:val="-5"/>
          <w:sz w:val="14"/>
          <w:szCs w:val="14"/>
        </w:rPr>
        <w:t xml:space="preserve"> </w:t>
      </w:r>
      <w:r w:rsidRPr="006E426E">
        <w:rPr>
          <w:rFonts w:ascii="Verdana" w:hAnsi="Verdana" w:cs="Arial"/>
          <w:sz w:val="14"/>
          <w:szCs w:val="14"/>
        </w:rPr>
        <w:t>día</w:t>
      </w:r>
      <w:r w:rsidRPr="006E426E">
        <w:rPr>
          <w:rFonts w:ascii="Verdana" w:hAnsi="Verdana" w:cs="Arial"/>
          <w:spacing w:val="-4"/>
          <w:sz w:val="14"/>
          <w:szCs w:val="14"/>
        </w:rPr>
        <w:t xml:space="preserve"> </w:t>
      </w:r>
      <w:r w:rsidRPr="006E426E">
        <w:rPr>
          <w:rFonts w:ascii="Verdana" w:hAnsi="Verdana" w:cs="Arial"/>
          <w:sz w:val="14"/>
          <w:szCs w:val="14"/>
        </w:rPr>
        <w:t>siguiente</w:t>
      </w:r>
      <w:r w:rsidRPr="006E426E">
        <w:rPr>
          <w:rFonts w:ascii="Verdana" w:hAnsi="Verdana" w:cs="Arial"/>
          <w:spacing w:val="-4"/>
          <w:sz w:val="14"/>
          <w:szCs w:val="14"/>
        </w:rPr>
        <w:t xml:space="preserve"> </w:t>
      </w:r>
      <w:r w:rsidRPr="006E426E">
        <w:rPr>
          <w:rFonts w:ascii="Verdana" w:hAnsi="Verdana" w:cs="Arial"/>
          <w:sz w:val="14"/>
          <w:szCs w:val="14"/>
        </w:rPr>
        <w:t>al</w:t>
      </w:r>
      <w:r w:rsidRPr="006E426E">
        <w:rPr>
          <w:rFonts w:ascii="Verdana" w:hAnsi="Verdana" w:cs="Arial"/>
          <w:spacing w:val="-5"/>
          <w:sz w:val="14"/>
          <w:szCs w:val="14"/>
        </w:rPr>
        <w:t xml:space="preserve"> </w:t>
      </w:r>
      <w:r w:rsidRPr="006E426E">
        <w:rPr>
          <w:rFonts w:ascii="Verdana" w:hAnsi="Verdana" w:cs="Arial"/>
          <w:sz w:val="14"/>
          <w:szCs w:val="14"/>
        </w:rPr>
        <w:t>de</w:t>
      </w:r>
      <w:r w:rsidRPr="006E426E">
        <w:rPr>
          <w:rFonts w:ascii="Verdana" w:hAnsi="Verdana" w:cs="Arial"/>
          <w:spacing w:val="-4"/>
          <w:sz w:val="14"/>
          <w:szCs w:val="14"/>
        </w:rPr>
        <w:t xml:space="preserve"> </w:t>
      </w:r>
      <w:r w:rsidRPr="006E426E">
        <w:rPr>
          <w:rFonts w:ascii="Verdana" w:hAnsi="Verdana" w:cs="Arial"/>
          <w:sz w:val="14"/>
          <w:szCs w:val="14"/>
        </w:rPr>
        <w:t>la</w:t>
      </w:r>
      <w:r w:rsidRPr="006E426E">
        <w:rPr>
          <w:rFonts w:ascii="Verdana" w:hAnsi="Verdana" w:cs="Arial"/>
          <w:spacing w:val="-4"/>
          <w:sz w:val="14"/>
          <w:szCs w:val="14"/>
        </w:rPr>
        <w:t xml:space="preserve"> </w:t>
      </w:r>
      <w:r w:rsidRPr="006E426E">
        <w:rPr>
          <w:rFonts w:ascii="Verdana" w:hAnsi="Verdana" w:cs="Arial"/>
          <w:sz w:val="14"/>
          <w:szCs w:val="14"/>
        </w:rPr>
        <w:t>protocolización</w:t>
      </w:r>
      <w:r w:rsidRPr="006E426E">
        <w:rPr>
          <w:rFonts w:ascii="Verdana" w:hAnsi="Verdana" w:cs="Arial"/>
          <w:spacing w:val="-5"/>
          <w:sz w:val="14"/>
          <w:szCs w:val="14"/>
        </w:rPr>
        <w:t xml:space="preserve"> </w:t>
      </w:r>
      <w:r w:rsidRPr="006E426E">
        <w:rPr>
          <w:rFonts w:ascii="Verdana" w:hAnsi="Verdana" w:cs="Arial"/>
          <w:sz w:val="14"/>
          <w:szCs w:val="14"/>
        </w:rPr>
        <w:t>a</w:t>
      </w:r>
      <w:r w:rsidRPr="006E426E">
        <w:rPr>
          <w:rFonts w:ascii="Verdana" w:hAnsi="Verdana" w:cs="Arial"/>
          <w:spacing w:val="-4"/>
          <w:sz w:val="14"/>
          <w:szCs w:val="14"/>
        </w:rPr>
        <w:t xml:space="preserve"> </w:t>
      </w:r>
      <w:r w:rsidRPr="006E426E">
        <w:rPr>
          <w:rFonts w:ascii="Verdana" w:hAnsi="Verdana" w:cs="Arial"/>
          <w:sz w:val="14"/>
          <w:szCs w:val="14"/>
        </w:rPr>
        <w:t>que</w:t>
      </w:r>
      <w:r w:rsidRPr="006E426E">
        <w:rPr>
          <w:rFonts w:ascii="Verdana" w:hAnsi="Verdana" w:cs="Arial"/>
          <w:spacing w:val="-4"/>
          <w:sz w:val="14"/>
          <w:szCs w:val="14"/>
        </w:rPr>
        <w:t xml:space="preserve"> </w:t>
      </w:r>
      <w:r w:rsidRPr="006E426E">
        <w:rPr>
          <w:rFonts w:ascii="Verdana" w:hAnsi="Verdana" w:cs="Arial"/>
          <w:sz w:val="14"/>
          <w:szCs w:val="14"/>
        </w:rPr>
        <w:t>alude</w:t>
      </w:r>
      <w:r w:rsidRPr="006E426E">
        <w:rPr>
          <w:rFonts w:ascii="Verdana" w:hAnsi="Verdana" w:cs="Arial"/>
          <w:spacing w:val="-5"/>
          <w:sz w:val="14"/>
          <w:szCs w:val="14"/>
        </w:rPr>
        <w:t xml:space="preserve"> </w:t>
      </w:r>
      <w:r w:rsidRPr="006E426E">
        <w:rPr>
          <w:rFonts w:ascii="Verdana" w:hAnsi="Verdana" w:cs="Arial"/>
          <w:sz w:val="14"/>
          <w:szCs w:val="14"/>
        </w:rPr>
        <w:t>el</w:t>
      </w:r>
      <w:r w:rsidRPr="006E426E">
        <w:rPr>
          <w:rFonts w:ascii="Verdana" w:hAnsi="Verdana" w:cs="Arial"/>
          <w:spacing w:val="-4"/>
          <w:sz w:val="14"/>
          <w:szCs w:val="14"/>
        </w:rPr>
        <w:t xml:space="preserve"> </w:t>
      </w:r>
      <w:r w:rsidRPr="006E426E">
        <w:rPr>
          <w:rFonts w:ascii="Verdana" w:hAnsi="Verdana" w:cs="Arial"/>
          <w:sz w:val="14"/>
          <w:szCs w:val="14"/>
        </w:rPr>
        <w:t>artículo</w:t>
      </w:r>
      <w:r w:rsidRPr="006E426E">
        <w:rPr>
          <w:rFonts w:ascii="Verdana" w:hAnsi="Verdana" w:cs="Arial"/>
          <w:spacing w:val="-5"/>
          <w:sz w:val="14"/>
          <w:szCs w:val="14"/>
        </w:rPr>
        <w:t xml:space="preserve"> </w:t>
      </w:r>
      <w:r w:rsidRPr="006E426E">
        <w:rPr>
          <w:rFonts w:ascii="Verdana" w:hAnsi="Verdana" w:cs="Arial"/>
          <w:sz w:val="14"/>
          <w:szCs w:val="14"/>
        </w:rPr>
        <w:t>85</w:t>
      </w:r>
      <w:r w:rsidRPr="006E426E">
        <w:rPr>
          <w:rFonts w:ascii="Verdana" w:hAnsi="Verdana" w:cs="Arial"/>
          <w:spacing w:val="-4"/>
          <w:sz w:val="14"/>
          <w:szCs w:val="14"/>
        </w:rPr>
        <w:t xml:space="preserve"> </w:t>
      </w:r>
      <w:r w:rsidRPr="006E426E">
        <w:rPr>
          <w:rFonts w:ascii="Verdana" w:hAnsi="Verdana" w:cs="Arial"/>
          <w:sz w:val="14"/>
          <w:szCs w:val="14"/>
        </w:rPr>
        <w:t>para</w:t>
      </w:r>
      <w:r w:rsidRPr="006E426E">
        <w:rPr>
          <w:rFonts w:ascii="Verdana" w:hAnsi="Verdana" w:cs="Arial"/>
          <w:spacing w:val="-4"/>
          <w:sz w:val="14"/>
          <w:szCs w:val="14"/>
        </w:rPr>
        <w:t xml:space="preserve"> </w:t>
      </w:r>
      <w:r w:rsidRPr="006E426E">
        <w:rPr>
          <w:rFonts w:ascii="Verdana" w:hAnsi="Verdana" w:cs="Arial"/>
          <w:sz w:val="14"/>
          <w:szCs w:val="14"/>
        </w:rPr>
        <w:t>el</w:t>
      </w:r>
      <w:r w:rsidRPr="006E426E">
        <w:rPr>
          <w:rFonts w:ascii="Verdana" w:hAnsi="Verdana" w:cs="Arial"/>
          <w:spacing w:val="-5"/>
          <w:sz w:val="14"/>
          <w:szCs w:val="14"/>
        </w:rPr>
        <w:t xml:space="preserve"> </w:t>
      </w:r>
      <w:r w:rsidRPr="006E426E">
        <w:rPr>
          <w:rFonts w:ascii="Verdana" w:hAnsi="Verdana" w:cs="Arial"/>
          <w:sz w:val="14"/>
          <w:szCs w:val="14"/>
        </w:rPr>
        <w:t>silencio</w:t>
      </w:r>
      <w:r w:rsidRPr="006E426E">
        <w:rPr>
          <w:rFonts w:ascii="Verdana" w:hAnsi="Verdana" w:cs="Arial"/>
          <w:spacing w:val="-4"/>
          <w:sz w:val="14"/>
          <w:szCs w:val="14"/>
        </w:rPr>
        <w:t xml:space="preserve"> </w:t>
      </w:r>
      <w:r w:rsidRPr="006E426E">
        <w:rPr>
          <w:rFonts w:ascii="Verdana" w:hAnsi="Verdana" w:cs="Arial"/>
          <w:sz w:val="14"/>
          <w:szCs w:val="14"/>
        </w:rPr>
        <w:t>administrativo</w:t>
      </w:r>
      <w:r w:rsidRPr="006E426E">
        <w:rPr>
          <w:rFonts w:ascii="Verdana" w:hAnsi="Verdana" w:cs="Arial"/>
          <w:spacing w:val="-4"/>
          <w:sz w:val="14"/>
          <w:szCs w:val="14"/>
        </w:rPr>
        <w:t xml:space="preserve"> </w:t>
      </w:r>
      <w:r w:rsidRPr="006E426E">
        <w:rPr>
          <w:rFonts w:ascii="Verdana" w:hAnsi="Verdana" w:cs="Arial"/>
          <w:sz w:val="14"/>
          <w:szCs w:val="14"/>
        </w:rPr>
        <w:t>positivo”.</w:t>
      </w:r>
    </w:p>
  </w:footnote>
  <w:footnote w:id="18">
    <w:p w14:paraId="46A7CCC7" w14:textId="77777777" w:rsidR="00455F2B" w:rsidRPr="006E426E" w:rsidRDefault="00455F2B" w:rsidP="00455F2B">
      <w:pPr>
        <w:ind w:firstLine="709"/>
        <w:jc w:val="both"/>
        <w:rPr>
          <w:rFonts w:ascii="Verdana" w:hAnsi="Verdana"/>
          <w:sz w:val="14"/>
          <w:szCs w:val="14"/>
        </w:rPr>
      </w:pPr>
      <w:r w:rsidRPr="006E426E">
        <w:rPr>
          <w:rFonts w:ascii="Verdana" w:hAnsi="Verdana"/>
          <w:sz w:val="14"/>
          <w:szCs w:val="14"/>
          <w:vertAlign w:val="superscript"/>
        </w:rPr>
        <w:footnoteRef/>
      </w:r>
      <w:r w:rsidRPr="006E426E">
        <w:rPr>
          <w:rFonts w:ascii="Verdana" w:hAnsi="Verdana"/>
          <w:sz w:val="14"/>
          <w:szCs w:val="14"/>
          <w:vertAlign w:val="superscript"/>
        </w:rPr>
        <w:t xml:space="preserve"> </w:t>
      </w:r>
      <w:r w:rsidRPr="006E426E">
        <w:rPr>
          <w:rFonts w:ascii="Verdana" w:hAnsi="Verdana"/>
          <w:sz w:val="14"/>
          <w:szCs w:val="14"/>
        </w:rPr>
        <w:t>Consejo de Estado. Sala de lo Contencioso Administrativo. Sección Cuarta. Sentencia del 19 de noviembre de 1999. Radicado: 11001-03-27-000-2012-00031-00 (9453). CP. Daniel Manrique Guzmán.</w:t>
      </w:r>
    </w:p>
    <w:p w14:paraId="2E67C643" w14:textId="77777777" w:rsidR="00455F2B" w:rsidRPr="006E426E" w:rsidRDefault="00455F2B" w:rsidP="00455F2B">
      <w:pPr>
        <w:ind w:firstLine="709"/>
        <w:jc w:val="both"/>
        <w:rPr>
          <w:rFonts w:ascii="Verdana" w:hAnsi="Verdana" w:cs="Arial"/>
          <w:sz w:val="14"/>
          <w:szCs w:val="14"/>
        </w:rPr>
      </w:pPr>
    </w:p>
  </w:footnote>
  <w:footnote w:id="19">
    <w:p w14:paraId="5E2DB541" w14:textId="77777777" w:rsidR="00455F2B" w:rsidRPr="006E426E" w:rsidRDefault="00455F2B" w:rsidP="00455F2B">
      <w:pPr>
        <w:ind w:firstLine="709"/>
        <w:jc w:val="both"/>
        <w:rPr>
          <w:rFonts w:ascii="Verdana" w:hAnsi="Verdana"/>
          <w:sz w:val="14"/>
          <w:szCs w:val="14"/>
        </w:rPr>
      </w:pPr>
      <w:r w:rsidRPr="006E426E">
        <w:rPr>
          <w:rStyle w:val="Refdenotaalpie"/>
          <w:rFonts w:ascii="Verdana" w:hAnsi="Verdana"/>
          <w:sz w:val="14"/>
          <w:szCs w:val="14"/>
        </w:rPr>
        <w:footnoteRef/>
      </w:r>
      <w:r w:rsidRPr="006E426E">
        <w:rPr>
          <w:rFonts w:ascii="Verdana" w:hAnsi="Verdana"/>
          <w:sz w:val="14"/>
          <w:szCs w:val="14"/>
        </w:rPr>
        <w:t xml:space="preserve"> Ley 1882 de 2018: “Artículo 5. Modifíquese el Parágrafo 1 e inclúyanse los parágrafos 3, 4 y 5 de artículo 5° de la Ley 1150 de 2007, los cuales quedarán así:</w:t>
      </w:r>
    </w:p>
    <w:p w14:paraId="1A8F724E" w14:textId="77777777" w:rsidR="00455F2B" w:rsidRPr="006E426E" w:rsidRDefault="00455F2B" w:rsidP="00455F2B">
      <w:pPr>
        <w:ind w:firstLine="709"/>
        <w:jc w:val="both"/>
        <w:rPr>
          <w:rFonts w:ascii="Verdana" w:hAnsi="Verdana"/>
          <w:sz w:val="14"/>
          <w:szCs w:val="14"/>
        </w:rPr>
      </w:pPr>
      <w:r w:rsidRPr="006E426E">
        <w:rPr>
          <w:rFonts w:ascii="Verdana" w:hAnsi="Verdana"/>
          <w:sz w:val="14"/>
          <w:szCs w:val="14"/>
        </w:rPr>
        <w:t>[…]</w:t>
      </w:r>
    </w:p>
    <w:p w14:paraId="0C20DF33" w14:textId="77777777" w:rsidR="00455F2B" w:rsidRPr="006E426E" w:rsidRDefault="00455F2B" w:rsidP="00455F2B">
      <w:pPr>
        <w:ind w:firstLine="709"/>
        <w:jc w:val="both"/>
        <w:rPr>
          <w:rFonts w:ascii="Verdana" w:hAnsi="Verdana"/>
          <w:sz w:val="14"/>
          <w:szCs w:val="14"/>
        </w:rPr>
      </w:pPr>
      <w:r w:rsidRPr="006E426E">
        <w:rPr>
          <w:rFonts w:ascii="Verdana" w:hAnsi="Verdana"/>
          <w:sz w:val="14"/>
          <w:szCs w:val="14"/>
        </w:rPr>
        <w:t>“Artículo 5°. De la selección objetiva. […]</w:t>
      </w:r>
    </w:p>
    <w:p w14:paraId="641F583B" w14:textId="77777777" w:rsidR="00455F2B" w:rsidRPr="006E426E" w:rsidRDefault="00455F2B" w:rsidP="00455F2B">
      <w:pPr>
        <w:ind w:firstLine="709"/>
        <w:jc w:val="both"/>
        <w:rPr>
          <w:rFonts w:ascii="Verdana" w:hAnsi="Verdana"/>
          <w:sz w:val="14"/>
          <w:szCs w:val="14"/>
        </w:rPr>
      </w:pPr>
      <w:r w:rsidRPr="006E426E">
        <w:rPr>
          <w:rFonts w:ascii="Verdana" w:hAnsi="Verdana"/>
          <w:sz w:val="14"/>
          <w:szCs w:val="14"/>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2188ABD3" w14:textId="77777777" w:rsidR="00455F2B" w:rsidRPr="006E426E" w:rsidRDefault="00455F2B" w:rsidP="00455F2B">
      <w:pPr>
        <w:ind w:firstLine="708"/>
        <w:jc w:val="both"/>
        <w:rPr>
          <w:rFonts w:ascii="Verdana" w:hAnsi="Verdana"/>
          <w:sz w:val="14"/>
          <w:szCs w:val="14"/>
        </w:rPr>
      </w:pPr>
      <w:r w:rsidRPr="006E426E">
        <w:rPr>
          <w:rFonts w:ascii="Verdana" w:hAnsi="Verdana"/>
          <w:sz w:val="14"/>
          <w:szCs w:val="14"/>
        </w:rPr>
        <w:t>“Durante el término otorgado para subsanar las ofertas, los proponentes no podrán acreditar circunstancias ocurridas con posterioridad al cierre del proceso”.</w:t>
      </w:r>
    </w:p>
  </w:footnote>
  <w:footnote w:id="20">
    <w:p w14:paraId="13346FB5" w14:textId="77777777" w:rsidR="00455F2B" w:rsidRPr="006E426E" w:rsidRDefault="00455F2B" w:rsidP="00455F2B">
      <w:pPr>
        <w:ind w:firstLine="708"/>
        <w:jc w:val="both"/>
        <w:rPr>
          <w:rFonts w:ascii="Verdana" w:hAnsi="Verdana"/>
          <w:sz w:val="14"/>
          <w:szCs w:val="14"/>
        </w:rPr>
      </w:pPr>
      <w:r w:rsidRPr="006E426E">
        <w:rPr>
          <w:rFonts w:ascii="Verdana" w:hAnsi="Verdana"/>
          <w:sz w:val="14"/>
          <w:szCs w:val="14"/>
          <w:vertAlign w:val="superscript"/>
        </w:rPr>
        <w:footnoteRef/>
      </w:r>
      <w:r w:rsidRPr="006E426E">
        <w:rPr>
          <w:rFonts w:ascii="Verdana" w:hAnsi="Verdana"/>
          <w:sz w:val="14"/>
          <w:szCs w:val="14"/>
        </w:rPr>
        <w:t xml:space="preserve"> Decreto 2474 de 2008, art. 10, inciso final: “En ningún caso la entidad podrá señalar taxativamente los requisitos o documentos subsanables o no subsanables en el pliego de condiciones, ni permitir que se subsane la falta de capacidad para presentar la oferta, ni que se acrediten circunstancias ocurridas con posterioridad al cierre del proceso”</w:t>
      </w:r>
    </w:p>
  </w:footnote>
  <w:footnote w:id="21">
    <w:p w14:paraId="5DAE331E" w14:textId="77777777" w:rsidR="00455F2B" w:rsidRPr="006E426E" w:rsidRDefault="00455F2B" w:rsidP="00455F2B">
      <w:pPr>
        <w:ind w:firstLine="709"/>
        <w:jc w:val="both"/>
        <w:rPr>
          <w:rFonts w:ascii="Verdana" w:hAnsi="Verdana"/>
          <w:sz w:val="14"/>
          <w:szCs w:val="14"/>
        </w:rPr>
      </w:pPr>
      <w:r w:rsidRPr="006E426E">
        <w:rPr>
          <w:rFonts w:ascii="Verdana" w:hAnsi="Verdana"/>
          <w:sz w:val="14"/>
          <w:szCs w:val="14"/>
          <w:vertAlign w:val="superscript"/>
        </w:rPr>
        <w:footnoteRef/>
      </w:r>
      <w:r w:rsidRPr="006E426E">
        <w:rPr>
          <w:rFonts w:ascii="Verdana" w:hAnsi="Verdana"/>
          <w:sz w:val="14"/>
          <w:szCs w:val="14"/>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Radicado: 11001-03-06-000-2008-00079-00 (1.927). C.P. William Zambrano Cetina).</w:t>
      </w:r>
    </w:p>
    <w:p w14:paraId="7EEBE0DC" w14:textId="77777777" w:rsidR="00455F2B" w:rsidRPr="006E426E" w:rsidRDefault="00455F2B" w:rsidP="00455F2B">
      <w:pPr>
        <w:pStyle w:val="Textonotapie"/>
        <w:jc w:val="both"/>
        <w:rPr>
          <w:rFonts w:ascii="Verdana" w:hAnsi="Verdana"/>
          <w:sz w:val="14"/>
          <w:szCs w:val="14"/>
          <w:lang w:val="es-CO"/>
        </w:rPr>
      </w:pPr>
    </w:p>
  </w:footnote>
  <w:footnote w:id="22">
    <w:p w14:paraId="3A1E4565" w14:textId="77777777" w:rsidR="00455F2B" w:rsidRPr="006E426E" w:rsidRDefault="00455F2B" w:rsidP="00455F2B">
      <w:pPr>
        <w:ind w:firstLine="709"/>
        <w:jc w:val="both"/>
        <w:rPr>
          <w:rFonts w:ascii="Verdana" w:hAnsi="Verdana"/>
          <w:sz w:val="14"/>
          <w:szCs w:val="14"/>
          <w:lang w:val="es-MX"/>
        </w:rPr>
      </w:pPr>
      <w:r w:rsidRPr="006E426E">
        <w:rPr>
          <w:rFonts w:ascii="Verdana" w:hAnsi="Verdana"/>
          <w:sz w:val="14"/>
          <w:szCs w:val="14"/>
          <w:vertAlign w:val="superscript"/>
          <w:lang w:val="es-MX"/>
        </w:rPr>
        <w:footnoteRef/>
      </w:r>
      <w:r w:rsidRPr="006E426E">
        <w:rPr>
          <w:rFonts w:ascii="Verdana" w:hAnsi="Verdana"/>
          <w:sz w:val="14"/>
          <w:szCs w:val="14"/>
          <w:vertAlign w:val="superscript"/>
          <w:lang w:val="es-MX"/>
        </w:rPr>
        <w:t xml:space="preserve"> </w:t>
      </w:r>
      <w:r w:rsidRPr="006E426E">
        <w:rPr>
          <w:rFonts w:ascii="Verdana" w:hAnsi="Verdana"/>
          <w:sz w:val="14"/>
          <w:szCs w:val="14"/>
          <w:lang w:val="es-MX"/>
        </w:rPr>
        <w:t>Decreto 1082 de 2015, artículo 2.2.1.1.1.5.1., citado previamente.</w:t>
      </w:r>
    </w:p>
    <w:p w14:paraId="3658F5B4" w14:textId="77777777" w:rsidR="00455F2B" w:rsidRPr="006E426E" w:rsidRDefault="00455F2B" w:rsidP="00455F2B">
      <w:pPr>
        <w:ind w:firstLine="709"/>
        <w:jc w:val="both"/>
        <w:rPr>
          <w:rFonts w:ascii="Verdana" w:hAnsi="Verdana"/>
          <w:sz w:val="14"/>
          <w:szCs w:val="14"/>
          <w:lang w:val="es-MX"/>
        </w:rPr>
      </w:pPr>
    </w:p>
  </w:footnote>
  <w:footnote w:id="23">
    <w:p w14:paraId="0DD6D535" w14:textId="77777777" w:rsidR="00455F2B" w:rsidRPr="006E426E" w:rsidRDefault="00455F2B" w:rsidP="00455F2B">
      <w:pPr>
        <w:pStyle w:val="Textonotapie"/>
        <w:ind w:firstLine="708"/>
        <w:jc w:val="both"/>
        <w:rPr>
          <w:rStyle w:val="Hipervnculo"/>
          <w:rFonts w:ascii="Verdana" w:hAnsi="Verdana"/>
          <w:sz w:val="14"/>
          <w:szCs w:val="14"/>
          <w:lang w:val="es-CO"/>
        </w:rPr>
      </w:pPr>
      <w:r w:rsidRPr="006E426E">
        <w:rPr>
          <w:rStyle w:val="Refdenotaalpie"/>
          <w:rFonts w:ascii="Verdana" w:hAnsi="Verdana"/>
          <w:sz w:val="14"/>
          <w:szCs w:val="14"/>
        </w:rPr>
        <w:footnoteRef/>
      </w:r>
      <w:r w:rsidRPr="006E426E">
        <w:rPr>
          <w:rFonts w:ascii="Verdana" w:hAnsi="Verdana"/>
          <w:sz w:val="14"/>
          <w:szCs w:val="14"/>
        </w:rPr>
        <w:t xml:space="preserve"> La Circular Externa Única de Colombia Compra Eficiente puede ser consultada en el siguiente link: </w:t>
      </w:r>
      <w:hyperlink r:id="rId1" w:history="1">
        <w:r w:rsidRPr="006E426E">
          <w:rPr>
            <w:rStyle w:val="Hipervnculo"/>
            <w:rFonts w:ascii="Verdana" w:hAnsi="Verdana"/>
            <w:sz w:val="14"/>
            <w:szCs w:val="14"/>
            <w:lang w:val="es-CO"/>
          </w:rPr>
          <w:t>circular_externa_unica_version_3_vf49.pdf</w:t>
        </w:r>
      </w:hyperlink>
    </w:p>
    <w:p w14:paraId="05BE0B6E" w14:textId="77777777" w:rsidR="00455F2B" w:rsidRPr="006E426E" w:rsidRDefault="00455F2B" w:rsidP="00455F2B">
      <w:pPr>
        <w:pStyle w:val="Textonotapie"/>
        <w:ind w:firstLine="708"/>
        <w:jc w:val="both"/>
        <w:rPr>
          <w:rFonts w:ascii="Verdana" w:hAnsi="Verdana"/>
          <w:sz w:val="14"/>
          <w:szCs w:val="14"/>
        </w:rPr>
      </w:pPr>
    </w:p>
  </w:footnote>
  <w:footnote w:id="24">
    <w:p w14:paraId="66C91EC6" w14:textId="77777777" w:rsidR="00455F2B" w:rsidRPr="002206B9" w:rsidRDefault="00455F2B" w:rsidP="00455F2B">
      <w:pPr>
        <w:pStyle w:val="Textonotapie"/>
        <w:jc w:val="both"/>
        <w:rPr>
          <w:rFonts w:ascii="Verdana" w:hAnsi="Verdana" w:cs="Arial"/>
          <w:sz w:val="18"/>
          <w:szCs w:val="18"/>
        </w:rPr>
      </w:pPr>
    </w:p>
    <w:p w14:paraId="4CAE8B63" w14:textId="77777777" w:rsidR="00455F2B" w:rsidRPr="002206B9" w:rsidRDefault="00455F2B" w:rsidP="00455F2B">
      <w:pPr>
        <w:pStyle w:val="Textonotapie"/>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cuanto a las resoluciones vigentes, dicha regla se observa en el artículo 3 de las Resoluciones</w:t>
      </w:r>
      <w:bookmarkStart w:id="14" w:name="_Hlk82363077"/>
      <w:r w:rsidRPr="002206B9">
        <w:rPr>
          <w:rFonts w:ascii="Verdana" w:hAnsi="Verdana" w:cs="Arial"/>
          <w:sz w:val="18"/>
          <w:szCs w:val="18"/>
          <w:lang w:val="es-ES"/>
        </w:rPr>
        <w:t xml:space="preserve"> 248 de 2020, 249 de 2020, 269 de 2020, 219 de 2021, 220 de 2021, 392 de 2021, 454 de 2021, 333 de 2022, 358 de 2023, 798 de 2023, 456 de 2024, 463 de 2024, 464 de 2024, 725 de 2024, 726 de 2024, entre otras</w:t>
      </w:r>
      <w:bookmarkEnd w:id="14"/>
      <w:r w:rsidRPr="002206B9">
        <w:rPr>
          <w:rFonts w:ascii="Verdana" w:hAnsi="Verdana" w:cs="Arial"/>
          <w:sz w:val="18"/>
          <w:szCs w:val="18"/>
          <w:lang w:val="es-ES"/>
        </w:rPr>
        <w:t xml:space="preserve">. </w:t>
      </w:r>
    </w:p>
    <w:p w14:paraId="5F263FA9" w14:textId="77777777" w:rsidR="00455F2B" w:rsidRPr="002206B9" w:rsidRDefault="00455F2B" w:rsidP="00455F2B">
      <w:pPr>
        <w:pStyle w:val="Textonotapie"/>
        <w:ind w:firstLine="709"/>
        <w:jc w:val="both"/>
        <w:rPr>
          <w:rFonts w:ascii="Verdana" w:hAnsi="Verdana" w:cs="Arial"/>
          <w:sz w:val="18"/>
          <w:szCs w:val="18"/>
          <w:lang w:val="es-ES"/>
        </w:rPr>
      </w:pPr>
    </w:p>
  </w:footnote>
  <w:footnote w:id="25">
    <w:p w14:paraId="59652969" w14:textId="77777777" w:rsidR="00455F2B" w:rsidRPr="002206B9" w:rsidRDefault="00455F2B" w:rsidP="00455F2B">
      <w:pPr>
        <w:pStyle w:val="Textonotapie"/>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18F27405" w14:textId="77777777" w:rsidR="00455F2B" w:rsidRPr="002206B9" w:rsidRDefault="00455F2B" w:rsidP="00455F2B">
      <w:pPr>
        <w:pStyle w:val="Textonotapie"/>
        <w:ind w:firstLine="708"/>
        <w:jc w:val="both"/>
        <w:rPr>
          <w:rFonts w:ascii="Verdana" w:hAnsi="Verdana" w:cs="Arial"/>
          <w:sz w:val="18"/>
          <w:szCs w:val="18"/>
        </w:rPr>
      </w:pPr>
    </w:p>
  </w:footnote>
  <w:footnote w:id="26">
    <w:p w14:paraId="2859933F" w14:textId="77777777" w:rsidR="00455F2B" w:rsidRPr="002206B9" w:rsidRDefault="00455F2B" w:rsidP="00455F2B">
      <w:pPr>
        <w:pStyle w:val="Textonotapie"/>
        <w:ind w:firstLine="709"/>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0F72B0E8" w14:textId="77777777" w:rsidR="00455F2B" w:rsidRPr="002206B9" w:rsidRDefault="00455F2B" w:rsidP="00455F2B">
      <w:pPr>
        <w:pStyle w:val="Textonotapie"/>
        <w:ind w:firstLine="709"/>
        <w:jc w:val="both"/>
        <w:rPr>
          <w:rFonts w:ascii="Verdana" w:hAnsi="Verdana" w:cs="Arial"/>
          <w:sz w:val="18"/>
          <w:szCs w:val="18"/>
        </w:rPr>
      </w:pPr>
    </w:p>
  </w:footnote>
  <w:footnote w:id="27">
    <w:p w14:paraId="3DF95FAA" w14:textId="77777777" w:rsidR="00455F2B" w:rsidRPr="002206B9" w:rsidRDefault="00455F2B" w:rsidP="00455F2B">
      <w:pPr>
        <w:spacing w:after="0" w:line="240" w:lineRule="auto"/>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22D7DD1E" w14:textId="77777777" w:rsidR="00455F2B" w:rsidRPr="002206B9" w:rsidRDefault="00455F2B" w:rsidP="00455F2B">
      <w:pPr>
        <w:spacing w:after="0" w:line="240" w:lineRule="auto"/>
        <w:ind w:firstLine="709"/>
        <w:jc w:val="both"/>
        <w:rPr>
          <w:rFonts w:ascii="Verdana" w:hAnsi="Verdana" w:cs="Arial"/>
          <w:sz w:val="18"/>
          <w:szCs w:val="18"/>
          <w:lang w:val="es-ES"/>
        </w:rPr>
      </w:pPr>
    </w:p>
  </w:footnote>
  <w:footnote w:id="28">
    <w:p w14:paraId="4E4A9201" w14:textId="77777777" w:rsidR="00455F2B" w:rsidRPr="002206B9" w:rsidRDefault="00455F2B" w:rsidP="00455F2B">
      <w:pPr>
        <w:pStyle w:val="Textonotapie"/>
        <w:ind w:firstLine="708"/>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Diccionario de la Real Academia Española, versión online disponible en: </w:t>
      </w:r>
      <w:hyperlink r:id="rId2" w:history="1">
        <w:r w:rsidRPr="002206B9">
          <w:rPr>
            <w:rStyle w:val="Hipervnculo"/>
            <w:rFonts w:ascii="Verdana" w:hAnsi="Verdana" w:cs="Arial"/>
            <w:color w:val="auto"/>
            <w:sz w:val="18"/>
            <w:szCs w:val="18"/>
          </w:rPr>
          <w:t>https://dle.rae.es/est%C3%A1ndar</w:t>
        </w:r>
      </w:hyperlink>
      <w:r w:rsidRPr="002206B9">
        <w:rPr>
          <w:rFonts w:ascii="Verdana" w:hAnsi="Verdana" w:cs="Arial"/>
          <w:sz w:val="18"/>
          <w:szCs w:val="18"/>
        </w:rPr>
        <w:t xml:space="preserve">, consultado el 23 de abril de 2026. </w:t>
      </w:r>
    </w:p>
  </w:footnote>
  <w:footnote w:id="29">
    <w:p w14:paraId="1DCFFC7E" w14:textId="77777777" w:rsidR="00455F2B" w:rsidRPr="002206B9" w:rsidRDefault="00455F2B" w:rsidP="00455F2B">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4F16363A" w14:textId="77777777" w:rsidR="00455F2B" w:rsidRPr="002206B9" w:rsidRDefault="00455F2B" w:rsidP="00455F2B">
      <w:pPr>
        <w:spacing w:after="0" w:line="240" w:lineRule="auto"/>
        <w:ind w:firstLine="708"/>
        <w:jc w:val="both"/>
        <w:rPr>
          <w:rFonts w:ascii="Verdana" w:hAnsi="Verdana"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1596C"/>
    <w:multiLevelType w:val="hybridMultilevel"/>
    <w:tmpl w:val="83E086D4"/>
    <w:lvl w:ilvl="0" w:tplc="1196F048">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3469263">
    <w:abstractNumId w:val="5"/>
  </w:num>
  <w:num w:numId="2" w16cid:durableId="478421729">
    <w:abstractNumId w:val="1"/>
  </w:num>
  <w:num w:numId="3" w16cid:durableId="1131559078">
    <w:abstractNumId w:val="3"/>
  </w:num>
  <w:num w:numId="4" w16cid:durableId="11916079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4252302">
    <w:abstractNumId w:val="1"/>
  </w:num>
  <w:num w:numId="6" w16cid:durableId="320357555">
    <w:abstractNumId w:val="14"/>
  </w:num>
  <w:num w:numId="7" w16cid:durableId="531185126">
    <w:abstractNumId w:val="4"/>
  </w:num>
  <w:num w:numId="8" w16cid:durableId="260913457">
    <w:abstractNumId w:val="13"/>
  </w:num>
  <w:num w:numId="9" w16cid:durableId="230115015">
    <w:abstractNumId w:val="6"/>
  </w:num>
  <w:num w:numId="10" w16cid:durableId="1639265183">
    <w:abstractNumId w:val="12"/>
  </w:num>
  <w:num w:numId="11" w16cid:durableId="1639186667">
    <w:abstractNumId w:val="7"/>
  </w:num>
  <w:num w:numId="12" w16cid:durableId="1164592522">
    <w:abstractNumId w:val="0"/>
  </w:num>
  <w:num w:numId="13" w16cid:durableId="1329404817">
    <w:abstractNumId w:val="2"/>
  </w:num>
  <w:num w:numId="14" w16cid:durableId="123351451">
    <w:abstractNumId w:val="15"/>
  </w:num>
  <w:num w:numId="15" w16cid:durableId="1411392700">
    <w:abstractNumId w:val="11"/>
  </w:num>
  <w:num w:numId="16" w16cid:durableId="768740723">
    <w:abstractNumId w:val="9"/>
  </w:num>
  <w:num w:numId="17" w16cid:durableId="1184903473">
    <w:abstractNumId w:val="8"/>
  </w:num>
  <w:num w:numId="18" w16cid:durableId="1561285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5F2B"/>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92348"/>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4099"/>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790B"/>
    <w:rsid w:val="00E75C92"/>
    <w:rsid w:val="00E771DC"/>
    <w:rsid w:val="00E8772A"/>
    <w:rsid w:val="00E90F6B"/>
    <w:rsid w:val="00E92C27"/>
    <w:rsid w:val="00EA0E3D"/>
    <w:rsid w:val="00EC38A7"/>
    <w:rsid w:val="00EE1AA8"/>
    <w:rsid w:val="00EE6C61"/>
    <w:rsid w:val="00EF2BBE"/>
    <w:rsid w:val="00F05599"/>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27016F6"/>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455F2B"/>
    <w:pPr>
      <w:spacing w:line="240" w:lineRule="exact"/>
    </w:pPr>
    <w:rPr>
      <w:vertAlign w:val="superscript"/>
    </w:rPr>
  </w:style>
  <w:style w:type="character" w:customStyle="1" w:styleId="NormalWebCar">
    <w:name w:val="Normal (Web) Car"/>
    <w:link w:val="NormalWeb"/>
    <w:uiPriority w:val="99"/>
    <w:locked/>
    <w:rsid w:val="00455F2B"/>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55F2B"/>
    <w:rPr>
      <w:rFonts w:ascii="Geomanist Light" w:hAnsi="Geomanist Light"/>
      <w:lang w:val="es-ES"/>
    </w:rPr>
  </w:style>
  <w:style w:type="character" w:styleId="nfasis">
    <w:name w:val="Emphasis"/>
    <w:basedOn w:val="Fuentedeprrafopredeter"/>
    <w:uiPriority w:val="20"/>
    <w:qFormat/>
    <w:rsid w:val="00455F2B"/>
    <w:rPr>
      <w:i/>
      <w:iCs/>
    </w:rPr>
  </w:style>
  <w:style w:type="character" w:styleId="Fuerte">
    <w:name w:val="Strong"/>
    <w:basedOn w:val="Fuentedeprrafopredeter"/>
    <w:uiPriority w:val="22"/>
    <w:qFormat/>
    <w:rsid w:val="00455F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wp-content/uploads/2024/08/circular_externa_unica_version_3_vf49.pdf"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le.rae.es/est%C3%A1ndar" TargetMode="External"/><Relationship Id="rId1" Type="http://schemas.openxmlformats.org/officeDocument/2006/relationships/hyperlink" Target="https://www.colombiacompra.gov.co/wp-content/uploads/2024/08/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1D0B0A-9947-4920-B1AF-09B33AA25400}"/>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40</Pages>
  <Words>12990</Words>
  <Characters>71451</Characters>
  <Application>Microsoft Office Word</Application>
  <DocSecurity>0</DocSecurity>
  <Lines>595</Lines>
  <Paragraphs>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2026-10-07T12:25:00Z</dcterms:created>
  <dcterms:modified xsi:type="dcterms:W3CDTF">2026-10-07T14:03:00Z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