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162F3" w14:textId="77777777" w:rsidR="00E464C4" w:rsidRPr="00B10A68" w:rsidRDefault="00E464C4" w:rsidP="00E464C4">
      <w:pPr>
        <w:spacing w:after="0" w:line="240" w:lineRule="auto"/>
        <w:jc w:val="both"/>
        <w:rPr>
          <w:rFonts w:ascii="Verdana" w:eastAsia="Calibri" w:hAnsi="Verdana" w:cs="Arial"/>
          <w:b/>
          <w:bCs/>
          <w:lang w:val="es-ES" w:eastAsia="es-ES"/>
        </w:rPr>
      </w:pPr>
      <w:r w:rsidRPr="00B10A68">
        <w:rPr>
          <w:rFonts w:ascii="Verdana" w:eastAsia="Calibri" w:hAnsi="Verdana" w:cs="Arial"/>
          <w:b/>
          <w:bCs/>
          <w:lang w:val="es-ES" w:eastAsia="es-ES"/>
        </w:rPr>
        <w:t>SUBSANABILIDAD – Aplicación – R</w:t>
      </w:r>
      <w:r w:rsidRPr="00B10A68">
        <w:rPr>
          <w:rFonts w:ascii="Verdana" w:eastAsia="Calibri" w:hAnsi="Verdana" w:cs="Times New Roman"/>
          <w:b/>
          <w:bCs/>
          <w:lang w:val="es-ES" w:eastAsia="es-ES"/>
        </w:rPr>
        <w:t>egla general</w:t>
      </w:r>
      <w:r w:rsidRPr="00B10A68">
        <w:rPr>
          <w:rFonts w:ascii="Verdana" w:eastAsia="Calibri" w:hAnsi="Verdana" w:cs="Arial"/>
          <w:b/>
          <w:bCs/>
          <w:lang w:val="es-ES" w:eastAsia="es-ES"/>
        </w:rPr>
        <w:t xml:space="preserve"> – Excepciones </w:t>
      </w:r>
    </w:p>
    <w:p w14:paraId="71FDB37B" w14:textId="77777777" w:rsidR="00E464C4" w:rsidRPr="00B10A68" w:rsidRDefault="00E464C4" w:rsidP="00E464C4">
      <w:pPr>
        <w:tabs>
          <w:tab w:val="left" w:pos="426"/>
        </w:tabs>
        <w:spacing w:after="0" w:line="240" w:lineRule="auto"/>
        <w:jc w:val="both"/>
        <w:rPr>
          <w:rFonts w:ascii="Verdana" w:eastAsia="Calibri" w:hAnsi="Verdana" w:cs="Arial"/>
          <w:b/>
          <w:sz w:val="20"/>
          <w:szCs w:val="20"/>
          <w:lang w:eastAsia="es-CO"/>
        </w:rPr>
      </w:pPr>
    </w:p>
    <w:p w14:paraId="2CDB6028" w14:textId="77777777" w:rsidR="00E464C4" w:rsidRPr="00B10A68" w:rsidRDefault="00E464C4" w:rsidP="00E464C4">
      <w:pPr>
        <w:spacing w:after="0" w:line="240" w:lineRule="auto"/>
        <w:jc w:val="both"/>
        <w:rPr>
          <w:rFonts w:ascii="Verdana" w:eastAsia="Calibri" w:hAnsi="Verdana" w:cs="Arial"/>
          <w:bCs/>
          <w:sz w:val="20"/>
          <w:szCs w:val="20"/>
          <w:lang w:eastAsia="es-CO"/>
        </w:rPr>
      </w:pPr>
      <w:r w:rsidRPr="00B10A68">
        <w:rPr>
          <w:rFonts w:ascii="Verdana" w:eastAsia="Calibri" w:hAnsi="Verdana" w:cs="Arial"/>
          <w:bCs/>
          <w:sz w:val="20"/>
          <w:szCs w:val="20"/>
          <w:lang w:eastAsia="es-CO"/>
        </w:rPr>
        <w:t>La regla de la subsanabilidad de las ofertas en los procedimientos de selección 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7704BCB7" w14:textId="77777777" w:rsidR="00E464C4" w:rsidRPr="00B10A68" w:rsidRDefault="00E464C4" w:rsidP="00E464C4">
      <w:pPr>
        <w:spacing w:after="0" w:line="240" w:lineRule="auto"/>
        <w:jc w:val="both"/>
        <w:rPr>
          <w:rFonts w:ascii="Verdana" w:eastAsia="Calibri" w:hAnsi="Verdana" w:cs="Arial"/>
          <w:bCs/>
          <w:sz w:val="20"/>
          <w:szCs w:val="20"/>
          <w:lang w:val="es-ES_tradnl" w:eastAsia="es-CO"/>
        </w:rPr>
      </w:pPr>
    </w:p>
    <w:p w14:paraId="0BC89EB0" w14:textId="77777777" w:rsidR="00E464C4" w:rsidRPr="00B10A68" w:rsidRDefault="00E464C4" w:rsidP="00E464C4">
      <w:pPr>
        <w:spacing w:after="0" w:line="240" w:lineRule="auto"/>
        <w:jc w:val="both"/>
        <w:rPr>
          <w:rFonts w:ascii="Verdana" w:eastAsia="Calibri" w:hAnsi="Verdana" w:cs="Arial"/>
          <w:b/>
          <w:bCs/>
          <w:lang w:val="es-ES" w:eastAsia="es-ES"/>
        </w:rPr>
      </w:pPr>
      <w:r w:rsidRPr="00B10A68">
        <w:rPr>
          <w:rFonts w:ascii="Verdana" w:eastAsia="Calibri" w:hAnsi="Verdana" w:cs="Arial"/>
          <w:b/>
          <w:bCs/>
          <w:lang w:val="es-ES" w:eastAsia="es-ES"/>
        </w:rPr>
        <w:t xml:space="preserve">SUBSANABILIDAD – Ley 1882 de 2018 </w:t>
      </w:r>
    </w:p>
    <w:p w14:paraId="2A7C7020" w14:textId="77777777" w:rsidR="00E464C4" w:rsidRPr="00B10A68" w:rsidRDefault="00E464C4" w:rsidP="00E464C4">
      <w:pPr>
        <w:spacing w:after="0" w:line="240" w:lineRule="auto"/>
        <w:jc w:val="both"/>
        <w:rPr>
          <w:rFonts w:ascii="Verdana" w:eastAsia="Times New Roman" w:hAnsi="Verdana" w:cs="Arial"/>
          <w:lang w:val="es-ES" w:eastAsia="es-ES_tradnl"/>
        </w:rPr>
      </w:pPr>
    </w:p>
    <w:p w14:paraId="02E63938" w14:textId="77777777" w:rsidR="00E464C4" w:rsidRDefault="00E464C4" w:rsidP="00E464C4">
      <w:pPr>
        <w:spacing w:after="0" w:line="240" w:lineRule="auto"/>
        <w:jc w:val="both"/>
        <w:rPr>
          <w:rFonts w:ascii="Verdana" w:eastAsia="Calibri" w:hAnsi="Verdana" w:cs="Arial"/>
          <w:bCs/>
          <w:sz w:val="20"/>
          <w:szCs w:val="20"/>
          <w:lang w:eastAsia="es-CO"/>
        </w:rPr>
      </w:pPr>
      <w:r w:rsidRPr="00B10A68">
        <w:rPr>
          <w:rFonts w:ascii="Verdana" w:eastAsia="Calibri" w:hAnsi="Verdana" w:cs="Arial"/>
          <w:bCs/>
          <w:sz w:val="20"/>
          <w:szCs w:val="20"/>
          <w:lang w:eastAsia="es-CO"/>
        </w:rPr>
        <w:t xml:space="preserve">[…] la Ley 1882 de 2018: i) mantiene el criterio de la Ley 80 de 1993, relativo a que todo lo que no sea necesario para la comparación de propuestas no es título suficiente para su rechazo; </w:t>
      </w:r>
      <w:proofErr w:type="spellStart"/>
      <w:r w:rsidRPr="00B10A68">
        <w:rPr>
          <w:rFonts w:ascii="Verdana" w:eastAsia="Calibri" w:hAnsi="Verdana" w:cs="Arial"/>
          <w:bCs/>
          <w:sz w:val="20"/>
          <w:szCs w:val="20"/>
          <w:lang w:eastAsia="es-CO"/>
        </w:rPr>
        <w:t>ii</w:t>
      </w:r>
      <w:proofErr w:type="spellEnd"/>
      <w:r w:rsidRPr="00B10A68">
        <w:rPr>
          <w:rFonts w:ascii="Verdana" w:eastAsia="Calibri" w:hAnsi="Verdana" w:cs="Arial"/>
          <w:bCs/>
          <w:sz w:val="20"/>
          <w:szCs w:val="20"/>
          <w:lang w:eastAsia="es-CO"/>
        </w:rPr>
        <w:t xml:space="preserve">) mantiene el criterio aclaratorio de la Ley 1150 de 2007, según el cual todo lo que no afecte la asignación de puntaje puede subsanarse; e, </w:t>
      </w:r>
      <w:proofErr w:type="spellStart"/>
      <w:r w:rsidRPr="00B10A68">
        <w:rPr>
          <w:rFonts w:ascii="Verdana" w:eastAsia="Calibri" w:hAnsi="Verdana" w:cs="Arial"/>
          <w:bCs/>
          <w:sz w:val="20"/>
          <w:szCs w:val="20"/>
          <w:lang w:eastAsia="es-CO"/>
        </w:rPr>
        <w:t>iii</w:t>
      </w:r>
      <w:proofErr w:type="spellEnd"/>
      <w:r w:rsidRPr="00B10A68">
        <w:rPr>
          <w:rFonts w:ascii="Verdana" w:eastAsia="Calibri" w:hAnsi="Verdana" w:cs="Arial"/>
          <w:bCs/>
          <w:sz w:val="20"/>
          <w:szCs w:val="20"/>
          <w:lang w:eastAsia="es-CO"/>
        </w:rPr>
        <w:t>) introduce modificaciones en relación con algunos aspectos que se analizarán a continuación.</w:t>
      </w:r>
    </w:p>
    <w:p w14:paraId="552DD8A8" w14:textId="77777777" w:rsidR="00E464C4" w:rsidRDefault="00E464C4" w:rsidP="00E464C4">
      <w:pPr>
        <w:spacing w:after="0" w:line="240" w:lineRule="auto"/>
        <w:jc w:val="both"/>
        <w:rPr>
          <w:rFonts w:ascii="Verdana" w:eastAsia="Calibri" w:hAnsi="Verdana" w:cs="Arial"/>
          <w:bCs/>
          <w:sz w:val="20"/>
          <w:szCs w:val="20"/>
          <w:lang w:eastAsia="es-CO"/>
        </w:rPr>
      </w:pPr>
    </w:p>
    <w:p w14:paraId="5ADD9187" w14:textId="77777777" w:rsidR="00E464C4" w:rsidRDefault="00E464C4" w:rsidP="00E464C4">
      <w:pPr>
        <w:spacing w:after="0" w:line="240" w:lineRule="auto"/>
        <w:jc w:val="both"/>
        <w:rPr>
          <w:rFonts w:ascii="Verdana" w:eastAsia="Calibri" w:hAnsi="Verdana" w:cs="Arial"/>
          <w:b/>
          <w:bCs/>
          <w:lang w:val="es-ES" w:eastAsia="es-ES"/>
        </w:rPr>
      </w:pPr>
      <w:r w:rsidRPr="00B10A68">
        <w:rPr>
          <w:rFonts w:ascii="Verdana" w:eastAsia="Calibri" w:hAnsi="Verdana" w:cs="Arial"/>
          <w:b/>
          <w:bCs/>
          <w:lang w:val="es-ES" w:eastAsia="es-ES"/>
        </w:rPr>
        <w:t>SUBSANABILIDAD</w:t>
      </w:r>
      <w:r>
        <w:rPr>
          <w:rFonts w:ascii="Verdana" w:eastAsia="Calibri" w:hAnsi="Verdana" w:cs="Arial"/>
          <w:b/>
          <w:bCs/>
          <w:lang w:val="es-ES" w:eastAsia="es-ES"/>
        </w:rPr>
        <w:t xml:space="preserve"> </w:t>
      </w:r>
      <w:r w:rsidRPr="00B10A68">
        <w:rPr>
          <w:rFonts w:ascii="Verdana" w:eastAsia="Calibri" w:hAnsi="Verdana" w:cs="Arial"/>
          <w:b/>
          <w:bCs/>
          <w:lang w:val="es-ES" w:eastAsia="es-ES"/>
        </w:rPr>
        <w:t>–</w:t>
      </w:r>
      <w:r>
        <w:rPr>
          <w:rFonts w:ascii="Verdana" w:eastAsia="Calibri" w:hAnsi="Verdana" w:cs="Arial"/>
          <w:b/>
          <w:bCs/>
          <w:lang w:val="es-ES" w:eastAsia="es-ES"/>
        </w:rPr>
        <w:t xml:space="preserve"> Requisitos habilitantes </w:t>
      </w:r>
      <w:r w:rsidRPr="00B10A68">
        <w:rPr>
          <w:rFonts w:ascii="Verdana" w:eastAsia="Calibri" w:hAnsi="Verdana" w:cs="Arial"/>
          <w:b/>
          <w:bCs/>
          <w:lang w:val="es-ES" w:eastAsia="es-ES"/>
        </w:rPr>
        <w:t>–</w:t>
      </w:r>
      <w:r>
        <w:rPr>
          <w:rFonts w:ascii="Verdana" w:eastAsia="Calibri" w:hAnsi="Verdana" w:cs="Arial"/>
          <w:b/>
          <w:bCs/>
          <w:lang w:val="es-ES" w:eastAsia="es-ES"/>
        </w:rPr>
        <w:t xml:space="preserve"> Circunstancias ocurridas con posterioridad al cierre</w:t>
      </w:r>
    </w:p>
    <w:p w14:paraId="0124D97D" w14:textId="77777777" w:rsidR="00E464C4" w:rsidRDefault="00E464C4" w:rsidP="00E464C4">
      <w:pPr>
        <w:spacing w:after="0" w:line="240" w:lineRule="auto"/>
        <w:jc w:val="both"/>
        <w:rPr>
          <w:rFonts w:ascii="Verdana" w:eastAsia="Calibri" w:hAnsi="Verdana" w:cs="Arial"/>
          <w:b/>
          <w:bCs/>
          <w:lang w:val="es-ES" w:eastAsia="es-ES"/>
        </w:rPr>
      </w:pPr>
    </w:p>
    <w:p w14:paraId="7DB84408" w14:textId="77777777" w:rsidR="00E464C4" w:rsidRDefault="00E464C4" w:rsidP="00E464C4">
      <w:pPr>
        <w:spacing w:after="0" w:line="240" w:lineRule="auto"/>
        <w:jc w:val="both"/>
        <w:rPr>
          <w:rFonts w:ascii="Verdana" w:hAnsi="Verdana"/>
          <w:sz w:val="20"/>
          <w:szCs w:val="20"/>
        </w:rPr>
      </w:pPr>
      <w:r w:rsidRPr="00C703AB">
        <w:rPr>
          <w:rFonts w:ascii="Verdana" w:hAnsi="Verdana"/>
          <w:sz w:val="20"/>
          <w:szCs w:val="20"/>
        </w:rPr>
        <w:t>De otro lado, en consideración al interrogante planteado, si las inconsistencias no afectan la comparación de las propuestas, la entidad les debe otorgar la facultad a los proponentes de subsanar cualquier inconsistencia en el contenido de los documentos que acrediten el equipo de trabajo, y estos últimos deben subsanarlos hasta el traslado del informe de evaluación, hasta el momento previo a la realización de la audiencia (subasta inversa) o, hasta antes que finalice el traslado del informe de evaluación (mínima cuantía) so pena de rechazar la oferta si no se corrige durante el término establecido.</w:t>
      </w:r>
    </w:p>
    <w:p w14:paraId="2116ECE2" w14:textId="77777777" w:rsidR="00E464C4" w:rsidRPr="00C703AB" w:rsidRDefault="00E464C4" w:rsidP="00E464C4">
      <w:pPr>
        <w:spacing w:after="0" w:line="240" w:lineRule="auto"/>
        <w:jc w:val="both"/>
        <w:rPr>
          <w:rFonts w:ascii="Verdana" w:hAnsi="Verdana"/>
          <w:sz w:val="20"/>
          <w:szCs w:val="20"/>
        </w:rPr>
      </w:pPr>
    </w:p>
    <w:p w14:paraId="078A506E" w14:textId="77777777" w:rsidR="00E464C4" w:rsidRDefault="00E464C4" w:rsidP="00E464C4">
      <w:pPr>
        <w:spacing w:after="0" w:line="240" w:lineRule="auto"/>
        <w:jc w:val="both"/>
        <w:rPr>
          <w:rFonts w:ascii="Verdana" w:hAnsi="Verdana"/>
          <w:sz w:val="20"/>
          <w:szCs w:val="20"/>
        </w:rPr>
      </w:pPr>
      <w:r w:rsidRPr="00C703AB">
        <w:rPr>
          <w:rFonts w:ascii="Verdana" w:hAnsi="Verdana"/>
          <w:sz w:val="20"/>
          <w:szCs w:val="20"/>
        </w:rPr>
        <w:t>No obstante, la subsanación no podría consistir en acreditar circunstancias ocurridas con posterioridad al cierre del proceso, dado que ese supuesto correspondería a la prohibición expresa que hace el parágrafo 1 del artículo 5 de la Ley 1150 de 2007, sin que sea viable subsanar de tal forma.</w:t>
      </w:r>
    </w:p>
    <w:p w14:paraId="603C3385" w14:textId="77777777" w:rsidR="00E464C4" w:rsidRPr="00C703AB" w:rsidRDefault="00E464C4" w:rsidP="00E464C4">
      <w:pPr>
        <w:spacing w:after="0" w:line="240" w:lineRule="auto"/>
        <w:jc w:val="both"/>
        <w:rPr>
          <w:rFonts w:ascii="Verdana" w:hAnsi="Verdana"/>
          <w:sz w:val="20"/>
          <w:szCs w:val="20"/>
        </w:rPr>
      </w:pPr>
    </w:p>
    <w:p w14:paraId="009171ED" w14:textId="77777777" w:rsidR="00E464C4" w:rsidRPr="00C703AB" w:rsidRDefault="00E464C4" w:rsidP="00E464C4">
      <w:pPr>
        <w:spacing w:after="0" w:line="240" w:lineRule="auto"/>
        <w:jc w:val="both"/>
        <w:rPr>
          <w:rFonts w:ascii="Verdana" w:hAnsi="Verdana"/>
          <w:sz w:val="20"/>
          <w:szCs w:val="20"/>
        </w:rPr>
      </w:pPr>
      <w:r w:rsidRPr="00C703AB">
        <w:rPr>
          <w:rFonts w:ascii="Verdana" w:hAnsi="Verdana"/>
          <w:sz w:val="20"/>
          <w:szCs w:val="20"/>
        </w:rPr>
        <w:t>Lo anterior, teniendo en cuenta que una de las excepciones a la regla de poder subsanar los requisitos habilitantes se encuentra en la prohibición de permitir que se subsanen aspectos que acreditan circunstancias ocurridas con posterioridad al cierre del proceso. En ese sentido, al aportar el documento subsanado (como las hojas de vida del equipo de trabajo), la entidad contratante debe determinar que no se estén acreditando circunstancias ocurridas con posterioridad al cierre del proceso.</w:t>
      </w:r>
    </w:p>
    <w:p w14:paraId="66CC4732" w14:textId="77777777" w:rsidR="00E464C4" w:rsidRPr="00B10A68" w:rsidRDefault="00E464C4" w:rsidP="00E464C4">
      <w:pPr>
        <w:spacing w:after="0" w:line="240" w:lineRule="auto"/>
        <w:jc w:val="both"/>
        <w:rPr>
          <w:rFonts w:ascii="Verdana" w:eastAsia="Calibri" w:hAnsi="Verdana" w:cs="Arial"/>
          <w:bCs/>
          <w:sz w:val="20"/>
          <w:szCs w:val="20"/>
          <w:lang w:eastAsia="es-CO"/>
        </w:rPr>
      </w:pPr>
    </w:p>
    <w:p w14:paraId="45D4288D" w14:textId="77777777" w:rsidR="00E464C4" w:rsidRPr="007C738F" w:rsidRDefault="00E464C4" w:rsidP="00E464C4">
      <w:pPr>
        <w:spacing w:after="0" w:line="240" w:lineRule="auto"/>
        <w:jc w:val="both"/>
        <w:rPr>
          <w:rFonts w:ascii="Verdana" w:hAnsi="Verdana"/>
          <w:b/>
          <w:bCs/>
        </w:rPr>
      </w:pPr>
      <w:r w:rsidRPr="007C738F">
        <w:rPr>
          <w:rFonts w:ascii="Verdana" w:hAnsi="Verdana"/>
          <w:b/>
          <w:bCs/>
        </w:rPr>
        <w:t>ADENDAS – Fundamento</w:t>
      </w:r>
    </w:p>
    <w:p w14:paraId="772470ED" w14:textId="77777777" w:rsidR="00E464C4" w:rsidRPr="001F4272" w:rsidRDefault="00E464C4" w:rsidP="00E464C4">
      <w:pPr>
        <w:spacing w:after="0" w:line="240" w:lineRule="auto"/>
        <w:jc w:val="both"/>
        <w:rPr>
          <w:rFonts w:ascii="Verdana" w:hAnsi="Verdana"/>
          <w:b/>
          <w:bCs/>
          <w:sz w:val="20"/>
          <w:szCs w:val="20"/>
        </w:rPr>
      </w:pPr>
    </w:p>
    <w:p w14:paraId="4C0D2DC8" w14:textId="77777777" w:rsidR="00E464C4" w:rsidRPr="001F4272" w:rsidRDefault="00E464C4" w:rsidP="00E464C4">
      <w:pPr>
        <w:spacing w:after="0" w:line="240" w:lineRule="auto"/>
        <w:jc w:val="both"/>
        <w:rPr>
          <w:rFonts w:ascii="Verdana" w:hAnsi="Verdana"/>
          <w:sz w:val="20"/>
          <w:szCs w:val="20"/>
        </w:rPr>
      </w:pPr>
      <w:r w:rsidRPr="001F4272">
        <w:rPr>
          <w:rFonts w:ascii="Verdana" w:hAnsi="Verdana"/>
          <w:sz w:val="20"/>
          <w:szCs w:val="20"/>
        </w:rPr>
        <w:lastRenderedPageBreak/>
        <w:t xml:space="preserve">[…]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a través de adendas. </w:t>
      </w:r>
    </w:p>
    <w:p w14:paraId="30A22AE6" w14:textId="77777777" w:rsidR="00E464C4" w:rsidRPr="001F4272" w:rsidRDefault="00E464C4" w:rsidP="00E464C4">
      <w:pPr>
        <w:spacing w:after="0" w:line="240" w:lineRule="auto"/>
        <w:jc w:val="both"/>
        <w:rPr>
          <w:rFonts w:ascii="Verdana" w:hAnsi="Verdana"/>
          <w:sz w:val="20"/>
          <w:szCs w:val="20"/>
        </w:rPr>
      </w:pPr>
    </w:p>
    <w:p w14:paraId="585479D8" w14:textId="77777777" w:rsidR="00E464C4" w:rsidRPr="001F4272" w:rsidRDefault="00E464C4" w:rsidP="00E464C4">
      <w:pPr>
        <w:spacing w:after="0" w:line="240" w:lineRule="auto"/>
        <w:jc w:val="both"/>
        <w:rPr>
          <w:rFonts w:ascii="Verdana" w:hAnsi="Verdana"/>
          <w:sz w:val="20"/>
          <w:szCs w:val="20"/>
        </w:rPr>
      </w:pPr>
      <w:r w:rsidRPr="001F4272">
        <w:rPr>
          <w:rFonts w:ascii="Verdana" w:hAnsi="Verdana"/>
          <w:sz w:val="20"/>
          <w:szCs w:val="20"/>
        </w:rPr>
        <w:t>Sin perjuicio de lo anterior, como lo ha reconocido la jurisprudencia del Consejo de Estado, dichas modificaciones pueden realizarse por medio de cualquier otro documento que contenga la manifestación de voluntad de la entidad de aclarar, añadir, adicionar, reemplazar o cambiar un aspecto o condición, incluida en los documentos del procedimiento de contratación, independientemente que a dicho documento se le titule como adenda</w:t>
      </w:r>
      <w:r>
        <w:rPr>
          <w:rFonts w:ascii="Verdana" w:hAnsi="Verdana"/>
          <w:sz w:val="20"/>
          <w:szCs w:val="20"/>
        </w:rPr>
        <w:t xml:space="preserve"> […]</w:t>
      </w:r>
    </w:p>
    <w:p w14:paraId="3BD32777" w14:textId="77777777" w:rsidR="00E464C4" w:rsidRPr="007C738F" w:rsidRDefault="00E464C4" w:rsidP="00E464C4">
      <w:pPr>
        <w:spacing w:after="0" w:line="240" w:lineRule="auto"/>
        <w:jc w:val="both"/>
        <w:rPr>
          <w:rFonts w:ascii="Verdana" w:eastAsia="Arial" w:hAnsi="Verdana" w:cs="Arial"/>
          <w:color w:val="7030A0"/>
        </w:rPr>
      </w:pPr>
    </w:p>
    <w:p w14:paraId="2E9DCB76" w14:textId="77777777" w:rsidR="00E464C4" w:rsidRPr="007C738F" w:rsidRDefault="00E464C4" w:rsidP="00E464C4">
      <w:pPr>
        <w:spacing w:after="0" w:line="240" w:lineRule="auto"/>
        <w:jc w:val="both"/>
        <w:rPr>
          <w:rFonts w:ascii="Verdana" w:hAnsi="Verdana"/>
          <w:b/>
          <w:bCs/>
        </w:rPr>
      </w:pPr>
      <w:r w:rsidRPr="007C738F">
        <w:rPr>
          <w:rFonts w:ascii="Verdana" w:hAnsi="Verdana"/>
          <w:b/>
          <w:bCs/>
        </w:rPr>
        <w:t xml:space="preserve">ADENDAS – Alcance – Límites  </w:t>
      </w:r>
    </w:p>
    <w:p w14:paraId="76932F6D" w14:textId="77777777" w:rsidR="00E464C4" w:rsidRDefault="00E464C4" w:rsidP="00E464C4">
      <w:pPr>
        <w:spacing w:after="0" w:line="240" w:lineRule="auto"/>
        <w:jc w:val="both"/>
        <w:rPr>
          <w:rFonts w:ascii="Verdana" w:hAnsi="Verdana"/>
          <w:b/>
          <w:bCs/>
          <w:sz w:val="20"/>
          <w:szCs w:val="20"/>
        </w:rPr>
      </w:pPr>
    </w:p>
    <w:p w14:paraId="078F6655" w14:textId="77777777" w:rsidR="00E464C4" w:rsidRPr="00FF00B5" w:rsidRDefault="00E464C4" w:rsidP="00E464C4">
      <w:pPr>
        <w:spacing w:after="0" w:line="240" w:lineRule="auto"/>
        <w:jc w:val="both"/>
        <w:rPr>
          <w:rFonts w:ascii="Verdana" w:hAnsi="Verdana"/>
          <w:sz w:val="20"/>
          <w:szCs w:val="20"/>
        </w:rPr>
      </w:pPr>
      <w:r w:rsidRPr="00FF00B5">
        <w:rPr>
          <w:rFonts w:ascii="Verdana" w:hAnsi="Verdana"/>
          <w:sz w:val="20"/>
          <w:szCs w:val="20"/>
        </w:rPr>
        <w:t xml:space="preserve">[…] </w:t>
      </w:r>
      <w:r w:rsidRPr="00FF00B5">
        <w:rPr>
          <w:rFonts w:ascii="Verdana" w:eastAsia="Calibri" w:hAnsi="Verdana" w:cs="Arial"/>
          <w:sz w:val="20"/>
          <w:szCs w:val="20"/>
        </w:rPr>
        <w:t xml:space="preserve">La interpretación de esta norma supone diferenciar entre dos (2) tipos de ajustes que pueden dar lugar a la expedición de adendas: i) los referidos a las condiciones técnicas, jurídicas y económicas del pliego definitivo y, en general, a cualquier contenido distinto del cronograma del procedimiento de selección y </w:t>
      </w:r>
      <w:proofErr w:type="spellStart"/>
      <w:r w:rsidRPr="00FF00B5">
        <w:rPr>
          <w:rFonts w:ascii="Verdana" w:eastAsia="Calibri" w:hAnsi="Verdana" w:cs="Arial"/>
          <w:sz w:val="20"/>
          <w:szCs w:val="20"/>
        </w:rPr>
        <w:t>ii</w:t>
      </w:r>
      <w:proofErr w:type="spellEnd"/>
      <w:r w:rsidRPr="00FF00B5">
        <w:rPr>
          <w:rFonts w:ascii="Verdana" w:eastAsia="Calibri" w:hAnsi="Verdana" w:cs="Arial"/>
          <w:sz w:val="20"/>
          <w:szCs w:val="20"/>
        </w:rPr>
        <w:t>) los del cronograma. El primer tipo de adendas puede ser realizada hasta antes del vencimiento del plazo para la recepción de ofertas, mientras que las segundas, también pueden realizarse luego del cierre del proceso, antes de la adjudicación del contrato, en las que solo se permite modificar los plazos de las etapas siguientes.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2.2.1.1.2.2.1. […]</w:t>
      </w:r>
    </w:p>
    <w:p w14:paraId="23557690" w14:textId="77777777" w:rsidR="00E464C4" w:rsidRDefault="00E464C4" w:rsidP="00E464C4">
      <w:pPr>
        <w:spacing w:after="0" w:line="240" w:lineRule="auto"/>
        <w:rPr>
          <w:rFonts w:ascii="Verdana" w:eastAsia="Times New Roman" w:hAnsi="Verdana" w:cs="Arial"/>
          <w:b/>
          <w:bCs/>
          <w:lang w:val="es-MX" w:eastAsia="es-ES_tradnl"/>
        </w:rPr>
      </w:pPr>
    </w:p>
    <w:p w14:paraId="20B2482F" w14:textId="77777777" w:rsidR="00E464C4" w:rsidRDefault="00E464C4" w:rsidP="00E464C4">
      <w:pPr>
        <w:spacing w:after="0" w:line="240" w:lineRule="auto"/>
        <w:rPr>
          <w:rFonts w:ascii="Verdana" w:eastAsia="Times New Roman" w:hAnsi="Verdana" w:cs="Arial"/>
          <w:b/>
          <w:bCs/>
          <w:lang w:val="es-MX" w:eastAsia="es-ES_tradnl"/>
        </w:rPr>
      </w:pPr>
    </w:p>
    <w:p w14:paraId="7287ECB1" w14:textId="77777777" w:rsidR="00E464C4" w:rsidRDefault="00E464C4" w:rsidP="00E464C4">
      <w:pPr>
        <w:spacing w:after="0" w:line="240" w:lineRule="auto"/>
        <w:rPr>
          <w:rFonts w:ascii="Verdana" w:eastAsia="Times New Roman" w:hAnsi="Verdana" w:cs="Arial"/>
          <w:b/>
          <w:bCs/>
          <w:lang w:val="es-MX" w:eastAsia="es-ES_tradnl"/>
        </w:rPr>
      </w:pPr>
    </w:p>
    <w:p w14:paraId="6390364A" w14:textId="77777777" w:rsidR="00E464C4" w:rsidRDefault="00E464C4" w:rsidP="00E464C4">
      <w:pPr>
        <w:spacing w:after="0" w:line="240" w:lineRule="auto"/>
        <w:rPr>
          <w:rFonts w:ascii="Verdana" w:eastAsia="Times New Roman" w:hAnsi="Verdana" w:cs="Arial"/>
          <w:b/>
          <w:bCs/>
          <w:lang w:val="es-MX" w:eastAsia="es-ES_tradnl"/>
        </w:rPr>
      </w:pPr>
    </w:p>
    <w:p w14:paraId="2E7F959E" w14:textId="77777777" w:rsidR="00E464C4" w:rsidRDefault="00E464C4" w:rsidP="00E464C4">
      <w:pPr>
        <w:spacing w:after="0" w:line="240" w:lineRule="auto"/>
        <w:rPr>
          <w:rFonts w:ascii="Verdana" w:eastAsia="Times New Roman" w:hAnsi="Verdana" w:cs="Arial"/>
          <w:b/>
          <w:bCs/>
          <w:lang w:val="es-MX" w:eastAsia="es-ES_tradnl"/>
        </w:rPr>
      </w:pPr>
    </w:p>
    <w:p w14:paraId="6F9B94FA" w14:textId="77777777" w:rsidR="00E464C4" w:rsidRDefault="00E464C4" w:rsidP="00E464C4">
      <w:pPr>
        <w:spacing w:after="0" w:line="240" w:lineRule="auto"/>
        <w:rPr>
          <w:rFonts w:ascii="Verdana" w:eastAsia="Times New Roman" w:hAnsi="Verdana" w:cs="Arial"/>
          <w:b/>
          <w:bCs/>
          <w:lang w:val="es-MX" w:eastAsia="es-ES_tradnl"/>
        </w:rPr>
      </w:pPr>
    </w:p>
    <w:p w14:paraId="3EAF3F12" w14:textId="77777777" w:rsidR="00E464C4" w:rsidRDefault="00E464C4" w:rsidP="00E464C4">
      <w:pPr>
        <w:spacing w:after="0" w:line="240" w:lineRule="auto"/>
        <w:rPr>
          <w:rFonts w:ascii="Verdana" w:eastAsia="Times New Roman" w:hAnsi="Verdana" w:cs="Arial"/>
          <w:b/>
          <w:bCs/>
          <w:lang w:val="es-MX" w:eastAsia="es-ES_tradnl"/>
        </w:rPr>
      </w:pPr>
    </w:p>
    <w:p w14:paraId="64135FF1" w14:textId="77777777" w:rsidR="00E464C4" w:rsidRDefault="00E464C4" w:rsidP="00E464C4">
      <w:pPr>
        <w:spacing w:after="0" w:line="240" w:lineRule="auto"/>
        <w:rPr>
          <w:rFonts w:ascii="Verdana" w:eastAsia="Times New Roman" w:hAnsi="Verdana" w:cs="Arial"/>
          <w:b/>
          <w:bCs/>
          <w:lang w:val="es-MX" w:eastAsia="es-ES_tradnl"/>
        </w:rPr>
      </w:pPr>
    </w:p>
    <w:p w14:paraId="5654888D" w14:textId="77777777" w:rsidR="00E464C4" w:rsidRDefault="00E464C4" w:rsidP="00E464C4">
      <w:pPr>
        <w:spacing w:after="0" w:line="240" w:lineRule="auto"/>
        <w:rPr>
          <w:rFonts w:ascii="Verdana" w:eastAsia="Times New Roman" w:hAnsi="Verdana" w:cs="Arial"/>
          <w:b/>
          <w:bCs/>
          <w:lang w:val="es-MX" w:eastAsia="es-ES_tradnl"/>
        </w:rPr>
      </w:pPr>
    </w:p>
    <w:p w14:paraId="04076790" w14:textId="77777777" w:rsidR="00E464C4" w:rsidRDefault="00E464C4" w:rsidP="00E464C4">
      <w:pPr>
        <w:spacing w:after="0" w:line="240" w:lineRule="auto"/>
        <w:rPr>
          <w:rFonts w:ascii="Verdana" w:eastAsia="Times New Roman" w:hAnsi="Verdana" w:cs="Arial"/>
          <w:b/>
          <w:bCs/>
          <w:lang w:val="es-MX" w:eastAsia="es-ES_tradnl"/>
        </w:rPr>
      </w:pPr>
    </w:p>
    <w:p w14:paraId="2B1CA6BA" w14:textId="77777777" w:rsidR="00E464C4" w:rsidRDefault="00E464C4" w:rsidP="00E464C4">
      <w:pPr>
        <w:spacing w:after="0" w:line="240" w:lineRule="auto"/>
        <w:rPr>
          <w:rFonts w:ascii="Verdana" w:eastAsia="Times New Roman" w:hAnsi="Verdana" w:cs="Arial"/>
          <w:b/>
          <w:bCs/>
          <w:lang w:val="es-MX" w:eastAsia="es-ES_tradnl"/>
        </w:rPr>
      </w:pPr>
    </w:p>
    <w:p w14:paraId="0534F5E1" w14:textId="77777777" w:rsidR="00E464C4" w:rsidRDefault="00E464C4" w:rsidP="00E464C4">
      <w:pPr>
        <w:spacing w:after="0" w:line="240" w:lineRule="auto"/>
        <w:rPr>
          <w:rFonts w:ascii="Verdana" w:eastAsia="Times New Roman" w:hAnsi="Verdana" w:cs="Arial"/>
          <w:b/>
          <w:bCs/>
          <w:lang w:val="es-MX" w:eastAsia="es-ES_tradnl"/>
        </w:rPr>
      </w:pPr>
    </w:p>
    <w:p w14:paraId="5BC97714" w14:textId="77777777" w:rsidR="00E464C4" w:rsidRDefault="00E464C4" w:rsidP="00E464C4">
      <w:pPr>
        <w:spacing w:after="0" w:line="240" w:lineRule="auto"/>
        <w:rPr>
          <w:rFonts w:ascii="Verdana" w:eastAsia="Times New Roman" w:hAnsi="Verdana" w:cs="Arial"/>
          <w:b/>
          <w:bCs/>
          <w:lang w:val="es-MX" w:eastAsia="es-ES_tradnl"/>
        </w:rPr>
      </w:pPr>
    </w:p>
    <w:p w14:paraId="5AEA18E6" w14:textId="77777777" w:rsidR="00E464C4" w:rsidRDefault="00E464C4" w:rsidP="00E464C4">
      <w:pPr>
        <w:spacing w:after="0" w:line="240" w:lineRule="auto"/>
        <w:rPr>
          <w:rFonts w:ascii="Verdana" w:eastAsia="Times New Roman" w:hAnsi="Verdana" w:cs="Arial"/>
          <w:b/>
          <w:bCs/>
          <w:lang w:val="es-MX" w:eastAsia="es-ES_tradnl"/>
        </w:rPr>
      </w:pPr>
    </w:p>
    <w:p w14:paraId="61CA1934" w14:textId="77777777" w:rsidR="00E464C4" w:rsidRDefault="00E464C4" w:rsidP="00E464C4">
      <w:pPr>
        <w:spacing w:after="0" w:line="240" w:lineRule="auto"/>
        <w:rPr>
          <w:rFonts w:ascii="Verdana" w:eastAsia="Times New Roman" w:hAnsi="Verdana" w:cs="Arial"/>
          <w:b/>
          <w:bCs/>
          <w:lang w:val="es-MX" w:eastAsia="es-ES_tradnl"/>
        </w:rPr>
      </w:pPr>
    </w:p>
    <w:p w14:paraId="2135BE14" w14:textId="77777777" w:rsidR="00E464C4" w:rsidRDefault="00E464C4" w:rsidP="00E464C4">
      <w:pPr>
        <w:spacing w:after="0" w:line="240" w:lineRule="auto"/>
        <w:rPr>
          <w:rFonts w:ascii="Verdana" w:eastAsia="Times New Roman" w:hAnsi="Verdana" w:cs="Arial"/>
          <w:b/>
          <w:bCs/>
          <w:lang w:val="es-MX" w:eastAsia="es-ES_tradnl"/>
        </w:rPr>
      </w:pPr>
    </w:p>
    <w:p w14:paraId="25C9C51B" w14:textId="77777777" w:rsidR="00E464C4" w:rsidRPr="00B10A68" w:rsidRDefault="00E464C4" w:rsidP="00E464C4">
      <w:pPr>
        <w:spacing w:after="0" w:line="240" w:lineRule="auto"/>
        <w:rPr>
          <w:rFonts w:ascii="Verdana" w:eastAsia="Times New Roman" w:hAnsi="Verdana" w:cs="Arial"/>
          <w:b/>
          <w:bCs/>
          <w:lang w:val="es-MX" w:eastAsia="es-ES_tradnl"/>
        </w:rPr>
      </w:pPr>
    </w:p>
    <w:p w14:paraId="1609C738" w14:textId="46BF6B8E" w:rsidR="004C4E31" w:rsidRDefault="00E464C4" w:rsidP="00E464C4">
      <w:pPr>
        <w:spacing w:after="0" w:line="240" w:lineRule="auto"/>
        <w:rPr>
          <w:rFonts w:ascii="Verdana" w:eastAsia="Geomanist Light" w:hAnsi="Verdana" w:cs="Arial"/>
          <w:lang w:val="es-MX"/>
        </w:rPr>
      </w:pPr>
      <w:r w:rsidRPr="00D71670">
        <w:rPr>
          <w:rFonts w:ascii="Verdana" w:eastAsia="Geomanist Light" w:hAnsi="Verdana" w:cs="Arial"/>
          <w:lang w:val="es-MX"/>
        </w:rPr>
        <w:lastRenderedPageBreak/>
        <w:t xml:space="preserve">Bogotá D.C., </w:t>
      </w:r>
      <w:r w:rsidR="004C4E31">
        <w:rPr>
          <w:rFonts w:ascii="Verdana" w:eastAsia="Geomanist Light" w:hAnsi="Verdana" w:cs="Arial"/>
          <w:lang w:val="es-MX"/>
        </w:rPr>
        <w:t>24 de septiembre de 2026</w:t>
      </w:r>
    </w:p>
    <w:p w14:paraId="3A5CEB26" w14:textId="77777777" w:rsidR="004C4E31" w:rsidRDefault="004C4E31" w:rsidP="00E464C4">
      <w:pPr>
        <w:spacing w:after="0" w:line="240" w:lineRule="auto"/>
        <w:rPr>
          <w:rFonts w:ascii="Verdana" w:eastAsia="Geomanist Light" w:hAnsi="Verdana" w:cs="Arial"/>
          <w:lang w:val="es-MX"/>
        </w:rPr>
      </w:pPr>
    </w:p>
    <w:p w14:paraId="742DFFA5" w14:textId="28E9E2BE" w:rsidR="004C4E31" w:rsidRDefault="004C4E31" w:rsidP="004C4E31">
      <w:pPr>
        <w:spacing w:after="0" w:line="240" w:lineRule="auto"/>
        <w:jc w:val="right"/>
        <w:rPr>
          <w:rFonts w:ascii="Verdana" w:eastAsia="Geomanist Light" w:hAnsi="Verdana" w:cs="Arial"/>
          <w:lang w:val="es-MX"/>
        </w:rPr>
      </w:pPr>
      <w:r w:rsidRPr="004C4E31">
        <w:rPr>
          <w:rFonts w:ascii="Verdana" w:eastAsia="Geomanist Light" w:hAnsi="Verdana" w:cs="Arial"/>
          <w:lang w:val="es-MX"/>
        </w:rPr>
        <w:drawing>
          <wp:inline distT="0" distB="0" distL="0" distR="0" wp14:anchorId="2FAC611A" wp14:editId="0315E044">
            <wp:extent cx="2543530" cy="752580"/>
            <wp:effectExtent l="0" t="0" r="9525" b="9525"/>
            <wp:docPr id="5868262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826206" name=""/>
                    <pic:cNvPicPr/>
                  </pic:nvPicPr>
                  <pic:blipFill>
                    <a:blip r:embed="rId10"/>
                    <a:stretch>
                      <a:fillRect/>
                    </a:stretch>
                  </pic:blipFill>
                  <pic:spPr>
                    <a:xfrm>
                      <a:off x="0" y="0"/>
                      <a:ext cx="2543530" cy="752580"/>
                    </a:xfrm>
                    <a:prstGeom prst="rect">
                      <a:avLst/>
                    </a:prstGeom>
                  </pic:spPr>
                </pic:pic>
              </a:graphicData>
            </a:graphic>
          </wp:inline>
        </w:drawing>
      </w:r>
    </w:p>
    <w:p w14:paraId="2FC363B3" w14:textId="77777777" w:rsidR="00E464C4" w:rsidRPr="00B10A68" w:rsidRDefault="00E464C4" w:rsidP="00E464C4">
      <w:pPr>
        <w:spacing w:after="0" w:line="240" w:lineRule="auto"/>
        <w:rPr>
          <w:rFonts w:ascii="Verdana" w:eastAsia="Calibri" w:hAnsi="Verdana" w:cs="Arial"/>
          <w:lang w:val="es-MX"/>
        </w:rPr>
      </w:pPr>
    </w:p>
    <w:p w14:paraId="75D4A476" w14:textId="77777777" w:rsidR="00E464C4" w:rsidRPr="00B10A68" w:rsidRDefault="00E464C4" w:rsidP="00E464C4">
      <w:pPr>
        <w:spacing w:after="0" w:line="240" w:lineRule="auto"/>
        <w:jc w:val="both"/>
        <w:rPr>
          <w:rFonts w:ascii="Verdana" w:eastAsia="Calibri" w:hAnsi="Verdana" w:cs="Arial"/>
          <w:lang w:val="es-ES" w:eastAsia="es-ES"/>
        </w:rPr>
      </w:pPr>
      <w:r w:rsidRPr="00B10A68">
        <w:rPr>
          <w:rFonts w:ascii="Verdana" w:eastAsia="Calibri" w:hAnsi="Verdana" w:cs="Arial"/>
          <w:lang w:val="es-ES" w:eastAsia="es-ES"/>
        </w:rPr>
        <w:t>Señor</w:t>
      </w:r>
    </w:p>
    <w:p w14:paraId="79B64C48" w14:textId="77777777" w:rsidR="00E464C4" w:rsidRDefault="00E464C4" w:rsidP="00E464C4">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Arwin Rene Ortiz Gonzalez</w:t>
      </w:r>
    </w:p>
    <w:p w14:paraId="61996B74" w14:textId="77777777" w:rsidR="00E464C4" w:rsidRPr="00126BE7" w:rsidRDefault="00E464C4" w:rsidP="00E464C4">
      <w:pPr>
        <w:spacing w:after="0" w:line="240" w:lineRule="auto"/>
        <w:rPr>
          <w:rFonts w:ascii="Verdana" w:eastAsia="Calibri" w:hAnsi="Verdana" w:cs="Arial"/>
          <w:bCs/>
          <w:lang w:val="es-ES_tradnl" w:eastAsia="es-ES_tradnl"/>
        </w:rPr>
      </w:pPr>
      <w:hyperlink r:id="rId11" w:history="1">
        <w:r w:rsidRPr="0082737F">
          <w:rPr>
            <w:rStyle w:val="Hipervnculo"/>
            <w:rFonts w:ascii="Verdana" w:eastAsia="Calibri" w:hAnsi="Verdana" w:cs="Arial"/>
            <w:bCs/>
            <w:lang w:val="es-ES_tradnl" w:eastAsia="es-ES_tradnl"/>
          </w:rPr>
          <w:t>fundacionprotectoraasis@gmail.com</w:t>
        </w:r>
      </w:hyperlink>
      <w:r>
        <w:rPr>
          <w:rFonts w:ascii="Verdana" w:eastAsia="Calibri" w:hAnsi="Verdana" w:cs="Arial"/>
          <w:bCs/>
          <w:lang w:val="es-ES_tradnl" w:eastAsia="es-ES_tradnl"/>
        </w:rPr>
        <w:t xml:space="preserve"> </w:t>
      </w:r>
    </w:p>
    <w:p w14:paraId="55BC2060" w14:textId="77777777" w:rsidR="00E464C4" w:rsidRPr="00391027" w:rsidRDefault="00E464C4" w:rsidP="00E464C4">
      <w:pPr>
        <w:spacing w:after="0" w:line="240" w:lineRule="auto"/>
        <w:rPr>
          <w:rFonts w:ascii="Verdana" w:eastAsia="Calibri" w:hAnsi="Verdana" w:cs="Arial"/>
          <w:b/>
          <w:bCs/>
          <w:lang w:val="es-ES" w:eastAsia="es-ES"/>
        </w:rPr>
      </w:pPr>
      <w:r>
        <w:rPr>
          <w:rFonts w:ascii="Verdana" w:eastAsia="Calibri" w:hAnsi="Verdana" w:cs="Arial"/>
          <w:lang w:val="es-ES" w:eastAsia="es-ES"/>
        </w:rPr>
        <w:t>Villavicencio, Meta</w:t>
      </w:r>
    </w:p>
    <w:p w14:paraId="2D32D78C" w14:textId="77777777" w:rsidR="00E464C4" w:rsidRPr="00B10A68" w:rsidRDefault="00E464C4" w:rsidP="00E464C4">
      <w:pPr>
        <w:spacing w:after="0" w:line="240" w:lineRule="auto"/>
        <w:rPr>
          <w:rFonts w:ascii="Verdana" w:eastAsia="Calibri" w:hAnsi="Verdana" w:cs="Arial"/>
          <w:b/>
          <w:bCs/>
          <w:lang w:val="es-ES_tradnl" w:eastAsia="es-ES_tradnl"/>
        </w:rPr>
      </w:pPr>
    </w:p>
    <w:p w14:paraId="1283D314" w14:textId="77777777" w:rsidR="00E464C4" w:rsidRPr="00B10A68" w:rsidRDefault="00E464C4" w:rsidP="00E464C4">
      <w:pPr>
        <w:spacing w:after="0" w:line="240" w:lineRule="auto"/>
        <w:rPr>
          <w:rFonts w:ascii="Verdana" w:eastAsia="Calibri" w:hAnsi="Verdana" w:cs="Arial"/>
          <w:b/>
          <w:bCs/>
          <w:lang w:val="es-ES_tradnl" w:eastAsia="es-ES_tradnl"/>
        </w:rPr>
      </w:pPr>
    </w:p>
    <w:tbl>
      <w:tblPr>
        <w:tblStyle w:val="Tablaconcuadrcula1"/>
        <w:tblW w:w="878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464C4" w:rsidRPr="00B10A68" w14:paraId="3B9A7B76" w14:textId="77777777" w:rsidTr="00533C46">
        <w:trPr>
          <w:trHeight w:val="222"/>
        </w:trPr>
        <w:tc>
          <w:tcPr>
            <w:tcW w:w="2689" w:type="dxa"/>
          </w:tcPr>
          <w:p w14:paraId="6645691A" w14:textId="77777777" w:rsidR="00E464C4" w:rsidRPr="00B10A68" w:rsidRDefault="00E464C4" w:rsidP="00533C46">
            <w:pPr>
              <w:jc w:val="both"/>
              <w:rPr>
                <w:rFonts w:ascii="Verdana" w:hAnsi="Verdana" w:cs="Arial"/>
                <w:b/>
                <w:bCs/>
                <w:lang w:val="es-ES_tradnl" w:eastAsia="es-ES_tradnl"/>
              </w:rPr>
            </w:pPr>
          </w:p>
        </w:tc>
        <w:tc>
          <w:tcPr>
            <w:tcW w:w="6100" w:type="dxa"/>
            <w:hideMark/>
          </w:tcPr>
          <w:p w14:paraId="0FDDE530" w14:textId="77777777" w:rsidR="00E464C4" w:rsidRDefault="00E464C4" w:rsidP="00533C46">
            <w:pPr>
              <w:jc w:val="both"/>
              <w:rPr>
                <w:rFonts w:ascii="Verdana" w:hAnsi="Verdana" w:cs="Arial"/>
                <w:b/>
                <w:bCs/>
                <w:lang w:val="es-ES" w:eastAsia="es-ES"/>
              </w:rPr>
            </w:pPr>
            <w:r w:rsidRPr="00B10A68">
              <w:rPr>
                <w:rFonts w:ascii="Verdana" w:hAnsi="Verdana" w:cs="Arial"/>
                <w:b/>
                <w:bCs/>
                <w:lang w:val="es-ES" w:eastAsia="es-ES"/>
              </w:rPr>
              <w:t>Concepto C-</w:t>
            </w:r>
            <w:r>
              <w:rPr>
                <w:rFonts w:ascii="Verdana" w:hAnsi="Verdana" w:cs="Arial"/>
                <w:b/>
                <w:bCs/>
                <w:lang w:val="es-ES" w:eastAsia="es-ES"/>
              </w:rPr>
              <w:t>1302</w:t>
            </w:r>
            <w:r w:rsidRPr="00B10A68">
              <w:rPr>
                <w:rFonts w:ascii="Verdana" w:hAnsi="Verdana" w:cs="Arial"/>
                <w:b/>
                <w:bCs/>
                <w:lang w:val="es-ES" w:eastAsia="es-ES"/>
              </w:rPr>
              <w:t xml:space="preserve"> de 202</w:t>
            </w:r>
            <w:r>
              <w:rPr>
                <w:rFonts w:ascii="Verdana" w:hAnsi="Verdana" w:cs="Arial"/>
                <w:b/>
                <w:bCs/>
                <w:lang w:val="es-ES" w:eastAsia="es-ES"/>
              </w:rPr>
              <w:t>6</w:t>
            </w:r>
          </w:p>
          <w:p w14:paraId="4EAE14A4" w14:textId="77777777" w:rsidR="00E464C4" w:rsidRDefault="00E464C4" w:rsidP="00533C46">
            <w:pPr>
              <w:jc w:val="both"/>
              <w:rPr>
                <w:rFonts w:ascii="Verdana" w:hAnsi="Verdana" w:cs="Arial"/>
                <w:b/>
                <w:bCs/>
                <w:lang w:val="es-ES" w:eastAsia="es-ES"/>
              </w:rPr>
            </w:pPr>
          </w:p>
          <w:p w14:paraId="075AA5E2" w14:textId="77777777" w:rsidR="00E464C4" w:rsidRPr="00B10A68" w:rsidRDefault="00E464C4" w:rsidP="00533C46">
            <w:pPr>
              <w:jc w:val="both"/>
              <w:rPr>
                <w:rFonts w:ascii="Verdana" w:hAnsi="Verdana" w:cs="Arial"/>
                <w:b/>
                <w:bCs/>
                <w:lang w:val="es-ES" w:eastAsia="es-ES"/>
              </w:rPr>
            </w:pPr>
          </w:p>
        </w:tc>
      </w:tr>
      <w:tr w:rsidR="00E464C4" w:rsidRPr="00B10A68" w14:paraId="79F0B3E8" w14:textId="77777777" w:rsidTr="00533C46">
        <w:trPr>
          <w:trHeight w:val="884"/>
        </w:trPr>
        <w:tc>
          <w:tcPr>
            <w:tcW w:w="2689" w:type="dxa"/>
            <w:hideMark/>
          </w:tcPr>
          <w:p w14:paraId="307F25BA" w14:textId="77777777" w:rsidR="00E464C4" w:rsidRPr="00B10A68" w:rsidRDefault="00E464C4" w:rsidP="00533C46">
            <w:pPr>
              <w:jc w:val="both"/>
              <w:rPr>
                <w:rFonts w:ascii="Verdana" w:hAnsi="Verdana" w:cs="Arial"/>
                <w:lang w:val="es-ES_tradnl" w:eastAsia="es-ES_tradnl"/>
              </w:rPr>
            </w:pPr>
            <w:r w:rsidRPr="00B10A68">
              <w:rPr>
                <w:rFonts w:ascii="Verdana" w:hAnsi="Verdana" w:cs="Arial"/>
                <w:b/>
                <w:lang w:val="es-ES_tradnl" w:eastAsia="es-ES_tradnl"/>
              </w:rPr>
              <w:t>Temas:</w:t>
            </w:r>
            <w:r w:rsidRPr="00B10A68">
              <w:rPr>
                <w:rFonts w:ascii="Verdana" w:hAnsi="Verdana" w:cs="Arial"/>
                <w:lang w:val="es-ES_tradnl" w:eastAsia="es-ES_tradnl"/>
              </w:rPr>
              <w:t xml:space="preserve">                   </w:t>
            </w:r>
          </w:p>
        </w:tc>
        <w:tc>
          <w:tcPr>
            <w:tcW w:w="6100" w:type="dxa"/>
            <w:hideMark/>
          </w:tcPr>
          <w:p w14:paraId="18D70B77" w14:textId="77777777" w:rsidR="00E464C4" w:rsidRPr="008F404A" w:rsidRDefault="00E464C4" w:rsidP="00533C46">
            <w:pPr>
              <w:jc w:val="both"/>
              <w:rPr>
                <w:rFonts w:ascii="Verdana" w:hAnsi="Verdana" w:cs="Arial"/>
                <w:lang w:val="es-ES" w:eastAsia="es-ES"/>
              </w:rPr>
            </w:pPr>
            <w:r w:rsidRPr="008F404A">
              <w:rPr>
                <w:rFonts w:ascii="Verdana" w:hAnsi="Verdana" w:cs="Arial"/>
                <w:lang w:val="es-ES" w:eastAsia="es-ES"/>
              </w:rPr>
              <w:t xml:space="preserve">SUBSANABILIDAD – Aplicación – Regla general – Excepciones / SUBSANABILIDAD – Ley 1882 de 2018 / </w:t>
            </w:r>
          </w:p>
          <w:p w14:paraId="0CDFA53B" w14:textId="77777777" w:rsidR="00E464C4" w:rsidRDefault="00E464C4" w:rsidP="00533C46">
            <w:pPr>
              <w:jc w:val="both"/>
              <w:rPr>
                <w:rFonts w:ascii="Verdana" w:hAnsi="Verdana" w:cs="Arial"/>
                <w:lang w:val="es-ES" w:eastAsia="es-ES"/>
              </w:rPr>
            </w:pPr>
            <w:r w:rsidRPr="008F404A">
              <w:rPr>
                <w:rFonts w:ascii="Verdana" w:hAnsi="Verdana" w:cs="Arial"/>
                <w:lang w:val="es-ES" w:eastAsia="es-ES"/>
              </w:rPr>
              <w:t xml:space="preserve">SUBSANABILIDAD – Requisitos habilitantes – Circunstancias ocurridas con posterioridad al cierre / ADENDAS – Fundamento / ADENDAS – Alcance – Límites  </w:t>
            </w:r>
          </w:p>
          <w:p w14:paraId="7AD28978" w14:textId="77777777" w:rsidR="00E464C4" w:rsidRPr="00B10A68" w:rsidRDefault="00E464C4" w:rsidP="00533C46">
            <w:pPr>
              <w:jc w:val="both"/>
              <w:rPr>
                <w:rFonts w:ascii="Verdana" w:hAnsi="Verdana" w:cs="Arial"/>
                <w:highlight w:val="yellow"/>
                <w:lang w:val="es-ES" w:eastAsia="es-ES"/>
              </w:rPr>
            </w:pPr>
          </w:p>
        </w:tc>
      </w:tr>
      <w:tr w:rsidR="00E464C4" w:rsidRPr="00B10A68" w14:paraId="7DA7C677" w14:textId="77777777" w:rsidTr="00533C46">
        <w:tc>
          <w:tcPr>
            <w:tcW w:w="2689" w:type="dxa"/>
            <w:hideMark/>
          </w:tcPr>
          <w:p w14:paraId="2232BA1A" w14:textId="77777777" w:rsidR="00E464C4" w:rsidRPr="00B10A68" w:rsidRDefault="00E464C4" w:rsidP="00533C46">
            <w:pPr>
              <w:jc w:val="both"/>
              <w:rPr>
                <w:rFonts w:ascii="Verdana" w:hAnsi="Verdana" w:cs="Arial"/>
                <w:b/>
                <w:lang w:val="es-ES_tradnl" w:eastAsia="es-ES_tradnl"/>
              </w:rPr>
            </w:pPr>
            <w:r w:rsidRPr="00B10A68">
              <w:rPr>
                <w:rFonts w:ascii="Verdana" w:hAnsi="Verdana" w:cs="Arial"/>
                <w:b/>
                <w:lang w:val="es-ES_tradnl" w:eastAsia="es-ES_tradnl"/>
              </w:rPr>
              <w:t>Radicación:</w:t>
            </w:r>
            <w:r w:rsidRPr="00B10A68">
              <w:rPr>
                <w:rFonts w:ascii="Verdana" w:hAnsi="Verdana" w:cs="Arial"/>
                <w:lang w:val="es-ES_tradnl" w:eastAsia="es-ES_tradnl"/>
              </w:rPr>
              <w:t xml:space="preserve">               </w:t>
            </w:r>
          </w:p>
        </w:tc>
        <w:tc>
          <w:tcPr>
            <w:tcW w:w="6100" w:type="dxa"/>
            <w:hideMark/>
          </w:tcPr>
          <w:p w14:paraId="0F1A43CD" w14:textId="77777777" w:rsidR="00E464C4" w:rsidRPr="00B10A68" w:rsidRDefault="00E464C4" w:rsidP="00533C46">
            <w:pPr>
              <w:jc w:val="both"/>
              <w:rPr>
                <w:rFonts w:ascii="Verdana" w:hAnsi="Verdana" w:cs="Arial"/>
                <w:lang w:val="es-ES_tradnl" w:eastAsia="es-ES_tradnl"/>
              </w:rPr>
            </w:pPr>
            <w:r w:rsidRPr="00B10A68">
              <w:rPr>
                <w:rFonts w:ascii="Verdana" w:hAnsi="Verdana" w:cs="Arial"/>
                <w:lang w:val="es-ES_tradnl" w:eastAsia="es-ES_tradnl"/>
              </w:rPr>
              <w:t xml:space="preserve">Respuesta a consulta con radicado No. </w:t>
            </w:r>
            <w:r w:rsidRPr="00116AC8">
              <w:rPr>
                <w:rFonts w:ascii="Verdana" w:hAnsi="Verdana" w:cs="Arial"/>
                <w:lang w:val="es-ES_tradnl" w:eastAsia="es-ES_tradnl"/>
              </w:rPr>
              <w:t>1_2026_08_18_010900</w:t>
            </w:r>
          </w:p>
        </w:tc>
      </w:tr>
    </w:tbl>
    <w:p w14:paraId="2875CFDF" w14:textId="77777777" w:rsidR="00E464C4" w:rsidRPr="00B10A68" w:rsidRDefault="00E464C4" w:rsidP="00E464C4">
      <w:pPr>
        <w:spacing w:after="0" w:line="240" w:lineRule="auto"/>
        <w:jc w:val="both"/>
        <w:rPr>
          <w:rFonts w:ascii="Verdana" w:eastAsia="Calibri" w:hAnsi="Verdana" w:cs="Arial"/>
          <w:lang w:val="es-ES_tradnl" w:eastAsia="es-ES_tradnl"/>
        </w:rPr>
      </w:pPr>
    </w:p>
    <w:p w14:paraId="4AB4759A" w14:textId="77777777" w:rsidR="00E464C4" w:rsidRPr="00B10A68" w:rsidRDefault="00E464C4" w:rsidP="00E464C4">
      <w:pPr>
        <w:spacing w:after="0" w:line="276" w:lineRule="auto"/>
        <w:jc w:val="both"/>
        <w:rPr>
          <w:rFonts w:ascii="Verdana" w:eastAsia="Calibri" w:hAnsi="Verdana" w:cs="Arial"/>
          <w:lang w:val="es-ES_tradnl" w:eastAsia="es-ES_tradnl"/>
        </w:rPr>
      </w:pPr>
    </w:p>
    <w:p w14:paraId="08107BC0" w14:textId="77777777" w:rsidR="00E464C4" w:rsidRPr="00B10A68" w:rsidRDefault="00E464C4" w:rsidP="00E464C4">
      <w:pPr>
        <w:spacing w:after="0" w:line="276" w:lineRule="auto"/>
        <w:jc w:val="both"/>
        <w:rPr>
          <w:rFonts w:ascii="Verdana" w:eastAsia="Calibri" w:hAnsi="Verdana" w:cs="Arial"/>
          <w:lang w:val="es-ES" w:eastAsia="es-ES"/>
        </w:rPr>
      </w:pPr>
      <w:r w:rsidRPr="00B10A68">
        <w:rPr>
          <w:rFonts w:ascii="Verdana" w:eastAsia="Calibri" w:hAnsi="Verdana" w:cs="Arial"/>
          <w:lang w:val="es-ES" w:eastAsia="es-ES"/>
        </w:rPr>
        <w:t>Estimad</w:t>
      </w:r>
      <w:r>
        <w:rPr>
          <w:rFonts w:ascii="Verdana" w:eastAsia="Calibri" w:hAnsi="Verdana" w:cs="Arial"/>
          <w:lang w:val="es-ES" w:eastAsia="es-ES"/>
        </w:rPr>
        <w:t>o</w:t>
      </w:r>
      <w:r w:rsidRPr="00B10A68">
        <w:rPr>
          <w:rFonts w:ascii="Verdana" w:eastAsia="Calibri" w:hAnsi="Verdana" w:cs="Arial"/>
          <w:lang w:val="es-ES" w:eastAsia="es-ES"/>
        </w:rPr>
        <w:t xml:space="preserve"> señor</w:t>
      </w:r>
      <w:r>
        <w:rPr>
          <w:rFonts w:ascii="Verdana" w:eastAsia="Calibri" w:hAnsi="Verdana" w:cs="Arial"/>
          <w:lang w:val="es-ES" w:eastAsia="es-ES"/>
        </w:rPr>
        <w:t xml:space="preserve"> Ortiz</w:t>
      </w:r>
      <w:r w:rsidRPr="00B10A68">
        <w:rPr>
          <w:rFonts w:ascii="Verdana" w:eastAsia="Calibri" w:hAnsi="Verdana" w:cs="Arial"/>
          <w:lang w:val="es-ES" w:eastAsia="es-ES"/>
        </w:rPr>
        <w:t xml:space="preserve">: </w:t>
      </w:r>
    </w:p>
    <w:p w14:paraId="7B683051" w14:textId="77777777" w:rsidR="00E464C4" w:rsidRPr="00B10A68" w:rsidRDefault="00E464C4" w:rsidP="00E464C4">
      <w:pPr>
        <w:tabs>
          <w:tab w:val="left" w:pos="3768"/>
        </w:tabs>
        <w:spacing w:after="0" w:line="276" w:lineRule="auto"/>
        <w:jc w:val="both"/>
        <w:rPr>
          <w:rFonts w:ascii="Verdana" w:eastAsia="Calibri" w:hAnsi="Verdana" w:cs="Arial"/>
          <w:lang w:val="es-ES" w:eastAsia="es-ES"/>
        </w:rPr>
      </w:pPr>
      <w:r w:rsidRPr="00B10A68">
        <w:rPr>
          <w:rFonts w:ascii="Verdana" w:eastAsia="Calibri" w:hAnsi="Verdana" w:cs="Arial"/>
          <w:lang w:val="es-ES" w:eastAsia="es-ES"/>
        </w:rPr>
        <w:tab/>
      </w:r>
    </w:p>
    <w:p w14:paraId="67127CC6" w14:textId="77777777" w:rsidR="00E464C4" w:rsidRPr="00B10A68" w:rsidRDefault="00E464C4" w:rsidP="00E464C4">
      <w:pPr>
        <w:spacing w:after="0" w:line="276" w:lineRule="auto"/>
        <w:jc w:val="both"/>
        <w:rPr>
          <w:rFonts w:ascii="Verdana" w:eastAsia="Calibri" w:hAnsi="Verdana" w:cs="Arial"/>
          <w:lang w:val="es-ES" w:eastAsia="es-ES"/>
        </w:rPr>
      </w:pPr>
      <w:r w:rsidRPr="00B10A68">
        <w:rPr>
          <w:rFonts w:ascii="Verdana" w:eastAsia="Calibri" w:hAnsi="Verdana" w:cs="Arial"/>
          <w:lang w:val="es-ES" w:eastAsia="es-ES"/>
        </w:rPr>
        <w:t>En ejercicio de la competencia otorgada por los artículos 3, numeral 5º, y 11, numeral 8º, del Decreto Ley 4170 de 2011,</w:t>
      </w:r>
      <w:r w:rsidRPr="00B10A68">
        <w:rPr>
          <w:rFonts w:ascii="Verdana" w:eastAsia="Arial MT" w:hAnsi="Verdana" w:cs="Arial MT"/>
          <w:lang w:val="es-ES" w:eastAsia="es-ES"/>
        </w:rPr>
        <w:t xml:space="preserve"> </w:t>
      </w:r>
      <w:r w:rsidRPr="00B10A68">
        <w:rPr>
          <w:rFonts w:ascii="Verdana" w:eastAsia="Calibri" w:hAnsi="Verdana" w:cs="Arial"/>
        </w:rPr>
        <w:t xml:space="preserve">así como lo establecido en el artículo 4 de la Resolución 1707 de 2018 expedida por esta Entidad, </w:t>
      </w:r>
      <w:r w:rsidRPr="00B10A68">
        <w:rPr>
          <w:rFonts w:ascii="Verdana" w:eastAsia="Calibri" w:hAnsi="Verdana" w:cs="Arial"/>
          <w:lang w:val="es-ES" w:eastAsia="es-ES"/>
        </w:rPr>
        <w:t>la Agencia Nacional de Contratación Pública – Colombia Compra Eficiente– responde su solicitud de consulta de fecha</w:t>
      </w:r>
      <w:r>
        <w:rPr>
          <w:rFonts w:ascii="Verdana" w:eastAsia="Calibri" w:hAnsi="Verdana" w:cs="Arial"/>
          <w:lang w:val="es-ES" w:eastAsia="es-ES"/>
        </w:rPr>
        <w:t xml:space="preserve"> 18</w:t>
      </w:r>
      <w:r w:rsidRPr="00B10A68">
        <w:rPr>
          <w:rFonts w:ascii="Verdana" w:eastAsia="Calibri" w:hAnsi="Verdana" w:cs="Arial"/>
          <w:lang w:val="es-ES" w:eastAsia="es-ES"/>
        </w:rPr>
        <w:t xml:space="preserve"> de </w:t>
      </w:r>
      <w:r>
        <w:rPr>
          <w:rFonts w:ascii="Verdana" w:eastAsia="Calibri" w:hAnsi="Verdana" w:cs="Arial"/>
          <w:lang w:val="es-ES" w:eastAsia="es-ES"/>
        </w:rPr>
        <w:t>agosto</w:t>
      </w:r>
      <w:r w:rsidRPr="00B10A68">
        <w:rPr>
          <w:rFonts w:ascii="Verdana" w:eastAsia="Calibri" w:hAnsi="Verdana" w:cs="Arial"/>
          <w:lang w:val="es-ES" w:eastAsia="es-ES"/>
        </w:rPr>
        <w:t xml:space="preserve"> de 202</w:t>
      </w:r>
      <w:r>
        <w:rPr>
          <w:rFonts w:ascii="Verdana" w:eastAsia="Calibri" w:hAnsi="Verdana" w:cs="Arial"/>
          <w:lang w:val="es-ES" w:eastAsia="es-ES"/>
        </w:rPr>
        <w:t>6</w:t>
      </w:r>
      <w:r w:rsidRPr="00B10A68">
        <w:rPr>
          <w:rFonts w:ascii="Verdana" w:eastAsia="Calibri" w:hAnsi="Verdana" w:cs="Arial"/>
          <w:lang w:val="es-ES" w:eastAsia="es-ES"/>
        </w:rPr>
        <w:t xml:space="preserve">, en la cual manifiesta lo siguiente: </w:t>
      </w:r>
    </w:p>
    <w:p w14:paraId="4B49A0C1" w14:textId="77777777" w:rsidR="00E464C4" w:rsidRPr="00B10A68" w:rsidRDefault="00E464C4" w:rsidP="00E464C4">
      <w:pPr>
        <w:tabs>
          <w:tab w:val="left" w:pos="142"/>
          <w:tab w:val="left" w:pos="284"/>
        </w:tabs>
        <w:spacing w:after="0" w:line="276" w:lineRule="auto"/>
        <w:jc w:val="both"/>
        <w:rPr>
          <w:rFonts w:ascii="Verdana" w:eastAsia="Century Gothic" w:hAnsi="Verdana" w:cs="Century Gothic"/>
          <w:b/>
          <w:bCs/>
          <w:lang w:val="es-ES"/>
        </w:rPr>
      </w:pPr>
    </w:p>
    <w:p w14:paraId="62A8EA5F" w14:textId="470D449B" w:rsidR="00E464C4" w:rsidRPr="00C10CC1" w:rsidRDefault="00E464C4" w:rsidP="00E464C4">
      <w:pPr>
        <w:spacing w:after="0" w:line="240" w:lineRule="auto"/>
        <w:ind w:left="709" w:right="709"/>
        <w:jc w:val="both"/>
        <w:rPr>
          <w:rFonts w:ascii="Verdana" w:eastAsia="Century Gothic" w:hAnsi="Verdana" w:cs="Century Gothic"/>
          <w:sz w:val="20"/>
          <w:szCs w:val="20"/>
          <w:lang w:val="es-ES"/>
        </w:rPr>
      </w:pPr>
      <w:bookmarkStart w:id="0" w:name="_Hlk95313578"/>
      <w:r w:rsidRPr="00B10A68">
        <w:rPr>
          <w:rFonts w:ascii="Verdana" w:eastAsia="Century Gothic" w:hAnsi="Verdana" w:cs="Century Gothic"/>
          <w:sz w:val="20"/>
          <w:szCs w:val="20"/>
          <w:lang w:val="es-ES"/>
        </w:rPr>
        <w:t>“</w:t>
      </w:r>
      <w:r w:rsidRPr="00C10CC1">
        <w:rPr>
          <w:rFonts w:ascii="Verdana" w:eastAsia="Century Gothic" w:hAnsi="Verdana" w:cs="Century Gothic"/>
          <w:sz w:val="20"/>
          <w:szCs w:val="20"/>
          <w:lang w:val="es-ES"/>
        </w:rPr>
        <w:t>1. ¿Es jurídicamente viable que el oferente a través del mecanismo de</w:t>
      </w:r>
      <w:r>
        <w:rPr>
          <w:rFonts w:ascii="Verdana" w:eastAsia="Century Gothic" w:hAnsi="Verdana" w:cs="Century Gothic"/>
          <w:sz w:val="20"/>
          <w:szCs w:val="20"/>
          <w:lang w:val="es-ES"/>
        </w:rPr>
        <w:t xml:space="preserve"> </w:t>
      </w:r>
      <w:r w:rsidRPr="00C10CC1">
        <w:rPr>
          <w:rFonts w:ascii="Verdana" w:eastAsia="Century Gothic" w:hAnsi="Verdana" w:cs="Century Gothic"/>
          <w:sz w:val="20"/>
          <w:szCs w:val="20"/>
          <w:lang w:val="es-ES"/>
        </w:rPr>
        <w:t>subsanación aporte las hojas de vida para completar un requisito</w:t>
      </w:r>
      <w:r>
        <w:rPr>
          <w:rFonts w:ascii="Verdana" w:eastAsia="Century Gothic" w:hAnsi="Verdana" w:cs="Century Gothic"/>
          <w:sz w:val="20"/>
          <w:szCs w:val="20"/>
          <w:lang w:val="es-ES"/>
        </w:rPr>
        <w:t xml:space="preserve"> </w:t>
      </w:r>
      <w:r w:rsidRPr="00C10CC1">
        <w:rPr>
          <w:rFonts w:ascii="Verdana" w:eastAsia="Century Gothic" w:hAnsi="Verdana" w:cs="Century Gothic"/>
          <w:sz w:val="20"/>
          <w:szCs w:val="20"/>
          <w:lang w:val="es-ES"/>
        </w:rPr>
        <w:t>técnico habilitante como lo es el equipo de trabajo y aportar 12 hojas de vida que no existen en su oferta inicial y adicionalmente aportar las hojas de vida que generan puntuación y que el comité evaluador acepte este tipo de subsanación?</w:t>
      </w:r>
    </w:p>
    <w:p w14:paraId="630DCB85" w14:textId="77777777" w:rsidR="005A3BBF" w:rsidRPr="00C10CC1" w:rsidRDefault="005A3BBF" w:rsidP="005A3BBF">
      <w:pPr>
        <w:spacing w:after="0" w:line="240" w:lineRule="auto"/>
        <w:ind w:left="709" w:right="709"/>
        <w:jc w:val="both"/>
        <w:rPr>
          <w:rFonts w:ascii="Verdana" w:eastAsia="Century Gothic" w:hAnsi="Verdana" w:cs="Century Gothic"/>
          <w:sz w:val="20"/>
          <w:szCs w:val="20"/>
          <w:lang w:val="es-ES"/>
        </w:rPr>
      </w:pPr>
    </w:p>
    <w:p w14:paraId="05342BB0" w14:textId="77777777" w:rsidR="00E464C4" w:rsidRPr="00B10A68" w:rsidRDefault="00E464C4" w:rsidP="00E464C4">
      <w:pPr>
        <w:spacing w:after="0" w:line="240" w:lineRule="auto"/>
        <w:ind w:left="709" w:right="709"/>
        <w:jc w:val="both"/>
        <w:rPr>
          <w:rFonts w:ascii="Verdana" w:eastAsia="Calibri" w:hAnsi="Verdana" w:cs="Arial"/>
          <w:sz w:val="20"/>
          <w:szCs w:val="20"/>
          <w:shd w:val="clear" w:color="auto" w:fill="FFFFFF"/>
          <w:lang w:val="es-MX"/>
        </w:rPr>
      </w:pPr>
      <w:r w:rsidRPr="00C10CC1">
        <w:rPr>
          <w:rFonts w:ascii="Verdana" w:eastAsia="Century Gothic" w:hAnsi="Verdana" w:cs="Century Gothic"/>
          <w:sz w:val="20"/>
          <w:szCs w:val="20"/>
          <w:lang w:val="es-ES"/>
        </w:rPr>
        <w:lastRenderedPageBreak/>
        <w:t>2. ¿Es procedente que, una vez emitido el informe de evaluación definitivo, la oficina jurídica de la entidad emita una adenda y a través</w:t>
      </w:r>
      <w:r>
        <w:rPr>
          <w:rFonts w:ascii="Verdana" w:eastAsia="Century Gothic" w:hAnsi="Verdana" w:cs="Century Gothic"/>
          <w:sz w:val="20"/>
          <w:szCs w:val="20"/>
          <w:lang w:val="es-ES"/>
        </w:rPr>
        <w:t xml:space="preserve"> </w:t>
      </w:r>
      <w:r w:rsidRPr="00C10CC1">
        <w:rPr>
          <w:rFonts w:ascii="Verdana" w:eastAsia="Century Gothic" w:hAnsi="Verdana" w:cs="Century Gothic"/>
          <w:sz w:val="20"/>
          <w:szCs w:val="20"/>
          <w:lang w:val="es-ES"/>
        </w:rPr>
        <w:t>de esta regresarse a la etapa de contestación de observaciones y posteriormente emitir el informe definitivo, cuando dicho informe ya fue emitido en termino y publicado en SECOP II</w:t>
      </w:r>
      <w:r w:rsidRPr="006D32FF">
        <w:rPr>
          <w:rFonts w:ascii="Verdana" w:eastAsia="Century Gothic" w:hAnsi="Verdana" w:cs="Century Gothic"/>
          <w:sz w:val="20"/>
          <w:szCs w:val="20"/>
          <w:lang w:val="es-ES"/>
        </w:rPr>
        <w:t>?</w:t>
      </w:r>
      <w:r w:rsidRPr="00B10A68">
        <w:rPr>
          <w:rFonts w:ascii="Verdana" w:eastAsia="Century Gothic" w:hAnsi="Verdana" w:cs="Century Gothic"/>
          <w:sz w:val="20"/>
          <w:szCs w:val="20"/>
          <w:lang w:val="es-ES"/>
        </w:rPr>
        <w:t>”</w:t>
      </w:r>
      <w:bookmarkEnd w:id="0"/>
      <w:r>
        <w:rPr>
          <w:rFonts w:ascii="Verdana" w:eastAsia="Century Gothic" w:hAnsi="Verdana" w:cs="Century Gothic"/>
          <w:sz w:val="20"/>
          <w:szCs w:val="20"/>
          <w:lang w:val="es-ES"/>
        </w:rPr>
        <w:t>.</w:t>
      </w:r>
    </w:p>
    <w:p w14:paraId="3D7CA500" w14:textId="77777777" w:rsidR="00E464C4" w:rsidRPr="00B10A68" w:rsidRDefault="00E464C4" w:rsidP="00E464C4">
      <w:pPr>
        <w:tabs>
          <w:tab w:val="left" w:pos="142"/>
          <w:tab w:val="left" w:pos="284"/>
        </w:tabs>
        <w:spacing w:line="276" w:lineRule="auto"/>
        <w:contextualSpacing/>
        <w:jc w:val="both"/>
        <w:rPr>
          <w:rFonts w:ascii="Verdana" w:eastAsia="Century Gothic" w:hAnsi="Verdana" w:cs="Century Gothic"/>
          <w:b/>
          <w:bCs/>
          <w:lang w:val="es-ES"/>
        </w:rPr>
      </w:pPr>
    </w:p>
    <w:p w14:paraId="71D2D554" w14:textId="77777777" w:rsidR="00E464C4" w:rsidRPr="00B10A68" w:rsidRDefault="00E464C4" w:rsidP="00E464C4">
      <w:pPr>
        <w:spacing w:after="120" w:line="276" w:lineRule="auto"/>
        <w:ind w:firstLine="709"/>
        <w:jc w:val="both"/>
        <w:rPr>
          <w:rFonts w:ascii="Verdana" w:eastAsia="Calibri" w:hAnsi="Verdana" w:cs="Arial"/>
          <w:szCs w:val="24"/>
          <w:lang w:val="es-ES_tradnl" w:eastAsia="es-ES_tradnl"/>
        </w:rPr>
      </w:pPr>
      <w:r w:rsidRPr="00B10A6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 xml:space="preserve">la Agencia Nacional de Contratación Pública - </w:t>
      </w:r>
      <w:r w:rsidRPr="00B10A68">
        <w:rPr>
          <w:rFonts w:ascii="Verdana" w:eastAsia="Calibri" w:hAnsi="Verdana" w:cs="Arial"/>
          <w:lang w:val="es-ES" w:eastAsia="es-ES"/>
        </w:rPr>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10A68">
        <w:rPr>
          <w:rFonts w:ascii="Verdana" w:eastAsia="Calibri" w:hAnsi="Verdana" w:cs="Arial"/>
          <w:szCs w:val="24"/>
          <w:lang w:val="es-ES_tradnl" w:eastAsia="es-ES_tradnl"/>
        </w:rPr>
        <w:tab/>
      </w:r>
    </w:p>
    <w:p w14:paraId="404ED9AC" w14:textId="77777777" w:rsidR="00E464C4" w:rsidRPr="00B10A68" w:rsidRDefault="00E464C4" w:rsidP="00E464C4">
      <w:pPr>
        <w:spacing w:after="0" w:line="276" w:lineRule="auto"/>
        <w:ind w:firstLine="709"/>
        <w:jc w:val="both"/>
        <w:rPr>
          <w:rFonts w:ascii="Verdana" w:eastAsia="Calibri" w:hAnsi="Verdana" w:cs="Arial"/>
          <w:lang w:val="es-ES" w:eastAsia="es-ES"/>
        </w:rPr>
      </w:pPr>
      <w:r w:rsidRPr="00B10A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señalando</w:t>
      </w:r>
      <w:r w:rsidRPr="00B10A68">
        <w:rPr>
          <w:rFonts w:ascii="Verdana" w:eastAsia="Calibri" w:hAnsi="Verdana" w:cs="Arial"/>
          <w:lang w:val="es-ES" w:eastAsia="es-ES"/>
        </w:rPr>
        <w:t xml:space="preserve"> </w:t>
      </w:r>
      <w:r>
        <w:rPr>
          <w:rFonts w:ascii="Verdana" w:eastAsia="Calibri" w:hAnsi="Verdana" w:cs="Arial"/>
          <w:lang w:val="es-ES" w:eastAsia="es-ES"/>
        </w:rPr>
        <w:t>alg</w:t>
      </w:r>
      <w:r w:rsidRPr="00B10A68">
        <w:rPr>
          <w:rFonts w:ascii="Verdana" w:eastAsia="Calibri" w:hAnsi="Verdana" w:cs="Arial"/>
          <w:lang w:val="es-ES" w:eastAsia="es-ES"/>
        </w:rPr>
        <w:t>unas consideraciones sobre las normas generales relacionadas con el problema</w:t>
      </w:r>
      <w:r>
        <w:rPr>
          <w:rFonts w:ascii="Verdana" w:eastAsia="Calibri" w:hAnsi="Verdana" w:cs="Arial"/>
          <w:lang w:val="es-ES" w:eastAsia="es-ES"/>
        </w:rPr>
        <w:t xml:space="preserve"> </w:t>
      </w:r>
      <w:r w:rsidRPr="00B10A68">
        <w:rPr>
          <w:rFonts w:ascii="Verdana" w:eastAsia="Calibri" w:hAnsi="Verdana" w:cs="Arial"/>
          <w:lang w:val="es-ES" w:eastAsia="es-ES"/>
        </w:rPr>
        <w:t>jurídico</w:t>
      </w:r>
      <w:r>
        <w:rPr>
          <w:rFonts w:ascii="Verdana" w:eastAsia="Calibri" w:hAnsi="Verdana" w:cs="Arial"/>
          <w:lang w:val="es-ES" w:eastAsia="es-ES"/>
        </w:rPr>
        <w:t xml:space="preserve"> </w:t>
      </w:r>
      <w:r w:rsidRPr="00B10A68">
        <w:rPr>
          <w:rFonts w:ascii="Verdana" w:eastAsia="Calibri" w:hAnsi="Verdana" w:cs="Arial"/>
          <w:lang w:val="es-ES" w:eastAsia="es-ES"/>
        </w:rPr>
        <w:t xml:space="preserve">de su consulta. </w:t>
      </w:r>
    </w:p>
    <w:p w14:paraId="2C017387" w14:textId="77777777" w:rsidR="00E464C4" w:rsidRPr="00B10A68" w:rsidRDefault="00E464C4" w:rsidP="00ED7574">
      <w:pPr>
        <w:spacing w:after="0" w:line="240" w:lineRule="auto"/>
        <w:ind w:firstLine="709"/>
        <w:jc w:val="both"/>
        <w:rPr>
          <w:rFonts w:ascii="Verdana" w:eastAsia="Calibri" w:hAnsi="Verdana" w:cs="Arial"/>
          <w:lang w:val="es-ES" w:eastAsia="es-ES"/>
        </w:rPr>
      </w:pPr>
    </w:p>
    <w:p w14:paraId="4EB9C5ED" w14:textId="77777777" w:rsidR="00E464C4" w:rsidRPr="00B10A68" w:rsidRDefault="00E464C4" w:rsidP="00ED7574">
      <w:pPr>
        <w:numPr>
          <w:ilvl w:val="0"/>
          <w:numId w:val="17"/>
        </w:numPr>
        <w:tabs>
          <w:tab w:val="left" w:pos="142"/>
          <w:tab w:val="left" w:pos="284"/>
        </w:tabs>
        <w:spacing w:after="0" w:line="240" w:lineRule="auto"/>
        <w:ind w:left="0" w:firstLine="0"/>
        <w:jc w:val="both"/>
        <w:rPr>
          <w:rFonts w:ascii="Verdana" w:eastAsia="Century Gothic" w:hAnsi="Verdana" w:cs="Century Gothic"/>
          <w:b/>
          <w:bCs/>
          <w:lang w:val="es-ES"/>
        </w:rPr>
      </w:pPr>
      <w:r w:rsidRPr="00B10A68">
        <w:rPr>
          <w:rFonts w:ascii="Verdana" w:eastAsia="Century Gothic" w:hAnsi="Verdana" w:cs="Century Gothic"/>
          <w:b/>
          <w:bCs/>
          <w:lang w:val="es-ES"/>
        </w:rPr>
        <w:t>Problema planteado:</w:t>
      </w:r>
    </w:p>
    <w:p w14:paraId="47EB04AA" w14:textId="77777777" w:rsidR="00E464C4" w:rsidRPr="00B10A68" w:rsidRDefault="00E464C4" w:rsidP="00ED7574">
      <w:pPr>
        <w:tabs>
          <w:tab w:val="left" w:pos="426"/>
        </w:tabs>
        <w:spacing w:after="0" w:line="240" w:lineRule="auto"/>
        <w:jc w:val="both"/>
        <w:rPr>
          <w:rFonts w:ascii="Verdana" w:eastAsia="Century Gothic" w:hAnsi="Verdana" w:cs="Century Gothic"/>
          <w:lang w:val="es-ES"/>
        </w:rPr>
      </w:pPr>
    </w:p>
    <w:p w14:paraId="1E1ED95B" w14:textId="68B55B11" w:rsidR="00E464C4" w:rsidRPr="00ED7574" w:rsidRDefault="00E464C4" w:rsidP="00ED7574">
      <w:pPr>
        <w:spacing w:after="0" w:line="240" w:lineRule="auto"/>
        <w:jc w:val="both"/>
        <w:rPr>
          <w:rFonts w:ascii="Verdana" w:hAnsi="Verdana"/>
        </w:rPr>
      </w:pPr>
      <w:r w:rsidRPr="00CA43CF">
        <w:rPr>
          <w:rFonts w:ascii="Verdana" w:eastAsia="Century Gothic" w:hAnsi="Verdana" w:cs="Century Gothic"/>
        </w:rPr>
        <w:t xml:space="preserve">De acuerdo con el contenido de su solicitud, esta Agencia resolverá los siguientes problemas jurídicos: i) </w:t>
      </w:r>
      <w:r w:rsidR="00CA43CF" w:rsidRPr="00ED7574">
        <w:rPr>
          <w:rFonts w:ascii="Verdana" w:hAnsi="Verdana"/>
        </w:rPr>
        <w:t xml:space="preserve">¿Es jurídicamente viable que, dentro de un procedimiento de selección, un oferente subsane su oferta mediante la presentación de hojas de vida que no fueron aportadas con la propuesta inicial, con el fin de acreditar un requisito técnico habilitante relacionado con el equipo de trabajo, así como aportar hojas de vida correspondientes al personal cuya acreditación otorga puntaje, y que dichas modificaciones sean aceptadas por el comité evaluador, sin que ello implique la modificación, complementación o mejora de la oferta inicialmente presentada? </w:t>
      </w:r>
      <w:r w:rsidRPr="00CA43CF">
        <w:rPr>
          <w:rFonts w:ascii="Verdana" w:eastAsia="Century Gothic" w:hAnsi="Verdana" w:cs="Century Gothic"/>
        </w:rPr>
        <w:t xml:space="preserve">y </w:t>
      </w:r>
      <w:proofErr w:type="spellStart"/>
      <w:r w:rsidRPr="00CA43CF">
        <w:rPr>
          <w:rFonts w:ascii="Verdana" w:eastAsia="Century Gothic" w:hAnsi="Verdana" w:cs="Century Gothic"/>
        </w:rPr>
        <w:t>ii</w:t>
      </w:r>
      <w:proofErr w:type="spellEnd"/>
      <w:r w:rsidRPr="00CA43CF">
        <w:rPr>
          <w:rFonts w:ascii="Verdana" w:eastAsia="Century Gothic" w:hAnsi="Verdana" w:cs="Century Gothic"/>
        </w:rPr>
        <w:t>) ¿</w:t>
      </w:r>
      <w:r w:rsidR="00ED0472">
        <w:rPr>
          <w:rFonts w:ascii="Verdana" w:eastAsia="Century Gothic" w:hAnsi="Verdana" w:cs="Century Gothic"/>
        </w:rPr>
        <w:t>Es jurídicamente viable</w:t>
      </w:r>
      <w:r w:rsidRPr="00ED0472">
        <w:rPr>
          <w:rFonts w:ascii="Verdana" w:eastAsia="Century Gothic" w:hAnsi="Verdana" w:cs="Century Gothic"/>
        </w:rPr>
        <w:t xml:space="preserve"> expedir adenda después de la publicación del informe de evaluación definitivo?</w:t>
      </w:r>
    </w:p>
    <w:p w14:paraId="20854B9B" w14:textId="77777777" w:rsidR="00E464C4" w:rsidRPr="00B10A68" w:rsidRDefault="00E464C4" w:rsidP="00ED7574">
      <w:pPr>
        <w:spacing w:after="0" w:line="240" w:lineRule="auto"/>
        <w:jc w:val="both"/>
        <w:rPr>
          <w:rFonts w:ascii="Verdana" w:eastAsia="Calibri" w:hAnsi="Verdana" w:cs="Arial"/>
          <w:lang w:val="es-ES"/>
        </w:rPr>
      </w:pPr>
    </w:p>
    <w:p w14:paraId="34B24117" w14:textId="77777777" w:rsidR="00E464C4" w:rsidRPr="00B10A68" w:rsidRDefault="00E464C4" w:rsidP="00ED7574">
      <w:pPr>
        <w:numPr>
          <w:ilvl w:val="0"/>
          <w:numId w:val="17"/>
        </w:numPr>
        <w:tabs>
          <w:tab w:val="left" w:pos="142"/>
          <w:tab w:val="left" w:pos="284"/>
        </w:tabs>
        <w:spacing w:after="0" w:line="240" w:lineRule="auto"/>
        <w:ind w:left="0" w:firstLine="0"/>
        <w:jc w:val="both"/>
        <w:rPr>
          <w:rFonts w:ascii="Verdana" w:eastAsia="Century Gothic" w:hAnsi="Verdana" w:cs="Century Gothic"/>
          <w:b/>
          <w:bCs/>
          <w:lang w:val="es-ES"/>
        </w:rPr>
      </w:pPr>
      <w:r w:rsidRPr="00B10A68">
        <w:rPr>
          <w:rFonts w:ascii="Verdana" w:eastAsia="Century Gothic" w:hAnsi="Verdana" w:cs="Century Gothic"/>
          <w:b/>
          <w:bCs/>
          <w:lang w:val="es-ES"/>
        </w:rPr>
        <w:t>Respuesta:</w:t>
      </w:r>
    </w:p>
    <w:p w14:paraId="3577E9A5" w14:textId="77777777" w:rsidR="00E464C4" w:rsidRPr="00B10A68" w:rsidRDefault="00E464C4" w:rsidP="00ED7574">
      <w:pPr>
        <w:tabs>
          <w:tab w:val="left" w:pos="142"/>
          <w:tab w:val="left" w:pos="284"/>
        </w:tabs>
        <w:spacing w:after="0" w:line="240" w:lineRule="auto"/>
        <w:jc w:val="both"/>
        <w:rPr>
          <w:rFonts w:ascii="Verdana" w:eastAsia="Century Gothic" w:hAnsi="Verdana" w:cs="Century Gothic"/>
          <w:b/>
          <w:bCs/>
          <w:lang w:val="es-ES"/>
        </w:rPr>
      </w:pPr>
    </w:p>
    <w:tbl>
      <w:tblPr>
        <w:tblStyle w:val="Tablaconcuadrcula1"/>
        <w:tblW w:w="0" w:type="auto"/>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464C4" w:rsidRPr="00B10A68" w14:paraId="3C107C62" w14:textId="77777777" w:rsidTr="00533C46">
        <w:tc>
          <w:tcPr>
            <w:tcW w:w="8828" w:type="dxa"/>
            <w:tcBorders>
              <w:top w:val="dotted" w:sz="4" w:space="0" w:color="auto"/>
              <w:left w:val="dotted" w:sz="4" w:space="0" w:color="auto"/>
              <w:bottom w:val="dotted" w:sz="4" w:space="0" w:color="auto"/>
              <w:right w:val="dotted" w:sz="4" w:space="0" w:color="auto"/>
            </w:tcBorders>
          </w:tcPr>
          <w:p w14:paraId="544B340F" w14:textId="77777777" w:rsidR="00E464C4" w:rsidRDefault="00E464C4" w:rsidP="00533C46">
            <w:pPr>
              <w:spacing w:after="120" w:line="276" w:lineRule="auto"/>
              <w:jc w:val="both"/>
              <w:rPr>
                <w:rFonts w:ascii="Verdana" w:hAnsi="Verdana" w:cs="Arial"/>
                <w:lang w:val="es-ES"/>
              </w:rPr>
            </w:pPr>
            <w:r>
              <w:rPr>
                <w:rFonts w:ascii="Verdana" w:hAnsi="Verdana" w:cs="Arial"/>
                <w:lang w:val="es-ES"/>
              </w:rPr>
              <w:t xml:space="preserve">i) </w:t>
            </w:r>
            <w:r w:rsidRPr="00B10A68">
              <w:rPr>
                <w:rFonts w:ascii="Verdana" w:hAnsi="Verdana" w:cs="Arial"/>
                <w:lang w:val="es-ES"/>
              </w:rPr>
              <w:t xml:space="preserve">La consecuencia aplicable a los proponentes que </w:t>
            </w:r>
            <w:r>
              <w:rPr>
                <w:rFonts w:ascii="Verdana" w:hAnsi="Verdana" w:cs="Arial"/>
                <w:lang w:val="es-ES"/>
              </w:rPr>
              <w:t>presentan un documento habilitante en el término de subsanación,</w:t>
            </w:r>
            <w:r w:rsidRPr="00B10A68">
              <w:rPr>
                <w:rFonts w:ascii="Verdana" w:hAnsi="Verdana" w:cs="Arial"/>
                <w:lang w:val="es-ES"/>
              </w:rPr>
              <w:t xml:space="preserve"> dependerá de las reglas establecidas en el pliego de condiciones. En principio, se recomienda requerir al proponente con el fin de que presente la </w:t>
            </w:r>
            <w:r>
              <w:rPr>
                <w:rFonts w:ascii="Verdana" w:hAnsi="Verdana" w:cs="Arial"/>
                <w:lang w:val="es-ES"/>
              </w:rPr>
              <w:t>subsanación</w:t>
            </w:r>
            <w:r w:rsidRPr="00B10A68">
              <w:rPr>
                <w:rFonts w:ascii="Verdana" w:hAnsi="Verdana" w:cs="Arial"/>
                <w:lang w:val="es-ES"/>
              </w:rPr>
              <w:t xml:space="preserve"> pertinente atendiendo</w:t>
            </w:r>
            <w:r>
              <w:rPr>
                <w:rFonts w:ascii="Verdana" w:hAnsi="Verdana" w:cs="Arial"/>
                <w:lang w:val="es-ES"/>
              </w:rPr>
              <w:t xml:space="preserve"> a</w:t>
            </w:r>
            <w:r w:rsidRPr="00B10A68">
              <w:rPr>
                <w:rFonts w:ascii="Verdana" w:hAnsi="Verdana" w:cs="Arial"/>
                <w:lang w:val="es-ES"/>
              </w:rPr>
              <w:t xml:space="preserve"> los postulados previstos en la Ley </w:t>
            </w:r>
            <w:r>
              <w:rPr>
                <w:rFonts w:ascii="Verdana" w:hAnsi="Verdana" w:cs="Arial"/>
                <w:lang w:val="es-ES"/>
              </w:rPr>
              <w:t>1150</w:t>
            </w:r>
            <w:r w:rsidRPr="00B10A68">
              <w:rPr>
                <w:rFonts w:ascii="Verdana" w:hAnsi="Verdana" w:cs="Arial"/>
                <w:lang w:val="es-ES"/>
              </w:rPr>
              <w:t xml:space="preserve"> de </w:t>
            </w:r>
            <w:r>
              <w:rPr>
                <w:rFonts w:ascii="Verdana" w:hAnsi="Verdana" w:cs="Arial"/>
                <w:lang w:val="es-ES"/>
              </w:rPr>
              <w:t>2007</w:t>
            </w:r>
            <w:r w:rsidRPr="00B10A68">
              <w:rPr>
                <w:rFonts w:ascii="Verdana" w:hAnsi="Verdana" w:cs="Arial"/>
                <w:lang w:val="es-ES"/>
              </w:rPr>
              <w:t xml:space="preserve">, </w:t>
            </w:r>
            <w:r>
              <w:rPr>
                <w:rFonts w:ascii="Verdana" w:hAnsi="Verdana" w:cs="Arial"/>
                <w:lang w:val="es-ES"/>
              </w:rPr>
              <w:t>teniendo en cuenta que la situación planteada está relacionada con requisitos habilitantes</w:t>
            </w:r>
            <w:r w:rsidRPr="00B10A68">
              <w:rPr>
                <w:rFonts w:ascii="Verdana" w:hAnsi="Verdana" w:cs="Arial"/>
                <w:lang w:val="es-ES"/>
              </w:rPr>
              <w:t>, evento en el cual y</w:t>
            </w:r>
            <w:r>
              <w:rPr>
                <w:rFonts w:ascii="Verdana" w:hAnsi="Verdana" w:cs="Arial"/>
                <w:lang w:val="es-ES"/>
              </w:rPr>
              <w:t>,</w:t>
            </w:r>
            <w:r w:rsidRPr="00B10A68">
              <w:rPr>
                <w:rFonts w:ascii="Verdana" w:hAnsi="Verdana" w:cs="Arial"/>
                <w:lang w:val="es-ES"/>
              </w:rPr>
              <w:t xml:space="preserve"> previo análisis de la entidad contratante,</w:t>
            </w:r>
            <w:r>
              <w:rPr>
                <w:rFonts w:ascii="Verdana" w:hAnsi="Verdana" w:cs="Arial"/>
                <w:lang w:val="es-ES"/>
              </w:rPr>
              <w:t xml:space="preserve"> se</w:t>
            </w:r>
            <w:r w:rsidRPr="00B10A68">
              <w:rPr>
                <w:rFonts w:ascii="Verdana" w:hAnsi="Verdana" w:cs="Arial"/>
                <w:lang w:val="es-ES"/>
              </w:rPr>
              <w:t xml:space="preserve"> considere sí es procedente</w:t>
            </w:r>
            <w:r>
              <w:rPr>
                <w:rFonts w:ascii="Verdana" w:hAnsi="Verdana" w:cs="Arial"/>
                <w:lang w:val="es-ES"/>
              </w:rPr>
              <w:t xml:space="preserve"> la subsanación</w:t>
            </w:r>
            <w:r w:rsidRPr="00B10A68">
              <w:rPr>
                <w:rFonts w:ascii="Verdana" w:hAnsi="Verdana" w:cs="Arial"/>
                <w:lang w:val="es-ES"/>
              </w:rPr>
              <w:t xml:space="preserve">. </w:t>
            </w:r>
          </w:p>
          <w:p w14:paraId="64190A79" w14:textId="77777777" w:rsidR="00E464C4" w:rsidRPr="00746C74" w:rsidRDefault="00E464C4" w:rsidP="00533C46">
            <w:pPr>
              <w:spacing w:before="120" w:after="120" w:line="276" w:lineRule="auto"/>
              <w:ind w:firstLine="742"/>
              <w:jc w:val="both"/>
              <w:rPr>
                <w:rFonts w:ascii="Verdana" w:eastAsia="Arial MT" w:hAnsi="Verdana" w:cs="Arial"/>
                <w:lang w:eastAsia="es-ES" w:bidi="es-ES"/>
              </w:rPr>
            </w:pPr>
            <w:r w:rsidRPr="00D40683">
              <w:rPr>
                <w:rFonts w:ascii="Verdana" w:hAnsi="Verdana"/>
              </w:rPr>
              <w:t>E</w:t>
            </w:r>
            <w:r w:rsidRPr="00D40683">
              <w:rPr>
                <w:rFonts w:ascii="Verdana" w:eastAsia="Arial MT" w:hAnsi="Verdana" w:cs="Arial"/>
                <w:lang w:eastAsia="es-ES" w:bidi="es-ES"/>
              </w:rPr>
              <w:t>l parágrafo 1° del artículo 5</w:t>
            </w:r>
            <w:r w:rsidRPr="00746C74">
              <w:rPr>
                <w:rFonts w:ascii="Verdana" w:eastAsia="Arial MT" w:hAnsi="Verdana" w:cs="Arial"/>
                <w:lang w:eastAsia="es-ES" w:bidi="es-ES"/>
              </w:rPr>
              <w:t xml:space="preserve"> de la Ley 1150 de 2007, modificado por el </w:t>
            </w:r>
            <w:r>
              <w:rPr>
                <w:rFonts w:ascii="Verdana" w:eastAsia="Arial MT" w:hAnsi="Verdana" w:cs="Arial"/>
                <w:lang w:eastAsia="es-ES" w:bidi="es-ES"/>
              </w:rPr>
              <w:t xml:space="preserve">mismo </w:t>
            </w:r>
            <w:r w:rsidRPr="00746C74">
              <w:rPr>
                <w:rFonts w:ascii="Verdana" w:eastAsia="Arial MT" w:hAnsi="Verdana" w:cs="Arial"/>
                <w:lang w:eastAsia="es-ES" w:bidi="es-ES"/>
              </w:rPr>
              <w:t>artículo 5</w:t>
            </w:r>
            <w:r>
              <w:rPr>
                <w:rFonts w:ascii="Verdana" w:eastAsia="Arial MT" w:hAnsi="Verdana" w:cs="Arial"/>
                <w:lang w:eastAsia="es-ES" w:bidi="es-ES"/>
              </w:rPr>
              <w:t>°</w:t>
            </w:r>
            <w:r w:rsidRPr="00746C74">
              <w:rPr>
                <w:rFonts w:ascii="Verdana" w:eastAsia="Arial MT" w:hAnsi="Verdana" w:cs="Arial"/>
                <w:lang w:eastAsia="es-ES" w:bidi="es-ES"/>
              </w:rPr>
              <w:t xml:space="preserve"> de la Ley 1882 de 2018, señala que la ausencia de requisitos o la falta de documentos referentes a la futura contratación o al proponente, no necesarios para la comparación de las propuestas no servirán de título suficiente para el rechazo de los ofrecimientos hechos. </w:t>
            </w:r>
            <w:r>
              <w:rPr>
                <w:rFonts w:ascii="Verdana" w:eastAsia="Arial MT" w:hAnsi="Verdana" w:cs="Arial"/>
                <w:lang w:eastAsia="es-ES" w:bidi="es-ES"/>
              </w:rPr>
              <w:t>En virtud de</w:t>
            </w:r>
            <w:r w:rsidRPr="00746C74">
              <w:rPr>
                <w:rFonts w:ascii="Verdana" w:eastAsia="Arial MT" w:hAnsi="Verdana" w:cs="Arial"/>
                <w:lang w:eastAsia="es-ES" w:bidi="es-ES"/>
              </w:rPr>
              <w:t xml:space="preserve"> esta disposición es posible subsanar todo el defecto o la falta de documento que no afect</w:t>
            </w:r>
            <w:r>
              <w:rPr>
                <w:rFonts w:ascii="Verdana" w:eastAsia="Arial MT" w:hAnsi="Verdana" w:cs="Arial"/>
                <w:lang w:eastAsia="es-ES" w:bidi="es-ES"/>
              </w:rPr>
              <w:t>e</w:t>
            </w:r>
            <w:r w:rsidRPr="00746C74">
              <w:rPr>
                <w:rFonts w:ascii="Verdana" w:eastAsia="Arial MT" w:hAnsi="Verdana" w:cs="Arial"/>
                <w:lang w:eastAsia="es-ES" w:bidi="es-ES"/>
              </w:rPr>
              <w:t xml:space="preserve"> la asignación de puntaje de un proceso de contratación hasta el traslado del informe de evaluación, salvo el proceso de mínima cuantía y el proceso de subasta inversa</w:t>
            </w:r>
            <w:r>
              <w:rPr>
                <w:rFonts w:ascii="Verdana" w:eastAsia="Arial MT" w:hAnsi="Verdana" w:cs="Arial"/>
                <w:lang w:eastAsia="es-ES" w:bidi="es-ES"/>
              </w:rPr>
              <w:t xml:space="preserve">; ya que, </w:t>
            </w:r>
            <w:r w:rsidRPr="002A1819">
              <w:rPr>
                <w:rFonts w:ascii="Verdana" w:eastAsia="Arial MT" w:hAnsi="Verdana" w:cs="Arial"/>
                <w:lang w:eastAsia="es-ES" w:bidi="es-ES"/>
              </w:rPr>
              <w:t xml:space="preserve">en el último los documentos o requisitos subsanables pueden y deben solicitarse hasta el momento previo a la realización de la audiencia. En cuanto al proceso de mínima cuantía, el Decreto 1860 de 2021, en su artículo 2.2.1.2.1.5.2., numeral 5° dispone que los proponentes podrán subsanar sus ofertas hasta antes que finalice el traslado del informe de evaluación. </w:t>
            </w:r>
            <w:r>
              <w:rPr>
                <w:rFonts w:ascii="Verdana" w:eastAsia="Arial MT" w:hAnsi="Verdana" w:cs="Arial"/>
                <w:lang w:eastAsia="es-ES" w:bidi="es-ES"/>
              </w:rPr>
              <w:t xml:space="preserve"> </w:t>
            </w:r>
            <w:r w:rsidRPr="00746C74">
              <w:rPr>
                <w:rFonts w:ascii="Verdana" w:eastAsia="Arial MT" w:hAnsi="Verdana" w:cs="Arial"/>
                <w:lang w:eastAsia="es-ES" w:bidi="es-ES"/>
              </w:rPr>
              <w:t xml:space="preserve"> </w:t>
            </w:r>
          </w:p>
          <w:p w14:paraId="2FB3BACB" w14:textId="77777777" w:rsidR="00E464C4" w:rsidRDefault="00E464C4" w:rsidP="00533C46">
            <w:pPr>
              <w:spacing w:before="120" w:after="120" w:line="276" w:lineRule="auto"/>
              <w:ind w:firstLine="742"/>
              <w:jc w:val="both"/>
              <w:rPr>
                <w:rFonts w:ascii="Verdana" w:eastAsia="Arial MT" w:hAnsi="Verdana" w:cs="Arial"/>
                <w:lang w:eastAsia="es-ES" w:bidi="es-ES"/>
              </w:rPr>
            </w:pPr>
            <w:r>
              <w:rPr>
                <w:rFonts w:ascii="Verdana" w:eastAsia="Arial MT" w:hAnsi="Verdana" w:cs="Arial"/>
                <w:lang w:eastAsia="es-ES" w:bidi="es-ES"/>
              </w:rPr>
              <w:t xml:space="preserve">De </w:t>
            </w:r>
            <w:r w:rsidRPr="00312A74">
              <w:rPr>
                <w:rFonts w:ascii="Verdana" w:hAnsi="Verdana"/>
                <w:lang w:val="es-ES"/>
              </w:rPr>
              <w:t>otro</w:t>
            </w:r>
            <w:r>
              <w:rPr>
                <w:rFonts w:ascii="Verdana" w:eastAsia="Arial MT" w:hAnsi="Verdana" w:cs="Arial"/>
                <w:lang w:eastAsia="es-ES" w:bidi="es-ES"/>
              </w:rPr>
              <w:t xml:space="preserve"> lado, en consideración al interrogante planteado, si las inconsistencias </w:t>
            </w:r>
            <w:r w:rsidRPr="00746C74">
              <w:rPr>
                <w:rFonts w:ascii="Verdana" w:eastAsia="Arial MT" w:hAnsi="Verdana" w:cs="Arial"/>
                <w:lang w:eastAsia="es-ES" w:bidi="es-ES"/>
              </w:rPr>
              <w:t xml:space="preserve">no afectan la comparación de las propuestas, la entidad les debe otorgar la facultad a los proponentes de subsanar cualquier </w:t>
            </w:r>
            <w:r>
              <w:rPr>
                <w:rFonts w:ascii="Verdana" w:eastAsia="Arial MT" w:hAnsi="Verdana" w:cs="Arial"/>
                <w:lang w:eastAsia="es-ES" w:bidi="es-ES"/>
              </w:rPr>
              <w:t>inconsistencia</w:t>
            </w:r>
            <w:r w:rsidRPr="00746C74">
              <w:rPr>
                <w:rFonts w:ascii="Verdana" w:eastAsia="Arial MT" w:hAnsi="Verdana" w:cs="Arial"/>
                <w:lang w:eastAsia="es-ES" w:bidi="es-ES"/>
              </w:rPr>
              <w:t xml:space="preserve"> en el contenido de </w:t>
            </w:r>
            <w:r>
              <w:rPr>
                <w:rFonts w:ascii="Verdana" w:eastAsia="Arial MT" w:hAnsi="Verdana" w:cs="Arial"/>
                <w:lang w:eastAsia="es-ES" w:bidi="es-ES"/>
              </w:rPr>
              <w:t>los documentos que acrediten el equipo de trabajo</w:t>
            </w:r>
            <w:r w:rsidRPr="00746C74">
              <w:rPr>
                <w:rFonts w:ascii="Verdana" w:eastAsia="Arial MT" w:hAnsi="Verdana" w:cs="Arial"/>
                <w:lang w:eastAsia="es-ES" w:bidi="es-ES"/>
              </w:rPr>
              <w:t>, y estos últimos deben subsanarlos hasta el traslado del informe de evaluación,</w:t>
            </w:r>
            <w:r>
              <w:rPr>
                <w:rFonts w:ascii="Verdana" w:eastAsia="Arial MT" w:hAnsi="Verdana" w:cs="Arial"/>
                <w:lang w:eastAsia="es-ES" w:bidi="es-ES"/>
              </w:rPr>
              <w:t xml:space="preserve"> </w:t>
            </w:r>
            <w:r w:rsidRPr="002A1819">
              <w:rPr>
                <w:rFonts w:ascii="Verdana" w:eastAsia="Arial MT" w:hAnsi="Verdana" w:cs="Arial"/>
                <w:lang w:eastAsia="es-ES" w:bidi="es-ES"/>
              </w:rPr>
              <w:t>hasta el momento previo a la realización de la audiencia</w:t>
            </w:r>
            <w:r>
              <w:rPr>
                <w:rFonts w:ascii="Verdana" w:eastAsia="Arial MT" w:hAnsi="Verdana" w:cs="Arial"/>
                <w:lang w:eastAsia="es-ES" w:bidi="es-ES"/>
              </w:rPr>
              <w:t xml:space="preserve"> (subasta inversa) o, </w:t>
            </w:r>
            <w:r w:rsidRPr="002A1819">
              <w:rPr>
                <w:rFonts w:ascii="Verdana" w:eastAsia="Arial MT" w:hAnsi="Verdana" w:cs="Arial"/>
                <w:lang w:eastAsia="es-ES" w:bidi="es-ES"/>
              </w:rPr>
              <w:t>hasta antes que finalice el traslado del informe de evaluación</w:t>
            </w:r>
            <w:r>
              <w:rPr>
                <w:rFonts w:ascii="Verdana" w:eastAsia="Arial MT" w:hAnsi="Verdana" w:cs="Arial"/>
                <w:lang w:eastAsia="es-ES" w:bidi="es-ES"/>
              </w:rPr>
              <w:t xml:space="preserve"> (mínima cuantía)</w:t>
            </w:r>
            <w:r w:rsidRPr="00746C74">
              <w:rPr>
                <w:rFonts w:ascii="Verdana" w:eastAsia="Arial MT" w:hAnsi="Verdana" w:cs="Arial"/>
                <w:lang w:eastAsia="es-ES" w:bidi="es-ES"/>
              </w:rPr>
              <w:t xml:space="preserve"> so pena de rechazar la oferta si no se corrige durante el término establecido.</w:t>
            </w:r>
          </w:p>
          <w:p w14:paraId="1D11DABC" w14:textId="77777777" w:rsidR="00E464C4" w:rsidRDefault="00E464C4" w:rsidP="00533C46">
            <w:pPr>
              <w:spacing w:before="120" w:after="120" w:line="276" w:lineRule="auto"/>
              <w:ind w:firstLine="742"/>
              <w:jc w:val="both"/>
              <w:rPr>
                <w:rFonts w:ascii="Verdana" w:hAnsi="Verdana" w:cs="Arial"/>
                <w:lang w:val="es-ES"/>
              </w:rPr>
            </w:pPr>
            <w:r w:rsidRPr="002E4D8E">
              <w:rPr>
                <w:rFonts w:ascii="Verdana" w:hAnsi="Verdana"/>
                <w:lang w:val="es-ES"/>
              </w:rPr>
              <w:t>No</w:t>
            </w:r>
            <w:r>
              <w:rPr>
                <w:rFonts w:ascii="Verdana" w:eastAsia="Arial MT" w:hAnsi="Verdana" w:cs="Arial"/>
                <w:lang w:eastAsia="es-ES" w:bidi="es-ES"/>
              </w:rPr>
              <w:t xml:space="preserve"> </w:t>
            </w:r>
            <w:r w:rsidRPr="00312A74">
              <w:rPr>
                <w:rFonts w:ascii="Verdana" w:hAnsi="Verdana"/>
                <w:lang w:val="es-ES"/>
              </w:rPr>
              <w:t>obstante</w:t>
            </w:r>
            <w:r>
              <w:rPr>
                <w:rFonts w:ascii="Verdana" w:eastAsia="Arial MT" w:hAnsi="Verdana" w:cs="Arial"/>
                <w:lang w:eastAsia="es-ES" w:bidi="es-ES"/>
              </w:rPr>
              <w:t xml:space="preserve">, la subsanación no podría consistir en acreditar circunstancias ocurridas con posterioridad al cierre del proceso, dado que ese </w:t>
            </w:r>
            <w:r>
              <w:rPr>
                <w:rFonts w:ascii="Verdana" w:eastAsia="Arial MT" w:hAnsi="Verdana" w:cs="Arial"/>
                <w:lang w:eastAsia="es-ES" w:bidi="es-ES"/>
              </w:rPr>
              <w:lastRenderedPageBreak/>
              <w:t>supuesto correspondería a la prohibición expresa que hace el parágrafo 1 del artículo 5 de la Ley 1150 de 2007, sin que sea viable subsanar de tal forma.</w:t>
            </w:r>
          </w:p>
          <w:p w14:paraId="510121BB" w14:textId="3165D42B" w:rsidR="00E464C4" w:rsidRDefault="00E464C4" w:rsidP="00521550">
            <w:pPr>
              <w:spacing w:before="120" w:line="276" w:lineRule="auto"/>
              <w:ind w:firstLine="743"/>
              <w:jc w:val="both"/>
              <w:rPr>
                <w:rFonts w:ascii="Verdana" w:eastAsia="Arial MT" w:hAnsi="Verdana" w:cs="Arial"/>
                <w:lang w:eastAsia="es-ES" w:bidi="es-ES"/>
              </w:rPr>
            </w:pPr>
            <w:r>
              <w:rPr>
                <w:rFonts w:ascii="Verdana" w:hAnsi="Verdana" w:cs="Arial"/>
                <w:lang w:val="es-ES"/>
              </w:rPr>
              <w:t xml:space="preserve">Lo </w:t>
            </w:r>
            <w:r w:rsidRPr="002E4D8E">
              <w:rPr>
                <w:rFonts w:ascii="Verdana" w:hAnsi="Verdana"/>
                <w:lang w:val="es-ES"/>
              </w:rPr>
              <w:t>anterior</w:t>
            </w:r>
            <w:r>
              <w:rPr>
                <w:rFonts w:ascii="Verdana" w:hAnsi="Verdana" w:cs="Arial"/>
                <w:lang w:val="es-ES"/>
              </w:rPr>
              <w:t>, teniendo en cuenta que una de las</w:t>
            </w:r>
            <w:r w:rsidRPr="00B10A68">
              <w:rPr>
                <w:rFonts w:ascii="Verdana" w:eastAsia="Times New Roman" w:hAnsi="Verdana" w:cs="Arial"/>
                <w:lang w:val="es-ES_tradnl" w:eastAsia="es-ES_tradnl"/>
              </w:rPr>
              <w:t xml:space="preserve"> excepci</w:t>
            </w:r>
            <w:r>
              <w:rPr>
                <w:rFonts w:ascii="Verdana" w:eastAsia="Times New Roman" w:hAnsi="Verdana" w:cs="Arial"/>
                <w:lang w:val="es-ES_tradnl" w:eastAsia="es-ES_tradnl"/>
              </w:rPr>
              <w:t>ones</w:t>
            </w:r>
            <w:r w:rsidRPr="00B10A68">
              <w:rPr>
                <w:rFonts w:ascii="Verdana" w:eastAsia="Times New Roman" w:hAnsi="Verdana" w:cs="Arial"/>
                <w:lang w:val="es-ES_tradnl" w:eastAsia="es-ES_tradnl"/>
              </w:rPr>
              <w:t xml:space="preserve"> a </w:t>
            </w:r>
            <w:r>
              <w:rPr>
                <w:rFonts w:ascii="Verdana" w:eastAsia="Times New Roman" w:hAnsi="Verdana" w:cs="Arial"/>
                <w:lang w:val="es-ES_tradnl" w:eastAsia="es-ES_tradnl"/>
              </w:rPr>
              <w:t>l</w:t>
            </w:r>
            <w:r w:rsidRPr="00B10A68">
              <w:rPr>
                <w:rFonts w:ascii="Verdana" w:eastAsia="Times New Roman" w:hAnsi="Verdana" w:cs="Arial"/>
                <w:lang w:val="es-ES_tradnl" w:eastAsia="es-ES_tradnl"/>
              </w:rPr>
              <w:t xml:space="preserve">a regla </w:t>
            </w:r>
            <w:r>
              <w:rPr>
                <w:rFonts w:ascii="Verdana" w:eastAsia="Times New Roman" w:hAnsi="Verdana" w:cs="Arial"/>
                <w:lang w:val="es-ES_tradnl" w:eastAsia="es-ES_tradnl"/>
              </w:rPr>
              <w:t xml:space="preserve">de poder subsanar los requisitos habilitantes </w:t>
            </w:r>
            <w:r w:rsidRPr="00B10A68">
              <w:rPr>
                <w:rFonts w:ascii="Verdana" w:eastAsia="Times New Roman" w:hAnsi="Verdana" w:cs="Arial"/>
                <w:lang w:val="es-ES_tradnl" w:eastAsia="es-ES_tradnl"/>
              </w:rPr>
              <w:t xml:space="preserve">se encuentra en la prohibición de permitir que se subsanen aspectos que </w:t>
            </w:r>
            <w:r>
              <w:rPr>
                <w:rFonts w:ascii="Verdana" w:eastAsia="Times New Roman" w:hAnsi="Verdana" w:cs="Arial"/>
                <w:lang w:val="es-ES_tradnl" w:eastAsia="es-ES_tradnl"/>
              </w:rPr>
              <w:t>acreditan</w:t>
            </w:r>
            <w:r w:rsidRPr="00B10A68">
              <w:rPr>
                <w:rFonts w:ascii="Verdana" w:eastAsia="Times New Roman" w:hAnsi="Verdana" w:cs="Arial"/>
                <w:lang w:val="es-ES_tradnl" w:eastAsia="es-ES_tradnl"/>
              </w:rPr>
              <w:t xml:space="preserve"> circunstancias ocurridas con posterioridad al cierre del proceso.</w:t>
            </w:r>
            <w:r>
              <w:rPr>
                <w:rFonts w:ascii="Verdana" w:eastAsia="Times New Roman" w:hAnsi="Verdana" w:cs="Arial"/>
                <w:lang w:val="es-ES_tradnl" w:eastAsia="es-ES_tradnl"/>
              </w:rPr>
              <w:t xml:space="preserve"> En ese sentido, a</w:t>
            </w:r>
            <w:r w:rsidRPr="001548CC">
              <w:rPr>
                <w:rFonts w:ascii="Verdana" w:eastAsia="Times New Roman" w:hAnsi="Verdana" w:cs="Arial"/>
                <w:lang w:val="es-ES_tradnl" w:eastAsia="es-ES_tradnl"/>
              </w:rPr>
              <w:t xml:space="preserve">l aportar el documento subsanado (como </w:t>
            </w:r>
            <w:r>
              <w:rPr>
                <w:rFonts w:ascii="Verdana" w:eastAsia="Times New Roman" w:hAnsi="Verdana" w:cs="Arial"/>
                <w:lang w:val="es-ES_tradnl" w:eastAsia="es-ES_tradnl"/>
              </w:rPr>
              <w:t>las hojas de vida del equipo de trabajo</w:t>
            </w:r>
            <w:r w:rsidRPr="001548CC">
              <w:rPr>
                <w:rFonts w:ascii="Verdana" w:eastAsia="Times New Roman" w:hAnsi="Verdana" w:cs="Arial"/>
                <w:lang w:val="es-ES_tradnl" w:eastAsia="es-ES_tradnl"/>
              </w:rPr>
              <w:t xml:space="preserve">), </w:t>
            </w:r>
            <w:r>
              <w:rPr>
                <w:rFonts w:ascii="Verdana" w:eastAsia="Times New Roman" w:hAnsi="Verdana" w:cs="Arial"/>
                <w:lang w:val="es-ES_tradnl" w:eastAsia="es-ES_tradnl"/>
              </w:rPr>
              <w:t xml:space="preserve">la entidad contratante debe determinar que no se estén acreditando </w:t>
            </w:r>
            <w:r>
              <w:rPr>
                <w:rFonts w:ascii="Verdana" w:eastAsia="Arial MT" w:hAnsi="Verdana" w:cs="Arial"/>
                <w:lang w:eastAsia="es-ES" w:bidi="es-ES"/>
              </w:rPr>
              <w:t>circunstancias ocurridas con posterioridad al cierre del proceso.</w:t>
            </w:r>
          </w:p>
          <w:p w14:paraId="2A8939E2" w14:textId="77777777" w:rsidR="00521550" w:rsidRDefault="00521550" w:rsidP="00ED7574">
            <w:pPr>
              <w:spacing w:before="120" w:line="276" w:lineRule="auto"/>
              <w:ind w:firstLine="743"/>
              <w:jc w:val="both"/>
              <w:rPr>
                <w:rFonts w:ascii="Verdana" w:eastAsia="Times New Roman" w:hAnsi="Verdana" w:cs="Arial"/>
                <w:lang w:val="es-ES_tradnl" w:eastAsia="es-ES_tradnl"/>
              </w:rPr>
            </w:pPr>
          </w:p>
          <w:p w14:paraId="3377EF0E" w14:textId="77777777" w:rsidR="00E464C4" w:rsidRDefault="00E464C4" w:rsidP="00ED7574">
            <w:pPr>
              <w:spacing w:after="120" w:line="276" w:lineRule="auto"/>
              <w:jc w:val="both"/>
              <w:textAlignment w:val="baseline"/>
              <w:rPr>
                <w:rFonts w:ascii="Verdana" w:eastAsia="Arial" w:hAnsi="Verdana" w:cs="Arial"/>
              </w:rPr>
            </w:pPr>
            <w:proofErr w:type="spellStart"/>
            <w:r>
              <w:rPr>
                <w:rFonts w:ascii="Verdana" w:hAnsi="Verdana" w:cs="Arial"/>
                <w:lang w:val="es-ES"/>
              </w:rPr>
              <w:t>ii</w:t>
            </w:r>
            <w:proofErr w:type="spellEnd"/>
            <w:r>
              <w:rPr>
                <w:rFonts w:ascii="Verdana" w:hAnsi="Verdana" w:cs="Arial"/>
                <w:lang w:val="es-ES"/>
              </w:rPr>
              <w:t>)</w:t>
            </w:r>
            <w:r w:rsidRPr="002721E0">
              <w:rPr>
                <w:rFonts w:ascii="Verdana" w:hAnsi="Verdana" w:cs="Arial"/>
              </w:rPr>
              <w:t xml:space="preserve"> En relación con la consulta planteada</w:t>
            </w:r>
            <w:r w:rsidRPr="002721E0">
              <w:rPr>
                <w:rFonts w:ascii="Verdana" w:eastAsia="Arial" w:hAnsi="Verdana" w:cs="Arial"/>
              </w:rPr>
              <w:t xml:space="preserve">, se encuentra la facultad de la entidad estatal de modificar los pliegos de condiciones o sus documentos equivalentes, lo cual, </w:t>
            </w:r>
            <w:r>
              <w:rPr>
                <w:rFonts w:ascii="Verdana" w:eastAsia="Arial" w:hAnsi="Verdana" w:cs="Arial"/>
              </w:rPr>
              <w:t>se explica en las consideraciones de este concepto</w:t>
            </w:r>
            <w:r w:rsidRPr="002721E0">
              <w:rPr>
                <w:rFonts w:ascii="Verdana" w:eastAsia="Arial" w:hAnsi="Verdana" w:cs="Arial"/>
              </w:rPr>
              <w:t xml:space="preserve">, </w:t>
            </w:r>
            <w:r>
              <w:rPr>
                <w:rFonts w:ascii="Verdana" w:eastAsia="Arial" w:hAnsi="Verdana" w:cs="Arial"/>
              </w:rPr>
              <w:t>las cuales se</w:t>
            </w:r>
            <w:r w:rsidRPr="002721E0">
              <w:rPr>
                <w:rFonts w:ascii="Verdana" w:eastAsia="Arial" w:hAnsi="Verdana" w:cs="Arial"/>
              </w:rPr>
              <w:t xml:space="preserve"> realiza</w:t>
            </w:r>
            <w:r>
              <w:rPr>
                <w:rFonts w:ascii="Verdana" w:eastAsia="Arial" w:hAnsi="Verdana" w:cs="Arial"/>
              </w:rPr>
              <w:t>n</w:t>
            </w:r>
            <w:r w:rsidRPr="002721E0">
              <w:rPr>
                <w:rFonts w:ascii="Verdana" w:eastAsia="Arial" w:hAnsi="Verdana" w:cs="Arial"/>
              </w:rPr>
              <w:t xml:space="preserve"> a través de adendas. Estas constituyen el mecanismo mediante el cual la entidad puede ajustar o precisar las reglas del proceso de selección. No obstante, dicha facultad se encuentra sujeta a límites temporales y materiales establecidos en la normativa aplicable, los cuales determinan hasta qué momento del proceso pueden expedirse y sobre qué aspectos pueden recaer.</w:t>
            </w:r>
          </w:p>
          <w:p w14:paraId="1B1ACA0C" w14:textId="77777777" w:rsidR="00E464C4" w:rsidRDefault="00E464C4" w:rsidP="00533C46">
            <w:pPr>
              <w:spacing w:before="120" w:after="120" w:line="276" w:lineRule="auto"/>
              <w:ind w:firstLine="742"/>
              <w:jc w:val="both"/>
              <w:rPr>
                <w:rFonts w:ascii="Verdana" w:hAnsi="Verdana" w:cs="Arial"/>
              </w:rPr>
            </w:pPr>
            <w:r>
              <w:rPr>
                <w:rFonts w:ascii="Verdana" w:hAnsi="Verdana" w:cs="Arial"/>
                <w:lang w:val="es-ES"/>
              </w:rPr>
              <w:t>En consecuencia, l</w:t>
            </w:r>
            <w:r w:rsidRPr="00FD30D0">
              <w:rPr>
                <w:rFonts w:ascii="Verdana" w:hAnsi="Verdana" w:cs="Arial"/>
              </w:rPr>
              <w:t>a interpretación de</w:t>
            </w:r>
            <w:r>
              <w:rPr>
                <w:rFonts w:ascii="Verdana" w:hAnsi="Verdana" w:cs="Arial"/>
              </w:rPr>
              <w:t xml:space="preserve">l artículo </w:t>
            </w:r>
            <w:r w:rsidRPr="00910A2E">
              <w:rPr>
                <w:rFonts w:ascii="Verdana" w:hAnsi="Verdana" w:cs="Arial"/>
              </w:rPr>
              <w:t>2.2.1.1.2.2.1.</w:t>
            </w:r>
            <w:r>
              <w:rPr>
                <w:rFonts w:ascii="Verdana" w:hAnsi="Verdana" w:cs="Arial"/>
              </w:rPr>
              <w:t xml:space="preserve"> del Decreto 1082 de 2015 que regula las adendas, </w:t>
            </w:r>
            <w:r w:rsidRPr="00FD30D0">
              <w:rPr>
                <w:rFonts w:ascii="Verdana" w:hAnsi="Verdana" w:cs="Arial"/>
              </w:rPr>
              <w:t xml:space="preserve">supone diferenciar entre dos (2) tipos de ajustes que pueden dar lugar a la expedición de adendas: i) los referidos a las condiciones técnicas, jurídicas y económicas del pliego definitivo y, en general, a cualquier contenido distinto del cronograma del procedimiento de selección y </w:t>
            </w:r>
            <w:proofErr w:type="spellStart"/>
            <w:r w:rsidRPr="00FD30D0">
              <w:rPr>
                <w:rFonts w:ascii="Verdana" w:hAnsi="Verdana" w:cs="Arial"/>
              </w:rPr>
              <w:t>ii</w:t>
            </w:r>
            <w:proofErr w:type="spellEnd"/>
            <w:r w:rsidRPr="00FD30D0">
              <w:rPr>
                <w:rFonts w:ascii="Verdana" w:hAnsi="Verdana" w:cs="Arial"/>
              </w:rPr>
              <w:t>) los del cronograma. El primer tipo de adendas puede ser realizada hasta antes del vencimiento del plazo para la recepción de ofertas, mientras que las segundas, también pueden realizarse luego del cierre del proceso, antes de la adjudicación del contrato, en las que solo se permite modificar los plazos de las etapas siguientes</w:t>
            </w:r>
            <w:r>
              <w:rPr>
                <w:rFonts w:ascii="Verdana" w:hAnsi="Verdana" w:cs="Arial"/>
              </w:rPr>
              <w:t>.</w:t>
            </w:r>
          </w:p>
          <w:p w14:paraId="6DC5FFA7" w14:textId="77777777" w:rsidR="00E464C4" w:rsidRPr="004F4EB8" w:rsidRDefault="00E464C4" w:rsidP="00533C46">
            <w:pPr>
              <w:spacing w:before="120" w:after="120" w:line="276" w:lineRule="auto"/>
              <w:ind w:firstLine="742"/>
              <w:jc w:val="both"/>
              <w:rPr>
                <w:rFonts w:ascii="Verdana" w:hAnsi="Verdana" w:cs="Arial"/>
              </w:rPr>
            </w:pPr>
            <w:r>
              <w:rPr>
                <w:rFonts w:ascii="Verdana" w:hAnsi="Verdana" w:cs="Arial"/>
              </w:rPr>
              <w:t xml:space="preserve">Por tanto, </w:t>
            </w:r>
            <w:r w:rsidRPr="00FD30D0">
              <w:rPr>
                <w:rFonts w:ascii="Verdana" w:hAnsi="Verdana" w:cs="Arial"/>
              </w:rPr>
              <w:t xml:space="preserve">aunque las condiciones técnicas, jurídicas y económicas no son modificables después de la presentación de las propuestas, nada obsta para que, vencido el plazo para su presentación, se amplíen o modifiquen los plazos de las siguientes etapas, de acuerdo con segundo inciso del </w:t>
            </w:r>
            <w:r w:rsidRPr="008853DD">
              <w:rPr>
                <w:rFonts w:ascii="Verdana" w:hAnsi="Verdana" w:cs="Arial"/>
              </w:rPr>
              <w:t xml:space="preserve">artículo </w:t>
            </w:r>
            <w:r w:rsidRPr="008853DD">
              <w:rPr>
                <w:rFonts w:ascii="Verdana" w:hAnsi="Verdana" w:cs="Arial"/>
                <w:sz w:val="21"/>
                <w:szCs w:val="21"/>
              </w:rPr>
              <w:t xml:space="preserve">2.2.1.1.2.2.1. </w:t>
            </w:r>
            <w:proofErr w:type="spellStart"/>
            <w:r w:rsidRPr="008853DD">
              <w:rPr>
                <w:rFonts w:ascii="Verdana" w:hAnsi="Verdana" w:cs="Arial"/>
                <w:i/>
                <w:iCs/>
                <w:sz w:val="21"/>
                <w:szCs w:val="21"/>
              </w:rPr>
              <w:t>ejusdem</w:t>
            </w:r>
            <w:proofErr w:type="spellEnd"/>
            <w:r w:rsidRPr="008853DD">
              <w:rPr>
                <w:rFonts w:ascii="Verdana" w:hAnsi="Verdana" w:cs="Arial"/>
                <w:sz w:val="21"/>
                <w:szCs w:val="21"/>
              </w:rPr>
              <w:t>.</w:t>
            </w:r>
            <w:r>
              <w:rPr>
                <w:rFonts w:ascii="Verdana" w:hAnsi="Verdana" w:cs="Arial"/>
                <w:sz w:val="21"/>
                <w:szCs w:val="21"/>
              </w:rPr>
              <w:t xml:space="preserve"> De acuerdo con esto, no es posible que después de publicado el informe de evaluación definitivo, se publique una adenda para modificar el cronograma y volver a la etapa de presentación de observaciones, </w:t>
            </w:r>
            <w:r>
              <w:rPr>
                <w:rFonts w:ascii="Verdana" w:hAnsi="Verdana" w:cs="Arial"/>
                <w:sz w:val="21"/>
                <w:szCs w:val="21"/>
              </w:rPr>
              <w:lastRenderedPageBreak/>
              <w:t>puesto que es una etapa que ya se agotó y solo se pueden modificar las etapas después de la publicación del informe de evaluación definitivo.</w:t>
            </w:r>
          </w:p>
          <w:p w14:paraId="5FEDACF1" w14:textId="77777777" w:rsidR="00E464C4" w:rsidRPr="00B10A68" w:rsidRDefault="00E464C4" w:rsidP="00533C46">
            <w:pPr>
              <w:spacing w:before="120" w:after="120" w:line="276" w:lineRule="auto"/>
              <w:ind w:firstLine="742"/>
              <w:jc w:val="both"/>
              <w:rPr>
                <w:rFonts w:ascii="Verdana" w:hAnsi="Verdana" w:cs="Arial"/>
                <w:lang w:val="es-ES"/>
              </w:rPr>
            </w:pPr>
            <w:r w:rsidRPr="00B10A68">
              <w:rPr>
                <w:rFonts w:ascii="Verdana" w:hAnsi="Verdana" w:cs="Arial"/>
                <w:lang w:val="es-ES"/>
              </w:rPr>
              <w:t xml:space="preserve">No obstante </w:t>
            </w:r>
            <w:r>
              <w:rPr>
                <w:rFonts w:ascii="Verdana" w:hAnsi="Verdana" w:cs="Arial"/>
                <w:lang w:val="es-ES"/>
              </w:rPr>
              <w:t>esto,</w:t>
            </w:r>
            <w:r w:rsidRPr="00B10A68">
              <w:rPr>
                <w:rFonts w:ascii="Verdana" w:hAnsi="Verdana" w:cs="Arial"/>
                <w:lang w:val="es-ES"/>
              </w:rPr>
              <w:t xml:space="preserve"> y conforme al análisis que efectué cada entidad, </w:t>
            </w:r>
            <w:r w:rsidRPr="00B10A68">
              <w:rPr>
                <w:rFonts w:ascii="Verdana" w:hAnsi="Verdana" w:cs="Arial"/>
              </w:rPr>
              <w:t>debe advertirse que es la entidad contratante, al momento de adelantar su actividad contractual, quien debe determinar lo correspondiente a la situación planteada. Dado esto, y en atención al alcance la función consultiva atribuida a esta Agencia, lo aquí mencionado no constituye un juicio de valor sobre un proceso contractual particular.</w:t>
            </w:r>
          </w:p>
        </w:tc>
      </w:tr>
    </w:tbl>
    <w:p w14:paraId="5F80857B" w14:textId="77777777" w:rsidR="00E464C4" w:rsidRPr="00B10A68" w:rsidRDefault="00E464C4" w:rsidP="00E464C4">
      <w:pPr>
        <w:tabs>
          <w:tab w:val="left" w:pos="142"/>
          <w:tab w:val="left" w:pos="284"/>
        </w:tabs>
        <w:spacing w:after="0" w:line="276" w:lineRule="auto"/>
        <w:jc w:val="both"/>
        <w:rPr>
          <w:rFonts w:ascii="Verdana" w:eastAsia="Century Gothic" w:hAnsi="Verdana" w:cs="Century Gothic"/>
          <w:b/>
          <w:bCs/>
          <w:lang w:val="es-ES"/>
        </w:rPr>
      </w:pPr>
    </w:p>
    <w:p w14:paraId="608D9D44" w14:textId="77777777" w:rsidR="00E464C4" w:rsidRPr="00B10A68" w:rsidRDefault="00E464C4" w:rsidP="00783886">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B10A68">
        <w:rPr>
          <w:rFonts w:ascii="Verdana" w:eastAsia="Century Gothic" w:hAnsi="Verdana" w:cs="Century Gothic"/>
          <w:b/>
          <w:bCs/>
          <w:lang w:val="es-ES"/>
        </w:rPr>
        <w:t>Razones de las respuestas:</w:t>
      </w:r>
    </w:p>
    <w:p w14:paraId="33D734E3" w14:textId="77777777" w:rsidR="00E464C4" w:rsidRPr="00B10A68" w:rsidRDefault="00E464C4" w:rsidP="00E464C4">
      <w:pPr>
        <w:spacing w:after="0" w:line="276" w:lineRule="auto"/>
        <w:jc w:val="both"/>
        <w:rPr>
          <w:rFonts w:ascii="Verdana" w:eastAsia="Calibri" w:hAnsi="Verdana" w:cs="Arial"/>
          <w:lang w:val="es-ES"/>
        </w:rPr>
      </w:pPr>
    </w:p>
    <w:p w14:paraId="6214B39E" w14:textId="77777777" w:rsidR="00E464C4" w:rsidRPr="00B10A68" w:rsidRDefault="00E464C4" w:rsidP="00E464C4">
      <w:pPr>
        <w:spacing w:after="0" w:line="276" w:lineRule="auto"/>
        <w:jc w:val="both"/>
        <w:rPr>
          <w:rFonts w:ascii="Verdana" w:eastAsia="Calibri" w:hAnsi="Verdana" w:cs="Arial"/>
          <w:lang w:val="es-ES"/>
        </w:rPr>
      </w:pPr>
      <w:r w:rsidRPr="00B10A68">
        <w:rPr>
          <w:rFonts w:ascii="Verdana" w:eastAsia="Calibri" w:hAnsi="Verdana" w:cs="Arial"/>
          <w:lang w:val="es-ES"/>
        </w:rPr>
        <w:t xml:space="preserve">Lo anterior se sustenta en las siguientes consideraciones: </w:t>
      </w:r>
    </w:p>
    <w:p w14:paraId="4F3B955B" w14:textId="77777777" w:rsidR="00E464C4" w:rsidRPr="00B10A68" w:rsidRDefault="00E464C4" w:rsidP="00E464C4">
      <w:pPr>
        <w:widowControl w:val="0"/>
        <w:autoSpaceDE w:val="0"/>
        <w:autoSpaceDN w:val="0"/>
        <w:spacing w:after="0" w:line="276" w:lineRule="auto"/>
        <w:jc w:val="both"/>
        <w:rPr>
          <w:rFonts w:ascii="Verdana" w:eastAsia="Calibri" w:hAnsi="Verdana" w:cs="Arial"/>
          <w:lang w:val="es-ES"/>
        </w:rPr>
      </w:pPr>
    </w:p>
    <w:p w14:paraId="3BDD9F8C" w14:textId="77777777" w:rsidR="00E464C4" w:rsidRPr="00B10A68" w:rsidRDefault="00E464C4" w:rsidP="00E464C4">
      <w:pPr>
        <w:spacing w:after="120" w:line="276" w:lineRule="auto"/>
        <w:jc w:val="both"/>
        <w:rPr>
          <w:rFonts w:ascii="Verdana" w:eastAsia="Times New Roman" w:hAnsi="Verdana" w:cs="Arial"/>
          <w:lang w:val="es-ES_tradnl" w:eastAsia="es-ES_tradnl"/>
        </w:rPr>
      </w:pPr>
      <w:r w:rsidRPr="00B10A68">
        <w:rPr>
          <w:rFonts w:ascii="Verdana" w:eastAsia="Calibri" w:hAnsi="Verdana" w:cs="Arial"/>
          <w:noProof/>
          <w:lang w:val="es-ES_tradnl"/>
        </w:rPr>
        <w:t>L</w:t>
      </w:r>
      <w:r w:rsidRPr="00B10A68">
        <w:rPr>
          <w:rFonts w:ascii="Verdana" w:eastAsia="Times New Roman" w:hAnsi="Verdana" w:cs="Arial"/>
        </w:rPr>
        <w:t>a regla de la subsanabilidad de las ofertas en los procedimientos de selección</w:t>
      </w:r>
      <w:r w:rsidRPr="00B10A68">
        <w:rPr>
          <w:rFonts w:ascii="Verdana" w:eastAsia="Times New Roman" w:hAnsi="Verdana" w:cs="Arial"/>
          <w:b/>
          <w:bCs/>
        </w:rPr>
        <w:t xml:space="preserve"> </w:t>
      </w:r>
      <w:r w:rsidRPr="00B10A68">
        <w:rPr>
          <w:rFonts w:ascii="Verdana" w:eastAsia="Times New Roman" w:hAnsi="Verdana" w:cs="Arial"/>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403E8F62" w14:textId="77777777" w:rsidR="00E464C4" w:rsidRPr="00B10A68" w:rsidRDefault="00E464C4" w:rsidP="00E464C4">
      <w:pPr>
        <w:spacing w:after="120" w:line="276" w:lineRule="auto"/>
        <w:ind w:firstLine="708"/>
        <w:jc w:val="both"/>
        <w:rPr>
          <w:rFonts w:ascii="Verdana" w:eastAsia="Times New Roman" w:hAnsi="Verdana" w:cs="Arial"/>
          <w:lang w:val="es-ES" w:eastAsia="es-ES"/>
        </w:rPr>
      </w:pPr>
      <w:r w:rsidRPr="00B10A68">
        <w:rPr>
          <w:rFonts w:ascii="Verdana" w:eastAsia="Times New Roman" w:hAnsi="Verdana" w:cs="Arial"/>
          <w:lang w:val="es-ES_tradnl" w:eastAsia="es-ES_tradnl"/>
        </w:rPr>
        <w:t>La posibilidad de enmendar, corregir o subsanar los errores en los que se incurre en los documentos contentivos de la oferta es un tema que ha tenido diferentes momentos o etapas en el ordenamiento jurídico colombiano, momentos que se han expuesto de manera detallada en conceptos como el C-285 del 20 de mayo de 2022</w:t>
      </w:r>
      <w:r w:rsidRPr="00B10A68">
        <w:rPr>
          <w:rFonts w:ascii="Verdana" w:eastAsia="Times New Roman" w:hAnsi="Verdana" w:cs="Arial"/>
          <w:vertAlign w:val="superscript"/>
          <w:lang w:val="es-ES_tradnl" w:eastAsia="es-ES_tradnl"/>
        </w:rPr>
        <w:footnoteReference w:id="1"/>
      </w:r>
      <w:r w:rsidRPr="00B10A68">
        <w:rPr>
          <w:rFonts w:ascii="Verdana" w:eastAsia="Times New Roman" w:hAnsi="Verdana" w:cs="Arial"/>
          <w:lang w:val="es-ES_tradnl" w:eastAsia="es-ES_tradnl"/>
        </w:rPr>
        <w:t xml:space="preserve"> o el C-447 del 19 de septiembre de 2024</w:t>
      </w:r>
      <w:r w:rsidRPr="00B10A68">
        <w:rPr>
          <w:rFonts w:ascii="Verdana" w:eastAsia="Times New Roman" w:hAnsi="Verdana" w:cs="Arial"/>
          <w:vertAlign w:val="superscript"/>
          <w:lang w:val="es-ES_tradnl" w:eastAsia="es-ES_tradnl"/>
        </w:rPr>
        <w:footnoteReference w:id="2"/>
      </w:r>
      <w:r w:rsidRPr="00B10A68">
        <w:rPr>
          <w:rFonts w:ascii="Verdana" w:eastAsia="Times New Roman" w:hAnsi="Verdana" w:cs="Arial"/>
          <w:lang w:val="es-ES_tradnl" w:eastAsia="es-ES_tradnl"/>
        </w:rPr>
        <w:t xml:space="preserve"> los cuales, en el evento en que tenga interés, podrá consultar en los enlaces de la nota al pie. Sin embargo</w:t>
      </w:r>
      <w:r w:rsidRPr="00B10A68">
        <w:rPr>
          <w:rFonts w:ascii="Verdana" w:eastAsia="Times New Roman" w:hAnsi="Verdana" w:cs="Arial"/>
          <w:lang w:val="es-ES" w:eastAsia="es-ES"/>
        </w:rPr>
        <w:t xml:space="preserve">, a continuación, se hará referencia particularmente al último momento, que refleja la postura vigente </w:t>
      </w:r>
      <w:r>
        <w:rPr>
          <w:rFonts w:ascii="Verdana" w:eastAsia="Times New Roman" w:hAnsi="Verdana" w:cs="Arial"/>
          <w:lang w:val="es-ES" w:eastAsia="es-ES"/>
        </w:rPr>
        <w:t xml:space="preserve">de esta Entidad </w:t>
      </w:r>
      <w:r w:rsidRPr="00B10A68">
        <w:rPr>
          <w:rFonts w:ascii="Verdana" w:eastAsia="Times New Roman" w:hAnsi="Verdana" w:cs="Arial"/>
          <w:lang w:val="es-ES" w:eastAsia="es-ES"/>
        </w:rPr>
        <w:t>en torno a la subsanabilidad:</w:t>
      </w:r>
    </w:p>
    <w:p w14:paraId="3B0F6E0E" w14:textId="77777777" w:rsidR="00E464C4" w:rsidRPr="00B10A68" w:rsidRDefault="00E464C4" w:rsidP="00E464C4">
      <w:pPr>
        <w:tabs>
          <w:tab w:val="left" w:pos="284"/>
        </w:tabs>
        <w:spacing w:after="0" w:line="276" w:lineRule="auto"/>
        <w:ind w:firstLine="709"/>
        <w:jc w:val="both"/>
        <w:rPr>
          <w:rFonts w:ascii="Verdana" w:eastAsia="Times New Roman" w:hAnsi="Verdana" w:cs="Arial"/>
          <w:lang w:val="es-ES_tradnl" w:eastAsia="es-CO"/>
        </w:rPr>
      </w:pPr>
      <w:r w:rsidRPr="00B10A68">
        <w:rPr>
          <w:rFonts w:ascii="Verdana" w:eastAsia="Times New Roman" w:hAnsi="Verdana" w:cs="Arial"/>
          <w:lang w:val="es-ES_tradnl" w:eastAsia="es-ES_tradnl"/>
        </w:rPr>
        <w:lastRenderedPageBreak/>
        <w:t xml:space="preserve">La expedición de la Ley </w:t>
      </w:r>
      <w:r w:rsidRPr="00B10A68">
        <w:rPr>
          <w:rFonts w:ascii="Verdana" w:eastAsia="Times New Roman" w:hAnsi="Verdana" w:cs="Arial"/>
          <w:lang w:val="es-ES_tradnl" w:eastAsia="es-CO"/>
        </w:rPr>
        <w:t xml:space="preserve">1882 de 2018 tuvo por finalidad la de introducir cambios y ajustes para fortalecer la contratación pública. En ese orden, mediante su artículo 5 modificó el parágrafo 1º y adicionó algunos otros, entre ellos el 3° y 4° del artículo 5 de la Ley 1150 de 2007, en los siguientes términos: </w:t>
      </w:r>
    </w:p>
    <w:p w14:paraId="59FDE58D" w14:textId="77777777" w:rsidR="00E464C4" w:rsidRPr="00B10A68" w:rsidRDefault="00E464C4" w:rsidP="00E464C4">
      <w:pPr>
        <w:spacing w:after="0" w:line="276" w:lineRule="auto"/>
        <w:ind w:left="709" w:right="709"/>
        <w:jc w:val="both"/>
        <w:rPr>
          <w:rFonts w:ascii="Verdana" w:eastAsia="Times New Roman" w:hAnsi="Verdana" w:cs="Arial"/>
          <w:lang w:val="es-ES_tradnl" w:eastAsia="es-CO"/>
        </w:rPr>
      </w:pPr>
    </w:p>
    <w:p w14:paraId="7C5C4396" w14:textId="77777777" w:rsidR="00E464C4" w:rsidRPr="00B10A68" w:rsidRDefault="00E464C4" w:rsidP="00E464C4">
      <w:pPr>
        <w:spacing w:after="0" w:line="240" w:lineRule="auto"/>
        <w:ind w:left="709" w:right="709"/>
        <w:jc w:val="both"/>
        <w:rPr>
          <w:rFonts w:ascii="Verdana" w:eastAsia="Times New Roman" w:hAnsi="Verdana" w:cs="Arial"/>
          <w:sz w:val="20"/>
          <w:szCs w:val="20"/>
          <w:lang w:val="es-ES_tradnl" w:eastAsia="es-CO"/>
        </w:rPr>
      </w:pPr>
      <w:r w:rsidRPr="00B10A68">
        <w:rPr>
          <w:rFonts w:ascii="Verdana" w:eastAsia="Times New Roman" w:hAnsi="Verdana" w:cs="Arial"/>
          <w:sz w:val="20"/>
          <w:szCs w:val="20"/>
          <w:lang w:val="es-ES_tradnl" w:eastAsia="es-CO"/>
        </w:rPr>
        <w:t xml:space="preserve">“Artículo 5°. De la selección objetiva. </w:t>
      </w:r>
    </w:p>
    <w:p w14:paraId="7A99CADF" w14:textId="77777777" w:rsidR="00E464C4" w:rsidRPr="00B10A68" w:rsidRDefault="00E464C4" w:rsidP="00E464C4">
      <w:pPr>
        <w:spacing w:after="0" w:line="240" w:lineRule="auto"/>
        <w:ind w:left="709" w:right="709"/>
        <w:jc w:val="both"/>
        <w:textAlignment w:val="baseline"/>
        <w:rPr>
          <w:rFonts w:ascii="Verdana" w:eastAsia="Times New Roman" w:hAnsi="Verdana" w:cs="Arial"/>
          <w:color w:val="000000"/>
          <w:sz w:val="20"/>
          <w:szCs w:val="20"/>
          <w:lang w:val="es-ES" w:eastAsia="es-ES_tradnl"/>
        </w:rPr>
      </w:pPr>
    </w:p>
    <w:p w14:paraId="7908D71A" w14:textId="77777777" w:rsidR="00E464C4" w:rsidRPr="00B10A68" w:rsidRDefault="00E464C4" w:rsidP="00E464C4">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Times New Roman" w:hAnsi="Verdana" w:cs="Arial"/>
          <w:color w:val="000000"/>
          <w:sz w:val="20"/>
          <w:szCs w:val="20"/>
          <w:lang w:val="es-ES" w:eastAsia="es-ES_tradnl"/>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r w:rsidRPr="00B10A68">
        <w:rPr>
          <w:rFonts w:ascii="Verdana" w:eastAsia="Arial" w:hAnsi="Verdana" w:cs="Times New Roman"/>
          <w:color w:val="000000"/>
          <w:sz w:val="20"/>
          <w:szCs w:val="20"/>
          <w:lang w:eastAsia="es-ES_tradnl"/>
        </w:rPr>
        <w:t> </w:t>
      </w:r>
    </w:p>
    <w:p w14:paraId="6330F7A8" w14:textId="77777777" w:rsidR="00E464C4" w:rsidRPr="00B10A68" w:rsidRDefault="00E464C4" w:rsidP="00E464C4">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Arial" w:hAnsi="Verdana" w:cs="Times New Roman"/>
          <w:color w:val="000000"/>
          <w:sz w:val="20"/>
          <w:szCs w:val="20"/>
          <w:lang w:eastAsia="es-ES_tradnl"/>
        </w:rPr>
        <w:t> </w:t>
      </w:r>
    </w:p>
    <w:p w14:paraId="6899C192" w14:textId="77777777" w:rsidR="00E464C4" w:rsidRPr="00B10A68" w:rsidRDefault="00E464C4" w:rsidP="00E464C4">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Times New Roman" w:hAnsi="Verdana" w:cs="Arial"/>
          <w:color w:val="000000"/>
          <w:sz w:val="20"/>
          <w:szCs w:val="20"/>
          <w:lang w:val="es-ES" w:eastAsia="es-ES_tradnl"/>
        </w:rPr>
        <w:t>(…)</w:t>
      </w:r>
    </w:p>
    <w:p w14:paraId="6DA3DA33" w14:textId="77777777" w:rsidR="00E464C4" w:rsidRPr="00B10A68" w:rsidRDefault="00E464C4" w:rsidP="00E464C4">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Arial" w:hAnsi="Verdana" w:cs="Times New Roman"/>
          <w:color w:val="000000"/>
          <w:sz w:val="20"/>
          <w:szCs w:val="20"/>
          <w:lang w:eastAsia="es-ES_tradnl"/>
        </w:rPr>
        <w:t> </w:t>
      </w:r>
    </w:p>
    <w:p w14:paraId="41F6C067" w14:textId="77777777" w:rsidR="00E464C4" w:rsidRPr="00B10A68" w:rsidRDefault="00E464C4" w:rsidP="00E464C4">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Times New Roman" w:hAnsi="Verdana" w:cs="Arial"/>
          <w:color w:val="000000"/>
          <w:sz w:val="20"/>
          <w:szCs w:val="20"/>
          <w:u w:val="single"/>
          <w:lang w:val="es-ES" w:eastAsia="es-ES_tradnl"/>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w:t>
      </w:r>
      <w:r w:rsidRPr="00B10A68">
        <w:rPr>
          <w:rFonts w:ascii="Verdana" w:eastAsia="Times New Roman" w:hAnsi="Verdana" w:cs="Arial"/>
          <w:color w:val="000000"/>
          <w:sz w:val="20"/>
          <w:szCs w:val="20"/>
          <w:lang w:val="es-ES" w:eastAsia="es-ES_tradnl"/>
        </w:rPr>
        <w:t xml:space="preserve">, salvo lo dispuesto para el proceso de Mínima cuantía y para el proceso de selección a través del sistema de subasta. </w:t>
      </w:r>
      <w:r w:rsidRPr="00B10A68">
        <w:rPr>
          <w:rFonts w:ascii="Verdana" w:eastAsia="Times New Roman" w:hAnsi="Verdana" w:cs="Arial"/>
          <w:color w:val="000000"/>
          <w:sz w:val="20"/>
          <w:szCs w:val="20"/>
          <w:u w:val="single"/>
          <w:lang w:val="es-ES" w:eastAsia="es-ES_tradnl"/>
        </w:rPr>
        <w:t>Serán rechazadas las ofertas de aquellos proponentes que no suministren la información y la documentación solicitada por la entidad estatal hasta el plazo anteriormente señalado.</w:t>
      </w:r>
      <w:r w:rsidRPr="00B10A68">
        <w:rPr>
          <w:rFonts w:ascii="Verdana" w:eastAsia="Arial" w:hAnsi="Verdana" w:cs="Times New Roman"/>
          <w:color w:val="000000"/>
          <w:sz w:val="20"/>
          <w:szCs w:val="20"/>
          <w:u w:val="single"/>
          <w:lang w:eastAsia="es-ES_tradnl"/>
        </w:rPr>
        <w:t> </w:t>
      </w:r>
    </w:p>
    <w:p w14:paraId="323FFC38" w14:textId="77777777" w:rsidR="00E464C4" w:rsidRPr="00B10A68" w:rsidRDefault="00E464C4" w:rsidP="00E464C4">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Arial" w:hAnsi="Verdana" w:cs="Times New Roman"/>
          <w:color w:val="000000"/>
          <w:sz w:val="20"/>
          <w:szCs w:val="20"/>
          <w:lang w:eastAsia="es-ES_tradnl"/>
        </w:rPr>
        <w:t> </w:t>
      </w:r>
    </w:p>
    <w:p w14:paraId="5BBBD126" w14:textId="77777777" w:rsidR="00E464C4" w:rsidRPr="00B10A68" w:rsidRDefault="00E464C4" w:rsidP="00E464C4">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Times New Roman" w:hAnsi="Verdana" w:cs="Arial"/>
          <w:color w:val="000000"/>
          <w:sz w:val="20"/>
          <w:szCs w:val="20"/>
          <w:u w:val="single"/>
          <w:lang w:val="es-ES" w:eastAsia="es-ES_tradnl"/>
        </w:rPr>
        <w:t>Durante el término otorgado para subsanar las ofertas, los proponentes no podrán acreditar circunstancias ocurridas con posterioridad al cierre del proceso.</w:t>
      </w:r>
      <w:r w:rsidRPr="00B10A68">
        <w:rPr>
          <w:rFonts w:ascii="Verdana" w:eastAsia="Arial" w:hAnsi="Verdana" w:cs="Times New Roman"/>
          <w:color w:val="000000"/>
          <w:sz w:val="20"/>
          <w:szCs w:val="20"/>
          <w:lang w:eastAsia="es-ES_tradnl"/>
        </w:rPr>
        <w:t> </w:t>
      </w:r>
    </w:p>
    <w:p w14:paraId="4F5392B8" w14:textId="77777777" w:rsidR="00E464C4" w:rsidRPr="00B10A68" w:rsidRDefault="00E464C4" w:rsidP="00E464C4">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Arial" w:hAnsi="Verdana" w:cs="Times New Roman"/>
          <w:color w:val="000000"/>
          <w:sz w:val="20"/>
          <w:szCs w:val="20"/>
          <w:lang w:eastAsia="es-ES_tradnl"/>
        </w:rPr>
        <w:t> </w:t>
      </w:r>
    </w:p>
    <w:p w14:paraId="5430769B" w14:textId="77777777" w:rsidR="00E464C4" w:rsidRPr="00B10A68" w:rsidRDefault="00E464C4" w:rsidP="00E464C4">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Times New Roman" w:hAnsi="Verdana" w:cs="Arial"/>
          <w:color w:val="000000"/>
          <w:sz w:val="20"/>
          <w:szCs w:val="20"/>
          <w:lang w:val="es-ES" w:eastAsia="es-ES_tradnl"/>
        </w:rPr>
        <w:t>PARÁGRAFO 2o. Las certificaciones de sistemas de gestión de calidad no serán objeto de calificación, ni podrán establecerse como documento habilitante para participar en licitaciones o concursos.</w:t>
      </w:r>
      <w:r w:rsidRPr="00B10A68">
        <w:rPr>
          <w:rFonts w:ascii="Verdana" w:eastAsia="Arial" w:hAnsi="Verdana" w:cs="Times New Roman"/>
          <w:color w:val="000000"/>
          <w:sz w:val="20"/>
          <w:szCs w:val="20"/>
          <w:lang w:eastAsia="es-ES_tradnl"/>
        </w:rPr>
        <w:t> </w:t>
      </w:r>
    </w:p>
    <w:p w14:paraId="62430960" w14:textId="77777777" w:rsidR="00E464C4" w:rsidRPr="00B10A68" w:rsidRDefault="00E464C4" w:rsidP="00E464C4">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Arial" w:hAnsi="Verdana" w:cs="Times New Roman"/>
          <w:color w:val="000000"/>
          <w:sz w:val="20"/>
          <w:szCs w:val="20"/>
          <w:lang w:eastAsia="es-ES_tradnl"/>
        </w:rPr>
        <w:t> </w:t>
      </w:r>
    </w:p>
    <w:p w14:paraId="40CB8563" w14:textId="77777777" w:rsidR="00E464C4" w:rsidRPr="00B10A68" w:rsidRDefault="00E464C4" w:rsidP="00E464C4">
      <w:pPr>
        <w:spacing w:after="0" w:line="240" w:lineRule="auto"/>
        <w:ind w:left="709" w:right="709"/>
        <w:jc w:val="both"/>
        <w:textAlignment w:val="baseline"/>
        <w:rPr>
          <w:rFonts w:ascii="Verdana" w:eastAsia="Times New Roman" w:hAnsi="Verdana" w:cs="Segoe UI"/>
          <w:sz w:val="20"/>
          <w:szCs w:val="20"/>
          <w:u w:val="single"/>
          <w:lang w:eastAsia="es-ES_tradnl"/>
        </w:rPr>
      </w:pPr>
      <w:r w:rsidRPr="00B10A68">
        <w:rPr>
          <w:rFonts w:ascii="Verdana" w:eastAsia="Times New Roman" w:hAnsi="Verdana" w:cs="Arial"/>
          <w:color w:val="000000"/>
          <w:sz w:val="20"/>
          <w:szCs w:val="20"/>
          <w:u w:val="single"/>
          <w:lang w:val="es-ES" w:eastAsia="es-ES_tradnl"/>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B10A68">
        <w:rPr>
          <w:rFonts w:ascii="Verdana" w:eastAsia="Times New Roman" w:hAnsi="Verdana" w:cs="Arial"/>
          <w:color w:val="000000"/>
          <w:sz w:val="20"/>
          <w:szCs w:val="20"/>
          <w:u w:val="single"/>
          <w:lang w:val="es-ES" w:eastAsia="es-ES_tradnl"/>
        </w:rPr>
        <w:t>la misma</w:t>
      </w:r>
      <w:proofErr w:type="gramEnd"/>
      <w:r w:rsidRPr="00B10A68">
        <w:rPr>
          <w:rFonts w:ascii="Verdana" w:eastAsia="Times New Roman" w:hAnsi="Verdana" w:cs="Arial"/>
          <w:color w:val="000000"/>
          <w:sz w:val="20"/>
          <w:szCs w:val="20"/>
          <w:u w:val="single"/>
          <w:lang w:val="es-ES" w:eastAsia="es-ES_tradnl"/>
        </w:rPr>
        <w:t>.</w:t>
      </w:r>
      <w:r w:rsidRPr="00B10A68">
        <w:rPr>
          <w:rFonts w:ascii="Verdana" w:eastAsia="Arial" w:hAnsi="Verdana" w:cs="Times New Roman"/>
          <w:color w:val="000000"/>
          <w:sz w:val="20"/>
          <w:szCs w:val="20"/>
          <w:u w:val="single"/>
          <w:lang w:eastAsia="es-ES_tradnl"/>
        </w:rPr>
        <w:t> </w:t>
      </w:r>
    </w:p>
    <w:p w14:paraId="5AC8F4D0" w14:textId="77777777" w:rsidR="00E464C4" w:rsidRPr="00B10A68" w:rsidRDefault="00E464C4" w:rsidP="00E464C4">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Arial" w:hAnsi="Verdana" w:cs="Times New Roman"/>
          <w:color w:val="000000"/>
          <w:sz w:val="20"/>
          <w:szCs w:val="20"/>
          <w:lang w:eastAsia="es-ES_tradnl"/>
        </w:rPr>
        <w:t> </w:t>
      </w:r>
    </w:p>
    <w:p w14:paraId="6A64C533" w14:textId="77777777" w:rsidR="00E464C4" w:rsidRPr="00B10A68" w:rsidRDefault="00E464C4" w:rsidP="00E464C4">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Times New Roman" w:hAnsi="Verdana" w:cs="Arial"/>
          <w:color w:val="000000"/>
          <w:sz w:val="20"/>
          <w:szCs w:val="20"/>
          <w:lang w:val="es-ES" w:eastAsia="es-ES_tradnl"/>
        </w:rPr>
        <w:t xml:space="preserve">PARÁGRAFO 4o. &lt;Parágrafo adicionado por el artículo 5 de la Ley 1882 de 2018. El nuevo texto es el siguiente:&gt; En aquellos procesos de selección </w:t>
      </w:r>
      <w:r w:rsidRPr="00B10A68">
        <w:rPr>
          <w:rFonts w:ascii="Verdana" w:eastAsia="Times New Roman" w:hAnsi="Verdana" w:cs="Arial"/>
          <w:color w:val="000000"/>
          <w:sz w:val="20"/>
          <w:szCs w:val="20"/>
          <w:lang w:val="es-ES" w:eastAsia="es-ES_tradnl"/>
        </w:rPr>
        <w:lastRenderedPageBreak/>
        <w:t>en los que se utilice el mecanismo de subasta, los documentos referentes a la futura contratación o al proponente, no necesarios para la comparación de las propuestas, deberán ser solicitados hasta el momento previo a su realización.</w:t>
      </w:r>
      <w:r w:rsidRPr="00B10A68">
        <w:rPr>
          <w:rFonts w:ascii="Verdana" w:eastAsia="Arial" w:hAnsi="Verdana" w:cs="Times New Roman"/>
          <w:color w:val="000000"/>
          <w:sz w:val="20"/>
          <w:szCs w:val="20"/>
          <w:lang w:eastAsia="es-ES_tradnl"/>
        </w:rPr>
        <w:t> </w:t>
      </w:r>
    </w:p>
    <w:p w14:paraId="36EE161C" w14:textId="77777777" w:rsidR="00E464C4" w:rsidRPr="00B10A68" w:rsidRDefault="00E464C4" w:rsidP="00E464C4">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Arial" w:hAnsi="Verdana" w:cs="Times New Roman"/>
          <w:color w:val="000000"/>
          <w:sz w:val="20"/>
          <w:szCs w:val="20"/>
          <w:lang w:eastAsia="es-ES_tradnl"/>
        </w:rPr>
        <w:t> </w:t>
      </w:r>
    </w:p>
    <w:p w14:paraId="66D30F2E" w14:textId="77777777" w:rsidR="00E464C4" w:rsidRPr="00B10A68" w:rsidRDefault="00E464C4" w:rsidP="00E464C4">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Times New Roman" w:hAnsi="Verdana" w:cs="Arial"/>
          <w:color w:val="000000"/>
          <w:sz w:val="20"/>
          <w:szCs w:val="20"/>
          <w:lang w:val="es-ES" w:eastAsia="es-ES_tradnl"/>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[Subrayado por fuera de texto original]</w:t>
      </w:r>
    </w:p>
    <w:p w14:paraId="49FA3DD7" w14:textId="77777777" w:rsidR="00E464C4" w:rsidRPr="00B10A68" w:rsidRDefault="00E464C4" w:rsidP="00E464C4">
      <w:pPr>
        <w:spacing w:after="0" w:line="276" w:lineRule="auto"/>
        <w:ind w:left="709" w:right="709"/>
        <w:jc w:val="both"/>
        <w:rPr>
          <w:rFonts w:ascii="Verdana" w:eastAsia="Times New Roman" w:hAnsi="Verdana" w:cs="Arial"/>
          <w:lang w:eastAsia="es-CO"/>
        </w:rPr>
      </w:pPr>
    </w:p>
    <w:p w14:paraId="20232AB0" w14:textId="77777777" w:rsidR="00E464C4" w:rsidRPr="00B10A68" w:rsidRDefault="00E464C4" w:rsidP="00E464C4">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B10A68">
        <w:rPr>
          <w:rFonts w:ascii="Verdana" w:eastAsia="Times New Roman" w:hAnsi="Verdana" w:cs="Arial"/>
          <w:lang w:val="es-ES" w:eastAsia="es-ES"/>
        </w:rPr>
        <w:t>ii</w:t>
      </w:r>
      <w:proofErr w:type="spellEnd"/>
      <w:r w:rsidRPr="00B10A68">
        <w:rPr>
          <w:rFonts w:ascii="Verdana" w:eastAsia="Times New Roman" w:hAnsi="Verdana" w:cs="Arial"/>
          <w:lang w:val="es-ES" w:eastAsia="es-ES"/>
        </w:rPr>
        <w:t xml:space="preserve">) mantiene el criterio aclaratorio de la Ley 1150 de 2007, según el cual todo lo que no afecte la asignación de puntaje puede subsanarse; e, </w:t>
      </w:r>
      <w:proofErr w:type="spellStart"/>
      <w:r w:rsidRPr="00B10A68">
        <w:rPr>
          <w:rFonts w:ascii="Verdana" w:eastAsia="Times New Roman" w:hAnsi="Verdana" w:cs="Arial"/>
          <w:lang w:val="es-ES" w:eastAsia="es-ES"/>
        </w:rPr>
        <w:t>iii</w:t>
      </w:r>
      <w:proofErr w:type="spellEnd"/>
      <w:r w:rsidRPr="00B10A68">
        <w:rPr>
          <w:rFonts w:ascii="Verdana" w:eastAsia="Times New Roman" w:hAnsi="Verdana" w:cs="Arial"/>
          <w:lang w:val="es-ES" w:eastAsia="es-ES"/>
        </w:rPr>
        <w:t xml:space="preserve">) introduce modificaciones en relación con algunos aspectos que se analizarán a continuación. </w:t>
      </w:r>
    </w:p>
    <w:p w14:paraId="002963A7" w14:textId="77777777" w:rsidR="00E464C4" w:rsidRPr="00B10A68" w:rsidRDefault="00E464C4" w:rsidP="00E464C4">
      <w:pPr>
        <w:spacing w:after="120" w:line="276" w:lineRule="auto"/>
        <w:ind w:right="51" w:firstLine="709"/>
        <w:jc w:val="both"/>
        <w:rPr>
          <w:rFonts w:ascii="Verdana" w:eastAsia="Times New Roman" w:hAnsi="Verdana" w:cs="Arial"/>
          <w:lang w:val="es-ES_tradnl" w:eastAsia="es-ES_tradnl"/>
        </w:rPr>
      </w:pPr>
      <w:r w:rsidRPr="00B10A68">
        <w:rPr>
          <w:rFonts w:ascii="Verdana" w:eastAsia="Times New Roman" w:hAnsi="Verdana" w:cs="Arial"/>
          <w:i/>
          <w:iCs/>
          <w:lang w:val="es-ES_tradnl" w:eastAsia="es-ES_tradnl"/>
        </w:rPr>
        <w:t xml:space="preserve">La primera modificación </w:t>
      </w:r>
      <w:r>
        <w:rPr>
          <w:rFonts w:ascii="Verdana" w:eastAsia="Times New Roman" w:hAnsi="Verdana" w:cs="Arial"/>
          <w:lang w:val="es-ES_tradnl" w:eastAsia="es-ES_tradnl"/>
        </w:rPr>
        <w:t xml:space="preserve">introducido por el artículo antes citado </w:t>
      </w:r>
      <w:r w:rsidRPr="00B10A68">
        <w:rPr>
          <w:rFonts w:ascii="Verdana" w:eastAsia="Times New Roman" w:hAnsi="Verdana" w:cs="Arial"/>
          <w:lang w:val="es-ES_tradnl" w:eastAsia="es-ES_tradnl"/>
        </w:rPr>
        <w:t>está relacionada con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B10A68">
        <w:rPr>
          <w:rFonts w:ascii="Verdana" w:eastAsia="Times New Roman" w:hAnsi="Verdana" w:cs="Arial"/>
          <w:vertAlign w:val="superscript"/>
          <w:lang w:val="es-ES_tradnl" w:eastAsia="es-ES_tradnl"/>
        </w:rPr>
        <w:footnoteReference w:id="3"/>
      </w:r>
      <w:r w:rsidRPr="00B10A68">
        <w:rPr>
          <w:rFonts w:ascii="Verdana" w:eastAsia="Times New Roman" w:hAnsi="Verdana" w:cs="Arial"/>
          <w:lang w:val="es-ES_tradnl" w:eastAsia="es-ES_tradnl"/>
        </w:rPr>
        <w:t>.</w:t>
      </w:r>
    </w:p>
    <w:p w14:paraId="4EE0BC9B" w14:textId="77777777" w:rsidR="00E464C4" w:rsidRPr="00B10A68" w:rsidRDefault="00E464C4" w:rsidP="00E464C4">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Frente a la regla general aplicable a los demás procesos de selección, la norma fijó un límite final para que la Administración y los oferentes subsanen los requisitos o documentos que puedan y deban ser subsanados. No obstante,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B10A68">
        <w:rPr>
          <w:rFonts w:ascii="Verdana" w:eastAsia="Times New Roman" w:hAnsi="Verdana" w:cs="Arial"/>
          <w:i/>
          <w:iCs/>
          <w:lang w:val="es-ES" w:eastAsia="es-ES"/>
        </w:rPr>
        <w:t xml:space="preserve">deberán ser solicitados por las entidades estatales y deberán ser </w:t>
      </w:r>
      <w:r w:rsidRPr="00B10A68">
        <w:rPr>
          <w:rFonts w:ascii="Verdana" w:eastAsia="Times New Roman" w:hAnsi="Verdana" w:cs="Arial"/>
          <w:i/>
          <w:iCs/>
          <w:lang w:val="es-ES" w:eastAsia="es-ES"/>
        </w:rPr>
        <w:lastRenderedPageBreak/>
        <w:t>entregados por los proponentes hasta el término de traslado del informe de evaluación que corresponda a cada modalidad de selección”.</w:t>
      </w:r>
      <w:r w:rsidRPr="00B10A68">
        <w:rPr>
          <w:rFonts w:ascii="Verdana" w:eastAsia="Times New Roman" w:hAnsi="Verdana" w:cs="Arial"/>
          <w:lang w:val="es-ES" w:eastAsia="es-ES"/>
        </w:rPr>
        <w:t xml:space="preserve"> </w:t>
      </w:r>
    </w:p>
    <w:p w14:paraId="1EB07655" w14:textId="77777777" w:rsidR="00E464C4" w:rsidRPr="00B10A68" w:rsidRDefault="00E464C4" w:rsidP="00E464C4">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 xml:space="preserve">Sin perjuicio de lo expuesto, de la lectura de este aparte podrían, en la práctica, darse dos interpretaciones que dan lugar a dos formas de proceder en los procesos de selección, en lo que a la subsanabilidad de las ofertas se refiere. </w:t>
      </w:r>
      <w:r w:rsidRPr="00B10A68">
        <w:rPr>
          <w:rFonts w:ascii="Verdana" w:eastAsia="Times New Roman" w:hAnsi="Verdana" w:cs="Arial"/>
          <w:i/>
          <w:iCs/>
          <w:lang w:val="es-ES" w:eastAsia="es-ES"/>
        </w:rPr>
        <w:t>Primera</w:t>
      </w:r>
      <w:r w:rsidRPr="00B10A68">
        <w:rPr>
          <w:rFonts w:ascii="Verdana" w:eastAsia="Times New Roman" w:hAnsi="Verdana" w:cs="Arial"/>
          <w:lang w:val="es-ES" w:eastAsia="es-ES"/>
        </w:rPr>
        <w:t xml:space="preserve">, que la posibilidad para subsanar de los oferentes es el término del traslado del informe de evaluación, ya que es en este documento donde la Administración consigna los requisitos o documentos omitidos que los oferentes deben subsanar, so pena de rechazo. </w:t>
      </w:r>
      <w:r w:rsidRPr="00B10A68">
        <w:rPr>
          <w:rFonts w:ascii="Verdana" w:eastAsia="Times New Roman" w:hAnsi="Verdana" w:cs="Arial"/>
          <w:i/>
          <w:iCs/>
          <w:lang w:val="es-ES" w:eastAsia="es-ES"/>
        </w:rPr>
        <w:t>Segunda</w:t>
      </w:r>
      <w:r w:rsidRPr="00B10A68">
        <w:rPr>
          <w:rFonts w:ascii="Verdana" w:eastAsia="Times New Roman" w:hAnsi="Verdana" w:cs="Arial"/>
          <w:lang w:val="es-ES" w:eastAsia="es-ES"/>
        </w:rPr>
        <w:t xml:space="preserve">, que el término del traslado del informe de evaluación es el </w:t>
      </w:r>
      <w:r w:rsidRPr="00B10A68">
        <w:rPr>
          <w:rFonts w:ascii="Verdana" w:eastAsia="Times New Roman" w:hAnsi="Verdana" w:cs="Arial"/>
          <w:i/>
          <w:lang w:val="es-ES" w:eastAsia="es-ES"/>
        </w:rPr>
        <w:t>límite</w:t>
      </w:r>
      <w:r w:rsidRPr="00B10A68">
        <w:rPr>
          <w:rFonts w:ascii="Verdana" w:eastAsia="Times New Roman" w:hAnsi="Verdana" w:cs="Arial"/>
          <w:lang w:val="es-ES" w:eastAsia="es-ES"/>
        </w:rPr>
        <w:t xml:space="preserve"> para la subsanación de ofertas, pero no el único momento para hacerlo. </w:t>
      </w:r>
    </w:p>
    <w:p w14:paraId="72B84B94" w14:textId="77777777" w:rsidR="00E464C4" w:rsidRPr="00B10A68" w:rsidRDefault="00E464C4" w:rsidP="00E464C4">
      <w:pPr>
        <w:spacing w:after="120" w:line="276" w:lineRule="auto"/>
        <w:ind w:firstLine="709"/>
        <w:jc w:val="both"/>
        <w:rPr>
          <w:rFonts w:ascii="Verdana" w:eastAsia="Times New Roman" w:hAnsi="Verdana" w:cs="Arial"/>
          <w:lang w:val="es-ES_tradnl" w:eastAsia="es-ES_tradnl"/>
        </w:rPr>
      </w:pPr>
      <w:r w:rsidRPr="00B10A68">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Consecuentemente, el término del traslado es la oportunidad del proponente para cumplir con lo solicitado.  </w:t>
      </w:r>
    </w:p>
    <w:p w14:paraId="23386F85" w14:textId="77777777" w:rsidR="00E464C4" w:rsidRPr="00B10A68" w:rsidRDefault="00E464C4" w:rsidP="00E464C4">
      <w:pPr>
        <w:spacing w:after="120" w:line="276" w:lineRule="auto"/>
        <w:ind w:firstLine="709"/>
        <w:jc w:val="both"/>
        <w:rPr>
          <w:rFonts w:ascii="Verdana" w:eastAsia="Times New Roman" w:hAnsi="Verdana" w:cs="Arial"/>
          <w:lang w:val="es-ES_tradnl" w:eastAsia="es-ES_tradnl"/>
        </w:rPr>
      </w:pPr>
      <w:r w:rsidRPr="00B10A68">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471AF371" w14:textId="77777777" w:rsidR="00E464C4" w:rsidRPr="00B10A68" w:rsidRDefault="00E464C4" w:rsidP="00E464C4">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 xml:space="preserve">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w:t>
      </w:r>
      <w:r w:rsidRPr="00B10A68">
        <w:rPr>
          <w:rFonts w:ascii="Verdana" w:eastAsia="Times New Roman" w:hAnsi="Verdana" w:cs="Arial"/>
          <w:lang w:val="es-ES" w:eastAsia="es-ES"/>
        </w:rPr>
        <w:lastRenderedPageBreak/>
        <w:t>antes, cuenten hasta el término de traslado del informe de evaluación con la posibilidad de presentar la información solicitada.</w:t>
      </w:r>
    </w:p>
    <w:p w14:paraId="6FFA23BE" w14:textId="77777777" w:rsidR="00E464C4" w:rsidRPr="00B10A68" w:rsidRDefault="00E464C4" w:rsidP="00E464C4">
      <w:pPr>
        <w:spacing w:after="120" w:line="276" w:lineRule="auto"/>
        <w:ind w:firstLine="709"/>
        <w:jc w:val="both"/>
        <w:rPr>
          <w:rFonts w:ascii="Verdana" w:eastAsia="Times New Roman" w:hAnsi="Verdana" w:cs="Arial"/>
          <w:lang w:val="es-ES_tradnl" w:eastAsia="es-ES_tradnl"/>
        </w:rPr>
      </w:pPr>
      <w:r w:rsidRPr="00B10A68">
        <w:rPr>
          <w:rFonts w:ascii="Verdana" w:eastAsia="Times New Roman" w:hAnsi="Verdana" w:cs="Arial"/>
          <w:lang w:val="es-ES_tradnl" w:eastAsia="es-ES_tradnl"/>
        </w:rPr>
        <w:t xml:space="preserve">El </w:t>
      </w:r>
      <w:r w:rsidRPr="00B10A68">
        <w:rPr>
          <w:rFonts w:ascii="Verdana" w:eastAsia="Times New Roman" w:hAnsi="Verdana" w:cs="Arial"/>
          <w:i/>
          <w:iCs/>
          <w:lang w:val="es-ES_tradnl" w:eastAsia="es-ES_tradnl"/>
        </w:rPr>
        <w:t>segundo cambio</w:t>
      </w:r>
      <w:r w:rsidRPr="00B10A68">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B10A68">
        <w:rPr>
          <w:rFonts w:ascii="Verdana" w:eastAsia="Times New Roman" w:hAnsi="Verdana" w:cs="Arial"/>
          <w:i/>
          <w:iCs/>
          <w:lang w:val="es-ES_tradnl" w:eastAsia="es-ES_tradnl"/>
        </w:rPr>
        <w:t>“los proponentes no podrán acreditar circunstancias ocurridas con posterioridad al cierre del proceso”.</w:t>
      </w:r>
      <w:r w:rsidRPr="00B10A68">
        <w:rPr>
          <w:rFonts w:ascii="Verdana" w:eastAsia="Times New Roman" w:hAnsi="Verdana" w:cs="Arial"/>
          <w:lang w:val="es-ES_tradnl" w:eastAsia="es-ES_tradnl"/>
        </w:rPr>
        <w:t xml:space="preserve"> Lo anterior ofrece dos aspectos que merecen clarificación; primero, qué debe entenderse por circunstancias ocurridas con posterioridad; y segundo, qué es el cierre del proceso. </w:t>
      </w:r>
    </w:p>
    <w:p w14:paraId="6A3A2D3A" w14:textId="77777777" w:rsidR="00E464C4" w:rsidRPr="00B10A68" w:rsidRDefault="00E464C4" w:rsidP="00E464C4">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En esa ocasión, el Consejo de Estado precisó que, por cierre del proceso debe entenderse el vencimiento del plazo para la presentación de las ofertas y que lo subsanable son las circunstancias que ocurrieron con anterioridad a esa fecha</w:t>
      </w:r>
      <w:r w:rsidRPr="00B10A68">
        <w:rPr>
          <w:rFonts w:ascii="Verdana" w:eastAsia="Times New Roman" w:hAnsi="Verdana" w:cs="Arial"/>
          <w:vertAlign w:val="superscript"/>
          <w:lang w:val="es-ES" w:eastAsia="es-ES"/>
        </w:rPr>
        <w:footnoteReference w:id="4"/>
      </w:r>
      <w:r w:rsidRPr="00B10A68">
        <w:rPr>
          <w:rFonts w:ascii="Verdana" w:eastAsia="Times New Roman" w:hAnsi="Verdana" w:cs="Arial"/>
          <w:lang w:val="es-ES" w:eastAsia="es-ES"/>
        </w:rPr>
        <w:t>.</w:t>
      </w:r>
    </w:p>
    <w:p w14:paraId="54E5F7FD" w14:textId="77777777" w:rsidR="00E464C4" w:rsidRPr="00B10A68" w:rsidRDefault="00E464C4" w:rsidP="00E464C4">
      <w:pPr>
        <w:spacing w:after="120" w:line="276" w:lineRule="auto"/>
        <w:ind w:firstLine="709"/>
        <w:jc w:val="both"/>
        <w:rPr>
          <w:rFonts w:ascii="Verdana" w:eastAsia="Times New Roman" w:hAnsi="Verdana" w:cs="Arial"/>
          <w:lang w:val="es-ES_tradnl" w:eastAsia="es-ES_tradnl"/>
        </w:rPr>
      </w:pPr>
      <w:r w:rsidRPr="00B10A68">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w:t>
      </w:r>
      <w:r w:rsidRPr="00B10A68">
        <w:rPr>
          <w:rFonts w:ascii="Verdana" w:eastAsia="Times New Roman" w:hAnsi="Verdana" w:cs="Arial"/>
          <w:lang w:val="es-ES_tradnl" w:eastAsia="es-ES_tradnl"/>
        </w:rPr>
        <w:lastRenderedPageBreak/>
        <w:t xml:space="preserve">cumplirlos durante el proceso de selección o, inclusive, que se puedan variar condiciones de la oferta una vez presentada. </w:t>
      </w:r>
    </w:p>
    <w:p w14:paraId="156790A9" w14:textId="77777777" w:rsidR="00E464C4" w:rsidRPr="00B10A68" w:rsidRDefault="00E464C4" w:rsidP="00E464C4">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 xml:space="preserve">Un mejor entendimiento del significado de la expresión </w:t>
      </w:r>
      <w:r w:rsidRPr="00B10A68">
        <w:rPr>
          <w:rFonts w:ascii="Verdana" w:eastAsia="Times New Roman" w:hAnsi="Verdana" w:cs="Arial"/>
          <w:i/>
          <w:lang w:val="es-ES" w:eastAsia="es-ES"/>
        </w:rPr>
        <w:t>“circunstancias ocurridas con posterioridad al cierre del proceso”</w:t>
      </w:r>
      <w:r w:rsidRPr="00B10A68">
        <w:rPr>
          <w:rFonts w:ascii="Verdana" w:eastAsia="Times New Roman" w:hAnsi="Verdana" w:cs="Arial"/>
          <w:lang w:val="es-ES" w:eastAsia="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B10A68">
        <w:rPr>
          <w:rFonts w:ascii="Verdana" w:eastAsia="Times New Roman" w:hAnsi="Verdana" w:cs="Arial"/>
          <w:vertAlign w:val="superscript"/>
          <w:lang w:val="es-ES" w:eastAsia="es-ES"/>
        </w:rPr>
        <w:footnoteReference w:id="5"/>
      </w:r>
      <w:r w:rsidRPr="00B10A68">
        <w:rPr>
          <w:rFonts w:ascii="Verdana" w:eastAsia="Times New Roman" w:hAnsi="Verdana" w:cs="Arial"/>
          <w:lang w:val="es-ES" w:eastAsia="es-ES"/>
        </w:rPr>
        <w:t xml:space="preserve">. </w:t>
      </w:r>
    </w:p>
    <w:p w14:paraId="41255E83" w14:textId="77777777" w:rsidR="00E464C4" w:rsidRPr="00B10A68" w:rsidRDefault="00E464C4" w:rsidP="00E464C4">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w:t>
      </w:r>
      <w:proofErr w:type="spellStart"/>
      <w:r w:rsidRPr="00B10A68">
        <w:rPr>
          <w:rFonts w:ascii="Verdana" w:eastAsia="Times New Roman" w:hAnsi="Verdana" w:cs="Arial"/>
          <w:lang w:val="es-ES" w:eastAsia="es-ES"/>
        </w:rPr>
        <w:t>ii</w:t>
      </w:r>
      <w:proofErr w:type="spellEnd"/>
      <w:r w:rsidRPr="00B10A68">
        <w:rPr>
          <w:rFonts w:ascii="Verdana" w:eastAsia="Times New Roman" w:hAnsi="Verdana"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B10A68">
        <w:rPr>
          <w:rFonts w:ascii="Verdana" w:eastAsia="Times New Roman" w:hAnsi="Verdana" w:cs="Arial"/>
          <w:vertAlign w:val="superscript"/>
          <w:lang w:val="es-ES" w:eastAsia="es-ES"/>
        </w:rPr>
        <w:footnoteReference w:id="6"/>
      </w:r>
      <w:r w:rsidRPr="00B10A68">
        <w:rPr>
          <w:rFonts w:ascii="Verdana" w:eastAsia="Times New Roman" w:hAnsi="Verdana" w:cs="Arial"/>
          <w:lang w:val="es-ES" w:eastAsia="es-ES"/>
        </w:rPr>
        <w:t xml:space="preserve">; </w:t>
      </w:r>
      <w:proofErr w:type="spellStart"/>
      <w:r w:rsidRPr="00B10A68">
        <w:rPr>
          <w:rFonts w:ascii="Verdana" w:eastAsia="Times New Roman" w:hAnsi="Verdana" w:cs="Arial"/>
          <w:lang w:val="es-ES" w:eastAsia="es-ES"/>
        </w:rPr>
        <w:t>iii</w:t>
      </w:r>
      <w:proofErr w:type="spellEnd"/>
      <w:r w:rsidRPr="00B10A68">
        <w:rPr>
          <w:rFonts w:ascii="Verdana" w:eastAsia="Times New Roman" w:hAnsi="Verdana" w:cs="Arial"/>
          <w:lang w:val="es-ES" w:eastAsia="es-ES"/>
        </w:rPr>
        <w:t>) si un oferente no anexó el Certificado de existencia y representación legal, el documento aportado con posterioridad debe dar cuenta de que la sociedad existía antes del cierre del proceso</w:t>
      </w:r>
      <w:r w:rsidRPr="00B10A68">
        <w:rPr>
          <w:rFonts w:ascii="Verdana" w:eastAsia="Times New Roman" w:hAnsi="Verdana" w:cs="Arial"/>
          <w:vertAlign w:val="superscript"/>
          <w:lang w:val="es-ES" w:eastAsia="es-ES"/>
        </w:rPr>
        <w:footnoteReference w:id="7"/>
      </w:r>
      <w:r w:rsidRPr="00B10A68">
        <w:rPr>
          <w:rFonts w:ascii="Verdana" w:eastAsia="Times New Roman" w:hAnsi="Verdana" w:cs="Arial"/>
          <w:lang w:val="es-ES" w:eastAsia="es-ES"/>
        </w:rPr>
        <w:t xml:space="preserve">; </w:t>
      </w:r>
      <w:proofErr w:type="spellStart"/>
      <w:r w:rsidRPr="00B10A68">
        <w:rPr>
          <w:rFonts w:ascii="Verdana" w:eastAsia="Times New Roman" w:hAnsi="Verdana" w:cs="Arial"/>
          <w:lang w:val="es-ES" w:eastAsia="es-ES"/>
        </w:rPr>
        <w:t>iv</w:t>
      </w:r>
      <w:proofErr w:type="spellEnd"/>
      <w:r w:rsidRPr="00B10A68">
        <w:rPr>
          <w:rFonts w:ascii="Verdana" w:eastAsia="Times New Roman" w:hAnsi="Verdana" w:cs="Arial"/>
          <w:lang w:val="es-ES" w:eastAsia="es-ES"/>
        </w:rPr>
        <w:t xml:space="preserve">) si </w:t>
      </w:r>
      <w:r w:rsidRPr="00B10A68">
        <w:rPr>
          <w:rFonts w:ascii="Verdana" w:eastAsia="Times New Roman" w:hAnsi="Verdana" w:cs="Arial"/>
          <w:lang w:val="es-ES" w:eastAsia="es-ES"/>
        </w:rPr>
        <w:lastRenderedPageBreak/>
        <w:t>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w:t>
      </w:r>
      <w:r>
        <w:rPr>
          <w:rFonts w:ascii="Verdana" w:eastAsia="Times New Roman" w:hAnsi="Verdana" w:cs="Arial"/>
          <w:lang w:val="es-ES" w:eastAsia="es-ES"/>
        </w:rPr>
        <w:t>;</w:t>
      </w:r>
      <w:r w:rsidRPr="00B10A68">
        <w:rPr>
          <w:rFonts w:ascii="Verdana" w:eastAsia="Times New Roman" w:hAnsi="Verdana" w:cs="Arial"/>
          <w:lang w:val="es-ES" w:eastAsia="es-ES"/>
        </w:rPr>
        <w:t xml:space="preserve"> vi) si el oferente olvidó firmar la propuesta o presentar una copia de ella, puede subsanar sin que con ello se entienda que acreditó una circunstancia ocurrida con posterioridad al cierre del proceso. </w:t>
      </w:r>
    </w:p>
    <w:p w14:paraId="51A7AD7E" w14:textId="77777777" w:rsidR="00E464C4" w:rsidRPr="00B10A68" w:rsidRDefault="00E464C4" w:rsidP="00E464C4">
      <w:pPr>
        <w:spacing w:after="120" w:line="276" w:lineRule="auto"/>
        <w:ind w:firstLine="709"/>
        <w:jc w:val="both"/>
        <w:rPr>
          <w:rFonts w:ascii="Verdana" w:eastAsia="Times New Roman" w:hAnsi="Verdana" w:cs="Arial"/>
          <w:i/>
          <w:lang w:val="es-ES" w:eastAsia="es-ES"/>
        </w:rPr>
      </w:pPr>
      <w:r w:rsidRPr="00B10A68">
        <w:rPr>
          <w:rFonts w:ascii="Verdana" w:eastAsia="Times New Roman" w:hAnsi="Verdana" w:cs="Arial"/>
          <w:lang w:val="es-ES" w:eastAsia="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B10A68">
        <w:rPr>
          <w:rFonts w:ascii="Verdana" w:eastAsia="Times New Roman" w:hAnsi="Verdana" w:cs="Arial"/>
          <w:lang w:val="es-ES" w:eastAsia="es-ES"/>
        </w:rPr>
        <w:t>que</w:t>
      </w:r>
      <w:proofErr w:type="gramEnd"/>
      <w:r w:rsidRPr="00B10A68">
        <w:rPr>
          <w:rFonts w:ascii="Verdana" w:eastAsia="Times New Roman" w:hAnsi="Verdana" w:cs="Arial"/>
          <w:lang w:val="es-ES" w:eastAsia="es-E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B10A68">
        <w:rPr>
          <w:rFonts w:ascii="Verdana" w:eastAsia="Times New Roman" w:hAnsi="Verdana" w:cs="Arial"/>
          <w:vertAlign w:val="superscript"/>
          <w:lang w:val="es-ES" w:eastAsia="es-ES"/>
        </w:rPr>
        <w:footnoteReference w:id="8"/>
      </w:r>
      <w:r w:rsidRPr="00B10A68">
        <w:rPr>
          <w:rFonts w:ascii="Verdana" w:eastAsia="Times New Roman" w:hAnsi="Verdana" w:cs="Arial"/>
          <w:lang w:val="es-ES" w:eastAsia="es-ES"/>
        </w:rPr>
        <w:t>.</w:t>
      </w:r>
    </w:p>
    <w:p w14:paraId="28B795D0" w14:textId="77777777" w:rsidR="00E464C4" w:rsidRPr="00B10A68" w:rsidRDefault="00E464C4" w:rsidP="00E464C4">
      <w:pPr>
        <w:spacing w:after="120" w:line="276" w:lineRule="auto"/>
        <w:ind w:firstLine="709"/>
        <w:jc w:val="both"/>
        <w:rPr>
          <w:rFonts w:ascii="Verdana" w:eastAsia="Calibri" w:hAnsi="Verdana" w:cs="Times New Roman"/>
          <w:color w:val="000000"/>
        </w:rPr>
      </w:pPr>
      <w:r w:rsidRPr="00B10A68">
        <w:rPr>
          <w:rFonts w:ascii="Verdana" w:eastAsia="Times New Roman" w:hAnsi="Verdana" w:cs="Arial"/>
          <w:iCs/>
          <w:lang w:val="es-ES" w:eastAsia="es-ES"/>
        </w:rPr>
        <w:t>Ahora bien,</w:t>
      </w:r>
      <w:r w:rsidRPr="00B10A68">
        <w:rPr>
          <w:rFonts w:ascii="Verdana" w:eastAsia="Times New Roman" w:hAnsi="Verdana" w:cs="Arial"/>
          <w:i/>
          <w:lang w:val="es-ES" w:eastAsia="es-ES"/>
        </w:rPr>
        <w:t xml:space="preserve"> e</w:t>
      </w:r>
      <w:r w:rsidRPr="00B10A68">
        <w:rPr>
          <w:rFonts w:ascii="Verdana" w:eastAsia="Calibri" w:hAnsi="Verdana" w:cs="Arial"/>
          <w:color w:val="000000"/>
          <w:lang w:val="es-ES"/>
        </w:rPr>
        <w:t xml:space="preserve">l parágrafo 3 del artículo 5 de la Ley 1882 de 2018 determinó, de manera expresa, que “la no entrega de la garantía de seriedad junto con la propuesta no será subsanable y será causal de rechazo de </w:t>
      </w:r>
      <w:proofErr w:type="gramStart"/>
      <w:r w:rsidRPr="00B10A68">
        <w:rPr>
          <w:rFonts w:ascii="Verdana" w:eastAsia="Calibri" w:hAnsi="Verdana" w:cs="Arial"/>
          <w:color w:val="000000"/>
          <w:lang w:val="es-ES"/>
        </w:rPr>
        <w:t>la misma</w:t>
      </w:r>
      <w:proofErr w:type="gramEnd"/>
      <w:r w:rsidRPr="00B10A68">
        <w:rPr>
          <w:rFonts w:ascii="Verdana" w:eastAsia="Calibri" w:hAnsi="Verdana" w:cs="Arial"/>
          <w:color w:val="000000"/>
          <w:lang w:val="es-ES"/>
        </w:rPr>
        <w:t>”, dejando claro que se trata de un documento de obligatoria presentación junto con la propuesta y que materializa los principios de seriedad e irrevocabilidad de la oferta.</w:t>
      </w:r>
      <w:r w:rsidRPr="00B10A68">
        <w:rPr>
          <w:rFonts w:ascii="Verdana" w:eastAsia="Calibri" w:hAnsi="Verdana" w:cs="Times New Roman"/>
          <w:color w:val="000000"/>
        </w:rPr>
        <w:t> </w:t>
      </w:r>
    </w:p>
    <w:p w14:paraId="25FB1AA4" w14:textId="46F8FF8A" w:rsidR="00E464C4" w:rsidRPr="00B10A68" w:rsidRDefault="00E464C4" w:rsidP="00E464C4">
      <w:pPr>
        <w:spacing w:after="120" w:line="276" w:lineRule="auto"/>
        <w:ind w:firstLine="709"/>
        <w:jc w:val="both"/>
        <w:rPr>
          <w:rFonts w:ascii="Verdana" w:eastAsia="Calibri" w:hAnsi="Verdana" w:cs="Times New Roman"/>
          <w:color w:val="000000"/>
        </w:rPr>
      </w:pPr>
      <w:r w:rsidRPr="00B10A68">
        <w:rPr>
          <w:rFonts w:ascii="Verdana" w:eastAsia="Calibri" w:hAnsi="Verdana" w:cs="Times New Roman"/>
          <w:color w:val="000000"/>
        </w:rPr>
        <w:t>En línea con lo anterior,</w:t>
      </w:r>
      <w:r w:rsidR="00E14447">
        <w:rPr>
          <w:rFonts w:ascii="Verdana" w:eastAsia="Calibri" w:hAnsi="Verdana" w:cs="Times New Roman"/>
          <w:color w:val="000000"/>
        </w:rPr>
        <w:t xml:space="preserve"> con miras a dar respuesta al primer problema jurídico, debe señalarse que</w:t>
      </w:r>
      <w:r w:rsidRPr="00B10A68">
        <w:rPr>
          <w:rFonts w:ascii="Verdana" w:eastAsia="Calibri" w:hAnsi="Verdana" w:cs="Times New Roman"/>
          <w:color w:val="000000"/>
        </w:rPr>
        <w:t xml:space="preserve">, una vez verificada la ausencia de requisitos y/o documentos de la oferta, para efectos de saber si se pueden subsanar, la entidad contratante debe preguntarse, en primer lugar, si lo que hace falta es un </w:t>
      </w:r>
      <w:r w:rsidRPr="00B10A68">
        <w:rPr>
          <w:rFonts w:ascii="Verdana" w:eastAsia="Calibri" w:hAnsi="Verdana" w:cs="Times New Roman"/>
          <w:color w:val="000000"/>
        </w:rPr>
        <w:lastRenderedPageBreak/>
        <w:t>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4C221C2D" w14:textId="4F89AD97" w:rsidR="00E14447" w:rsidRDefault="00E14447" w:rsidP="00E14447">
      <w:pPr>
        <w:spacing w:after="120" w:line="276" w:lineRule="auto"/>
        <w:ind w:firstLine="709"/>
        <w:jc w:val="both"/>
        <w:rPr>
          <w:rFonts w:ascii="Verdana" w:hAnsi="Verdana" w:cs="Arial"/>
          <w:noProof/>
          <w:lang w:val="es-ES_tradnl"/>
        </w:rPr>
      </w:pPr>
      <w:r w:rsidRPr="00D16A5E">
        <w:rPr>
          <w:rFonts w:ascii="Verdana" w:hAnsi="Verdana" w:cs="Arial"/>
          <w:noProof/>
          <w:lang w:val="es-ES_tradnl"/>
        </w:rPr>
        <w:t>En conclusion</w:t>
      </w:r>
      <w:r>
        <w:rPr>
          <w:rFonts w:ascii="Verdana" w:hAnsi="Verdana" w:cs="Arial"/>
          <w:noProof/>
          <w:lang w:val="es-ES_tradnl"/>
        </w:rPr>
        <w:t xml:space="preserve">, </w:t>
      </w:r>
      <w:r w:rsidRPr="00D16A5E">
        <w:rPr>
          <w:rFonts w:ascii="Verdana" w:hAnsi="Verdana" w:cs="Arial"/>
          <w:noProof/>
          <w:lang w:val="es-ES_tradnl"/>
        </w:rPr>
        <w:t>los requisitos o documentos que no sean necesarios para la comparación de las ofertas pueden subsanarse y todo lo que no sea necesario para la comparación de propuestas no es título suficiente para su rechazo</w:t>
      </w:r>
      <w:r>
        <w:rPr>
          <w:rFonts w:ascii="Verdana" w:hAnsi="Verdana" w:cs="Arial"/>
          <w:noProof/>
          <w:lang w:val="es-ES_tradnl"/>
        </w:rPr>
        <w:t xml:space="preserve">. En sentido, si en un proceso de selección </w:t>
      </w:r>
      <w:r w:rsidRPr="003471F6">
        <w:rPr>
          <w:rFonts w:ascii="Verdana" w:hAnsi="Verdana" w:cs="Arial"/>
          <w:noProof/>
          <w:lang w:val="es-ES_tradnl"/>
        </w:rPr>
        <w:t>se presentó a un profesional para cumplir con un perfil</w:t>
      </w:r>
      <w:r>
        <w:rPr>
          <w:rFonts w:ascii="Verdana" w:hAnsi="Verdana" w:cs="Arial"/>
          <w:noProof/>
          <w:lang w:val="es-ES_tradnl"/>
        </w:rPr>
        <w:t xml:space="preserve"> </w:t>
      </w:r>
      <w:r w:rsidRPr="003471F6">
        <w:rPr>
          <w:rFonts w:ascii="Verdana" w:hAnsi="Verdana" w:cs="Arial"/>
          <w:noProof/>
          <w:lang w:val="es-ES_tradnl"/>
        </w:rPr>
        <w:t>solicitado como requisito habilitante</w:t>
      </w:r>
      <w:r>
        <w:rPr>
          <w:rFonts w:ascii="Verdana" w:hAnsi="Verdana" w:cs="Arial"/>
          <w:noProof/>
          <w:lang w:val="es-ES_tradnl"/>
        </w:rPr>
        <w:t xml:space="preserve">, pero la entidad encontró alguna inconsistencia, podría subsanarse el requisito habilitante. </w:t>
      </w:r>
    </w:p>
    <w:p w14:paraId="539FC7C8" w14:textId="77777777" w:rsidR="00E14447" w:rsidRPr="003716E2" w:rsidRDefault="00E14447" w:rsidP="00E14447">
      <w:pPr>
        <w:spacing w:after="120" w:line="276" w:lineRule="auto"/>
        <w:ind w:firstLine="709"/>
        <w:jc w:val="both"/>
        <w:rPr>
          <w:rFonts w:ascii="Verdana" w:hAnsi="Verdana" w:cs="Arial"/>
          <w:noProof/>
          <w:lang w:val="es-ES_tradnl"/>
        </w:rPr>
      </w:pPr>
      <w:r w:rsidRPr="003716E2">
        <w:rPr>
          <w:rFonts w:ascii="Verdana" w:hAnsi="Verdana" w:cs="Arial"/>
          <w:noProof/>
          <w:lang w:val="es-ES_tradnl"/>
        </w:rPr>
        <w:t>No obstante,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 por lo que dicha limitación a la regla de subsanabilidad también deberá ser tenida en cuenta.</w:t>
      </w:r>
    </w:p>
    <w:p w14:paraId="33C030E7" w14:textId="341F3D6C" w:rsidR="00E14447" w:rsidRPr="003716E2" w:rsidRDefault="00E14447" w:rsidP="00ED7574">
      <w:pPr>
        <w:spacing w:after="0" w:line="276" w:lineRule="auto"/>
        <w:ind w:firstLine="709"/>
        <w:jc w:val="both"/>
        <w:rPr>
          <w:rFonts w:ascii="Verdana" w:eastAsia="Times New Roman" w:hAnsi="Verdana" w:cs="Arial"/>
          <w:i/>
          <w:lang w:val="es-ES" w:eastAsia="es-ES"/>
        </w:rPr>
      </w:pPr>
      <w:r w:rsidRPr="003716E2">
        <w:rPr>
          <w:rFonts w:ascii="Verdana" w:hAnsi="Verdana" w:cs="Arial"/>
          <w:noProof/>
          <w:lang w:val="es-ES_tradnl"/>
        </w:rPr>
        <w:t>Finalmente, debe señalarse que, e</w:t>
      </w:r>
      <w:r w:rsidRPr="003716E2">
        <w:rPr>
          <w:rFonts w:ascii="Verdana" w:hAnsi="Verdana" w:cs="Arial"/>
        </w:rPr>
        <w:t xml:space="preserve">n </w:t>
      </w:r>
      <w:r>
        <w:rPr>
          <w:rFonts w:ascii="Verdana" w:hAnsi="Verdana" w:cs="Arial"/>
        </w:rPr>
        <w:t>un proceso de contratación, como por ejemplo los adelantados mediante la modalidad de selección d</w:t>
      </w:r>
      <w:r w:rsidRPr="003716E2">
        <w:rPr>
          <w:rFonts w:ascii="Verdana" w:hAnsi="Verdana" w:cs="Arial"/>
        </w:rPr>
        <w:t>el concurso de méritos</w:t>
      </w:r>
      <w:r>
        <w:rPr>
          <w:rFonts w:ascii="Verdana" w:hAnsi="Verdana" w:cs="Arial"/>
        </w:rPr>
        <w:t>,</w:t>
      </w:r>
      <w:r w:rsidRPr="003716E2">
        <w:rPr>
          <w:rFonts w:ascii="Verdana" w:hAnsi="Verdana" w:cs="Arial"/>
        </w:rPr>
        <w:t xml:space="preserve"> es posible que la Entidad en el pliego de condiciones haya establecido criterios de puntaje respecto de los mismos perfiles que se han exigido como habilitantes, en dicho caso será posible subsanar el requisito habilitante pero no podrá asignársele puntaje.</w:t>
      </w:r>
    </w:p>
    <w:p w14:paraId="59701983" w14:textId="6F20E150" w:rsidR="00E14447" w:rsidRPr="00ED7574" w:rsidRDefault="00E14447" w:rsidP="00ED7574">
      <w:pPr>
        <w:spacing w:after="0" w:line="276" w:lineRule="auto"/>
        <w:ind w:firstLine="709"/>
        <w:jc w:val="both"/>
        <w:rPr>
          <w:rFonts w:ascii="Verdana" w:eastAsia="Calibri" w:hAnsi="Verdana" w:cs="Times New Roman"/>
          <w:color w:val="000000"/>
          <w:lang w:val="es-ES"/>
        </w:rPr>
      </w:pPr>
    </w:p>
    <w:p w14:paraId="2D39C365" w14:textId="60C629C2" w:rsidR="00E464C4" w:rsidRPr="0075229A" w:rsidRDefault="00E14447" w:rsidP="00ED7574">
      <w:pPr>
        <w:spacing w:after="120" w:line="276" w:lineRule="auto"/>
        <w:jc w:val="both"/>
        <w:rPr>
          <w:rFonts w:ascii="Verdana" w:eastAsia="Arial" w:hAnsi="Verdana" w:cs="Arial"/>
          <w:lang w:eastAsia="es-ES" w:bidi="es-ES"/>
        </w:rPr>
      </w:pPr>
      <w:proofErr w:type="spellStart"/>
      <w:r>
        <w:rPr>
          <w:rFonts w:ascii="Verdana" w:eastAsia="Arial" w:hAnsi="Verdana" w:cs="Arial"/>
        </w:rPr>
        <w:t>ii</w:t>
      </w:r>
      <w:proofErr w:type="spellEnd"/>
      <w:r>
        <w:rPr>
          <w:rFonts w:ascii="Verdana" w:eastAsia="Arial" w:hAnsi="Verdana" w:cs="Arial"/>
        </w:rPr>
        <w:t xml:space="preserve">) </w:t>
      </w:r>
      <w:r w:rsidR="00E464C4">
        <w:rPr>
          <w:rFonts w:ascii="Verdana" w:eastAsia="Arial" w:hAnsi="Verdana" w:cs="Arial"/>
        </w:rPr>
        <w:t>Por otra parte, respecto de las adendas, se precisa que e</w:t>
      </w:r>
      <w:r w:rsidR="00E464C4" w:rsidRPr="00911A2F">
        <w:rPr>
          <w:rFonts w:ascii="Verdana" w:eastAsia="Arial" w:hAnsi="Verdana" w:cs="Arial"/>
          <w:lang w:eastAsia="es-ES" w:bidi="es-ES"/>
        </w:rPr>
        <w:t>l pliego de condiciones es la hoja de ruta o plan</w:t>
      </w:r>
      <w:r w:rsidR="00E464C4" w:rsidRPr="00911A2F">
        <w:rPr>
          <w:rFonts w:ascii="Verdana" w:eastAsia="Arial" w:hAnsi="Verdana" w:cs="Arial"/>
          <w:vertAlign w:val="superscript"/>
          <w:lang w:eastAsia="es-ES" w:bidi="es-ES"/>
        </w:rPr>
        <w:footnoteReference w:id="9"/>
      </w:r>
      <w:r w:rsidR="00E464C4" w:rsidRPr="00911A2F">
        <w:rPr>
          <w:rFonts w:ascii="Verdana" w:eastAsia="Arial" w:hAnsi="Verdana" w:cs="Arial"/>
          <w:lang w:eastAsia="es-ES" w:bidi="es-ES"/>
        </w:rPr>
        <w:t xml:space="preserve"> sobre el cual se diseña,</w:t>
      </w:r>
      <w:r w:rsidR="00E464C4" w:rsidRPr="0075229A">
        <w:rPr>
          <w:rFonts w:ascii="Verdana" w:eastAsia="Arial" w:hAnsi="Verdana" w:cs="Arial"/>
          <w:lang w:eastAsia="es-ES" w:bidi="es-ES"/>
        </w:rPr>
        <w:t xml:space="preserve"> estructura y concreta el procedimiento de selección de contratistas, y ha sido definido como </w:t>
      </w:r>
      <w:r w:rsidR="00E464C4" w:rsidRPr="0075229A">
        <w:rPr>
          <w:rFonts w:ascii="Verdana" w:eastAsia="Arial" w:hAnsi="Verdana" w:cs="Arial"/>
          <w:lang w:eastAsia="es-ES" w:bidi="es-ES"/>
        </w:rPr>
        <w:lastRenderedPageBreak/>
        <w:t>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00E464C4" w:rsidRPr="0075229A">
        <w:rPr>
          <w:rFonts w:ascii="Verdana" w:eastAsia="Arial" w:hAnsi="Verdana" w:cs="Arial"/>
          <w:vertAlign w:val="superscript"/>
          <w:lang w:eastAsia="es-ES" w:bidi="es-ES"/>
        </w:rPr>
        <w:footnoteReference w:id="10"/>
      </w:r>
      <w:r w:rsidR="00E464C4" w:rsidRPr="0075229A">
        <w:rPr>
          <w:rFonts w:ascii="Verdana" w:eastAsia="Arial" w:hAnsi="Verdana" w:cs="Arial"/>
          <w:lang w:eastAsia="es-ES" w:bidi="es-ES"/>
        </w:rPr>
        <w:t>.</w:t>
      </w:r>
    </w:p>
    <w:p w14:paraId="1C09CDEA" w14:textId="77777777" w:rsidR="00E464C4" w:rsidRPr="00357D17" w:rsidRDefault="00E464C4" w:rsidP="00ED7574">
      <w:pPr>
        <w:widowControl w:val="0"/>
        <w:autoSpaceDE w:val="0"/>
        <w:autoSpaceDN w:val="0"/>
        <w:spacing w:after="0" w:line="276" w:lineRule="auto"/>
        <w:ind w:firstLine="708"/>
        <w:jc w:val="both"/>
        <w:rPr>
          <w:rFonts w:ascii="Verdana" w:eastAsia="Arial" w:hAnsi="Verdana" w:cs="Arial"/>
          <w:lang w:eastAsia="es-ES" w:bidi="es-ES"/>
        </w:rPr>
      </w:pPr>
      <w:r w:rsidRPr="00357D17">
        <w:rPr>
          <w:rFonts w:ascii="Verdana" w:eastAsia="Arial" w:hAnsi="Verdana" w:cs="Arial"/>
          <w:lang w:eastAsia="es-ES" w:bidi="es-ES"/>
        </w:rPr>
        <w:t xml:space="preserve">El pliego es un instrumento en el cual se materializa el principio de transparencia, pues en él se prefijan las reglas de escogencia del contratista del Estado, para la selección objetiva de la mejor oferta, la adjudicación y la posterior celebración y ejecución del contrato, lo cual lo convierte en una reglamentación de todo el </w:t>
      </w:r>
      <w:proofErr w:type="spellStart"/>
      <w:r w:rsidRPr="00357D17">
        <w:rPr>
          <w:rFonts w:ascii="Verdana" w:eastAsia="Arial" w:hAnsi="Verdana" w:cs="Arial"/>
          <w:i/>
          <w:iCs/>
          <w:lang w:eastAsia="es-ES" w:bidi="es-ES"/>
        </w:rPr>
        <w:t>iter</w:t>
      </w:r>
      <w:proofErr w:type="spellEnd"/>
      <w:r w:rsidRPr="00357D17">
        <w:rPr>
          <w:rFonts w:ascii="Verdana" w:eastAsia="Arial" w:hAnsi="Verdana" w:cs="Arial"/>
          <w:i/>
          <w:iCs/>
          <w:lang w:eastAsia="es-ES" w:bidi="es-ES"/>
        </w:rPr>
        <w:t xml:space="preserve"> </w:t>
      </w:r>
      <w:r w:rsidRPr="00357D17">
        <w:rPr>
          <w:rFonts w:ascii="Verdana" w:eastAsia="Arial" w:hAnsi="Verdana" w:cs="Arial"/>
          <w:lang w:eastAsia="es-ES" w:bidi="es-ES"/>
        </w:rPr>
        <w:t>contractual. Su contenido</w:t>
      </w:r>
      <w:r w:rsidRPr="00357D17">
        <w:rPr>
          <w:rFonts w:ascii="Verdana" w:eastAsia="Arial" w:hAnsi="Verdana" w:cs="Arial"/>
          <w:vertAlign w:val="superscript"/>
          <w:lang w:eastAsia="es-ES" w:bidi="es-ES"/>
        </w:rPr>
        <w:footnoteReference w:id="11"/>
      </w:r>
      <w:r w:rsidRPr="00357D17">
        <w:rPr>
          <w:rFonts w:ascii="Verdana" w:eastAsia="Arial" w:hAnsi="Verdana" w:cs="Arial"/>
          <w:lang w:eastAsia="es-ES" w:bidi="es-ES"/>
        </w:rPr>
        <w:t xml:space="preserve"> está previsto en el numeral 5 del artículo 24 de la Ley 80 de 1993, que establece algunas directrices que deben tenerse en cuenta en su elaboración:</w:t>
      </w:r>
    </w:p>
    <w:p w14:paraId="3F2D43C7" w14:textId="77777777" w:rsidR="00E464C4" w:rsidRPr="00357D17" w:rsidRDefault="00E464C4" w:rsidP="00E464C4">
      <w:pPr>
        <w:widowControl w:val="0"/>
        <w:autoSpaceDE w:val="0"/>
        <w:autoSpaceDN w:val="0"/>
        <w:spacing w:after="0" w:line="240" w:lineRule="auto"/>
        <w:ind w:right="108" w:firstLine="708"/>
        <w:jc w:val="both"/>
        <w:rPr>
          <w:rFonts w:ascii="Verdana" w:eastAsia="Arial" w:hAnsi="Verdana" w:cs="Arial"/>
          <w:lang w:eastAsia="es-ES" w:bidi="es-ES"/>
        </w:rPr>
      </w:pPr>
    </w:p>
    <w:p w14:paraId="468E04DB" w14:textId="2021E45C" w:rsidR="00E464C4" w:rsidRPr="00357D17" w:rsidRDefault="00CF6752" w:rsidP="00ED7574">
      <w:pPr>
        <w:widowControl w:val="0"/>
        <w:autoSpaceDE w:val="0"/>
        <w:autoSpaceDN w:val="0"/>
        <w:spacing w:after="0" w:line="240" w:lineRule="auto"/>
        <w:ind w:left="709" w:right="709"/>
        <w:rPr>
          <w:rFonts w:ascii="Verdana" w:eastAsia="Arial" w:hAnsi="Verdana" w:cs="Arial"/>
          <w:sz w:val="20"/>
          <w:szCs w:val="20"/>
          <w:lang w:eastAsia="es-ES" w:bidi="es-ES"/>
        </w:rPr>
      </w:pPr>
      <w:r>
        <w:rPr>
          <w:rFonts w:ascii="Verdana" w:eastAsia="Arial" w:hAnsi="Verdana" w:cs="Arial"/>
          <w:sz w:val="20"/>
          <w:szCs w:val="20"/>
          <w:lang w:eastAsia="es-ES" w:bidi="es-ES"/>
        </w:rPr>
        <w:t>“</w:t>
      </w:r>
      <w:r w:rsidR="00E464C4" w:rsidRPr="00357D17">
        <w:rPr>
          <w:rFonts w:ascii="Verdana" w:eastAsia="Arial" w:hAnsi="Verdana" w:cs="Arial"/>
          <w:sz w:val="20"/>
          <w:szCs w:val="20"/>
          <w:lang w:eastAsia="es-ES" w:bidi="es-ES"/>
        </w:rPr>
        <w:t>5o. En los pliegos de condiciones:</w:t>
      </w:r>
    </w:p>
    <w:p w14:paraId="515D1E0C" w14:textId="77777777" w:rsidR="00E464C4" w:rsidRPr="00357D17" w:rsidRDefault="00E464C4" w:rsidP="00ED7574">
      <w:pPr>
        <w:widowControl w:val="0"/>
        <w:numPr>
          <w:ilvl w:val="2"/>
          <w:numId w:val="18"/>
        </w:numPr>
        <w:tabs>
          <w:tab w:val="left" w:pos="1126"/>
        </w:tabs>
        <w:autoSpaceDE w:val="0"/>
        <w:autoSpaceDN w:val="0"/>
        <w:spacing w:after="0" w:line="240" w:lineRule="auto"/>
        <w:ind w:left="709" w:right="709" w:firstLine="0"/>
        <w:jc w:val="both"/>
        <w:rPr>
          <w:rFonts w:ascii="Verdana" w:eastAsia="Calibri" w:hAnsi="Verdana" w:cs="Arial"/>
          <w:sz w:val="20"/>
          <w:szCs w:val="20"/>
        </w:rPr>
      </w:pPr>
      <w:r w:rsidRPr="00357D17">
        <w:rPr>
          <w:rFonts w:ascii="Verdana" w:eastAsia="Calibri" w:hAnsi="Verdana" w:cs="Arial"/>
          <w:sz w:val="20"/>
          <w:szCs w:val="20"/>
        </w:rPr>
        <w:t>Se indicarán los requisitos objetivos necesarios para participar en el correspondiente proceso de</w:t>
      </w:r>
      <w:r w:rsidRPr="00357D17">
        <w:rPr>
          <w:rFonts w:ascii="Verdana" w:eastAsia="Calibri" w:hAnsi="Verdana" w:cs="Arial"/>
          <w:spacing w:val="-2"/>
          <w:sz w:val="20"/>
          <w:szCs w:val="20"/>
        </w:rPr>
        <w:t xml:space="preserve"> </w:t>
      </w:r>
      <w:r w:rsidRPr="00357D17">
        <w:rPr>
          <w:rFonts w:ascii="Verdana" w:eastAsia="Calibri" w:hAnsi="Verdana" w:cs="Arial"/>
          <w:sz w:val="20"/>
          <w:szCs w:val="20"/>
        </w:rPr>
        <w:t>selección.</w:t>
      </w:r>
    </w:p>
    <w:p w14:paraId="7C56A00D" w14:textId="77777777" w:rsidR="00E464C4" w:rsidRPr="00357D17" w:rsidRDefault="00E464C4" w:rsidP="00ED7574">
      <w:pPr>
        <w:widowControl w:val="0"/>
        <w:numPr>
          <w:ilvl w:val="2"/>
          <w:numId w:val="18"/>
        </w:numPr>
        <w:tabs>
          <w:tab w:val="left" w:pos="1088"/>
        </w:tabs>
        <w:autoSpaceDE w:val="0"/>
        <w:autoSpaceDN w:val="0"/>
        <w:spacing w:after="0" w:line="240" w:lineRule="auto"/>
        <w:ind w:left="709" w:right="709" w:firstLine="0"/>
        <w:jc w:val="both"/>
        <w:rPr>
          <w:rFonts w:ascii="Verdana" w:eastAsia="Calibri" w:hAnsi="Verdana" w:cs="Arial"/>
          <w:sz w:val="20"/>
          <w:szCs w:val="20"/>
        </w:rPr>
      </w:pPr>
      <w:r w:rsidRPr="00357D17">
        <w:rPr>
          <w:rFonts w:ascii="Verdana" w:eastAsia="Calibri" w:hAnsi="Verdana" w:cs="Arial"/>
          <w:sz w:val="20"/>
          <w:szCs w:val="20"/>
        </w:rPr>
        <w:t>Se definirán reglas objetivas, justas, claras y completas que permitan la confección de ofrecimientos de la misma índole, aseguren una escogencia objetiva y eviten las declaratorias de desierta de la</w:t>
      </w:r>
      <w:r w:rsidRPr="00357D17">
        <w:rPr>
          <w:rFonts w:ascii="Verdana" w:eastAsia="Calibri" w:hAnsi="Verdana" w:cs="Arial"/>
          <w:spacing w:val="-16"/>
          <w:sz w:val="20"/>
          <w:szCs w:val="20"/>
        </w:rPr>
        <w:t xml:space="preserve"> </w:t>
      </w:r>
      <w:r w:rsidRPr="00357D17">
        <w:rPr>
          <w:rFonts w:ascii="Verdana" w:eastAsia="Calibri" w:hAnsi="Verdana" w:cs="Arial"/>
          <w:sz w:val="20"/>
          <w:szCs w:val="20"/>
        </w:rPr>
        <w:t>licitación.</w:t>
      </w:r>
    </w:p>
    <w:p w14:paraId="22470FEE" w14:textId="77777777" w:rsidR="00E464C4" w:rsidRPr="00357D17" w:rsidRDefault="00E464C4" w:rsidP="00ED7574">
      <w:pPr>
        <w:widowControl w:val="0"/>
        <w:numPr>
          <w:ilvl w:val="2"/>
          <w:numId w:val="18"/>
        </w:numPr>
        <w:tabs>
          <w:tab w:val="left" w:pos="1108"/>
        </w:tabs>
        <w:autoSpaceDE w:val="0"/>
        <w:autoSpaceDN w:val="0"/>
        <w:spacing w:after="0" w:line="240" w:lineRule="auto"/>
        <w:ind w:left="709" w:right="709" w:firstLine="0"/>
        <w:jc w:val="both"/>
        <w:rPr>
          <w:rFonts w:ascii="Verdana" w:eastAsia="Calibri" w:hAnsi="Verdana"/>
          <w:sz w:val="20"/>
          <w:szCs w:val="20"/>
        </w:rPr>
      </w:pPr>
      <w:r w:rsidRPr="00357D17">
        <w:rPr>
          <w:rFonts w:ascii="Verdana" w:eastAsia="Calibri" w:hAnsi="Verdana" w:cs="Arial"/>
          <w:sz w:val="20"/>
          <w:szCs w:val="20"/>
        </w:rPr>
        <w:t>Se definirán con precisión las condiciones de costo y calidad de los bienes, obras o servicios necesarios para la ejecución del objeto del</w:t>
      </w:r>
      <w:r w:rsidRPr="00357D17">
        <w:rPr>
          <w:rFonts w:ascii="Verdana" w:eastAsia="Calibri" w:hAnsi="Verdana" w:cs="Arial"/>
          <w:spacing w:val="-43"/>
          <w:sz w:val="20"/>
          <w:szCs w:val="20"/>
        </w:rPr>
        <w:t xml:space="preserve"> </w:t>
      </w:r>
      <w:r w:rsidRPr="00357D17">
        <w:rPr>
          <w:rFonts w:ascii="Verdana" w:eastAsia="Calibri" w:hAnsi="Verdana" w:cs="Arial"/>
          <w:sz w:val="20"/>
          <w:szCs w:val="20"/>
        </w:rPr>
        <w:t>contrato.</w:t>
      </w:r>
    </w:p>
    <w:p w14:paraId="1B3AE505" w14:textId="77777777" w:rsidR="00E464C4" w:rsidRPr="00B6447B" w:rsidRDefault="00E464C4" w:rsidP="00ED7574">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B6447B">
        <w:rPr>
          <w:rFonts w:ascii="Verdana" w:eastAsia="Arial" w:hAnsi="Verdana" w:cs="Arial"/>
          <w:sz w:val="20"/>
          <w:szCs w:val="20"/>
          <w:lang w:eastAsia="es-ES" w:bidi="es-ES"/>
        </w:rPr>
        <w:t>No se incluirán condiciones y exigencias de imposible cumplimiento, ni exenciones de la responsabilidad derivada de los datos, informes</w:t>
      </w:r>
      <w:r w:rsidRPr="00B6447B">
        <w:rPr>
          <w:rFonts w:ascii="Verdana" w:eastAsia="Arial" w:hAnsi="Verdana" w:cs="Arial"/>
          <w:spacing w:val="1"/>
          <w:sz w:val="20"/>
          <w:szCs w:val="20"/>
          <w:lang w:eastAsia="es-ES" w:bidi="es-ES"/>
        </w:rPr>
        <w:t xml:space="preserve"> </w:t>
      </w:r>
      <w:r w:rsidRPr="00B6447B">
        <w:rPr>
          <w:rFonts w:ascii="Verdana" w:eastAsia="Arial" w:hAnsi="Verdana" w:cs="Arial"/>
          <w:sz w:val="20"/>
          <w:szCs w:val="20"/>
          <w:lang w:eastAsia="es-ES" w:bidi="es-ES"/>
        </w:rPr>
        <w:t>y documentos que se suministren.</w:t>
      </w:r>
    </w:p>
    <w:p w14:paraId="3D70B633" w14:textId="77777777" w:rsidR="00E464C4" w:rsidRPr="00B6447B" w:rsidRDefault="00E464C4" w:rsidP="00ED7574">
      <w:pPr>
        <w:widowControl w:val="0"/>
        <w:numPr>
          <w:ilvl w:val="2"/>
          <w:numId w:val="18"/>
        </w:numPr>
        <w:tabs>
          <w:tab w:val="left" w:pos="1151"/>
        </w:tabs>
        <w:autoSpaceDE w:val="0"/>
        <w:autoSpaceDN w:val="0"/>
        <w:spacing w:after="0" w:line="240" w:lineRule="auto"/>
        <w:ind w:left="709" w:right="709" w:firstLine="0"/>
        <w:jc w:val="both"/>
        <w:rPr>
          <w:rFonts w:ascii="Verdana" w:eastAsia="Calibri" w:hAnsi="Verdana" w:cs="Arial"/>
          <w:sz w:val="20"/>
          <w:szCs w:val="20"/>
        </w:rPr>
      </w:pPr>
      <w:r w:rsidRPr="00B6447B">
        <w:rPr>
          <w:rFonts w:ascii="Verdana" w:eastAsia="Calibri" w:hAnsi="Verdana" w:cs="Arial"/>
          <w:sz w:val="20"/>
          <w:szCs w:val="20"/>
        </w:rPr>
        <w:t>Se definirán reglas que no induzcan a error a los proponentes y contratistas y que impidan la Formulación de ofrecimientos de extensión ilimitada o que dependan de la voluntad exclusiva de la</w:t>
      </w:r>
      <w:r w:rsidRPr="00B6447B">
        <w:rPr>
          <w:rFonts w:ascii="Verdana" w:eastAsia="Calibri" w:hAnsi="Verdana" w:cs="Arial"/>
          <w:spacing w:val="-20"/>
          <w:sz w:val="20"/>
          <w:szCs w:val="20"/>
        </w:rPr>
        <w:t xml:space="preserve"> </w:t>
      </w:r>
      <w:r w:rsidRPr="00B6447B">
        <w:rPr>
          <w:rFonts w:ascii="Verdana" w:eastAsia="Calibri" w:hAnsi="Verdana" w:cs="Arial"/>
          <w:sz w:val="20"/>
          <w:szCs w:val="20"/>
        </w:rPr>
        <w:t>entidad.</w:t>
      </w:r>
    </w:p>
    <w:p w14:paraId="280AA403" w14:textId="77777777" w:rsidR="00E464C4" w:rsidRPr="00B6447B" w:rsidRDefault="00E464C4" w:rsidP="00ED7574">
      <w:pPr>
        <w:widowControl w:val="0"/>
        <w:numPr>
          <w:ilvl w:val="2"/>
          <w:numId w:val="18"/>
        </w:numPr>
        <w:tabs>
          <w:tab w:val="left" w:pos="1016"/>
        </w:tabs>
        <w:autoSpaceDE w:val="0"/>
        <w:autoSpaceDN w:val="0"/>
        <w:spacing w:after="0" w:line="240" w:lineRule="auto"/>
        <w:ind w:left="709" w:right="709" w:firstLine="0"/>
        <w:jc w:val="both"/>
        <w:rPr>
          <w:rFonts w:ascii="Verdana" w:eastAsia="Calibri" w:hAnsi="Verdana" w:cs="Arial"/>
          <w:sz w:val="20"/>
          <w:szCs w:val="20"/>
        </w:rPr>
      </w:pPr>
      <w:r>
        <w:rPr>
          <w:rFonts w:ascii="Verdana" w:eastAsia="Calibri" w:hAnsi="Verdana" w:cs="Arial"/>
          <w:sz w:val="20"/>
          <w:szCs w:val="20"/>
        </w:rPr>
        <w:t xml:space="preserve"> </w:t>
      </w:r>
      <w:r w:rsidRPr="00B6447B">
        <w:rPr>
          <w:rFonts w:ascii="Verdana" w:eastAsia="Calibri" w:hAnsi="Verdana" w:cs="Arial"/>
          <w:sz w:val="20"/>
          <w:szCs w:val="20"/>
        </w:rPr>
        <w:t>Se definirá el plazo para la liquidación del contrato, cuando a ello hubiere lugar, teniendo en cuenta su objeto, naturaleza y</w:t>
      </w:r>
      <w:r w:rsidRPr="00B6447B">
        <w:rPr>
          <w:rFonts w:ascii="Verdana" w:eastAsia="Calibri" w:hAnsi="Verdana" w:cs="Arial"/>
          <w:spacing w:val="-13"/>
          <w:sz w:val="20"/>
          <w:szCs w:val="20"/>
        </w:rPr>
        <w:t xml:space="preserve"> </w:t>
      </w:r>
      <w:r w:rsidRPr="00B6447B">
        <w:rPr>
          <w:rFonts w:ascii="Verdana" w:eastAsia="Calibri" w:hAnsi="Verdana" w:cs="Arial"/>
          <w:sz w:val="20"/>
          <w:szCs w:val="20"/>
        </w:rPr>
        <w:t>cuantía.</w:t>
      </w:r>
    </w:p>
    <w:p w14:paraId="3B42C6A1" w14:textId="7B189291" w:rsidR="00E464C4" w:rsidRPr="00B6447B" w:rsidRDefault="00E464C4" w:rsidP="00ED7574">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B6447B">
        <w:rPr>
          <w:rFonts w:ascii="Verdana" w:eastAsia="Arial" w:hAnsi="Verdana" w:cs="Arial"/>
          <w:sz w:val="20"/>
          <w:szCs w:val="20"/>
          <w:lang w:eastAsia="es-ES" w:bidi="es-ES"/>
        </w:rPr>
        <w:t>Serán ineficaces de pleno derecho las estipulaciones de los pliegos y de los contratos que contravengan lo dispuesto en este numeral, o dispongan renuncias a reclamaciones por la ocurrencia de los hechos aquí enunciados</w:t>
      </w:r>
      <w:r w:rsidR="00CF6752">
        <w:rPr>
          <w:rFonts w:ascii="Verdana" w:eastAsia="Arial" w:hAnsi="Verdana" w:cs="Arial"/>
          <w:sz w:val="20"/>
          <w:szCs w:val="20"/>
          <w:lang w:eastAsia="es-ES" w:bidi="es-ES"/>
        </w:rPr>
        <w:t>”</w:t>
      </w:r>
      <w:r w:rsidRPr="00B6447B">
        <w:rPr>
          <w:rFonts w:ascii="Verdana" w:eastAsia="Arial" w:hAnsi="Verdana" w:cs="Arial"/>
          <w:sz w:val="20"/>
          <w:szCs w:val="20"/>
          <w:lang w:eastAsia="es-ES" w:bidi="es-ES"/>
        </w:rPr>
        <w:t>.</w:t>
      </w:r>
    </w:p>
    <w:p w14:paraId="0BCAE988" w14:textId="77777777" w:rsidR="00E464C4" w:rsidRPr="001D10B9" w:rsidRDefault="00E464C4" w:rsidP="00E464C4">
      <w:pPr>
        <w:widowControl w:val="0"/>
        <w:autoSpaceDE w:val="0"/>
        <w:autoSpaceDN w:val="0"/>
        <w:spacing w:after="0"/>
        <w:ind w:left="800" w:right="789"/>
        <w:jc w:val="both"/>
        <w:rPr>
          <w:rFonts w:ascii="Verdana" w:eastAsia="Arial" w:hAnsi="Verdana" w:cs="Arial"/>
          <w:color w:val="7030A0"/>
          <w:sz w:val="21"/>
          <w:szCs w:val="21"/>
          <w:lang w:eastAsia="es-ES" w:bidi="es-ES"/>
        </w:rPr>
      </w:pPr>
    </w:p>
    <w:p w14:paraId="026DAE1F" w14:textId="77777777" w:rsidR="00E464C4" w:rsidRPr="00DA48C0" w:rsidRDefault="00E464C4" w:rsidP="00E464C4">
      <w:pPr>
        <w:widowControl w:val="0"/>
        <w:autoSpaceDE w:val="0"/>
        <w:autoSpaceDN w:val="0"/>
        <w:spacing w:after="120" w:line="276" w:lineRule="auto"/>
        <w:ind w:left="120" w:right="103" w:firstLine="600"/>
        <w:jc w:val="both"/>
        <w:rPr>
          <w:rFonts w:ascii="Verdana" w:eastAsia="Arial" w:hAnsi="Verdana" w:cs="Arial"/>
          <w:lang w:eastAsia="es-ES" w:bidi="es-ES"/>
        </w:rPr>
      </w:pPr>
      <w:r w:rsidRPr="00DA48C0">
        <w:rPr>
          <w:rFonts w:ascii="Verdana" w:eastAsia="Arial" w:hAnsi="Verdana" w:cs="Arial"/>
          <w:lang w:eastAsia="es-ES" w:bidi="es-ES"/>
        </w:rPr>
        <w:t xml:space="preserve">De conformidad con lo anterior, la Administración tiene la facultad de configurar las reglas y exigencias de los pliegos de condiciones de manera </w:t>
      </w:r>
      <w:r w:rsidRPr="00DA48C0">
        <w:rPr>
          <w:rFonts w:ascii="Verdana" w:eastAsia="Arial" w:hAnsi="Verdana" w:cs="Arial"/>
          <w:lang w:eastAsia="es-ES" w:bidi="es-ES"/>
        </w:rPr>
        <w:lastRenderedPageBreak/>
        <w:t>libre, dentro de los parámetros y límites establecidos por el ordenamiento jurídico</w:t>
      </w:r>
      <w:r w:rsidRPr="00DA48C0">
        <w:rPr>
          <w:rStyle w:val="Refdenotaalpie"/>
          <w:rFonts w:ascii="Verdana" w:eastAsia="Arial" w:hAnsi="Verdana" w:cs="Arial"/>
          <w:lang w:eastAsia="es-ES" w:bidi="es-ES"/>
        </w:rPr>
        <w:footnoteReference w:id="12"/>
      </w:r>
      <w:r w:rsidRPr="00DA48C0">
        <w:rPr>
          <w:rFonts w:ascii="Verdana" w:eastAsia="Arial" w:hAnsi="Verdana" w:cs="Arial"/>
          <w:lang w:eastAsia="es-ES" w:bidi="es-ES"/>
        </w:rPr>
        <w:t>, con fundamento en los estudios realizados en la fase de planeación. Además, tiene la carga de elaborarlos de manera idónea, objetiva, clara, precisa y completa, tal como se deduce de la disposición recién citada.</w:t>
      </w:r>
    </w:p>
    <w:p w14:paraId="44BD9914" w14:textId="77777777" w:rsidR="00E464C4" w:rsidRPr="00DA48C0" w:rsidRDefault="00E464C4" w:rsidP="00E464C4">
      <w:pPr>
        <w:widowControl w:val="0"/>
        <w:autoSpaceDE w:val="0"/>
        <w:autoSpaceDN w:val="0"/>
        <w:spacing w:after="120" w:line="276" w:lineRule="auto"/>
        <w:ind w:left="120" w:right="103" w:firstLine="600"/>
        <w:jc w:val="both"/>
        <w:rPr>
          <w:rFonts w:ascii="Verdana" w:eastAsia="Arial" w:hAnsi="Verdana" w:cs="Arial"/>
          <w:lang w:eastAsia="es-ES" w:bidi="es-ES"/>
        </w:rPr>
      </w:pPr>
      <w:r w:rsidRPr="00DA48C0">
        <w:rPr>
          <w:rFonts w:ascii="Verdana" w:eastAsia="Arial" w:hAnsi="Verdana" w:cs="Arial"/>
          <w:lang w:eastAsia="es-ES" w:bidi="es-ES"/>
        </w:rPr>
        <w:t>Sin perjuicio de lo anterior, puede ocurrir que surja la necesidad de efectuar correcciones, aclaraciones o modificaciones, bien sea porque las mismas tienen origen en necesidades identificadas por la entidad contratante o como consecuencia de observaciones realizadas por los interesados en el</w:t>
      </w:r>
      <w:r w:rsidRPr="00DA48C0">
        <w:rPr>
          <w:rFonts w:ascii="Verdana" w:eastAsia="Arial" w:hAnsi="Verdana" w:cs="Arial"/>
          <w:spacing w:val="-6"/>
          <w:lang w:eastAsia="es-ES" w:bidi="es-ES"/>
        </w:rPr>
        <w:t xml:space="preserve"> </w:t>
      </w:r>
      <w:r w:rsidRPr="00DA48C0">
        <w:rPr>
          <w:rFonts w:ascii="Verdana" w:eastAsia="Arial" w:hAnsi="Verdana" w:cs="Arial"/>
          <w:lang w:eastAsia="es-ES" w:bidi="es-ES"/>
        </w:rPr>
        <w:t>proceso, de manera que, pese a la planeación previa y el cumplimiento de las disposiciones aplicables, es posible que sea necesario modificar el pliego de condiciones, como se explicará.</w:t>
      </w:r>
    </w:p>
    <w:p w14:paraId="38A6687D" w14:textId="77777777" w:rsidR="00E464C4" w:rsidRPr="008562FE" w:rsidRDefault="00E464C4" w:rsidP="00E464C4">
      <w:pPr>
        <w:widowControl w:val="0"/>
        <w:autoSpaceDE w:val="0"/>
        <w:autoSpaceDN w:val="0"/>
        <w:spacing w:after="120" w:line="276" w:lineRule="auto"/>
        <w:ind w:right="108" w:firstLine="709"/>
        <w:jc w:val="both"/>
        <w:rPr>
          <w:rFonts w:ascii="Verdana" w:eastAsia="Arial" w:hAnsi="Verdana" w:cs="Arial"/>
          <w:i/>
          <w:lang w:eastAsia="es-ES" w:bidi="es-ES"/>
        </w:rPr>
      </w:pPr>
      <w:r w:rsidRPr="009C3968">
        <w:rPr>
          <w:rFonts w:ascii="Verdana" w:eastAsia="Arial" w:hAnsi="Verdana" w:cs="Arial"/>
          <w:lang w:eastAsia="es-ES" w:bidi="es-ES"/>
        </w:rPr>
        <w:t xml:space="preserve">De esta forma,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mediante </w:t>
      </w:r>
      <w:r w:rsidRPr="008562FE">
        <w:rPr>
          <w:rFonts w:ascii="Verdana" w:eastAsia="Arial" w:hAnsi="Verdana" w:cs="Arial"/>
          <w:i/>
          <w:iCs/>
          <w:lang w:eastAsia="es-ES" w:bidi="es-ES"/>
        </w:rPr>
        <w:t>adendas</w:t>
      </w:r>
      <w:r w:rsidRPr="008562FE">
        <w:rPr>
          <w:rFonts w:ascii="Verdana" w:eastAsia="Arial" w:hAnsi="Verdana" w:cs="Arial"/>
          <w:i/>
          <w:lang w:eastAsia="es-ES" w:bidi="es-ES"/>
        </w:rPr>
        <w:t xml:space="preserve">. </w:t>
      </w:r>
    </w:p>
    <w:p w14:paraId="6303542E" w14:textId="77777777" w:rsidR="00E464C4" w:rsidRPr="008562FE" w:rsidRDefault="00E464C4" w:rsidP="00E464C4">
      <w:pPr>
        <w:widowControl w:val="0"/>
        <w:autoSpaceDE w:val="0"/>
        <w:autoSpaceDN w:val="0"/>
        <w:spacing w:after="120" w:line="276" w:lineRule="auto"/>
        <w:ind w:right="107" w:firstLine="708"/>
        <w:jc w:val="both"/>
        <w:rPr>
          <w:rFonts w:ascii="Verdana" w:eastAsia="Arial" w:hAnsi="Verdana" w:cs="Arial"/>
          <w:lang w:eastAsia="es-ES" w:bidi="es-ES"/>
        </w:rPr>
      </w:pPr>
      <w:r w:rsidRPr="008562FE">
        <w:rPr>
          <w:rFonts w:ascii="Verdana" w:eastAsia="Arial" w:hAnsi="Verdana" w:cs="Arial"/>
          <w:iCs/>
          <w:lang w:eastAsia="es-ES" w:bidi="es-ES"/>
        </w:rPr>
        <w:t>No obstante,</w:t>
      </w:r>
      <w:r w:rsidRPr="008562FE">
        <w:rPr>
          <w:rFonts w:ascii="Verdana" w:eastAsia="Arial" w:hAnsi="Verdana" w:cs="Arial"/>
          <w:i/>
          <w:lang w:eastAsia="es-ES" w:bidi="es-ES"/>
        </w:rPr>
        <w:t xml:space="preserve"> </w:t>
      </w:r>
      <w:r w:rsidRPr="008562FE">
        <w:rPr>
          <w:rFonts w:ascii="Verdana" w:eastAsia="Arial" w:hAnsi="Verdana" w:cs="Arial"/>
          <w:lang w:eastAsia="es-ES" w:bidi="es-ES"/>
        </w:rPr>
        <w:t>como lo ha reconocido la jurisprudencia del Consejo de Estado, dichas modificaciones pueden realizarse por medio de cualquier otro documento que contenga</w:t>
      </w:r>
      <w:r w:rsidRPr="008562FE">
        <w:rPr>
          <w:rFonts w:ascii="Verdana" w:eastAsia="Arial" w:hAnsi="Verdana" w:cs="Arial"/>
          <w:spacing w:val="26"/>
          <w:lang w:eastAsia="es-ES" w:bidi="es-ES"/>
        </w:rPr>
        <w:t xml:space="preserve"> </w:t>
      </w:r>
      <w:r w:rsidRPr="008562FE">
        <w:rPr>
          <w:rFonts w:ascii="Verdana" w:eastAsia="Arial" w:hAnsi="Verdana" w:cs="Arial"/>
          <w:lang w:eastAsia="es-ES" w:bidi="es-ES"/>
        </w:rPr>
        <w:t>la</w:t>
      </w:r>
      <w:r w:rsidRPr="008562FE">
        <w:rPr>
          <w:rFonts w:ascii="Verdana" w:eastAsia="Arial" w:hAnsi="Verdana" w:cs="Arial"/>
          <w:spacing w:val="27"/>
          <w:lang w:eastAsia="es-ES" w:bidi="es-ES"/>
        </w:rPr>
        <w:t xml:space="preserve"> </w:t>
      </w:r>
      <w:r w:rsidRPr="008562FE">
        <w:rPr>
          <w:rFonts w:ascii="Verdana" w:eastAsia="Arial" w:hAnsi="Verdana" w:cs="Arial"/>
          <w:lang w:eastAsia="es-ES" w:bidi="es-ES"/>
        </w:rPr>
        <w:t>manifestación</w:t>
      </w:r>
      <w:r w:rsidRPr="008562FE">
        <w:rPr>
          <w:rFonts w:ascii="Verdana" w:eastAsia="Arial" w:hAnsi="Verdana" w:cs="Arial"/>
          <w:spacing w:val="26"/>
          <w:lang w:eastAsia="es-ES" w:bidi="es-ES"/>
        </w:rPr>
        <w:t xml:space="preserve"> </w:t>
      </w:r>
      <w:r w:rsidRPr="008562FE">
        <w:rPr>
          <w:rFonts w:ascii="Verdana" w:eastAsia="Arial" w:hAnsi="Verdana" w:cs="Arial"/>
          <w:lang w:eastAsia="es-ES" w:bidi="es-ES"/>
        </w:rPr>
        <w:t>de</w:t>
      </w:r>
      <w:r w:rsidRPr="008562FE">
        <w:rPr>
          <w:rFonts w:ascii="Verdana" w:eastAsia="Arial" w:hAnsi="Verdana" w:cs="Arial"/>
          <w:spacing w:val="27"/>
          <w:lang w:eastAsia="es-ES" w:bidi="es-ES"/>
        </w:rPr>
        <w:t xml:space="preserve"> </w:t>
      </w:r>
      <w:r w:rsidRPr="008562FE">
        <w:rPr>
          <w:rFonts w:ascii="Verdana" w:eastAsia="Arial" w:hAnsi="Verdana" w:cs="Arial"/>
          <w:lang w:eastAsia="es-ES" w:bidi="es-ES"/>
        </w:rPr>
        <w:t>voluntad</w:t>
      </w:r>
      <w:r w:rsidRPr="008562FE">
        <w:rPr>
          <w:rFonts w:ascii="Verdana" w:eastAsia="Arial" w:hAnsi="Verdana" w:cs="Arial"/>
          <w:spacing w:val="27"/>
          <w:lang w:eastAsia="es-ES" w:bidi="es-ES"/>
        </w:rPr>
        <w:t xml:space="preserve"> </w:t>
      </w:r>
      <w:r w:rsidRPr="008562FE">
        <w:rPr>
          <w:rFonts w:ascii="Verdana" w:eastAsia="Arial" w:hAnsi="Verdana" w:cs="Arial"/>
          <w:lang w:eastAsia="es-ES" w:bidi="es-ES"/>
        </w:rPr>
        <w:t>de</w:t>
      </w:r>
      <w:r w:rsidRPr="008562FE">
        <w:rPr>
          <w:rFonts w:ascii="Verdana" w:eastAsia="Arial" w:hAnsi="Verdana" w:cs="Arial"/>
          <w:spacing w:val="26"/>
          <w:lang w:eastAsia="es-ES" w:bidi="es-ES"/>
        </w:rPr>
        <w:t xml:space="preserve"> </w:t>
      </w:r>
      <w:r w:rsidRPr="008562FE">
        <w:rPr>
          <w:rFonts w:ascii="Verdana" w:eastAsia="Arial" w:hAnsi="Verdana" w:cs="Arial"/>
          <w:lang w:eastAsia="es-ES" w:bidi="es-ES"/>
        </w:rPr>
        <w:t>la</w:t>
      </w:r>
      <w:r w:rsidRPr="008562FE">
        <w:rPr>
          <w:rFonts w:ascii="Verdana" w:eastAsia="Arial" w:hAnsi="Verdana" w:cs="Arial"/>
          <w:spacing w:val="27"/>
          <w:lang w:eastAsia="es-ES" w:bidi="es-ES"/>
        </w:rPr>
        <w:t xml:space="preserve"> </w:t>
      </w:r>
      <w:r w:rsidRPr="008562FE">
        <w:rPr>
          <w:rFonts w:ascii="Verdana" w:eastAsia="Arial" w:hAnsi="Verdana" w:cs="Arial"/>
          <w:lang w:eastAsia="es-ES" w:bidi="es-ES"/>
        </w:rPr>
        <w:t>entidad</w:t>
      </w:r>
      <w:r w:rsidRPr="008562FE">
        <w:rPr>
          <w:rFonts w:ascii="Verdana" w:eastAsia="Arial" w:hAnsi="Verdana" w:cs="Arial"/>
          <w:spacing w:val="27"/>
          <w:lang w:eastAsia="es-ES" w:bidi="es-ES"/>
        </w:rPr>
        <w:t xml:space="preserve"> </w:t>
      </w:r>
      <w:r w:rsidRPr="008562FE">
        <w:rPr>
          <w:rFonts w:ascii="Verdana" w:eastAsia="Arial" w:hAnsi="Verdana" w:cs="Arial"/>
          <w:lang w:eastAsia="es-ES" w:bidi="es-ES"/>
        </w:rPr>
        <w:t>de</w:t>
      </w:r>
      <w:r w:rsidRPr="008562FE">
        <w:rPr>
          <w:rFonts w:ascii="Verdana" w:eastAsia="Arial" w:hAnsi="Verdana" w:cs="Arial"/>
          <w:spacing w:val="26"/>
          <w:lang w:eastAsia="es-ES" w:bidi="es-ES"/>
        </w:rPr>
        <w:t xml:space="preserve"> </w:t>
      </w:r>
      <w:r w:rsidRPr="008562FE">
        <w:rPr>
          <w:rFonts w:ascii="Verdana" w:eastAsia="Arial" w:hAnsi="Verdana" w:cs="Arial"/>
          <w:lang w:eastAsia="es-ES" w:bidi="es-ES"/>
        </w:rPr>
        <w:t>aclarar,</w:t>
      </w:r>
      <w:r w:rsidRPr="008562FE">
        <w:rPr>
          <w:rFonts w:ascii="Verdana" w:eastAsia="Arial" w:hAnsi="Verdana" w:cs="Arial"/>
          <w:spacing w:val="25"/>
          <w:lang w:eastAsia="es-ES" w:bidi="es-ES"/>
        </w:rPr>
        <w:t xml:space="preserve"> </w:t>
      </w:r>
      <w:r w:rsidRPr="008562FE">
        <w:rPr>
          <w:rFonts w:ascii="Verdana" w:eastAsia="Arial" w:hAnsi="Verdana" w:cs="Arial"/>
          <w:lang w:eastAsia="es-ES" w:bidi="es-ES"/>
        </w:rPr>
        <w:t>añadir,</w:t>
      </w:r>
      <w:r w:rsidRPr="008562FE">
        <w:rPr>
          <w:rFonts w:ascii="Verdana" w:eastAsia="Arial" w:hAnsi="Verdana" w:cs="Arial"/>
          <w:spacing w:val="25"/>
          <w:lang w:eastAsia="es-ES" w:bidi="es-ES"/>
        </w:rPr>
        <w:t xml:space="preserve"> </w:t>
      </w:r>
      <w:r w:rsidRPr="008562FE">
        <w:rPr>
          <w:rFonts w:ascii="Verdana" w:eastAsia="Arial" w:hAnsi="Verdana" w:cs="Arial"/>
          <w:lang w:eastAsia="es-ES" w:bidi="es-ES"/>
        </w:rPr>
        <w:t xml:space="preserve">adicionar, reemplazar o cambiar un aspecto o condición, incluida en los documentos del procedimiento de contratación, independientemente que a dicho documento se le titule como </w:t>
      </w:r>
      <w:r w:rsidRPr="008562FE">
        <w:rPr>
          <w:rFonts w:ascii="Verdana" w:eastAsia="Arial" w:hAnsi="Verdana" w:cs="Arial"/>
          <w:i/>
          <w:iCs/>
          <w:lang w:eastAsia="es-ES" w:bidi="es-ES"/>
        </w:rPr>
        <w:t xml:space="preserve">adenda, </w:t>
      </w:r>
      <w:r w:rsidRPr="008562FE">
        <w:rPr>
          <w:rFonts w:ascii="Verdana" w:eastAsia="Arial" w:hAnsi="Verdana" w:cs="Arial"/>
          <w:lang w:eastAsia="es-ES" w:bidi="es-ES"/>
        </w:rPr>
        <w:t>siempre que mediante dicho documento se modifiquen los pliegos de condiciones</w:t>
      </w:r>
      <w:r w:rsidRPr="008562FE">
        <w:rPr>
          <w:rFonts w:ascii="Verdana" w:eastAsia="Arial" w:hAnsi="Verdana" w:cs="Arial"/>
          <w:vertAlign w:val="superscript"/>
          <w:lang w:eastAsia="es-ES" w:bidi="es-ES"/>
        </w:rPr>
        <w:footnoteReference w:id="13"/>
      </w:r>
      <w:r w:rsidRPr="008562FE">
        <w:rPr>
          <w:rFonts w:ascii="Verdana" w:eastAsia="Arial" w:hAnsi="Verdana" w:cs="Arial"/>
          <w:lang w:eastAsia="es-ES" w:bidi="es-ES"/>
        </w:rPr>
        <w:t>.</w:t>
      </w:r>
    </w:p>
    <w:p w14:paraId="11C16193" w14:textId="77777777" w:rsidR="00E464C4" w:rsidRPr="001924AE" w:rsidRDefault="00E464C4" w:rsidP="00E464C4">
      <w:pPr>
        <w:widowControl w:val="0"/>
        <w:autoSpaceDE w:val="0"/>
        <w:autoSpaceDN w:val="0"/>
        <w:spacing w:before="1" w:after="0" w:line="276" w:lineRule="auto"/>
        <w:ind w:right="107" w:firstLine="708"/>
        <w:jc w:val="both"/>
        <w:rPr>
          <w:rFonts w:ascii="Verdana" w:eastAsia="Arial" w:hAnsi="Verdana" w:cs="Arial"/>
          <w:lang w:eastAsia="es-ES" w:bidi="es-ES"/>
        </w:rPr>
      </w:pPr>
      <w:r w:rsidRPr="001924AE">
        <w:rPr>
          <w:rFonts w:ascii="Verdana" w:eastAsia="Arial" w:hAnsi="Verdana" w:cs="Arial"/>
          <w:lang w:eastAsia="es-ES" w:bidi="es-ES"/>
        </w:rPr>
        <w:lastRenderedPageBreak/>
        <w:t>De acuerdo con lo anterior, en relación con las adendas resulta necesario acudir al artículo 30, numeral 5, de la Ley 80 de 1993 –modificado por el artículo 89 de la Ley 1474 de 2011–, que dispone:</w:t>
      </w:r>
    </w:p>
    <w:p w14:paraId="42C8F75B" w14:textId="77777777" w:rsidR="00E464C4" w:rsidRPr="001A2537" w:rsidRDefault="00E464C4" w:rsidP="00E464C4">
      <w:pPr>
        <w:widowControl w:val="0"/>
        <w:autoSpaceDE w:val="0"/>
        <w:autoSpaceDN w:val="0"/>
        <w:spacing w:before="1" w:after="0" w:line="276" w:lineRule="auto"/>
        <w:ind w:right="107" w:firstLine="708"/>
        <w:jc w:val="both"/>
        <w:rPr>
          <w:rFonts w:ascii="Verdana" w:eastAsia="Arial" w:hAnsi="Verdana" w:cs="Arial"/>
          <w:color w:val="7030A0"/>
          <w:lang w:eastAsia="es-ES" w:bidi="es-ES"/>
        </w:rPr>
      </w:pPr>
    </w:p>
    <w:p w14:paraId="32C62551" w14:textId="3C6A55D3" w:rsidR="00E464C4" w:rsidRPr="00296890" w:rsidRDefault="00CF6752" w:rsidP="00CF6752">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CF6752">
        <w:rPr>
          <w:rFonts w:ascii="Verdana" w:eastAsia="Arial" w:hAnsi="Verdana" w:cs="Arial"/>
          <w:sz w:val="20"/>
          <w:szCs w:val="20"/>
          <w:lang w:eastAsia="es-ES" w:bidi="es-ES"/>
        </w:rPr>
        <w:t>“</w:t>
      </w:r>
      <w:r w:rsidR="00E464C4" w:rsidRPr="00296890">
        <w:rPr>
          <w:rFonts w:ascii="Verdana" w:eastAsia="Arial" w:hAnsi="Verdana" w:cs="Arial"/>
          <w:sz w:val="20"/>
          <w:szCs w:val="20"/>
          <w:lang w:eastAsia="es-ES" w:bidi="es-ES"/>
        </w:rPr>
        <w:t>El plazo de la licitación entendido como el término que debe transcurrir entre la fecha a partir de la cual se pueden presentar propuestas y la de su cierre, se señalará en los pliegos de condiciones de acuerdo con la naturaleza, objeto y cuantía del contrato.</w:t>
      </w:r>
    </w:p>
    <w:p w14:paraId="566B62B5" w14:textId="77777777" w:rsidR="00CF6752" w:rsidRPr="00CF6752" w:rsidRDefault="00CF6752" w:rsidP="00ED7574">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7692644C" w14:textId="2CFE8CBF" w:rsidR="00E464C4" w:rsidRPr="00ED7574" w:rsidRDefault="00E464C4" w:rsidP="00ED7574">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296890">
        <w:rPr>
          <w:rFonts w:ascii="Verdana" w:eastAsia="Arial" w:hAnsi="Verdana" w:cs="Arial"/>
          <w:sz w:val="20"/>
          <w:szCs w:val="20"/>
          <w:lang w:eastAsia="es-ES" w:bidi="es-ES"/>
        </w:rPr>
        <w:t xml:space="preserve">Cuando lo estime conveniente la entidad interesada, de oficio o a solicitud </w:t>
      </w:r>
      <w:r w:rsidRPr="0001154C">
        <w:rPr>
          <w:rFonts w:ascii="Verdana" w:eastAsia="Arial" w:hAnsi="Verdana" w:cs="Arial"/>
          <w:sz w:val="20"/>
          <w:szCs w:val="20"/>
          <w:lang w:eastAsia="es-ES" w:bidi="es-ES"/>
        </w:rPr>
        <w:t xml:space="preserve">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w:t>
      </w:r>
      <w:proofErr w:type="gramStart"/>
      <w:r w:rsidRPr="0001154C">
        <w:rPr>
          <w:rFonts w:ascii="Verdana" w:eastAsia="Arial" w:hAnsi="Verdana" w:cs="Arial"/>
          <w:sz w:val="20"/>
          <w:szCs w:val="20"/>
          <w:lang w:eastAsia="es-ES" w:bidi="es-ES"/>
        </w:rPr>
        <w:t>del mismo</w:t>
      </w:r>
      <w:proofErr w:type="gramEnd"/>
      <w:r w:rsidRPr="0001154C">
        <w:rPr>
          <w:rFonts w:ascii="Verdana" w:eastAsia="Arial" w:hAnsi="Verdana" w:cs="Arial"/>
          <w:sz w:val="20"/>
          <w:szCs w:val="20"/>
          <w:lang w:eastAsia="es-ES" w:bidi="es-ES"/>
        </w:rPr>
        <w:t>. La publicación de estas adendas sólo se podrá realizar en días hábiles y horarios laborales</w:t>
      </w:r>
      <w:r w:rsidR="00CF6752" w:rsidRPr="00CF6752">
        <w:rPr>
          <w:rFonts w:ascii="Verdana" w:eastAsia="Arial" w:hAnsi="Verdana" w:cs="Arial"/>
          <w:sz w:val="20"/>
          <w:szCs w:val="20"/>
          <w:lang w:eastAsia="es-ES" w:bidi="es-ES"/>
        </w:rPr>
        <w:t>”</w:t>
      </w:r>
      <w:r w:rsidRPr="00ED7574">
        <w:rPr>
          <w:rFonts w:ascii="Verdana" w:eastAsia="Arial" w:hAnsi="Verdana" w:cs="Arial"/>
          <w:sz w:val="20"/>
          <w:szCs w:val="20"/>
          <w:lang w:eastAsia="es-ES" w:bidi="es-ES"/>
        </w:rPr>
        <w:t>.</w:t>
      </w:r>
    </w:p>
    <w:p w14:paraId="691EA993" w14:textId="77777777" w:rsidR="00E464C4" w:rsidRPr="0001154C" w:rsidRDefault="00E464C4" w:rsidP="00ED7574">
      <w:pPr>
        <w:widowControl w:val="0"/>
        <w:autoSpaceDE w:val="0"/>
        <w:autoSpaceDN w:val="0"/>
        <w:spacing w:after="0" w:line="276" w:lineRule="auto"/>
        <w:ind w:left="709" w:right="646"/>
        <w:jc w:val="both"/>
        <w:rPr>
          <w:rFonts w:ascii="Verdana" w:eastAsia="Arial" w:hAnsi="Verdana" w:cs="Arial"/>
          <w:lang w:eastAsia="es-ES" w:bidi="es-ES"/>
        </w:rPr>
      </w:pPr>
    </w:p>
    <w:p w14:paraId="585C50E1" w14:textId="77777777" w:rsidR="00E464C4" w:rsidRDefault="00E464C4" w:rsidP="00E464C4">
      <w:pPr>
        <w:widowControl w:val="0"/>
        <w:autoSpaceDE w:val="0"/>
        <w:autoSpaceDN w:val="0"/>
        <w:spacing w:after="0" w:line="276" w:lineRule="auto"/>
        <w:ind w:firstLine="709"/>
        <w:jc w:val="both"/>
        <w:rPr>
          <w:rFonts w:ascii="Verdana" w:eastAsia="Arial" w:hAnsi="Verdana" w:cs="Arial"/>
          <w:lang w:eastAsia="es-ES" w:bidi="es-ES"/>
        </w:rPr>
      </w:pPr>
      <w:r w:rsidRPr="0001154C">
        <w:rPr>
          <w:rFonts w:ascii="Verdana" w:eastAsia="Arial" w:hAnsi="Verdana" w:cs="Arial"/>
          <w:lang w:eastAsia="es-ES" w:bidi="es-ES"/>
        </w:rPr>
        <w:t>En armonía con la disposición anterior, el artículo 2.2.1.1.2.2.1. del Decreto 1082 de 2015, establece lo siguiente</w:t>
      </w:r>
      <w:r>
        <w:rPr>
          <w:rFonts w:ascii="Verdana" w:eastAsia="Arial" w:hAnsi="Verdana" w:cs="Arial"/>
          <w:lang w:eastAsia="es-ES" w:bidi="es-ES"/>
        </w:rPr>
        <w:t>:</w:t>
      </w:r>
    </w:p>
    <w:p w14:paraId="6897B7D4" w14:textId="77777777" w:rsidR="00E464C4" w:rsidRPr="0001154C" w:rsidRDefault="00E464C4" w:rsidP="00E464C4">
      <w:pPr>
        <w:widowControl w:val="0"/>
        <w:autoSpaceDE w:val="0"/>
        <w:autoSpaceDN w:val="0"/>
        <w:spacing w:after="0" w:line="276" w:lineRule="auto"/>
        <w:ind w:firstLine="709"/>
        <w:jc w:val="both"/>
        <w:rPr>
          <w:rFonts w:ascii="Verdana" w:eastAsia="Arial" w:hAnsi="Verdana" w:cs="Arial"/>
          <w:lang w:eastAsia="es-ES" w:bidi="es-ES"/>
        </w:rPr>
      </w:pPr>
    </w:p>
    <w:p w14:paraId="1F743608" w14:textId="0EE47C49" w:rsidR="00E464C4" w:rsidRPr="00D574F2" w:rsidRDefault="00CF6752" w:rsidP="00CF6752">
      <w:pPr>
        <w:spacing w:after="0" w:line="240" w:lineRule="auto"/>
        <w:ind w:left="709" w:right="709"/>
        <w:jc w:val="both"/>
        <w:textAlignment w:val="baseline"/>
        <w:rPr>
          <w:rFonts w:ascii="Verdana" w:eastAsia="Calibri" w:hAnsi="Verdana" w:cs="Arial"/>
          <w:sz w:val="20"/>
          <w:szCs w:val="20"/>
        </w:rPr>
      </w:pPr>
      <w:r>
        <w:rPr>
          <w:rFonts w:ascii="Verdana" w:eastAsia="Calibri" w:hAnsi="Verdana" w:cs="Arial"/>
          <w:sz w:val="20"/>
          <w:szCs w:val="20"/>
        </w:rPr>
        <w:t>“</w:t>
      </w:r>
      <w:r w:rsidR="00E464C4" w:rsidRPr="00D574F2">
        <w:rPr>
          <w:rFonts w:ascii="Verdana" w:eastAsia="Calibri" w:hAnsi="Verdana" w:cs="Arial"/>
          <w:sz w:val="20"/>
          <w:szCs w:val="20"/>
        </w:rPr>
        <w:t>Artículo 2.2.1.1.2.2.1. Modificación de los pliegos de condiciones. La Entidad Estatal puede modificar los pliegos de condiciones a través de Adendas expedidas antes del vencimiento del plazo para presentar ofertas.  </w:t>
      </w:r>
    </w:p>
    <w:p w14:paraId="6E80C5CC" w14:textId="77777777" w:rsidR="00CF6752" w:rsidRPr="00D574F2" w:rsidRDefault="00CF6752" w:rsidP="00ED7574">
      <w:pPr>
        <w:spacing w:after="0" w:line="240" w:lineRule="auto"/>
        <w:ind w:left="709" w:right="709"/>
        <w:jc w:val="both"/>
        <w:textAlignment w:val="baseline"/>
        <w:rPr>
          <w:rFonts w:ascii="Verdana" w:eastAsia="Calibri" w:hAnsi="Verdana" w:cs="Arial"/>
          <w:sz w:val="20"/>
          <w:szCs w:val="20"/>
        </w:rPr>
      </w:pPr>
    </w:p>
    <w:p w14:paraId="4849879B" w14:textId="5D3115AC" w:rsidR="00E464C4" w:rsidRPr="00D574F2" w:rsidRDefault="00E464C4" w:rsidP="00CF6752">
      <w:pPr>
        <w:spacing w:after="0" w:line="240" w:lineRule="auto"/>
        <w:ind w:left="709" w:right="709"/>
        <w:jc w:val="both"/>
        <w:textAlignment w:val="baseline"/>
        <w:rPr>
          <w:rFonts w:ascii="Verdana" w:eastAsia="Calibri" w:hAnsi="Verdana" w:cs="Arial"/>
          <w:sz w:val="20"/>
          <w:szCs w:val="20"/>
        </w:rPr>
      </w:pPr>
      <w:r w:rsidRPr="00D574F2">
        <w:rPr>
          <w:rFonts w:ascii="Verdana" w:eastAsia="Calibri" w:hAnsi="Verdana" w:cs="Arial"/>
          <w:sz w:val="20"/>
          <w:szCs w:val="20"/>
        </w:rPr>
        <w:t>La Entidad Estatal puede expedir Adendas para modificar el Cronograma una vez vencido el término para la presentación de las ofertas y antes de la adjudicación del contrato. </w:t>
      </w:r>
    </w:p>
    <w:p w14:paraId="3F195D59" w14:textId="77777777" w:rsidR="00CF6752" w:rsidRPr="00D574F2" w:rsidRDefault="00CF6752" w:rsidP="00ED7574">
      <w:pPr>
        <w:spacing w:after="0" w:line="240" w:lineRule="auto"/>
        <w:ind w:left="709" w:right="709"/>
        <w:jc w:val="both"/>
        <w:textAlignment w:val="baseline"/>
        <w:rPr>
          <w:rFonts w:ascii="Verdana" w:eastAsia="Calibri" w:hAnsi="Verdana" w:cs="Arial"/>
          <w:sz w:val="20"/>
          <w:szCs w:val="20"/>
        </w:rPr>
      </w:pPr>
    </w:p>
    <w:p w14:paraId="47E40FB6" w14:textId="5E73788C" w:rsidR="00E464C4" w:rsidRPr="00D574F2" w:rsidRDefault="00E464C4" w:rsidP="00E464C4">
      <w:pPr>
        <w:spacing w:after="0" w:line="240" w:lineRule="auto"/>
        <w:ind w:left="709" w:right="709"/>
        <w:jc w:val="both"/>
        <w:textAlignment w:val="baseline"/>
        <w:rPr>
          <w:rFonts w:ascii="Verdana" w:eastAsia="Calibri" w:hAnsi="Verdana" w:cs="Arial"/>
          <w:sz w:val="20"/>
          <w:szCs w:val="20"/>
        </w:rPr>
      </w:pPr>
      <w:r w:rsidRPr="00D574F2">
        <w:rPr>
          <w:rFonts w:ascii="Verdana" w:eastAsia="Calibri" w:hAnsi="Verdana" w:cs="Arial"/>
          <w:i/>
          <w:iCs/>
          <w:sz w:val="20"/>
          <w:szCs w:val="20"/>
        </w:rPr>
        <w:t xml:space="preserve">La Entidad Estatal debe publicar las Adendas en los días hábiles, entre las 7:00 a. m. y las 7:00 p. m., a más tardar el día hábil anterior al vencimiento del plazo para presentar ofertas a la hora fijada para tal </w:t>
      </w:r>
      <w:r w:rsidRPr="00D574F2">
        <w:rPr>
          <w:rFonts w:ascii="Verdana" w:eastAsia="Calibri" w:hAnsi="Verdana" w:cs="Arial"/>
          <w:i/>
          <w:iCs/>
          <w:sz w:val="20"/>
          <w:szCs w:val="20"/>
        </w:rPr>
        <w:lastRenderedPageBreak/>
        <w:t>presentación, salvo en la licitación pública pues de conformidad con la ley la publicación debe hacerse con tres (3) días de anticipación</w:t>
      </w:r>
      <w:r w:rsidRPr="00D574F2">
        <w:rPr>
          <w:rFonts w:ascii="Verdana" w:eastAsia="Calibri" w:hAnsi="Verdana" w:cs="Arial"/>
          <w:sz w:val="20"/>
          <w:szCs w:val="20"/>
        </w:rPr>
        <w:t xml:space="preserve"> (Cursiva fuera del original)</w:t>
      </w:r>
      <w:r w:rsidR="00CF6752">
        <w:rPr>
          <w:rFonts w:ascii="Verdana" w:eastAsia="Calibri" w:hAnsi="Verdana" w:cs="Arial"/>
          <w:sz w:val="20"/>
          <w:szCs w:val="20"/>
        </w:rPr>
        <w:t>”</w:t>
      </w:r>
      <w:r w:rsidRPr="00D574F2">
        <w:rPr>
          <w:rFonts w:ascii="Verdana" w:eastAsia="Calibri" w:hAnsi="Verdana" w:cs="Arial"/>
          <w:sz w:val="20"/>
          <w:szCs w:val="20"/>
        </w:rPr>
        <w:t>.</w:t>
      </w:r>
    </w:p>
    <w:p w14:paraId="133BA11F" w14:textId="77777777" w:rsidR="00E464C4" w:rsidRPr="00D574F2" w:rsidRDefault="00E464C4" w:rsidP="00E464C4">
      <w:pPr>
        <w:spacing w:after="0" w:line="240" w:lineRule="auto"/>
        <w:ind w:left="709" w:right="709"/>
        <w:jc w:val="both"/>
        <w:textAlignment w:val="baseline"/>
        <w:rPr>
          <w:rFonts w:ascii="Verdana" w:eastAsia="Calibri" w:hAnsi="Verdana" w:cs="Arial"/>
          <w:color w:val="7030A0"/>
          <w:sz w:val="20"/>
          <w:szCs w:val="20"/>
        </w:rPr>
      </w:pPr>
      <w:r w:rsidRPr="00D574F2">
        <w:rPr>
          <w:rFonts w:ascii="Verdana" w:eastAsia="Calibri" w:hAnsi="Verdana"/>
          <w:color w:val="7030A0"/>
          <w:sz w:val="20"/>
          <w:szCs w:val="20"/>
        </w:rPr>
        <w:t> </w:t>
      </w:r>
    </w:p>
    <w:p w14:paraId="71A0DA3B" w14:textId="77777777" w:rsidR="00E464C4" w:rsidRPr="008853DD" w:rsidRDefault="00E464C4" w:rsidP="00E464C4">
      <w:pPr>
        <w:spacing w:after="120" w:line="276" w:lineRule="auto"/>
        <w:ind w:firstLine="708"/>
        <w:jc w:val="both"/>
        <w:rPr>
          <w:rFonts w:ascii="Verdana" w:eastAsia="Calibri" w:hAnsi="Verdana" w:cs="Arial"/>
          <w:sz w:val="21"/>
          <w:szCs w:val="21"/>
        </w:rPr>
      </w:pPr>
      <w:r w:rsidRPr="00FD30D0">
        <w:rPr>
          <w:rFonts w:ascii="Verdana" w:eastAsia="Calibri" w:hAnsi="Verdana" w:cs="Arial"/>
        </w:rPr>
        <w:t xml:space="preserve">La interpretación de esta norma supone diferenciar entre dos (2) tipos de ajustes que pueden dar lugar a la expedición de </w:t>
      </w:r>
      <w:bookmarkStart w:id="1" w:name="_Hlk113271930"/>
      <w:r w:rsidRPr="00FD30D0">
        <w:rPr>
          <w:rFonts w:ascii="Verdana" w:eastAsia="Calibri" w:hAnsi="Verdana" w:cs="Arial"/>
        </w:rPr>
        <w:t>adendas: i) los referidos a las condiciones técnicas, jurídicas y económicas del pliego definitivo</w:t>
      </w:r>
      <w:bookmarkEnd w:id="1"/>
      <w:r w:rsidRPr="00FD30D0">
        <w:rPr>
          <w:rFonts w:ascii="Verdana" w:eastAsia="Calibri" w:hAnsi="Verdana" w:cs="Arial"/>
        </w:rPr>
        <w:t xml:space="preserve"> y, en general, a cualquier contenido distinto del cronograma del procedimiento de selección y </w:t>
      </w:r>
      <w:proofErr w:type="spellStart"/>
      <w:r w:rsidRPr="00FD30D0">
        <w:rPr>
          <w:rFonts w:ascii="Verdana" w:eastAsia="Calibri" w:hAnsi="Verdana" w:cs="Arial"/>
        </w:rPr>
        <w:t>ii</w:t>
      </w:r>
      <w:proofErr w:type="spellEnd"/>
      <w:r w:rsidRPr="00FD30D0">
        <w:rPr>
          <w:rFonts w:ascii="Verdana" w:eastAsia="Calibri" w:hAnsi="Verdana" w:cs="Arial"/>
        </w:rPr>
        <w:t>) los del cronograma. El primer tipo de adendas puede ser realizada hasta antes del vencimiento del plazo para la recepción de ofertas, mientras que las segundas, también pueden realizarse luego del cierre del proceso, antes de la adjudicación del contrato, en las que solo se permite modificar los plazos de las etapas siguientes</w:t>
      </w:r>
      <w:r w:rsidRPr="00FD30D0">
        <w:rPr>
          <w:rStyle w:val="Refdenotaalpie"/>
          <w:rFonts w:ascii="Verdana" w:eastAsia="Calibri" w:hAnsi="Verdana" w:cs="Arial"/>
        </w:rPr>
        <w:footnoteReference w:id="14"/>
      </w:r>
      <w:r w:rsidRPr="00FD30D0">
        <w:rPr>
          <w:rFonts w:ascii="Verdana" w:eastAsia="Calibri" w:hAnsi="Verdana" w:cs="Arial"/>
        </w:rPr>
        <w:t xml:space="preserve">.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w:t>
      </w:r>
      <w:r w:rsidRPr="008853DD">
        <w:rPr>
          <w:rFonts w:ascii="Verdana" w:eastAsia="Calibri" w:hAnsi="Verdana" w:cs="Arial"/>
        </w:rPr>
        <w:t xml:space="preserve">artículo </w:t>
      </w:r>
      <w:r w:rsidRPr="008853DD">
        <w:rPr>
          <w:rFonts w:ascii="Verdana" w:eastAsia="Calibri" w:hAnsi="Verdana" w:cs="Arial"/>
          <w:sz w:val="21"/>
          <w:szCs w:val="21"/>
        </w:rPr>
        <w:t xml:space="preserve">2.2.1.1.2.2.1. </w:t>
      </w:r>
      <w:proofErr w:type="spellStart"/>
      <w:r w:rsidRPr="008853DD">
        <w:rPr>
          <w:rFonts w:ascii="Verdana" w:eastAsia="Calibri" w:hAnsi="Verdana" w:cs="Arial"/>
          <w:i/>
          <w:iCs/>
          <w:sz w:val="21"/>
          <w:szCs w:val="21"/>
        </w:rPr>
        <w:t>ejusdem</w:t>
      </w:r>
      <w:proofErr w:type="spellEnd"/>
      <w:r w:rsidRPr="008853DD">
        <w:rPr>
          <w:rFonts w:ascii="Verdana" w:eastAsia="Calibri" w:hAnsi="Verdana" w:cs="Arial"/>
          <w:sz w:val="21"/>
          <w:szCs w:val="21"/>
        </w:rPr>
        <w:t>.</w:t>
      </w:r>
    </w:p>
    <w:p w14:paraId="42E0FD93" w14:textId="77777777" w:rsidR="00E464C4" w:rsidRPr="00D6151D" w:rsidRDefault="00E464C4" w:rsidP="00E464C4">
      <w:pPr>
        <w:spacing w:after="120" w:line="276" w:lineRule="auto"/>
        <w:ind w:firstLine="708"/>
        <w:jc w:val="both"/>
        <w:textAlignment w:val="baseline"/>
        <w:rPr>
          <w:rFonts w:ascii="Verdana" w:hAnsi="Verdana" w:cs="Arial"/>
          <w:lang w:eastAsia="es-CO"/>
        </w:rPr>
      </w:pPr>
      <w:r w:rsidRPr="008853DD">
        <w:rPr>
          <w:rFonts w:ascii="Verdana" w:hAnsi="Verdana" w:cs="Arial"/>
          <w:lang w:eastAsia="es-CO"/>
        </w:rPr>
        <w:t xml:space="preserve">Como se observa, tanto para la licitación pública, como para los demás procedimientos de selección de contratistas, las normas legales y reglamentarias prevén la posibilidad de modificar los pliegos de condiciones mediante </w:t>
      </w:r>
      <w:r w:rsidRPr="008853DD">
        <w:rPr>
          <w:rFonts w:ascii="Verdana" w:hAnsi="Verdana" w:cs="Arial"/>
          <w:i/>
          <w:iCs/>
          <w:lang w:eastAsia="es-CO"/>
        </w:rPr>
        <w:t>adendas</w:t>
      </w:r>
      <w:r w:rsidRPr="008853DD">
        <w:rPr>
          <w:rFonts w:ascii="Verdana" w:hAnsi="Verdana" w:cs="Arial"/>
          <w:lang w:eastAsia="es-CO"/>
        </w:rPr>
        <w:t>.</w:t>
      </w:r>
      <w:bookmarkStart w:id="2" w:name="_Hlk113273292"/>
      <w:r w:rsidRPr="008853DD">
        <w:rPr>
          <w:rFonts w:ascii="Verdana" w:hAnsi="Verdana" w:cs="Arial"/>
          <w:lang w:eastAsia="es-CO"/>
        </w:rPr>
        <w:t xml:space="preserve"> Sin embargo, respecto de las adendas proferidas antes del cierre del proceso, es claro que existen ciertos límites temporales para la expedición </w:t>
      </w:r>
      <w:r w:rsidRPr="00026779">
        <w:rPr>
          <w:rFonts w:ascii="Verdana" w:hAnsi="Verdana" w:cs="Arial"/>
          <w:lang w:eastAsia="es-CO"/>
        </w:rPr>
        <w:t xml:space="preserve">y publicación de las adendas. En primer lugar, es necesario que las mismas se publiquen entre las 7:00 am y las 7:00 pm de un día hábil. En segundo lugar, esta publicación debe realizarse a más tardar el día hábil anterior al vencimiento del plazo para presentar ofertas “a la hora fijada para tal presentación”. Así, a modo de ejemplo, si el plazo para presentar ofertas –cierre del proceso– venciera a las 3:00 pm del jueves 22 de octubre, el plazo para publicar adendas terminaría a las 3:00 pm del miércoles 21 de octubre. En tercer lugar, existe una regla de excepción que deriva directamente del artículo 30-5 de la Ley 80 de 1993, y se </w:t>
      </w:r>
      <w:r w:rsidRPr="00D6151D">
        <w:rPr>
          <w:rFonts w:ascii="Verdana" w:hAnsi="Verdana" w:cs="Arial"/>
          <w:lang w:eastAsia="es-CO"/>
        </w:rPr>
        <w:t xml:space="preserve">reitera en la norma citada del Decreto 1082 de 2015, para la licitación pública, </w:t>
      </w:r>
      <w:r w:rsidRPr="00D6151D">
        <w:rPr>
          <w:rFonts w:ascii="Verdana" w:hAnsi="Verdana" w:cs="Arial"/>
          <w:lang w:eastAsia="es-CO"/>
        </w:rPr>
        <w:lastRenderedPageBreak/>
        <w:t xml:space="preserve">donde las adendas </w:t>
      </w:r>
      <w:r w:rsidRPr="00D6151D">
        <w:rPr>
          <w:rFonts w:ascii="Verdana" w:eastAsia="Arial" w:hAnsi="Verdana" w:cs="Arial"/>
          <w:lang w:eastAsia="es-ES" w:bidi="es-ES"/>
        </w:rPr>
        <w:t>no podrán expedirse dentro de los tres (3) días hábiles anteriores en que se tiene previsto el cierre del proceso de selección, sino que deberán expedirse antes de dicho momento.</w:t>
      </w:r>
      <w:r w:rsidRPr="00D6151D">
        <w:rPr>
          <w:rFonts w:ascii="Verdana" w:hAnsi="Verdana" w:cs="Arial"/>
          <w:lang w:eastAsia="es-CO"/>
        </w:rPr>
        <w:t xml:space="preserve"> </w:t>
      </w:r>
    </w:p>
    <w:bookmarkEnd w:id="2"/>
    <w:p w14:paraId="4C6CB8DC" w14:textId="762A67DC" w:rsidR="00E464C4" w:rsidRPr="00186E89" w:rsidRDefault="00E464C4" w:rsidP="00E464C4">
      <w:pPr>
        <w:spacing w:after="120" w:line="276" w:lineRule="auto"/>
        <w:ind w:firstLine="708"/>
        <w:jc w:val="both"/>
        <w:textAlignment w:val="baseline"/>
        <w:rPr>
          <w:rFonts w:ascii="Verdana" w:hAnsi="Verdana" w:cs="Arial"/>
          <w:lang w:eastAsia="es-CO"/>
        </w:rPr>
      </w:pPr>
      <w:r w:rsidRPr="00D6151D">
        <w:rPr>
          <w:rFonts w:ascii="Verdana" w:hAnsi="Verdana" w:cs="Arial"/>
          <w:lang w:eastAsia="es-CO"/>
        </w:rPr>
        <w:t xml:space="preserve">En ese orden de ideas, las normas prevén dos límites temporales para la publicación de las adendas, antes del cierre del proceso de selección: i) </w:t>
      </w:r>
      <w:r w:rsidR="00CF6752">
        <w:rPr>
          <w:rFonts w:ascii="Verdana" w:hAnsi="Verdana" w:cs="Arial"/>
          <w:lang w:eastAsia="es-CO"/>
        </w:rPr>
        <w:t>tres (</w:t>
      </w:r>
      <w:r w:rsidRPr="00D6151D">
        <w:rPr>
          <w:rFonts w:ascii="Verdana" w:hAnsi="Verdana" w:cs="Arial"/>
          <w:lang w:eastAsia="es-CO"/>
        </w:rPr>
        <w:t>3</w:t>
      </w:r>
      <w:r w:rsidR="00CF6752">
        <w:rPr>
          <w:rFonts w:ascii="Verdana" w:hAnsi="Verdana" w:cs="Arial"/>
          <w:lang w:eastAsia="es-CO"/>
        </w:rPr>
        <w:t>)</w:t>
      </w:r>
      <w:r w:rsidRPr="00D6151D">
        <w:rPr>
          <w:rFonts w:ascii="Verdana" w:hAnsi="Verdana" w:cs="Arial"/>
          <w:lang w:eastAsia="es-CO"/>
        </w:rPr>
        <w:t xml:space="preserve"> días hábiles antes del vencimiento del plazo para presentar ofertas para la licitación pública y </w:t>
      </w:r>
      <w:proofErr w:type="spellStart"/>
      <w:r w:rsidRPr="00D6151D">
        <w:rPr>
          <w:rFonts w:ascii="Verdana" w:hAnsi="Verdana" w:cs="Arial"/>
          <w:lang w:eastAsia="es-CO"/>
        </w:rPr>
        <w:t>ii</w:t>
      </w:r>
      <w:proofErr w:type="spellEnd"/>
      <w:r w:rsidRPr="00D6151D">
        <w:rPr>
          <w:rFonts w:ascii="Verdana" w:hAnsi="Verdana" w:cs="Arial"/>
          <w:lang w:eastAsia="es-CO"/>
        </w:rPr>
        <w:t xml:space="preserve">) un día hábil antes del vencimiento del plazo para presentar ofertas para las demás modalidades de selección.  </w:t>
      </w:r>
    </w:p>
    <w:p w14:paraId="01FC9C34" w14:textId="54BA4A23" w:rsidR="00E464C4" w:rsidRPr="00021114" w:rsidRDefault="00E464C4" w:rsidP="007917B3">
      <w:pPr>
        <w:spacing w:after="0" w:line="276" w:lineRule="auto"/>
        <w:ind w:firstLine="708"/>
        <w:jc w:val="both"/>
        <w:textAlignment w:val="baseline"/>
        <w:rPr>
          <w:rFonts w:ascii="Verdana" w:hAnsi="Verdana" w:cs="Arial"/>
          <w:lang w:eastAsia="es-CO"/>
        </w:rPr>
      </w:pPr>
      <w:r w:rsidRPr="00186E89">
        <w:rPr>
          <w:rFonts w:ascii="Verdana" w:hAnsi="Verdana" w:cs="Arial"/>
          <w:lang w:eastAsia="es-CO"/>
        </w:rPr>
        <w:t xml:space="preserve">En efecto, el marco normativo vigente establece plazos perentorios para la modificación del pliego de condiciones mediante adendas, como expresión concreta de los principios de planeación, publicidad y libre concurrencia. De manera que el desconocimiento de dichos plazos, incluso cuando obedezca a razones operativas o de buena fe, puede comprometer la igualdad de oportunidades entre los oferentes y afectar la adecuada preparación de las </w:t>
      </w:r>
      <w:r w:rsidRPr="00021114">
        <w:rPr>
          <w:rFonts w:ascii="Verdana" w:hAnsi="Verdana" w:cs="Arial"/>
          <w:lang w:eastAsia="es-CO"/>
        </w:rPr>
        <w:t>ofertas, lo que se traduce en una afectación a la eficiencia del proceso (principio de economía) y a su integridad procedimental (principio de transparencia).</w:t>
      </w:r>
    </w:p>
    <w:p w14:paraId="09BB11EF" w14:textId="77777777" w:rsidR="007917B3" w:rsidRPr="00021114" w:rsidRDefault="007917B3" w:rsidP="00ED7574">
      <w:pPr>
        <w:spacing w:after="0" w:line="276" w:lineRule="auto"/>
        <w:ind w:firstLine="708"/>
        <w:jc w:val="both"/>
        <w:textAlignment w:val="baseline"/>
        <w:rPr>
          <w:rFonts w:ascii="Verdana" w:hAnsi="Verdana" w:cs="Arial"/>
          <w:lang w:eastAsia="es-CO"/>
        </w:rPr>
      </w:pPr>
    </w:p>
    <w:p w14:paraId="530126EB" w14:textId="59B34D10" w:rsidR="00E464C4" w:rsidRDefault="007917B3" w:rsidP="00ED7574">
      <w:pPr>
        <w:spacing w:after="0" w:line="276" w:lineRule="auto"/>
        <w:jc w:val="both"/>
        <w:rPr>
          <w:rFonts w:ascii="Verdana" w:hAnsi="Verdana" w:cs="Arial"/>
          <w:color w:val="000000" w:themeColor="text1"/>
          <w:lang w:val="es-ES_tradnl"/>
        </w:rPr>
      </w:pPr>
      <w:r>
        <w:rPr>
          <w:rFonts w:ascii="Verdana" w:eastAsia="Arial" w:hAnsi="Verdana" w:cs="Arial"/>
        </w:rPr>
        <w:t xml:space="preserve">Iii, </w:t>
      </w:r>
      <w:r w:rsidR="00E464C4" w:rsidRPr="001920E4">
        <w:rPr>
          <w:rFonts w:ascii="Verdana" w:eastAsia="Arial" w:hAnsi="Verdana" w:cs="Arial"/>
        </w:rPr>
        <w:t>Al margen de lo anterior, debe advertirse que el análisis sobre la subsanación de las ofertas</w:t>
      </w:r>
      <w:r w:rsidR="00E464C4">
        <w:rPr>
          <w:rFonts w:ascii="Verdana" w:eastAsia="Arial" w:hAnsi="Verdana" w:cs="Arial"/>
        </w:rPr>
        <w:t xml:space="preserve"> y la expedición de adendas</w:t>
      </w:r>
      <w:r w:rsidR="00E464C4" w:rsidRPr="001920E4">
        <w:rPr>
          <w:rFonts w:ascii="Verdana" w:eastAsia="Arial" w:hAnsi="Verdana" w:cs="Arial"/>
        </w:rPr>
        <w:t xml:space="preserve"> al interior de los procedimientos de selección debe ser realizado por quienes tengan interés en ello, de acuerdo con lo explicado </w:t>
      </w:r>
      <w:r w:rsidR="00E464C4">
        <w:rPr>
          <w:rFonts w:ascii="Verdana" w:eastAsia="Arial" w:hAnsi="Verdana" w:cs="Arial"/>
        </w:rPr>
        <w:t>en el</w:t>
      </w:r>
      <w:r w:rsidR="00E464C4" w:rsidRPr="001920E4">
        <w:rPr>
          <w:rFonts w:ascii="Verdana" w:eastAsia="Arial" w:hAnsi="Verdana" w:cs="Arial"/>
        </w:rPr>
        <w:t xml:space="preserve">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6E3EEFC5" w14:textId="77777777" w:rsidR="00E464C4" w:rsidRDefault="00E464C4" w:rsidP="00E464C4">
      <w:pPr>
        <w:spacing w:before="120" w:after="0" w:line="276" w:lineRule="auto"/>
        <w:ind w:firstLine="709"/>
        <w:jc w:val="both"/>
        <w:rPr>
          <w:rFonts w:ascii="Verdana" w:eastAsia="Arial" w:hAnsi="Verdana" w:cs="Arial"/>
          <w:bCs/>
        </w:rPr>
      </w:pPr>
      <w:r w:rsidRPr="001920E4">
        <w:rPr>
          <w:rFonts w:ascii="Verdana" w:eastAsia="Arial" w:hAnsi="Verdana" w:cs="Arial"/>
          <w:bCs/>
        </w:rPr>
        <w:t>De esta manera,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para atender las necesidades de la Entidad Pública.</w:t>
      </w:r>
    </w:p>
    <w:p w14:paraId="7F8146B5" w14:textId="77777777" w:rsidR="00E464C4" w:rsidRPr="00B10A68" w:rsidRDefault="00E464C4" w:rsidP="00E464C4">
      <w:pPr>
        <w:widowControl w:val="0"/>
        <w:autoSpaceDE w:val="0"/>
        <w:autoSpaceDN w:val="0"/>
        <w:spacing w:after="0" w:line="276" w:lineRule="auto"/>
        <w:jc w:val="both"/>
        <w:rPr>
          <w:rFonts w:ascii="Verdana" w:eastAsia="Calibri" w:hAnsi="Verdana" w:cs="Arial"/>
        </w:rPr>
      </w:pPr>
    </w:p>
    <w:p w14:paraId="1D828E8F" w14:textId="77777777" w:rsidR="00E464C4" w:rsidRPr="00B10A68" w:rsidRDefault="00E464C4" w:rsidP="00E464C4">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B10A68">
        <w:rPr>
          <w:rFonts w:ascii="Verdana" w:eastAsia="Century Gothic" w:hAnsi="Verdana" w:cs="Century Gothic"/>
          <w:b/>
          <w:bCs/>
          <w:lang w:val="es-ES"/>
        </w:rPr>
        <w:lastRenderedPageBreak/>
        <w:t>Referencias normativas, jurisprudenciales y otras fuentes:</w:t>
      </w:r>
    </w:p>
    <w:p w14:paraId="34A3C0B8" w14:textId="77777777" w:rsidR="00E464C4" w:rsidRPr="00B10A68" w:rsidRDefault="00E464C4" w:rsidP="00E464C4">
      <w:pPr>
        <w:widowControl w:val="0"/>
        <w:autoSpaceDE w:val="0"/>
        <w:autoSpaceDN w:val="0"/>
        <w:spacing w:after="0" w:line="276" w:lineRule="auto"/>
        <w:jc w:val="both"/>
        <w:rPr>
          <w:rFonts w:ascii="Verdana" w:eastAsia="Calibri" w:hAnsi="Verdana" w:cs="Arial"/>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464C4" w:rsidRPr="00B10A68" w14:paraId="68BFF8D0" w14:textId="77777777" w:rsidTr="00533C46">
        <w:trPr>
          <w:trHeight w:val="870"/>
        </w:trPr>
        <w:tc>
          <w:tcPr>
            <w:tcW w:w="8647" w:type="dxa"/>
            <w:tcBorders>
              <w:top w:val="dotted" w:sz="4" w:space="0" w:color="auto"/>
              <w:left w:val="dotted" w:sz="4" w:space="0" w:color="auto"/>
              <w:bottom w:val="dotted" w:sz="4" w:space="0" w:color="auto"/>
              <w:right w:val="dotted" w:sz="4" w:space="0" w:color="auto"/>
            </w:tcBorders>
            <w:hideMark/>
          </w:tcPr>
          <w:p w14:paraId="0925123D" w14:textId="77777777" w:rsidR="00E464C4" w:rsidRPr="00A73656" w:rsidRDefault="00E464C4" w:rsidP="00ED7574">
            <w:pPr>
              <w:numPr>
                <w:ilvl w:val="0"/>
                <w:numId w:val="16"/>
              </w:numPr>
              <w:spacing w:line="276" w:lineRule="auto"/>
              <w:jc w:val="both"/>
              <w:rPr>
                <w:rFonts w:ascii="Verdana" w:hAnsi="Verdana" w:cs="Arial"/>
                <w:color w:val="000000"/>
                <w:lang w:eastAsia="es-ES"/>
              </w:rPr>
            </w:pPr>
            <w:r w:rsidRPr="00A73656">
              <w:rPr>
                <w:rFonts w:ascii="Verdana" w:hAnsi="Verdana" w:cs="Arial"/>
                <w:color w:val="000000"/>
                <w:lang w:val="es-ES_tradnl"/>
              </w:rPr>
              <w:t>Ley 80 de 1993, artículos 24.5 literal b)</w:t>
            </w:r>
            <w:r>
              <w:rPr>
                <w:rFonts w:ascii="Verdana" w:hAnsi="Verdana" w:cs="Arial"/>
                <w:color w:val="000000"/>
                <w:lang w:val="es-ES_tradnl"/>
              </w:rPr>
              <w:t>, 25</w:t>
            </w:r>
            <w:r w:rsidRPr="00A73656">
              <w:rPr>
                <w:rFonts w:ascii="Verdana" w:hAnsi="Verdana" w:cs="Arial"/>
                <w:color w:val="000000"/>
                <w:lang w:val="es-ES_tradnl"/>
              </w:rPr>
              <w:t xml:space="preserve"> y 30.8</w:t>
            </w:r>
          </w:p>
          <w:p w14:paraId="6E3954E5" w14:textId="77777777" w:rsidR="00E464C4" w:rsidRPr="00A73656" w:rsidRDefault="00E464C4" w:rsidP="00ED7574">
            <w:pPr>
              <w:numPr>
                <w:ilvl w:val="0"/>
                <w:numId w:val="16"/>
              </w:numPr>
              <w:spacing w:line="276" w:lineRule="auto"/>
              <w:jc w:val="both"/>
              <w:rPr>
                <w:rFonts w:ascii="Verdana" w:hAnsi="Verdana" w:cs="Arial"/>
                <w:color w:val="000000"/>
                <w:lang w:eastAsia="es-ES"/>
              </w:rPr>
            </w:pPr>
            <w:r w:rsidRPr="00A73656">
              <w:rPr>
                <w:rFonts w:ascii="Verdana" w:hAnsi="Verdana" w:cs="Arial"/>
                <w:color w:val="000000"/>
                <w:lang w:eastAsia="es-ES"/>
              </w:rPr>
              <w:t xml:space="preserve">Ley 1150 de 2007, </w:t>
            </w:r>
            <w:r w:rsidRPr="00A73656">
              <w:rPr>
                <w:rFonts w:ascii="Verdana" w:hAnsi="Verdana" w:cs="Arial"/>
                <w:color w:val="000000" w:themeColor="text1"/>
              </w:rPr>
              <w:t>artículo 5, parágrafo 1, 3 y 4 y 6.</w:t>
            </w:r>
          </w:p>
          <w:p w14:paraId="287AD1E0" w14:textId="77777777" w:rsidR="00E464C4" w:rsidRPr="00A73656" w:rsidRDefault="00E464C4" w:rsidP="00ED7574">
            <w:pPr>
              <w:numPr>
                <w:ilvl w:val="0"/>
                <w:numId w:val="16"/>
              </w:numPr>
              <w:spacing w:line="276" w:lineRule="auto"/>
              <w:jc w:val="both"/>
              <w:rPr>
                <w:rFonts w:ascii="Verdana" w:hAnsi="Verdana" w:cs="Arial"/>
                <w:shd w:val="clear" w:color="auto" w:fill="FFFFFF"/>
              </w:rPr>
            </w:pPr>
            <w:r w:rsidRPr="00A73656">
              <w:rPr>
                <w:rFonts w:ascii="Verdana" w:hAnsi="Verdana" w:cs="Arial"/>
                <w:color w:val="000000"/>
              </w:rPr>
              <w:t>Ley 1882 de 2018, artículo 5.</w:t>
            </w:r>
          </w:p>
          <w:p w14:paraId="0AD23B72" w14:textId="77777777" w:rsidR="00E464C4" w:rsidRPr="00A73656" w:rsidRDefault="00E464C4" w:rsidP="00ED7574">
            <w:pPr>
              <w:numPr>
                <w:ilvl w:val="0"/>
                <w:numId w:val="16"/>
              </w:numPr>
              <w:spacing w:line="276" w:lineRule="auto"/>
              <w:jc w:val="both"/>
              <w:rPr>
                <w:rFonts w:ascii="Verdana" w:hAnsi="Verdana" w:cs="Arial"/>
                <w:color w:val="000000"/>
                <w:lang w:eastAsia="es-ES"/>
              </w:rPr>
            </w:pPr>
            <w:r w:rsidRPr="00A73656">
              <w:rPr>
                <w:rFonts w:ascii="Verdana" w:hAnsi="Verdana" w:cs="Arial"/>
                <w:color w:val="000000"/>
                <w:lang w:eastAsia="es-ES"/>
              </w:rPr>
              <w:t>Decreto 1082 de 2015, artículo 2.2.1.1.2.1.3. numeral 6</w:t>
            </w:r>
            <w:r>
              <w:rPr>
                <w:rFonts w:ascii="Verdana" w:hAnsi="Verdana" w:cs="Arial"/>
                <w:color w:val="000000"/>
                <w:lang w:eastAsia="es-ES"/>
              </w:rPr>
              <w:t xml:space="preserve"> y </w:t>
            </w:r>
            <w:r w:rsidRPr="007E1F7D">
              <w:rPr>
                <w:rFonts w:ascii="Verdana" w:hAnsi="Verdana" w:cs="Arial"/>
                <w:color w:val="000000"/>
                <w:lang w:eastAsia="es-ES"/>
              </w:rPr>
              <w:t>2.2.1.1.2.2.1.</w:t>
            </w:r>
          </w:p>
          <w:p w14:paraId="3E3F3950" w14:textId="77777777" w:rsidR="00E464C4" w:rsidRPr="00A73656" w:rsidRDefault="00E464C4" w:rsidP="00ED7574">
            <w:pPr>
              <w:widowControl w:val="0"/>
              <w:numPr>
                <w:ilvl w:val="0"/>
                <w:numId w:val="16"/>
              </w:numPr>
              <w:autoSpaceDE w:val="0"/>
              <w:autoSpaceDN w:val="0"/>
              <w:spacing w:line="276" w:lineRule="auto"/>
              <w:contextualSpacing/>
              <w:jc w:val="both"/>
              <w:rPr>
                <w:rFonts w:ascii="Verdana" w:hAnsi="Verdana" w:cs="Arial"/>
                <w:lang w:val="es-ES"/>
              </w:rPr>
            </w:pPr>
            <w:r w:rsidRPr="00A73656">
              <w:rPr>
                <w:rFonts w:ascii="Verdana" w:hAnsi="Verdana" w:cs="Arial"/>
                <w:lang w:val="es-ES"/>
              </w:rPr>
              <w:t>Corte Constitucional. Sentencia C-128 de 2003. M.P. Álvaro Tafur Galvis.</w:t>
            </w:r>
          </w:p>
          <w:p w14:paraId="1A86950C" w14:textId="77777777" w:rsidR="00E464C4" w:rsidRPr="00A73656" w:rsidRDefault="00E464C4" w:rsidP="00ED7574">
            <w:pPr>
              <w:widowControl w:val="0"/>
              <w:numPr>
                <w:ilvl w:val="0"/>
                <w:numId w:val="16"/>
              </w:numPr>
              <w:tabs>
                <w:tab w:val="left" w:pos="8419"/>
              </w:tabs>
              <w:autoSpaceDE w:val="0"/>
              <w:autoSpaceDN w:val="0"/>
              <w:spacing w:line="276" w:lineRule="auto"/>
              <w:contextualSpacing/>
              <w:jc w:val="both"/>
              <w:rPr>
                <w:rFonts w:ascii="Verdana" w:hAnsi="Verdana" w:cs="Arial"/>
                <w:lang w:val="pt-BR"/>
              </w:rPr>
            </w:pPr>
            <w:r w:rsidRPr="00A73656">
              <w:rPr>
                <w:rFonts w:ascii="Verdana" w:hAnsi="Verdana" w:cs="Arial"/>
                <w:lang w:val="pt-BR"/>
              </w:rPr>
              <w:t xml:space="preserve">Corte Constitucional. Sentencia C-569 de 2004. M.P. Rodrigo </w:t>
            </w:r>
            <w:proofErr w:type="spellStart"/>
            <w:r w:rsidRPr="00A73656">
              <w:rPr>
                <w:rFonts w:ascii="Verdana" w:hAnsi="Verdana" w:cs="Arial"/>
                <w:lang w:val="pt-BR"/>
              </w:rPr>
              <w:t>Uprimny</w:t>
            </w:r>
            <w:proofErr w:type="spellEnd"/>
            <w:r w:rsidRPr="00A73656">
              <w:rPr>
                <w:rFonts w:ascii="Verdana" w:hAnsi="Verdana" w:cs="Arial"/>
                <w:lang w:val="pt-BR"/>
              </w:rPr>
              <w:t xml:space="preserve"> Yepes.</w:t>
            </w:r>
          </w:p>
          <w:p w14:paraId="38109ED0" w14:textId="77777777" w:rsidR="00E464C4" w:rsidRDefault="00E464C4" w:rsidP="00ED7574">
            <w:pPr>
              <w:widowControl w:val="0"/>
              <w:numPr>
                <w:ilvl w:val="0"/>
                <w:numId w:val="16"/>
              </w:numPr>
              <w:tabs>
                <w:tab w:val="left" w:pos="8419"/>
              </w:tabs>
              <w:autoSpaceDE w:val="0"/>
              <w:autoSpaceDN w:val="0"/>
              <w:spacing w:line="276" w:lineRule="auto"/>
              <w:contextualSpacing/>
              <w:jc w:val="both"/>
              <w:rPr>
                <w:rFonts w:ascii="Verdana" w:hAnsi="Verdana" w:cs="Arial"/>
                <w:lang w:val="es-ES"/>
              </w:rPr>
            </w:pPr>
            <w:r w:rsidRPr="00A73656">
              <w:rPr>
                <w:rFonts w:ascii="Verdana" w:hAnsi="Verdana" w:cs="Arial"/>
                <w:lang w:val="es-ES"/>
              </w:rPr>
              <w:t>Consejo de Estado. Sección Tercera. Providencias del 11 de diciembre de 2002, dictada dentro del expediente AG-1683, y del 18 de octubre de 2001, proferida dentro del plenario AG-021.</w:t>
            </w:r>
          </w:p>
          <w:p w14:paraId="70A966E7" w14:textId="77777777" w:rsidR="00E464C4" w:rsidRPr="00C46B0F" w:rsidRDefault="00E464C4" w:rsidP="00533C46">
            <w:pPr>
              <w:widowControl w:val="0"/>
              <w:numPr>
                <w:ilvl w:val="0"/>
                <w:numId w:val="16"/>
              </w:numPr>
              <w:autoSpaceDE w:val="0"/>
              <w:autoSpaceDN w:val="0"/>
              <w:spacing w:line="276" w:lineRule="auto"/>
              <w:jc w:val="both"/>
              <w:rPr>
                <w:rFonts w:ascii="Verdana" w:eastAsia="Arial MT" w:hAnsi="Verdana" w:cs="Arial"/>
                <w:bCs/>
                <w:lang w:eastAsia="es-ES" w:bidi="es-ES"/>
              </w:rPr>
            </w:pPr>
            <w:r w:rsidRPr="00C46B0F">
              <w:rPr>
                <w:rFonts w:ascii="Verdana" w:eastAsia="Arial MT" w:hAnsi="Verdana" w:cs="Arial"/>
                <w:bCs/>
                <w:lang w:eastAsia="es-ES" w:bidi="es-ES"/>
              </w:rPr>
              <w:t xml:space="preserve">Consejo De Estado. Sección Tercera. Sentencia de 30 de noviembre de 2006. </w:t>
            </w:r>
            <w:proofErr w:type="spellStart"/>
            <w:r w:rsidRPr="00C46B0F">
              <w:rPr>
                <w:rFonts w:ascii="Verdana" w:eastAsia="Arial MT" w:hAnsi="Verdana" w:cs="Arial"/>
                <w:bCs/>
                <w:lang w:eastAsia="es-ES" w:bidi="es-ES"/>
              </w:rPr>
              <w:t>Exp</w:t>
            </w:r>
            <w:proofErr w:type="spellEnd"/>
            <w:r w:rsidRPr="00C46B0F">
              <w:rPr>
                <w:rFonts w:ascii="Verdana" w:eastAsia="Arial MT" w:hAnsi="Verdana" w:cs="Arial"/>
                <w:bCs/>
                <w:lang w:eastAsia="es-ES" w:bidi="es-ES"/>
              </w:rPr>
              <w:t>. 18.059. M.P. Alier Hernández Enríquez.</w:t>
            </w:r>
          </w:p>
          <w:p w14:paraId="2DDDA7DA" w14:textId="77777777" w:rsidR="00E464C4" w:rsidRPr="00A73656" w:rsidRDefault="00E464C4" w:rsidP="00ED7574">
            <w:pPr>
              <w:numPr>
                <w:ilvl w:val="0"/>
                <w:numId w:val="16"/>
              </w:numPr>
              <w:spacing w:line="276" w:lineRule="auto"/>
              <w:jc w:val="both"/>
              <w:rPr>
                <w:rFonts w:ascii="Verdana" w:hAnsi="Verdana" w:cs="Arial"/>
                <w:shd w:val="clear" w:color="auto" w:fill="FFFFFF"/>
              </w:rPr>
            </w:pPr>
            <w:r w:rsidRPr="00A73656">
              <w:rPr>
                <w:rFonts w:ascii="Verdana" w:hAnsi="Verdana" w:cs="Arial"/>
                <w:shd w:val="clear" w:color="auto" w:fill="FFFFFF"/>
              </w:rPr>
              <w:t>Consejo de Estado. Sala de Consulta y Servicio Civil. Concepto del 6 de noviembre de 2008. Expediente: 1927. Consejero Ponente: William Zambrano Cetina.</w:t>
            </w:r>
          </w:p>
          <w:p w14:paraId="2B7D1A75" w14:textId="77777777" w:rsidR="00E464C4" w:rsidRPr="00A73656" w:rsidRDefault="00E464C4" w:rsidP="00ED7574">
            <w:pPr>
              <w:numPr>
                <w:ilvl w:val="0"/>
                <w:numId w:val="16"/>
              </w:numPr>
              <w:spacing w:line="276" w:lineRule="auto"/>
              <w:jc w:val="both"/>
              <w:rPr>
                <w:rFonts w:ascii="Verdana" w:hAnsi="Verdana" w:cs="Arial"/>
                <w:shd w:val="clear" w:color="auto" w:fill="FFFFFF"/>
              </w:rPr>
            </w:pPr>
            <w:r w:rsidRPr="00A73656">
              <w:rPr>
                <w:rFonts w:ascii="Verdana" w:hAnsi="Verdana" w:cs="Arial"/>
                <w:shd w:val="clear" w:color="auto" w:fill="FFFFFF"/>
              </w:rPr>
              <w:t>Consejo de Estado. Sala de Consulta y Servicio Civil. Concepto del 20 de mayo de 2010. Expediente: 1992. Consejero Ponente: Enrique José Arboleda Perdomo.</w:t>
            </w:r>
          </w:p>
          <w:p w14:paraId="796CC02F" w14:textId="77777777" w:rsidR="00E464C4" w:rsidRPr="00A73656" w:rsidRDefault="00E464C4" w:rsidP="00ED7574">
            <w:pPr>
              <w:numPr>
                <w:ilvl w:val="0"/>
                <w:numId w:val="16"/>
              </w:numPr>
              <w:spacing w:line="276" w:lineRule="auto"/>
              <w:jc w:val="both"/>
              <w:rPr>
                <w:rFonts w:ascii="Verdana" w:hAnsi="Verdana" w:cs="Arial"/>
                <w:shd w:val="clear" w:color="auto" w:fill="FFFFFF"/>
              </w:rPr>
            </w:pPr>
            <w:r w:rsidRPr="00A73656">
              <w:rPr>
                <w:rFonts w:ascii="Verdana" w:hAnsi="Verdana" w:cs="Arial"/>
                <w:shd w:val="clear" w:color="auto" w:fill="FFFFFF"/>
              </w:rPr>
              <w:t xml:space="preserve">Consejo de Estado. Sección Tercera, Subsección C. Sentencia del 26 de febrero de 2011. C.P. Jaime Orlando Santofimio. Rad. 36.408. </w:t>
            </w:r>
          </w:p>
          <w:p w14:paraId="5C15C86E" w14:textId="77777777" w:rsidR="00E464C4" w:rsidRPr="00A73656" w:rsidRDefault="00E464C4" w:rsidP="00ED7574">
            <w:pPr>
              <w:numPr>
                <w:ilvl w:val="0"/>
                <w:numId w:val="16"/>
              </w:numPr>
              <w:spacing w:line="276" w:lineRule="auto"/>
              <w:jc w:val="both"/>
              <w:rPr>
                <w:rFonts w:ascii="Verdana" w:hAnsi="Verdana" w:cs="Arial"/>
                <w:shd w:val="clear" w:color="auto" w:fill="FFFFFF"/>
              </w:rPr>
            </w:pPr>
            <w:r w:rsidRPr="00A73656">
              <w:rPr>
                <w:rFonts w:ascii="Verdana" w:hAnsi="Verdana" w:cs="Arial"/>
                <w:shd w:val="clear" w:color="auto" w:fill="FFFFFF"/>
              </w:rPr>
              <w:t>Consejo de Estado. Sección Tercera Subsección B. Sentencia del 27 de abril de 2011. Expediente No. 18.293. C.P. Ponente: Ruth Stella Correa Palacio.</w:t>
            </w:r>
          </w:p>
          <w:p w14:paraId="4AB6F974" w14:textId="77777777" w:rsidR="00E464C4" w:rsidRPr="00056884" w:rsidRDefault="00E464C4" w:rsidP="00ED7574">
            <w:pPr>
              <w:widowControl w:val="0"/>
              <w:numPr>
                <w:ilvl w:val="0"/>
                <w:numId w:val="16"/>
              </w:numPr>
              <w:tabs>
                <w:tab w:val="left" w:pos="8419"/>
              </w:tabs>
              <w:autoSpaceDE w:val="0"/>
              <w:autoSpaceDN w:val="0"/>
              <w:spacing w:line="276" w:lineRule="auto"/>
              <w:contextualSpacing/>
              <w:jc w:val="both"/>
              <w:rPr>
                <w:rFonts w:ascii="Verdana" w:hAnsi="Verdana" w:cs="Arial"/>
                <w:lang w:val="es-ES"/>
              </w:rPr>
            </w:pPr>
            <w:r w:rsidRPr="00A73656">
              <w:rPr>
                <w:rFonts w:ascii="Verdana" w:hAnsi="Verdana" w:cs="Arial"/>
                <w:shd w:val="clear" w:color="auto" w:fill="FFFFFF"/>
              </w:rPr>
              <w:t xml:space="preserve">Consejo de Estado, Sección Tercera, Subsección C. Sentencia del 26 de febrero de 2014. C.P. Enrique Gil Botero. Rad. 25.804. </w:t>
            </w:r>
          </w:p>
          <w:p w14:paraId="688CBAA5" w14:textId="77777777" w:rsidR="00E464C4" w:rsidRPr="00A73656" w:rsidRDefault="00E464C4" w:rsidP="00ED7574">
            <w:pPr>
              <w:widowControl w:val="0"/>
              <w:numPr>
                <w:ilvl w:val="0"/>
                <w:numId w:val="16"/>
              </w:numPr>
              <w:tabs>
                <w:tab w:val="left" w:pos="8419"/>
              </w:tabs>
              <w:autoSpaceDE w:val="0"/>
              <w:autoSpaceDN w:val="0"/>
              <w:spacing w:line="276" w:lineRule="auto"/>
              <w:contextualSpacing/>
              <w:jc w:val="both"/>
              <w:rPr>
                <w:rFonts w:ascii="Verdana" w:hAnsi="Verdana" w:cs="Arial"/>
                <w:lang w:val="es-ES"/>
              </w:rPr>
            </w:pPr>
            <w:r w:rsidRPr="00A73656">
              <w:rPr>
                <w:rFonts w:ascii="Verdana" w:hAnsi="Verdana" w:cs="Arial"/>
                <w:lang w:val="es-ES"/>
              </w:rPr>
              <w:t xml:space="preserve">Consejo de Estado. Sección Tercera. Subsección C. Sentencia del 12 de noviembre de 2014. </w:t>
            </w:r>
            <w:proofErr w:type="spellStart"/>
            <w:r w:rsidRPr="00A73656">
              <w:rPr>
                <w:rFonts w:ascii="Verdana" w:hAnsi="Verdana" w:cs="Arial"/>
                <w:lang w:val="es-ES"/>
              </w:rPr>
              <w:t>Exp</w:t>
            </w:r>
            <w:proofErr w:type="spellEnd"/>
            <w:r w:rsidRPr="00A73656">
              <w:rPr>
                <w:rFonts w:ascii="Verdana" w:hAnsi="Verdana" w:cs="Arial"/>
                <w:lang w:val="es-ES"/>
              </w:rPr>
              <w:t>. 27.986. C.P. Enrique Gil Botero.</w:t>
            </w:r>
          </w:p>
          <w:p w14:paraId="79E12E2B" w14:textId="77777777" w:rsidR="00E464C4" w:rsidRPr="00A73656" w:rsidRDefault="00E464C4" w:rsidP="00ED7574">
            <w:pPr>
              <w:numPr>
                <w:ilvl w:val="0"/>
                <w:numId w:val="16"/>
              </w:numPr>
              <w:spacing w:line="276" w:lineRule="auto"/>
              <w:jc w:val="both"/>
              <w:rPr>
                <w:rFonts w:ascii="Verdana" w:hAnsi="Verdana" w:cs="Arial"/>
                <w:shd w:val="clear" w:color="auto" w:fill="FFFFFF"/>
              </w:rPr>
            </w:pPr>
            <w:r w:rsidRPr="00A73656">
              <w:rPr>
                <w:rFonts w:ascii="Verdana" w:hAnsi="Verdana" w:cs="Arial"/>
                <w:shd w:val="clear" w:color="auto" w:fill="FFFFFF"/>
              </w:rPr>
              <w:t>Circular Externa Única de la Agencia Nacional de Contratación Pública – Colombia Compra Eficiente</w:t>
            </w:r>
          </w:p>
          <w:p w14:paraId="4EB52CD8" w14:textId="77777777" w:rsidR="00E464C4" w:rsidRPr="00A73656" w:rsidRDefault="00E464C4" w:rsidP="00ED7574">
            <w:pPr>
              <w:numPr>
                <w:ilvl w:val="0"/>
                <w:numId w:val="16"/>
              </w:numPr>
              <w:spacing w:line="276" w:lineRule="auto"/>
              <w:jc w:val="both"/>
              <w:rPr>
                <w:rFonts w:ascii="Verdana" w:hAnsi="Verdana" w:cs="Arial"/>
                <w:shd w:val="clear" w:color="auto" w:fill="FFFFFF"/>
              </w:rPr>
            </w:pPr>
            <w:r w:rsidRPr="00A73656">
              <w:rPr>
                <w:rFonts w:ascii="Verdana" w:hAnsi="Verdana" w:cs="Arial"/>
                <w:shd w:val="clear" w:color="auto" w:fill="FFFFFF"/>
              </w:rPr>
              <w:t xml:space="preserve">Agencia Nacional de Contratación Pública – Colombia Compra Eficiente. Concepto C-285 del 20 de mayo de 2022. </w:t>
            </w:r>
            <w:r w:rsidRPr="000C1135">
              <w:rPr>
                <w:rFonts w:ascii="Verdana" w:hAnsi="Verdana" w:cs="Arial"/>
                <w:shd w:val="clear" w:color="auto" w:fill="FFFFFF"/>
              </w:rPr>
              <w:t xml:space="preserve">Consultar en: </w:t>
            </w:r>
            <w:hyperlink r:id="rId12" w:history="1">
              <w:r w:rsidRPr="000C1135">
                <w:rPr>
                  <w:rFonts w:ascii="Verdana" w:hAnsi="Verdana" w:cs="Arial"/>
                  <w:color w:val="0563C1" w:themeColor="hyperlink"/>
                  <w:u w:val="single"/>
                  <w:shd w:val="clear" w:color="auto" w:fill="FFFFFF"/>
                </w:rPr>
                <w:t>https://relatoria.colombiacompra.gov.co/conceptos/c-285-de-2022/</w:t>
              </w:r>
            </w:hyperlink>
            <w:r w:rsidRPr="000C1135">
              <w:rPr>
                <w:rFonts w:ascii="Verdana" w:hAnsi="Verdana" w:cs="Arial"/>
                <w:shd w:val="clear" w:color="auto" w:fill="FFFFFF"/>
              </w:rPr>
              <w:t xml:space="preserve"> </w:t>
            </w:r>
          </w:p>
          <w:p w14:paraId="178632D0" w14:textId="77777777" w:rsidR="00E464C4" w:rsidRPr="00A73656" w:rsidRDefault="00E464C4" w:rsidP="00ED7574">
            <w:pPr>
              <w:numPr>
                <w:ilvl w:val="0"/>
                <w:numId w:val="16"/>
              </w:numPr>
              <w:spacing w:line="276" w:lineRule="auto"/>
              <w:jc w:val="both"/>
              <w:rPr>
                <w:rFonts w:ascii="Verdana" w:hAnsi="Verdana" w:cs="Arial"/>
                <w:shd w:val="clear" w:color="auto" w:fill="FFFFFF"/>
              </w:rPr>
            </w:pPr>
            <w:r w:rsidRPr="00A73656">
              <w:rPr>
                <w:rFonts w:ascii="Verdana" w:hAnsi="Verdana" w:cs="Arial"/>
                <w:shd w:val="clear" w:color="auto" w:fill="FFFFFF"/>
              </w:rPr>
              <w:lastRenderedPageBreak/>
              <w:t xml:space="preserve">Agencia Nacional de Contratación Pública – Colombia Compra Eficiente. Concepto C-447 del 19 de septiembre de 2024. </w:t>
            </w:r>
            <w:r w:rsidRPr="000C1135">
              <w:rPr>
                <w:rFonts w:ascii="Verdana" w:hAnsi="Verdana" w:cs="Arial"/>
                <w:shd w:val="clear" w:color="auto" w:fill="FFFFFF"/>
              </w:rPr>
              <w:t xml:space="preserve">Consultar en: </w:t>
            </w:r>
            <w:hyperlink r:id="rId13" w:history="1">
              <w:r w:rsidRPr="000C1135">
                <w:rPr>
                  <w:rFonts w:ascii="Verdana" w:hAnsi="Verdana" w:cs="Arial"/>
                  <w:color w:val="0563C1" w:themeColor="hyperlink"/>
                  <w:u w:val="single"/>
                  <w:shd w:val="clear" w:color="auto" w:fill="FFFFFF"/>
                </w:rPr>
                <w:t>https://relatoria.colombiacompra.gov.co/conceptos/c-447-de-2024/</w:t>
              </w:r>
            </w:hyperlink>
            <w:r w:rsidRPr="000C1135">
              <w:rPr>
                <w:rFonts w:ascii="Verdana" w:hAnsi="Verdana" w:cs="Arial"/>
                <w:shd w:val="clear" w:color="auto" w:fill="FFFFFF"/>
              </w:rPr>
              <w:t xml:space="preserve"> </w:t>
            </w:r>
          </w:p>
          <w:p w14:paraId="12580EF6" w14:textId="77777777" w:rsidR="00E464C4" w:rsidRPr="00A73656" w:rsidRDefault="00E464C4" w:rsidP="00ED7574">
            <w:pPr>
              <w:widowControl w:val="0"/>
              <w:numPr>
                <w:ilvl w:val="0"/>
                <w:numId w:val="16"/>
              </w:numPr>
              <w:autoSpaceDE w:val="0"/>
              <w:autoSpaceDN w:val="0"/>
              <w:spacing w:line="276" w:lineRule="auto"/>
              <w:jc w:val="both"/>
              <w:rPr>
                <w:rFonts w:ascii="Verdana" w:hAnsi="Verdana" w:cs="Arial"/>
              </w:rPr>
            </w:pPr>
            <w:r w:rsidRPr="00A73656">
              <w:rPr>
                <w:rFonts w:ascii="Verdana" w:hAnsi="Verdana" w:cs="Arial"/>
                <w:shd w:val="clear" w:color="auto" w:fill="FFFFFF"/>
              </w:rPr>
              <w:t xml:space="preserve">RODRÍGUEZ TAMAYO, Mauricio Fernando. Evaluación y rechazo de ofertas en la Ley 80 de 1993. Medellín: Librería Jurídica Sánchez, 2016. </w:t>
            </w:r>
          </w:p>
          <w:p w14:paraId="5742AC16" w14:textId="77777777" w:rsidR="00E464C4" w:rsidRDefault="00E464C4" w:rsidP="00ED7574">
            <w:pPr>
              <w:widowControl w:val="0"/>
              <w:numPr>
                <w:ilvl w:val="0"/>
                <w:numId w:val="16"/>
              </w:numPr>
              <w:tabs>
                <w:tab w:val="left" w:pos="8419"/>
              </w:tabs>
              <w:autoSpaceDE w:val="0"/>
              <w:autoSpaceDN w:val="0"/>
              <w:spacing w:line="276" w:lineRule="auto"/>
              <w:contextualSpacing/>
              <w:jc w:val="both"/>
              <w:rPr>
                <w:rFonts w:ascii="Verdana" w:hAnsi="Verdana" w:cs="Arial"/>
              </w:rPr>
            </w:pPr>
            <w:r w:rsidRPr="00A73656">
              <w:rPr>
                <w:rFonts w:ascii="Verdana" w:hAnsi="Verdana" w:cs="Arial"/>
              </w:rPr>
              <w:t>DÁVILA VINUEZA, Luis Guillermo. Régimen jurídico de la contratación estatal. Tercera edición, Bogotá: Legis, 2016.</w:t>
            </w:r>
          </w:p>
          <w:p w14:paraId="33D0B517" w14:textId="77777777" w:rsidR="00E464C4" w:rsidRPr="00A73656" w:rsidRDefault="00E464C4" w:rsidP="00ED7574">
            <w:pPr>
              <w:widowControl w:val="0"/>
              <w:numPr>
                <w:ilvl w:val="0"/>
                <w:numId w:val="16"/>
              </w:numPr>
              <w:tabs>
                <w:tab w:val="left" w:pos="8419"/>
              </w:tabs>
              <w:autoSpaceDE w:val="0"/>
              <w:autoSpaceDN w:val="0"/>
              <w:spacing w:line="276" w:lineRule="auto"/>
              <w:contextualSpacing/>
              <w:jc w:val="both"/>
              <w:rPr>
                <w:rFonts w:ascii="Verdana" w:hAnsi="Verdana" w:cs="Arial"/>
              </w:rPr>
            </w:pPr>
            <w:r w:rsidRPr="00A73656">
              <w:rPr>
                <w:rFonts w:ascii="Verdana" w:hAnsi="Verdana" w:cs="Arial"/>
                <w:lang w:val="es-ES"/>
              </w:rPr>
              <w:t>EXPÓSITO VELEZ, Juan C., El deber de selección objetiva, en: Del contrato estatal a los sistemas de compras públicas, por COVILLA MARTINEZ Juan C. y LOZANO VILLEGAS Germán (Eds.). Universidad Externado de Colombia, Bogotá, 2019.</w:t>
            </w:r>
          </w:p>
        </w:tc>
      </w:tr>
    </w:tbl>
    <w:p w14:paraId="27B92C04" w14:textId="77777777" w:rsidR="00E464C4" w:rsidRPr="00A73656" w:rsidRDefault="00E464C4" w:rsidP="00E464C4">
      <w:pPr>
        <w:widowControl w:val="0"/>
        <w:autoSpaceDE w:val="0"/>
        <w:autoSpaceDN w:val="0"/>
        <w:spacing w:after="0" w:line="276" w:lineRule="auto"/>
        <w:jc w:val="both"/>
        <w:rPr>
          <w:rFonts w:ascii="Verdana" w:eastAsia="Calibri" w:hAnsi="Verdana" w:cs="Arial"/>
        </w:rPr>
      </w:pPr>
    </w:p>
    <w:p w14:paraId="05DA50E0" w14:textId="77777777" w:rsidR="00E464C4" w:rsidRPr="00A73656" w:rsidRDefault="00E464C4" w:rsidP="00E464C4">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A73656">
        <w:rPr>
          <w:rFonts w:ascii="Verdana" w:eastAsia="Century Gothic" w:hAnsi="Verdana" w:cs="Century Gothic"/>
          <w:b/>
          <w:bCs/>
          <w:lang w:val="es-ES"/>
        </w:rPr>
        <w:t>Doctrina de la Agencia Nacional de Contratación Pública:</w:t>
      </w:r>
    </w:p>
    <w:p w14:paraId="235D566D" w14:textId="77777777" w:rsidR="00E464C4" w:rsidRPr="00A73656" w:rsidRDefault="00E464C4" w:rsidP="00E464C4">
      <w:pPr>
        <w:widowControl w:val="0"/>
        <w:autoSpaceDE w:val="0"/>
        <w:autoSpaceDN w:val="0"/>
        <w:spacing w:after="0" w:line="276" w:lineRule="auto"/>
        <w:jc w:val="both"/>
        <w:rPr>
          <w:rFonts w:ascii="Verdana" w:eastAsia="Calibri" w:hAnsi="Verdana" w:cs="Arial"/>
        </w:rPr>
      </w:pPr>
    </w:p>
    <w:p w14:paraId="4EC95E27" w14:textId="77777777" w:rsidR="00E464C4" w:rsidRDefault="00E464C4" w:rsidP="00E464C4">
      <w:pPr>
        <w:widowControl w:val="0"/>
        <w:autoSpaceDE w:val="0"/>
        <w:autoSpaceDN w:val="0"/>
        <w:spacing w:after="0" w:line="276" w:lineRule="auto"/>
        <w:jc w:val="both"/>
        <w:rPr>
          <w:rFonts w:ascii="Verdana" w:eastAsia="Calibri" w:hAnsi="Verdana" w:cs="Arial"/>
          <w:shd w:val="clear" w:color="auto" w:fill="FFFFFF"/>
          <w:lang w:val="es-ES"/>
        </w:rPr>
      </w:pPr>
      <w:r w:rsidRPr="00A73656">
        <w:rPr>
          <w:rFonts w:ascii="Verdana" w:eastAsia="Calibri" w:hAnsi="Verdana" w:cs="Arial"/>
          <w:shd w:val="clear" w:color="auto" w:fill="FFFFFF"/>
          <w:lang w:val="es-ES"/>
        </w:rPr>
        <w:t>Sobre la regla de subsanabilidad en los procesos de selección</w:t>
      </w:r>
      <w:r>
        <w:rPr>
          <w:rFonts w:ascii="Verdana" w:eastAsia="Calibri" w:hAnsi="Verdana" w:cs="Arial"/>
          <w:shd w:val="clear" w:color="auto" w:fill="FFFFFF"/>
          <w:lang w:val="es-ES"/>
        </w:rPr>
        <w:t>,</w:t>
      </w:r>
      <w:r w:rsidRPr="00A73656">
        <w:rPr>
          <w:rFonts w:ascii="Verdana" w:eastAsia="Calibri" w:hAnsi="Verdana" w:cs="Arial"/>
          <w:shd w:val="clear" w:color="auto" w:fill="FFFFFF"/>
          <w:lang w:val="es-ES"/>
        </w:rPr>
        <w:t xml:space="preserve"> se pronunció esta Subdirección en los conceptos 4201913000007643 del 26 de diciembre de 2019, C-343 del 17 de junio de 2020, C-518 del 9 de septiembre de 2020, C-285 del 20 de mayo de 2022, C-614 del 5 de octubre de 2022, C-882 del 21 de diciembre de 2022, C-172 del 6 de junio de 2023, C-354 del 30 de agosto de 2024, C-447 del 19 de septiembre de 2024, C-1009 del 30 de enero de 2025</w:t>
      </w:r>
      <w:r>
        <w:rPr>
          <w:rFonts w:ascii="Verdana" w:eastAsia="Calibri" w:hAnsi="Verdana" w:cs="Arial"/>
          <w:shd w:val="clear" w:color="auto" w:fill="FFFFFF"/>
          <w:lang w:val="es-ES"/>
        </w:rPr>
        <w:t xml:space="preserve">, </w:t>
      </w:r>
      <w:r w:rsidRPr="00A73656">
        <w:rPr>
          <w:rFonts w:ascii="Verdana" w:eastAsia="Calibri" w:hAnsi="Verdana" w:cs="Arial"/>
          <w:shd w:val="clear" w:color="auto" w:fill="FFFFFF"/>
          <w:lang w:val="es-ES"/>
        </w:rPr>
        <w:t>C-687 del 9 de julio de 2025</w:t>
      </w:r>
      <w:r>
        <w:rPr>
          <w:rFonts w:ascii="Verdana" w:eastAsia="Calibri" w:hAnsi="Verdana" w:cs="Arial"/>
          <w:shd w:val="clear" w:color="auto" w:fill="FFFFFF"/>
          <w:lang w:val="es-ES"/>
        </w:rPr>
        <w:t xml:space="preserve">, C-896 del 15 de agosto de 2025, C-808 del 30 de junio de 2026, </w:t>
      </w:r>
      <w:r w:rsidRPr="00690210">
        <w:rPr>
          <w:rFonts w:ascii="Verdana" w:eastAsia="Calibri" w:hAnsi="Verdana" w:cs="Arial"/>
          <w:shd w:val="clear" w:color="auto" w:fill="FFFFFF"/>
          <w:lang w:val="es-ES"/>
        </w:rPr>
        <w:t>C- 950 de</w:t>
      </w:r>
      <w:r>
        <w:rPr>
          <w:rFonts w:ascii="Verdana" w:eastAsia="Calibri" w:hAnsi="Verdana" w:cs="Arial"/>
          <w:shd w:val="clear" w:color="auto" w:fill="FFFFFF"/>
          <w:lang w:val="es-ES"/>
        </w:rPr>
        <w:t>l 22 de julio de</w:t>
      </w:r>
      <w:r w:rsidRPr="00690210">
        <w:rPr>
          <w:rFonts w:ascii="Verdana" w:eastAsia="Calibri" w:hAnsi="Verdana" w:cs="Arial"/>
          <w:shd w:val="clear" w:color="auto" w:fill="FFFFFF"/>
          <w:lang w:val="es-ES"/>
        </w:rPr>
        <w:t xml:space="preserve"> 2026</w:t>
      </w:r>
      <w:r w:rsidRPr="00A73656">
        <w:rPr>
          <w:rFonts w:ascii="Verdana" w:eastAsia="Calibri" w:hAnsi="Verdana" w:cs="Arial"/>
          <w:shd w:val="clear" w:color="auto" w:fill="FFFFFF"/>
          <w:lang w:val="es-ES"/>
        </w:rPr>
        <w:t>.</w:t>
      </w:r>
      <w:r>
        <w:rPr>
          <w:rFonts w:ascii="Verdana" w:eastAsia="Calibri" w:hAnsi="Verdana" w:cs="Arial"/>
          <w:shd w:val="clear" w:color="auto" w:fill="FFFFFF"/>
          <w:lang w:val="es-ES"/>
        </w:rPr>
        <w:t xml:space="preserve"> </w:t>
      </w:r>
    </w:p>
    <w:p w14:paraId="1E2DCDBF" w14:textId="77777777" w:rsidR="00E464C4" w:rsidRDefault="00E464C4" w:rsidP="00E464C4">
      <w:pPr>
        <w:widowControl w:val="0"/>
        <w:autoSpaceDE w:val="0"/>
        <w:autoSpaceDN w:val="0"/>
        <w:spacing w:after="0" w:line="276" w:lineRule="auto"/>
        <w:jc w:val="both"/>
        <w:rPr>
          <w:rFonts w:ascii="Verdana" w:eastAsia="Calibri" w:hAnsi="Verdana" w:cs="Arial"/>
          <w:shd w:val="clear" w:color="auto" w:fill="FFFFFF"/>
          <w:lang w:val="es-ES"/>
        </w:rPr>
      </w:pPr>
    </w:p>
    <w:p w14:paraId="5E3AC81D" w14:textId="77777777" w:rsidR="00E464C4" w:rsidRPr="00A73656" w:rsidRDefault="00E464C4" w:rsidP="00E464C4">
      <w:pPr>
        <w:widowControl w:val="0"/>
        <w:autoSpaceDE w:val="0"/>
        <w:autoSpaceDN w:val="0"/>
        <w:spacing w:after="0" w:line="276" w:lineRule="auto"/>
        <w:jc w:val="both"/>
        <w:rPr>
          <w:rFonts w:ascii="Verdana" w:eastAsia="Calibri" w:hAnsi="Verdana" w:cs="Arial"/>
          <w:shd w:val="clear" w:color="auto" w:fill="FFFFFF"/>
          <w:lang w:val="es-ES"/>
        </w:rPr>
      </w:pPr>
      <w:r>
        <w:rPr>
          <w:rFonts w:ascii="Verdana" w:hAnsi="Verdana" w:cs="Arial"/>
          <w:color w:val="000000" w:themeColor="text1"/>
          <w:shd w:val="clear" w:color="auto" w:fill="FFFFFF"/>
        </w:rPr>
        <w:t>S</w:t>
      </w:r>
      <w:r w:rsidRPr="00B91ECF">
        <w:rPr>
          <w:rFonts w:ascii="Verdana" w:hAnsi="Verdana" w:cs="Arial"/>
          <w:color w:val="000000" w:themeColor="text1"/>
          <w:shd w:val="clear" w:color="auto" w:fill="FFFFFF"/>
        </w:rPr>
        <w:t xml:space="preserve">obre la </w:t>
      </w:r>
      <w:r w:rsidRPr="00B91ECF">
        <w:rPr>
          <w:rStyle w:val="normaltextrun"/>
          <w:rFonts w:ascii="Verdana" w:hAnsi="Verdana" w:cs="Arial"/>
          <w:color w:val="000000" w:themeColor="text1"/>
          <w:shd w:val="clear" w:color="auto" w:fill="FFFFFF"/>
          <w:lang w:val="es-ES"/>
        </w:rPr>
        <w:t>modificación de los pliegos de condiciones a través de las adendas dentro de los procesos de selección</w:t>
      </w:r>
      <w:r>
        <w:rPr>
          <w:rStyle w:val="normaltextrun"/>
          <w:rFonts w:ascii="Verdana" w:hAnsi="Verdana" w:cs="Arial"/>
          <w:color w:val="000000" w:themeColor="text1"/>
          <w:shd w:val="clear" w:color="auto" w:fill="FFFFFF"/>
          <w:lang w:val="es-ES"/>
        </w:rPr>
        <w:t>, se ha pronunciado</w:t>
      </w:r>
      <w:r w:rsidRPr="00B91ECF">
        <w:rPr>
          <w:rStyle w:val="normaltextrun"/>
          <w:rFonts w:ascii="Verdana" w:hAnsi="Verdana" w:cs="Arial"/>
          <w:color w:val="000000" w:themeColor="text1"/>
          <w:shd w:val="clear" w:color="auto" w:fill="FFFFFF"/>
          <w:lang w:val="es-ES"/>
        </w:rPr>
        <w:t xml:space="preserve"> en los conceptos</w:t>
      </w:r>
      <w:r w:rsidRPr="00B91ECF">
        <w:rPr>
          <w:rFonts w:ascii="Verdana" w:eastAsia="Aptos" w:hAnsi="Verdana" w:cs="Arial"/>
          <w:color w:val="000000" w:themeColor="text1"/>
          <w:shd w:val="clear" w:color="auto" w:fill="FFFFFF"/>
          <w:lang w:val="es-ES"/>
        </w:rPr>
        <w:t>, C-519 del 13 de septiembre de 2022, C-647 del 5 de octubre de 2022, C-705 de 25 de octubre de 2022, C-817 del 5 de diciembre de 2022, C-882 del 21 de diciembre de 2022, C-218 del 13 de julio de 2023</w:t>
      </w:r>
      <w:r w:rsidRPr="00B91ECF">
        <w:rPr>
          <w:rStyle w:val="normaltextrun"/>
          <w:rFonts w:ascii="Verdana" w:hAnsi="Verdana" w:cs="Calibri"/>
          <w:color w:val="000000" w:themeColor="text1"/>
          <w:shd w:val="clear" w:color="auto" w:fill="FFFFFF"/>
        </w:rPr>
        <w:t xml:space="preserve">, C- 383 del 20 de septiembre de 2023, </w:t>
      </w:r>
      <w:r w:rsidRPr="00B91ECF">
        <w:rPr>
          <w:rFonts w:ascii="Verdana" w:eastAsia="Aptos" w:hAnsi="Verdana" w:cs="Arial"/>
          <w:color w:val="000000" w:themeColor="text1"/>
          <w:shd w:val="clear" w:color="auto" w:fill="FFFFFF"/>
          <w:lang w:val="es-ES"/>
        </w:rPr>
        <w:t xml:space="preserve">C-299 del 21 de agosto de 2024, C-432 del 16 de septiembre de 2024, </w:t>
      </w:r>
      <w:r w:rsidRPr="00B91ECF">
        <w:rPr>
          <w:rStyle w:val="normaltextrun"/>
          <w:rFonts w:ascii="Verdana" w:hAnsi="Verdana" w:cs="Calibri"/>
          <w:color w:val="000000" w:themeColor="text1"/>
          <w:shd w:val="clear" w:color="auto" w:fill="FFFFFF"/>
        </w:rPr>
        <w:t>C-393 del 9 de septiembre de 2024, C-782 del 18 de noviembre de 2024, C-1020 del 27 de diciembre de 2024,</w:t>
      </w:r>
      <w:r w:rsidRPr="00B91ECF">
        <w:rPr>
          <w:rFonts w:ascii="Verdana" w:eastAsia="Aptos" w:hAnsi="Verdana" w:cs="Arial"/>
          <w:color w:val="000000" w:themeColor="text1"/>
          <w:shd w:val="clear" w:color="auto" w:fill="FFFFFF"/>
          <w:lang w:val="es-ES"/>
        </w:rPr>
        <w:t xml:space="preserve"> </w:t>
      </w:r>
      <w:r>
        <w:rPr>
          <w:rFonts w:ascii="Verdana" w:eastAsia="Aptos" w:hAnsi="Verdana" w:cs="Arial"/>
          <w:color w:val="000000" w:themeColor="text1"/>
          <w:shd w:val="clear" w:color="auto" w:fill="FFFFFF"/>
          <w:lang w:val="es-ES"/>
        </w:rPr>
        <w:t>C-278 del 7 de abril de 2026.</w:t>
      </w:r>
      <w:r w:rsidRPr="00A73656">
        <w:rPr>
          <w:rFonts w:ascii="Verdana" w:eastAsia="Calibri" w:hAnsi="Verdana" w:cs="Arial"/>
          <w:shd w:val="clear" w:color="auto" w:fill="FFFFFF"/>
          <w:lang w:val="es-ES"/>
        </w:rPr>
        <w:t xml:space="preserve"> Es</w:t>
      </w:r>
      <w:r w:rsidRPr="00A73656">
        <w:rPr>
          <w:rFonts w:ascii="Verdana" w:eastAsia="Calibri" w:hAnsi="Verdana" w:cs="Times New Roman"/>
        </w:rPr>
        <w:t>tos y otros conceptos se encuentran disponibles para consulta en el Sistema de relatoría de la Agencia, al cual se puede acceder a través del siguiente enlace:</w:t>
      </w:r>
      <w:r w:rsidRPr="00A73656">
        <w:rPr>
          <w:rFonts w:ascii="Verdana" w:eastAsia="Calibri" w:hAnsi="Verdana" w:cs="Arial"/>
          <w:shd w:val="clear" w:color="auto" w:fill="FFFFFF"/>
          <w:lang w:val="es-ES"/>
        </w:rPr>
        <w:t xml:space="preserve"> </w:t>
      </w:r>
      <w:hyperlink r:id="rId14" w:history="1">
        <w:r w:rsidRPr="000C1135">
          <w:rPr>
            <w:rFonts w:ascii="Verdana" w:eastAsia="Calibri" w:hAnsi="Verdana" w:cs="Arial"/>
            <w:u w:val="single"/>
            <w:shd w:val="clear" w:color="auto" w:fill="FFFFFF"/>
            <w:lang w:val="es-ES"/>
          </w:rPr>
          <w:t>https://relatoria.colombiacompra.gov.co/busqueda/conceptos</w:t>
        </w:r>
      </w:hyperlink>
    </w:p>
    <w:p w14:paraId="101BF56D" w14:textId="77777777" w:rsidR="00E464C4" w:rsidRDefault="00E464C4" w:rsidP="00E464C4">
      <w:pPr>
        <w:widowControl w:val="0"/>
        <w:autoSpaceDE w:val="0"/>
        <w:autoSpaceDN w:val="0"/>
        <w:spacing w:after="0" w:line="276" w:lineRule="auto"/>
        <w:jc w:val="both"/>
        <w:rPr>
          <w:rFonts w:ascii="Verdana" w:eastAsia="Calibri" w:hAnsi="Verdana" w:cs="Arial"/>
          <w:shd w:val="clear" w:color="auto" w:fill="FFFFFF"/>
          <w:lang w:val="es-ES"/>
        </w:rPr>
      </w:pPr>
    </w:p>
    <w:p w14:paraId="1BA317DD" w14:textId="77777777" w:rsidR="00E464C4" w:rsidRDefault="00E464C4" w:rsidP="00E464C4">
      <w:pPr>
        <w:spacing w:after="0" w:line="276" w:lineRule="auto"/>
        <w:jc w:val="both"/>
        <w:rPr>
          <w:rFonts w:ascii="Verdana" w:hAnsi="Verdana"/>
          <w:lang w:val="es-ES"/>
        </w:rPr>
      </w:pPr>
      <w:r w:rsidRPr="00D26A47">
        <w:rPr>
          <w:rFonts w:ascii="Verdana" w:hAnsi="Verdana"/>
          <w:lang w:val="es-ES"/>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Guía para la Exigencia y Constitución de Garantías en los Procesos de Contratación,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w:t>
      </w:r>
      <w:r w:rsidRPr="000C1135">
        <w:rPr>
          <w:rFonts w:ascii="Verdana" w:hAnsi="Verdana"/>
          <w:lang w:val="es-ES"/>
        </w:rPr>
        <w:t xml:space="preserve">Consúltala aquí: </w:t>
      </w:r>
      <w:hyperlink r:id="rId15" w:history="1">
        <w:r w:rsidRPr="000C1135">
          <w:rPr>
            <w:rStyle w:val="Hipervnculo"/>
            <w:rFonts w:ascii="Verdana" w:hAnsi="Verdana"/>
            <w:lang w:val="es-ES"/>
          </w:rPr>
          <w:t>https://www.colombiacompra.gov.co/archivos/manual/guia-de-garantias-en-procesos-de-contratacion</w:t>
        </w:r>
      </w:hyperlink>
    </w:p>
    <w:p w14:paraId="5AD734C7" w14:textId="77777777" w:rsidR="00E464C4" w:rsidRPr="00D26A47" w:rsidRDefault="00E464C4" w:rsidP="00E464C4">
      <w:pPr>
        <w:spacing w:after="0" w:line="276" w:lineRule="auto"/>
        <w:jc w:val="both"/>
        <w:rPr>
          <w:rFonts w:ascii="Verdana" w:hAnsi="Verdana"/>
          <w:lang w:val="es-ES"/>
        </w:rPr>
      </w:pPr>
    </w:p>
    <w:p w14:paraId="0D1098AD" w14:textId="77777777" w:rsidR="00E464C4" w:rsidRDefault="00E464C4" w:rsidP="00E464C4">
      <w:pPr>
        <w:spacing w:after="0" w:line="276" w:lineRule="auto"/>
        <w:jc w:val="both"/>
        <w:rPr>
          <w:rFonts w:ascii="Verdana" w:hAnsi="Verdana"/>
          <w:lang w:val="es-ES"/>
        </w:rPr>
      </w:pPr>
      <w:r w:rsidRPr="00D26A47">
        <w:rPr>
          <w:rFonts w:ascii="Verdana" w:hAnsi="Verdana"/>
          <w:lang w:val="es-ES"/>
        </w:rPr>
        <w:t xml:space="preserve">De otro lado, te contamos que el Decreto 287 del 19 de marzo de 2026 sustituyó los artículos 2.2.1.2.4.2.6., 2.2.1.2.4.2.7. y 2.2.1.2.4.2.8. del Decreto 1082 de 2015 y estructuró el Sistema Integral de Preferencias en favor de las personas con discapacidad, en cumplimiento del artículo 13 de la Ley Estatutaria 1618 de 2013. Para orientar su aplicación, esta Agencia expidió la Circular Externa 003 del 12 de mayo de 2026, en la que precisa quiénes son los beneficiarios, las cinco medidas que integran el sistema y su obligatoriedad según la modalidad de selección, y el régimen de transición aplicable a los procesos en curso. </w:t>
      </w:r>
      <w:r w:rsidRPr="000C1135">
        <w:rPr>
          <w:rFonts w:ascii="Verdana" w:hAnsi="Verdana"/>
          <w:lang w:val="es-ES"/>
        </w:rPr>
        <w:t xml:space="preserve">Consúltala aquí: </w:t>
      </w:r>
      <w:hyperlink r:id="rId16" w:history="1">
        <w:r w:rsidRPr="000C1135">
          <w:rPr>
            <w:rStyle w:val="Hipervnculo"/>
            <w:rFonts w:ascii="Verdana" w:hAnsi="Verdana"/>
            <w:lang w:val="es-ES"/>
          </w:rPr>
          <w:t>https://www.colombiacompra.gov.co/archivos/circular/circular-externa-003-de-2026</w:t>
        </w:r>
      </w:hyperlink>
    </w:p>
    <w:p w14:paraId="50BDEB48" w14:textId="77777777" w:rsidR="00E464C4" w:rsidRPr="00D26A47" w:rsidRDefault="00E464C4" w:rsidP="00E464C4">
      <w:pPr>
        <w:spacing w:after="0" w:line="276" w:lineRule="auto"/>
        <w:jc w:val="both"/>
        <w:rPr>
          <w:rFonts w:ascii="Verdana" w:hAnsi="Verdana"/>
          <w:lang w:val="es-ES"/>
        </w:rPr>
      </w:pPr>
    </w:p>
    <w:p w14:paraId="20F7F91B" w14:textId="77777777" w:rsidR="00E464C4" w:rsidRPr="00D26A47" w:rsidRDefault="00E464C4" w:rsidP="00E464C4">
      <w:pPr>
        <w:spacing w:after="0" w:line="276" w:lineRule="auto"/>
        <w:jc w:val="both"/>
        <w:rPr>
          <w:rFonts w:ascii="Verdana" w:hAnsi="Verdana"/>
          <w:lang w:val="es-ES"/>
        </w:rPr>
      </w:pPr>
      <w:r w:rsidRPr="00D26A47">
        <w:rPr>
          <w:rFonts w:ascii="Verdana" w:hAnsi="Verdana"/>
          <w:lang w:val="es-ES"/>
        </w:rPr>
        <w:t xml:space="preserve">Recuerda también que la información sobre sanciones e inhabilidades solo cumple su función preventiva si llega oportunamente a los registros públicos. Sobre este deber, esta Agencia expidió la Circular Externa 002 del 5 de mayo de 2026,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w:t>
      </w:r>
      <w:r w:rsidRPr="000C1135">
        <w:rPr>
          <w:rFonts w:ascii="Verdana" w:hAnsi="Verdana"/>
          <w:lang w:val="es-ES"/>
        </w:rPr>
        <w:t xml:space="preserve">Consúltala aquí: </w:t>
      </w:r>
      <w:hyperlink r:id="rId17" w:history="1">
        <w:r w:rsidRPr="000C1135">
          <w:rPr>
            <w:rStyle w:val="Hipervnculo"/>
            <w:rFonts w:ascii="Verdana" w:hAnsi="Verdana"/>
            <w:lang w:val="es-ES"/>
          </w:rPr>
          <w:t>https://www.colombiacompra.gov.co/archivos/circular/circular-externa-002-</w:t>
        </w:r>
        <w:r w:rsidRPr="000C1135">
          <w:rPr>
            <w:rStyle w:val="Hipervnculo"/>
            <w:rFonts w:ascii="Verdana" w:hAnsi="Verdana"/>
            <w:lang w:val="es-ES"/>
          </w:rPr>
          <w:lastRenderedPageBreak/>
          <w:t>de-2026</w:t>
        </w:r>
      </w:hyperlink>
      <w:r w:rsidRPr="000C1135">
        <w:rPr>
          <w:rFonts w:ascii="Verdana" w:hAnsi="Verdana"/>
          <w:lang w:val="es-ES"/>
        </w:rPr>
        <w:br/>
      </w:r>
    </w:p>
    <w:p w14:paraId="641C5361" w14:textId="77777777" w:rsidR="00E464C4" w:rsidRPr="00D26A47" w:rsidRDefault="00E464C4" w:rsidP="00E464C4">
      <w:pPr>
        <w:spacing w:after="0" w:line="276" w:lineRule="auto"/>
        <w:jc w:val="both"/>
        <w:rPr>
          <w:rFonts w:ascii="Verdana" w:hAnsi="Verdana"/>
          <w:lang w:val="es-ES"/>
        </w:rPr>
      </w:pPr>
      <w:r w:rsidRPr="00D26A47">
        <w:rPr>
          <w:rFonts w:ascii="Verdana" w:hAnsi="Verdana"/>
          <w:lang w:val="es-ES"/>
        </w:rPr>
        <w:t xml:space="preserve">Finalmente, si quieres seguir de cerca la actividad de la Agencia, la tercera edición de 2026 del Radar de la Compra Pública reúne, entre otros contenidos, la Circular Externa 003 de 2026, el Decreto 552 de 2026, un estudio sobre inteligencia artificial en la compra pública, los avances de la Relatoría, análisis jurisprudencial, conceptos jurídicos destacados y la oferta de la Escuela Virtual ANCP-CCE. </w:t>
      </w:r>
      <w:r w:rsidRPr="000C1135">
        <w:rPr>
          <w:rFonts w:ascii="Verdana" w:hAnsi="Verdana"/>
          <w:lang w:val="es-ES"/>
        </w:rPr>
        <w:t xml:space="preserve">Descárgalo aquí: </w:t>
      </w:r>
      <w:hyperlink r:id="rId18" w:history="1">
        <w:r w:rsidRPr="000C1135">
          <w:rPr>
            <w:rStyle w:val="Hipervnculo"/>
            <w:rFonts w:ascii="Verdana" w:hAnsi="Verdana"/>
            <w:color w:val="auto"/>
            <w:lang w:val="es-ES"/>
          </w:rPr>
          <w:t>https://www.colombiacompra.gov.co/archivos/boletin/boletin-edicion-n-3-de-2026-radar-de-la-compra-publica</w:t>
        </w:r>
      </w:hyperlink>
    </w:p>
    <w:p w14:paraId="2DB79086" w14:textId="77777777" w:rsidR="00E464C4" w:rsidRPr="00D26A47" w:rsidRDefault="00E464C4" w:rsidP="00E464C4">
      <w:pPr>
        <w:spacing w:after="0" w:line="276" w:lineRule="auto"/>
        <w:jc w:val="both"/>
        <w:rPr>
          <w:rFonts w:ascii="Verdana" w:hAnsi="Verdana"/>
          <w:color w:val="ED7D31" w:themeColor="accent2"/>
          <w:lang w:val="es-ES"/>
        </w:rPr>
      </w:pPr>
    </w:p>
    <w:p w14:paraId="763027D0" w14:textId="77777777" w:rsidR="00E464C4" w:rsidRPr="00206556" w:rsidRDefault="00E464C4" w:rsidP="00ED7574">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Por último, lo invitamos a seguirnos en las redes sociales en las cuales se difunde información institucional: </w:t>
      </w:r>
    </w:p>
    <w:p w14:paraId="30744D2D" w14:textId="77777777" w:rsidR="00E464C4" w:rsidRPr="00206556" w:rsidRDefault="00E464C4" w:rsidP="00ED7574">
      <w:pPr>
        <w:spacing w:after="0" w:line="276" w:lineRule="auto"/>
        <w:jc w:val="both"/>
        <w:rPr>
          <w:rFonts w:ascii="Verdana" w:hAnsi="Verdana" w:cs="Arial"/>
          <w:shd w:val="clear" w:color="auto" w:fill="FFFFFF"/>
        </w:rPr>
      </w:pPr>
    </w:p>
    <w:p w14:paraId="78C17F80" w14:textId="77777777" w:rsidR="00E464C4" w:rsidRPr="00206556" w:rsidRDefault="00E464C4" w:rsidP="00ED7574">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32454EA2" w14:textId="77777777" w:rsidR="00E464C4" w:rsidRPr="00206556" w:rsidRDefault="00E464C4" w:rsidP="00ED7574">
      <w:pPr>
        <w:spacing w:after="0" w:line="276" w:lineRule="auto"/>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27E65D84" w14:textId="77777777" w:rsidR="00E464C4" w:rsidRPr="00206556" w:rsidRDefault="00E464C4" w:rsidP="00ED7574">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4B9E616D" w14:textId="77777777" w:rsidR="00E464C4" w:rsidRPr="00206556" w:rsidRDefault="00E464C4" w:rsidP="00ED7574">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160C6F96" w14:textId="77777777" w:rsidR="00E464C4" w:rsidRPr="00206556" w:rsidRDefault="00E464C4" w:rsidP="00E464C4">
      <w:pPr>
        <w:widowControl w:val="0"/>
        <w:autoSpaceDE w:val="0"/>
        <w:autoSpaceDN w:val="0"/>
        <w:spacing w:after="0" w:line="276" w:lineRule="auto"/>
        <w:jc w:val="both"/>
        <w:rPr>
          <w:rFonts w:ascii="Verdana" w:hAnsi="Verdana" w:cs="Arial"/>
          <w:color w:val="ED7D31" w:themeColor="accent2"/>
          <w:lang w:val="es-ES"/>
        </w:rPr>
      </w:pPr>
    </w:p>
    <w:p w14:paraId="762190ED" w14:textId="77777777" w:rsidR="00E464C4" w:rsidRPr="00206556" w:rsidRDefault="00E464C4" w:rsidP="00E464C4">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0C1C039" w14:textId="77777777" w:rsidR="00E464C4" w:rsidRPr="00206556" w:rsidRDefault="00E464C4" w:rsidP="00E464C4">
      <w:pPr>
        <w:widowControl w:val="0"/>
        <w:autoSpaceDE w:val="0"/>
        <w:autoSpaceDN w:val="0"/>
        <w:spacing w:after="0" w:line="276" w:lineRule="auto"/>
        <w:jc w:val="both"/>
        <w:rPr>
          <w:rFonts w:ascii="Verdana" w:hAnsi="Verdana" w:cs="Arial"/>
          <w:lang w:val="es-ES"/>
        </w:rPr>
      </w:pPr>
    </w:p>
    <w:p w14:paraId="23F80261" w14:textId="77777777" w:rsidR="00E464C4" w:rsidRPr="00206556" w:rsidRDefault="00E464C4" w:rsidP="00E464C4">
      <w:pPr>
        <w:spacing w:after="0" w:line="276" w:lineRule="auto"/>
        <w:rPr>
          <w:rFonts w:ascii="Verdana" w:hAnsi="Verdana" w:cs="Arial"/>
          <w:lang w:val="es-ES" w:eastAsia="es-CO"/>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7C801B80" w14:textId="77777777" w:rsidR="00E464C4" w:rsidRPr="00206556" w:rsidRDefault="00E464C4" w:rsidP="00E464C4">
      <w:pPr>
        <w:autoSpaceDE w:val="0"/>
        <w:autoSpaceDN w:val="0"/>
        <w:adjustRightInd w:val="0"/>
        <w:spacing w:after="0" w:line="276" w:lineRule="auto"/>
        <w:rPr>
          <w:rFonts w:ascii="Verdana" w:eastAsia="Calibri" w:hAnsi="Verdana" w:cs="Arial"/>
          <w:noProof/>
          <w:sz w:val="20"/>
          <w:szCs w:val="20"/>
        </w:rPr>
      </w:pPr>
    </w:p>
    <w:p w14:paraId="59AC0827" w14:textId="434E91F0" w:rsidR="00E464C4" w:rsidRPr="00206556" w:rsidRDefault="004C4E31" w:rsidP="00E464C4">
      <w:pPr>
        <w:spacing w:after="0" w:line="256" w:lineRule="auto"/>
        <w:jc w:val="center"/>
        <w:rPr>
          <w:rFonts w:ascii="Verdana" w:eastAsia="Times New Roman" w:hAnsi="Verdana" w:cs="Arial"/>
          <w:lang w:eastAsia="es-ES"/>
        </w:rPr>
      </w:pPr>
      <w:r>
        <w:rPr>
          <w:noProof/>
        </w:rPr>
        <w:drawing>
          <wp:inline distT="0" distB="0" distL="0" distR="0" wp14:anchorId="38417DE1" wp14:editId="4386E479">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p w14:paraId="37C1B222" w14:textId="77777777" w:rsidR="00E464C4" w:rsidRPr="00206556" w:rsidRDefault="00E464C4" w:rsidP="00E464C4">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E464C4" w:rsidRPr="00206556" w14:paraId="51E8BD25" w14:textId="77777777" w:rsidTr="00533C46">
        <w:trPr>
          <w:trHeight w:val="322"/>
        </w:trPr>
        <w:tc>
          <w:tcPr>
            <w:tcW w:w="733" w:type="dxa"/>
            <w:tcBorders>
              <w:top w:val="nil"/>
              <w:left w:val="nil"/>
              <w:bottom w:val="nil"/>
              <w:right w:val="nil"/>
            </w:tcBorders>
            <w:vAlign w:val="center"/>
            <w:hideMark/>
          </w:tcPr>
          <w:p w14:paraId="1CDBA6C2" w14:textId="77777777" w:rsidR="00E464C4" w:rsidRPr="00206556" w:rsidRDefault="00E464C4" w:rsidP="00533C46">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199233D" w14:textId="77777777" w:rsidR="00E464C4" w:rsidRPr="00206556" w:rsidRDefault="00E464C4" w:rsidP="00533C46">
            <w:pPr>
              <w:spacing w:after="0" w:line="256" w:lineRule="auto"/>
              <w:rPr>
                <w:rFonts w:ascii="Verdana" w:eastAsia="Times New Roman" w:hAnsi="Verdana" w:cs="Arial"/>
                <w:sz w:val="16"/>
                <w:szCs w:val="16"/>
                <w:lang w:val="es-ES_tradnl" w:eastAsia="es-ES"/>
              </w:rPr>
            </w:pPr>
            <w:r w:rsidRPr="00206556">
              <w:rPr>
                <w:rFonts w:ascii="Verdana" w:eastAsia="Times New Roman" w:hAnsi="Verdana" w:cs="Arial"/>
                <w:sz w:val="16"/>
                <w:szCs w:val="16"/>
                <w:lang w:val="es-ES_tradnl" w:eastAsia="es-ES"/>
              </w:rPr>
              <w:t>Ximena Ríos López</w:t>
            </w:r>
          </w:p>
          <w:p w14:paraId="5AE9AEEE" w14:textId="77777777" w:rsidR="00E464C4" w:rsidRPr="00A5703A" w:rsidRDefault="00E464C4" w:rsidP="00533C46">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T1-11 de la Subdirección de Gestión Contractual</w:t>
            </w:r>
          </w:p>
        </w:tc>
      </w:tr>
      <w:tr w:rsidR="00E464C4" w:rsidRPr="00206556" w14:paraId="46495A95" w14:textId="77777777" w:rsidTr="00533C46">
        <w:trPr>
          <w:trHeight w:val="322"/>
        </w:trPr>
        <w:tc>
          <w:tcPr>
            <w:tcW w:w="733" w:type="dxa"/>
            <w:tcBorders>
              <w:top w:val="nil"/>
              <w:left w:val="nil"/>
              <w:bottom w:val="nil"/>
              <w:right w:val="nil"/>
            </w:tcBorders>
            <w:vAlign w:val="center"/>
            <w:hideMark/>
          </w:tcPr>
          <w:p w14:paraId="68AD28BA" w14:textId="77777777" w:rsidR="00E464C4" w:rsidRPr="00206556" w:rsidRDefault="00E464C4" w:rsidP="00533C46">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600642D" w14:textId="794CB4E4" w:rsidR="00E464C4" w:rsidRPr="00206556" w:rsidRDefault="00E464C4" w:rsidP="00533C46">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 xml:space="preserve">Diana </w:t>
            </w:r>
            <w:r w:rsidR="000C1135">
              <w:rPr>
                <w:rFonts w:ascii="Verdana" w:eastAsia="Times New Roman" w:hAnsi="Verdana" w:cs="Arial"/>
                <w:sz w:val="16"/>
                <w:szCs w:val="16"/>
                <w:lang w:val="es-ES_tradnl" w:eastAsia="es-ES"/>
              </w:rPr>
              <w:t xml:space="preserve">Lucia </w:t>
            </w:r>
            <w:r>
              <w:rPr>
                <w:rFonts w:ascii="Verdana" w:eastAsia="Times New Roman" w:hAnsi="Verdana" w:cs="Arial"/>
                <w:sz w:val="16"/>
                <w:szCs w:val="16"/>
                <w:lang w:val="es-ES_tradnl" w:eastAsia="es-ES"/>
              </w:rPr>
              <w:t>Saavedra</w:t>
            </w:r>
            <w:r w:rsidR="000C1135">
              <w:rPr>
                <w:rFonts w:ascii="Verdana" w:eastAsia="Times New Roman" w:hAnsi="Verdana" w:cs="Arial"/>
                <w:sz w:val="16"/>
                <w:szCs w:val="16"/>
                <w:lang w:val="es-ES_tradnl" w:eastAsia="es-ES"/>
              </w:rPr>
              <w:t xml:space="preserve"> Castañeda</w:t>
            </w:r>
          </w:p>
          <w:p w14:paraId="680FEECF" w14:textId="77777777" w:rsidR="00E464C4" w:rsidRPr="00A5703A" w:rsidRDefault="00E464C4" w:rsidP="00533C46">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lastRenderedPageBreak/>
              <w:t>Contratista</w:t>
            </w:r>
            <w:r w:rsidRPr="00206556">
              <w:rPr>
                <w:rFonts w:ascii="Verdana" w:eastAsia="Times New Roman" w:hAnsi="Verdana" w:cs="Arial"/>
                <w:sz w:val="16"/>
                <w:szCs w:val="16"/>
                <w:lang w:eastAsia="es-ES"/>
              </w:rPr>
              <w:t xml:space="preserve"> de la Subdirección de Gestión Contractual</w:t>
            </w:r>
          </w:p>
        </w:tc>
      </w:tr>
      <w:tr w:rsidR="00E464C4" w:rsidRPr="00206556" w14:paraId="0428032C" w14:textId="77777777" w:rsidTr="00533C46">
        <w:trPr>
          <w:trHeight w:val="307"/>
        </w:trPr>
        <w:tc>
          <w:tcPr>
            <w:tcW w:w="733" w:type="dxa"/>
            <w:tcBorders>
              <w:top w:val="nil"/>
              <w:left w:val="nil"/>
              <w:bottom w:val="nil"/>
              <w:right w:val="nil"/>
            </w:tcBorders>
            <w:vAlign w:val="center"/>
            <w:hideMark/>
          </w:tcPr>
          <w:p w14:paraId="0724E8BD" w14:textId="77777777" w:rsidR="00E464C4" w:rsidRPr="00206556" w:rsidRDefault="00E464C4" w:rsidP="00533C46">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lastRenderedPageBreak/>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E014FA3" w14:textId="77777777" w:rsidR="00E464C4" w:rsidRPr="00206556" w:rsidRDefault="00E464C4" w:rsidP="00533C46">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0358E3CE" w14:textId="77777777" w:rsidR="00E464C4" w:rsidRPr="00206556" w:rsidRDefault="00E464C4" w:rsidP="00533C46">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tbl>
    <w:p w14:paraId="0E0E5E58" w14:textId="79493E8E" w:rsidR="00E464C4" w:rsidRPr="008540A9" w:rsidRDefault="00E464C4" w:rsidP="00E464C4">
      <w:pPr>
        <w:autoSpaceDE w:val="0"/>
        <w:autoSpaceDN w:val="0"/>
        <w:adjustRightInd w:val="0"/>
        <w:spacing w:after="0" w:line="276" w:lineRule="auto"/>
        <w:jc w:val="center"/>
      </w:pPr>
    </w:p>
    <w:p w14:paraId="0F293BF4" w14:textId="5957D714" w:rsidR="00127233" w:rsidRPr="00E464C4" w:rsidRDefault="00127233" w:rsidP="00E464C4"/>
    <w:sectPr w:rsidR="00127233" w:rsidRPr="00E464C4"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62476" w14:textId="77777777" w:rsidR="00A65C96" w:rsidRDefault="00A65C96" w:rsidP="004A1847">
      <w:pPr>
        <w:spacing w:after="0" w:line="240" w:lineRule="auto"/>
      </w:pPr>
      <w:r>
        <w:separator/>
      </w:r>
    </w:p>
  </w:endnote>
  <w:endnote w:type="continuationSeparator" w:id="0">
    <w:p w14:paraId="5F50944D" w14:textId="77777777" w:rsidR="00A65C96" w:rsidRDefault="00A65C9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ADFFE" w14:textId="77777777" w:rsidR="00A65C96" w:rsidRDefault="00A65C96" w:rsidP="004A1847">
      <w:pPr>
        <w:spacing w:after="0" w:line="240" w:lineRule="auto"/>
      </w:pPr>
      <w:r>
        <w:separator/>
      </w:r>
    </w:p>
  </w:footnote>
  <w:footnote w:type="continuationSeparator" w:id="0">
    <w:p w14:paraId="50EC57E6" w14:textId="77777777" w:rsidR="00A65C96" w:rsidRDefault="00A65C96" w:rsidP="004A1847">
      <w:pPr>
        <w:spacing w:after="0" w:line="240" w:lineRule="auto"/>
      </w:pPr>
      <w:r>
        <w:continuationSeparator/>
      </w:r>
    </w:p>
  </w:footnote>
  <w:footnote w:id="1">
    <w:p w14:paraId="45376465" w14:textId="77777777" w:rsidR="00E464C4" w:rsidRDefault="00E464C4" w:rsidP="00E464C4">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C-285 del 20 de mayo de 2022. Consultar en: </w:t>
      </w:r>
      <w:hyperlink r:id="rId1" w:history="1">
        <w:r>
          <w:rPr>
            <w:rStyle w:val="Hipervnculo"/>
            <w:rFonts w:ascii="Verdana" w:hAnsi="Verdana"/>
            <w:sz w:val="16"/>
            <w:szCs w:val="16"/>
          </w:rPr>
          <w:t>https://relatoria.colombiacompra.gov.co/conceptos/c-285-de-2022/</w:t>
        </w:r>
      </w:hyperlink>
    </w:p>
    <w:p w14:paraId="79133D45" w14:textId="77777777" w:rsidR="00E464C4" w:rsidRDefault="00E464C4" w:rsidP="00E464C4">
      <w:pPr>
        <w:pStyle w:val="Textonotapie"/>
        <w:ind w:firstLine="708"/>
        <w:jc w:val="both"/>
        <w:rPr>
          <w:rFonts w:ascii="Verdana" w:hAnsi="Verdana"/>
          <w:sz w:val="16"/>
          <w:szCs w:val="16"/>
          <w:lang w:val="es-CO"/>
        </w:rPr>
      </w:pPr>
      <w:r>
        <w:rPr>
          <w:rFonts w:ascii="Verdana" w:hAnsi="Verdana"/>
          <w:sz w:val="16"/>
          <w:szCs w:val="16"/>
        </w:rPr>
        <w:t xml:space="preserve"> </w:t>
      </w:r>
    </w:p>
  </w:footnote>
  <w:footnote w:id="2">
    <w:p w14:paraId="72228450" w14:textId="77777777" w:rsidR="00E464C4" w:rsidRDefault="00E464C4" w:rsidP="00E464C4">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C-447 del 19 de septiembre de 2024. Consultar en: </w:t>
      </w:r>
      <w:hyperlink r:id="rId2" w:history="1">
        <w:r>
          <w:rPr>
            <w:rStyle w:val="Hipervnculo"/>
            <w:rFonts w:ascii="Verdana" w:hAnsi="Verdana"/>
            <w:sz w:val="16"/>
            <w:szCs w:val="16"/>
          </w:rPr>
          <w:t>https://relatoria.colombiacompra.gov.co/conceptos/c-447-de-2024/</w:t>
        </w:r>
      </w:hyperlink>
      <w:r>
        <w:rPr>
          <w:rFonts w:ascii="Verdana" w:hAnsi="Verdana"/>
          <w:sz w:val="16"/>
          <w:szCs w:val="16"/>
        </w:rPr>
        <w:t xml:space="preserve"> </w:t>
      </w:r>
    </w:p>
    <w:p w14:paraId="313AE1D5" w14:textId="77777777" w:rsidR="00E464C4" w:rsidRDefault="00E464C4" w:rsidP="00E464C4">
      <w:pPr>
        <w:pStyle w:val="Textonotapie"/>
        <w:jc w:val="both"/>
        <w:rPr>
          <w:rFonts w:ascii="Verdana" w:hAnsi="Verdana"/>
          <w:sz w:val="16"/>
          <w:szCs w:val="16"/>
        </w:rPr>
      </w:pPr>
    </w:p>
  </w:footnote>
  <w:footnote w:id="3">
    <w:p w14:paraId="3AF66A17" w14:textId="77777777" w:rsidR="00E464C4" w:rsidRDefault="00E464C4" w:rsidP="00E464C4">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Style w:val="Refdenotaalpie"/>
          <w:rFonts w:ascii="Verdana" w:hAnsi="Verdana" w:cs="Arial"/>
          <w:color w:val="000000"/>
          <w:sz w:val="16"/>
          <w:szCs w:val="16"/>
        </w:rPr>
        <w:t xml:space="preserve"> </w:t>
      </w:r>
      <w:r>
        <w:rPr>
          <w:rFonts w:ascii="Verdana"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1A50D9A9" w14:textId="77777777" w:rsidR="00E464C4" w:rsidRDefault="00E464C4" w:rsidP="00E464C4">
      <w:pPr>
        <w:pStyle w:val="Textonotapie"/>
        <w:ind w:firstLine="709"/>
        <w:jc w:val="both"/>
        <w:rPr>
          <w:rFonts w:ascii="Verdana" w:hAnsi="Verdana" w:cs="Arial"/>
          <w:color w:val="000000"/>
          <w:sz w:val="16"/>
          <w:szCs w:val="16"/>
        </w:rPr>
      </w:pPr>
    </w:p>
  </w:footnote>
  <w:footnote w:id="4">
    <w:p w14:paraId="2ABAF20D" w14:textId="77777777" w:rsidR="00E464C4" w:rsidRDefault="00E464C4" w:rsidP="00E464C4">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60E4A567" w14:textId="77777777" w:rsidR="00E464C4" w:rsidRDefault="00E464C4" w:rsidP="00E464C4">
      <w:pPr>
        <w:pStyle w:val="Textonotapie"/>
        <w:ind w:firstLine="709"/>
        <w:jc w:val="both"/>
        <w:rPr>
          <w:rFonts w:ascii="Verdana" w:hAnsi="Verdana" w:cs="Arial"/>
          <w:color w:val="000000"/>
          <w:sz w:val="16"/>
          <w:szCs w:val="16"/>
        </w:rPr>
      </w:pPr>
      <w:r>
        <w:rPr>
          <w:rFonts w:ascii="Verdana" w:hAnsi="Verdana" w:cs="Arial"/>
          <w:color w:val="000000"/>
          <w:sz w:val="16"/>
          <w:szCs w:val="16"/>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3EAA419A" w14:textId="77777777" w:rsidR="00E464C4" w:rsidRDefault="00E464C4" w:rsidP="00E464C4">
      <w:pPr>
        <w:pStyle w:val="Textonotapie"/>
        <w:ind w:firstLine="709"/>
        <w:jc w:val="both"/>
        <w:rPr>
          <w:rFonts w:ascii="Verdana" w:hAnsi="Verdana" w:cs="Arial"/>
          <w:color w:val="000000"/>
          <w:sz w:val="16"/>
          <w:szCs w:val="16"/>
        </w:rPr>
      </w:pPr>
    </w:p>
  </w:footnote>
  <w:footnote w:id="5">
    <w:p w14:paraId="24A37AFA" w14:textId="77777777" w:rsidR="00E464C4" w:rsidRDefault="00E464C4" w:rsidP="00E464C4">
      <w:pPr>
        <w:pStyle w:val="Textonotapie"/>
        <w:ind w:firstLine="709"/>
        <w:jc w:val="both"/>
        <w:rPr>
          <w:rFonts w:ascii="Verdana" w:hAnsi="Verdana" w:cs="Arial"/>
          <w:color w:val="000000"/>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color w:val="000000"/>
          <w:sz w:val="16"/>
          <w:szCs w:val="16"/>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2EB18DFB" w14:textId="77777777" w:rsidR="00E464C4" w:rsidRDefault="00E464C4" w:rsidP="00E464C4">
      <w:pPr>
        <w:pStyle w:val="Textonotapie"/>
        <w:ind w:firstLine="709"/>
        <w:jc w:val="both"/>
        <w:rPr>
          <w:rFonts w:ascii="Verdana" w:hAnsi="Verdana" w:cs="Arial"/>
          <w:color w:val="000000"/>
          <w:sz w:val="16"/>
          <w:szCs w:val="16"/>
        </w:rPr>
      </w:pPr>
      <w:r>
        <w:rPr>
          <w:rFonts w:ascii="Verdana" w:hAnsi="Verdana" w:cs="Arial"/>
          <w:color w:val="000000"/>
          <w:sz w:val="16"/>
          <w:szCs w:val="16"/>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3" w:history="1">
        <w:r>
          <w:rPr>
            <w:rStyle w:val="Hipervnculo"/>
            <w:rFonts w:ascii="Verdana" w:hAnsi="Verdana" w:cs="Arial"/>
            <w:sz w:val="16"/>
            <w:szCs w:val="16"/>
          </w:rPr>
          <w:t>https://www.colombiacompra.gov.co/circulares?page=2</w:t>
        </w:r>
      </w:hyperlink>
      <w:r>
        <w:rPr>
          <w:rStyle w:val="Hipervnculo"/>
          <w:rFonts w:ascii="Verdana" w:hAnsi="Verdana" w:cs="Arial"/>
          <w:color w:val="000000"/>
          <w:sz w:val="16"/>
          <w:szCs w:val="16"/>
        </w:rPr>
        <w:t xml:space="preserve"> </w:t>
      </w:r>
    </w:p>
    <w:p w14:paraId="6CA0A2C2" w14:textId="77777777" w:rsidR="00E464C4" w:rsidRDefault="00E464C4" w:rsidP="00E464C4">
      <w:pPr>
        <w:pStyle w:val="Textonotapie"/>
        <w:ind w:firstLine="709"/>
        <w:jc w:val="both"/>
        <w:rPr>
          <w:rFonts w:ascii="Verdana" w:hAnsi="Verdana" w:cs="Arial"/>
          <w:color w:val="000000"/>
          <w:sz w:val="16"/>
          <w:szCs w:val="16"/>
        </w:rPr>
      </w:pPr>
    </w:p>
  </w:footnote>
  <w:footnote w:id="6">
    <w:p w14:paraId="6990DEBD" w14:textId="77777777" w:rsidR="00E464C4" w:rsidRDefault="00E464C4" w:rsidP="00E464C4">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Ver Consejo de Estado, Sección Tercera, Subsección C. Sentencia del 26 de febrero de 2011. C.P. Jaime Orlando Santofimio. Rad. 36.408. </w:t>
      </w:r>
    </w:p>
  </w:footnote>
  <w:footnote w:id="7">
    <w:p w14:paraId="75BDF902" w14:textId="77777777" w:rsidR="00E464C4" w:rsidRDefault="00E464C4" w:rsidP="00E464C4">
      <w:pPr>
        <w:pStyle w:val="Textonotapie"/>
        <w:ind w:firstLine="709"/>
        <w:jc w:val="both"/>
        <w:rPr>
          <w:rFonts w:ascii="Verdana" w:hAnsi="Verdana" w:cs="Arial"/>
          <w:color w:val="000000"/>
          <w:sz w:val="16"/>
          <w:szCs w:val="16"/>
        </w:rPr>
      </w:pPr>
    </w:p>
    <w:p w14:paraId="1406C7B4" w14:textId="77777777" w:rsidR="00E464C4" w:rsidRDefault="00E464C4" w:rsidP="00E464C4">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Ver Consejo de Estado, Sección Tercera, Subsección C. Sentencia del 26 de febrero de 2014. C.P. Enrique Gil Botero. Rad. 25.804. </w:t>
      </w:r>
    </w:p>
    <w:p w14:paraId="6327EF2C" w14:textId="77777777" w:rsidR="00E464C4" w:rsidRDefault="00E464C4" w:rsidP="00E464C4">
      <w:pPr>
        <w:pStyle w:val="Textonotapie"/>
        <w:ind w:firstLine="709"/>
        <w:jc w:val="both"/>
        <w:rPr>
          <w:rFonts w:ascii="Verdana" w:hAnsi="Verdana" w:cs="Arial"/>
          <w:color w:val="000000"/>
          <w:sz w:val="16"/>
          <w:szCs w:val="16"/>
        </w:rPr>
      </w:pPr>
    </w:p>
  </w:footnote>
  <w:footnote w:id="8">
    <w:p w14:paraId="0E0F6053" w14:textId="77777777" w:rsidR="00E464C4" w:rsidRDefault="00E464C4" w:rsidP="00E464C4">
      <w:pPr>
        <w:pStyle w:val="Textonotapie"/>
        <w:ind w:firstLine="708"/>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Consejo de Estado. Sala de Consulta y Servicio Civil. Concepto del 20 de mayo de 2010. Expediente: 1992. Consejero Ponente: Enrique José Arboleda Perdomo.</w:t>
      </w:r>
    </w:p>
    <w:p w14:paraId="7EEF14DC" w14:textId="77777777" w:rsidR="00E464C4" w:rsidRDefault="00E464C4" w:rsidP="00E464C4">
      <w:pPr>
        <w:pStyle w:val="Textonotapie"/>
        <w:ind w:firstLine="708"/>
        <w:jc w:val="both"/>
        <w:rPr>
          <w:rFonts w:ascii="Verdana" w:hAnsi="Verdana" w:cs="Arial"/>
          <w:color w:val="000000"/>
          <w:sz w:val="16"/>
          <w:szCs w:val="16"/>
        </w:rPr>
      </w:pPr>
    </w:p>
  </w:footnote>
  <w:footnote w:id="9">
    <w:p w14:paraId="35002B6B" w14:textId="77777777" w:rsidR="00E464C4" w:rsidRPr="00DE4763" w:rsidRDefault="00E464C4" w:rsidP="00E464C4">
      <w:pPr>
        <w:pStyle w:val="Textonotapie"/>
        <w:ind w:firstLine="708"/>
        <w:jc w:val="both"/>
        <w:rPr>
          <w:rFonts w:ascii="Verdana" w:hAnsi="Verdana" w:cs="Arial"/>
          <w:color w:val="000000" w:themeColor="text1"/>
          <w:sz w:val="16"/>
          <w:szCs w:val="16"/>
        </w:rPr>
      </w:pPr>
      <w:r w:rsidRPr="00DE4763">
        <w:rPr>
          <w:rStyle w:val="Refdenotaalpie"/>
          <w:rFonts w:ascii="Verdana" w:hAnsi="Verdana" w:cs="Arial"/>
          <w:color w:val="000000" w:themeColor="text1"/>
          <w:sz w:val="16"/>
          <w:szCs w:val="16"/>
        </w:rPr>
        <w:footnoteRef/>
      </w:r>
      <w:r w:rsidRPr="00DE4763">
        <w:rPr>
          <w:rFonts w:ascii="Verdana" w:hAnsi="Verdana" w:cs="Arial"/>
          <w:color w:val="000000" w:themeColor="text1"/>
          <w:sz w:val="16"/>
          <w:szCs w:val="16"/>
        </w:rPr>
        <w:t xml:space="preserve"> Ospina Mena, Jesús Marino. Régimen de la Contratación Estatal. Un salto a la contratación líquida. Bogotá: Ed. 1ª. Diké, 2020. p. 383.</w:t>
      </w:r>
    </w:p>
    <w:p w14:paraId="628E6622" w14:textId="77777777" w:rsidR="00E464C4" w:rsidRPr="00DE4763" w:rsidRDefault="00E464C4" w:rsidP="00E464C4">
      <w:pPr>
        <w:pStyle w:val="Textonotapie"/>
        <w:ind w:firstLine="708"/>
        <w:jc w:val="both"/>
        <w:rPr>
          <w:rFonts w:ascii="Verdana" w:hAnsi="Verdana" w:cs="Arial"/>
          <w:color w:val="000000" w:themeColor="text1"/>
          <w:sz w:val="16"/>
          <w:szCs w:val="16"/>
        </w:rPr>
      </w:pPr>
    </w:p>
  </w:footnote>
  <w:footnote w:id="10">
    <w:p w14:paraId="0BF12462" w14:textId="77777777" w:rsidR="00E464C4" w:rsidRPr="00DE4763" w:rsidRDefault="00E464C4" w:rsidP="00E464C4">
      <w:pPr>
        <w:pStyle w:val="Textonotapie"/>
        <w:ind w:firstLine="708"/>
        <w:jc w:val="both"/>
        <w:rPr>
          <w:rFonts w:ascii="Verdana" w:hAnsi="Verdana" w:cs="Arial"/>
          <w:color w:val="000000" w:themeColor="text1"/>
          <w:sz w:val="16"/>
          <w:szCs w:val="16"/>
        </w:rPr>
      </w:pPr>
      <w:r w:rsidRPr="00DE4763">
        <w:rPr>
          <w:rStyle w:val="Refdenotaalpie"/>
          <w:rFonts w:ascii="Verdana" w:hAnsi="Verdana" w:cs="Arial"/>
          <w:color w:val="000000" w:themeColor="text1"/>
          <w:sz w:val="16"/>
          <w:szCs w:val="16"/>
        </w:rPr>
        <w:footnoteRef/>
      </w:r>
      <w:r w:rsidRPr="00DE4763">
        <w:rPr>
          <w:rFonts w:ascii="Verdana" w:hAnsi="Verdana" w:cs="Arial"/>
          <w:color w:val="000000" w:themeColor="text1"/>
          <w:sz w:val="16"/>
          <w:szCs w:val="16"/>
        </w:rPr>
        <w:t xml:space="preserve"> Consejo De Estado. Sección Tercera. Sentencia de 30 de noviembre de 2006. Exp. 18.059. M.P. Alier Hernández Enríquez.</w:t>
      </w:r>
    </w:p>
  </w:footnote>
  <w:footnote w:id="11">
    <w:p w14:paraId="3D0D8B02" w14:textId="77777777" w:rsidR="00E464C4" w:rsidRPr="00DE4763" w:rsidRDefault="00E464C4" w:rsidP="00E464C4">
      <w:pPr>
        <w:pStyle w:val="Textonotapie"/>
        <w:ind w:firstLine="708"/>
        <w:jc w:val="both"/>
        <w:rPr>
          <w:rFonts w:ascii="Verdana" w:hAnsi="Verdana" w:cs="Arial"/>
          <w:color w:val="000000" w:themeColor="text1"/>
          <w:sz w:val="16"/>
          <w:szCs w:val="16"/>
        </w:rPr>
      </w:pPr>
      <w:r w:rsidRPr="00DE4763">
        <w:rPr>
          <w:rStyle w:val="Refdenotaalpie"/>
          <w:rFonts w:ascii="Verdana" w:hAnsi="Verdana" w:cs="Arial"/>
          <w:color w:val="000000" w:themeColor="text1"/>
          <w:sz w:val="16"/>
          <w:szCs w:val="16"/>
        </w:rPr>
        <w:footnoteRef/>
      </w:r>
      <w:r w:rsidRPr="00DE4763">
        <w:rPr>
          <w:rFonts w:ascii="Verdana" w:hAnsi="Verdana" w:cs="Arial"/>
          <w:color w:val="000000" w:themeColor="text1"/>
          <w:sz w:val="16"/>
          <w:szCs w:val="16"/>
        </w:rPr>
        <w:t xml:space="preserve"> Sin perjuicio de los dispuesto en el artículo 2.2.1.1.2.1.3. del Decreto 1082 de 2015 sobre el contenido del pliego de condiciones.</w:t>
      </w:r>
    </w:p>
    <w:p w14:paraId="4B9AA989" w14:textId="77777777" w:rsidR="00E464C4" w:rsidRPr="00DE4763" w:rsidRDefault="00E464C4" w:rsidP="00E464C4">
      <w:pPr>
        <w:pStyle w:val="Textonotapie"/>
        <w:ind w:firstLine="708"/>
        <w:jc w:val="both"/>
        <w:rPr>
          <w:rFonts w:ascii="Verdana" w:hAnsi="Verdana" w:cs="Arial"/>
          <w:color w:val="000000" w:themeColor="text1"/>
          <w:sz w:val="16"/>
          <w:szCs w:val="16"/>
        </w:rPr>
      </w:pPr>
    </w:p>
  </w:footnote>
  <w:footnote w:id="12">
    <w:p w14:paraId="0766D67F" w14:textId="77777777" w:rsidR="00E464C4" w:rsidRPr="00DE4763" w:rsidRDefault="00E464C4" w:rsidP="00E464C4">
      <w:pPr>
        <w:pStyle w:val="Textonotapie"/>
        <w:ind w:firstLine="708"/>
        <w:jc w:val="both"/>
        <w:rPr>
          <w:rFonts w:ascii="Verdana" w:hAnsi="Verdana" w:cs="Arial"/>
          <w:color w:val="000000" w:themeColor="text1"/>
          <w:sz w:val="16"/>
          <w:szCs w:val="16"/>
        </w:rPr>
      </w:pPr>
      <w:r w:rsidRPr="00DE4763">
        <w:rPr>
          <w:rStyle w:val="Refdenotaalpie"/>
          <w:rFonts w:ascii="Verdana" w:hAnsi="Verdana" w:cs="Arial"/>
          <w:color w:val="000000" w:themeColor="text1"/>
          <w:sz w:val="16"/>
          <w:szCs w:val="16"/>
        </w:rPr>
        <w:footnoteRef/>
      </w:r>
      <w:r w:rsidRPr="00DE4763">
        <w:rPr>
          <w:rFonts w:ascii="Verdana" w:hAnsi="Verdana" w:cs="Arial"/>
          <w:color w:val="000000" w:themeColor="text1"/>
          <w:sz w:val="16"/>
          <w:szCs w:val="16"/>
        </w:rPr>
        <w:t xml:space="preserve"> Lo anterior, sin perjuicio de los casos en que resulten aplicables los documentos tipo –o pliegos tipo– de que trata el parágrafo 7 del artículo 2 de la Ley 1150 de 2007, modificado por el artículo 1 de la Ley 2022 de 2020.</w:t>
      </w:r>
    </w:p>
  </w:footnote>
  <w:footnote w:id="13">
    <w:p w14:paraId="0F3F84EE" w14:textId="77777777" w:rsidR="00E464C4" w:rsidRPr="00DE4763" w:rsidRDefault="00E464C4" w:rsidP="00E464C4">
      <w:pPr>
        <w:spacing w:after="0"/>
        <w:ind w:firstLine="720"/>
        <w:jc w:val="both"/>
        <w:rPr>
          <w:rFonts w:ascii="Verdana" w:hAnsi="Verdana" w:cs="Arial"/>
          <w:color w:val="000000" w:themeColor="text1"/>
          <w:sz w:val="16"/>
          <w:szCs w:val="16"/>
        </w:rPr>
      </w:pPr>
      <w:r w:rsidRPr="00DE4763">
        <w:rPr>
          <w:rStyle w:val="Refdenotaalpie"/>
          <w:rFonts w:ascii="Verdana" w:hAnsi="Verdana" w:cs="Arial"/>
          <w:color w:val="000000" w:themeColor="text1"/>
          <w:sz w:val="16"/>
          <w:szCs w:val="16"/>
        </w:rPr>
        <w:footnoteRef/>
      </w:r>
      <w:r w:rsidRPr="00DE4763">
        <w:rPr>
          <w:rFonts w:ascii="Verdana" w:hAnsi="Verdana" w:cs="Arial"/>
          <w:color w:val="000000" w:themeColor="text1"/>
          <w:sz w:val="16"/>
          <w:szCs w:val="16"/>
        </w:rPr>
        <w:t xml:space="preserve"> En la sentencia de la Sección Tercera, Subsección A, del 16 de septiembre de 2013, expediente No. 30.571, C.P. Mauricio Fajardo Gómez, el Consejo de Estado se pronunció sobre la fuerza vinculante que tienen las respuestas a las observaciones y solicitud de aclaración a los pliegos de condiciones:</w:t>
      </w:r>
    </w:p>
    <w:p w14:paraId="12DB5A2F" w14:textId="77777777" w:rsidR="00E464C4" w:rsidRPr="00DE4763" w:rsidRDefault="00E464C4" w:rsidP="00E464C4">
      <w:pPr>
        <w:spacing w:after="0"/>
        <w:ind w:firstLine="720"/>
        <w:jc w:val="both"/>
        <w:rPr>
          <w:rFonts w:ascii="Verdana" w:hAnsi="Verdana" w:cs="Arial"/>
          <w:color w:val="000000" w:themeColor="text1"/>
          <w:sz w:val="16"/>
          <w:szCs w:val="16"/>
        </w:rPr>
      </w:pPr>
      <w:r w:rsidRPr="00DE4763">
        <w:rPr>
          <w:rFonts w:ascii="Verdana" w:hAnsi="Verdana" w:cs="Arial"/>
          <w:color w:val="000000" w:themeColor="text1"/>
          <w:sz w:val="16"/>
          <w:szCs w:val="16"/>
          <w:u w:val="single" w:color="4E4D4D"/>
        </w:rPr>
        <w:t xml:space="preserve"> </w:t>
      </w:r>
      <w:r w:rsidRPr="00DE4763">
        <w:rPr>
          <w:rFonts w:ascii="Verdana" w:hAnsi="Verdana" w:cs="Arial"/>
          <w:color w:val="000000" w:themeColor="text1"/>
          <w:sz w:val="16"/>
          <w:szCs w:val="16"/>
        </w:rPr>
        <w:t>“5.2. De la fuerza vinculante de las respuestas a las solicitudes de aclaraciones en relación con los términos de referencia.</w:t>
      </w:r>
    </w:p>
    <w:p w14:paraId="041F67A3" w14:textId="77777777" w:rsidR="00E464C4" w:rsidRPr="00DE4763" w:rsidRDefault="00E464C4" w:rsidP="00E464C4">
      <w:pPr>
        <w:spacing w:after="0"/>
        <w:ind w:firstLine="720"/>
        <w:jc w:val="both"/>
        <w:rPr>
          <w:rFonts w:ascii="Verdana" w:hAnsi="Verdana" w:cs="Arial"/>
          <w:color w:val="000000" w:themeColor="text1"/>
          <w:sz w:val="16"/>
          <w:szCs w:val="16"/>
        </w:rPr>
      </w:pPr>
      <w:r w:rsidRPr="00DE4763">
        <w:rPr>
          <w:rFonts w:ascii="Verdana" w:hAnsi="Verdana" w:cs="Arial"/>
          <w:color w:val="000000" w:themeColor="text1"/>
          <w:sz w:val="16"/>
          <w:szCs w:val="16"/>
        </w:rPr>
        <w:t>[…]</w:t>
      </w:r>
    </w:p>
    <w:p w14:paraId="43D79249" w14:textId="77777777" w:rsidR="00E464C4" w:rsidRPr="00DE4763" w:rsidRDefault="00E464C4" w:rsidP="00E464C4">
      <w:pPr>
        <w:spacing w:after="0"/>
        <w:ind w:firstLine="720"/>
        <w:jc w:val="both"/>
        <w:rPr>
          <w:rFonts w:ascii="Verdana" w:hAnsi="Verdana" w:cs="Arial"/>
          <w:color w:val="000000" w:themeColor="text1"/>
          <w:sz w:val="16"/>
          <w:szCs w:val="16"/>
        </w:rPr>
      </w:pPr>
      <w:r w:rsidRPr="00DE4763">
        <w:rPr>
          <w:rFonts w:ascii="Verdana" w:hAnsi="Verdana" w:cs="Arial"/>
          <w:color w:val="000000" w:themeColor="text1"/>
          <w:sz w:val="16"/>
          <w:szCs w:val="16"/>
        </w:rPr>
        <w:t>Siguiendo el lineamiento expuesto, en criterio de la Sala, independientemente de que el contenido de la modificación se encuentre comprendido en un documento que no tenga el rótulo de “adenda”,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w:t>
      </w:r>
      <w:r w:rsidRPr="00DE4763">
        <w:rPr>
          <w:rFonts w:ascii="Verdana" w:hAnsi="Verdana" w:cs="Arial"/>
          <w:color w:val="000000" w:themeColor="text1"/>
          <w:spacing w:val="-11"/>
          <w:sz w:val="16"/>
          <w:szCs w:val="16"/>
        </w:rPr>
        <w:t xml:space="preserve"> </w:t>
      </w:r>
      <w:r w:rsidRPr="00DE4763">
        <w:rPr>
          <w:rFonts w:ascii="Verdana" w:hAnsi="Verdana" w:cs="Arial"/>
          <w:color w:val="000000" w:themeColor="text1"/>
          <w:sz w:val="16"/>
          <w:szCs w:val="16"/>
        </w:rPr>
        <w:t>oferentes.</w:t>
      </w:r>
    </w:p>
    <w:p w14:paraId="4013CB98" w14:textId="77777777" w:rsidR="00E464C4" w:rsidRPr="00DE4763" w:rsidRDefault="00E464C4" w:rsidP="00E464C4">
      <w:pPr>
        <w:ind w:firstLine="720"/>
        <w:jc w:val="both"/>
        <w:rPr>
          <w:rFonts w:ascii="Verdana" w:hAnsi="Verdana" w:cs="Arial"/>
          <w:color w:val="000000" w:themeColor="text1"/>
          <w:sz w:val="16"/>
          <w:szCs w:val="16"/>
        </w:rPr>
      </w:pPr>
      <w:r w:rsidRPr="00DE4763">
        <w:rPr>
          <w:rFonts w:ascii="Verdana" w:hAnsi="Verdana" w:cs="Arial"/>
          <w:color w:val="000000" w:themeColor="text1"/>
          <w:sz w:val="16"/>
          <w:szCs w:val="16"/>
        </w:rPr>
        <w:t>En ese orden de ideas, sea que se llame adenda,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w:t>
      </w:r>
      <w:r w:rsidRPr="00DE4763">
        <w:rPr>
          <w:rFonts w:ascii="Verdana" w:hAnsi="Verdana" w:cs="Arial"/>
          <w:color w:val="000000" w:themeColor="text1"/>
          <w:spacing w:val="-20"/>
          <w:sz w:val="16"/>
          <w:szCs w:val="16"/>
        </w:rPr>
        <w:t xml:space="preserve"> </w:t>
      </w:r>
      <w:r w:rsidRPr="00DE4763">
        <w:rPr>
          <w:rFonts w:ascii="Verdana" w:hAnsi="Verdana" w:cs="Arial"/>
          <w:color w:val="000000" w:themeColor="text1"/>
          <w:sz w:val="16"/>
          <w:szCs w:val="16"/>
        </w:rPr>
        <w:t>condiciones”.</w:t>
      </w:r>
    </w:p>
  </w:footnote>
  <w:footnote w:id="14">
    <w:p w14:paraId="52764E39" w14:textId="77777777" w:rsidR="00E464C4" w:rsidRPr="00DE4763" w:rsidRDefault="00E464C4" w:rsidP="00E464C4">
      <w:pPr>
        <w:pStyle w:val="Textonotapie"/>
        <w:ind w:firstLine="708"/>
        <w:jc w:val="both"/>
        <w:rPr>
          <w:rFonts w:ascii="Verdana" w:hAnsi="Verdana" w:cs="Arial"/>
          <w:color w:val="000000" w:themeColor="text1"/>
          <w:sz w:val="16"/>
          <w:szCs w:val="16"/>
          <w:lang w:val="es-ES"/>
        </w:rPr>
      </w:pPr>
      <w:r w:rsidRPr="00DE4763">
        <w:rPr>
          <w:rStyle w:val="Refdenotaalpie"/>
          <w:rFonts w:ascii="Verdana" w:hAnsi="Verdana" w:cs="Arial"/>
          <w:color w:val="000000" w:themeColor="text1"/>
          <w:sz w:val="16"/>
          <w:szCs w:val="16"/>
        </w:rPr>
        <w:footnoteRef/>
      </w:r>
      <w:r w:rsidRPr="00DE4763">
        <w:rPr>
          <w:rFonts w:ascii="Verdana" w:hAnsi="Verdana" w:cs="Arial"/>
          <w:color w:val="000000" w:themeColor="text1"/>
          <w:sz w:val="16"/>
          <w:szCs w:val="16"/>
        </w:rPr>
        <w:t xml:space="preserve"> Al respecto, la doctrina explica que: “Las adendas deben hacerse sobre las modificaciones que sean necesarias para eliminar las dudas que se encuentren en el pliego de condiciones, o para corregir o adicionar condiciones necesarias para hacer la selección objetiva, o para aclarar, modificar o adicionar aspectos técnicos del objeto. Nunca pueden utilizarse con fines diversos pues la desviación de poder en ellas, además de generar la nulidad del acto, pueden afectar la validez de todo el procedimiento de selección. Dichas adendas no pueden utilizarse para afectar el principio de igualdad de los proponentes, favoreciendo la posición de cualquiera de ellos” (Cfr. PALACIO HINCAPÉ, Juan Ángel. La contratación de las entidades estatales. Séptima Edición. Medellín: Librería Jurídica Sánchez, 2014. p. 266).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538664209">
    <w:abstractNumId w:val="9"/>
  </w:num>
  <w:num w:numId="17" w16cid:durableId="24041383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725344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2B9B"/>
    <w:rsid w:val="00082362"/>
    <w:rsid w:val="000A1488"/>
    <w:rsid w:val="000A248F"/>
    <w:rsid w:val="000A683E"/>
    <w:rsid w:val="000B19B9"/>
    <w:rsid w:val="000C1135"/>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0C12"/>
    <w:rsid w:val="0030657A"/>
    <w:rsid w:val="00322A85"/>
    <w:rsid w:val="00324168"/>
    <w:rsid w:val="00330834"/>
    <w:rsid w:val="003448F4"/>
    <w:rsid w:val="00374F5E"/>
    <w:rsid w:val="00377E3E"/>
    <w:rsid w:val="00393437"/>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C4E31"/>
    <w:rsid w:val="004F21C4"/>
    <w:rsid w:val="004F685F"/>
    <w:rsid w:val="00521550"/>
    <w:rsid w:val="005566E8"/>
    <w:rsid w:val="00574867"/>
    <w:rsid w:val="00591460"/>
    <w:rsid w:val="005A3BBF"/>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83886"/>
    <w:rsid w:val="007917B3"/>
    <w:rsid w:val="00796C76"/>
    <w:rsid w:val="007B268C"/>
    <w:rsid w:val="007B7171"/>
    <w:rsid w:val="007C0C0F"/>
    <w:rsid w:val="007C3DC2"/>
    <w:rsid w:val="007D14AA"/>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554A"/>
    <w:rsid w:val="00A17F13"/>
    <w:rsid w:val="00A20739"/>
    <w:rsid w:val="00A23AF9"/>
    <w:rsid w:val="00A33C78"/>
    <w:rsid w:val="00A65C96"/>
    <w:rsid w:val="00AA6D2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A43CF"/>
    <w:rsid w:val="00CB6357"/>
    <w:rsid w:val="00CC1B26"/>
    <w:rsid w:val="00CF6752"/>
    <w:rsid w:val="00D361FD"/>
    <w:rsid w:val="00D423A2"/>
    <w:rsid w:val="00D44E26"/>
    <w:rsid w:val="00D520D8"/>
    <w:rsid w:val="00D63AC2"/>
    <w:rsid w:val="00D7383B"/>
    <w:rsid w:val="00D7788A"/>
    <w:rsid w:val="00DA231B"/>
    <w:rsid w:val="00DC39FC"/>
    <w:rsid w:val="00DF5254"/>
    <w:rsid w:val="00E02524"/>
    <w:rsid w:val="00E14447"/>
    <w:rsid w:val="00E16408"/>
    <w:rsid w:val="00E20894"/>
    <w:rsid w:val="00E245AB"/>
    <w:rsid w:val="00E2764C"/>
    <w:rsid w:val="00E27F2E"/>
    <w:rsid w:val="00E4473D"/>
    <w:rsid w:val="00E464C4"/>
    <w:rsid w:val="00E50AFE"/>
    <w:rsid w:val="00E75C92"/>
    <w:rsid w:val="00E771DC"/>
    <w:rsid w:val="00E8772A"/>
    <w:rsid w:val="00E90F6B"/>
    <w:rsid w:val="00E92C27"/>
    <w:rsid w:val="00EA0E3D"/>
    <w:rsid w:val="00EC38A7"/>
    <w:rsid w:val="00ED0472"/>
    <w:rsid w:val="00ED7574"/>
    <w:rsid w:val="00EE1AA8"/>
    <w:rsid w:val="00F23FEA"/>
    <w:rsid w:val="00F31EDC"/>
    <w:rsid w:val="00F462B3"/>
    <w:rsid w:val="00F5664F"/>
    <w:rsid w:val="00F666C4"/>
    <w:rsid w:val="00F76AFC"/>
    <w:rsid w:val="00FA47C0"/>
    <w:rsid w:val="00FB5DD1"/>
    <w:rsid w:val="00FC2B5D"/>
    <w:rsid w:val="00FC50A5"/>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464C4"/>
    <w:pPr>
      <w:spacing w:line="240" w:lineRule="exact"/>
    </w:pPr>
    <w:rPr>
      <w:vertAlign w:val="superscript"/>
    </w:rPr>
  </w:style>
  <w:style w:type="table" w:customStyle="1" w:styleId="Tablaconcuadrcula1">
    <w:name w:val="Tabla con cuadrícula1"/>
    <w:basedOn w:val="Tablanormal"/>
    <w:uiPriority w:val="39"/>
    <w:qFormat/>
    <w:rsid w:val="00E464C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1208796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conceptos/c-447-de-2024/" TargetMode="External"/><Relationship Id="rId18" Type="http://schemas.openxmlformats.org/officeDocument/2006/relationships/hyperlink" Target="https://www.colombiacompra.gov.co/archivos/boletin/boletin-edicion-n-3-de-2026-radar-de-la-compra-public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conceptos/c-285-de-2022/" TargetMode="External"/><Relationship Id="rId17" Type="http://schemas.openxmlformats.org/officeDocument/2006/relationships/hyperlink" Target="https://www.colombiacompra.gov.co/archivos/circular/circular-externa-002-de-2026" TargetMode="External"/><Relationship Id="rId2" Type="http://schemas.openxmlformats.org/officeDocument/2006/relationships/customXml" Target="../customXml/item2.xml"/><Relationship Id="rId16" Type="http://schemas.openxmlformats.org/officeDocument/2006/relationships/hyperlink" Target="https://www.colombiacompra.gov.co/archivos/circular/circular-externa-003-de-202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undacionprotectoraasis@gmail.com" TargetMode="External"/><Relationship Id="rId5" Type="http://schemas.openxmlformats.org/officeDocument/2006/relationships/styles" Target="styles.xml"/><Relationship Id="rId15" Type="http://schemas.openxmlformats.org/officeDocument/2006/relationships/hyperlink" Target="https://www.colombiacompra.gov.co/archivos/manual/guia-de-garantias-en-procesos-de-contratacion"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irculares?page=2" TargetMode="External"/><Relationship Id="rId2" Type="http://schemas.openxmlformats.org/officeDocument/2006/relationships/hyperlink" Target="https://relatoria.colombiacompra.gov.co/conceptos/c-447-de-2024/" TargetMode="External"/><Relationship Id="rId1" Type="http://schemas.openxmlformats.org/officeDocument/2006/relationships/hyperlink" Target="https://relatoria.colombiacompra.gov.co/conceptos/c-285-de-202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A4D63F-9177-4EE6-B531-87BC179BD030}"/>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24</Pages>
  <Words>7438</Words>
  <Characters>40909</Characters>
  <Application>Microsoft Office Word</Application>
  <DocSecurity>0</DocSecurity>
  <Lines>340</Lines>
  <Paragraphs>96</Paragraphs>
  <ScaleCrop>false</ScaleCrop>
  <Company/>
  <LinksUpToDate>false</LinksUpToDate>
  <CharactersWithSpaces>48251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3</cp:revision>
  <cp:lastPrinted>2023-01-10T21:18:00Z</cp:lastPrinted>
  <dcterms:created xsi:type="dcterms:W3CDTF">2026-09-24T20:09:00Z</dcterms:created>
  <dcterms:modified xsi:type="dcterms:W3CDTF">2026-09-24T23:00:00Z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