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C895" w14:textId="77777777" w:rsidR="00C33C27" w:rsidRPr="007E0196" w:rsidRDefault="00C33C27" w:rsidP="00C33C27">
      <w:pPr>
        <w:spacing w:after="0" w:line="240" w:lineRule="auto"/>
        <w:jc w:val="both"/>
        <w:rPr>
          <w:rFonts w:ascii="Verdana" w:eastAsia="Verdana" w:hAnsi="Verdana" w:cs="Verdana"/>
          <w:b/>
          <w:bCs/>
          <w:lang w:val="es-ES"/>
        </w:rPr>
      </w:pPr>
      <w:bookmarkStart w:id="0" w:name="_Hlk143780582"/>
      <w:r w:rsidRPr="007E0196">
        <w:rPr>
          <w:rFonts w:ascii="Verdana" w:eastAsia="Verdana" w:hAnsi="Verdana" w:cs="Verdana"/>
          <w:b/>
          <w:bCs/>
          <w:lang w:val="es-ES"/>
        </w:rPr>
        <w:t xml:space="preserve">MULTAS Y CLÁUSULA PENAL – Autonomía de la voluntad – Imposición unilateral – Competencia temporal </w:t>
      </w:r>
    </w:p>
    <w:p w14:paraId="72BDBD64" w14:textId="77777777" w:rsidR="00C33C27" w:rsidRPr="007E0196" w:rsidRDefault="00C33C27" w:rsidP="00C33C27">
      <w:pPr>
        <w:spacing w:after="0" w:line="240" w:lineRule="auto"/>
        <w:jc w:val="both"/>
        <w:rPr>
          <w:rFonts w:ascii="Verdana" w:eastAsia="Verdana" w:hAnsi="Verdana" w:cs="Verdana"/>
          <w:b/>
          <w:bCs/>
          <w:lang w:val="es-ES"/>
        </w:rPr>
      </w:pPr>
    </w:p>
    <w:p w14:paraId="7417872F" w14:textId="77777777" w:rsidR="00C33C27" w:rsidRDefault="00C33C27" w:rsidP="00C33C27">
      <w:pPr>
        <w:spacing w:after="0" w:line="240" w:lineRule="auto"/>
        <w:jc w:val="both"/>
        <w:rPr>
          <w:rFonts w:ascii="Verdana" w:eastAsia="Verdana" w:hAnsi="Verdana" w:cs="Verdana"/>
          <w:iCs/>
          <w:sz w:val="20"/>
          <w:szCs w:val="20"/>
          <w:lang w:val="es-ES"/>
        </w:rPr>
      </w:pPr>
      <w:r w:rsidRPr="00343FE7">
        <w:rPr>
          <w:rFonts w:ascii="Verdana" w:eastAsia="Verdana" w:hAnsi="Verdana" w:cs="Verdana"/>
          <w:iCs/>
          <w:sz w:val="20"/>
          <w:szCs w:val="20"/>
          <w:lang w:val="es-ES"/>
        </w:rPr>
        <w:t>Por lo tanto, en virtud de la autonomía de la voluntad –artículo 1602 Código Civil–, las partes de un contrato, para procurar el cumplimiento de las obligaciones a su favor, pueden pactar las cláusulas contractuales de apremio y la pena adjudicable a la parte incumplida. Su naturaleza es punitiva y se causan en los eventos en los que se configure un incumplimiento contractual del deudor.</w:t>
      </w:r>
      <w:r w:rsidRPr="00343FE7">
        <w:rPr>
          <w:rFonts w:ascii="Verdana" w:eastAsia="Verdana" w:hAnsi="Verdana" w:cs="Verdana"/>
          <w:sz w:val="20"/>
          <w:szCs w:val="20"/>
          <w:lang w:val="es-ES"/>
        </w:rPr>
        <w:t xml:space="preserve"> </w:t>
      </w:r>
      <w:r w:rsidRPr="00343FE7">
        <w:rPr>
          <w:rFonts w:ascii="Verdana" w:eastAsia="Verdana" w:hAnsi="Verdana" w:cs="Verdana"/>
          <w:iCs/>
          <w:sz w:val="20"/>
          <w:szCs w:val="20"/>
          <w:lang w:val="es-ES"/>
        </w:rPr>
        <w:t xml:space="preserve">De esta manera, tanto la imposición unilateral de las multas pactadas, como la reclamación de la cláusula penal, ocurre como manifestación de las prerrogativas de control, dirección y coerción que ejerce el Estado ante un incumplimiento por parte de sus contratistas. </w:t>
      </w:r>
    </w:p>
    <w:p w14:paraId="45AA0F88" w14:textId="77777777" w:rsidR="00C33C27" w:rsidRPr="00343FE7" w:rsidRDefault="00C33C27" w:rsidP="00C33C27">
      <w:pPr>
        <w:spacing w:after="0" w:line="240" w:lineRule="auto"/>
        <w:jc w:val="both"/>
        <w:rPr>
          <w:rFonts w:ascii="Verdana" w:eastAsia="Verdana" w:hAnsi="Verdana" w:cs="Verdana"/>
          <w:iCs/>
          <w:sz w:val="20"/>
          <w:szCs w:val="20"/>
          <w:lang w:val="es-ES"/>
        </w:rPr>
      </w:pPr>
    </w:p>
    <w:p w14:paraId="2822BF2E" w14:textId="77777777" w:rsidR="00C33C27" w:rsidRDefault="00C33C27" w:rsidP="00C33C27">
      <w:pPr>
        <w:spacing w:after="0" w:line="240" w:lineRule="auto"/>
        <w:jc w:val="both"/>
        <w:rPr>
          <w:rFonts w:ascii="Verdana" w:eastAsia="Verdana" w:hAnsi="Verdana" w:cs="Verdana"/>
          <w:iCs/>
          <w:sz w:val="20"/>
          <w:szCs w:val="20"/>
        </w:rPr>
      </w:pPr>
      <w:r w:rsidRPr="00343FE7">
        <w:rPr>
          <w:rFonts w:ascii="Verdana" w:eastAsia="Verdana" w:hAnsi="Verdana" w:cs="Verdana"/>
          <w:iCs/>
          <w:sz w:val="20"/>
          <w:szCs w:val="20"/>
        </w:rPr>
        <w:t>En cuanto a la competencia temporal para la imposición de sanciones por incumplimientos contractuales, esta no se determina por la denominación de la medida, sino por su naturaleza jurídica y por la función que cumple dentro de la relación contractual. En este sentido, la multa debe imponerse durante la ejecución del contrato, en tanto constituye un mecanismo de coerción orientado a conminar al cooperante al cumplimiento oportuno de sus obligaciones. Su finalidad es esencialmente preventiva y correctiva, por lo que solo resulta procedente mientras el contrato se encuentra vigente y en curso de ejecución. Por su parte, la cláusula penal pecuniaria, dada su naturaleza sancionatoria y/o indemnizatoria, puede hacerse efectiva incluso una vez finalizada la relación contractual. Esta facultad se extiende hasta el plazo previsto para la liquidación del contrato, etapa en la cual la entidad puede determinar y cuantificar los perjuicios derivados del incumplimiento, siempre que así se haya estipulado en el instrumento contractual. En tal sentido, se retoma lo expuesto en el Concepto C-939 del 24 de julio de 2026, que adoptó el criterio según el cual el límite temporal se determina por la naturaleza de la medida y por el término de que dispone la administración para liquidar el negocio jurídico</w:t>
      </w:r>
      <w:r w:rsidRPr="00343FE7">
        <w:rPr>
          <w:rFonts w:ascii="Verdana" w:eastAsia="Verdana" w:hAnsi="Verdana" w:cs="Verdana"/>
          <w:iCs/>
          <w:sz w:val="20"/>
          <w:szCs w:val="20"/>
          <w:lang w:val="es-ES"/>
        </w:rPr>
        <w:t>.</w:t>
      </w:r>
      <w:r w:rsidRPr="00343FE7">
        <w:rPr>
          <w:rFonts w:ascii="Verdana" w:eastAsia="Verdana" w:hAnsi="Verdana" w:cs="Verdana"/>
          <w:iCs/>
          <w:sz w:val="20"/>
          <w:szCs w:val="20"/>
        </w:rPr>
        <w:t xml:space="preserve"> Como lo ha expresado el Consejo de Estado con respecto a estas cláusulas, resulta pertinente precisar que la potestad sancionatoria debe ejercerse de acuerdo con el tipo de medida a imponer, a la culminación de la relación negocial o la fecha prevista para la liquidación del negocio jurídico</w:t>
      </w:r>
      <w:r>
        <w:rPr>
          <w:rFonts w:ascii="Verdana" w:eastAsia="Verdana" w:hAnsi="Verdana" w:cs="Verdana"/>
          <w:iCs/>
          <w:sz w:val="20"/>
          <w:szCs w:val="20"/>
        </w:rPr>
        <w:t>.</w:t>
      </w:r>
    </w:p>
    <w:p w14:paraId="580D1B54" w14:textId="77777777" w:rsidR="00C33C27" w:rsidRDefault="00C33C27" w:rsidP="00C33C27">
      <w:pPr>
        <w:spacing w:after="0" w:line="240" w:lineRule="auto"/>
        <w:jc w:val="both"/>
        <w:rPr>
          <w:rFonts w:ascii="Verdana" w:eastAsia="Verdana" w:hAnsi="Verdana" w:cs="Verdana"/>
          <w:iCs/>
          <w:sz w:val="20"/>
          <w:szCs w:val="20"/>
        </w:rPr>
      </w:pPr>
    </w:p>
    <w:p w14:paraId="09DE5AA2" w14:textId="77777777" w:rsidR="00C33C27" w:rsidRPr="00377527" w:rsidRDefault="00C33C27" w:rsidP="00C33C27">
      <w:pPr>
        <w:spacing w:after="0" w:line="240" w:lineRule="auto"/>
        <w:jc w:val="both"/>
        <w:rPr>
          <w:rFonts w:ascii="Verdana" w:hAnsi="Verdana" w:cs="Arial"/>
          <w:b/>
          <w:bCs/>
          <w:iCs/>
          <w:color w:val="000000" w:themeColor="text1"/>
          <w:lang w:val="es-ES_tradnl"/>
        </w:rPr>
      </w:pPr>
      <w:r w:rsidRPr="00377527">
        <w:rPr>
          <w:rFonts w:ascii="Verdana" w:hAnsi="Verdana" w:cs="Arial"/>
          <w:b/>
          <w:bCs/>
          <w:iCs/>
          <w:color w:val="000000" w:themeColor="text1"/>
          <w:lang w:val="es-ES_tradnl"/>
        </w:rPr>
        <w:t>MULTAS Y CLÁUSULA PENAL – Oportunidad para su imposición</w:t>
      </w:r>
    </w:p>
    <w:p w14:paraId="3247A8A8" w14:textId="77777777" w:rsidR="00C33C27" w:rsidRDefault="00C33C27" w:rsidP="00C33C27">
      <w:pPr>
        <w:spacing w:after="0" w:line="240" w:lineRule="auto"/>
        <w:jc w:val="both"/>
        <w:rPr>
          <w:rFonts w:ascii="Verdana" w:hAnsi="Verdana" w:cs="Arial"/>
          <w:iCs/>
          <w:color w:val="000000" w:themeColor="text1"/>
          <w:sz w:val="20"/>
          <w:szCs w:val="20"/>
          <w:lang w:val="es-ES_tradnl"/>
        </w:rPr>
      </w:pPr>
    </w:p>
    <w:p w14:paraId="021E0A87" w14:textId="77777777" w:rsidR="00C33C27" w:rsidRPr="00377527" w:rsidRDefault="00C33C27" w:rsidP="00C33C27">
      <w:pPr>
        <w:spacing w:after="0" w:line="240" w:lineRule="auto"/>
        <w:jc w:val="both"/>
        <w:rPr>
          <w:rFonts w:ascii="Verdana" w:hAnsi="Verdana" w:cs="Arial"/>
          <w:color w:val="000000" w:themeColor="text1"/>
          <w:sz w:val="20"/>
          <w:szCs w:val="20"/>
          <w:lang w:val="es-ES"/>
        </w:rPr>
      </w:pPr>
      <w:r w:rsidRPr="0D43D2D7">
        <w:rPr>
          <w:rFonts w:ascii="Verdana" w:hAnsi="Verdana" w:cs="Arial"/>
          <w:color w:val="000000" w:themeColor="text1"/>
          <w:sz w:val="20"/>
          <w:szCs w:val="20"/>
          <w:lang w:val="es-ES"/>
        </w:rPr>
        <w:t xml:space="preserve">El artículo 17 de la Ley 1150 de 2007 condiciona expresamente la imposición unilateral de multas a que se halle pendiente la ejecución de las obligaciones a cargo del contratista, en coherencia con su naturaleza conminatoria: extinguido el plazo de ejecución, el apremio carece de objeto. La cláusula penal pecuniaria, en cambio, opera como tasación anticipada de perjuicios frente a un incumplimiento definitivo, por lo que su imposición unilateral procede mientras la entidad conserve competencia sobre la relación contractual, esto es, hasta la liquidación del contrato; vencida esa oportunidad, la entidad no pierde el derecho al resarcimiento, pero deberá perseguirlo ante el juez del contrato. En consecuencia, mientras el contrato se encuentra en ejecución y la conminación al cumplimiento conserva utilidad, el mecanismo procedente es la multa; </w:t>
      </w:r>
      <w:r w:rsidRPr="0D43D2D7">
        <w:rPr>
          <w:rFonts w:ascii="Verdana" w:hAnsi="Verdana" w:cs="Arial"/>
          <w:color w:val="000000" w:themeColor="text1"/>
          <w:sz w:val="20"/>
          <w:szCs w:val="20"/>
          <w:lang w:val="es-ES"/>
        </w:rPr>
        <w:lastRenderedPageBreak/>
        <w:t>configurado el incumplimiento definitivo, procede la cláusula penal pecuniaria, reducida en la proporción que corresponda conforme a lo expuesto.</w:t>
      </w:r>
    </w:p>
    <w:p w14:paraId="55869A2F" w14:textId="77777777" w:rsidR="00C33C27" w:rsidRDefault="00C33C27" w:rsidP="00C33C27">
      <w:pPr>
        <w:spacing w:after="0" w:line="240" w:lineRule="auto"/>
        <w:jc w:val="both"/>
        <w:rPr>
          <w:rFonts w:ascii="Verdana" w:eastAsia="Verdana" w:hAnsi="Verdana" w:cs="Verdana"/>
          <w:iCs/>
          <w:sz w:val="20"/>
          <w:szCs w:val="20"/>
        </w:rPr>
      </w:pPr>
    </w:p>
    <w:p w14:paraId="27D5DF4F" w14:textId="77777777" w:rsidR="00C33C27" w:rsidRPr="00343FE7" w:rsidRDefault="00C33C27" w:rsidP="00C33C27">
      <w:pPr>
        <w:spacing w:after="0" w:line="240" w:lineRule="auto"/>
        <w:jc w:val="both"/>
        <w:rPr>
          <w:rFonts w:ascii="Verdana" w:eastAsia="Verdana" w:hAnsi="Verdana" w:cs="Verdana"/>
          <w:sz w:val="20"/>
          <w:szCs w:val="20"/>
          <w:lang w:val="es-ES"/>
        </w:rPr>
      </w:pPr>
    </w:p>
    <w:p w14:paraId="52E4A933" w14:textId="77777777" w:rsidR="00C33C27" w:rsidRPr="007E0196" w:rsidRDefault="00C33C27" w:rsidP="00C33C27">
      <w:pPr>
        <w:spacing w:after="0" w:line="240" w:lineRule="auto"/>
        <w:jc w:val="both"/>
        <w:rPr>
          <w:rFonts w:ascii="Verdana" w:eastAsia="Verdana" w:hAnsi="Verdana" w:cs="Verdana"/>
          <w:b/>
          <w:bCs/>
          <w:lang w:val="es-ES"/>
        </w:rPr>
      </w:pPr>
      <w:r w:rsidRPr="007E0196">
        <w:rPr>
          <w:rFonts w:ascii="Verdana" w:eastAsia="Verdana" w:hAnsi="Verdana" w:cs="Verdana"/>
          <w:b/>
          <w:bCs/>
          <w:lang w:val="es-ES_tradnl"/>
        </w:rPr>
        <w:t xml:space="preserve">CLÁUSULAS EXCEPCIONALES – Incumplimiento - Procedimiento Aplicable. </w:t>
      </w:r>
    </w:p>
    <w:p w14:paraId="293BD8A7" w14:textId="77777777" w:rsidR="00C33C27" w:rsidRPr="00343FE7" w:rsidRDefault="00C33C27" w:rsidP="00C33C27">
      <w:pPr>
        <w:spacing w:after="0" w:line="240" w:lineRule="auto"/>
        <w:jc w:val="both"/>
        <w:rPr>
          <w:rFonts w:ascii="Verdana" w:eastAsia="Verdana" w:hAnsi="Verdana" w:cs="Verdana"/>
          <w:sz w:val="20"/>
          <w:szCs w:val="20"/>
          <w:lang w:val="es-ES"/>
        </w:rPr>
      </w:pPr>
    </w:p>
    <w:p w14:paraId="77F35150" w14:textId="77777777" w:rsidR="00C33C27" w:rsidRPr="00343FE7" w:rsidRDefault="00C33C27" w:rsidP="00C33C27">
      <w:pPr>
        <w:spacing w:after="0" w:line="240" w:lineRule="auto"/>
        <w:jc w:val="both"/>
        <w:rPr>
          <w:rFonts w:ascii="Verdana" w:eastAsia="Verdana" w:hAnsi="Verdana" w:cs="Verdana"/>
          <w:bCs/>
          <w:sz w:val="20"/>
          <w:szCs w:val="20"/>
        </w:rPr>
      </w:pPr>
      <w:r w:rsidRPr="00343FE7">
        <w:rPr>
          <w:rFonts w:ascii="Verdana" w:eastAsia="Verdana" w:hAnsi="Verdana" w:cs="Verdana"/>
          <w:bCs/>
          <w:iCs/>
          <w:sz w:val="20"/>
          <w:szCs w:val="20"/>
          <w:lang w:val="es-MX"/>
        </w:rPr>
        <w:t xml:space="preserve">Al respecto, el inciso primero del mencionado artículo dispone: </w:t>
      </w:r>
      <w:r w:rsidRPr="00343FE7">
        <w:rPr>
          <w:rFonts w:ascii="Verdana" w:eastAsia="Verdana" w:hAnsi="Verdana" w:cs="Verdana"/>
          <w:bCs/>
          <w:sz w:val="20"/>
          <w:szCs w:val="20"/>
          <w:lang w:val="es-MX"/>
        </w:rPr>
        <w:t>“</w:t>
      </w:r>
      <w:r w:rsidRPr="00343FE7">
        <w:rPr>
          <w:rFonts w:ascii="Verdana" w:eastAsia="Verdana" w:hAnsi="Verdana" w:cs="Verdana"/>
          <w:bCs/>
          <w:sz w:val="20"/>
          <w:szCs w:val="20"/>
        </w:rPr>
        <w:t xml:space="preserve">Las entidades sometidas al Estatuto General de Contratación de la Administración Pública </w:t>
      </w:r>
      <w:r w:rsidRPr="00343FE7">
        <w:rPr>
          <w:rFonts w:ascii="Verdana" w:eastAsia="Verdana" w:hAnsi="Verdana" w:cs="Verdana"/>
          <w:bCs/>
          <w:i/>
          <w:sz w:val="20"/>
          <w:szCs w:val="20"/>
        </w:rPr>
        <w:t>podrán declarar el incumplimiento, cuantificando los perjuicios del mismo, imponer las multas y sanciones pactadas en el contrato,</w:t>
      </w:r>
      <w:r w:rsidRPr="00343FE7">
        <w:rPr>
          <w:rFonts w:ascii="Verdana" w:eastAsia="Verdana" w:hAnsi="Verdana" w:cs="Verdana"/>
          <w:bCs/>
          <w:sz w:val="20"/>
          <w:szCs w:val="20"/>
        </w:rPr>
        <w:t xml:space="preserve"> y hacer efectiva la cláusula penal […]</w:t>
      </w:r>
      <w:r w:rsidRPr="00343FE7">
        <w:rPr>
          <w:rFonts w:ascii="Verdana" w:eastAsia="Verdana" w:hAnsi="Verdana" w:cs="Verdana"/>
          <w:bCs/>
          <w:iCs/>
          <w:sz w:val="20"/>
          <w:szCs w:val="20"/>
        </w:rPr>
        <w:t>”</w:t>
      </w:r>
      <w:r w:rsidRPr="00343FE7">
        <w:rPr>
          <w:rFonts w:ascii="Verdana" w:eastAsia="Verdana" w:hAnsi="Verdana" w:cs="Verdana"/>
          <w:bCs/>
          <w:sz w:val="20"/>
          <w:szCs w:val="20"/>
        </w:rPr>
        <w:t xml:space="preserve">. En tal sentido, este es el procedimiento establecido para hacer efectivas las sanciones contractuales, como es la caducidad del contrato y la imposición unilateral de multas y cláusula penal contractual que se derivan del incumplimiento contractual. </w:t>
      </w:r>
    </w:p>
    <w:p w14:paraId="4C835150" w14:textId="77777777" w:rsidR="00C33C27" w:rsidRDefault="00C33C27" w:rsidP="00C33C27">
      <w:pPr>
        <w:spacing w:after="0" w:line="240" w:lineRule="auto"/>
        <w:jc w:val="both"/>
        <w:rPr>
          <w:rFonts w:ascii="Verdana" w:hAnsi="Verdana"/>
        </w:rPr>
      </w:pPr>
    </w:p>
    <w:p w14:paraId="64D34F97" w14:textId="77777777" w:rsidR="00C33C27" w:rsidRPr="00944770" w:rsidRDefault="00C33C27" w:rsidP="00C33C27">
      <w:pPr>
        <w:spacing w:after="0" w:line="240" w:lineRule="auto"/>
        <w:jc w:val="both"/>
        <w:rPr>
          <w:rFonts w:ascii="Verdana" w:eastAsia="Calibri" w:hAnsi="Verdana" w:cs="Arial"/>
          <w:b/>
          <w:color w:val="000000" w:themeColor="text1"/>
        </w:rPr>
      </w:pPr>
      <w:r w:rsidRPr="00944770">
        <w:rPr>
          <w:rFonts w:ascii="Verdana" w:eastAsia="Calibri" w:hAnsi="Verdana" w:cs="Arial"/>
          <w:b/>
          <w:color w:val="000000" w:themeColor="text1"/>
        </w:rPr>
        <w:t>CLÁUSULAS EXCEPCIONALES – Multas – Cláusula penal – Imposición unilateral</w:t>
      </w:r>
    </w:p>
    <w:p w14:paraId="19A1326B" w14:textId="77777777" w:rsidR="00C33C27" w:rsidRPr="00944770" w:rsidRDefault="00C33C27" w:rsidP="00C33C27">
      <w:pPr>
        <w:spacing w:after="0" w:line="240" w:lineRule="auto"/>
        <w:jc w:val="both"/>
        <w:rPr>
          <w:rFonts w:ascii="Verdana" w:eastAsia="Calibri" w:hAnsi="Verdana" w:cs="Arial"/>
          <w:b/>
          <w:color w:val="000000" w:themeColor="text1"/>
          <w:sz w:val="20"/>
          <w:szCs w:val="20"/>
        </w:rPr>
      </w:pPr>
    </w:p>
    <w:p w14:paraId="5817EF30" w14:textId="77777777" w:rsidR="00C33C27" w:rsidRPr="00944770" w:rsidRDefault="00C33C27" w:rsidP="00C33C27">
      <w:pPr>
        <w:spacing w:after="0" w:line="240" w:lineRule="auto"/>
        <w:jc w:val="both"/>
        <w:rPr>
          <w:rFonts w:ascii="Verdana" w:eastAsia="Calibri" w:hAnsi="Verdana" w:cs="Arial"/>
          <w:color w:val="000000" w:themeColor="text1"/>
          <w:sz w:val="20"/>
          <w:szCs w:val="20"/>
        </w:rPr>
      </w:pPr>
      <w:r w:rsidRPr="00944770">
        <w:rPr>
          <w:rFonts w:ascii="Verdana" w:eastAsia="Calibri" w:hAnsi="Verdana" w:cs="Arial"/>
          <w:color w:val="000000" w:themeColor="text1"/>
          <w:sz w:val="20"/>
          <w:szCs w:val="20"/>
        </w:rPr>
        <w:t>El último grupo de potestades excepcionales –</w:t>
      </w:r>
      <w:r w:rsidRPr="00944770">
        <w:rPr>
          <w:rFonts w:ascii="Verdana" w:eastAsia="Calibri" w:hAnsi="Verdana" w:cs="Arial"/>
          <w:i/>
          <w:iCs/>
          <w:color w:val="000000" w:themeColor="text1"/>
          <w:sz w:val="20"/>
          <w:szCs w:val="20"/>
        </w:rPr>
        <w:t>imposición unilateral</w:t>
      </w:r>
      <w:r w:rsidRPr="00944770">
        <w:rPr>
          <w:rFonts w:ascii="Verdana" w:eastAsia="Calibri" w:hAnsi="Verdana" w:cs="Arial"/>
          <w:color w:val="000000" w:themeColor="text1"/>
          <w:sz w:val="20"/>
          <w:szCs w:val="20"/>
        </w:rPr>
        <w:t xml:space="preserve">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293FE6BF" w14:textId="77777777" w:rsidR="00C33C27" w:rsidRDefault="00C33C27" w:rsidP="00C33C27">
      <w:pPr>
        <w:spacing w:after="0" w:line="240" w:lineRule="auto"/>
        <w:jc w:val="both"/>
        <w:rPr>
          <w:rFonts w:ascii="Verdana" w:hAnsi="Verdana"/>
        </w:rPr>
      </w:pPr>
    </w:p>
    <w:p w14:paraId="1383ECDB" w14:textId="77777777" w:rsidR="00C33C27" w:rsidRDefault="00C33C27" w:rsidP="00C33C27">
      <w:pPr>
        <w:spacing w:after="0" w:line="240" w:lineRule="auto"/>
        <w:jc w:val="both"/>
        <w:rPr>
          <w:rFonts w:ascii="Verdana" w:hAnsi="Verdana"/>
        </w:rPr>
      </w:pPr>
    </w:p>
    <w:p w14:paraId="47223B44" w14:textId="77777777" w:rsidR="00C33C27" w:rsidRDefault="00C33C27" w:rsidP="00C33C27">
      <w:pPr>
        <w:spacing w:after="0" w:line="240" w:lineRule="auto"/>
        <w:jc w:val="both"/>
        <w:rPr>
          <w:rFonts w:ascii="Verdana" w:hAnsi="Verdana"/>
        </w:rPr>
      </w:pPr>
    </w:p>
    <w:p w14:paraId="074871E7" w14:textId="77777777" w:rsidR="00C33C27" w:rsidRDefault="00C33C27" w:rsidP="00C33C27">
      <w:pPr>
        <w:spacing w:after="0" w:line="240" w:lineRule="auto"/>
        <w:jc w:val="both"/>
        <w:rPr>
          <w:rFonts w:ascii="Verdana" w:hAnsi="Verdana"/>
        </w:rPr>
      </w:pPr>
    </w:p>
    <w:p w14:paraId="0146685D" w14:textId="77777777" w:rsidR="00C33C27" w:rsidRDefault="00C33C27" w:rsidP="00C33C27">
      <w:pPr>
        <w:spacing w:after="0" w:line="240" w:lineRule="auto"/>
        <w:jc w:val="both"/>
        <w:rPr>
          <w:rFonts w:ascii="Verdana" w:hAnsi="Verdana"/>
        </w:rPr>
      </w:pPr>
    </w:p>
    <w:p w14:paraId="051E692B" w14:textId="77777777" w:rsidR="00C33C27" w:rsidRDefault="00C33C27" w:rsidP="00C33C27">
      <w:pPr>
        <w:spacing w:after="0" w:line="240" w:lineRule="auto"/>
        <w:jc w:val="both"/>
        <w:rPr>
          <w:rFonts w:ascii="Verdana" w:hAnsi="Verdana"/>
        </w:rPr>
      </w:pPr>
    </w:p>
    <w:p w14:paraId="7AB53EA1" w14:textId="77777777" w:rsidR="00C33C27" w:rsidRPr="00E17ACA" w:rsidRDefault="00C33C27" w:rsidP="00C33C27">
      <w:pPr>
        <w:spacing w:after="0" w:line="240" w:lineRule="auto"/>
        <w:jc w:val="both"/>
        <w:rPr>
          <w:rFonts w:ascii="Verdana" w:hAnsi="Verdana"/>
        </w:rPr>
      </w:pPr>
    </w:p>
    <w:p w14:paraId="1630B20A" w14:textId="77777777" w:rsidR="00C33C27" w:rsidRDefault="00C33C27" w:rsidP="00C33C27">
      <w:pPr>
        <w:spacing w:after="0" w:line="240" w:lineRule="auto"/>
        <w:rPr>
          <w:rFonts w:ascii="Verdana" w:hAnsi="Verdana"/>
          <w:lang w:val="es-ES"/>
        </w:rPr>
      </w:pPr>
    </w:p>
    <w:p w14:paraId="652AF47C" w14:textId="77777777" w:rsidR="00C33C27" w:rsidRDefault="00C33C27" w:rsidP="00C33C27">
      <w:pPr>
        <w:spacing w:after="0" w:line="240" w:lineRule="auto"/>
        <w:rPr>
          <w:rFonts w:ascii="Verdana" w:hAnsi="Verdana"/>
          <w:lang w:val="es-ES"/>
        </w:rPr>
      </w:pPr>
    </w:p>
    <w:p w14:paraId="3BF2247F" w14:textId="77777777" w:rsidR="00C33C27" w:rsidRDefault="00C33C27" w:rsidP="00C33C27">
      <w:pPr>
        <w:spacing w:after="0" w:line="240" w:lineRule="auto"/>
        <w:rPr>
          <w:rFonts w:ascii="Verdana" w:hAnsi="Verdana"/>
          <w:lang w:val="es-ES"/>
        </w:rPr>
      </w:pPr>
    </w:p>
    <w:p w14:paraId="536EE1BF" w14:textId="77777777" w:rsidR="00C33C27" w:rsidRDefault="00C33C27" w:rsidP="00C33C27">
      <w:pPr>
        <w:spacing w:after="0" w:line="240" w:lineRule="auto"/>
        <w:rPr>
          <w:rFonts w:ascii="Verdana" w:hAnsi="Verdana"/>
          <w:lang w:val="es-ES"/>
        </w:rPr>
      </w:pPr>
    </w:p>
    <w:p w14:paraId="5FD72C69" w14:textId="77777777" w:rsidR="00C33C27" w:rsidRDefault="00C33C27" w:rsidP="00C33C27">
      <w:pPr>
        <w:spacing w:after="0" w:line="240" w:lineRule="auto"/>
        <w:rPr>
          <w:rFonts w:ascii="Verdana" w:hAnsi="Verdana"/>
          <w:lang w:val="es-ES"/>
        </w:rPr>
      </w:pPr>
    </w:p>
    <w:p w14:paraId="5CCF91AF" w14:textId="77777777" w:rsidR="00C33C27" w:rsidRDefault="00C33C27" w:rsidP="00C33C27">
      <w:pPr>
        <w:spacing w:after="0" w:line="240" w:lineRule="auto"/>
        <w:rPr>
          <w:rFonts w:ascii="Verdana" w:hAnsi="Verdana"/>
          <w:lang w:val="es-ES"/>
        </w:rPr>
      </w:pPr>
    </w:p>
    <w:p w14:paraId="2214C2BD" w14:textId="5D1C5802" w:rsidR="00C33C27" w:rsidRPr="005C5519" w:rsidRDefault="00C33C27" w:rsidP="00C33C27">
      <w:pPr>
        <w:spacing w:after="0" w:line="240" w:lineRule="auto"/>
        <w:rPr>
          <w:rFonts w:ascii="Verdana" w:hAnsi="Verdana"/>
        </w:rPr>
      </w:pPr>
      <w:r w:rsidRPr="005C5519">
        <w:rPr>
          <w:rFonts w:ascii="Verdana" w:hAnsi="Verdana"/>
        </w:rPr>
        <w:lastRenderedPageBreak/>
        <w:t xml:space="preserve">Bogotá D.C., </w:t>
      </w:r>
      <w:r w:rsidR="006939B7">
        <w:rPr>
          <w:rFonts w:ascii="Verdana" w:hAnsi="Verdana"/>
        </w:rPr>
        <w:t>01 octubre 2026</w:t>
      </w:r>
      <w:r w:rsidRPr="005C5519">
        <w:rPr>
          <w:rFonts w:ascii="Verdana" w:hAnsi="Verdana"/>
        </w:rPr>
        <w:tab/>
      </w:r>
    </w:p>
    <w:p w14:paraId="117F902C" w14:textId="34C73FD2" w:rsidR="00C33C27" w:rsidRPr="005C5519" w:rsidRDefault="00C33C27" w:rsidP="00C33C27">
      <w:pPr>
        <w:spacing w:after="0" w:line="240" w:lineRule="auto"/>
        <w:jc w:val="right"/>
        <w:rPr>
          <w:rFonts w:ascii="Verdana" w:eastAsia="Times New Roman" w:hAnsi="Verdana" w:cs="Arial"/>
          <w:lang w:eastAsia="es-ES_tradnl"/>
        </w:rPr>
      </w:pPr>
    </w:p>
    <w:p w14:paraId="65CAB4B5" w14:textId="5AE81DB6" w:rsidR="00C33C27" w:rsidRPr="005C5519" w:rsidRDefault="006939B7" w:rsidP="00C33C27">
      <w:pPr>
        <w:spacing w:after="0" w:line="240" w:lineRule="auto"/>
        <w:jc w:val="both"/>
        <w:rPr>
          <w:rFonts w:ascii="Verdana" w:eastAsia="Calibri" w:hAnsi="Verdana" w:cs="Arial"/>
          <w:lang w:eastAsia="es-ES_tradnl"/>
        </w:rPr>
      </w:pPr>
      <w:r w:rsidRPr="006939B7">
        <w:rPr>
          <w:rFonts w:ascii="Verdana" w:hAnsi="Verdana"/>
          <w:noProof/>
        </w:rPr>
        <w:drawing>
          <wp:anchor distT="0" distB="0" distL="114300" distR="114300" simplePos="0" relativeHeight="251658240" behindDoc="1" locked="0" layoutInCell="1" allowOverlap="1" wp14:anchorId="30D478FA" wp14:editId="41CC65C7">
            <wp:simplePos x="0" y="0"/>
            <wp:positionH relativeFrom="margin">
              <wp:posOffset>3076575</wp:posOffset>
            </wp:positionH>
            <wp:positionV relativeFrom="paragraph">
              <wp:posOffset>8890</wp:posOffset>
            </wp:positionV>
            <wp:extent cx="2495550" cy="690880"/>
            <wp:effectExtent l="0" t="0" r="0" b="0"/>
            <wp:wrapTight wrapText="bothSides">
              <wp:wrapPolygon edited="0">
                <wp:start x="0" y="0"/>
                <wp:lineTo x="0" y="20846"/>
                <wp:lineTo x="21435" y="20846"/>
                <wp:lineTo x="21435" y="0"/>
                <wp:lineTo x="0" y="0"/>
              </wp:wrapPolygon>
            </wp:wrapTight>
            <wp:docPr id="2901621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5550" cy="690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3C27" w:rsidRPr="005C5519">
        <w:rPr>
          <w:rFonts w:ascii="Verdana" w:eastAsia="Calibri" w:hAnsi="Verdana" w:cs="Arial"/>
          <w:lang w:eastAsia="es-ES_tradnl"/>
        </w:rPr>
        <w:t>Señora</w:t>
      </w:r>
    </w:p>
    <w:p w14:paraId="2C8383F5" w14:textId="77777777" w:rsidR="00C33C27" w:rsidRPr="005C5519" w:rsidRDefault="00C33C27" w:rsidP="00C33C27">
      <w:pPr>
        <w:spacing w:after="0" w:line="240" w:lineRule="auto"/>
        <w:rPr>
          <w:rFonts w:ascii="Verdana" w:eastAsia="Calibri" w:hAnsi="Verdana" w:cs="Arial"/>
          <w:b/>
          <w:bCs/>
          <w:lang w:eastAsia="es-ES_tradnl"/>
        </w:rPr>
      </w:pPr>
      <w:r>
        <w:rPr>
          <w:rFonts w:ascii="Verdana" w:eastAsia="Calibri" w:hAnsi="Verdana" w:cs="Arial"/>
          <w:b/>
          <w:bCs/>
          <w:lang w:eastAsia="es-ES_tradnl"/>
        </w:rPr>
        <w:t>Ana Vergel</w:t>
      </w:r>
    </w:p>
    <w:p w14:paraId="4C6A1FAD" w14:textId="77777777" w:rsidR="00C33C27" w:rsidRDefault="00C33C27" w:rsidP="00C33C27">
      <w:pPr>
        <w:spacing w:after="0" w:line="240" w:lineRule="auto"/>
        <w:rPr>
          <w:rFonts w:ascii="Verdana" w:hAnsi="Verdana"/>
        </w:rPr>
      </w:pPr>
      <w:hyperlink r:id="rId8" w:history="1">
        <w:r w:rsidRPr="00C66FBF">
          <w:rPr>
            <w:rStyle w:val="Hipervnculo"/>
            <w:rFonts w:ascii="Verdana" w:hAnsi="Verdana"/>
          </w:rPr>
          <w:t>anacaro_v@hotmail.com</w:t>
        </w:r>
      </w:hyperlink>
    </w:p>
    <w:p w14:paraId="1E4E093D" w14:textId="77777777" w:rsidR="00C33C27" w:rsidRPr="005C5519" w:rsidRDefault="00C33C27" w:rsidP="00C33C27">
      <w:pPr>
        <w:spacing w:after="0" w:line="240" w:lineRule="auto"/>
        <w:rPr>
          <w:rFonts w:ascii="Verdana" w:eastAsia="Calibri" w:hAnsi="Verdana" w:cs="Arial"/>
          <w:lang w:eastAsia="es-ES_tradnl"/>
        </w:rPr>
      </w:pPr>
      <w:r w:rsidRPr="005C5519">
        <w:rPr>
          <w:rFonts w:ascii="Verdana" w:eastAsia="Calibri" w:hAnsi="Verdana" w:cs="Arial"/>
          <w:lang w:eastAsia="es-ES_tradnl"/>
        </w:rPr>
        <w:t>Bogotá, D.C.</w:t>
      </w:r>
    </w:p>
    <w:p w14:paraId="32C53763" w14:textId="77777777" w:rsidR="00C33C27" w:rsidRPr="005C5519" w:rsidRDefault="00C33C27" w:rsidP="00C33C27">
      <w:pPr>
        <w:spacing w:after="0" w:line="240" w:lineRule="auto"/>
        <w:rPr>
          <w:rFonts w:ascii="Verdana" w:eastAsia="Calibri" w:hAnsi="Verdana" w:cs="Arial"/>
          <w:lang w:eastAsia="es-ES_tradnl"/>
        </w:rPr>
      </w:pPr>
    </w:p>
    <w:p w14:paraId="52EA9CB7" w14:textId="77777777" w:rsidR="00C33C27" w:rsidRPr="005C5519" w:rsidRDefault="00C33C27" w:rsidP="00C33C27">
      <w:pPr>
        <w:spacing w:after="0" w:line="240" w:lineRule="auto"/>
        <w:ind w:left="2694"/>
        <w:rPr>
          <w:rFonts w:ascii="Verdana" w:eastAsia="Calibri" w:hAnsi="Verdana" w:cs="Arial"/>
          <w:b/>
          <w:bCs/>
          <w:lang w:eastAsia="es-ES_tradnl"/>
        </w:rPr>
      </w:pPr>
      <w:r w:rsidRPr="005C5519">
        <w:rPr>
          <w:rFonts w:ascii="Verdana" w:eastAsia="Calibri" w:hAnsi="Verdana" w:cs="Arial"/>
          <w:b/>
          <w:bCs/>
          <w:lang w:eastAsia="es-ES_tradnl"/>
        </w:rPr>
        <w:t>Concepto C-</w:t>
      </w:r>
      <w:r>
        <w:rPr>
          <w:rFonts w:ascii="Verdana" w:eastAsia="Calibri" w:hAnsi="Verdana" w:cs="Arial"/>
          <w:b/>
          <w:bCs/>
          <w:lang w:eastAsia="es-ES_tradnl"/>
        </w:rPr>
        <w:t>1332</w:t>
      </w:r>
      <w:r w:rsidRPr="005C5519">
        <w:rPr>
          <w:rFonts w:ascii="Verdana" w:eastAsia="Calibri" w:hAnsi="Verdana" w:cs="Arial"/>
          <w:b/>
          <w:bCs/>
          <w:lang w:eastAsia="es-ES_tradnl"/>
        </w:rPr>
        <w:t xml:space="preserve"> de 202</w:t>
      </w:r>
      <w:r>
        <w:rPr>
          <w:rFonts w:ascii="Verdana" w:eastAsia="Calibri" w:hAnsi="Verdana" w:cs="Arial"/>
          <w:b/>
          <w:bCs/>
          <w:lang w:eastAsia="es-ES_tradnl"/>
        </w:rPr>
        <w:t>6</w:t>
      </w:r>
    </w:p>
    <w:p w14:paraId="0D8B0AD3" w14:textId="77777777" w:rsidR="00C33C27" w:rsidRPr="005C5519" w:rsidRDefault="00C33C27" w:rsidP="00C33C27">
      <w:pPr>
        <w:spacing w:after="0" w:line="240" w:lineRule="auto"/>
        <w:jc w:val="both"/>
        <w:rPr>
          <w:rFonts w:ascii="Verdana" w:eastAsia="Calibri" w:hAnsi="Verdana" w:cs="Arial"/>
          <w:lang w:eastAsia="es-ES_tradnl"/>
        </w:rPr>
      </w:pPr>
    </w:p>
    <w:tbl>
      <w:tblPr>
        <w:tblStyle w:val="Tablaconcuadrcula"/>
        <w:tblW w:w="89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33C27" w:rsidRPr="005C5519" w14:paraId="30F63B4E" w14:textId="77777777" w:rsidTr="00160D90">
        <w:trPr>
          <w:jc w:val="right"/>
        </w:trPr>
        <w:tc>
          <w:tcPr>
            <w:tcW w:w="2689" w:type="dxa"/>
          </w:tcPr>
          <w:p w14:paraId="2A2AFB2C" w14:textId="77777777" w:rsidR="00C33C27" w:rsidRPr="005C5519" w:rsidRDefault="00C33C27" w:rsidP="00160D90">
            <w:pPr>
              <w:jc w:val="center"/>
              <w:rPr>
                <w:rFonts w:ascii="Verdana" w:eastAsia="Calibri" w:hAnsi="Verdana" w:cs="Arial"/>
                <w:lang w:eastAsia="es-ES_tradnl"/>
              </w:rPr>
            </w:pPr>
            <w:r w:rsidRPr="005C5519">
              <w:rPr>
                <w:rFonts w:ascii="Verdana" w:eastAsia="Calibri" w:hAnsi="Verdana" w:cs="Arial"/>
                <w:b/>
                <w:lang w:eastAsia="es-ES_tradnl"/>
              </w:rPr>
              <w:t>Temas:</w:t>
            </w:r>
          </w:p>
        </w:tc>
        <w:tc>
          <w:tcPr>
            <w:tcW w:w="6237" w:type="dxa"/>
          </w:tcPr>
          <w:p w14:paraId="4DF29B81" w14:textId="77777777" w:rsidR="00C33C27" w:rsidRDefault="00C33C27" w:rsidP="00160D90">
            <w:pPr>
              <w:jc w:val="both"/>
              <w:rPr>
                <w:rFonts w:ascii="Verdana" w:eastAsia="Calibri" w:hAnsi="Verdana" w:cs="Arial"/>
                <w:color w:val="000000" w:themeColor="text1"/>
              </w:rPr>
            </w:pPr>
            <w:r w:rsidRPr="00F14ABD">
              <w:rPr>
                <w:rFonts w:ascii="Verdana" w:eastAsia="Verdana" w:hAnsi="Verdana" w:cs="Verdana"/>
                <w:lang w:val="es-ES"/>
              </w:rPr>
              <w:t xml:space="preserve">MULTAS Y CLÁUSULA PENAL – Autonomía de la voluntad – Imposición unilateral – Competencia temporal / </w:t>
            </w:r>
            <w:r w:rsidRPr="00F14ABD">
              <w:rPr>
                <w:rFonts w:ascii="Verdana" w:hAnsi="Verdana" w:cs="Arial"/>
                <w:iCs/>
                <w:color w:val="000000" w:themeColor="text1"/>
                <w:lang w:val="es-ES_tradnl"/>
              </w:rPr>
              <w:t xml:space="preserve">MULTAS Y CLÁUSULA PENAL – Oportunidad para su imposición / </w:t>
            </w:r>
            <w:r w:rsidRPr="00F14ABD">
              <w:rPr>
                <w:rFonts w:ascii="Verdana" w:eastAsia="Verdana" w:hAnsi="Verdana" w:cs="Verdana"/>
                <w:lang w:val="es-ES_tradnl"/>
              </w:rPr>
              <w:t xml:space="preserve">CLÁUSULAS EXCEPCIONALES – Incumplimiento - Procedimiento Aplicable / </w:t>
            </w:r>
            <w:r w:rsidRPr="00F14ABD">
              <w:rPr>
                <w:rFonts w:ascii="Verdana" w:eastAsia="Calibri" w:hAnsi="Verdana" w:cs="Arial"/>
                <w:color w:val="000000" w:themeColor="text1"/>
              </w:rPr>
              <w:t xml:space="preserve">CLÁUSULAS EXCEPCIONALES – Multas – Cláusula penal – Imposición unilateral </w:t>
            </w:r>
          </w:p>
          <w:p w14:paraId="6F447981" w14:textId="77777777" w:rsidR="00C33C27" w:rsidRPr="00F14ABD" w:rsidRDefault="00C33C27" w:rsidP="00160D90">
            <w:pPr>
              <w:jc w:val="both"/>
              <w:rPr>
                <w:rFonts w:ascii="Verdana" w:eastAsia="Times New Roman" w:hAnsi="Verdana" w:cs="Arial"/>
                <w:lang w:eastAsia="es-ES_tradnl"/>
              </w:rPr>
            </w:pPr>
          </w:p>
        </w:tc>
      </w:tr>
      <w:tr w:rsidR="00C33C27" w:rsidRPr="005C5519" w14:paraId="5FB011EB" w14:textId="77777777" w:rsidTr="00160D90">
        <w:trPr>
          <w:jc w:val="right"/>
        </w:trPr>
        <w:tc>
          <w:tcPr>
            <w:tcW w:w="2689" w:type="dxa"/>
          </w:tcPr>
          <w:p w14:paraId="714DF979" w14:textId="77777777" w:rsidR="00C33C27" w:rsidRPr="005C5519" w:rsidRDefault="00C33C27" w:rsidP="00160D90">
            <w:pPr>
              <w:jc w:val="center"/>
              <w:rPr>
                <w:rFonts w:ascii="Verdana" w:eastAsia="Calibri" w:hAnsi="Verdana" w:cs="Arial"/>
                <w:b/>
                <w:lang w:eastAsia="es-ES_tradnl"/>
              </w:rPr>
            </w:pPr>
            <w:r w:rsidRPr="005C5519">
              <w:rPr>
                <w:rFonts w:ascii="Verdana" w:eastAsia="Calibri" w:hAnsi="Verdana" w:cs="Arial"/>
                <w:b/>
                <w:lang w:eastAsia="es-ES_tradnl"/>
              </w:rPr>
              <w:t>Radicación:</w:t>
            </w:r>
          </w:p>
        </w:tc>
        <w:tc>
          <w:tcPr>
            <w:tcW w:w="6237" w:type="dxa"/>
          </w:tcPr>
          <w:p w14:paraId="57688480" w14:textId="77777777" w:rsidR="00C33C27" w:rsidRPr="005C5519" w:rsidRDefault="00C33C27" w:rsidP="00160D90">
            <w:pPr>
              <w:jc w:val="both"/>
              <w:rPr>
                <w:rFonts w:ascii="Verdana" w:eastAsia="Calibri" w:hAnsi="Verdana" w:cs="Arial"/>
                <w:lang w:eastAsia="es-ES_tradnl"/>
              </w:rPr>
            </w:pPr>
            <w:r w:rsidRPr="005C5519">
              <w:rPr>
                <w:rFonts w:ascii="Verdana" w:eastAsia="Calibri" w:hAnsi="Verdana" w:cs="Arial"/>
                <w:lang w:eastAsia="es-ES_tradnl"/>
              </w:rPr>
              <w:t xml:space="preserve">Respuesta a consulta radicado No. </w:t>
            </w:r>
            <w:r w:rsidRPr="008B46C5">
              <w:rPr>
                <w:rFonts w:ascii="Verdana" w:eastAsia="Times New Roman" w:hAnsi="Verdana" w:cs="Arial"/>
                <w:lang w:eastAsia="es-ES_tradnl"/>
              </w:rPr>
              <w:t>1_2026_08_24_011212</w:t>
            </w:r>
          </w:p>
        </w:tc>
      </w:tr>
    </w:tbl>
    <w:p w14:paraId="00AC4209" w14:textId="77777777" w:rsidR="00C33C27" w:rsidRPr="00BE151B" w:rsidRDefault="00C33C27" w:rsidP="00C33C27">
      <w:pPr>
        <w:spacing w:after="0" w:line="276" w:lineRule="auto"/>
        <w:jc w:val="both"/>
        <w:rPr>
          <w:rFonts w:ascii="Verdana" w:eastAsia="Calibri" w:hAnsi="Verdana" w:cs="Arial"/>
          <w:lang w:eastAsia="es-ES_tradnl"/>
        </w:rPr>
      </w:pPr>
    </w:p>
    <w:p w14:paraId="6B6E08B1" w14:textId="77777777" w:rsidR="00C33C27" w:rsidRPr="00BE151B" w:rsidRDefault="00C33C27" w:rsidP="00C33C27">
      <w:pPr>
        <w:spacing w:after="0" w:line="276" w:lineRule="auto"/>
        <w:jc w:val="both"/>
        <w:rPr>
          <w:rFonts w:ascii="Verdana" w:eastAsia="Calibri" w:hAnsi="Verdana" w:cs="Arial"/>
          <w:lang w:eastAsia="es-ES_tradnl"/>
        </w:rPr>
      </w:pPr>
    </w:p>
    <w:p w14:paraId="77505BB2" w14:textId="77777777" w:rsidR="00C33C27" w:rsidRPr="00BE151B" w:rsidRDefault="00C33C27" w:rsidP="00C33C27">
      <w:pPr>
        <w:spacing w:after="0" w:line="276" w:lineRule="auto"/>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a señora Ana</w:t>
      </w:r>
      <w:r>
        <w:rPr>
          <w:rFonts w:ascii="Verdana" w:eastAsia="Calibri" w:hAnsi="Verdana" w:cs="Arial"/>
          <w:bCs/>
          <w:lang w:eastAsia="es-ES_tradnl"/>
        </w:rPr>
        <w:t>,</w:t>
      </w:r>
    </w:p>
    <w:p w14:paraId="60DAA888" w14:textId="77777777" w:rsidR="00C33C27" w:rsidRPr="00BE151B" w:rsidRDefault="00C33C27" w:rsidP="00C33C27">
      <w:pPr>
        <w:spacing w:after="0" w:line="276" w:lineRule="auto"/>
        <w:jc w:val="both"/>
        <w:rPr>
          <w:rFonts w:ascii="Verdana" w:eastAsia="Calibri" w:hAnsi="Verdana" w:cs="Arial"/>
          <w:lang w:eastAsia="es-ES_tradnl"/>
        </w:rPr>
      </w:pPr>
    </w:p>
    <w:p w14:paraId="3F8066C3" w14:textId="77777777" w:rsidR="00C33C27" w:rsidRDefault="00C33C27" w:rsidP="00C33C27">
      <w:pPr>
        <w:spacing w:after="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24 de agosto de 2026</w:t>
      </w:r>
      <w:r w:rsidRPr="00BE151B">
        <w:rPr>
          <w:rFonts w:ascii="Verdana" w:eastAsia="Calibri" w:hAnsi="Verdana" w:cs="Arial"/>
          <w:lang w:eastAsia="es-ES_tradnl"/>
        </w:rPr>
        <w:t xml:space="preserve">,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3BF31C42" w14:textId="77777777" w:rsidR="00C33C27" w:rsidRPr="00BE151B" w:rsidRDefault="00C33C27" w:rsidP="00C33C27">
      <w:pPr>
        <w:spacing w:after="0" w:line="276" w:lineRule="auto"/>
        <w:jc w:val="both"/>
        <w:rPr>
          <w:rFonts w:ascii="Verdana" w:eastAsia="Calibri" w:hAnsi="Verdana" w:cs="Arial"/>
          <w:lang w:eastAsia="es-ES_tradnl"/>
        </w:rPr>
      </w:pPr>
    </w:p>
    <w:p w14:paraId="788FEC83" w14:textId="77777777" w:rsidR="00C33C27" w:rsidRPr="00E00E44" w:rsidRDefault="00C33C27" w:rsidP="00C33C27">
      <w:pPr>
        <w:spacing w:after="0" w:line="240" w:lineRule="auto"/>
        <w:ind w:left="709" w:right="709"/>
        <w:jc w:val="both"/>
        <w:rPr>
          <w:rFonts w:ascii="Verdana" w:eastAsia="Times New Roman" w:hAnsi="Verdana" w:cs="Arial"/>
          <w:sz w:val="20"/>
          <w:szCs w:val="20"/>
          <w:lang w:eastAsia="es-ES_tradnl"/>
        </w:rPr>
      </w:pPr>
      <w:r w:rsidRPr="00E00E44">
        <w:rPr>
          <w:rFonts w:ascii="Verdana" w:eastAsia="Times New Roman" w:hAnsi="Verdana" w:cs="Arial"/>
          <w:sz w:val="20"/>
          <w:szCs w:val="20"/>
          <w:lang w:eastAsia="es-ES_tradnl"/>
        </w:rPr>
        <w:t>“</w:t>
      </w:r>
      <w:r>
        <w:rPr>
          <w:rFonts w:ascii="Verdana" w:eastAsia="Times New Roman" w:hAnsi="Verdana" w:cs="Arial"/>
          <w:sz w:val="20"/>
          <w:szCs w:val="20"/>
          <w:lang w:eastAsia="es-ES_tradnl"/>
        </w:rPr>
        <w:t xml:space="preserve">(…) </w:t>
      </w:r>
      <w:r w:rsidRPr="00EC5333">
        <w:rPr>
          <w:rFonts w:ascii="Verdana" w:eastAsia="Times New Roman" w:hAnsi="Verdana" w:cs="Arial"/>
          <w:sz w:val="20"/>
          <w:szCs w:val="20"/>
          <w:lang w:eastAsia="es-ES_tradnl"/>
        </w:rPr>
        <w:t xml:space="preserve">¿Es jurídicamente viable que una entidad estatal ejerza la facultad sancionatoria invocando el término general de caducidad del artículo 52 de la Ley 1437 de 2011 (CPACA), una vez ha perdido competencia para liquidar el contrato en los términos de las Leyes 80 de 1993 y 1150 de 2007? ¿La existencia de un presunto incumplimiento por parte del contratista, verificado con posterioridad al vencimiento plazo contractual y periodo liquidación (bilateral, unilateral y judicial), puede revivir, prorrogar o habilitar la competencia sancionatoria de la entidad contratante en virtud del artículo 52 de la Ley 1437 de 2011? Si se considere jurídicamente viable la aplicación del artículo 52 de la Ley 1437 de 2011, ¿cuál debe ser el hito temporal para iniciar el cómputo del </w:t>
      </w:r>
      <w:r w:rsidRPr="00EC5333">
        <w:rPr>
          <w:rFonts w:ascii="Verdana" w:eastAsia="Times New Roman" w:hAnsi="Verdana" w:cs="Arial"/>
          <w:sz w:val="20"/>
          <w:szCs w:val="20"/>
          <w:lang w:eastAsia="es-ES_tradnl"/>
        </w:rPr>
        <w:lastRenderedPageBreak/>
        <w:t>término de caducidad de 3 años respecto de la ocurrencia del hecho, conducta u omisión? Específicamente si dicho término empieza a correr: ¿desde el momento en que el supervisor del contrato certifica el recibo a satisfacción de los bienes o servicios, aun cuando materialmente estos no hayan sido entregados o ejecutados por el contratista? o ¿desde la fecha en que la entidad estatal, a través de una supervisión posterior, tiene conocimiento real y efectivo del presunto incumplimiento contractual? ¿Qué criterio aplica, el objetivo o el subjetivo?</w:t>
      </w:r>
      <w:r w:rsidRPr="00E00E44">
        <w:rPr>
          <w:rFonts w:ascii="Verdana" w:eastAsia="Times New Roman" w:hAnsi="Verdana" w:cs="Arial"/>
          <w:iCs/>
          <w:sz w:val="20"/>
          <w:szCs w:val="20"/>
          <w:lang w:eastAsia="es-ES_tradnl"/>
        </w:rPr>
        <w:t>”.</w:t>
      </w:r>
    </w:p>
    <w:p w14:paraId="447143F1" w14:textId="77777777" w:rsidR="00C33C27" w:rsidRPr="00BE151B" w:rsidRDefault="00C33C27" w:rsidP="00C33C27">
      <w:pPr>
        <w:spacing w:after="0" w:line="276" w:lineRule="auto"/>
        <w:ind w:left="709" w:right="709"/>
        <w:jc w:val="both"/>
        <w:rPr>
          <w:rFonts w:ascii="Verdana" w:eastAsia="Times New Roman" w:hAnsi="Verdana" w:cs="Arial"/>
          <w:i/>
          <w:lang w:eastAsia="es-ES_tradnl"/>
        </w:rPr>
      </w:pPr>
    </w:p>
    <w:p w14:paraId="4848532F" w14:textId="77777777" w:rsidR="00C33C27" w:rsidRDefault="00C33C27" w:rsidP="00C33C27">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9AC1BBA" w14:textId="77777777" w:rsidR="00C33C27" w:rsidRPr="00BE151B" w:rsidRDefault="00C33C27" w:rsidP="00C33C27">
      <w:pPr>
        <w:spacing w:after="0" w:line="276" w:lineRule="auto"/>
        <w:ind w:firstLine="709"/>
        <w:jc w:val="both"/>
        <w:rPr>
          <w:rFonts w:ascii="Verdana" w:eastAsia="Calibri" w:hAnsi="Verdana" w:cs="Arial"/>
          <w:lang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w:t>
      </w:r>
      <w:r>
        <w:rPr>
          <w:rFonts w:ascii="Verdana" w:eastAsia="Calibri" w:hAnsi="Verdana" w:cs="Arial"/>
          <w:color w:val="000000"/>
          <w:lang w:val="es-ES" w:eastAsia="es-ES"/>
        </w:rPr>
        <w:t xml:space="preserve">pero </w:t>
      </w:r>
      <w:r w:rsidRPr="00BE151B">
        <w:rPr>
          <w:rFonts w:ascii="Verdana" w:eastAsia="Calibri" w:hAnsi="Verdana" w:cs="Arial"/>
          <w:lang w:eastAsia="es-ES"/>
        </w:rPr>
        <w:t xml:space="preserve">haciendo unas consideraciones sobre las normas generales relacionadas con los problemas jurídicos de su consulta. </w:t>
      </w:r>
    </w:p>
    <w:p w14:paraId="7AB06663" w14:textId="77777777" w:rsidR="00C33C27" w:rsidRPr="00BE151B" w:rsidRDefault="00C33C27" w:rsidP="00C33C27">
      <w:pPr>
        <w:spacing w:after="0" w:line="276" w:lineRule="auto"/>
        <w:jc w:val="both"/>
        <w:rPr>
          <w:rFonts w:ascii="Verdana" w:eastAsia="Times New Roman" w:hAnsi="Verdana" w:cs="Arial"/>
          <w:szCs w:val="24"/>
          <w:lang w:eastAsia="es-ES_tradnl"/>
        </w:rPr>
      </w:pPr>
    </w:p>
    <w:p w14:paraId="5C54F087" w14:textId="77777777" w:rsidR="00C33C27" w:rsidRPr="00BE151B" w:rsidRDefault="00C33C27" w:rsidP="00C33C27">
      <w:pPr>
        <w:tabs>
          <w:tab w:val="left" w:pos="0"/>
          <w:tab w:val="left" w:pos="284"/>
        </w:tabs>
        <w:spacing w:after="0" w:line="276" w:lineRule="auto"/>
        <w:jc w:val="both"/>
        <w:rPr>
          <w:rFonts w:ascii="Verdana" w:eastAsia="Calibri" w:hAnsi="Verdana" w:cs="Arial"/>
          <w:b/>
        </w:rPr>
      </w:pPr>
      <w:r w:rsidRPr="00BE151B">
        <w:rPr>
          <w:rFonts w:ascii="Verdana" w:eastAsia="Calibri" w:hAnsi="Verdana" w:cs="Arial"/>
          <w:b/>
        </w:rPr>
        <w:t>1. Problema planteado:</w:t>
      </w:r>
    </w:p>
    <w:p w14:paraId="419C61F4" w14:textId="77777777" w:rsidR="00C33C27" w:rsidRPr="00BE151B" w:rsidRDefault="00C33C27" w:rsidP="00C33C27">
      <w:pPr>
        <w:tabs>
          <w:tab w:val="left" w:pos="0"/>
          <w:tab w:val="left" w:pos="284"/>
        </w:tabs>
        <w:spacing w:after="0" w:line="276" w:lineRule="auto"/>
        <w:jc w:val="both"/>
        <w:rPr>
          <w:rFonts w:ascii="Verdana" w:eastAsia="Calibri" w:hAnsi="Verdana" w:cs="Arial"/>
          <w:b/>
        </w:rPr>
      </w:pPr>
    </w:p>
    <w:p w14:paraId="2766B199" w14:textId="77777777" w:rsidR="00C33C27" w:rsidRPr="005C4A0F" w:rsidRDefault="00C33C27" w:rsidP="00C33C27">
      <w:pPr>
        <w:spacing w:after="0" w:line="276" w:lineRule="auto"/>
        <w:jc w:val="both"/>
        <w:rPr>
          <w:rFonts w:ascii="Verdana" w:eastAsia="Century Gothic" w:hAnsi="Verdana" w:cs="Century Gothic"/>
        </w:rPr>
      </w:pPr>
      <w:r w:rsidRPr="2993F789">
        <w:rPr>
          <w:rFonts w:ascii="Verdana" w:eastAsia="Century Gothic" w:hAnsi="Verdana" w:cs="Century Gothic"/>
        </w:rPr>
        <w:t xml:space="preserve">De acuerdo con el contenido de su solicitud, esta Agencia resolverá el siguiente problema jurídico: </w:t>
      </w:r>
      <w:r w:rsidRPr="00776CC2">
        <w:rPr>
          <w:rFonts w:ascii="Verdana" w:eastAsia="Century Gothic" w:hAnsi="Verdana" w:cs="Century Gothic"/>
        </w:rPr>
        <w:t>¿Cuál es el límite temporal para que una entidad estatal ejerza las facultades previstas en el artículo 17 de la Ley 1150 de 2007 y en el artículo 86 de la Ley 1474 de 2011 frente a un incumplimiento contractual, y qué relación existe entre dicho límite y el término de caducidad de la facultad sancionatoria previsto en el artículo 52 de la Ley 1437 de 2011?</w:t>
      </w:r>
    </w:p>
    <w:p w14:paraId="29B7F9E6" w14:textId="77777777" w:rsidR="00C33C27" w:rsidRDefault="00C33C27" w:rsidP="00C33C27">
      <w:pPr>
        <w:spacing w:after="0" w:line="276" w:lineRule="auto"/>
        <w:jc w:val="both"/>
        <w:rPr>
          <w:rFonts w:ascii="Verdana" w:hAnsi="Verdana"/>
        </w:rPr>
      </w:pPr>
    </w:p>
    <w:p w14:paraId="11FAB2B1" w14:textId="77777777" w:rsidR="00C33C27" w:rsidRPr="00694106" w:rsidRDefault="00C33C27" w:rsidP="00C33C27">
      <w:pPr>
        <w:tabs>
          <w:tab w:val="left" w:pos="0"/>
          <w:tab w:val="left" w:pos="284"/>
        </w:tabs>
        <w:spacing w:after="0" w:line="276" w:lineRule="auto"/>
        <w:jc w:val="both"/>
        <w:rPr>
          <w:rFonts w:ascii="Verdana" w:eastAsia="Calibri" w:hAnsi="Verdana" w:cs="Arial"/>
          <w:b/>
        </w:rPr>
      </w:pPr>
      <w:r w:rsidRPr="00694106">
        <w:rPr>
          <w:rFonts w:ascii="Verdana" w:eastAsia="Calibri" w:hAnsi="Verdana" w:cs="Arial"/>
          <w:b/>
        </w:rPr>
        <w:t>2. Respuesta:</w:t>
      </w:r>
    </w:p>
    <w:p w14:paraId="59A5E460" w14:textId="77777777" w:rsidR="00C33C27" w:rsidRPr="00BE151B" w:rsidRDefault="00C33C27" w:rsidP="00C33C2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33C27" w:rsidRPr="00BE151B" w14:paraId="386A8BBC" w14:textId="77777777" w:rsidTr="00160D90">
        <w:tc>
          <w:tcPr>
            <w:tcW w:w="8828" w:type="dxa"/>
          </w:tcPr>
          <w:p w14:paraId="4C3719EE" w14:textId="77777777" w:rsidR="00C33C27" w:rsidRDefault="00C33C27" w:rsidP="00160D90">
            <w:pPr>
              <w:spacing w:after="120" w:line="276" w:lineRule="auto"/>
              <w:jc w:val="both"/>
              <w:rPr>
                <w:rFonts w:ascii="Verdana" w:eastAsia="Arial MT" w:hAnsi="Verdana" w:cs="Arial"/>
                <w:lang w:eastAsia="es-ES" w:bidi="es-ES"/>
              </w:rPr>
            </w:pPr>
            <w:r>
              <w:rPr>
                <w:rFonts w:ascii="Verdana" w:eastAsia="Arial MT" w:hAnsi="Verdana" w:cs="Arial"/>
                <w:lang w:eastAsia="es-ES" w:bidi="es-ES"/>
              </w:rPr>
              <w:t>Para abordar el problema jurídico planteado, es necesario precisar que:</w:t>
            </w:r>
          </w:p>
          <w:p w14:paraId="78EA9E3E" w14:textId="77777777" w:rsidR="00C33C27" w:rsidRDefault="00C33C27" w:rsidP="00160D90">
            <w:pPr>
              <w:spacing w:after="120" w:line="276" w:lineRule="auto"/>
              <w:ind w:firstLine="731"/>
              <w:jc w:val="both"/>
              <w:rPr>
                <w:rFonts w:ascii="Verdana" w:hAnsi="Verdana" w:cs="Arial"/>
                <w:lang w:eastAsia="es-ES"/>
              </w:rPr>
            </w:pPr>
            <w:r>
              <w:rPr>
                <w:rFonts w:ascii="Verdana" w:eastAsia="Arial MT" w:hAnsi="Verdana" w:cs="Arial"/>
                <w:lang w:eastAsia="es-ES" w:bidi="es-ES"/>
              </w:rPr>
              <w:t xml:space="preserve">Respecto de la imposición de multas y sanciones </w:t>
            </w:r>
            <w:r w:rsidRPr="00BE4AA0">
              <w:rPr>
                <w:rFonts w:ascii="Verdana" w:hAnsi="Verdana" w:cs="Arial"/>
                <w:lang w:eastAsia="es-ES"/>
              </w:rPr>
              <w:t>se señala que la autonomía de la voluntad, consagrada en el artículo 1602 del Código Civil, habilita a las partes para pactar cláusulas de apremio</w:t>
            </w:r>
            <w:r>
              <w:rPr>
                <w:rFonts w:ascii="Verdana" w:hAnsi="Verdana" w:cs="Arial"/>
                <w:lang w:eastAsia="es-ES"/>
              </w:rPr>
              <w:t xml:space="preserve"> o multas</w:t>
            </w:r>
            <w:r w:rsidRPr="00BE4AA0">
              <w:rPr>
                <w:rFonts w:ascii="Verdana" w:hAnsi="Verdana" w:cs="Arial"/>
                <w:lang w:eastAsia="es-ES"/>
              </w:rPr>
              <w:t xml:space="preserve"> y cláusula penal destinadas a asegurar el cumplimiento de las obligaciones </w:t>
            </w:r>
            <w:r>
              <w:rPr>
                <w:rFonts w:ascii="Verdana" w:hAnsi="Verdana" w:cs="Arial"/>
                <w:lang w:eastAsia="es-ES"/>
              </w:rPr>
              <w:t>pactadas</w:t>
            </w:r>
            <w:r w:rsidRPr="00BE4AA0">
              <w:rPr>
                <w:rFonts w:ascii="Verdana" w:hAnsi="Verdana" w:cs="Arial"/>
                <w:lang w:eastAsia="es-ES"/>
              </w:rPr>
              <w:t xml:space="preserve">. </w:t>
            </w:r>
          </w:p>
          <w:p w14:paraId="5BC5A81C" w14:textId="77777777" w:rsidR="00C33C27" w:rsidRDefault="00C33C27" w:rsidP="00160D90">
            <w:pPr>
              <w:spacing w:after="120" w:line="276" w:lineRule="auto"/>
              <w:ind w:firstLine="709"/>
              <w:jc w:val="both"/>
              <w:rPr>
                <w:rFonts w:ascii="Verdana" w:hAnsi="Verdana" w:cs="Arial"/>
                <w:lang w:eastAsia="es-ES"/>
              </w:rPr>
            </w:pPr>
            <w:r w:rsidRPr="00BE4AA0">
              <w:rPr>
                <w:rFonts w:ascii="Verdana" w:hAnsi="Verdana" w:cs="Arial"/>
                <w:lang w:eastAsia="es-ES"/>
              </w:rPr>
              <w:t>Ahora bien, es preciso distinguir entre la validez del pacto y la forma en que este se hace efectivo</w:t>
            </w:r>
            <w:r>
              <w:rPr>
                <w:rFonts w:ascii="Verdana" w:hAnsi="Verdana" w:cs="Arial"/>
                <w:lang w:eastAsia="es-ES"/>
              </w:rPr>
              <w:t xml:space="preserve">. </w:t>
            </w:r>
            <w:r w:rsidRPr="00794BB4">
              <w:rPr>
                <w:rFonts w:ascii="Verdana" w:hAnsi="Verdana" w:cs="Arial"/>
                <w:lang w:eastAsia="es-ES"/>
              </w:rPr>
              <w:t>Tratándose de contratos sometidos al Estatuto General de Contratación de la Administración Pública, el pacto de multas o cláusula penal constituye presupuesto para su exigibilidad, mientras que la facultad de imponerlas unilateralmente proviene de la ley, particularmente del artículo 17 de la Ley 1150 de 2007. Su ejercicio debe adelantarse conforme al procedimiento previsto en el artículo 86 de la Ley 1474 de 2011. En consecuencia, la autonomía de la voluntad permite incorporar estas estipulaciones al contrato, pero no constituye por sí misma la fuente de la potestad administrativa para imponerlas unilateralmente</w:t>
            </w:r>
            <w:r>
              <w:rPr>
                <w:rFonts w:ascii="Verdana" w:hAnsi="Verdana" w:cs="Arial"/>
                <w:lang w:eastAsia="es-ES"/>
              </w:rPr>
              <w:t xml:space="preserve">. </w:t>
            </w:r>
          </w:p>
          <w:p w14:paraId="48CF101D" w14:textId="77777777" w:rsidR="00C33C27" w:rsidRPr="00BE4AA0" w:rsidRDefault="00C33C27" w:rsidP="00160D90">
            <w:pPr>
              <w:spacing w:after="120" w:line="276" w:lineRule="auto"/>
              <w:ind w:firstLine="709"/>
              <w:jc w:val="both"/>
              <w:rPr>
                <w:rFonts w:ascii="Verdana" w:hAnsi="Verdana" w:cs="Arial"/>
                <w:iCs/>
                <w:lang w:eastAsia="es-ES"/>
              </w:rPr>
            </w:pPr>
            <w:r w:rsidRPr="00D117CE">
              <w:rPr>
                <w:rFonts w:ascii="Verdana" w:hAnsi="Verdana" w:cs="Arial"/>
                <w:iCs/>
                <w:lang w:eastAsia="es-ES"/>
              </w:rPr>
              <w:t xml:space="preserve">La competencia temporal para hacer efectivas estas estipulaciones depende de su naturaleza jurídica. </w:t>
            </w:r>
            <w:r w:rsidRPr="00794BB4">
              <w:rPr>
                <w:rFonts w:ascii="Verdana" w:hAnsi="Verdana" w:cs="Arial"/>
                <w:iCs/>
                <w:lang w:eastAsia="es-ES"/>
              </w:rPr>
              <w:t>La imposición unilateral de multas procede mientras se halle pendiente la ejecución de las obligaciones a cargo del contratista y la conminación al cumplimiento conserve utilidad</w:t>
            </w:r>
            <w:r w:rsidRPr="00D117CE">
              <w:rPr>
                <w:rFonts w:ascii="Verdana" w:hAnsi="Verdana" w:cs="Arial"/>
                <w:iCs/>
                <w:lang w:eastAsia="es-ES"/>
              </w:rPr>
              <w:t>. En contraste, la cláusula penal pecuniaria, de carácter sancionatorio e indemnizatorio, puede hacerse efectiva incluso después de finalizada la ejecución; durante el plazo de liquidación del contrato, etapa en la cual se cuantifican los perjuicios y se realizan los cruces y compensaciones correspondientes.</w:t>
            </w:r>
            <w:r w:rsidRPr="00BE4AA0">
              <w:rPr>
                <w:rFonts w:ascii="Verdana" w:hAnsi="Verdana" w:cs="Arial"/>
                <w:iCs/>
                <w:lang w:eastAsia="es-ES"/>
              </w:rPr>
              <w:t xml:space="preserve"> </w:t>
            </w:r>
          </w:p>
          <w:p w14:paraId="4AAA0F7C" w14:textId="77777777" w:rsidR="00C33C27" w:rsidRPr="00BE4AA0" w:rsidRDefault="00C33C27" w:rsidP="00160D90">
            <w:pPr>
              <w:spacing w:after="120" w:line="276" w:lineRule="auto"/>
              <w:ind w:firstLine="709"/>
              <w:jc w:val="both"/>
              <w:rPr>
                <w:rFonts w:ascii="Verdana" w:hAnsi="Verdana" w:cs="Arial"/>
                <w:iCs/>
                <w:lang w:eastAsia="es-ES"/>
              </w:rPr>
            </w:pPr>
            <w:r w:rsidRPr="00BE4AA0">
              <w:rPr>
                <w:rFonts w:ascii="Verdana" w:hAnsi="Verdana" w:cs="Arial"/>
                <w:iCs/>
                <w:lang w:eastAsia="es-ES"/>
              </w:rPr>
              <w:t xml:space="preserve">En este punto, y respecto de los contratos estatales sometidos al EGCAP, esta Subdirección abandona la tesis sobre competencia temporal para imponer multas y hacer efectiva la cláusula penal contenida en los conceptos C-432 del 27 de julio de 2020, C-646 del 9 de noviembre de 2020, C-329 del 7 de septiembre de 2023 y C-200 del 22 de julio de 2024, conforme a la cual, con fundamento en el artículo 17 de la Ley 1150 de 2007, dicha competencia se extendía únicamente mientras estuviera pendiente la ejecución de las obligaciones del contratista. En su lugar, se adopta el criterio según el cual el límite temporal se determina por la naturaleza de la medida y por el término </w:t>
            </w:r>
            <w:r w:rsidRPr="00BE4AA0">
              <w:rPr>
                <w:rFonts w:ascii="Verdana" w:hAnsi="Verdana" w:cs="Arial"/>
                <w:iCs/>
                <w:lang w:eastAsia="es-ES"/>
              </w:rPr>
              <w:lastRenderedPageBreak/>
              <w:t xml:space="preserve">de que dispone la administración para liquidar el negocio jurídico, conforme lo ha señalado el Consejo de Estado en el expediente 56.002. </w:t>
            </w:r>
          </w:p>
          <w:p w14:paraId="7920F7E9" w14:textId="77777777" w:rsidR="00C33C27" w:rsidRDefault="00C33C27" w:rsidP="00160D90">
            <w:pPr>
              <w:spacing w:after="120" w:line="276" w:lineRule="auto"/>
              <w:ind w:firstLine="709"/>
              <w:jc w:val="both"/>
              <w:rPr>
                <w:rFonts w:ascii="Verdana" w:hAnsi="Verdana" w:cs="Arial"/>
                <w:iCs/>
                <w:lang w:eastAsia="es-ES"/>
              </w:rPr>
            </w:pPr>
            <w:r w:rsidRPr="00BE4AA0">
              <w:rPr>
                <w:rFonts w:ascii="Verdana" w:hAnsi="Verdana" w:cs="Arial"/>
                <w:iCs/>
                <w:lang w:eastAsia="es-ES"/>
              </w:rPr>
              <w:t>En desarrollo de esta línea, la Subsección B de la Sección Tercera del Consejo de Estado, mediante auto del 27 de febrero de 2026, precisó que la competencia de la administración para imponer sanciones por incumplimiento se mantiene hasta que se notifique el auto admisorio de la demanda, momento en el cual se traba la relación jurídica</w:t>
            </w:r>
            <w:r w:rsidRPr="00BE4AA0">
              <w:rPr>
                <w:rFonts w:ascii="Verdana" w:hAnsi="Verdana" w:cs="Arial"/>
                <w:iCs/>
                <w:lang w:eastAsia="es-ES"/>
              </w:rPr>
              <w:noBreakHyphen/>
              <w:t>procesal ante el juez natural del contrato. De la articulación entre este criterio y los términos del artículo 11 de la Ley 1150 de 2007 resulta que, a falta de plazo contractual de liquidación, la administración dispone de un máximo de treinta meses contados desde la terminación del plazo de ejecución —cuatro meses para la liquidación bilateral, dos para la unilateral y veinticuatro adicionales— para dejar en firme el acto administrativo sancionatorio. Dicho término opera como límite máximo y no como plazo garantizado, pues cesa anticipadamente con la notificación del auto admisorio de la demanda. Cuando las partes hayan pactado un plazo de liquidación distinto, el cómputo se ajustará a este.</w:t>
            </w:r>
          </w:p>
          <w:p w14:paraId="00D3AD1E" w14:textId="77777777" w:rsidR="00C33C27" w:rsidRDefault="00C33C27" w:rsidP="00160D90">
            <w:pPr>
              <w:spacing w:after="120" w:line="276" w:lineRule="auto"/>
              <w:ind w:firstLine="709"/>
              <w:jc w:val="both"/>
              <w:rPr>
                <w:rFonts w:ascii="Verdana" w:hAnsi="Verdana" w:cs="Arial"/>
                <w:iCs/>
                <w:color w:val="000000" w:themeColor="text1"/>
              </w:rPr>
            </w:pPr>
            <w:r>
              <w:rPr>
                <w:rFonts w:ascii="Verdana" w:eastAsia="Arial MT" w:hAnsi="Verdana" w:cs="Arial"/>
                <w:lang w:eastAsia="es-ES" w:bidi="es-ES"/>
              </w:rPr>
              <w:t xml:space="preserve">Así mismo, debe </w:t>
            </w:r>
            <w:r w:rsidRPr="00011261">
              <w:rPr>
                <w:rFonts w:ascii="Verdana" w:hAnsi="Verdana" w:cs="Arial"/>
                <w:iCs/>
                <w:color w:val="000000" w:themeColor="text1"/>
              </w:rPr>
              <w:t>distinguirse el instrumento aplicable según el momento en que se advierta el incumplimiento parcial. El artículo 17 de la Ley 1150 de 2007 condiciona expresamente la imposición unilateral de multas a que se halle pendiente la ejecución de las obligaciones a cargo del contratista, en coherencia con su naturaleza conminatoria: extinguido el plazo de ejecución, el apremio carece de objeto. La cláusula penal pecuniaria, en cambio, opera como tasación anticipada de perjuicios frente a un incumplimiento definitivo, por lo que su imposición unilateral procede mientras la entidad conserve competencia sobre la relación contractual, esto es, hasta la liquidación del contrato; vencida esa oportunidad, la entidad no pierde el derecho al resarcimiento, pero deberá perseguirlo ante el juez del contrato. En consecuencia, mientras el contrato se encuentra en ejecución y la conminación al cumplimiento conserva utilidad, el mecanismo procedente es la multa; configurado el incumplimiento definitivo, procede la cláusula penal pecuniaria, reducida en la proporción que corresponda conforme a lo expuesto.</w:t>
            </w:r>
          </w:p>
          <w:p w14:paraId="53A51AF5" w14:textId="77777777" w:rsidR="00C33C27" w:rsidRPr="00794BB4" w:rsidRDefault="00C33C27" w:rsidP="00160D90">
            <w:pPr>
              <w:pStyle w:val="NormalWeb"/>
              <w:ind w:firstLine="731"/>
              <w:jc w:val="both"/>
              <w:rPr>
                <w:rFonts w:ascii="Verdana" w:eastAsiaTheme="minorHAnsi" w:hAnsi="Verdana" w:cs="Arial"/>
                <w:iCs/>
                <w:color w:val="000000" w:themeColor="text1"/>
                <w:sz w:val="22"/>
                <w:szCs w:val="22"/>
                <w:lang w:eastAsia="en-US"/>
              </w:rPr>
            </w:pPr>
            <w:r>
              <w:rPr>
                <w:rFonts w:ascii="Verdana" w:eastAsiaTheme="minorHAnsi" w:hAnsi="Verdana" w:cs="Arial"/>
                <w:iCs/>
                <w:color w:val="000000" w:themeColor="text1"/>
                <w:sz w:val="22"/>
                <w:szCs w:val="22"/>
                <w:lang w:eastAsia="en-US"/>
              </w:rPr>
              <w:t>Por otra parte</w:t>
            </w:r>
            <w:r w:rsidRPr="00794BB4">
              <w:rPr>
                <w:rFonts w:ascii="Verdana" w:eastAsiaTheme="minorHAnsi" w:hAnsi="Verdana" w:cs="Arial"/>
                <w:iCs/>
                <w:color w:val="000000" w:themeColor="text1"/>
                <w:sz w:val="22"/>
                <w:szCs w:val="22"/>
                <w:lang w:eastAsia="en-US"/>
              </w:rPr>
              <w:t xml:space="preserve">, el artículo 52 de la Ley 1437 de 2011 establece, salvo norma especial, que la facultad sancionatoria de las autoridades caduca a los tres (3) años de ocurrido el hecho, conducta u omisión susceptible de sanción, término dentro del cual el acto administrativo sancionatorio debe ser expedido </w:t>
            </w:r>
            <w:r w:rsidRPr="00794BB4">
              <w:rPr>
                <w:rFonts w:ascii="Verdana" w:eastAsiaTheme="minorHAnsi" w:hAnsi="Verdana" w:cs="Arial"/>
                <w:iCs/>
                <w:color w:val="000000" w:themeColor="text1"/>
                <w:sz w:val="22"/>
                <w:szCs w:val="22"/>
                <w:lang w:eastAsia="en-US"/>
              </w:rPr>
              <w:lastRenderedPageBreak/>
              <w:t xml:space="preserve">y notificado. Cuando se trate de una conducta continuada, el término se cuenta desde el día siguiente a aquel en que cesó la infracción o su ejecución. </w:t>
            </w:r>
            <w:hyperlink r:id="rId9" w:history="1">
              <w:r w:rsidRPr="00794BB4">
                <w:rPr>
                  <w:rFonts w:ascii="Verdana" w:eastAsiaTheme="minorHAnsi" w:hAnsi="Verdana" w:cs="Arial"/>
                  <w:iCs/>
                  <w:color w:val="000000" w:themeColor="text1"/>
                  <w:sz w:val="22"/>
                  <w:szCs w:val="22"/>
                  <w:lang w:eastAsia="en-US"/>
                </w:rPr>
                <w:t>Función Pública</w:t>
              </w:r>
            </w:hyperlink>
          </w:p>
          <w:p w14:paraId="000818A7" w14:textId="77777777" w:rsidR="00C33C27" w:rsidRPr="00794BB4" w:rsidRDefault="00C33C27" w:rsidP="00160D90">
            <w:pPr>
              <w:pStyle w:val="NormalWeb"/>
              <w:ind w:firstLine="731"/>
              <w:jc w:val="both"/>
              <w:rPr>
                <w:rFonts w:ascii="Verdana" w:eastAsiaTheme="minorHAnsi" w:hAnsi="Verdana" w:cs="Arial"/>
                <w:iCs/>
                <w:color w:val="000000" w:themeColor="text1"/>
                <w:sz w:val="22"/>
                <w:szCs w:val="22"/>
                <w:lang w:eastAsia="en-US"/>
              </w:rPr>
            </w:pPr>
            <w:r w:rsidRPr="00794BB4">
              <w:rPr>
                <w:rFonts w:ascii="Verdana" w:eastAsiaTheme="minorHAnsi" w:hAnsi="Verdana" w:cs="Arial"/>
                <w:iCs/>
                <w:color w:val="000000" w:themeColor="text1"/>
                <w:sz w:val="22"/>
                <w:szCs w:val="22"/>
                <w:lang w:eastAsia="en-US"/>
              </w:rPr>
              <w:t>Este término no constituye una fuente autónoma ni una ampliación de la competencia contractual de la entidad. Por tanto, el artículo 52 del CPACA no revive, prorroga ni restablece una competencia que se haya extinguido conforme a las reglas especiales aplicables al contrato estatal. En otras palabras, la entidad debe conservar simultáneamente la competencia contractual para adoptar la medida y encontrarse dentro del término general de caducidad de la facultad sancionatoria, cuando este resulte aplicable.</w:t>
            </w:r>
          </w:p>
          <w:p w14:paraId="51A66FF8" w14:textId="77777777" w:rsidR="00C33C27" w:rsidRPr="00794BB4" w:rsidRDefault="00C33C27" w:rsidP="00160D90">
            <w:pPr>
              <w:pStyle w:val="NormalWeb"/>
              <w:ind w:firstLine="731"/>
              <w:jc w:val="both"/>
              <w:rPr>
                <w:rFonts w:ascii="Verdana" w:eastAsiaTheme="minorHAnsi" w:hAnsi="Verdana" w:cs="Arial"/>
                <w:iCs/>
                <w:color w:val="000000" w:themeColor="text1"/>
                <w:sz w:val="22"/>
                <w:szCs w:val="22"/>
                <w:lang w:eastAsia="en-US"/>
              </w:rPr>
            </w:pPr>
            <w:r w:rsidRPr="00794BB4">
              <w:rPr>
                <w:rFonts w:ascii="Verdana" w:eastAsiaTheme="minorHAnsi" w:hAnsi="Verdana" w:cs="Arial"/>
                <w:iCs/>
                <w:color w:val="000000" w:themeColor="text1"/>
                <w:sz w:val="22"/>
                <w:szCs w:val="22"/>
                <w:lang w:eastAsia="en-US"/>
              </w:rPr>
              <w:t>La línea de lo manifestado en diferentes conceptos por esta Agencia se ha señalado además que el término comienza a contabilizarse desde la ocurrencia del presunto incumplimiento contractual y no desde el momento en que la entidad o el supervisor adquieren conocimiento de este. Corresponde a la entidad determinar, según las características de la obligación, si el incumplimiento es instantáneo o continuado.</w:t>
            </w:r>
          </w:p>
          <w:p w14:paraId="79226ADD" w14:textId="77777777" w:rsidR="00C33C27" w:rsidRPr="00D03768" w:rsidRDefault="00C33C27" w:rsidP="00160D90">
            <w:pPr>
              <w:spacing w:after="120" w:line="276" w:lineRule="auto"/>
              <w:ind w:firstLine="731"/>
              <w:jc w:val="both"/>
              <w:rPr>
                <w:rFonts w:ascii="Verdana" w:eastAsia="Arial MT" w:hAnsi="Verdana" w:cs="Arial"/>
                <w:lang w:eastAsia="es-ES" w:bidi="es-ES"/>
              </w:rPr>
            </w:pPr>
            <w:r w:rsidRPr="4A3FD318">
              <w:rPr>
                <w:rFonts w:ascii="Verdana" w:hAnsi="Verdana" w:cs="Arial"/>
                <w:color w:val="000000" w:themeColor="text1"/>
              </w:rPr>
              <w:t xml:space="preserve">Finalmente, </w:t>
            </w:r>
            <w:r w:rsidRPr="4A3FD318">
              <w:rPr>
                <w:rFonts w:ascii="Verdana" w:hAnsi="Verdana" w:cs="Arial"/>
              </w:rPr>
              <w:t>debe advertirse que el análisis requerido para “[…] tomar decisiones de fondo […]”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6A7F710E" w14:textId="77777777" w:rsidR="00C33C27" w:rsidRPr="00BE151B" w:rsidRDefault="00C33C27" w:rsidP="00C33C27">
      <w:pPr>
        <w:spacing w:after="0" w:line="276" w:lineRule="auto"/>
        <w:jc w:val="both"/>
        <w:rPr>
          <w:rFonts w:ascii="Verdana" w:eastAsia="Times New Roman" w:hAnsi="Verdana" w:cs="Arial"/>
          <w:lang w:eastAsia="es-ES_tradnl"/>
        </w:rPr>
      </w:pPr>
    </w:p>
    <w:p w14:paraId="3621040C" w14:textId="77777777" w:rsidR="00C33C27" w:rsidRPr="00BE151B" w:rsidRDefault="00C33C27" w:rsidP="00C33C2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2BA511A8" w14:textId="77777777" w:rsidR="00C33C27" w:rsidRPr="00BE151B" w:rsidRDefault="00C33C27" w:rsidP="00C33C27">
      <w:pPr>
        <w:spacing w:after="0" w:line="276" w:lineRule="auto"/>
        <w:jc w:val="both"/>
        <w:rPr>
          <w:rFonts w:ascii="Verdana" w:eastAsia="Calibri" w:hAnsi="Verdana" w:cs="Arial"/>
          <w:color w:val="7030A0"/>
        </w:rPr>
      </w:pPr>
    </w:p>
    <w:p w14:paraId="76A336F0" w14:textId="77777777" w:rsidR="00C33C27" w:rsidRDefault="00C33C27" w:rsidP="00C33C27">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6E7F9E61" w14:textId="77777777" w:rsidR="00C33C27" w:rsidRDefault="00C33C27" w:rsidP="00C33C27">
      <w:pPr>
        <w:spacing w:after="0" w:line="276" w:lineRule="auto"/>
        <w:jc w:val="both"/>
        <w:rPr>
          <w:rFonts w:ascii="Verdana" w:eastAsia="Calibri" w:hAnsi="Verdana" w:cs="Arial"/>
        </w:rPr>
      </w:pPr>
    </w:p>
    <w:p w14:paraId="30EBDF8F" w14:textId="77777777" w:rsidR="00C33C27" w:rsidRPr="00CC7195" w:rsidRDefault="00C33C27" w:rsidP="00C33C27">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torno a la aplicabilidad de las cláusulas excepcionales, </w:t>
      </w:r>
      <w:r w:rsidRPr="3957B322">
        <w:rPr>
          <w:rFonts w:ascii="Verdana" w:eastAsia="Calibri" w:hAnsi="Verdana" w:cs="Arial"/>
          <w:color w:val="000000" w:themeColor="text1"/>
          <w:lang w:val="es-ES"/>
        </w:rPr>
        <w:t>debe tener</w:t>
      </w:r>
      <w:r>
        <w:rPr>
          <w:rFonts w:ascii="Verdana" w:eastAsia="Calibri" w:hAnsi="Verdana" w:cs="Arial"/>
          <w:color w:val="000000" w:themeColor="text1"/>
          <w:lang w:val="es-ES"/>
        </w:rPr>
        <w:t>se</w:t>
      </w:r>
      <w:r w:rsidRPr="3957B322">
        <w:rPr>
          <w:rFonts w:ascii="Verdana" w:eastAsia="Calibri" w:hAnsi="Verdana" w:cs="Arial"/>
          <w:color w:val="000000" w:themeColor="text1"/>
          <w:lang w:val="es-ES"/>
        </w:rPr>
        <w:t xml:space="preserve"> en cuenta que </w:t>
      </w:r>
      <w:r>
        <w:rPr>
          <w:rFonts w:ascii="Verdana" w:eastAsia="Calibri" w:hAnsi="Verdana" w:cs="Arial"/>
          <w:color w:val="000000" w:themeColor="text1"/>
          <w:lang w:val="es-ES"/>
        </w:rPr>
        <w:t>dichas cláusulas no están</w:t>
      </w:r>
      <w:r w:rsidRPr="3957B322">
        <w:rPr>
          <w:rFonts w:ascii="Verdana" w:eastAsia="Calibri" w:hAnsi="Verdana" w:cs="Arial"/>
          <w:color w:val="000000" w:themeColor="text1"/>
          <w:lang w:val="es-ES"/>
        </w:rPr>
        <w:t xml:space="preserve"> contempladas en el derecho común; estas se encuentran limitadas no solo al uso del Estatuto General de Contratación de la Administración Pública sino a algunos tipos de contratos específicos. </w:t>
      </w:r>
    </w:p>
    <w:p w14:paraId="63EC2F36" w14:textId="77777777" w:rsidR="00C33C27" w:rsidRPr="00FD4874" w:rsidRDefault="00C33C27" w:rsidP="00C33C27">
      <w:pPr>
        <w:spacing w:before="120" w:line="276" w:lineRule="auto"/>
        <w:ind w:right="49" w:firstLine="709"/>
        <w:jc w:val="both"/>
        <w:rPr>
          <w:rFonts w:ascii="Verdana" w:hAnsi="Verdana" w:cs="Arial"/>
          <w:iCs/>
          <w:color w:val="000000" w:themeColor="text1"/>
        </w:rPr>
      </w:pPr>
      <w:r>
        <w:rPr>
          <w:rFonts w:ascii="Verdana" w:eastAsia="Calibri" w:hAnsi="Verdana" w:cs="Arial"/>
          <w:color w:val="000000" w:themeColor="text1"/>
          <w:lang w:val="es-ES"/>
        </w:rPr>
        <w:lastRenderedPageBreak/>
        <w:t>Dentro de las cláusulas excepcionales se encuentran</w:t>
      </w:r>
      <w:r w:rsidRPr="003E2347">
        <w:rPr>
          <w:rFonts w:ascii="Verdana" w:hAnsi="Verdana" w:cs="Arial"/>
          <w:iCs/>
          <w:color w:val="000000" w:themeColor="text1"/>
        </w:rPr>
        <w:t xml:space="preserve">: i) las cláusulas del artículo 14 de la Ley 80 de 1993, donde se encuentran la terminación unilateral, la interpretación unilateral, la modificación unilateral, la caducidad y la reversión, las cuales se desarrollan en los artículos 15 a 19 </w:t>
      </w:r>
      <w:r w:rsidRPr="003E2347">
        <w:rPr>
          <w:rFonts w:ascii="Verdana" w:hAnsi="Verdana" w:cs="Arial"/>
          <w:i/>
          <w:color w:val="000000" w:themeColor="text1"/>
        </w:rPr>
        <w:t>ibidem</w:t>
      </w:r>
      <w:r w:rsidRPr="003E2347">
        <w:rPr>
          <w:rFonts w:ascii="Verdana" w:hAnsi="Verdana" w:cs="Arial"/>
          <w:iCs/>
          <w:color w:val="000000" w:themeColor="text1"/>
        </w:rPr>
        <w:t xml:space="preserve">; </w:t>
      </w:r>
      <w:proofErr w:type="spellStart"/>
      <w:r w:rsidRPr="00EF4B98">
        <w:rPr>
          <w:rFonts w:ascii="Verdana" w:hAnsi="Verdana" w:cs="Arial"/>
          <w:iCs/>
          <w:color w:val="000000" w:themeColor="text1"/>
        </w:rPr>
        <w:t>ii</w:t>
      </w:r>
      <w:proofErr w:type="spellEnd"/>
      <w:r w:rsidRPr="00EF4B98">
        <w:rPr>
          <w:rFonts w:ascii="Verdana" w:hAnsi="Verdana" w:cs="Arial"/>
          <w:iCs/>
          <w:color w:val="000000" w:themeColor="text1"/>
        </w:rPr>
        <w:t xml:space="preserve">) en otras disposiciones también se encuentran establecidas otras potestades exorbitantes, como la liquidación unilateral y la declaratoria unilateral del siniestro; </w:t>
      </w:r>
      <w:r>
        <w:rPr>
          <w:rFonts w:ascii="Verdana" w:hAnsi="Verdana" w:cs="Arial"/>
          <w:iCs/>
          <w:color w:val="000000" w:themeColor="text1"/>
        </w:rPr>
        <w:t xml:space="preserve">y </w:t>
      </w:r>
      <w:proofErr w:type="spellStart"/>
      <w:r>
        <w:rPr>
          <w:rFonts w:ascii="Verdana" w:hAnsi="Verdana" w:cs="Arial"/>
          <w:iCs/>
          <w:color w:val="000000" w:themeColor="text1"/>
        </w:rPr>
        <w:t>i</w:t>
      </w:r>
      <w:r w:rsidRPr="003E2347">
        <w:rPr>
          <w:rFonts w:ascii="Verdana" w:hAnsi="Verdana" w:cs="Arial"/>
          <w:iCs/>
          <w:color w:val="000000" w:themeColor="text1"/>
        </w:rPr>
        <w:t>ii</w:t>
      </w:r>
      <w:proofErr w:type="spellEnd"/>
      <w:r w:rsidRPr="003E2347">
        <w:rPr>
          <w:rFonts w:ascii="Verdana" w:hAnsi="Verdana" w:cs="Arial"/>
          <w:iCs/>
          <w:color w:val="000000" w:themeColor="text1"/>
        </w:rPr>
        <w:t xml:space="preserve">) </w:t>
      </w:r>
      <w:r>
        <w:rPr>
          <w:rFonts w:ascii="Verdana" w:hAnsi="Verdana" w:cs="Arial"/>
          <w:iCs/>
          <w:color w:val="000000" w:themeColor="text1"/>
        </w:rPr>
        <w:t>adicional a estas, otras normas contemplan las cláu</w:t>
      </w:r>
      <w:r w:rsidRPr="003E2347">
        <w:rPr>
          <w:rFonts w:ascii="Verdana" w:hAnsi="Verdana" w:cs="Arial"/>
          <w:iCs/>
          <w:color w:val="000000" w:themeColor="text1"/>
        </w:rPr>
        <w:t xml:space="preserve">sulas excepcionales de </w:t>
      </w:r>
      <w:r w:rsidRPr="003E2347">
        <w:rPr>
          <w:rFonts w:ascii="Verdana" w:hAnsi="Verdana" w:cs="Arial"/>
          <w:i/>
          <w:color w:val="000000" w:themeColor="text1"/>
        </w:rPr>
        <w:t>imposición unilateral</w:t>
      </w:r>
      <w:r w:rsidRPr="003E2347">
        <w:rPr>
          <w:rFonts w:ascii="Verdana" w:hAnsi="Verdana" w:cs="Arial"/>
          <w:iCs/>
          <w:color w:val="000000" w:themeColor="text1"/>
        </w:rPr>
        <w:t xml:space="preserve"> de las cláusulas penales y de multas, cuya exorbitancia se refiere a su imposición unilateral</w:t>
      </w:r>
      <w:r>
        <w:rPr>
          <w:rFonts w:ascii="Verdana" w:hAnsi="Verdana" w:cs="Arial"/>
          <w:iCs/>
          <w:color w:val="000000" w:themeColor="text1"/>
        </w:rPr>
        <w:t>, a pesar que se ha discutido sobre su naturaleza o no exorbitante</w:t>
      </w:r>
      <w:r w:rsidRPr="00FD4874">
        <w:rPr>
          <w:rFonts w:ascii="Verdana" w:hAnsi="Verdana" w:cs="Arial"/>
          <w:iCs/>
          <w:color w:val="000000" w:themeColor="text1"/>
        </w:rPr>
        <w:t xml:space="preserve">. </w:t>
      </w:r>
    </w:p>
    <w:p w14:paraId="76DC28A5" w14:textId="77777777" w:rsidR="00C33C27" w:rsidRDefault="00C33C27" w:rsidP="00C33C27">
      <w:pPr>
        <w:spacing w:before="120" w:line="276" w:lineRule="auto"/>
        <w:ind w:right="142" w:firstLine="709"/>
        <w:jc w:val="both"/>
        <w:rPr>
          <w:rFonts w:ascii="Verdana" w:hAnsi="Verdana" w:cs="Arial"/>
          <w:iCs/>
          <w:color w:val="000000" w:themeColor="text1"/>
        </w:rPr>
      </w:pPr>
      <w:r w:rsidRPr="003E2347">
        <w:rPr>
          <w:rFonts w:ascii="Verdana" w:hAnsi="Verdana" w:cs="Arial"/>
          <w:iCs/>
          <w:color w:val="000000" w:themeColor="text1"/>
        </w:rPr>
        <w:t>Este último grupo de potestades excepcionales –</w:t>
      </w:r>
      <w:r w:rsidRPr="003E2347">
        <w:rPr>
          <w:rFonts w:ascii="Verdana" w:hAnsi="Verdana" w:cs="Arial"/>
          <w:i/>
          <w:color w:val="000000" w:themeColor="text1"/>
        </w:rPr>
        <w:t>imposición unilateral</w:t>
      </w:r>
      <w:r w:rsidRPr="003E2347">
        <w:rPr>
          <w:rFonts w:ascii="Verdana" w:hAnsi="Verdana" w:cs="Arial"/>
          <w:iCs/>
          <w:color w:val="000000" w:themeColor="text1"/>
        </w:rPr>
        <w:t xml:space="preserve"> de la multa o la cláusula penal– cuenta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3E2347">
        <w:rPr>
          <w:rFonts w:ascii="Verdana" w:hAnsi="Verdana" w:cs="Arial"/>
          <w:color w:val="000000" w:themeColor="text1"/>
          <w:vertAlign w:val="superscript"/>
        </w:rPr>
        <w:footnoteReference w:id="1"/>
      </w:r>
      <w:r w:rsidRPr="003E2347">
        <w:rPr>
          <w:rFonts w:ascii="Verdana" w:hAnsi="Verdana" w:cs="Arial"/>
          <w:iCs/>
          <w:color w:val="000000" w:themeColor="text1"/>
        </w:rPr>
        <w:t>.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77102FB5" w14:textId="77777777" w:rsidR="00C33C27" w:rsidRPr="00BE4AA0" w:rsidRDefault="00C33C27" w:rsidP="00C33C27">
      <w:pPr>
        <w:spacing w:after="120" w:line="276" w:lineRule="auto"/>
        <w:jc w:val="both"/>
        <w:rPr>
          <w:rFonts w:ascii="Verdana" w:eastAsia="Calibri" w:hAnsi="Verdana" w:cs="Arial"/>
          <w:color w:val="000000" w:themeColor="text1"/>
          <w:lang w:val="es-ES"/>
        </w:rPr>
      </w:pPr>
      <w:r>
        <w:rPr>
          <w:rFonts w:ascii="Verdana" w:hAnsi="Verdana" w:cs="Arial"/>
          <w:bCs/>
          <w:color w:val="000000" w:themeColor="text1"/>
        </w:rPr>
        <w:tab/>
        <w:t>Para entender un poco más sobre estas, se señala que l</w:t>
      </w:r>
      <w:r w:rsidRPr="00BE4AA0">
        <w:rPr>
          <w:rFonts w:ascii="Verdana" w:eastAsia="Times New Roman" w:hAnsi="Verdana" w:cs="Arial"/>
          <w:iCs/>
          <w:lang w:val="es-ES" w:eastAsia="es-ES_tradnl"/>
        </w:rPr>
        <w:t xml:space="preserve">as </w:t>
      </w:r>
      <w:r w:rsidRPr="00BE4AA0">
        <w:rPr>
          <w:rFonts w:ascii="Verdana" w:eastAsia="Times New Roman" w:hAnsi="Verdana" w:cs="Arial"/>
          <w:i/>
          <w:lang w:val="es-ES" w:eastAsia="es-ES_tradnl"/>
        </w:rPr>
        <w:t>multas</w:t>
      </w:r>
      <w:r w:rsidRPr="00BE4AA0">
        <w:rPr>
          <w:rFonts w:ascii="Verdana" w:eastAsia="Times New Roman" w:hAnsi="Verdana" w:cs="Arial"/>
          <w:iCs/>
          <w:lang w:val="es-ES" w:eastAsia="es-ES_tradnl"/>
        </w:rPr>
        <w:t xml:space="preserve"> proceden en todo contrato estatal siempre que se hayan pactado, y tienen un carácter conminatorio. Por otra parte, según lo dispuesto en el artículo 1592 del Código Civil, la </w:t>
      </w:r>
      <w:r w:rsidRPr="00BE4AA0">
        <w:rPr>
          <w:rFonts w:ascii="Verdana" w:eastAsia="Times New Roman" w:hAnsi="Verdana" w:cs="Arial"/>
          <w:i/>
          <w:lang w:val="es-ES" w:eastAsia="es-ES_tradnl"/>
        </w:rPr>
        <w:t>cláusula penal</w:t>
      </w:r>
      <w:r w:rsidRPr="00BE4AA0">
        <w:rPr>
          <w:rFonts w:ascii="Verdana" w:eastAsia="Times New Roman" w:hAnsi="Verdana" w:cs="Arial"/>
          <w:iCs/>
          <w:lang w:val="es-ES" w:eastAsia="es-ES_tradnl"/>
        </w:rPr>
        <w:t xml:space="preserve"> es aquella en que “</w:t>
      </w:r>
      <w:r w:rsidRPr="00BE4AA0">
        <w:rPr>
          <w:rFonts w:ascii="Verdana" w:eastAsia="Times New Roman" w:hAnsi="Verdana" w:cs="Arial"/>
          <w:lang w:val="es-ES" w:eastAsia="es-ES_tradnl"/>
        </w:rPr>
        <w:t>una persona, para asegurar el cumplimiento de una obligación, se sujeta a una pena que consiste en dar o hacer algo en caso de no ejecutar o retardar la obligación principal</w:t>
      </w:r>
      <w:r w:rsidRPr="00BE4AA0">
        <w:rPr>
          <w:rFonts w:ascii="Verdana" w:eastAsia="Times New Roman" w:hAnsi="Verdana" w:cs="Arial"/>
          <w:i/>
          <w:iCs/>
          <w:lang w:val="es-ES" w:eastAsia="es-ES_tradnl"/>
        </w:rPr>
        <w:t xml:space="preserve">”. </w:t>
      </w:r>
      <w:r w:rsidRPr="00BE4AA0">
        <w:rPr>
          <w:rFonts w:ascii="Verdana" w:eastAsia="Times New Roman" w:hAnsi="Verdana" w:cs="Arial"/>
          <w:lang w:val="es-ES" w:eastAsia="es-ES_tradnl"/>
        </w:rPr>
        <w:t>De esta forma, es una obligación accesoria en la que el contratista se compromete a pagar una suma de dinero estimada de manera previa en caso de un incumplimiento de las obligaciones</w:t>
      </w:r>
      <w:r w:rsidRPr="00BE4AA0">
        <w:rPr>
          <w:rFonts w:ascii="Verdana" w:eastAsia="Times New Roman" w:hAnsi="Verdana" w:cs="Arial"/>
          <w:iCs/>
          <w:lang w:val="es-ES" w:eastAsia="es-ES_tradnl"/>
        </w:rPr>
        <w:t xml:space="preserve">. </w:t>
      </w:r>
      <w:r w:rsidRPr="00BE4AA0">
        <w:rPr>
          <w:rFonts w:ascii="Verdana" w:eastAsia="Calibri" w:hAnsi="Verdana" w:cs="Arial"/>
          <w:color w:val="000000" w:themeColor="text1"/>
          <w:lang w:val="es-ES"/>
        </w:rPr>
        <w:t xml:space="preserve">Así, se ha entendido que la cláusula penal </w:t>
      </w:r>
      <w:r w:rsidRPr="00BE4AA0">
        <w:rPr>
          <w:rFonts w:ascii="Verdana" w:eastAsia="Calibri" w:hAnsi="Verdana" w:cs="Arial"/>
          <w:color w:val="000000" w:themeColor="text1"/>
          <w:lang w:val="es-ES"/>
        </w:rPr>
        <w:lastRenderedPageBreak/>
        <w:t xml:space="preserve">puede cumplir varias funciones, a saber: i) estimación anticipada de perjuicios; </w:t>
      </w:r>
      <w:proofErr w:type="spellStart"/>
      <w:r w:rsidRPr="00BE4AA0">
        <w:rPr>
          <w:rFonts w:ascii="Verdana" w:eastAsia="Calibri" w:hAnsi="Verdana" w:cs="Arial"/>
          <w:color w:val="000000" w:themeColor="text1"/>
          <w:lang w:val="es-ES"/>
        </w:rPr>
        <w:t>ii</w:t>
      </w:r>
      <w:proofErr w:type="spellEnd"/>
      <w:r w:rsidRPr="00BE4AA0">
        <w:rPr>
          <w:rFonts w:ascii="Verdana" w:eastAsia="Calibri" w:hAnsi="Verdana" w:cs="Arial"/>
          <w:color w:val="000000" w:themeColor="text1"/>
          <w:lang w:val="es-ES"/>
        </w:rPr>
        <w:t xml:space="preserve">) medio de apremio al deudor, y </w:t>
      </w:r>
      <w:proofErr w:type="spellStart"/>
      <w:r w:rsidRPr="00BE4AA0">
        <w:rPr>
          <w:rFonts w:ascii="Verdana" w:eastAsia="Calibri" w:hAnsi="Verdana" w:cs="Arial"/>
          <w:color w:val="000000" w:themeColor="text1"/>
          <w:lang w:val="es-ES"/>
        </w:rPr>
        <w:t>iii</w:t>
      </w:r>
      <w:proofErr w:type="spellEnd"/>
      <w:r w:rsidRPr="00BE4AA0">
        <w:rPr>
          <w:rFonts w:ascii="Verdana" w:eastAsia="Calibri" w:hAnsi="Verdana" w:cs="Arial"/>
          <w:color w:val="000000" w:themeColor="text1"/>
          <w:lang w:val="es-ES"/>
        </w:rPr>
        <w:t xml:space="preserve">) caución o garantía del cumplimiento de la obligación principal. </w:t>
      </w:r>
    </w:p>
    <w:p w14:paraId="43033701" w14:textId="77777777" w:rsidR="00C33C27" w:rsidRPr="00BE4AA0" w:rsidRDefault="00C33C27" w:rsidP="00C33C27">
      <w:pPr>
        <w:spacing w:after="0" w:line="276" w:lineRule="auto"/>
        <w:ind w:firstLine="709"/>
        <w:jc w:val="both"/>
        <w:rPr>
          <w:rFonts w:ascii="Verdana" w:eastAsia="Calibri" w:hAnsi="Verdana" w:cs="Arial"/>
          <w:color w:val="000000" w:themeColor="text1"/>
          <w:lang w:val="es-ES"/>
        </w:rPr>
      </w:pPr>
      <w:r w:rsidRPr="00BE4AA0">
        <w:rPr>
          <w:rFonts w:ascii="Verdana" w:hAnsi="Verdana" w:cs="Arial"/>
          <w:iCs/>
          <w:color w:val="000000" w:themeColor="text1"/>
        </w:rPr>
        <w:t>En este punto, conviene resaltar lo dicho por la Sección Tercera del Consejo de Estado, en relación con las diferencias entre las multas y la cláusula penal, esto es: “Aunque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BE4AA0">
        <w:rPr>
          <w:rFonts w:ascii="Verdana" w:hAnsi="Verdana" w:cs="Arial"/>
          <w:color w:val="000000" w:themeColor="text1"/>
          <w:vertAlign w:val="superscript"/>
        </w:rPr>
        <w:footnoteReference w:id="2"/>
      </w:r>
      <w:r w:rsidRPr="00BE4AA0">
        <w:rPr>
          <w:rFonts w:ascii="Verdana" w:hAnsi="Verdana" w:cs="Arial"/>
          <w:iCs/>
          <w:color w:val="000000" w:themeColor="text1"/>
        </w:rPr>
        <w:t>.</w:t>
      </w:r>
      <w:r w:rsidRPr="00BE4AA0">
        <w:rPr>
          <w:rFonts w:ascii="Verdana" w:eastAsia="Calibri" w:hAnsi="Verdana" w:cs="Arial"/>
          <w:color w:val="000000" w:themeColor="text1"/>
        </w:rPr>
        <w:t xml:space="preserve"> Al respecto, l</w:t>
      </w:r>
      <w:r w:rsidRPr="00BE4AA0">
        <w:rPr>
          <w:rFonts w:ascii="Verdana" w:eastAsia="Calibri" w:hAnsi="Verdana" w:cs="Arial"/>
          <w:color w:val="000000" w:themeColor="text1"/>
          <w:lang w:val="es-ES"/>
        </w:rPr>
        <w:t xml:space="preserve">a Sala de Casación Civil de la Corte Suprema de Justicia sobre la naturaleza de la cláusula penal, expresó: </w:t>
      </w:r>
    </w:p>
    <w:p w14:paraId="6D61EBC4" w14:textId="77777777" w:rsidR="00C33C27" w:rsidRPr="00BE4AA0" w:rsidRDefault="00C33C27" w:rsidP="00C33C27">
      <w:pPr>
        <w:spacing w:after="0" w:line="240" w:lineRule="auto"/>
        <w:ind w:left="709" w:right="709" w:firstLine="709"/>
        <w:jc w:val="both"/>
        <w:rPr>
          <w:rFonts w:ascii="Verdana" w:eastAsia="Calibri" w:hAnsi="Verdana" w:cs="Arial"/>
          <w:color w:val="000000" w:themeColor="text1"/>
          <w:sz w:val="20"/>
          <w:szCs w:val="20"/>
          <w:lang w:val="es-ES"/>
        </w:rPr>
      </w:pPr>
      <w:r w:rsidRPr="00BE4AA0">
        <w:rPr>
          <w:rFonts w:ascii="Arial" w:eastAsia="Calibri" w:hAnsi="Arial" w:cs="Arial"/>
          <w:color w:val="000000" w:themeColor="text1"/>
          <w:sz w:val="21"/>
          <w:szCs w:val="21"/>
          <w:lang w:val="es-ES"/>
        </w:rPr>
        <w:br/>
      </w:r>
      <w:r w:rsidRPr="00BE4AA0">
        <w:rPr>
          <w:rFonts w:ascii="Verdana" w:eastAsia="Calibri" w:hAnsi="Verdana" w:cs="Arial"/>
          <w:color w:val="000000" w:themeColor="text1"/>
          <w:sz w:val="20"/>
          <w:szCs w:val="20"/>
          <w:lang w:val="es-ES"/>
        </w:rPr>
        <w:t>[E]n el ámbito de la dogmática jurídica civil, se denomina «cláusula penal» al acuerdo de las partes sobre la estimación de los perjuicios compensatorios o moratorios, para el evento del incumplimiento del convenio o la mora en la satisfacción de las obligaciones derivadas del mismo, recibiendo en el primer caso el nombre de «cláusula penal compensatoria» y en el segundo, «cláusula penal moratoria»; así mismo se reconoce, que cumple la función complementaria de apremiar al deudor para el adecuado cumplimiento de la prestación. En virtud de lo anterior, cabe señalar, que dicho pacto tiene el carácter de una «obligación accesoria», en cuanto tiene por objeto asegurar el cumplimiento de otra obligación; igualmente, constituye una «obligación condicional», porque la pena solo se debe ante el incumplimiento o retardo de la «obligación principal»; y también puede representar una liquidación convencional y anticipada de los perjuicios en caso de configurarse alguno de tales supuestos.</w:t>
      </w:r>
      <w:r w:rsidRPr="00BE4AA0">
        <w:rPr>
          <w:rFonts w:ascii="Verdana" w:eastAsia="Calibri" w:hAnsi="Verdana" w:cs="Arial"/>
          <w:color w:val="000000" w:themeColor="text1"/>
          <w:sz w:val="20"/>
          <w:szCs w:val="20"/>
          <w:vertAlign w:val="superscript"/>
          <w:lang w:val="es-ES"/>
        </w:rPr>
        <w:footnoteReference w:id="3"/>
      </w:r>
    </w:p>
    <w:p w14:paraId="609EA634" w14:textId="77777777" w:rsidR="00C33C27" w:rsidRPr="00BE4AA0" w:rsidRDefault="00C33C27" w:rsidP="00C33C27">
      <w:pPr>
        <w:spacing w:after="120" w:line="240" w:lineRule="auto"/>
        <w:ind w:left="709" w:right="709" w:firstLine="709"/>
        <w:jc w:val="both"/>
        <w:rPr>
          <w:rFonts w:ascii="Verdana" w:hAnsi="Verdana" w:cs="Arial"/>
          <w:iCs/>
          <w:sz w:val="20"/>
          <w:szCs w:val="20"/>
          <w:lang w:val="es-ES" w:eastAsia="es-ES_tradnl"/>
        </w:rPr>
      </w:pPr>
    </w:p>
    <w:p w14:paraId="415AF73A" w14:textId="77777777" w:rsidR="00C33C27" w:rsidRPr="00BE4AA0" w:rsidRDefault="00C33C27" w:rsidP="00C33C27">
      <w:pPr>
        <w:spacing w:after="120" w:line="276" w:lineRule="auto"/>
        <w:ind w:firstLine="709"/>
        <w:jc w:val="both"/>
        <w:rPr>
          <w:rFonts w:ascii="Verdana" w:eastAsia="Batang" w:hAnsi="Verdana" w:cs="Arial"/>
          <w:iCs/>
          <w:lang w:val="es-ES" w:eastAsia="es-ES"/>
        </w:rPr>
      </w:pPr>
      <w:r w:rsidRPr="00BE4AA0">
        <w:rPr>
          <w:rFonts w:ascii="Verdana" w:eastAsia="Times New Roman" w:hAnsi="Verdana" w:cs="Arial"/>
          <w:iCs/>
          <w:lang w:val="es-ES"/>
        </w:rPr>
        <w:t xml:space="preserve">En tal sentido, es importante destacar que la cláusula penal es un elemento accidental en los contratos porque se pacta de común acuerdo por las partes, de conformidad con el principio de la autonomía de la voluntad. Al respecto, la doctrina expresa: “La cláusula penal pecuniaria se constituye en una tasación anticipada de perjuicios ocasionados por el incumplimiento del deudor </w:t>
      </w:r>
      <w:r w:rsidRPr="00BE4AA0">
        <w:rPr>
          <w:rFonts w:ascii="Verdana" w:eastAsia="Times New Roman" w:hAnsi="Verdana" w:cs="Arial"/>
          <w:iCs/>
          <w:lang w:val="es-ES"/>
        </w:rPr>
        <w:lastRenderedPageBreak/>
        <w:t>de la obligación principal del contrato […]”</w:t>
      </w:r>
      <w:r w:rsidRPr="00BE4AA0">
        <w:rPr>
          <w:rFonts w:ascii="Verdana" w:eastAsia="Times New Roman" w:hAnsi="Verdana" w:cs="Arial"/>
          <w:iCs/>
          <w:vertAlign w:val="superscript"/>
          <w:lang w:val="es-ES"/>
        </w:rPr>
        <w:footnoteReference w:id="4"/>
      </w:r>
      <w:r w:rsidRPr="00BE4AA0">
        <w:rPr>
          <w:rFonts w:ascii="Verdana" w:eastAsia="Times New Roman" w:hAnsi="Verdana" w:cs="Arial"/>
          <w:iCs/>
          <w:lang w:val="es-ES"/>
        </w:rPr>
        <w:t xml:space="preserve">. </w:t>
      </w:r>
      <w:r w:rsidRPr="00BE4AA0">
        <w:rPr>
          <w:rFonts w:ascii="Verdana" w:eastAsia="Times New Roman" w:hAnsi="Verdana" w:cs="Arial"/>
          <w:lang w:val="es-ES" w:eastAsia="x-none"/>
        </w:rPr>
        <w:t>Asimismo, el Consejo de Estado plantea que:</w:t>
      </w:r>
      <w:r w:rsidRPr="00BE4AA0">
        <w:rPr>
          <w:rFonts w:ascii="Verdana" w:eastAsia="Times New Roman" w:hAnsi="Verdana" w:cs="Arial"/>
          <w:iCs/>
          <w:lang w:val="es-ES"/>
        </w:rPr>
        <w:t xml:space="preserve"> “</w:t>
      </w:r>
      <w:r w:rsidRPr="00BE4AA0">
        <w:rPr>
          <w:rFonts w:ascii="Verdana" w:eastAsia="Batang" w:hAnsi="Verdana" w:cs="Arial"/>
          <w:iCs/>
          <w:lang w:val="es-ES" w:eastAsia="es-ES"/>
        </w:rPr>
        <w:t>Con la imposición y ejecución de la cláusula penal se penaliza al contratista, por el incumplimiento grave del contrato, constituyendo una verdadera indemnización, que, aunque parcial es definitiva, pues con ella se resarcen los perjuicios, o parte de ellos, a favor de la parte que ha cumplido el negocio</w:t>
      </w:r>
      <w:r w:rsidRPr="00BE4AA0">
        <w:rPr>
          <w:rFonts w:ascii="Verdana" w:eastAsia="Times New Roman" w:hAnsi="Verdana" w:cs="Arial"/>
          <w:iCs/>
          <w:lang w:val="es-ES"/>
        </w:rPr>
        <w:t>”</w:t>
      </w:r>
      <w:r w:rsidRPr="00BE4AA0">
        <w:rPr>
          <w:rFonts w:ascii="Verdana" w:eastAsia="Batang" w:hAnsi="Verdana" w:cs="Arial"/>
          <w:iCs/>
          <w:vertAlign w:val="superscript"/>
          <w:lang w:val="es-ES" w:eastAsia="es-ES"/>
        </w:rPr>
        <w:footnoteReference w:id="5"/>
      </w:r>
      <w:r w:rsidRPr="00BE4AA0">
        <w:rPr>
          <w:rFonts w:ascii="Verdana" w:eastAsia="Batang" w:hAnsi="Verdana" w:cs="Arial"/>
          <w:iCs/>
          <w:lang w:val="es-ES" w:eastAsia="es-ES"/>
        </w:rPr>
        <w:t>.</w:t>
      </w:r>
    </w:p>
    <w:p w14:paraId="59CB39D8" w14:textId="77777777" w:rsidR="00C33C27" w:rsidRDefault="00C33C27" w:rsidP="00C33C27">
      <w:pPr>
        <w:spacing w:after="120" w:line="276" w:lineRule="auto"/>
        <w:ind w:firstLine="709"/>
        <w:jc w:val="both"/>
        <w:rPr>
          <w:rFonts w:ascii="Verdana" w:eastAsia="Times New Roman" w:hAnsi="Verdana" w:cs="Arial"/>
          <w:iCs/>
          <w:lang w:val="es-ES" w:eastAsia="es-ES_tradnl"/>
        </w:rPr>
      </w:pPr>
      <w:r w:rsidRPr="00BE4AA0">
        <w:rPr>
          <w:rFonts w:ascii="Verdana" w:eastAsia="Batang" w:hAnsi="Verdana" w:cs="Arial"/>
          <w:iCs/>
          <w:lang w:val="es-ES" w:eastAsia="es-ES"/>
        </w:rPr>
        <w:t>Por lo tanto, en virtud de la autonomía de la voluntad –artículo 1602 Código Civil–, las partes de un contrato, para procurar el cumplimiento de las obligaciones a su favor, pueden pactar las cláusulas contractuales de apremio y la pena adjudicable a la parte incumplida. Su naturaleza es punitiva y se causan en los eventos en los que se configure un incumplimiento contractual del deudor.</w:t>
      </w:r>
      <w:r w:rsidRPr="00BE4AA0">
        <w:rPr>
          <w:rFonts w:ascii="Verdana" w:eastAsia="Calibri" w:hAnsi="Verdana" w:cs="Arial"/>
          <w:color w:val="000000" w:themeColor="text1"/>
          <w:lang w:val="es-ES"/>
        </w:rPr>
        <w:t xml:space="preserve"> </w:t>
      </w:r>
      <w:r w:rsidRPr="00BE4AA0">
        <w:rPr>
          <w:rFonts w:ascii="Verdana" w:eastAsia="Times New Roman" w:hAnsi="Verdana" w:cs="Arial"/>
          <w:iCs/>
          <w:lang w:val="es-ES" w:eastAsia="es-ES_tradnl"/>
        </w:rPr>
        <w:t xml:space="preserve">De esta manera, tanto la imposición unilateral de las multas pactadas, como la reclamación de la cláusula penal, ocurre como manifestación de las prerrogativas de control, dirección y coerción que ejerce el Estado ante un incumplimiento por parte de sus contratistas. </w:t>
      </w:r>
    </w:p>
    <w:p w14:paraId="64770223" w14:textId="77777777" w:rsidR="00C33C27" w:rsidRPr="00BE4AA0" w:rsidRDefault="00C33C27" w:rsidP="00C33C27">
      <w:pPr>
        <w:spacing w:after="120" w:line="276" w:lineRule="auto"/>
        <w:ind w:firstLine="709"/>
        <w:jc w:val="both"/>
        <w:rPr>
          <w:rFonts w:ascii="Verdana" w:eastAsia="Times New Roman" w:hAnsi="Verdana" w:cs="Arial"/>
          <w:iCs/>
          <w:lang w:val="es-ES" w:eastAsia="es-ES_tradnl"/>
        </w:rPr>
      </w:pPr>
      <w:r w:rsidRPr="00BE4AA0">
        <w:rPr>
          <w:rFonts w:ascii="Verdana" w:hAnsi="Verdana" w:cs="Arial"/>
          <w:lang w:eastAsia="es-ES"/>
        </w:rPr>
        <w:t>Ahora bien, es preciso distinguir entre la validez del pacto y la forma en que este se hace efectivo</w:t>
      </w:r>
      <w:r>
        <w:rPr>
          <w:rFonts w:ascii="Verdana" w:hAnsi="Verdana" w:cs="Arial"/>
          <w:lang w:eastAsia="es-ES"/>
        </w:rPr>
        <w:t xml:space="preserve">. </w:t>
      </w:r>
      <w:r w:rsidRPr="00794BB4">
        <w:rPr>
          <w:rFonts w:ascii="Verdana" w:hAnsi="Verdana" w:cs="Arial"/>
          <w:lang w:eastAsia="es-ES"/>
        </w:rPr>
        <w:t>Tratándose de contratos sometidos al Estatuto General de Contratación de la Administración Pública, el pacto de multas o cláusula penal constituye presupuesto para su exigibilidad, mientras que la facultad de imponerlas unilateralmente proviene de la ley, particularmente del artículo 17 de la Ley 1150 de 2007. Su ejercicio debe adelantarse conforme al procedimiento previsto en el artículo 86 de la Ley 1474 de 2011. En consecuencia, la autonomía de la voluntad permite incorporar estas estipulaciones al contrato, pero no constituye por sí misma la fuente de la potestad administrativa para imponerlas unilateralmente</w:t>
      </w:r>
    </w:p>
    <w:p w14:paraId="4499DD6B" w14:textId="77777777" w:rsidR="00C33C27" w:rsidRPr="00CA155B" w:rsidRDefault="00C33C27" w:rsidP="00C33C27">
      <w:pPr>
        <w:spacing w:after="120" w:line="276" w:lineRule="auto"/>
        <w:ind w:firstLine="709"/>
        <w:jc w:val="both"/>
        <w:rPr>
          <w:rFonts w:ascii="Verdana" w:hAnsi="Verdana" w:cs="Arial"/>
          <w:iCs/>
          <w:lang w:eastAsia="es-ES_tradnl"/>
        </w:rPr>
      </w:pPr>
      <w:r w:rsidRPr="00BE4AA0">
        <w:rPr>
          <w:rFonts w:ascii="Verdana" w:hAnsi="Verdana" w:cs="Arial"/>
          <w:iCs/>
          <w:lang w:eastAsia="es-ES_tradnl"/>
        </w:rPr>
        <w:t xml:space="preserve">En cuanto a la competencia temporal para la imposición de sanciones por incumplimientos contractuales, esta no se determina por la denominación de la medida, sino por su naturaleza jurídica y por la función que cumple dentro de la </w:t>
      </w:r>
      <w:r w:rsidRPr="00BE4AA0">
        <w:rPr>
          <w:rFonts w:ascii="Verdana" w:hAnsi="Verdana" w:cs="Arial"/>
          <w:iCs/>
          <w:lang w:eastAsia="es-ES_tradnl"/>
        </w:rPr>
        <w:lastRenderedPageBreak/>
        <w:t xml:space="preserve">relación contractual. </w:t>
      </w:r>
      <w:r w:rsidRPr="00794BB4">
        <w:rPr>
          <w:rFonts w:ascii="Verdana" w:hAnsi="Verdana" w:cs="Arial"/>
          <w:iCs/>
          <w:lang w:eastAsia="es-ES"/>
        </w:rPr>
        <w:t>La imposición unilateral de multas procede mientras se halle pendiente la ejecución de las obligaciones a cargo del contratista y la conminación al cumplimiento conserve utilidad</w:t>
      </w:r>
      <w:r>
        <w:rPr>
          <w:rFonts w:ascii="Verdana" w:eastAsia="Times New Roman" w:hAnsi="Verdana" w:cs="Arial"/>
          <w:iCs/>
          <w:lang w:eastAsia="es-ES_tradnl"/>
        </w:rPr>
        <w:t xml:space="preserve">. </w:t>
      </w:r>
      <w:r w:rsidRPr="00BE4AA0">
        <w:rPr>
          <w:rFonts w:ascii="Verdana" w:eastAsia="Times New Roman" w:hAnsi="Verdana" w:cs="Arial"/>
          <w:iCs/>
          <w:lang w:eastAsia="es-ES_tradnl"/>
        </w:rPr>
        <w:t>En este sentido, la multa debe imponerse durante la ejecución del con</w:t>
      </w:r>
      <w:r>
        <w:rPr>
          <w:rFonts w:ascii="Verdana" w:eastAsia="Times New Roman" w:hAnsi="Verdana" w:cs="Arial"/>
          <w:iCs/>
          <w:lang w:eastAsia="es-ES_tradnl"/>
        </w:rPr>
        <w:t>trato</w:t>
      </w:r>
      <w:r w:rsidRPr="00BE4AA0">
        <w:rPr>
          <w:rFonts w:ascii="Verdana" w:eastAsia="Times New Roman" w:hAnsi="Verdana" w:cs="Arial"/>
          <w:iCs/>
          <w:lang w:eastAsia="es-ES_tradnl"/>
        </w:rPr>
        <w:t>, en tanto constituye un mecanismo de coerción orientado a conminar al cooperante al cumplimiento oportuno de sus obligaciones. Su finalidad es esencialmente preventiva y correctiva, por lo que solo resulta procedente mientras el c</w:t>
      </w:r>
      <w:r>
        <w:rPr>
          <w:rFonts w:ascii="Verdana" w:eastAsia="Times New Roman" w:hAnsi="Verdana" w:cs="Arial"/>
          <w:iCs/>
          <w:lang w:eastAsia="es-ES_tradnl"/>
        </w:rPr>
        <w:t>ontrato</w:t>
      </w:r>
      <w:r w:rsidRPr="00BE4AA0">
        <w:rPr>
          <w:rFonts w:ascii="Verdana" w:eastAsia="Times New Roman" w:hAnsi="Verdana" w:cs="Arial"/>
          <w:iCs/>
          <w:lang w:eastAsia="es-ES_tradnl"/>
        </w:rPr>
        <w:t xml:space="preserve"> se encuentra vigente y en curso de ejecución.</w:t>
      </w:r>
      <w:r w:rsidRPr="00BE4AA0">
        <w:rPr>
          <w:rFonts w:ascii="Verdana" w:hAnsi="Verdana" w:cs="Arial"/>
          <w:iCs/>
          <w:lang w:eastAsia="es-ES_tradnl"/>
        </w:rPr>
        <w:t xml:space="preserve"> </w:t>
      </w:r>
      <w:r w:rsidRPr="00BE4AA0">
        <w:rPr>
          <w:rFonts w:ascii="Verdana" w:eastAsia="Times New Roman" w:hAnsi="Verdana" w:cs="Arial"/>
          <w:iCs/>
          <w:lang w:eastAsia="es-ES_tradnl"/>
        </w:rPr>
        <w:t>Por su parte, la cláusula penal pecuniaria, dada su naturaleza sancionatoria y/o indemnizatoria, puede hacerse efectiva incluso una vez finalizada la relación contractual. Esta facultad se extiende hasta el plazo previsto para la liquidación del</w:t>
      </w:r>
      <w:r>
        <w:rPr>
          <w:rFonts w:ascii="Verdana" w:eastAsia="Times New Roman" w:hAnsi="Verdana" w:cs="Arial"/>
          <w:iCs/>
          <w:lang w:eastAsia="es-ES_tradnl"/>
        </w:rPr>
        <w:t xml:space="preserve"> contrato</w:t>
      </w:r>
      <w:r w:rsidRPr="00BE4AA0">
        <w:rPr>
          <w:rFonts w:ascii="Verdana" w:eastAsia="Times New Roman" w:hAnsi="Verdana" w:cs="Arial"/>
          <w:iCs/>
          <w:lang w:eastAsia="es-ES_tradnl"/>
        </w:rPr>
        <w:t xml:space="preserve">, etapa en la cual la entidad puede determinar y cuantificar los perjuicios derivados del incumplimiento, siempre que así se haya estipulado en el instrumento contractual. </w:t>
      </w:r>
      <w:r>
        <w:rPr>
          <w:rFonts w:ascii="Verdana" w:eastAsia="Times New Roman" w:hAnsi="Verdana" w:cs="Arial"/>
          <w:iCs/>
          <w:lang w:eastAsia="es-ES_tradnl"/>
        </w:rPr>
        <w:t>En tal sentido, se retoma lo expuesto en el Concepto C-939 del 24 de julio de 2026, que</w:t>
      </w:r>
      <w:r w:rsidRPr="00BE4AA0">
        <w:rPr>
          <w:rFonts w:ascii="Verdana" w:eastAsia="Times New Roman" w:hAnsi="Verdana" w:cs="Arial"/>
          <w:iCs/>
          <w:lang w:eastAsia="es-ES_tradnl"/>
        </w:rPr>
        <w:t xml:space="preserve"> </w:t>
      </w:r>
      <w:r>
        <w:rPr>
          <w:rFonts w:ascii="Verdana" w:eastAsia="Times New Roman" w:hAnsi="Verdana" w:cs="Arial"/>
          <w:iCs/>
          <w:lang w:eastAsia="es-ES_tradnl"/>
        </w:rPr>
        <w:t xml:space="preserve">adoptó </w:t>
      </w:r>
      <w:r w:rsidRPr="00BE4AA0">
        <w:rPr>
          <w:rFonts w:ascii="Verdana" w:eastAsia="Times New Roman" w:hAnsi="Verdana" w:cs="Arial"/>
          <w:iCs/>
          <w:lang w:eastAsia="es-ES_tradnl"/>
        </w:rPr>
        <w:t>el criterio según el cual el límite temporal se determina por la naturaleza de la medida y por el término de que dispone la administración para liquidar el negocio jurídico</w:t>
      </w:r>
      <w:r w:rsidRPr="00BE4AA0">
        <w:rPr>
          <w:rFonts w:ascii="Verdana" w:eastAsia="Times New Roman" w:hAnsi="Verdana" w:cs="Arial"/>
          <w:iCs/>
          <w:lang w:val="es-ES" w:eastAsia="es-ES_tradnl"/>
        </w:rPr>
        <w:t>.</w:t>
      </w:r>
      <w:r>
        <w:rPr>
          <w:rFonts w:ascii="Verdana" w:hAnsi="Verdana" w:cs="Arial"/>
          <w:iCs/>
          <w:lang w:eastAsia="es-ES_tradnl"/>
        </w:rPr>
        <w:t xml:space="preserve"> </w:t>
      </w:r>
      <w:r w:rsidRPr="00BE4AA0">
        <w:rPr>
          <w:rFonts w:ascii="Verdana" w:eastAsia="Times New Roman" w:hAnsi="Verdana" w:cs="Arial"/>
          <w:iCs/>
          <w:lang w:eastAsia="es-ES_tradnl"/>
        </w:rPr>
        <w:t>Como lo ha expresado el Consejo de Estado con respecto a estas cláusulas, resulta pertinente precisar que la potestad sancionatoria debe ejercerse de acuerdo con el tipo de medida a imponer, a la culminación de la relación negocial o la fecha prevista para la liquidación del negocio jurídico</w:t>
      </w:r>
      <w:r w:rsidRPr="00BE4AA0">
        <w:rPr>
          <w:rFonts w:ascii="Verdana" w:eastAsia="Times New Roman" w:hAnsi="Verdana" w:cs="Arial"/>
          <w:iCs/>
          <w:vertAlign w:val="superscript"/>
          <w:lang w:eastAsia="es-ES_tradnl"/>
        </w:rPr>
        <w:footnoteReference w:id="6"/>
      </w:r>
      <w:r w:rsidRPr="00BE4AA0">
        <w:rPr>
          <w:rFonts w:ascii="Verdana" w:eastAsia="Times New Roman" w:hAnsi="Verdana" w:cs="Arial"/>
          <w:iCs/>
          <w:lang w:eastAsia="es-ES_tradnl"/>
        </w:rPr>
        <w:t xml:space="preserve">. </w:t>
      </w:r>
    </w:p>
    <w:p w14:paraId="5DD03081" w14:textId="77777777" w:rsidR="00C33C27" w:rsidRDefault="00C33C27" w:rsidP="00C33C27">
      <w:pPr>
        <w:spacing w:after="0" w:line="276" w:lineRule="auto"/>
        <w:jc w:val="both"/>
        <w:rPr>
          <w:rFonts w:ascii="Verdana" w:eastAsia="Calibri" w:hAnsi="Verdana" w:cs="Arial"/>
        </w:rPr>
      </w:pPr>
      <w:r>
        <w:rPr>
          <w:rFonts w:ascii="Verdana" w:eastAsia="Calibri" w:hAnsi="Verdana" w:cs="Arial"/>
          <w:color w:val="000000" w:themeColor="text1"/>
        </w:rPr>
        <w:t>Ahora bien, para</w:t>
      </w:r>
      <w:r w:rsidRPr="003E2347">
        <w:rPr>
          <w:rFonts w:ascii="Verdana" w:eastAsia="Calibri" w:hAnsi="Verdana" w:cs="Arial"/>
          <w:color w:val="000000" w:themeColor="text1"/>
        </w:rPr>
        <w:t xml:space="preserve"> el ejercicio de estas potestades exorbitantes en particular, el</w:t>
      </w:r>
      <w:r w:rsidRPr="003E2347">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E2347">
        <w:rPr>
          <w:rStyle w:val="Refdenotaalpie"/>
          <w:rFonts w:ascii="Verdana" w:eastAsia="Calibri" w:hAnsi="Verdana" w:cs="Arial"/>
          <w:color w:val="000000" w:themeColor="text1"/>
          <w:lang w:val="es-ES_tradnl"/>
        </w:rPr>
        <w:footnoteReference w:id="7"/>
      </w:r>
      <w:r w:rsidRPr="003E2347">
        <w:rPr>
          <w:rFonts w:ascii="Verdana" w:eastAsia="Calibri" w:hAnsi="Verdana" w:cs="Arial"/>
          <w:color w:val="000000" w:themeColor="text1"/>
          <w:lang w:val="es-ES_tradnl"/>
        </w:rPr>
        <w:t xml:space="preserve">. Así se desprende del primer inciso de aquel </w:t>
      </w:r>
      <w:r w:rsidRPr="003E2347">
        <w:rPr>
          <w:rFonts w:ascii="Verdana" w:eastAsia="Calibri" w:hAnsi="Verdana" w:cs="Arial"/>
          <w:color w:val="000000" w:themeColor="text1"/>
          <w:lang w:val="es-ES_tradnl"/>
        </w:rPr>
        <w:lastRenderedPageBreak/>
        <w:t>artículo, que dice: “</w:t>
      </w:r>
      <w:r w:rsidRPr="003E2347">
        <w:rPr>
          <w:rFonts w:ascii="Verdana" w:eastAsia="Calibri" w:hAnsi="Verdana" w:cs="Arial"/>
          <w:i/>
          <w:color w:val="000000" w:themeColor="text1"/>
          <w:lang w:val="es-ES_tradnl"/>
        </w:rPr>
        <w:t>Las entidades sometidas al Estatuto General de Contratación de la Administración Pública</w:t>
      </w:r>
      <w:r w:rsidRPr="003E2347">
        <w:rPr>
          <w:rFonts w:ascii="Verdana" w:eastAsia="Calibri" w:hAnsi="Verdana" w:cs="Arial"/>
          <w:color w:val="000000" w:themeColor="text1"/>
          <w:lang w:val="es-ES_tradnl"/>
        </w:rPr>
        <w:t xml:space="preserve"> podrán declarar el incumplimiento, cuantificando los perjuicios del mismo, imponer las multas y sanciones pactadas en el contrato, y hacer efectiva la cláusula penal. […]”.</w:t>
      </w:r>
    </w:p>
    <w:p w14:paraId="16E1AE84" w14:textId="77777777" w:rsidR="00C33C27" w:rsidRPr="0083282B" w:rsidRDefault="00C33C27" w:rsidP="00C33C27">
      <w:pPr>
        <w:spacing w:before="120" w:after="120" w:line="276" w:lineRule="auto"/>
        <w:ind w:firstLine="708"/>
        <w:jc w:val="both"/>
        <w:rPr>
          <w:rFonts w:ascii="Verdana" w:hAnsi="Verdana" w:cs="Arial"/>
          <w:bCs/>
          <w:color w:val="000000" w:themeColor="text1"/>
        </w:rPr>
      </w:pPr>
      <w:r w:rsidRPr="005A7B33">
        <w:rPr>
          <w:rFonts w:ascii="Verdana" w:hAnsi="Verdana" w:cs="Arial"/>
          <w:bCs/>
          <w:color w:val="000000" w:themeColor="text1"/>
        </w:rPr>
        <w:t xml:space="preserve">En tal sentido, este es el procedimiento establecido para hacer efectivas las sanciones contractuales, </w:t>
      </w:r>
      <w:r>
        <w:rPr>
          <w:rFonts w:ascii="Verdana" w:hAnsi="Verdana" w:cs="Arial"/>
          <w:bCs/>
          <w:color w:val="000000" w:themeColor="text1"/>
        </w:rPr>
        <w:t xml:space="preserve">como es la </w:t>
      </w:r>
      <w:r w:rsidRPr="005A7B33">
        <w:rPr>
          <w:rFonts w:ascii="Verdana" w:hAnsi="Verdana" w:cs="Arial"/>
          <w:bCs/>
          <w:color w:val="000000" w:themeColor="text1"/>
        </w:rPr>
        <w:t>caducidad del contrato</w:t>
      </w:r>
      <w:r>
        <w:rPr>
          <w:rFonts w:ascii="Verdana" w:hAnsi="Verdana" w:cs="Arial"/>
          <w:bCs/>
          <w:color w:val="000000" w:themeColor="text1"/>
        </w:rPr>
        <w:t xml:space="preserve"> y la imposición unilateral de multas y cláusula penal contractual que se derivan del incumplimiento contractual</w:t>
      </w:r>
      <w:r w:rsidRPr="005A7B33">
        <w:rPr>
          <w:rFonts w:ascii="Verdana" w:hAnsi="Verdana" w:cs="Arial"/>
          <w:bCs/>
          <w:color w:val="000000" w:themeColor="text1"/>
        </w:rPr>
        <w:t xml:space="preserve">. </w:t>
      </w:r>
    </w:p>
    <w:p w14:paraId="6AF0B5C6" w14:textId="77777777" w:rsidR="00C33C27" w:rsidRPr="009037F6" w:rsidRDefault="00C33C27" w:rsidP="00C33C27">
      <w:pPr>
        <w:spacing w:after="0" w:line="276" w:lineRule="auto"/>
        <w:ind w:firstLine="709"/>
        <w:jc w:val="both"/>
        <w:rPr>
          <w:rFonts w:ascii="Verdana" w:eastAsia="Calibri" w:hAnsi="Verdana" w:cs="Arial"/>
          <w:color w:val="000000" w:themeColor="text1"/>
          <w:lang w:val="es-ES"/>
        </w:rPr>
      </w:pPr>
      <w:r w:rsidRPr="004F246A">
        <w:rPr>
          <w:rFonts w:ascii="Verdana" w:eastAsia="Times New Roman" w:hAnsi="Verdana"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w:t>
      </w:r>
      <w:r>
        <w:rPr>
          <w:rFonts w:ascii="Verdana" w:eastAsia="Times New Roman" w:hAnsi="Verdana" w:cs="Arial"/>
          <w:iCs/>
          <w:color w:val="000000"/>
          <w:szCs w:val="24"/>
          <w:lang w:val="es-ES_tradnl" w:eastAsia="es-ES_tradnl"/>
        </w:rPr>
        <w:t>o es así como consecuencia del “</w:t>
      </w:r>
      <w:r w:rsidRPr="004F246A">
        <w:rPr>
          <w:rFonts w:ascii="Verdana" w:eastAsia="Times New Roman" w:hAnsi="Verdana" w:cs="Arial"/>
          <w:iCs/>
          <w:color w:val="000000"/>
          <w:szCs w:val="24"/>
          <w:lang w:val="es-ES_tradnl" w:eastAsia="es-ES_tradnl"/>
        </w:rPr>
        <w:t>principio general de interpretación jurídica según el cual donde la norma no distingue, no le corresponde dist</w:t>
      </w:r>
      <w:r>
        <w:rPr>
          <w:rFonts w:ascii="Verdana" w:eastAsia="Times New Roman" w:hAnsi="Verdana" w:cs="Arial"/>
          <w:iCs/>
          <w:color w:val="000000"/>
          <w:szCs w:val="24"/>
          <w:lang w:val="es-ES_tradnl" w:eastAsia="es-ES_tradnl"/>
        </w:rPr>
        <w:t>inguir al intérprete”</w:t>
      </w:r>
      <w:r w:rsidRPr="004F246A">
        <w:rPr>
          <w:rFonts w:ascii="Verdana" w:eastAsia="Times New Roman" w:hAnsi="Verdana" w:cs="Arial"/>
          <w:color w:val="000000"/>
          <w:sz w:val="24"/>
          <w:szCs w:val="24"/>
          <w:vertAlign w:val="superscript"/>
          <w:lang w:eastAsia="es-ES_tradnl"/>
        </w:rPr>
        <w:footnoteReference w:id="8"/>
      </w:r>
      <w:r w:rsidRPr="004F246A">
        <w:rPr>
          <w:rFonts w:ascii="Verdana" w:eastAsia="Times New Roman" w:hAnsi="Verdana" w:cs="Arial"/>
          <w:iCs/>
          <w:color w:val="000000"/>
          <w:szCs w:val="24"/>
          <w:lang w:val="es-ES_tradnl" w:eastAsia="es-ES_tradnl"/>
        </w:rPr>
        <w:t>. A la misma conclusión se llega si se tiene en consideración la necesidad de</w:t>
      </w:r>
      <w:r>
        <w:rPr>
          <w:rFonts w:ascii="Verdana" w:eastAsia="Times New Roman" w:hAnsi="Verdana" w:cs="Arial"/>
          <w:iCs/>
          <w:color w:val="000000"/>
          <w:szCs w:val="24"/>
          <w:lang w:val="es-ES_tradnl" w:eastAsia="es-ES_tradnl"/>
        </w:rPr>
        <w:t xml:space="preserve"> respetar el debido proceso en “</w:t>
      </w:r>
      <w:r w:rsidRPr="004F246A">
        <w:rPr>
          <w:rFonts w:ascii="Verdana" w:eastAsia="Times New Roman" w:hAnsi="Verdana" w:cs="Arial"/>
          <w:iCs/>
          <w:color w:val="000000"/>
          <w:szCs w:val="24"/>
          <w:lang w:val="es-ES_tradnl" w:eastAsia="es-ES_tradnl"/>
        </w:rPr>
        <w:t xml:space="preserve">todas </w:t>
      </w:r>
      <w:r>
        <w:rPr>
          <w:rFonts w:ascii="Verdana" w:eastAsia="Times New Roman" w:hAnsi="Verdana" w:cs="Arial"/>
          <w:iCs/>
          <w:color w:val="000000"/>
          <w:szCs w:val="24"/>
          <w:lang w:val="es-ES_tradnl" w:eastAsia="es-ES_tradnl"/>
        </w:rPr>
        <w:t>las actuaciones administrativas”</w:t>
      </w:r>
      <w:r w:rsidRPr="004F246A">
        <w:rPr>
          <w:rFonts w:ascii="Verdana" w:eastAsia="Times New Roman" w:hAnsi="Verdana" w:cs="Arial"/>
          <w:iCs/>
          <w:color w:val="000000"/>
          <w:szCs w:val="24"/>
          <w:lang w:val="es-ES_tradnl" w:eastAsia="es-ES_tradnl"/>
        </w:rPr>
        <w:t xml:space="preserve"> como lo </w:t>
      </w:r>
      <w:r>
        <w:rPr>
          <w:rFonts w:ascii="Verdana" w:eastAsia="Times New Roman" w:hAnsi="Verdana" w:cs="Arial"/>
          <w:iCs/>
          <w:color w:val="000000"/>
          <w:szCs w:val="24"/>
          <w:lang w:val="es-ES_tradnl" w:eastAsia="es-ES_tradnl"/>
        </w:rPr>
        <w:t>dispone el artículo 29 de la Constitución Política. En efecto, e</w:t>
      </w:r>
      <w:r>
        <w:rPr>
          <w:rFonts w:ascii="Verdana" w:eastAsia="Calibri" w:hAnsi="Verdana" w:cs="Arial"/>
          <w:color w:val="000000" w:themeColor="text1"/>
          <w:lang w:val="es-ES"/>
        </w:rPr>
        <w:t>l artículo 86 de la Ley 1474 de 2011</w:t>
      </w:r>
      <w:r w:rsidRPr="009037F6">
        <w:rPr>
          <w:rFonts w:ascii="Verdana" w:eastAsia="Calibri" w:hAnsi="Verdana" w:cs="Arial"/>
          <w:color w:val="000000" w:themeColor="text1"/>
          <w:lang w:val="es-ES"/>
        </w:rPr>
        <w:t xml:space="preserve"> desarrolla el procedimiento de la siguiente manera:</w:t>
      </w:r>
    </w:p>
    <w:p w14:paraId="2F7A5322" w14:textId="77777777" w:rsidR="00C33C27" w:rsidRPr="009037F6" w:rsidRDefault="00C33C27" w:rsidP="00C33C27">
      <w:pPr>
        <w:spacing w:after="0" w:line="276" w:lineRule="auto"/>
        <w:ind w:firstLine="709"/>
        <w:jc w:val="both"/>
        <w:rPr>
          <w:rFonts w:ascii="Verdana" w:eastAsia="Calibri" w:hAnsi="Verdana" w:cs="Arial"/>
          <w:color w:val="000000" w:themeColor="text1"/>
          <w:lang w:val="es-ES"/>
        </w:rPr>
      </w:pPr>
    </w:p>
    <w:p w14:paraId="02D40FE7" w14:textId="77777777" w:rsidR="00C33C27" w:rsidRPr="009037F6" w:rsidRDefault="00C33C27" w:rsidP="00C33C27">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“Artículo 86. Imposición de multas, sanciones y declaratorias de incumplimiento.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1C72CE83" w14:textId="77777777" w:rsidR="00C33C27" w:rsidRPr="009037F6" w:rsidRDefault="00C33C27" w:rsidP="00C33C27">
      <w:pPr>
        <w:spacing w:line="240" w:lineRule="auto"/>
        <w:ind w:left="709" w:right="709"/>
        <w:contextualSpacing/>
        <w:jc w:val="both"/>
        <w:rPr>
          <w:rFonts w:ascii="Verdana" w:hAnsi="Verdana" w:cs="Arial"/>
          <w:iCs/>
          <w:color w:val="000000" w:themeColor="text1"/>
          <w:sz w:val="20"/>
          <w:szCs w:val="20"/>
          <w:lang w:val="es-ES"/>
        </w:rPr>
      </w:pPr>
    </w:p>
    <w:p w14:paraId="7B6936E7" w14:textId="77777777" w:rsidR="00C33C27" w:rsidRPr="009037F6" w:rsidRDefault="00C33C27" w:rsidP="00C33C27">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0E6C3F6C" w14:textId="77777777" w:rsidR="00C33C27" w:rsidRPr="009037F6" w:rsidRDefault="00C33C27" w:rsidP="00C33C27">
      <w:pPr>
        <w:spacing w:line="240" w:lineRule="auto"/>
        <w:ind w:left="709" w:right="709"/>
        <w:contextualSpacing/>
        <w:jc w:val="both"/>
        <w:rPr>
          <w:rFonts w:ascii="Verdana" w:hAnsi="Verdana"/>
          <w:sz w:val="20"/>
          <w:szCs w:val="20"/>
          <w:lang w:val="es-ES"/>
        </w:rPr>
      </w:pPr>
    </w:p>
    <w:p w14:paraId="69C9BD51" w14:textId="77777777" w:rsidR="00C33C27" w:rsidRPr="009037F6" w:rsidRDefault="00C33C27" w:rsidP="00C33C27">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7B70B745" w14:textId="77777777" w:rsidR="00C33C27" w:rsidRPr="009037F6" w:rsidRDefault="00C33C27" w:rsidP="00C33C27">
      <w:pPr>
        <w:spacing w:line="240" w:lineRule="auto"/>
        <w:ind w:left="709" w:right="709"/>
        <w:contextualSpacing/>
        <w:jc w:val="both"/>
        <w:rPr>
          <w:rFonts w:ascii="Verdana" w:hAnsi="Verdana" w:cs="Arial"/>
          <w:iCs/>
          <w:color w:val="000000" w:themeColor="text1"/>
          <w:sz w:val="20"/>
          <w:szCs w:val="20"/>
          <w:lang w:val="es-ES"/>
        </w:rPr>
      </w:pPr>
    </w:p>
    <w:p w14:paraId="2E33D305" w14:textId="77777777" w:rsidR="00C33C27" w:rsidRPr="009037F6" w:rsidRDefault="00C33C27" w:rsidP="00C33C27">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15333186" w14:textId="77777777" w:rsidR="00C33C27" w:rsidRPr="009037F6" w:rsidRDefault="00C33C27" w:rsidP="00C33C27">
      <w:pPr>
        <w:spacing w:line="240" w:lineRule="auto"/>
        <w:ind w:left="709" w:right="709"/>
        <w:contextualSpacing/>
        <w:jc w:val="both"/>
        <w:rPr>
          <w:rFonts w:ascii="Verdana" w:hAnsi="Verdana" w:cs="Arial"/>
          <w:iCs/>
          <w:color w:val="000000" w:themeColor="text1"/>
          <w:sz w:val="20"/>
          <w:szCs w:val="20"/>
          <w:lang w:val="es-ES"/>
        </w:rPr>
      </w:pPr>
    </w:p>
    <w:p w14:paraId="67FF98D3" w14:textId="77777777" w:rsidR="00C33C27" w:rsidRPr="009037F6" w:rsidRDefault="00C33C27" w:rsidP="00C33C27">
      <w:pPr>
        <w:spacing w:after="0"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 xml:space="preserve">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w:t>
      </w:r>
      <w:r w:rsidRPr="009037F6">
        <w:rPr>
          <w:rFonts w:ascii="Verdana" w:hAnsi="Verdana" w:cs="Arial"/>
          <w:iCs/>
          <w:color w:val="000000" w:themeColor="text1"/>
          <w:sz w:val="20"/>
          <w:szCs w:val="20"/>
          <w:lang w:val="es-ES"/>
        </w:rPr>
        <w:lastRenderedPageBreak/>
        <w:t>La entidad podrá dar por terminado el procedimiento en cualquier momento, si por algún medio tiene conocimiento de la cesación de situación de incumplimiento.”</w:t>
      </w:r>
    </w:p>
    <w:p w14:paraId="5396CADE" w14:textId="77777777" w:rsidR="00C33C27" w:rsidRPr="009037F6" w:rsidRDefault="00C33C27" w:rsidP="00C33C27">
      <w:pPr>
        <w:spacing w:after="0" w:line="240" w:lineRule="auto"/>
        <w:ind w:left="709" w:right="709"/>
        <w:contextualSpacing/>
        <w:jc w:val="both"/>
        <w:rPr>
          <w:rFonts w:ascii="Verdana" w:hAnsi="Verdana" w:cs="Arial"/>
          <w:iCs/>
          <w:color w:val="000000" w:themeColor="text1"/>
          <w:sz w:val="20"/>
          <w:szCs w:val="20"/>
          <w:lang w:val="es-ES"/>
        </w:rPr>
      </w:pPr>
    </w:p>
    <w:p w14:paraId="5AF175EC" w14:textId="77777777" w:rsidR="00C33C27" w:rsidRPr="009037F6" w:rsidRDefault="00C33C27" w:rsidP="00C33C27">
      <w:pPr>
        <w:spacing w:after="120" w:line="276" w:lineRule="auto"/>
        <w:ind w:firstLine="708"/>
        <w:jc w:val="both"/>
        <w:rPr>
          <w:rFonts w:ascii="Verdana" w:eastAsia="Times New Roman" w:hAnsi="Verdana" w:cs="Arial"/>
          <w:lang w:val="es-ES" w:eastAsia="es-ES"/>
          <w14:ligatures w14:val="standardContextual"/>
        </w:rPr>
      </w:pPr>
      <w:r w:rsidRPr="009037F6">
        <w:rPr>
          <w:rFonts w:ascii="Verdana" w:eastAsia="Times New Roman" w:hAnsi="Verdana" w:cs="Arial"/>
          <w:lang w:val="es-ES" w:eastAsia="es-ES"/>
          <w14:ligatures w14:val="standardContextual"/>
        </w:rPr>
        <w:t xml:space="preserve">De conformidad con lo anterior, el artículo 86 de la Ley 1474 de 2011 establece como etapas del procedimiento que deben seguir las Entidades Estatales: </w:t>
      </w:r>
      <w:r w:rsidRPr="009037F6">
        <w:rPr>
          <w:rFonts w:ascii="Verdana" w:hAnsi="Verdana" w:cs="Arial"/>
          <w:bCs/>
          <w:iCs/>
          <w:color w:val="000000" w:themeColor="text1"/>
          <w:lang w:val="es-MX"/>
        </w:rPr>
        <w:t>i) c</w:t>
      </w:r>
      <w:r w:rsidRPr="009037F6">
        <w:rPr>
          <w:rFonts w:ascii="Verdana" w:hAnsi="Verdana" w:cs="Arial"/>
          <w:bCs/>
          <w:i/>
          <w:iCs/>
          <w:color w:val="000000" w:themeColor="text1"/>
          <w:lang w:val="es-MX"/>
        </w:rPr>
        <w:t>itación a audiencia</w:t>
      </w:r>
      <w:r w:rsidRPr="009037F6">
        <w:rPr>
          <w:rFonts w:ascii="Verdana" w:hAnsi="Verdana" w:cs="Arial"/>
          <w:bCs/>
          <w:iCs/>
          <w:color w:val="000000" w:themeColor="text1"/>
          <w:lang w:val="es-MX"/>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En esta línea, el informe de supervisión o de interventoría sirve como insumo que debe tener en el momento de declarar el incumplimiento. En todo caso, </w:t>
      </w:r>
      <w:r w:rsidRPr="009037F6">
        <w:rPr>
          <w:rFonts w:ascii="Verdana" w:hAnsi="Verdana" w:cs="Arial"/>
          <w:bCs/>
          <w:iCs/>
          <w:color w:val="000000" w:themeColor="text1"/>
        </w:rPr>
        <w:t>el Consejo de Estado ha expresado que el informe del interventor no puede entenderse como el único o exclusivo insumo para declarar la responsabilidad del contratista, puesto que la ley no establece una tarifa probatoria sobre el particular, y porque aun existiendo, la entidad debe verificar su certeza y analizarlo con las demás pruebas allegadas al procedimiento administrativo sancionatorio</w:t>
      </w:r>
      <w:r w:rsidRPr="009037F6">
        <w:rPr>
          <w:rFonts w:ascii="Verdana" w:hAnsi="Verdana" w:cs="Arial"/>
          <w:bCs/>
          <w:iCs/>
          <w:color w:val="000000" w:themeColor="text1"/>
          <w:vertAlign w:val="superscript"/>
        </w:rPr>
        <w:footnoteReference w:id="9"/>
      </w:r>
      <w:r w:rsidRPr="009037F6">
        <w:rPr>
          <w:rFonts w:ascii="Verdana" w:hAnsi="Verdana" w:cs="Arial"/>
          <w:bCs/>
          <w:iCs/>
          <w:color w:val="000000" w:themeColor="text1"/>
        </w:rPr>
        <w:t>.</w:t>
      </w:r>
      <w:r w:rsidRPr="009037F6">
        <w:rPr>
          <w:rFonts w:ascii="Verdana" w:hAnsi="Verdana" w:cs="Arial"/>
          <w:bCs/>
          <w:iCs/>
          <w:color w:val="000000" w:themeColor="text1"/>
          <w:lang w:val="es-MX"/>
        </w:rPr>
        <w:t xml:space="preserve"> </w:t>
      </w:r>
      <w:proofErr w:type="spellStart"/>
      <w:r w:rsidRPr="009037F6">
        <w:rPr>
          <w:rFonts w:ascii="Verdana" w:hAnsi="Verdana" w:cs="Arial"/>
          <w:bCs/>
          <w:iCs/>
          <w:color w:val="000000" w:themeColor="text1"/>
          <w:lang w:val="es-MX"/>
        </w:rPr>
        <w:t>ii</w:t>
      </w:r>
      <w:proofErr w:type="spellEnd"/>
      <w:r w:rsidRPr="009037F6">
        <w:rPr>
          <w:rFonts w:ascii="Verdana" w:hAnsi="Verdana" w:cs="Arial"/>
          <w:bCs/>
          <w:iCs/>
          <w:color w:val="000000" w:themeColor="text1"/>
          <w:lang w:val="es-MX"/>
        </w:rPr>
        <w:t xml:space="preserve">) </w:t>
      </w:r>
      <w:r w:rsidRPr="009037F6">
        <w:rPr>
          <w:rFonts w:ascii="Verdana" w:hAnsi="Verdana" w:cs="Arial"/>
          <w:bCs/>
          <w:i/>
          <w:iCs/>
          <w:color w:val="000000" w:themeColor="text1"/>
          <w:lang w:val="es-MX"/>
        </w:rPr>
        <w:t>Audiencia</w:t>
      </w:r>
      <w:r w:rsidRPr="009037F6">
        <w:rPr>
          <w:rFonts w:ascii="Verdana" w:hAnsi="Verdana" w:cs="Arial"/>
          <w:bCs/>
          <w:iCs/>
          <w:color w:val="000000" w:themeColor="text1"/>
          <w:lang w:val="es-MX"/>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9037F6">
        <w:rPr>
          <w:rFonts w:ascii="Verdana" w:hAnsi="Verdana" w:cs="Arial"/>
          <w:bCs/>
          <w:iCs/>
          <w:color w:val="000000" w:themeColor="text1"/>
          <w:lang w:val="es-MX"/>
        </w:rPr>
        <w:t>iii</w:t>
      </w:r>
      <w:proofErr w:type="spellEnd"/>
      <w:r w:rsidRPr="009037F6">
        <w:rPr>
          <w:rFonts w:ascii="Verdana" w:hAnsi="Verdana" w:cs="Arial"/>
          <w:bCs/>
          <w:iCs/>
          <w:color w:val="000000" w:themeColor="text1"/>
          <w:lang w:val="es-MX"/>
        </w:rPr>
        <w:t xml:space="preserve">) </w:t>
      </w:r>
      <w:r w:rsidRPr="009037F6">
        <w:rPr>
          <w:rFonts w:ascii="Verdana" w:hAnsi="Verdana" w:cs="Arial"/>
          <w:bCs/>
          <w:i/>
          <w:iCs/>
          <w:color w:val="000000" w:themeColor="text1"/>
          <w:lang w:val="es-MX"/>
        </w:rPr>
        <w:t>Decisión</w:t>
      </w:r>
      <w:r w:rsidRPr="009037F6">
        <w:rPr>
          <w:rFonts w:ascii="Verdana" w:hAnsi="Verdana" w:cs="Arial"/>
          <w:bCs/>
          <w:iCs/>
          <w:color w:val="000000" w:themeColor="text1"/>
          <w:lang w:val="es-MX"/>
        </w:rPr>
        <w:t xml:space="preserve">. Debe estar contenida en resolución motivada donde se consigne, por un lado, lo ocurrido en el desarrollo de la diligencia y, por el otro, lo relativo a la imposición de las sanciones o la declaratoria de incumplimiento del contrato estatal. Contra la decisión únicamente procede el recurso de reposición que se interpondrá, sustentará y decidirá en la misma diligencia. Ambas decisiones se entenderán notificadas en audiencia. En este caso, el acto que contiene la decisión tendrá la naturaleza de ser un acto administrativo. </w:t>
      </w:r>
    </w:p>
    <w:p w14:paraId="7C45BF50" w14:textId="77777777" w:rsidR="00C33C27" w:rsidRPr="009037F6" w:rsidRDefault="00C33C27" w:rsidP="00C33C27">
      <w:pPr>
        <w:spacing w:after="120" w:line="276" w:lineRule="auto"/>
        <w:ind w:firstLine="709"/>
        <w:jc w:val="both"/>
        <w:rPr>
          <w:rFonts w:ascii="Verdana" w:eastAsia="Calibri" w:hAnsi="Verdana" w:cs="Arial"/>
          <w:color w:val="000000" w:themeColor="text1"/>
          <w:lang w:val="es-ES"/>
        </w:rPr>
      </w:pPr>
      <w:r w:rsidRPr="009037F6">
        <w:rPr>
          <w:rFonts w:ascii="Verdana" w:eastAsia="Calibri" w:hAnsi="Verdana" w:cs="Arial"/>
          <w:color w:val="000000" w:themeColor="text1"/>
          <w:lang w:val="es-ES"/>
        </w:rPr>
        <w:t>El artículo 86 de la Ley 1474 de 2011 estableció de manera expresa que las entidades sometidas al EGCAP pueden adelantar ese procedimiento en los siguientes supuestos: 1) para declarar el incumplimiento, cuantificando los perjuicios d</w:t>
      </w:r>
      <w:r>
        <w:rPr>
          <w:rFonts w:ascii="Verdana" w:eastAsia="Calibri" w:hAnsi="Verdana" w:cs="Arial"/>
          <w:color w:val="000000" w:themeColor="text1"/>
          <w:lang w:val="es-ES"/>
        </w:rPr>
        <w:t>e esto</w:t>
      </w:r>
      <w:r w:rsidRPr="009037F6">
        <w:rPr>
          <w:rFonts w:ascii="Verdana" w:eastAsia="Calibri" w:hAnsi="Verdana" w:cs="Arial"/>
          <w:color w:val="000000" w:themeColor="text1"/>
          <w:lang w:val="es-ES"/>
        </w:rPr>
        <w:t xml:space="preserve">. En cuanto a la declaración del incumplimiento es importante </w:t>
      </w:r>
      <w:r w:rsidRPr="009037F6">
        <w:rPr>
          <w:rFonts w:ascii="Verdana" w:eastAsia="Calibri" w:hAnsi="Verdana" w:cs="Arial"/>
          <w:color w:val="000000" w:themeColor="text1"/>
          <w:lang w:val="es-ES"/>
        </w:rPr>
        <w:lastRenderedPageBreak/>
        <w:t xml:space="preserve">tener en cuenta la caducidad como potestad exorbitante que se aplica por un incumplimiento grave y tardío de ciertos tipos contractuales; 2) imponer las multas y sanciones pactadas en el contrato, y 3) hacer efectiva la cláusula penal cuando haya sido pactada. En consecuencia, la Ley 1474 de 2011 atribuyó expresamente la competencia a las entidades para adelantar el procedimiento del artículo 86 en los tres supuestos antedichos, independientemente considerados. </w:t>
      </w:r>
    </w:p>
    <w:p w14:paraId="1AC96570" w14:textId="77777777" w:rsidR="00C33C27" w:rsidRPr="00851A60" w:rsidRDefault="00C33C27" w:rsidP="00C33C27">
      <w:pPr>
        <w:spacing w:before="120" w:after="120" w:line="276" w:lineRule="auto"/>
        <w:ind w:firstLine="708"/>
        <w:jc w:val="both"/>
        <w:rPr>
          <w:rFonts w:ascii="Verdana" w:eastAsia="Calibri" w:hAnsi="Verdana" w:cs="Arial"/>
          <w:bCs/>
          <w:lang w:val="es-MX"/>
        </w:rPr>
      </w:pPr>
      <w:r w:rsidRPr="00851A60">
        <w:rPr>
          <w:rFonts w:ascii="Verdana" w:eastAsia="Calibri" w:hAnsi="Verdana" w:cs="Arial"/>
          <w:lang w:val="es-ES"/>
        </w:rPr>
        <w:t xml:space="preserve">En concordancia con lo explicado previamente, la facultad de aplicar el procedimiento no está limitada a estos supuestos, pues el artículo 86 señala que las entidades sometidas al EGCAP podrán, además de lo anterior, emplearlo para declarar el incumplimiento del contrato, cuantificando los perjuicios. Así mismo, dentro del marco de la declaratoria de incumplimiento puede encontrarse la caducidad como </w:t>
      </w:r>
      <w:r w:rsidRPr="00851A60">
        <w:rPr>
          <w:rFonts w:ascii="Verdana" w:eastAsia="Calibri" w:hAnsi="Verdana" w:cs="Arial"/>
          <w:iCs/>
          <w:lang w:val="es-MX"/>
        </w:rPr>
        <w:t xml:space="preserve">la sanción más severa que existe en la contratación estatal. Particularmente,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regulados en el artículo 18 de la Ley 80 de 1993. </w:t>
      </w:r>
    </w:p>
    <w:p w14:paraId="3B453974" w14:textId="77777777" w:rsidR="00C33C27" w:rsidRDefault="00C33C27" w:rsidP="00C33C27">
      <w:pPr>
        <w:spacing w:before="120" w:after="120" w:line="276" w:lineRule="auto"/>
        <w:ind w:firstLine="709"/>
        <w:jc w:val="both"/>
        <w:rPr>
          <w:rFonts w:ascii="Verdana" w:eastAsia="Calibri" w:hAnsi="Verdana" w:cs="Arial"/>
          <w:lang w:val="es-ES"/>
        </w:rPr>
      </w:pPr>
      <w:r w:rsidRPr="00851A60">
        <w:rPr>
          <w:rFonts w:ascii="Verdana" w:eastAsia="Calibri" w:hAnsi="Verdana" w:cs="Arial"/>
          <w:lang w:val="es-ES"/>
        </w:rPr>
        <w:t>Teniendo en cuenta lo explicado, la declaratoria unilateral del siniestro en está precedida por la declaratoria del incumplimiento del contrato, lo cual hace procedente el procedimiento administrativo del artículo 86 de la Ley 1474 de 2011. La jurisprudencia explica que, al declarar el siniestro, la Administración no ejerce una potestad sancionadora</w:t>
      </w:r>
      <w:r w:rsidRPr="00851A60">
        <w:rPr>
          <w:rFonts w:ascii="Verdana" w:eastAsia="Calibri" w:hAnsi="Verdana" w:cs="Arial"/>
          <w:vertAlign w:val="superscript"/>
          <w:lang w:val="es-ES"/>
        </w:rPr>
        <w:footnoteReference w:id="10"/>
      </w:r>
      <w:r w:rsidRPr="00851A60">
        <w:rPr>
          <w:rFonts w:ascii="Verdana" w:eastAsia="Calibri" w:hAnsi="Verdana" w:cs="Arial"/>
          <w:lang w:val="es-ES"/>
        </w:rPr>
        <w:t xml:space="preserve">. En esta medida, no se trata de una pena de carácter legal o convencional, porque no pretende terminar anormalmente el contrato –caducidad–, ni estima anticipadamente los perjuicios derivados del incumplimiento –cláusula penal–, como tampoco son medios coercitivos de apremio –multas–. Todo lo contrario, su función es salvaguardar el interés público y proteger patrimonialmente a la Administración frente a los eventuales incumplimientos imputables al contratista. </w:t>
      </w:r>
    </w:p>
    <w:p w14:paraId="69B9E0B8" w14:textId="77777777" w:rsidR="00C33C27" w:rsidRPr="003423DC" w:rsidRDefault="00C33C27" w:rsidP="00C33C27">
      <w:pPr>
        <w:spacing w:before="120" w:after="0" w:line="276" w:lineRule="auto"/>
        <w:ind w:firstLine="709"/>
        <w:jc w:val="both"/>
        <w:rPr>
          <w:rFonts w:ascii="Verdana" w:hAnsi="Verdana" w:cs="Arial"/>
          <w:iCs/>
          <w:color w:val="000000" w:themeColor="text1"/>
        </w:rPr>
      </w:pPr>
      <w:r>
        <w:rPr>
          <w:rFonts w:ascii="Verdana" w:hAnsi="Verdana" w:cs="Arial"/>
          <w:color w:val="000000" w:themeColor="text1"/>
        </w:rPr>
        <w:t xml:space="preserve">Habiendo mencionado la cláusula excepcional de caducidad como última </w:t>
      </w:r>
      <w:r>
        <w:rPr>
          <w:rFonts w:ascii="Verdana" w:hAnsi="Verdana" w:cs="Arial"/>
          <w:i/>
          <w:iCs/>
          <w:color w:val="000000" w:themeColor="text1"/>
        </w:rPr>
        <w:t xml:space="preserve">ratio </w:t>
      </w:r>
      <w:r>
        <w:rPr>
          <w:rFonts w:ascii="Verdana" w:hAnsi="Verdana" w:cs="Arial"/>
          <w:color w:val="000000" w:themeColor="text1"/>
        </w:rPr>
        <w:t xml:space="preserve">para sancionar las acciones de incumplimiento del contratista, </w:t>
      </w:r>
      <w:proofErr w:type="spellStart"/>
      <w:r>
        <w:rPr>
          <w:rFonts w:ascii="Verdana" w:hAnsi="Verdana" w:cs="Arial"/>
          <w:color w:val="000000" w:themeColor="text1"/>
        </w:rPr>
        <w:t>esw</w:t>
      </w:r>
      <w:proofErr w:type="spellEnd"/>
      <w:r>
        <w:rPr>
          <w:rFonts w:ascii="Verdana" w:hAnsi="Verdana" w:cs="Arial"/>
          <w:color w:val="000000" w:themeColor="text1"/>
        </w:rPr>
        <w:t xml:space="preserve"> correcto </w:t>
      </w:r>
      <w:r>
        <w:rPr>
          <w:rFonts w:ascii="Verdana" w:hAnsi="Verdana" w:cs="Arial"/>
          <w:color w:val="000000" w:themeColor="text1"/>
        </w:rPr>
        <w:lastRenderedPageBreak/>
        <w:t xml:space="preserve">afirmar que, </w:t>
      </w:r>
      <w:r>
        <w:rPr>
          <w:rFonts w:ascii="Verdana" w:hAnsi="Verdana" w:cs="Arial"/>
          <w:iCs/>
          <w:color w:val="000000" w:themeColor="text1"/>
        </w:rPr>
        <w:t>s</w:t>
      </w:r>
      <w:r w:rsidRPr="003423DC">
        <w:rPr>
          <w:rFonts w:ascii="Verdana" w:hAnsi="Verdana" w:cs="Arial"/>
          <w:iCs/>
          <w:color w:val="000000" w:themeColor="text1"/>
        </w:rPr>
        <w:t>u propósito consiste en sancionar al contratista y, a su vez, permitirle a la entidad continuar con la ejecución por otros medios, señalados en el artículo 18 de la Ley 80 de 1993. En cuanto a la oportunidad para su imposición, el Consejo de Estado ha precisado:</w:t>
      </w:r>
    </w:p>
    <w:p w14:paraId="1AEEDAEC" w14:textId="77777777" w:rsidR="00C33C27" w:rsidRPr="003423DC" w:rsidRDefault="00C33C27" w:rsidP="00C33C27">
      <w:pPr>
        <w:spacing w:after="0" w:line="276" w:lineRule="auto"/>
        <w:jc w:val="both"/>
        <w:rPr>
          <w:rFonts w:ascii="Verdana" w:hAnsi="Verdana" w:cs="Arial"/>
          <w:iCs/>
          <w:color w:val="000000" w:themeColor="text1"/>
        </w:rPr>
      </w:pPr>
    </w:p>
    <w:p w14:paraId="58514EAC" w14:textId="77777777" w:rsidR="00C33C27" w:rsidRPr="00816FA4" w:rsidRDefault="00C33C27" w:rsidP="00C33C27">
      <w:pPr>
        <w:spacing w:after="0" w:line="240" w:lineRule="auto"/>
        <w:ind w:left="709" w:right="758"/>
        <w:jc w:val="both"/>
        <w:rPr>
          <w:rFonts w:ascii="Verdana" w:hAnsi="Verdana" w:cs="Arial"/>
          <w:iCs/>
          <w:color w:val="000000" w:themeColor="text1"/>
          <w:sz w:val="20"/>
          <w:szCs w:val="20"/>
        </w:rPr>
      </w:pPr>
      <w:r>
        <w:rPr>
          <w:rFonts w:ascii="Verdana" w:hAnsi="Verdana" w:cs="Arial"/>
          <w:iCs/>
          <w:color w:val="000000" w:themeColor="text1"/>
          <w:sz w:val="20"/>
          <w:szCs w:val="20"/>
        </w:rPr>
        <w:t>“</w:t>
      </w:r>
      <w:r w:rsidRPr="00816FA4">
        <w:rPr>
          <w:rFonts w:ascii="Verdana" w:hAnsi="Verdana" w:cs="Arial"/>
          <w:iCs/>
          <w:color w:val="000000" w:themeColor="text1"/>
          <w:sz w:val="20"/>
          <w:szCs w:val="20"/>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816FA4">
        <w:rPr>
          <w:rFonts w:ascii="Verdana" w:hAnsi="Verdana" w:cs="Arial"/>
          <w:iCs/>
          <w:color w:val="000000" w:themeColor="text1"/>
          <w:sz w:val="20"/>
          <w:szCs w:val="20"/>
          <w:vertAlign w:val="superscript"/>
        </w:rPr>
        <w:t xml:space="preserve"> </w:t>
      </w:r>
      <w:r w:rsidRPr="00816FA4">
        <w:rPr>
          <w:rFonts w:ascii="Verdana" w:hAnsi="Verdana" w:cs="Arial"/>
          <w:iCs/>
          <w:color w:val="000000" w:themeColor="text1"/>
          <w:sz w:val="20"/>
          <w:szCs w:val="20"/>
          <w:vertAlign w:val="superscript"/>
        </w:rPr>
        <w:footnoteReference w:id="11"/>
      </w:r>
      <w:r w:rsidRPr="00816FA4">
        <w:rPr>
          <w:rFonts w:ascii="Verdana" w:hAnsi="Verdana" w:cs="Arial"/>
          <w:iCs/>
          <w:color w:val="000000" w:themeColor="text1"/>
          <w:sz w:val="20"/>
          <w:szCs w:val="20"/>
        </w:rPr>
        <w:t xml:space="preserve">. </w:t>
      </w:r>
    </w:p>
    <w:p w14:paraId="42440C81" w14:textId="77777777" w:rsidR="00C33C27" w:rsidRPr="003423DC" w:rsidRDefault="00C33C27" w:rsidP="00C33C27">
      <w:pPr>
        <w:spacing w:after="0" w:line="276" w:lineRule="auto"/>
        <w:jc w:val="both"/>
        <w:rPr>
          <w:rFonts w:ascii="Verdana" w:hAnsi="Verdana" w:cs="Arial"/>
          <w:iCs/>
          <w:color w:val="000000" w:themeColor="text1"/>
        </w:rPr>
      </w:pPr>
    </w:p>
    <w:p w14:paraId="47A0798B" w14:textId="77777777" w:rsidR="00C33C27" w:rsidRDefault="00C33C27" w:rsidP="00C33C27">
      <w:pPr>
        <w:spacing w:line="276" w:lineRule="auto"/>
        <w:ind w:firstLine="708"/>
        <w:jc w:val="both"/>
        <w:rPr>
          <w:rFonts w:ascii="Verdana" w:hAnsi="Verdana" w:cs="Arial"/>
          <w:iCs/>
          <w:color w:val="000000" w:themeColor="text1"/>
        </w:rPr>
      </w:pPr>
      <w:r w:rsidRPr="003423DC">
        <w:rPr>
          <w:rFonts w:ascii="Verdana" w:hAnsi="Verdana" w:cs="Arial"/>
          <w:iCs/>
          <w:color w:val="000000" w:themeColor="text1"/>
        </w:rPr>
        <w:t xml:space="preserve">Las consecuencias jurídicas que se generan con la caducidad son: i) terminación del contrato; </w:t>
      </w:r>
      <w:proofErr w:type="spellStart"/>
      <w:r w:rsidRPr="003423DC">
        <w:rPr>
          <w:rFonts w:ascii="Verdana" w:hAnsi="Verdana" w:cs="Arial"/>
          <w:iCs/>
          <w:color w:val="000000" w:themeColor="text1"/>
        </w:rPr>
        <w:t>ii</w:t>
      </w:r>
      <w:proofErr w:type="spellEnd"/>
      <w:r w:rsidRPr="003423DC">
        <w:rPr>
          <w:rFonts w:ascii="Verdana" w:hAnsi="Verdana" w:cs="Arial"/>
          <w:iCs/>
          <w:color w:val="000000" w:themeColor="text1"/>
        </w:rPr>
        <w:t xml:space="preserve">) iniciación del trámite de liquidación bilateral; </w:t>
      </w:r>
      <w:proofErr w:type="spellStart"/>
      <w:r w:rsidRPr="003423DC">
        <w:rPr>
          <w:rFonts w:ascii="Verdana" w:hAnsi="Verdana" w:cs="Arial"/>
          <w:iCs/>
          <w:color w:val="000000" w:themeColor="text1"/>
        </w:rPr>
        <w:t>iii</w:t>
      </w:r>
      <w:proofErr w:type="spellEnd"/>
      <w:r w:rsidRPr="003423DC">
        <w:rPr>
          <w:rFonts w:ascii="Verdana" w:hAnsi="Verdana" w:cs="Arial"/>
          <w:iCs/>
          <w:color w:val="000000" w:themeColor="text1"/>
        </w:rPr>
        <w:t xml:space="preserve">) inhabilidad sobreviniente por cinco años; </w:t>
      </w:r>
      <w:proofErr w:type="spellStart"/>
      <w:r w:rsidRPr="003423DC">
        <w:rPr>
          <w:rFonts w:ascii="Verdana" w:hAnsi="Verdana" w:cs="Arial"/>
          <w:iCs/>
          <w:color w:val="000000" w:themeColor="text1"/>
        </w:rPr>
        <w:t>iv</w:t>
      </w:r>
      <w:proofErr w:type="spellEnd"/>
      <w:r w:rsidRPr="003423DC">
        <w:rPr>
          <w:rFonts w:ascii="Verdana" w:hAnsi="Verdana" w:cs="Arial"/>
          <w:iCs/>
          <w:color w:val="000000" w:themeColor="text1"/>
        </w:rPr>
        <w:t>) efectividad de la garantía única de cumplimiento; y v) reporte al SECOP, Procuraduría General de la Nación y a la Cámara de Comercio donde el contratista esté inscrito con el propósito de incluir la anotación en el Registro Único de Proponentes.</w:t>
      </w:r>
    </w:p>
    <w:p w14:paraId="7263AAAD" w14:textId="77777777" w:rsidR="00C33C27" w:rsidRPr="00794BB4" w:rsidRDefault="00C33C27" w:rsidP="00C33C27">
      <w:pPr>
        <w:pStyle w:val="NormalWeb"/>
        <w:spacing w:line="276" w:lineRule="auto"/>
        <w:ind w:firstLine="708"/>
        <w:jc w:val="both"/>
        <w:rPr>
          <w:rFonts w:ascii="Verdana" w:eastAsiaTheme="minorHAnsi" w:hAnsi="Verdana" w:cs="Arial"/>
          <w:iCs/>
          <w:color w:val="000000" w:themeColor="text1"/>
          <w:sz w:val="22"/>
          <w:szCs w:val="22"/>
          <w:lang w:eastAsia="en-US"/>
        </w:rPr>
      </w:pPr>
      <w:r>
        <w:rPr>
          <w:rFonts w:ascii="Verdana" w:eastAsiaTheme="minorHAnsi" w:hAnsi="Verdana" w:cs="Arial"/>
          <w:iCs/>
          <w:color w:val="000000" w:themeColor="text1"/>
          <w:sz w:val="22"/>
          <w:szCs w:val="22"/>
          <w:lang w:eastAsia="en-US"/>
        </w:rPr>
        <w:t>Por otra parte</w:t>
      </w:r>
      <w:r w:rsidRPr="00794BB4">
        <w:rPr>
          <w:rFonts w:ascii="Verdana" w:eastAsiaTheme="minorHAnsi" w:hAnsi="Verdana" w:cs="Arial"/>
          <w:iCs/>
          <w:color w:val="000000" w:themeColor="text1"/>
          <w:sz w:val="22"/>
          <w:szCs w:val="22"/>
          <w:lang w:eastAsia="en-US"/>
        </w:rPr>
        <w:t xml:space="preserve">, el artículo 52 de la Ley 1437 de 2011 establece, salvo norma especial, que la facultad sancionatoria de las autoridades caduca a los tres (3) años de ocurrido el hecho, conducta u omisión susceptible de sanción, término dentro del cual el acto administrativo sancionatorio debe ser expedido y notificado. Cuando se trate de una conducta continuada, el término se cuenta desde el día siguiente a aquel en que cesó la infracción o su ejecución. </w:t>
      </w:r>
      <w:hyperlink r:id="rId10" w:history="1">
        <w:r w:rsidRPr="00794BB4">
          <w:rPr>
            <w:rFonts w:ascii="Verdana" w:eastAsiaTheme="minorHAnsi" w:hAnsi="Verdana" w:cs="Arial"/>
            <w:iCs/>
            <w:color w:val="000000" w:themeColor="text1"/>
            <w:sz w:val="22"/>
            <w:szCs w:val="22"/>
            <w:lang w:eastAsia="en-US"/>
          </w:rPr>
          <w:t>Función Pública</w:t>
        </w:r>
      </w:hyperlink>
    </w:p>
    <w:p w14:paraId="74979F3D" w14:textId="77777777" w:rsidR="00C33C27" w:rsidRPr="00794BB4" w:rsidRDefault="00C33C27" w:rsidP="00C33C27">
      <w:pPr>
        <w:pStyle w:val="NormalWeb"/>
        <w:spacing w:line="276" w:lineRule="auto"/>
        <w:ind w:firstLine="708"/>
        <w:jc w:val="both"/>
        <w:rPr>
          <w:rFonts w:ascii="Verdana" w:eastAsiaTheme="minorHAnsi" w:hAnsi="Verdana" w:cs="Arial"/>
          <w:iCs/>
          <w:color w:val="000000" w:themeColor="text1"/>
          <w:sz w:val="22"/>
          <w:szCs w:val="22"/>
          <w:lang w:eastAsia="en-US"/>
        </w:rPr>
      </w:pPr>
      <w:r w:rsidRPr="00794BB4">
        <w:rPr>
          <w:rFonts w:ascii="Verdana" w:eastAsiaTheme="minorHAnsi" w:hAnsi="Verdana" w:cs="Arial"/>
          <w:iCs/>
          <w:color w:val="000000" w:themeColor="text1"/>
          <w:sz w:val="22"/>
          <w:szCs w:val="22"/>
          <w:lang w:eastAsia="en-US"/>
        </w:rPr>
        <w:t xml:space="preserve">Este término no constituye una fuente autónoma ni una ampliación de la competencia contractual de la entidad. Por tanto, el artículo 52 del CPACA no revive, prorroga ni restablece una competencia que se haya extinguido conforme a las reglas especiales aplicables al contrato estatal. En otras palabras, la entidad </w:t>
      </w:r>
      <w:r w:rsidRPr="00794BB4">
        <w:rPr>
          <w:rFonts w:ascii="Verdana" w:eastAsiaTheme="minorHAnsi" w:hAnsi="Verdana" w:cs="Arial"/>
          <w:iCs/>
          <w:color w:val="000000" w:themeColor="text1"/>
          <w:sz w:val="22"/>
          <w:szCs w:val="22"/>
          <w:lang w:eastAsia="en-US"/>
        </w:rPr>
        <w:lastRenderedPageBreak/>
        <w:t>debe conservar simultáneamente la competencia contractual para adoptar la medida y encontrarse dentro del término general de caducidad de la facultad sancionatoria, cuando este resulte aplicable.</w:t>
      </w:r>
    </w:p>
    <w:p w14:paraId="77C4D2AE" w14:textId="77777777" w:rsidR="00C33C27" w:rsidRPr="00794BB4" w:rsidRDefault="00C33C27" w:rsidP="00C33C27">
      <w:pPr>
        <w:pStyle w:val="NormalWeb"/>
        <w:spacing w:line="276" w:lineRule="auto"/>
        <w:ind w:firstLine="708"/>
        <w:jc w:val="both"/>
        <w:rPr>
          <w:rFonts w:ascii="Verdana" w:eastAsiaTheme="minorHAnsi" w:hAnsi="Verdana" w:cs="Arial"/>
          <w:iCs/>
          <w:color w:val="000000" w:themeColor="text1"/>
          <w:sz w:val="22"/>
          <w:szCs w:val="22"/>
          <w:lang w:eastAsia="en-US"/>
        </w:rPr>
      </w:pPr>
      <w:r w:rsidRPr="00794BB4">
        <w:rPr>
          <w:rFonts w:ascii="Verdana" w:eastAsiaTheme="minorHAnsi" w:hAnsi="Verdana" w:cs="Arial"/>
          <w:iCs/>
          <w:color w:val="000000" w:themeColor="text1"/>
          <w:sz w:val="22"/>
          <w:szCs w:val="22"/>
          <w:lang w:eastAsia="en-US"/>
        </w:rPr>
        <w:t>La línea de lo manifestado en diferentes conceptos por esta Agencia se ha señalado además que el término comienza a contabilizarse desde la ocurrencia del presunto incumplimiento contractual y no desde el momento en que la entidad o el supervisor adquieren conocimiento de este. Corresponde a la entidad determinar, según las características de la obligación, si el incumplimiento es instantáneo o continuado.</w:t>
      </w:r>
    </w:p>
    <w:p w14:paraId="54D3503A" w14:textId="77777777" w:rsidR="00C33C27" w:rsidRDefault="00C33C27" w:rsidP="00C33C27">
      <w:pPr>
        <w:widowControl w:val="0"/>
        <w:autoSpaceDE w:val="0"/>
        <w:autoSpaceDN w:val="0"/>
        <w:spacing w:after="120" w:line="276" w:lineRule="auto"/>
        <w:ind w:firstLine="709"/>
        <w:jc w:val="both"/>
        <w:rPr>
          <w:rFonts w:ascii="Verdana" w:hAnsi="Verdana" w:cs="Arial"/>
        </w:rPr>
      </w:pPr>
      <w:r w:rsidRPr="4A3FD318">
        <w:rPr>
          <w:rFonts w:ascii="Verdana" w:hAnsi="Verdana" w:cs="Arial"/>
          <w:color w:val="000000" w:themeColor="text1"/>
        </w:rPr>
        <w:t xml:space="preserve">Finalmente, </w:t>
      </w:r>
      <w:r w:rsidRPr="4A3FD318">
        <w:rPr>
          <w:rFonts w:ascii="Verdana" w:hAnsi="Verdana" w:cs="Arial"/>
        </w:rPr>
        <w:t xml:space="preserve">debe advertirse que el análisis requerido para “[…] tomar decisiones de fondo […]”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49B99404" w14:textId="77777777" w:rsidR="00C33C27" w:rsidRPr="008A4AEC" w:rsidRDefault="00C33C27" w:rsidP="00C33C27">
      <w:pPr>
        <w:widowControl w:val="0"/>
        <w:autoSpaceDE w:val="0"/>
        <w:autoSpaceDN w:val="0"/>
        <w:spacing w:after="0" w:line="276" w:lineRule="auto"/>
        <w:ind w:firstLine="709"/>
        <w:jc w:val="both"/>
        <w:rPr>
          <w:rFonts w:ascii="Verdana" w:hAnsi="Verdana" w:cs="Arial"/>
        </w:rPr>
      </w:pPr>
      <w:r w:rsidRPr="2993F789">
        <w:rPr>
          <w:rFonts w:ascii="Verdana"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6F703A36" w14:textId="77777777" w:rsidR="00C33C27" w:rsidRPr="00AF7840" w:rsidRDefault="00C33C27" w:rsidP="00C33C27">
      <w:pPr>
        <w:spacing w:after="0" w:line="276" w:lineRule="auto"/>
        <w:ind w:firstLine="709"/>
        <w:jc w:val="both"/>
        <w:rPr>
          <w:rFonts w:ascii="Verdana" w:eastAsia="Calibri" w:hAnsi="Verdana" w:cs="Arial"/>
          <w:sz w:val="21"/>
          <w:szCs w:val="21"/>
        </w:rPr>
      </w:pPr>
    </w:p>
    <w:p w14:paraId="3F7624E0" w14:textId="77777777" w:rsidR="00C33C27" w:rsidRPr="00AF7840" w:rsidRDefault="00C33C27" w:rsidP="00C33C27">
      <w:pPr>
        <w:tabs>
          <w:tab w:val="left" w:pos="142"/>
          <w:tab w:val="left" w:pos="284"/>
        </w:tabs>
        <w:spacing w:after="0" w:line="276" w:lineRule="auto"/>
        <w:jc w:val="both"/>
        <w:rPr>
          <w:rFonts w:ascii="Verdana" w:eastAsia="Century Gothic" w:hAnsi="Verdana" w:cs="Century Gothic"/>
          <w:b/>
          <w:bCs/>
        </w:rPr>
      </w:pPr>
      <w:r w:rsidRPr="00AF7840">
        <w:rPr>
          <w:rFonts w:ascii="Verdana" w:eastAsia="Century Gothic" w:hAnsi="Verdana" w:cs="Century Gothic"/>
          <w:b/>
          <w:bCs/>
        </w:rPr>
        <w:t>4. Referencias normativas, jurisprudenciales y otras fuentes:</w:t>
      </w:r>
    </w:p>
    <w:p w14:paraId="32717793" w14:textId="77777777" w:rsidR="00C33C27" w:rsidRPr="00AF7840" w:rsidRDefault="00C33C27" w:rsidP="00C33C2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33C27" w:rsidRPr="00AF7840" w14:paraId="5108C1F9" w14:textId="77777777" w:rsidTr="00160D90">
        <w:trPr>
          <w:trHeight w:val="870"/>
        </w:trPr>
        <w:tc>
          <w:tcPr>
            <w:tcW w:w="8647" w:type="dxa"/>
          </w:tcPr>
          <w:p w14:paraId="4604FFD8" w14:textId="77777777" w:rsidR="00C33C27" w:rsidRPr="00AF7840"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Ley 80 de 1993, artículo 60.</w:t>
            </w:r>
          </w:p>
          <w:p w14:paraId="48D7D936" w14:textId="77777777" w:rsidR="00C33C27" w:rsidRPr="00655B4F"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 xml:space="preserve">Ley 1150 de 2007, </w:t>
            </w:r>
            <w:r w:rsidRPr="2993F789">
              <w:rPr>
                <w:rFonts w:ascii="Verdana" w:eastAsia="Calibri" w:hAnsi="Verdana" w:cs="Arial"/>
                <w:color w:val="000000" w:themeColor="text1"/>
              </w:rPr>
              <w:t>artículo 2, numeral 4, literal c), artículo 11.</w:t>
            </w:r>
          </w:p>
          <w:p w14:paraId="1BB4BAFF" w14:textId="77777777" w:rsidR="00C33C27" w:rsidRPr="00B96C04"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Pr>
                <w:rFonts w:ascii="Verdana" w:eastAsia="Calibri" w:hAnsi="Verdana" w:cs="Arial"/>
                <w:color w:val="000000" w:themeColor="text1"/>
              </w:rPr>
              <w:t>Ley 1437 de 2011, artículo 52.</w:t>
            </w:r>
          </w:p>
          <w:p w14:paraId="7F767BF6" w14:textId="77777777" w:rsidR="00C33C27" w:rsidRPr="00B96C04"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B96C04">
              <w:rPr>
                <w:rFonts w:ascii="Verdana" w:hAnsi="Verdana" w:cs="Arial"/>
              </w:rPr>
              <w:t>Código Civil, artículos 1596, 1600, 1601, 1608, y 1649.</w:t>
            </w:r>
          </w:p>
          <w:p w14:paraId="7F7E7676" w14:textId="77777777" w:rsidR="00C33C27"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D117CE">
              <w:rPr>
                <w:rFonts w:ascii="Verdana" w:hAnsi="Verdana" w:cs="Arial"/>
              </w:rPr>
              <w:t xml:space="preserve">Consejo de Estado. Sección Tercera-Subsección A. Sentencia del 21 de </w:t>
            </w:r>
            <w:r w:rsidRPr="00D117CE">
              <w:rPr>
                <w:rFonts w:ascii="Verdana" w:hAnsi="Verdana" w:cs="Arial"/>
              </w:rPr>
              <w:lastRenderedPageBreak/>
              <w:t xml:space="preserve">febrero de 2025. M.P. José Roberto Sáchica Méndez. </w:t>
            </w:r>
            <w:proofErr w:type="spellStart"/>
            <w:r w:rsidRPr="00D117CE">
              <w:rPr>
                <w:rFonts w:ascii="Verdana" w:hAnsi="Verdana" w:cs="Arial"/>
              </w:rPr>
              <w:t>Exp</w:t>
            </w:r>
            <w:proofErr w:type="spellEnd"/>
            <w:r w:rsidRPr="00D117CE">
              <w:rPr>
                <w:rFonts w:ascii="Verdana" w:hAnsi="Verdana" w:cs="Arial"/>
              </w:rPr>
              <w:t>. 70099.</w:t>
            </w:r>
          </w:p>
          <w:p w14:paraId="319394DD" w14:textId="77777777" w:rsidR="00C33C27"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D117CE">
              <w:rPr>
                <w:rFonts w:ascii="Verdana" w:hAnsi="Verdana" w:cs="Arial"/>
              </w:rPr>
              <w:t xml:space="preserve">Consejo de Estado. Sección Tercera.  Sentencia del 13 de noviembre de 2008. C.P. Enrique Gil Botero. </w:t>
            </w:r>
            <w:proofErr w:type="spellStart"/>
            <w:r w:rsidRPr="00D117CE">
              <w:rPr>
                <w:rFonts w:ascii="Verdana" w:hAnsi="Verdana" w:cs="Arial"/>
              </w:rPr>
              <w:t>Exp</w:t>
            </w:r>
            <w:proofErr w:type="spellEnd"/>
            <w:r w:rsidRPr="00D117CE">
              <w:rPr>
                <w:rFonts w:ascii="Verdana" w:hAnsi="Verdana" w:cs="Arial"/>
              </w:rPr>
              <w:t>. 17.009</w:t>
            </w:r>
            <w:r>
              <w:rPr>
                <w:rFonts w:ascii="Verdana" w:hAnsi="Verdana" w:cs="Arial"/>
              </w:rPr>
              <w:t>.</w:t>
            </w:r>
          </w:p>
          <w:p w14:paraId="05C2AFD7" w14:textId="77777777" w:rsidR="00C33C27"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D117CE">
              <w:rPr>
                <w:rFonts w:ascii="Verdana" w:hAnsi="Verdana" w:cs="Arial"/>
              </w:rPr>
              <w:t xml:space="preserve">Consejo de Estado. Sección Tercera. Subsección B. Sentencia del 30 de noviembre de 2016. Rad. 29.368. C.P. Ramiro Pazos Guerrero; Subsección B. </w:t>
            </w:r>
          </w:p>
          <w:p w14:paraId="18E07E82" w14:textId="77777777" w:rsidR="00C33C27"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D117CE">
              <w:rPr>
                <w:rFonts w:ascii="Verdana" w:hAnsi="Verdana" w:cs="Arial"/>
              </w:rPr>
              <w:t xml:space="preserve">Sentencia del 5 de diciembre de 2016. </w:t>
            </w:r>
            <w:proofErr w:type="spellStart"/>
            <w:r w:rsidRPr="00D117CE">
              <w:rPr>
                <w:rFonts w:ascii="Verdana" w:hAnsi="Verdana" w:cs="Arial"/>
              </w:rPr>
              <w:t>Exp</w:t>
            </w:r>
            <w:proofErr w:type="spellEnd"/>
            <w:r w:rsidRPr="00D117CE">
              <w:rPr>
                <w:rFonts w:ascii="Verdana" w:hAnsi="Verdana" w:cs="Arial"/>
              </w:rPr>
              <w:t xml:space="preserve">. 35.057. C.P. Ramiro Pazos Guerrero; Subsección A. </w:t>
            </w:r>
          </w:p>
          <w:p w14:paraId="77620BED" w14:textId="77777777" w:rsidR="00C33C27"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D117CE">
              <w:rPr>
                <w:rFonts w:ascii="Verdana" w:hAnsi="Verdana" w:cs="Arial"/>
              </w:rPr>
              <w:t xml:space="preserve">Sentencia del 27 de noviembre de 2013. </w:t>
            </w:r>
            <w:proofErr w:type="spellStart"/>
            <w:r w:rsidRPr="00D117CE">
              <w:rPr>
                <w:rFonts w:ascii="Verdana" w:hAnsi="Verdana" w:cs="Arial"/>
              </w:rPr>
              <w:t>Exp</w:t>
            </w:r>
            <w:proofErr w:type="spellEnd"/>
            <w:r w:rsidRPr="00D117CE">
              <w:rPr>
                <w:rFonts w:ascii="Verdana" w:hAnsi="Verdana" w:cs="Arial"/>
              </w:rPr>
              <w:t xml:space="preserve">. 25.742. C.P. Mauricio Fajardo Gómez; Subsección C. </w:t>
            </w:r>
          </w:p>
          <w:p w14:paraId="077086FA" w14:textId="77777777" w:rsidR="00C33C27"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D117CE">
              <w:rPr>
                <w:rFonts w:ascii="Verdana" w:hAnsi="Verdana" w:cs="Arial"/>
              </w:rPr>
              <w:t xml:space="preserve">Sentencia del 7 de junio de 2012. </w:t>
            </w:r>
            <w:proofErr w:type="spellStart"/>
            <w:r w:rsidRPr="00D117CE">
              <w:rPr>
                <w:rFonts w:ascii="Verdana" w:hAnsi="Verdana" w:cs="Arial"/>
              </w:rPr>
              <w:t>Exp</w:t>
            </w:r>
            <w:proofErr w:type="spellEnd"/>
            <w:r w:rsidRPr="00D117CE">
              <w:rPr>
                <w:rFonts w:ascii="Verdana" w:hAnsi="Verdana" w:cs="Arial"/>
              </w:rPr>
              <w:t xml:space="preserve">. 22.899. C.P. Olga Melida Valle de </w:t>
            </w:r>
            <w:proofErr w:type="spellStart"/>
            <w:r w:rsidRPr="00D117CE">
              <w:rPr>
                <w:rFonts w:ascii="Verdana" w:hAnsi="Verdana" w:cs="Arial"/>
              </w:rPr>
              <w:t>De</w:t>
            </w:r>
            <w:proofErr w:type="spellEnd"/>
            <w:r w:rsidRPr="00D117CE">
              <w:rPr>
                <w:rFonts w:ascii="Verdana" w:hAnsi="Verdana" w:cs="Arial"/>
              </w:rPr>
              <w:t xml:space="preserve"> La Hoz</w:t>
            </w:r>
            <w:r>
              <w:rPr>
                <w:rFonts w:ascii="Verdana" w:hAnsi="Verdana" w:cs="Arial"/>
              </w:rPr>
              <w:t>.</w:t>
            </w:r>
          </w:p>
          <w:p w14:paraId="02F6CC50" w14:textId="77777777" w:rsidR="00C33C27" w:rsidRPr="008C0173" w:rsidRDefault="00C33C27" w:rsidP="00C33C27">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00400533">
              <w:rPr>
                <w:rFonts w:ascii="Verdana" w:hAnsi="Verdana" w:cs="Arial"/>
              </w:rPr>
              <w:t>Sección Tercera, Sentencia del 12 de julio de 2012, expediente 15.024 y ponencia de Danilo Rojas Betancourth.</w:t>
            </w:r>
          </w:p>
        </w:tc>
      </w:tr>
    </w:tbl>
    <w:p w14:paraId="58064E0A" w14:textId="77777777" w:rsidR="00C33C27" w:rsidRPr="00AF7840" w:rsidRDefault="00C33C27" w:rsidP="00C33C2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4ECCBA6" w14:textId="77777777" w:rsidR="00C33C27" w:rsidRPr="00AF7840" w:rsidRDefault="00C33C27" w:rsidP="00C33C2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AF7840">
        <w:rPr>
          <w:rFonts w:ascii="Verdana" w:eastAsia="Century Gothic" w:hAnsi="Verdana" w:cs="Century Gothic"/>
          <w:b/>
          <w:bCs/>
        </w:rPr>
        <w:t>5. Doctrina de la Agencia Nacional de Contratación Pública:</w:t>
      </w:r>
    </w:p>
    <w:p w14:paraId="0B4D5602" w14:textId="77777777" w:rsidR="00C33C27" w:rsidRPr="00AF7840" w:rsidRDefault="00C33C27" w:rsidP="00C33C27">
      <w:pPr>
        <w:spacing w:after="0" w:line="276" w:lineRule="auto"/>
        <w:ind w:firstLine="709"/>
        <w:jc w:val="both"/>
        <w:rPr>
          <w:rFonts w:ascii="Verdana" w:eastAsia="Times New Roman" w:hAnsi="Verdana" w:cs="Arial"/>
          <w:szCs w:val="24"/>
          <w:lang w:eastAsia="es-ES_tradnl"/>
        </w:rPr>
      </w:pPr>
    </w:p>
    <w:p w14:paraId="30E92EC5" w14:textId="77777777" w:rsidR="00C33C27" w:rsidRDefault="00C33C27" w:rsidP="00C33C2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A74E3">
        <w:rPr>
          <w:rFonts w:ascii="Verdana" w:hAnsi="Verdana" w:cs="Arial"/>
          <w:shd w:val="clear" w:color="auto" w:fill="FFFFFF"/>
        </w:rPr>
        <w:t>La Agencia Nacional de Contratación Pública – Colombia Compra Eficiente se ha pronunciado sobre la imposición unilateral de multas y de la cláusula penal pecuniaria y sobre el procedimiento administrativo sancionatorio del artículo 86 de la Ley 1474 de 2011 en los Conceptos</w:t>
      </w:r>
      <w:r>
        <w:rPr>
          <w:rFonts w:ascii="Verdana" w:hAnsi="Verdana" w:cs="Arial"/>
          <w:shd w:val="clear" w:color="auto" w:fill="FFFFFF"/>
        </w:rPr>
        <w:t xml:space="preserve"> </w:t>
      </w:r>
      <w:r w:rsidRPr="00A67ED9">
        <w:rPr>
          <w:rFonts w:ascii="Verdana" w:hAnsi="Verdana" w:cs="Arial"/>
          <w:shd w:val="clear" w:color="auto" w:fill="FFFFFF"/>
        </w:rPr>
        <w:t>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C-866 del 20 de diciembre de 2022, C-034 de 09 de marzo de 2023, C-140 del 13 de junio de 2023, C-227 del 07 de julio del 2023, C-047 del 25 de abril de 2024, C-361 del 2 de septiembre de 2024, C-886 del 9 de diciembre de 2024 y C-1016 del 31 de diciembre de 2024</w:t>
      </w:r>
      <w:r>
        <w:rPr>
          <w:rFonts w:ascii="Verdana" w:hAnsi="Verdana" w:cs="Arial"/>
          <w:shd w:val="clear" w:color="auto" w:fill="FFFFFF"/>
        </w:rPr>
        <w:t xml:space="preserve">. </w:t>
      </w:r>
      <w:r w:rsidRPr="00EA761C">
        <w:rPr>
          <w:rStyle w:val="normaltextrun"/>
          <w:rFonts w:ascii="Verdana" w:hAnsi="Verdana" w:cs="Arial"/>
          <w:shd w:val="clear" w:color="auto" w:fill="FFFFFF"/>
          <w:lang w:val="es-ES"/>
        </w:rPr>
        <w:t>Es</w:t>
      </w:r>
      <w:r w:rsidRPr="00EA761C">
        <w:rPr>
          <w:rFonts w:ascii="Verdana" w:hAnsi="Verdana"/>
        </w:rPr>
        <w:t>t</w:t>
      </w:r>
      <w:r>
        <w:rPr>
          <w:rFonts w:ascii="Verdana" w:hAnsi="Verdana"/>
        </w:rPr>
        <w:t>e y otros conceptos de la Subdirección</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1"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7CB3FD33" w14:textId="77777777" w:rsidR="00C33C27" w:rsidRPr="00AF7840" w:rsidRDefault="00C33C27" w:rsidP="00C33C27">
      <w:pPr>
        <w:widowControl w:val="0"/>
        <w:autoSpaceDE w:val="0"/>
        <w:autoSpaceDN w:val="0"/>
        <w:spacing w:after="0" w:line="276" w:lineRule="auto"/>
        <w:jc w:val="both"/>
        <w:rPr>
          <w:rStyle w:val="normaltextrun"/>
          <w:rFonts w:ascii="Verdana" w:hAnsi="Verdana"/>
          <w:color w:val="000000"/>
        </w:rPr>
      </w:pPr>
    </w:p>
    <w:bookmarkEnd w:id="0"/>
    <w:p w14:paraId="2005923A" w14:textId="77777777" w:rsidR="00C33C27" w:rsidRPr="00BE121F" w:rsidRDefault="00C33C27" w:rsidP="00C33C27">
      <w:pPr>
        <w:widowControl w:val="0"/>
        <w:autoSpaceDE w:val="0"/>
        <w:autoSpaceDN w:val="0"/>
        <w:spacing w:after="120" w:line="276" w:lineRule="auto"/>
        <w:jc w:val="both"/>
        <w:rPr>
          <w:rFonts w:ascii="Verdana" w:hAnsi="Verdana"/>
        </w:rPr>
      </w:pPr>
      <w:r w:rsidRPr="00BE121F">
        <w:rPr>
          <w:rFonts w:ascii="Verdana" w:hAnsi="Verdana"/>
        </w:rPr>
        <w:t xml:space="preserve">Las garantías no son un requisito formal: son el instrumento con el que se protege el patrimonio público frente a los riesgos del contrato. Por ello, la </w:t>
      </w:r>
      <w:r w:rsidRPr="00BE121F">
        <w:rPr>
          <w:rFonts w:ascii="Verdana" w:hAnsi="Verdana"/>
        </w:rPr>
        <w:lastRenderedPageBreak/>
        <w:t>Agencia Nacional de Contratación Pública –Colombia Compra Eficiente– te invita a consultar la nueva versión de la </w:t>
      </w:r>
      <w:r w:rsidRPr="00BE121F">
        <w:rPr>
          <w:rFonts w:ascii="Verdana" w:hAnsi="Verdana"/>
          <w:b/>
          <w:bCs/>
        </w:rPr>
        <w:t>Guía para la Exigencia y Constitución de Garantías en los Procesos de Contratación</w:t>
      </w:r>
      <w:r w:rsidRPr="00BE121F">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ooltip="Dirección URL original: https://www.colombiacompra.gov.co/archivos/manual/guia-de-garantias-en-procesos-de-contratacion. Haga clic o pulse si confía en este vínculo." w:history="1">
        <w:r w:rsidRPr="00BE121F">
          <w:rPr>
            <w:rStyle w:val="Hipervnculo"/>
            <w:rFonts w:ascii="Verdana" w:hAnsi="Verdana"/>
          </w:rPr>
          <w:t>https://www.colombiacompra.gov.co/archivos/manual/guia-de-garantias-en-procesos-de-contratacion</w:t>
        </w:r>
      </w:hyperlink>
    </w:p>
    <w:p w14:paraId="10C788ED" w14:textId="77777777" w:rsidR="00C33C27" w:rsidRPr="00BE121F" w:rsidRDefault="00C33C27" w:rsidP="00C33C27">
      <w:pPr>
        <w:widowControl w:val="0"/>
        <w:autoSpaceDE w:val="0"/>
        <w:autoSpaceDN w:val="0"/>
        <w:spacing w:after="120" w:line="276" w:lineRule="auto"/>
        <w:jc w:val="both"/>
        <w:rPr>
          <w:rFonts w:ascii="Verdana" w:hAnsi="Verdana"/>
        </w:rPr>
      </w:pPr>
      <w:r w:rsidRPr="00BE121F">
        <w:rPr>
          <w:rFonts w:ascii="Verdana" w:hAnsi="Verdana"/>
        </w:rPr>
        <w:t>De otro lado, te contamos que el Decreto 287 del 19 de marzo de 2026 sustituyó los artículos 2.2.1.2.4.2.6., 2.2.1.2.4.2.7. y 2.2.1.2.4.2.8. del Decreto 1082 de 2015 y estructuró el </w:t>
      </w:r>
      <w:r w:rsidRPr="00BE121F">
        <w:rPr>
          <w:rFonts w:ascii="Verdana" w:hAnsi="Verdana"/>
          <w:b/>
          <w:bCs/>
        </w:rPr>
        <w:t>Sistema Integral de Preferencias en favor de las personas con discapacidad</w:t>
      </w:r>
      <w:r w:rsidRPr="00BE121F">
        <w:rPr>
          <w:rFonts w:ascii="Verdana" w:hAnsi="Verdana"/>
        </w:rPr>
        <w:t>, en cumplimiento del artículo 13 de la Ley Estatutaria 1618 de 2013. Para orientar su aplicación, esta Agencia expidió la </w:t>
      </w:r>
      <w:r w:rsidRPr="00BE121F">
        <w:rPr>
          <w:rFonts w:ascii="Verdana" w:hAnsi="Verdana"/>
          <w:b/>
          <w:bCs/>
        </w:rPr>
        <w:t>Circular Externa 003 del 12 de mayo de 2026, </w:t>
      </w:r>
      <w:r w:rsidRPr="00BE121F">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3" w:tooltip="Dirección URL original: https://www.colombiacompra.gov.co/archivos/circular/circular-externa-003-de-2026. Haga clic o pulse si confía en este vínculo." w:history="1">
        <w:r w:rsidRPr="00BE121F">
          <w:rPr>
            <w:rStyle w:val="Hipervnculo"/>
            <w:rFonts w:ascii="Verdana" w:hAnsi="Verdana"/>
          </w:rPr>
          <w:t>https://www.colombiacompra.gov.co/archivos/circular/circular-externa-003-de-2026</w:t>
        </w:r>
      </w:hyperlink>
    </w:p>
    <w:p w14:paraId="51DC9502" w14:textId="77777777" w:rsidR="00C33C27" w:rsidRPr="00BE121F" w:rsidRDefault="00C33C27" w:rsidP="00C33C27">
      <w:pPr>
        <w:widowControl w:val="0"/>
        <w:autoSpaceDE w:val="0"/>
        <w:autoSpaceDN w:val="0"/>
        <w:spacing w:after="120" w:line="276" w:lineRule="auto"/>
        <w:jc w:val="both"/>
        <w:rPr>
          <w:rFonts w:ascii="Verdana" w:hAnsi="Verdana"/>
        </w:rPr>
      </w:pPr>
      <w:r w:rsidRPr="00BE121F">
        <w:rPr>
          <w:rFonts w:ascii="Verdana" w:hAnsi="Verdana"/>
        </w:rPr>
        <w:t>Recuerda también que la</w:t>
      </w:r>
      <w:r w:rsidRPr="00BE121F">
        <w:rPr>
          <w:rFonts w:ascii="Verdana" w:hAnsi="Verdana"/>
          <w:b/>
          <w:bCs/>
        </w:rPr>
        <w:t> información sobre sanciones e inhabilidades </w:t>
      </w:r>
      <w:r w:rsidRPr="00BE121F">
        <w:rPr>
          <w:rFonts w:ascii="Verdana" w:hAnsi="Verdana"/>
        </w:rPr>
        <w:t>solo cumple su función preventiva si llega oportunamente a los registros públicos. Sobre este deber, esta Agencia expidió la </w:t>
      </w:r>
      <w:r w:rsidRPr="00BE121F">
        <w:rPr>
          <w:rFonts w:ascii="Verdana" w:hAnsi="Verdana"/>
          <w:b/>
          <w:bCs/>
        </w:rPr>
        <w:t>Circular Externa 002 del 5 de mayo de 2026,</w:t>
      </w:r>
      <w:r w:rsidRPr="00BE121F">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ooltip="Dirección URL original: https://www.colombiacompra.gov.co/archivos/circular/circular-externa-002-de-2026. Haga clic o pulse si confía en este vínculo." w:history="1">
        <w:r w:rsidRPr="00BE121F">
          <w:rPr>
            <w:rStyle w:val="Hipervnculo"/>
            <w:rFonts w:ascii="Verdana" w:hAnsi="Verdana"/>
          </w:rPr>
          <w:t>https://www.colombiacompra.gov.co/archivos/circular/circular-externa-002-de-2026</w:t>
        </w:r>
      </w:hyperlink>
    </w:p>
    <w:p w14:paraId="164D4E50" w14:textId="77777777" w:rsidR="00C33C27" w:rsidRPr="00BE121F" w:rsidRDefault="00C33C27" w:rsidP="00C33C27">
      <w:pPr>
        <w:widowControl w:val="0"/>
        <w:autoSpaceDE w:val="0"/>
        <w:autoSpaceDN w:val="0"/>
        <w:spacing w:after="120" w:line="276" w:lineRule="auto"/>
        <w:jc w:val="both"/>
        <w:rPr>
          <w:rFonts w:ascii="Verdana" w:hAnsi="Verdana"/>
        </w:rPr>
      </w:pPr>
      <w:r w:rsidRPr="00BE121F">
        <w:rPr>
          <w:rFonts w:ascii="Verdana" w:hAnsi="Verdana"/>
        </w:rPr>
        <w:t>Finalmente, si quieres seguir de cerca la actividad de la Agencia, la tercera edición de 2026 del</w:t>
      </w:r>
      <w:r w:rsidRPr="00BE121F">
        <w:rPr>
          <w:rFonts w:ascii="Verdana" w:hAnsi="Verdana"/>
          <w:b/>
          <w:bCs/>
        </w:rPr>
        <w:t> Radar de la Compra Pública</w:t>
      </w:r>
      <w:r w:rsidRPr="00BE121F">
        <w:rPr>
          <w:rFonts w:ascii="Verdana" w:hAnsi="Verdana"/>
        </w:rPr>
        <w:t xml:space="preserve"> reúne, entre otros contenidos, la Circular Externa 003 de 2026, el Decreto 552 de 2026, un estudio sobre inteligencia artificial en la compra pública, los avances de la Relatoría, </w:t>
      </w:r>
      <w:r w:rsidRPr="00BE121F">
        <w:rPr>
          <w:rFonts w:ascii="Verdana" w:hAnsi="Verdana"/>
        </w:rPr>
        <w:lastRenderedPageBreak/>
        <w:t>análisis jurisprudencial, conceptos jurídicos destacados y la oferta de la Escuela Virtual ANCP-CCE. Descárgalo aquí: </w:t>
      </w:r>
      <w:hyperlink r:id="rId15" w:tooltip="Dirección URL original: https://www.colombiacompra.gov.co/archivos/boletin/boletin-edicion-n-3-de-2026-radar-de-la-compra-publica. Haga clic o pulse si confía en este vínculo." w:history="1">
        <w:r w:rsidRPr="00BE121F">
          <w:rPr>
            <w:rStyle w:val="Hipervnculo"/>
            <w:rFonts w:ascii="Verdana" w:hAnsi="Verdana"/>
          </w:rPr>
          <w:t>https://www.colombiacompra.gov.co/archivos/boletin/boletin-edicion-n-3-de-2026-radar-de-la-compra-publica</w:t>
        </w:r>
      </w:hyperlink>
    </w:p>
    <w:p w14:paraId="2EC20BB6" w14:textId="77777777" w:rsidR="00C33C27" w:rsidRPr="00116940" w:rsidRDefault="00C33C27" w:rsidP="00C33C27">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54804E1" w14:textId="77777777" w:rsidR="00C33C27" w:rsidRPr="00116940" w:rsidRDefault="00C33C27" w:rsidP="00C33C27">
      <w:pPr>
        <w:spacing w:after="0"/>
        <w:jc w:val="both"/>
        <w:rPr>
          <w:rFonts w:ascii="Verdana" w:hAnsi="Verdana"/>
        </w:rPr>
      </w:pPr>
    </w:p>
    <w:p w14:paraId="16F01BAF" w14:textId="77777777" w:rsidR="00C33C27" w:rsidRPr="00116940" w:rsidRDefault="00C33C27" w:rsidP="00C33C27">
      <w:pPr>
        <w:pStyle w:val="Prrafodelista"/>
        <w:numPr>
          <w:ilvl w:val="0"/>
          <w:numId w:val="1"/>
        </w:numPr>
        <w:spacing w:after="0" w:line="240" w:lineRule="auto"/>
        <w:jc w:val="both"/>
        <w:rPr>
          <w:rFonts w:ascii="Verdana" w:eastAsia="Verdana" w:hAnsi="Verdana" w:cs="Verdana"/>
          <w:color w:val="156082"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462CA4A" w14:textId="77777777" w:rsidR="00C33C27" w:rsidRPr="00116940" w:rsidRDefault="00C33C27" w:rsidP="00C33C27">
      <w:pPr>
        <w:pStyle w:val="Prrafodelista"/>
        <w:numPr>
          <w:ilvl w:val="0"/>
          <w:numId w:val="1"/>
        </w:numPr>
        <w:spacing w:after="0"/>
        <w:rPr>
          <w:rFonts w:ascii="Verdana" w:eastAsia="Verdana" w:hAnsi="Verdana" w:cs="Verdana"/>
          <w:color w:val="156082"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2CF737D3" w14:textId="77777777" w:rsidR="00C33C27" w:rsidRPr="00116940" w:rsidRDefault="00C33C27" w:rsidP="00C33C27">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2325634F" w14:textId="77777777" w:rsidR="00C33C27" w:rsidRPr="00116940" w:rsidRDefault="00C33C27" w:rsidP="00C33C27">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6C5F9661" w14:textId="77777777" w:rsidR="00C33C27" w:rsidRPr="00116940" w:rsidRDefault="00C33C27" w:rsidP="00C33C27">
      <w:pPr>
        <w:spacing w:after="0" w:line="240" w:lineRule="auto"/>
        <w:ind w:left="720"/>
        <w:jc w:val="both"/>
        <w:rPr>
          <w:rFonts w:ascii="Verdana" w:hAnsi="Verdana"/>
        </w:rPr>
      </w:pPr>
    </w:p>
    <w:p w14:paraId="2A18E86C" w14:textId="77777777" w:rsidR="00C33C27" w:rsidRPr="00116940" w:rsidRDefault="00C33C27" w:rsidP="00C33C27">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8994157" w14:textId="77777777" w:rsidR="00C33C27" w:rsidRPr="00116940" w:rsidRDefault="00C33C27" w:rsidP="00C33C27">
      <w:pPr>
        <w:spacing w:after="0" w:line="240" w:lineRule="auto"/>
        <w:rPr>
          <w:rFonts w:ascii="Verdana" w:hAnsi="Verdana"/>
        </w:rPr>
      </w:pPr>
    </w:p>
    <w:p w14:paraId="4A6C72BB" w14:textId="77777777" w:rsidR="00C33C27" w:rsidRPr="00116940" w:rsidRDefault="00C33C27" w:rsidP="00C33C27">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D7A5EC1" w14:textId="77777777" w:rsidR="00C33C27" w:rsidRPr="00116940" w:rsidRDefault="00C33C27" w:rsidP="00C33C27">
      <w:pPr>
        <w:spacing w:after="0" w:line="240" w:lineRule="auto"/>
        <w:jc w:val="both"/>
        <w:rPr>
          <w:rFonts w:ascii="Verdana" w:hAnsi="Verdana"/>
        </w:rPr>
      </w:pPr>
    </w:p>
    <w:p w14:paraId="1A91DE65" w14:textId="77777777" w:rsidR="00C33C27" w:rsidRPr="00116940" w:rsidRDefault="00C33C27" w:rsidP="00C33C2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90D78B8" w14:textId="77777777" w:rsidR="00C33C27" w:rsidRPr="00116940" w:rsidRDefault="00C33C27" w:rsidP="00C33C27">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4DD153E" w14:textId="77777777" w:rsidR="00C33C27" w:rsidRPr="00116940" w:rsidRDefault="00C33C27" w:rsidP="00C33C2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084C2AA" w14:textId="77777777" w:rsidR="00C33C27" w:rsidRPr="009C4035" w:rsidRDefault="00C33C27" w:rsidP="00C33C27">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302CD71D" w14:textId="77777777" w:rsidR="00C33C27" w:rsidRPr="00593A5F" w:rsidRDefault="00C33C27" w:rsidP="00C33C2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34547FB" w14:textId="77777777" w:rsidR="00C33C27" w:rsidRPr="00B57A1B" w:rsidRDefault="00C33C27" w:rsidP="00C33C27">
      <w:pPr>
        <w:spacing w:after="0" w:line="256" w:lineRule="auto"/>
        <w:jc w:val="both"/>
        <w:rPr>
          <w:rFonts w:ascii="Verdana" w:eastAsia="Calibri" w:hAnsi="Verdana" w:cs="Times New Roman"/>
        </w:rPr>
      </w:pPr>
    </w:p>
    <w:p w14:paraId="53E736DB" w14:textId="77777777" w:rsidR="00C33C27" w:rsidRDefault="00C33C27" w:rsidP="00C33C27">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6830651E" w14:textId="77777777" w:rsidR="00C33C27" w:rsidRDefault="00C33C27" w:rsidP="00C33C27">
      <w:pPr>
        <w:spacing w:after="0"/>
        <w:rPr>
          <w:rFonts w:ascii="Verdana" w:hAnsi="Verdana"/>
        </w:rPr>
      </w:pPr>
    </w:p>
    <w:p w14:paraId="04EDDA5E" w14:textId="2B01FF08" w:rsidR="00D42361" w:rsidRPr="00D42361" w:rsidRDefault="00D42361" w:rsidP="00D42361">
      <w:pPr>
        <w:spacing w:after="0"/>
        <w:jc w:val="center"/>
        <w:rPr>
          <w:rFonts w:ascii="Verdana" w:hAnsi="Verdana"/>
        </w:rPr>
      </w:pPr>
      <w:r w:rsidRPr="00D42361">
        <w:rPr>
          <w:rFonts w:ascii="Verdana" w:hAnsi="Verdana"/>
        </w:rPr>
        <w:lastRenderedPageBreak/>
        <w:drawing>
          <wp:inline distT="0" distB="0" distL="0" distR="0" wp14:anchorId="6154953B" wp14:editId="268F9753">
            <wp:extent cx="2762250" cy="1025381"/>
            <wp:effectExtent l="0" t="0" r="0" b="3810"/>
            <wp:docPr id="3469731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75623" cy="1030345"/>
                    </a:xfrm>
                    <a:prstGeom prst="rect">
                      <a:avLst/>
                    </a:prstGeom>
                    <a:noFill/>
                    <a:ln>
                      <a:noFill/>
                    </a:ln>
                  </pic:spPr>
                </pic:pic>
              </a:graphicData>
            </a:graphic>
          </wp:inline>
        </w:drawing>
      </w:r>
    </w:p>
    <w:p w14:paraId="23A42FE1" w14:textId="77777777" w:rsidR="00C33C27" w:rsidRDefault="00C33C27" w:rsidP="00C33C27">
      <w:pPr>
        <w:spacing w:after="0"/>
        <w:rPr>
          <w:rFonts w:ascii="Verdana" w:hAnsi="Verdana"/>
        </w:rPr>
      </w:pPr>
    </w:p>
    <w:p w14:paraId="23D4459E" w14:textId="77777777" w:rsidR="00C33C27" w:rsidRDefault="00C33C27" w:rsidP="00C33C27">
      <w:pPr>
        <w:spacing w:after="0"/>
        <w:rPr>
          <w:rFonts w:ascii="Verdana" w:hAnsi="Verdana"/>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33C27" w:rsidRPr="00206556" w14:paraId="58CD3ABA" w14:textId="77777777" w:rsidTr="00160D90">
        <w:trPr>
          <w:trHeight w:val="322"/>
        </w:trPr>
        <w:tc>
          <w:tcPr>
            <w:tcW w:w="733" w:type="dxa"/>
            <w:tcBorders>
              <w:top w:val="nil"/>
              <w:left w:val="nil"/>
              <w:bottom w:val="nil"/>
              <w:right w:val="nil"/>
            </w:tcBorders>
            <w:vAlign w:val="center"/>
            <w:hideMark/>
          </w:tcPr>
          <w:p w14:paraId="217F8BA7" w14:textId="77777777" w:rsidR="00C33C27" w:rsidRPr="00206556" w:rsidRDefault="00C33C27" w:rsidP="00160D90">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51D438F" w14:textId="77777777" w:rsidR="00C33C27" w:rsidRPr="00206556" w:rsidRDefault="00C33C27" w:rsidP="00160D90">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3EB5A023" w14:textId="77777777" w:rsidR="00C33C27" w:rsidRPr="00A5703A" w:rsidRDefault="00C33C27" w:rsidP="00160D90">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C33C27" w:rsidRPr="00206556" w14:paraId="1A990255" w14:textId="77777777" w:rsidTr="00160D90">
        <w:trPr>
          <w:trHeight w:val="322"/>
        </w:trPr>
        <w:tc>
          <w:tcPr>
            <w:tcW w:w="733" w:type="dxa"/>
            <w:tcBorders>
              <w:top w:val="nil"/>
              <w:left w:val="nil"/>
              <w:bottom w:val="nil"/>
              <w:right w:val="nil"/>
            </w:tcBorders>
            <w:vAlign w:val="center"/>
            <w:hideMark/>
          </w:tcPr>
          <w:p w14:paraId="5452CD82" w14:textId="77777777" w:rsidR="00C33C27" w:rsidRPr="00206556" w:rsidRDefault="00C33C27" w:rsidP="00160D90">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A2C933" w14:textId="77777777" w:rsidR="00C33C27" w:rsidRPr="00206556" w:rsidRDefault="00C33C27" w:rsidP="00160D90">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Katherine López Rodriguez</w:t>
            </w:r>
          </w:p>
          <w:p w14:paraId="0B0D5C42" w14:textId="77777777" w:rsidR="00C33C27" w:rsidRPr="00A5703A" w:rsidRDefault="00C33C27" w:rsidP="00160D90">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C33C27" w:rsidRPr="00206556" w14:paraId="0CBCED9C" w14:textId="77777777" w:rsidTr="00160D90">
        <w:trPr>
          <w:trHeight w:val="307"/>
        </w:trPr>
        <w:tc>
          <w:tcPr>
            <w:tcW w:w="733" w:type="dxa"/>
            <w:tcBorders>
              <w:top w:val="nil"/>
              <w:left w:val="nil"/>
              <w:bottom w:val="nil"/>
              <w:right w:val="nil"/>
            </w:tcBorders>
            <w:vAlign w:val="center"/>
            <w:hideMark/>
          </w:tcPr>
          <w:p w14:paraId="7AFB2CC0" w14:textId="77777777" w:rsidR="00C33C27" w:rsidRPr="00206556" w:rsidRDefault="00C33C27" w:rsidP="00160D90">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0F0B298" w14:textId="77777777" w:rsidR="00C33C27" w:rsidRPr="00206556" w:rsidRDefault="00C33C27" w:rsidP="00160D90">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7D0039F9" w14:textId="77777777" w:rsidR="00C33C27" w:rsidRPr="00206556" w:rsidRDefault="00C33C27" w:rsidP="00160D90">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tbl>
    <w:p w14:paraId="46F43FBB" w14:textId="77777777" w:rsidR="00C33C27" w:rsidRDefault="00C33C27" w:rsidP="00C33C27"/>
    <w:p w14:paraId="233DBC68" w14:textId="77777777" w:rsidR="00C33C27" w:rsidRDefault="00C33C27" w:rsidP="00C33C27"/>
    <w:p w14:paraId="1271A299" w14:textId="16080CD9" w:rsidR="00C33C27" w:rsidRPr="00116B0E" w:rsidRDefault="00C33C27" w:rsidP="00C33C27"/>
    <w:p w14:paraId="2C777FA1" w14:textId="77777777" w:rsidR="00C33C27" w:rsidRDefault="00C33C27" w:rsidP="00C33C27"/>
    <w:p w14:paraId="7F68183B" w14:textId="77777777" w:rsidR="00C33C27" w:rsidRDefault="00C33C27" w:rsidP="00C33C27">
      <w:pPr>
        <w:widowControl w:val="0"/>
        <w:autoSpaceDE w:val="0"/>
        <w:autoSpaceDN w:val="0"/>
        <w:spacing w:after="0" w:line="276" w:lineRule="auto"/>
        <w:jc w:val="both"/>
      </w:pPr>
    </w:p>
    <w:p w14:paraId="577679FB" w14:textId="77777777" w:rsidR="00C33C27" w:rsidRPr="00E2651B" w:rsidRDefault="00C33C27" w:rsidP="00C33C27"/>
    <w:p w14:paraId="7F4CD1A7" w14:textId="77777777" w:rsidR="00C33C27" w:rsidRDefault="00C33C27"/>
    <w:sectPr w:rsidR="00C33C27" w:rsidSect="00C33C27">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DEAF8" w14:textId="77777777" w:rsidR="00F36307" w:rsidRDefault="00F36307" w:rsidP="00C33C27">
      <w:pPr>
        <w:spacing w:after="0" w:line="240" w:lineRule="auto"/>
      </w:pPr>
      <w:r>
        <w:separator/>
      </w:r>
    </w:p>
  </w:endnote>
  <w:endnote w:type="continuationSeparator" w:id="0">
    <w:p w14:paraId="12718B5A" w14:textId="77777777" w:rsidR="00F36307" w:rsidRDefault="00F36307" w:rsidP="00C3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Batang">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B92F" w14:textId="77777777" w:rsidR="00C33C27" w:rsidRDefault="00C33C27">
    <w:pPr>
      <w:pStyle w:val="Piedepgina"/>
    </w:pPr>
  </w:p>
  <w:p w14:paraId="7B561D0F" w14:textId="77777777" w:rsidR="00C33C27" w:rsidRPr="00174B77" w:rsidRDefault="00C33C27"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1A5B240" w14:textId="77777777" w:rsidR="00C33C27" w:rsidRDefault="00C33C27"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CB40702" w14:textId="77777777" w:rsidR="00C33C27" w:rsidRPr="00E41027" w:rsidRDefault="00C33C27"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617DB5AF" w14:textId="77777777" w:rsidR="00C33C27" w:rsidRDefault="00C33C27"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9DC5A" w14:textId="77777777" w:rsidR="00F36307" w:rsidRDefault="00F36307" w:rsidP="00C33C27">
      <w:pPr>
        <w:spacing w:after="0" w:line="240" w:lineRule="auto"/>
      </w:pPr>
      <w:r>
        <w:separator/>
      </w:r>
    </w:p>
  </w:footnote>
  <w:footnote w:type="continuationSeparator" w:id="0">
    <w:p w14:paraId="01EF6B3E" w14:textId="77777777" w:rsidR="00F36307" w:rsidRDefault="00F36307" w:rsidP="00C33C27">
      <w:pPr>
        <w:spacing w:after="0" w:line="240" w:lineRule="auto"/>
      </w:pPr>
      <w:r>
        <w:continuationSeparator/>
      </w:r>
    </w:p>
  </w:footnote>
  <w:footnote w:id="1">
    <w:p w14:paraId="19C19D78" w14:textId="77777777" w:rsidR="00C33C27" w:rsidRPr="007D1B9D" w:rsidRDefault="00C33C27" w:rsidP="00C33C27">
      <w:pPr>
        <w:pStyle w:val="Textonotapie"/>
        <w:jc w:val="both"/>
        <w:rPr>
          <w:rFonts w:ascii="Verdana" w:hAnsi="Verdana" w:cs="Arial"/>
          <w:color w:val="000000" w:themeColor="text1"/>
          <w:sz w:val="16"/>
          <w:szCs w:val="16"/>
        </w:rPr>
      </w:pPr>
      <w:r w:rsidRPr="007D1B9D">
        <w:rPr>
          <w:rFonts w:ascii="Verdana" w:hAnsi="Verdana" w:cs="Arial"/>
          <w:iCs/>
          <w:color w:val="000000" w:themeColor="text1"/>
          <w:sz w:val="16"/>
          <w:szCs w:val="16"/>
        </w:rPr>
        <w:tab/>
      </w:r>
      <w:r w:rsidRPr="007D1B9D">
        <w:rPr>
          <w:rFonts w:ascii="Verdana" w:hAnsi="Verdana" w:cs="Arial"/>
          <w:iCs/>
          <w:color w:val="000000" w:themeColor="text1"/>
          <w:sz w:val="16"/>
          <w:szCs w:val="16"/>
        </w:rPr>
        <w:footnoteRef/>
      </w:r>
      <w:r w:rsidRPr="007D1B9D">
        <w:rPr>
          <w:rFonts w:ascii="Verdana" w:hAnsi="Verdana" w:cs="Arial"/>
          <w:iCs/>
          <w:color w:val="000000" w:themeColor="text1"/>
          <w:sz w:val="16"/>
          <w:szCs w:val="16"/>
        </w:rPr>
        <w:t xml:space="preserve"> Motivo por el cual son típicas cláusulas accidentales dentro de los contratos estatales, en los términos del artículo 1501 del Código Civil.</w:t>
      </w:r>
    </w:p>
  </w:footnote>
  <w:footnote w:id="2">
    <w:p w14:paraId="33C2B8BF" w14:textId="77777777" w:rsidR="00C33C27" w:rsidRPr="007D1B9D" w:rsidRDefault="00C33C27" w:rsidP="00C33C27">
      <w:pPr>
        <w:pStyle w:val="Textonotapie"/>
        <w:jc w:val="both"/>
        <w:rPr>
          <w:rFonts w:ascii="Verdana" w:hAnsi="Verdana" w:cs="Arial"/>
          <w:color w:val="000000" w:themeColor="text1"/>
          <w:sz w:val="16"/>
          <w:szCs w:val="16"/>
        </w:rPr>
      </w:pPr>
      <w:r w:rsidRPr="007D1B9D">
        <w:rPr>
          <w:rFonts w:ascii="Verdana" w:hAnsi="Verdana" w:cs="Arial"/>
          <w:color w:val="000000" w:themeColor="text1"/>
          <w:sz w:val="16"/>
          <w:szCs w:val="16"/>
          <w:vertAlign w:val="superscript"/>
        </w:rPr>
        <w:tab/>
      </w:r>
      <w:r w:rsidRPr="007D1B9D">
        <w:rPr>
          <w:rFonts w:ascii="Verdana" w:hAnsi="Verdana" w:cs="Arial"/>
          <w:color w:val="000000" w:themeColor="text1"/>
          <w:sz w:val="16"/>
          <w:szCs w:val="16"/>
          <w:vertAlign w:val="superscript"/>
        </w:rPr>
        <w:footnoteRef/>
      </w:r>
      <w:r w:rsidRPr="007D1B9D">
        <w:rPr>
          <w:rFonts w:ascii="Verdana" w:hAnsi="Verdana" w:cs="Arial"/>
          <w:color w:val="000000" w:themeColor="text1"/>
          <w:sz w:val="16"/>
          <w:szCs w:val="16"/>
        </w:rPr>
        <w:t xml:space="preserve"> Consejo de Estado. Sección Tercera. </w:t>
      </w:r>
      <w:r w:rsidRPr="007D1B9D">
        <w:rPr>
          <w:rFonts w:ascii="Verdana" w:hAnsi="Verdana" w:cs="Arial"/>
          <w:color w:val="000000" w:themeColor="text1"/>
          <w:sz w:val="16"/>
          <w:szCs w:val="16"/>
          <w:vertAlign w:val="superscript"/>
        </w:rPr>
        <w:t xml:space="preserve"> </w:t>
      </w:r>
      <w:r w:rsidRPr="007D1B9D">
        <w:rPr>
          <w:rFonts w:ascii="Verdana" w:hAnsi="Verdana" w:cs="Arial"/>
          <w:color w:val="000000" w:themeColor="text1"/>
          <w:sz w:val="16"/>
          <w:szCs w:val="16"/>
        </w:rPr>
        <w:t>Sentencia del 13 de noviembre de 2008. C.P. Enrique Gil Botero.</w:t>
      </w:r>
      <w:r w:rsidRPr="007D1B9D">
        <w:rPr>
          <w:rFonts w:ascii="Verdana" w:hAnsi="Verdana" w:cs="Arial"/>
          <w:color w:val="000000" w:themeColor="text1"/>
          <w:sz w:val="16"/>
          <w:szCs w:val="16"/>
          <w:lang w:val="es-CO"/>
        </w:rPr>
        <w:t xml:space="preserve"> </w:t>
      </w:r>
      <w:proofErr w:type="spellStart"/>
      <w:r w:rsidRPr="007D1B9D">
        <w:rPr>
          <w:rFonts w:ascii="Verdana" w:hAnsi="Verdana" w:cs="Arial"/>
          <w:color w:val="000000" w:themeColor="text1"/>
          <w:sz w:val="16"/>
          <w:szCs w:val="16"/>
          <w:lang w:val="es-CO"/>
        </w:rPr>
        <w:t>Exp</w:t>
      </w:r>
      <w:proofErr w:type="spellEnd"/>
      <w:r w:rsidRPr="007D1B9D">
        <w:rPr>
          <w:rFonts w:ascii="Verdana" w:hAnsi="Verdana" w:cs="Arial"/>
          <w:color w:val="000000" w:themeColor="text1"/>
          <w:sz w:val="16"/>
          <w:szCs w:val="16"/>
          <w:lang w:val="es-CO"/>
        </w:rPr>
        <w:t>. 17.009,</w:t>
      </w:r>
    </w:p>
  </w:footnote>
  <w:footnote w:id="3">
    <w:p w14:paraId="50363B0C" w14:textId="77777777" w:rsidR="00C33C27" w:rsidRPr="007D1B9D" w:rsidRDefault="00C33C27" w:rsidP="00C33C27">
      <w:pPr>
        <w:snapToGrid w:val="0"/>
        <w:spacing w:after="0" w:line="240" w:lineRule="auto"/>
        <w:ind w:firstLine="709"/>
        <w:jc w:val="both"/>
        <w:rPr>
          <w:rFonts w:ascii="Verdana" w:hAnsi="Verdana" w:cs="Arial"/>
          <w:sz w:val="16"/>
          <w:szCs w:val="16"/>
        </w:rPr>
      </w:pPr>
      <w:r w:rsidRPr="007D1B9D">
        <w:rPr>
          <w:rStyle w:val="Refdenotaalpie"/>
          <w:rFonts w:ascii="Verdana" w:hAnsi="Verdana" w:cs="Arial"/>
          <w:sz w:val="16"/>
          <w:szCs w:val="16"/>
        </w:rPr>
        <w:footnoteRef/>
      </w:r>
      <w:r w:rsidRPr="007D1B9D">
        <w:rPr>
          <w:rFonts w:ascii="Verdana" w:hAnsi="Verdana" w:cs="Arial"/>
          <w:sz w:val="16"/>
          <w:szCs w:val="16"/>
        </w:rPr>
        <w:t xml:space="preserve"> Corte Suprema de Justicia, Sala de Casación Civil, sentencia del 31 de julio de 2018, Radicación n.º 25899-31-03-002-2013-00162-01, M.P. Luis Alonso Rico Puerta.</w:t>
      </w:r>
    </w:p>
  </w:footnote>
  <w:footnote w:id="4">
    <w:p w14:paraId="4B841606" w14:textId="77777777" w:rsidR="00C33C27" w:rsidRPr="007D1B9D" w:rsidRDefault="00C33C27" w:rsidP="00C33C27">
      <w:pPr>
        <w:pStyle w:val="Textonotapie"/>
        <w:snapToGrid w:val="0"/>
        <w:ind w:firstLine="709"/>
        <w:jc w:val="both"/>
        <w:rPr>
          <w:rFonts w:ascii="Verdana" w:hAnsi="Verdana" w:cs="Arial"/>
          <w:sz w:val="16"/>
          <w:szCs w:val="16"/>
        </w:rPr>
      </w:pPr>
      <w:r w:rsidRPr="007D1B9D">
        <w:rPr>
          <w:rStyle w:val="Refdenotaalpie"/>
          <w:rFonts w:ascii="Verdana" w:hAnsi="Verdana" w:cs="Arial"/>
          <w:sz w:val="16"/>
          <w:szCs w:val="16"/>
        </w:rPr>
        <w:footnoteRef/>
      </w:r>
      <w:r w:rsidRPr="007D1B9D">
        <w:rPr>
          <w:rFonts w:ascii="Verdana" w:hAnsi="Verdana" w:cs="Arial"/>
          <w:sz w:val="16"/>
          <w:szCs w:val="16"/>
        </w:rPr>
        <w:t xml:space="preserve"> EXPÓSITO VÉLEZ, Juan Carlos. Forma y contenido del contrato estatal. Bogotá: Universidad Externado de Colombia, 2013. p. 181. Frente a este tema, David Suárez Tamayo expresa: </w:t>
      </w:r>
      <w:r w:rsidRPr="007D1B9D">
        <w:rPr>
          <w:rFonts w:ascii="Verdana" w:eastAsia="Times New Roman" w:hAnsi="Verdana" w:cs="Arial"/>
          <w:iCs/>
          <w:sz w:val="16"/>
          <w:szCs w:val="16"/>
          <w:lang w:val="es-ES_tradnl"/>
        </w:rPr>
        <w:t>«</w:t>
      </w:r>
      <w:r w:rsidRPr="007D1B9D">
        <w:rPr>
          <w:rFonts w:ascii="Verdana" w:hAnsi="Verdana" w:cs="Arial"/>
          <w:sz w:val="16"/>
          <w:szCs w:val="16"/>
        </w:rPr>
        <w:t xml:space="preserve"> […] las multas se han considerado como un apremio, acoso, conminación para que el contratista se ponga al día en sus compromisos, pero igualmente tienen una connotación sancionatoria; de otra parte, la penal pecuniaria es una estimación anticipada, pero no de perjuicios, es decir, tiene un carácter resarcitorio, indemnizatorio, de garantía, pero al igual que las multas, también puede llegar a considerarse como una sanción</w:t>
      </w:r>
      <w:r w:rsidRPr="007D1B9D">
        <w:rPr>
          <w:rFonts w:ascii="Verdana" w:eastAsia="Times New Roman" w:hAnsi="Verdana" w:cs="Arial"/>
          <w:iCs/>
          <w:sz w:val="16"/>
          <w:szCs w:val="16"/>
          <w:lang w:val="es-ES_tradnl"/>
        </w:rPr>
        <w:t>»</w:t>
      </w:r>
      <w:r w:rsidRPr="007D1B9D">
        <w:rPr>
          <w:rFonts w:ascii="Verdana" w:hAnsi="Verdana" w:cs="Arial"/>
          <w:sz w:val="16"/>
          <w:szCs w:val="16"/>
        </w:rPr>
        <w:t xml:space="preserve"> (</w:t>
      </w:r>
      <w:r w:rsidRPr="007D1B9D">
        <w:rPr>
          <w:rFonts w:ascii="Verdana" w:hAnsi="Verdana" w:cs="Arial"/>
          <w:sz w:val="16"/>
          <w:szCs w:val="16"/>
          <w:lang w:val="es-CO"/>
        </w:rPr>
        <w:t>SUÁREZ TAMAYO, David. Cláusula de multas y penal pecuniaria. Medellín: Librería Jurídica Sánchez R Ltda y CEDA, 2014.</w:t>
      </w:r>
      <w:r w:rsidRPr="007D1B9D">
        <w:rPr>
          <w:rFonts w:ascii="Verdana" w:hAnsi="Verdana" w:cs="Arial"/>
          <w:sz w:val="16"/>
          <w:szCs w:val="16"/>
        </w:rPr>
        <w:t xml:space="preserve"> p. 10).</w:t>
      </w:r>
    </w:p>
  </w:footnote>
  <w:footnote w:id="5">
    <w:p w14:paraId="254DB5C7" w14:textId="77777777" w:rsidR="00C33C27" w:rsidRPr="007D1B9D" w:rsidRDefault="00C33C27" w:rsidP="00C33C27">
      <w:pPr>
        <w:pStyle w:val="Textonotapie"/>
        <w:snapToGrid w:val="0"/>
        <w:ind w:firstLine="708"/>
        <w:jc w:val="both"/>
        <w:rPr>
          <w:rFonts w:ascii="Verdana" w:hAnsi="Verdana" w:cs="Arial"/>
          <w:sz w:val="16"/>
          <w:szCs w:val="16"/>
          <w:lang w:val="es-CO"/>
        </w:rPr>
      </w:pPr>
      <w:r w:rsidRPr="007D1B9D">
        <w:rPr>
          <w:rStyle w:val="Refdenotaalpie"/>
          <w:rFonts w:ascii="Verdana" w:hAnsi="Verdana" w:cs="Arial"/>
          <w:sz w:val="16"/>
          <w:szCs w:val="16"/>
        </w:rPr>
        <w:footnoteRef/>
      </w:r>
      <w:r w:rsidRPr="007D1B9D">
        <w:rPr>
          <w:rFonts w:ascii="Verdana" w:hAnsi="Verdana" w:cs="Arial"/>
          <w:sz w:val="16"/>
          <w:szCs w:val="16"/>
        </w:rPr>
        <w:t xml:space="preserve"> Consejo de Estado. Sección Tercera. </w:t>
      </w:r>
      <w:proofErr w:type="spellStart"/>
      <w:r w:rsidRPr="007D1B9D">
        <w:rPr>
          <w:rFonts w:ascii="Verdana" w:hAnsi="Verdana" w:cs="Arial"/>
          <w:sz w:val="16"/>
          <w:szCs w:val="16"/>
        </w:rPr>
        <w:t>Op</w:t>
      </w:r>
      <w:proofErr w:type="spellEnd"/>
      <w:r w:rsidRPr="007D1B9D">
        <w:rPr>
          <w:rFonts w:ascii="Verdana" w:hAnsi="Verdana" w:cs="Arial"/>
          <w:sz w:val="16"/>
          <w:szCs w:val="16"/>
        </w:rPr>
        <w:t xml:space="preserve">. cit., </w:t>
      </w:r>
      <w:proofErr w:type="spellStart"/>
      <w:r w:rsidRPr="007D1B9D">
        <w:rPr>
          <w:rFonts w:ascii="Verdana" w:hAnsi="Verdana" w:cs="Arial"/>
          <w:sz w:val="16"/>
          <w:szCs w:val="16"/>
        </w:rPr>
        <w:t>Exp</w:t>
      </w:r>
      <w:proofErr w:type="spellEnd"/>
      <w:r w:rsidRPr="007D1B9D">
        <w:rPr>
          <w:rFonts w:ascii="Verdana" w:hAnsi="Verdana" w:cs="Arial"/>
          <w:sz w:val="16"/>
          <w:szCs w:val="16"/>
        </w:rPr>
        <w:t xml:space="preserve">. 17.009. </w:t>
      </w:r>
      <w:proofErr w:type="spellStart"/>
      <w:r w:rsidRPr="007D1B9D">
        <w:rPr>
          <w:rFonts w:ascii="Verdana" w:hAnsi="Verdana" w:cs="Arial"/>
          <w:i/>
          <w:sz w:val="16"/>
          <w:szCs w:val="16"/>
          <w:lang w:val="es-CO"/>
        </w:rPr>
        <w:t>Ibídem</w:t>
      </w:r>
      <w:proofErr w:type="spellEnd"/>
      <w:r w:rsidRPr="007D1B9D">
        <w:rPr>
          <w:rFonts w:ascii="Verdana" w:hAnsi="Verdana" w:cs="Arial"/>
          <w:i/>
          <w:sz w:val="16"/>
          <w:szCs w:val="16"/>
          <w:lang w:val="es-CO"/>
        </w:rPr>
        <w:t>.</w:t>
      </w:r>
      <w:r w:rsidRPr="007D1B9D">
        <w:rPr>
          <w:rFonts w:ascii="Verdana" w:hAnsi="Verdana" w:cs="Arial"/>
          <w:sz w:val="16"/>
          <w:szCs w:val="16"/>
          <w:lang w:val="es-CO"/>
        </w:rPr>
        <w:t xml:space="preserve"> </w:t>
      </w:r>
    </w:p>
  </w:footnote>
  <w:footnote w:id="6">
    <w:p w14:paraId="314365B7" w14:textId="77777777" w:rsidR="00C33C27" w:rsidRPr="007D1B9D" w:rsidRDefault="00C33C27" w:rsidP="00C33C27">
      <w:pPr>
        <w:spacing w:after="0" w:line="240" w:lineRule="auto"/>
        <w:ind w:firstLine="708"/>
        <w:jc w:val="both"/>
        <w:rPr>
          <w:rFonts w:ascii="Verdana" w:eastAsia="Verdana" w:hAnsi="Verdana" w:cs="Verdana"/>
          <w:sz w:val="16"/>
          <w:szCs w:val="16"/>
          <w:lang w:val="es-ES"/>
        </w:rPr>
      </w:pPr>
      <w:r w:rsidRPr="007D1B9D">
        <w:rPr>
          <w:rStyle w:val="Refdenotaalpie"/>
          <w:rFonts w:ascii="Verdana" w:hAnsi="Verdana"/>
          <w:sz w:val="16"/>
          <w:szCs w:val="16"/>
        </w:rPr>
        <w:footnoteRef/>
      </w:r>
      <w:r w:rsidRPr="007D1B9D">
        <w:rPr>
          <w:rFonts w:ascii="Verdana" w:hAnsi="Verdana"/>
          <w:sz w:val="16"/>
          <w:szCs w:val="16"/>
        </w:rPr>
        <w:t xml:space="preserve"> </w:t>
      </w:r>
      <w:r w:rsidRPr="007D1B9D">
        <w:rPr>
          <w:rFonts w:ascii="Verdana" w:eastAsia="Verdana" w:hAnsi="Verdana" w:cs="Verdana"/>
          <w:sz w:val="16"/>
          <w:szCs w:val="16"/>
          <w:lang w:val="es-ES"/>
        </w:rPr>
        <w:t>“</w:t>
      </w:r>
      <w:r w:rsidRPr="007D1B9D">
        <w:rPr>
          <w:rFonts w:ascii="Verdana" w:hAnsi="Verdana"/>
          <w:sz w:val="16"/>
          <w:szCs w:val="16"/>
        </w:rPr>
        <w:t>[…]</w:t>
      </w:r>
      <w:r w:rsidRPr="007D1B9D">
        <w:rPr>
          <w:rFonts w:ascii="Verdana" w:eastAsia="Verdana" w:hAnsi="Verdana" w:cs="Verdana"/>
          <w:sz w:val="16"/>
          <w:szCs w:val="16"/>
          <w:lang w:val="es-ES"/>
        </w:rPr>
        <w:t xml:space="preserve"> la posibilidad de hacer efectiva la cláusula penal se extiende hasta el término de la liquidación, lo cual, con la Ley 1150 de 2007, se compagina con el término de caducidad.</w:t>
      </w:r>
    </w:p>
    <w:p w14:paraId="01A1EFD5" w14:textId="77777777" w:rsidR="00C33C27" w:rsidRPr="007D1B9D" w:rsidRDefault="00C33C27" w:rsidP="00C33C27">
      <w:pPr>
        <w:spacing w:after="0" w:line="240" w:lineRule="auto"/>
        <w:ind w:firstLine="708"/>
        <w:jc w:val="both"/>
        <w:rPr>
          <w:rFonts w:ascii="Verdana" w:eastAsia="Verdana" w:hAnsi="Verdana" w:cs="Verdana"/>
          <w:sz w:val="16"/>
          <w:szCs w:val="16"/>
          <w:lang w:val="es-ES"/>
        </w:rPr>
      </w:pPr>
      <w:r w:rsidRPr="007D1B9D">
        <w:rPr>
          <w:rFonts w:ascii="Verdana" w:eastAsia="Verdana" w:hAnsi="Verdana" w:cs="Verdana"/>
          <w:sz w:val="16"/>
          <w:szCs w:val="16"/>
          <w:lang w:val="es-ES"/>
        </w:rPr>
        <w:t xml:space="preserve">Aunque la Sala no desconoce que el término de caducidad es diferente al de liquidación, es la misma ley la que permite que, durante los dos años siguientes al vencimiento del plazo para la liquidación unilateral, y mientras no se acuda ante el juez, se pueda surtir la liquidación, lo cual mutatis mutandis, permite que la entidad contratante declare el incumplimiento para hacer efectiva la cláusula penal -resaltando, además, que no exista una disposición que restrinja el ejercicio de esta facultad-.” </w:t>
      </w:r>
      <w:r w:rsidRPr="007D1B9D">
        <w:rPr>
          <w:rFonts w:ascii="Verdana" w:hAnsi="Verdana"/>
          <w:sz w:val="16"/>
          <w:szCs w:val="16"/>
        </w:rPr>
        <w:t xml:space="preserve">Consejo de Estado. Sección tercera. Sentencia del 31 de marzo del 2023. </w:t>
      </w:r>
      <w:proofErr w:type="spellStart"/>
      <w:r w:rsidRPr="007D1B9D">
        <w:rPr>
          <w:rFonts w:ascii="Verdana" w:hAnsi="Verdana"/>
          <w:sz w:val="16"/>
          <w:szCs w:val="16"/>
        </w:rPr>
        <w:t>Exp</w:t>
      </w:r>
      <w:proofErr w:type="spellEnd"/>
      <w:r w:rsidRPr="007D1B9D">
        <w:rPr>
          <w:rFonts w:ascii="Verdana" w:hAnsi="Verdana"/>
          <w:sz w:val="16"/>
          <w:szCs w:val="16"/>
        </w:rPr>
        <w:t xml:space="preserve">. </w:t>
      </w:r>
      <w:r w:rsidRPr="007D1B9D">
        <w:rPr>
          <w:rFonts w:ascii="Verdana" w:eastAsia="Verdana" w:hAnsi="Verdana" w:cs="Verdana"/>
          <w:sz w:val="16"/>
          <w:szCs w:val="16"/>
          <w:lang w:val="es-ES"/>
        </w:rPr>
        <w:t>56.002. C.P: Adriana Marín.</w:t>
      </w:r>
    </w:p>
  </w:footnote>
  <w:footnote w:id="7">
    <w:p w14:paraId="3C7A6365" w14:textId="77777777" w:rsidR="00C33C27" w:rsidRPr="007D1B9D" w:rsidRDefault="00C33C27" w:rsidP="00C33C27">
      <w:pPr>
        <w:pStyle w:val="Textonotapie"/>
        <w:ind w:firstLine="709"/>
        <w:jc w:val="both"/>
        <w:rPr>
          <w:rFonts w:ascii="Verdana" w:hAnsi="Verdana" w:cs="Arial"/>
          <w:color w:val="000000" w:themeColor="text1"/>
          <w:sz w:val="16"/>
          <w:szCs w:val="16"/>
          <w:lang w:val="es-ES"/>
        </w:rPr>
      </w:pPr>
      <w:r w:rsidRPr="007D1B9D">
        <w:rPr>
          <w:rStyle w:val="Refdenotaalpie"/>
          <w:rFonts w:ascii="Verdana" w:hAnsi="Verdana" w:cs="Arial"/>
          <w:color w:val="000000" w:themeColor="text1"/>
          <w:sz w:val="16"/>
          <w:szCs w:val="16"/>
          <w:vertAlign w:val="baseline"/>
        </w:rPr>
        <w:footnoteRef/>
      </w:r>
      <w:r w:rsidRPr="007D1B9D">
        <w:rPr>
          <w:rFonts w:ascii="Verdana" w:hAnsi="Verdana" w:cs="Arial"/>
          <w:color w:val="000000" w:themeColor="text1"/>
          <w:sz w:val="16"/>
          <w:szCs w:val="16"/>
        </w:rPr>
        <w:t xml:space="preserve"> </w:t>
      </w:r>
      <w:r w:rsidRPr="007D1B9D">
        <w:rPr>
          <w:rFonts w:ascii="Verdana" w:hAnsi="Verdana" w:cs="Arial"/>
          <w:color w:val="000000" w:themeColor="text1"/>
          <w:sz w:val="16"/>
          <w:szCs w:val="16"/>
          <w:lang w:val="es-ES"/>
        </w:rPr>
        <w:t>En efecto, el artículo 86 de la Ley 1474 de 2011 dispone: “</w:t>
      </w:r>
      <w:r w:rsidRPr="007D1B9D">
        <w:rPr>
          <w:rFonts w:ascii="Verdana" w:hAnsi="Verdana" w:cs="Arial"/>
          <w:i/>
          <w:color w:val="000000" w:themeColor="text1"/>
          <w:sz w:val="16"/>
          <w:szCs w:val="16"/>
          <w:lang w:val="es-ES"/>
        </w:rPr>
        <w:t>Las entidades sometidas al Estatuto General de Contratación de la Administración Pública</w:t>
      </w:r>
      <w:r w:rsidRPr="007D1B9D">
        <w:rPr>
          <w:rFonts w:ascii="Verdana" w:hAnsi="Verdana" w:cs="Arial"/>
          <w:color w:val="000000" w:themeColor="text1"/>
          <w:sz w:val="16"/>
          <w:szCs w:val="16"/>
          <w:lang w:val="es-ES"/>
        </w:rPr>
        <w:t xml:space="preserve"> podrán declarar el incumplimiento, cuantificando los perjuicios del mismo, imponer las multas y sanciones pactadas en el contrato, y hacer efectiva la cláusula penal. Para tal efecto observarán el siguiente procedimiento:</w:t>
      </w:r>
    </w:p>
    <w:p w14:paraId="3E43E931" w14:textId="77777777" w:rsidR="00C33C27" w:rsidRPr="007D1B9D" w:rsidRDefault="00C33C27" w:rsidP="00C33C27">
      <w:pPr>
        <w:pStyle w:val="Textonotapie"/>
        <w:ind w:firstLine="709"/>
        <w:jc w:val="both"/>
        <w:rPr>
          <w:rFonts w:ascii="Verdana" w:hAnsi="Verdana" w:cs="Arial"/>
          <w:color w:val="000000" w:themeColor="text1"/>
          <w:sz w:val="16"/>
          <w:szCs w:val="16"/>
          <w:lang w:val="es-ES"/>
        </w:rPr>
      </w:pPr>
      <w:r w:rsidRPr="007D1B9D">
        <w:rPr>
          <w:rFonts w:ascii="Verdana" w:hAnsi="Verdana" w:cs="Arial"/>
          <w:color w:val="000000" w:themeColor="text1"/>
          <w:sz w:val="16"/>
          <w:szCs w:val="16"/>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4E55D763" w14:textId="77777777" w:rsidR="00C33C27" w:rsidRPr="007D1B9D" w:rsidRDefault="00C33C27" w:rsidP="00C33C27">
      <w:pPr>
        <w:pStyle w:val="Textonotapie"/>
        <w:ind w:firstLine="709"/>
        <w:jc w:val="both"/>
        <w:rPr>
          <w:rFonts w:ascii="Verdana" w:hAnsi="Verdana" w:cs="Arial"/>
          <w:color w:val="000000" w:themeColor="text1"/>
          <w:sz w:val="16"/>
          <w:szCs w:val="16"/>
          <w:lang w:val="es-ES"/>
        </w:rPr>
      </w:pPr>
      <w:r w:rsidRPr="007D1B9D">
        <w:rPr>
          <w:rFonts w:ascii="Verdana" w:hAnsi="Verdana" w:cs="Arial"/>
          <w:color w:val="000000" w:themeColor="text1"/>
          <w:sz w:val="16"/>
          <w:szCs w:val="16"/>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4E34E1F5" w14:textId="77777777" w:rsidR="00C33C27" w:rsidRPr="007D1B9D" w:rsidRDefault="00C33C27" w:rsidP="00C33C27">
      <w:pPr>
        <w:pStyle w:val="Textonotapie"/>
        <w:ind w:firstLine="709"/>
        <w:jc w:val="both"/>
        <w:rPr>
          <w:rFonts w:ascii="Verdana" w:hAnsi="Verdana" w:cs="Arial"/>
          <w:color w:val="000000" w:themeColor="text1"/>
          <w:sz w:val="16"/>
          <w:szCs w:val="16"/>
          <w:lang w:val="es-ES"/>
        </w:rPr>
      </w:pPr>
      <w:r w:rsidRPr="007D1B9D">
        <w:rPr>
          <w:rFonts w:ascii="Verdana" w:hAnsi="Verdana" w:cs="Arial"/>
          <w:color w:val="000000" w:themeColor="text1"/>
          <w:sz w:val="16"/>
          <w:szCs w:val="16"/>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5DCD4A8B" w14:textId="77777777" w:rsidR="00C33C27" w:rsidRPr="007D1B9D" w:rsidRDefault="00C33C27" w:rsidP="00C33C27">
      <w:pPr>
        <w:pStyle w:val="Textonotapie"/>
        <w:ind w:firstLine="709"/>
        <w:jc w:val="both"/>
        <w:rPr>
          <w:rFonts w:ascii="Verdana" w:hAnsi="Verdana" w:cs="Arial"/>
          <w:color w:val="000000" w:themeColor="text1"/>
          <w:sz w:val="16"/>
          <w:szCs w:val="16"/>
          <w:lang w:val="es-ES"/>
        </w:rPr>
      </w:pPr>
      <w:r w:rsidRPr="007D1B9D">
        <w:rPr>
          <w:rFonts w:ascii="Verdana" w:hAnsi="Verdana" w:cs="Arial"/>
          <w:color w:val="000000" w:themeColor="text1"/>
          <w:sz w:val="16"/>
          <w:szCs w:val="16"/>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p w14:paraId="27B1AED5" w14:textId="77777777" w:rsidR="00C33C27" w:rsidRPr="007D1B9D" w:rsidRDefault="00C33C27" w:rsidP="00C33C27">
      <w:pPr>
        <w:pStyle w:val="Textonotapie"/>
        <w:ind w:firstLine="709"/>
        <w:jc w:val="both"/>
        <w:rPr>
          <w:rFonts w:ascii="Verdana" w:hAnsi="Verdana" w:cs="Arial"/>
          <w:color w:val="000000" w:themeColor="text1"/>
          <w:sz w:val="16"/>
          <w:szCs w:val="16"/>
          <w:lang w:val="es-ES"/>
        </w:rPr>
      </w:pPr>
    </w:p>
  </w:footnote>
  <w:footnote w:id="8">
    <w:p w14:paraId="668CF047" w14:textId="77777777" w:rsidR="00C33C27" w:rsidRPr="007D1B9D" w:rsidRDefault="00C33C27" w:rsidP="00C33C27">
      <w:pPr>
        <w:pStyle w:val="Textonotapie"/>
        <w:ind w:firstLine="709"/>
        <w:jc w:val="both"/>
        <w:rPr>
          <w:rFonts w:ascii="Verdana" w:hAnsi="Verdana" w:cs="Arial"/>
          <w:color w:val="000000"/>
          <w:sz w:val="16"/>
          <w:szCs w:val="16"/>
        </w:rPr>
      </w:pPr>
      <w:r w:rsidRPr="007D1B9D">
        <w:rPr>
          <w:rStyle w:val="Refdenotaalpie"/>
          <w:rFonts w:ascii="Verdana" w:hAnsi="Verdana" w:cs="Arial"/>
          <w:color w:val="000000"/>
          <w:sz w:val="16"/>
          <w:szCs w:val="16"/>
        </w:rPr>
        <w:footnoteRef/>
      </w:r>
      <w:r w:rsidRPr="007D1B9D">
        <w:rPr>
          <w:rFonts w:ascii="Verdana" w:hAnsi="Verdana" w:cs="Arial"/>
          <w:color w:val="000000"/>
          <w:sz w:val="16"/>
          <w:szCs w:val="16"/>
          <w:lang w:val="pt-BR"/>
        </w:rPr>
        <w:t xml:space="preserve"> Corte Constitucional. Sentencia C-317 de 2012. </w:t>
      </w:r>
      <w:r w:rsidRPr="007D1B9D">
        <w:rPr>
          <w:rFonts w:ascii="Verdana" w:hAnsi="Verdana" w:cs="Arial"/>
          <w:color w:val="000000"/>
          <w:sz w:val="16"/>
          <w:szCs w:val="16"/>
        </w:rPr>
        <w:t xml:space="preserve">M.P. María Victoria Calle Correa. </w:t>
      </w:r>
    </w:p>
  </w:footnote>
  <w:footnote w:id="9">
    <w:p w14:paraId="47EAB7E6" w14:textId="77777777" w:rsidR="00C33C27" w:rsidRPr="007D1B9D" w:rsidRDefault="00C33C27" w:rsidP="00C33C27">
      <w:pPr>
        <w:pStyle w:val="Textonotapie"/>
        <w:ind w:firstLine="708"/>
        <w:jc w:val="both"/>
        <w:rPr>
          <w:rFonts w:ascii="Verdana" w:hAnsi="Verdana"/>
          <w:sz w:val="16"/>
          <w:szCs w:val="16"/>
          <w:lang w:val="es-ES"/>
        </w:rPr>
      </w:pPr>
      <w:r w:rsidRPr="007D1B9D">
        <w:rPr>
          <w:rStyle w:val="Refdenotaalpie"/>
          <w:rFonts w:ascii="Verdana" w:hAnsi="Verdana"/>
          <w:sz w:val="16"/>
          <w:szCs w:val="16"/>
        </w:rPr>
        <w:footnoteRef/>
      </w:r>
      <w:r w:rsidRPr="007D1B9D">
        <w:rPr>
          <w:rFonts w:ascii="Verdana" w:hAnsi="Verdana"/>
          <w:sz w:val="16"/>
          <w:szCs w:val="16"/>
        </w:rPr>
        <w:t xml:space="preserve"> Consejo de Estado. Sección Tercera-Subsección A. Sentencia del 21 de febrero de 2025. M.P. José Roberto Sáchica Méndez. </w:t>
      </w:r>
      <w:proofErr w:type="spellStart"/>
      <w:r w:rsidRPr="007D1B9D">
        <w:rPr>
          <w:rFonts w:ascii="Verdana" w:hAnsi="Verdana"/>
          <w:sz w:val="16"/>
          <w:szCs w:val="16"/>
        </w:rPr>
        <w:t>Exp</w:t>
      </w:r>
      <w:proofErr w:type="spellEnd"/>
      <w:r w:rsidRPr="007D1B9D">
        <w:rPr>
          <w:rFonts w:ascii="Verdana" w:hAnsi="Verdana"/>
          <w:sz w:val="16"/>
          <w:szCs w:val="16"/>
        </w:rPr>
        <w:t xml:space="preserve">. 70099. </w:t>
      </w:r>
    </w:p>
  </w:footnote>
  <w:footnote w:id="10">
    <w:p w14:paraId="129DBFCF" w14:textId="77777777" w:rsidR="00C33C27" w:rsidRPr="00D8787B" w:rsidRDefault="00C33C27" w:rsidP="00C33C27">
      <w:pPr>
        <w:pStyle w:val="Textonotapie"/>
        <w:snapToGrid w:val="0"/>
        <w:ind w:firstLine="709"/>
        <w:contextualSpacing/>
        <w:jc w:val="both"/>
        <w:rPr>
          <w:rFonts w:ascii="Verdana" w:eastAsia="Calibri" w:hAnsi="Verdana" w:cs="Arial"/>
          <w:color w:val="000000" w:themeColor="text1"/>
          <w:sz w:val="16"/>
          <w:szCs w:val="16"/>
          <w:lang w:val="es-ES_tradnl"/>
        </w:rPr>
      </w:pPr>
      <w:r w:rsidRPr="007D1B9D">
        <w:rPr>
          <w:rStyle w:val="Refdenotaalpie"/>
          <w:rFonts w:ascii="Verdana" w:hAnsi="Verdana" w:cs="Arial"/>
          <w:color w:val="000000" w:themeColor="text1"/>
          <w:sz w:val="16"/>
          <w:szCs w:val="16"/>
        </w:rPr>
        <w:footnoteRef/>
      </w:r>
      <w:r w:rsidRPr="007D1B9D">
        <w:rPr>
          <w:rFonts w:ascii="Verdana" w:hAnsi="Verdana" w:cs="Arial"/>
          <w:color w:val="000000" w:themeColor="text1"/>
          <w:sz w:val="16"/>
          <w:szCs w:val="16"/>
        </w:rPr>
        <w:t xml:space="preserve"> </w:t>
      </w:r>
      <w:r w:rsidRPr="007D1B9D">
        <w:rPr>
          <w:rFonts w:ascii="Verdana" w:eastAsia="Calibri" w:hAnsi="Verdana" w:cs="Arial"/>
          <w:color w:val="000000" w:themeColor="text1"/>
          <w:sz w:val="16"/>
          <w:szCs w:val="16"/>
          <w:lang w:val="es-ES_tradnl"/>
        </w:rPr>
        <w:t>Cfr.</w:t>
      </w:r>
      <w:r w:rsidRPr="007D1B9D">
        <w:rPr>
          <w:rFonts w:ascii="Verdana" w:hAnsi="Verdana" w:cs="Arial"/>
          <w:color w:val="000000" w:themeColor="text1"/>
          <w:sz w:val="16"/>
          <w:szCs w:val="16"/>
        </w:rPr>
        <w:t xml:space="preserve"> </w:t>
      </w:r>
      <w:r w:rsidRPr="007D1B9D">
        <w:rPr>
          <w:rFonts w:ascii="Verdana" w:eastAsia="Calibri" w:hAnsi="Verdana" w:cs="Arial"/>
          <w:color w:val="000000" w:themeColor="text1"/>
          <w:sz w:val="16"/>
          <w:szCs w:val="16"/>
          <w:lang w:val="es-ES_tradnl"/>
        </w:rPr>
        <w:t xml:space="preserve">Consejo de Estado. Sección Tercera. Subsección B. Sentencia del 30 de noviembre de 2016. Rad. 29.368. C.P. Ramiro Pazos Guerrero; Subsección B. Sentencia del 5 de diciembre de 2016. </w:t>
      </w:r>
      <w:proofErr w:type="spellStart"/>
      <w:r w:rsidRPr="007D1B9D">
        <w:rPr>
          <w:rFonts w:ascii="Verdana" w:eastAsia="Calibri" w:hAnsi="Verdana" w:cs="Arial"/>
          <w:color w:val="000000" w:themeColor="text1"/>
          <w:sz w:val="16"/>
          <w:szCs w:val="16"/>
          <w:lang w:val="es-ES_tradnl"/>
        </w:rPr>
        <w:t>Exp</w:t>
      </w:r>
      <w:proofErr w:type="spellEnd"/>
      <w:r w:rsidRPr="007D1B9D">
        <w:rPr>
          <w:rFonts w:ascii="Verdana" w:eastAsia="Calibri" w:hAnsi="Verdana" w:cs="Arial"/>
          <w:color w:val="000000" w:themeColor="text1"/>
          <w:sz w:val="16"/>
          <w:szCs w:val="16"/>
          <w:lang w:val="es-ES_tradnl"/>
        </w:rPr>
        <w:t xml:space="preserve">. 35.057. C.P. Ramiro Pazos Guerrero; Subsección A. Sentencia del 27 de noviembre de 2013. </w:t>
      </w:r>
      <w:proofErr w:type="spellStart"/>
      <w:r w:rsidRPr="007D1B9D">
        <w:rPr>
          <w:rFonts w:ascii="Verdana" w:eastAsia="Calibri" w:hAnsi="Verdana" w:cs="Arial"/>
          <w:color w:val="000000" w:themeColor="text1"/>
          <w:sz w:val="16"/>
          <w:szCs w:val="16"/>
          <w:lang w:val="es-ES_tradnl"/>
        </w:rPr>
        <w:t>Exp</w:t>
      </w:r>
      <w:proofErr w:type="spellEnd"/>
      <w:r w:rsidRPr="007D1B9D">
        <w:rPr>
          <w:rFonts w:ascii="Verdana" w:eastAsia="Calibri" w:hAnsi="Verdana" w:cs="Arial"/>
          <w:color w:val="000000" w:themeColor="text1"/>
          <w:sz w:val="16"/>
          <w:szCs w:val="16"/>
          <w:lang w:val="es-ES_tradnl"/>
        </w:rPr>
        <w:t xml:space="preserve">. 25.742. C.P. Mauricio Fajardo Gómez; Subsección C. Sentencia del 7 de junio de 2012. </w:t>
      </w:r>
      <w:proofErr w:type="spellStart"/>
      <w:r w:rsidRPr="007D1B9D">
        <w:rPr>
          <w:rFonts w:ascii="Verdana" w:eastAsia="Calibri" w:hAnsi="Verdana" w:cs="Arial"/>
          <w:color w:val="000000" w:themeColor="text1"/>
          <w:sz w:val="16"/>
          <w:szCs w:val="16"/>
          <w:lang w:val="es-ES_tradnl"/>
        </w:rPr>
        <w:t>Exp</w:t>
      </w:r>
      <w:proofErr w:type="spellEnd"/>
      <w:r w:rsidRPr="007D1B9D">
        <w:rPr>
          <w:rFonts w:ascii="Verdana" w:eastAsia="Calibri" w:hAnsi="Verdana" w:cs="Arial"/>
          <w:color w:val="000000" w:themeColor="text1"/>
          <w:sz w:val="16"/>
          <w:szCs w:val="16"/>
          <w:lang w:val="es-ES_tradnl"/>
        </w:rPr>
        <w:t xml:space="preserve">. 22.899. C.P. Olga Melida Valle de </w:t>
      </w:r>
      <w:proofErr w:type="spellStart"/>
      <w:r w:rsidRPr="007D1B9D">
        <w:rPr>
          <w:rFonts w:ascii="Verdana" w:eastAsia="Calibri" w:hAnsi="Verdana" w:cs="Arial"/>
          <w:color w:val="000000" w:themeColor="text1"/>
          <w:sz w:val="16"/>
          <w:szCs w:val="16"/>
          <w:lang w:val="es-ES_tradnl"/>
        </w:rPr>
        <w:t>De</w:t>
      </w:r>
      <w:proofErr w:type="spellEnd"/>
      <w:r w:rsidRPr="007D1B9D">
        <w:rPr>
          <w:rFonts w:ascii="Verdana" w:eastAsia="Calibri" w:hAnsi="Verdana" w:cs="Arial"/>
          <w:color w:val="000000" w:themeColor="text1"/>
          <w:sz w:val="16"/>
          <w:szCs w:val="16"/>
          <w:lang w:val="es-ES_tradnl"/>
        </w:rPr>
        <w:t xml:space="preserve"> La Hoz, entre otras.</w:t>
      </w:r>
    </w:p>
  </w:footnote>
  <w:footnote w:id="11">
    <w:p w14:paraId="48D42617" w14:textId="77777777" w:rsidR="00C33C27" w:rsidRPr="00CC2A45" w:rsidRDefault="00C33C27" w:rsidP="00C33C27">
      <w:pPr>
        <w:pStyle w:val="Textonotapie"/>
        <w:jc w:val="both"/>
        <w:rPr>
          <w:rFonts w:ascii="Verdana" w:hAnsi="Verdana" w:cs="Arial"/>
          <w:iCs/>
          <w:color w:val="000000" w:themeColor="text1"/>
          <w:sz w:val="16"/>
          <w:szCs w:val="16"/>
        </w:rPr>
      </w:pPr>
      <w:r w:rsidRPr="00CC2A45">
        <w:rPr>
          <w:rFonts w:ascii="Verdana" w:hAnsi="Verdana" w:cs="Arial"/>
          <w:iCs/>
          <w:color w:val="000000" w:themeColor="text1"/>
          <w:sz w:val="16"/>
          <w:szCs w:val="16"/>
        </w:rPr>
        <w:tab/>
      </w:r>
      <w:r w:rsidRPr="00CC2A45">
        <w:rPr>
          <w:rFonts w:ascii="Verdana" w:hAnsi="Verdana" w:cs="Arial"/>
          <w:iCs/>
          <w:color w:val="000000" w:themeColor="text1"/>
          <w:sz w:val="16"/>
          <w:szCs w:val="16"/>
          <w:vertAlign w:val="superscript"/>
        </w:rPr>
        <w:footnoteRef/>
      </w:r>
      <w:r w:rsidRPr="00CC2A45">
        <w:rPr>
          <w:rFonts w:ascii="Verdana" w:hAnsi="Verdana" w:cs="Arial"/>
          <w:iCs/>
          <w:color w:val="000000" w:themeColor="text1"/>
          <w:sz w:val="16"/>
          <w:szCs w:val="16"/>
        </w:rPr>
        <w:t xml:space="preserve"> Sección Tercera, Sentencia del 12 de julio de 2012, expediente 15.024 y ponencia de Danilo Rojas Betancourth.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B7F83" w14:textId="77777777" w:rsidR="00C33C27" w:rsidRDefault="00C33C27"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DA5963C" wp14:editId="74812FB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B10A154" wp14:editId="6809D42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DF77A2A" w14:textId="77777777" w:rsidR="00C33C27" w:rsidRDefault="00C33C27">
    <w:pPr>
      <w:pStyle w:val="Encabezado"/>
    </w:pPr>
  </w:p>
  <w:p w14:paraId="0A16723B" w14:textId="77777777" w:rsidR="00C33C27" w:rsidRPr="004A305D" w:rsidRDefault="00C33C27" w:rsidP="00B01B1A">
    <w:pPr>
      <w:spacing w:after="0" w:line="120" w:lineRule="auto"/>
      <w:rPr>
        <w:rFonts w:ascii="Century Gothic" w:eastAsia="Geo" w:hAnsi="Century Gothic" w:cs="Geo"/>
        <w:sz w:val="16"/>
        <w:szCs w:val="16"/>
        <w:lang w:eastAsia="es-CO"/>
      </w:rPr>
    </w:pPr>
  </w:p>
  <w:p w14:paraId="1A28F42A" w14:textId="77777777" w:rsidR="00C33C27" w:rsidRDefault="00C33C27" w:rsidP="00844AE9">
    <w:pPr>
      <w:spacing w:after="0" w:line="240" w:lineRule="auto"/>
      <w:rPr>
        <w:rFonts w:ascii="Verdana" w:hAnsi="Verdana"/>
        <w:sz w:val="24"/>
        <w:szCs w:val="24"/>
      </w:rPr>
    </w:pPr>
  </w:p>
  <w:p w14:paraId="302BA19C" w14:textId="77777777" w:rsidR="00C33C27" w:rsidRPr="00C925AC" w:rsidRDefault="00C33C27" w:rsidP="00844AE9">
    <w:pPr>
      <w:spacing w:after="0" w:line="240" w:lineRule="auto"/>
      <w:rPr>
        <w:rFonts w:ascii="Verdana" w:hAnsi="Verdana"/>
        <w:sz w:val="24"/>
        <w:szCs w:val="24"/>
      </w:rPr>
    </w:pPr>
  </w:p>
  <w:p w14:paraId="14E3B9E9" w14:textId="77777777" w:rsidR="00C33C27" w:rsidRPr="00C925AC" w:rsidRDefault="00C33C27"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430013388">
    <w:abstractNumId w:val="1"/>
  </w:num>
  <w:num w:numId="2" w16cid:durableId="1319769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27"/>
    <w:rsid w:val="002C2F3C"/>
    <w:rsid w:val="006939B7"/>
    <w:rsid w:val="00A5027A"/>
    <w:rsid w:val="00A623F6"/>
    <w:rsid w:val="00C33C27"/>
    <w:rsid w:val="00D42361"/>
    <w:rsid w:val="00F363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65B4A"/>
  <w15:chartTrackingRefBased/>
  <w15:docId w15:val="{E3BFF5E5-F0F4-4856-A348-1AFDE3595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C27"/>
    <w:pPr>
      <w:spacing w:line="259" w:lineRule="auto"/>
    </w:pPr>
    <w:rPr>
      <w:kern w:val="0"/>
      <w:sz w:val="22"/>
      <w:szCs w:val="22"/>
      <w14:ligatures w14:val="none"/>
    </w:rPr>
  </w:style>
  <w:style w:type="paragraph" w:styleId="Ttulo1">
    <w:name w:val="heading 1"/>
    <w:basedOn w:val="Normal"/>
    <w:next w:val="Normal"/>
    <w:link w:val="Ttulo1Car"/>
    <w:uiPriority w:val="9"/>
    <w:qFormat/>
    <w:rsid w:val="00C33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33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33C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33C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33C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33C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33C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33C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33C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3C2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33C2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33C2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33C2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33C2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33C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33C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33C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33C27"/>
    <w:rPr>
      <w:rFonts w:eastAsiaTheme="majorEastAsia" w:cstheme="majorBidi"/>
      <w:color w:val="272727" w:themeColor="text1" w:themeTint="D8"/>
    </w:rPr>
  </w:style>
  <w:style w:type="paragraph" w:styleId="Ttulo">
    <w:name w:val="Title"/>
    <w:basedOn w:val="Normal"/>
    <w:next w:val="Normal"/>
    <w:link w:val="TtuloCar"/>
    <w:uiPriority w:val="10"/>
    <w:qFormat/>
    <w:rsid w:val="00C33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33C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33C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33C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33C27"/>
    <w:pPr>
      <w:spacing w:before="160"/>
      <w:jc w:val="center"/>
    </w:pPr>
    <w:rPr>
      <w:i/>
      <w:iCs/>
      <w:color w:val="404040" w:themeColor="text1" w:themeTint="BF"/>
    </w:rPr>
  </w:style>
  <w:style w:type="character" w:customStyle="1" w:styleId="CitaCar">
    <w:name w:val="Cita Car"/>
    <w:basedOn w:val="Fuentedeprrafopredeter"/>
    <w:link w:val="Cita"/>
    <w:uiPriority w:val="29"/>
    <w:rsid w:val="00C33C2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C33C27"/>
    <w:pPr>
      <w:ind w:left="720"/>
      <w:contextualSpacing/>
    </w:pPr>
  </w:style>
  <w:style w:type="character" w:styleId="nfasisintenso">
    <w:name w:val="Intense Emphasis"/>
    <w:basedOn w:val="Fuentedeprrafopredeter"/>
    <w:uiPriority w:val="21"/>
    <w:qFormat/>
    <w:rsid w:val="00C33C27"/>
    <w:rPr>
      <w:i/>
      <w:iCs/>
      <w:color w:val="0F4761" w:themeColor="accent1" w:themeShade="BF"/>
    </w:rPr>
  </w:style>
  <w:style w:type="paragraph" w:styleId="Citadestacada">
    <w:name w:val="Intense Quote"/>
    <w:basedOn w:val="Normal"/>
    <w:next w:val="Normal"/>
    <w:link w:val="CitadestacadaCar"/>
    <w:uiPriority w:val="30"/>
    <w:qFormat/>
    <w:rsid w:val="00C33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33C27"/>
    <w:rPr>
      <w:i/>
      <w:iCs/>
      <w:color w:val="0F4761" w:themeColor="accent1" w:themeShade="BF"/>
    </w:rPr>
  </w:style>
  <w:style w:type="character" w:styleId="Referenciaintensa">
    <w:name w:val="Intense Reference"/>
    <w:basedOn w:val="Fuentedeprrafopredeter"/>
    <w:uiPriority w:val="32"/>
    <w:qFormat/>
    <w:rsid w:val="00C33C27"/>
    <w:rPr>
      <w:b/>
      <w:bCs/>
      <w:smallCaps/>
      <w:color w:val="0F4761" w:themeColor="accent1" w:themeShade="BF"/>
      <w:spacing w:val="5"/>
    </w:rPr>
  </w:style>
  <w:style w:type="paragraph" w:styleId="Encabezado">
    <w:name w:val="header"/>
    <w:basedOn w:val="Normal"/>
    <w:link w:val="EncabezadoCar"/>
    <w:uiPriority w:val="99"/>
    <w:unhideWhenUsed/>
    <w:rsid w:val="00C33C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3C27"/>
    <w:rPr>
      <w:kern w:val="0"/>
      <w:sz w:val="22"/>
      <w:szCs w:val="22"/>
      <w14:ligatures w14:val="none"/>
    </w:rPr>
  </w:style>
  <w:style w:type="paragraph" w:styleId="Piedepgina">
    <w:name w:val="footer"/>
    <w:basedOn w:val="Normal"/>
    <w:link w:val="PiedepginaCar"/>
    <w:uiPriority w:val="99"/>
    <w:unhideWhenUsed/>
    <w:rsid w:val="00C33C2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3C27"/>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33C2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33C2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33C2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33C27"/>
    <w:rPr>
      <w:vertAlign w:val="superscript"/>
    </w:rPr>
  </w:style>
  <w:style w:type="character" w:customStyle="1" w:styleId="normaltextrun">
    <w:name w:val="normaltextrun"/>
    <w:basedOn w:val="Fuentedeprrafopredeter"/>
    <w:rsid w:val="00C33C27"/>
  </w:style>
  <w:style w:type="table" w:styleId="Tablaconcuadrcula">
    <w:name w:val="Table Grid"/>
    <w:basedOn w:val="Tablanormal"/>
    <w:uiPriority w:val="39"/>
    <w:qFormat/>
    <w:rsid w:val="00C33C2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33C27"/>
    <w:rPr>
      <w:color w:val="0000FF"/>
      <w:u w:val="single"/>
    </w:rPr>
  </w:style>
  <w:style w:type="paragraph" w:styleId="NormalWeb">
    <w:name w:val="Normal (Web)"/>
    <w:basedOn w:val="Normal"/>
    <w:uiPriority w:val="99"/>
    <w:semiHidden/>
    <w:unhideWhenUsed/>
    <w:rsid w:val="00C33C2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C33C27"/>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33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caro_v@hotmail.com" TargetMode="External"/><Relationship Id="rId13"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18" Type="http://schemas.openxmlformats.org/officeDocument/2006/relationships/hyperlink" Target="https://forms.office.com/r/pPHyWVs2SZ"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17" Type="http://schemas.openxmlformats.org/officeDocument/2006/relationships/hyperlink" Target="https://www.colombiacompra.gov.co/pqrsd/informacion-importante-antes-de-formular-una-pqrsd"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3" Type="http://schemas.openxmlformats.org/officeDocument/2006/relationships/theme" Target="theme/theme1.xml"/><Relationship Id="rId10" Type="http://schemas.openxmlformats.org/officeDocument/2006/relationships/hyperlink" Target="https://www.funcionpublica.gov.co/eva/gestornormativo/norma.php?0=&amp;i=41249&amp;utm_source=chatgpt.com"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funcionpublica.gov.co/eva/gestornormativo/norma.php?0=&amp;i=41249&amp;utm_source=chatgpt.com" TargetMode="External"/><Relationship Id="rId14"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4540D1-D51F-4660-A59D-0CBD5DD6DD2B}"/>
</file>

<file path=customXml/itemProps2.xml><?xml version="1.0" encoding="utf-8"?>
<ds:datastoreItem xmlns:ds="http://schemas.openxmlformats.org/officeDocument/2006/customXml" ds:itemID="{F37DC0B0-F5A9-42AE-99DE-69E94091C4B0}"/>
</file>

<file path=customXml/itemProps3.xml><?xml version="1.0" encoding="utf-8"?>
<ds:datastoreItem xmlns:ds="http://schemas.openxmlformats.org/officeDocument/2006/customXml" ds:itemID="{C98528E4-173E-45FC-8388-E769CCF101B0}"/>
</file>

<file path=docProps/app.xml><?xml version="1.0" encoding="utf-8"?>
<Properties xmlns="http://schemas.openxmlformats.org/officeDocument/2006/extended-properties" xmlns:vt="http://schemas.openxmlformats.org/officeDocument/2006/docPropsVTypes">
  <Template>Normal</Template>
  <TotalTime>2</TotalTime>
  <Pages>21</Pages>
  <Words>7453</Words>
  <Characters>40992</Characters>
  <Application>Microsoft Office Word</Application>
  <DocSecurity>0</DocSecurity>
  <Lines>341</Lines>
  <Paragraphs>96</Paragraphs>
  <ScaleCrop>false</ScaleCrop>
  <Company/>
  <LinksUpToDate>false</LinksUpToDate>
  <CharactersWithSpaces>48349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3</cp:revision>
  <dcterms:created xsi:type="dcterms:W3CDTF">2026-10-01T15:53:00Z</dcterms:created>
  <dcterms:modified xsi:type="dcterms:W3CDTF">2026-10-01T16:17:00Z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