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73636" w14:textId="77777777" w:rsidR="00A05329" w:rsidRPr="00A05329" w:rsidRDefault="00A05329" w:rsidP="00A05329">
      <w:pPr>
        <w:spacing w:after="0" w:line="240" w:lineRule="auto"/>
        <w:rPr>
          <w:rFonts w:ascii="Verdana" w:eastAsia="Aptos" w:hAnsi="Verdana" w:cs="Times New Roman"/>
        </w:rPr>
      </w:pPr>
      <w:bookmarkStart w:id="0" w:name="_Hlk143780582"/>
      <w:r w:rsidRPr="00A05329">
        <w:rPr>
          <w:rFonts w:ascii="Verdana" w:eastAsia="Aptos" w:hAnsi="Verdana" w:cs="Times New Roman"/>
          <w:b/>
          <w:bCs/>
          <w:color w:val="000000"/>
        </w:rPr>
        <w:t xml:space="preserve">DOCUMENTOS TIPO – Fundamento normativo – Obligatoriedad </w:t>
      </w:r>
    </w:p>
    <w:p w14:paraId="6D0795F9" w14:textId="77777777" w:rsidR="00A05329" w:rsidRPr="00A05329" w:rsidRDefault="00A05329" w:rsidP="00A05329">
      <w:pPr>
        <w:spacing w:after="0" w:line="240" w:lineRule="auto"/>
        <w:jc w:val="both"/>
        <w:rPr>
          <w:rFonts w:ascii="Verdana" w:eastAsia="Calibri" w:hAnsi="Verdana" w:cs="Arial"/>
          <w:b/>
          <w:bCs/>
          <w:sz w:val="20"/>
          <w:szCs w:val="20"/>
          <w:lang w:val="es-ES_tradnl"/>
        </w:rPr>
      </w:pPr>
    </w:p>
    <w:p w14:paraId="571161EC" w14:textId="77777777" w:rsidR="00A05329" w:rsidRPr="00A05329" w:rsidRDefault="00A05329" w:rsidP="00A05329">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A05329">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A05329">
        <w:rPr>
          <w:rFonts w:ascii="Verdana" w:eastAsia="Symbol" w:hAnsi="Verdana" w:cs="Symbol"/>
          <w:sz w:val="20"/>
          <w:szCs w:val="20"/>
          <w:shd w:val="clear" w:color="auto" w:fill="FFFFFF"/>
          <w:lang w:val="es-ES_tradnl" w:eastAsia="es-ES_tradnl"/>
        </w:rPr>
        <w:t>-</w:t>
      </w:r>
      <w:r w:rsidRPr="00A05329">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0E68D4D" w14:textId="77777777" w:rsidR="00A05329" w:rsidRPr="00A05329" w:rsidRDefault="00A05329" w:rsidP="00A05329">
      <w:pPr>
        <w:spacing w:after="0" w:line="240" w:lineRule="auto"/>
        <w:jc w:val="both"/>
        <w:rPr>
          <w:rFonts w:ascii="Verdana" w:eastAsia="Geomanist Light" w:hAnsi="Verdana" w:cs="Arial"/>
          <w:highlight w:val="yellow"/>
          <w:lang w:val="es-ES_tradnl"/>
        </w:rPr>
      </w:pPr>
    </w:p>
    <w:p w14:paraId="37C79266" w14:textId="77777777" w:rsidR="00A05329" w:rsidRPr="00A05329" w:rsidRDefault="00A05329" w:rsidP="00A05329">
      <w:pPr>
        <w:spacing w:after="0" w:line="240" w:lineRule="auto"/>
        <w:jc w:val="both"/>
        <w:rPr>
          <w:rFonts w:ascii="Verdana" w:eastAsia="Calibri" w:hAnsi="Verdana" w:cs="Arial"/>
          <w:b/>
          <w:kern w:val="2"/>
          <w:lang w:val="es-MX"/>
          <w14:ligatures w14:val="standardContextual"/>
        </w:rPr>
      </w:pPr>
      <w:r w:rsidRPr="00A05329">
        <w:rPr>
          <w:rFonts w:ascii="Verdana" w:eastAsia="Calibri" w:hAnsi="Verdana" w:cs="Arial"/>
          <w:b/>
          <w:kern w:val="2"/>
          <w:lang w:val="es-MX"/>
          <w14:ligatures w14:val="standardContextual"/>
        </w:rPr>
        <w:t>DOCUMENTOS TIPO – Inalterabilidad – Fundamentos</w:t>
      </w:r>
    </w:p>
    <w:p w14:paraId="7E481B35" w14:textId="77777777" w:rsidR="00A05329" w:rsidRPr="00A05329" w:rsidRDefault="00A05329" w:rsidP="00A05329">
      <w:pPr>
        <w:spacing w:after="0" w:line="240" w:lineRule="auto"/>
        <w:jc w:val="both"/>
        <w:rPr>
          <w:rFonts w:ascii="Verdana" w:eastAsia="Calibri" w:hAnsi="Verdana" w:cs="Arial"/>
          <w:color w:val="000000"/>
          <w:kern w:val="2"/>
          <w:sz w:val="24"/>
          <w:szCs w:val="24"/>
          <w:lang w:val="es-ES_tradnl"/>
          <w14:ligatures w14:val="standardContextual"/>
        </w:rPr>
      </w:pPr>
    </w:p>
    <w:p w14:paraId="2F48BD63" w14:textId="77777777" w:rsidR="00A05329" w:rsidRPr="00A05329" w:rsidRDefault="00A05329" w:rsidP="00A05329">
      <w:pPr>
        <w:spacing w:after="0" w:line="240" w:lineRule="auto"/>
        <w:jc w:val="both"/>
        <w:rPr>
          <w:rFonts w:ascii="Verdana" w:eastAsia="Calibri" w:hAnsi="Verdana" w:cs="Arial"/>
          <w:color w:val="000000"/>
          <w:kern w:val="2"/>
          <w:sz w:val="20"/>
          <w:szCs w:val="20"/>
          <w:lang w:val="es-ES"/>
          <w14:ligatures w14:val="standardContextual"/>
        </w:rPr>
      </w:pPr>
      <w:r w:rsidRPr="00A05329">
        <w:rPr>
          <w:rFonts w:ascii="Verdana" w:eastAsia="Calibri" w:hAnsi="Verdana" w:cs="Arial"/>
          <w:color w:val="000000"/>
          <w:kern w:val="2"/>
          <w:sz w:val="20"/>
          <w:szCs w:val="20"/>
          <w:lang w:val="es-ES"/>
          <w14:ligatures w14:val="standardContextual"/>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A05329">
        <w:rPr>
          <w:rFonts w:ascii="Verdana" w:eastAsia="Calibri" w:hAnsi="Verdana" w:cs="Arial"/>
          <w:i/>
          <w:iCs/>
          <w:color w:val="000000"/>
          <w:kern w:val="2"/>
          <w:sz w:val="20"/>
          <w:szCs w:val="20"/>
          <w:lang w:val="es-ES"/>
          <w14:ligatures w14:val="standardContextual"/>
        </w:rPr>
        <w:t>Documentos del Proceso</w:t>
      </w:r>
      <w:r w:rsidRPr="00A05329">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4963F7B" w14:textId="77777777" w:rsidR="00A05329" w:rsidRPr="00A05329" w:rsidRDefault="00A05329" w:rsidP="00A05329">
      <w:pPr>
        <w:spacing w:after="0" w:line="240" w:lineRule="auto"/>
        <w:jc w:val="both"/>
        <w:rPr>
          <w:rFonts w:ascii="Verdana" w:eastAsia="Calibri" w:hAnsi="Verdana" w:cs="Arial"/>
          <w:color w:val="000000"/>
          <w:kern w:val="2"/>
          <w:sz w:val="20"/>
          <w:szCs w:val="20"/>
          <w:lang w:val="es-ES_tradnl"/>
          <w14:ligatures w14:val="standardContextual"/>
        </w:rPr>
      </w:pPr>
    </w:p>
    <w:p w14:paraId="630E1438" w14:textId="77777777" w:rsidR="00A05329" w:rsidRPr="00A05329" w:rsidRDefault="00A05329" w:rsidP="00A05329">
      <w:pPr>
        <w:spacing w:after="0" w:line="240" w:lineRule="auto"/>
        <w:jc w:val="both"/>
        <w:rPr>
          <w:rFonts w:ascii="Verdana" w:eastAsia="Calibri" w:hAnsi="Verdana" w:cs="Arial"/>
          <w:kern w:val="2"/>
          <w:sz w:val="20"/>
          <w:szCs w:val="20"/>
          <w:lang w:val="es-ES_tradnl"/>
          <w14:ligatures w14:val="standardContextual"/>
        </w:rPr>
      </w:pPr>
      <w:r w:rsidRPr="00A05329">
        <w:rPr>
          <w:rFonts w:ascii="Verdana" w:eastAsia="Calibri" w:hAnsi="Verdana" w:cs="Arial"/>
          <w:kern w:val="2"/>
          <w:sz w:val="20"/>
          <w:szCs w:val="20"/>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2E2A8D93" w14:textId="77777777" w:rsidR="00A05329" w:rsidRPr="00A05329" w:rsidRDefault="00A05329" w:rsidP="00A05329">
      <w:pPr>
        <w:spacing w:after="0" w:line="240" w:lineRule="auto"/>
        <w:jc w:val="both"/>
        <w:rPr>
          <w:rFonts w:ascii="Arial" w:eastAsia="Calibri" w:hAnsi="Arial" w:cs="Arial"/>
          <w:b/>
          <w:kern w:val="2"/>
          <w:sz w:val="24"/>
          <w:szCs w:val="24"/>
          <w:lang w:val="es-MX"/>
          <w14:ligatures w14:val="standardContextual"/>
        </w:rPr>
      </w:pPr>
    </w:p>
    <w:p w14:paraId="31860317" w14:textId="77777777" w:rsidR="00A05329" w:rsidRPr="00A05329" w:rsidRDefault="00A05329" w:rsidP="00A05329">
      <w:pPr>
        <w:spacing w:after="0" w:line="240" w:lineRule="auto"/>
        <w:jc w:val="both"/>
        <w:rPr>
          <w:rFonts w:ascii="Verdana" w:eastAsia="Aptos" w:hAnsi="Verdana" w:cs="Arial"/>
          <w:b/>
          <w:kern w:val="2"/>
          <w:lang w:val="es-MX"/>
          <w14:ligatures w14:val="standardContextual"/>
        </w:rPr>
      </w:pPr>
      <w:r w:rsidRPr="00A05329">
        <w:rPr>
          <w:rFonts w:ascii="Verdana" w:eastAsia="Calibri" w:hAnsi="Verdana" w:cs="Arial"/>
          <w:b/>
          <w:kern w:val="2"/>
          <w:lang w:val="es-MX"/>
          <w14:ligatures w14:val="standardContextual"/>
        </w:rPr>
        <w:t xml:space="preserve">DOCUMENTOS TIPO – Inalterabilidad – Información en corchetes y resaltado gris </w:t>
      </w:r>
    </w:p>
    <w:p w14:paraId="7D315627" w14:textId="77777777" w:rsidR="00A05329" w:rsidRPr="00A05329" w:rsidRDefault="00A05329" w:rsidP="00A05329">
      <w:pPr>
        <w:spacing w:after="0" w:line="240" w:lineRule="auto"/>
        <w:jc w:val="both"/>
        <w:rPr>
          <w:rFonts w:ascii="Arial" w:eastAsia="Aptos" w:hAnsi="Arial" w:cs="Arial"/>
          <w:kern w:val="2"/>
          <w:sz w:val="20"/>
          <w:szCs w:val="20"/>
          <w:lang w:val="es-MX"/>
          <w14:ligatures w14:val="standardContextual"/>
        </w:rPr>
      </w:pPr>
    </w:p>
    <w:p w14:paraId="68C31D56" w14:textId="77777777" w:rsidR="00A05329" w:rsidRPr="00A05329" w:rsidRDefault="00A05329" w:rsidP="00A05329">
      <w:pPr>
        <w:spacing w:after="0" w:line="240" w:lineRule="auto"/>
        <w:jc w:val="both"/>
        <w:rPr>
          <w:rFonts w:ascii="Verdana" w:eastAsia="Calibri" w:hAnsi="Verdana" w:cs="Arial"/>
          <w:color w:val="000000"/>
          <w:kern w:val="2"/>
          <w:sz w:val="20"/>
          <w:szCs w:val="20"/>
          <w:lang w:val="es-ES"/>
          <w14:ligatures w14:val="standardContextual"/>
        </w:rPr>
      </w:pPr>
      <w:r w:rsidRPr="00A05329">
        <w:rPr>
          <w:rFonts w:ascii="Verdana" w:eastAsia="Calibri" w:hAnsi="Verdana" w:cs="Arial"/>
          <w:kern w:val="2"/>
          <w:sz w:val="20"/>
          <w:szCs w:val="20"/>
          <w:lang w:val="es-MX"/>
          <w14:ligatures w14:val="standardContextual"/>
        </w:rPr>
        <w:t xml:space="preserve">(…) la parte introductoria de los documentos base de los documentos tipo disponen que los aspectos incluidos en corchetes y resaltados en gris </w:t>
      </w:r>
      <w:r w:rsidRPr="00A05329">
        <w:rPr>
          <w:rFonts w:ascii="Verdana" w:eastAsia="Aptos" w:hAnsi="Verdana" w:cs="Arial"/>
          <w:kern w:val="2"/>
          <w:sz w:val="20"/>
          <w:szCs w:val="20"/>
          <w14:ligatures w14:val="standardContextual"/>
        </w:rPr>
        <w:t>–[</w:t>
      </w:r>
      <w:r w:rsidRPr="00A05329">
        <w:rPr>
          <w:rFonts w:ascii="Verdana" w:eastAsia="Aptos" w:hAnsi="Verdana" w:cs="Arial"/>
          <w:kern w:val="2"/>
          <w:sz w:val="20"/>
          <w:szCs w:val="20"/>
          <w:highlight w:val="lightGray"/>
          <w14:ligatures w14:val="standardContextual"/>
        </w:rPr>
        <w:t>texto de ejemplo</w:t>
      </w:r>
      <w:r w:rsidRPr="00A05329">
        <w:rPr>
          <w:rFonts w:ascii="Verdana" w:eastAsia="Aptos" w:hAnsi="Verdana" w:cs="Arial"/>
          <w:kern w:val="2"/>
          <w:sz w:val="20"/>
          <w:szCs w:val="20"/>
          <w14:ligatures w14:val="standardContextual"/>
        </w:rPr>
        <w:t xml:space="preserve">]– </w:t>
      </w:r>
      <w:r w:rsidRPr="00A05329">
        <w:rPr>
          <w:rFonts w:ascii="Verdana" w:eastAsia="Calibri" w:hAnsi="Verdana" w:cs="Arial"/>
          <w:kern w:val="2"/>
          <w:sz w:val="20"/>
          <w:szCs w:val="20"/>
          <w:lang w:val="es-MX"/>
          <w14:ligatures w14:val="standardContextual"/>
        </w:rPr>
        <w:t xml:space="preserve">deben ser diligenciados por la entidad. Excepcionalmente le corresponde al proponente consignar la información incluida en corchetes y resaltada en gris, como, por ejemplo, los formatos </w:t>
      </w:r>
      <w:r w:rsidRPr="00A05329">
        <w:rPr>
          <w:rFonts w:ascii="Verdana" w:eastAsia="Calibri" w:hAnsi="Verdana" w:cs="Arial"/>
          <w:kern w:val="2"/>
          <w:sz w:val="20"/>
          <w:szCs w:val="20"/>
          <w:lang w:val="es-MX"/>
          <w14:ligatures w14:val="standardContextual"/>
        </w:rPr>
        <w:lastRenderedPageBreak/>
        <w:t xml:space="preserve">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0496029" w14:textId="77777777" w:rsidR="00A05329" w:rsidRPr="00A05329" w:rsidRDefault="00A05329" w:rsidP="00A05329">
      <w:pPr>
        <w:spacing w:after="0" w:line="240" w:lineRule="auto"/>
        <w:jc w:val="both"/>
        <w:rPr>
          <w:rFonts w:ascii="Verdana" w:eastAsia="Calibri" w:hAnsi="Verdana" w:cs="Arial"/>
          <w:bCs/>
          <w:kern w:val="2"/>
          <w:sz w:val="20"/>
          <w:szCs w:val="20"/>
          <w:lang w:val="es-MX"/>
          <w14:ligatures w14:val="standardContextual"/>
        </w:rPr>
      </w:pPr>
    </w:p>
    <w:p w14:paraId="39FAB84C" w14:textId="77777777" w:rsidR="00A05329" w:rsidRPr="00A05329" w:rsidRDefault="00A05329" w:rsidP="00A05329">
      <w:pPr>
        <w:spacing w:after="0" w:line="240" w:lineRule="auto"/>
        <w:jc w:val="both"/>
        <w:rPr>
          <w:rFonts w:ascii="Verdana" w:eastAsia="Calibri" w:hAnsi="Verdana" w:cs="Arial"/>
          <w:bCs/>
          <w:kern w:val="2"/>
          <w:sz w:val="20"/>
          <w:szCs w:val="20"/>
          <w:lang w:val="es-MX"/>
          <w14:ligatures w14:val="standardContextual"/>
        </w:rPr>
      </w:pPr>
      <w:r w:rsidRPr="00A05329">
        <w:rPr>
          <w:rFonts w:ascii="Verdana" w:eastAsia="Calibri" w:hAnsi="Verdana" w:cs="Arial"/>
          <w:bCs/>
          <w:kern w:val="2"/>
          <w:sz w:val="20"/>
          <w:szCs w:val="20"/>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27D0650" w14:textId="77777777" w:rsidR="00A05329" w:rsidRPr="00A05329" w:rsidRDefault="00A05329" w:rsidP="00A05329">
      <w:pPr>
        <w:spacing w:after="0" w:line="240" w:lineRule="auto"/>
        <w:jc w:val="both"/>
        <w:rPr>
          <w:rFonts w:ascii="Verdana" w:eastAsia="Calibri" w:hAnsi="Verdana" w:cs="Arial"/>
          <w:bCs/>
          <w:kern w:val="2"/>
          <w:sz w:val="20"/>
          <w:szCs w:val="20"/>
          <w:lang w:val="es-MX"/>
          <w14:ligatures w14:val="standardContextual"/>
        </w:rPr>
      </w:pPr>
    </w:p>
    <w:p w14:paraId="71680892" w14:textId="77777777" w:rsidR="00A05329" w:rsidRPr="00A05329" w:rsidRDefault="00A05329" w:rsidP="00A05329">
      <w:pPr>
        <w:spacing w:after="0" w:line="240" w:lineRule="auto"/>
        <w:jc w:val="both"/>
        <w:rPr>
          <w:rFonts w:ascii="Verdana" w:eastAsia="Calibri" w:hAnsi="Verdana" w:cs="Arial"/>
          <w:bCs/>
          <w:kern w:val="2"/>
          <w:sz w:val="20"/>
          <w:szCs w:val="20"/>
          <w:lang w:val="es-MX"/>
          <w14:ligatures w14:val="standardContextual"/>
        </w:rPr>
      </w:pPr>
      <w:r w:rsidRPr="00A05329">
        <w:rPr>
          <w:rFonts w:ascii="Verdana" w:eastAsia="Calibri" w:hAnsi="Verdana" w:cs="Arial"/>
          <w:bCs/>
          <w:kern w:val="2"/>
          <w:sz w:val="20"/>
          <w:szCs w:val="20"/>
          <w:lang w:val="es-MX"/>
          <w14:ligatures w14:val="standardContextual"/>
        </w:rPr>
        <w:t xml:space="preserve">Esta regla de inalterabilidad </w:t>
      </w:r>
      <w:r w:rsidRPr="00A05329">
        <w:rPr>
          <w:rFonts w:ascii="Verdana" w:eastAsia="Calibri" w:hAnsi="Verdana" w:cs="Arial"/>
          <w:bCs/>
          <w:i/>
          <w:iCs/>
          <w:kern w:val="2"/>
          <w:sz w:val="20"/>
          <w:szCs w:val="20"/>
          <w:lang w:val="es-MX"/>
          <w14:ligatures w14:val="standardContextual"/>
        </w:rPr>
        <w:t>también aplica a los formatos, anexos y matrices</w:t>
      </w:r>
      <w:r w:rsidRPr="00A05329">
        <w:rPr>
          <w:rFonts w:ascii="Verdana" w:eastAsia="Calibri" w:hAnsi="Verdana" w:cs="Arial"/>
          <w:bCs/>
          <w:kern w:val="2"/>
          <w:sz w:val="20"/>
          <w:szCs w:val="20"/>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3F1DBD41" w14:textId="77777777" w:rsidR="00A05329" w:rsidRPr="00A05329" w:rsidRDefault="00A05329" w:rsidP="00A05329">
      <w:pPr>
        <w:tabs>
          <w:tab w:val="left" w:pos="-142"/>
        </w:tabs>
        <w:autoSpaceDE w:val="0"/>
        <w:autoSpaceDN w:val="0"/>
        <w:adjustRightInd w:val="0"/>
        <w:spacing w:after="0" w:line="240" w:lineRule="auto"/>
        <w:jc w:val="both"/>
        <w:rPr>
          <w:rFonts w:ascii="Arial" w:eastAsia="Arial" w:hAnsi="Arial" w:cs="Arial"/>
          <w:kern w:val="2"/>
          <w:sz w:val="20"/>
          <w:szCs w:val="20"/>
          <w:lang w:eastAsia="es-ES"/>
          <w14:ligatures w14:val="standardContextual"/>
        </w:rPr>
      </w:pPr>
    </w:p>
    <w:p w14:paraId="72F235F6" w14:textId="77777777" w:rsidR="00A05329" w:rsidRPr="00A05329" w:rsidRDefault="00A05329" w:rsidP="00A05329">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A05329">
        <w:rPr>
          <w:rFonts w:ascii="Verdana" w:eastAsia="Calibri" w:hAnsi="Verdana" w:cs="Arial"/>
          <w:b/>
          <w:bCs/>
          <w:kern w:val="2"/>
          <w:lang w:val="es-ES_tradnl" w:eastAsia="es-ES"/>
          <w14:ligatures w14:val="standardContextual"/>
        </w:rPr>
        <w:t xml:space="preserve">DOCUMENTOS TIPO </w:t>
      </w:r>
      <w:bookmarkStart w:id="1" w:name="_Hlk39666823"/>
      <w:r w:rsidRPr="00A05329">
        <w:rPr>
          <w:rFonts w:ascii="Verdana" w:eastAsia="Calibri" w:hAnsi="Verdana" w:cs="Arial"/>
          <w:b/>
          <w:kern w:val="2"/>
          <w:lang w:val="x-none" w:eastAsia="es-ES"/>
          <w14:ligatures w14:val="standardContextual"/>
        </w:rPr>
        <w:t>–</w:t>
      </w:r>
      <w:bookmarkEnd w:id="1"/>
      <w:r w:rsidRPr="00A05329">
        <w:rPr>
          <w:rFonts w:ascii="Verdana" w:eastAsia="Calibri" w:hAnsi="Verdana" w:cs="Arial"/>
          <w:b/>
          <w:bCs/>
          <w:kern w:val="2"/>
          <w:lang w:val="es-ES_tradnl" w:eastAsia="es-ES"/>
          <w14:ligatures w14:val="standardContextual"/>
        </w:rPr>
        <w:t xml:space="preserve"> Inalterabilidad </w:t>
      </w:r>
      <w:r w:rsidRPr="00A05329">
        <w:rPr>
          <w:rFonts w:ascii="Verdana" w:eastAsia="Calibri" w:hAnsi="Verdana" w:cs="Arial"/>
          <w:b/>
          <w:kern w:val="2"/>
          <w:lang w:val="x-none" w:eastAsia="es-ES"/>
          <w14:ligatures w14:val="standardContextual"/>
        </w:rPr>
        <w:t>–</w:t>
      </w:r>
      <w:r w:rsidRPr="00A05329">
        <w:rPr>
          <w:rFonts w:ascii="Verdana" w:eastAsia="Calibri" w:hAnsi="Verdana" w:cs="Arial"/>
          <w:b/>
          <w:bCs/>
          <w:kern w:val="2"/>
          <w:lang w:val="es-ES_tradnl" w:eastAsia="es-ES"/>
          <w14:ligatures w14:val="standardContextual"/>
        </w:rPr>
        <w:t xml:space="preserve"> Prevalencia del derecho sustancial</w:t>
      </w:r>
    </w:p>
    <w:p w14:paraId="510D05EB" w14:textId="77777777" w:rsidR="00A05329" w:rsidRPr="00A05329" w:rsidRDefault="00A05329" w:rsidP="00A05329">
      <w:pPr>
        <w:spacing w:after="0" w:line="240" w:lineRule="auto"/>
        <w:jc w:val="both"/>
        <w:rPr>
          <w:rFonts w:ascii="Arial" w:eastAsia="Calibri" w:hAnsi="Arial" w:cs="Arial"/>
          <w:b/>
          <w:bCs/>
          <w:kern w:val="2"/>
          <w:sz w:val="20"/>
          <w:szCs w:val="20"/>
          <w:lang w:val="es-ES_tradnl"/>
          <w14:ligatures w14:val="standardContextual"/>
        </w:rPr>
      </w:pPr>
    </w:p>
    <w:p w14:paraId="7BA8E341" w14:textId="77777777" w:rsidR="00A05329" w:rsidRPr="00A05329" w:rsidRDefault="00A05329" w:rsidP="00A05329">
      <w:pPr>
        <w:spacing w:after="0" w:line="240" w:lineRule="auto"/>
        <w:jc w:val="both"/>
        <w:rPr>
          <w:rFonts w:ascii="Verdana" w:eastAsia="Calibri" w:hAnsi="Verdana" w:cs="Arial"/>
          <w:kern w:val="2"/>
          <w:sz w:val="20"/>
          <w:szCs w:val="20"/>
          <w:lang w:val="es-MX"/>
          <w14:ligatures w14:val="standardContextual"/>
        </w:rPr>
      </w:pPr>
      <w:r w:rsidRPr="00A05329">
        <w:rPr>
          <w:rFonts w:ascii="Verdana" w:eastAsia="Calibri" w:hAnsi="Verdana" w:cs="Arial"/>
          <w:kern w:val="2"/>
          <w:sz w:val="20"/>
          <w:szCs w:val="20"/>
          <w:lang w:val="es-MX"/>
          <w14:ligatures w14:val="standardContextual"/>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923417B" w14:textId="77777777" w:rsidR="00A05329" w:rsidRPr="00A05329" w:rsidRDefault="00A05329" w:rsidP="00A05329">
      <w:pPr>
        <w:spacing w:after="0" w:line="240" w:lineRule="auto"/>
        <w:jc w:val="both"/>
        <w:rPr>
          <w:rFonts w:ascii="Verdana" w:eastAsia="Geomanist Light" w:hAnsi="Verdana" w:cs="Arial"/>
          <w:highlight w:val="yellow"/>
          <w:lang w:val="es-MX"/>
        </w:rPr>
      </w:pPr>
    </w:p>
    <w:p w14:paraId="7893D1BD" w14:textId="77777777" w:rsidR="00A05329" w:rsidRPr="00A05329" w:rsidRDefault="00A05329" w:rsidP="00A05329">
      <w:pPr>
        <w:tabs>
          <w:tab w:val="left" w:pos="-142"/>
        </w:tabs>
        <w:autoSpaceDE w:val="0"/>
        <w:autoSpaceDN w:val="0"/>
        <w:adjustRightInd w:val="0"/>
        <w:spacing w:after="0" w:line="276" w:lineRule="auto"/>
        <w:jc w:val="both"/>
        <w:rPr>
          <w:rFonts w:ascii="Aptos" w:eastAsia="Aptos" w:hAnsi="Aptos" w:cs="Times New Roman"/>
          <w:kern w:val="2"/>
          <w:sz w:val="24"/>
          <w:szCs w:val="24"/>
          <w14:ligatures w14:val="standardContextual"/>
        </w:rPr>
      </w:pPr>
      <w:r w:rsidRPr="00A05329">
        <w:rPr>
          <w:rFonts w:ascii="Verdana" w:eastAsia="Aptos" w:hAnsi="Verdana" w:cs="Arial"/>
          <w:b/>
          <w:bCs/>
          <w:color w:val="000000"/>
          <w:kern w:val="2"/>
          <w14:ligatures w14:val="standardContextual"/>
        </w:rPr>
        <w:t>DOCUMENTOS TIPO – Transporte – Licitación pública – Numeral 4.1 – Oferta económica – Apartes entre corchetes – Alcance</w:t>
      </w:r>
    </w:p>
    <w:p w14:paraId="59E2397E"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56C47DF3" w14:textId="77777777" w:rsidR="00A05329" w:rsidRPr="00A05329" w:rsidRDefault="00A05329" w:rsidP="00A05329">
      <w:pPr>
        <w:spacing w:after="0" w:line="240" w:lineRule="auto"/>
        <w:jc w:val="both"/>
        <w:rPr>
          <w:rFonts w:ascii="Aptos" w:eastAsia="Aptos" w:hAnsi="Aptos" w:cs="Times New Roman"/>
          <w:kern w:val="2"/>
          <w:sz w:val="20"/>
          <w:szCs w:val="20"/>
          <w14:ligatures w14:val="standardContextual"/>
        </w:rPr>
      </w:pPr>
      <w:r w:rsidRPr="00A05329">
        <w:rPr>
          <w:rFonts w:ascii="Verdana" w:eastAsia="Aptos" w:hAnsi="Verdana" w:cs="Arial"/>
          <w:color w:val="000000"/>
          <w:kern w:val="2"/>
          <w:sz w:val="20"/>
          <w:szCs w:val="20"/>
          <w14:ligatures w14:val="standardContextual"/>
        </w:rPr>
        <w:t xml:space="preserve">(…) los apartes entre corchetes del numeral 4.1 le permiten a la entidad: i) indicar la forma de pago del contrato, en concordancia con el Anexo 1 – Anexo Técnico y el Formulario 1 – Formulario de Presupuesto Oficial; </w:t>
      </w:r>
      <w:proofErr w:type="spellStart"/>
      <w:r w:rsidRPr="00A05329">
        <w:rPr>
          <w:rFonts w:ascii="Verdana" w:eastAsia="Aptos" w:hAnsi="Verdana" w:cs="Arial"/>
          <w:color w:val="000000"/>
          <w:kern w:val="2"/>
          <w:sz w:val="20"/>
          <w:szCs w:val="20"/>
          <w14:ligatures w14:val="standardContextual"/>
        </w:rPr>
        <w:t>ii</w:t>
      </w:r>
      <w:proofErr w:type="spellEnd"/>
      <w:r w:rsidRPr="00A05329">
        <w:rPr>
          <w:rFonts w:ascii="Verdana" w:eastAsia="Aptos" w:hAnsi="Verdana" w:cs="Arial"/>
          <w:color w:val="000000"/>
          <w:kern w:val="2"/>
          <w:sz w:val="20"/>
          <w:szCs w:val="20"/>
          <w14:ligatures w14:val="standardContextual"/>
        </w:rPr>
        <w:t xml:space="preserve">) aplicar las notas del Formulario 1 cuando el presupuesto se estructura por precios unitarios o, en las demás modalidades de pago, definir las notas que el proponente debe tener en cuenta para presentar su oferta económica; </w:t>
      </w:r>
      <w:proofErr w:type="spellStart"/>
      <w:r w:rsidRPr="00A05329">
        <w:rPr>
          <w:rFonts w:ascii="Verdana" w:eastAsia="Aptos" w:hAnsi="Verdana" w:cs="Arial"/>
          <w:color w:val="000000"/>
          <w:kern w:val="2"/>
          <w:sz w:val="20"/>
          <w:szCs w:val="20"/>
          <w14:ligatures w14:val="standardContextual"/>
        </w:rPr>
        <w:t>iii</w:t>
      </w:r>
      <w:proofErr w:type="spellEnd"/>
      <w:r w:rsidRPr="00A05329">
        <w:rPr>
          <w:rFonts w:ascii="Verdana" w:eastAsia="Aptos" w:hAnsi="Verdana" w:cs="Arial"/>
          <w:color w:val="000000"/>
          <w:kern w:val="2"/>
          <w:sz w:val="20"/>
          <w:szCs w:val="20"/>
          <w14:ligatures w14:val="standardContextual"/>
        </w:rPr>
        <w:t xml:space="preserve">) configurar el formato de oferta económica contenido en el Formulario 1 e incluirlo en formato Excel; </w:t>
      </w:r>
      <w:proofErr w:type="spellStart"/>
      <w:r w:rsidRPr="00A05329">
        <w:rPr>
          <w:rFonts w:ascii="Verdana" w:eastAsia="Aptos" w:hAnsi="Verdana" w:cs="Arial"/>
          <w:color w:val="000000"/>
          <w:kern w:val="2"/>
          <w:sz w:val="20"/>
          <w:szCs w:val="20"/>
          <w14:ligatures w14:val="standardContextual"/>
        </w:rPr>
        <w:t>iv</w:t>
      </w:r>
      <w:proofErr w:type="spellEnd"/>
      <w:r w:rsidRPr="00A05329">
        <w:rPr>
          <w:rFonts w:ascii="Verdana" w:eastAsia="Aptos" w:hAnsi="Verdana" w:cs="Arial"/>
          <w:color w:val="000000"/>
          <w:kern w:val="2"/>
          <w:sz w:val="20"/>
          <w:szCs w:val="20"/>
          <w14:ligatures w14:val="standardContextual"/>
        </w:rPr>
        <w:t xml:space="preserve">) incorporar, cuando el proceso sea por precios unitarios, la regla según la cual el análisis de precios unitarios publicado por la entidad es únicamente de referencia; y v) discriminar los impuestos, tasas o contribuciones aplicables al proceso. Como se observa, ninguna de estas instrucciones habilita a la entidad para fijar un valor o porcentaje mínimo de la oferta económica, ni </w:t>
      </w:r>
      <w:r w:rsidRPr="00A05329">
        <w:rPr>
          <w:rFonts w:ascii="Verdana" w:eastAsia="Aptos" w:hAnsi="Verdana" w:cs="Arial"/>
          <w:color w:val="000000"/>
          <w:kern w:val="2"/>
          <w:sz w:val="20"/>
          <w:szCs w:val="20"/>
          <w14:ligatures w14:val="standardContextual"/>
        </w:rPr>
        <w:lastRenderedPageBreak/>
        <w:t>para asignar a las ofertas inferiores a dicho valor la consecuencia de ser consideradas artificialmente bajas.</w:t>
      </w:r>
    </w:p>
    <w:p w14:paraId="4B20B1B0"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404D81AF" w14:textId="77777777" w:rsidR="00A05329" w:rsidRPr="00A05329" w:rsidRDefault="00A05329" w:rsidP="00A05329">
      <w:pPr>
        <w:tabs>
          <w:tab w:val="left" w:pos="-142"/>
        </w:tabs>
        <w:autoSpaceDE w:val="0"/>
        <w:autoSpaceDN w:val="0"/>
        <w:adjustRightInd w:val="0"/>
        <w:spacing w:after="0" w:line="240" w:lineRule="auto"/>
        <w:jc w:val="both"/>
        <w:rPr>
          <w:rFonts w:ascii="Aptos" w:eastAsia="Aptos" w:hAnsi="Aptos" w:cs="Times New Roman"/>
          <w:kern w:val="2"/>
          <w:sz w:val="24"/>
          <w:szCs w:val="24"/>
          <w14:ligatures w14:val="standardContextual"/>
        </w:rPr>
      </w:pPr>
      <w:r w:rsidRPr="00A05329">
        <w:rPr>
          <w:rFonts w:ascii="Verdana" w:eastAsia="Aptos" w:hAnsi="Verdana" w:cs="Arial"/>
          <w:b/>
          <w:bCs/>
          <w:color w:val="000000"/>
          <w:kern w:val="2"/>
          <w14:ligatures w14:val="standardContextual"/>
        </w:rPr>
        <w:t>PRECIOS ARTIFICIALMENTE BAJOS – Noción – Procedimiento – Artículo 2.2.1.1.2.2.4 del Decreto 1082 de 2015</w:t>
      </w:r>
    </w:p>
    <w:p w14:paraId="7874DAC1"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35F9298E" w14:textId="77777777" w:rsidR="00A05329" w:rsidRPr="00A05329" w:rsidRDefault="00A05329" w:rsidP="00A05329">
      <w:pPr>
        <w:spacing w:after="0" w:line="240" w:lineRule="auto"/>
        <w:jc w:val="both"/>
        <w:rPr>
          <w:rFonts w:ascii="Aptos" w:eastAsia="Aptos" w:hAnsi="Aptos" w:cs="Times New Roman"/>
          <w:kern w:val="2"/>
          <w:sz w:val="20"/>
          <w:szCs w:val="20"/>
          <w14:ligatures w14:val="standardContextual"/>
        </w:rPr>
      </w:pPr>
      <w:r w:rsidRPr="00A05329">
        <w:rPr>
          <w:rFonts w:ascii="Verdana" w:eastAsia="Aptos" w:hAnsi="Verdana" w:cs="Arial"/>
          <w:color w:val="000000"/>
          <w:kern w:val="2"/>
          <w:sz w:val="20"/>
          <w:szCs w:val="20"/>
          <w14:ligatures w14:val="standardContextual"/>
        </w:rPr>
        <w:t xml:space="preserve">(…) ante una propuesta artificialmente baja, la entidad estatal está obligada a: i) requerir al oferente para que explique las razones que sustentan el valor ofrecido; </w:t>
      </w:r>
      <w:proofErr w:type="spellStart"/>
      <w:r w:rsidRPr="00A05329">
        <w:rPr>
          <w:rFonts w:ascii="Verdana" w:eastAsia="Aptos" w:hAnsi="Verdana" w:cs="Arial"/>
          <w:color w:val="000000"/>
          <w:kern w:val="2"/>
          <w:sz w:val="20"/>
          <w:szCs w:val="20"/>
          <w14:ligatures w14:val="standardContextual"/>
        </w:rPr>
        <w:t>ii</w:t>
      </w:r>
      <w:proofErr w:type="spellEnd"/>
      <w:r w:rsidRPr="00A05329">
        <w:rPr>
          <w:rFonts w:ascii="Verdana" w:eastAsia="Aptos" w:hAnsi="Verdana" w:cs="Arial"/>
          <w:color w:val="000000"/>
          <w:kern w:val="2"/>
          <w:sz w:val="20"/>
          <w:szCs w:val="20"/>
          <w14:ligatures w14:val="standardContextual"/>
        </w:rPr>
        <w:t xml:space="preserve">) analizar las explicaciones; y </w:t>
      </w:r>
      <w:proofErr w:type="spellStart"/>
      <w:r w:rsidRPr="00A05329">
        <w:rPr>
          <w:rFonts w:ascii="Verdana" w:eastAsia="Aptos" w:hAnsi="Verdana" w:cs="Arial"/>
          <w:color w:val="000000"/>
          <w:kern w:val="2"/>
          <w:sz w:val="20"/>
          <w:szCs w:val="20"/>
          <w14:ligatures w14:val="standardContextual"/>
        </w:rPr>
        <w:t>iii</w:t>
      </w:r>
      <w:proofErr w:type="spellEnd"/>
      <w:r w:rsidRPr="00A05329">
        <w:rPr>
          <w:rFonts w:ascii="Verdana" w:eastAsia="Aptos" w:hAnsi="Verdana" w:cs="Arial"/>
          <w:color w:val="000000"/>
          <w:kern w:val="2"/>
          <w:sz w:val="20"/>
          <w:szCs w:val="20"/>
          <w14:ligatures w14:val="standardContextual"/>
        </w:rPr>
        <w:t>)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w:t>
      </w:r>
    </w:p>
    <w:p w14:paraId="32BC07C6"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728312F0" w14:textId="77777777" w:rsidR="00A05329" w:rsidRPr="00A05329" w:rsidRDefault="00A05329" w:rsidP="00A05329">
      <w:pPr>
        <w:tabs>
          <w:tab w:val="left" w:pos="-142"/>
        </w:tabs>
        <w:autoSpaceDE w:val="0"/>
        <w:autoSpaceDN w:val="0"/>
        <w:adjustRightInd w:val="0"/>
        <w:spacing w:after="0" w:line="240" w:lineRule="auto"/>
        <w:jc w:val="both"/>
        <w:rPr>
          <w:rFonts w:ascii="Aptos" w:eastAsia="Aptos" w:hAnsi="Aptos" w:cs="Times New Roman"/>
          <w:kern w:val="2"/>
          <w:sz w:val="24"/>
          <w:szCs w:val="24"/>
          <w14:ligatures w14:val="standardContextual"/>
        </w:rPr>
      </w:pPr>
      <w:r w:rsidRPr="00A05329">
        <w:rPr>
          <w:rFonts w:ascii="Verdana" w:eastAsia="Aptos" w:hAnsi="Verdana" w:cs="Arial"/>
          <w:b/>
          <w:bCs/>
          <w:color w:val="000000"/>
          <w:kern w:val="2"/>
          <w14:ligatures w14:val="standardContextual"/>
        </w:rPr>
        <w:t>ANÁLISIS DEL SECTOR – Documentos tipo – Precios artificialmente bajos – Referente</w:t>
      </w:r>
    </w:p>
    <w:p w14:paraId="297A837D"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5C132774" w14:textId="77777777" w:rsidR="00A05329" w:rsidRPr="00A05329" w:rsidRDefault="00A05329" w:rsidP="00A05329">
      <w:pPr>
        <w:spacing w:after="0" w:line="240" w:lineRule="auto"/>
        <w:jc w:val="both"/>
        <w:rPr>
          <w:rFonts w:ascii="Aptos" w:eastAsia="Aptos" w:hAnsi="Aptos" w:cs="Times New Roman"/>
          <w:kern w:val="2"/>
          <w:sz w:val="20"/>
          <w:szCs w:val="20"/>
          <w14:ligatures w14:val="standardContextual"/>
        </w:rPr>
      </w:pPr>
      <w:r w:rsidRPr="00A05329">
        <w:rPr>
          <w:rFonts w:ascii="Verdana" w:eastAsia="Aptos" w:hAnsi="Verdana" w:cs="Arial"/>
          <w:color w:val="000000"/>
          <w:kern w:val="2"/>
          <w:sz w:val="20"/>
          <w:szCs w:val="20"/>
          <w14:ligatures w14:val="standardContextual"/>
        </w:rPr>
        <w:t>(…) será en el análisis del sector, y no en el pliego de condiciones, donde la entidad eventualmente podrá establecer, de manera justificada y con base en la información del mercado que haya recaudado, un referente –por ejemplo, un porcentaje respecto del presupuesto oficial o del costo estimado del contrato– para identificar las ofertas cuyo valor parezca artificialmente bajo. Sin embargo, (…) dicho referente no puede tener el alcance de una regla de evaluación ni de una causal de rechazo. (…) Por tanto, las ofertas que se ubiquen por debajo del referente no pueden ser consideradas artificialmente bajas por ese solo hecho.</w:t>
      </w:r>
    </w:p>
    <w:p w14:paraId="65DD6D32"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7AB3121E" w14:textId="77777777" w:rsidR="00A05329" w:rsidRPr="00A05329" w:rsidRDefault="00A05329" w:rsidP="00A05329">
      <w:pPr>
        <w:tabs>
          <w:tab w:val="left" w:pos="-142"/>
        </w:tabs>
        <w:autoSpaceDE w:val="0"/>
        <w:autoSpaceDN w:val="0"/>
        <w:adjustRightInd w:val="0"/>
        <w:spacing w:after="0" w:line="240" w:lineRule="auto"/>
        <w:jc w:val="both"/>
        <w:rPr>
          <w:rFonts w:ascii="Aptos" w:eastAsia="Aptos" w:hAnsi="Aptos" w:cs="Times New Roman"/>
          <w:kern w:val="2"/>
          <w:sz w:val="24"/>
          <w:szCs w:val="24"/>
          <w14:ligatures w14:val="standardContextual"/>
        </w:rPr>
      </w:pPr>
      <w:r w:rsidRPr="00A05329">
        <w:rPr>
          <w:rFonts w:ascii="Verdana" w:eastAsia="Aptos" w:hAnsi="Verdana" w:cs="Arial"/>
          <w:b/>
          <w:bCs/>
          <w:color w:val="000000"/>
          <w:kern w:val="2"/>
          <w14:ligatures w14:val="standardContextual"/>
        </w:rPr>
        <w:t>MÉTODO DE PONDERACIÓN ECONÓMICA – Precios artificialmente bajos – Independencia</w:t>
      </w:r>
    </w:p>
    <w:p w14:paraId="42CB0BE0" w14:textId="77777777" w:rsidR="00A05329" w:rsidRPr="00A05329" w:rsidRDefault="00A05329" w:rsidP="00A05329">
      <w:pPr>
        <w:spacing w:after="0" w:line="240" w:lineRule="auto"/>
        <w:jc w:val="both"/>
        <w:rPr>
          <w:rFonts w:ascii="Aptos" w:eastAsia="Aptos" w:hAnsi="Aptos" w:cs="Times New Roman"/>
          <w:kern w:val="2"/>
          <w:sz w:val="24"/>
          <w:szCs w:val="24"/>
          <w14:ligatures w14:val="standardContextual"/>
        </w:rPr>
      </w:pPr>
    </w:p>
    <w:p w14:paraId="02935756" w14:textId="77777777" w:rsidR="00A05329" w:rsidRPr="00A05329" w:rsidRDefault="00A05329" w:rsidP="00A05329">
      <w:pPr>
        <w:spacing w:after="0" w:line="240" w:lineRule="auto"/>
        <w:jc w:val="both"/>
        <w:rPr>
          <w:rFonts w:ascii="Aptos" w:eastAsia="Aptos" w:hAnsi="Aptos" w:cs="Times New Roman"/>
          <w:kern w:val="2"/>
          <w:sz w:val="20"/>
          <w:szCs w:val="20"/>
          <w14:ligatures w14:val="standardContextual"/>
        </w:rPr>
      </w:pPr>
      <w:r w:rsidRPr="00A05329">
        <w:rPr>
          <w:rFonts w:ascii="Verdana" w:eastAsia="Aptos" w:hAnsi="Verdana" w:cs="Arial"/>
          <w:color w:val="000000"/>
          <w:kern w:val="2"/>
          <w:sz w:val="20"/>
          <w:szCs w:val="20"/>
          <w14:ligatures w14:val="standardContextual"/>
        </w:rPr>
        <w:t>(…) el referente que la entidad establezca en el análisis del sector para identificar ofertas que parezcan artificialmente bajas no implica definir con anterioridad el método de ponderación de menor valor, ni ningún otro, pues se trata de actuaciones independientes. Distinto es que el valor mínimo se configure como una regla que excluya de la evaluación económica, sin agotar el procedimiento reglamentario, las ofertas que se encuentren por debajo de él, pues en ese caso se modificaría el factor económico de escogencia previsto en el documento tipo, cualquiera que sea el método de ponderación que resulte aplicable.</w:t>
      </w:r>
    </w:p>
    <w:p w14:paraId="698A323D" w14:textId="77777777" w:rsidR="00A05329" w:rsidRPr="00A05329" w:rsidRDefault="00A05329" w:rsidP="00A05329">
      <w:pPr>
        <w:spacing w:after="0" w:line="240" w:lineRule="auto"/>
        <w:jc w:val="both"/>
        <w:rPr>
          <w:rFonts w:ascii="Verdana" w:eastAsia="Aptos" w:hAnsi="Verdana" w:cs="Times New Roman"/>
          <w:kern w:val="2"/>
          <w:sz w:val="20"/>
          <w:szCs w:val="20"/>
          <w14:ligatures w14:val="standardContextual"/>
        </w:rPr>
      </w:pPr>
    </w:p>
    <w:p w14:paraId="75B6509C" w14:textId="77777777" w:rsidR="00A05329" w:rsidRPr="00A05329" w:rsidRDefault="00A05329" w:rsidP="00A05329">
      <w:pPr>
        <w:spacing w:after="0" w:line="240" w:lineRule="auto"/>
        <w:jc w:val="both"/>
        <w:rPr>
          <w:rFonts w:ascii="Verdana" w:eastAsia="Aptos" w:hAnsi="Verdana" w:cs="Times New Roman"/>
          <w:kern w:val="2"/>
          <w14:ligatures w14:val="standardContextual"/>
        </w:rPr>
      </w:pPr>
    </w:p>
    <w:p w14:paraId="6E3F6A94" w14:textId="77777777" w:rsidR="00A05329" w:rsidRDefault="00A05329" w:rsidP="00A05329">
      <w:pPr>
        <w:spacing w:after="0" w:line="240" w:lineRule="auto"/>
        <w:jc w:val="both"/>
        <w:rPr>
          <w:rFonts w:ascii="Verdana" w:eastAsia="Aptos" w:hAnsi="Verdana" w:cs="Times New Roman"/>
          <w:kern w:val="2"/>
          <w14:ligatures w14:val="standardContextual"/>
        </w:rPr>
      </w:pPr>
    </w:p>
    <w:p w14:paraId="0B9F433D" w14:textId="77777777" w:rsidR="008543E7" w:rsidRDefault="008543E7" w:rsidP="00A05329">
      <w:pPr>
        <w:spacing w:after="0" w:line="240" w:lineRule="auto"/>
        <w:jc w:val="both"/>
        <w:rPr>
          <w:rFonts w:ascii="Verdana" w:eastAsia="Aptos" w:hAnsi="Verdana" w:cs="Times New Roman"/>
          <w:kern w:val="2"/>
          <w14:ligatures w14:val="standardContextual"/>
        </w:rPr>
      </w:pPr>
    </w:p>
    <w:p w14:paraId="63865D9B" w14:textId="77777777" w:rsidR="008543E7" w:rsidRPr="00A05329" w:rsidRDefault="008543E7" w:rsidP="00A05329">
      <w:pPr>
        <w:spacing w:after="0" w:line="240" w:lineRule="auto"/>
        <w:jc w:val="both"/>
        <w:rPr>
          <w:rFonts w:ascii="Verdana" w:eastAsia="Aptos" w:hAnsi="Verdana" w:cs="Times New Roman"/>
          <w:kern w:val="2"/>
          <w14:ligatures w14:val="standardContextual"/>
        </w:rPr>
      </w:pPr>
    </w:p>
    <w:p w14:paraId="11E89DFD" w14:textId="77777777" w:rsidR="00A05329" w:rsidRPr="00A05329" w:rsidRDefault="00A05329" w:rsidP="00A05329">
      <w:pPr>
        <w:spacing w:after="0" w:line="240" w:lineRule="auto"/>
        <w:jc w:val="both"/>
        <w:rPr>
          <w:rFonts w:ascii="Verdana" w:eastAsia="Aptos" w:hAnsi="Verdana" w:cs="Times New Roman"/>
          <w:kern w:val="2"/>
          <w14:ligatures w14:val="standardContextual"/>
        </w:rPr>
      </w:pPr>
    </w:p>
    <w:p w14:paraId="2401ADE1" w14:textId="77777777" w:rsidR="00A05329" w:rsidRPr="00A05329" w:rsidRDefault="00A05329" w:rsidP="00A05329">
      <w:pPr>
        <w:tabs>
          <w:tab w:val="left" w:pos="1005"/>
        </w:tabs>
        <w:spacing w:after="0" w:line="240" w:lineRule="auto"/>
        <w:jc w:val="both"/>
        <w:rPr>
          <w:rFonts w:ascii="Verdana" w:eastAsia="Aptos" w:hAnsi="Verdana" w:cs="Arial"/>
          <w:color w:val="000000"/>
          <w:highlight w:val="yellow"/>
          <w:lang w:val="es-ES_tradnl"/>
        </w:rPr>
      </w:pPr>
    </w:p>
    <w:p w14:paraId="27314C94" w14:textId="77777777" w:rsidR="004F6D10" w:rsidRDefault="004F6D10" w:rsidP="00A05329">
      <w:pPr>
        <w:spacing w:after="0" w:line="240" w:lineRule="auto"/>
        <w:rPr>
          <w:rFonts w:ascii="Verdana" w:eastAsia="Verdana" w:hAnsi="Verdana" w:cs="Verdana"/>
          <w:kern w:val="2"/>
          <w14:ligatures w14:val="standardContextual"/>
        </w:rPr>
      </w:pPr>
      <w:bookmarkStart w:id="2" w:name="_Hlk117695077"/>
    </w:p>
    <w:p w14:paraId="6F7868B4" w14:textId="367E528A" w:rsidR="00A05329" w:rsidRDefault="00A05329" w:rsidP="00A05329">
      <w:pPr>
        <w:spacing w:after="0" w:line="240" w:lineRule="auto"/>
        <w:rPr>
          <w:rFonts w:ascii="Verdana" w:eastAsia="Verdana" w:hAnsi="Verdana" w:cs="Verdana"/>
          <w:kern w:val="2"/>
          <w14:ligatures w14:val="standardContextual"/>
        </w:rPr>
      </w:pPr>
      <w:r w:rsidRPr="00A05329">
        <w:rPr>
          <w:rFonts w:ascii="Verdana" w:eastAsia="Verdana" w:hAnsi="Verdana" w:cs="Verdana"/>
          <w:kern w:val="2"/>
          <w14:ligatures w14:val="standardContextual"/>
        </w:rPr>
        <w:lastRenderedPageBreak/>
        <w:t xml:space="preserve">Bogotá D.C., </w:t>
      </w:r>
      <w:r w:rsidR="008543E7">
        <w:rPr>
          <w:rFonts w:ascii="Verdana" w:eastAsia="Verdana" w:hAnsi="Verdana" w:cs="Verdana"/>
          <w:kern w:val="2"/>
          <w14:ligatures w14:val="standardContextual"/>
        </w:rPr>
        <w:t>5 de octubre de 2026</w:t>
      </w:r>
    </w:p>
    <w:p w14:paraId="5E1DDF24" w14:textId="77777777" w:rsidR="008543E7" w:rsidRDefault="008543E7" w:rsidP="00A05329">
      <w:pPr>
        <w:spacing w:after="0" w:line="240" w:lineRule="auto"/>
        <w:rPr>
          <w:rFonts w:ascii="Verdana" w:eastAsia="Verdana" w:hAnsi="Verdana" w:cs="Verdana"/>
          <w:kern w:val="2"/>
          <w14:ligatures w14:val="standardContextual"/>
        </w:rPr>
      </w:pPr>
    </w:p>
    <w:p w14:paraId="7C2F6E1D" w14:textId="5C0CBD60" w:rsidR="008543E7" w:rsidRPr="00A05329" w:rsidRDefault="008543E7" w:rsidP="008543E7">
      <w:pPr>
        <w:spacing w:after="0" w:line="240" w:lineRule="auto"/>
        <w:jc w:val="right"/>
        <w:rPr>
          <w:rFonts w:ascii="Verdana" w:eastAsia="Aptos" w:hAnsi="Verdana" w:cs="Times New Roman"/>
          <w:kern w:val="2"/>
          <w:sz w:val="24"/>
          <w:szCs w:val="24"/>
          <w14:ligatures w14:val="standardContextual"/>
        </w:rPr>
      </w:pPr>
    </w:p>
    <w:p w14:paraId="7955A4AB" w14:textId="6FC9ED21" w:rsidR="00A05329" w:rsidRPr="00A05329" w:rsidRDefault="004F6D10" w:rsidP="00A05329">
      <w:pPr>
        <w:spacing w:after="0" w:line="240" w:lineRule="auto"/>
        <w:rPr>
          <w:rFonts w:ascii="Verdana" w:eastAsia="Calibri" w:hAnsi="Verdana" w:cs="Arial"/>
          <w:lang w:eastAsia="es-ES"/>
        </w:rPr>
      </w:pPr>
      <w:r w:rsidRPr="008543E7">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3982B052" wp14:editId="309B025A">
            <wp:simplePos x="0" y="0"/>
            <wp:positionH relativeFrom="margin">
              <wp:align>right</wp:align>
            </wp:positionH>
            <wp:positionV relativeFrom="paragraph">
              <wp:posOffset>9221</wp:posOffset>
            </wp:positionV>
            <wp:extent cx="2849769" cy="932652"/>
            <wp:effectExtent l="0" t="0" r="8255" b="1270"/>
            <wp:wrapSquare wrapText="bothSides"/>
            <wp:docPr id="3673142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14264" name=""/>
                    <pic:cNvPicPr/>
                  </pic:nvPicPr>
                  <pic:blipFill>
                    <a:blip r:embed="rId10">
                      <a:extLst>
                        <a:ext uri="{28A0092B-C50C-407E-A947-70E740481C1C}">
                          <a14:useLocalDpi xmlns:a14="http://schemas.microsoft.com/office/drawing/2010/main" val="0"/>
                        </a:ext>
                      </a:extLst>
                    </a:blip>
                    <a:stretch>
                      <a:fillRect/>
                    </a:stretch>
                  </pic:blipFill>
                  <pic:spPr>
                    <a:xfrm>
                      <a:off x="0" y="0"/>
                      <a:ext cx="2849769" cy="932652"/>
                    </a:xfrm>
                    <a:prstGeom prst="rect">
                      <a:avLst/>
                    </a:prstGeom>
                  </pic:spPr>
                </pic:pic>
              </a:graphicData>
            </a:graphic>
          </wp:anchor>
        </w:drawing>
      </w:r>
    </w:p>
    <w:p w14:paraId="659B27E2" w14:textId="77777777" w:rsidR="00A05329" w:rsidRPr="00A05329" w:rsidRDefault="00A05329" w:rsidP="00A05329">
      <w:pPr>
        <w:spacing w:after="0" w:line="276" w:lineRule="auto"/>
        <w:jc w:val="both"/>
        <w:rPr>
          <w:rFonts w:ascii="Verdana" w:eastAsia="Calibri" w:hAnsi="Verdana" w:cs="Arial"/>
          <w:lang w:val="es-ES_tradnl" w:eastAsia="es-ES"/>
        </w:rPr>
      </w:pPr>
      <w:r w:rsidRPr="00A05329">
        <w:rPr>
          <w:rFonts w:ascii="Verdana" w:eastAsia="Calibri" w:hAnsi="Verdana" w:cs="Arial"/>
          <w:lang w:val="es-ES_tradnl" w:eastAsia="es-ES"/>
        </w:rPr>
        <w:t>Señor</w:t>
      </w:r>
    </w:p>
    <w:p w14:paraId="0C55FB5F" w14:textId="77777777" w:rsidR="00A05329" w:rsidRPr="00A05329" w:rsidRDefault="00A05329" w:rsidP="00A05329">
      <w:pPr>
        <w:spacing w:after="0" w:line="276" w:lineRule="auto"/>
        <w:jc w:val="both"/>
        <w:rPr>
          <w:rFonts w:ascii="Verdana" w:eastAsia="Aptos" w:hAnsi="Verdana" w:cs="Times New Roman"/>
          <w:b/>
          <w:bCs/>
          <w:kern w:val="2"/>
          <w14:ligatures w14:val="standardContextual"/>
        </w:rPr>
      </w:pPr>
      <w:r w:rsidRPr="00A05329">
        <w:rPr>
          <w:rFonts w:ascii="Verdana" w:eastAsia="Calibri" w:hAnsi="Verdana" w:cs="Arial"/>
          <w:b/>
          <w:bCs/>
          <w:lang w:val="es-ES_tradnl" w:eastAsia="es-ES"/>
        </w:rPr>
        <w:t>Carlos Arturo Corzo López</w:t>
      </w:r>
    </w:p>
    <w:p w14:paraId="59991F10" w14:textId="77777777" w:rsidR="00A05329" w:rsidRPr="00A05329" w:rsidRDefault="00A05329" w:rsidP="00A05329">
      <w:pPr>
        <w:spacing w:after="0" w:line="240" w:lineRule="auto"/>
        <w:jc w:val="both"/>
        <w:rPr>
          <w:rFonts w:ascii="Verdana" w:eastAsia="Calibri" w:hAnsi="Verdana" w:cs="Arial"/>
        </w:rPr>
      </w:pPr>
      <w:r w:rsidRPr="00A05329">
        <w:rPr>
          <w:rFonts w:ascii="Verdana" w:eastAsia="Calibri" w:hAnsi="Verdana" w:cs="Arial"/>
        </w:rPr>
        <w:t>Bucaramanga, Santander</w:t>
      </w:r>
    </w:p>
    <w:p w14:paraId="62498173" w14:textId="77777777" w:rsidR="00A05329" w:rsidRPr="00A05329" w:rsidRDefault="00A05329" w:rsidP="00A05329">
      <w:pPr>
        <w:spacing w:after="0" w:line="240" w:lineRule="auto"/>
        <w:jc w:val="both"/>
        <w:rPr>
          <w:rFonts w:ascii="Verdana" w:eastAsia="Calibri" w:hAnsi="Verdana" w:cs="Arial"/>
        </w:rPr>
      </w:pPr>
    </w:p>
    <w:p w14:paraId="38F81469" w14:textId="77777777" w:rsidR="00A05329" w:rsidRPr="00A05329" w:rsidRDefault="00A05329" w:rsidP="00A05329">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A05329" w:rsidRPr="00A05329" w14:paraId="057A5F30" w14:textId="77777777" w:rsidTr="009E3879">
        <w:trPr>
          <w:trHeight w:val="910"/>
        </w:trPr>
        <w:tc>
          <w:tcPr>
            <w:tcW w:w="2725" w:type="dxa"/>
          </w:tcPr>
          <w:p w14:paraId="2033CEBF" w14:textId="77777777" w:rsidR="00A05329" w:rsidRPr="00A05329" w:rsidRDefault="00A05329" w:rsidP="00A05329">
            <w:pPr>
              <w:jc w:val="both"/>
              <w:rPr>
                <w:rFonts w:ascii="Verdana" w:eastAsia="Calibri" w:hAnsi="Verdana" w:cs="Arial"/>
                <w:b/>
                <w:bCs/>
                <w:color w:val="7030A0"/>
                <w:lang w:eastAsia="es-ES_tradnl"/>
              </w:rPr>
            </w:pPr>
          </w:p>
        </w:tc>
        <w:tc>
          <w:tcPr>
            <w:tcW w:w="6183" w:type="dxa"/>
          </w:tcPr>
          <w:p w14:paraId="7E8F3D9D" w14:textId="77777777" w:rsidR="00A05329" w:rsidRPr="00A05329" w:rsidRDefault="00A05329" w:rsidP="00A05329">
            <w:pPr>
              <w:snapToGrid w:val="0"/>
              <w:jc w:val="both"/>
              <w:rPr>
                <w:rFonts w:ascii="Verdana" w:eastAsia="Calibri" w:hAnsi="Verdana" w:cs="Arial"/>
                <w:b/>
                <w:bCs/>
                <w:lang w:eastAsia="es-ES"/>
              </w:rPr>
            </w:pPr>
            <w:r w:rsidRPr="00A05329">
              <w:rPr>
                <w:rFonts w:ascii="Verdana" w:eastAsia="Calibri" w:hAnsi="Verdana" w:cs="Arial"/>
                <w:b/>
                <w:bCs/>
                <w:lang w:eastAsia="es-ES"/>
              </w:rPr>
              <w:t>Concepto C-1340 de 2026</w:t>
            </w:r>
          </w:p>
          <w:p w14:paraId="583BB422" w14:textId="77777777" w:rsidR="00A05329" w:rsidRPr="00A05329" w:rsidRDefault="00A05329" w:rsidP="00A05329">
            <w:pPr>
              <w:snapToGrid w:val="0"/>
              <w:jc w:val="both"/>
              <w:rPr>
                <w:rFonts w:ascii="Verdana" w:eastAsia="Calibri" w:hAnsi="Verdana" w:cs="Arial"/>
                <w:b/>
                <w:bCs/>
                <w:lang w:eastAsia="es-ES"/>
              </w:rPr>
            </w:pPr>
          </w:p>
        </w:tc>
      </w:tr>
      <w:tr w:rsidR="00A05329" w:rsidRPr="00A05329" w14:paraId="63E757FB" w14:textId="77777777" w:rsidTr="009E3879">
        <w:trPr>
          <w:trHeight w:val="910"/>
        </w:trPr>
        <w:tc>
          <w:tcPr>
            <w:tcW w:w="2725" w:type="dxa"/>
          </w:tcPr>
          <w:p w14:paraId="42A257F4" w14:textId="77777777" w:rsidR="00A05329" w:rsidRPr="00A05329" w:rsidRDefault="00A05329" w:rsidP="00A05329">
            <w:pPr>
              <w:jc w:val="both"/>
              <w:rPr>
                <w:rFonts w:ascii="Verdana" w:eastAsia="Calibri" w:hAnsi="Verdana" w:cs="Arial"/>
                <w:color w:val="000000"/>
                <w:lang w:eastAsia="es-ES_tradnl"/>
              </w:rPr>
            </w:pPr>
            <w:r w:rsidRPr="00A05329">
              <w:rPr>
                <w:rFonts w:ascii="Verdana" w:eastAsia="Calibri" w:hAnsi="Verdana" w:cs="Arial"/>
                <w:b/>
                <w:color w:val="000000"/>
                <w:lang w:eastAsia="es-ES_tradnl"/>
              </w:rPr>
              <w:t>Temas:</w:t>
            </w:r>
            <w:r w:rsidRPr="00A05329">
              <w:rPr>
                <w:rFonts w:ascii="Verdana" w:eastAsia="Calibri" w:hAnsi="Verdana" w:cs="Arial"/>
                <w:color w:val="000000"/>
                <w:lang w:eastAsia="es-ES_tradnl"/>
              </w:rPr>
              <w:t xml:space="preserve">                   </w:t>
            </w:r>
          </w:p>
        </w:tc>
        <w:tc>
          <w:tcPr>
            <w:tcW w:w="6183" w:type="dxa"/>
          </w:tcPr>
          <w:p w14:paraId="69150939" w14:textId="77777777" w:rsidR="00A05329" w:rsidRPr="00A05329" w:rsidRDefault="00A05329" w:rsidP="00A05329">
            <w:pPr>
              <w:spacing w:line="276" w:lineRule="auto"/>
              <w:jc w:val="both"/>
              <w:rPr>
                <w:rFonts w:ascii="Verdana" w:eastAsia="Times New Roman" w:hAnsi="Verdana" w:cs="Times New Roman"/>
                <w:lang w:eastAsia="es-MX"/>
              </w:rPr>
            </w:pPr>
            <w:r w:rsidRPr="00A05329">
              <w:rPr>
                <w:rFonts w:ascii="Verdana" w:eastAsia="Aptos" w:hAnsi="Verdana" w:cs="Times New Roman"/>
                <w:color w:val="000000"/>
                <w:lang w:eastAsia="es-MX"/>
              </w:rPr>
              <w:t xml:space="preserve">DOCUMENTOS TIPO – Fundamento normativo – Obligatoriedad </w:t>
            </w:r>
            <w:r w:rsidRPr="00A05329">
              <w:rPr>
                <w:rFonts w:ascii="Verdana" w:eastAsia="Aptos" w:hAnsi="Verdana" w:cs="Times New Roman"/>
                <w:lang w:eastAsia="es-MX"/>
              </w:rPr>
              <w:t xml:space="preserve">/ </w:t>
            </w:r>
            <w:r w:rsidRPr="00A05329">
              <w:rPr>
                <w:rFonts w:ascii="Verdana" w:eastAsia="Calibri" w:hAnsi="Verdana" w:cs="Arial"/>
                <w:lang w:val="es-MX" w:eastAsia="es-MX"/>
              </w:rPr>
              <w:t xml:space="preserve">DOCUMENTOS TIPO – Inalterabilidad – Fundamentos / DOCUMENTOS TIPO – Inalterabilidad – Información en corchetes y resaltado gris </w:t>
            </w:r>
            <w:r w:rsidRPr="00A05329">
              <w:rPr>
                <w:rFonts w:ascii="Verdana" w:eastAsia="Aptos" w:hAnsi="Verdana" w:cs="Arial"/>
                <w:lang w:val="es-MX" w:eastAsia="es-MX"/>
              </w:rPr>
              <w:t xml:space="preserve"> / </w:t>
            </w:r>
            <w:r w:rsidRPr="00A05329">
              <w:rPr>
                <w:rFonts w:ascii="Verdana" w:eastAsia="Calibri" w:hAnsi="Verdana" w:cs="Arial"/>
                <w:lang w:val="es-ES_tradnl" w:eastAsia="es-ES"/>
              </w:rPr>
              <w:t xml:space="preserve">DOCUMENTOS TIPO </w:t>
            </w:r>
            <w:r w:rsidRPr="00A05329">
              <w:rPr>
                <w:rFonts w:ascii="Verdana" w:eastAsia="Calibri" w:hAnsi="Verdana" w:cs="Arial"/>
                <w:lang w:val="x-none" w:eastAsia="es-ES"/>
              </w:rPr>
              <w:t>–</w:t>
            </w:r>
            <w:r w:rsidRPr="00A05329">
              <w:rPr>
                <w:rFonts w:ascii="Verdana" w:eastAsia="Calibri" w:hAnsi="Verdana" w:cs="Arial"/>
                <w:lang w:val="es-ES_tradnl" w:eastAsia="es-ES"/>
              </w:rPr>
              <w:t xml:space="preserve"> Inalterabilidad </w:t>
            </w:r>
            <w:r w:rsidRPr="00A05329">
              <w:rPr>
                <w:rFonts w:ascii="Verdana" w:eastAsia="Calibri" w:hAnsi="Verdana" w:cs="Arial"/>
                <w:lang w:val="x-none" w:eastAsia="es-ES"/>
              </w:rPr>
              <w:t>–</w:t>
            </w:r>
            <w:r w:rsidRPr="00A05329">
              <w:rPr>
                <w:rFonts w:ascii="Verdana" w:eastAsia="Calibri" w:hAnsi="Verdana" w:cs="Arial"/>
                <w:lang w:val="es-ES_tradnl" w:eastAsia="es-ES"/>
              </w:rPr>
              <w:t xml:space="preserve"> Prevalencia del derecho sustancial / </w:t>
            </w:r>
            <w:r w:rsidRPr="00A05329">
              <w:rPr>
                <w:rFonts w:ascii="Verdana" w:eastAsia="Times New Roman" w:hAnsi="Verdana" w:cs="Times New Roman"/>
                <w:lang w:eastAsia="es-MX"/>
              </w:rPr>
              <w:t>DOCUMENTOS TIPO – Transporte – Licitación pública – Numeral 4.1 – Oferta económica – Apartes entre corchetes / PRECIOS ARTIFICIALMENTE BAJOS – Noción – Procedimiento – Artículo 2.2.1.1.2.2.4 del Decreto 1082 de 2015 / ANÁLISIS DEL SECTOR – Documentos tipo – Precios artificialmente bajos – Referente / MÉTODO DE PONDERACIÓN ECONÓMICA – Precios artificialmente bajos – Independencia</w:t>
            </w:r>
          </w:p>
          <w:p w14:paraId="670FCAE3" w14:textId="77777777" w:rsidR="00A05329" w:rsidRPr="00A05329" w:rsidRDefault="00A05329" w:rsidP="00A05329">
            <w:pPr>
              <w:snapToGrid w:val="0"/>
              <w:jc w:val="both"/>
              <w:rPr>
                <w:rFonts w:ascii="Verdana" w:eastAsia="Calibri" w:hAnsi="Verdana" w:cs="Arial"/>
                <w:lang w:eastAsia="es-ES"/>
              </w:rPr>
            </w:pPr>
          </w:p>
        </w:tc>
      </w:tr>
      <w:tr w:rsidR="00A05329" w:rsidRPr="00A05329" w14:paraId="2E6B6D33" w14:textId="77777777" w:rsidTr="009E3879">
        <w:trPr>
          <w:trHeight w:val="556"/>
        </w:trPr>
        <w:tc>
          <w:tcPr>
            <w:tcW w:w="2725" w:type="dxa"/>
          </w:tcPr>
          <w:p w14:paraId="3D271924" w14:textId="77777777" w:rsidR="00A05329" w:rsidRPr="00A05329" w:rsidRDefault="00A05329" w:rsidP="00A05329">
            <w:pPr>
              <w:jc w:val="both"/>
              <w:rPr>
                <w:rFonts w:ascii="Verdana" w:eastAsia="Calibri" w:hAnsi="Verdana" w:cs="Arial"/>
                <w:b/>
                <w:bCs/>
                <w:lang w:eastAsia="es-ES_tradnl"/>
              </w:rPr>
            </w:pPr>
            <w:r w:rsidRPr="00A05329">
              <w:rPr>
                <w:rFonts w:ascii="Verdana" w:eastAsia="Calibri" w:hAnsi="Verdana" w:cs="Arial"/>
                <w:b/>
                <w:bCs/>
                <w:lang w:eastAsia="es-ES_tradnl"/>
              </w:rPr>
              <w:t xml:space="preserve">Radicación:               </w:t>
            </w:r>
          </w:p>
        </w:tc>
        <w:tc>
          <w:tcPr>
            <w:tcW w:w="6183" w:type="dxa"/>
          </w:tcPr>
          <w:p w14:paraId="1FFC5591" w14:textId="77777777" w:rsidR="00A05329" w:rsidRPr="00A05329" w:rsidRDefault="00A05329" w:rsidP="00A05329">
            <w:pPr>
              <w:snapToGrid w:val="0"/>
              <w:jc w:val="both"/>
              <w:rPr>
                <w:rFonts w:ascii="Verdana" w:eastAsia="Calibri" w:hAnsi="Verdana" w:cs="Arial"/>
                <w:lang w:eastAsia="es-ES_tradnl"/>
              </w:rPr>
            </w:pPr>
            <w:r w:rsidRPr="00A05329">
              <w:rPr>
                <w:rFonts w:ascii="Verdana" w:eastAsia="Calibri" w:hAnsi="Verdana" w:cs="Arial"/>
                <w:lang w:eastAsia="es-ES_tradnl"/>
              </w:rPr>
              <w:t>Respuesta a consulta con radicado No. 1_2026_08_26_011358</w:t>
            </w:r>
          </w:p>
        </w:tc>
      </w:tr>
    </w:tbl>
    <w:p w14:paraId="6A4908FA" w14:textId="77777777" w:rsidR="00A05329" w:rsidRPr="00A05329" w:rsidRDefault="00A05329" w:rsidP="00A05329">
      <w:pPr>
        <w:spacing w:after="0" w:line="240" w:lineRule="auto"/>
        <w:jc w:val="both"/>
        <w:rPr>
          <w:rFonts w:ascii="Verdana" w:eastAsia="Calibri" w:hAnsi="Verdana" w:cs="Arial"/>
          <w:b/>
          <w:bCs/>
          <w:lang w:eastAsia="es-ES"/>
        </w:rPr>
      </w:pPr>
      <w:r w:rsidRPr="00A05329">
        <w:rPr>
          <w:rFonts w:ascii="Verdana" w:eastAsia="Calibri" w:hAnsi="Verdana" w:cs="Arial"/>
          <w:b/>
          <w:bCs/>
          <w:lang w:eastAsia="es-ES"/>
        </w:rPr>
        <w:tab/>
      </w:r>
    </w:p>
    <w:p w14:paraId="0EEA5BA7" w14:textId="77777777" w:rsidR="00A05329" w:rsidRPr="00A05329" w:rsidRDefault="00A05329" w:rsidP="00A05329">
      <w:pPr>
        <w:spacing w:after="0" w:line="276" w:lineRule="auto"/>
        <w:jc w:val="both"/>
        <w:rPr>
          <w:rFonts w:ascii="Verdana" w:eastAsia="Aptos" w:hAnsi="Verdana" w:cs="Times New Roman"/>
          <w:b/>
          <w:bCs/>
          <w:kern w:val="2"/>
          <w14:ligatures w14:val="standardContextual"/>
        </w:rPr>
      </w:pPr>
      <w:r w:rsidRPr="00A05329">
        <w:rPr>
          <w:rFonts w:ascii="Verdana" w:eastAsia="Calibri" w:hAnsi="Verdana" w:cs="Vrinda"/>
          <w:lang w:val="es-ES" w:eastAsia="es-ES"/>
        </w:rPr>
        <w:t xml:space="preserve">Estimado señor </w:t>
      </w:r>
      <w:r w:rsidRPr="00A05329">
        <w:rPr>
          <w:rFonts w:ascii="Verdana" w:eastAsia="Calibri" w:hAnsi="Verdana" w:cs="Arial"/>
          <w:lang w:val="es-ES_tradnl" w:eastAsia="es-ES"/>
        </w:rPr>
        <w:t>Corzo López</w:t>
      </w:r>
      <w:r w:rsidRPr="00A05329">
        <w:rPr>
          <w:rFonts w:ascii="Verdana" w:eastAsia="Aptos" w:hAnsi="Verdana" w:cs="Times New Roman"/>
          <w:kern w:val="2"/>
          <w14:ligatures w14:val="standardContextual"/>
        </w:rPr>
        <w:t>:</w:t>
      </w:r>
    </w:p>
    <w:p w14:paraId="4FCAE0AC" w14:textId="77777777" w:rsidR="00A05329" w:rsidRPr="00A05329" w:rsidRDefault="00A05329" w:rsidP="00A05329">
      <w:pPr>
        <w:spacing w:after="0" w:line="240" w:lineRule="auto"/>
        <w:jc w:val="both"/>
        <w:rPr>
          <w:rFonts w:ascii="Verdana" w:eastAsia="Aptos" w:hAnsi="Verdana" w:cs="Times New Roman"/>
          <w:b/>
          <w:bCs/>
          <w:kern w:val="2"/>
          <w14:ligatures w14:val="standardContextual"/>
        </w:rPr>
      </w:pPr>
    </w:p>
    <w:p w14:paraId="3519F982" w14:textId="77777777" w:rsidR="00A05329" w:rsidRPr="00A05329" w:rsidRDefault="00A05329" w:rsidP="00A05329">
      <w:pPr>
        <w:spacing w:after="0" w:line="276" w:lineRule="auto"/>
        <w:jc w:val="both"/>
        <w:rPr>
          <w:rFonts w:ascii="Verdana" w:eastAsia="Calibri" w:hAnsi="Verdana" w:cs="Arial"/>
          <w:lang w:val="es-ES" w:eastAsia="es-ES"/>
        </w:rPr>
      </w:pPr>
      <w:r w:rsidRPr="00A05329">
        <w:rPr>
          <w:rFonts w:ascii="Verdana" w:eastAsia="Calibri" w:hAnsi="Verdana" w:cs="Arial"/>
          <w:lang w:val="es-ES" w:eastAsia="es-ES"/>
        </w:rPr>
        <w:t>En ejercicio de la competencia otorgada por los artículos 3, numeral 5º, y 11, numeral 8º, del Decreto Ley 4170 de 2011,</w:t>
      </w:r>
      <w:r w:rsidRPr="00A05329">
        <w:rPr>
          <w:rFonts w:ascii="Verdana" w:eastAsia="Arial MT" w:hAnsi="Verdana" w:cs="Arial MT"/>
          <w:lang w:val="es-ES" w:eastAsia="es-ES"/>
        </w:rPr>
        <w:t xml:space="preserve"> </w:t>
      </w:r>
      <w:r w:rsidRPr="00A05329">
        <w:rPr>
          <w:rFonts w:ascii="Verdana" w:eastAsia="Calibri" w:hAnsi="Verdana" w:cs="Arial"/>
          <w:lang w:eastAsia="es-MX"/>
        </w:rPr>
        <w:t xml:space="preserve">así como lo establecido por la </w:t>
      </w:r>
      <w:r w:rsidRPr="00A05329">
        <w:rPr>
          <w:rFonts w:ascii="Verdana" w:eastAsia="Aptos" w:hAnsi="Verdana" w:cs="Arial"/>
          <w:bCs/>
          <w:lang w:eastAsia="es-ES" w:bidi="es-ES"/>
        </w:rPr>
        <w:t>Resolución 469 de 2025 expedida por esta Entidad</w:t>
      </w:r>
      <w:r w:rsidRPr="00A05329">
        <w:rPr>
          <w:rFonts w:ascii="Verdana" w:eastAsia="Calibri" w:hAnsi="Verdana" w:cs="Arial"/>
          <w:lang w:eastAsia="es-MX"/>
        </w:rPr>
        <w:t xml:space="preserve">, </w:t>
      </w:r>
      <w:r w:rsidRPr="00A05329">
        <w:rPr>
          <w:rFonts w:ascii="Verdana" w:eastAsia="Calibri" w:hAnsi="Verdana" w:cs="Arial"/>
          <w:lang w:val="es-ES" w:eastAsia="es-ES"/>
        </w:rPr>
        <w:t xml:space="preserve">la Agencia Nacional de Contratación Pública – Colombia Compra Eficiente– responde su solicitud de consulta del 26 de agosto de 2026, en la cual manifiesta lo siguiente: </w:t>
      </w:r>
    </w:p>
    <w:p w14:paraId="4085AD98" w14:textId="77777777" w:rsidR="00A05329" w:rsidRPr="00A05329" w:rsidRDefault="00A05329" w:rsidP="00A05329">
      <w:pPr>
        <w:spacing w:after="0" w:line="276" w:lineRule="auto"/>
        <w:jc w:val="both"/>
        <w:rPr>
          <w:rFonts w:ascii="Verdana" w:eastAsia="Calibri" w:hAnsi="Verdana" w:cs="Vrinda"/>
          <w:lang w:val="es-ES" w:eastAsia="es-ES"/>
        </w:rPr>
      </w:pPr>
    </w:p>
    <w:p w14:paraId="636170FD" w14:textId="77777777" w:rsidR="00A05329" w:rsidRPr="00A05329" w:rsidRDefault="00A05329" w:rsidP="00A05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A05329">
        <w:rPr>
          <w:rFonts w:ascii="Verdana" w:eastAsia="Aptos" w:hAnsi="Verdana" w:cs="Arial"/>
          <w:color w:val="000000"/>
          <w:sz w:val="20"/>
          <w:szCs w:val="20"/>
          <w:lang w:val="es-MX"/>
          <w14:ligatures w14:val="standardContextual"/>
        </w:rPr>
        <w:lastRenderedPageBreak/>
        <w:t>“</w:t>
      </w:r>
      <w:r w:rsidRPr="00A05329">
        <w:rPr>
          <w:rFonts w:ascii="Verdana" w:eastAsia="Aptos" w:hAnsi="Verdana" w:cs="Times New Roman"/>
          <w:kern w:val="2"/>
          <w:sz w:val="20"/>
          <w:szCs w:val="20"/>
          <w14:ligatures w14:val="standardContextual"/>
        </w:rPr>
        <w:t xml:space="preserve">Cordial saludo. en un proceso de </w:t>
      </w:r>
      <w:proofErr w:type="spellStart"/>
      <w:r w:rsidRPr="00A05329">
        <w:rPr>
          <w:rFonts w:ascii="Verdana" w:eastAsia="Aptos" w:hAnsi="Verdana" w:cs="Times New Roman"/>
          <w:kern w:val="2"/>
          <w:sz w:val="20"/>
          <w:szCs w:val="20"/>
          <w14:ligatures w14:val="standardContextual"/>
        </w:rPr>
        <w:t>licitacion</w:t>
      </w:r>
      <w:proofErr w:type="spellEnd"/>
      <w:r w:rsidRPr="00A05329">
        <w:rPr>
          <w:rFonts w:ascii="Verdana" w:eastAsia="Aptos" w:hAnsi="Verdana" w:cs="Times New Roman"/>
          <w:kern w:val="2"/>
          <w:sz w:val="20"/>
          <w:szCs w:val="20"/>
          <w14:ligatures w14:val="standardContextual"/>
        </w:rPr>
        <w:t xml:space="preserve"> con pliegos tipo. Puedo incluir en el documento "</w:t>
      </w:r>
      <w:proofErr w:type="spellStart"/>
      <w:r w:rsidRPr="00A05329">
        <w:rPr>
          <w:rFonts w:ascii="Verdana" w:eastAsia="Aptos" w:hAnsi="Verdana" w:cs="Times New Roman"/>
          <w:kern w:val="2"/>
          <w:sz w:val="20"/>
          <w:szCs w:val="20"/>
          <w14:ligatures w14:val="standardContextual"/>
        </w:rPr>
        <w:t>analisis</w:t>
      </w:r>
      <w:proofErr w:type="spellEnd"/>
      <w:r w:rsidRPr="00A05329">
        <w:rPr>
          <w:rFonts w:ascii="Verdana" w:eastAsia="Aptos" w:hAnsi="Verdana" w:cs="Times New Roman"/>
          <w:kern w:val="2"/>
          <w:sz w:val="20"/>
          <w:szCs w:val="20"/>
          <w14:ligatures w14:val="standardContextual"/>
        </w:rPr>
        <w:t xml:space="preserve"> del sector", solicitar que la propuesta </w:t>
      </w:r>
      <w:proofErr w:type="spellStart"/>
      <w:r w:rsidRPr="00A05329">
        <w:rPr>
          <w:rFonts w:ascii="Verdana" w:eastAsia="Aptos" w:hAnsi="Verdana" w:cs="Times New Roman"/>
          <w:kern w:val="2"/>
          <w:sz w:val="20"/>
          <w:szCs w:val="20"/>
          <w14:ligatures w14:val="standardContextual"/>
        </w:rPr>
        <w:t>economica</w:t>
      </w:r>
      <w:proofErr w:type="spellEnd"/>
      <w:r w:rsidRPr="00A05329">
        <w:rPr>
          <w:rFonts w:ascii="Verdana" w:eastAsia="Aptos" w:hAnsi="Verdana" w:cs="Times New Roman"/>
          <w:kern w:val="2"/>
          <w:sz w:val="20"/>
          <w:szCs w:val="20"/>
          <w14:ligatures w14:val="standardContextual"/>
        </w:rPr>
        <w:t xml:space="preserve"> tenga un valor </w:t>
      </w:r>
      <w:proofErr w:type="spellStart"/>
      <w:r w:rsidRPr="00A05329">
        <w:rPr>
          <w:rFonts w:ascii="Verdana" w:eastAsia="Aptos" w:hAnsi="Verdana" w:cs="Times New Roman"/>
          <w:kern w:val="2"/>
          <w:sz w:val="20"/>
          <w:szCs w:val="20"/>
          <w14:ligatures w14:val="standardContextual"/>
        </w:rPr>
        <w:t>minimo</w:t>
      </w:r>
      <w:proofErr w:type="spellEnd"/>
      <w:r w:rsidRPr="00A05329">
        <w:rPr>
          <w:rFonts w:ascii="Verdana" w:eastAsia="Aptos" w:hAnsi="Verdana" w:cs="Times New Roman"/>
          <w:kern w:val="2"/>
          <w:sz w:val="20"/>
          <w:szCs w:val="20"/>
          <w14:ligatures w14:val="standardContextual"/>
        </w:rPr>
        <w:t xml:space="preserve"> permitido de XX.XX% y que las propuestas que </w:t>
      </w:r>
      <w:proofErr w:type="spellStart"/>
      <w:r w:rsidRPr="00A05329">
        <w:rPr>
          <w:rFonts w:ascii="Verdana" w:eastAsia="Aptos" w:hAnsi="Verdana" w:cs="Times New Roman"/>
          <w:kern w:val="2"/>
          <w:sz w:val="20"/>
          <w:szCs w:val="20"/>
          <w14:ligatures w14:val="standardContextual"/>
        </w:rPr>
        <w:t>esten</w:t>
      </w:r>
      <w:proofErr w:type="spellEnd"/>
      <w:r w:rsidRPr="00A05329">
        <w:rPr>
          <w:rFonts w:ascii="Verdana" w:eastAsia="Aptos" w:hAnsi="Verdana" w:cs="Times New Roman"/>
          <w:kern w:val="2"/>
          <w:sz w:val="20"/>
          <w:szCs w:val="20"/>
          <w14:ligatures w14:val="standardContextual"/>
        </w:rPr>
        <w:t xml:space="preserve"> por debajo de ese valor </w:t>
      </w:r>
      <w:proofErr w:type="spellStart"/>
      <w:r w:rsidRPr="00A05329">
        <w:rPr>
          <w:rFonts w:ascii="Verdana" w:eastAsia="Aptos" w:hAnsi="Verdana" w:cs="Times New Roman"/>
          <w:kern w:val="2"/>
          <w:sz w:val="20"/>
          <w:szCs w:val="20"/>
          <w14:ligatures w14:val="standardContextual"/>
        </w:rPr>
        <w:t>minimo</w:t>
      </w:r>
      <w:proofErr w:type="spellEnd"/>
      <w:r w:rsidRPr="00A05329">
        <w:rPr>
          <w:rFonts w:ascii="Verdana" w:eastAsia="Aptos" w:hAnsi="Verdana" w:cs="Times New Roman"/>
          <w:kern w:val="2"/>
          <w:sz w:val="20"/>
          <w:szCs w:val="20"/>
          <w14:ligatures w14:val="standardContextual"/>
        </w:rPr>
        <w:t xml:space="preserve"> permitido sean consideradas artificialmente bajas? </w:t>
      </w:r>
    </w:p>
    <w:p w14:paraId="2C3892C5" w14:textId="77777777" w:rsidR="00A05329" w:rsidRPr="00A05329" w:rsidRDefault="00A05329" w:rsidP="00A05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A05329">
        <w:rPr>
          <w:rFonts w:ascii="Verdana" w:eastAsia="Aptos" w:hAnsi="Verdana" w:cs="Times New Roman"/>
          <w:kern w:val="2"/>
          <w:sz w:val="20"/>
          <w:szCs w:val="20"/>
          <w14:ligatures w14:val="standardContextual"/>
        </w:rPr>
        <w:t xml:space="preserve">1. En ese orden de ideas </w:t>
      </w:r>
      <w:proofErr w:type="spellStart"/>
      <w:r w:rsidRPr="00A05329">
        <w:rPr>
          <w:rFonts w:ascii="Verdana" w:eastAsia="Aptos" w:hAnsi="Verdana" w:cs="Times New Roman"/>
          <w:kern w:val="2"/>
          <w:sz w:val="20"/>
          <w:szCs w:val="20"/>
          <w14:ligatures w14:val="standardContextual"/>
        </w:rPr>
        <w:t>estaria</w:t>
      </w:r>
      <w:proofErr w:type="spellEnd"/>
      <w:r w:rsidRPr="00A05329">
        <w:rPr>
          <w:rFonts w:ascii="Verdana" w:eastAsia="Aptos" w:hAnsi="Verdana" w:cs="Times New Roman"/>
          <w:kern w:val="2"/>
          <w:sz w:val="20"/>
          <w:szCs w:val="20"/>
          <w14:ligatures w14:val="standardContextual"/>
        </w:rPr>
        <w:t xml:space="preserve"> alterando el pliego tipo? </w:t>
      </w:r>
    </w:p>
    <w:p w14:paraId="116368E2" w14:textId="77777777" w:rsidR="00A05329" w:rsidRPr="00A05329" w:rsidRDefault="00A05329" w:rsidP="00A05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A05329">
        <w:rPr>
          <w:rFonts w:ascii="Verdana" w:eastAsia="Aptos" w:hAnsi="Verdana" w:cs="Times New Roman"/>
          <w:kern w:val="2"/>
          <w:sz w:val="20"/>
          <w:szCs w:val="20"/>
          <w14:ligatures w14:val="standardContextual"/>
        </w:rPr>
        <w:t xml:space="preserve">2. </w:t>
      </w:r>
      <w:proofErr w:type="spellStart"/>
      <w:r w:rsidRPr="00A05329">
        <w:rPr>
          <w:rFonts w:ascii="Verdana" w:eastAsia="Aptos" w:hAnsi="Verdana" w:cs="Times New Roman"/>
          <w:kern w:val="2"/>
          <w:sz w:val="20"/>
          <w:szCs w:val="20"/>
          <w14:ligatures w14:val="standardContextual"/>
        </w:rPr>
        <w:t>Estaria</w:t>
      </w:r>
      <w:proofErr w:type="spellEnd"/>
      <w:r w:rsidRPr="00A05329">
        <w:rPr>
          <w:rFonts w:ascii="Verdana" w:eastAsia="Aptos" w:hAnsi="Verdana" w:cs="Times New Roman"/>
          <w:kern w:val="2"/>
          <w:sz w:val="20"/>
          <w:szCs w:val="20"/>
          <w14:ligatures w14:val="standardContextual"/>
        </w:rPr>
        <w:t xml:space="preserve"> definiendo con anterioridad la </w:t>
      </w:r>
      <w:proofErr w:type="spellStart"/>
      <w:r w:rsidRPr="00A05329">
        <w:rPr>
          <w:rFonts w:ascii="Verdana" w:eastAsia="Aptos" w:hAnsi="Verdana" w:cs="Times New Roman"/>
          <w:kern w:val="2"/>
          <w:sz w:val="20"/>
          <w:szCs w:val="20"/>
          <w14:ligatures w14:val="standardContextual"/>
        </w:rPr>
        <w:t>formula</w:t>
      </w:r>
      <w:proofErr w:type="spellEnd"/>
      <w:r w:rsidRPr="00A05329">
        <w:rPr>
          <w:rFonts w:ascii="Verdana" w:eastAsia="Aptos" w:hAnsi="Verdana" w:cs="Times New Roman"/>
          <w:kern w:val="2"/>
          <w:sz w:val="20"/>
          <w:szCs w:val="20"/>
          <w14:ligatures w14:val="standardContextual"/>
        </w:rPr>
        <w:t xml:space="preserve"> de menor valor? </w:t>
      </w:r>
    </w:p>
    <w:p w14:paraId="2DBB6D5C" w14:textId="77777777" w:rsidR="00A05329" w:rsidRPr="00A05329" w:rsidRDefault="00A05329" w:rsidP="00A05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0"/>
          <w:szCs w:val="20"/>
          <w:lang w:val="es-MX"/>
          <w14:ligatures w14:val="standardContextual"/>
        </w:rPr>
      </w:pPr>
      <w:r w:rsidRPr="00A05329">
        <w:rPr>
          <w:rFonts w:ascii="Verdana" w:eastAsia="Aptos" w:hAnsi="Verdana" w:cs="Times New Roman"/>
          <w:kern w:val="2"/>
          <w:sz w:val="20"/>
          <w:szCs w:val="20"/>
          <w14:ligatures w14:val="standardContextual"/>
        </w:rPr>
        <w:t xml:space="preserve">3. </w:t>
      </w:r>
      <w:proofErr w:type="spellStart"/>
      <w:r w:rsidRPr="00A05329">
        <w:rPr>
          <w:rFonts w:ascii="Verdana" w:eastAsia="Aptos" w:hAnsi="Verdana" w:cs="Times New Roman"/>
          <w:kern w:val="2"/>
          <w:sz w:val="20"/>
          <w:szCs w:val="20"/>
          <w14:ligatures w14:val="standardContextual"/>
        </w:rPr>
        <w:t>Violaria</w:t>
      </w:r>
      <w:proofErr w:type="spellEnd"/>
      <w:r w:rsidRPr="00A05329">
        <w:rPr>
          <w:rFonts w:ascii="Verdana" w:eastAsia="Aptos" w:hAnsi="Verdana" w:cs="Times New Roman"/>
          <w:kern w:val="2"/>
          <w:sz w:val="20"/>
          <w:szCs w:val="20"/>
          <w14:ligatures w14:val="standardContextual"/>
        </w:rPr>
        <w:t xml:space="preserve"> la Ley 2022 de 2020. articulo 1. obligatoriedad de los pliegos tipo. quedo atento. gracias</w:t>
      </w:r>
      <w:r w:rsidRPr="00A05329">
        <w:rPr>
          <w:rFonts w:ascii="Verdana" w:eastAsia="Aptos" w:hAnsi="Verdana" w:cs="Arial"/>
          <w:color w:val="000000"/>
          <w:sz w:val="20"/>
          <w:szCs w:val="20"/>
          <w:lang w:val="es-MX"/>
          <w14:ligatures w14:val="standardContextual"/>
        </w:rPr>
        <w:t xml:space="preserve">”. </w:t>
      </w:r>
    </w:p>
    <w:p w14:paraId="0A5F324D" w14:textId="77777777" w:rsidR="00A05329" w:rsidRPr="00A05329" w:rsidRDefault="00A05329" w:rsidP="00A05329">
      <w:pPr>
        <w:spacing w:after="0" w:line="240" w:lineRule="auto"/>
        <w:jc w:val="both"/>
        <w:rPr>
          <w:rFonts w:ascii="Verdana" w:eastAsia="Calibri" w:hAnsi="Verdana" w:cs="Arial"/>
          <w:color w:val="000000"/>
          <w:sz w:val="21"/>
          <w:szCs w:val="21"/>
          <w:lang w:val="es-MX" w:eastAsia="es-ES"/>
        </w:rPr>
      </w:pPr>
    </w:p>
    <w:p w14:paraId="01195937" w14:textId="77777777" w:rsidR="00A05329" w:rsidRPr="00A05329" w:rsidRDefault="00A05329" w:rsidP="00A05329">
      <w:pPr>
        <w:spacing w:after="120" w:line="276" w:lineRule="auto"/>
        <w:ind w:firstLine="709"/>
        <w:jc w:val="both"/>
        <w:rPr>
          <w:rFonts w:ascii="Verdana" w:eastAsia="Calibri" w:hAnsi="Verdana" w:cs="Arial"/>
          <w:color w:val="000000"/>
          <w:lang w:eastAsia="es-ES"/>
        </w:rPr>
      </w:pPr>
      <w:r w:rsidRPr="00A05329">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05329">
        <w:rPr>
          <w:rFonts w:ascii="Verdana" w:eastAsia="Calibri" w:hAnsi="Verdana" w:cs="Arial"/>
          <w:color w:val="000000"/>
          <w:lang w:eastAsia="es-ES"/>
        </w:rPr>
        <w:tab/>
      </w:r>
    </w:p>
    <w:p w14:paraId="44805105" w14:textId="77777777" w:rsidR="00A05329" w:rsidRPr="00A05329" w:rsidRDefault="00A05329" w:rsidP="00A05329">
      <w:pPr>
        <w:spacing w:after="0" w:line="276" w:lineRule="auto"/>
        <w:ind w:firstLine="709"/>
        <w:jc w:val="both"/>
        <w:rPr>
          <w:rFonts w:ascii="Verdana" w:eastAsia="Calibri" w:hAnsi="Verdana" w:cs="Arial"/>
          <w:color w:val="000000"/>
          <w:lang w:eastAsia="es-ES"/>
        </w:rPr>
      </w:pPr>
      <w:r w:rsidRPr="00A05329">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9B115F2" w14:textId="77777777" w:rsidR="00A05329" w:rsidRPr="00A05329" w:rsidRDefault="00A05329" w:rsidP="00A05329">
      <w:pPr>
        <w:spacing w:after="0" w:line="276" w:lineRule="auto"/>
        <w:jc w:val="both"/>
        <w:rPr>
          <w:rFonts w:ascii="Verdana" w:eastAsia="Calibri" w:hAnsi="Verdana" w:cs="Arial"/>
          <w:color w:val="000000"/>
          <w:lang w:eastAsia="es-ES"/>
        </w:rPr>
      </w:pPr>
    </w:p>
    <w:p w14:paraId="69A39DC8" w14:textId="77777777" w:rsidR="00A05329" w:rsidRPr="00A05329" w:rsidRDefault="00A05329" w:rsidP="00A05329">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A05329">
        <w:rPr>
          <w:rFonts w:ascii="Verdana" w:eastAsia="Century Gothic" w:hAnsi="Verdana" w:cs="Century Gothic"/>
          <w:b/>
          <w:bCs/>
        </w:rPr>
        <w:t>Problema planteado:</w:t>
      </w:r>
    </w:p>
    <w:p w14:paraId="44E8FCB0" w14:textId="77777777" w:rsidR="00A05329" w:rsidRPr="00A05329" w:rsidRDefault="00A05329" w:rsidP="00A05329">
      <w:pPr>
        <w:tabs>
          <w:tab w:val="left" w:pos="142"/>
          <w:tab w:val="left" w:pos="284"/>
        </w:tabs>
        <w:spacing w:after="0" w:line="276" w:lineRule="auto"/>
        <w:jc w:val="both"/>
        <w:rPr>
          <w:rFonts w:ascii="Verdana" w:eastAsia="Century Gothic" w:hAnsi="Verdana" w:cs="Century Gothic"/>
          <w:b/>
          <w:bCs/>
        </w:rPr>
      </w:pPr>
    </w:p>
    <w:p w14:paraId="3932CF85" w14:textId="77777777" w:rsidR="00A05329" w:rsidRPr="00A05329" w:rsidRDefault="00A05329" w:rsidP="00A05329">
      <w:pPr>
        <w:spacing w:after="0" w:line="276" w:lineRule="auto"/>
        <w:jc w:val="both"/>
        <w:rPr>
          <w:rFonts w:ascii="Verdana" w:eastAsia="Century Gothic" w:hAnsi="Verdana" w:cs="Century Gothic"/>
          <w:lang w:val="es-ES_tradnl"/>
        </w:rPr>
      </w:pPr>
      <w:r w:rsidRPr="00A05329">
        <w:rPr>
          <w:rFonts w:ascii="Verdana" w:eastAsia="Century Gothic" w:hAnsi="Verdana" w:cs="Century Gothic"/>
        </w:rPr>
        <w:t xml:space="preserve">De acuerdo con el contenido de su solicitud, esta Agencia resolverá los siguientes problemas jurídicos: i) </w:t>
      </w:r>
      <w:r w:rsidRPr="00A05329">
        <w:rPr>
          <w:rFonts w:ascii="Verdana" w:eastAsia="Century Gothic" w:hAnsi="Verdana" w:cs="Century Gothic"/>
          <w:kern w:val="2"/>
          <w14:ligatures w14:val="standardContextual"/>
        </w:rPr>
        <w:t>¿Cuál es el alcance de la regla de la inalterabilidad que recae sobre los documentos tipo</w:t>
      </w:r>
      <w:r w:rsidRPr="00A05329">
        <w:rPr>
          <w:rFonts w:ascii="Verdana" w:eastAsia="Calibri" w:hAnsi="Verdana" w:cs="Times New Roman"/>
        </w:rPr>
        <w:t xml:space="preserve">?; </w:t>
      </w:r>
      <w:proofErr w:type="spellStart"/>
      <w:r w:rsidRPr="00A05329">
        <w:rPr>
          <w:rFonts w:ascii="Verdana" w:eastAsia="Calibri" w:hAnsi="Verdana" w:cs="Times New Roman"/>
        </w:rPr>
        <w:t>ii</w:t>
      </w:r>
      <w:proofErr w:type="spellEnd"/>
      <w:r w:rsidRPr="00A05329">
        <w:rPr>
          <w:rFonts w:ascii="Verdana" w:eastAsia="Calibri" w:hAnsi="Verdana" w:cs="Times New Roman"/>
        </w:rPr>
        <w:t xml:space="preserve">) ¿Puede una entidad estatal que adelante un proceso de licitación de obra pública de infraestructura de transporte con los documentos tipo establecer en el análisis del sector un valor mínimo de la oferta económica, expresado como porcentaje, por debajo del cual las ofertas sean </w:t>
      </w:r>
      <w:r w:rsidRPr="00A05329">
        <w:rPr>
          <w:rFonts w:ascii="Verdana" w:eastAsia="Calibri" w:hAnsi="Verdana" w:cs="Times New Roman"/>
        </w:rPr>
        <w:lastRenderedPageBreak/>
        <w:t xml:space="preserve">consideradas artificialmente bajas, sin alterar el documento tipo ni desconocer el artículo 1 de la Ley 2022 de 2020? y </w:t>
      </w:r>
      <w:proofErr w:type="spellStart"/>
      <w:r w:rsidRPr="00A05329">
        <w:rPr>
          <w:rFonts w:ascii="Verdana" w:eastAsia="Calibri" w:hAnsi="Verdana" w:cs="Times New Roman"/>
        </w:rPr>
        <w:t>iii</w:t>
      </w:r>
      <w:proofErr w:type="spellEnd"/>
      <w:r w:rsidRPr="00A05329">
        <w:rPr>
          <w:rFonts w:ascii="Verdana" w:eastAsia="Calibri" w:hAnsi="Verdana" w:cs="Times New Roman"/>
        </w:rPr>
        <w:t>) ¿La fijación de dicho valor mínimo implica definir con anterioridad el método de ponderación de la oferta económica, en particular el de menor valor?</w:t>
      </w:r>
      <w:r w:rsidRPr="00A05329">
        <w:rPr>
          <w:rFonts w:ascii="Verdana" w:eastAsia="Century Gothic" w:hAnsi="Verdana" w:cs="Century Gothic"/>
        </w:rPr>
        <w:t xml:space="preserve"> </w:t>
      </w:r>
    </w:p>
    <w:p w14:paraId="6D4FE426" w14:textId="77777777" w:rsidR="00A05329" w:rsidRPr="00A05329" w:rsidRDefault="00A05329" w:rsidP="00A05329">
      <w:pPr>
        <w:spacing w:after="0" w:line="276" w:lineRule="auto"/>
        <w:jc w:val="both"/>
        <w:rPr>
          <w:rFonts w:ascii="Verdana" w:eastAsia="Calibri" w:hAnsi="Verdana" w:cs="Arial"/>
          <w:color w:val="7030A0"/>
          <w:lang w:val="es-ES_tradnl"/>
        </w:rPr>
      </w:pPr>
    </w:p>
    <w:p w14:paraId="2CF086E8" w14:textId="77777777" w:rsidR="00A05329" w:rsidRPr="00A05329" w:rsidRDefault="00A05329" w:rsidP="00A05329">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A05329">
        <w:rPr>
          <w:rFonts w:ascii="Verdana" w:eastAsia="Century Gothic" w:hAnsi="Verdana" w:cs="Century Gothic"/>
          <w:b/>
          <w:bCs/>
        </w:rPr>
        <w:t>Respuesta:</w:t>
      </w:r>
    </w:p>
    <w:p w14:paraId="22744AEC" w14:textId="77777777" w:rsidR="00A05329" w:rsidRPr="00A05329" w:rsidRDefault="00A05329" w:rsidP="00A05329">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05329" w:rsidRPr="00A05329" w14:paraId="6E90760A" w14:textId="77777777" w:rsidTr="009E3879">
        <w:tc>
          <w:tcPr>
            <w:tcW w:w="8828" w:type="dxa"/>
          </w:tcPr>
          <w:p w14:paraId="626B1500" w14:textId="77777777" w:rsidR="00A05329" w:rsidRPr="00A05329" w:rsidRDefault="00A05329" w:rsidP="00A05329">
            <w:pPr>
              <w:spacing w:before="120" w:after="120" w:line="276" w:lineRule="auto"/>
              <w:jc w:val="both"/>
              <w:rPr>
                <w:rFonts w:ascii="Verdana" w:eastAsia="Calibri" w:hAnsi="Verdana" w:cs="Arial"/>
                <w:color w:val="000000"/>
                <w:lang w:val="es-ES"/>
              </w:rPr>
            </w:pPr>
            <w:r w:rsidRPr="00A05329">
              <w:rPr>
                <w:rFonts w:ascii="Verdana" w:eastAsia="Calibri" w:hAnsi="Verdana" w:cs="Arial"/>
                <w:color w:val="000000"/>
                <w:lang w:val="es-ES"/>
              </w:rPr>
              <w:t xml:space="preserve">i).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A05329">
              <w:rPr>
                <w:rFonts w:ascii="Verdana" w:eastAsia="Calibri" w:hAnsi="Verdana" w:cs="Arial"/>
                <w:i/>
                <w:iCs/>
                <w:color w:val="000000"/>
                <w:lang w:val="es-ES"/>
              </w:rPr>
              <w:t>Documentos del Proceso</w:t>
            </w:r>
            <w:r w:rsidRPr="00A05329">
              <w:rPr>
                <w:rFonts w:ascii="Verdana" w:eastAsia="Calibri" w:hAnsi="Verdana" w:cs="Arial"/>
                <w:color w:val="000000"/>
                <w:lang w:val="es-ES"/>
              </w:rPr>
              <w:t xml:space="preserve"> </w:t>
            </w:r>
            <w:r w:rsidRPr="00A05329">
              <w:rPr>
                <w:rFonts w:ascii="Verdana" w:eastAsia="Calibri" w:hAnsi="Verdana" w:cs="Arial"/>
                <w:i/>
                <w:iCs/>
                <w:color w:val="000000"/>
                <w:lang w:val="es-ES"/>
              </w:rPr>
              <w:t>las condiciones habilitantes, los factores técnicos y económicos de escogencia y los sistemas de ponderación distintos a los señalados en los documentos tipo</w:t>
            </w:r>
            <w:r w:rsidRPr="00A05329">
              <w:rPr>
                <w:rFonts w:ascii="Verdana" w:eastAsia="Calibri" w:hAnsi="Verdana" w:cs="Arial"/>
                <w:color w:val="000000"/>
                <w:lang w:val="es-ES"/>
              </w:rPr>
              <w:t>.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11195F7" w14:textId="77777777" w:rsidR="00A05329" w:rsidRPr="00A05329" w:rsidRDefault="00A05329" w:rsidP="00A05329">
            <w:pPr>
              <w:spacing w:line="276" w:lineRule="auto"/>
              <w:jc w:val="both"/>
              <w:rPr>
                <w:rFonts w:ascii="Verdana" w:eastAsia="Calibri" w:hAnsi="Verdana" w:cs="Arial"/>
                <w:color w:val="000000"/>
                <w:lang w:val="es-ES"/>
              </w:rPr>
            </w:pPr>
            <w:r w:rsidRPr="00A05329">
              <w:rPr>
                <w:rFonts w:ascii="Verdana" w:eastAsia="Calibri" w:hAnsi="Verdana" w:cs="Arial"/>
                <w:lang w:val="es-ES_tradnl"/>
              </w:rPr>
              <w:t xml:space="preserve">           L</w:t>
            </w:r>
            <w:r w:rsidRPr="00A05329">
              <w:rPr>
                <w:rFonts w:ascii="Verdana" w:eastAsia="Calibri" w:hAnsi="Verdana" w:cs="Arial"/>
                <w:lang w:val="es-MX"/>
              </w:rPr>
              <w:t xml:space="preserve">a parte introductoria de los documentos base de los documentos tipo disponen que los aspectos incluidos en corchetes y resaltados en gris </w:t>
            </w:r>
            <w:r w:rsidRPr="00A05329">
              <w:rPr>
                <w:rFonts w:ascii="Verdana" w:eastAsia="Aptos" w:hAnsi="Verdana" w:cs="Arial"/>
              </w:rPr>
              <w:t>–[</w:t>
            </w:r>
            <w:r w:rsidRPr="00A05329">
              <w:rPr>
                <w:rFonts w:ascii="Verdana" w:eastAsia="Aptos" w:hAnsi="Verdana" w:cs="Arial"/>
                <w:highlight w:val="lightGray"/>
              </w:rPr>
              <w:t>texto de ejemplo</w:t>
            </w:r>
            <w:r w:rsidRPr="00A05329">
              <w:rPr>
                <w:rFonts w:ascii="Verdana" w:eastAsia="Aptos" w:hAnsi="Verdana" w:cs="Arial"/>
              </w:rPr>
              <w:t xml:space="preserve">]– </w:t>
            </w:r>
            <w:r w:rsidRPr="00A05329">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AB2ECF6" w14:textId="77777777" w:rsidR="00A05329" w:rsidRPr="00A05329" w:rsidRDefault="00A05329" w:rsidP="00A05329">
            <w:pPr>
              <w:spacing w:before="120" w:after="120" w:line="276" w:lineRule="auto"/>
              <w:ind w:firstLine="709"/>
              <w:jc w:val="both"/>
              <w:rPr>
                <w:rFonts w:ascii="Verdana" w:eastAsia="Calibri" w:hAnsi="Verdana" w:cs="Arial"/>
                <w:bCs/>
                <w:lang w:val="es-MX"/>
              </w:rPr>
            </w:pPr>
            <w:r w:rsidRPr="00A05329">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D39771B" w14:textId="77777777" w:rsidR="00A05329" w:rsidRPr="00A05329" w:rsidRDefault="00A05329" w:rsidP="00A05329">
            <w:pPr>
              <w:spacing w:before="120" w:after="120" w:line="276" w:lineRule="auto"/>
              <w:ind w:firstLine="709"/>
              <w:jc w:val="both"/>
              <w:rPr>
                <w:rFonts w:ascii="Verdana" w:eastAsia="Calibri" w:hAnsi="Verdana" w:cs="Arial"/>
                <w:bCs/>
                <w:lang w:val="es-MX"/>
              </w:rPr>
            </w:pPr>
            <w:r w:rsidRPr="00A05329">
              <w:rPr>
                <w:rFonts w:ascii="Verdana" w:eastAsia="Calibri" w:hAnsi="Verdana" w:cs="Arial"/>
                <w:bCs/>
                <w:lang w:val="es-MX"/>
              </w:rPr>
              <w:lastRenderedPageBreak/>
              <w:t xml:space="preserve">Esta regla de inalterabilidad </w:t>
            </w:r>
            <w:r w:rsidRPr="00A05329">
              <w:rPr>
                <w:rFonts w:ascii="Verdana" w:eastAsia="Calibri" w:hAnsi="Verdana" w:cs="Arial"/>
                <w:bCs/>
                <w:i/>
                <w:iCs/>
                <w:lang w:val="es-MX"/>
              </w:rPr>
              <w:t>también aplica a los formatos, anexos y matrices</w:t>
            </w:r>
            <w:r w:rsidRPr="00A05329">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09B0333" w14:textId="77777777" w:rsidR="00A05329" w:rsidRPr="00A05329" w:rsidRDefault="00A05329" w:rsidP="00A05329">
            <w:pPr>
              <w:tabs>
                <w:tab w:val="left" w:pos="709"/>
              </w:tabs>
              <w:snapToGrid w:val="0"/>
              <w:spacing w:after="120" w:line="276" w:lineRule="auto"/>
              <w:jc w:val="both"/>
              <w:rPr>
                <w:rFonts w:ascii="Verdana" w:eastAsia="Calibri" w:hAnsi="Verdana" w:cs="Arial"/>
                <w:color w:val="000000"/>
                <w:lang w:val="es-MX"/>
              </w:rPr>
            </w:pPr>
            <w:r w:rsidRPr="00A05329">
              <w:rPr>
                <w:rFonts w:ascii="Verdana" w:eastAsia="Calibri" w:hAnsi="Verdana" w:cs="Arial"/>
                <w:color w:val="000000"/>
                <w:lang w:val="es-MX"/>
              </w:rPr>
              <w:t>ii). Los apartes entre corchetes del numeral “4.1. OFERTA ECONÓMICA” del documento base de los documentos tipo de licitación de obra pública de infraestructura de transporte – versión 4 le permiten a la entidad: i) indicar la forma de pago del contrato, en concordancia con el Anexo 1 – Anexo Técnico y el Formulario 1 – Formulario de Presupuesto Oficial; ii) aplicar las notas del Formulario 1 cuando el presupuesto se estructura por precios unitarios o, en las demás modalidades de pago, definir las notas que el proponente debe tener en cuenta para presentar su oferta económica; iii) configurar el formato de oferta económica contenido en el Formulario 1 e incluirlo en formato Excel; iv) incorporar, cuando el proceso sea por precios unitarios, la regla según la cual el análisis de precios unitarios publicado por la entidad es únicamente de referencia; y v) discriminar los impuestos, tasas o contribuciones aplicables al proceso. Como se observa, ninguna de estas instrucciones habilita a la entidad para fijar un valor o porcentaje mínimo de la oferta económica, ni para asignar a las ofertas inferiores a dicho valor la consecuencia de ser consideradas artificialmente bajas.</w:t>
            </w:r>
          </w:p>
          <w:p w14:paraId="15D6A4CE"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Por el contrario, los apartes del numeral 4.1 que no se encuentran entre corchetes, que la entidad debe integrar a su proceso sin alteración alguna, disponen que “(p)ara calificar este factor se tendrá en cuenta el valor total indicado en la propuesta económica o el obtenido de la corrección aritmética”. Esta regla no admite que la calificación del factor económico quede condicionada a que el valor ofertado supere un porcentaje mínimo fijado por la entidad.</w:t>
            </w:r>
          </w:p>
          <w:p w14:paraId="667D2E2D"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 xml:space="preserve">Así las cosas, para la determinación de las ofertas artificialmente bajas en procesos regidos por documentos tipo, las entidades deben aplicar lo dispuesto en el artículo 2.2.1.1.2.2.4 del Decreto 1082 de 2015 y podrán tener en cuenta las metodologías definidas en la Guía para el manejo de ofertas artificialmente bajas en procesos de contratación conforme a la explicación </w:t>
            </w:r>
            <w:r w:rsidRPr="00A05329">
              <w:rPr>
                <w:rFonts w:ascii="Verdana" w:eastAsia="Calibri" w:hAnsi="Verdana" w:cs="Arial"/>
                <w:color w:val="000000"/>
                <w:lang w:val="es-MX"/>
              </w:rPr>
              <w:lastRenderedPageBreak/>
              <w:t xml:space="preserve">que se realiza en las consideraciones de este concepto. Sin embargo, se precisa que la determinación de la metodología no significa que la entidad puede modificar el contenido del numeral 4.1.3 del documento base para incluir las condiciones en las que se desarrollará esta metodología, pues se vulneraría la regla de inalterabilidad de los documentos tipo. Al respecto, recuérdese que los únicos aspectos que pueden ser diligenciados por la entidad son aquellos que se encuentran incluidos en corchetes y resaltado en gris o cuya modificación sea permitida por los mismos documentos tipo, opciones que no se encuentran en el numeral mencionado. </w:t>
            </w:r>
          </w:p>
          <w:p w14:paraId="6B616F27"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Ahora bien, lo anterior no impide que la entidad, en ejercicio del deber de planeación, defina el parámetro o referente a partir del cual identificará las ofertas cuyo valor parezca artificialmente bajo. A diferencia de las condiciones habilitantes, los factores técnicos y económicos de escogencia y los sistemas de ponderación, el análisis del sector no se encuentra estandarizado por los documentos tipo, sino que su elaboración le corresponde a cada entidad estatal, de conformidad con el artículo 2.2.1.1.1.6.1 del Decreto 1082 de 2015. Al respecto, esta Agencia ha señalado que “(…) los procedimientos para selección de contratistas adelantados con documentos tipo, a pesar de contar con requisitos habilitantes e índices financieros previamente acotados por dichos documentos, con efectos obligatorios y carácter inalterable, no se encuentran exentos de la obligación de realizar tanto los estudios previos como un análisis del sector en el que tendrá lugar la contratación”.</w:t>
            </w:r>
          </w:p>
          <w:p w14:paraId="13F22035"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 xml:space="preserve">En el mismo sentido, esta Agencia ha precisado que la utilización de los documentos tipo “(…) no exime la labor previa de planeación que debe realizar cada una de las entidades estatales, como es la realización de los estudios y documentos previos, análisis de las condiciones económicas del sector y el análisis, tipificación y asignación de riesgos (…)”, y que “(l)a información producto del análisis del sector, si bien no sirve a las entidades para determinar los requisitos habilitantes e índices financieros con el margen de discrecionalidad que les compete en procesos en los que no se apliquen documentos tipo, permite –entre otros aspectos– (…) determinar si una oferta contiene precios artificialmente bajos (…)”. Por ello, el numeral 4.1.3 del documento base remite expresamente a la información recogida durante la etapa de planeación y, particularmente, durante el estudio del sector, como el </w:t>
            </w:r>
            <w:r w:rsidRPr="00A05329">
              <w:rPr>
                <w:rFonts w:ascii="Verdana" w:eastAsia="Calibri" w:hAnsi="Verdana" w:cs="Arial"/>
                <w:color w:val="000000"/>
                <w:lang w:val="es-MX"/>
              </w:rPr>
              <w:lastRenderedPageBreak/>
              <w:t>principal insumo para establecer si el precio de una oferta parece insuficiente para garantizar la correcta ejecución del contrato.</w:t>
            </w:r>
          </w:p>
          <w:p w14:paraId="4ACA6074"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Así mismo, frente a una consulta en la que se preguntó si una entidad podía utilizar como herramienta para identificar ofertas artificialmente bajas un porcentaje derivado del análisis del sector, esta Agencia indicó que “la Entidad Estatal está facultada para aplicar los criterios contenidos en la Guía o acudir, si bien lo tiene, a otro tipo de criterios que consideren más apropiados mediante los cuales establecer el criterio (porcentual o numérico) con el cual analizar las ofertas”. En este orden, será en el análisis del sector, y no en el pliego de condiciones, donde la entidad eventualmente podrá establecer, de manera justificada y con base en la información del mercado que haya recaudado, un referente –por ejemplo, un porcentaje respecto del presupuesto oficial o del costo estimado del contrato– para identificar las ofertas cuyo valor parezca artificialmente bajo.</w:t>
            </w:r>
          </w:p>
          <w:p w14:paraId="50E31BC1"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Sin embargo, en armonía con lo expuesto en este concepto, dicho referente no puede tener el alcance de una regla de evaluación ni de una causal de rechazo. Como lo ha señalado esta Agencia, “la identificación de un posible precio artificialmente bajo –bien sea por el método de comparación absoluta o relativa– no da lugar al rechazo automático de la propuesta”. Por tanto, las ofertas que se ubiquen por debajo del referente no pueden ser consideradas artificialmente bajas por ese solo hecho. El referente únicamente permite identificar las ofertas cuyo valor parece insuficiente, frente a las cuales la entidad debe agotar el procedimiento del artículo 2.2.1.1.2.2.4 del Decreto 1082 de 2015: requerir al proponente para que explique las razones que sustentan el valor ofrecido, analizar sus explicaciones y, solo si estas no justifican dicho valor, rechazar la oferta con fundamento en la causal prevista en el numeral 1.15 del documento base.</w:t>
            </w:r>
          </w:p>
          <w:p w14:paraId="33AC9E3F"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 xml:space="preserve">Debe advertirse, además, que el análisis del sector hace parte de los Documentos del Proceso, pues el artículo 2.2.1.1.1.6.1 del Decreto 1082 de 2015 exige que la entidad deje constancia de él en dichos documentos. Por ello, no puede servir como vehículo para introducir lo que el documento tipo no permite incluir en el pliego de condiciones. Si en dicho análisis la entidad dispusiera que las ofertas inferiores a un determinado porcentaje “serán consideradas artificialmente bajas” y, en consecuencia, las rechazara sin agotar el procedimiento reglamentario, estaría estableciendo una causal de </w:t>
            </w:r>
            <w:r w:rsidRPr="00A05329">
              <w:rPr>
                <w:rFonts w:ascii="Verdana" w:eastAsia="Calibri" w:hAnsi="Verdana" w:cs="Arial"/>
                <w:color w:val="000000"/>
                <w:lang w:val="es-MX"/>
              </w:rPr>
              <w:lastRenderedPageBreak/>
              <w:t>rechazo distinta de las señaladas en el numeral 1.15 y modificando los factores económicos de escogencia del documento tipo, en contravía de la regla de inalterabilidad y del artículo 1 de la Ley 2022 de 2020. En todo caso, como se indicó, la entidad debe incorporar en el informe de evaluación o en la resolución de adjudicación una explicación de la metodología que utilizó para identificar las posibles ofertas artificialmente bajas.</w:t>
            </w:r>
          </w:p>
          <w:p w14:paraId="003F9648" w14:textId="77777777" w:rsidR="00A05329" w:rsidRPr="00A05329" w:rsidRDefault="00A05329" w:rsidP="00A05329">
            <w:pPr>
              <w:tabs>
                <w:tab w:val="left" w:pos="709"/>
              </w:tabs>
              <w:snapToGrid w:val="0"/>
              <w:spacing w:after="120" w:line="276" w:lineRule="auto"/>
              <w:ind w:firstLine="709"/>
              <w:jc w:val="both"/>
              <w:rPr>
                <w:rFonts w:ascii="Aptos" w:eastAsia="Aptos" w:hAnsi="Aptos" w:cs="Times New Roman"/>
              </w:rPr>
            </w:pPr>
            <w:r w:rsidRPr="00A05329">
              <w:rPr>
                <w:rFonts w:ascii="Verdana" w:eastAsia="Calibri" w:hAnsi="Verdana" w:cs="Arial"/>
                <w:color w:val="000000"/>
                <w:lang w:val="es-MX"/>
              </w:rPr>
              <w:t>En conclusión, cuando una oferta parezca artificialmente baja, la entidad está obligada a requerir al proponente para que aclare el valor de la oferta. Con base en esta justificación, el comité evaluador definirá si se rechaza la oferta o si continúa con  su evaluación. En consecuencia, no podrá rechazar la oferta si no ha efectuado dicho requerimiento, pues, según lo establecido en el artículo 2.2.1.1.2.2.4 del Decreto 1082 de 2015, el rechazo de la oferta procede cuando las explicaciones del proponente son insuficientes o insatisfactorias. Esta regla aplica también cuando la oferta haya sido identificada a partir del referente que la entidad haya establecido en el análisis del sector.</w:t>
            </w:r>
          </w:p>
          <w:p w14:paraId="2274EEE5" w14:textId="77777777" w:rsidR="00A05329" w:rsidRPr="00A05329" w:rsidRDefault="00A05329" w:rsidP="00A05329">
            <w:pPr>
              <w:tabs>
                <w:tab w:val="left" w:pos="709"/>
              </w:tabs>
              <w:snapToGrid w:val="0"/>
              <w:spacing w:after="120" w:line="276" w:lineRule="auto"/>
              <w:jc w:val="both"/>
              <w:rPr>
                <w:rFonts w:ascii="Aptos" w:eastAsia="Aptos" w:hAnsi="Aptos" w:cs="Times New Roman"/>
              </w:rPr>
            </w:pPr>
            <w:r w:rsidRPr="00A05329">
              <w:rPr>
                <w:rFonts w:ascii="Verdana" w:eastAsia="Calibri" w:hAnsi="Verdana" w:cs="Arial"/>
                <w:color w:val="000000"/>
                <w:lang w:val="es-MX"/>
              </w:rPr>
              <w:t>iii). Por otra parte, en relación con el método de ponderación de la oferta económica, debe recordarse que en los documentos tipo de licitación de obra pública de infraestructura de transporte este se determina de manera aleatoria, a partir de los centavos de la Tasa de Cambio Representativa del Mercado –TRM–, entre las alternativas de mediana con valor absoluto, media geométrica, media aritmética baja y menor valor, tal como lo prescribe el artículo 30 de la Ley 80 de 1993, modificado por el artículo 1 de la Ley 1882 de 2018. Al respecto, esta Agencia ha señalado que la TRM “se trata de un criterio para seleccionar el mecanismo de ponderación de las ofertas económicas y no hace parte del procedimiento ni de los lineamientos para determinar que una oferta se caracterice por ser artificialmente baja. En tal sentido, independientemente del método de ponderación seleccionado en función de la TRM es posible aplicar el tratamiento señalado respecto a las ofertas con posibles precios artificialmente bajos”.</w:t>
            </w:r>
          </w:p>
          <w:p w14:paraId="7AFD9D82" w14:textId="77777777" w:rsidR="00A05329" w:rsidRPr="00A05329" w:rsidRDefault="00A05329" w:rsidP="00A05329">
            <w:pPr>
              <w:tabs>
                <w:tab w:val="left" w:pos="709"/>
              </w:tabs>
              <w:snapToGrid w:val="0"/>
              <w:spacing w:after="120" w:line="276" w:lineRule="auto"/>
              <w:ind w:firstLine="709"/>
              <w:jc w:val="both"/>
              <w:rPr>
                <w:rFonts w:ascii="Verdana" w:eastAsia="Calibri" w:hAnsi="Verdana" w:cs="Arial"/>
                <w:color w:val="000000"/>
                <w:lang w:val="es-MX"/>
              </w:rPr>
            </w:pPr>
            <w:r w:rsidRPr="00A05329">
              <w:rPr>
                <w:rFonts w:ascii="Verdana" w:eastAsia="Calibri" w:hAnsi="Verdana" w:cs="Arial"/>
                <w:color w:val="000000"/>
                <w:lang w:val="es-MX"/>
              </w:rPr>
              <w:t xml:space="preserve">En consecuencia, el referente que la entidad establezca en el análisis del sector para identificar ofertas que parezcan artificialmente bajas no implica definir con anterioridad el método de ponderación de menor valor, ni ningún otro, pues se trata de actuaciones independientes. Distinto es que el valor mínimo se configure como una regla que excluya de la evaluación económica, </w:t>
            </w:r>
            <w:r w:rsidRPr="00A05329">
              <w:rPr>
                <w:rFonts w:ascii="Verdana" w:eastAsia="Calibri" w:hAnsi="Verdana" w:cs="Arial"/>
                <w:color w:val="000000"/>
                <w:lang w:val="es-MX"/>
              </w:rPr>
              <w:lastRenderedPageBreak/>
              <w:t>sin agotar el procedimiento reglamentario, las ofertas que se encuentren por debajo de él, pues en ese caso se modificaría el factor económico de escogencia previsto en el documento tipo, cualquiera que sea el método de ponderación que resulte aplicable.</w:t>
            </w:r>
          </w:p>
        </w:tc>
      </w:tr>
    </w:tbl>
    <w:p w14:paraId="370D5A8A" w14:textId="77777777" w:rsidR="00A05329" w:rsidRPr="00A05329" w:rsidRDefault="00A05329" w:rsidP="00A05329">
      <w:pPr>
        <w:tabs>
          <w:tab w:val="left" w:pos="142"/>
          <w:tab w:val="left" w:pos="284"/>
        </w:tabs>
        <w:spacing w:after="0" w:line="276" w:lineRule="auto"/>
        <w:jc w:val="both"/>
        <w:rPr>
          <w:rFonts w:ascii="Verdana" w:eastAsia="Century Gothic" w:hAnsi="Verdana" w:cs="Century Gothic"/>
          <w:b/>
          <w:bCs/>
        </w:rPr>
      </w:pPr>
    </w:p>
    <w:p w14:paraId="1657322F" w14:textId="77777777" w:rsidR="00A05329" w:rsidRPr="00A05329" w:rsidRDefault="00A05329" w:rsidP="00A05329">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A05329">
        <w:rPr>
          <w:rFonts w:ascii="Verdana" w:eastAsia="Century Gothic" w:hAnsi="Verdana" w:cs="Century Gothic"/>
          <w:b/>
          <w:bCs/>
        </w:rPr>
        <w:t>Razones de la respuesta:</w:t>
      </w:r>
    </w:p>
    <w:p w14:paraId="2A2CE495" w14:textId="77777777" w:rsidR="00A05329" w:rsidRPr="00A05329" w:rsidRDefault="00A05329" w:rsidP="00A0532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1749E1C0" w14:textId="77777777" w:rsidR="00A05329" w:rsidRPr="00A05329" w:rsidRDefault="00A05329" w:rsidP="00A05329">
      <w:pPr>
        <w:spacing w:after="0" w:line="276" w:lineRule="auto"/>
        <w:jc w:val="both"/>
        <w:rPr>
          <w:rFonts w:ascii="Verdana" w:eastAsia="Calibri" w:hAnsi="Verdana" w:cs="Arial"/>
        </w:rPr>
      </w:pPr>
      <w:r w:rsidRPr="00A05329">
        <w:rPr>
          <w:rFonts w:ascii="Verdana" w:eastAsia="Calibri" w:hAnsi="Verdana" w:cs="Arial"/>
        </w:rPr>
        <w:t xml:space="preserve">Lo anterior se sustenta en las siguientes consideraciones: </w:t>
      </w:r>
    </w:p>
    <w:p w14:paraId="08665061" w14:textId="77777777" w:rsidR="00A05329" w:rsidRPr="00A05329" w:rsidRDefault="00A05329" w:rsidP="00A05329">
      <w:pPr>
        <w:spacing w:after="0" w:line="276" w:lineRule="auto"/>
        <w:jc w:val="both"/>
        <w:rPr>
          <w:rFonts w:ascii="Verdana" w:eastAsia="Calibri" w:hAnsi="Verdana" w:cs="Arial"/>
        </w:rPr>
      </w:pPr>
    </w:p>
    <w:p w14:paraId="5826539B" w14:textId="77777777" w:rsidR="00A05329" w:rsidRPr="00A05329" w:rsidRDefault="00A05329" w:rsidP="00A05329">
      <w:pPr>
        <w:spacing w:after="120"/>
        <w:jc w:val="both"/>
        <w:rPr>
          <w:rFonts w:ascii="Verdana" w:eastAsia="Aptos" w:hAnsi="Verdana" w:cs="ArialMT"/>
        </w:rPr>
      </w:pPr>
      <w:r w:rsidRPr="00A05329">
        <w:rPr>
          <w:rFonts w:ascii="Verdana" w:eastAsia="Aptos" w:hAnsi="Verdana" w:cs="Arial"/>
        </w:rPr>
        <w:t xml:space="preserve">i. Los documentos tipo expedidos por la Agencia Nacional de Contratación Pública </w:t>
      </w:r>
      <w:r w:rsidRPr="00A05329">
        <w:rPr>
          <w:rFonts w:ascii="Verdana" w:eastAsia="Aptos" w:hAnsi="Verdana" w:cs="ArialMT"/>
        </w:rPr>
        <w:t xml:space="preserve">– Colombia Compra Eficiente </w:t>
      </w:r>
      <w:r w:rsidRPr="00A05329">
        <w:rPr>
          <w:rFonts w:ascii="Verdana" w:eastAsia="Aptos" w:hAnsi="Verdana" w:cs="Arial"/>
        </w:rPr>
        <w:t>en ejercicio de la potestad otorgada</w:t>
      </w:r>
      <w:r w:rsidRPr="00A05329">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51624E41" w14:textId="77777777" w:rsidR="00A05329" w:rsidRPr="00A05329" w:rsidRDefault="00A05329" w:rsidP="00A05329">
      <w:pPr>
        <w:spacing w:after="120" w:line="276" w:lineRule="auto"/>
        <w:ind w:firstLine="708"/>
        <w:jc w:val="both"/>
        <w:rPr>
          <w:rFonts w:ascii="Verdana" w:eastAsia="Aptos" w:hAnsi="Verdana" w:cs="ArialMT"/>
        </w:rPr>
      </w:pPr>
      <w:r w:rsidRPr="00A05329">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A05329">
        <w:rPr>
          <w:rFonts w:ascii="Verdana" w:eastAsia="Calibri" w:hAnsi="Verdana" w:cs="Times New Roman"/>
          <w:vertAlign w:val="superscript"/>
        </w:rPr>
        <w:footnoteReference w:id="1"/>
      </w:r>
      <w:r w:rsidRPr="00A05329">
        <w:rPr>
          <w:rFonts w:ascii="Verdana" w:eastAsia="Aptos" w:hAnsi="Verdana" w:cs="ArialMT"/>
        </w:rPr>
        <w:t xml:space="preserve">. </w:t>
      </w:r>
    </w:p>
    <w:p w14:paraId="4360F180" w14:textId="77777777" w:rsidR="00A05329" w:rsidRPr="00A05329" w:rsidRDefault="00A05329" w:rsidP="00A05329">
      <w:pPr>
        <w:spacing w:after="120" w:line="276" w:lineRule="auto"/>
        <w:ind w:firstLine="708"/>
        <w:jc w:val="both"/>
        <w:rPr>
          <w:rFonts w:ascii="Verdana" w:eastAsia="Aptos" w:hAnsi="Verdana" w:cs="ArialMT"/>
        </w:rPr>
      </w:pPr>
      <w:r w:rsidRPr="00A05329">
        <w:rPr>
          <w:rFonts w:ascii="Verdana" w:eastAsia="Aptos" w:hAnsi="Verdana" w:cs="ArialMT"/>
        </w:rPr>
        <w:t>Considerando que en su solicitud se indaga sobre los documentos tipo adoptados por esta Agencia en la modalidad de selección de licitación pública. Sobre el particular le indicamos que esta Agencia en la modalidad señalada acogió los siguientes documentos tipo que se encuentran vigentes:</w:t>
      </w:r>
    </w:p>
    <w:p w14:paraId="791D85D3"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i. Sector de Infraestructura de Transporte:</w:t>
      </w:r>
    </w:p>
    <w:p w14:paraId="7CA3F70B"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 xml:space="preserve">Resolución 456 del 10 de septiembre de 2024: “Por la cual se adopta la versión 4 de los documentos tipo para los procesos de selección de licitación de </w:t>
      </w:r>
      <w:r w:rsidRPr="00A05329">
        <w:rPr>
          <w:rFonts w:ascii="Verdana" w:eastAsia="Aptos" w:hAnsi="Verdana" w:cs="Arial"/>
          <w:kern w:val="2"/>
          <w14:ligatures w14:val="standardContextual"/>
        </w:rPr>
        <w:lastRenderedPageBreak/>
        <w:t xml:space="preserve">obra pública de infraestructura de transporte y se deroga la Resolución 240 de 2020”. Fecha de entrada en vigencia: </w:t>
      </w:r>
      <w:r w:rsidRPr="00A05329">
        <w:rPr>
          <w:rFonts w:ascii="Verdana" w:eastAsia="Aptos" w:hAnsi="Verdana" w:cs="Times New Roman"/>
          <w:kern w:val="2"/>
          <w14:ligatures w14:val="standardContextual"/>
        </w:rPr>
        <w:t>Aviso de convocatoria a partir del 3 de febrero de 2025.</w:t>
      </w:r>
    </w:p>
    <w:p w14:paraId="394969E4"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proofErr w:type="spellStart"/>
      <w:r w:rsidRPr="00A05329">
        <w:rPr>
          <w:rFonts w:ascii="Verdana" w:eastAsia="Aptos" w:hAnsi="Verdana" w:cs="Arial"/>
          <w:kern w:val="2"/>
          <w14:ligatures w14:val="standardContextual"/>
        </w:rPr>
        <w:t>ii</w:t>
      </w:r>
      <w:proofErr w:type="spellEnd"/>
      <w:r w:rsidRPr="00A05329">
        <w:rPr>
          <w:rFonts w:ascii="Verdana" w:eastAsia="Aptos" w:hAnsi="Verdana" w:cs="Arial"/>
          <w:kern w:val="2"/>
          <w14:ligatures w14:val="standardContextual"/>
        </w:rPr>
        <w:t>. Sector de Infraestructura de Agua Potable y Saneamiento Básico:</w:t>
      </w:r>
    </w:p>
    <w:p w14:paraId="50702446"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 xml:space="preserve">Resolución 248 del 1 de diciembre de 2020: "Por la cual se adoptan los documentos tipo para los procesos de licitación pública para obras de infraestructura de agua potable y saneamiento básico". Fecha de entrada en vigencia: </w:t>
      </w:r>
      <w:r w:rsidRPr="00A05329">
        <w:rPr>
          <w:rFonts w:ascii="Verdana" w:eastAsia="Aptos" w:hAnsi="Verdana" w:cs="Times New Roman"/>
          <w:kern w:val="2"/>
          <w14:ligatures w14:val="standardContextual"/>
        </w:rPr>
        <w:t>Aviso de convocatoria a partir del 11 de diciembre de 2020.</w:t>
      </w:r>
    </w:p>
    <w:p w14:paraId="792C601A" w14:textId="77777777" w:rsidR="00A05329" w:rsidRPr="00A05329" w:rsidRDefault="00A05329" w:rsidP="00A05329">
      <w:pPr>
        <w:spacing w:after="120" w:line="276" w:lineRule="auto"/>
        <w:ind w:firstLine="708"/>
        <w:jc w:val="both"/>
        <w:rPr>
          <w:rFonts w:ascii="Verdana" w:eastAsia="Aptos" w:hAnsi="Verdana" w:cs="Times New Roman"/>
          <w:kern w:val="2"/>
          <w14:ligatures w14:val="standardContextual"/>
        </w:rPr>
      </w:pPr>
      <w:r w:rsidRPr="00A05329">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 Fecha de entrada en vigencia: </w:t>
      </w:r>
      <w:r w:rsidRPr="00A05329">
        <w:rPr>
          <w:rFonts w:ascii="Verdana" w:eastAsia="Aptos" w:hAnsi="Verdana" w:cs="Times New Roman"/>
          <w:kern w:val="2"/>
          <w14:ligatures w14:val="standardContextual"/>
        </w:rPr>
        <w:t>Aviso de convocatoria a partir del 11 de diciembre de 2020.</w:t>
      </w:r>
    </w:p>
    <w:p w14:paraId="366FBB02"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Resolución 546 del 14 de septiembre de 2026, “</w:t>
      </w:r>
      <w:r w:rsidRPr="00A05329">
        <w:rPr>
          <w:rFonts w:ascii="Verdana" w:eastAsia="Aptos" w:hAnsi="Verdana" w:cs="Times New Roman"/>
          <w:kern w:val="2"/>
          <w14:ligatures w14:val="standardContextual"/>
        </w:rPr>
        <w:t>Por la cual se adopta la versión -2- de los documentos tipo para los procesos de contratación de infraestructura de agua, saneamiento básico y estructuras hidráulicas que se adelantan por la modalidad de licitación pública o licitación pública bajo el esquema llave en mano; y se derogan las Resoluciones 248 de 2020 y 249 de 2020"</w:t>
      </w:r>
      <w:r w:rsidRPr="00A05329">
        <w:rPr>
          <w:rFonts w:ascii="Verdana" w:eastAsia="Aptos" w:hAnsi="Verdana" w:cs="Arial"/>
          <w:kern w:val="2"/>
          <w14:ligatures w14:val="standardContextual"/>
        </w:rPr>
        <w:t xml:space="preserve">”. De acuerdo con el artículo 8 “vigencia” de la citada Resolución, estos rigen “(…) </w:t>
      </w:r>
      <w:r w:rsidRPr="00A05329">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p>
    <w:p w14:paraId="7766156A" w14:textId="77777777" w:rsidR="00A05329" w:rsidRPr="00A05329" w:rsidRDefault="00A05329" w:rsidP="00A05329">
      <w:pPr>
        <w:spacing w:after="120" w:line="276" w:lineRule="auto"/>
        <w:ind w:firstLine="708"/>
        <w:jc w:val="both"/>
        <w:rPr>
          <w:rFonts w:ascii="Verdana" w:eastAsia="Aptos" w:hAnsi="Verdana" w:cs="Arial"/>
          <w:kern w:val="2"/>
          <w14:ligatures w14:val="standardContextual"/>
        </w:rPr>
      </w:pPr>
      <w:proofErr w:type="spellStart"/>
      <w:r w:rsidRPr="00A05329">
        <w:rPr>
          <w:rFonts w:ascii="Verdana" w:eastAsia="Aptos" w:hAnsi="Verdana" w:cs="Arial"/>
          <w:kern w:val="2"/>
          <w14:ligatures w14:val="standardContextual"/>
        </w:rPr>
        <w:t>iii</w:t>
      </w:r>
      <w:proofErr w:type="spellEnd"/>
      <w:r w:rsidRPr="00A05329">
        <w:rPr>
          <w:rFonts w:ascii="Verdana" w:eastAsia="Aptos" w:hAnsi="Verdana" w:cs="Arial"/>
          <w:kern w:val="2"/>
          <w14:ligatures w14:val="standardContextual"/>
        </w:rPr>
        <w:t xml:space="preserve">. Sector de Infraestructura Social: </w:t>
      </w:r>
    </w:p>
    <w:p w14:paraId="22506D9C" w14:textId="77777777" w:rsidR="00A05329" w:rsidRPr="00A05329" w:rsidRDefault="00A05329" w:rsidP="00A05329">
      <w:pPr>
        <w:spacing w:after="0" w:line="276" w:lineRule="auto"/>
        <w:ind w:firstLine="708"/>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 </w:t>
      </w:r>
      <w:r w:rsidRPr="00A05329">
        <w:rPr>
          <w:rFonts w:ascii="Verdana" w:eastAsia="Aptos" w:hAnsi="Verdana" w:cs="Arial"/>
          <w:kern w:val="2"/>
          <w14:ligatures w14:val="standardContextual"/>
        </w:rPr>
        <w:lastRenderedPageBreak/>
        <w:t xml:space="preserve">Fecha de entrada en vigencia: </w:t>
      </w:r>
      <w:r w:rsidRPr="00A05329">
        <w:rPr>
          <w:rFonts w:ascii="Verdana" w:eastAsia="Aptos" w:hAnsi="Verdana" w:cs="Times New Roman"/>
          <w:kern w:val="2"/>
          <w14:ligatures w14:val="standardContextual"/>
        </w:rPr>
        <w:t>Aviso de convocatoria a partir del 16 de febrero de 2026.</w:t>
      </w:r>
    </w:p>
    <w:p w14:paraId="0289B4F2" w14:textId="77777777" w:rsidR="00A05329" w:rsidRPr="00A05329" w:rsidRDefault="00A05329" w:rsidP="00A05329">
      <w:pPr>
        <w:spacing w:after="0" w:line="276" w:lineRule="auto"/>
        <w:ind w:firstLine="708"/>
        <w:jc w:val="both"/>
        <w:rPr>
          <w:rFonts w:ascii="Verdana" w:eastAsia="Aptos" w:hAnsi="Verdana" w:cs="Arial"/>
          <w:kern w:val="2"/>
          <w:sz w:val="24"/>
          <w:szCs w:val="24"/>
          <w14:ligatures w14:val="standardContextual"/>
        </w:rPr>
      </w:pPr>
    </w:p>
    <w:p w14:paraId="77EF4F06" w14:textId="77777777" w:rsidR="00A05329" w:rsidRPr="00A05329" w:rsidRDefault="00A05329" w:rsidP="00A05329">
      <w:pPr>
        <w:spacing w:after="0" w:line="276" w:lineRule="auto"/>
        <w:jc w:val="both"/>
        <w:rPr>
          <w:rFonts w:ascii="Verdana" w:eastAsia="Calibri" w:hAnsi="Verdana" w:cs="Arial"/>
          <w:color w:val="000000"/>
          <w:kern w:val="2"/>
          <w:lang w:val="es-ES_tradnl"/>
          <w14:ligatures w14:val="standardContextual"/>
        </w:rPr>
      </w:pPr>
      <w:proofErr w:type="spellStart"/>
      <w:r w:rsidRPr="00A05329">
        <w:rPr>
          <w:rFonts w:ascii="Verdana" w:eastAsia="Calibri" w:hAnsi="Verdana" w:cs="Times New Roman"/>
          <w:lang w:val="es-ES" w:eastAsia="es-MX"/>
        </w:rPr>
        <w:t>iii</w:t>
      </w:r>
      <w:proofErr w:type="spellEnd"/>
      <w:r w:rsidRPr="00A05329">
        <w:rPr>
          <w:rFonts w:ascii="Verdana" w:eastAsia="Calibri" w:hAnsi="Verdana" w:cs="Times New Roman"/>
          <w:lang w:val="es-ES" w:eastAsia="es-MX"/>
        </w:rPr>
        <w:t xml:space="preserve">. </w:t>
      </w:r>
      <w:r w:rsidRPr="00A05329">
        <w:rPr>
          <w:rFonts w:ascii="Verdana" w:eastAsia="Calibri" w:hAnsi="Verdana" w:cs="Arial"/>
          <w:color w:val="000000"/>
          <w:kern w:val="2"/>
          <w:lang w:val="es-ES_tradnl"/>
          <w14:ligatures w14:val="standardContextual"/>
        </w:rPr>
        <w:t>Todas las resoluciones</w:t>
      </w:r>
      <w:r w:rsidRPr="00A05329">
        <w:rPr>
          <w:rFonts w:ascii="Verdana" w:eastAsia="Calibri" w:hAnsi="Verdana" w:cs="Arial"/>
          <w:color w:val="000000"/>
          <w:kern w:val="2"/>
          <w:vertAlign w:val="superscript"/>
          <w:lang w:val="es-ES_tradnl"/>
          <w14:ligatures w14:val="standardContextual"/>
        </w:rPr>
        <w:footnoteReference w:id="2"/>
      </w:r>
      <w:r w:rsidRPr="00A05329">
        <w:rPr>
          <w:rFonts w:ascii="Verdana" w:eastAsia="Calibri" w:hAnsi="Verdana" w:cs="Arial"/>
          <w:color w:val="000000"/>
          <w:kern w:val="2"/>
          <w:lang w:val="es-ES_tradnl"/>
          <w14:ligatures w14:val="standardContextua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A05329">
        <w:rPr>
          <w:rFonts w:ascii="Verdana" w:eastAsia="Calibri" w:hAnsi="Verdana" w:cs="Arial"/>
          <w:i/>
          <w:iCs/>
          <w:color w:val="000000"/>
          <w:kern w:val="2"/>
          <w:lang w:val="es-ES_tradnl"/>
          <w14:ligatures w14:val="standardContextual"/>
        </w:rPr>
        <w:t>Documentos del Proceso</w:t>
      </w:r>
      <w:r w:rsidRPr="00A05329">
        <w:rPr>
          <w:rFonts w:ascii="Verdana" w:eastAsia="Calibri" w:hAnsi="Verdana" w:cs="Arial"/>
          <w:color w:val="000000"/>
          <w:kern w:val="2"/>
          <w:lang w:val="es-ES_tradnl"/>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2B79258" w14:textId="77777777" w:rsidR="00A05329" w:rsidRPr="00A05329" w:rsidRDefault="00A05329" w:rsidP="00A05329">
      <w:pPr>
        <w:spacing w:before="120" w:after="120" w:line="276" w:lineRule="auto"/>
        <w:ind w:firstLine="709"/>
        <w:jc w:val="both"/>
        <w:rPr>
          <w:rFonts w:ascii="Verdana" w:eastAsia="Calibri" w:hAnsi="Verdana" w:cs="Arial"/>
          <w:kern w:val="2"/>
          <w:lang w:val="es-ES_tradnl"/>
          <w14:ligatures w14:val="standardContextual"/>
        </w:rPr>
      </w:pPr>
      <w:r w:rsidRPr="00A05329">
        <w:rPr>
          <w:rFonts w:ascii="Verdana" w:eastAsia="Calibri" w:hAnsi="Verdana" w:cs="Arial"/>
          <w:kern w:val="2"/>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775F96F" w14:textId="77777777" w:rsidR="00A05329" w:rsidRPr="00A05329" w:rsidRDefault="00A05329" w:rsidP="00A05329">
      <w:pPr>
        <w:spacing w:before="120" w:after="120" w:line="276" w:lineRule="auto"/>
        <w:ind w:firstLine="709"/>
        <w:jc w:val="both"/>
        <w:rPr>
          <w:rFonts w:ascii="Verdana" w:eastAsia="Calibri" w:hAnsi="Verdana" w:cs="Arial"/>
          <w:kern w:val="2"/>
          <w:lang w:val="es-ES_tradnl"/>
          <w14:ligatures w14:val="standardContextual"/>
        </w:rPr>
      </w:pPr>
      <w:r w:rsidRPr="00A05329">
        <w:rPr>
          <w:rFonts w:ascii="Verdana" w:eastAsia="Calibri" w:hAnsi="Verdana" w:cs="Arial"/>
          <w:kern w:val="2"/>
          <w:lang w:val="es-ES_tradnl"/>
          <w14:ligatures w14:val="standardContextual"/>
        </w:rPr>
        <w:lastRenderedPageBreak/>
        <w:t>La inalterabilidad de los documentos tipo es una manifestación en mayor grado de las potestades regladas, lo cual implica una reducción de la discrecionalidad de la Administración en el momento de tomar una decisión en el proceso de contratación</w:t>
      </w:r>
      <w:r w:rsidRPr="00A05329">
        <w:rPr>
          <w:rFonts w:ascii="Verdana" w:eastAsia="Calibri" w:hAnsi="Verdana" w:cs="Arial"/>
          <w:kern w:val="2"/>
          <w:vertAlign w:val="superscript"/>
          <w:lang w:val="es-ES_tradnl"/>
          <w14:ligatures w14:val="standardContextual"/>
        </w:rPr>
        <w:footnoteReference w:id="3"/>
      </w:r>
      <w:r w:rsidRPr="00A05329">
        <w:rPr>
          <w:rFonts w:ascii="Verdana" w:eastAsia="Calibri" w:hAnsi="Verdana" w:cs="Arial"/>
          <w:kern w:val="2"/>
          <w:lang w:val="es-ES_tradnl"/>
          <w14:ligatures w14:val="standardContextua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13EEEB66" w14:textId="77777777" w:rsidR="00A05329" w:rsidRPr="00A05329" w:rsidRDefault="00A05329" w:rsidP="00A05329">
      <w:pPr>
        <w:spacing w:before="120" w:after="120" w:line="276" w:lineRule="auto"/>
        <w:ind w:firstLine="709"/>
        <w:jc w:val="both"/>
        <w:rPr>
          <w:rFonts w:ascii="Verdana" w:eastAsia="Calibri" w:hAnsi="Verdana" w:cs="Arial"/>
          <w:kern w:val="2"/>
          <w:lang w:val="es-ES"/>
          <w14:ligatures w14:val="standardContextual"/>
        </w:rPr>
      </w:pPr>
      <w:r w:rsidRPr="00A05329">
        <w:rPr>
          <w:rFonts w:ascii="Verdana" w:eastAsia="Calibri" w:hAnsi="Verdana" w:cs="Arial"/>
          <w:kern w:val="2"/>
          <w:lang w:val="es-ES"/>
          <w14:ligatures w14:val="standardContextual"/>
        </w:rPr>
        <w:t xml:space="preserve">Además, las entidades estatales deben garantizar el </w:t>
      </w:r>
      <w:r w:rsidRPr="00A05329">
        <w:rPr>
          <w:rFonts w:ascii="Verdana" w:eastAsia="Calibri" w:hAnsi="Verdana" w:cs="Arial"/>
          <w:i/>
          <w:iCs/>
          <w:kern w:val="2"/>
          <w:lang w:val="es-ES"/>
          <w14:ligatures w14:val="standardContextual"/>
        </w:rPr>
        <w:t>principio de economía</w:t>
      </w:r>
      <w:r w:rsidRPr="00A05329">
        <w:rPr>
          <w:rFonts w:ascii="Verdana" w:eastAsia="Calibri" w:hAnsi="Verdana" w:cs="Arial"/>
          <w:kern w:val="2"/>
          <w:lang w:val="es-ES"/>
          <w14:ligatures w14:val="standardContextual"/>
        </w:rPr>
        <w:t>, del cual se desprende que no pueden exigir documentos o requisitos más allá de los que permitan la Constitución, la ley y los reglamentos. Este postulado ha sido recogido no solo en la contratación estatal</w:t>
      </w:r>
      <w:r w:rsidRPr="00A05329">
        <w:rPr>
          <w:rFonts w:ascii="Verdana" w:eastAsia="Calibri" w:hAnsi="Verdana" w:cs="Arial"/>
          <w:kern w:val="2"/>
          <w:vertAlign w:val="superscript"/>
          <w:lang w:val="es-ES"/>
          <w14:ligatures w14:val="standardContextual"/>
        </w:rPr>
        <w:footnoteReference w:id="4"/>
      </w:r>
      <w:r w:rsidRPr="00A05329">
        <w:rPr>
          <w:rFonts w:ascii="Verdana" w:eastAsia="Calibri" w:hAnsi="Verdana" w:cs="Arial"/>
          <w:kern w:val="2"/>
          <w:lang w:val="es-ES"/>
          <w14:ligatures w14:val="standardContextual"/>
        </w:rPr>
        <w:t xml:space="preserve"> sino además en la normativa </w:t>
      </w:r>
      <w:proofErr w:type="spellStart"/>
      <w:r w:rsidRPr="00A05329">
        <w:rPr>
          <w:rFonts w:ascii="Verdana" w:eastAsia="Calibri" w:hAnsi="Verdana" w:cs="Arial"/>
          <w:kern w:val="2"/>
          <w:lang w:val="es-ES"/>
          <w14:ligatures w14:val="standardContextual"/>
        </w:rPr>
        <w:t>antitrámites</w:t>
      </w:r>
      <w:proofErr w:type="spellEnd"/>
      <w:r w:rsidRPr="00A05329">
        <w:rPr>
          <w:rFonts w:ascii="Verdana" w:eastAsia="Calibri" w:hAnsi="Verdana" w:cs="Arial"/>
          <w:kern w:val="2"/>
          <w:vertAlign w:val="superscript"/>
          <w:lang w:val="es-ES"/>
          <w14:ligatures w14:val="standardContextual"/>
        </w:rPr>
        <w:footnoteReference w:id="5"/>
      </w:r>
      <w:r w:rsidRPr="00A05329">
        <w:rPr>
          <w:rFonts w:ascii="Verdana" w:eastAsia="Calibri" w:hAnsi="Verdana" w:cs="Arial"/>
          <w:kern w:val="2"/>
          <w:lang w:val="es-ES"/>
          <w14:ligatures w14:val="standardContextual"/>
        </w:rPr>
        <w:t>; pues se inscribe dentro de la tendencia de simplificación y racionalización de los procedimientos administrativos. De ahí que cuando las autoridades solicitan la entrega de documentación innecesaria, desconocen el principio de economía.</w:t>
      </w:r>
    </w:p>
    <w:p w14:paraId="4FC953E3" w14:textId="77777777" w:rsidR="00A05329" w:rsidRPr="00A05329" w:rsidRDefault="00A05329" w:rsidP="00A05329">
      <w:pPr>
        <w:spacing w:after="120" w:line="276" w:lineRule="auto"/>
        <w:ind w:firstLine="708"/>
        <w:jc w:val="both"/>
        <w:rPr>
          <w:rFonts w:ascii="Verdana" w:eastAsia="Calibri" w:hAnsi="Verdana" w:cs="Arial"/>
          <w:color w:val="000000"/>
          <w:kern w:val="2"/>
          <w:lang w:val="es-ES"/>
          <w14:ligatures w14:val="standardContextual"/>
        </w:rPr>
      </w:pPr>
      <w:r w:rsidRPr="00A05329">
        <w:rPr>
          <w:rFonts w:ascii="Verdana" w:eastAsia="Calibri" w:hAnsi="Verdana" w:cs="Arial"/>
          <w:color w:val="000000"/>
          <w:kern w:val="2"/>
          <w:lang w:val="es-ES"/>
          <w14:ligatures w14:val="standardContextual"/>
        </w:rPr>
        <w:lastRenderedPageBreak/>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05329">
        <w:rPr>
          <w:rFonts w:ascii="Verdana" w:eastAsia="Calibri" w:hAnsi="Verdana" w:cs="Arial"/>
          <w:color w:val="000000"/>
          <w:kern w:val="2"/>
          <w:vertAlign w:val="superscript"/>
          <w:lang w:val="es-ES"/>
          <w14:ligatures w14:val="standardContextual"/>
        </w:rPr>
        <w:footnoteReference w:id="6"/>
      </w:r>
      <w:r w:rsidRPr="00A05329">
        <w:rPr>
          <w:rFonts w:ascii="Verdana" w:eastAsia="Calibri" w:hAnsi="Verdana" w:cs="Arial"/>
          <w:color w:val="000000"/>
          <w:kern w:val="2"/>
          <w:lang w:val="es-ES"/>
          <w14:ligatures w14:val="standardContextual"/>
        </w:rPr>
        <w:t xml:space="preserve">. Si las autoridades pudiesen agregar, eliminar o modificar todos y cada uno de los aspectos contenidos en los pliegos tipo, estos documentos, llanamente, no podrían ser llamados pliegos tipo. </w:t>
      </w:r>
    </w:p>
    <w:p w14:paraId="79A40F44" w14:textId="77777777" w:rsidR="00A05329" w:rsidRPr="00A05329" w:rsidRDefault="00A05329" w:rsidP="00A05329">
      <w:pPr>
        <w:spacing w:after="120" w:line="276" w:lineRule="auto"/>
        <w:jc w:val="both"/>
        <w:rPr>
          <w:rFonts w:ascii="Verdana" w:eastAsia="Calibri" w:hAnsi="Verdana" w:cs="Arial"/>
          <w:color w:val="000000"/>
          <w:kern w:val="2"/>
          <w:lang w:val="es-ES"/>
          <w14:ligatures w14:val="standardContextual"/>
        </w:rPr>
      </w:pPr>
      <w:r w:rsidRPr="00A05329">
        <w:rPr>
          <w:rFonts w:ascii="Verdana" w:eastAsia="Calibri" w:hAnsi="Verdana" w:cs="Arial"/>
          <w:color w:val="000000"/>
          <w:kern w:val="2"/>
          <w:lang w:val="es-ES"/>
          <w14:ligatures w14:val="standardContextual"/>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5EAA1CF" w14:textId="77777777" w:rsidR="00A05329" w:rsidRPr="00A05329" w:rsidRDefault="00A05329" w:rsidP="00A05329">
      <w:pPr>
        <w:spacing w:line="276" w:lineRule="auto"/>
        <w:jc w:val="both"/>
        <w:rPr>
          <w:rFonts w:ascii="Verdana" w:eastAsia="Calibri" w:hAnsi="Verdana" w:cs="Arial"/>
          <w:color w:val="000000"/>
          <w:kern w:val="2"/>
          <w:lang w:val="es-ES"/>
          <w14:ligatures w14:val="standardContextual"/>
        </w:rPr>
      </w:pPr>
      <w:r w:rsidRPr="00A05329">
        <w:rPr>
          <w:rFonts w:ascii="Verdana" w:eastAsia="Calibri" w:hAnsi="Verdana" w:cs="Arial"/>
          <w:color w:val="000000"/>
          <w:kern w:val="2"/>
          <w:lang w:val="es-ES"/>
          <w14:ligatures w14:val="standardContextual"/>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54E50A6" w14:textId="77777777" w:rsidR="00A05329" w:rsidRPr="00A05329" w:rsidRDefault="00A05329" w:rsidP="00A05329">
      <w:pPr>
        <w:spacing w:line="276" w:lineRule="auto"/>
        <w:ind w:firstLine="708"/>
        <w:jc w:val="both"/>
        <w:rPr>
          <w:rFonts w:ascii="Verdana" w:eastAsia="Calibri" w:hAnsi="Verdana" w:cs="Arial"/>
          <w:color w:val="000000"/>
          <w:kern w:val="2"/>
          <w:lang w:val="es-ES"/>
          <w14:ligatures w14:val="standardContextual"/>
        </w:rPr>
      </w:pPr>
      <w:r w:rsidRPr="00A05329">
        <w:rPr>
          <w:rFonts w:ascii="Verdana" w:eastAsia="Calibri" w:hAnsi="Verdana" w:cs="Arial"/>
          <w:kern w:val="2"/>
          <w:lang w:val="es-MX"/>
          <w14:ligatures w14:val="standardContextual"/>
        </w:rPr>
        <w:t xml:space="preserve">No obstante, la parte introductoria de los documentos base de los documentos tipo disponen que los aspectos incluidos en corchetes y resaltados en gris </w:t>
      </w:r>
      <w:r w:rsidRPr="00A05329">
        <w:rPr>
          <w:rFonts w:ascii="Verdana" w:eastAsia="Aptos" w:hAnsi="Verdana" w:cs="Arial"/>
          <w:kern w:val="2"/>
          <w14:ligatures w14:val="standardContextual"/>
        </w:rPr>
        <w:t>–[</w:t>
      </w:r>
      <w:r w:rsidRPr="00A05329">
        <w:rPr>
          <w:rFonts w:ascii="Verdana" w:eastAsia="Aptos" w:hAnsi="Verdana" w:cs="Arial"/>
          <w:kern w:val="2"/>
          <w:highlight w:val="lightGray"/>
          <w14:ligatures w14:val="standardContextual"/>
        </w:rPr>
        <w:t>texto de ejemplo</w:t>
      </w:r>
      <w:r w:rsidRPr="00A05329">
        <w:rPr>
          <w:rFonts w:ascii="Verdana" w:eastAsia="Aptos" w:hAnsi="Verdana" w:cs="Arial"/>
          <w:kern w:val="2"/>
          <w14:ligatures w14:val="standardContextual"/>
        </w:rPr>
        <w:t xml:space="preserve">]– </w:t>
      </w:r>
      <w:r w:rsidRPr="00A05329">
        <w:rPr>
          <w:rFonts w:ascii="Verdana" w:eastAsia="Calibri" w:hAnsi="Verdana" w:cs="Arial"/>
          <w:kern w:val="2"/>
          <w:lang w:val="es-MX"/>
          <w14:ligatures w14:val="standardContextua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w:t>
      </w:r>
      <w:r w:rsidRPr="00A05329">
        <w:rPr>
          <w:rFonts w:ascii="Verdana" w:eastAsia="Calibri" w:hAnsi="Verdana" w:cs="Arial"/>
          <w:kern w:val="2"/>
          <w:lang w:val="es-MX"/>
          <w14:ligatures w14:val="standardContextual"/>
        </w:rPr>
        <w:lastRenderedPageBreak/>
        <w:t xml:space="preserve">determinar la información que se diligenciará en los documentos tipo, de acuerdo con su necesidad y las instrucciones de los mismos documentos tipo. </w:t>
      </w:r>
    </w:p>
    <w:p w14:paraId="1878D0F7" w14:textId="77777777" w:rsidR="00A05329" w:rsidRPr="00A05329" w:rsidRDefault="00A05329" w:rsidP="00A05329">
      <w:pPr>
        <w:spacing w:before="120" w:after="120" w:line="276" w:lineRule="auto"/>
        <w:ind w:firstLine="709"/>
        <w:jc w:val="both"/>
        <w:rPr>
          <w:rFonts w:ascii="Verdana" w:eastAsia="Calibri" w:hAnsi="Verdana" w:cs="Arial"/>
          <w:bCs/>
          <w:kern w:val="2"/>
          <w:lang w:val="es-MX"/>
          <w14:ligatures w14:val="standardContextual"/>
        </w:rPr>
      </w:pPr>
      <w:r w:rsidRPr="00A05329">
        <w:rPr>
          <w:rFonts w:ascii="Verdana" w:eastAsia="Calibri" w:hAnsi="Verdana" w:cs="Arial"/>
          <w:bCs/>
          <w:kern w:val="2"/>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DF55358" w14:textId="77777777" w:rsidR="00A05329" w:rsidRPr="00A05329" w:rsidRDefault="00A05329" w:rsidP="00A05329">
      <w:pPr>
        <w:spacing w:before="120" w:after="120" w:line="276" w:lineRule="auto"/>
        <w:ind w:firstLine="709"/>
        <w:jc w:val="both"/>
        <w:rPr>
          <w:rFonts w:ascii="Verdana" w:eastAsia="Calibri" w:hAnsi="Verdana" w:cs="Arial"/>
          <w:bCs/>
          <w:kern w:val="2"/>
          <w:lang w:val="es-MX"/>
          <w14:ligatures w14:val="standardContextual"/>
        </w:rPr>
      </w:pPr>
      <w:r w:rsidRPr="00A05329">
        <w:rPr>
          <w:rFonts w:ascii="Verdana" w:eastAsia="Calibri" w:hAnsi="Verdana" w:cs="Arial"/>
          <w:bCs/>
          <w:kern w:val="2"/>
          <w:lang w:val="es-MX"/>
          <w14:ligatures w14:val="standardContextual"/>
        </w:rPr>
        <w:t xml:space="preserve">Esta regla de inalterabilidad </w:t>
      </w:r>
      <w:r w:rsidRPr="00A05329">
        <w:rPr>
          <w:rFonts w:ascii="Verdana" w:eastAsia="Calibri" w:hAnsi="Verdana" w:cs="Arial"/>
          <w:bCs/>
          <w:i/>
          <w:iCs/>
          <w:kern w:val="2"/>
          <w:lang w:val="es-MX"/>
          <w14:ligatures w14:val="standardContextual"/>
        </w:rPr>
        <w:t>también aplica a los formatos, anexos y matrices</w:t>
      </w:r>
      <w:r w:rsidRPr="00A05329">
        <w:rPr>
          <w:rFonts w:ascii="Verdana" w:eastAsia="Calibri" w:hAnsi="Verdana" w:cs="Arial"/>
          <w:bCs/>
          <w:kern w:val="2"/>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78B38F9" w14:textId="77777777" w:rsidR="00A05329" w:rsidRPr="00A05329" w:rsidRDefault="00A05329" w:rsidP="00A05329">
      <w:pPr>
        <w:spacing w:before="120" w:after="120" w:line="276" w:lineRule="auto"/>
        <w:ind w:firstLine="709"/>
        <w:jc w:val="both"/>
        <w:rPr>
          <w:rFonts w:ascii="Verdana" w:eastAsia="Calibri" w:hAnsi="Verdana" w:cs="Arial"/>
          <w:kern w:val="2"/>
          <w:lang w:val="es-MX"/>
          <w14:ligatures w14:val="standardContextual"/>
        </w:rPr>
      </w:pPr>
      <w:r w:rsidRPr="00A05329">
        <w:rPr>
          <w:rFonts w:ascii="Verdana" w:eastAsia="Calibri" w:hAnsi="Verdana" w:cs="Arial"/>
          <w:kern w:val="2"/>
          <w:lang w:val="es-MX"/>
          <w14:ligatures w14:val="standardContextua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31598C7" w14:textId="77777777" w:rsidR="00A05329" w:rsidRPr="00A05329" w:rsidRDefault="00A05329" w:rsidP="00A05329">
      <w:pPr>
        <w:spacing w:before="120" w:line="276" w:lineRule="auto"/>
        <w:ind w:firstLine="709"/>
        <w:jc w:val="both"/>
        <w:rPr>
          <w:rFonts w:ascii="Verdana" w:eastAsia="Aptos" w:hAnsi="Verdana" w:cs="Arial"/>
          <w:kern w:val="2"/>
          <w14:ligatures w14:val="standardContextual"/>
        </w:rPr>
      </w:pPr>
      <w:r w:rsidRPr="00A05329">
        <w:rPr>
          <w:rFonts w:ascii="Verdana" w:eastAsia="Aptos" w:hAnsi="Verdana" w:cs="Arial"/>
          <w:kern w:val="2"/>
          <w14:ligatures w14:val="standardContextual"/>
        </w:rPr>
        <w:t xml:space="preserve">En relación con el principio constitucional </w:t>
      </w:r>
      <w:r w:rsidRPr="00A05329">
        <w:rPr>
          <w:rFonts w:ascii="Verdana" w:eastAsia="Aptos" w:hAnsi="Verdana" w:cs="Arial"/>
          <w:i/>
          <w:iCs/>
          <w:kern w:val="2"/>
          <w14:ligatures w14:val="standardContextual"/>
        </w:rPr>
        <w:t>sub examine</w:t>
      </w:r>
      <w:r w:rsidRPr="00A05329">
        <w:rPr>
          <w:rFonts w:ascii="Verdana" w:eastAsia="Aptos" w:hAnsi="Verdana" w:cs="Arial"/>
          <w:kern w:val="2"/>
          <w14:ligatures w14:val="standardContextu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A05329">
        <w:rPr>
          <w:rFonts w:ascii="Verdana" w:eastAsia="Aptos" w:hAnsi="Verdana" w:cs="Arial"/>
          <w:kern w:val="2"/>
          <w:vertAlign w:val="superscript"/>
          <w14:ligatures w14:val="standardContextual"/>
        </w:rPr>
        <w:footnoteReference w:id="7"/>
      </w:r>
      <w:r w:rsidRPr="00A05329">
        <w:rPr>
          <w:rFonts w:ascii="Verdana" w:eastAsia="Aptos" w:hAnsi="Verdana" w:cs="Arial"/>
          <w:kern w:val="2"/>
          <w14:ligatures w14:val="standardContextual"/>
        </w:rPr>
        <w:t xml:space="preserve">. </w:t>
      </w:r>
    </w:p>
    <w:p w14:paraId="5E92C88F" w14:textId="77777777" w:rsidR="00A05329" w:rsidRPr="00A05329" w:rsidRDefault="00A05329" w:rsidP="00A05329">
      <w:pPr>
        <w:spacing w:after="0" w:line="276" w:lineRule="auto"/>
        <w:ind w:firstLine="709"/>
        <w:jc w:val="both"/>
        <w:rPr>
          <w:rFonts w:ascii="Verdana" w:eastAsia="Calibri" w:hAnsi="Verdana" w:cs="Arial"/>
          <w:kern w:val="2"/>
          <w:lang w:val="es-MX"/>
          <w14:ligatures w14:val="standardContextual"/>
        </w:rPr>
      </w:pPr>
      <w:r w:rsidRPr="00A05329">
        <w:rPr>
          <w:rFonts w:ascii="Verdana" w:eastAsia="Calibri" w:hAnsi="Verdana" w:cs="Arial"/>
          <w:kern w:val="2"/>
          <w:lang w:val="es-MX"/>
          <w14:ligatures w14:val="standardContextual"/>
        </w:rPr>
        <w:lastRenderedPageBreak/>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024ED9E" w14:textId="77777777" w:rsidR="00A05329" w:rsidRPr="00A05329" w:rsidRDefault="00A05329" w:rsidP="00A05329">
      <w:pPr>
        <w:widowControl w:val="0"/>
        <w:autoSpaceDE w:val="0"/>
        <w:autoSpaceDN w:val="0"/>
        <w:spacing w:after="0" w:line="276" w:lineRule="auto"/>
        <w:jc w:val="both"/>
        <w:rPr>
          <w:rFonts w:ascii="Verdana" w:eastAsia="Calibri" w:hAnsi="Verdana" w:cs="Times New Roman"/>
          <w:lang w:val="es-ES" w:eastAsia="es-MX"/>
        </w:rPr>
      </w:pPr>
    </w:p>
    <w:p w14:paraId="63BC8DCE" w14:textId="77777777" w:rsidR="00A05329" w:rsidRPr="00A05329" w:rsidRDefault="00A05329" w:rsidP="00A05329">
      <w:pPr>
        <w:spacing w:after="120" w:line="276" w:lineRule="auto"/>
        <w:jc w:val="both"/>
        <w:rPr>
          <w:rFonts w:ascii="Verdana" w:eastAsia="Calibri" w:hAnsi="Verdana" w:cs="Arial"/>
          <w:kern w:val="2"/>
          <w:lang w:val="es-MX"/>
          <w14:ligatures w14:val="standardContextual"/>
        </w:rPr>
      </w:pPr>
      <w:proofErr w:type="spellStart"/>
      <w:r w:rsidRPr="00A05329">
        <w:rPr>
          <w:rFonts w:ascii="Verdana" w:eastAsia="Aptos" w:hAnsi="Verdana" w:cs="Times New Roman"/>
          <w:lang w:eastAsia="es-MX"/>
        </w:rPr>
        <w:t>iii</w:t>
      </w:r>
      <w:proofErr w:type="spellEnd"/>
      <w:r w:rsidRPr="00A05329">
        <w:rPr>
          <w:rFonts w:ascii="Verdana" w:eastAsia="Aptos" w:hAnsi="Verdana" w:cs="Times New Roman"/>
          <w:lang w:eastAsia="es-MX"/>
        </w:rPr>
        <w:t xml:space="preserve">. </w:t>
      </w:r>
      <w:r w:rsidRPr="00A05329">
        <w:rPr>
          <w:rFonts w:ascii="Verdana" w:eastAsia="Calibri" w:hAnsi="Verdana" w:cs="Arial"/>
          <w:szCs w:val="20"/>
          <w:lang w:val="es-MX"/>
        </w:rPr>
        <w:t>Los documentos tipo constituyen un límite a la discrecionalidad de las entidades estatales en la configuración de los pliegos de condiciones, pues, como se detalló en el punto anterior de este concepto, fijan unos requisitos mínimos que aquellas deben respetar. Así ocurre en los procedimientos de licitación de obra pública de los sectores de infraestructura de transporte, infraestructura social y agua potable y saneamiento básico, para los cuales esta Agencia ha adoptado documentos tipo. En estos procedimientos debe cumplirse lo dispuesto en el pliego de condiciones tipo, que establece reglas imperativas para determinar, entre otros aspectos, los requisitos habilitantes.</w:t>
      </w:r>
    </w:p>
    <w:p w14:paraId="5398F5A5" w14:textId="77777777" w:rsidR="00A05329" w:rsidRPr="00A05329" w:rsidRDefault="00A05329" w:rsidP="00A05329">
      <w:pPr>
        <w:widowControl w:val="0"/>
        <w:autoSpaceDE w:val="0"/>
        <w:autoSpaceDN w:val="0"/>
        <w:spacing w:after="0" w:line="276" w:lineRule="auto"/>
        <w:jc w:val="both"/>
        <w:rPr>
          <w:rFonts w:ascii="Verdana" w:eastAsia="Calibri" w:hAnsi="Verdana" w:cs="Arial"/>
          <w:lang w:val="es-ES_tradnl"/>
        </w:rPr>
      </w:pPr>
      <w:r w:rsidRPr="00A05329">
        <w:rPr>
          <w:rFonts w:ascii="Verdana" w:eastAsia="Calibri" w:hAnsi="Verdana" w:cs="Arial"/>
          <w:szCs w:val="20"/>
          <w:lang w:val="es-MX"/>
        </w:rPr>
        <w:tab/>
        <w:t xml:space="preserve">Partiendo de la perspectiva anterior y teniendo en cuenta la pregunta del peticionario, cabe destacar que el numeral </w:t>
      </w:r>
      <w:r w:rsidRPr="00A05329">
        <w:rPr>
          <w:rFonts w:ascii="Verdana" w:eastAsia="Aptos" w:hAnsi="Verdana" w:cs="Arial"/>
          <w:color w:val="000000"/>
          <w:kern w:val="2"/>
          <w:szCs w:val="24"/>
          <w14:ligatures w14:val="standardContextual"/>
        </w:rPr>
        <w:t>“4.1. OFERTA ECONÓMICA”</w:t>
      </w:r>
      <w:r w:rsidRPr="00A05329">
        <w:rPr>
          <w:rFonts w:ascii="Verdana" w:eastAsia="Calibri" w:hAnsi="Verdana" w:cs="Arial"/>
          <w:lang w:val="es-ES_tradnl"/>
        </w:rPr>
        <w:t xml:space="preserve"> del documento base de los documentos tipo de licitación de obra pública de infraestructura de transporte – versión 4 establece lo siguiente en relación con la oferta económica:</w:t>
      </w:r>
    </w:p>
    <w:p w14:paraId="2E14A4AB" w14:textId="77777777" w:rsidR="00A05329" w:rsidRPr="00A05329" w:rsidRDefault="00A05329" w:rsidP="00A05329">
      <w:pPr>
        <w:spacing w:after="0" w:line="276" w:lineRule="auto"/>
        <w:ind w:firstLine="708"/>
        <w:jc w:val="both"/>
        <w:rPr>
          <w:rFonts w:ascii="Verdana" w:eastAsia="Calibri" w:hAnsi="Verdana" w:cs="Arial"/>
          <w:lang w:val="es-ES_tradnl"/>
        </w:rPr>
      </w:pPr>
    </w:p>
    <w:p w14:paraId="68FDF2E9"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highlight w:val="lightGray"/>
          <w:lang w:val="es-MX"/>
        </w:rPr>
      </w:pPr>
      <w:r w:rsidRPr="00A05329">
        <w:rPr>
          <w:rFonts w:ascii="Verdana" w:eastAsia="Calibri" w:hAnsi="Verdana" w:cs="Arial"/>
          <w:color w:val="000000"/>
          <w:sz w:val="21"/>
          <w:szCs w:val="21"/>
          <w:highlight w:val="lightGray"/>
          <w:lang w:val="es-MX"/>
        </w:rPr>
        <w:t>“[La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w:t>
      </w:r>
    </w:p>
    <w:p w14:paraId="715CB6B9"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highlight w:val="lightGray"/>
          <w:lang w:val="es-MX"/>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p>
    <w:p w14:paraId="0CDACE7F"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lang w:val="es-MX"/>
        </w:rPr>
        <w:lastRenderedPageBreak/>
        <w:t xml:space="preserve">Para calificar este factor se tendrá en cuenta el valor total indicado en la propuesta económica o el obtenido de la corrección aritmética. La propuesta económica deberá ser allegada en el Sobre No. 2. </w:t>
      </w:r>
    </w:p>
    <w:p w14:paraId="41309835"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highlight w:val="lightGray"/>
          <w:lang w:val="es-MX"/>
        </w:rPr>
      </w:pPr>
      <w:r w:rsidRPr="00A05329">
        <w:rPr>
          <w:rFonts w:ascii="Verdana" w:eastAsia="Calibri" w:hAnsi="Verdana" w:cs="Arial"/>
          <w:color w:val="000000"/>
          <w:sz w:val="21"/>
          <w:szCs w:val="21"/>
          <w:highlight w:val="lightGray"/>
          <w:lang w:val="es-MX"/>
        </w:rPr>
        <w:t xml:space="preserve">[La entidad debe configurar el formato de oferta económica que se encuentra en el Formulario 1 – Formulario de Presupuesto Oficial, para que sea diligenciado por los proponentes. </w:t>
      </w:r>
    </w:p>
    <w:p w14:paraId="004BFA55"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highlight w:val="lightGray"/>
          <w:lang w:val="es-MX"/>
        </w:rPr>
        <w:t>La entidad debe incluir el Formulario 1 – Formulario de Presupuesto Oficial y la oferta económica en formato Excel]</w:t>
      </w:r>
      <w:r w:rsidRPr="00A05329">
        <w:rPr>
          <w:rFonts w:ascii="Verdana" w:eastAsia="Calibri" w:hAnsi="Verdana" w:cs="Arial"/>
          <w:color w:val="000000"/>
          <w:sz w:val="21"/>
          <w:szCs w:val="21"/>
          <w:lang w:val="es-MX"/>
        </w:rPr>
        <w:t xml:space="preserve"> </w:t>
      </w:r>
    </w:p>
    <w:p w14:paraId="7DCF3085"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lang w:val="es-MX"/>
        </w:rPr>
        <w:t>El valor de la propuesta económica debe presentarse en pesos colombianos y contemplar todos los costos directos e indirectos para la completa y adecuada ejecución de la obra del presente proceso, los riesgos y la administración de estos.</w:t>
      </w:r>
    </w:p>
    <w:p w14:paraId="10854D84"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lang w:val="es-MX"/>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64FB71BB"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lang w:val="es-MX"/>
        </w:rPr>
        <w:t>Los estimativos técnicos que hagan los proponentes para la presentación de sus ofertas deben tener en cuenta que la ejecución del contrato se regirá íntegramente por lo previsto en los documentos del proceso y que en sus cálculos económicos deben incluir todos los aspectos y requerimientos necesarios para cumplir con todas las obligaciones contractuales y asumir los riesgos previstos en dichos documentos.</w:t>
      </w:r>
    </w:p>
    <w:p w14:paraId="1D46F64A" w14:textId="77777777" w:rsidR="00A05329" w:rsidRPr="00A05329" w:rsidRDefault="00A05329" w:rsidP="00A05329">
      <w:pPr>
        <w:spacing w:after="12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highlight w:val="lightGray"/>
          <w:lang w:val="es-MX"/>
        </w:rPr>
        <w:t>[Incluir en el evento en el que el proceso de contratación sea por precios unitarios]</w:t>
      </w:r>
      <w:r w:rsidRPr="00A05329">
        <w:rPr>
          <w:rFonts w:ascii="Verdana" w:eastAsia="Calibri" w:hAnsi="Verdana" w:cs="Arial"/>
          <w:color w:val="000000"/>
          <w:sz w:val="21"/>
          <w:szCs w:val="21"/>
          <w:lang w:val="es-MX"/>
        </w:rPr>
        <w:t xml:space="preserve"> El desglose de los Análisis de Precios Unitarios publicados por la entidad es únicamente de referencia, constituye una guía para la preparación de la oferta. Si existe alguna duda o interrogante sobre la presentación de estos Análisis de Precios Unitarios y el precio de estudios publicados por la entidad, es deber de los Proponente hacerlos conocer dentro del plazo establecido en el Anexo 2 - Cronograma para la presentación de observaciones al proyecto de pliego de condiciones para que la Entidad los pueda estudiar.</w:t>
      </w:r>
    </w:p>
    <w:p w14:paraId="4663492D" w14:textId="77777777" w:rsidR="00A05329" w:rsidRPr="00A05329" w:rsidRDefault="00A05329" w:rsidP="00A05329">
      <w:pPr>
        <w:snapToGrid w:val="0"/>
        <w:spacing w:after="0" w:line="240" w:lineRule="auto"/>
        <w:ind w:left="709" w:right="709"/>
        <w:jc w:val="both"/>
        <w:rPr>
          <w:rFonts w:ascii="Verdana" w:eastAsia="Calibri" w:hAnsi="Verdana" w:cs="Arial"/>
          <w:color w:val="000000"/>
          <w:sz w:val="21"/>
          <w:szCs w:val="21"/>
          <w:lang w:val="es-MX"/>
        </w:rPr>
      </w:pPr>
      <w:r w:rsidRPr="00A05329">
        <w:rPr>
          <w:rFonts w:ascii="Verdana" w:eastAsia="Calibri" w:hAnsi="Verdana" w:cs="Arial"/>
          <w:color w:val="000000"/>
          <w:sz w:val="21"/>
          <w:szCs w:val="21"/>
          <w:highlight w:val="lightGray"/>
          <w:lang w:val="es-MX"/>
        </w:rPr>
        <w:t>[La entidad estatal en esta sección o en el “Formulario 1 – Formulario del presupuesto oficial” discriminará los impuestos, tasas o contribuciones que aplican al proceso de contratación. Los oferentes tendrán en cuenta está información al presentar su oferta]</w:t>
      </w:r>
      <w:r w:rsidRPr="00A05329">
        <w:rPr>
          <w:rFonts w:ascii="Verdana" w:eastAsia="Calibri" w:hAnsi="Verdana" w:cs="Arial"/>
          <w:color w:val="000000"/>
          <w:sz w:val="21"/>
          <w:szCs w:val="21"/>
          <w:lang w:val="es-MX"/>
        </w:rPr>
        <w:t xml:space="preserve">”. </w:t>
      </w:r>
    </w:p>
    <w:p w14:paraId="69FB2A72" w14:textId="77777777" w:rsidR="00A05329" w:rsidRPr="00A05329" w:rsidRDefault="00A05329" w:rsidP="00A05329">
      <w:pPr>
        <w:snapToGrid w:val="0"/>
        <w:spacing w:after="0" w:line="240" w:lineRule="auto"/>
        <w:jc w:val="both"/>
        <w:rPr>
          <w:rFonts w:ascii="Verdana" w:eastAsia="Calibri" w:hAnsi="Verdana" w:cs="Arial"/>
          <w:lang w:val="es-ES_tradnl"/>
        </w:rPr>
      </w:pPr>
    </w:p>
    <w:p w14:paraId="63985538" w14:textId="77777777" w:rsidR="00A05329" w:rsidRPr="00A05329" w:rsidRDefault="00A05329" w:rsidP="00A05329">
      <w:pPr>
        <w:spacing w:after="120" w:line="276" w:lineRule="auto"/>
        <w:ind w:firstLine="708"/>
        <w:jc w:val="both"/>
        <w:rPr>
          <w:rFonts w:ascii="Verdana" w:eastAsia="Times New Roman" w:hAnsi="Verdana" w:cs="Times New Roman"/>
          <w:lang w:eastAsia="es-MX"/>
        </w:rPr>
      </w:pPr>
      <w:r w:rsidRPr="00A05329">
        <w:rPr>
          <w:rFonts w:ascii="Verdana" w:eastAsia="Times New Roman" w:hAnsi="Verdana" w:cs="Times New Roman"/>
          <w:lang w:eastAsia="es-MX"/>
        </w:rPr>
        <w:lastRenderedPageBreak/>
        <w:t xml:space="preserve">Del texto transcrito se advierte que los apartes entre corchetes del numeral 4.1 le permiten a la entidad: i) indicar la forma de pago del contrato, en concordancia con el Anexo 1 – Anexo Técnico y el Formulario 1 – Formulario de Presupuesto Oficial; </w:t>
      </w:r>
      <w:proofErr w:type="spellStart"/>
      <w:r w:rsidRPr="00A05329">
        <w:rPr>
          <w:rFonts w:ascii="Verdana" w:eastAsia="Times New Roman" w:hAnsi="Verdana" w:cs="Times New Roman"/>
          <w:lang w:eastAsia="es-MX"/>
        </w:rPr>
        <w:t>ii</w:t>
      </w:r>
      <w:proofErr w:type="spellEnd"/>
      <w:r w:rsidRPr="00A05329">
        <w:rPr>
          <w:rFonts w:ascii="Verdana" w:eastAsia="Times New Roman" w:hAnsi="Verdana" w:cs="Times New Roman"/>
          <w:lang w:eastAsia="es-MX"/>
        </w:rPr>
        <w:t xml:space="preserve">) aplicar las notas del Formulario 1 cuando el presupuesto se estructura por precios unitarios o, en las demás modalidades de pago, definir las notas que el proponente debe tener en cuenta para presentar su oferta económica; </w:t>
      </w:r>
      <w:proofErr w:type="spellStart"/>
      <w:r w:rsidRPr="00A05329">
        <w:rPr>
          <w:rFonts w:ascii="Verdana" w:eastAsia="Times New Roman" w:hAnsi="Verdana" w:cs="Times New Roman"/>
          <w:lang w:eastAsia="es-MX"/>
        </w:rPr>
        <w:t>iii</w:t>
      </w:r>
      <w:proofErr w:type="spellEnd"/>
      <w:r w:rsidRPr="00A05329">
        <w:rPr>
          <w:rFonts w:ascii="Verdana" w:eastAsia="Times New Roman" w:hAnsi="Verdana" w:cs="Times New Roman"/>
          <w:lang w:eastAsia="es-MX"/>
        </w:rPr>
        <w:t xml:space="preserve">) configurar el formato de oferta económica contenido en el Formulario 1 e incluirlo en formato Excel; </w:t>
      </w:r>
      <w:proofErr w:type="spellStart"/>
      <w:r w:rsidRPr="00A05329">
        <w:rPr>
          <w:rFonts w:ascii="Verdana" w:eastAsia="Times New Roman" w:hAnsi="Verdana" w:cs="Times New Roman"/>
          <w:lang w:eastAsia="es-MX"/>
        </w:rPr>
        <w:t>iv</w:t>
      </w:r>
      <w:proofErr w:type="spellEnd"/>
      <w:r w:rsidRPr="00A05329">
        <w:rPr>
          <w:rFonts w:ascii="Verdana" w:eastAsia="Times New Roman" w:hAnsi="Verdana" w:cs="Times New Roman"/>
          <w:lang w:eastAsia="es-MX"/>
        </w:rPr>
        <w:t>) incorporar, cuando el proceso sea por precios unitarios, la regla según la cual el análisis de precios unitarios publicado por la entidad es únicamente de referencia; y v) discriminar los impuestos, tasas o contribuciones aplicables al proceso. Como se observa, ninguna de estas instrucciones habilita a la entidad para fijar un valor o porcentaje mínimo de la oferta económica, ni para asignar a las ofertas inferiores a dicho valor la consecuencia de ser consideradas artificialmente bajas.</w:t>
      </w:r>
    </w:p>
    <w:p w14:paraId="660A1E35" w14:textId="77777777" w:rsidR="00A05329" w:rsidRPr="00A05329" w:rsidRDefault="00A05329" w:rsidP="00A05329">
      <w:pPr>
        <w:spacing w:after="120" w:line="276" w:lineRule="auto"/>
        <w:ind w:firstLine="708"/>
        <w:jc w:val="both"/>
        <w:rPr>
          <w:rFonts w:ascii="Verdana" w:eastAsia="Times New Roman" w:hAnsi="Verdana" w:cs="Times New Roman"/>
          <w:lang w:eastAsia="es-MX"/>
        </w:rPr>
      </w:pPr>
      <w:r w:rsidRPr="00A05329">
        <w:rPr>
          <w:rFonts w:ascii="Verdana" w:eastAsia="Times New Roman" w:hAnsi="Verdana" w:cs="Times New Roman"/>
          <w:lang w:eastAsia="es-MX"/>
        </w:rPr>
        <w:t xml:space="preserve">En efecto, las instrucciones entre corchetes del numeral 4.1 tienen por objeto que la entidad adecúe la forma de presentación de la oferta económica a la modalidad de pago escogida y a la estructura del presupuesto oficial. No tienen por objeto definir las reglas de evaluación de dicha oferta. Así lo ha entendido esta Agencia al señalar que, en virtud de la instrucción del Formulario 1, las entidades pueden diseñar el formulario mediante el cual los proponentes presentan su oferta económica, de manera que la presentación de la oferta se realizará conforme al formato determinado por la entidad. Se trata, por tanto, de una facultad de configuración formal del instrumento de presentación de la oferta, que no se extiende a la fijación de umbrales de precio con efectos en la evaluación o en el rechazo de las propuestas. </w:t>
      </w:r>
    </w:p>
    <w:p w14:paraId="2D35C16E" w14:textId="77777777" w:rsidR="00A05329" w:rsidRPr="00A05329" w:rsidRDefault="00A05329" w:rsidP="00A05329">
      <w:pPr>
        <w:spacing w:after="120" w:line="276" w:lineRule="auto"/>
        <w:ind w:firstLine="708"/>
        <w:jc w:val="both"/>
        <w:rPr>
          <w:rFonts w:ascii="Verdana" w:eastAsia="Times New Roman" w:hAnsi="Verdana" w:cs="Times New Roman"/>
          <w:lang w:eastAsia="es-MX"/>
        </w:rPr>
      </w:pPr>
      <w:r w:rsidRPr="00A05329">
        <w:rPr>
          <w:rFonts w:ascii="Verdana" w:eastAsia="Times New Roman" w:hAnsi="Verdana" w:cs="Times New Roman"/>
          <w:lang w:eastAsia="es-MX"/>
        </w:rPr>
        <w:t>Lo mismo ocurre con las notas que la entidad debe definir cuando el presupuesto no se estructura por precios unitarios, pues estas se refieren a lo que el proponente “debe tener en cuenta para presentar su oferta económica”, y no a la forma en que esta será calificada.</w:t>
      </w:r>
    </w:p>
    <w:p w14:paraId="024A5B34" w14:textId="77777777" w:rsidR="00A05329" w:rsidRPr="00A05329" w:rsidRDefault="00A05329" w:rsidP="00A05329">
      <w:pPr>
        <w:spacing w:after="0" w:line="276" w:lineRule="auto"/>
        <w:ind w:firstLine="708"/>
        <w:jc w:val="both"/>
        <w:rPr>
          <w:rFonts w:ascii="Verdana" w:eastAsia="Times New Roman" w:hAnsi="Verdana" w:cs="Times New Roman"/>
          <w:lang w:eastAsia="es-MX"/>
        </w:rPr>
      </w:pPr>
      <w:r w:rsidRPr="00A05329">
        <w:rPr>
          <w:rFonts w:ascii="Verdana" w:eastAsia="Times New Roman" w:hAnsi="Verdana" w:cs="Times New Roman"/>
          <w:lang w:eastAsia="es-MX"/>
        </w:rPr>
        <w:t>Por el contrario, los apartes del numeral 4.1 que no se encuentran entre corchetes, que la entidad debe integrar a su proceso sin alteración alguna, disponen que “[p]ara calificar este factor se tendrá en cuenta el valor total indicado en la propuesta económica o el obtenido de la corrección aritmética”. Esta regla no admite que la calificación del factor económico quede condicionada a que el valor ofertado supere un porcentaje mínimo fijado por la entidad.</w:t>
      </w:r>
    </w:p>
    <w:p w14:paraId="79997CE1" w14:textId="77777777" w:rsidR="00A05329" w:rsidRPr="00A05329" w:rsidRDefault="00A05329" w:rsidP="00A05329">
      <w:pPr>
        <w:spacing w:after="0" w:line="276" w:lineRule="auto"/>
        <w:jc w:val="both"/>
        <w:rPr>
          <w:rFonts w:ascii="Verdana" w:eastAsia="Calibri" w:hAnsi="Verdana" w:cs="Arial"/>
          <w:szCs w:val="20"/>
        </w:rPr>
      </w:pPr>
    </w:p>
    <w:p w14:paraId="1058BD47" w14:textId="77777777" w:rsidR="00A05329" w:rsidRPr="00A05329" w:rsidRDefault="00A05329" w:rsidP="00A05329">
      <w:pPr>
        <w:tabs>
          <w:tab w:val="left" w:pos="0"/>
        </w:tabs>
        <w:spacing w:after="0" w:line="276" w:lineRule="auto"/>
        <w:jc w:val="both"/>
        <w:rPr>
          <w:rFonts w:ascii="Verdana" w:eastAsia="Calibri" w:hAnsi="Verdana" w:cs="Arial"/>
          <w:color w:val="000000"/>
        </w:rPr>
      </w:pPr>
      <w:proofErr w:type="spellStart"/>
      <w:r w:rsidRPr="00A05329">
        <w:rPr>
          <w:rFonts w:ascii="Verdana" w:eastAsia="Calibri" w:hAnsi="Verdana" w:cs="Arial"/>
          <w:szCs w:val="20"/>
        </w:rPr>
        <w:t>iv</w:t>
      </w:r>
      <w:proofErr w:type="spellEnd"/>
      <w:r w:rsidRPr="00A05329">
        <w:rPr>
          <w:rFonts w:ascii="Verdana" w:eastAsia="Calibri" w:hAnsi="Verdana" w:cs="Arial"/>
          <w:szCs w:val="20"/>
        </w:rPr>
        <w:t xml:space="preserve">. </w:t>
      </w:r>
      <w:r w:rsidRPr="00A05329">
        <w:rPr>
          <w:rFonts w:ascii="Verdana" w:eastAsia="Aptos" w:hAnsi="Verdana" w:cs="Arial"/>
          <w:color w:val="000000"/>
          <w:kern w:val="2"/>
          <w14:ligatures w14:val="standardContextual"/>
        </w:rPr>
        <w:t>S</w:t>
      </w:r>
      <w:r w:rsidRPr="00A05329">
        <w:rPr>
          <w:rFonts w:ascii="Verdana" w:eastAsia="Calibri" w:hAnsi="Verdana" w:cs="Arial"/>
          <w:color w:val="000000"/>
        </w:rPr>
        <w:t>egún el artículo 26.6 de la Ley 80 de 1993, los contratistas responderán cuando presenten ofertas que resulten artificialmente bajas con el propósito de obtener la adjudicación del contrato.</w:t>
      </w:r>
      <w:r w:rsidRPr="00A05329">
        <w:rPr>
          <w:rFonts w:ascii="Verdana" w:eastAsia="Calibri" w:hAnsi="Verdana" w:cs="Arial"/>
          <w:color w:val="000000"/>
          <w:lang w:val="es-E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A05329">
        <w:rPr>
          <w:rFonts w:ascii="Verdana" w:eastAsia="Calibri" w:hAnsi="Verdana" w:cs="Arial"/>
          <w:color w:val="000000"/>
        </w:rPr>
        <w:t>. Así lo señaló el Consejo de Estado en sentencia del 4 de junio de 2008, en los siguientes términos:</w:t>
      </w:r>
    </w:p>
    <w:p w14:paraId="376208A9" w14:textId="77777777" w:rsidR="00A05329" w:rsidRPr="00A05329" w:rsidRDefault="00A05329" w:rsidP="00A05329">
      <w:pPr>
        <w:spacing w:after="0" w:line="276" w:lineRule="auto"/>
        <w:jc w:val="both"/>
        <w:rPr>
          <w:rFonts w:ascii="Verdana" w:eastAsia="Calibri" w:hAnsi="Verdana" w:cs="Arial"/>
          <w:color w:val="000000"/>
        </w:rPr>
      </w:pPr>
    </w:p>
    <w:p w14:paraId="46F31A41" w14:textId="77777777" w:rsidR="00A05329" w:rsidRPr="00A05329" w:rsidRDefault="00A05329" w:rsidP="00A05329">
      <w:pPr>
        <w:spacing w:after="0" w:line="240" w:lineRule="auto"/>
        <w:ind w:left="708" w:right="709"/>
        <w:jc w:val="both"/>
        <w:rPr>
          <w:rFonts w:ascii="Verdana" w:eastAsia="Calibri" w:hAnsi="Verdana" w:cs="Arial"/>
          <w:color w:val="000000"/>
          <w:sz w:val="21"/>
          <w:szCs w:val="21"/>
        </w:rPr>
      </w:pPr>
      <w:r w:rsidRPr="00A05329">
        <w:rPr>
          <w:rFonts w:ascii="Verdana" w:eastAsia="Calibri" w:hAnsi="Verdana" w:cs="Arial"/>
          <w:color w:val="000000"/>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A05329">
        <w:rPr>
          <w:rFonts w:ascii="Verdana" w:eastAsia="Calibri" w:hAnsi="Verdana" w:cs="Arial"/>
          <w:color w:val="000000"/>
          <w:vertAlign w:val="superscript"/>
        </w:rPr>
        <w:footnoteReference w:id="8"/>
      </w:r>
      <w:r w:rsidRPr="00A05329">
        <w:rPr>
          <w:rFonts w:ascii="Verdana" w:eastAsia="Calibri" w:hAnsi="Verdana" w:cs="Arial"/>
          <w:color w:val="000000"/>
          <w:sz w:val="21"/>
          <w:szCs w:val="21"/>
        </w:rPr>
        <w:t>.</w:t>
      </w:r>
    </w:p>
    <w:p w14:paraId="774307CD" w14:textId="77777777" w:rsidR="00A05329" w:rsidRPr="00A05329" w:rsidRDefault="00A05329" w:rsidP="00A05329">
      <w:pPr>
        <w:spacing w:after="0" w:line="276" w:lineRule="auto"/>
        <w:ind w:left="709" w:right="709"/>
        <w:jc w:val="both"/>
        <w:rPr>
          <w:rFonts w:ascii="Verdana" w:eastAsia="Calibri" w:hAnsi="Verdana" w:cs="Arial"/>
          <w:color w:val="000000"/>
        </w:rPr>
      </w:pPr>
    </w:p>
    <w:p w14:paraId="618F3BA8" w14:textId="77777777" w:rsidR="00A05329" w:rsidRPr="00A05329" w:rsidRDefault="00A05329" w:rsidP="00A05329">
      <w:pPr>
        <w:spacing w:line="276" w:lineRule="auto"/>
        <w:ind w:firstLine="709"/>
        <w:jc w:val="both"/>
        <w:rPr>
          <w:rFonts w:ascii="Verdana" w:eastAsia="Calibri" w:hAnsi="Verdana" w:cs="Arial"/>
          <w:color w:val="000000"/>
        </w:rPr>
      </w:pPr>
      <w:r w:rsidRPr="00A05329">
        <w:rPr>
          <w:rFonts w:ascii="Verdana" w:eastAsia="Calibri" w:hAnsi="Verdana" w:cs="Arial"/>
          <w:color w:val="000000"/>
        </w:rPr>
        <w:t>Por su parte, la “Guía para el manejo de ofertas artificialmente bajas en Procesos de Contratación”</w:t>
      </w:r>
      <w:r w:rsidRPr="00A05329">
        <w:rPr>
          <w:rFonts w:ascii="Verdana" w:eastAsia="Calibri" w:hAnsi="Verdana" w:cs="Arial"/>
          <w:color w:val="000000"/>
          <w:vertAlign w:val="superscript"/>
        </w:rPr>
        <w:footnoteReference w:id="9"/>
      </w:r>
      <w:r w:rsidRPr="00A05329">
        <w:rPr>
          <w:rFonts w:ascii="Verdana" w:eastAsia="Calibri" w:hAnsi="Verdana" w:cs="Arial"/>
          <w:color w:val="000000"/>
        </w:rPr>
        <w:t xml:space="preserve">, establece que una oferta es artificialmente baja </w:t>
      </w:r>
      <w:r w:rsidRPr="00A05329">
        <w:rPr>
          <w:rFonts w:ascii="Verdana" w:eastAsia="Calibri" w:hAnsi="Verdana" w:cs="Arial"/>
          <w:color w:val="000000"/>
        </w:rPr>
        <w:lastRenderedPageBreak/>
        <w:t>cuando, “a criterio de la Entidad Estatal, el precio ofertado no parece suficiente para garantizar la correcta ejecución del contrato. Esto,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de alcance, que permiten generar un bien o un servicio a menor costo que el resto de proveedores en el mercado”, según lo establece la guía antes mencionada.</w:t>
      </w:r>
    </w:p>
    <w:p w14:paraId="4EF0835B" w14:textId="77777777" w:rsidR="00A05329" w:rsidRPr="00A05329" w:rsidRDefault="00A05329" w:rsidP="00A05329">
      <w:pPr>
        <w:spacing w:before="120" w:after="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De otro lado, el artículo 2.2.1.1.2.2.4 del Decreto 1082 de 2015 regula el procedimiento a seguir en los eventos en que se presenten propuestas con valor artificialmente bajo: </w:t>
      </w:r>
    </w:p>
    <w:p w14:paraId="7BEC2667" w14:textId="77777777" w:rsidR="00A05329" w:rsidRPr="00A05329" w:rsidRDefault="00A05329" w:rsidP="00A05329">
      <w:pPr>
        <w:spacing w:after="0" w:line="276" w:lineRule="auto"/>
        <w:ind w:firstLine="709"/>
        <w:jc w:val="both"/>
        <w:rPr>
          <w:rFonts w:ascii="Verdana" w:eastAsia="Calibri" w:hAnsi="Verdana" w:cs="Arial"/>
          <w:color w:val="000000"/>
        </w:rPr>
      </w:pPr>
    </w:p>
    <w:p w14:paraId="2D8A3049" w14:textId="77777777" w:rsidR="00A05329" w:rsidRPr="00A05329" w:rsidRDefault="00A05329" w:rsidP="00A05329">
      <w:pPr>
        <w:tabs>
          <w:tab w:val="left" w:pos="7230"/>
          <w:tab w:val="left" w:pos="7797"/>
          <w:tab w:val="left" w:pos="8080"/>
        </w:tabs>
        <w:spacing w:after="120" w:line="240" w:lineRule="auto"/>
        <w:ind w:left="709" w:right="709"/>
        <w:jc w:val="both"/>
        <w:rPr>
          <w:rFonts w:ascii="Verdana" w:eastAsia="Calibri" w:hAnsi="Verdana" w:cs="Arial"/>
          <w:color w:val="000000"/>
          <w:sz w:val="21"/>
          <w:szCs w:val="21"/>
        </w:rPr>
      </w:pPr>
      <w:r w:rsidRPr="00A05329">
        <w:rPr>
          <w:rFonts w:ascii="Verdana" w:eastAsia="Calibri" w:hAnsi="Verdana" w:cs="Arial"/>
          <w:color w:val="000000"/>
          <w:sz w:val="21"/>
          <w:szCs w:val="21"/>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296B2588" w14:textId="77777777" w:rsidR="00A05329" w:rsidRPr="00A05329" w:rsidRDefault="00A05329" w:rsidP="00A05329">
      <w:pPr>
        <w:tabs>
          <w:tab w:val="left" w:pos="7230"/>
          <w:tab w:val="left" w:pos="7797"/>
          <w:tab w:val="left" w:pos="8080"/>
        </w:tabs>
        <w:spacing w:after="120" w:line="240" w:lineRule="auto"/>
        <w:ind w:left="709" w:right="709"/>
        <w:jc w:val="both"/>
        <w:rPr>
          <w:rFonts w:ascii="Verdana" w:eastAsia="Calibri" w:hAnsi="Verdana" w:cs="Arial"/>
          <w:color w:val="000000"/>
          <w:sz w:val="21"/>
          <w:szCs w:val="21"/>
        </w:rPr>
      </w:pPr>
      <w:r w:rsidRPr="00A05329">
        <w:rPr>
          <w:rFonts w:ascii="Verdana" w:eastAsia="Calibri" w:hAnsi="Verdana" w:cs="Arial"/>
          <w:color w:val="000000"/>
          <w:sz w:val="21"/>
          <w:szCs w:val="21"/>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0E8B910D" w14:textId="77777777" w:rsidR="00A05329" w:rsidRPr="00A05329" w:rsidRDefault="00A05329" w:rsidP="00A05329">
      <w:pPr>
        <w:tabs>
          <w:tab w:val="left" w:pos="7230"/>
          <w:tab w:val="left" w:pos="7797"/>
          <w:tab w:val="left" w:pos="8080"/>
        </w:tabs>
        <w:spacing w:after="0" w:line="240" w:lineRule="auto"/>
        <w:ind w:left="709" w:right="709"/>
        <w:jc w:val="both"/>
        <w:rPr>
          <w:rFonts w:ascii="Verdana" w:eastAsia="Calibri" w:hAnsi="Verdana" w:cs="Arial"/>
          <w:color w:val="000000"/>
          <w:sz w:val="21"/>
          <w:szCs w:val="21"/>
        </w:rPr>
      </w:pPr>
      <w:r w:rsidRPr="00A05329">
        <w:rPr>
          <w:rFonts w:ascii="Verdana" w:eastAsia="Calibri" w:hAnsi="Verdana" w:cs="Arial"/>
          <w:color w:val="000000"/>
          <w:sz w:val="21"/>
          <w:szCs w:val="21"/>
        </w:rPr>
        <w:t>En la subasta inversa esta disposición es aplicable sobre el precio obtenido al final de la misma”.</w:t>
      </w:r>
    </w:p>
    <w:p w14:paraId="1B484D82" w14:textId="77777777" w:rsidR="00A05329" w:rsidRPr="00A05329" w:rsidRDefault="00A05329" w:rsidP="00A05329">
      <w:pPr>
        <w:spacing w:after="0" w:line="276" w:lineRule="auto"/>
        <w:ind w:left="709" w:right="709"/>
        <w:jc w:val="both"/>
        <w:rPr>
          <w:rFonts w:ascii="Verdana" w:eastAsia="Calibri" w:hAnsi="Verdana" w:cs="Arial"/>
          <w:color w:val="000000"/>
        </w:rPr>
      </w:pPr>
    </w:p>
    <w:p w14:paraId="3FD22707" w14:textId="77777777" w:rsidR="00A05329" w:rsidRPr="00A05329" w:rsidRDefault="00A05329" w:rsidP="00A05329">
      <w:pPr>
        <w:spacing w:after="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De lo expuesto se desprende que, ante una propuesta artificialmente baja, la entidad estatal está obligada a: i) requerir al oferente para que explique las razones que sustentan el valor ofrecido; </w:t>
      </w:r>
      <w:proofErr w:type="spellStart"/>
      <w:r w:rsidRPr="00A05329">
        <w:rPr>
          <w:rFonts w:ascii="Verdana" w:eastAsia="Calibri" w:hAnsi="Verdana" w:cs="Arial"/>
          <w:color w:val="000000"/>
        </w:rPr>
        <w:t>ii</w:t>
      </w:r>
      <w:proofErr w:type="spellEnd"/>
      <w:r w:rsidRPr="00A05329">
        <w:rPr>
          <w:rFonts w:ascii="Verdana" w:eastAsia="Calibri" w:hAnsi="Verdana" w:cs="Arial"/>
          <w:color w:val="000000"/>
        </w:rPr>
        <w:t xml:space="preserve">) analizar las explicaciones; y </w:t>
      </w:r>
      <w:proofErr w:type="spellStart"/>
      <w:r w:rsidRPr="00A05329">
        <w:rPr>
          <w:rFonts w:ascii="Verdana" w:eastAsia="Calibri" w:hAnsi="Verdana" w:cs="Arial"/>
          <w:color w:val="000000"/>
        </w:rPr>
        <w:t>iii</w:t>
      </w:r>
      <w:proofErr w:type="spellEnd"/>
      <w:r w:rsidRPr="00A05329">
        <w:rPr>
          <w:rFonts w:ascii="Verdana" w:eastAsia="Calibri" w:hAnsi="Verdana" w:cs="Arial"/>
          <w:color w:val="000000"/>
        </w:rPr>
        <w:t xml:space="preserve">)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7C301739" w14:textId="77777777" w:rsidR="00A05329" w:rsidRPr="00A05329" w:rsidRDefault="00A05329" w:rsidP="00A05329">
      <w:pPr>
        <w:spacing w:before="120" w:after="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Por su parte, la “Guía para el manejo de ofertas artificialmente bajas en Procesos de Contratación” recomienda a las entidades estatales tener en cuenta </w:t>
      </w:r>
      <w:r w:rsidRPr="00A05329">
        <w:rPr>
          <w:rFonts w:ascii="Verdana" w:eastAsia="Calibri" w:hAnsi="Verdana" w:cs="Arial"/>
          <w:color w:val="000000"/>
        </w:rPr>
        <w:lastRenderedPageBreak/>
        <w:t xml:space="preserve">la siguiente información para determinar si una oferta es artificialmente baja: i) promedio del valor de las ofertas, </w:t>
      </w:r>
      <w:proofErr w:type="spellStart"/>
      <w:r w:rsidRPr="00A05329">
        <w:rPr>
          <w:rFonts w:ascii="Verdana" w:eastAsia="Calibri" w:hAnsi="Verdana" w:cs="Arial"/>
          <w:color w:val="000000"/>
        </w:rPr>
        <w:t>ii</w:t>
      </w:r>
      <w:proofErr w:type="spellEnd"/>
      <w:r w:rsidRPr="00A05329">
        <w:rPr>
          <w:rFonts w:ascii="Verdana" w:eastAsia="Calibri" w:hAnsi="Verdana" w:cs="Arial"/>
          <w:color w:val="000000"/>
        </w:rPr>
        <w:t xml:space="preserve">) mediana del valor las ofertas, </w:t>
      </w:r>
      <w:proofErr w:type="spellStart"/>
      <w:r w:rsidRPr="00A05329">
        <w:rPr>
          <w:rFonts w:ascii="Verdana" w:eastAsia="Calibri" w:hAnsi="Verdana" w:cs="Arial"/>
          <w:color w:val="000000"/>
        </w:rPr>
        <w:t>iii</w:t>
      </w:r>
      <w:proofErr w:type="spellEnd"/>
      <w:r w:rsidRPr="00A05329">
        <w:rPr>
          <w:rFonts w:ascii="Verdana" w:eastAsia="Calibri" w:hAnsi="Verdana" w:cs="Arial"/>
          <w:color w:val="000000"/>
        </w:rPr>
        <w:t xml:space="preserve">) desviación estándar del valor de las ofertas, </w:t>
      </w:r>
      <w:proofErr w:type="spellStart"/>
      <w:r w:rsidRPr="00A05329">
        <w:rPr>
          <w:rFonts w:ascii="Verdana" w:eastAsia="Calibri" w:hAnsi="Verdana" w:cs="Arial"/>
          <w:color w:val="000000"/>
        </w:rPr>
        <w:t>iv</w:t>
      </w:r>
      <w:proofErr w:type="spellEnd"/>
      <w:r w:rsidRPr="00A05329">
        <w:rPr>
          <w:rFonts w:ascii="Verdana" w:eastAsia="Calibri" w:hAnsi="Verdana" w:cs="Arial"/>
          <w:color w:val="000000"/>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A05329">
        <w:rPr>
          <w:rFonts w:ascii="Verdana" w:eastAsia="Calibri" w:hAnsi="Verdana" w:cs="Arial"/>
          <w:color w:val="000000"/>
        </w:rPr>
        <w:t>vii</w:t>
      </w:r>
      <w:proofErr w:type="spellEnd"/>
      <w:r w:rsidRPr="00A05329">
        <w:rPr>
          <w:rFonts w:ascii="Verdana" w:eastAsia="Calibri" w:hAnsi="Verdana" w:cs="Arial"/>
          <w:color w:val="000000"/>
        </w:rPr>
        <w:t xml:space="preserve">) la información histórica de ofertas y contratos del objeto del proceso de contratación. </w:t>
      </w:r>
    </w:p>
    <w:p w14:paraId="5BF7E42F" w14:textId="77777777" w:rsidR="00A05329" w:rsidRPr="00A05329" w:rsidRDefault="00A05329" w:rsidP="00A05329">
      <w:pPr>
        <w:spacing w:before="120" w:after="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Con estos datos, la entidad puede emplear herramientas para identificar ofertas que pueden ser artíficamente bajas, tales como la comparación absoluta o la comparación relativa. La </w:t>
      </w:r>
      <w:r w:rsidRPr="00A05329">
        <w:rPr>
          <w:rFonts w:ascii="Verdana" w:eastAsia="Calibri" w:hAnsi="Verdana" w:cs="Arial"/>
          <w:i/>
          <w:iCs/>
          <w:color w:val="000000"/>
        </w:rPr>
        <w:t>comparación absoluta</w:t>
      </w:r>
      <w:r w:rsidRPr="00A05329">
        <w:rPr>
          <w:rFonts w:ascii="Verdana" w:eastAsia="Calibri" w:hAnsi="Verdana" w:cs="Arial"/>
          <w:color w:val="000000"/>
        </w:rPr>
        <w:t xml:space="preserve"> consiste en contrastar cada oferta con el costo estimado del bien o servicio, de acuerdo con el estudio del sector. En este caso, si se reciben menos de cinco (5) ofertas, se debe solicitar aclaración a los proponentes cuyas ofertas sean menores en un 20%, o un mayor porcentaje en relación con el costo estimado por la entidad estatal. La </w:t>
      </w:r>
      <w:r w:rsidRPr="00A05329">
        <w:rPr>
          <w:rFonts w:ascii="Verdana" w:eastAsia="Calibri" w:hAnsi="Verdana" w:cs="Arial"/>
          <w:i/>
          <w:iCs/>
          <w:color w:val="000000"/>
        </w:rPr>
        <w:t>comparación relativa</w:t>
      </w:r>
      <w:r w:rsidRPr="00A05329">
        <w:rPr>
          <w:rFonts w:ascii="Verdana" w:eastAsia="Calibri" w:hAnsi="Verdana" w:cs="Arial"/>
          <w:color w:val="000000"/>
        </w:rPr>
        <w:t xml:space="preserve"> consiste en que la entidad contrasta la información que obtiene a partir del universo de ofertas que presentan los proponentes en el proceso de selección. </w:t>
      </w:r>
    </w:p>
    <w:p w14:paraId="4FF9D04A" w14:textId="77777777" w:rsidR="00A05329" w:rsidRPr="00A05329" w:rsidRDefault="00A05329" w:rsidP="00A05329">
      <w:pPr>
        <w:spacing w:before="120" w:after="0" w:line="276" w:lineRule="auto"/>
        <w:ind w:firstLine="708"/>
        <w:jc w:val="both"/>
        <w:rPr>
          <w:rFonts w:ascii="Verdana" w:eastAsia="Calibri" w:hAnsi="Verdana" w:cs="Arial"/>
          <w:color w:val="000000"/>
        </w:rPr>
      </w:pPr>
      <w:r w:rsidRPr="00A05329">
        <w:rPr>
          <w:rFonts w:ascii="Verdana" w:eastAsia="Calibri" w:hAnsi="Verdana" w:cs="Arial"/>
          <w:color w:val="000000"/>
          <w:shd w:val="clear" w:color="auto" w:fill="FFFFFF"/>
        </w:rPr>
        <w:t>Colombia Compra Eficiente ha sugerido a las entidades aplicar la siguiente metodología para identificar ofertas con “precios artificialmente bajos”, en aquellos procesos en los que hay cinco (5) o más ofertas</w:t>
      </w:r>
      <w:r w:rsidRPr="00A05329">
        <w:rPr>
          <w:rFonts w:ascii="Verdana" w:eastAsia="Calibri" w:hAnsi="Verdana" w:cs="Arial"/>
          <w:color w:val="000000"/>
        </w:rPr>
        <w:t>:</w:t>
      </w:r>
    </w:p>
    <w:p w14:paraId="3DB89255" w14:textId="77777777" w:rsidR="00A05329" w:rsidRPr="00A05329" w:rsidRDefault="00A05329" w:rsidP="00A05329">
      <w:pPr>
        <w:spacing w:after="0" w:line="276" w:lineRule="auto"/>
        <w:jc w:val="both"/>
        <w:rPr>
          <w:rFonts w:ascii="Verdana" w:eastAsia="Calibri" w:hAnsi="Verdana" w:cs="Arial"/>
          <w:color w:val="000000"/>
        </w:rPr>
      </w:pPr>
    </w:p>
    <w:p w14:paraId="6CD28C7C" w14:textId="77777777" w:rsidR="00A05329" w:rsidRPr="00A05329" w:rsidRDefault="00A05329" w:rsidP="00A05329">
      <w:pPr>
        <w:spacing w:after="0"/>
        <w:ind w:left="709" w:right="709" w:hanging="2"/>
        <w:jc w:val="both"/>
        <w:rPr>
          <w:rFonts w:ascii="Verdana" w:eastAsia="Calibri" w:hAnsi="Verdana" w:cs="Arial"/>
          <w:color w:val="000000"/>
          <w:sz w:val="21"/>
          <w:szCs w:val="21"/>
        </w:rPr>
      </w:pPr>
      <w:r w:rsidRPr="00A05329">
        <w:rPr>
          <w:rFonts w:ascii="Verdana" w:eastAsia="Calibri" w:hAnsi="Verdana" w:cs="Arial"/>
          <w:color w:val="000000"/>
          <w:sz w:val="21"/>
          <w:szCs w:val="21"/>
        </w:rPr>
        <w:t xml:space="preserve">1. Primero deberá tomar el conjunto de ofertas a evaluar. </w:t>
      </w:r>
    </w:p>
    <w:p w14:paraId="6464676F" w14:textId="77777777" w:rsidR="00A05329" w:rsidRPr="00A05329" w:rsidRDefault="00A05329" w:rsidP="00A05329">
      <w:pPr>
        <w:spacing w:after="0"/>
        <w:ind w:left="709" w:right="709" w:hanging="2"/>
        <w:jc w:val="both"/>
        <w:rPr>
          <w:rFonts w:ascii="Verdana" w:eastAsia="Calibri" w:hAnsi="Verdana" w:cs="Arial"/>
          <w:color w:val="000000"/>
          <w:sz w:val="21"/>
          <w:szCs w:val="21"/>
        </w:rPr>
      </w:pPr>
      <w:r w:rsidRPr="00A05329">
        <w:rPr>
          <w:rFonts w:ascii="Verdana" w:eastAsia="Calibri" w:hAnsi="Verdana" w:cs="Arial"/>
          <w:color w:val="000000"/>
          <w:sz w:val="21"/>
          <w:szCs w:val="21"/>
        </w:rPr>
        <w:t>2. Calcular la mediana, dependiendo de la dispersión de los datos el promedio del valor de cada oferta o de cada ítem dentro de la oferta.</w:t>
      </w:r>
    </w:p>
    <w:p w14:paraId="7AE0E6DC" w14:textId="77777777" w:rsidR="00A05329" w:rsidRPr="00A05329" w:rsidRDefault="00A05329" w:rsidP="00A05329">
      <w:pPr>
        <w:spacing w:after="0"/>
        <w:ind w:left="709" w:right="709" w:hanging="2"/>
        <w:jc w:val="both"/>
        <w:rPr>
          <w:rFonts w:ascii="Verdana" w:eastAsia="Calibri" w:hAnsi="Verdana" w:cs="Arial"/>
          <w:color w:val="000000"/>
          <w:sz w:val="21"/>
          <w:szCs w:val="21"/>
        </w:rPr>
      </w:pPr>
      <w:r w:rsidRPr="00A05329">
        <w:rPr>
          <w:rFonts w:ascii="Verdana" w:eastAsia="Calibri" w:hAnsi="Verdana" w:cs="Arial"/>
          <w:color w:val="000000"/>
          <w:sz w:val="21"/>
          <w:szCs w:val="21"/>
        </w:rPr>
        <w:t xml:space="preserve">3. Calcular la desviación estándar del conjunto. </w:t>
      </w:r>
    </w:p>
    <w:p w14:paraId="21058873" w14:textId="77777777" w:rsidR="00A05329" w:rsidRPr="00A05329" w:rsidRDefault="00A05329" w:rsidP="00A05329">
      <w:pPr>
        <w:spacing w:after="0"/>
        <w:ind w:left="709" w:right="709" w:hanging="2"/>
        <w:jc w:val="both"/>
        <w:rPr>
          <w:rFonts w:ascii="Verdana" w:eastAsia="Calibri" w:hAnsi="Verdana" w:cs="Arial"/>
          <w:color w:val="000000"/>
          <w:sz w:val="21"/>
          <w:szCs w:val="21"/>
        </w:rPr>
      </w:pPr>
      <w:r w:rsidRPr="00A05329">
        <w:rPr>
          <w:rFonts w:ascii="Verdana" w:eastAsia="Calibri" w:hAnsi="Verdana" w:cs="Arial"/>
          <w:color w:val="000000"/>
          <w:sz w:val="21"/>
          <w:szCs w:val="21"/>
        </w:rPr>
        <w:t>4. Determinar el valor mínimo aceptable para la Entidad Estatal.</w:t>
      </w:r>
      <w:r w:rsidRPr="00A05329">
        <w:rPr>
          <w:rFonts w:ascii="Verdana" w:eastAsia="Calibri" w:hAnsi="Verdana" w:cs="Arial"/>
          <w:color w:val="000000"/>
          <w:sz w:val="21"/>
          <w:szCs w:val="21"/>
          <w:vertAlign w:val="superscript"/>
        </w:rPr>
        <w:footnoteReference w:id="10"/>
      </w:r>
    </w:p>
    <w:p w14:paraId="6C506749" w14:textId="77777777" w:rsidR="00A05329" w:rsidRPr="00A05329" w:rsidRDefault="00A05329" w:rsidP="00A05329">
      <w:pPr>
        <w:spacing w:after="0" w:line="276" w:lineRule="auto"/>
        <w:jc w:val="both"/>
        <w:rPr>
          <w:rFonts w:ascii="Verdana" w:eastAsia="Calibri" w:hAnsi="Verdana" w:cs="Arial"/>
          <w:color w:val="000000"/>
        </w:rPr>
      </w:pPr>
    </w:p>
    <w:p w14:paraId="63974E9C" w14:textId="77777777" w:rsidR="00A05329" w:rsidRPr="00A05329" w:rsidRDefault="00A05329" w:rsidP="00A05329">
      <w:pPr>
        <w:spacing w:after="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La </w:t>
      </w:r>
      <w:r w:rsidRPr="00A05329">
        <w:rPr>
          <w:rFonts w:ascii="Verdana" w:eastAsia="Calibri" w:hAnsi="Verdana" w:cs="Arial"/>
          <w:i/>
          <w:iCs/>
          <w:color w:val="000000"/>
        </w:rPr>
        <w:t>mediana</w:t>
      </w:r>
      <w:r w:rsidRPr="00A05329">
        <w:rPr>
          <w:rFonts w:ascii="Verdana" w:eastAsia="Calibri" w:hAnsi="Verdana" w:cs="Arial"/>
          <w:color w:val="000000"/>
        </w:rPr>
        <w:t xml:space="preserve"> debe calcularse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A05329">
        <w:rPr>
          <w:rFonts w:ascii="Verdana" w:eastAsia="Calibri" w:hAnsi="Verdana" w:cs="Arial"/>
          <w:i/>
          <w:iCs/>
          <w:color w:val="000000"/>
        </w:rPr>
        <w:t>desviación estándar</w:t>
      </w:r>
      <w:r w:rsidRPr="00A05329">
        <w:rPr>
          <w:rFonts w:ascii="Verdana" w:eastAsia="Calibri" w:hAnsi="Verdana" w:cs="Arial"/>
          <w:color w:val="000000"/>
        </w:rPr>
        <w:t xml:space="preserve">, utilizando la siguiente fórmula, en la que el </w:t>
      </w:r>
      <w:r w:rsidRPr="00A05329">
        <w:rPr>
          <w:rFonts w:ascii="Verdana" w:eastAsia="Calibri" w:hAnsi="Verdana" w:cs="Arial"/>
          <w:color w:val="000000"/>
          <w:lang w:val="es-ES"/>
        </w:rPr>
        <w:t xml:space="preserve">valor </w:t>
      </w:r>
      <w:r w:rsidRPr="00A05329">
        <w:rPr>
          <w:rFonts w:ascii="Verdana" w:eastAsia="Calibri" w:hAnsi="Verdana" w:cs="Arial"/>
          <w:i/>
          <w:color w:val="000000"/>
          <w:lang w:val="es-ES"/>
        </w:rPr>
        <w:t>n</w:t>
      </w:r>
      <w:r w:rsidRPr="00A05329">
        <w:rPr>
          <w:rFonts w:ascii="Verdana" w:eastAsia="Calibri" w:hAnsi="Verdana" w:cs="Arial"/>
          <w:color w:val="000000"/>
          <w:lang w:val="es-ES"/>
        </w:rPr>
        <w:t xml:space="preserve"> es el número de ofertas</w:t>
      </w:r>
      <w:r w:rsidRPr="00A05329">
        <w:rPr>
          <w:rFonts w:ascii="Verdana" w:eastAsia="Calibri" w:hAnsi="Verdana" w:cs="Arial"/>
          <w:color w:val="000000"/>
        </w:rPr>
        <w:t xml:space="preserve">: </w:t>
      </w:r>
    </w:p>
    <w:p w14:paraId="3EAF9083" w14:textId="77777777" w:rsidR="00A05329" w:rsidRPr="00A05329" w:rsidRDefault="00A05329" w:rsidP="00A05329">
      <w:pPr>
        <w:spacing w:after="0" w:line="276" w:lineRule="auto"/>
        <w:ind w:firstLine="708"/>
        <w:jc w:val="both"/>
        <w:rPr>
          <w:rFonts w:ascii="Verdana" w:eastAsia="Calibri" w:hAnsi="Verdana" w:cs="Arial"/>
          <w:color w:val="000000"/>
        </w:rPr>
      </w:pPr>
    </w:p>
    <w:p w14:paraId="7047C342" w14:textId="77777777" w:rsidR="00A05329" w:rsidRPr="00A05329" w:rsidRDefault="00A05329" w:rsidP="00A05329">
      <w:pPr>
        <w:spacing w:after="0" w:line="276" w:lineRule="auto"/>
        <w:jc w:val="center"/>
        <w:rPr>
          <w:rFonts w:ascii="Verdana" w:eastAsia="Calibri" w:hAnsi="Verdana" w:cs="Arial"/>
          <w:color w:val="000000"/>
        </w:rPr>
      </w:pPr>
      <w:r w:rsidRPr="00A05329">
        <w:rPr>
          <w:rFonts w:ascii="Verdana" w:eastAsia="Calibri" w:hAnsi="Verdana" w:cs="Arial"/>
          <w:noProof/>
          <w:color w:val="000000"/>
        </w:rPr>
        <w:drawing>
          <wp:inline distT="0" distB="0" distL="0" distR="0" wp14:anchorId="33D57291" wp14:editId="1E98E3EB">
            <wp:extent cx="4113920" cy="614435"/>
            <wp:effectExtent l="0" t="0" r="1270" b="0"/>
            <wp:docPr id="897382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58878" name=""/>
                    <pic:cNvPicPr/>
                  </pic:nvPicPr>
                  <pic:blipFill>
                    <a:blip r:embed="rId11"/>
                    <a:stretch>
                      <a:fillRect/>
                    </a:stretch>
                  </pic:blipFill>
                  <pic:spPr>
                    <a:xfrm>
                      <a:off x="0" y="0"/>
                      <a:ext cx="4385526" cy="655001"/>
                    </a:xfrm>
                    <a:prstGeom prst="rect">
                      <a:avLst/>
                    </a:prstGeom>
                  </pic:spPr>
                </pic:pic>
              </a:graphicData>
            </a:graphic>
          </wp:inline>
        </w:drawing>
      </w:r>
    </w:p>
    <w:p w14:paraId="0C1ABABC" w14:textId="77777777" w:rsidR="00A05329" w:rsidRPr="00A05329" w:rsidRDefault="00A05329" w:rsidP="00A05329">
      <w:pPr>
        <w:spacing w:after="0" w:line="276" w:lineRule="auto"/>
        <w:jc w:val="both"/>
        <w:rPr>
          <w:rFonts w:ascii="Verdana" w:eastAsia="Calibri" w:hAnsi="Verdana" w:cs="Arial"/>
          <w:color w:val="000000"/>
        </w:rPr>
      </w:pPr>
    </w:p>
    <w:p w14:paraId="787A663B" w14:textId="77777777" w:rsidR="00A05329" w:rsidRPr="00A05329" w:rsidRDefault="00A05329" w:rsidP="00A05329">
      <w:pPr>
        <w:spacing w:after="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Por último, el </w:t>
      </w:r>
      <w:r w:rsidRPr="00A05329">
        <w:rPr>
          <w:rFonts w:ascii="Verdana" w:eastAsia="Calibri" w:hAnsi="Verdana" w:cs="Arial"/>
          <w:i/>
          <w:iCs/>
          <w:color w:val="000000"/>
        </w:rPr>
        <w:t>valor mínimo aceptable</w:t>
      </w:r>
      <w:r w:rsidRPr="00A05329">
        <w:rPr>
          <w:rFonts w:ascii="Verdana" w:eastAsia="Calibri" w:hAnsi="Verdana" w:cs="Arial"/>
          <w:color w:val="000000"/>
        </w:rPr>
        <w:t xml:space="preserve">, será igual a la </w:t>
      </w:r>
      <w:r w:rsidRPr="00A05329">
        <w:rPr>
          <w:rFonts w:ascii="Verdana" w:eastAsia="Calibri" w:hAnsi="Verdana" w:cs="Arial"/>
          <w:i/>
          <w:iCs/>
          <w:color w:val="000000"/>
        </w:rPr>
        <w:t>mediana</w:t>
      </w:r>
      <w:r w:rsidRPr="00A05329">
        <w:rPr>
          <w:rFonts w:ascii="Verdana" w:eastAsia="Calibri" w:hAnsi="Verdana" w:cs="Arial"/>
          <w:color w:val="000000"/>
        </w:rPr>
        <w:t xml:space="preserve"> menos la </w:t>
      </w:r>
      <w:r w:rsidRPr="00A05329">
        <w:rPr>
          <w:rFonts w:ascii="Verdana" w:eastAsia="Calibri" w:hAnsi="Verdana" w:cs="Arial"/>
          <w:i/>
          <w:iCs/>
          <w:color w:val="000000"/>
        </w:rPr>
        <w:t>desviación estándar</w:t>
      </w:r>
      <w:r w:rsidRPr="00A05329">
        <w:rPr>
          <w:rFonts w:ascii="Verdana" w:eastAsia="Calibri" w:hAnsi="Verdana" w:cs="Arial"/>
          <w:color w:val="000000"/>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A05329">
        <w:rPr>
          <w:rFonts w:ascii="Verdana" w:eastAsia="Calibri" w:hAnsi="Verdana" w:cs="Arial"/>
          <w:color w:val="000000"/>
          <w:shd w:val="clear" w:color="auto" w:fill="FFFFFF"/>
        </w:rPr>
        <w:t>Esto es así porque l</w:t>
      </w:r>
      <w:r w:rsidRPr="00A05329">
        <w:rPr>
          <w:rFonts w:ascii="Verdana" w:eastAsia="Calibri" w:hAnsi="Verdana" w:cs="Arial"/>
          <w:color w:val="000000"/>
          <w:shd w:val="clear" w:color="auto" w:fill="FFFFFF"/>
          <w:lang w:val="es-ES"/>
        </w:rPr>
        <w:t>as entidades pueden o no acoger la metodología explicada, toda vez que la Guía no es de obligatorio cumplimiento para las entidades, pues sólo constituye una orientación o lineamiento para sus procesos de contratación</w:t>
      </w:r>
      <w:r w:rsidRPr="00A05329">
        <w:rPr>
          <w:rFonts w:ascii="Verdana" w:eastAsia="Calibri" w:hAnsi="Verdana" w:cs="Arial"/>
          <w:color w:val="000000"/>
          <w:lang w:val="es-ES"/>
        </w:rPr>
        <w:t>.</w:t>
      </w:r>
    </w:p>
    <w:p w14:paraId="0AB0DE85"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Una vez que la entidad haya surtido su proceso de determinación de una propuesta como artificialmente baja y considerando que la oferta 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3E555C2C" w14:textId="77777777" w:rsidR="00A05329" w:rsidRPr="00A05329" w:rsidRDefault="00A05329" w:rsidP="00A05329">
      <w:pPr>
        <w:spacing w:before="120" w:line="276" w:lineRule="auto"/>
        <w:ind w:firstLine="709"/>
        <w:jc w:val="both"/>
        <w:rPr>
          <w:rFonts w:ascii="Verdana" w:eastAsia="Calibri" w:hAnsi="Verdana" w:cs="Arial"/>
          <w:color w:val="000000"/>
        </w:rPr>
      </w:pPr>
      <w:r w:rsidRPr="00A05329">
        <w:rPr>
          <w:rFonts w:ascii="Verdana" w:eastAsia="Calibri" w:hAnsi="Verdana" w:cs="Arial"/>
          <w:color w:val="000000"/>
        </w:rPr>
        <w:t>La ley y el reglamento no determinan la forma ni 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6BBDE53D"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6F104C85"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w:t>
      </w:r>
    </w:p>
    <w:p w14:paraId="5F5471CA"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lastRenderedPageBreak/>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A05329">
        <w:rPr>
          <w:rFonts w:ascii="Verdana" w:eastAsia="Calibri" w:hAnsi="Verdana" w:cs="Times New Roman"/>
          <w:vertAlign w:val="superscript"/>
        </w:rPr>
        <w:footnoteReference w:id="11"/>
      </w:r>
      <w:r w:rsidRPr="00A05329">
        <w:rPr>
          <w:rFonts w:ascii="Verdana" w:eastAsia="Calibri" w:hAnsi="Verdana" w:cs="Arial"/>
          <w:color w:val="000000"/>
        </w:rPr>
        <w:t>.</w:t>
      </w:r>
    </w:p>
    <w:p w14:paraId="459E4CBE"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A05329">
        <w:rPr>
          <w:rFonts w:ascii="Verdana" w:eastAsia="Calibri" w:hAnsi="Verdana" w:cs="Arial"/>
          <w:color w:val="000000"/>
          <w:vertAlign w:val="superscript"/>
        </w:rPr>
        <w:footnoteReference w:id="12"/>
      </w:r>
      <w:r w:rsidRPr="00A05329">
        <w:rPr>
          <w:rFonts w:ascii="Verdana" w:eastAsia="Calibri" w:hAnsi="Verdana" w:cs="Arial"/>
          <w:color w:val="000000"/>
        </w:rPr>
        <w:t xml:space="preserve">. </w:t>
      </w:r>
    </w:p>
    <w:p w14:paraId="64F2E040" w14:textId="77777777" w:rsidR="00A05329" w:rsidRPr="00A05329" w:rsidRDefault="00A05329" w:rsidP="00A05329">
      <w:pPr>
        <w:spacing w:before="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La doctrina foránea se ha pronunciado en similar sentido, al argumentar que la discrecionalidad administrativa tiene dos (2) limitantes: una, el respeto a la finalidad jurídica que justifica, que no es nada distinto a satisfacer el interés general; y otra, que el uso de la discrecionalidad sea necesario para cumplir el </w:t>
      </w:r>
      <w:r w:rsidRPr="00A05329">
        <w:rPr>
          <w:rFonts w:ascii="Verdana" w:eastAsia="Calibri" w:hAnsi="Verdana" w:cs="Arial"/>
          <w:color w:val="000000"/>
        </w:rPr>
        <w:lastRenderedPageBreak/>
        <w:t>interés jurídico que se tutela. En estos términos, la entidad deberá adoptar una medida que esté acorde con el interés general</w:t>
      </w:r>
      <w:r w:rsidRPr="00A05329">
        <w:rPr>
          <w:rFonts w:ascii="Verdana" w:eastAsia="Calibri" w:hAnsi="Verdana" w:cs="Arial"/>
          <w:color w:val="000000"/>
          <w:vertAlign w:val="superscript"/>
        </w:rPr>
        <w:footnoteReference w:id="13"/>
      </w:r>
      <w:r w:rsidRPr="00A05329">
        <w:rPr>
          <w:rFonts w:ascii="Verdana" w:eastAsia="Calibri" w:hAnsi="Verdana" w:cs="Arial"/>
          <w:color w:val="000000"/>
        </w:rPr>
        <w:t>.</w:t>
      </w:r>
    </w:p>
    <w:p w14:paraId="5491DF2D" w14:textId="77777777" w:rsidR="00A05329" w:rsidRPr="00A05329" w:rsidRDefault="00A05329" w:rsidP="00A05329">
      <w:pPr>
        <w:spacing w:before="120" w:after="120" w:line="276" w:lineRule="auto"/>
        <w:ind w:firstLine="708"/>
        <w:jc w:val="both"/>
        <w:rPr>
          <w:rFonts w:ascii="Verdana" w:eastAsia="Calibri" w:hAnsi="Verdana" w:cs="Arial"/>
          <w:color w:val="000000"/>
        </w:rPr>
      </w:pPr>
      <w:r w:rsidRPr="00A05329">
        <w:rPr>
          <w:rFonts w:ascii="Verdana" w:eastAsia="Calibri" w:hAnsi="Verdana" w:cs="Arial"/>
          <w:color w:val="000000"/>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7B2B98B6" w14:textId="77777777" w:rsidR="00A05329" w:rsidRPr="00A05329" w:rsidRDefault="00A05329" w:rsidP="00A05329">
      <w:pPr>
        <w:spacing w:before="120" w:after="120" w:line="276" w:lineRule="auto"/>
        <w:ind w:firstLine="709"/>
        <w:jc w:val="both"/>
        <w:rPr>
          <w:rFonts w:ascii="Verdana" w:eastAsia="Times New Roman" w:hAnsi="Verdana" w:cs="Arial"/>
          <w:color w:val="000000"/>
          <w:lang w:val="es-ES" w:eastAsia="es-CO"/>
        </w:rPr>
      </w:pPr>
      <w:r w:rsidRPr="00A05329">
        <w:rPr>
          <w:rFonts w:ascii="Verdana" w:eastAsia="Times New Roman" w:hAnsi="Verdana" w:cs="Arial"/>
          <w:color w:val="000000"/>
          <w:lang w:val="es-ES" w:eastAsia="es-CO"/>
        </w:rPr>
        <w:t xml:space="preserve">Finalmente, verificada la información remitida por el proponente, la entidad debe definir si rechaza o no la oferta. En la “Guía para el manejo de ofertas artificialmente bajas en Procesos de Contratación”, la </w:t>
      </w:r>
      <w:r w:rsidRPr="00A05329">
        <w:rPr>
          <w:rFonts w:ascii="Verdana" w:eastAsia="Times New Roman" w:hAnsi="Verdana" w:cs="Arial"/>
          <w:color w:val="000000"/>
          <w:szCs w:val="24"/>
          <w:lang w:eastAsia="es-CO"/>
        </w:rPr>
        <w:t xml:space="preserve">Agencia Nacional de Contratación Pública </w:t>
      </w:r>
      <w:r w:rsidRPr="00A05329">
        <w:rPr>
          <w:rFonts w:ascii="Verdana" w:eastAsia="Times New Roman" w:hAnsi="Verdana" w:cs="Arial"/>
          <w:color w:val="000000"/>
          <w:lang w:val="es-ES" w:eastAsia="es-CO"/>
        </w:rPr>
        <w:t xml:space="preserve">precisó que se debe rechazar la propuesta en los siguientes eventos: i) “el proponente no presenta por escrito a la entidad estatal la aclaración de la oferta”, </w:t>
      </w:r>
      <w:proofErr w:type="spellStart"/>
      <w:r w:rsidRPr="00A05329">
        <w:rPr>
          <w:rFonts w:ascii="Verdana" w:eastAsia="Times New Roman" w:hAnsi="Verdana" w:cs="Arial"/>
          <w:color w:val="000000"/>
          <w:lang w:val="es-ES" w:eastAsia="es-CO"/>
        </w:rPr>
        <w:t>ii</w:t>
      </w:r>
      <w:proofErr w:type="spellEnd"/>
      <w:r w:rsidRPr="00A05329">
        <w:rPr>
          <w:rFonts w:ascii="Verdana" w:eastAsia="Times New Roman" w:hAnsi="Verdana" w:cs="Arial"/>
          <w:color w:val="000000"/>
          <w:lang w:val="es-ES" w:eastAsia="es-CO"/>
        </w:rPr>
        <w:t xml:space="preserve">) “el proponente no envía parte o la totalidad de la información solicitada por la entidad estatal”, </w:t>
      </w:r>
      <w:proofErr w:type="spellStart"/>
      <w:r w:rsidRPr="00A05329">
        <w:rPr>
          <w:rFonts w:ascii="Verdana" w:eastAsia="Times New Roman" w:hAnsi="Verdana" w:cs="Arial"/>
          <w:color w:val="000000"/>
          <w:lang w:val="es-ES" w:eastAsia="es-CO"/>
        </w:rPr>
        <w:t>iii</w:t>
      </w:r>
      <w:proofErr w:type="spellEnd"/>
      <w:r w:rsidRPr="00A05329">
        <w:rPr>
          <w:rFonts w:ascii="Verdana" w:eastAsia="Times New Roman" w:hAnsi="Verdana" w:cs="Arial"/>
          <w:color w:val="000000"/>
          <w:lang w:val="es-ES" w:eastAsia="es-CO"/>
        </w:rPr>
        <w:t xml:space="preserve">) “las aclaraciones del proponente no son satisfactorias para garantizar la sostenibilidad de la oferta durante la ejecución del contrato” y </w:t>
      </w:r>
      <w:proofErr w:type="spellStart"/>
      <w:r w:rsidRPr="00A05329">
        <w:rPr>
          <w:rFonts w:ascii="Verdana" w:eastAsia="Times New Roman" w:hAnsi="Verdana" w:cs="Arial"/>
          <w:color w:val="000000"/>
          <w:lang w:val="es-ES" w:eastAsia="es-CO"/>
        </w:rPr>
        <w:t>iv</w:t>
      </w:r>
      <w:proofErr w:type="spellEnd"/>
      <w:r w:rsidRPr="00A05329">
        <w:rPr>
          <w:rFonts w:ascii="Verdana" w:eastAsia="Times New Roman" w:hAnsi="Verdana" w:cs="Arial"/>
          <w:color w:val="000000"/>
          <w:lang w:val="es-ES" w:eastAsia="es-CO"/>
        </w:rPr>
        <w:t>) “las aclaraciones del proponente no desvirtúan la teoría de que está utilizando su oferta como parte de una estrategia colusoria o anticompetitiva durante el proceso de selección”. Lo anterior, sin perjuicio de los eventos señalados en el numeral 4.2 de la “Guía para el manejo de ofertas artificialmente bajas en Procesos de Contratación de Colombia Compra Eficiente”, los cuales, debe advertirse, son criterios orientadores para las entidades públicas y no causales de rechazo en estricto sentido.</w:t>
      </w:r>
    </w:p>
    <w:p w14:paraId="528E7660" w14:textId="77777777" w:rsidR="00A05329" w:rsidRPr="00A05329" w:rsidRDefault="00A05329" w:rsidP="00A05329">
      <w:pPr>
        <w:spacing w:after="0" w:line="276" w:lineRule="auto"/>
        <w:ind w:firstLine="709"/>
        <w:jc w:val="both"/>
        <w:rPr>
          <w:rFonts w:ascii="Verdana" w:eastAsia="Times New Roman" w:hAnsi="Verdana" w:cs="Arial"/>
          <w:color w:val="000000"/>
          <w:lang w:val="es-ES" w:eastAsia="es-CO"/>
        </w:rPr>
      </w:pPr>
      <w:r w:rsidRPr="00A05329">
        <w:rPr>
          <w:rFonts w:ascii="Verdana" w:eastAsia="Times New Roman" w:hAnsi="Verdana" w:cs="Arial"/>
          <w:color w:val="000000"/>
          <w:lang w:val="es-ES" w:eastAsia="es-CO"/>
        </w:rPr>
        <w:t xml:space="preserve">En todo caso, debe advertirse que las aclaraciones que están obligados a dar los proponentes según lo dispuesto en el artículo 2.2.1.1.2.2.4 del Decreto 1082 de 2015, deben cumplir con la carga de claridad suficiente para desvirtuar las razones por las que la Entidad Estatal ha estimado que la oferta es artificialmente baja. Esto implica dar cuenta de las circunstancias objetivas </w:t>
      </w:r>
      <w:r w:rsidRPr="00A05329">
        <w:rPr>
          <w:rFonts w:ascii="Verdana" w:eastAsia="Times New Roman" w:hAnsi="Verdana" w:cs="Arial"/>
          <w:color w:val="000000"/>
          <w:lang w:val="es-ES" w:eastAsia="es-CO"/>
        </w:rPr>
        <w:lastRenderedPageBreak/>
        <w:t xml:space="preserve">debido a las cuales la oferta es sustentable y competitiva. De acuerdo con lo señalado en la mencionada guía estas circunstancias pueden estar relacionadas con </w:t>
      </w:r>
      <w:r w:rsidRPr="00A05329">
        <w:rPr>
          <w:rFonts w:ascii="Verdana" w:eastAsia="Times New Roman" w:hAnsi="Verdana" w:cs="Arial"/>
          <w:color w:val="000000"/>
          <w:lang w:eastAsia="es-CO"/>
        </w:rPr>
        <w:t xml:space="preserve">i) técnicas diferenciadas de producción del bien o provisión del servicio; </w:t>
      </w:r>
      <w:proofErr w:type="spellStart"/>
      <w:r w:rsidRPr="00A05329">
        <w:rPr>
          <w:rFonts w:ascii="Verdana" w:eastAsia="Times New Roman" w:hAnsi="Verdana" w:cs="Arial"/>
          <w:color w:val="000000"/>
          <w:lang w:eastAsia="es-CO"/>
        </w:rPr>
        <w:t>ii</w:t>
      </w:r>
      <w:proofErr w:type="spellEnd"/>
      <w:r w:rsidRPr="00A05329">
        <w:rPr>
          <w:rFonts w:ascii="Verdana" w:eastAsia="Times New Roman" w:hAnsi="Verdana" w:cs="Arial"/>
          <w:color w:val="000000"/>
          <w:lang w:eastAsia="es-CO"/>
        </w:rPr>
        <w:t xml:space="preserve">) cercanía al lugar de provisión o al lugar de abastecimiento de materias primas; </w:t>
      </w:r>
      <w:proofErr w:type="spellStart"/>
      <w:r w:rsidRPr="00A05329">
        <w:rPr>
          <w:rFonts w:ascii="Verdana" w:eastAsia="Times New Roman" w:hAnsi="Verdana" w:cs="Arial"/>
          <w:color w:val="000000"/>
          <w:lang w:eastAsia="es-CO"/>
        </w:rPr>
        <w:t>iii</w:t>
      </w:r>
      <w:proofErr w:type="spellEnd"/>
      <w:r w:rsidRPr="00A05329">
        <w:rPr>
          <w:rFonts w:ascii="Verdana" w:eastAsia="Times New Roman" w:hAnsi="Verdana" w:cs="Arial"/>
          <w:color w:val="000000"/>
          <w:lang w:eastAsia="es-CO"/>
        </w:rPr>
        <w:t xml:space="preserve">) mejores condiciones contractuales con los proveedores de insumos; y </w:t>
      </w:r>
      <w:proofErr w:type="spellStart"/>
      <w:r w:rsidRPr="00A05329">
        <w:rPr>
          <w:rFonts w:ascii="Verdana" w:eastAsia="Times New Roman" w:hAnsi="Verdana" w:cs="Arial"/>
          <w:color w:val="000000"/>
          <w:lang w:eastAsia="es-CO"/>
        </w:rPr>
        <w:t>iv</w:t>
      </w:r>
      <w:proofErr w:type="spellEnd"/>
      <w:r w:rsidRPr="00A05329">
        <w:rPr>
          <w:rFonts w:ascii="Verdana" w:eastAsia="Times New Roman" w:hAnsi="Verdana" w:cs="Arial"/>
          <w:color w:val="000000"/>
          <w:lang w:eastAsia="es-CO"/>
        </w:rPr>
        <w:t>) mayor diversificación de productos o servicios relacionados.</w:t>
      </w:r>
      <w:r w:rsidRPr="00A05329">
        <w:rPr>
          <w:rFonts w:ascii="Verdana" w:eastAsia="Times New Roman" w:hAnsi="Verdana" w:cs="Arial"/>
          <w:color w:val="000000"/>
          <w:lang w:val="es-ES" w:eastAsia="es-CO"/>
        </w:rPr>
        <w:t xml:space="preserve"> Lo anterior sin perjuicio de que el contratista indique alguna otra razón distinta por la que la oferta es competitiva, incluyendo aquellas relacionadas con implementación de economías de escala o alcance, esto, en razón a que en la mencionada guía se indica que “la Entidad Estatal debe tenerlo en cuenta en el análisis de las aclaraciones”. </w:t>
      </w:r>
    </w:p>
    <w:p w14:paraId="3E602F3F" w14:textId="77777777" w:rsidR="00A05329" w:rsidRPr="00A05329" w:rsidRDefault="00A05329" w:rsidP="00A05329">
      <w:pPr>
        <w:spacing w:after="0" w:line="276" w:lineRule="auto"/>
        <w:jc w:val="both"/>
        <w:rPr>
          <w:rFonts w:ascii="Verdana" w:eastAsia="Calibri" w:hAnsi="Verdana" w:cs="Arial"/>
          <w:szCs w:val="20"/>
        </w:rPr>
      </w:pPr>
    </w:p>
    <w:p w14:paraId="0B014CB8" w14:textId="77777777" w:rsidR="00A05329" w:rsidRPr="00A05329" w:rsidRDefault="00A05329" w:rsidP="00A05329">
      <w:pPr>
        <w:spacing w:after="0" w:line="276" w:lineRule="auto"/>
        <w:jc w:val="both"/>
        <w:rPr>
          <w:rFonts w:ascii="Verdana" w:eastAsia="Aptos" w:hAnsi="Verdana" w:cs="Arial"/>
          <w:color w:val="000000"/>
          <w:kern w:val="2"/>
          <w:lang w:val="es-ES_tradnl"/>
          <w14:ligatures w14:val="standardContextual"/>
        </w:rPr>
      </w:pPr>
      <w:r w:rsidRPr="00A05329">
        <w:rPr>
          <w:rFonts w:ascii="Verdana" w:eastAsia="Calibri" w:hAnsi="Verdana" w:cs="Arial"/>
        </w:rPr>
        <w:t xml:space="preserve">v. </w:t>
      </w:r>
      <w:r w:rsidRPr="00A05329">
        <w:rPr>
          <w:rFonts w:ascii="Verdana" w:eastAsia="Aptos" w:hAnsi="Verdana" w:cs="Arial"/>
          <w:color w:val="000000"/>
          <w:kern w:val="2"/>
          <w:lang w:val="es-ES_tradnl"/>
          <w14:ligatures w14:val="standardContextual"/>
        </w:rPr>
        <w:t xml:space="preserve">El numeral 4.1.3., del Capítulo IV “Criterios de Evaluación, Asignación de Puntaje y Criterios de Desempate”, del documento base de los documentos tipo de licitación de obra pública de infraestructura de transporte – versión 4, regula lo referente al precio artificialmente bajo. Según esta disposición, “(e)n el evento en el que el precio de una oferta, al momento de su evaluación, no parezca suficiente para garantizar una correcta ejecución del contrato, de acuerdo con la información recogida durante la etapa de planeación y particularmente durante el estudio del sector, la entidad aplicará el proceso descrito en el artículo 2.2.1.1.2.2.4. del Decreto 1082 de 2015, además podrá acudir a los parámetros definidos en la Guía para el manejo de ofertas artificialmente bajas en procesos de Contratación de Colombia Compra Eficiente, como un criterio metodológico”. </w:t>
      </w:r>
    </w:p>
    <w:p w14:paraId="4BE8F799" w14:textId="77777777" w:rsidR="00A05329" w:rsidRPr="00A05329" w:rsidRDefault="00A05329" w:rsidP="00A05329">
      <w:pPr>
        <w:spacing w:before="120" w:after="120" w:line="276" w:lineRule="auto"/>
        <w:ind w:firstLine="709"/>
        <w:jc w:val="both"/>
        <w:rPr>
          <w:rFonts w:ascii="Verdana" w:eastAsia="Aptos" w:hAnsi="Verdana" w:cs="Arial"/>
          <w:color w:val="000000"/>
          <w:kern w:val="2"/>
          <w14:ligatures w14:val="standardContextual"/>
        </w:rPr>
      </w:pPr>
      <w:r w:rsidRPr="00A05329">
        <w:rPr>
          <w:rFonts w:ascii="Verdana" w:eastAsia="Aptos" w:hAnsi="Verdana" w:cs="Arial"/>
          <w:color w:val="000000"/>
          <w:kern w:val="2"/>
          <w14:ligatures w14:val="standardContextual"/>
        </w:rPr>
        <w:t>Como se evidencia, en los casos en que se presente una oferta artificialmente baja, el numeral 4.1.3 del Capítulo IV del documento base remite expresamente al procedimiento previsto en el artículo 2.2.1.1.2.2.4 del Decreto 1082 de 2015. Además, la entidad pública podrá acudir a los parámetros definidos en la Guía para el manejo de ofertas artificialmente bajas en procesos de contratación.</w:t>
      </w:r>
    </w:p>
    <w:p w14:paraId="436F90BC" w14:textId="77777777" w:rsidR="00A05329" w:rsidRPr="00A05329" w:rsidRDefault="00A05329" w:rsidP="00A05329">
      <w:pPr>
        <w:spacing w:before="120" w:line="276" w:lineRule="auto"/>
        <w:ind w:firstLine="709"/>
        <w:jc w:val="both"/>
        <w:rPr>
          <w:rFonts w:ascii="Verdana" w:eastAsia="Aptos" w:hAnsi="Verdana" w:cs="Arial"/>
          <w:color w:val="000000"/>
          <w:kern w:val="2"/>
          <w14:ligatures w14:val="standardContextual"/>
        </w:rPr>
      </w:pPr>
      <w:r w:rsidRPr="00A05329">
        <w:rPr>
          <w:rFonts w:ascii="Verdana" w:eastAsia="Aptos" w:hAnsi="Verdana" w:cs="Arial"/>
          <w:color w:val="000000"/>
          <w:kern w:val="2"/>
          <w14:ligatures w14:val="standardContextual"/>
        </w:rPr>
        <w:t xml:space="preserve">Como se explicó, el artículo 2.2.1.1.2.2.4 del Decreto 1082 de 2015 impone el deber a las entidades públicas de requerir al oferente para que explique las razones que sustentan el valor ofrecido, para posteriormente analizarlas y con base en ello, definir si procede el rechazo de la oferta o se continúa con el análisis de la misma en la evaluación de las ofertas. Por su parte, la Guía para el manejo de ofertas artificialmente bajas en Procesos de Contratación establece criterios orientadores para las entidades públicas, que </w:t>
      </w:r>
      <w:r w:rsidRPr="00A05329">
        <w:rPr>
          <w:rFonts w:ascii="Verdana" w:eastAsia="Aptos" w:hAnsi="Verdana" w:cs="Arial"/>
          <w:color w:val="000000"/>
          <w:kern w:val="2"/>
          <w14:ligatures w14:val="standardContextual"/>
        </w:rPr>
        <w:lastRenderedPageBreak/>
        <w:t>podrán aplicar para determinar si una oferta parece ser artificialmente baja. Sin embargo, no se trata de criterios vinculantes, de manera que las entidades pueden, a partir de los datos de los que dispongan, servirse de otros métodos razonables, para establecer el valor mínimo aceptable, justificando satisfactoriamente el resultado.</w:t>
      </w:r>
    </w:p>
    <w:p w14:paraId="2A104235" w14:textId="77777777" w:rsidR="00A05329" w:rsidRPr="00A05329" w:rsidRDefault="00A05329" w:rsidP="00A05329">
      <w:pPr>
        <w:spacing w:before="120" w:after="120" w:line="276" w:lineRule="auto"/>
        <w:ind w:firstLine="708"/>
        <w:jc w:val="both"/>
        <w:rPr>
          <w:rFonts w:ascii="Verdana" w:eastAsia="Aptos" w:hAnsi="Verdana" w:cs="Arial"/>
          <w:color w:val="000000"/>
          <w:kern w:val="2"/>
          <w:szCs w:val="24"/>
          <w:lang w:val="es-ES"/>
          <w14:ligatures w14:val="standardContextual"/>
        </w:rPr>
      </w:pPr>
      <w:r w:rsidRPr="00A05329">
        <w:rPr>
          <w:rFonts w:ascii="Verdana" w:eastAsia="Aptos" w:hAnsi="Verdana" w:cs="Arial"/>
          <w:bCs/>
          <w:color w:val="000000"/>
          <w:kern w:val="2"/>
          <w:lang w:val="es-ES_tradnl"/>
          <w14:ligatures w14:val="standardContextual"/>
        </w:rPr>
        <w:t xml:space="preserve">De esta manera, para la identificación de la oferta artificialmente baja en el marco de los documentos tipo la entidad estatal podrá </w:t>
      </w:r>
      <w:r w:rsidRPr="00A05329">
        <w:rPr>
          <w:rFonts w:ascii="Verdana" w:eastAsia="Aptos" w:hAnsi="Verdana" w:cs="Arial"/>
          <w:color w:val="000000"/>
          <w:kern w:val="2"/>
          <w:szCs w:val="24"/>
          <w:lang w:val="es-ES"/>
          <w14:ligatures w14:val="standardContextual"/>
        </w:rPr>
        <w:t xml:space="preserve">tener en cuenta como insumos del mencionado análisis la información señalada en esta Guía, esto es: i) el promedio del valor de las ofertas, </w:t>
      </w:r>
      <w:proofErr w:type="spellStart"/>
      <w:r w:rsidRPr="00A05329">
        <w:rPr>
          <w:rFonts w:ascii="Verdana" w:eastAsia="Aptos" w:hAnsi="Verdana" w:cs="Arial"/>
          <w:color w:val="000000"/>
          <w:kern w:val="2"/>
          <w:szCs w:val="24"/>
          <w:lang w:val="es-ES"/>
          <w14:ligatures w14:val="standardContextual"/>
        </w:rPr>
        <w:t>ii</w:t>
      </w:r>
      <w:proofErr w:type="spellEnd"/>
      <w:r w:rsidRPr="00A05329">
        <w:rPr>
          <w:rFonts w:ascii="Verdana" w:eastAsia="Aptos" w:hAnsi="Verdana" w:cs="Arial"/>
          <w:color w:val="000000"/>
          <w:kern w:val="2"/>
          <w:szCs w:val="24"/>
          <w:lang w:val="es-ES"/>
          <w14:ligatures w14:val="standardContextual"/>
        </w:rPr>
        <w:t xml:space="preserve">) la mediana del valor de las ofertas, </w:t>
      </w:r>
      <w:proofErr w:type="spellStart"/>
      <w:r w:rsidRPr="00A05329">
        <w:rPr>
          <w:rFonts w:ascii="Verdana" w:eastAsia="Aptos" w:hAnsi="Verdana" w:cs="Arial"/>
          <w:color w:val="000000"/>
          <w:kern w:val="2"/>
          <w:szCs w:val="24"/>
          <w:lang w:val="es-ES"/>
          <w14:ligatures w14:val="standardContextual"/>
        </w:rPr>
        <w:t>iii</w:t>
      </w:r>
      <w:proofErr w:type="spellEnd"/>
      <w:r w:rsidRPr="00A05329">
        <w:rPr>
          <w:rFonts w:ascii="Verdana" w:eastAsia="Aptos" w:hAnsi="Verdana" w:cs="Arial"/>
          <w:color w:val="000000"/>
          <w:kern w:val="2"/>
          <w:szCs w:val="24"/>
          <w:lang w:val="es-ES"/>
          <w14:ligatures w14:val="standardContextual"/>
        </w:rPr>
        <w:t xml:space="preserve">) la desviación estándar del valor de las ofertas, </w:t>
      </w:r>
      <w:proofErr w:type="spellStart"/>
      <w:r w:rsidRPr="00A05329">
        <w:rPr>
          <w:rFonts w:ascii="Verdana" w:eastAsia="Aptos" w:hAnsi="Verdana" w:cs="Arial"/>
          <w:color w:val="000000"/>
          <w:kern w:val="2"/>
          <w:szCs w:val="24"/>
          <w:lang w:val="es-ES"/>
          <w14:ligatures w14:val="standardContextual"/>
        </w:rPr>
        <w:t>iv</w:t>
      </w:r>
      <w:proofErr w:type="spellEnd"/>
      <w:r w:rsidRPr="00A05329">
        <w:rPr>
          <w:rFonts w:ascii="Verdana" w:eastAsia="Aptos" w:hAnsi="Verdana" w:cs="Arial"/>
          <w:color w:val="000000"/>
          <w:kern w:val="2"/>
          <w:szCs w:val="24"/>
          <w:lang w:val="es-ES"/>
          <w14:ligatures w14:val="standardContextual"/>
        </w:rPr>
        <w:t xml:space="preserve">) la diferencia entre el costo estimado del contrato y el promedio o mediana del valor de las ofertas, v) la diferencia entre el valor de la oferta que puede ser artificialmente baja y el promedio del valor de las ofertas, vi) la diferencia entre el valor de la oferta que puede ser artificialmente baja y el costo estimado del contrato y </w:t>
      </w:r>
      <w:proofErr w:type="spellStart"/>
      <w:r w:rsidRPr="00A05329">
        <w:rPr>
          <w:rFonts w:ascii="Verdana" w:eastAsia="Aptos" w:hAnsi="Verdana" w:cs="Arial"/>
          <w:color w:val="000000"/>
          <w:kern w:val="2"/>
          <w:szCs w:val="24"/>
          <w:lang w:val="es-ES"/>
          <w14:ligatures w14:val="standardContextual"/>
        </w:rPr>
        <w:t>vii</w:t>
      </w:r>
      <w:proofErr w:type="spellEnd"/>
      <w:r w:rsidRPr="00A05329">
        <w:rPr>
          <w:rFonts w:ascii="Verdana" w:eastAsia="Aptos" w:hAnsi="Verdana" w:cs="Arial"/>
          <w:color w:val="000000"/>
          <w:kern w:val="2"/>
          <w:szCs w:val="24"/>
          <w:lang w:val="es-ES"/>
          <w14:ligatures w14:val="standardContextual"/>
        </w:rPr>
        <w:t xml:space="preserve">) la información histórica de ofertas y contratos del objeto del proceso de contratación. </w:t>
      </w:r>
    </w:p>
    <w:p w14:paraId="4CC8B0C9" w14:textId="77777777" w:rsidR="00A05329" w:rsidRPr="00A05329" w:rsidRDefault="00A05329" w:rsidP="00A05329">
      <w:pPr>
        <w:spacing w:before="120" w:after="120" w:line="276" w:lineRule="auto"/>
        <w:ind w:firstLine="709"/>
        <w:jc w:val="both"/>
        <w:rPr>
          <w:rFonts w:ascii="Verdana" w:eastAsia="Aptos" w:hAnsi="Verdana" w:cs="Arial"/>
          <w:bCs/>
          <w:color w:val="000000"/>
          <w:kern w:val="2"/>
          <w14:ligatures w14:val="standardContextual"/>
        </w:rPr>
      </w:pPr>
      <w:r w:rsidRPr="00A05329">
        <w:rPr>
          <w:rFonts w:ascii="Verdana" w:eastAsia="Aptos" w:hAnsi="Verdana" w:cs="Arial"/>
          <w:color w:val="000000"/>
          <w:kern w:val="2"/>
          <w:szCs w:val="24"/>
          <w:lang w:val="es-ES"/>
          <w14:ligatures w14:val="standardContextual"/>
        </w:rPr>
        <w:t xml:space="preserve">Dentro de las herramientas para su identificación, podrá determinar si la comparación de las ofertas será absoluta o relativa en los términos señalados en la Guía. En tal sentido, como se explicó anteriormente, con base en esta metodología si se reciben menos de cinco (5) ofertas, se solicitará aclaración a los proponentes cuyas ofertas sean menores en un 20%, o un mayor porcentaje en relación con el costo estimado por la entidad estatal. Por su parte, </w:t>
      </w:r>
      <w:r w:rsidRPr="00A05329">
        <w:rPr>
          <w:rFonts w:ascii="Verdana" w:eastAsia="Aptos" w:hAnsi="Verdana" w:cs="Arial"/>
          <w:bCs/>
          <w:color w:val="000000"/>
          <w:kern w:val="2"/>
          <w14:ligatures w14:val="standardContextual"/>
        </w:rPr>
        <w:t xml:space="preserve">cuando se presentan más de cinco (5) ofertas la Guía </w:t>
      </w:r>
      <w:r w:rsidRPr="00A05329">
        <w:rPr>
          <w:rFonts w:ascii="Verdana" w:eastAsia="Aptos" w:hAnsi="Verdana" w:cs="Arial"/>
          <w:color w:val="000000"/>
          <w:kern w:val="2"/>
          <w:szCs w:val="24"/>
          <w:lang w:val="es-ES"/>
          <w14:ligatures w14:val="standardContextual"/>
        </w:rPr>
        <w:t xml:space="preserve">sugiere aplicar una metodología para identificar ofertas con precios artificialmente bajos, dentro de la que se incluye la fijación de un valor mínimo aceptable. De este modo, la entidad puede identificar como ofertas artificialmente bajas las que se encuentren por debajo de ese valor mínimo. </w:t>
      </w:r>
    </w:p>
    <w:p w14:paraId="4A32FE70" w14:textId="77777777" w:rsidR="00A05329" w:rsidRPr="00A05329" w:rsidRDefault="00A05329" w:rsidP="00A05329">
      <w:pPr>
        <w:spacing w:before="120" w:after="120" w:line="276" w:lineRule="auto"/>
        <w:ind w:firstLine="709"/>
        <w:jc w:val="both"/>
        <w:rPr>
          <w:rFonts w:ascii="Verdana" w:eastAsia="Aptos" w:hAnsi="Verdana" w:cs="Arial"/>
          <w:color w:val="000000"/>
          <w:kern w:val="2"/>
          <w:szCs w:val="24"/>
          <w14:ligatures w14:val="standardContextual"/>
        </w:rPr>
      </w:pPr>
      <w:r w:rsidRPr="00A05329">
        <w:rPr>
          <w:rFonts w:ascii="Verdana" w:eastAsia="Aptos" w:hAnsi="Verdana" w:cs="Arial"/>
          <w:color w:val="000000"/>
          <w:kern w:val="2"/>
          <w:szCs w:val="24"/>
          <w:lang w:val="es-ES"/>
          <w14:ligatures w14:val="standardContextual"/>
        </w:rPr>
        <w:t xml:space="preserve">Con base en lo anterior, </w:t>
      </w:r>
      <w:r w:rsidRPr="00A05329">
        <w:rPr>
          <w:rFonts w:ascii="Verdana" w:eastAsia="Aptos" w:hAnsi="Verdana" w:cs="Arial"/>
          <w:color w:val="000000"/>
          <w:kern w:val="2"/>
          <w:szCs w:val="24"/>
          <w14:ligatures w14:val="standardContextual"/>
        </w:rPr>
        <w:t xml:space="preserve">el requerimiento de aclaraciones al que se refiere artículo 2.2.1.1.2.2.4 del Decreto 1082 de 2015 se podrá realizar a los proponentes que se encuentren en estos supuestos y no solamente al que se encuentra en el primer orden de elegibilidad. No obstante, se reitera que estos no son criterios vinculantes, por lo que la entidad podrá aplicar cualquier otro método que considere pertinente y determinar la forma en la que cumplirá el proceso descrito en la norma mencionada. En todo caso, la entidad debe incorporar en la resolución de adjudicación o en el informe de evaluación una </w:t>
      </w:r>
      <w:r w:rsidRPr="00A05329">
        <w:rPr>
          <w:rFonts w:ascii="Verdana" w:eastAsia="Aptos" w:hAnsi="Verdana" w:cs="Arial"/>
          <w:color w:val="000000"/>
          <w:kern w:val="2"/>
          <w:szCs w:val="24"/>
          <w14:ligatures w14:val="standardContextual"/>
        </w:rPr>
        <w:lastRenderedPageBreak/>
        <w:t>explicación de la metodología que utilizó para identificar posibles ofertas artificialmente bajas en el proceso de contratación.</w:t>
      </w:r>
    </w:p>
    <w:p w14:paraId="2157EC5A" w14:textId="77777777" w:rsidR="00A05329" w:rsidRPr="00A05329" w:rsidRDefault="00A05329" w:rsidP="00A05329">
      <w:pPr>
        <w:spacing w:before="120" w:after="120" w:line="276" w:lineRule="auto"/>
        <w:ind w:firstLine="709"/>
        <w:jc w:val="both"/>
        <w:rPr>
          <w:rFonts w:ascii="Verdana" w:eastAsia="Aptos" w:hAnsi="Verdana" w:cs="Arial"/>
          <w:color w:val="000000"/>
          <w:kern w:val="2"/>
          <w:szCs w:val="24"/>
          <w14:ligatures w14:val="standardContextual"/>
        </w:rPr>
      </w:pPr>
      <w:r w:rsidRPr="00A05329">
        <w:rPr>
          <w:rFonts w:ascii="Verdana" w:eastAsia="Aptos" w:hAnsi="Verdana" w:cs="Arial"/>
          <w:bCs/>
          <w:color w:val="000000"/>
          <w:kern w:val="2"/>
          <w14:ligatures w14:val="standardContextual"/>
        </w:rPr>
        <w:t xml:space="preserve">Así las cosas, </w:t>
      </w:r>
      <w:r w:rsidRPr="00A05329">
        <w:rPr>
          <w:rFonts w:ascii="Verdana" w:eastAsia="Aptos" w:hAnsi="Verdana" w:cs="Arial"/>
          <w:bCs/>
          <w:color w:val="000000"/>
          <w:kern w:val="2"/>
          <w:lang w:val="es-ES_tradnl"/>
          <w14:ligatures w14:val="standardContextual"/>
        </w:rPr>
        <w:t xml:space="preserve">para la determinación de las ofertas artificialmente bajas en procesos regidos por documentos tipo, las entidades deben aplicar lo dispuesto en el </w:t>
      </w:r>
      <w:r w:rsidRPr="00A05329">
        <w:rPr>
          <w:rFonts w:ascii="Verdana" w:eastAsia="Aptos" w:hAnsi="Verdana" w:cs="Arial"/>
          <w:bCs/>
          <w:color w:val="000000"/>
          <w:kern w:val="2"/>
          <w14:ligatures w14:val="standardContextual"/>
        </w:rPr>
        <w:t>artículo 2.2.1.1.2.2.4 del Decreto 1082 de 2015 y podrán tener en cuenta las metodologías definidas en la Guía</w:t>
      </w:r>
      <w:r w:rsidRPr="00A05329">
        <w:rPr>
          <w:rFonts w:ascii="Verdana" w:eastAsia="Aptos" w:hAnsi="Verdana" w:cs="Arial"/>
          <w:color w:val="000000"/>
          <w:kern w:val="2"/>
          <w:szCs w:val="24"/>
          <w14:ligatures w14:val="standardContextual"/>
        </w:rPr>
        <w:t xml:space="preserve"> para el manejo de ofertas artificialmente bajas en procesos de contratación conforme a la explicación anteriormente expuesta. Sin embargo, se precisa que la determinación de la metodología no significa que la entidad puede modificar el contenido del numeral 4.3.1 del documento base para incluir las condiciones en las que se desarrollará esta metodología, pues se vulneraría la regla de inalterabilidad de los documentos tipo. Al respecto, recuérdese que los únicos aspectos que pueden ser diligenciados por la entidad son aquellos que se encuentran incluidos en corchetes y resaltado en gris o cuya modificación sea permitida por los mismos documentos tipo, opciones que no se encuentran en el numeral mencionado. </w:t>
      </w:r>
    </w:p>
    <w:p w14:paraId="4512EE1F"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Ahora bien, lo anterior no impide que la entidad, en ejercicio del deber de planeación, defina el parámetro o referente a partir del cual identificará las ofertas cuyo valor parezca artificialmente bajo. A diferencia de las condiciones habilitantes, los factores técnicos y económicos de escogencia y los sistemas de ponderación, el análisis del sector no se encuentra estandarizado por los documentos tipo, sino que su elaboración le corresponde a cada entidad estatal, de conformidad con el artículo 2.2.1.1.1.6.1 del Decreto 1082 de 2015. Al respecto, esta Agencia ha señalado que “(…) los procedimientos para selección de contratistas adelantados con documentos tipo, a pesar de contar con requisitos habilitantes e índices financieros previamente acotados por dichos documentos, con efectos obligatorios y carácter inalterable, no se encuentran exentos de la obligación de realizar tanto los estudios previos como un análisis del sector en el que tendrá lugar la contratación”</w:t>
      </w:r>
      <w:r w:rsidRPr="00A05329">
        <w:rPr>
          <w:rFonts w:ascii="Verdana" w:eastAsia="Aptos" w:hAnsi="Verdana" w:cs="Arial"/>
          <w:color w:val="000000"/>
          <w:kern w:val="2"/>
          <w:vertAlign w:val="superscript"/>
          <w14:ligatures w14:val="standardContextual"/>
        </w:rPr>
        <w:footnoteReference w:id="14"/>
      </w:r>
      <w:r w:rsidRPr="00A05329">
        <w:rPr>
          <w:rFonts w:ascii="Verdana" w:eastAsia="Aptos" w:hAnsi="Verdana" w:cs="Arial"/>
          <w:color w:val="000000"/>
          <w:kern w:val="2"/>
          <w14:ligatures w14:val="standardContextual"/>
        </w:rPr>
        <w:t>.</w:t>
      </w:r>
    </w:p>
    <w:p w14:paraId="0245E24C"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 xml:space="preserve">En el mismo sentido, esta Agencia ha precisado que la utilización de los documentos tipo “(…) no exime la labor previa de planeación que debe realizar cada una de las entidades estatales, como es la realización de los estudios y documentos previos, análisis de las condiciones económicas del sector y el </w:t>
      </w:r>
      <w:r w:rsidRPr="00A05329">
        <w:rPr>
          <w:rFonts w:ascii="Verdana" w:eastAsia="Aptos" w:hAnsi="Verdana" w:cs="Arial"/>
          <w:color w:val="000000"/>
          <w:kern w:val="2"/>
          <w14:ligatures w14:val="standardContextual"/>
        </w:rPr>
        <w:lastRenderedPageBreak/>
        <w:t>análisis, tipificación y asignación de riesgos (…)”, y que “(l)a información producto del análisis del sector, si bien no sirve a las entidades para determinar los requisitos habilitantes e índices financieros con el margen de discrecionalidad que les compete en procesos en los que no se apliquen documentos tipo, permite –entre otros aspectos– (…) determinar si una oferta contiene precios artificialmente bajos (…)”</w:t>
      </w:r>
      <w:r w:rsidRPr="00A05329">
        <w:rPr>
          <w:rFonts w:ascii="Verdana" w:eastAsia="Aptos" w:hAnsi="Verdana" w:cs="Arial"/>
          <w:color w:val="000000"/>
          <w:kern w:val="2"/>
          <w:vertAlign w:val="superscript"/>
          <w14:ligatures w14:val="standardContextual"/>
        </w:rPr>
        <w:footnoteReference w:id="15"/>
      </w:r>
      <w:r w:rsidRPr="00A05329">
        <w:rPr>
          <w:rFonts w:ascii="Verdana" w:eastAsia="Aptos" w:hAnsi="Verdana" w:cs="Arial"/>
          <w:color w:val="000000"/>
          <w:kern w:val="2"/>
          <w14:ligatures w14:val="standardContextual"/>
        </w:rPr>
        <w:t>. Por ello, el numeral 4.1.3 del documento base remite expresamente a la información recogida durante la etapa de planeación y, particularmente, durante el estudio del sector, como el principal insumo para establecer si el precio de una oferta parece insuficiente para garantizar la correcta ejecución del contrato.</w:t>
      </w:r>
    </w:p>
    <w:p w14:paraId="4E073894"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Así mismo, frente a una consulta en la que se preguntó si una entidad podía utilizar como herramienta para identificar ofertas artificialmente bajas un porcentaje derivado del análisis del sector, esta Agencia indicó que “la Entidad Estatal está facultada para aplicar los criterios contenidos en la Guía o acudir, si bien lo tiene, a otro tipo de criterios que consideren más apropiados mediante los cuales establecer el criterio (porcentual o numérico) con el cual analizar las ofertas”</w:t>
      </w:r>
      <w:r w:rsidRPr="00A05329">
        <w:rPr>
          <w:rFonts w:ascii="Verdana" w:eastAsia="Aptos" w:hAnsi="Verdana" w:cs="Arial"/>
          <w:color w:val="000000"/>
          <w:kern w:val="2"/>
          <w:vertAlign w:val="superscript"/>
          <w14:ligatures w14:val="standardContextual"/>
        </w:rPr>
        <w:footnoteReference w:id="16"/>
      </w:r>
      <w:r w:rsidRPr="00A05329">
        <w:rPr>
          <w:rFonts w:ascii="Verdana" w:eastAsia="Aptos" w:hAnsi="Verdana" w:cs="Arial"/>
          <w:color w:val="000000"/>
          <w:kern w:val="2"/>
          <w14:ligatures w14:val="standardContextual"/>
        </w:rPr>
        <w:t>. En este orden, será en el análisis del sector, y no en el pliego de condiciones, donde la entidad eventualmente podrá establecer, de manera justificada y con base en la información del mercado que haya obtenido, un referente –por ejemplo, un porcentaje respecto del presupuesto oficial o del costo estimado del contrato– para identificar las ofertas cuyo valor parezca artificialmente bajo.</w:t>
      </w:r>
    </w:p>
    <w:p w14:paraId="06125DBD"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Sin embargo, en armonía con lo expuesto en este concepto, dicho referente no puede tener el alcance de una regla de evaluación ni de una causal de rechazo. Como lo ha señalado esta Agencia, “la identificación de un posible precio artificialmente bajo –bien sea por el método de comparación absoluta o relativa– no da lugar al rechazo automático de la propuesta”</w:t>
      </w:r>
      <w:r w:rsidRPr="00A05329">
        <w:rPr>
          <w:rFonts w:ascii="Verdana" w:eastAsia="Aptos" w:hAnsi="Verdana" w:cs="Arial"/>
          <w:color w:val="000000"/>
          <w:kern w:val="2"/>
          <w:vertAlign w:val="superscript"/>
          <w14:ligatures w14:val="standardContextual"/>
        </w:rPr>
        <w:footnoteReference w:id="17"/>
      </w:r>
      <w:r w:rsidRPr="00A05329">
        <w:rPr>
          <w:rFonts w:ascii="Verdana" w:eastAsia="Aptos" w:hAnsi="Verdana" w:cs="Arial"/>
          <w:color w:val="000000"/>
          <w:kern w:val="2"/>
          <w14:ligatures w14:val="standardContextual"/>
        </w:rPr>
        <w:t xml:space="preserve">. Por tanto, las ofertas que se ubiquen por debajo del referente no pueden ser consideradas artificialmente bajas por ese solo hecho. El referente únicamente permite identificar las ofertas cuyo valor parece insuficiente, frente a las cuales la entidad </w:t>
      </w:r>
      <w:r w:rsidRPr="00A05329">
        <w:rPr>
          <w:rFonts w:ascii="Verdana" w:eastAsia="Aptos" w:hAnsi="Verdana" w:cs="Arial"/>
          <w:color w:val="000000"/>
          <w:kern w:val="2"/>
          <w14:ligatures w14:val="standardContextual"/>
        </w:rPr>
        <w:lastRenderedPageBreak/>
        <w:t>debe agotar el procedimiento del artículo 2.2.1.1.2.2.4 del Decreto 1082 de 2015, requerir al proponente para que explique las razones que sustentan el valor ofrecido, analizar sus explicaciones y, solo si estas no justifican dicho valor, rechazar la oferta con fundamento en la causal prevista en el numeral 1.15 del documento base.</w:t>
      </w:r>
    </w:p>
    <w:p w14:paraId="09A2C938"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Debe advertirse, además, que el análisis del sector hace parte de los Documentos del Proceso, pues el artículo 2.2.1.1.1.6.1 del Decreto 1082 de 2015 exige que la entidad deje constancia de él en dichos documentos. Por ello, no puede servir como vehículo para introducir lo que el documento tipo no permite incluir en el pliego de condiciones. Si en dicho análisis la entidad dispusiera que las ofertas inferiores a un determinado porcentaje “serán consideradas artificialmente bajas” y, en consecuencia, las rechazara sin agotar el procedimiento reglamentario, estaría estableciendo una causal de rechazo distinta de las señaladas en el numeral 1.15 y modificando los factores económicos de escogencia del documento tipo, en contravía de la regla de inalterabilidad y del artículo 1 de la Ley 2022 de 2020 –explicada en el punto dos (</w:t>
      </w:r>
      <w:proofErr w:type="spellStart"/>
      <w:r w:rsidRPr="00A05329">
        <w:rPr>
          <w:rFonts w:ascii="Verdana" w:eastAsia="Aptos" w:hAnsi="Verdana" w:cs="Arial"/>
          <w:color w:val="000000"/>
          <w:kern w:val="2"/>
          <w14:ligatures w14:val="standardContextual"/>
        </w:rPr>
        <w:t>ii</w:t>
      </w:r>
      <w:proofErr w:type="spellEnd"/>
      <w:r w:rsidRPr="00A05329">
        <w:rPr>
          <w:rFonts w:ascii="Verdana" w:eastAsia="Aptos" w:hAnsi="Verdana" w:cs="Arial"/>
          <w:color w:val="000000"/>
          <w:kern w:val="2"/>
          <w14:ligatures w14:val="standardContextual"/>
        </w:rPr>
        <w:t xml:space="preserve">) de esta concepto–. </w:t>
      </w:r>
    </w:p>
    <w:p w14:paraId="450E2D9A"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Por otra parte, en relación con el método de ponderación de la oferta económica, debe recordarse que en los documentos tipo de licitación de obra pública de infraestructura de transporte este se determina de manera aleatoria, a partir de los centavos de la Tasa de Cambio Representativa del Mercado –TRM–, entre las alternativas de mediana con valor absoluto, media geométrica, media aritmética baja y menor valor, tal como lo prescribe el artículo 30 de la Ley 80 de 1993, modificado por el artículo 1 de la Ley 1882 de 2018. Al respecto, esta Agencia ha señalado que la TRM “se trata de un criterio para seleccionar el mecanismo de ponderación de las ofertas económicas y no hace parte del procedimiento ni de los lineamientos para determinar que una oferta se caracterice por ser artificialmente baja. En tal sentido, independientemente del método de ponderación seleccionado en función de la TRM es posible aplicar el tratamiento señalado respecto a las ofertas con posibles precios artificialmente bajos”</w:t>
      </w:r>
      <w:r w:rsidRPr="00A05329">
        <w:rPr>
          <w:rFonts w:ascii="Verdana" w:eastAsia="Aptos" w:hAnsi="Verdana" w:cs="Arial"/>
          <w:color w:val="000000"/>
          <w:kern w:val="2"/>
          <w:vertAlign w:val="superscript"/>
          <w14:ligatures w14:val="standardContextual"/>
        </w:rPr>
        <w:footnoteReference w:id="18"/>
      </w:r>
      <w:r w:rsidRPr="00A05329">
        <w:rPr>
          <w:rFonts w:ascii="Verdana" w:eastAsia="Aptos" w:hAnsi="Verdana" w:cs="Arial"/>
          <w:color w:val="000000"/>
          <w:kern w:val="2"/>
          <w14:ligatures w14:val="standardContextual"/>
        </w:rPr>
        <w:t>.</w:t>
      </w:r>
    </w:p>
    <w:p w14:paraId="4BF858FE" w14:textId="77777777" w:rsidR="00A05329" w:rsidRPr="00A05329" w:rsidRDefault="00A05329" w:rsidP="00A05329">
      <w:pPr>
        <w:spacing w:before="120" w:after="120" w:line="276" w:lineRule="auto"/>
        <w:ind w:firstLine="709"/>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lastRenderedPageBreak/>
        <w:t>En consecuencia, el referente que la entidad establezca en el análisis del sector para identificar ofertas que parezcan artificialmente bajas no implica definir con anterioridad el método de ponderación de menor valor, ni ningún otro, pues se trata de actuaciones independientes. Distinto es que el valor mínimo se configure como una regla que excluya de la evaluación económica, sin agotar el procedimiento reglamentario, las ofertas que se encuentren por debajo de él, pues en ese caso se modificaría el factor económico de escogencia previsto en el documento tipo, cualquiera que sea el método de ponderación que resulte aplicable.</w:t>
      </w:r>
    </w:p>
    <w:p w14:paraId="117ADF45" w14:textId="77777777" w:rsidR="00A05329" w:rsidRPr="00A05329" w:rsidRDefault="00A05329" w:rsidP="00A05329">
      <w:pPr>
        <w:spacing w:before="120" w:after="0" w:line="276" w:lineRule="auto"/>
        <w:ind w:firstLine="709"/>
        <w:jc w:val="both"/>
        <w:rPr>
          <w:rFonts w:ascii="Verdana" w:eastAsia="Aptos" w:hAnsi="Verdana" w:cs="Arial"/>
          <w:color w:val="000000"/>
          <w:kern w:val="2"/>
          <w14:ligatures w14:val="standardContextual"/>
        </w:rPr>
      </w:pPr>
      <w:r w:rsidRPr="00A05329">
        <w:rPr>
          <w:rFonts w:ascii="Verdana" w:eastAsia="Aptos" w:hAnsi="Verdana" w:cs="Arial"/>
          <w:color w:val="000000"/>
          <w:kern w:val="2"/>
          <w14:ligatures w14:val="standardContextual"/>
        </w:rPr>
        <w:t>En conclusión, cuando una oferta parezca artificialmente baja, la entidad está obligada a requerir al proponente para que aclare el valor de la oferta. Con base en esta justificación, el comité evaluador definirá si se rechaza la oferta o si continúa con  su evaluación. En consecuencia, no podrá rechazar la oferta si no ha efectuado dicho requerimiento, pues, según lo establecido en el artículo 2.2.1.1.2.2.4 del Decreto 1082 de 2015, el rechazo de la oferta procede cuando las explicaciones del proponente son insuficientes o insatisfactorias. Esta regla aplica también cuando la oferta haya sido identificada a partir del referente que la entidad haya establecido en el análisis del sector.</w:t>
      </w:r>
    </w:p>
    <w:p w14:paraId="31D4091F" w14:textId="77777777" w:rsidR="00A05329" w:rsidRPr="00A05329" w:rsidRDefault="00A05329" w:rsidP="00A05329">
      <w:pPr>
        <w:spacing w:before="120" w:after="0" w:line="276" w:lineRule="auto"/>
        <w:ind w:firstLine="709"/>
        <w:jc w:val="both"/>
        <w:rPr>
          <w:rFonts w:ascii="Verdana" w:eastAsia="Aptos" w:hAnsi="Verdana" w:cs="Arial"/>
          <w:color w:val="000000"/>
          <w:kern w:val="2"/>
          <w14:ligatures w14:val="standardContextual"/>
        </w:rPr>
      </w:pPr>
    </w:p>
    <w:p w14:paraId="2E6EC6CD" w14:textId="77777777" w:rsidR="00A05329" w:rsidRPr="00A05329" w:rsidRDefault="00A05329" w:rsidP="00A05329">
      <w:pPr>
        <w:spacing w:after="0" w:line="276" w:lineRule="auto"/>
        <w:jc w:val="both"/>
        <w:rPr>
          <w:rFonts w:ascii="Verdana" w:eastAsia="Aptos" w:hAnsi="Verdana" w:cs="Times New Roman"/>
          <w:kern w:val="2"/>
          <w14:ligatures w14:val="standardContextual"/>
        </w:rPr>
      </w:pPr>
    </w:p>
    <w:p w14:paraId="6ACD6676" w14:textId="77777777" w:rsidR="00A05329" w:rsidRPr="00A05329" w:rsidRDefault="00A05329" w:rsidP="00A05329">
      <w:pPr>
        <w:tabs>
          <w:tab w:val="left" w:pos="709"/>
        </w:tabs>
        <w:snapToGrid w:val="0"/>
        <w:spacing w:after="120" w:line="276" w:lineRule="auto"/>
        <w:jc w:val="both"/>
        <w:rPr>
          <w:rFonts w:ascii="Verdana" w:eastAsia="Calibri" w:hAnsi="Verdana" w:cs="Arial"/>
          <w:color w:val="000000"/>
          <w:kern w:val="2"/>
          <w:lang w:val="es-ES"/>
          <w14:ligatures w14:val="standardContextual"/>
        </w:rPr>
      </w:pPr>
      <w:r w:rsidRPr="00A05329">
        <w:rPr>
          <w:rFonts w:ascii="Verdana" w:eastAsia="Calibri" w:hAnsi="Verdana" w:cs="Arial"/>
          <w:color w:val="000000"/>
          <w:kern w:val="2"/>
          <w:lang w:val="es-ES"/>
          <w14:ligatures w14:val="standardContextual"/>
        </w:rPr>
        <w:t>vi.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4E09B5A" w14:textId="77777777" w:rsidR="00A05329" w:rsidRPr="00A05329" w:rsidRDefault="00A05329" w:rsidP="00A05329">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A05329">
        <w:rPr>
          <w:rFonts w:ascii="Verdana" w:eastAsia="Calibri" w:hAnsi="Verdana" w:cs="Arial"/>
          <w:color w:val="000000"/>
          <w:kern w:val="2"/>
          <w:lang w:val="es-ES"/>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A05329">
        <w:rPr>
          <w:rFonts w:ascii="Verdana" w:eastAsia="Calibri" w:hAnsi="Verdana" w:cs="Arial"/>
          <w:color w:val="000000"/>
          <w:kern w:val="2"/>
          <w:lang w:val="es-ES"/>
          <w14:ligatures w14:val="standardContextual"/>
        </w:rPr>
        <w:lastRenderedPageBreak/>
        <w:t>el principio de juridicidad. Así, cada entidad definirá la forma de adelantar su gestión contractual, sin que sea atribución de Colombia Compra Eficiente validar sus actuaciones.</w:t>
      </w:r>
    </w:p>
    <w:p w14:paraId="17B4A77C" w14:textId="77777777" w:rsidR="00A05329" w:rsidRPr="00A05329" w:rsidRDefault="00A05329" w:rsidP="00A05329">
      <w:pPr>
        <w:spacing w:after="0"/>
        <w:ind w:firstLine="708"/>
        <w:jc w:val="both"/>
        <w:rPr>
          <w:rFonts w:ascii="Verdana" w:eastAsia="Aptos" w:hAnsi="Verdana" w:cs="Arial"/>
          <w:color w:val="000000"/>
          <w:lang w:val="es-ES"/>
        </w:rPr>
      </w:pPr>
    </w:p>
    <w:p w14:paraId="088A0715" w14:textId="77777777" w:rsidR="00A05329" w:rsidRPr="00A05329" w:rsidRDefault="00A05329" w:rsidP="00A05329">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A05329">
        <w:rPr>
          <w:rFonts w:ascii="Verdana" w:eastAsia="Century Gothic" w:hAnsi="Verdana" w:cs="Century Gothic"/>
          <w:b/>
          <w:bCs/>
        </w:rPr>
        <w:t>Referencias normativas, jurisprudenciales y otras fuentes:</w:t>
      </w:r>
    </w:p>
    <w:p w14:paraId="323E6B99" w14:textId="77777777" w:rsidR="00A05329" w:rsidRPr="00A05329" w:rsidRDefault="00A05329" w:rsidP="00A05329">
      <w:pPr>
        <w:spacing w:after="0"/>
        <w:ind w:left="-15840"/>
        <w:jc w:val="both"/>
        <w:rPr>
          <w:rFonts w:ascii="Verdana" w:eastAsia="Calibri" w:hAnsi="Verdana" w:cs="Arial"/>
          <w:b/>
          <w:bCs/>
        </w:rPr>
      </w:pPr>
      <w:r w:rsidRPr="00A05329">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05329" w:rsidRPr="00A05329" w14:paraId="426B4530" w14:textId="77777777" w:rsidTr="009E3879">
        <w:trPr>
          <w:trHeight w:val="870"/>
        </w:trPr>
        <w:tc>
          <w:tcPr>
            <w:tcW w:w="8647" w:type="dxa"/>
            <w:tcBorders>
              <w:top w:val="dotted" w:sz="4" w:space="0" w:color="auto"/>
              <w:left w:val="dotted" w:sz="4" w:space="0" w:color="auto"/>
              <w:bottom w:val="dotted" w:sz="4" w:space="0" w:color="auto"/>
              <w:right w:val="dotted" w:sz="4" w:space="0" w:color="auto"/>
            </w:tcBorders>
          </w:tcPr>
          <w:p w14:paraId="1FB2A48D" w14:textId="77777777" w:rsidR="00A05329" w:rsidRPr="00A05329" w:rsidRDefault="00A05329" w:rsidP="00A05329">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A05329">
              <w:rPr>
                <w:rFonts w:ascii="Verdana" w:eastAsia="Calibri" w:hAnsi="Verdana" w:cs="Arial"/>
                <w:lang w:val="es-ES_tradnl"/>
              </w:rPr>
              <w:t xml:space="preserve">Ley 2022 de 2020, artículo 1. </w:t>
            </w:r>
          </w:p>
          <w:p w14:paraId="235F7224" w14:textId="77777777" w:rsidR="00A05329" w:rsidRPr="00A05329" w:rsidRDefault="00A05329" w:rsidP="00A05329">
            <w:pPr>
              <w:widowControl w:val="0"/>
              <w:numPr>
                <w:ilvl w:val="0"/>
                <w:numId w:val="17"/>
              </w:numPr>
              <w:autoSpaceDE w:val="0"/>
              <w:autoSpaceDN w:val="0"/>
              <w:spacing w:line="276" w:lineRule="auto"/>
              <w:jc w:val="both"/>
              <w:rPr>
                <w:rFonts w:ascii="Verdana" w:eastAsia="Calibri" w:hAnsi="Verdana" w:cs="Arial"/>
              </w:rPr>
            </w:pPr>
            <w:r w:rsidRPr="00A05329">
              <w:rPr>
                <w:rFonts w:ascii="Verdana" w:eastAsia="Calibri" w:hAnsi="Verdana" w:cs="Arial"/>
              </w:rPr>
              <w:t>Ley 1150 de 2007, artículo 2.</w:t>
            </w:r>
          </w:p>
          <w:p w14:paraId="1FAA9C68" w14:textId="77777777" w:rsidR="00A05329" w:rsidRPr="00A05329" w:rsidRDefault="00A05329" w:rsidP="00A05329">
            <w:pPr>
              <w:widowControl w:val="0"/>
              <w:numPr>
                <w:ilvl w:val="0"/>
                <w:numId w:val="17"/>
              </w:numPr>
              <w:autoSpaceDE w:val="0"/>
              <w:autoSpaceDN w:val="0"/>
              <w:spacing w:line="276" w:lineRule="auto"/>
              <w:contextualSpacing/>
              <w:jc w:val="both"/>
              <w:rPr>
                <w:rFonts w:ascii="Verdana" w:eastAsia="Calibri" w:hAnsi="Verdana" w:cs="Arial"/>
                <w:lang w:val="es-ES"/>
              </w:rPr>
            </w:pPr>
            <w:r w:rsidRPr="00A05329">
              <w:rPr>
                <w:rFonts w:ascii="Verdana" w:eastAsia="Calibri" w:hAnsi="Verdana" w:cs="Arial"/>
                <w:lang w:val="es-ES_tradnl"/>
              </w:rPr>
              <w:t xml:space="preserve">Documentos Tipo. Disponibles en: </w:t>
            </w:r>
            <w:hyperlink r:id="rId12" w:history="1">
              <w:r w:rsidRPr="00A05329">
                <w:rPr>
                  <w:rFonts w:ascii="Verdana" w:eastAsia="Calibri" w:hAnsi="Verdana" w:cs="Arial"/>
                  <w:color w:val="0000FF"/>
                  <w:u w:val="single"/>
                  <w:lang w:val="es-ES_tradnl"/>
                </w:rPr>
                <w:t>https://www.colombiacompra.gov.co/documentos-tipo/documentos-tipo</w:t>
              </w:r>
            </w:hyperlink>
            <w:r w:rsidRPr="00A05329">
              <w:rPr>
                <w:rFonts w:ascii="Verdana" w:eastAsia="Calibri" w:hAnsi="Verdana" w:cs="Arial"/>
                <w:lang w:val="es-ES_tradnl"/>
              </w:rPr>
              <w:t>.</w:t>
            </w:r>
          </w:p>
          <w:p w14:paraId="6F3F06A3" w14:textId="77777777" w:rsidR="00A05329" w:rsidRPr="00A05329" w:rsidRDefault="00A05329" w:rsidP="00A05329">
            <w:pPr>
              <w:widowControl w:val="0"/>
              <w:numPr>
                <w:ilvl w:val="0"/>
                <w:numId w:val="17"/>
              </w:numPr>
              <w:autoSpaceDE w:val="0"/>
              <w:autoSpaceDN w:val="0"/>
              <w:spacing w:line="276" w:lineRule="auto"/>
              <w:jc w:val="both"/>
              <w:rPr>
                <w:rFonts w:ascii="Aptos" w:eastAsia="Aptos" w:hAnsi="Aptos" w:cs="Times New Roman"/>
              </w:rPr>
            </w:pPr>
            <w:r w:rsidRPr="00A05329">
              <w:rPr>
                <w:rFonts w:ascii="Verdana" w:eastAsia="Aptos" w:hAnsi="Verdana" w:cs="Arial"/>
                <w:color w:val="000000"/>
              </w:rPr>
              <w:t>Ley 80 de 1993, artículos 26 y 30.</w:t>
            </w:r>
          </w:p>
          <w:p w14:paraId="5FEE98A5" w14:textId="77777777" w:rsidR="00A05329" w:rsidRPr="00A05329" w:rsidRDefault="00A05329" w:rsidP="00A05329">
            <w:pPr>
              <w:widowControl w:val="0"/>
              <w:numPr>
                <w:ilvl w:val="0"/>
                <w:numId w:val="17"/>
              </w:numPr>
              <w:autoSpaceDE w:val="0"/>
              <w:autoSpaceDN w:val="0"/>
              <w:spacing w:line="276" w:lineRule="auto"/>
              <w:jc w:val="both"/>
              <w:rPr>
                <w:rFonts w:ascii="Aptos" w:eastAsia="Aptos" w:hAnsi="Aptos" w:cs="Times New Roman"/>
              </w:rPr>
            </w:pPr>
            <w:r w:rsidRPr="00A05329">
              <w:rPr>
                <w:rFonts w:ascii="Verdana" w:eastAsia="Aptos" w:hAnsi="Verdana" w:cs="Arial"/>
                <w:color w:val="000000"/>
              </w:rPr>
              <w:t>Ley 1882 de 2018, artículo 1.</w:t>
            </w:r>
          </w:p>
          <w:p w14:paraId="5F62CE54" w14:textId="77777777" w:rsidR="00A05329" w:rsidRPr="00A05329" w:rsidRDefault="00A05329" w:rsidP="00A05329">
            <w:pPr>
              <w:widowControl w:val="0"/>
              <w:numPr>
                <w:ilvl w:val="0"/>
                <w:numId w:val="17"/>
              </w:numPr>
              <w:autoSpaceDE w:val="0"/>
              <w:autoSpaceDN w:val="0"/>
              <w:spacing w:line="276" w:lineRule="auto"/>
              <w:jc w:val="both"/>
              <w:rPr>
                <w:rFonts w:ascii="Aptos" w:eastAsia="Aptos" w:hAnsi="Aptos" w:cs="Times New Roman"/>
              </w:rPr>
            </w:pPr>
            <w:r w:rsidRPr="00A05329">
              <w:rPr>
                <w:rFonts w:ascii="Verdana" w:eastAsia="Aptos" w:hAnsi="Verdana" w:cs="Arial"/>
                <w:color w:val="000000"/>
              </w:rPr>
              <w:t>Decreto 1082 de 2015, artículos 2.2.1.1.1.6.1 y 2.2.1.1.2.2.4.</w:t>
            </w:r>
          </w:p>
          <w:p w14:paraId="6C9244EE" w14:textId="77777777" w:rsidR="00A05329" w:rsidRPr="00A05329" w:rsidRDefault="00A05329" w:rsidP="00A05329">
            <w:pPr>
              <w:widowControl w:val="0"/>
              <w:numPr>
                <w:ilvl w:val="0"/>
                <w:numId w:val="17"/>
              </w:numPr>
              <w:autoSpaceDE w:val="0"/>
              <w:autoSpaceDN w:val="0"/>
              <w:spacing w:line="276" w:lineRule="auto"/>
              <w:contextualSpacing/>
              <w:jc w:val="both"/>
              <w:rPr>
                <w:rFonts w:ascii="Verdana" w:eastAsia="Calibri" w:hAnsi="Verdana" w:cs="Arial"/>
                <w:lang w:val="es-ES"/>
              </w:rPr>
            </w:pPr>
            <w:r w:rsidRPr="00A05329">
              <w:rPr>
                <w:rFonts w:ascii="Verdana" w:eastAsia="Aptos" w:hAnsi="Verdana" w:cs="Arial"/>
                <w:color w:val="000000"/>
              </w:rPr>
              <w:t>Guía para el manejo de ofertas artificialmente bajas en Procesos de Contratación.</w:t>
            </w:r>
          </w:p>
        </w:tc>
      </w:tr>
    </w:tbl>
    <w:p w14:paraId="284A1D7A" w14:textId="77777777" w:rsidR="00A05329" w:rsidRPr="00A05329" w:rsidRDefault="00A05329" w:rsidP="00A05329">
      <w:pPr>
        <w:tabs>
          <w:tab w:val="left" w:pos="142"/>
          <w:tab w:val="left" w:pos="284"/>
        </w:tabs>
        <w:spacing w:after="0" w:line="276" w:lineRule="auto"/>
        <w:jc w:val="both"/>
        <w:rPr>
          <w:rFonts w:ascii="Verdana" w:eastAsia="Calibri" w:hAnsi="Verdana" w:cs="Arial"/>
        </w:rPr>
      </w:pPr>
    </w:p>
    <w:p w14:paraId="3E599F65" w14:textId="77777777" w:rsidR="00A05329" w:rsidRPr="00A05329" w:rsidRDefault="00A05329" w:rsidP="00A05329">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A05329">
        <w:rPr>
          <w:rFonts w:ascii="Verdana" w:eastAsia="Century Gothic" w:hAnsi="Verdana" w:cs="Century Gothic"/>
          <w:b/>
          <w:bCs/>
        </w:rPr>
        <w:t>Doctrina de la Agencia Nacional de Contratación Pública:</w:t>
      </w:r>
    </w:p>
    <w:p w14:paraId="0F44C9E0" w14:textId="77777777" w:rsidR="00A05329" w:rsidRPr="00A05329" w:rsidRDefault="00A05329" w:rsidP="00A05329">
      <w:pPr>
        <w:widowControl w:val="0"/>
        <w:autoSpaceDE w:val="0"/>
        <w:autoSpaceDN w:val="0"/>
        <w:spacing w:after="0" w:line="276" w:lineRule="auto"/>
        <w:jc w:val="both"/>
        <w:rPr>
          <w:rFonts w:ascii="Verdana" w:eastAsia="Calibri" w:hAnsi="Verdana" w:cs="Arial"/>
        </w:rPr>
      </w:pPr>
    </w:p>
    <w:p w14:paraId="5D01443B" w14:textId="77777777" w:rsidR="00A05329" w:rsidRPr="00A05329" w:rsidRDefault="00A05329" w:rsidP="00A05329">
      <w:pPr>
        <w:widowControl w:val="0"/>
        <w:autoSpaceDE w:val="0"/>
        <w:autoSpaceDN w:val="0"/>
        <w:spacing w:after="0" w:line="276" w:lineRule="auto"/>
        <w:jc w:val="both"/>
        <w:rPr>
          <w:rFonts w:ascii="Verdana" w:eastAsia="Times New Roman" w:hAnsi="Verdana" w:cs="Arial"/>
          <w:shd w:val="clear" w:color="auto" w:fill="FFFFFF"/>
          <w:lang w:val="es-ES"/>
        </w:rPr>
      </w:pPr>
      <w:r w:rsidRPr="00A05329">
        <w:rPr>
          <w:rFonts w:ascii="Verdana" w:eastAsia="Calibri" w:hAnsi="Verdana" w:cs="Arial"/>
          <w:shd w:val="clear" w:color="auto" w:fill="FFFFFF"/>
        </w:rPr>
        <w:t>L</w:t>
      </w:r>
      <w:r w:rsidRPr="00A05329">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A05329">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w:t>
      </w:r>
      <w:r w:rsidRPr="00A05329">
        <w:rPr>
          <w:rFonts w:ascii="Verdana" w:eastAsia="Times New Roman" w:hAnsi="Verdana" w:cs="Arial"/>
          <w:shd w:val="clear" w:color="auto" w:fill="FFFFFF"/>
          <w:lang w:val="es-ES"/>
        </w:rPr>
        <w:lastRenderedPageBreak/>
        <w:t>de 2024, C- 481 del 09 de noviembre de 2024, C- 692 del 19 de noviembre de 2024, C-753 del 4 de enero de 2024, C-133 del 10 de marzo de 2025 y C-1485 del 24 de noviembre de 2025, entre otros.</w:t>
      </w:r>
    </w:p>
    <w:p w14:paraId="14A36B92" w14:textId="77777777" w:rsidR="00A05329" w:rsidRPr="00A05329" w:rsidRDefault="00A05329" w:rsidP="00A05329">
      <w:pPr>
        <w:widowControl w:val="0"/>
        <w:autoSpaceDE w:val="0"/>
        <w:autoSpaceDN w:val="0"/>
        <w:spacing w:after="0" w:line="276" w:lineRule="auto"/>
        <w:jc w:val="both"/>
        <w:rPr>
          <w:rFonts w:ascii="Verdana" w:eastAsia="Times New Roman" w:hAnsi="Verdana" w:cs="Arial"/>
          <w:shd w:val="clear" w:color="auto" w:fill="FFFFFF"/>
          <w:lang w:val="es-ES"/>
        </w:rPr>
      </w:pPr>
    </w:p>
    <w:p w14:paraId="5C62753D" w14:textId="77777777" w:rsidR="00A05329" w:rsidRPr="00A05329" w:rsidRDefault="00A05329" w:rsidP="00A05329">
      <w:pPr>
        <w:widowControl w:val="0"/>
        <w:autoSpaceDE w:val="0"/>
        <w:autoSpaceDN w:val="0"/>
        <w:spacing w:after="0" w:line="276" w:lineRule="auto"/>
        <w:jc w:val="both"/>
        <w:rPr>
          <w:rFonts w:ascii="Aptos" w:eastAsia="Aptos" w:hAnsi="Aptos" w:cs="Times New Roman"/>
          <w:kern w:val="2"/>
          <w:sz w:val="24"/>
          <w:szCs w:val="24"/>
          <w14:ligatures w14:val="standardContextual"/>
        </w:rPr>
      </w:pPr>
      <w:r w:rsidRPr="00A05329">
        <w:rPr>
          <w:rFonts w:ascii="Verdana" w:eastAsia="Aptos" w:hAnsi="Verdana" w:cs="Arial"/>
          <w:color w:val="000000"/>
          <w:kern w:val="2"/>
          <w14:ligatures w14:val="standardContextual"/>
        </w:rPr>
        <w:t>Asimismo, se ha pronunciado sobre los precios artificialmente bajos y el análisis del sector en los procesos regidos por documentos tipo en los conceptos C-415 del 7 de julio de 2020, C-205 del 7 de mayo de 2021, C-215 del 12 de mayo de 2021, C-737 del 27 de enero de 2022, C-287 del 11 de mayo de 2022, C-403 del 22 de junio de 2022, C-487 de 2022, C-268 del 2 de octubre de 2024, C-669 de 2024, C-365 del 2 de mayo de 2025 y C-1031 del 12 de agosto de 2026, entre otros.</w:t>
      </w:r>
    </w:p>
    <w:p w14:paraId="48387DA6" w14:textId="77777777" w:rsidR="00A05329" w:rsidRPr="00A05329" w:rsidRDefault="00A05329" w:rsidP="00A05329">
      <w:pPr>
        <w:widowControl w:val="0"/>
        <w:autoSpaceDE w:val="0"/>
        <w:autoSpaceDN w:val="0"/>
        <w:spacing w:after="0" w:line="276" w:lineRule="auto"/>
        <w:jc w:val="both"/>
        <w:rPr>
          <w:rFonts w:ascii="Verdana" w:eastAsia="Times New Roman" w:hAnsi="Verdana" w:cs="Arial"/>
          <w:shd w:val="clear" w:color="auto" w:fill="FFFFFF"/>
        </w:rPr>
      </w:pPr>
    </w:p>
    <w:p w14:paraId="3A393700" w14:textId="77777777" w:rsidR="00A05329" w:rsidRPr="00A05329" w:rsidRDefault="00A05329" w:rsidP="00A05329">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A05329">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05329">
          <w:rPr>
            <w:rFonts w:ascii="Verdana" w:eastAsia="Calibri" w:hAnsi="Verdana" w:cs="Arial"/>
            <w:color w:val="0000FF"/>
            <w:kern w:val="2"/>
            <w:u w:val="single"/>
            <w:shd w:val="clear" w:color="auto" w:fill="FFFFFF"/>
            <w:lang w:eastAsia="es-MX"/>
            <w14:ligatures w14:val="standardContextual"/>
          </w:rPr>
          <w:t>https://relatoria.colombiacompra.gov.co/</w:t>
        </w:r>
      </w:hyperlink>
      <w:r w:rsidRPr="00A05329">
        <w:rPr>
          <w:rFonts w:ascii="Verdana" w:eastAsia="Calibri" w:hAnsi="Verdana" w:cs="Arial"/>
          <w:color w:val="0000FF"/>
          <w:kern w:val="2"/>
          <w:u w:val="single"/>
          <w:shd w:val="clear" w:color="auto" w:fill="FFFFFF"/>
          <w:lang w:eastAsia="es-MX"/>
          <w14:ligatures w14:val="standardContextual"/>
        </w:rPr>
        <w:t> .</w:t>
      </w:r>
    </w:p>
    <w:p w14:paraId="3FFFD1D8" w14:textId="77777777" w:rsidR="00A05329" w:rsidRPr="00A05329" w:rsidRDefault="00A05329" w:rsidP="00A05329">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542212F3" w14:textId="77777777" w:rsidR="00A05329" w:rsidRPr="00A05329" w:rsidRDefault="00A05329" w:rsidP="00A05329">
      <w:pPr>
        <w:spacing w:after="0" w:line="276" w:lineRule="auto"/>
        <w:jc w:val="both"/>
        <w:rPr>
          <w:rFonts w:ascii="Verdana" w:eastAsia="Aptos" w:hAnsi="Verdana" w:cs="Times New Roman"/>
          <w:kern w:val="2"/>
          <w14:ligatures w14:val="standardContextual"/>
        </w:rPr>
      </w:pPr>
      <w:r w:rsidRPr="00A05329">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05329">
        <w:rPr>
          <w:rFonts w:ascii="Verdana" w:eastAsia="Aptos" w:hAnsi="Verdana" w:cs="Times New Roman"/>
          <w:b/>
          <w:bCs/>
          <w:color w:val="000000"/>
          <w:kern w:val="2"/>
          <w14:ligatures w14:val="standardContextual"/>
        </w:rPr>
        <w:t>Guía para la Exigencia y Constitución de Garantías en los Procesos de Contratación</w:t>
      </w:r>
      <w:r w:rsidRPr="00A05329">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A05329">
          <w:rPr>
            <w:rFonts w:ascii="Verdana" w:eastAsia="Aptos" w:hAnsi="Verdana" w:cs="Times New Roman"/>
            <w:color w:val="0078D7"/>
            <w:kern w:val="2"/>
            <w:u w:val="single"/>
            <w14:ligatures w14:val="standardContextual"/>
          </w:rPr>
          <w:t>https://www.colombiacompra.gov.co/archivos/manual/guia-de-garantias-en-procesos-de-contratacion</w:t>
        </w:r>
      </w:hyperlink>
    </w:p>
    <w:p w14:paraId="3A3DD90E" w14:textId="77777777" w:rsidR="00A05329" w:rsidRPr="00A05329" w:rsidRDefault="00A05329" w:rsidP="00A05329">
      <w:pPr>
        <w:spacing w:after="0" w:line="276" w:lineRule="auto"/>
        <w:jc w:val="both"/>
        <w:rPr>
          <w:rFonts w:ascii="Verdana" w:eastAsia="Aptos" w:hAnsi="Verdana" w:cs="Times New Roman"/>
          <w:kern w:val="2"/>
          <w14:ligatures w14:val="standardContextual"/>
        </w:rPr>
      </w:pPr>
    </w:p>
    <w:p w14:paraId="71BCD3B0" w14:textId="77777777" w:rsidR="00A05329" w:rsidRPr="00A05329" w:rsidRDefault="00A05329" w:rsidP="00A05329">
      <w:pPr>
        <w:spacing w:after="0" w:line="276" w:lineRule="auto"/>
        <w:jc w:val="both"/>
        <w:rPr>
          <w:rFonts w:ascii="Verdana" w:eastAsia="Aptos" w:hAnsi="Verdana" w:cs="Times New Roman"/>
          <w:kern w:val="2"/>
          <w14:ligatures w14:val="standardContextual"/>
        </w:rPr>
      </w:pPr>
      <w:r w:rsidRPr="00A05329">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A05329">
        <w:rPr>
          <w:rFonts w:ascii="Verdana" w:eastAsia="Aptos" w:hAnsi="Verdana" w:cs="Times New Roman"/>
          <w:b/>
          <w:bCs/>
          <w:color w:val="000000"/>
          <w:kern w:val="2"/>
          <w14:ligatures w14:val="standardContextual"/>
        </w:rPr>
        <w:t>Sistema Integral de Preferencias en favor de las personas con discapacidad</w:t>
      </w:r>
      <w:r w:rsidRPr="00A05329">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A05329">
        <w:rPr>
          <w:rFonts w:ascii="Verdana" w:eastAsia="Aptos" w:hAnsi="Verdana" w:cs="Times New Roman"/>
          <w:b/>
          <w:bCs/>
          <w:color w:val="000000"/>
          <w:kern w:val="2"/>
          <w14:ligatures w14:val="standardContextual"/>
        </w:rPr>
        <w:t>Circular Externa 003 del 12 de mayo de 2026, </w:t>
      </w:r>
      <w:r w:rsidRPr="00A05329">
        <w:rPr>
          <w:rFonts w:ascii="Verdana" w:eastAsia="Aptos" w:hAnsi="Verdana" w:cs="Times New Roman"/>
          <w:color w:val="000000"/>
          <w:kern w:val="2"/>
          <w14:ligatures w14:val="standardContextual"/>
        </w:rPr>
        <w:t xml:space="preserve">en la que precisa quiénes </w:t>
      </w:r>
      <w:r w:rsidRPr="00A05329">
        <w:rPr>
          <w:rFonts w:ascii="Verdana" w:eastAsia="Aptos" w:hAnsi="Verdana" w:cs="Times New Roman"/>
          <w:color w:val="000000"/>
          <w:kern w:val="2"/>
          <w14:ligatures w14:val="standardContextual"/>
        </w:rPr>
        <w:lastRenderedPageBreak/>
        <w:t>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A05329">
          <w:rPr>
            <w:rFonts w:ascii="Verdana" w:eastAsia="Aptos" w:hAnsi="Verdana" w:cs="Times New Roman"/>
            <w:color w:val="0078D7"/>
            <w:kern w:val="2"/>
            <w:u w:val="single"/>
            <w14:ligatures w14:val="standardContextual"/>
          </w:rPr>
          <w:t>https://www.colombiacompra.gov.co/archivos/circular/circular-externa-003-de-2026</w:t>
        </w:r>
      </w:hyperlink>
    </w:p>
    <w:p w14:paraId="7411EC76" w14:textId="77777777" w:rsidR="00A05329" w:rsidRPr="00A05329" w:rsidRDefault="00A05329" w:rsidP="00A05329">
      <w:pPr>
        <w:spacing w:after="0" w:line="276" w:lineRule="auto"/>
        <w:jc w:val="both"/>
        <w:rPr>
          <w:rFonts w:ascii="Verdana" w:eastAsia="Aptos" w:hAnsi="Verdana" w:cs="Times New Roman"/>
          <w:color w:val="000000"/>
          <w:kern w:val="2"/>
          <w14:ligatures w14:val="standardContextual"/>
        </w:rPr>
      </w:pPr>
    </w:p>
    <w:p w14:paraId="6EA96FDD" w14:textId="77777777" w:rsidR="00A05329" w:rsidRPr="00A05329" w:rsidRDefault="00A05329" w:rsidP="00A05329">
      <w:pPr>
        <w:spacing w:after="0" w:line="276" w:lineRule="auto"/>
        <w:jc w:val="both"/>
        <w:rPr>
          <w:rFonts w:ascii="Verdana" w:eastAsia="Aptos" w:hAnsi="Verdana" w:cs="Times New Roman"/>
          <w:kern w:val="2"/>
          <w14:ligatures w14:val="standardContextual"/>
        </w:rPr>
      </w:pPr>
      <w:r w:rsidRPr="00A05329">
        <w:rPr>
          <w:rFonts w:ascii="Verdana" w:eastAsia="Aptos" w:hAnsi="Verdana" w:cs="Times New Roman"/>
          <w:color w:val="000000"/>
          <w:kern w:val="2"/>
          <w14:ligatures w14:val="standardContextual"/>
        </w:rPr>
        <w:t>Recuerda también que la</w:t>
      </w:r>
      <w:r w:rsidRPr="00A05329">
        <w:rPr>
          <w:rFonts w:ascii="Verdana" w:eastAsia="Aptos" w:hAnsi="Verdana" w:cs="Times New Roman"/>
          <w:b/>
          <w:bCs/>
          <w:color w:val="000000"/>
          <w:kern w:val="2"/>
          <w14:ligatures w14:val="standardContextual"/>
        </w:rPr>
        <w:t> información sobre sanciones e inhabilidades </w:t>
      </w:r>
      <w:r w:rsidRPr="00A05329">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A05329">
        <w:rPr>
          <w:rFonts w:ascii="Verdana" w:eastAsia="Aptos" w:hAnsi="Verdana" w:cs="Times New Roman"/>
          <w:b/>
          <w:bCs/>
          <w:color w:val="000000"/>
          <w:kern w:val="2"/>
          <w14:ligatures w14:val="standardContextual"/>
        </w:rPr>
        <w:t>Circular Externa 002 del 5 de mayo de 2026,</w:t>
      </w:r>
      <w:r w:rsidRPr="00A05329">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A05329">
          <w:rPr>
            <w:rFonts w:ascii="Verdana" w:eastAsia="Aptos" w:hAnsi="Verdana" w:cs="Times New Roman"/>
            <w:color w:val="0078D7"/>
            <w:kern w:val="2"/>
            <w:u w:val="single"/>
            <w14:ligatures w14:val="standardContextual"/>
          </w:rPr>
          <w:t>https://www.colombiacompra.gov.co/archivos/circular/circular-externa-002-de-2026</w:t>
        </w:r>
      </w:hyperlink>
    </w:p>
    <w:p w14:paraId="75355B02" w14:textId="77777777" w:rsidR="00A05329" w:rsidRPr="00A05329" w:rsidRDefault="00A05329" w:rsidP="00A05329">
      <w:pPr>
        <w:spacing w:after="0" w:line="276" w:lineRule="auto"/>
        <w:jc w:val="both"/>
        <w:rPr>
          <w:rFonts w:ascii="Verdana" w:eastAsia="Aptos" w:hAnsi="Verdana" w:cs="Times New Roman"/>
          <w:color w:val="000000"/>
          <w:kern w:val="2"/>
          <w14:ligatures w14:val="standardContextual"/>
        </w:rPr>
      </w:pPr>
    </w:p>
    <w:p w14:paraId="1AF140F5" w14:textId="77777777" w:rsidR="00A05329" w:rsidRPr="00A05329" w:rsidRDefault="00A05329" w:rsidP="00A05329">
      <w:pPr>
        <w:spacing w:after="0" w:line="276" w:lineRule="auto"/>
        <w:jc w:val="both"/>
        <w:rPr>
          <w:rFonts w:ascii="Verdana" w:eastAsia="Aptos" w:hAnsi="Verdana" w:cs="Times New Roman"/>
          <w:color w:val="000000"/>
          <w:kern w:val="2"/>
          <w14:ligatures w14:val="standardContextual"/>
        </w:rPr>
      </w:pPr>
      <w:r w:rsidRPr="00A05329">
        <w:rPr>
          <w:rFonts w:ascii="Verdana" w:eastAsia="Aptos" w:hAnsi="Verdana" w:cs="Times New Roman"/>
          <w:color w:val="000000"/>
          <w:kern w:val="2"/>
          <w14:ligatures w14:val="standardContextual"/>
        </w:rPr>
        <w:t>Finalmente, si quieres seguir de cerca la actividad de la Agencia, la tercera edición de 2026 del</w:t>
      </w:r>
      <w:r w:rsidRPr="00A05329">
        <w:rPr>
          <w:rFonts w:ascii="Verdana" w:eastAsia="Aptos" w:hAnsi="Verdana" w:cs="Times New Roman"/>
          <w:b/>
          <w:bCs/>
          <w:color w:val="000000"/>
          <w:kern w:val="2"/>
          <w14:ligatures w14:val="standardContextual"/>
        </w:rPr>
        <w:t> Radar de la Compra Pública</w:t>
      </w:r>
      <w:r w:rsidRPr="00A05329">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A05329">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A05329">
        <w:rPr>
          <w:rFonts w:ascii="Verdana" w:eastAsia="Aptos" w:hAnsi="Verdana" w:cs="Times New Roman"/>
          <w:color w:val="000000"/>
          <w:kern w:val="2"/>
          <w14:ligatures w14:val="standardContextual"/>
        </w:rPr>
        <w:t>"</w:t>
      </w:r>
    </w:p>
    <w:p w14:paraId="3455B9C4" w14:textId="77777777" w:rsidR="00A05329" w:rsidRPr="00A05329" w:rsidRDefault="00A05329" w:rsidP="00A05329">
      <w:pPr>
        <w:spacing w:after="0" w:line="276" w:lineRule="auto"/>
        <w:jc w:val="both"/>
        <w:rPr>
          <w:rFonts w:ascii="Verdana" w:eastAsia="Aptos" w:hAnsi="Verdana" w:cs="Times New Roman"/>
          <w:color w:val="000000"/>
          <w:kern w:val="2"/>
          <w14:ligatures w14:val="standardContextual"/>
        </w:rPr>
      </w:pPr>
    </w:p>
    <w:p w14:paraId="57C467F9" w14:textId="77777777" w:rsidR="00A05329" w:rsidRPr="00A05329" w:rsidRDefault="00A05329" w:rsidP="00A05329">
      <w:pPr>
        <w:spacing w:after="0" w:line="276" w:lineRule="auto"/>
        <w:jc w:val="both"/>
        <w:rPr>
          <w:rFonts w:ascii="Verdana" w:eastAsia="Aptos" w:hAnsi="Verdana" w:cs="Times New Roman"/>
          <w:kern w:val="2"/>
          <w:lang w:eastAsia="es-MX"/>
          <w14:ligatures w14:val="standardContextual"/>
        </w:rPr>
      </w:pPr>
      <w:r w:rsidRPr="00A05329">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24D59825" w14:textId="77777777" w:rsidR="00A05329" w:rsidRPr="00A05329" w:rsidRDefault="00A05329" w:rsidP="00A05329">
      <w:pPr>
        <w:spacing w:after="0" w:line="276" w:lineRule="auto"/>
        <w:jc w:val="both"/>
        <w:rPr>
          <w:rFonts w:ascii="Verdana" w:eastAsia="Calibri" w:hAnsi="Verdana" w:cs="Times New Roman"/>
          <w:kern w:val="2"/>
          <w:lang w:eastAsia="es-MX"/>
          <w14:ligatures w14:val="standardContextual"/>
        </w:rPr>
      </w:pPr>
    </w:p>
    <w:p w14:paraId="313A915E" w14:textId="77777777" w:rsidR="00A05329" w:rsidRPr="00A05329" w:rsidRDefault="00A05329" w:rsidP="00A05329">
      <w:pPr>
        <w:spacing w:after="0" w:line="276" w:lineRule="auto"/>
        <w:jc w:val="both"/>
        <w:rPr>
          <w:rFonts w:ascii="Verdana" w:eastAsia="Aptos" w:hAnsi="Verdana" w:cs="Times New Roman"/>
          <w:kern w:val="2"/>
          <w:lang w:eastAsia="es-MX"/>
          <w14:ligatures w14:val="standardContextual"/>
        </w:rPr>
      </w:pPr>
      <w:r w:rsidRPr="00A05329">
        <w:rPr>
          <w:rFonts w:ascii="Verdana" w:eastAsia="Aptos" w:hAnsi="Verdana" w:cs="Times New Roman"/>
          <w:kern w:val="2"/>
          <w:lang w:eastAsia="es-MX"/>
          <w14:ligatures w14:val="standardContextual"/>
        </w:rPr>
        <w:t xml:space="preserve">Twitter: </w:t>
      </w:r>
      <w:r w:rsidRPr="00A05329">
        <w:rPr>
          <w:rFonts w:ascii="Verdana" w:eastAsia="Calibri" w:hAnsi="Verdana" w:cs="Times New Roman"/>
          <w:color w:val="156082"/>
          <w:kern w:val="2"/>
          <w:u w:val="single"/>
          <w:lang w:eastAsia="es-MX"/>
          <w14:ligatures w14:val="standardContextual"/>
        </w:rPr>
        <w:t>@colombiacompra</w:t>
      </w:r>
      <w:r w:rsidRPr="00A05329">
        <w:rPr>
          <w:rFonts w:ascii="Verdana" w:eastAsia="Calibri" w:hAnsi="Verdana" w:cs="Times New Roman"/>
          <w:color w:val="156082"/>
          <w:kern w:val="2"/>
          <w:lang w:eastAsia="es-MX"/>
          <w14:ligatures w14:val="standardContextual"/>
        </w:rPr>
        <w:t xml:space="preserve"> </w:t>
      </w:r>
    </w:p>
    <w:p w14:paraId="2EE79964" w14:textId="77777777" w:rsidR="00A05329" w:rsidRPr="00A05329" w:rsidRDefault="00A05329" w:rsidP="00A05329">
      <w:pPr>
        <w:spacing w:after="0" w:line="276" w:lineRule="auto"/>
        <w:jc w:val="both"/>
        <w:rPr>
          <w:rFonts w:ascii="Verdana" w:eastAsia="Aptos" w:hAnsi="Verdana" w:cs="Times New Roman"/>
          <w:kern w:val="2"/>
          <w:lang w:eastAsia="es-MX"/>
          <w14:ligatures w14:val="standardContextual"/>
        </w:rPr>
      </w:pPr>
      <w:r w:rsidRPr="00A05329">
        <w:rPr>
          <w:rFonts w:ascii="Verdana" w:eastAsia="Aptos" w:hAnsi="Verdana" w:cs="Times New Roman"/>
          <w:kern w:val="2"/>
          <w:lang w:eastAsia="es-MX"/>
          <w14:ligatures w14:val="standardContextual"/>
        </w:rPr>
        <w:t xml:space="preserve">Facebook: </w:t>
      </w:r>
      <w:proofErr w:type="spellStart"/>
      <w:r w:rsidRPr="00A05329">
        <w:rPr>
          <w:rFonts w:ascii="Verdana" w:eastAsia="Calibri" w:hAnsi="Verdana" w:cs="Times New Roman"/>
          <w:color w:val="156082"/>
          <w:kern w:val="2"/>
          <w:u w:val="single"/>
          <w:lang w:eastAsia="es-MX"/>
          <w14:ligatures w14:val="standardContextual"/>
        </w:rPr>
        <w:t>ColombiaCompraEficiente</w:t>
      </w:r>
      <w:proofErr w:type="spellEnd"/>
    </w:p>
    <w:p w14:paraId="05F46DCB" w14:textId="77777777" w:rsidR="00A05329" w:rsidRPr="00A05329" w:rsidRDefault="00A05329" w:rsidP="00A05329">
      <w:pPr>
        <w:spacing w:after="0" w:line="276" w:lineRule="auto"/>
        <w:jc w:val="both"/>
        <w:rPr>
          <w:rFonts w:ascii="Verdana" w:eastAsia="Aptos" w:hAnsi="Verdana" w:cs="Times New Roman"/>
          <w:kern w:val="2"/>
          <w:lang w:eastAsia="es-MX"/>
          <w14:ligatures w14:val="standardContextual"/>
        </w:rPr>
      </w:pPr>
      <w:r w:rsidRPr="00A05329">
        <w:rPr>
          <w:rFonts w:ascii="Verdana" w:eastAsia="Aptos" w:hAnsi="Verdana" w:cs="Times New Roman"/>
          <w:kern w:val="2"/>
          <w:lang w:eastAsia="es-MX"/>
          <w14:ligatures w14:val="standardContextual"/>
        </w:rPr>
        <w:t xml:space="preserve">LinkedIn: </w:t>
      </w:r>
      <w:r w:rsidRPr="00A05329">
        <w:rPr>
          <w:rFonts w:ascii="Verdana" w:eastAsia="Calibri" w:hAnsi="Verdana" w:cs="Times New Roman"/>
          <w:color w:val="156082"/>
          <w:kern w:val="2"/>
          <w:u w:val="single"/>
          <w:lang w:eastAsia="es-MX"/>
          <w14:ligatures w14:val="standardContextual"/>
        </w:rPr>
        <w:t>Agencia Nacional de Contratación Pública - Colombia Compra Eficiente</w:t>
      </w:r>
      <w:r w:rsidRPr="00A05329">
        <w:rPr>
          <w:rFonts w:ascii="Verdana" w:eastAsia="Calibri" w:hAnsi="Verdana" w:cs="Times New Roman"/>
          <w:color w:val="156082"/>
          <w:kern w:val="2"/>
          <w:lang w:eastAsia="es-MX"/>
          <w14:ligatures w14:val="standardContextual"/>
        </w:rPr>
        <w:t xml:space="preserve"> </w:t>
      </w:r>
      <w:r w:rsidRPr="00A05329">
        <w:rPr>
          <w:rFonts w:ascii="Verdana" w:eastAsia="Aptos" w:hAnsi="Verdana" w:cs="Times New Roman"/>
          <w:kern w:val="2"/>
          <w:lang w:eastAsia="es-MX"/>
          <w14:ligatures w14:val="standardContextual"/>
        </w:rPr>
        <w:t xml:space="preserve">Instagram: </w:t>
      </w:r>
      <w:r w:rsidRPr="00A05329">
        <w:rPr>
          <w:rFonts w:ascii="Verdana" w:eastAsia="Calibri" w:hAnsi="Verdana" w:cs="Times New Roman"/>
          <w:color w:val="156082"/>
          <w:kern w:val="2"/>
          <w:u w:val="single"/>
          <w:lang w:eastAsia="es-MX"/>
          <w14:ligatures w14:val="standardContextual"/>
        </w:rPr>
        <w:t>@colombiacompraeficiente_cce</w:t>
      </w:r>
    </w:p>
    <w:p w14:paraId="0D24BDC5" w14:textId="77777777" w:rsidR="00A05329" w:rsidRPr="00A05329" w:rsidRDefault="00A05329" w:rsidP="00A05329">
      <w:pPr>
        <w:spacing w:after="0" w:line="276" w:lineRule="auto"/>
        <w:jc w:val="both"/>
        <w:rPr>
          <w:rFonts w:ascii="Verdana" w:eastAsia="Aptos" w:hAnsi="Verdana" w:cs="Times New Roman"/>
          <w:kern w:val="2"/>
          <w:lang w:eastAsia="es-MX"/>
          <w14:ligatures w14:val="standardContextual"/>
        </w:rPr>
      </w:pPr>
    </w:p>
    <w:p w14:paraId="5590EACF" w14:textId="77777777" w:rsidR="00A05329" w:rsidRPr="00A05329" w:rsidRDefault="00A05329" w:rsidP="00A05329">
      <w:pPr>
        <w:spacing w:after="0" w:line="276" w:lineRule="auto"/>
        <w:jc w:val="both"/>
        <w:rPr>
          <w:rFonts w:ascii="Verdana" w:eastAsia="Calibri" w:hAnsi="Verdana" w:cs="Times New Roman"/>
          <w:bCs/>
          <w:kern w:val="2"/>
          <w:lang w:val="es-ES_tradnl" w:eastAsia="es-MX"/>
          <w14:ligatures w14:val="standardContextual"/>
        </w:rPr>
      </w:pPr>
      <w:r w:rsidRPr="00A05329">
        <w:rPr>
          <w:rFonts w:ascii="Verdana" w:eastAsia="Calibri" w:hAnsi="Verdana" w:cs="Times New Roman"/>
          <w:kern w:val="2"/>
          <w:lang w:val="es-ES_tradnl" w:eastAsia="es-MX"/>
          <w14:ligatures w14:val="standardContextua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38CE28A" w14:textId="77777777" w:rsidR="00A05329" w:rsidRPr="00A05329" w:rsidRDefault="00A05329" w:rsidP="00A05329">
      <w:pPr>
        <w:spacing w:after="0" w:line="276" w:lineRule="auto"/>
        <w:jc w:val="both"/>
        <w:rPr>
          <w:rFonts w:ascii="Verdana" w:eastAsia="Calibri" w:hAnsi="Verdana" w:cs="Times New Roman"/>
          <w:kern w:val="2"/>
          <w:lang w:eastAsia="es-MX"/>
          <w14:ligatures w14:val="standardContextual"/>
        </w:rPr>
      </w:pPr>
    </w:p>
    <w:p w14:paraId="3EDB8BB8" w14:textId="77777777" w:rsidR="00A05329" w:rsidRPr="00A05329" w:rsidRDefault="00A05329" w:rsidP="00A05329">
      <w:pPr>
        <w:spacing w:after="0" w:line="276" w:lineRule="auto"/>
        <w:jc w:val="both"/>
        <w:rPr>
          <w:rFonts w:ascii="Verdana" w:eastAsia="Calibri" w:hAnsi="Verdana" w:cs="Times New Roman"/>
          <w:kern w:val="2"/>
          <w:lang w:eastAsia="es-MX"/>
          <w14:ligatures w14:val="standardContextual"/>
        </w:rPr>
      </w:pPr>
      <w:r w:rsidRPr="00A05329">
        <w:rPr>
          <w:rFonts w:ascii="Verdana" w:eastAsia="Calibri" w:hAnsi="Verdana" w:cs="Times New Roman"/>
          <w:kern w:val="2"/>
          <w:lang w:eastAsia="es-MX"/>
          <w14:ligatures w14:val="standardContextual"/>
        </w:rPr>
        <w:t>Atentamente,</w:t>
      </w:r>
    </w:p>
    <w:p w14:paraId="078BE58B" w14:textId="35A10DFB" w:rsidR="00A05329" w:rsidRPr="00A05329" w:rsidRDefault="00D1744A" w:rsidP="00A05329">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inline distT="0" distB="0" distL="0" distR="0" wp14:anchorId="7EA2212F" wp14:editId="2CE00176">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2468950" cy="1059934"/>
                    </a:xfrm>
                    <a:prstGeom prst="rect">
                      <a:avLst/>
                    </a:prstGeom>
                  </pic:spPr>
                </pic:pic>
              </a:graphicData>
            </a:graphic>
          </wp:inline>
        </w:drawing>
      </w:r>
    </w:p>
    <w:p w14:paraId="1CF1B4DA" w14:textId="77777777" w:rsidR="00A05329" w:rsidRPr="00A05329" w:rsidRDefault="00A05329" w:rsidP="00A05329">
      <w:pPr>
        <w:tabs>
          <w:tab w:val="left" w:pos="1320"/>
        </w:tabs>
        <w:spacing w:after="0" w:line="278" w:lineRule="auto"/>
        <w:rPr>
          <w:rFonts w:ascii="Century Gothic" w:eastAsia="Calibri" w:hAnsi="Century Gothic"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A05329" w:rsidRPr="00A05329" w14:paraId="1140AFAC" w14:textId="77777777" w:rsidTr="009E3879">
        <w:trPr>
          <w:trHeight w:val="323"/>
        </w:trPr>
        <w:tc>
          <w:tcPr>
            <w:tcW w:w="1041" w:type="dxa"/>
            <w:vAlign w:val="center"/>
            <w:hideMark/>
          </w:tcPr>
          <w:p w14:paraId="7FB3E13D" w14:textId="77777777" w:rsidR="00A05329" w:rsidRPr="00A05329" w:rsidRDefault="00A05329" w:rsidP="00A05329">
            <w:pPr>
              <w:rPr>
                <w:rFonts w:ascii="Verdana" w:eastAsia="Calibri" w:hAnsi="Verdana" w:cs="Arial"/>
                <w:sz w:val="16"/>
                <w:szCs w:val="16"/>
                <w:lang w:val="es-ES_tradnl" w:eastAsia="es-ES"/>
              </w:rPr>
            </w:pPr>
            <w:r w:rsidRPr="00A05329">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32D4DD64" w14:textId="77777777" w:rsidR="00A05329" w:rsidRPr="00A05329" w:rsidRDefault="00A05329" w:rsidP="00A05329">
            <w:pPr>
              <w:rPr>
                <w:rFonts w:ascii="Verdana" w:eastAsia="Arial" w:hAnsi="Verdana" w:cs="Arial"/>
                <w:sz w:val="16"/>
                <w:szCs w:val="16"/>
                <w:lang w:val="es-ES" w:eastAsia="es-MX"/>
              </w:rPr>
            </w:pPr>
            <w:r w:rsidRPr="00A05329">
              <w:rPr>
                <w:rFonts w:ascii="Verdana" w:eastAsia="Arial" w:hAnsi="Verdana" w:cs="Arial"/>
                <w:sz w:val="16"/>
                <w:szCs w:val="16"/>
                <w:lang w:val="es-ES" w:eastAsia="es-MX"/>
              </w:rPr>
              <w:t xml:space="preserve">Carlos Mario Castrillón Endo </w:t>
            </w:r>
          </w:p>
          <w:p w14:paraId="2B3E2550" w14:textId="77777777" w:rsidR="00A05329" w:rsidRPr="00A05329" w:rsidRDefault="00A05329" w:rsidP="00A05329">
            <w:pPr>
              <w:rPr>
                <w:rFonts w:ascii="Verdana" w:eastAsia="Arial" w:hAnsi="Verdana" w:cs="Arial"/>
                <w:sz w:val="16"/>
                <w:szCs w:val="16"/>
                <w:lang w:val="es-ES_tradnl" w:eastAsia="es-MX"/>
              </w:rPr>
            </w:pPr>
            <w:r w:rsidRPr="00A05329">
              <w:rPr>
                <w:rFonts w:ascii="Verdana" w:eastAsia="Arial" w:hAnsi="Verdana" w:cs="Arial"/>
                <w:sz w:val="16"/>
                <w:szCs w:val="16"/>
                <w:lang w:val="es-ES_tradnl" w:eastAsia="es-MX"/>
              </w:rPr>
              <w:t>Contratista de la Subdirección de Gestión Contractual</w:t>
            </w:r>
          </w:p>
          <w:p w14:paraId="0A2A3BB1" w14:textId="77777777" w:rsidR="00A05329" w:rsidRPr="00A05329" w:rsidRDefault="00A05329" w:rsidP="00A05329">
            <w:pPr>
              <w:rPr>
                <w:rFonts w:ascii="Verdana" w:eastAsia="Arial" w:hAnsi="Verdana" w:cs="Arial"/>
                <w:sz w:val="16"/>
                <w:szCs w:val="16"/>
                <w:lang w:val="es-ES_tradnl" w:eastAsia="es-MX"/>
              </w:rPr>
            </w:pPr>
          </w:p>
        </w:tc>
      </w:tr>
      <w:tr w:rsidR="00A05329" w:rsidRPr="00A05329" w14:paraId="66699217" w14:textId="77777777" w:rsidTr="009E3879">
        <w:trPr>
          <w:trHeight w:val="338"/>
        </w:trPr>
        <w:tc>
          <w:tcPr>
            <w:tcW w:w="1041" w:type="dxa"/>
            <w:vAlign w:val="center"/>
            <w:hideMark/>
          </w:tcPr>
          <w:p w14:paraId="79A02010" w14:textId="77777777" w:rsidR="00A05329" w:rsidRPr="00A05329" w:rsidRDefault="00A05329" w:rsidP="00A05329">
            <w:pPr>
              <w:rPr>
                <w:rFonts w:ascii="Verdana" w:eastAsia="Calibri" w:hAnsi="Verdana" w:cs="Arial"/>
                <w:sz w:val="16"/>
                <w:szCs w:val="16"/>
                <w:lang w:val="es-ES_tradnl" w:eastAsia="es-ES"/>
              </w:rPr>
            </w:pPr>
            <w:r w:rsidRPr="00A05329">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EFB0A10" w14:textId="77777777" w:rsidR="00A05329" w:rsidRPr="00A05329" w:rsidRDefault="00A05329" w:rsidP="00A05329">
            <w:pPr>
              <w:rPr>
                <w:rFonts w:ascii="Verdana" w:eastAsia="Arial" w:hAnsi="Verdana" w:cs="Arial"/>
                <w:sz w:val="16"/>
                <w:szCs w:val="16"/>
                <w:lang w:val="es-ES_tradnl" w:eastAsia="es-MX"/>
              </w:rPr>
            </w:pPr>
            <w:r w:rsidRPr="00A05329">
              <w:rPr>
                <w:rFonts w:ascii="Verdana" w:eastAsia="Arial" w:hAnsi="Verdana" w:cs="Arial"/>
                <w:sz w:val="16"/>
                <w:szCs w:val="16"/>
                <w:lang w:val="es-ES_tradnl" w:eastAsia="es-MX"/>
              </w:rPr>
              <w:t>Alejandro Gambo Cárdenas</w:t>
            </w:r>
          </w:p>
          <w:p w14:paraId="4FBDD237" w14:textId="77777777" w:rsidR="00A05329" w:rsidRPr="00A05329" w:rsidRDefault="00A05329" w:rsidP="00A05329">
            <w:pPr>
              <w:rPr>
                <w:rFonts w:ascii="Verdana" w:eastAsia="Arial" w:hAnsi="Verdana" w:cs="Arial"/>
                <w:sz w:val="16"/>
                <w:szCs w:val="16"/>
                <w:lang w:val="es-ES" w:eastAsia="es-MX"/>
              </w:rPr>
            </w:pPr>
            <w:r w:rsidRPr="00A05329">
              <w:rPr>
                <w:rFonts w:ascii="Verdana" w:eastAsia="Arial" w:hAnsi="Verdana" w:cs="Arial"/>
                <w:sz w:val="16"/>
                <w:szCs w:val="16"/>
                <w:lang w:val="es-ES_tradnl" w:eastAsia="es-MX"/>
              </w:rPr>
              <w:t>Contratista de la Subdirección de Gestión Contractual</w:t>
            </w:r>
          </w:p>
          <w:p w14:paraId="40366FFB" w14:textId="77777777" w:rsidR="00A05329" w:rsidRPr="00A05329" w:rsidRDefault="00A05329" w:rsidP="00A05329">
            <w:pPr>
              <w:rPr>
                <w:rFonts w:ascii="Verdana" w:eastAsia="Arial" w:hAnsi="Verdana" w:cs="Arial"/>
                <w:sz w:val="16"/>
                <w:szCs w:val="16"/>
                <w:lang w:val="es-ES_tradnl" w:eastAsia="es-MX"/>
              </w:rPr>
            </w:pPr>
            <w:r w:rsidRPr="00A05329">
              <w:rPr>
                <w:rFonts w:ascii="Verdana" w:eastAsia="Arial" w:hAnsi="Verdana" w:cs="Arial"/>
                <w:sz w:val="16"/>
                <w:szCs w:val="16"/>
                <w:lang w:val="es-ES_tradnl" w:eastAsia="es-MX"/>
              </w:rPr>
              <w:t>Adriana Katherine López Rodriguéz</w:t>
            </w:r>
          </w:p>
          <w:p w14:paraId="0372CE86" w14:textId="77777777" w:rsidR="00A05329" w:rsidRPr="00A05329" w:rsidRDefault="00A05329" w:rsidP="00A05329">
            <w:pPr>
              <w:rPr>
                <w:rFonts w:ascii="Verdana" w:eastAsia="Arial" w:hAnsi="Verdana" w:cs="Arial"/>
                <w:sz w:val="16"/>
                <w:szCs w:val="16"/>
                <w:lang w:val="es-ES" w:eastAsia="es-MX"/>
              </w:rPr>
            </w:pPr>
            <w:r w:rsidRPr="00A05329">
              <w:rPr>
                <w:rFonts w:ascii="Verdana" w:eastAsia="Arial" w:hAnsi="Verdana" w:cs="Arial"/>
                <w:sz w:val="16"/>
                <w:szCs w:val="16"/>
                <w:lang w:val="es-ES_tradnl" w:eastAsia="es-MX"/>
              </w:rPr>
              <w:t>Contratista de la Subdirección de Gestión Contractual</w:t>
            </w:r>
          </w:p>
        </w:tc>
      </w:tr>
      <w:tr w:rsidR="00A05329" w:rsidRPr="00A05329" w14:paraId="290912F3" w14:textId="77777777" w:rsidTr="009E3879">
        <w:trPr>
          <w:trHeight w:val="308"/>
        </w:trPr>
        <w:tc>
          <w:tcPr>
            <w:tcW w:w="1041" w:type="dxa"/>
            <w:vAlign w:val="center"/>
          </w:tcPr>
          <w:p w14:paraId="7B166B05" w14:textId="77777777" w:rsidR="00A05329" w:rsidRPr="00A05329" w:rsidRDefault="00A05329" w:rsidP="00A05329">
            <w:pPr>
              <w:rPr>
                <w:rFonts w:ascii="Verdana" w:eastAsia="Calibri" w:hAnsi="Verdana" w:cs="Arial"/>
                <w:sz w:val="16"/>
                <w:szCs w:val="16"/>
                <w:lang w:val="es-ES_tradnl" w:eastAsia="es-ES"/>
              </w:rPr>
            </w:pPr>
            <w:r w:rsidRPr="00A05329">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2614A9E3" w14:textId="77777777" w:rsidR="00A05329" w:rsidRPr="00A05329" w:rsidRDefault="00A05329" w:rsidP="00A05329">
            <w:pPr>
              <w:rPr>
                <w:rFonts w:ascii="Verdana" w:eastAsia="Calibri" w:hAnsi="Verdana" w:cs="Arial"/>
                <w:sz w:val="16"/>
                <w:szCs w:val="16"/>
                <w:lang w:val="es-ES" w:eastAsia="es-ES"/>
              </w:rPr>
            </w:pPr>
            <w:r w:rsidRPr="00A05329">
              <w:rPr>
                <w:rFonts w:ascii="Verdana" w:eastAsia="Calibri" w:hAnsi="Verdana" w:cs="Arial"/>
                <w:sz w:val="16"/>
                <w:szCs w:val="16"/>
                <w:lang w:val="es-ES" w:eastAsia="es-ES"/>
              </w:rPr>
              <w:t>Carolina Quintero Gacharná</w:t>
            </w:r>
          </w:p>
          <w:p w14:paraId="01C621BD" w14:textId="77777777" w:rsidR="00A05329" w:rsidRPr="00A05329" w:rsidRDefault="00A05329" w:rsidP="00A05329">
            <w:pPr>
              <w:rPr>
                <w:rFonts w:ascii="Verdana" w:eastAsia="Calibri" w:hAnsi="Verdana" w:cs="Arial"/>
                <w:sz w:val="16"/>
                <w:szCs w:val="16"/>
                <w:lang w:val="es-ES_tradnl" w:eastAsia="es-ES"/>
              </w:rPr>
            </w:pPr>
            <w:r w:rsidRPr="00A05329">
              <w:rPr>
                <w:rFonts w:ascii="Verdana" w:eastAsia="Calibri" w:hAnsi="Verdana" w:cs="Arial"/>
                <w:sz w:val="16"/>
                <w:szCs w:val="16"/>
                <w:lang w:val="es-ES_tradnl" w:eastAsia="es-ES"/>
              </w:rPr>
              <w:t>Subdirectora de Gestión Contractual ANCP – CCE</w:t>
            </w:r>
          </w:p>
        </w:tc>
      </w:tr>
      <w:bookmarkEnd w:id="2"/>
    </w:tbl>
    <w:p w14:paraId="1006A388" w14:textId="2E157929" w:rsidR="00C15139" w:rsidRPr="00A05329" w:rsidRDefault="00C15139" w:rsidP="00A05329">
      <w:pPr>
        <w:spacing w:after="0" w:line="240" w:lineRule="auto"/>
        <w:textAlignment w:val="baseline"/>
        <w:rPr>
          <w:rFonts w:ascii="Verdana" w:eastAsia="Times New Roman" w:hAnsi="Verdana" w:cs="Arial"/>
          <w:shd w:val="clear" w:color="auto" w:fill="FFFFFF"/>
          <w:lang w:val="es-ES"/>
        </w:rPr>
      </w:pPr>
    </w:p>
    <w:p w14:paraId="69BC4D14" w14:textId="2632CD4D"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4390FEB0" w:rsidR="00127233" w:rsidRPr="0015699B" w:rsidRDefault="00127233" w:rsidP="007A13AD">
      <w:pPr>
        <w:spacing w:after="0" w:line="240" w:lineRule="auto"/>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CD41" w14:textId="77777777" w:rsidR="00626577" w:rsidRDefault="00626577" w:rsidP="004A1847">
      <w:pPr>
        <w:spacing w:after="0" w:line="240" w:lineRule="auto"/>
      </w:pPr>
      <w:r>
        <w:separator/>
      </w:r>
    </w:p>
  </w:endnote>
  <w:endnote w:type="continuationSeparator" w:id="0">
    <w:p w14:paraId="39347198" w14:textId="77777777" w:rsidR="00626577" w:rsidRDefault="006265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A05329">
      <w:rPr>
        <w:rFonts w:ascii="Verdana" w:eastAsia="Verdana" w:hAnsi="Verdana" w:cs="Verdana"/>
        <w:b/>
        <w:bCs/>
        <w:color w:val="000000"/>
        <w:sz w:val="18"/>
        <w:szCs w:val="18"/>
        <w:lang w:eastAsia="es-CO"/>
      </w:rPr>
      <w:t xml:space="preserve">Código: </w:t>
    </w:r>
    <w:r w:rsidRPr="00A05329">
      <w:rPr>
        <w:rFonts w:ascii="Verdana" w:eastAsia="Verdana" w:hAnsi="Verdana" w:cs="Verdana"/>
        <w:color w:val="000000"/>
        <w:sz w:val="18"/>
        <w:szCs w:val="18"/>
        <w:lang w:eastAsia="es-CO"/>
      </w:rPr>
      <w:t xml:space="preserve">CCE-REC-FM-17 </w:t>
    </w:r>
    <w:r w:rsidRPr="00A05329">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0E791" w14:textId="77777777" w:rsidR="00626577" w:rsidRDefault="00626577" w:rsidP="004A1847">
      <w:pPr>
        <w:spacing w:after="0" w:line="240" w:lineRule="auto"/>
      </w:pPr>
      <w:r>
        <w:separator/>
      </w:r>
    </w:p>
  </w:footnote>
  <w:footnote w:type="continuationSeparator" w:id="0">
    <w:p w14:paraId="4470E41C" w14:textId="77777777" w:rsidR="00626577" w:rsidRDefault="00626577" w:rsidP="004A1847">
      <w:pPr>
        <w:spacing w:after="0" w:line="240" w:lineRule="auto"/>
      </w:pPr>
      <w:r>
        <w:continuationSeparator/>
      </w:r>
    </w:p>
  </w:footnote>
  <w:footnote w:id="1">
    <w:p w14:paraId="59FA1C32" w14:textId="77777777" w:rsidR="00A05329" w:rsidRPr="0048541D" w:rsidRDefault="00A05329" w:rsidP="00A05329">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2">
    <w:p w14:paraId="6B188C78" w14:textId="77777777" w:rsidR="00A05329" w:rsidRPr="00980755" w:rsidRDefault="00A05329" w:rsidP="00A05329">
      <w:pPr>
        <w:pStyle w:val="Textonotapie"/>
        <w:ind w:firstLine="709"/>
        <w:jc w:val="both"/>
        <w:rPr>
          <w:rFonts w:ascii="Verdana" w:hAnsi="Verdana" w:cs="Arial"/>
          <w:color w:val="000000"/>
          <w:sz w:val="18"/>
          <w:szCs w:val="18"/>
        </w:rPr>
      </w:pPr>
    </w:p>
    <w:p w14:paraId="27D1BD6C" w14:textId="77777777" w:rsidR="00A05329" w:rsidRPr="00980755" w:rsidRDefault="00A05329" w:rsidP="00A05329">
      <w:pPr>
        <w:pStyle w:val="Textonotapie"/>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980755">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539 de 2025, entre otras</w:t>
      </w:r>
      <w:bookmarkEnd w:id="3"/>
      <w:r w:rsidRPr="00980755">
        <w:rPr>
          <w:rFonts w:ascii="Verdana" w:hAnsi="Verdana" w:cs="Arial"/>
          <w:color w:val="000000"/>
          <w:sz w:val="18"/>
          <w:szCs w:val="18"/>
          <w:lang w:val="es-ES"/>
        </w:rPr>
        <w:t xml:space="preserve">. </w:t>
      </w:r>
    </w:p>
    <w:p w14:paraId="345CAC61" w14:textId="77777777" w:rsidR="00A05329" w:rsidRPr="00980755" w:rsidRDefault="00A05329" w:rsidP="00A05329">
      <w:pPr>
        <w:pStyle w:val="Textonotapie"/>
        <w:ind w:firstLine="709"/>
        <w:jc w:val="both"/>
        <w:rPr>
          <w:rFonts w:ascii="Verdana" w:hAnsi="Verdana" w:cs="Arial"/>
          <w:color w:val="000000"/>
          <w:sz w:val="18"/>
          <w:szCs w:val="18"/>
          <w:lang w:val="es-ES"/>
        </w:rPr>
      </w:pPr>
    </w:p>
  </w:footnote>
  <w:footnote w:id="3">
    <w:p w14:paraId="624DDE67" w14:textId="77777777" w:rsidR="00A05329" w:rsidRPr="00980755" w:rsidRDefault="00A05329" w:rsidP="00A05329">
      <w:pPr>
        <w:pStyle w:val="Textonotapie"/>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6059F51A" w14:textId="77777777" w:rsidR="00A05329" w:rsidRPr="00980755" w:rsidRDefault="00A05329" w:rsidP="00A05329">
      <w:pPr>
        <w:pStyle w:val="Textonotapie"/>
        <w:ind w:firstLine="708"/>
        <w:jc w:val="both"/>
        <w:rPr>
          <w:rFonts w:ascii="Verdana" w:hAnsi="Verdana" w:cs="Arial"/>
          <w:color w:val="000000"/>
          <w:sz w:val="18"/>
          <w:szCs w:val="18"/>
        </w:rPr>
      </w:pPr>
    </w:p>
  </w:footnote>
  <w:footnote w:id="4">
    <w:p w14:paraId="761CBE8F" w14:textId="77777777" w:rsidR="00A05329" w:rsidRPr="00980755" w:rsidRDefault="00A05329" w:rsidP="00A05329">
      <w:pPr>
        <w:pStyle w:val="Textonotapie"/>
        <w:ind w:firstLine="709"/>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47C7652A" w14:textId="77777777" w:rsidR="00A05329" w:rsidRPr="00980755" w:rsidRDefault="00A05329" w:rsidP="00A05329">
      <w:pPr>
        <w:pStyle w:val="Textonotapie"/>
        <w:ind w:firstLine="709"/>
        <w:jc w:val="both"/>
        <w:rPr>
          <w:rFonts w:ascii="Verdana" w:hAnsi="Verdana" w:cs="Arial"/>
          <w:color w:val="000000"/>
          <w:sz w:val="18"/>
          <w:szCs w:val="18"/>
        </w:rPr>
      </w:pPr>
    </w:p>
  </w:footnote>
  <w:footnote w:id="5">
    <w:p w14:paraId="4780E7C8" w14:textId="77777777" w:rsidR="00A05329" w:rsidRPr="00980755" w:rsidRDefault="00A05329" w:rsidP="00A05329">
      <w:pPr>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6">
    <w:p w14:paraId="3748B03C" w14:textId="77777777" w:rsidR="00A05329" w:rsidRPr="00F830D6" w:rsidRDefault="00A05329" w:rsidP="00A05329">
      <w:pPr>
        <w:pStyle w:val="Textonotapie"/>
        <w:ind w:firstLine="708"/>
        <w:jc w:val="both"/>
        <w:rPr>
          <w:rFonts w:ascii="Verdana" w:hAnsi="Verdana" w:cs="Arial"/>
          <w:sz w:val="18"/>
          <w:szCs w:val="18"/>
          <w:lang w:val="es-ES"/>
        </w:rPr>
      </w:pPr>
      <w:r w:rsidRPr="00F830D6">
        <w:rPr>
          <w:rStyle w:val="Refdenotaalpie"/>
          <w:rFonts w:ascii="Verdana" w:hAnsi="Verdana" w:cs="Arial"/>
          <w:sz w:val="18"/>
          <w:szCs w:val="18"/>
        </w:rPr>
        <w:footnoteRef/>
      </w:r>
      <w:r w:rsidRPr="00F830D6">
        <w:rPr>
          <w:rFonts w:ascii="Verdana" w:hAnsi="Verdana" w:cs="Arial"/>
          <w:sz w:val="18"/>
          <w:szCs w:val="18"/>
        </w:rPr>
        <w:t xml:space="preserve"> Diccionario de la Real Academia Española, versión online disponible en: </w:t>
      </w:r>
      <w:hyperlink r:id="rId2" w:history="1">
        <w:r w:rsidRPr="00F830D6">
          <w:rPr>
            <w:rStyle w:val="Hipervnculo"/>
            <w:rFonts w:ascii="Verdana" w:hAnsi="Verdana" w:cs="Arial"/>
            <w:sz w:val="18"/>
            <w:szCs w:val="18"/>
          </w:rPr>
          <w:t>https://dle.rae.es/est%C3%A1ndar</w:t>
        </w:r>
      </w:hyperlink>
      <w:r w:rsidRPr="00F830D6">
        <w:rPr>
          <w:rFonts w:ascii="Verdana" w:hAnsi="Verdana" w:cs="Arial"/>
          <w:sz w:val="18"/>
          <w:szCs w:val="18"/>
        </w:rPr>
        <w:t xml:space="preserve">, consultado el 2 de junio de 2020. </w:t>
      </w:r>
    </w:p>
  </w:footnote>
  <w:footnote w:id="7">
    <w:p w14:paraId="7A9DB9B2" w14:textId="77777777" w:rsidR="00A05329" w:rsidRPr="00980755" w:rsidRDefault="00A05329" w:rsidP="00A05329">
      <w:pPr>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0FE9E1F2" w14:textId="77777777" w:rsidR="00A05329" w:rsidRPr="00980755" w:rsidRDefault="00A05329" w:rsidP="00A05329">
      <w:pPr>
        <w:ind w:firstLine="708"/>
        <w:jc w:val="both"/>
        <w:rPr>
          <w:rFonts w:ascii="Verdana" w:hAnsi="Verdana" w:cs="Arial"/>
          <w:color w:val="000000"/>
          <w:sz w:val="18"/>
          <w:szCs w:val="18"/>
        </w:rPr>
      </w:pPr>
    </w:p>
  </w:footnote>
  <w:footnote w:id="8">
    <w:p w14:paraId="1A8DB332" w14:textId="77777777" w:rsidR="00A05329" w:rsidRPr="00917F72" w:rsidRDefault="00A05329" w:rsidP="00A05329">
      <w:pPr>
        <w:pStyle w:val="Textonotapie"/>
        <w:snapToGrid w:val="0"/>
        <w:spacing w:after="120"/>
        <w:ind w:firstLine="709"/>
        <w:jc w:val="both"/>
        <w:rPr>
          <w:rFonts w:ascii="Verdana" w:hAnsi="Verdana" w:cs="Arial"/>
          <w:color w:val="000000"/>
          <w:sz w:val="18"/>
          <w:szCs w:val="18"/>
          <w:lang w:val="es-ES"/>
        </w:rPr>
      </w:pPr>
      <w:r w:rsidRPr="00917F72">
        <w:rPr>
          <w:rStyle w:val="Refdenotaalpie"/>
          <w:rFonts w:ascii="Verdana" w:hAnsi="Verdana" w:cs="Arial"/>
          <w:color w:val="000000"/>
          <w:sz w:val="18"/>
          <w:szCs w:val="18"/>
        </w:rPr>
        <w:footnoteRef/>
      </w:r>
      <w:r w:rsidRPr="00917F72">
        <w:rPr>
          <w:rFonts w:ascii="Verdana" w:hAnsi="Verdana" w:cs="Arial"/>
          <w:color w:val="000000"/>
          <w:sz w:val="18"/>
          <w:szCs w:val="18"/>
        </w:rPr>
        <w:t xml:space="preserve"> Consejo de Estado. Sección Tercera. Sentencia del 4 de junio de 2008. Exp. No. 17.783. C.P. Myriam Guerrero de Escobar.</w:t>
      </w:r>
    </w:p>
  </w:footnote>
  <w:footnote w:id="9">
    <w:p w14:paraId="49203412" w14:textId="77777777" w:rsidR="00A05329" w:rsidRPr="00917F72" w:rsidRDefault="00A05329" w:rsidP="00A05329">
      <w:pPr>
        <w:snapToGrid w:val="0"/>
        <w:spacing w:before="120" w:after="120" w:line="240" w:lineRule="auto"/>
        <w:ind w:firstLine="708"/>
        <w:jc w:val="both"/>
        <w:rPr>
          <w:rFonts w:ascii="Verdana" w:hAnsi="Verdana" w:cs="Arial"/>
          <w:color w:val="000000"/>
          <w:sz w:val="18"/>
          <w:szCs w:val="18"/>
        </w:rPr>
      </w:pPr>
      <w:r w:rsidRPr="00537AC4">
        <w:rPr>
          <w:rStyle w:val="Refdenotaalpie"/>
          <w:rFonts w:ascii="Verdana" w:hAnsi="Verdana"/>
          <w:sz w:val="18"/>
          <w:szCs w:val="18"/>
        </w:rPr>
        <w:footnoteRef/>
      </w:r>
      <w:r w:rsidRPr="00537AC4">
        <w:rPr>
          <w:rFonts w:ascii="Verdana" w:hAnsi="Verdana"/>
          <w:sz w:val="18"/>
          <w:szCs w:val="18"/>
        </w:rPr>
        <w:t xml:space="preserve"> </w:t>
      </w:r>
      <w:r w:rsidRPr="00917F72">
        <w:rPr>
          <w:rFonts w:ascii="Verdana" w:hAnsi="Verdana" w:cs="Arial"/>
          <w:color w:val="000000"/>
          <w:sz w:val="18"/>
          <w:szCs w:val="18"/>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De acuerdo con la parte introductoria de la Guía, esta brinda pautas a los participantes de la contratación pública, en cumplimiento del objetivo y funciones de esta Agencia que, de acuerdo con el artículo 3 Decreto Ley 4170 de 2011, desarrolla implementar y difunde políticas, planes, programas, normas instrumentos y herramientas que facilitan la contratación pública. </w:t>
      </w:r>
    </w:p>
    <w:p w14:paraId="737A6523" w14:textId="77777777" w:rsidR="00A05329" w:rsidRPr="00917F72" w:rsidRDefault="00A05329" w:rsidP="00A05329">
      <w:pPr>
        <w:snapToGrid w:val="0"/>
        <w:spacing w:before="120" w:after="120" w:line="240" w:lineRule="auto"/>
        <w:ind w:firstLine="708"/>
        <w:jc w:val="both"/>
        <w:rPr>
          <w:rFonts w:ascii="Verdana" w:hAnsi="Verdana" w:cs="Arial"/>
          <w:color w:val="000000"/>
          <w:sz w:val="18"/>
          <w:szCs w:val="18"/>
        </w:rPr>
      </w:pPr>
      <w:r w:rsidRPr="00917F72">
        <w:rPr>
          <w:rFonts w:ascii="Verdana" w:hAnsi="Verdana" w:cs="Arial"/>
          <w:color w:val="000000"/>
          <w:sz w:val="18"/>
          <w:szCs w:val="18"/>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3986DE4F" w14:textId="77777777" w:rsidR="00A05329" w:rsidRPr="00537AC4" w:rsidRDefault="00A05329" w:rsidP="00A05329">
      <w:pPr>
        <w:pStyle w:val="Textonotapie"/>
        <w:snapToGrid w:val="0"/>
        <w:spacing w:after="120"/>
        <w:rPr>
          <w:rFonts w:ascii="Verdana" w:hAnsi="Verdana"/>
          <w:sz w:val="18"/>
          <w:szCs w:val="18"/>
          <w:lang w:val="es-CO"/>
        </w:rPr>
      </w:pPr>
    </w:p>
  </w:footnote>
  <w:footnote w:id="10">
    <w:p w14:paraId="060B5A70" w14:textId="77777777" w:rsidR="00A05329" w:rsidRPr="00917F72" w:rsidRDefault="00A05329" w:rsidP="00A05329">
      <w:pPr>
        <w:pStyle w:val="Textonotapie"/>
        <w:snapToGrid w:val="0"/>
        <w:spacing w:after="120"/>
        <w:ind w:firstLine="709"/>
        <w:jc w:val="both"/>
        <w:rPr>
          <w:rFonts w:ascii="Verdana" w:hAnsi="Verdana" w:cs="Arial"/>
          <w:color w:val="000000"/>
          <w:sz w:val="18"/>
          <w:szCs w:val="18"/>
          <w:lang w:val="es-ES"/>
        </w:rPr>
      </w:pPr>
      <w:r w:rsidRPr="00917F72">
        <w:rPr>
          <w:rStyle w:val="Refdenotaalpie"/>
          <w:rFonts w:ascii="Verdana" w:hAnsi="Verdana" w:cs="Arial"/>
          <w:color w:val="000000"/>
          <w:sz w:val="18"/>
          <w:szCs w:val="18"/>
        </w:rPr>
        <w:footnoteRef/>
      </w:r>
      <w:r w:rsidRPr="00917F72">
        <w:rPr>
          <w:rFonts w:ascii="Verdana" w:hAnsi="Verdana" w:cs="Arial"/>
          <w:color w:val="000000"/>
          <w:sz w:val="18"/>
          <w:szCs w:val="18"/>
        </w:rPr>
        <w:t xml:space="preserve"> Guía para el manejo de ofertas artificialmente bajas en Procesos de Contratación. p. 10.</w:t>
      </w:r>
    </w:p>
  </w:footnote>
  <w:footnote w:id="11">
    <w:p w14:paraId="7C993714" w14:textId="77777777" w:rsidR="00A05329" w:rsidRPr="00917F72" w:rsidRDefault="00A05329" w:rsidP="00A05329">
      <w:pPr>
        <w:pStyle w:val="Textonotapie"/>
        <w:snapToGrid w:val="0"/>
        <w:spacing w:after="120"/>
        <w:ind w:firstLine="709"/>
        <w:jc w:val="both"/>
        <w:rPr>
          <w:rFonts w:ascii="Verdana" w:hAnsi="Verdana" w:cs="Arial"/>
          <w:color w:val="000000"/>
          <w:sz w:val="18"/>
          <w:szCs w:val="18"/>
        </w:rPr>
      </w:pPr>
      <w:r w:rsidRPr="00917F72">
        <w:rPr>
          <w:rStyle w:val="Refdenotaalpie"/>
          <w:rFonts w:ascii="Verdana" w:hAnsi="Verdana" w:cs="Arial"/>
          <w:color w:val="000000"/>
          <w:sz w:val="18"/>
          <w:szCs w:val="18"/>
        </w:rPr>
        <w:footnoteRef/>
      </w:r>
      <w:r w:rsidRPr="00917F72">
        <w:rPr>
          <w:rFonts w:ascii="Verdana" w:hAnsi="Verdana" w:cs="Arial"/>
          <w:color w:val="000000"/>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12">
    <w:p w14:paraId="1CE2E38B" w14:textId="77777777" w:rsidR="00A05329" w:rsidRPr="00917F72" w:rsidRDefault="00A05329" w:rsidP="00A05329">
      <w:pPr>
        <w:pStyle w:val="Textonotapie"/>
        <w:snapToGrid w:val="0"/>
        <w:spacing w:after="120"/>
        <w:ind w:firstLine="709"/>
        <w:jc w:val="both"/>
        <w:rPr>
          <w:rFonts w:ascii="Verdana" w:hAnsi="Verdana" w:cs="Arial"/>
          <w:color w:val="000000"/>
          <w:sz w:val="18"/>
          <w:szCs w:val="18"/>
          <w:lang w:val="es-ES"/>
        </w:rPr>
      </w:pPr>
      <w:r w:rsidRPr="00917F72">
        <w:rPr>
          <w:rStyle w:val="Refdenotaalpie"/>
          <w:rFonts w:ascii="Verdana" w:hAnsi="Verdana" w:cs="Arial"/>
          <w:color w:val="000000"/>
          <w:sz w:val="18"/>
          <w:szCs w:val="18"/>
        </w:rPr>
        <w:footnoteRef/>
      </w:r>
      <w:r w:rsidRPr="00917F72">
        <w:rPr>
          <w:rFonts w:ascii="Verdana" w:hAnsi="Verdana" w:cs="Arial"/>
          <w:color w:val="000000"/>
          <w:sz w:val="18"/>
          <w:szCs w:val="18"/>
        </w:rPr>
        <w:t xml:space="preserve"> </w:t>
      </w:r>
      <w:r w:rsidRPr="00917F72">
        <w:rPr>
          <w:rFonts w:ascii="Verdana" w:hAnsi="Verdana" w:cs="Arial"/>
          <w:color w:val="000000"/>
          <w:sz w:val="18"/>
          <w:szCs w:val="18"/>
          <w:lang w:val="es-ES"/>
        </w:rPr>
        <w:t>Consejo de Estado. Sección Segunda. Sentencia del 10 de junio de 1992. Exp. No. 4.249. C.P. Álvaro Lecompte Luna.</w:t>
      </w:r>
    </w:p>
  </w:footnote>
  <w:footnote w:id="13">
    <w:p w14:paraId="474006EA" w14:textId="77777777" w:rsidR="00A05329" w:rsidRPr="00917F72" w:rsidRDefault="00A05329" w:rsidP="00A05329">
      <w:pPr>
        <w:pStyle w:val="Textonotapie"/>
        <w:snapToGrid w:val="0"/>
        <w:spacing w:after="120"/>
        <w:ind w:firstLine="709"/>
        <w:jc w:val="both"/>
        <w:rPr>
          <w:rFonts w:ascii="Verdana" w:hAnsi="Verdana" w:cs="Arial"/>
          <w:color w:val="000000"/>
          <w:sz w:val="18"/>
          <w:szCs w:val="18"/>
        </w:rPr>
      </w:pPr>
      <w:r w:rsidRPr="00917F72">
        <w:rPr>
          <w:rStyle w:val="Refdenotaalpie"/>
          <w:rFonts w:ascii="Verdana" w:hAnsi="Verdana" w:cs="Arial"/>
          <w:color w:val="000000"/>
          <w:sz w:val="18"/>
          <w:szCs w:val="18"/>
        </w:rPr>
        <w:footnoteRef/>
      </w:r>
      <w:r w:rsidRPr="00917F72">
        <w:rPr>
          <w:rFonts w:ascii="Verdana" w:hAnsi="Verdana" w:cs="Arial"/>
          <w:color w:val="000000"/>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14">
    <w:p w14:paraId="7E561A6B" w14:textId="77777777" w:rsidR="00A05329" w:rsidRDefault="00A05329" w:rsidP="00A05329">
      <w:pPr>
        <w:pStyle w:val="Textonotapie"/>
        <w:snapToGrid w:val="0"/>
        <w:spacing w:after="120"/>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C-365 del 2 de mayo de 2025.</w:t>
      </w:r>
    </w:p>
  </w:footnote>
  <w:footnote w:id="15">
    <w:p w14:paraId="48406BCA" w14:textId="77777777" w:rsidR="00A05329" w:rsidRDefault="00A05329" w:rsidP="00A05329">
      <w:pPr>
        <w:pStyle w:val="Textonotapie"/>
        <w:snapToGrid w:val="0"/>
        <w:spacing w:after="120"/>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C-215 del 12 de mayo de 2021.</w:t>
      </w:r>
    </w:p>
  </w:footnote>
  <w:footnote w:id="16">
    <w:p w14:paraId="6A73F408" w14:textId="77777777" w:rsidR="00A05329" w:rsidRDefault="00A05329" w:rsidP="00A05329">
      <w:pPr>
        <w:pStyle w:val="Textonotapie"/>
        <w:snapToGrid w:val="0"/>
        <w:spacing w:after="120"/>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C-268 del 2 de octubre de 2024.</w:t>
      </w:r>
    </w:p>
  </w:footnote>
  <w:footnote w:id="17">
    <w:p w14:paraId="7D65B3F7" w14:textId="77777777" w:rsidR="00A05329" w:rsidRDefault="00A05329" w:rsidP="00A05329">
      <w:pPr>
        <w:pStyle w:val="Textonotapie"/>
        <w:snapToGrid w:val="0"/>
        <w:spacing w:after="120"/>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Ibídem.</w:t>
      </w:r>
    </w:p>
  </w:footnote>
  <w:footnote w:id="18">
    <w:p w14:paraId="41B5FB7F" w14:textId="77777777" w:rsidR="00A05329" w:rsidRDefault="00A05329" w:rsidP="00A05329">
      <w:pPr>
        <w:pStyle w:val="Textonotapie"/>
        <w:snapToGrid w:val="0"/>
        <w:spacing w:after="120"/>
        <w:ind w:firstLine="709"/>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C-737 del 27 de enero de 2022. En el mismo sentido, Concepto C-205 del 7 de mayo de 2021. Ambos conceptos se refieren a la versión 3 de los documentos tipo de licitación de obra pública de infraestructura de transporte.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3D5B"/>
    <w:rsid w:val="0030657A"/>
    <w:rsid w:val="00322A85"/>
    <w:rsid w:val="00324168"/>
    <w:rsid w:val="00330834"/>
    <w:rsid w:val="003448F4"/>
    <w:rsid w:val="003668BF"/>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4F6D10"/>
    <w:rsid w:val="005566E8"/>
    <w:rsid w:val="00574867"/>
    <w:rsid w:val="00591460"/>
    <w:rsid w:val="005A65E0"/>
    <w:rsid w:val="005C3777"/>
    <w:rsid w:val="005C5CDC"/>
    <w:rsid w:val="005D476C"/>
    <w:rsid w:val="006200BF"/>
    <w:rsid w:val="006219F8"/>
    <w:rsid w:val="00626577"/>
    <w:rsid w:val="006302F7"/>
    <w:rsid w:val="00646B9F"/>
    <w:rsid w:val="00665D70"/>
    <w:rsid w:val="006900D9"/>
    <w:rsid w:val="00706C16"/>
    <w:rsid w:val="007340C3"/>
    <w:rsid w:val="0075235A"/>
    <w:rsid w:val="00756841"/>
    <w:rsid w:val="007649AB"/>
    <w:rsid w:val="00771D0C"/>
    <w:rsid w:val="007833AC"/>
    <w:rsid w:val="007A13AD"/>
    <w:rsid w:val="007B268C"/>
    <w:rsid w:val="007B7171"/>
    <w:rsid w:val="007C0C0F"/>
    <w:rsid w:val="007C3DC2"/>
    <w:rsid w:val="007E5497"/>
    <w:rsid w:val="00806F5F"/>
    <w:rsid w:val="00820278"/>
    <w:rsid w:val="008258C9"/>
    <w:rsid w:val="00844AE9"/>
    <w:rsid w:val="008543E7"/>
    <w:rsid w:val="00867F95"/>
    <w:rsid w:val="008843B6"/>
    <w:rsid w:val="00891928"/>
    <w:rsid w:val="008A446D"/>
    <w:rsid w:val="008B25F1"/>
    <w:rsid w:val="008B71A5"/>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5329"/>
    <w:rsid w:val="00A122D3"/>
    <w:rsid w:val="00A14468"/>
    <w:rsid w:val="00A17F13"/>
    <w:rsid w:val="00A20739"/>
    <w:rsid w:val="00A23AF9"/>
    <w:rsid w:val="00A33C78"/>
    <w:rsid w:val="00AB0ADB"/>
    <w:rsid w:val="00B00C0E"/>
    <w:rsid w:val="00B01B1A"/>
    <w:rsid w:val="00B02F4D"/>
    <w:rsid w:val="00B0381D"/>
    <w:rsid w:val="00B44A47"/>
    <w:rsid w:val="00B53F8A"/>
    <w:rsid w:val="00B72CD3"/>
    <w:rsid w:val="00B72FFF"/>
    <w:rsid w:val="00BC3D36"/>
    <w:rsid w:val="00BD54A6"/>
    <w:rsid w:val="00BD7F72"/>
    <w:rsid w:val="00BF7425"/>
    <w:rsid w:val="00C04FB3"/>
    <w:rsid w:val="00C069E0"/>
    <w:rsid w:val="00C11D8B"/>
    <w:rsid w:val="00C15139"/>
    <w:rsid w:val="00C330EB"/>
    <w:rsid w:val="00C50D69"/>
    <w:rsid w:val="00C5365C"/>
    <w:rsid w:val="00C754BE"/>
    <w:rsid w:val="00C76B1C"/>
    <w:rsid w:val="00C925AC"/>
    <w:rsid w:val="00CB6357"/>
    <w:rsid w:val="00CC1B26"/>
    <w:rsid w:val="00D1744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A05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0532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B166BCB-C6C6-4284-AF20-6898BB7E1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35</Pages>
  <Words>12393</Words>
  <Characters>68163</Characters>
  <Application>Microsoft Office Word</Application>
  <DocSecurity>0</DocSecurity>
  <Lines>568</Lines>
  <Paragraphs>160</Paragraphs>
  <ScaleCrop>false</ScaleCrop>
  <Company/>
  <LinksUpToDate>false</LinksUpToDate>
  <CharactersWithSpaces>80396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2026-10-05T12:22:00Z</dcterms:created>
  <dcterms:modified xsi:type="dcterms:W3CDTF">2026-10-05T23:05:00Z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