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1574D" w14:textId="77777777" w:rsidR="00327F59" w:rsidRDefault="00327F59" w:rsidP="00327F59">
      <w:pPr>
        <w:spacing w:after="0" w:line="278" w:lineRule="auto"/>
        <w:jc w:val="both"/>
        <w:rPr>
          <w:rFonts w:ascii="Verdana" w:eastAsia="Aptos" w:hAnsi="Verdana" w:cs="Times New Roman"/>
          <w:b/>
          <w:bCs/>
          <w:kern w:val="2"/>
          <w14:ligatures w14:val="standardContextual"/>
        </w:rPr>
      </w:pPr>
      <w:bookmarkStart w:id="0" w:name="_Hlk143780582"/>
      <w:r w:rsidRPr="00D316A7">
        <w:rPr>
          <w:rFonts w:ascii="Verdana" w:eastAsia="Aptos" w:hAnsi="Verdana" w:cs="Times New Roman"/>
          <w:b/>
          <w:bCs/>
          <w:kern w:val="2"/>
          <w14:ligatures w14:val="standardContextual"/>
        </w:rPr>
        <w:t>CESIÓN – Participación – Tercero – Autorización previa – Cumplimiento de requisitos</w:t>
      </w:r>
    </w:p>
    <w:p w14:paraId="29BEF2AD" w14:textId="77777777" w:rsidR="00327F59" w:rsidRPr="00D316A7" w:rsidRDefault="00327F59" w:rsidP="00327F59">
      <w:pPr>
        <w:spacing w:after="0" w:line="278" w:lineRule="auto"/>
        <w:jc w:val="both"/>
        <w:rPr>
          <w:rFonts w:ascii="Verdana" w:eastAsia="Aptos" w:hAnsi="Verdana" w:cs="Times New Roman"/>
          <w:kern w:val="2"/>
          <w14:ligatures w14:val="standardContextual"/>
        </w:rPr>
      </w:pPr>
    </w:p>
    <w:p w14:paraId="1D709830" w14:textId="77777777" w:rsidR="00327F59" w:rsidRPr="00D316A7" w:rsidRDefault="00327F59" w:rsidP="00327F59">
      <w:pPr>
        <w:spacing w:after="0" w:line="240" w:lineRule="auto"/>
        <w:jc w:val="both"/>
        <w:rPr>
          <w:rFonts w:ascii="Verdana" w:eastAsia="Aptos" w:hAnsi="Verdana" w:cs="Times New Roman"/>
          <w:kern w:val="2"/>
          <w:sz w:val="20"/>
          <w:szCs w:val="20"/>
          <w14:ligatures w14:val="standardContextual"/>
        </w:rPr>
      </w:pPr>
      <w:r w:rsidRPr="00D316A7">
        <w:rPr>
          <w:rFonts w:ascii="Verdana" w:eastAsia="Aptos" w:hAnsi="Verdana" w:cs="Times New Roman"/>
          <w:kern w:val="2"/>
          <w:sz w:val="20"/>
          <w:szCs w:val="20"/>
          <w14:ligatures w14:val="standardContextual"/>
        </w:rPr>
        <w:t>En este escenario, la cesión de la participación de uno de los integrantes de un consorcio o unión temporal a un tercero se encuentra sujeta a la autorización previa y escrita de la entidad contratante. Para efectos de dicha autorización, la entidad debe verificar que el tercero propuesto cumpla los requisitos establecidos en el pliego de condiciones, en el contrato y en las demás disposiciones aplicables. En consecuencia, cuando el cesionario acredita integralmente las condiciones previamente establecidas para la procedencia de la cesión, la entidad debe resolver la solicitud con fundamento en dichas reglas y en las condiciones que determinaron la posibilidad de efectuar la modificación de la estructura plural.</w:t>
      </w:r>
    </w:p>
    <w:p w14:paraId="038B2BE7" w14:textId="77777777" w:rsidR="00327F59" w:rsidRDefault="00327F59" w:rsidP="00327F59">
      <w:pPr>
        <w:spacing w:after="0" w:line="278" w:lineRule="auto"/>
        <w:jc w:val="both"/>
        <w:rPr>
          <w:rFonts w:ascii="Verdana" w:eastAsia="Aptos" w:hAnsi="Verdana" w:cs="Times New Roman"/>
          <w:b/>
          <w:bCs/>
          <w:kern w:val="2"/>
          <w14:ligatures w14:val="standardContextual"/>
        </w:rPr>
      </w:pPr>
    </w:p>
    <w:p w14:paraId="0D1FF4D1" w14:textId="77777777" w:rsidR="00327F59" w:rsidRDefault="00327F59" w:rsidP="00327F59">
      <w:pPr>
        <w:spacing w:after="0" w:line="278" w:lineRule="auto"/>
        <w:jc w:val="both"/>
        <w:rPr>
          <w:rFonts w:ascii="Verdana" w:eastAsia="Aptos" w:hAnsi="Verdana" w:cs="Times New Roman"/>
          <w:b/>
          <w:bCs/>
          <w:kern w:val="2"/>
          <w14:ligatures w14:val="standardContextual"/>
        </w:rPr>
      </w:pPr>
      <w:r w:rsidRPr="00D316A7">
        <w:rPr>
          <w:rFonts w:ascii="Verdana" w:eastAsia="Aptos" w:hAnsi="Verdana" w:cs="Times New Roman"/>
          <w:b/>
          <w:bCs/>
          <w:kern w:val="2"/>
          <w14:ligatures w14:val="standardContextual"/>
        </w:rPr>
        <w:t>CESIÓN – Participación – Facultad de autorización – Entidad contratante – Alcance – Decisión motivada</w:t>
      </w:r>
    </w:p>
    <w:p w14:paraId="1DFFBCBC" w14:textId="77777777" w:rsidR="00327F59" w:rsidRPr="00D316A7" w:rsidRDefault="00327F59" w:rsidP="00327F59">
      <w:pPr>
        <w:spacing w:after="0" w:line="278" w:lineRule="auto"/>
        <w:jc w:val="both"/>
        <w:rPr>
          <w:rFonts w:ascii="Verdana" w:eastAsia="Aptos" w:hAnsi="Verdana" w:cs="Times New Roman"/>
          <w:kern w:val="2"/>
          <w14:ligatures w14:val="standardContextual"/>
        </w:rPr>
      </w:pPr>
    </w:p>
    <w:p w14:paraId="76F844B9" w14:textId="77777777" w:rsidR="00327F59" w:rsidRPr="00D316A7" w:rsidRDefault="00327F59" w:rsidP="00327F59">
      <w:pPr>
        <w:spacing w:after="0" w:line="240" w:lineRule="auto"/>
        <w:jc w:val="both"/>
        <w:rPr>
          <w:rFonts w:ascii="Verdana" w:eastAsia="Aptos" w:hAnsi="Verdana" w:cs="Times New Roman"/>
          <w:kern w:val="2"/>
          <w:sz w:val="20"/>
          <w:szCs w:val="20"/>
          <w14:ligatures w14:val="standardContextual"/>
        </w:rPr>
      </w:pPr>
      <w:r w:rsidRPr="00D316A7">
        <w:rPr>
          <w:rFonts w:ascii="Verdana" w:eastAsia="Aptos" w:hAnsi="Verdana" w:cs="Times New Roman"/>
          <w:kern w:val="2"/>
          <w:sz w:val="20"/>
          <w:szCs w:val="20"/>
          <w14:ligatures w14:val="standardContextual"/>
        </w:rPr>
        <w:t>La autorización previa exigida para la cesión de la participación de un integrante de un consorcio o unión temporal no constituye una facultad discrecional absoluta de la entidad contratante. Si bien corresponde a la entidad verificar la procedencia de la cesión y adoptar la decisión correspondiente, el ejercicio de esta competencia debe sujetarse a las reglas previamente establecidas en el pliego de condiciones, al contrato y al ordenamiento jurídico, así como a los principios de transparencia, buena fe, responsabilidad y selección objetiva. Por tanto, cuando se encuentran acreditados los requisitos exigidos para la cesión, una eventual negativa debe sustentarse en razones objetivas, verificables y jurídicamente relevantes, relacionadas con las condiciones de procedencia de la cesión o con la preservación de las condiciones esenciales para la adecuada ejecución del contrato, y no en criterios subjetivos o exigencias no previstas previamente.</w:t>
      </w:r>
    </w:p>
    <w:p w14:paraId="2D71518A" w14:textId="77777777" w:rsidR="00327F59" w:rsidRPr="00BA2580" w:rsidRDefault="00327F59" w:rsidP="00327F59">
      <w:pPr>
        <w:spacing w:after="0" w:line="240" w:lineRule="auto"/>
        <w:jc w:val="both"/>
        <w:rPr>
          <w:rFonts w:ascii="Verdana" w:eastAsia="Aptos" w:hAnsi="Verdana" w:cs="Times New Roman"/>
          <w:kern w:val="2"/>
          <w14:ligatures w14:val="standardContextual"/>
        </w:rPr>
      </w:pPr>
    </w:p>
    <w:p w14:paraId="6F51D6FF" w14:textId="77777777" w:rsidR="00327F59" w:rsidRPr="006263D8" w:rsidRDefault="00327F59" w:rsidP="00327F59">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31B1F9DC" w14:textId="77777777" w:rsidR="00327F59" w:rsidRDefault="00327F59" w:rsidP="00327F59">
      <w:pPr>
        <w:spacing w:after="0" w:line="240" w:lineRule="auto"/>
        <w:rPr>
          <w:rFonts w:ascii="Verdana" w:eastAsia="Geomanist Light" w:hAnsi="Verdana" w:cs="Arial"/>
          <w:color w:val="000000" w:themeColor="text1"/>
          <w:lang w:val="es-MX"/>
        </w:rPr>
      </w:pPr>
    </w:p>
    <w:p w14:paraId="13CB4544" w14:textId="77777777" w:rsidR="00327F59" w:rsidRDefault="00327F59" w:rsidP="00327F59">
      <w:pPr>
        <w:spacing w:after="0" w:line="240" w:lineRule="auto"/>
        <w:rPr>
          <w:rFonts w:ascii="Verdana" w:eastAsia="Geomanist Light" w:hAnsi="Verdana" w:cs="Arial"/>
          <w:color w:val="000000" w:themeColor="text1"/>
          <w:lang w:val="es-MX"/>
        </w:rPr>
      </w:pPr>
    </w:p>
    <w:p w14:paraId="782CFB18" w14:textId="77777777" w:rsidR="00327F59" w:rsidRDefault="00327F59" w:rsidP="00327F59">
      <w:pPr>
        <w:spacing w:after="0" w:line="240" w:lineRule="auto"/>
        <w:rPr>
          <w:rFonts w:ascii="Verdana" w:eastAsia="Geomanist Light" w:hAnsi="Verdana" w:cs="Arial"/>
          <w:color w:val="000000" w:themeColor="text1"/>
          <w:lang w:val="es-MX"/>
        </w:rPr>
      </w:pPr>
    </w:p>
    <w:p w14:paraId="70A9CD2A" w14:textId="77777777" w:rsidR="00327F59" w:rsidRDefault="00327F59" w:rsidP="00327F59">
      <w:pPr>
        <w:spacing w:after="0" w:line="240" w:lineRule="auto"/>
        <w:rPr>
          <w:rFonts w:ascii="Verdana" w:eastAsia="Geomanist Light" w:hAnsi="Verdana" w:cs="Arial"/>
          <w:color w:val="000000" w:themeColor="text1"/>
          <w:lang w:val="es-MX"/>
        </w:rPr>
      </w:pPr>
    </w:p>
    <w:p w14:paraId="3D30B16E" w14:textId="77777777" w:rsidR="00327F59" w:rsidRDefault="00327F59" w:rsidP="00327F59">
      <w:pPr>
        <w:spacing w:after="0" w:line="240" w:lineRule="auto"/>
        <w:rPr>
          <w:rFonts w:ascii="Verdana" w:eastAsia="Geomanist Light" w:hAnsi="Verdana" w:cs="Arial"/>
          <w:color w:val="000000" w:themeColor="text1"/>
          <w:lang w:val="es-MX"/>
        </w:rPr>
      </w:pPr>
    </w:p>
    <w:p w14:paraId="10139577" w14:textId="77777777" w:rsidR="00327F59" w:rsidRDefault="00327F59" w:rsidP="00327F59">
      <w:pPr>
        <w:spacing w:after="0" w:line="240" w:lineRule="auto"/>
        <w:rPr>
          <w:rFonts w:ascii="Verdana" w:eastAsia="Geomanist Light" w:hAnsi="Verdana" w:cs="Arial"/>
          <w:color w:val="000000" w:themeColor="text1"/>
          <w:lang w:val="es-MX"/>
        </w:rPr>
      </w:pPr>
    </w:p>
    <w:p w14:paraId="5A59BB2A" w14:textId="77777777" w:rsidR="00327F59" w:rsidRDefault="00327F59" w:rsidP="00327F59">
      <w:pPr>
        <w:spacing w:after="0" w:line="240" w:lineRule="auto"/>
        <w:rPr>
          <w:rFonts w:ascii="Verdana" w:eastAsia="Geomanist Light" w:hAnsi="Verdana" w:cs="Arial"/>
          <w:color w:val="000000" w:themeColor="text1"/>
          <w:lang w:val="es-MX"/>
        </w:rPr>
      </w:pPr>
    </w:p>
    <w:p w14:paraId="3F6E184B" w14:textId="77777777" w:rsidR="00327F59" w:rsidRDefault="00327F59" w:rsidP="00327F59">
      <w:pPr>
        <w:spacing w:after="0" w:line="240" w:lineRule="auto"/>
        <w:rPr>
          <w:rFonts w:ascii="Verdana" w:eastAsia="Geomanist Light" w:hAnsi="Verdana" w:cs="Arial"/>
          <w:color w:val="000000" w:themeColor="text1"/>
          <w:lang w:val="es-MX"/>
        </w:rPr>
      </w:pPr>
    </w:p>
    <w:p w14:paraId="7DA6CD82" w14:textId="77777777" w:rsidR="00327F59" w:rsidRDefault="00327F59" w:rsidP="00327F59">
      <w:pPr>
        <w:spacing w:after="0" w:line="240" w:lineRule="auto"/>
        <w:rPr>
          <w:rFonts w:ascii="Verdana" w:eastAsia="Geomanist Light" w:hAnsi="Verdana" w:cs="Arial"/>
          <w:color w:val="000000" w:themeColor="text1"/>
          <w:lang w:val="es-MX"/>
        </w:rPr>
      </w:pPr>
    </w:p>
    <w:p w14:paraId="0326F362" w14:textId="77777777" w:rsidR="00327F59" w:rsidRDefault="00327F59" w:rsidP="00327F59">
      <w:pPr>
        <w:spacing w:after="0" w:line="240" w:lineRule="auto"/>
        <w:rPr>
          <w:rFonts w:ascii="Verdana" w:eastAsia="Geomanist Light" w:hAnsi="Verdana" w:cs="Arial"/>
          <w:color w:val="000000" w:themeColor="text1"/>
          <w:lang w:val="es-MX"/>
        </w:rPr>
      </w:pPr>
    </w:p>
    <w:p w14:paraId="0853B386" w14:textId="77777777" w:rsidR="00327F59" w:rsidRDefault="00327F59" w:rsidP="00327F59">
      <w:pPr>
        <w:spacing w:after="0" w:line="240" w:lineRule="auto"/>
        <w:rPr>
          <w:rFonts w:ascii="Verdana" w:eastAsia="Geomanist Light" w:hAnsi="Verdana" w:cs="Arial"/>
          <w:color w:val="000000" w:themeColor="text1"/>
          <w:lang w:val="es-MX"/>
        </w:rPr>
      </w:pPr>
    </w:p>
    <w:p w14:paraId="0E1AC2A6" w14:textId="77777777" w:rsidR="00327F59" w:rsidRDefault="00327F59" w:rsidP="00327F59">
      <w:pPr>
        <w:spacing w:after="0" w:line="240" w:lineRule="auto"/>
        <w:rPr>
          <w:rFonts w:ascii="Verdana" w:eastAsia="Geomanist Light" w:hAnsi="Verdana" w:cs="Arial"/>
          <w:color w:val="000000" w:themeColor="text1"/>
          <w:lang w:val="es-MX"/>
        </w:rPr>
      </w:pPr>
    </w:p>
    <w:p w14:paraId="33AA0FCC" w14:textId="77777777" w:rsidR="00327F59" w:rsidRDefault="00327F59" w:rsidP="00327F59">
      <w:pPr>
        <w:spacing w:after="0" w:line="240" w:lineRule="auto"/>
        <w:rPr>
          <w:rFonts w:ascii="Verdana" w:eastAsia="Geomanist Light" w:hAnsi="Verdana" w:cs="Arial"/>
          <w:color w:val="000000" w:themeColor="text1"/>
          <w:lang w:val="es-MX"/>
        </w:rPr>
      </w:pPr>
    </w:p>
    <w:p w14:paraId="1E2CC3DD" w14:textId="4DBBA1B9" w:rsidR="00327F59" w:rsidRPr="00824FBD" w:rsidRDefault="00327F59" w:rsidP="00D813F7">
      <w:pPr>
        <w:spacing w:after="0" w:line="240" w:lineRule="auto"/>
        <w:jc w:val="both"/>
        <w:rPr>
          <w:rFonts w:ascii="Verdana" w:eastAsia="Verdana" w:hAnsi="Verdana" w:cs="Verdana"/>
          <w:color w:val="000000" w:themeColor="text1"/>
          <w:lang w:val="es"/>
        </w:rPr>
      </w:pPr>
      <w:r w:rsidRPr="00824FBD">
        <w:rPr>
          <w:rFonts w:ascii="Verdana" w:eastAsia="Verdana" w:hAnsi="Verdana" w:cs="Verdana"/>
          <w:color w:val="000000" w:themeColor="text1"/>
          <w:lang w:val="es"/>
        </w:rPr>
        <w:lastRenderedPageBreak/>
        <w:t>Bogotá D.C., 0</w:t>
      </w:r>
      <w:r w:rsidR="00211F41">
        <w:rPr>
          <w:rFonts w:ascii="Verdana" w:eastAsia="Verdana" w:hAnsi="Verdana" w:cs="Verdana"/>
          <w:color w:val="000000" w:themeColor="text1"/>
          <w:lang w:val="es"/>
        </w:rPr>
        <w:t>5</w:t>
      </w:r>
      <w:r w:rsidRPr="00824FBD">
        <w:rPr>
          <w:rFonts w:ascii="Verdana" w:eastAsia="Verdana" w:hAnsi="Verdana" w:cs="Verdana"/>
          <w:color w:val="000000" w:themeColor="text1"/>
          <w:lang w:val="es"/>
        </w:rPr>
        <w:t xml:space="preserve"> de octubre de 2026</w:t>
      </w:r>
    </w:p>
    <w:p w14:paraId="3662C0B4" w14:textId="594EB4A3" w:rsidR="00327F59" w:rsidRDefault="00327F59" w:rsidP="00824FBD">
      <w:pPr>
        <w:spacing w:after="0" w:line="240" w:lineRule="auto"/>
        <w:jc w:val="both"/>
        <w:textAlignment w:val="baseline"/>
        <w:rPr>
          <w:rFonts w:ascii="Verdana" w:eastAsia="Verdana" w:hAnsi="Verdana" w:cs="Verdana"/>
          <w:color w:val="000000" w:themeColor="text1"/>
          <w:lang w:val="es"/>
        </w:rPr>
      </w:pPr>
    </w:p>
    <w:p w14:paraId="3B74AA3B" w14:textId="728B8834" w:rsidR="00824FBD" w:rsidRDefault="00D54DC6" w:rsidP="00D54DC6">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0381FD1D" wp14:editId="36017FAB">
            <wp:extent cx="3067050" cy="885825"/>
            <wp:effectExtent l="0" t="0" r="0" b="9525"/>
            <wp:docPr id="15707924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885825"/>
                    </a:xfrm>
                    <a:prstGeom prst="rect">
                      <a:avLst/>
                    </a:prstGeom>
                    <a:noFill/>
                    <a:ln>
                      <a:noFill/>
                    </a:ln>
                  </pic:spPr>
                </pic:pic>
              </a:graphicData>
            </a:graphic>
          </wp:inline>
        </w:drawing>
      </w:r>
    </w:p>
    <w:p w14:paraId="77EA6565" w14:textId="77777777" w:rsidR="00D54DC6" w:rsidRDefault="00D54DC6" w:rsidP="00824FBD">
      <w:pPr>
        <w:spacing w:after="0" w:line="240" w:lineRule="auto"/>
        <w:jc w:val="both"/>
        <w:textAlignment w:val="baseline"/>
        <w:rPr>
          <w:rFonts w:ascii="Verdana" w:eastAsia="Verdana" w:hAnsi="Verdana" w:cs="Verdana"/>
          <w:color w:val="000000" w:themeColor="text1"/>
          <w:lang w:val="es"/>
        </w:rPr>
      </w:pPr>
    </w:p>
    <w:p w14:paraId="2C451599" w14:textId="77777777" w:rsidR="00D54DC6" w:rsidRPr="00824FBD" w:rsidRDefault="00D54DC6" w:rsidP="00824FBD">
      <w:pPr>
        <w:spacing w:after="0" w:line="240" w:lineRule="auto"/>
        <w:jc w:val="both"/>
        <w:textAlignment w:val="baseline"/>
        <w:rPr>
          <w:rFonts w:ascii="Verdana" w:eastAsia="Verdana" w:hAnsi="Verdana" w:cs="Verdana"/>
          <w:color w:val="000000" w:themeColor="text1"/>
          <w:lang w:val="es"/>
        </w:rPr>
      </w:pPr>
    </w:p>
    <w:p w14:paraId="05877932" w14:textId="01D1BA8E" w:rsidR="00327F59" w:rsidRPr="00824FBD" w:rsidRDefault="00327F59" w:rsidP="00824FBD">
      <w:pPr>
        <w:spacing w:after="0" w:line="240" w:lineRule="auto"/>
        <w:jc w:val="both"/>
        <w:textAlignment w:val="baseline"/>
        <w:rPr>
          <w:rFonts w:ascii="Verdana" w:eastAsia="Verdana" w:hAnsi="Verdana" w:cs="Verdana"/>
          <w:color w:val="000000" w:themeColor="text1"/>
          <w:lang w:val="es"/>
        </w:rPr>
      </w:pPr>
      <w:r w:rsidRPr="00824FBD">
        <w:rPr>
          <w:rFonts w:ascii="Verdana" w:eastAsia="Verdana" w:hAnsi="Verdana" w:cs="Verdana"/>
          <w:color w:val="000000" w:themeColor="text1"/>
          <w:lang w:val="es"/>
        </w:rPr>
        <w:t>Señora</w:t>
      </w:r>
      <w:r w:rsidR="00824FBD">
        <w:rPr>
          <w:rFonts w:ascii="Verdana" w:eastAsia="Verdana" w:hAnsi="Verdana" w:cs="Verdana"/>
          <w:color w:val="000000" w:themeColor="text1"/>
          <w:lang w:val="es"/>
        </w:rPr>
        <w:t>:</w:t>
      </w:r>
    </w:p>
    <w:p w14:paraId="39412D02" w14:textId="77777777" w:rsidR="00327F59" w:rsidRPr="00824FBD" w:rsidRDefault="00327F59" w:rsidP="00824FBD">
      <w:pPr>
        <w:spacing w:after="0" w:line="240" w:lineRule="auto"/>
        <w:jc w:val="both"/>
        <w:textAlignment w:val="baseline"/>
        <w:rPr>
          <w:rFonts w:ascii="Verdana" w:hAnsi="Verdana"/>
          <w:b/>
          <w:bCs/>
        </w:rPr>
      </w:pPr>
      <w:r w:rsidRPr="00824FBD">
        <w:rPr>
          <w:rFonts w:ascii="Verdana" w:hAnsi="Verdana"/>
          <w:b/>
          <w:bCs/>
        </w:rPr>
        <w:t>KAREN AGUDELO LINARES</w:t>
      </w:r>
    </w:p>
    <w:p w14:paraId="14688843" w14:textId="77777777" w:rsidR="00327F59" w:rsidRPr="00824FBD" w:rsidRDefault="00327F59" w:rsidP="00824FBD">
      <w:pPr>
        <w:spacing w:after="0" w:line="240" w:lineRule="auto"/>
        <w:jc w:val="both"/>
        <w:textAlignment w:val="baseline"/>
        <w:rPr>
          <w:rFonts w:ascii="Verdana" w:hAnsi="Verdana"/>
        </w:rPr>
      </w:pPr>
      <w:hyperlink r:id="rId11" w:history="1">
        <w:r w:rsidRPr="00824FBD">
          <w:rPr>
            <w:rStyle w:val="Hipervnculo"/>
            <w:rFonts w:ascii="Verdana" w:hAnsi="Verdana"/>
          </w:rPr>
          <w:t>karen.agudelo.0809@gmail.com</w:t>
        </w:r>
      </w:hyperlink>
      <w:r w:rsidRPr="00824FBD">
        <w:rPr>
          <w:rFonts w:ascii="Verdana" w:hAnsi="Verdana"/>
        </w:rPr>
        <w:t xml:space="preserve"> </w:t>
      </w:r>
    </w:p>
    <w:p w14:paraId="09402059" w14:textId="77777777" w:rsidR="00327F59" w:rsidRPr="00824FBD" w:rsidRDefault="00327F59" w:rsidP="00824FBD">
      <w:pPr>
        <w:spacing w:after="0" w:line="240" w:lineRule="auto"/>
        <w:jc w:val="both"/>
        <w:textAlignment w:val="baseline"/>
        <w:rPr>
          <w:rFonts w:ascii="Verdana" w:hAnsi="Verdana"/>
        </w:rPr>
      </w:pPr>
      <w:r w:rsidRPr="00824FBD">
        <w:rPr>
          <w:rFonts w:ascii="Verdana" w:hAnsi="Verdana"/>
        </w:rPr>
        <w:t>Bogotá D.C.</w:t>
      </w:r>
    </w:p>
    <w:p w14:paraId="7C25BE09" w14:textId="76159FCF" w:rsidR="00327F59" w:rsidRDefault="00327F59" w:rsidP="00824FBD">
      <w:pPr>
        <w:spacing w:after="0" w:line="240" w:lineRule="auto"/>
        <w:jc w:val="both"/>
        <w:textAlignment w:val="baseline"/>
        <w:rPr>
          <w:rFonts w:ascii="Verdana" w:hAnsi="Verdana"/>
        </w:rPr>
      </w:pPr>
    </w:p>
    <w:p w14:paraId="36A0BF90" w14:textId="77777777" w:rsidR="00824FBD" w:rsidRPr="00824FBD" w:rsidRDefault="00824FBD" w:rsidP="00824FBD">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327F59" w:rsidRPr="00824FBD" w14:paraId="53ACDB64" w14:textId="77777777" w:rsidTr="003C710A">
        <w:trPr>
          <w:trHeight w:val="615"/>
        </w:trPr>
        <w:tc>
          <w:tcPr>
            <w:tcW w:w="2265" w:type="dxa"/>
            <w:shd w:val="clear" w:color="auto" w:fill="FFFFFF" w:themeFill="background1"/>
            <w:tcMar>
              <w:left w:w="108" w:type="dxa"/>
              <w:right w:w="108" w:type="dxa"/>
            </w:tcMar>
          </w:tcPr>
          <w:p w14:paraId="4EF858F4" w14:textId="77777777" w:rsidR="00327F59" w:rsidRPr="00824FBD" w:rsidRDefault="00327F59" w:rsidP="00824FBD">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287961E2" w14:textId="77777777" w:rsidR="00327F59" w:rsidRPr="00D813F7" w:rsidRDefault="00327F59" w:rsidP="00824FBD">
            <w:pPr>
              <w:jc w:val="both"/>
              <w:rPr>
                <w:rFonts w:ascii="Verdana" w:hAnsi="Verdana"/>
              </w:rPr>
            </w:pPr>
            <w:r w:rsidRPr="00824FBD">
              <w:rPr>
                <w:rFonts w:ascii="Verdana" w:eastAsia="Verdana" w:hAnsi="Verdana" w:cs="Verdana"/>
                <w:b/>
                <w:bCs/>
                <w:color w:val="000000" w:themeColor="text1"/>
                <w:lang w:val="es"/>
              </w:rPr>
              <w:t>Concepto C- 1343 de 2026</w:t>
            </w:r>
          </w:p>
        </w:tc>
      </w:tr>
      <w:tr w:rsidR="00327F59" w:rsidRPr="00824FBD" w14:paraId="61765D9F" w14:textId="77777777" w:rsidTr="003C710A">
        <w:trPr>
          <w:trHeight w:val="1065"/>
        </w:trPr>
        <w:tc>
          <w:tcPr>
            <w:tcW w:w="2265" w:type="dxa"/>
            <w:shd w:val="clear" w:color="auto" w:fill="FFFFFF" w:themeFill="background1"/>
            <w:tcMar>
              <w:left w:w="108" w:type="dxa"/>
              <w:right w:w="108" w:type="dxa"/>
            </w:tcMar>
          </w:tcPr>
          <w:p w14:paraId="29695F53" w14:textId="77777777" w:rsidR="00327F59" w:rsidRPr="00D813F7" w:rsidRDefault="00327F59" w:rsidP="00824FBD">
            <w:pPr>
              <w:jc w:val="both"/>
              <w:rPr>
                <w:rFonts w:ascii="Verdana" w:hAnsi="Verdana"/>
              </w:rPr>
            </w:pPr>
            <w:r w:rsidRPr="00824FBD">
              <w:rPr>
                <w:rFonts w:ascii="Verdana" w:eastAsia="Verdana" w:hAnsi="Verdana" w:cs="Verdana"/>
                <w:b/>
                <w:bCs/>
                <w:color w:val="000000" w:themeColor="text1"/>
              </w:rPr>
              <w:t>Temas:</w:t>
            </w:r>
            <w:r w:rsidRPr="00824FBD">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4A7ABE61" w14:textId="77777777" w:rsidR="00327F59" w:rsidRPr="00824FBD" w:rsidRDefault="00327F59" w:rsidP="00D813F7">
            <w:pPr>
              <w:jc w:val="both"/>
              <w:rPr>
                <w:rFonts w:ascii="Verdana" w:eastAsia="Calibri" w:hAnsi="Verdana" w:cs="Arial"/>
              </w:rPr>
            </w:pPr>
            <w:r w:rsidRPr="00824FBD">
              <w:rPr>
                <w:rFonts w:ascii="Verdana" w:eastAsia="Calibri" w:hAnsi="Verdana" w:cs="Arial"/>
              </w:rPr>
              <w:t>CESIÓN – Participación – Tercero – Autorización previa – Cumplimiento de requisitos / CESIÓN – Participación – Facultad de autorización – Entidad contratante – Alcance – Decisión motivada</w:t>
            </w:r>
          </w:p>
          <w:p w14:paraId="61E67729" w14:textId="77777777" w:rsidR="00327F59" w:rsidRPr="00D813F7" w:rsidRDefault="00327F59" w:rsidP="00D813F7">
            <w:pPr>
              <w:jc w:val="both"/>
              <w:rPr>
                <w:rFonts w:ascii="Verdana" w:hAnsi="Verdana"/>
                <w:highlight w:val="yellow"/>
              </w:rPr>
            </w:pPr>
          </w:p>
        </w:tc>
      </w:tr>
      <w:tr w:rsidR="00327F59" w:rsidRPr="00824FBD" w14:paraId="2C554D66" w14:textId="77777777" w:rsidTr="003C710A">
        <w:trPr>
          <w:trHeight w:val="660"/>
        </w:trPr>
        <w:tc>
          <w:tcPr>
            <w:tcW w:w="2265" w:type="dxa"/>
            <w:shd w:val="clear" w:color="auto" w:fill="FFFFFF" w:themeFill="background1"/>
            <w:tcMar>
              <w:left w:w="108" w:type="dxa"/>
              <w:right w:w="108" w:type="dxa"/>
            </w:tcMar>
          </w:tcPr>
          <w:p w14:paraId="14F29506" w14:textId="77777777" w:rsidR="00327F59" w:rsidRPr="00D813F7" w:rsidRDefault="00327F59" w:rsidP="00824FBD">
            <w:pPr>
              <w:jc w:val="both"/>
              <w:rPr>
                <w:rFonts w:ascii="Verdana" w:hAnsi="Verdana"/>
              </w:rPr>
            </w:pPr>
            <w:r w:rsidRPr="00824FBD">
              <w:rPr>
                <w:rFonts w:ascii="Verdana" w:eastAsia="Verdana" w:hAnsi="Verdana" w:cs="Verdana"/>
                <w:b/>
                <w:bCs/>
                <w:color w:val="000000" w:themeColor="text1"/>
              </w:rPr>
              <w:t>Radicación:</w:t>
            </w:r>
            <w:r w:rsidRPr="00824FBD">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94BCF1D" w14:textId="77777777" w:rsidR="00327F59" w:rsidRPr="00D813F7" w:rsidRDefault="00327F59" w:rsidP="00824FBD">
            <w:pPr>
              <w:ind w:right="1"/>
              <w:jc w:val="both"/>
              <w:rPr>
                <w:rFonts w:ascii="Verdana" w:hAnsi="Verdana"/>
              </w:rPr>
            </w:pPr>
            <w:r w:rsidRPr="00824FBD">
              <w:rPr>
                <w:rFonts w:ascii="Verdana" w:eastAsia="Verdana" w:hAnsi="Verdana" w:cs="Verdana"/>
                <w:color w:val="000000" w:themeColor="text1"/>
              </w:rPr>
              <w:t>Respuesta a consulta con radicado N.º 1_2026_08_26_011395.</w:t>
            </w:r>
          </w:p>
        </w:tc>
      </w:tr>
    </w:tbl>
    <w:p w14:paraId="5F870EEE" w14:textId="77777777" w:rsidR="00327F59" w:rsidRPr="00824FBD" w:rsidRDefault="00327F59" w:rsidP="00D813F7">
      <w:pPr>
        <w:spacing w:after="0" w:line="276" w:lineRule="auto"/>
        <w:jc w:val="both"/>
        <w:textAlignment w:val="baseline"/>
        <w:rPr>
          <w:rFonts w:ascii="Verdana" w:eastAsia="Verdana" w:hAnsi="Verdana" w:cs="Verdana"/>
          <w:b/>
          <w:bCs/>
          <w:color w:val="000000" w:themeColor="text1"/>
          <w:lang w:val="es"/>
        </w:rPr>
      </w:pPr>
    </w:p>
    <w:p w14:paraId="5B54A83C" w14:textId="77777777" w:rsidR="00327F59" w:rsidRPr="0015699B" w:rsidRDefault="00327F59" w:rsidP="0068027C">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a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a Agudelo</w:t>
      </w:r>
      <w:r w:rsidRPr="40A87941">
        <w:rPr>
          <w:rFonts w:ascii="Verdana" w:eastAsia="Verdana" w:hAnsi="Verdana" w:cs="Verdana"/>
          <w:color w:val="000000" w:themeColor="text1"/>
          <w:lang w:val="es"/>
        </w:rPr>
        <w:t>;</w:t>
      </w:r>
    </w:p>
    <w:p w14:paraId="59C6F597" w14:textId="77777777" w:rsidR="00327F59" w:rsidRDefault="00327F59" w:rsidP="00D813F7">
      <w:pPr>
        <w:spacing w:after="0" w:line="276" w:lineRule="auto"/>
        <w:jc w:val="both"/>
        <w:textAlignment w:val="baseline"/>
        <w:rPr>
          <w:rFonts w:ascii="Verdana" w:eastAsia="Verdana" w:hAnsi="Verdana" w:cs="Verdana"/>
          <w:color w:val="000000" w:themeColor="text1"/>
          <w:lang w:val="es-ES"/>
        </w:rPr>
      </w:pPr>
    </w:p>
    <w:p w14:paraId="40C87BFF" w14:textId="2E2B9E1C" w:rsidR="00327F59" w:rsidRDefault="00327F59" w:rsidP="0068027C">
      <w:pPr>
        <w:spacing w:after="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27</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5A5D65A5" w14:textId="77777777" w:rsidR="0068027C" w:rsidRDefault="0068027C" w:rsidP="00D813F7">
      <w:pPr>
        <w:spacing w:after="0" w:line="276" w:lineRule="auto"/>
        <w:jc w:val="both"/>
        <w:textAlignment w:val="baseline"/>
        <w:rPr>
          <w:rFonts w:ascii="Verdana" w:eastAsia="Verdana" w:hAnsi="Verdana" w:cs="Verdana"/>
          <w:color w:val="000000" w:themeColor="text1"/>
          <w:lang w:val="es-ES"/>
        </w:rPr>
      </w:pPr>
    </w:p>
    <w:p w14:paraId="6649ACD1" w14:textId="77777777" w:rsidR="00327F59" w:rsidRPr="00D813F7" w:rsidRDefault="00327F59" w:rsidP="00D813F7">
      <w:pPr>
        <w:spacing w:after="0" w:line="240" w:lineRule="auto"/>
        <w:ind w:left="709" w:right="709"/>
        <w:jc w:val="both"/>
        <w:textAlignment w:val="baseline"/>
        <w:rPr>
          <w:rFonts w:ascii="Verdana" w:eastAsia="Verdana" w:hAnsi="Verdana" w:cs="Verdana"/>
          <w:color w:val="000000" w:themeColor="text1"/>
          <w:sz w:val="20"/>
          <w:szCs w:val="20"/>
        </w:rPr>
      </w:pPr>
      <w:r w:rsidRPr="00D813F7">
        <w:rPr>
          <w:rFonts w:ascii="Verdana" w:eastAsia="Verdana" w:hAnsi="Verdana" w:cs="Verdana"/>
          <w:color w:val="000000" w:themeColor="text1"/>
          <w:sz w:val="20"/>
          <w:szCs w:val="20"/>
        </w:rPr>
        <w:t>“ Me permito solicitar a la Agencia Nacional de Contratación Pública – Colombia Compra Eficiente concepto respecto de la siguiente cuestión:</w:t>
      </w:r>
    </w:p>
    <w:p w14:paraId="3377BD32" w14:textId="694CF03E" w:rsidR="00327F59" w:rsidRDefault="00327F59" w:rsidP="0068027C">
      <w:pPr>
        <w:spacing w:after="0" w:line="240" w:lineRule="auto"/>
        <w:ind w:left="709" w:right="709"/>
        <w:jc w:val="both"/>
        <w:textAlignment w:val="baseline"/>
        <w:rPr>
          <w:rFonts w:ascii="Verdana" w:eastAsia="Verdana" w:hAnsi="Verdana" w:cs="Verdana"/>
          <w:color w:val="000000" w:themeColor="text1"/>
          <w:sz w:val="20"/>
          <w:szCs w:val="20"/>
        </w:rPr>
      </w:pPr>
      <w:r w:rsidRPr="00D813F7">
        <w:rPr>
          <w:rFonts w:ascii="Verdana" w:eastAsia="Verdana" w:hAnsi="Verdana" w:cs="Verdana"/>
          <w:color w:val="000000" w:themeColor="text1"/>
          <w:sz w:val="20"/>
          <w:szCs w:val="20"/>
        </w:rPr>
        <w:t xml:space="preserve">¿Es legal y jurídicamente procedente que una entidad estatal apruebe una cesión de participación cuando se encuentran debidamente acreditados y cumplidos todos los requisitos establecidos para tal efecto en el pliego de condiciones? Agradezco precisar el alcance jurídico de la actuación de la </w:t>
      </w:r>
      <w:r w:rsidRPr="00D813F7">
        <w:rPr>
          <w:rFonts w:ascii="Verdana" w:eastAsia="Verdana" w:hAnsi="Verdana" w:cs="Verdana"/>
          <w:color w:val="000000" w:themeColor="text1"/>
          <w:sz w:val="20"/>
          <w:szCs w:val="20"/>
        </w:rPr>
        <w:lastRenderedPageBreak/>
        <w:t>entidad contratante frente al cumplimiento integral de las condiciones previamente establecidas en el pliego de condiciones para la procedencia de la cesión”.</w:t>
      </w:r>
    </w:p>
    <w:p w14:paraId="47A97794" w14:textId="77777777" w:rsidR="0068027C" w:rsidRPr="00D813F7" w:rsidRDefault="0068027C" w:rsidP="00D813F7">
      <w:pPr>
        <w:spacing w:after="0" w:line="276" w:lineRule="auto"/>
        <w:ind w:left="709" w:right="709"/>
        <w:jc w:val="both"/>
        <w:textAlignment w:val="baseline"/>
        <w:rPr>
          <w:rFonts w:ascii="Verdana" w:eastAsia="Verdana" w:hAnsi="Verdana" w:cs="Verdana"/>
          <w:color w:val="000000" w:themeColor="text1"/>
          <w:sz w:val="20"/>
          <w:szCs w:val="20"/>
        </w:rPr>
      </w:pPr>
    </w:p>
    <w:p w14:paraId="13A1F6E4" w14:textId="77777777" w:rsidR="00327F59" w:rsidRPr="0015699B" w:rsidRDefault="00327F59" w:rsidP="00D813F7">
      <w:pPr>
        <w:spacing w:after="120" w:line="276" w:lineRule="auto"/>
        <w:ind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4789467E" w14:textId="77777777" w:rsidR="00327F59" w:rsidRPr="0015699B" w:rsidRDefault="00327F59" w:rsidP="00D813F7">
      <w:pPr>
        <w:spacing w:after="0" w:line="276" w:lineRule="auto"/>
        <w:ind w:firstLine="708"/>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8623C6B" w14:textId="77777777" w:rsidR="00327F59" w:rsidRDefault="00327F59" w:rsidP="0068027C">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BB4BD3E" w14:textId="77777777" w:rsidR="00327F59" w:rsidRPr="0015699B" w:rsidRDefault="00327F59" w:rsidP="00D813F7">
      <w:pPr>
        <w:pStyle w:val="Prrafodelista"/>
        <w:numPr>
          <w:ilvl w:val="0"/>
          <w:numId w:val="16"/>
        </w:numPr>
        <w:spacing w:after="0" w:line="276" w:lineRule="auto"/>
        <w:ind w:left="567"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 planteado:</w:t>
      </w:r>
    </w:p>
    <w:p w14:paraId="0FCCF4C7" w14:textId="77777777" w:rsidR="00327F59" w:rsidRPr="0015699B" w:rsidRDefault="00327F59" w:rsidP="0068027C">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A581AF6" w14:textId="03D5E992" w:rsidR="00327F59" w:rsidRDefault="00327F59" w:rsidP="00D813F7">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w:t>
      </w:r>
      <w:r w:rsidR="0068027C">
        <w:rPr>
          <w:rFonts w:ascii="Verdana" w:eastAsia="Verdana" w:hAnsi="Verdana" w:cs="Verdana"/>
          <w:color w:val="000000" w:themeColor="text1"/>
        </w:rPr>
        <w:t xml:space="preserve"> </w:t>
      </w:r>
      <w:r w:rsidRPr="008E21C6">
        <w:rPr>
          <w:rFonts w:ascii="Verdana" w:eastAsia="Verdana" w:hAnsi="Verdana" w:cs="Verdana"/>
          <w:color w:val="000000" w:themeColor="text1"/>
        </w:rPr>
        <w:t>¿Es jurídicamente procedente que una entidad estatal autorice la cesión de participación de un integrante de un consorcio o unión temporal cuando se acreditan los requisitos previstos en el pliego de condiciones, y cuál es el alcance de la facultad de la entidad para autorizar o negar dicha cesión</w:t>
      </w:r>
      <w:r w:rsidRPr="00AC5D87">
        <w:rPr>
          <w:rFonts w:ascii="Verdana" w:eastAsia="Verdana" w:hAnsi="Verdana" w:cs="Verdana"/>
          <w:color w:val="000000" w:themeColor="text1"/>
        </w:rPr>
        <w:t>?</w:t>
      </w:r>
      <w:r>
        <w:rPr>
          <w:rFonts w:ascii="Verdana" w:eastAsia="Verdana" w:hAnsi="Verdana" w:cs="Verdana"/>
          <w:color w:val="000000" w:themeColor="text1"/>
        </w:rPr>
        <w:t>.</w:t>
      </w:r>
    </w:p>
    <w:p w14:paraId="210F36EC" w14:textId="77777777" w:rsidR="00327F59" w:rsidRPr="008F3FAA" w:rsidRDefault="00327F59" w:rsidP="0068027C">
      <w:pPr>
        <w:spacing w:after="0" w:line="276" w:lineRule="auto"/>
        <w:ind w:firstLine="360"/>
        <w:jc w:val="both"/>
        <w:textAlignment w:val="baseline"/>
        <w:rPr>
          <w:rFonts w:ascii="Verdana" w:eastAsia="Verdana" w:hAnsi="Verdana" w:cs="Verdana"/>
          <w:color w:val="000000" w:themeColor="text1"/>
          <w:lang w:val="es"/>
        </w:rPr>
      </w:pPr>
    </w:p>
    <w:p w14:paraId="5FBAB068" w14:textId="77777777" w:rsidR="00327F59" w:rsidRPr="0015699B" w:rsidRDefault="00327F59" w:rsidP="00D813F7">
      <w:pPr>
        <w:pStyle w:val="Prrafodelista"/>
        <w:numPr>
          <w:ilvl w:val="0"/>
          <w:numId w:val="16"/>
        </w:numPr>
        <w:spacing w:after="0" w:line="276"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180E7A39" w14:textId="77777777" w:rsidR="00327F59" w:rsidRPr="0015699B" w:rsidRDefault="00327F59" w:rsidP="0068027C">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327F59" w14:paraId="427EE5D5" w14:textId="77777777" w:rsidTr="003C710A">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7E739A85" w14:textId="406E27AF" w:rsidR="00327F59" w:rsidRPr="00BE2891" w:rsidRDefault="00327F59" w:rsidP="0023690C">
            <w:pPr>
              <w:spacing w:after="120" w:line="276" w:lineRule="auto"/>
              <w:jc w:val="both"/>
              <w:rPr>
                <w:rFonts w:ascii="Verdana" w:eastAsia="Verdana" w:hAnsi="Verdana" w:cs="Verdana"/>
              </w:rPr>
            </w:pPr>
            <w:r w:rsidRPr="00BE2891">
              <w:rPr>
                <w:rFonts w:ascii="Verdana" w:eastAsia="Verdana" w:hAnsi="Verdana" w:cs="Verdana"/>
              </w:rPr>
              <w:t xml:space="preserve">La cesión de participación de un integrante de un consorcio o unión temporal no constituye una actuación que produzca efectos automáticos por la sola acreditación de determinados requisitos documentales ni por la simple </w:t>
            </w:r>
            <w:r w:rsidRPr="00BE2891">
              <w:rPr>
                <w:rFonts w:ascii="Verdana" w:eastAsia="Verdana" w:hAnsi="Verdana" w:cs="Verdana"/>
              </w:rPr>
              <w:lastRenderedPageBreak/>
              <w:t>manifestación de voluntad de las partes interesadas. El ordenamiento jurídico exige la autorización previa y escrita de la entidad contratante, circunstancia que demuestra que la cesión se encuentra sometida a una valoración administrativa previa respecto de su procedencia y de sus efectos sobre la ejecución contractual.</w:t>
            </w:r>
          </w:p>
          <w:p w14:paraId="33FBDAE6" w14:textId="77777777" w:rsidR="00327F59" w:rsidRPr="00BE2891" w:rsidRDefault="00327F59" w:rsidP="0023690C">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Sin embargo, la existencia de esta autorización no significa que la entidad estatal disponga de una facultad discrecional absoluta para aceptar o rechazar la solicitud. La competencia atribuida a la administración debe ejercerse con observancia de los principios de transparencia, buena fe, responsabilidad, igualdad, economía y selección objetiva, así como de las reglas específicas que la propia entidad haya establecido en el pliego de condiciones y en los demás documentos que regulan el proceso contractual.</w:t>
            </w:r>
          </w:p>
          <w:p w14:paraId="600989B0" w14:textId="77777777" w:rsidR="00327F59" w:rsidRPr="00BE2891" w:rsidRDefault="00327F59" w:rsidP="0023690C">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En este sentido, cuando el pliego de condiciones prevé expresamente los requisitos, condiciones y presupuestos necesarios para la procedencia de una cesión de participación y el interesado acredita de manera integral su cumplimiento, la entidad no puede desconocer arbitrariamente tales circunstancias ni apartarse inmotivadamente de las reglas previamente definidas para regular dicha actuación. Lo contrario implicaría desconocer la fuerza vinculante de los pliegos de condiciones, afectar la confianza legítima de los contratistas y vaciar de contenido las condiciones que la propia administración estableció para la procedencia de la cesión.</w:t>
            </w:r>
          </w:p>
          <w:p w14:paraId="68F4007F" w14:textId="77777777" w:rsidR="00327F59" w:rsidRPr="00BE2891" w:rsidRDefault="00327F59" w:rsidP="0023690C">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La autorización exigida por el artículo 9 de la Ley 80 de 1993 debe interpretarse como un mecanismo de control orientado a verificar que la modificación subjetiva propuesta resulte compatible con el interés general, la adecuada ejecución del contrato y la preservación de las condiciones esenciales que sirvieron de fundamento para la selección del contratista. Por esta razón, la entidad conserva la facultad de examinar la solicitud y de verificar que el cesionario reúna las condiciones jurídicas, técnicas, financieras y de experiencia exigidas por el ordenamiento jurídico y por los documentos contractuales.</w:t>
            </w:r>
          </w:p>
          <w:p w14:paraId="73C406FD" w14:textId="77777777" w:rsidR="00327F59" w:rsidRPr="00BE2891" w:rsidRDefault="00327F59" w:rsidP="0023690C">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 xml:space="preserve">No obstante, una vez acreditado el cumplimiento de tales exigencias, la administración no puede fundamentar una eventual negativa exclusivamente en consideraciones subjetivas o en razones que contradigan las condiciones previamente establecidas en el pliego de condiciones. La existencia de una </w:t>
            </w:r>
            <w:r w:rsidRPr="00BE2891">
              <w:rPr>
                <w:rFonts w:ascii="Verdana" w:eastAsia="Verdana" w:hAnsi="Verdana" w:cs="Verdana"/>
              </w:rPr>
              <w:lastRenderedPageBreak/>
              <w:t>facultad de autorización no habilita a la entidad para modificar durante la ejecución contractual los requisitos originalmente definidos ni para incorporar exigencias adicionales que no fueron previstas en los documentos del proceso.</w:t>
            </w:r>
          </w:p>
          <w:p w14:paraId="77DCB9A5" w14:textId="77777777" w:rsidR="00327F59" w:rsidRPr="00BE2891" w:rsidRDefault="00327F59" w:rsidP="0023690C">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Sobre este particular, la Agencia Nacional de Contratación Pública – Colombia Compra Eficiente, en el Concepto C-1032 del 11 de agosto de 2026, sostuvo que cuando el ordenamiento prevé un mecanismo específico para alcanzar una determinada finalidad contractual, la actuación de la entidad debe interpretarse sistemáticamente a la luz de los principios de la contratación estatal, evitando decisiones que vacíen de contenido las instituciones previstas por el legislador o que desconozcan las consecuencias jurídicas derivadas del cumplimiento de las condiciones establecidas para su procedencia. Dicha interpretación resulta aplicable al análisis de las solicitudes de cesión de participación, en la medida en que la autorización administrativa debe ejercerse conforme a criterios objetivos, razonables y compatibles con las reglas previamente definidas para regular dicha actuación.</w:t>
            </w:r>
          </w:p>
          <w:p w14:paraId="69CAFA15" w14:textId="77777777" w:rsidR="00327F59" w:rsidRPr="00BA2580" w:rsidRDefault="00327F59" w:rsidP="0023690C">
            <w:pPr>
              <w:spacing w:after="120" w:line="276" w:lineRule="auto"/>
              <w:ind w:firstLine="708"/>
              <w:jc w:val="both"/>
              <w:rPr>
                <w:rFonts w:ascii="Verdana" w:eastAsia="Aptos" w:hAnsi="Verdana" w:cs="Times New Roman"/>
                <w:kern w:val="2"/>
                <w14:ligatures w14:val="standardContextual"/>
              </w:rPr>
            </w:pPr>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2AE8DD4F" w14:textId="77777777" w:rsidR="00327F59" w:rsidRPr="00F87343" w:rsidRDefault="00327F59" w:rsidP="00D813F7">
            <w:pPr>
              <w:spacing w:after="120" w:line="276" w:lineRule="auto"/>
              <w:ind w:firstLine="708"/>
              <w:jc w:val="both"/>
              <w:rPr>
                <w:rFonts w:ascii="Verdana" w:hAnsi="Verdana" w:cs="Arial"/>
                <w:lang w:eastAsia="es-ES"/>
              </w:rPr>
            </w:pPr>
            <w:r w:rsidRPr="00BA2580">
              <w:rPr>
                <w:rFonts w:ascii="Verdana" w:eastAsia="Calibri" w:hAnsi="Verdana" w:cs="Arial"/>
                <w:bCs/>
                <w:color w:val="000000"/>
                <w:kern w:val="2"/>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943F6D2" w14:textId="77777777" w:rsidR="00327F59" w:rsidRPr="0015699B" w:rsidRDefault="00327F59" w:rsidP="003F27B7">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5F6092FB" w14:textId="77777777" w:rsidR="00327F59" w:rsidRDefault="00327F59" w:rsidP="003F27B7">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Razones de la respuesta:</w:t>
      </w:r>
    </w:p>
    <w:p w14:paraId="16F385F9" w14:textId="77777777" w:rsidR="00327F59" w:rsidRDefault="00327F59" w:rsidP="003F27B7">
      <w:pPr>
        <w:spacing w:after="0" w:line="276" w:lineRule="auto"/>
        <w:jc w:val="both"/>
        <w:textAlignment w:val="baseline"/>
        <w:rPr>
          <w:rFonts w:ascii="Verdana" w:eastAsia="Verdana" w:hAnsi="Verdana" w:cs="Verdana"/>
          <w:b/>
          <w:bCs/>
          <w:color w:val="000000" w:themeColor="text1"/>
          <w:lang w:val="es"/>
        </w:rPr>
      </w:pPr>
    </w:p>
    <w:p w14:paraId="17674C52" w14:textId="77777777" w:rsidR="00327F59" w:rsidRPr="001E1DB9" w:rsidRDefault="00327F59" w:rsidP="003F27B7">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70E7955E" w14:textId="77777777" w:rsidR="00327F59" w:rsidRPr="0015699B" w:rsidRDefault="00327F59" w:rsidP="003F27B7">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9523C8E" w14:textId="426F4D92" w:rsidR="003F27B7" w:rsidRDefault="00327F59" w:rsidP="00D813F7">
      <w:pPr>
        <w:spacing w:after="120" w:line="276" w:lineRule="auto"/>
        <w:jc w:val="both"/>
        <w:rPr>
          <w:rFonts w:ascii="Verdana" w:eastAsia="Verdana" w:hAnsi="Verdana" w:cs="Verdana"/>
          <w:highlight w:val="white"/>
        </w:rPr>
      </w:pPr>
      <w:r w:rsidRPr="00E7284C">
        <w:rPr>
          <w:rFonts w:ascii="Verdana" w:eastAsia="Verdana" w:hAnsi="Verdana" w:cs="Verdana"/>
        </w:rPr>
        <w:t xml:space="preserve">La Agencia Nacional de Contratación Pública – Colombia Compra Eficiente </w:t>
      </w:r>
      <w:bookmarkStart w:id="1" w:name="_Hlk35876968"/>
      <w:bookmarkStart w:id="2" w:name="_Hlk98159514"/>
      <w:r w:rsidRPr="000565B4">
        <w:rPr>
          <w:rFonts w:ascii="Verdana" w:eastAsia="Verdana" w:hAnsi="Verdana" w:cs="Verdana"/>
          <w:highlight w:val="white"/>
          <w:vertAlign w:val="superscript"/>
        </w:rPr>
        <w:footnoteReference w:id="1"/>
      </w:r>
      <w:r w:rsidRPr="000565B4">
        <w:rPr>
          <w:rFonts w:ascii="Verdana" w:eastAsia="Verdana" w:hAnsi="Verdana" w:cs="Verdana"/>
          <w:highlight w:val="white"/>
        </w:rPr>
        <w:t xml:space="preserve"> ha resaltado que 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subentra en la relación con el cedido […]”</w:t>
      </w:r>
      <w:r w:rsidRPr="000565B4">
        <w:rPr>
          <w:rFonts w:ascii="Verdana" w:eastAsia="Verdana" w:hAnsi="Verdana" w:cs="Verdana"/>
          <w:highlight w:val="white"/>
          <w:vertAlign w:val="superscript"/>
        </w:rPr>
        <w:footnoteReference w:id="2"/>
      </w:r>
      <w:r w:rsidRPr="000565B4">
        <w:rPr>
          <w:rFonts w:ascii="Verdana" w:eastAsia="Verdana" w:hAnsi="Verdana" w:cs="Verdana"/>
          <w:highlight w:val="white"/>
        </w:rPr>
        <w:t>. Por otro, “[…] es la transferencia de la posición contractual de un contratante a otro sujeto, que le subentra en la relación con la contraparte […]”</w:t>
      </w:r>
      <w:r w:rsidRPr="000565B4">
        <w:rPr>
          <w:rFonts w:ascii="Verdana" w:eastAsia="Verdana" w:hAnsi="Verdana" w:cs="Verdana"/>
          <w:highlight w:val="white"/>
          <w:vertAlign w:val="superscript"/>
        </w:rPr>
        <w:footnoteReference w:id="3"/>
      </w:r>
      <w:r w:rsidRPr="000565B4">
        <w:rPr>
          <w:rFonts w:ascii="Verdana" w:eastAsia="Verdana" w:hAnsi="Verdana" w:cs="Verdana"/>
          <w:highlight w:val="white"/>
        </w:rPr>
        <w:t xml:space="preserve">. De esta manera, concurren tres (3) sujetos: i) el cedente, esto es, el contratista inicial; ii) el cesionario, es decir, quien asume total o parcialmente los derechos y obligaciones de este último; y iii) el cedido que, en el caso de los contratos estatales, sería la entidad que suscribió el contrato. </w:t>
      </w:r>
    </w:p>
    <w:p w14:paraId="7F5A1E19" w14:textId="18CF71EC" w:rsidR="00327F59" w:rsidRPr="000565B4" w:rsidRDefault="00327F59" w:rsidP="00D813F7">
      <w:pPr>
        <w:spacing w:after="0" w:line="276" w:lineRule="auto"/>
        <w:ind w:firstLine="708"/>
        <w:jc w:val="both"/>
        <w:rPr>
          <w:rFonts w:ascii="Verdana" w:eastAsia="Verdana" w:hAnsi="Verdana" w:cs="Verdana"/>
          <w:highlight w:val="white"/>
        </w:rPr>
      </w:pPr>
      <w:r w:rsidRPr="000565B4">
        <w:rPr>
          <w:rFonts w:ascii="Verdana" w:eastAsia="Verdana" w:hAnsi="Verdana" w:cs="Verdana"/>
          <w:highlight w:val="white"/>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 En efecto:</w:t>
      </w:r>
    </w:p>
    <w:p w14:paraId="3F41951A" w14:textId="77777777" w:rsidR="00327F59" w:rsidRPr="000565B4" w:rsidRDefault="00327F59" w:rsidP="00327F59">
      <w:pPr>
        <w:spacing w:after="0" w:line="276" w:lineRule="auto"/>
        <w:ind w:firstLine="708"/>
        <w:jc w:val="both"/>
        <w:rPr>
          <w:rFonts w:ascii="Verdana" w:eastAsia="Verdana" w:hAnsi="Verdana" w:cs="Verdana"/>
          <w:highlight w:val="white"/>
        </w:rPr>
      </w:pPr>
    </w:p>
    <w:p w14:paraId="5201CF33" w14:textId="77777777" w:rsidR="00327F59" w:rsidRPr="000565B4" w:rsidRDefault="00327F59" w:rsidP="00327F59">
      <w:pPr>
        <w:tabs>
          <w:tab w:val="left" w:pos="709"/>
        </w:tabs>
        <w:spacing w:after="0" w:line="240" w:lineRule="auto"/>
        <w:ind w:left="709" w:right="709"/>
        <w:jc w:val="both"/>
        <w:rPr>
          <w:rFonts w:ascii="Verdana" w:eastAsia="Verdana" w:hAnsi="Verdana" w:cs="Verdana"/>
          <w:sz w:val="20"/>
          <w:szCs w:val="20"/>
          <w:highlight w:val="white"/>
        </w:rPr>
      </w:pPr>
      <w:r w:rsidRPr="000565B4">
        <w:rPr>
          <w:rFonts w:ascii="Verdana" w:eastAsia="Verdana" w:hAnsi="Verdana" w:cs="Verdana"/>
          <w:sz w:val="20"/>
          <w:szCs w:val="20"/>
          <w:highlight w:val="white"/>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0565B4">
        <w:rPr>
          <w:rFonts w:ascii="Verdana" w:eastAsia="Verdana" w:hAnsi="Verdana" w:cs="Verdana"/>
          <w:sz w:val="20"/>
          <w:szCs w:val="20"/>
          <w:highlight w:val="white"/>
          <w:vertAlign w:val="superscript"/>
        </w:rPr>
        <w:footnoteReference w:id="4"/>
      </w:r>
      <w:r w:rsidRPr="000565B4">
        <w:rPr>
          <w:rFonts w:ascii="Verdana" w:eastAsia="Verdana" w:hAnsi="Verdana" w:cs="Verdana"/>
          <w:sz w:val="20"/>
          <w:szCs w:val="20"/>
          <w:highlight w:val="white"/>
        </w:rPr>
        <w:t>.</w:t>
      </w:r>
    </w:p>
    <w:p w14:paraId="2A76BFAE" w14:textId="77777777" w:rsidR="00327F59" w:rsidRPr="000565B4" w:rsidRDefault="00327F59" w:rsidP="00327F59">
      <w:pPr>
        <w:spacing w:after="0" w:line="276" w:lineRule="auto"/>
        <w:ind w:firstLine="709"/>
        <w:jc w:val="both"/>
        <w:rPr>
          <w:rFonts w:ascii="Verdana" w:eastAsia="Verdana" w:hAnsi="Verdana" w:cs="Verdana"/>
          <w:highlight w:val="white"/>
        </w:rPr>
      </w:pPr>
    </w:p>
    <w:p w14:paraId="28A43C1F" w14:textId="77777777" w:rsidR="00327F59" w:rsidRPr="000565B4" w:rsidRDefault="00327F59" w:rsidP="00327F59">
      <w:pPr>
        <w:spacing w:after="120" w:line="276" w:lineRule="auto"/>
        <w:ind w:firstLine="708"/>
        <w:jc w:val="both"/>
        <w:rPr>
          <w:rFonts w:ascii="Verdana" w:eastAsia="Verdana" w:hAnsi="Verdana" w:cs="Verdana"/>
          <w:highlight w:val="white"/>
        </w:rPr>
      </w:pPr>
      <w:r w:rsidRPr="000565B4">
        <w:rPr>
          <w:rFonts w:ascii="Verdana" w:eastAsia="Verdana" w:hAnsi="Verdana" w:cs="Verdana"/>
          <w:highlight w:val="white"/>
        </w:rPr>
        <w:t xml:space="preserve">En este sentido, el </w:t>
      </w:r>
      <w:r>
        <w:rPr>
          <w:rFonts w:ascii="Verdana" w:eastAsia="Verdana" w:hAnsi="Verdana" w:cs="Verdana"/>
          <w:highlight w:val="white"/>
        </w:rPr>
        <w:t xml:space="preserve">EGCAP </w:t>
      </w:r>
      <w:r w:rsidRPr="000565B4">
        <w:rPr>
          <w:rFonts w:ascii="Verdana" w:eastAsia="Verdana" w:hAnsi="Verdana" w:cs="Verdana"/>
          <w:highlight w:val="white"/>
        </w:rPr>
        <w:t>establece disposiciones específicas relativas a la institución de la cesión contractual. Por ejemplo, el artículo 41, inciso tercero del EGCAP prescribe que “Los contratos estatales son</w:t>
      </w:r>
      <w:r w:rsidRPr="000565B4">
        <w:rPr>
          <w:rFonts w:ascii="Verdana" w:eastAsia="Verdana" w:hAnsi="Verdana" w:cs="Verdana"/>
          <w:i/>
          <w:iCs/>
          <w:highlight w:val="white"/>
        </w:rPr>
        <w:t xml:space="preserve"> intuito personae </w:t>
      </w:r>
      <w:r w:rsidRPr="000565B4">
        <w:rPr>
          <w:rFonts w:ascii="Verdana" w:eastAsia="Verdana" w:hAnsi="Verdana" w:cs="Verdana"/>
          <w:highlight w:val="white"/>
        </w:rPr>
        <w:t>y, en consecuencia, una vez celebrados no podrán cederse sin previa autorización escrita de la entidad contratante”. Esta norma contiene una prohibición general –faceta negativa– y una autorización excepcional –faceta positiva–.</w:t>
      </w:r>
    </w:p>
    <w:p w14:paraId="3FA336CC" w14:textId="42FFBBAC" w:rsidR="00327F59" w:rsidRPr="000565B4" w:rsidRDefault="00327F59" w:rsidP="00327F59">
      <w:pPr>
        <w:tabs>
          <w:tab w:val="left" w:pos="709"/>
        </w:tabs>
        <w:spacing w:after="120" w:line="276" w:lineRule="auto"/>
        <w:jc w:val="both"/>
        <w:rPr>
          <w:rFonts w:ascii="Century Gothic" w:eastAsia="Century Gothic" w:hAnsi="Century Gothic" w:cs="Century Gothic"/>
          <w:color w:val="000000"/>
        </w:rPr>
      </w:pPr>
      <w:r w:rsidRPr="000565B4">
        <w:rPr>
          <w:rFonts w:ascii="Verdana" w:eastAsia="Verdana" w:hAnsi="Verdana" w:cs="Verdana"/>
          <w:highlight w:val="white"/>
        </w:rPr>
        <w:tab/>
        <w:t xml:space="preserve">En lo que respecta a la faceta negativa, el artículo 41 del </w:t>
      </w:r>
      <w:r w:rsidR="003F27B7">
        <w:rPr>
          <w:rFonts w:ascii="Verdana" w:eastAsia="Verdana" w:hAnsi="Verdana" w:cs="Verdana"/>
          <w:highlight w:val="white"/>
        </w:rPr>
        <w:t>ibídem</w:t>
      </w:r>
      <w:r w:rsidRPr="000565B4">
        <w:rPr>
          <w:rFonts w:ascii="Verdana" w:eastAsia="Verdana" w:hAnsi="Verdana" w:cs="Verdana"/>
          <w:highlight w:val="white"/>
        </w:rPr>
        <w:t xml:space="preserve">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uno de los elementos de la naturaleza del contrato estatal, pues –conforme a lo previsto en el artículo 1501 del Código Civil– es de aquellos “[…] que no siendo esenciales en él, se entienden pertenecerle, sin necesidad de una cláusula especial […]</w:t>
      </w:r>
      <w:r w:rsidRPr="000565B4">
        <w:rPr>
          <w:rFonts w:ascii="Century Gothic" w:eastAsia="Century Gothic" w:hAnsi="Century Gothic" w:cs="Century Gothic"/>
          <w:color w:val="000000"/>
        </w:rPr>
        <w:t>”</w:t>
      </w:r>
      <w:r w:rsidRPr="000565B4">
        <w:rPr>
          <w:rFonts w:ascii="Century Gothic" w:eastAsia="Century Gothic" w:hAnsi="Century Gothic" w:cs="Century Gothic"/>
          <w:color w:val="000000"/>
          <w:vertAlign w:val="superscript"/>
        </w:rPr>
        <w:footnoteReference w:id="5"/>
      </w:r>
      <w:r w:rsidRPr="000565B4">
        <w:rPr>
          <w:rFonts w:ascii="Century Gothic" w:eastAsia="Century Gothic" w:hAnsi="Century Gothic" w:cs="Century Gothic"/>
          <w:color w:val="000000"/>
        </w:rPr>
        <w:t xml:space="preserve">.  </w:t>
      </w:r>
    </w:p>
    <w:p w14:paraId="7379F929" w14:textId="77777777" w:rsidR="00327F59" w:rsidRPr="000565B4" w:rsidRDefault="00327F59" w:rsidP="00327F59">
      <w:pPr>
        <w:spacing w:after="0" w:line="276" w:lineRule="auto"/>
        <w:ind w:firstLine="708"/>
        <w:jc w:val="both"/>
        <w:rPr>
          <w:rFonts w:ascii="Century Gothic" w:eastAsia="Century Gothic" w:hAnsi="Century Gothic" w:cs="Century Gothic"/>
          <w:color w:val="000000"/>
        </w:rPr>
      </w:pPr>
      <w:r w:rsidRPr="000565B4">
        <w:rPr>
          <w:rFonts w:ascii="Verdana" w:eastAsia="Verdana" w:hAnsi="Verdana" w:cs="Verdana"/>
          <w:highlight w:val="white"/>
        </w:rPr>
        <w:t>En su faceta positiva, la Ley 80 de 1993 permite excepcionalmente la cesión del contrato estatal siempre que exista autorización previa escrita de la entidad contratante. Por ello, “[…] El cocontratante que ‘ceda’ el contrato sin estar autorizado para ello incurre en grave responsabilidad: su actitud implica ‘incumplimiento’ del contrato; de ahí que esa cesión ilícita no resulte oponible a la Administración Pública […]”</w:t>
      </w:r>
      <w:r w:rsidRPr="000565B4">
        <w:rPr>
          <w:rFonts w:ascii="Verdana" w:eastAsia="Verdana" w:hAnsi="Verdana" w:cs="Verdana"/>
          <w:highlight w:val="white"/>
          <w:vertAlign w:val="superscript"/>
        </w:rPr>
        <w:footnoteReference w:id="6"/>
      </w:r>
      <w:r w:rsidRPr="000565B4">
        <w:rPr>
          <w:rFonts w:ascii="Verdana" w:eastAsia="Verdana" w:hAnsi="Verdana" w:cs="Verdana"/>
          <w:highlight w:val="white"/>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w:t>
      </w:r>
      <w:r w:rsidRPr="000565B4">
        <w:rPr>
          <w:rFonts w:ascii="Verdana" w:eastAsia="Verdana" w:hAnsi="Verdana" w:cs="Verdana"/>
          <w:highlight w:val="white"/>
        </w:rPr>
        <w:lastRenderedPageBreak/>
        <w:t>contratante cedido. En relación con lo anterior la doctrina define la cesión en los contratos estatales de la siguiente manera:</w:t>
      </w:r>
    </w:p>
    <w:p w14:paraId="29589DEB" w14:textId="77777777" w:rsidR="00327F59" w:rsidRPr="000565B4" w:rsidRDefault="00327F59" w:rsidP="00327F59">
      <w:pPr>
        <w:spacing w:after="0" w:line="276" w:lineRule="auto"/>
        <w:ind w:firstLine="708"/>
        <w:jc w:val="both"/>
        <w:rPr>
          <w:rFonts w:ascii="Century Gothic" w:eastAsia="Century Gothic" w:hAnsi="Century Gothic" w:cs="Century Gothic"/>
          <w:color w:val="000000"/>
          <w:sz w:val="20"/>
          <w:szCs w:val="20"/>
        </w:rPr>
      </w:pPr>
      <w:r w:rsidRPr="000565B4">
        <w:rPr>
          <w:rFonts w:ascii="Century Gothic" w:eastAsia="Century Gothic" w:hAnsi="Century Gothic" w:cs="Century Gothic"/>
          <w:color w:val="000000"/>
          <w:sz w:val="20"/>
          <w:szCs w:val="20"/>
        </w:rPr>
        <w:t xml:space="preserve"> </w:t>
      </w:r>
    </w:p>
    <w:p w14:paraId="47AF1C4F" w14:textId="77777777" w:rsidR="00327F59" w:rsidRPr="000565B4" w:rsidRDefault="00327F59" w:rsidP="00327F59">
      <w:pPr>
        <w:spacing w:after="0" w:line="240" w:lineRule="auto"/>
        <w:ind w:left="709" w:right="709"/>
        <w:jc w:val="both"/>
        <w:rPr>
          <w:rFonts w:ascii="Verdana" w:eastAsia="Verdana" w:hAnsi="Verdana" w:cs="Verdana"/>
          <w:color w:val="000000"/>
          <w:sz w:val="20"/>
          <w:szCs w:val="20"/>
        </w:rPr>
      </w:pPr>
      <w:r w:rsidRPr="000565B4">
        <w:rPr>
          <w:rFonts w:ascii="Verdana" w:eastAsia="Verdana" w:hAnsi="Verdana" w:cs="Verdana"/>
          <w:color w:val="000000"/>
          <w:sz w:val="20"/>
          <w:szCs w:val="20"/>
        </w:rPr>
        <w:t xml:space="preserve">“La cesión en la contratación estatal supone, previa autorización de la entidad contratante, la sustitución </w:t>
      </w:r>
      <w:r w:rsidRPr="000565B4">
        <w:rPr>
          <w:rFonts w:ascii="Verdana" w:eastAsia="Verdana" w:hAnsi="Verdana" w:cs="Verdana"/>
          <w:i/>
          <w:iCs/>
          <w:color w:val="000000"/>
          <w:sz w:val="20"/>
          <w:szCs w:val="20"/>
        </w:rPr>
        <w:t>in genere</w:t>
      </w:r>
      <w:r w:rsidRPr="000565B4">
        <w:rPr>
          <w:rFonts w:ascii="Verdana" w:eastAsia="Verdana" w:hAnsi="Verdana" w:cs="Verdana"/>
          <w:color w:val="000000"/>
          <w:sz w:val="20"/>
          <w:szCs w:val="20"/>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0565B4">
        <w:rPr>
          <w:rFonts w:ascii="Verdana" w:eastAsia="Verdana" w:hAnsi="Verdana" w:cs="Verdana"/>
          <w:color w:val="000000"/>
          <w:sz w:val="20"/>
          <w:szCs w:val="20"/>
          <w:vertAlign w:val="superscript"/>
        </w:rPr>
        <w:footnoteReference w:id="7"/>
      </w:r>
      <w:r w:rsidRPr="000565B4">
        <w:rPr>
          <w:rFonts w:ascii="Verdana" w:eastAsia="Verdana" w:hAnsi="Verdana" w:cs="Verdana"/>
          <w:color w:val="000000"/>
          <w:sz w:val="20"/>
          <w:szCs w:val="20"/>
        </w:rPr>
        <w:t>.</w:t>
      </w:r>
    </w:p>
    <w:p w14:paraId="23DDD7AC" w14:textId="77777777" w:rsidR="00327F59" w:rsidRPr="000565B4" w:rsidRDefault="00327F59" w:rsidP="00327F59">
      <w:pPr>
        <w:spacing w:after="0" w:line="276" w:lineRule="auto"/>
        <w:jc w:val="both"/>
        <w:rPr>
          <w:rFonts w:ascii="Century Gothic" w:eastAsia="Century Gothic" w:hAnsi="Century Gothic" w:cs="Century Gothic"/>
          <w:color w:val="000000"/>
        </w:rPr>
      </w:pPr>
    </w:p>
    <w:p w14:paraId="10A79437" w14:textId="77777777" w:rsidR="00327F59" w:rsidRPr="000565B4" w:rsidRDefault="00327F59" w:rsidP="00327F59">
      <w:pPr>
        <w:spacing w:after="120" w:line="276" w:lineRule="auto"/>
        <w:ind w:firstLine="709"/>
        <w:jc w:val="both"/>
        <w:rPr>
          <w:rFonts w:ascii="Century Gothic" w:eastAsia="Century Gothic" w:hAnsi="Century Gothic" w:cs="Century Gothic"/>
          <w:color w:val="000000"/>
        </w:rPr>
      </w:pPr>
      <w:r w:rsidRPr="000565B4">
        <w:rPr>
          <w:rFonts w:ascii="Verdana" w:eastAsia="Verdana" w:hAnsi="Verdana" w:cs="Verdana"/>
        </w:rPr>
        <w:t xml:space="preserve">Autorizada previamente por la entidad cedida, esta forma de cesión requiere la suscripción de un contrato entre el cedente y el cesionario, por lo que es bilateral en la medida en que es el resultado de un acuerdo voluntades. Con fundamento en el mismo, el cesionario reemplaza –en todo o en parte– al contratista cedente en la ejecución del contrato estatal, respondiendo por el cumplimiento de las obligaciones frente a la Administración. 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 </w:t>
      </w:r>
    </w:p>
    <w:p w14:paraId="07EDB456" w14:textId="77777777" w:rsidR="00327F59" w:rsidRPr="000565B4" w:rsidRDefault="00327F59" w:rsidP="00327F59">
      <w:pPr>
        <w:tabs>
          <w:tab w:val="left" w:pos="709"/>
        </w:tabs>
        <w:spacing w:after="120" w:line="276" w:lineRule="auto"/>
        <w:jc w:val="both"/>
        <w:rPr>
          <w:rFonts w:ascii="Verdana" w:eastAsia="Verdana" w:hAnsi="Verdana" w:cs="Verdana"/>
          <w:color w:val="000000"/>
        </w:rPr>
      </w:pPr>
      <w:bookmarkStart w:id="3" w:name="_heading=h.mhb2pnem5v19" w:colFirst="0" w:colLast="0"/>
      <w:bookmarkEnd w:id="3"/>
      <w:r w:rsidRPr="000565B4">
        <w:rPr>
          <w:rFonts w:ascii="Century Gothic" w:eastAsia="Century Gothic" w:hAnsi="Century Gothic" w:cs="Century Gothic"/>
          <w:color w:val="000000"/>
        </w:rPr>
        <w:tab/>
      </w:r>
      <w:r w:rsidRPr="000565B4">
        <w:rPr>
          <w:rFonts w:ascii="Verdana" w:eastAsia="Verdana" w:hAnsi="Verdana" w:cs="Verdana"/>
        </w:rPr>
        <w:t xml:space="preserve">Por lo demás, el Consejo de Estado ha precisado como requisitos de la cesión del contrato estatal los siguientes: i) debe recaer en un tercero; ii) el cesionario debe tener capacidad jurídica para continuar con la ejecución del objeto contractual y no estar incurso en causales de inhabilidad e incompatibilidad para contratar; y iii)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w:t>
      </w:r>
      <w:r w:rsidRPr="000565B4">
        <w:rPr>
          <w:rFonts w:ascii="Verdana" w:eastAsia="Verdana" w:hAnsi="Verdana" w:cs="Verdana"/>
          <w:color w:val="000000"/>
        </w:rPr>
        <w:t xml:space="preserve">manera, la capacidad jurídica, económica y técnica del contratista cedente se exigirá también al cesionario, ya que “[…] el proceso cesión del contrato y las exigencias que se le impongan al tercero, no </w:t>
      </w:r>
      <w:r w:rsidRPr="000565B4">
        <w:rPr>
          <w:rFonts w:ascii="Verdana" w:eastAsia="Verdana" w:hAnsi="Verdana" w:cs="Verdana"/>
          <w:color w:val="000000"/>
        </w:rPr>
        <w:lastRenderedPageBreak/>
        <w:t>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r w:rsidRPr="000565B4">
        <w:rPr>
          <w:rFonts w:ascii="Verdana" w:eastAsia="Verdana" w:hAnsi="Verdana" w:cs="Verdana"/>
          <w:color w:val="000000"/>
          <w:vertAlign w:val="superscript"/>
        </w:rPr>
        <w:footnoteReference w:id="8"/>
      </w:r>
      <w:r w:rsidRPr="000565B4">
        <w:rPr>
          <w:rFonts w:ascii="Verdana" w:eastAsia="Verdana" w:hAnsi="Verdana" w:cs="Verdana"/>
          <w:color w:val="000000"/>
        </w:rPr>
        <w:t>.</w:t>
      </w:r>
    </w:p>
    <w:p w14:paraId="452BFD1E" w14:textId="77777777" w:rsidR="00327F59" w:rsidRPr="000565B4" w:rsidRDefault="00327F59" w:rsidP="00327F59">
      <w:pPr>
        <w:tabs>
          <w:tab w:val="left" w:pos="709"/>
        </w:tabs>
        <w:spacing w:after="120" w:line="276" w:lineRule="auto"/>
        <w:ind w:firstLine="709"/>
        <w:jc w:val="both"/>
        <w:rPr>
          <w:rFonts w:ascii="Verdana" w:eastAsia="Verdana" w:hAnsi="Verdana" w:cs="Verdana"/>
          <w:color w:val="000000"/>
        </w:rPr>
      </w:pPr>
      <w:bookmarkStart w:id="4" w:name="_heading=h.5ten6mki767" w:colFirst="0" w:colLast="0"/>
      <w:bookmarkEnd w:id="4"/>
      <w:r w:rsidRPr="000565B4">
        <w:rPr>
          <w:rFonts w:ascii="Verdana" w:eastAsia="Verdana" w:hAnsi="Verdana" w:cs="Verdana"/>
          <w:color w:val="000000"/>
        </w:rPr>
        <w:t xml:space="preserve">Por lo tanto, la </w:t>
      </w:r>
      <w:r>
        <w:rPr>
          <w:rFonts w:ascii="Verdana" w:eastAsia="Verdana" w:hAnsi="Verdana" w:cs="Verdana"/>
          <w:color w:val="000000"/>
        </w:rPr>
        <w:t>E</w:t>
      </w:r>
      <w:r w:rsidRPr="000565B4">
        <w:rPr>
          <w:rFonts w:ascii="Verdana" w:eastAsia="Verdana" w:hAnsi="Verdana" w:cs="Verdana"/>
          <w:color w:val="000000"/>
        </w:rPr>
        <w:t xml:space="preserve">ntidad </w:t>
      </w:r>
      <w:r>
        <w:rPr>
          <w:rFonts w:ascii="Verdana" w:eastAsia="Verdana" w:hAnsi="Verdana" w:cs="Verdana"/>
          <w:color w:val="000000"/>
        </w:rPr>
        <w:t>E</w:t>
      </w:r>
      <w:r w:rsidRPr="000565B4">
        <w:rPr>
          <w:rFonts w:ascii="Verdana" w:eastAsia="Verdana" w:hAnsi="Verdana" w:cs="Verdana"/>
          <w:color w:val="000000"/>
        </w:rPr>
        <w:t>statal en el trámite de autorización de una cesión de posición contractual está obligada a respetar los criterios normativos que resulten aplicables al proceso de contratación, entre otros, los principios de transparencia, selección objetiva e igualdad. En otros términos, so pretexto de una cesión contractual, no pueden vulnerarse las reglas y principios de la contratación estatal.</w:t>
      </w:r>
    </w:p>
    <w:p w14:paraId="439A3261" w14:textId="77777777" w:rsidR="00327F59" w:rsidRPr="000565B4" w:rsidRDefault="00327F59" w:rsidP="00327F59">
      <w:pPr>
        <w:tabs>
          <w:tab w:val="left" w:pos="709"/>
        </w:tabs>
        <w:spacing w:after="120" w:line="276" w:lineRule="auto"/>
        <w:ind w:firstLine="709"/>
        <w:jc w:val="both"/>
        <w:rPr>
          <w:rFonts w:ascii="Verdana" w:eastAsia="Verdana" w:hAnsi="Verdana" w:cs="Verdana"/>
          <w:color w:val="000000"/>
        </w:rPr>
      </w:pPr>
      <w:r w:rsidRPr="000565B4">
        <w:rPr>
          <w:rFonts w:ascii="Verdana" w:eastAsia="Verdana" w:hAnsi="Verdana" w:cs="Verdana"/>
          <w:color w:val="00000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0D8B7BD9" w14:textId="77777777" w:rsidR="00327F59" w:rsidRPr="000565B4" w:rsidRDefault="00327F59" w:rsidP="00327F59">
      <w:pPr>
        <w:spacing w:after="120" w:line="276" w:lineRule="auto"/>
        <w:ind w:right="51" w:firstLine="709"/>
        <w:jc w:val="both"/>
        <w:rPr>
          <w:rFonts w:ascii="Verdana" w:eastAsia="Verdana" w:hAnsi="Verdana" w:cs="Verdana"/>
          <w:color w:val="000000"/>
        </w:rPr>
      </w:pPr>
      <w:bookmarkStart w:id="5" w:name="_heading=h.1wluew5qb6pv" w:colFirst="0" w:colLast="0"/>
      <w:bookmarkEnd w:id="5"/>
      <w:r w:rsidRPr="000565B4">
        <w:rPr>
          <w:rFonts w:ascii="Verdana" w:eastAsia="Verdana" w:hAnsi="Verdana" w:cs="Verdana"/>
          <w:color w:val="000000"/>
        </w:rPr>
        <w:t xml:space="preserve">En suma, la Ley 80 de 1993 no reguló en su integridad la cesión del contrato, como tampoco lo hizo el Código Civil en el que se consagra la institución de la cesión de créditos –arts. 1959 y ss.–. En cambio, los artículos 887 a 896 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 </w:t>
      </w:r>
    </w:p>
    <w:p w14:paraId="3B1AE7AF" w14:textId="77777777" w:rsidR="00327F59" w:rsidRPr="000565B4" w:rsidRDefault="00327F59" w:rsidP="00327F59">
      <w:pPr>
        <w:spacing w:after="120" w:line="276" w:lineRule="auto"/>
        <w:ind w:firstLine="708"/>
        <w:jc w:val="both"/>
        <w:rPr>
          <w:rFonts w:ascii="Verdana" w:eastAsia="Verdana" w:hAnsi="Verdana" w:cs="Verdana"/>
          <w:color w:val="000000"/>
        </w:rPr>
      </w:pPr>
      <w:r w:rsidRPr="000565B4">
        <w:rPr>
          <w:rFonts w:ascii="Verdana" w:eastAsia="Verdana" w:hAnsi="Verdana" w:cs="Verdana"/>
          <w:color w:val="000000"/>
        </w:rPr>
        <w:t xml:space="preserve">De conformidad con los requisitos y las restricciones explicadas </w:t>
      </w:r>
      <w:r w:rsidRPr="000565B4">
        <w:rPr>
          <w:rFonts w:ascii="Verdana" w:eastAsia="Verdana" w:hAnsi="Verdana" w:cs="Verdana"/>
          <w:i/>
          <w:iCs/>
          <w:color w:val="000000"/>
        </w:rPr>
        <w:t>ut supra</w:t>
      </w:r>
      <w:r w:rsidRPr="000565B4">
        <w:rPr>
          <w:rFonts w:ascii="Verdana" w:eastAsia="Verdana" w:hAnsi="Verdana" w:cs="Verdana"/>
          <w:color w:val="000000"/>
        </w:rPr>
        <w:t xml:space="preserve">, en los contratos estatales cuya ejecución aún no haya sido cumplida en todo o </w:t>
      </w:r>
      <w:r w:rsidRPr="000565B4">
        <w:rPr>
          <w:rFonts w:ascii="Verdana" w:eastAsia="Verdana" w:hAnsi="Verdana" w:cs="Verdana"/>
          <w:color w:val="000000"/>
        </w:rPr>
        <w:lastRenderedPageBreak/>
        <w:t>en parte, el contratista podrá hacerse sustituir por un tercero en la relación derivada del contrato, quien en adelante ocupará su posición jurídica. Es una de las posibilidades en las cuales existe una modificación de uno de los extremos 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1236F2BA"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Ahora bien, en relación con el problema jurídico planteado, l</w:t>
      </w:r>
      <w:r w:rsidRPr="00BE2891">
        <w:rPr>
          <w:rFonts w:ascii="Verdana" w:eastAsia="Verdana" w:hAnsi="Verdana" w:cs="Verdana"/>
        </w:rPr>
        <w:t>a cesión de participación de un integrante de un consorcio o unión temporal no constituye una actuación que produzca efectos automáticos por la sola acreditación de determinados requisitos documentales ni por la simple manifestación de voluntad de las partes interesadas. El ordenamiento jurídico exige la autorización previa y escrita de la entidad contratante, circunstancia que demuestra que la cesión se encuentra sometida a una valoración administrativa previa respecto de su procedencia y de sus efectos sobre la ejecución contractual.</w:t>
      </w:r>
    </w:p>
    <w:p w14:paraId="610A8E5A"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Sin embargo, la existencia de esta autorización no significa que la entidad estatal disponga de una facultad discrecional absoluta para aceptar o rechazar la solicitud. La competencia atribuida a la administración debe ejercerse con observancia de los principios de transparencia, buena fe, responsabilidad, igualdad, economía y selección objetiva, así como de las reglas específicas que la propia entidad haya establecido en el pliego de condiciones y en los demás documentos que regulan el proceso contractual.</w:t>
      </w:r>
    </w:p>
    <w:p w14:paraId="6D040928"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En este sentido, cuando el pliego de condiciones prevé expresamente los requisitos, condiciones y presupuestos necesarios para la procedencia de una cesión de participación y el interesado acredita de manera integral su cumplimiento, la entidad no puede desconocer arbitrariamente tales circunstancias ni apartarse inmotivadamente de las reglas previamente definidas para regular dicha actuación. Lo contrario implicaría desconocer la fuerza vinculante de los pliegos de condiciones, afectar la confianza legítima de los contratistas y vaciar de contenido las condiciones que la propia administración estableció para la procedencia de la cesión.</w:t>
      </w:r>
    </w:p>
    <w:p w14:paraId="4EE0240A"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lastRenderedPageBreak/>
        <w:t xml:space="preserve">       </w:t>
      </w:r>
      <w:r w:rsidRPr="00BE2891">
        <w:rPr>
          <w:rFonts w:ascii="Verdana" w:eastAsia="Verdana" w:hAnsi="Verdana" w:cs="Verdana"/>
        </w:rPr>
        <w:t>La autorización exigida por el artículo 9 de la Ley 80 de 1993 debe interpretarse como un mecanismo de control orientado a verificar que la modificación subjetiva propuesta resulte compatible con el interés general, la adecuada ejecución del contrato y la preservación de las condiciones esenciales que sirvieron de fundamento para la selección del contratista. Por esta razón, la entidad conserva la facultad de examinar la solicitud y de verificar que el cesionario reúna las condiciones jurídicas, técnicas, financieras y de experiencia exigidas por el ordenamiento jurídico y por los documentos contractuales.</w:t>
      </w:r>
    </w:p>
    <w:p w14:paraId="07D36BAD"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No obstante, una vez acreditado el cumplimiento de tales exigencias, la administración no puede fundamentar una eventual negativa exclusivamente en consideraciones subjetivas o en razones que contradigan las condiciones previamente establecidas en el pliego de condiciones. La existencia de una facultad de autorización no habilita a la entidad para modificar durante la ejecución contractual los requisitos originalmente definidos ni para incorporar exigencias adicionales que no fueron previstas en los documentos del proceso.</w:t>
      </w:r>
    </w:p>
    <w:p w14:paraId="54D68FBB"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w:t>
      </w:r>
      <w:r w:rsidRPr="00BE2891">
        <w:rPr>
          <w:rFonts w:ascii="Verdana" w:eastAsia="Verdana" w:hAnsi="Verdana" w:cs="Verdana"/>
        </w:rPr>
        <w:t>Así como el ordenamiento jurídico no permite que la administración mantenga indefinidamente situaciones incompatibles con las finalidades de la contratación estatal cuando se han agotado los mecanismos legalmente previstos para corregirlas, tampoco resulta compatible con los principios que rigen la función administrativa que la entidad desconozca la eficacia de un mecanismo cuya procedencia se encuentra plenamente acreditada conforme a las reglas previamente establecidas por ella misma. La facultad de autorización debe ejercerse para verificar el cumplimiento de las condiciones legales y contractuales, no para sustituirlas por criterios discrecionales ajenos a los documentos del proceso.</w:t>
      </w:r>
    </w:p>
    <w:p w14:paraId="4654E880"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t xml:space="preserve">         Así las cosas, l</w:t>
      </w:r>
      <w:r w:rsidRPr="00BE2891">
        <w:rPr>
          <w:rFonts w:ascii="Verdana" w:eastAsia="Verdana" w:hAnsi="Verdana" w:cs="Verdana"/>
        </w:rPr>
        <w:t>a validez de la decisión administrativa dependerá, entonces, de la correspondencia entre la motivación expuesta y los fundamentos normativos que la sustentan. La entidad no puede negar la cesión invocando razones distintas de aquellas que justifican jurídicamente su improcedencia ni apartarse de los parámetros previamente establecidos en el pliego de condiciones. Una decisión carente de motivación suficiente o sustentada en exigencias no previstas podría resultar contraria a los principios de transparencia, buena fe, confianza legítima y selección objetiva que orientan la contratación estatal.</w:t>
      </w:r>
    </w:p>
    <w:p w14:paraId="42686219" w14:textId="77777777" w:rsidR="00327F59" w:rsidRPr="00BE2891" w:rsidRDefault="00327F59" w:rsidP="00327F59">
      <w:pPr>
        <w:spacing w:after="120" w:line="276" w:lineRule="auto"/>
        <w:jc w:val="both"/>
        <w:rPr>
          <w:rFonts w:ascii="Verdana" w:eastAsia="Verdana" w:hAnsi="Verdana" w:cs="Verdana"/>
        </w:rPr>
      </w:pPr>
      <w:r>
        <w:rPr>
          <w:rFonts w:ascii="Verdana" w:eastAsia="Verdana" w:hAnsi="Verdana" w:cs="Verdana"/>
        </w:rPr>
        <w:lastRenderedPageBreak/>
        <w:t xml:space="preserve">        </w:t>
      </w:r>
      <w:r w:rsidRPr="00BE2891">
        <w:rPr>
          <w:rFonts w:ascii="Verdana" w:eastAsia="Verdana" w:hAnsi="Verdana" w:cs="Verdana"/>
        </w:rPr>
        <w:t>Sobre este particular, la Agencia Nacional de Contratación Pública – Colombia Compra Eficiente, en el Concepto C-1032 del 11 de agosto de 2026, sostuvo que cuando el ordenamiento prevé un mecanismo específico para alcanzar una determinada finalidad contractual, la actuación de la entidad debe interpretarse sistemáticamente a la luz de los principios de la contratación estatal, evitando decisiones que vacíen de contenido las instituciones previstas por el legislador o que desconozcan las consecuencias jurídicas derivadas del cumplimiento de las condiciones establecidas para su procedencia. Dicha interpretación resulta aplicable al análisis de las solicitudes de cesión de participación, en la medida en que la autorización administrativa debe ejercerse conforme a criterios objetivos, razonables y compatibles con las reglas previamente definidas para regular dicha actuación.</w:t>
      </w:r>
    </w:p>
    <w:p w14:paraId="39882CA1" w14:textId="77777777" w:rsidR="00327F59" w:rsidRPr="00BA2580" w:rsidRDefault="00327F59" w:rsidP="00327F59">
      <w:pPr>
        <w:spacing w:after="120" w:line="276" w:lineRule="auto"/>
        <w:ind w:firstLine="708"/>
        <w:jc w:val="both"/>
        <w:rPr>
          <w:rFonts w:ascii="Verdana" w:eastAsia="Aptos" w:hAnsi="Verdana" w:cs="Times New Roman"/>
          <w:kern w:val="2"/>
          <w14:ligatures w14:val="standardContextual"/>
        </w:rPr>
      </w:pPr>
      <w:r>
        <w:rPr>
          <w:rFonts w:ascii="Verdana" w:eastAsia="Calibri" w:hAnsi="Verdana" w:cs="Arial"/>
          <w:bCs/>
          <w:color w:val="000000"/>
          <w:kern w:val="2"/>
          <w14:ligatures w14:val="standardContextual"/>
        </w:rPr>
        <w:t>A</w:t>
      </w:r>
      <w:r w:rsidRPr="00BA2580">
        <w:rPr>
          <w:rFonts w:ascii="Verdana" w:eastAsia="Calibri" w:hAnsi="Verdana" w:cs="Arial"/>
          <w:bCs/>
          <w:color w:val="000000"/>
          <w:kern w:val="2"/>
          <w14:ligatures w14:val="standardContextual"/>
        </w:rPr>
        <w:t>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824E445" w14:textId="77777777" w:rsidR="00327F59" w:rsidRDefault="00327F59" w:rsidP="00327F59">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7A56055A" w14:textId="77777777" w:rsidR="00327F59" w:rsidRPr="0015699B" w:rsidRDefault="00327F59" w:rsidP="00327F59">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5118492D" w14:textId="77777777" w:rsidR="00327F59" w:rsidRPr="0015699B" w:rsidRDefault="00327F59" w:rsidP="00327F59">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2BBC2A60" w14:textId="77777777" w:rsidR="00327F59" w:rsidRPr="0015699B" w:rsidRDefault="00327F59" w:rsidP="00327F59">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327F59" w14:paraId="25EDDEF0" w14:textId="77777777" w:rsidTr="003C710A">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6CB27558"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lastRenderedPageBreak/>
              <w:t>Constitución Política, artículos 6, 29, 83, 209 y 333.</w:t>
            </w:r>
          </w:p>
          <w:p w14:paraId="154CB452"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80 de 1993, artículos 7, 8, 9, 13, 14, 17, 18, 23, 26, 28, 41, 44 y 45.</w:t>
            </w:r>
          </w:p>
          <w:p w14:paraId="3AAE714D"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1150 de 2007, artículos 6 y 9.</w:t>
            </w:r>
          </w:p>
          <w:p w14:paraId="513D63B3"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Ley 1437 de 2011, artículos 34, 35, 138, 141.</w:t>
            </w:r>
          </w:p>
          <w:p w14:paraId="3B26A3DE"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 xml:space="preserve">Ley 2014 de 2019, artículo 6.  </w:t>
            </w:r>
          </w:p>
          <w:p w14:paraId="54694D52" w14:textId="77777777" w:rsidR="00327F59" w:rsidRPr="000565B4" w:rsidRDefault="00327F59" w:rsidP="00327F59">
            <w:pPr>
              <w:numPr>
                <w:ilvl w:val="0"/>
                <w:numId w:val="17"/>
              </w:numPr>
              <w:spacing w:before="120" w:after="120" w:line="276" w:lineRule="auto"/>
              <w:jc w:val="both"/>
              <w:rPr>
                <w:rFonts w:ascii="Verdana" w:eastAsia="Verdana" w:hAnsi="Verdana" w:cs="Verdana"/>
              </w:rPr>
            </w:pPr>
            <w:r w:rsidRPr="000565B4">
              <w:rPr>
                <w:rFonts w:ascii="Verdana" w:eastAsia="Verdana" w:hAnsi="Verdana" w:cs="Verdana"/>
              </w:rPr>
              <w:t>Código Civil, artículos 16, 73, 74, 633, 1501, 1502, 1503, 1504, 1519, 1523, 1741 y 1959 a 1966.</w:t>
            </w:r>
          </w:p>
          <w:p w14:paraId="66C81C2D" w14:textId="77777777" w:rsidR="00327F59" w:rsidRPr="00A24BA3" w:rsidRDefault="00327F59" w:rsidP="00327F59">
            <w:pPr>
              <w:pStyle w:val="Prrafodelista"/>
              <w:numPr>
                <w:ilvl w:val="0"/>
                <w:numId w:val="17"/>
              </w:numPr>
              <w:spacing w:after="120" w:line="276" w:lineRule="auto"/>
              <w:jc w:val="both"/>
              <w:rPr>
                <w:rFonts w:ascii="Verdana" w:eastAsia="Verdana" w:hAnsi="Verdana" w:cs="Verdana"/>
                <w:lang w:val="es"/>
              </w:rPr>
            </w:pPr>
            <w:r w:rsidRPr="000565B4">
              <w:rPr>
                <w:rFonts w:ascii="Verdana" w:eastAsia="Verdana" w:hAnsi="Verdana" w:cs="Verdana"/>
              </w:rPr>
              <w:t>Código de Comercio, artículos 99 y 887</w:t>
            </w:r>
            <w:r>
              <w:rPr>
                <w:rFonts w:ascii="Verdana" w:eastAsia="Verdana" w:hAnsi="Verdana" w:cs="Verdana"/>
              </w:rPr>
              <w:t>.</w:t>
            </w:r>
          </w:p>
        </w:tc>
      </w:tr>
    </w:tbl>
    <w:p w14:paraId="318E68F1" w14:textId="77777777" w:rsidR="00327F59" w:rsidRPr="0015699B" w:rsidRDefault="00327F59" w:rsidP="00327F59">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F5CB187" w14:textId="77777777" w:rsidR="00327F59" w:rsidRPr="003D5882" w:rsidRDefault="00327F59" w:rsidP="00327F59">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621368EC" w14:textId="77777777" w:rsidR="00327F59" w:rsidRPr="003D5882" w:rsidRDefault="00327F59" w:rsidP="00327F59">
      <w:pPr>
        <w:pStyle w:val="Prrafodelista"/>
        <w:spacing w:before="1" w:after="0" w:line="240" w:lineRule="auto"/>
        <w:jc w:val="both"/>
        <w:textAlignment w:val="baseline"/>
        <w:rPr>
          <w:rFonts w:ascii="Verdana" w:eastAsia="Verdana" w:hAnsi="Verdana" w:cs="Verdana"/>
          <w:b/>
          <w:bCs/>
          <w:lang w:val="es"/>
        </w:rPr>
      </w:pPr>
    </w:p>
    <w:p w14:paraId="1DAD209F" w14:textId="77777777" w:rsidR="00327F59" w:rsidRPr="00BA2580" w:rsidRDefault="00327F59" w:rsidP="00327F59">
      <w:pPr>
        <w:spacing w:after="0" w:line="276" w:lineRule="auto"/>
        <w:jc w:val="both"/>
        <w:rPr>
          <w:rFonts w:ascii="Verdana" w:eastAsia="Calibri" w:hAnsi="Verdana" w:cs="Arial"/>
          <w:kern w:val="2"/>
          <w:shd w:val="clear" w:color="auto" w:fill="FFFFFF"/>
          <w:lang w:val="es-ES"/>
          <w14:ligatures w14:val="standardContextual"/>
        </w:rPr>
      </w:pPr>
      <w:r w:rsidRPr="00BA2580">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BA2580">
        <w:rPr>
          <w:rFonts w:ascii="Verdana" w:eastAsia="Calibri" w:hAnsi="Verdana" w:cs="Times New Roman"/>
          <w:kern w:val="2"/>
          <w14:ligatures w14:val="standardContextual"/>
        </w:rPr>
        <w:t xml:space="preserve"> </w:t>
      </w:r>
      <w:r w:rsidRPr="00BA2580">
        <w:rPr>
          <w:rFonts w:ascii="Verdana" w:eastAsia="Calibri" w:hAnsi="Verdana" w:cs="Arial"/>
          <w:kern w:val="2"/>
          <w:shd w:val="clear" w:color="auto" w:fill="FFFFFF"/>
          <w:lang w:val="es-ES"/>
          <w14:ligatures w14:val="standardContextual"/>
        </w:rPr>
        <w:t xml:space="preserve">sobre </w:t>
      </w:r>
      <w:r w:rsidRPr="00F15CD1">
        <w:rPr>
          <w:rFonts w:ascii="Verdana" w:eastAsia="Verdana" w:hAnsi="Verdana" w:cs="Verdana"/>
        </w:rPr>
        <w:t>Sobre la cesión del contrato estatal se pronunció esta Subdirección en los  conceptos 4201913000007643 y 4201913000007669 del 26 de diciembre de 2019, así como en los Conceptos C-551 del 24 de septiembre de 2020, C-572 del 27 de agosto de 2020, C-582 del 28 de agosto de 2020, C-385 del 20 de agosto de 2021, C-069 del 24 de abril de 2023 y C –157 de 2024, C-172 del 6 de junio de 2023, C-032 del 16 de abril de 2024, C-100 del 12 de junio de 2024, C-325 del 06 de agosto de 2024, C-366 del 29 de agosto de 2024 y C-473 del 29 de septiembre de 2024, C-214 del 26 de marzo de 2025,C-314 del 29 de abril de 2025</w:t>
      </w:r>
      <w:r>
        <w:rPr>
          <w:rFonts w:ascii="Verdana" w:eastAsia="Verdana" w:hAnsi="Verdana" w:cs="Verdana"/>
        </w:rPr>
        <w:t xml:space="preserve"> y C-1032 del 11 de agosto de 2026, </w:t>
      </w:r>
      <w:r w:rsidRPr="00BA2580">
        <w:rPr>
          <w:rFonts w:ascii="Verdana" w:eastAsia="Calibri" w:hAnsi="Verdana" w:cs="Arial"/>
          <w:kern w:val="2"/>
          <w:shd w:val="clear" w:color="auto" w:fill="FFFFFF"/>
          <w:lang w:val="es-ES"/>
          <w14:ligatures w14:val="standardContextual"/>
        </w:rPr>
        <w:t xml:space="preserve">entre otros. </w:t>
      </w:r>
    </w:p>
    <w:p w14:paraId="15C9230B" w14:textId="77777777" w:rsidR="00327F59" w:rsidRDefault="00327F59" w:rsidP="00327F59">
      <w:pPr>
        <w:spacing w:after="0" w:line="276" w:lineRule="auto"/>
        <w:jc w:val="both"/>
        <w:rPr>
          <w:rStyle w:val="normaltextrun"/>
          <w:rFonts w:ascii="Verdana" w:hAnsi="Verdana" w:cs="Arial"/>
          <w:shd w:val="clear" w:color="auto" w:fill="FFFFFF"/>
          <w:lang w:val="es-ES"/>
        </w:rPr>
      </w:pPr>
    </w:p>
    <w:p w14:paraId="60522813" w14:textId="77777777" w:rsidR="00327F59" w:rsidRPr="005510A2" w:rsidRDefault="00327F59" w:rsidP="00327F59">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4AD83AE4" w14:textId="77777777" w:rsidR="00327F59" w:rsidRDefault="00327F59" w:rsidP="00327F59">
      <w:pPr>
        <w:spacing w:after="0" w:line="276" w:lineRule="auto"/>
        <w:jc w:val="both"/>
        <w:textAlignment w:val="baseline"/>
        <w:rPr>
          <w:rFonts w:ascii="Verdana" w:eastAsia="Verdana" w:hAnsi="Verdana" w:cs="Verdana"/>
        </w:rPr>
      </w:pPr>
    </w:p>
    <w:p w14:paraId="64581C6F" w14:textId="77777777" w:rsidR="00327F59" w:rsidRPr="00010A5F" w:rsidRDefault="00327F59" w:rsidP="00327F59">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2347C5D6" w14:textId="77777777" w:rsidR="00327F59" w:rsidRDefault="00327F59" w:rsidP="00327F59">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137D71B8" w14:textId="77777777" w:rsidR="00327F59" w:rsidRDefault="00327F59" w:rsidP="00327F59">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w:t>
      </w:r>
      <w:r w:rsidRPr="054CF0A3">
        <w:rPr>
          <w:rFonts w:ascii="Verdana" w:eastAsia="Verdana" w:hAnsi="Verdana" w:cs="Verdana"/>
          <w:color w:val="000000" w:themeColor="text1"/>
        </w:rPr>
        <w:lastRenderedPageBreak/>
        <w:t xml:space="preserve">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4E80648D" w14:textId="77777777" w:rsidR="00327F59" w:rsidRDefault="00327F59" w:rsidP="00327F59">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2E9E64B8" w14:textId="77777777" w:rsidR="00327F59" w:rsidRDefault="00327F59" w:rsidP="00327F59">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0D8AA51D" w14:textId="77777777" w:rsidR="00327F59" w:rsidRDefault="00327F59" w:rsidP="00327F59">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w:t>
      </w:r>
      <w:r w:rsidRPr="054CF0A3">
        <w:rPr>
          <w:rFonts w:ascii="Verdana" w:eastAsia="Verdana" w:hAnsi="Verdana" w:cs="Verdana"/>
          <w:color w:val="000000" w:themeColor="text1"/>
        </w:rPr>
        <w:lastRenderedPageBreak/>
        <w:t xml:space="preserve">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1AECFAD7" w14:textId="77777777" w:rsidR="00327F59" w:rsidRPr="003D5882" w:rsidRDefault="00327F59" w:rsidP="00327F59">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105FD184" w14:textId="77777777" w:rsidR="00327F59" w:rsidRPr="0015699B" w:rsidRDefault="00327F59" w:rsidP="00327F59">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6F56C66" w14:textId="77777777" w:rsidR="00327F59" w:rsidRPr="0015699B" w:rsidRDefault="00327F59" w:rsidP="56659F35">
      <w:pPr>
        <w:spacing w:after="0" w:line="240" w:lineRule="auto"/>
        <w:jc w:val="both"/>
        <w:textAlignment w:val="baseline"/>
        <w:rPr>
          <w:rFonts w:ascii="Verdana" w:eastAsia="Verdana" w:hAnsi="Verdana" w:cs="Verdana"/>
          <w:color w:val="000000" w:themeColor="text1"/>
          <w:lang w:val="es-ES"/>
        </w:rPr>
      </w:pPr>
      <w:r w:rsidRPr="56659F35">
        <w:rPr>
          <w:rFonts w:ascii="Verdana" w:eastAsia="Verdana" w:hAnsi="Verdana" w:cs="Verdana"/>
          <w:color w:val="000000" w:themeColor="text1"/>
          <w:lang w:val="es-ES"/>
        </w:rPr>
        <w:t xml:space="preserve">Twitter: </w:t>
      </w:r>
      <w:r w:rsidRPr="56659F35">
        <w:rPr>
          <w:rFonts w:ascii="Verdana" w:eastAsia="Verdana" w:hAnsi="Verdana" w:cs="Verdana"/>
          <w:color w:val="000000" w:themeColor="text1"/>
          <w:u w:val="single"/>
          <w:lang w:val="es-ES"/>
        </w:rPr>
        <w:t>@colombiacompra</w:t>
      </w:r>
      <w:r w:rsidRPr="56659F35">
        <w:rPr>
          <w:rFonts w:ascii="Verdana" w:eastAsia="Verdana" w:hAnsi="Verdana" w:cs="Verdana"/>
          <w:color w:val="000000" w:themeColor="text1"/>
          <w:lang w:val="es-ES"/>
        </w:rPr>
        <w:t xml:space="preserve"> </w:t>
      </w:r>
    </w:p>
    <w:p w14:paraId="504C6EC7" w14:textId="77777777" w:rsidR="00327F59" w:rsidRPr="0015699B" w:rsidRDefault="00327F59" w:rsidP="00327F59">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r w:rsidRPr="40A87941">
        <w:rPr>
          <w:rFonts w:ascii="Verdana" w:eastAsia="Verdana" w:hAnsi="Verdana" w:cs="Verdana"/>
          <w:color w:val="000000" w:themeColor="text1"/>
          <w:u w:val="single"/>
          <w:lang w:val="es-ES"/>
        </w:rPr>
        <w:t>ColombiaCompraEficiente</w:t>
      </w:r>
    </w:p>
    <w:p w14:paraId="1F42AD73" w14:textId="77777777" w:rsidR="00327F59" w:rsidRPr="0015699B" w:rsidRDefault="00327F59" w:rsidP="56659F35">
      <w:pPr>
        <w:spacing w:after="0" w:line="240" w:lineRule="auto"/>
        <w:jc w:val="both"/>
        <w:textAlignment w:val="baseline"/>
        <w:rPr>
          <w:rFonts w:ascii="Verdana" w:eastAsia="Verdana" w:hAnsi="Verdana" w:cs="Verdana"/>
          <w:color w:val="000000" w:themeColor="text1"/>
          <w:u w:val="single"/>
          <w:lang w:val="es-ES"/>
        </w:rPr>
      </w:pPr>
      <w:r w:rsidRPr="56659F35">
        <w:rPr>
          <w:rFonts w:ascii="Verdana" w:eastAsia="Verdana" w:hAnsi="Verdana" w:cs="Verdana"/>
          <w:color w:val="000000" w:themeColor="text1"/>
          <w:lang w:val="es-ES"/>
        </w:rPr>
        <w:t xml:space="preserve">LinkedIn: </w:t>
      </w:r>
      <w:r w:rsidRPr="56659F35">
        <w:rPr>
          <w:rFonts w:ascii="Verdana" w:eastAsia="Verdana" w:hAnsi="Verdana" w:cs="Verdana"/>
          <w:color w:val="000000" w:themeColor="text1"/>
          <w:u w:val="single"/>
          <w:lang w:val="es-ES"/>
        </w:rPr>
        <w:t>Agencia Nacional de Contratación Pública - Colombia Compra Eficiente</w:t>
      </w:r>
      <w:r w:rsidRPr="56659F35">
        <w:rPr>
          <w:rFonts w:ascii="Verdana" w:eastAsia="Verdana" w:hAnsi="Verdana" w:cs="Verdana"/>
          <w:color w:val="000000" w:themeColor="text1"/>
          <w:lang w:val="es-ES"/>
        </w:rPr>
        <w:t xml:space="preserve"> Instagram: </w:t>
      </w:r>
      <w:r w:rsidRPr="56659F35">
        <w:rPr>
          <w:rFonts w:ascii="Verdana" w:eastAsia="Verdana" w:hAnsi="Verdana" w:cs="Verdana"/>
          <w:color w:val="000000" w:themeColor="text1"/>
          <w:u w:val="single"/>
          <w:lang w:val="es-ES"/>
        </w:rPr>
        <w:t>@colombiacompraeficiente_cce</w:t>
      </w:r>
    </w:p>
    <w:p w14:paraId="5C04D07E" w14:textId="77777777" w:rsidR="00327F59" w:rsidRPr="0015699B" w:rsidRDefault="00327F59" w:rsidP="00327F5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FBF690F" w14:textId="77777777" w:rsidR="00327F59" w:rsidRPr="0015699B" w:rsidRDefault="00327F59" w:rsidP="00327F5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D2E44E2" w14:textId="77777777" w:rsidR="00327F59" w:rsidRPr="0015699B" w:rsidRDefault="00327F59" w:rsidP="00327F59">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315632C" w14:textId="77777777" w:rsidR="00327F59" w:rsidRPr="0015699B" w:rsidRDefault="00327F59" w:rsidP="00327F59">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468A7D5B" w14:textId="6FADD462" w:rsidR="00327F59" w:rsidRDefault="00327F59" w:rsidP="00327F59">
      <w:pPr>
        <w:spacing w:after="0" w:line="240" w:lineRule="auto"/>
        <w:ind w:left="2340"/>
        <w:jc w:val="both"/>
        <w:rPr>
          <w:noProof/>
        </w:rPr>
      </w:pPr>
    </w:p>
    <w:p w14:paraId="3C76AE29" w14:textId="77777777" w:rsidR="00D54DC6" w:rsidRDefault="00D54DC6" w:rsidP="00327F59">
      <w:pPr>
        <w:spacing w:after="0" w:line="240" w:lineRule="auto"/>
        <w:ind w:left="2340"/>
        <w:jc w:val="both"/>
        <w:rPr>
          <w:noProof/>
        </w:rPr>
      </w:pPr>
    </w:p>
    <w:p w14:paraId="6B9677EF" w14:textId="0EBF637C" w:rsidR="00D54DC6" w:rsidRDefault="00D54DC6" w:rsidP="00D54DC6">
      <w:pPr>
        <w:spacing w:after="0" w:line="240" w:lineRule="auto"/>
        <w:ind w:left="284"/>
        <w:jc w:val="center"/>
        <w:rPr>
          <w:noProof/>
        </w:rPr>
      </w:pPr>
      <w:r>
        <w:rPr>
          <w:noProof/>
        </w:rPr>
        <w:drawing>
          <wp:inline distT="0" distB="0" distL="0" distR="0" wp14:anchorId="04980BB1" wp14:editId="2E8C0B0D">
            <wp:extent cx="3678555" cy="1579140"/>
            <wp:effectExtent l="0" t="0" r="0" b="2540"/>
            <wp:docPr id="18857115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93818" cy="1585692"/>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327F59" w14:paraId="205790B6" w14:textId="77777777" w:rsidTr="00D54DC6">
        <w:trPr>
          <w:trHeight w:val="307"/>
        </w:trPr>
        <w:tc>
          <w:tcPr>
            <w:tcW w:w="893" w:type="dxa"/>
            <w:tcBorders>
              <w:top w:val="nil"/>
              <w:bottom w:val="nil"/>
              <w:right w:val="nil"/>
            </w:tcBorders>
            <w:tcMar>
              <w:left w:w="108" w:type="dxa"/>
              <w:right w:w="108" w:type="dxa"/>
            </w:tcMar>
            <w:vAlign w:val="center"/>
          </w:tcPr>
          <w:p w14:paraId="43AEF795" w14:textId="77777777" w:rsidR="00327F59" w:rsidRDefault="00327F59" w:rsidP="003C710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2A5CF748" w14:textId="7F993AAD" w:rsidR="00327F59" w:rsidRDefault="00327F59"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w:t>
            </w:r>
            <w:r w:rsidR="00D813F7">
              <w:rPr>
                <w:rFonts w:ascii="Verdana" w:eastAsia="Verdana" w:hAnsi="Verdana" w:cs="Verdana"/>
                <w:color w:val="000000" w:themeColor="text1"/>
                <w:sz w:val="16"/>
                <w:szCs w:val="16"/>
              </w:rPr>
              <w:t xml:space="preserve"> Poveda</w:t>
            </w:r>
          </w:p>
          <w:p w14:paraId="4B874B10" w14:textId="77777777" w:rsidR="00327F59" w:rsidRDefault="00327F59" w:rsidP="003C710A">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327F59" w14:paraId="4982A5F7" w14:textId="77777777" w:rsidTr="00D54DC6">
        <w:trPr>
          <w:trHeight w:val="321"/>
        </w:trPr>
        <w:tc>
          <w:tcPr>
            <w:tcW w:w="893" w:type="dxa"/>
            <w:tcBorders>
              <w:top w:val="nil"/>
              <w:bottom w:val="nil"/>
              <w:right w:val="nil"/>
            </w:tcBorders>
            <w:tcMar>
              <w:left w:w="108" w:type="dxa"/>
              <w:right w:w="108" w:type="dxa"/>
            </w:tcMar>
            <w:vAlign w:val="center"/>
          </w:tcPr>
          <w:p w14:paraId="5A575F2C" w14:textId="77777777" w:rsidR="00327F59" w:rsidRDefault="00327F59" w:rsidP="003C710A">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64EAF8A5" w14:textId="562C1F19" w:rsidR="00327F59" w:rsidRDefault="00327F59"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Diana Luica Saavedra</w:t>
            </w:r>
            <w:r w:rsidR="00C66647">
              <w:rPr>
                <w:rFonts w:ascii="Verdana" w:eastAsia="Verdana" w:hAnsi="Verdana" w:cs="Verdana"/>
                <w:color w:val="000000" w:themeColor="text1"/>
                <w:sz w:val="16"/>
                <w:szCs w:val="16"/>
              </w:rPr>
              <w:t xml:space="preserve"> Castañeda</w:t>
            </w:r>
          </w:p>
          <w:p w14:paraId="2551ADBB" w14:textId="77777777" w:rsidR="00327F59" w:rsidRDefault="00327F59" w:rsidP="003C710A">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327F59" w14:paraId="4871A8BA" w14:textId="77777777" w:rsidTr="00D54DC6">
        <w:trPr>
          <w:trHeight w:val="292"/>
        </w:trPr>
        <w:tc>
          <w:tcPr>
            <w:tcW w:w="893" w:type="dxa"/>
            <w:tcBorders>
              <w:top w:val="nil"/>
              <w:bottom w:val="nil"/>
              <w:right w:val="nil"/>
            </w:tcBorders>
            <w:tcMar>
              <w:left w:w="108" w:type="dxa"/>
              <w:right w:w="108" w:type="dxa"/>
            </w:tcMar>
            <w:vAlign w:val="center"/>
          </w:tcPr>
          <w:p w14:paraId="3425D610" w14:textId="77777777" w:rsidR="00327F59" w:rsidRDefault="00327F59" w:rsidP="003C710A">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2A91FBC8" w14:textId="77777777" w:rsidR="00327F59" w:rsidRDefault="00327F59" w:rsidP="003C710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Carolina Quintero Gacharná</w:t>
            </w:r>
          </w:p>
          <w:p w14:paraId="3D74E493" w14:textId="77777777" w:rsidR="00327F59" w:rsidRDefault="00327F59" w:rsidP="003C710A">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DF51ED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0A13F" w14:textId="77777777" w:rsidR="00637923" w:rsidRDefault="00637923" w:rsidP="004A1847">
      <w:pPr>
        <w:spacing w:after="0" w:line="240" w:lineRule="auto"/>
      </w:pPr>
      <w:r>
        <w:separator/>
      </w:r>
    </w:p>
  </w:endnote>
  <w:endnote w:type="continuationSeparator" w:id="0">
    <w:p w14:paraId="4B417ABF" w14:textId="77777777" w:rsidR="00637923" w:rsidRDefault="0063792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50845" w14:textId="77777777" w:rsidR="00637923" w:rsidRDefault="00637923" w:rsidP="004A1847">
      <w:pPr>
        <w:spacing w:after="0" w:line="240" w:lineRule="auto"/>
      </w:pPr>
      <w:r>
        <w:separator/>
      </w:r>
    </w:p>
  </w:footnote>
  <w:footnote w:type="continuationSeparator" w:id="0">
    <w:p w14:paraId="4201FA1D" w14:textId="77777777" w:rsidR="00637923" w:rsidRDefault="00637923" w:rsidP="004A1847">
      <w:pPr>
        <w:spacing w:after="0" w:line="240" w:lineRule="auto"/>
      </w:pPr>
      <w:r>
        <w:continuationSeparator/>
      </w:r>
    </w:p>
  </w:footnote>
  <w:footnote w:id="1">
    <w:p w14:paraId="48E8B9B1" w14:textId="77777777" w:rsidR="00327F59" w:rsidRPr="00F23306" w:rsidRDefault="00327F59" w:rsidP="00327F59">
      <w:pPr>
        <w:spacing w:after="0" w:line="240" w:lineRule="auto"/>
        <w:ind w:firstLine="708"/>
        <w:rPr>
          <w:rFonts w:ascii="Verdana" w:eastAsia="Verdana" w:hAnsi="Verdana" w:cs="Verdana"/>
          <w:sz w:val="16"/>
          <w:szCs w:val="16"/>
        </w:rPr>
      </w:pPr>
      <w:r w:rsidRPr="00F23306">
        <w:rPr>
          <w:rFonts w:ascii="Verdana" w:hAnsi="Verdana"/>
          <w:sz w:val="16"/>
          <w:szCs w:val="16"/>
          <w:vertAlign w:val="superscript"/>
        </w:rPr>
        <w:footnoteRef/>
      </w:r>
      <w:r w:rsidRPr="00F23306">
        <w:rPr>
          <w:rFonts w:ascii="Verdana" w:hAnsi="Verdana"/>
          <w:sz w:val="16"/>
          <w:szCs w:val="16"/>
        </w:rPr>
        <w:t xml:space="preserve"> </w:t>
      </w:r>
      <w:r w:rsidRPr="00F23306">
        <w:rPr>
          <w:rFonts w:ascii="Verdana" w:eastAsia="Verdana" w:hAnsi="Verdana" w:cs="Verdana"/>
          <w:sz w:val="16"/>
          <w:szCs w:val="16"/>
        </w:rPr>
        <w:t>Concepto C – 100 de 2024; Concepto C-1694 de 2025</w:t>
      </w:r>
    </w:p>
  </w:footnote>
  <w:footnote w:id="2">
    <w:p w14:paraId="2328A208" w14:textId="77777777" w:rsidR="00327F59" w:rsidRPr="00F23306" w:rsidRDefault="00327F59" w:rsidP="00327F59">
      <w:pPr>
        <w:pBdr>
          <w:top w:val="nil"/>
          <w:left w:val="nil"/>
          <w:bottom w:val="nil"/>
          <w:right w:val="nil"/>
          <w:between w:val="nil"/>
        </w:pBdr>
        <w:spacing w:after="0" w:line="240" w:lineRule="auto"/>
        <w:ind w:firstLine="709"/>
        <w:jc w:val="both"/>
        <w:rPr>
          <w:rFonts w:ascii="Verdana" w:eastAsia="Verdana" w:hAnsi="Verdana" w:cs="Verdana"/>
          <w:sz w:val="16"/>
          <w:szCs w:val="16"/>
        </w:rPr>
      </w:pPr>
      <w:r w:rsidRPr="00F23306">
        <w:rPr>
          <w:rFonts w:ascii="Verdana" w:hAnsi="Verdana"/>
          <w:sz w:val="16"/>
          <w:szCs w:val="16"/>
          <w:vertAlign w:val="superscript"/>
        </w:rPr>
        <w:footnoteRef/>
      </w:r>
      <w:r w:rsidRPr="00F23306">
        <w:rPr>
          <w:rFonts w:ascii="Verdana" w:eastAsia="Century Gothic" w:hAnsi="Verdana" w:cs="Century Gothic"/>
          <w:sz w:val="16"/>
          <w:szCs w:val="16"/>
        </w:rPr>
        <w:t xml:space="preserve"> </w:t>
      </w:r>
      <w:r w:rsidRPr="00F23306">
        <w:rPr>
          <w:rFonts w:ascii="Verdana" w:eastAsia="Verdana" w:hAnsi="Verdana" w:cs="Verdana"/>
          <w:sz w:val="16"/>
          <w:szCs w:val="16"/>
        </w:rPr>
        <w:t>ROPPO, Vincenzo. El contrato. Lima: Gaceta Jurídica, 2009. p. 547.</w:t>
      </w:r>
    </w:p>
  </w:footnote>
  <w:footnote w:id="3">
    <w:p w14:paraId="68DCC181" w14:textId="77777777" w:rsidR="00327F59" w:rsidRPr="00F23306" w:rsidRDefault="00327F59" w:rsidP="00327F59">
      <w:pPr>
        <w:pBdr>
          <w:top w:val="nil"/>
          <w:left w:val="nil"/>
          <w:bottom w:val="nil"/>
          <w:right w:val="nil"/>
          <w:between w:val="nil"/>
        </w:pBdr>
        <w:spacing w:after="0" w:line="240" w:lineRule="auto"/>
        <w:ind w:firstLine="709"/>
        <w:jc w:val="both"/>
        <w:rPr>
          <w:rFonts w:ascii="Verdana" w:eastAsia="Verdana" w:hAnsi="Verdana" w:cs="Verdana"/>
          <w:color w:val="000000"/>
          <w:sz w:val="16"/>
          <w:szCs w:val="16"/>
        </w:rPr>
      </w:pPr>
      <w:r w:rsidRPr="00F23306">
        <w:rPr>
          <w:rFonts w:ascii="Verdana" w:hAnsi="Verdana"/>
          <w:sz w:val="16"/>
          <w:szCs w:val="16"/>
          <w:vertAlign w:val="superscript"/>
        </w:rPr>
        <w:footnoteRef/>
      </w:r>
      <w:r w:rsidRPr="00F23306">
        <w:rPr>
          <w:rFonts w:ascii="Verdana" w:eastAsia="Century Gothic" w:hAnsi="Verdana" w:cs="Century Gothic"/>
          <w:sz w:val="16"/>
          <w:szCs w:val="16"/>
        </w:rPr>
        <w:t xml:space="preserve"> </w:t>
      </w:r>
      <w:r w:rsidRPr="00F23306">
        <w:rPr>
          <w:rFonts w:ascii="Verdana" w:eastAsia="Verdana" w:hAnsi="Verdana" w:cs="Verdana"/>
          <w:i/>
          <w:iCs/>
          <w:sz w:val="16"/>
          <w:szCs w:val="16"/>
        </w:rPr>
        <w:t>Ibidem</w:t>
      </w:r>
      <w:r w:rsidRPr="00F23306">
        <w:rPr>
          <w:rFonts w:ascii="Verdana" w:eastAsia="Verdana" w:hAnsi="Verdana" w:cs="Verdana"/>
          <w:sz w:val="16"/>
          <w:szCs w:val="16"/>
        </w:rPr>
        <w:t>.</w:t>
      </w:r>
    </w:p>
  </w:footnote>
  <w:footnote w:id="4">
    <w:p w14:paraId="77F85F55" w14:textId="77777777" w:rsidR="00327F59" w:rsidRPr="00D964BC" w:rsidRDefault="00327F59" w:rsidP="00327F59">
      <w:pPr>
        <w:pBdr>
          <w:top w:val="nil"/>
          <w:left w:val="nil"/>
          <w:bottom w:val="nil"/>
          <w:right w:val="nil"/>
          <w:between w:val="nil"/>
        </w:pBdr>
        <w:spacing w:after="0" w:line="240" w:lineRule="auto"/>
        <w:ind w:firstLine="709"/>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w:t>
      </w:r>
      <w:r w:rsidRPr="00D964BC">
        <w:rPr>
          <w:rFonts w:ascii="Verdana" w:eastAsia="Verdana" w:hAnsi="Verdana" w:cs="Verdana"/>
          <w:color w:val="000000"/>
          <w:sz w:val="16"/>
          <w:szCs w:val="16"/>
        </w:rPr>
        <w:t xml:space="preserve">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w:t>
      </w:r>
      <w:r w:rsidRPr="00D964BC">
        <w:rPr>
          <w:rFonts w:ascii="Verdana" w:eastAsia="Verdana" w:hAnsi="Verdana" w:cs="Verdana"/>
          <w:sz w:val="16"/>
          <w:szCs w:val="16"/>
        </w:rPr>
        <w:t>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w:t>
      </w:r>
      <w:r w:rsidRPr="00D964BC">
        <w:rPr>
          <w:rFonts w:ascii="Verdana" w:eastAsia="Century Gothic" w:hAnsi="Verdana" w:cs="Century Gothic"/>
          <w:color w:val="000000"/>
          <w:sz w:val="16"/>
          <w:szCs w:val="16"/>
        </w:rPr>
        <w:t xml:space="preserve">.   </w:t>
      </w:r>
    </w:p>
  </w:footnote>
  <w:footnote w:id="5">
    <w:p w14:paraId="0E6E282F" w14:textId="77777777" w:rsidR="00327F59" w:rsidRPr="00D964BC" w:rsidRDefault="00327F59" w:rsidP="00327F59">
      <w:pPr>
        <w:pBdr>
          <w:top w:val="nil"/>
          <w:left w:val="nil"/>
          <w:bottom w:val="nil"/>
          <w:right w:val="nil"/>
          <w:between w:val="nil"/>
        </w:pBdr>
        <w:spacing w:after="0" w:line="240" w:lineRule="auto"/>
        <w:ind w:firstLine="708"/>
        <w:jc w:val="both"/>
        <w:rPr>
          <w:rFonts w:ascii="Verdana" w:eastAsia="Verdana" w:hAnsi="Verdana" w:cs="Verdana"/>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w:t>
      </w:r>
      <w:r w:rsidRPr="00D964BC">
        <w:rPr>
          <w:rFonts w:ascii="Verdana" w:eastAsia="Verdana" w:hAnsi="Verdana" w:cs="Verdana"/>
          <w:sz w:val="16"/>
          <w:szCs w:val="16"/>
        </w:rPr>
        <w:t>ESCOLA, Jorge. Tratado integral de los contratos administrativos. Volumen I. Buenos Aires: Depalma, 2012. p. 424.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3308408F" w14:textId="77777777" w:rsidR="00327F59" w:rsidRPr="00D964BC" w:rsidRDefault="00327F59" w:rsidP="00327F59">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eastAsia="Verdana" w:hAnsi="Verdana" w:cs="Verdana"/>
          <w:sz w:val="16"/>
          <w:szCs w:val="16"/>
        </w:rPr>
        <w:t xml:space="preserve">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transferencia del contrato o la subcontratación”. </w:t>
      </w:r>
    </w:p>
  </w:footnote>
  <w:footnote w:id="6">
    <w:p w14:paraId="5EA16B3D" w14:textId="77777777" w:rsidR="00327F59" w:rsidRPr="00D964BC" w:rsidRDefault="00327F59" w:rsidP="00327F59">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MARIENHOFF, Miguel S. Tratado de derecho administrativo. Tomo IIIA. Cuarta Edición. Buenos Aires: Abeledo Perrot, 1998. p. 318. Énfasis dentro del texto.</w:t>
      </w:r>
    </w:p>
  </w:footnote>
  <w:footnote w:id="7">
    <w:p w14:paraId="719BF353" w14:textId="77777777" w:rsidR="00327F59" w:rsidRPr="00D964BC" w:rsidRDefault="00327F59" w:rsidP="00327F59">
      <w:pPr>
        <w:pBdr>
          <w:top w:val="nil"/>
          <w:left w:val="nil"/>
          <w:bottom w:val="nil"/>
          <w:right w:val="nil"/>
          <w:between w:val="nil"/>
        </w:pBdr>
        <w:spacing w:after="0" w:line="240" w:lineRule="auto"/>
        <w:ind w:firstLine="708"/>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RAMÍREZ GRISALES, Richard. La cesión. Serie: Las cláusulas del contrato estatal. Medellín: Centro de Estudios de Derecho Administrativo –CEDA– y Librería Jurídica Sánchez R., 2014. pp. 71-72.</w:t>
      </w:r>
    </w:p>
  </w:footnote>
  <w:footnote w:id="8">
    <w:p w14:paraId="06D2B423" w14:textId="77777777" w:rsidR="00327F59" w:rsidRPr="00D964BC" w:rsidRDefault="00327F59" w:rsidP="00327F59">
      <w:pPr>
        <w:pBdr>
          <w:top w:val="nil"/>
          <w:left w:val="nil"/>
          <w:bottom w:val="nil"/>
          <w:right w:val="nil"/>
          <w:between w:val="nil"/>
        </w:pBdr>
        <w:spacing w:after="0" w:line="240" w:lineRule="auto"/>
        <w:ind w:firstLine="709"/>
        <w:jc w:val="both"/>
        <w:rPr>
          <w:rFonts w:ascii="Verdana" w:eastAsia="Century Gothic" w:hAnsi="Verdana" w:cs="Century Gothic"/>
          <w:color w:val="000000"/>
          <w:sz w:val="16"/>
          <w:szCs w:val="16"/>
        </w:rPr>
      </w:pPr>
      <w:r w:rsidRPr="00D964BC">
        <w:rPr>
          <w:rFonts w:ascii="Verdana" w:hAnsi="Verdana"/>
          <w:sz w:val="16"/>
          <w:szCs w:val="16"/>
          <w:vertAlign w:val="superscript"/>
        </w:rPr>
        <w:footnoteRef/>
      </w:r>
      <w:r w:rsidRPr="00D964BC">
        <w:rPr>
          <w:rFonts w:ascii="Verdana" w:eastAsia="Century Gothic" w:hAnsi="Verdana" w:cs="Century Gothic"/>
          <w:color w:val="000000"/>
          <w:sz w:val="16"/>
          <w:szCs w:val="16"/>
        </w:rPr>
        <w:t xml:space="preserve"> Consejo de Estado, Sección Tercera, Sentencia del 16 de marzo de 2015, Rad. 1999-03028, M.P.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15557071">
    <w:abstractNumId w:val="5"/>
  </w:num>
  <w:num w:numId="2" w16cid:durableId="735591162">
    <w:abstractNumId w:val="1"/>
  </w:num>
  <w:num w:numId="3" w16cid:durableId="1332021408">
    <w:abstractNumId w:val="3"/>
  </w:num>
  <w:num w:numId="4" w16cid:durableId="6716146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1196888">
    <w:abstractNumId w:val="1"/>
  </w:num>
  <w:num w:numId="6" w16cid:durableId="953826169">
    <w:abstractNumId w:val="13"/>
  </w:num>
  <w:num w:numId="7" w16cid:durableId="27605105">
    <w:abstractNumId w:val="4"/>
  </w:num>
  <w:num w:numId="8" w16cid:durableId="1085807367">
    <w:abstractNumId w:val="12"/>
  </w:num>
  <w:num w:numId="9" w16cid:durableId="949320801">
    <w:abstractNumId w:val="6"/>
  </w:num>
  <w:num w:numId="10" w16cid:durableId="928123393">
    <w:abstractNumId w:val="11"/>
  </w:num>
  <w:num w:numId="11" w16cid:durableId="1084643100">
    <w:abstractNumId w:val="7"/>
  </w:num>
  <w:num w:numId="12" w16cid:durableId="743720779">
    <w:abstractNumId w:val="0"/>
  </w:num>
  <w:num w:numId="13" w16cid:durableId="1212379295">
    <w:abstractNumId w:val="2"/>
  </w:num>
  <w:num w:numId="14" w16cid:durableId="1073964044">
    <w:abstractNumId w:val="14"/>
  </w:num>
  <w:num w:numId="15" w16cid:durableId="951739917">
    <w:abstractNumId w:val="10"/>
  </w:num>
  <w:num w:numId="16" w16cid:durableId="1708949285">
    <w:abstractNumId w:val="9"/>
  </w:num>
  <w:num w:numId="17" w16cid:durableId="4208754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D647D"/>
    <w:rsid w:val="000F6486"/>
    <w:rsid w:val="00116940"/>
    <w:rsid w:val="00125105"/>
    <w:rsid w:val="00127233"/>
    <w:rsid w:val="0015699B"/>
    <w:rsid w:val="001A33BF"/>
    <w:rsid w:val="001E4177"/>
    <w:rsid w:val="001F0B24"/>
    <w:rsid w:val="001F7DC6"/>
    <w:rsid w:val="00211F41"/>
    <w:rsid w:val="0022400B"/>
    <w:rsid w:val="0023690C"/>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7F59"/>
    <w:rsid w:val="00330834"/>
    <w:rsid w:val="003448F4"/>
    <w:rsid w:val="00374F5E"/>
    <w:rsid w:val="00377E3E"/>
    <w:rsid w:val="003A779E"/>
    <w:rsid w:val="003D0F4D"/>
    <w:rsid w:val="003D5B0D"/>
    <w:rsid w:val="003E0499"/>
    <w:rsid w:val="003E4F80"/>
    <w:rsid w:val="003E6439"/>
    <w:rsid w:val="003F27B7"/>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37923"/>
    <w:rsid w:val="00646B9F"/>
    <w:rsid w:val="00665D70"/>
    <w:rsid w:val="0068027C"/>
    <w:rsid w:val="006900D9"/>
    <w:rsid w:val="00706C16"/>
    <w:rsid w:val="007272AA"/>
    <w:rsid w:val="007340C3"/>
    <w:rsid w:val="0075235A"/>
    <w:rsid w:val="00756841"/>
    <w:rsid w:val="007649AB"/>
    <w:rsid w:val="00771D0C"/>
    <w:rsid w:val="007833AC"/>
    <w:rsid w:val="007B268C"/>
    <w:rsid w:val="007B7171"/>
    <w:rsid w:val="007C0C0F"/>
    <w:rsid w:val="007C3DC2"/>
    <w:rsid w:val="007E5497"/>
    <w:rsid w:val="00806F5F"/>
    <w:rsid w:val="00820278"/>
    <w:rsid w:val="00824FBD"/>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15C3"/>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66647"/>
    <w:rsid w:val="00C754BE"/>
    <w:rsid w:val="00C76B1C"/>
    <w:rsid w:val="00C925AC"/>
    <w:rsid w:val="00CB6357"/>
    <w:rsid w:val="00CC1B26"/>
    <w:rsid w:val="00D361FD"/>
    <w:rsid w:val="00D423A2"/>
    <w:rsid w:val="00D44E26"/>
    <w:rsid w:val="00D520D8"/>
    <w:rsid w:val="00D54DC6"/>
    <w:rsid w:val="00D63AC2"/>
    <w:rsid w:val="00D7383B"/>
    <w:rsid w:val="00D7788A"/>
    <w:rsid w:val="00D813F7"/>
    <w:rsid w:val="00DA231B"/>
    <w:rsid w:val="00DC39FC"/>
    <w:rsid w:val="00DD54F0"/>
    <w:rsid w:val="00DE0E50"/>
    <w:rsid w:val="00DF5254"/>
    <w:rsid w:val="00E02524"/>
    <w:rsid w:val="00E16408"/>
    <w:rsid w:val="00E20894"/>
    <w:rsid w:val="00E243BB"/>
    <w:rsid w:val="00E245AB"/>
    <w:rsid w:val="00E2764C"/>
    <w:rsid w:val="00E27F2E"/>
    <w:rsid w:val="00E50AFE"/>
    <w:rsid w:val="00E75C92"/>
    <w:rsid w:val="00E771DC"/>
    <w:rsid w:val="00E8772A"/>
    <w:rsid w:val="00E90F6B"/>
    <w:rsid w:val="00E92C27"/>
    <w:rsid w:val="00EA0E3D"/>
    <w:rsid w:val="00EC38A7"/>
    <w:rsid w:val="00EE1AA8"/>
    <w:rsid w:val="00EF2BBE"/>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6659F35"/>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27F59"/>
    <w:rPr>
      <w:rFonts w:ascii="Geomanist Light" w:hAnsi="Geomanist Light"/>
      <w:lang w:val="es-ES"/>
    </w:rPr>
  </w:style>
  <w:style w:type="paragraph" w:styleId="Textodeglobo">
    <w:name w:val="Balloon Text"/>
    <w:basedOn w:val="Normal"/>
    <w:link w:val="TextodegloboCar"/>
    <w:uiPriority w:val="99"/>
    <w:semiHidden/>
    <w:unhideWhenUsed/>
    <w:rsid w:val="00D813F7"/>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813F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agudelo.080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F0D0843-530A-475B-B182-69B36A5A7D40}"/>
</file>

<file path=docProps/app.xml><?xml version="1.0" encoding="utf-8"?>
<Properties xmlns="http://schemas.openxmlformats.org/officeDocument/2006/extended-properties" xmlns:vt="http://schemas.openxmlformats.org/officeDocument/2006/docPropsVTypes">
  <Template>Normal</Template>
  <TotalTime>70</TotalTime>
  <Pages>15</Pages>
  <Words>5179</Words>
  <Characters>28489</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2026-10-07T16:23:00Z</dcterms:created>
  <dcterms:modified xsi:type="dcterms:W3CDTF">2026-10-07T16:59:00Z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