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973B31" w14:textId="77777777" w:rsidR="00512C7E" w:rsidRPr="00512C7E" w:rsidRDefault="00512C7E" w:rsidP="00512C7E">
      <w:pPr>
        <w:spacing w:after="0" w:line="240" w:lineRule="auto"/>
        <w:rPr>
          <w:rFonts w:ascii="Verdana" w:eastAsia="Aptos" w:hAnsi="Verdana" w:cs="Times New Roman"/>
        </w:rPr>
      </w:pPr>
      <w:bookmarkStart w:id="0" w:name="_Hlk143780582"/>
      <w:r w:rsidRPr="00512C7E">
        <w:rPr>
          <w:rFonts w:ascii="Verdana" w:eastAsia="Aptos" w:hAnsi="Verdana" w:cs="Times New Roman"/>
          <w:b/>
          <w:bCs/>
          <w:color w:val="000000"/>
        </w:rPr>
        <w:t xml:space="preserve">DOCUMENTOS TIPO – Fundamento normativo – Obligatoriedad </w:t>
      </w:r>
    </w:p>
    <w:p w14:paraId="3DC6957A" w14:textId="77777777" w:rsidR="00512C7E" w:rsidRPr="00512C7E" w:rsidRDefault="00512C7E" w:rsidP="00512C7E">
      <w:pPr>
        <w:spacing w:after="0" w:line="240" w:lineRule="auto"/>
        <w:jc w:val="both"/>
        <w:rPr>
          <w:rFonts w:ascii="Verdana" w:eastAsia="Calibri" w:hAnsi="Verdana" w:cs="Arial"/>
          <w:b/>
          <w:bCs/>
          <w:sz w:val="20"/>
          <w:szCs w:val="20"/>
          <w:lang w:val="es-ES_tradnl"/>
        </w:rPr>
      </w:pPr>
    </w:p>
    <w:p w14:paraId="06613886" w14:textId="77777777" w:rsidR="00512C7E" w:rsidRPr="00512C7E" w:rsidRDefault="00512C7E" w:rsidP="00512C7E">
      <w:pPr>
        <w:snapToGrid w:val="0"/>
        <w:spacing w:after="0" w:line="240" w:lineRule="auto"/>
        <w:jc w:val="both"/>
        <w:rPr>
          <w:rFonts w:ascii="Verdana" w:eastAsia="Times New Roman" w:hAnsi="Verdana" w:cs="Arial"/>
          <w:sz w:val="20"/>
          <w:szCs w:val="20"/>
          <w:shd w:val="clear" w:color="auto" w:fill="FFFFFF"/>
          <w:lang w:val="es-ES_tradnl" w:eastAsia="es-ES_tradnl"/>
        </w:rPr>
      </w:pPr>
      <w:r w:rsidRPr="00512C7E">
        <w:rPr>
          <w:rFonts w:ascii="Verdana" w:eastAsia="Times New Roman" w:hAnsi="Verdana" w:cs="Arial"/>
          <w:sz w:val="20"/>
          <w:szCs w:val="20"/>
          <w:shd w:val="clear" w:color="auto" w:fill="FFFFFF"/>
          <w:lang w:val="es-ES_tradnl" w:eastAsia="es-ES_tradnl"/>
        </w:rPr>
        <w:t xml:space="preserve">Los documentos tipo expedidos por la Agencia Nacional de Contratación Pública </w:t>
      </w:r>
      <w:r w:rsidRPr="00512C7E">
        <w:rPr>
          <w:rFonts w:ascii="Verdana" w:eastAsia="Symbol" w:hAnsi="Verdana" w:cs="Symbol"/>
          <w:sz w:val="20"/>
          <w:szCs w:val="20"/>
          <w:shd w:val="clear" w:color="auto" w:fill="FFFFFF"/>
          <w:lang w:val="es-ES_tradnl" w:eastAsia="es-ES_tradnl"/>
        </w:rPr>
        <w:t>-</w:t>
      </w:r>
      <w:r w:rsidRPr="00512C7E">
        <w:rPr>
          <w:rFonts w:ascii="Verdana" w:eastAsia="Times New Roman" w:hAnsi="Verdana" w:cs="Arial"/>
          <w:sz w:val="20"/>
          <w:szCs w:val="20"/>
          <w:shd w:val="clear" w:color="auto" w:fill="FFFFFF"/>
          <w:lang w:val="es-ES_tradnl" w:eastAsia="es-ES_tradnl"/>
        </w:rPr>
        <w:t xml:space="preserve"> Colombia Compra Eficiente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5AC21FEE" w14:textId="77777777" w:rsidR="00512C7E" w:rsidRPr="00512C7E" w:rsidRDefault="00512C7E" w:rsidP="00512C7E">
      <w:pPr>
        <w:spacing w:after="0" w:line="240" w:lineRule="auto"/>
        <w:jc w:val="both"/>
        <w:rPr>
          <w:rFonts w:ascii="Verdana" w:eastAsia="Geomanist Light" w:hAnsi="Verdana" w:cs="Arial"/>
          <w:highlight w:val="yellow"/>
          <w:lang w:val="es-ES_tradnl"/>
        </w:rPr>
      </w:pPr>
    </w:p>
    <w:p w14:paraId="644FD097" w14:textId="77777777" w:rsidR="00512C7E" w:rsidRPr="00512C7E" w:rsidRDefault="00512C7E" w:rsidP="00512C7E">
      <w:pPr>
        <w:spacing w:after="0" w:line="240" w:lineRule="auto"/>
        <w:jc w:val="both"/>
        <w:rPr>
          <w:rFonts w:ascii="Verdana" w:eastAsia="Calibri" w:hAnsi="Verdana" w:cs="Arial"/>
          <w:b/>
          <w:kern w:val="2"/>
          <w:lang w:val="es-MX"/>
          <w14:ligatures w14:val="standardContextual"/>
        </w:rPr>
      </w:pPr>
      <w:r w:rsidRPr="00512C7E">
        <w:rPr>
          <w:rFonts w:ascii="Verdana" w:eastAsia="Calibri" w:hAnsi="Verdana" w:cs="Arial"/>
          <w:b/>
          <w:kern w:val="2"/>
          <w:lang w:val="es-MX"/>
          <w14:ligatures w14:val="standardContextual"/>
        </w:rPr>
        <w:t>DOCUMENTOS TIPO – Inalterabilidad – Fundamentos</w:t>
      </w:r>
    </w:p>
    <w:p w14:paraId="6502169B" w14:textId="77777777" w:rsidR="00512C7E" w:rsidRPr="00512C7E" w:rsidRDefault="00512C7E" w:rsidP="00512C7E">
      <w:pPr>
        <w:spacing w:after="0" w:line="240" w:lineRule="auto"/>
        <w:jc w:val="both"/>
        <w:rPr>
          <w:rFonts w:ascii="Verdana" w:eastAsia="Calibri" w:hAnsi="Verdana" w:cs="Arial"/>
          <w:color w:val="000000"/>
          <w:kern w:val="2"/>
          <w:sz w:val="24"/>
          <w:szCs w:val="24"/>
          <w:lang w:val="es-ES_tradnl"/>
          <w14:ligatures w14:val="standardContextual"/>
        </w:rPr>
      </w:pPr>
    </w:p>
    <w:p w14:paraId="1C2A2BC7" w14:textId="77777777" w:rsidR="00512C7E" w:rsidRPr="00512C7E" w:rsidRDefault="00512C7E" w:rsidP="00512C7E">
      <w:pPr>
        <w:spacing w:after="0" w:line="240" w:lineRule="auto"/>
        <w:jc w:val="both"/>
        <w:rPr>
          <w:rFonts w:ascii="Verdana" w:eastAsia="Calibri" w:hAnsi="Verdana" w:cs="Arial"/>
          <w:color w:val="000000"/>
          <w:kern w:val="2"/>
          <w:sz w:val="20"/>
          <w:szCs w:val="20"/>
          <w:lang w:val="es-ES"/>
          <w14:ligatures w14:val="standardContextual"/>
        </w:rPr>
      </w:pPr>
      <w:r w:rsidRPr="00512C7E">
        <w:rPr>
          <w:rFonts w:ascii="Verdana" w:eastAsia="Calibri" w:hAnsi="Verdana" w:cs="Arial"/>
          <w:color w:val="000000"/>
          <w:kern w:val="2"/>
          <w:sz w:val="20"/>
          <w:szCs w:val="20"/>
          <w:lang w:val="es-ES"/>
          <w14:ligatures w14:val="standardContextual"/>
        </w:rPr>
        <w:t xml:space="preserve">(…) todas las resoluciones expedidas por la Agencia Nacional de Contratación Pública – Colombia Compra Eficiente, mediante las cuales se han adoptado los documentos tipo, consagran la regla de la inalterabilidad. Esta prohibición consiste en que las entidades estatales no pueden incluir o modificar en los </w:t>
      </w:r>
      <w:r w:rsidRPr="00512C7E">
        <w:rPr>
          <w:rFonts w:ascii="Verdana" w:eastAsia="Calibri" w:hAnsi="Verdana" w:cs="Arial"/>
          <w:i/>
          <w:iCs/>
          <w:color w:val="000000"/>
          <w:kern w:val="2"/>
          <w:sz w:val="20"/>
          <w:szCs w:val="20"/>
          <w:lang w:val="es-ES"/>
          <w14:ligatures w14:val="standardContextual"/>
        </w:rPr>
        <w:t>Documentos del Proceso</w:t>
      </w:r>
      <w:r w:rsidRPr="00512C7E">
        <w:rPr>
          <w:rFonts w:ascii="Verdana" w:eastAsia="Calibri" w:hAnsi="Verdana" w:cs="Arial"/>
          <w:color w:val="000000"/>
          <w:kern w:val="2"/>
          <w:sz w:val="20"/>
          <w:szCs w:val="20"/>
          <w:lang w:val="es-ES"/>
          <w14:ligatures w14:val="standardContextual"/>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18DE2140" w14:textId="77777777" w:rsidR="00512C7E" w:rsidRPr="00512C7E" w:rsidRDefault="00512C7E" w:rsidP="00512C7E">
      <w:pPr>
        <w:spacing w:after="0" w:line="240" w:lineRule="auto"/>
        <w:jc w:val="both"/>
        <w:rPr>
          <w:rFonts w:ascii="Verdana" w:eastAsia="Calibri" w:hAnsi="Verdana" w:cs="Arial"/>
          <w:color w:val="000000"/>
          <w:kern w:val="2"/>
          <w:sz w:val="20"/>
          <w:szCs w:val="20"/>
          <w:lang w:val="es-ES_tradnl"/>
          <w14:ligatures w14:val="standardContextual"/>
        </w:rPr>
      </w:pPr>
    </w:p>
    <w:p w14:paraId="1CAE5152" w14:textId="77777777" w:rsidR="00512C7E" w:rsidRPr="00512C7E" w:rsidRDefault="00512C7E" w:rsidP="00512C7E">
      <w:pPr>
        <w:spacing w:after="0" w:line="240" w:lineRule="auto"/>
        <w:jc w:val="both"/>
        <w:rPr>
          <w:rFonts w:ascii="Verdana" w:eastAsia="Calibri" w:hAnsi="Verdana" w:cs="Arial"/>
          <w:kern w:val="2"/>
          <w:sz w:val="20"/>
          <w:szCs w:val="20"/>
          <w:lang w:val="es-ES_tradnl"/>
          <w14:ligatures w14:val="standardContextual"/>
        </w:rPr>
      </w:pPr>
      <w:r w:rsidRPr="00512C7E">
        <w:rPr>
          <w:rFonts w:ascii="Verdana" w:eastAsia="Calibri" w:hAnsi="Verdana" w:cs="Arial"/>
          <w:kern w:val="2"/>
          <w:sz w:val="20"/>
          <w:szCs w:val="20"/>
          <w:lang w:val="es-ES_tradnl"/>
          <w14:ligatures w14:val="standardContextual"/>
        </w:rPr>
        <w:t xml:space="preserve">El fundamento legal vigente de la regla de la inalterabilidad está en el artículo 1 de la Ley 2022 de 2020, según el cual “(…) serán de obligatorio cumplimiento en la actividad contractual de todas las entidades sometidas al Estatuto General de Contratación de la Administración Pública”. Pero eso no significa que antes no rigiera, pues así también lo disponía el artículo 4 de la Ley 1882 de 2018. Por vía reglamentaria, también quedó consignado en su momento el carácter inmodificable de los pliegos tipo en el artículo 1 de los Decretos 342 de 2019, Decreto 2096 de 2019 y 594 de 2020, que adicionaron, respectivamente, los artículos 2.2.1.2.6.1.4, 2.2.1.2.6.2.3 y 2.2.1.2.6.3.4 al Decreto 1082 de 2015. En esta línea, las entidades públicas deberán sujetarse de forma irrestricta a las reglas establecidas en los documentos tipo, dispuestas en las diferentes resoluciones expedidas por la Agencia, por lo que no pueden hacer excepciones bajo una supuesta discrecionalidad a estas reglas que son obligatorias.  </w:t>
      </w:r>
    </w:p>
    <w:p w14:paraId="66726BB0" w14:textId="77777777" w:rsidR="00512C7E" w:rsidRPr="00512C7E" w:rsidRDefault="00512C7E" w:rsidP="00512C7E">
      <w:pPr>
        <w:spacing w:after="0" w:line="240" w:lineRule="auto"/>
        <w:jc w:val="both"/>
        <w:rPr>
          <w:rFonts w:ascii="Arial" w:eastAsia="Calibri" w:hAnsi="Arial" w:cs="Arial"/>
          <w:b/>
          <w:kern w:val="2"/>
          <w:sz w:val="24"/>
          <w:szCs w:val="24"/>
          <w:lang w:val="es-MX"/>
          <w14:ligatures w14:val="standardContextual"/>
        </w:rPr>
      </w:pPr>
    </w:p>
    <w:p w14:paraId="4E9A21EB" w14:textId="77777777" w:rsidR="00512C7E" w:rsidRPr="00512C7E" w:rsidRDefault="00512C7E" w:rsidP="00512C7E">
      <w:pPr>
        <w:spacing w:after="0" w:line="240" w:lineRule="auto"/>
        <w:jc w:val="both"/>
        <w:rPr>
          <w:rFonts w:ascii="Verdana" w:eastAsia="Aptos" w:hAnsi="Verdana" w:cs="Arial"/>
          <w:b/>
          <w:kern w:val="2"/>
          <w:lang w:val="es-MX"/>
          <w14:ligatures w14:val="standardContextual"/>
        </w:rPr>
      </w:pPr>
      <w:r w:rsidRPr="00512C7E">
        <w:rPr>
          <w:rFonts w:ascii="Verdana" w:eastAsia="Calibri" w:hAnsi="Verdana" w:cs="Arial"/>
          <w:b/>
          <w:kern w:val="2"/>
          <w:lang w:val="es-MX"/>
          <w14:ligatures w14:val="standardContextual"/>
        </w:rPr>
        <w:t xml:space="preserve">DOCUMENTOS TIPO – Inalterabilidad – Información en corchetes y resaltado gris </w:t>
      </w:r>
    </w:p>
    <w:p w14:paraId="0A140C31" w14:textId="77777777" w:rsidR="00512C7E" w:rsidRPr="00512C7E" w:rsidRDefault="00512C7E" w:rsidP="00512C7E">
      <w:pPr>
        <w:spacing w:after="0" w:line="240" w:lineRule="auto"/>
        <w:jc w:val="both"/>
        <w:rPr>
          <w:rFonts w:ascii="Arial" w:eastAsia="Aptos" w:hAnsi="Arial" w:cs="Arial"/>
          <w:kern w:val="2"/>
          <w:sz w:val="20"/>
          <w:szCs w:val="20"/>
          <w:lang w:val="es-MX"/>
          <w14:ligatures w14:val="standardContextual"/>
        </w:rPr>
      </w:pPr>
    </w:p>
    <w:p w14:paraId="3E2462C8" w14:textId="77777777" w:rsidR="00512C7E" w:rsidRPr="00512C7E" w:rsidRDefault="00512C7E" w:rsidP="00512C7E">
      <w:pPr>
        <w:spacing w:after="0" w:line="240" w:lineRule="auto"/>
        <w:jc w:val="both"/>
        <w:rPr>
          <w:rFonts w:ascii="Verdana" w:eastAsia="Calibri" w:hAnsi="Verdana" w:cs="Arial"/>
          <w:color w:val="000000"/>
          <w:kern w:val="2"/>
          <w:sz w:val="20"/>
          <w:szCs w:val="20"/>
          <w:lang w:val="es-ES"/>
          <w14:ligatures w14:val="standardContextual"/>
        </w:rPr>
      </w:pPr>
      <w:r w:rsidRPr="00512C7E">
        <w:rPr>
          <w:rFonts w:ascii="Verdana" w:eastAsia="Calibri" w:hAnsi="Verdana" w:cs="Arial"/>
          <w:kern w:val="2"/>
          <w:sz w:val="20"/>
          <w:szCs w:val="20"/>
          <w:lang w:val="es-MX"/>
          <w14:ligatures w14:val="standardContextual"/>
        </w:rPr>
        <w:t xml:space="preserve">(…) la parte introductoria de los documentos base de los documentos tipo disponen que los aspectos incluidos en corchetes y resaltados en gris </w:t>
      </w:r>
      <w:r w:rsidRPr="00512C7E">
        <w:rPr>
          <w:rFonts w:ascii="Verdana" w:eastAsia="Aptos" w:hAnsi="Verdana" w:cs="Arial"/>
          <w:kern w:val="2"/>
          <w:sz w:val="20"/>
          <w:szCs w:val="20"/>
          <w14:ligatures w14:val="standardContextual"/>
        </w:rPr>
        <w:t>–[</w:t>
      </w:r>
      <w:r w:rsidRPr="00512C7E">
        <w:rPr>
          <w:rFonts w:ascii="Verdana" w:eastAsia="Aptos" w:hAnsi="Verdana" w:cs="Arial"/>
          <w:kern w:val="2"/>
          <w:sz w:val="20"/>
          <w:szCs w:val="20"/>
          <w:highlight w:val="lightGray"/>
          <w14:ligatures w14:val="standardContextual"/>
        </w:rPr>
        <w:t>texto de ejemplo</w:t>
      </w:r>
      <w:r w:rsidRPr="00512C7E">
        <w:rPr>
          <w:rFonts w:ascii="Verdana" w:eastAsia="Aptos" w:hAnsi="Verdana" w:cs="Arial"/>
          <w:kern w:val="2"/>
          <w:sz w:val="20"/>
          <w:szCs w:val="20"/>
          <w14:ligatures w14:val="standardContextual"/>
        </w:rPr>
        <w:t xml:space="preserve">]– </w:t>
      </w:r>
      <w:r w:rsidRPr="00512C7E">
        <w:rPr>
          <w:rFonts w:ascii="Verdana" w:eastAsia="Calibri" w:hAnsi="Verdana" w:cs="Arial"/>
          <w:kern w:val="2"/>
          <w:sz w:val="20"/>
          <w:szCs w:val="20"/>
          <w:lang w:val="es-MX"/>
          <w14:ligatures w14:val="standardContextual"/>
        </w:rPr>
        <w:t xml:space="preserve">deben ser diligenciados por la entidad. Excepcionalmente le corresponde al proponente consignar la información incluida en corchetes y resaltada en gris, como, por ejemplo, los formatos </w:t>
      </w:r>
      <w:r w:rsidRPr="00512C7E">
        <w:rPr>
          <w:rFonts w:ascii="Verdana" w:eastAsia="Calibri" w:hAnsi="Verdana" w:cs="Arial"/>
          <w:kern w:val="2"/>
          <w:sz w:val="20"/>
          <w:szCs w:val="20"/>
          <w:lang w:val="es-MX"/>
          <w14:ligatures w14:val="standardContextual"/>
        </w:rPr>
        <w:lastRenderedPageBreak/>
        <w:t xml:space="preserve">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14EE683A" w14:textId="77777777" w:rsidR="00512C7E" w:rsidRPr="00512C7E" w:rsidRDefault="00512C7E" w:rsidP="00512C7E">
      <w:pPr>
        <w:spacing w:after="0" w:line="240" w:lineRule="auto"/>
        <w:jc w:val="both"/>
        <w:rPr>
          <w:rFonts w:ascii="Verdana" w:eastAsia="Calibri" w:hAnsi="Verdana" w:cs="Arial"/>
          <w:bCs/>
          <w:kern w:val="2"/>
          <w:sz w:val="20"/>
          <w:szCs w:val="20"/>
          <w:lang w:val="es-MX"/>
          <w14:ligatures w14:val="standardContextual"/>
        </w:rPr>
      </w:pPr>
    </w:p>
    <w:p w14:paraId="19213D2F" w14:textId="77777777" w:rsidR="00512C7E" w:rsidRPr="00512C7E" w:rsidRDefault="00512C7E" w:rsidP="00512C7E">
      <w:pPr>
        <w:spacing w:after="0" w:line="240" w:lineRule="auto"/>
        <w:jc w:val="both"/>
        <w:rPr>
          <w:rFonts w:ascii="Verdana" w:eastAsia="Calibri" w:hAnsi="Verdana" w:cs="Arial"/>
          <w:bCs/>
          <w:kern w:val="2"/>
          <w:sz w:val="20"/>
          <w:szCs w:val="20"/>
          <w:lang w:val="es-MX"/>
          <w14:ligatures w14:val="standardContextual"/>
        </w:rPr>
      </w:pPr>
      <w:r w:rsidRPr="00512C7E">
        <w:rPr>
          <w:rFonts w:ascii="Verdana" w:eastAsia="Calibri" w:hAnsi="Verdana" w:cs="Arial"/>
          <w:bCs/>
          <w:kern w:val="2"/>
          <w:sz w:val="20"/>
          <w:szCs w:val="20"/>
          <w:lang w:val="es-MX"/>
          <w14:ligatures w14:val="standardContextual"/>
        </w:rPr>
        <w:t>En suma, la regla general frente la aplicación de los documentos tipo es su inalterabilidad, y no podrán incluirse o modificarse en los documentos del proceso las condiciones habilitantes, los factores técnicos y económicos de escogencia y los sistemas de ponderación distintos a los señalados en los documentos tipo. En tal sentido, estos solo se podrán modificar respecto a aquellos contenidos que el mismo documento tipo lo permita.</w:t>
      </w:r>
    </w:p>
    <w:p w14:paraId="2B34EBD3" w14:textId="77777777" w:rsidR="00512C7E" w:rsidRPr="00512C7E" w:rsidRDefault="00512C7E" w:rsidP="00512C7E">
      <w:pPr>
        <w:spacing w:after="0" w:line="240" w:lineRule="auto"/>
        <w:jc w:val="both"/>
        <w:rPr>
          <w:rFonts w:ascii="Verdana" w:eastAsia="Calibri" w:hAnsi="Verdana" w:cs="Arial"/>
          <w:bCs/>
          <w:kern w:val="2"/>
          <w:sz w:val="20"/>
          <w:szCs w:val="20"/>
          <w:lang w:val="es-MX"/>
          <w14:ligatures w14:val="standardContextual"/>
        </w:rPr>
      </w:pPr>
    </w:p>
    <w:p w14:paraId="2847B686" w14:textId="77777777" w:rsidR="00512C7E" w:rsidRPr="00512C7E" w:rsidRDefault="00512C7E" w:rsidP="00512C7E">
      <w:pPr>
        <w:spacing w:after="0" w:line="240" w:lineRule="auto"/>
        <w:jc w:val="both"/>
        <w:rPr>
          <w:rFonts w:ascii="Verdana" w:eastAsia="Calibri" w:hAnsi="Verdana" w:cs="Arial"/>
          <w:bCs/>
          <w:kern w:val="2"/>
          <w:sz w:val="20"/>
          <w:szCs w:val="20"/>
          <w:lang w:val="es-MX"/>
          <w14:ligatures w14:val="standardContextual"/>
        </w:rPr>
      </w:pPr>
      <w:r w:rsidRPr="00512C7E">
        <w:rPr>
          <w:rFonts w:ascii="Verdana" w:eastAsia="Calibri" w:hAnsi="Verdana" w:cs="Arial"/>
          <w:bCs/>
          <w:kern w:val="2"/>
          <w:sz w:val="20"/>
          <w:szCs w:val="20"/>
          <w:lang w:val="es-MX"/>
          <w14:ligatures w14:val="standardContextual"/>
        </w:rPr>
        <w:t xml:space="preserve">Esta regla de inalterabilidad </w:t>
      </w:r>
      <w:r w:rsidRPr="00512C7E">
        <w:rPr>
          <w:rFonts w:ascii="Verdana" w:eastAsia="Calibri" w:hAnsi="Verdana" w:cs="Arial"/>
          <w:bCs/>
          <w:i/>
          <w:iCs/>
          <w:kern w:val="2"/>
          <w:sz w:val="20"/>
          <w:szCs w:val="20"/>
          <w:lang w:val="es-MX"/>
          <w14:ligatures w14:val="standardContextual"/>
        </w:rPr>
        <w:t>también aplica a los formatos, anexos y matrices</w:t>
      </w:r>
      <w:r w:rsidRPr="00512C7E">
        <w:rPr>
          <w:rFonts w:ascii="Verdana" w:eastAsia="Calibri" w:hAnsi="Verdana" w:cs="Arial"/>
          <w:bCs/>
          <w:kern w:val="2"/>
          <w:sz w:val="20"/>
          <w:szCs w:val="20"/>
          <w:lang w:val="es-MX"/>
          <w14:ligatures w14:val="standardContextual"/>
        </w:rPr>
        <w:t xml:space="preserve"> implementados junto con el “Documento Base”, los cuales deben usarse en el procedimiento de contratación. Estos, al igual que el “Documento Base”, contienen apartes entre corchetes y resaltados en gris, los cuales deben ser diligenciados por la entidad, al igual que otros aspectos relativos a información que debe ser completada por los oferentes al hacer uso del formato. </w:t>
      </w:r>
    </w:p>
    <w:p w14:paraId="62320759" w14:textId="77777777" w:rsidR="00512C7E" w:rsidRPr="00512C7E" w:rsidRDefault="00512C7E" w:rsidP="00512C7E">
      <w:pPr>
        <w:tabs>
          <w:tab w:val="left" w:pos="-142"/>
        </w:tabs>
        <w:autoSpaceDE w:val="0"/>
        <w:autoSpaceDN w:val="0"/>
        <w:adjustRightInd w:val="0"/>
        <w:spacing w:after="0" w:line="240" w:lineRule="auto"/>
        <w:jc w:val="both"/>
        <w:rPr>
          <w:rFonts w:ascii="Arial" w:eastAsia="Arial" w:hAnsi="Arial" w:cs="Arial"/>
          <w:kern w:val="2"/>
          <w:sz w:val="20"/>
          <w:szCs w:val="20"/>
          <w:lang w:eastAsia="es-ES"/>
          <w14:ligatures w14:val="standardContextual"/>
        </w:rPr>
      </w:pPr>
    </w:p>
    <w:p w14:paraId="3450C4EA" w14:textId="77777777" w:rsidR="00512C7E" w:rsidRPr="00512C7E" w:rsidRDefault="00512C7E" w:rsidP="00512C7E">
      <w:pPr>
        <w:tabs>
          <w:tab w:val="left" w:pos="-142"/>
        </w:tabs>
        <w:autoSpaceDE w:val="0"/>
        <w:autoSpaceDN w:val="0"/>
        <w:adjustRightInd w:val="0"/>
        <w:spacing w:after="0" w:line="240" w:lineRule="auto"/>
        <w:jc w:val="both"/>
        <w:rPr>
          <w:rFonts w:ascii="Verdana" w:eastAsia="Calibri" w:hAnsi="Verdana" w:cs="Arial"/>
          <w:b/>
          <w:bCs/>
          <w:kern w:val="2"/>
          <w:lang w:val="es-ES_tradnl" w:eastAsia="es-ES"/>
          <w14:ligatures w14:val="standardContextual"/>
        </w:rPr>
      </w:pPr>
      <w:r w:rsidRPr="00512C7E">
        <w:rPr>
          <w:rFonts w:ascii="Verdana" w:eastAsia="Calibri" w:hAnsi="Verdana" w:cs="Arial"/>
          <w:b/>
          <w:bCs/>
          <w:kern w:val="2"/>
          <w:lang w:val="es-ES_tradnl" w:eastAsia="es-ES"/>
          <w14:ligatures w14:val="standardContextual"/>
        </w:rPr>
        <w:t xml:space="preserve">DOCUMENTOS TIPO </w:t>
      </w:r>
      <w:bookmarkStart w:id="1" w:name="_Hlk39666823"/>
      <w:r w:rsidRPr="00512C7E">
        <w:rPr>
          <w:rFonts w:ascii="Verdana" w:eastAsia="Calibri" w:hAnsi="Verdana" w:cs="Arial"/>
          <w:b/>
          <w:kern w:val="2"/>
          <w:lang w:val="x-none" w:eastAsia="es-ES"/>
          <w14:ligatures w14:val="standardContextual"/>
        </w:rPr>
        <w:t>–</w:t>
      </w:r>
      <w:bookmarkEnd w:id="1"/>
      <w:r w:rsidRPr="00512C7E">
        <w:rPr>
          <w:rFonts w:ascii="Verdana" w:eastAsia="Calibri" w:hAnsi="Verdana" w:cs="Arial"/>
          <w:b/>
          <w:bCs/>
          <w:kern w:val="2"/>
          <w:lang w:val="es-ES_tradnl" w:eastAsia="es-ES"/>
          <w14:ligatures w14:val="standardContextual"/>
        </w:rPr>
        <w:t xml:space="preserve"> Inalterabilidad </w:t>
      </w:r>
      <w:r w:rsidRPr="00512C7E">
        <w:rPr>
          <w:rFonts w:ascii="Verdana" w:eastAsia="Calibri" w:hAnsi="Verdana" w:cs="Arial"/>
          <w:b/>
          <w:kern w:val="2"/>
          <w:lang w:val="x-none" w:eastAsia="es-ES"/>
          <w14:ligatures w14:val="standardContextual"/>
        </w:rPr>
        <w:t>–</w:t>
      </w:r>
      <w:r w:rsidRPr="00512C7E">
        <w:rPr>
          <w:rFonts w:ascii="Verdana" w:eastAsia="Calibri" w:hAnsi="Verdana" w:cs="Arial"/>
          <w:b/>
          <w:bCs/>
          <w:kern w:val="2"/>
          <w:lang w:val="es-ES_tradnl" w:eastAsia="es-ES"/>
          <w14:ligatures w14:val="standardContextual"/>
        </w:rPr>
        <w:t xml:space="preserve"> Prevalencia del derecho sustancial</w:t>
      </w:r>
    </w:p>
    <w:p w14:paraId="199F07D9" w14:textId="77777777" w:rsidR="00512C7E" w:rsidRPr="00512C7E" w:rsidRDefault="00512C7E" w:rsidP="00512C7E">
      <w:pPr>
        <w:spacing w:after="0" w:line="240" w:lineRule="auto"/>
        <w:jc w:val="both"/>
        <w:rPr>
          <w:rFonts w:ascii="Arial" w:eastAsia="Calibri" w:hAnsi="Arial" w:cs="Arial"/>
          <w:b/>
          <w:bCs/>
          <w:kern w:val="2"/>
          <w:sz w:val="20"/>
          <w:szCs w:val="20"/>
          <w:lang w:val="es-ES_tradnl"/>
          <w14:ligatures w14:val="standardContextual"/>
        </w:rPr>
      </w:pPr>
    </w:p>
    <w:p w14:paraId="04FCC436" w14:textId="77777777" w:rsidR="00512C7E" w:rsidRPr="00512C7E" w:rsidRDefault="00512C7E" w:rsidP="00512C7E">
      <w:pPr>
        <w:spacing w:after="0" w:line="240" w:lineRule="auto"/>
        <w:jc w:val="both"/>
        <w:rPr>
          <w:rFonts w:ascii="Verdana" w:eastAsia="Calibri" w:hAnsi="Verdana" w:cs="Arial"/>
          <w:kern w:val="2"/>
          <w:sz w:val="20"/>
          <w:szCs w:val="20"/>
          <w:lang w:val="es-MX"/>
          <w14:ligatures w14:val="standardContextual"/>
        </w:rPr>
      </w:pPr>
      <w:r w:rsidRPr="00512C7E">
        <w:rPr>
          <w:rFonts w:ascii="Verdana" w:eastAsia="Calibri" w:hAnsi="Verdana" w:cs="Arial"/>
          <w:kern w:val="2"/>
          <w:sz w:val="20"/>
          <w:szCs w:val="20"/>
          <w:lang w:val="es-MX"/>
          <w14:ligatures w14:val="standardContextual"/>
        </w:rPr>
        <w:t xml:space="preserve">La regla de inalterabilidad de los documentos tipo debe armonizase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en últimas, el deber que le asiste es el de tener en cuenta y aplicar los aspectos sustanciales de los documentos tipo, sin distingo de la formalidad de la que se sirva para ello los actores de la contratación pública. </w:t>
      </w:r>
    </w:p>
    <w:p w14:paraId="6FFFFDD1" w14:textId="77777777" w:rsidR="00512C7E" w:rsidRPr="00512C7E" w:rsidRDefault="00512C7E" w:rsidP="00512C7E">
      <w:pPr>
        <w:spacing w:after="0" w:line="240" w:lineRule="auto"/>
        <w:jc w:val="both"/>
        <w:rPr>
          <w:rFonts w:ascii="Verdana" w:eastAsia="Geomanist Light" w:hAnsi="Verdana" w:cs="Arial"/>
          <w:highlight w:val="yellow"/>
          <w:lang w:val="es-MX"/>
        </w:rPr>
      </w:pPr>
    </w:p>
    <w:p w14:paraId="4AB92F97" w14:textId="77777777" w:rsidR="00512C7E" w:rsidRPr="00512C7E" w:rsidRDefault="00512C7E" w:rsidP="00512C7E">
      <w:pPr>
        <w:spacing w:after="0" w:line="240" w:lineRule="auto"/>
        <w:jc w:val="both"/>
        <w:rPr>
          <w:rFonts w:ascii="Verdana" w:eastAsia="Times New Roman" w:hAnsi="Verdana" w:cs="Times New Roman"/>
          <w:sz w:val="20"/>
          <w:szCs w:val="20"/>
          <w:lang w:eastAsia="es-MX"/>
        </w:rPr>
      </w:pPr>
      <w:r w:rsidRPr="00512C7E">
        <w:rPr>
          <w:rFonts w:ascii="Verdana" w:eastAsia="Times New Roman" w:hAnsi="Verdana" w:cs="Times New Roman"/>
          <w:sz w:val="20"/>
          <w:szCs w:val="20"/>
          <w:lang w:eastAsia="es-MX"/>
        </w:rPr>
        <w:t xml:space="preserve">En los documentos tipo de obra pública de infraestructura de transporte, la Entidad deberá identificar los requisitos de capacidad financiera y organizacional aplicables al proceso de selección. Para ello, deberá consultar los requisitos definidos según las particularidades de cada proceso en el documento base –o en la invitación, en el caso de los documentos tipo de mínima cuantía– y en la “Matriz 2 – Indicadores financieros y organizacionales </w:t>
      </w:r>
      <w:r w:rsidRPr="00512C7E">
        <w:rPr>
          <w:rFonts w:ascii="Verdana" w:eastAsia="Arial" w:hAnsi="Verdana" w:cs="Arial"/>
          <w:sz w:val="20"/>
          <w:szCs w:val="20"/>
          <w:lang w:eastAsia="es-MX"/>
        </w:rPr>
        <w:t>de obras para infraestructura de transporte</w:t>
      </w:r>
      <w:r w:rsidRPr="00512C7E">
        <w:rPr>
          <w:rFonts w:ascii="Verdana" w:eastAsia="Times New Roman" w:hAnsi="Verdana" w:cs="Times New Roman"/>
          <w:sz w:val="20"/>
          <w:szCs w:val="20"/>
          <w:lang w:eastAsia="es-MX"/>
        </w:rPr>
        <w:t>” –en adelante Matriz 2–, pues las versiones vigentes de los documentos tipo ya definen dichos requisitos.</w:t>
      </w:r>
    </w:p>
    <w:p w14:paraId="3D6386A7" w14:textId="77777777" w:rsidR="00512C7E" w:rsidRPr="00512C7E" w:rsidRDefault="00512C7E" w:rsidP="00512C7E">
      <w:pPr>
        <w:spacing w:after="0" w:line="276" w:lineRule="auto"/>
        <w:jc w:val="both"/>
        <w:rPr>
          <w:rFonts w:ascii="Verdana" w:eastAsia="Times New Roman" w:hAnsi="Verdana" w:cs="Times New Roman"/>
          <w:sz w:val="20"/>
          <w:szCs w:val="20"/>
          <w:lang w:eastAsia="es-MX"/>
        </w:rPr>
      </w:pPr>
    </w:p>
    <w:p w14:paraId="2E31837E" w14:textId="77777777" w:rsidR="00512C7E" w:rsidRPr="00512C7E" w:rsidRDefault="00512C7E" w:rsidP="00512C7E">
      <w:pPr>
        <w:tabs>
          <w:tab w:val="left" w:pos="-142"/>
        </w:tabs>
        <w:autoSpaceDE w:val="0"/>
        <w:autoSpaceDN w:val="0"/>
        <w:adjustRightInd w:val="0"/>
        <w:spacing w:after="0" w:line="240" w:lineRule="auto"/>
        <w:jc w:val="both"/>
        <w:rPr>
          <w:rFonts w:ascii="Verdana" w:eastAsia="Calibri" w:hAnsi="Verdana" w:cs="Arial"/>
          <w:b/>
          <w:bCs/>
          <w:kern w:val="2"/>
          <w:lang w:val="es-ES_tradnl" w:eastAsia="es-ES"/>
          <w14:ligatures w14:val="standardContextual"/>
        </w:rPr>
      </w:pPr>
      <w:r w:rsidRPr="00512C7E">
        <w:rPr>
          <w:rFonts w:ascii="Verdana" w:eastAsia="Calibri" w:hAnsi="Verdana" w:cs="Arial"/>
          <w:b/>
          <w:bCs/>
          <w:kern w:val="2"/>
          <w:lang w:val="es-ES_tradnl" w:eastAsia="es-ES"/>
          <w14:ligatures w14:val="standardContextual"/>
        </w:rPr>
        <w:t>DOCUMENTOS TIPO – Inalterabilidad – Requisitos habilitantes – Artículo 17 de la Ley 842 de 2003</w:t>
      </w:r>
    </w:p>
    <w:p w14:paraId="3C8E55E9" w14:textId="77777777" w:rsidR="00512C7E" w:rsidRPr="00512C7E" w:rsidRDefault="00512C7E" w:rsidP="00512C7E">
      <w:pPr>
        <w:spacing w:after="0" w:line="240" w:lineRule="auto"/>
        <w:jc w:val="both"/>
        <w:rPr>
          <w:rFonts w:ascii="Arial" w:eastAsia="Calibri" w:hAnsi="Arial" w:cs="Arial"/>
          <w:b/>
          <w:bCs/>
          <w:kern w:val="2"/>
          <w:sz w:val="20"/>
          <w:szCs w:val="20"/>
          <w:lang w:val="es-ES_tradnl"/>
          <w14:ligatures w14:val="standardContextual"/>
        </w:rPr>
      </w:pPr>
    </w:p>
    <w:p w14:paraId="3B829D04" w14:textId="77777777" w:rsidR="00512C7E" w:rsidRPr="00512C7E" w:rsidRDefault="00512C7E" w:rsidP="00512C7E">
      <w:pPr>
        <w:spacing w:after="0" w:line="240" w:lineRule="auto"/>
        <w:jc w:val="both"/>
        <w:rPr>
          <w:rFonts w:ascii="Verdana" w:eastAsia="Calibri" w:hAnsi="Verdana" w:cs="Arial"/>
          <w:kern w:val="2"/>
          <w:sz w:val="20"/>
          <w:szCs w:val="20"/>
          <w:lang w:val="es-MX"/>
          <w14:ligatures w14:val="standardContextual"/>
        </w:rPr>
      </w:pPr>
      <w:r w:rsidRPr="00512C7E">
        <w:rPr>
          <w:rFonts w:ascii="Verdana" w:eastAsia="Calibri" w:hAnsi="Verdana" w:cs="Arial"/>
          <w:kern w:val="2"/>
          <w:sz w:val="20"/>
          <w:szCs w:val="20"/>
          <w:lang w:val="es-MX"/>
          <w14:ligatures w14:val="standardContextual"/>
        </w:rPr>
        <w:t xml:space="preserve">(…) la obligación contenida en el artículo 17 de la Ley 842 de 2003 no se estableció como un requisito habilitante en los documentos tipo de licitación de obra pública adoptados por esta Agencia, y tampoco se exigió la acreditación de este requisito durante el </w:t>
      </w:r>
      <w:r w:rsidRPr="00512C7E">
        <w:rPr>
          <w:rFonts w:ascii="Verdana" w:eastAsia="Calibri" w:hAnsi="Verdana" w:cs="Arial"/>
          <w:kern w:val="2"/>
          <w:sz w:val="20"/>
          <w:szCs w:val="20"/>
          <w:lang w:val="es-MX"/>
          <w14:ligatures w14:val="standardContextual"/>
        </w:rPr>
        <w:lastRenderedPageBreak/>
        <w:t>procedimiento de selección en ningún lugar de los documentos tipo señalados. Sin embargo, ello no quiere decir que esta obligación desaparezca o no se deba cumplir, pues esta aplica por ministerio de la ley (…). Además, (…) las entidades no pueden incluir nuevos requisitos habilitantes distintos a los establecidos en los documentos tipo, considerando la regla de la inalterabilidad que recae sobre estos documentos (…).</w:t>
      </w:r>
    </w:p>
    <w:p w14:paraId="1CCE8656" w14:textId="77777777" w:rsidR="00512C7E" w:rsidRPr="00512C7E" w:rsidRDefault="00512C7E" w:rsidP="00512C7E">
      <w:pPr>
        <w:spacing w:after="0" w:line="240" w:lineRule="auto"/>
        <w:jc w:val="both"/>
        <w:rPr>
          <w:rFonts w:ascii="Verdana" w:eastAsia="Times New Roman" w:hAnsi="Verdana" w:cs="Arial"/>
          <w:sz w:val="20"/>
          <w:szCs w:val="20"/>
          <w:shd w:val="clear" w:color="auto" w:fill="FFFFFF"/>
          <w:lang w:val="es-MX" w:eastAsia="es-ES_tradnl"/>
        </w:rPr>
      </w:pPr>
    </w:p>
    <w:p w14:paraId="3A044997" w14:textId="77777777" w:rsidR="00512C7E" w:rsidRPr="00512C7E" w:rsidRDefault="00512C7E" w:rsidP="00512C7E">
      <w:pPr>
        <w:spacing w:after="0" w:line="240" w:lineRule="auto"/>
        <w:jc w:val="both"/>
        <w:rPr>
          <w:rFonts w:ascii="Verdana" w:eastAsia="Times New Roman" w:hAnsi="Verdana" w:cs="Arial"/>
          <w:sz w:val="20"/>
          <w:szCs w:val="20"/>
          <w:shd w:val="clear" w:color="auto" w:fill="FFFFFF"/>
          <w:lang w:val="es-ES_tradnl" w:eastAsia="es-ES_tradnl"/>
        </w:rPr>
      </w:pPr>
    </w:p>
    <w:p w14:paraId="5187F01C" w14:textId="77777777" w:rsidR="00512C7E" w:rsidRPr="00512C7E" w:rsidRDefault="00512C7E" w:rsidP="00512C7E">
      <w:pPr>
        <w:spacing w:after="0" w:line="240" w:lineRule="auto"/>
        <w:jc w:val="both"/>
        <w:rPr>
          <w:rFonts w:ascii="Verdana" w:eastAsia="Times New Roman" w:hAnsi="Verdana" w:cs="Arial"/>
          <w:sz w:val="20"/>
          <w:szCs w:val="20"/>
          <w:shd w:val="clear" w:color="auto" w:fill="FFFFFF"/>
          <w:lang w:val="es-ES_tradnl" w:eastAsia="es-ES_tradnl"/>
        </w:rPr>
      </w:pPr>
    </w:p>
    <w:p w14:paraId="67133C3C" w14:textId="77777777" w:rsidR="00512C7E" w:rsidRPr="00512C7E" w:rsidRDefault="00512C7E" w:rsidP="00512C7E">
      <w:pPr>
        <w:spacing w:after="0" w:line="240" w:lineRule="auto"/>
        <w:jc w:val="both"/>
        <w:rPr>
          <w:rFonts w:ascii="Verdana" w:eastAsia="Times New Roman" w:hAnsi="Verdana" w:cs="Arial"/>
          <w:sz w:val="20"/>
          <w:szCs w:val="20"/>
          <w:shd w:val="clear" w:color="auto" w:fill="FFFFFF"/>
          <w:lang w:val="es-ES_tradnl" w:eastAsia="es-ES_tradnl"/>
        </w:rPr>
      </w:pPr>
    </w:p>
    <w:p w14:paraId="67FAB05F" w14:textId="77777777" w:rsidR="00512C7E" w:rsidRPr="00512C7E" w:rsidRDefault="00512C7E" w:rsidP="00512C7E">
      <w:pPr>
        <w:spacing w:after="0" w:line="240" w:lineRule="auto"/>
        <w:jc w:val="both"/>
        <w:rPr>
          <w:rFonts w:ascii="Verdana" w:eastAsia="Times New Roman" w:hAnsi="Verdana" w:cs="Arial"/>
          <w:sz w:val="20"/>
          <w:szCs w:val="20"/>
          <w:shd w:val="clear" w:color="auto" w:fill="FFFFFF"/>
          <w:lang w:val="es-ES_tradnl" w:eastAsia="es-ES_tradnl"/>
        </w:rPr>
      </w:pPr>
    </w:p>
    <w:p w14:paraId="174D1FE7" w14:textId="77777777" w:rsidR="00512C7E" w:rsidRPr="00512C7E" w:rsidRDefault="00512C7E" w:rsidP="00512C7E">
      <w:pPr>
        <w:spacing w:after="0" w:line="240" w:lineRule="auto"/>
        <w:jc w:val="both"/>
        <w:rPr>
          <w:rFonts w:ascii="Verdana" w:eastAsia="Aptos" w:hAnsi="Verdana" w:cs="Times New Roman"/>
          <w:kern w:val="2"/>
          <w14:ligatures w14:val="standardContextual"/>
        </w:rPr>
      </w:pPr>
    </w:p>
    <w:p w14:paraId="04CDB045" w14:textId="77777777" w:rsidR="00512C7E" w:rsidRPr="00512C7E" w:rsidRDefault="00512C7E" w:rsidP="00512C7E">
      <w:pPr>
        <w:spacing w:after="0" w:line="240" w:lineRule="auto"/>
        <w:jc w:val="both"/>
        <w:rPr>
          <w:rFonts w:ascii="Verdana" w:eastAsia="Aptos" w:hAnsi="Verdana" w:cs="Times New Roman"/>
          <w:kern w:val="2"/>
          <w14:ligatures w14:val="standardContextual"/>
        </w:rPr>
      </w:pPr>
    </w:p>
    <w:p w14:paraId="61F00841" w14:textId="77777777" w:rsidR="00512C7E" w:rsidRPr="00512C7E" w:rsidRDefault="00512C7E" w:rsidP="00512C7E">
      <w:pPr>
        <w:spacing w:after="0" w:line="240" w:lineRule="auto"/>
        <w:jc w:val="both"/>
        <w:rPr>
          <w:rFonts w:ascii="Verdana" w:eastAsia="Aptos" w:hAnsi="Verdana" w:cs="Times New Roman"/>
          <w:kern w:val="2"/>
          <w14:ligatures w14:val="standardContextual"/>
        </w:rPr>
      </w:pPr>
    </w:p>
    <w:p w14:paraId="50798080" w14:textId="77777777" w:rsidR="00512C7E" w:rsidRPr="00512C7E" w:rsidRDefault="00512C7E" w:rsidP="00512C7E">
      <w:pPr>
        <w:spacing w:after="0" w:line="240" w:lineRule="auto"/>
        <w:jc w:val="both"/>
        <w:rPr>
          <w:rFonts w:ascii="Verdana" w:eastAsia="Aptos" w:hAnsi="Verdana" w:cs="Times New Roman"/>
          <w:kern w:val="2"/>
          <w14:ligatures w14:val="standardContextual"/>
        </w:rPr>
      </w:pPr>
    </w:p>
    <w:p w14:paraId="60439500" w14:textId="77777777" w:rsidR="00512C7E" w:rsidRPr="00512C7E" w:rsidRDefault="00512C7E" w:rsidP="00512C7E">
      <w:pPr>
        <w:tabs>
          <w:tab w:val="left" w:pos="1005"/>
        </w:tabs>
        <w:spacing w:after="0" w:line="240" w:lineRule="auto"/>
        <w:jc w:val="both"/>
        <w:rPr>
          <w:rFonts w:ascii="Verdana" w:eastAsia="Aptos" w:hAnsi="Verdana" w:cs="Arial"/>
          <w:color w:val="000000"/>
          <w:highlight w:val="yellow"/>
          <w:lang w:val="es-ES_tradnl"/>
        </w:rPr>
      </w:pPr>
    </w:p>
    <w:p w14:paraId="1BB80D6C" w14:textId="77777777" w:rsidR="00512C7E" w:rsidRPr="00512C7E" w:rsidRDefault="00512C7E" w:rsidP="00512C7E">
      <w:pPr>
        <w:tabs>
          <w:tab w:val="left" w:pos="1005"/>
        </w:tabs>
        <w:spacing w:after="0" w:line="240" w:lineRule="auto"/>
        <w:jc w:val="both"/>
        <w:rPr>
          <w:rFonts w:ascii="Verdana" w:eastAsia="Aptos" w:hAnsi="Verdana" w:cs="Arial"/>
          <w:color w:val="000000"/>
          <w:highlight w:val="yellow"/>
          <w:lang w:val="es-ES_tradnl"/>
        </w:rPr>
      </w:pPr>
    </w:p>
    <w:p w14:paraId="7EE7BBB3" w14:textId="77777777" w:rsidR="00512C7E" w:rsidRPr="00512C7E" w:rsidRDefault="00512C7E" w:rsidP="00512C7E">
      <w:pPr>
        <w:tabs>
          <w:tab w:val="left" w:pos="1005"/>
        </w:tabs>
        <w:spacing w:after="0" w:line="240" w:lineRule="auto"/>
        <w:jc w:val="both"/>
        <w:rPr>
          <w:rFonts w:ascii="Verdana" w:eastAsia="Aptos" w:hAnsi="Verdana" w:cs="Arial"/>
          <w:color w:val="000000"/>
          <w:highlight w:val="yellow"/>
          <w:lang w:val="es-ES_tradnl"/>
        </w:rPr>
      </w:pPr>
    </w:p>
    <w:p w14:paraId="1B18CF92" w14:textId="77777777" w:rsidR="00512C7E" w:rsidRPr="00512C7E" w:rsidRDefault="00512C7E" w:rsidP="00512C7E">
      <w:pPr>
        <w:tabs>
          <w:tab w:val="left" w:pos="1005"/>
        </w:tabs>
        <w:spacing w:after="0" w:line="240" w:lineRule="auto"/>
        <w:jc w:val="both"/>
        <w:rPr>
          <w:rFonts w:ascii="Verdana" w:eastAsia="Aptos" w:hAnsi="Verdana" w:cs="Arial"/>
          <w:color w:val="000000"/>
          <w:highlight w:val="yellow"/>
          <w:lang w:val="es-ES_tradnl"/>
        </w:rPr>
      </w:pPr>
    </w:p>
    <w:p w14:paraId="21DFCC2A" w14:textId="77777777" w:rsidR="00512C7E" w:rsidRPr="00512C7E" w:rsidRDefault="00512C7E" w:rsidP="00512C7E">
      <w:pPr>
        <w:tabs>
          <w:tab w:val="left" w:pos="1005"/>
        </w:tabs>
        <w:spacing w:after="0" w:line="240" w:lineRule="auto"/>
        <w:jc w:val="both"/>
        <w:rPr>
          <w:rFonts w:ascii="Verdana" w:eastAsia="Aptos" w:hAnsi="Verdana" w:cs="Arial"/>
          <w:color w:val="000000"/>
          <w:highlight w:val="yellow"/>
          <w:lang w:val="es-ES_tradnl"/>
        </w:rPr>
      </w:pPr>
    </w:p>
    <w:p w14:paraId="21A81C9C" w14:textId="77777777" w:rsidR="00512C7E" w:rsidRPr="00512C7E" w:rsidRDefault="00512C7E" w:rsidP="00512C7E">
      <w:pPr>
        <w:tabs>
          <w:tab w:val="left" w:pos="1005"/>
        </w:tabs>
        <w:spacing w:after="0" w:line="240" w:lineRule="auto"/>
        <w:jc w:val="both"/>
        <w:rPr>
          <w:rFonts w:ascii="Verdana" w:eastAsia="Aptos" w:hAnsi="Verdana" w:cs="Arial"/>
          <w:color w:val="000000"/>
          <w:highlight w:val="yellow"/>
          <w:lang w:val="es-ES_tradnl"/>
        </w:rPr>
      </w:pPr>
    </w:p>
    <w:p w14:paraId="495E4CBC" w14:textId="77777777" w:rsidR="00512C7E" w:rsidRPr="00512C7E" w:rsidRDefault="00512C7E" w:rsidP="00512C7E">
      <w:pPr>
        <w:tabs>
          <w:tab w:val="left" w:pos="1005"/>
        </w:tabs>
        <w:spacing w:after="0" w:line="240" w:lineRule="auto"/>
        <w:jc w:val="both"/>
        <w:rPr>
          <w:rFonts w:ascii="Verdana" w:eastAsia="Aptos" w:hAnsi="Verdana" w:cs="Arial"/>
          <w:color w:val="000000"/>
          <w:highlight w:val="yellow"/>
          <w:lang w:val="es-ES_tradnl"/>
        </w:rPr>
      </w:pPr>
    </w:p>
    <w:p w14:paraId="41B2ADC0" w14:textId="77777777" w:rsidR="00512C7E" w:rsidRPr="00512C7E" w:rsidRDefault="00512C7E" w:rsidP="00512C7E">
      <w:pPr>
        <w:tabs>
          <w:tab w:val="left" w:pos="1005"/>
        </w:tabs>
        <w:spacing w:after="0" w:line="240" w:lineRule="auto"/>
        <w:jc w:val="both"/>
        <w:rPr>
          <w:rFonts w:ascii="Verdana" w:eastAsia="Aptos" w:hAnsi="Verdana" w:cs="Arial"/>
          <w:color w:val="000000"/>
          <w:highlight w:val="yellow"/>
          <w:lang w:val="es-ES_tradnl"/>
        </w:rPr>
      </w:pPr>
    </w:p>
    <w:p w14:paraId="7EC07656" w14:textId="77777777" w:rsidR="00512C7E" w:rsidRPr="00512C7E" w:rsidRDefault="00512C7E" w:rsidP="00512C7E">
      <w:pPr>
        <w:tabs>
          <w:tab w:val="left" w:pos="1005"/>
        </w:tabs>
        <w:spacing w:after="0" w:line="240" w:lineRule="auto"/>
        <w:jc w:val="both"/>
        <w:rPr>
          <w:rFonts w:ascii="Verdana" w:eastAsia="Aptos" w:hAnsi="Verdana" w:cs="Arial"/>
          <w:color w:val="000000"/>
          <w:highlight w:val="yellow"/>
          <w:lang w:val="es-ES_tradnl"/>
        </w:rPr>
      </w:pPr>
    </w:p>
    <w:p w14:paraId="3888CE68" w14:textId="77777777" w:rsidR="00512C7E" w:rsidRPr="00512C7E" w:rsidRDefault="00512C7E" w:rsidP="00512C7E">
      <w:pPr>
        <w:tabs>
          <w:tab w:val="left" w:pos="1005"/>
        </w:tabs>
        <w:spacing w:after="0" w:line="240" w:lineRule="auto"/>
        <w:jc w:val="both"/>
        <w:rPr>
          <w:rFonts w:ascii="Verdana" w:eastAsia="Aptos" w:hAnsi="Verdana" w:cs="Arial"/>
          <w:color w:val="000000"/>
          <w:highlight w:val="yellow"/>
          <w:lang w:val="es-ES_tradnl"/>
        </w:rPr>
      </w:pPr>
    </w:p>
    <w:p w14:paraId="73634DB6" w14:textId="77777777" w:rsidR="00512C7E" w:rsidRPr="00512C7E" w:rsidRDefault="00512C7E" w:rsidP="00512C7E">
      <w:pPr>
        <w:tabs>
          <w:tab w:val="left" w:pos="1005"/>
        </w:tabs>
        <w:spacing w:after="0" w:line="240" w:lineRule="auto"/>
        <w:jc w:val="both"/>
        <w:rPr>
          <w:rFonts w:ascii="Verdana" w:eastAsia="Aptos" w:hAnsi="Verdana" w:cs="Arial"/>
          <w:color w:val="000000"/>
          <w:highlight w:val="yellow"/>
          <w:lang w:val="es-ES_tradnl"/>
        </w:rPr>
      </w:pPr>
    </w:p>
    <w:p w14:paraId="43A92877" w14:textId="77777777" w:rsidR="00512C7E" w:rsidRPr="00512C7E" w:rsidRDefault="00512C7E" w:rsidP="00512C7E">
      <w:pPr>
        <w:tabs>
          <w:tab w:val="left" w:pos="1005"/>
        </w:tabs>
        <w:spacing w:after="0" w:line="240" w:lineRule="auto"/>
        <w:jc w:val="both"/>
        <w:rPr>
          <w:rFonts w:ascii="Verdana" w:eastAsia="Aptos" w:hAnsi="Verdana" w:cs="Arial"/>
          <w:color w:val="000000"/>
          <w:highlight w:val="yellow"/>
          <w:lang w:val="es-ES_tradnl"/>
        </w:rPr>
      </w:pPr>
    </w:p>
    <w:p w14:paraId="4B8245E8" w14:textId="77777777" w:rsidR="00512C7E" w:rsidRPr="00512C7E" w:rsidRDefault="00512C7E" w:rsidP="00512C7E">
      <w:pPr>
        <w:tabs>
          <w:tab w:val="left" w:pos="1005"/>
        </w:tabs>
        <w:spacing w:after="0" w:line="240" w:lineRule="auto"/>
        <w:jc w:val="both"/>
        <w:rPr>
          <w:rFonts w:ascii="Verdana" w:eastAsia="Aptos" w:hAnsi="Verdana" w:cs="Arial"/>
          <w:color w:val="000000"/>
          <w:highlight w:val="yellow"/>
          <w:lang w:val="es-ES_tradnl"/>
        </w:rPr>
      </w:pPr>
    </w:p>
    <w:p w14:paraId="5FC0A59A" w14:textId="77777777" w:rsidR="00512C7E" w:rsidRPr="00512C7E" w:rsidRDefault="00512C7E" w:rsidP="00512C7E">
      <w:pPr>
        <w:tabs>
          <w:tab w:val="left" w:pos="1005"/>
        </w:tabs>
        <w:spacing w:after="0" w:line="240" w:lineRule="auto"/>
        <w:jc w:val="both"/>
        <w:rPr>
          <w:rFonts w:ascii="Verdana" w:eastAsia="Aptos" w:hAnsi="Verdana" w:cs="Arial"/>
          <w:color w:val="000000"/>
          <w:highlight w:val="yellow"/>
          <w:lang w:val="es-ES_tradnl"/>
        </w:rPr>
      </w:pPr>
    </w:p>
    <w:p w14:paraId="7C9DFA5B" w14:textId="77777777" w:rsidR="00512C7E" w:rsidRPr="00512C7E" w:rsidRDefault="00512C7E" w:rsidP="00512C7E">
      <w:pPr>
        <w:tabs>
          <w:tab w:val="left" w:pos="1005"/>
        </w:tabs>
        <w:spacing w:after="0" w:line="240" w:lineRule="auto"/>
        <w:jc w:val="both"/>
        <w:rPr>
          <w:rFonts w:ascii="Verdana" w:eastAsia="Aptos" w:hAnsi="Verdana" w:cs="Arial"/>
          <w:color w:val="000000"/>
          <w:highlight w:val="yellow"/>
          <w:lang w:val="es-ES_tradnl"/>
        </w:rPr>
      </w:pPr>
    </w:p>
    <w:p w14:paraId="539A6719" w14:textId="77777777" w:rsidR="00512C7E" w:rsidRPr="00512C7E" w:rsidRDefault="00512C7E" w:rsidP="00512C7E">
      <w:pPr>
        <w:tabs>
          <w:tab w:val="left" w:pos="1005"/>
        </w:tabs>
        <w:spacing w:after="0" w:line="240" w:lineRule="auto"/>
        <w:jc w:val="both"/>
        <w:rPr>
          <w:rFonts w:ascii="Verdana" w:eastAsia="Aptos" w:hAnsi="Verdana" w:cs="Arial"/>
          <w:color w:val="000000"/>
          <w:highlight w:val="yellow"/>
          <w:lang w:val="es-ES_tradnl"/>
        </w:rPr>
      </w:pPr>
    </w:p>
    <w:p w14:paraId="65721574" w14:textId="77777777" w:rsidR="00512C7E" w:rsidRPr="00512C7E" w:rsidRDefault="00512C7E" w:rsidP="00512C7E">
      <w:pPr>
        <w:tabs>
          <w:tab w:val="left" w:pos="1005"/>
        </w:tabs>
        <w:spacing w:after="0" w:line="240" w:lineRule="auto"/>
        <w:jc w:val="both"/>
        <w:rPr>
          <w:rFonts w:ascii="Verdana" w:eastAsia="Aptos" w:hAnsi="Verdana" w:cs="Arial"/>
          <w:color w:val="000000"/>
          <w:highlight w:val="yellow"/>
          <w:lang w:val="es-ES_tradnl"/>
        </w:rPr>
      </w:pPr>
    </w:p>
    <w:p w14:paraId="64ADE824" w14:textId="77777777" w:rsidR="00512C7E" w:rsidRPr="00512C7E" w:rsidRDefault="00512C7E" w:rsidP="00512C7E">
      <w:pPr>
        <w:tabs>
          <w:tab w:val="left" w:pos="1005"/>
        </w:tabs>
        <w:spacing w:after="0" w:line="240" w:lineRule="auto"/>
        <w:jc w:val="both"/>
        <w:rPr>
          <w:rFonts w:ascii="Verdana" w:eastAsia="Aptos" w:hAnsi="Verdana" w:cs="Arial"/>
          <w:color w:val="000000"/>
          <w:highlight w:val="yellow"/>
          <w:lang w:val="es-ES_tradnl"/>
        </w:rPr>
      </w:pPr>
    </w:p>
    <w:p w14:paraId="7EAFA795" w14:textId="77777777" w:rsidR="00512C7E" w:rsidRPr="00512C7E" w:rsidRDefault="00512C7E" w:rsidP="00512C7E">
      <w:pPr>
        <w:tabs>
          <w:tab w:val="left" w:pos="1005"/>
        </w:tabs>
        <w:spacing w:after="0" w:line="240" w:lineRule="auto"/>
        <w:jc w:val="both"/>
        <w:rPr>
          <w:rFonts w:ascii="Verdana" w:eastAsia="Aptos" w:hAnsi="Verdana" w:cs="Arial"/>
          <w:color w:val="000000"/>
          <w:highlight w:val="yellow"/>
          <w:lang w:val="es-ES_tradnl"/>
        </w:rPr>
      </w:pPr>
    </w:p>
    <w:p w14:paraId="33BCFEA8" w14:textId="77777777" w:rsidR="00512C7E" w:rsidRPr="00512C7E" w:rsidRDefault="00512C7E" w:rsidP="00512C7E">
      <w:pPr>
        <w:tabs>
          <w:tab w:val="left" w:pos="1005"/>
        </w:tabs>
        <w:spacing w:after="0" w:line="240" w:lineRule="auto"/>
        <w:jc w:val="both"/>
        <w:rPr>
          <w:rFonts w:ascii="Verdana" w:eastAsia="Aptos" w:hAnsi="Verdana" w:cs="Arial"/>
          <w:color w:val="000000"/>
          <w:highlight w:val="yellow"/>
          <w:lang w:val="es-ES_tradnl"/>
        </w:rPr>
      </w:pPr>
    </w:p>
    <w:p w14:paraId="748252B6" w14:textId="77777777" w:rsidR="00512C7E" w:rsidRPr="00512C7E" w:rsidRDefault="00512C7E" w:rsidP="00512C7E">
      <w:pPr>
        <w:tabs>
          <w:tab w:val="left" w:pos="1005"/>
        </w:tabs>
        <w:spacing w:after="0" w:line="240" w:lineRule="auto"/>
        <w:jc w:val="both"/>
        <w:rPr>
          <w:rFonts w:ascii="Verdana" w:eastAsia="Aptos" w:hAnsi="Verdana" w:cs="Arial"/>
          <w:color w:val="000000"/>
          <w:highlight w:val="yellow"/>
          <w:lang w:val="es-ES_tradnl"/>
        </w:rPr>
      </w:pPr>
    </w:p>
    <w:p w14:paraId="46AC0E99" w14:textId="77777777" w:rsidR="00512C7E" w:rsidRPr="00512C7E" w:rsidRDefault="00512C7E" w:rsidP="00512C7E">
      <w:pPr>
        <w:tabs>
          <w:tab w:val="left" w:pos="1005"/>
        </w:tabs>
        <w:spacing w:after="0" w:line="240" w:lineRule="auto"/>
        <w:jc w:val="both"/>
        <w:rPr>
          <w:rFonts w:ascii="Verdana" w:eastAsia="Aptos" w:hAnsi="Verdana" w:cs="Arial"/>
          <w:color w:val="000000"/>
          <w:highlight w:val="yellow"/>
          <w:lang w:val="es-ES_tradnl"/>
        </w:rPr>
      </w:pPr>
    </w:p>
    <w:p w14:paraId="51B8CE6F" w14:textId="77777777" w:rsidR="00512C7E" w:rsidRPr="00512C7E" w:rsidRDefault="00512C7E" w:rsidP="00512C7E">
      <w:pPr>
        <w:tabs>
          <w:tab w:val="left" w:pos="1005"/>
        </w:tabs>
        <w:spacing w:after="0" w:line="240" w:lineRule="auto"/>
        <w:jc w:val="both"/>
        <w:rPr>
          <w:rFonts w:ascii="Verdana" w:eastAsia="Aptos" w:hAnsi="Verdana" w:cs="Arial"/>
          <w:color w:val="000000"/>
          <w:highlight w:val="yellow"/>
          <w:lang w:val="es-ES_tradnl"/>
        </w:rPr>
      </w:pPr>
    </w:p>
    <w:p w14:paraId="39D463C6" w14:textId="77777777" w:rsidR="00512C7E" w:rsidRDefault="00512C7E" w:rsidP="00512C7E">
      <w:pPr>
        <w:tabs>
          <w:tab w:val="left" w:pos="1005"/>
        </w:tabs>
        <w:spacing w:after="0" w:line="240" w:lineRule="auto"/>
        <w:jc w:val="both"/>
        <w:rPr>
          <w:rFonts w:ascii="Verdana" w:eastAsia="Aptos" w:hAnsi="Verdana" w:cs="Arial"/>
          <w:color w:val="000000"/>
          <w:highlight w:val="yellow"/>
          <w:lang w:val="es-ES_tradnl"/>
        </w:rPr>
      </w:pPr>
    </w:p>
    <w:p w14:paraId="54BABF96" w14:textId="77777777" w:rsidR="00753B95" w:rsidRPr="00512C7E" w:rsidRDefault="00753B95" w:rsidP="00512C7E">
      <w:pPr>
        <w:tabs>
          <w:tab w:val="left" w:pos="1005"/>
        </w:tabs>
        <w:spacing w:after="0" w:line="240" w:lineRule="auto"/>
        <w:jc w:val="both"/>
        <w:rPr>
          <w:rFonts w:ascii="Verdana" w:eastAsia="Aptos" w:hAnsi="Verdana" w:cs="Arial"/>
          <w:color w:val="000000"/>
          <w:highlight w:val="yellow"/>
          <w:lang w:val="es-ES_tradnl"/>
        </w:rPr>
      </w:pPr>
    </w:p>
    <w:p w14:paraId="2404688A" w14:textId="77777777" w:rsidR="00512C7E" w:rsidRDefault="00512C7E" w:rsidP="00512C7E">
      <w:pPr>
        <w:tabs>
          <w:tab w:val="left" w:pos="1005"/>
        </w:tabs>
        <w:spacing w:after="0" w:line="240" w:lineRule="auto"/>
        <w:jc w:val="both"/>
        <w:rPr>
          <w:rFonts w:ascii="Verdana" w:eastAsia="Aptos" w:hAnsi="Verdana" w:cs="Arial"/>
          <w:color w:val="000000"/>
          <w:highlight w:val="yellow"/>
          <w:lang w:val="es-ES_tradnl"/>
        </w:rPr>
      </w:pPr>
    </w:p>
    <w:p w14:paraId="4BFE1C0F" w14:textId="77777777" w:rsidR="00753B95" w:rsidRPr="00512C7E" w:rsidRDefault="00753B95" w:rsidP="00512C7E">
      <w:pPr>
        <w:tabs>
          <w:tab w:val="left" w:pos="1005"/>
        </w:tabs>
        <w:spacing w:after="0" w:line="240" w:lineRule="auto"/>
        <w:jc w:val="both"/>
        <w:rPr>
          <w:rFonts w:ascii="Verdana" w:eastAsia="Aptos" w:hAnsi="Verdana" w:cs="Arial"/>
          <w:color w:val="000000"/>
          <w:highlight w:val="yellow"/>
          <w:lang w:val="es-ES_tradnl"/>
        </w:rPr>
      </w:pPr>
    </w:p>
    <w:p w14:paraId="582B4628" w14:textId="77777777" w:rsidR="00512C7E" w:rsidRPr="00512C7E" w:rsidRDefault="00512C7E" w:rsidP="00512C7E">
      <w:pPr>
        <w:tabs>
          <w:tab w:val="left" w:pos="1005"/>
        </w:tabs>
        <w:spacing w:after="0" w:line="240" w:lineRule="auto"/>
        <w:jc w:val="both"/>
        <w:rPr>
          <w:rFonts w:ascii="Verdana" w:eastAsia="Aptos" w:hAnsi="Verdana" w:cs="Arial"/>
          <w:color w:val="000000"/>
          <w:highlight w:val="yellow"/>
          <w:lang w:val="es-ES_tradnl"/>
        </w:rPr>
      </w:pPr>
    </w:p>
    <w:p w14:paraId="0F2F4613" w14:textId="77777777" w:rsidR="00512C7E" w:rsidRPr="00512C7E" w:rsidRDefault="00512C7E" w:rsidP="00512C7E">
      <w:pPr>
        <w:spacing w:after="0" w:line="240" w:lineRule="auto"/>
        <w:jc w:val="both"/>
        <w:rPr>
          <w:rFonts w:ascii="Verdana" w:eastAsia="Aptos" w:hAnsi="Verdana" w:cs="Arial"/>
          <w:color w:val="000000"/>
          <w:highlight w:val="yellow"/>
          <w:lang w:val="es-ES_tradnl"/>
        </w:rPr>
      </w:pPr>
    </w:p>
    <w:p w14:paraId="79DA8FE6" w14:textId="77777777" w:rsidR="00753B95" w:rsidRDefault="00512C7E" w:rsidP="00512C7E">
      <w:pPr>
        <w:spacing w:after="0" w:line="240" w:lineRule="auto"/>
        <w:rPr>
          <w:rFonts w:ascii="Verdana" w:eastAsia="Verdana" w:hAnsi="Verdana" w:cs="Verdana"/>
          <w:kern w:val="2"/>
          <w14:ligatures w14:val="standardContextual"/>
        </w:rPr>
      </w:pPr>
      <w:bookmarkStart w:id="2" w:name="_Hlk117695077"/>
      <w:r w:rsidRPr="00512C7E">
        <w:rPr>
          <w:rFonts w:ascii="Verdana" w:eastAsia="Verdana" w:hAnsi="Verdana" w:cs="Verdana"/>
          <w:kern w:val="2"/>
          <w14:ligatures w14:val="standardContextual"/>
        </w:rPr>
        <w:lastRenderedPageBreak/>
        <w:t xml:space="preserve">Bogotá D.C., </w:t>
      </w:r>
      <w:r w:rsidR="00753B95">
        <w:rPr>
          <w:rFonts w:ascii="Verdana" w:eastAsia="Verdana" w:hAnsi="Verdana" w:cs="Verdana"/>
          <w:kern w:val="2"/>
          <w14:ligatures w14:val="standardContextual"/>
        </w:rPr>
        <w:t>5 de octubre de 2026</w:t>
      </w:r>
    </w:p>
    <w:p w14:paraId="3D204A2D" w14:textId="77777777" w:rsidR="00753B95" w:rsidRDefault="00753B95" w:rsidP="00512C7E">
      <w:pPr>
        <w:spacing w:after="0" w:line="240" w:lineRule="auto"/>
        <w:rPr>
          <w:rFonts w:ascii="Verdana" w:eastAsia="Verdana" w:hAnsi="Verdana" w:cs="Verdana"/>
          <w:kern w:val="2"/>
          <w14:ligatures w14:val="standardContextual"/>
        </w:rPr>
      </w:pPr>
    </w:p>
    <w:p w14:paraId="239FFCB4" w14:textId="5A06B762" w:rsidR="00512C7E" w:rsidRPr="00512C7E" w:rsidRDefault="00512C7E" w:rsidP="00753B95">
      <w:pPr>
        <w:spacing w:after="0" w:line="240" w:lineRule="auto"/>
        <w:jc w:val="right"/>
        <w:rPr>
          <w:rFonts w:ascii="Verdana" w:eastAsia="Calibri" w:hAnsi="Verdana" w:cs="Arial"/>
          <w:lang w:eastAsia="es-ES"/>
        </w:rPr>
      </w:pPr>
      <w:r w:rsidRPr="00512C7E">
        <w:rPr>
          <w:rFonts w:ascii="Aptos" w:eastAsia="Aptos" w:hAnsi="Aptos" w:cs="Times New Roman"/>
          <w:kern w:val="2"/>
          <w:sz w:val="24"/>
          <w:szCs w:val="24"/>
          <w14:ligatures w14:val="standardContextual"/>
        </w:rPr>
        <w:br/>
      </w:r>
    </w:p>
    <w:p w14:paraId="4BAE48E7" w14:textId="4EB6094F" w:rsidR="00512C7E" w:rsidRPr="00512C7E" w:rsidRDefault="008B6569" w:rsidP="00512C7E">
      <w:pPr>
        <w:spacing w:after="0" w:line="276" w:lineRule="auto"/>
        <w:jc w:val="both"/>
        <w:rPr>
          <w:rFonts w:ascii="Verdana" w:eastAsia="Calibri" w:hAnsi="Verdana" w:cs="Arial"/>
          <w:lang w:val="es-ES_tradnl" w:eastAsia="es-ES"/>
        </w:rPr>
      </w:pPr>
      <w:r w:rsidRPr="00753B95">
        <w:rPr>
          <w:rFonts w:ascii="Aptos" w:eastAsia="Aptos" w:hAnsi="Aptos" w:cs="Times New Roman"/>
          <w:noProof/>
          <w:kern w:val="2"/>
          <w:sz w:val="24"/>
          <w:szCs w:val="24"/>
          <w14:ligatures w14:val="standardContextual"/>
        </w:rPr>
        <w:drawing>
          <wp:anchor distT="0" distB="0" distL="114300" distR="114300" simplePos="0" relativeHeight="251658240" behindDoc="0" locked="0" layoutInCell="1" allowOverlap="1" wp14:anchorId="4C4B7F09" wp14:editId="70A79E85">
            <wp:simplePos x="0" y="0"/>
            <wp:positionH relativeFrom="margin">
              <wp:posOffset>2943225</wp:posOffset>
            </wp:positionH>
            <wp:positionV relativeFrom="paragraph">
              <wp:posOffset>5715</wp:posOffset>
            </wp:positionV>
            <wp:extent cx="2657475" cy="802640"/>
            <wp:effectExtent l="0" t="0" r="9525" b="0"/>
            <wp:wrapSquare wrapText="bothSides"/>
            <wp:docPr id="165522915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229153" name=""/>
                    <pic:cNvPicPr/>
                  </pic:nvPicPr>
                  <pic:blipFill>
                    <a:blip r:embed="rId10">
                      <a:extLst>
                        <a:ext uri="{28A0092B-C50C-407E-A947-70E740481C1C}">
                          <a14:useLocalDpi xmlns:a14="http://schemas.microsoft.com/office/drawing/2010/main" val="0"/>
                        </a:ext>
                      </a:extLst>
                    </a:blip>
                    <a:stretch>
                      <a:fillRect/>
                    </a:stretch>
                  </pic:blipFill>
                  <pic:spPr>
                    <a:xfrm>
                      <a:off x="0" y="0"/>
                      <a:ext cx="2657475" cy="802640"/>
                    </a:xfrm>
                    <a:prstGeom prst="rect">
                      <a:avLst/>
                    </a:prstGeom>
                  </pic:spPr>
                </pic:pic>
              </a:graphicData>
            </a:graphic>
            <wp14:sizeRelH relativeFrom="margin">
              <wp14:pctWidth>0</wp14:pctWidth>
            </wp14:sizeRelH>
            <wp14:sizeRelV relativeFrom="margin">
              <wp14:pctHeight>0</wp14:pctHeight>
            </wp14:sizeRelV>
          </wp:anchor>
        </w:drawing>
      </w:r>
      <w:r w:rsidR="00512C7E" w:rsidRPr="00512C7E">
        <w:rPr>
          <w:rFonts w:ascii="Verdana" w:eastAsia="Calibri" w:hAnsi="Verdana" w:cs="Arial"/>
          <w:lang w:val="es-ES_tradnl" w:eastAsia="es-ES"/>
        </w:rPr>
        <w:t>Señor</w:t>
      </w:r>
    </w:p>
    <w:p w14:paraId="782F92A4" w14:textId="77777777" w:rsidR="00512C7E" w:rsidRPr="00512C7E" w:rsidRDefault="00512C7E" w:rsidP="00512C7E">
      <w:pPr>
        <w:spacing w:after="0" w:line="276" w:lineRule="auto"/>
        <w:jc w:val="both"/>
        <w:rPr>
          <w:rFonts w:ascii="Verdana" w:eastAsia="Aptos" w:hAnsi="Verdana" w:cs="Times New Roman"/>
          <w:b/>
          <w:bCs/>
          <w:kern w:val="2"/>
          <w14:ligatures w14:val="standardContextual"/>
        </w:rPr>
      </w:pPr>
      <w:r w:rsidRPr="00512C7E">
        <w:rPr>
          <w:rFonts w:ascii="Verdana" w:eastAsia="Calibri" w:hAnsi="Verdana" w:cs="Arial"/>
          <w:b/>
          <w:bCs/>
          <w:lang w:val="es-ES_tradnl" w:eastAsia="es-ES"/>
        </w:rPr>
        <w:t>Carlos Arturo Corzo López</w:t>
      </w:r>
    </w:p>
    <w:p w14:paraId="54199DC8" w14:textId="77777777" w:rsidR="00512C7E" w:rsidRPr="00512C7E" w:rsidRDefault="00512C7E" w:rsidP="00512C7E">
      <w:pPr>
        <w:spacing w:after="0" w:line="240" w:lineRule="auto"/>
        <w:jc w:val="both"/>
        <w:rPr>
          <w:rFonts w:ascii="Verdana" w:eastAsia="Calibri" w:hAnsi="Verdana" w:cs="Arial"/>
        </w:rPr>
      </w:pPr>
      <w:r w:rsidRPr="00512C7E">
        <w:rPr>
          <w:rFonts w:ascii="Verdana" w:eastAsia="Calibri" w:hAnsi="Verdana" w:cs="Arial"/>
        </w:rPr>
        <w:t>Bucaramanga, Santander</w:t>
      </w:r>
    </w:p>
    <w:p w14:paraId="75C6D366" w14:textId="77777777" w:rsidR="00512C7E" w:rsidRPr="00512C7E" w:rsidRDefault="00512C7E" w:rsidP="00512C7E">
      <w:pPr>
        <w:spacing w:after="0" w:line="240" w:lineRule="auto"/>
        <w:jc w:val="both"/>
        <w:rPr>
          <w:rFonts w:ascii="Verdana" w:eastAsia="Calibri" w:hAnsi="Verdana" w:cs="Arial"/>
        </w:rPr>
      </w:pPr>
    </w:p>
    <w:p w14:paraId="67A8F6C6" w14:textId="77777777" w:rsidR="00512C7E" w:rsidRPr="00512C7E" w:rsidRDefault="00512C7E" w:rsidP="00512C7E">
      <w:pPr>
        <w:spacing w:after="0" w:line="240" w:lineRule="auto"/>
        <w:jc w:val="both"/>
        <w:rPr>
          <w:rFonts w:ascii="Verdana" w:eastAsia="Calibri" w:hAnsi="Verdana" w:cs="Arial"/>
          <w:b/>
          <w:bCs/>
          <w:lang w:eastAsia="es-ES"/>
        </w:rPr>
      </w:pPr>
    </w:p>
    <w:tbl>
      <w:tblPr>
        <w:tblStyle w:val="Tablaconcuadrcula"/>
        <w:tblW w:w="89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725"/>
        <w:gridCol w:w="6183"/>
      </w:tblGrid>
      <w:tr w:rsidR="00512C7E" w:rsidRPr="00512C7E" w14:paraId="53D433C2" w14:textId="77777777" w:rsidTr="009E3879">
        <w:trPr>
          <w:trHeight w:val="910"/>
        </w:trPr>
        <w:tc>
          <w:tcPr>
            <w:tcW w:w="2725" w:type="dxa"/>
          </w:tcPr>
          <w:p w14:paraId="580FFA65" w14:textId="77777777" w:rsidR="00512C7E" w:rsidRPr="00512C7E" w:rsidRDefault="00512C7E" w:rsidP="00512C7E">
            <w:pPr>
              <w:jc w:val="both"/>
              <w:rPr>
                <w:rFonts w:ascii="Verdana" w:eastAsia="Calibri" w:hAnsi="Verdana" w:cs="Arial"/>
                <w:b/>
                <w:bCs/>
                <w:color w:val="7030A0"/>
                <w:lang w:eastAsia="es-ES_tradnl"/>
              </w:rPr>
            </w:pPr>
          </w:p>
        </w:tc>
        <w:tc>
          <w:tcPr>
            <w:tcW w:w="6183" w:type="dxa"/>
          </w:tcPr>
          <w:p w14:paraId="7805E72E" w14:textId="77777777" w:rsidR="00512C7E" w:rsidRPr="00512C7E" w:rsidRDefault="00512C7E" w:rsidP="00512C7E">
            <w:pPr>
              <w:snapToGrid w:val="0"/>
              <w:jc w:val="both"/>
              <w:rPr>
                <w:rFonts w:ascii="Verdana" w:eastAsia="Calibri" w:hAnsi="Verdana" w:cs="Arial"/>
                <w:b/>
                <w:bCs/>
                <w:lang w:eastAsia="es-ES"/>
              </w:rPr>
            </w:pPr>
            <w:r w:rsidRPr="00512C7E">
              <w:rPr>
                <w:rFonts w:ascii="Verdana" w:eastAsia="Calibri" w:hAnsi="Verdana" w:cs="Arial"/>
                <w:b/>
                <w:bCs/>
                <w:lang w:eastAsia="es-ES"/>
              </w:rPr>
              <w:t>Concepto C-1344 de 2026</w:t>
            </w:r>
          </w:p>
          <w:p w14:paraId="1582BE88" w14:textId="77777777" w:rsidR="00512C7E" w:rsidRPr="00512C7E" w:rsidRDefault="00512C7E" w:rsidP="00512C7E">
            <w:pPr>
              <w:snapToGrid w:val="0"/>
              <w:jc w:val="both"/>
              <w:rPr>
                <w:rFonts w:ascii="Verdana" w:eastAsia="Calibri" w:hAnsi="Verdana" w:cs="Arial"/>
                <w:b/>
                <w:bCs/>
                <w:lang w:eastAsia="es-ES"/>
              </w:rPr>
            </w:pPr>
          </w:p>
        </w:tc>
      </w:tr>
      <w:tr w:rsidR="00512C7E" w:rsidRPr="00512C7E" w14:paraId="7D267DB5" w14:textId="77777777" w:rsidTr="001C6763">
        <w:trPr>
          <w:trHeight w:val="910"/>
        </w:trPr>
        <w:tc>
          <w:tcPr>
            <w:tcW w:w="2725" w:type="dxa"/>
          </w:tcPr>
          <w:p w14:paraId="0ED276D7" w14:textId="77777777" w:rsidR="00512C7E" w:rsidRPr="00512C7E" w:rsidRDefault="00512C7E" w:rsidP="00512C7E">
            <w:pPr>
              <w:jc w:val="both"/>
              <w:rPr>
                <w:rFonts w:ascii="Verdana" w:eastAsia="Calibri" w:hAnsi="Verdana" w:cs="Arial"/>
                <w:color w:val="000000"/>
                <w:lang w:eastAsia="es-ES_tradnl"/>
              </w:rPr>
            </w:pPr>
            <w:r w:rsidRPr="00512C7E">
              <w:rPr>
                <w:rFonts w:ascii="Verdana" w:eastAsia="Calibri" w:hAnsi="Verdana" w:cs="Arial"/>
                <w:b/>
                <w:color w:val="000000"/>
                <w:lang w:eastAsia="es-ES_tradnl"/>
              </w:rPr>
              <w:t>Temas:</w:t>
            </w:r>
            <w:r w:rsidRPr="00512C7E">
              <w:rPr>
                <w:rFonts w:ascii="Verdana" w:eastAsia="Calibri" w:hAnsi="Verdana" w:cs="Arial"/>
                <w:color w:val="000000"/>
                <w:lang w:eastAsia="es-ES_tradnl"/>
              </w:rPr>
              <w:t xml:space="preserve">                   </w:t>
            </w:r>
          </w:p>
        </w:tc>
        <w:tc>
          <w:tcPr>
            <w:tcW w:w="6183" w:type="dxa"/>
          </w:tcPr>
          <w:p w14:paraId="3B25D605" w14:textId="77777777" w:rsidR="00512C7E" w:rsidRPr="00512C7E" w:rsidRDefault="00512C7E" w:rsidP="00512C7E">
            <w:pPr>
              <w:spacing w:line="276" w:lineRule="auto"/>
              <w:jc w:val="both"/>
              <w:rPr>
                <w:rFonts w:ascii="Verdana" w:eastAsia="Times New Roman" w:hAnsi="Verdana" w:cs="Times New Roman"/>
                <w:lang w:eastAsia="es-MX"/>
              </w:rPr>
            </w:pPr>
            <w:r w:rsidRPr="00512C7E">
              <w:rPr>
                <w:rFonts w:ascii="Verdana" w:eastAsia="Aptos" w:hAnsi="Verdana" w:cs="Times New Roman"/>
                <w:color w:val="000000"/>
                <w:lang w:eastAsia="es-MX"/>
              </w:rPr>
              <w:t xml:space="preserve">DOCUMENTOS TIPO – Fundamento normativo – Obligatoriedad </w:t>
            </w:r>
            <w:r w:rsidRPr="00512C7E">
              <w:rPr>
                <w:rFonts w:ascii="Verdana" w:eastAsia="Aptos" w:hAnsi="Verdana" w:cs="Times New Roman"/>
                <w:lang w:eastAsia="es-MX"/>
              </w:rPr>
              <w:t xml:space="preserve">/ </w:t>
            </w:r>
            <w:r w:rsidRPr="00512C7E">
              <w:rPr>
                <w:rFonts w:ascii="Verdana" w:eastAsia="Calibri" w:hAnsi="Verdana" w:cs="Arial"/>
                <w:lang w:val="es-MX" w:eastAsia="es-MX"/>
              </w:rPr>
              <w:t xml:space="preserve">DOCUMENTOS TIPO – Inalterabilidad – Fundamentos / DOCUMENTOS TIPO – Inalterabilidad – Información en corchetes y resaltado gris </w:t>
            </w:r>
            <w:r w:rsidRPr="00512C7E">
              <w:rPr>
                <w:rFonts w:ascii="Verdana" w:eastAsia="Aptos" w:hAnsi="Verdana" w:cs="Arial"/>
                <w:lang w:val="es-MX" w:eastAsia="es-MX"/>
              </w:rPr>
              <w:t xml:space="preserve"> / </w:t>
            </w:r>
            <w:r w:rsidRPr="00512C7E">
              <w:rPr>
                <w:rFonts w:ascii="Verdana" w:eastAsia="Calibri" w:hAnsi="Verdana" w:cs="Arial"/>
                <w:lang w:val="es-ES_tradnl" w:eastAsia="es-ES"/>
              </w:rPr>
              <w:t xml:space="preserve">DOCUMENTOS TIPO </w:t>
            </w:r>
            <w:r w:rsidRPr="00512C7E">
              <w:rPr>
                <w:rFonts w:ascii="Verdana" w:eastAsia="Calibri" w:hAnsi="Verdana" w:cs="Arial"/>
                <w:lang w:val="x-none" w:eastAsia="es-ES"/>
              </w:rPr>
              <w:t>–</w:t>
            </w:r>
            <w:r w:rsidRPr="00512C7E">
              <w:rPr>
                <w:rFonts w:ascii="Verdana" w:eastAsia="Calibri" w:hAnsi="Verdana" w:cs="Arial"/>
                <w:lang w:val="es-ES_tradnl" w:eastAsia="es-ES"/>
              </w:rPr>
              <w:t xml:space="preserve"> Inalterabilidad </w:t>
            </w:r>
            <w:r w:rsidRPr="00512C7E">
              <w:rPr>
                <w:rFonts w:ascii="Verdana" w:eastAsia="Calibri" w:hAnsi="Verdana" w:cs="Arial"/>
                <w:lang w:val="x-none" w:eastAsia="es-ES"/>
              </w:rPr>
              <w:t>–</w:t>
            </w:r>
            <w:r w:rsidRPr="00512C7E">
              <w:rPr>
                <w:rFonts w:ascii="Verdana" w:eastAsia="Calibri" w:hAnsi="Verdana" w:cs="Arial"/>
                <w:lang w:val="es-ES_tradnl" w:eastAsia="es-ES"/>
              </w:rPr>
              <w:t xml:space="preserve"> Prevalencia del derecho sustancial / </w:t>
            </w:r>
            <w:r w:rsidRPr="00512C7E">
              <w:rPr>
                <w:rFonts w:ascii="Verdana" w:eastAsia="Times New Roman" w:hAnsi="Verdana" w:cs="Times New Roman"/>
                <w:lang w:eastAsia="es-MX"/>
              </w:rPr>
              <w:t>DOCUMENTOS TIPO – Inalterabilidad – Requisitos habilitantes – Artículo 17 de la Ley 842 de 2003</w:t>
            </w:r>
          </w:p>
          <w:p w14:paraId="35905555" w14:textId="77777777" w:rsidR="00512C7E" w:rsidRPr="00512C7E" w:rsidRDefault="00512C7E" w:rsidP="00512C7E">
            <w:pPr>
              <w:snapToGrid w:val="0"/>
              <w:jc w:val="both"/>
              <w:rPr>
                <w:rFonts w:ascii="Verdana" w:eastAsia="Calibri" w:hAnsi="Verdana" w:cs="Arial"/>
                <w:lang w:eastAsia="es-ES"/>
              </w:rPr>
            </w:pPr>
          </w:p>
        </w:tc>
      </w:tr>
      <w:tr w:rsidR="00512C7E" w:rsidRPr="00512C7E" w14:paraId="29F6626B" w14:textId="77777777" w:rsidTr="009E3879">
        <w:trPr>
          <w:trHeight w:val="556"/>
        </w:trPr>
        <w:tc>
          <w:tcPr>
            <w:tcW w:w="2725" w:type="dxa"/>
          </w:tcPr>
          <w:p w14:paraId="48B1952B" w14:textId="77777777" w:rsidR="00512C7E" w:rsidRPr="00512C7E" w:rsidRDefault="00512C7E" w:rsidP="00512C7E">
            <w:pPr>
              <w:jc w:val="both"/>
              <w:rPr>
                <w:rFonts w:ascii="Verdana" w:eastAsia="Calibri" w:hAnsi="Verdana" w:cs="Arial"/>
                <w:b/>
                <w:bCs/>
                <w:lang w:eastAsia="es-ES_tradnl"/>
              </w:rPr>
            </w:pPr>
            <w:r w:rsidRPr="00512C7E">
              <w:rPr>
                <w:rFonts w:ascii="Verdana" w:eastAsia="Calibri" w:hAnsi="Verdana" w:cs="Arial"/>
                <w:b/>
                <w:bCs/>
                <w:lang w:eastAsia="es-ES_tradnl"/>
              </w:rPr>
              <w:t xml:space="preserve">Radicación:               </w:t>
            </w:r>
          </w:p>
        </w:tc>
        <w:tc>
          <w:tcPr>
            <w:tcW w:w="6183" w:type="dxa"/>
          </w:tcPr>
          <w:p w14:paraId="5FB47B98" w14:textId="77777777" w:rsidR="00512C7E" w:rsidRPr="00512C7E" w:rsidRDefault="00512C7E" w:rsidP="00512C7E">
            <w:pPr>
              <w:snapToGrid w:val="0"/>
              <w:jc w:val="both"/>
              <w:rPr>
                <w:rFonts w:ascii="Verdana" w:eastAsia="Calibri" w:hAnsi="Verdana" w:cs="Arial"/>
                <w:lang w:eastAsia="es-ES_tradnl"/>
              </w:rPr>
            </w:pPr>
            <w:r w:rsidRPr="00512C7E">
              <w:rPr>
                <w:rFonts w:ascii="Verdana" w:eastAsia="Calibri" w:hAnsi="Verdana" w:cs="Arial"/>
                <w:lang w:eastAsia="es-ES_tradnl"/>
              </w:rPr>
              <w:t>Respuesta a consulta con radicado No. 1_2026_08_26_011397</w:t>
            </w:r>
          </w:p>
        </w:tc>
      </w:tr>
    </w:tbl>
    <w:p w14:paraId="6C2A616F" w14:textId="77777777" w:rsidR="00512C7E" w:rsidRPr="00512C7E" w:rsidRDefault="00512C7E" w:rsidP="00512C7E">
      <w:pPr>
        <w:spacing w:after="0" w:line="240" w:lineRule="auto"/>
        <w:jc w:val="both"/>
        <w:rPr>
          <w:rFonts w:ascii="Verdana" w:eastAsia="Calibri" w:hAnsi="Verdana" w:cs="Arial"/>
          <w:b/>
          <w:bCs/>
          <w:lang w:eastAsia="es-ES"/>
        </w:rPr>
      </w:pPr>
      <w:r w:rsidRPr="00512C7E">
        <w:rPr>
          <w:rFonts w:ascii="Verdana" w:eastAsia="Calibri" w:hAnsi="Verdana" w:cs="Arial"/>
          <w:b/>
          <w:bCs/>
          <w:lang w:eastAsia="es-ES"/>
        </w:rPr>
        <w:tab/>
      </w:r>
    </w:p>
    <w:p w14:paraId="30E8D2DD" w14:textId="77777777" w:rsidR="00512C7E" w:rsidRPr="00512C7E" w:rsidRDefault="00512C7E" w:rsidP="00512C7E">
      <w:pPr>
        <w:spacing w:after="0" w:line="276" w:lineRule="auto"/>
        <w:jc w:val="both"/>
        <w:rPr>
          <w:rFonts w:ascii="Verdana" w:eastAsia="Aptos" w:hAnsi="Verdana" w:cs="Times New Roman"/>
          <w:b/>
          <w:bCs/>
          <w:kern w:val="2"/>
          <w14:ligatures w14:val="standardContextual"/>
        </w:rPr>
      </w:pPr>
      <w:r w:rsidRPr="00512C7E">
        <w:rPr>
          <w:rFonts w:ascii="Verdana" w:eastAsia="Calibri" w:hAnsi="Verdana" w:cs="Vrinda"/>
          <w:lang w:val="es-ES" w:eastAsia="es-ES"/>
        </w:rPr>
        <w:t xml:space="preserve">Estimado señor </w:t>
      </w:r>
      <w:r w:rsidRPr="00512C7E">
        <w:rPr>
          <w:rFonts w:ascii="Verdana" w:eastAsia="Calibri" w:hAnsi="Verdana" w:cs="Arial"/>
          <w:lang w:val="es-ES_tradnl" w:eastAsia="es-ES"/>
        </w:rPr>
        <w:t>Corzo López</w:t>
      </w:r>
      <w:r w:rsidRPr="00512C7E">
        <w:rPr>
          <w:rFonts w:ascii="Verdana" w:eastAsia="Aptos" w:hAnsi="Verdana" w:cs="Times New Roman"/>
          <w:kern w:val="2"/>
          <w14:ligatures w14:val="standardContextual"/>
        </w:rPr>
        <w:t>:</w:t>
      </w:r>
    </w:p>
    <w:p w14:paraId="6EEE4591" w14:textId="77777777" w:rsidR="00512C7E" w:rsidRPr="00512C7E" w:rsidRDefault="00512C7E" w:rsidP="00512C7E">
      <w:pPr>
        <w:spacing w:after="0" w:line="240" w:lineRule="auto"/>
        <w:jc w:val="both"/>
        <w:rPr>
          <w:rFonts w:ascii="Verdana" w:eastAsia="Aptos" w:hAnsi="Verdana" w:cs="Times New Roman"/>
          <w:b/>
          <w:bCs/>
          <w:kern w:val="2"/>
          <w14:ligatures w14:val="standardContextual"/>
        </w:rPr>
      </w:pPr>
    </w:p>
    <w:p w14:paraId="45EFD159" w14:textId="77777777" w:rsidR="00512C7E" w:rsidRPr="00512C7E" w:rsidRDefault="00512C7E" w:rsidP="00512C7E">
      <w:pPr>
        <w:spacing w:after="0" w:line="276" w:lineRule="auto"/>
        <w:jc w:val="both"/>
        <w:rPr>
          <w:rFonts w:ascii="Verdana" w:eastAsia="Calibri" w:hAnsi="Verdana" w:cs="Arial"/>
          <w:lang w:val="es-ES" w:eastAsia="es-ES"/>
        </w:rPr>
      </w:pPr>
      <w:r w:rsidRPr="00512C7E">
        <w:rPr>
          <w:rFonts w:ascii="Verdana" w:eastAsia="Calibri" w:hAnsi="Verdana" w:cs="Arial"/>
          <w:lang w:val="es-ES" w:eastAsia="es-ES"/>
        </w:rPr>
        <w:t>En ejercicio de la competencia otorgada por los artículos 3, numeral 5º, y 11, numeral 8º, del Decreto Ley 4170 de 2011,</w:t>
      </w:r>
      <w:r w:rsidRPr="00512C7E">
        <w:rPr>
          <w:rFonts w:ascii="Verdana" w:eastAsia="Arial MT" w:hAnsi="Verdana" w:cs="Arial MT"/>
          <w:lang w:val="es-ES" w:eastAsia="es-ES"/>
        </w:rPr>
        <w:t xml:space="preserve"> </w:t>
      </w:r>
      <w:r w:rsidRPr="00512C7E">
        <w:rPr>
          <w:rFonts w:ascii="Verdana" w:eastAsia="Calibri" w:hAnsi="Verdana" w:cs="Arial"/>
          <w:lang w:eastAsia="es-MX"/>
        </w:rPr>
        <w:t xml:space="preserve">así como lo establecido por la </w:t>
      </w:r>
      <w:r w:rsidRPr="00512C7E">
        <w:rPr>
          <w:rFonts w:ascii="Verdana" w:eastAsia="Aptos" w:hAnsi="Verdana" w:cs="Arial"/>
          <w:bCs/>
          <w:lang w:eastAsia="es-ES" w:bidi="es-ES"/>
        </w:rPr>
        <w:t>Resolución 469 de 2025 expedida por esta Entidad</w:t>
      </w:r>
      <w:r w:rsidRPr="00512C7E">
        <w:rPr>
          <w:rFonts w:ascii="Verdana" w:eastAsia="Calibri" w:hAnsi="Verdana" w:cs="Arial"/>
          <w:lang w:eastAsia="es-MX"/>
        </w:rPr>
        <w:t xml:space="preserve">, </w:t>
      </w:r>
      <w:r w:rsidRPr="00512C7E">
        <w:rPr>
          <w:rFonts w:ascii="Verdana" w:eastAsia="Calibri" w:hAnsi="Verdana" w:cs="Arial"/>
          <w:lang w:val="es-ES" w:eastAsia="es-ES"/>
        </w:rPr>
        <w:t xml:space="preserve">la Agencia Nacional de Contratación Pública – Colombia Compra Eficiente– responde su solicitud de consulta del 26 de agosto de 2026, en la cual manifiesta lo siguiente: </w:t>
      </w:r>
    </w:p>
    <w:p w14:paraId="1C3F1EF9" w14:textId="77777777" w:rsidR="00512C7E" w:rsidRPr="00512C7E" w:rsidRDefault="00512C7E" w:rsidP="00512C7E">
      <w:pPr>
        <w:spacing w:after="0" w:line="276" w:lineRule="auto"/>
        <w:jc w:val="both"/>
        <w:rPr>
          <w:rFonts w:ascii="Verdana" w:eastAsia="Calibri" w:hAnsi="Verdana" w:cs="Vrinda"/>
          <w:lang w:val="es-ES" w:eastAsia="es-ES"/>
        </w:rPr>
      </w:pPr>
    </w:p>
    <w:p w14:paraId="3C93EF8E" w14:textId="77777777" w:rsidR="00512C7E" w:rsidRPr="00512C7E" w:rsidRDefault="00512C7E" w:rsidP="00512C7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120" w:line="240" w:lineRule="auto"/>
        <w:ind w:left="709" w:right="709"/>
        <w:jc w:val="both"/>
        <w:rPr>
          <w:rFonts w:ascii="Aptos" w:eastAsia="Aptos" w:hAnsi="Aptos" w:cs="Times New Roman"/>
          <w:kern w:val="2"/>
          <w:sz w:val="24"/>
          <w:szCs w:val="24"/>
          <w14:ligatures w14:val="standardContextual"/>
        </w:rPr>
      </w:pPr>
      <w:r w:rsidRPr="00512C7E">
        <w:rPr>
          <w:rFonts w:ascii="Verdana" w:eastAsia="Aptos" w:hAnsi="Verdana" w:cs="Arial"/>
          <w:color w:val="000000"/>
          <w:sz w:val="20"/>
          <w:szCs w:val="20"/>
          <w:lang w:val="es-MX"/>
          <w14:ligatures w14:val="standardContextual"/>
        </w:rPr>
        <w:t>“</w:t>
      </w:r>
      <w:r w:rsidRPr="00512C7E">
        <w:rPr>
          <w:rFonts w:ascii="Aptos" w:eastAsia="Aptos" w:hAnsi="Aptos" w:cs="Times New Roman"/>
          <w:kern w:val="2"/>
          <w:sz w:val="24"/>
          <w:szCs w:val="24"/>
          <w14:ligatures w14:val="standardContextual"/>
        </w:rPr>
        <w:t xml:space="preserve">incluir la </w:t>
      </w:r>
      <w:proofErr w:type="spellStart"/>
      <w:r w:rsidRPr="00512C7E">
        <w:rPr>
          <w:rFonts w:ascii="Aptos" w:eastAsia="Aptos" w:hAnsi="Aptos" w:cs="Times New Roman"/>
          <w:kern w:val="2"/>
          <w:sz w:val="24"/>
          <w:szCs w:val="24"/>
          <w14:ligatures w14:val="standardContextual"/>
        </w:rPr>
        <w:t>implementacion</w:t>
      </w:r>
      <w:proofErr w:type="spellEnd"/>
      <w:r w:rsidRPr="00512C7E">
        <w:rPr>
          <w:rFonts w:ascii="Aptos" w:eastAsia="Aptos" w:hAnsi="Aptos" w:cs="Times New Roman"/>
          <w:kern w:val="2"/>
          <w:sz w:val="24"/>
          <w:szCs w:val="24"/>
          <w14:ligatures w14:val="standardContextual"/>
        </w:rPr>
        <w:t xml:space="preserve"> del </w:t>
      </w:r>
      <w:proofErr w:type="spellStart"/>
      <w:r w:rsidRPr="00512C7E">
        <w:rPr>
          <w:rFonts w:ascii="Aptos" w:eastAsia="Aptos" w:hAnsi="Aptos" w:cs="Times New Roman"/>
          <w:kern w:val="2"/>
          <w:sz w:val="24"/>
          <w:szCs w:val="24"/>
          <w14:ligatures w14:val="standardContextual"/>
        </w:rPr>
        <w:t>articulo</w:t>
      </w:r>
      <w:proofErr w:type="spellEnd"/>
      <w:r w:rsidRPr="00512C7E">
        <w:rPr>
          <w:rFonts w:ascii="Aptos" w:eastAsia="Aptos" w:hAnsi="Aptos" w:cs="Times New Roman"/>
          <w:kern w:val="2"/>
          <w:sz w:val="24"/>
          <w:szCs w:val="24"/>
          <w14:ligatures w14:val="standardContextual"/>
        </w:rPr>
        <w:t xml:space="preserve"> 17 de la Ley 842 de 2003 como requisito habilitante en el documento base o pliego, </w:t>
      </w:r>
      <w:proofErr w:type="spellStart"/>
      <w:r w:rsidRPr="00512C7E">
        <w:rPr>
          <w:rFonts w:ascii="Aptos" w:eastAsia="Aptos" w:hAnsi="Aptos" w:cs="Times New Roman"/>
          <w:kern w:val="2"/>
          <w:sz w:val="24"/>
          <w:szCs w:val="24"/>
          <w14:ligatures w14:val="standardContextual"/>
        </w:rPr>
        <w:t>estaria</w:t>
      </w:r>
      <w:proofErr w:type="spellEnd"/>
      <w:r w:rsidRPr="00512C7E">
        <w:rPr>
          <w:rFonts w:ascii="Aptos" w:eastAsia="Aptos" w:hAnsi="Aptos" w:cs="Times New Roman"/>
          <w:kern w:val="2"/>
          <w:sz w:val="24"/>
          <w:szCs w:val="24"/>
          <w14:ligatures w14:val="standardContextual"/>
        </w:rPr>
        <w:t xml:space="preserve"> alterando el pliego tipo?. </w:t>
      </w:r>
    </w:p>
    <w:p w14:paraId="1259DDCD" w14:textId="77777777" w:rsidR="00512C7E" w:rsidRPr="00512C7E" w:rsidRDefault="00512C7E" w:rsidP="00512C7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120" w:line="240" w:lineRule="auto"/>
        <w:ind w:left="709" w:right="709"/>
        <w:jc w:val="both"/>
        <w:rPr>
          <w:rFonts w:ascii="Aptos" w:eastAsia="Aptos" w:hAnsi="Aptos" w:cs="Times New Roman"/>
          <w:kern w:val="2"/>
          <w:sz w:val="24"/>
          <w:szCs w:val="24"/>
          <w14:ligatures w14:val="standardContextual"/>
        </w:rPr>
      </w:pPr>
      <w:r w:rsidRPr="00512C7E">
        <w:rPr>
          <w:rFonts w:ascii="Aptos" w:eastAsia="Aptos" w:hAnsi="Aptos" w:cs="Times New Roman"/>
          <w:kern w:val="2"/>
          <w:sz w:val="24"/>
          <w:szCs w:val="24"/>
          <w14:ligatures w14:val="standardContextual"/>
        </w:rPr>
        <w:t xml:space="preserve">1. Es obligatorio incluir un profesional de la </w:t>
      </w:r>
      <w:proofErr w:type="spellStart"/>
      <w:r w:rsidRPr="00512C7E">
        <w:rPr>
          <w:rFonts w:ascii="Aptos" w:eastAsia="Aptos" w:hAnsi="Aptos" w:cs="Times New Roman"/>
          <w:kern w:val="2"/>
          <w:sz w:val="24"/>
          <w:szCs w:val="24"/>
          <w14:ligatures w14:val="standardContextual"/>
        </w:rPr>
        <w:t>ingenieria</w:t>
      </w:r>
      <w:proofErr w:type="spellEnd"/>
      <w:r w:rsidRPr="00512C7E">
        <w:rPr>
          <w:rFonts w:ascii="Aptos" w:eastAsia="Aptos" w:hAnsi="Aptos" w:cs="Times New Roman"/>
          <w:kern w:val="2"/>
          <w:sz w:val="24"/>
          <w:szCs w:val="24"/>
          <w14:ligatures w14:val="standardContextual"/>
        </w:rPr>
        <w:t xml:space="preserve"> civil en la </w:t>
      </w:r>
      <w:proofErr w:type="spellStart"/>
      <w:r w:rsidRPr="00512C7E">
        <w:rPr>
          <w:rFonts w:ascii="Aptos" w:eastAsia="Aptos" w:hAnsi="Aptos" w:cs="Times New Roman"/>
          <w:kern w:val="2"/>
          <w:sz w:val="24"/>
          <w:szCs w:val="24"/>
          <w14:ligatures w14:val="standardContextual"/>
        </w:rPr>
        <w:t>nomina</w:t>
      </w:r>
      <w:proofErr w:type="spellEnd"/>
      <w:r w:rsidRPr="00512C7E">
        <w:rPr>
          <w:rFonts w:ascii="Aptos" w:eastAsia="Aptos" w:hAnsi="Aptos" w:cs="Times New Roman"/>
          <w:kern w:val="2"/>
          <w:sz w:val="24"/>
          <w:szCs w:val="24"/>
          <w14:ligatures w14:val="standardContextual"/>
        </w:rPr>
        <w:t xml:space="preserve">, para dar cumplimiento al </w:t>
      </w:r>
      <w:proofErr w:type="spellStart"/>
      <w:r w:rsidRPr="00512C7E">
        <w:rPr>
          <w:rFonts w:ascii="Aptos" w:eastAsia="Aptos" w:hAnsi="Aptos" w:cs="Times New Roman"/>
          <w:kern w:val="2"/>
          <w:sz w:val="24"/>
          <w:szCs w:val="24"/>
          <w14:ligatures w14:val="standardContextual"/>
        </w:rPr>
        <w:t>articulo</w:t>
      </w:r>
      <w:proofErr w:type="spellEnd"/>
      <w:r w:rsidRPr="00512C7E">
        <w:rPr>
          <w:rFonts w:ascii="Aptos" w:eastAsia="Aptos" w:hAnsi="Aptos" w:cs="Times New Roman"/>
          <w:kern w:val="2"/>
          <w:sz w:val="24"/>
          <w:szCs w:val="24"/>
          <w14:ligatures w14:val="standardContextual"/>
        </w:rPr>
        <w:t xml:space="preserve"> 17 de la Ley 842 de 2003? </w:t>
      </w:r>
    </w:p>
    <w:p w14:paraId="1C9EB254" w14:textId="77777777" w:rsidR="00512C7E" w:rsidRPr="00512C7E" w:rsidRDefault="00512C7E" w:rsidP="00512C7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120" w:line="240" w:lineRule="auto"/>
        <w:ind w:left="709" w:right="709"/>
        <w:jc w:val="both"/>
        <w:rPr>
          <w:rFonts w:ascii="Aptos" w:eastAsia="Aptos" w:hAnsi="Aptos" w:cs="Times New Roman"/>
          <w:kern w:val="2"/>
          <w:sz w:val="24"/>
          <w:szCs w:val="24"/>
          <w14:ligatures w14:val="standardContextual"/>
        </w:rPr>
      </w:pPr>
      <w:r w:rsidRPr="00512C7E">
        <w:rPr>
          <w:rFonts w:ascii="Aptos" w:eastAsia="Aptos" w:hAnsi="Aptos" w:cs="Times New Roman"/>
          <w:kern w:val="2"/>
          <w:sz w:val="24"/>
          <w:szCs w:val="24"/>
          <w14:ligatures w14:val="standardContextual"/>
        </w:rPr>
        <w:lastRenderedPageBreak/>
        <w:t xml:space="preserve">2. Si requiere en un pliego tipo el cumplimiento del </w:t>
      </w:r>
      <w:proofErr w:type="spellStart"/>
      <w:r w:rsidRPr="00512C7E">
        <w:rPr>
          <w:rFonts w:ascii="Aptos" w:eastAsia="Aptos" w:hAnsi="Aptos" w:cs="Times New Roman"/>
          <w:kern w:val="2"/>
          <w:sz w:val="24"/>
          <w:szCs w:val="24"/>
          <w14:ligatures w14:val="standardContextual"/>
        </w:rPr>
        <w:t>articulo</w:t>
      </w:r>
      <w:proofErr w:type="spellEnd"/>
      <w:r w:rsidRPr="00512C7E">
        <w:rPr>
          <w:rFonts w:ascii="Aptos" w:eastAsia="Aptos" w:hAnsi="Aptos" w:cs="Times New Roman"/>
          <w:kern w:val="2"/>
          <w:sz w:val="24"/>
          <w:szCs w:val="24"/>
          <w14:ligatures w14:val="standardContextual"/>
        </w:rPr>
        <w:t xml:space="preserve"> 17 de la Ley 842 de 2003, se </w:t>
      </w:r>
      <w:proofErr w:type="spellStart"/>
      <w:r w:rsidRPr="00512C7E">
        <w:rPr>
          <w:rFonts w:ascii="Aptos" w:eastAsia="Aptos" w:hAnsi="Aptos" w:cs="Times New Roman"/>
          <w:kern w:val="2"/>
          <w:sz w:val="24"/>
          <w:szCs w:val="24"/>
          <w14:ligatures w14:val="standardContextual"/>
        </w:rPr>
        <w:t>estaria</w:t>
      </w:r>
      <w:proofErr w:type="spellEnd"/>
      <w:r w:rsidRPr="00512C7E">
        <w:rPr>
          <w:rFonts w:ascii="Aptos" w:eastAsia="Aptos" w:hAnsi="Aptos" w:cs="Times New Roman"/>
          <w:kern w:val="2"/>
          <w:sz w:val="24"/>
          <w:szCs w:val="24"/>
          <w14:ligatures w14:val="standardContextual"/>
        </w:rPr>
        <w:t xml:space="preserve"> alterando el pliego tipo, ya que se </w:t>
      </w:r>
      <w:proofErr w:type="spellStart"/>
      <w:r w:rsidRPr="00512C7E">
        <w:rPr>
          <w:rFonts w:ascii="Aptos" w:eastAsia="Aptos" w:hAnsi="Aptos" w:cs="Times New Roman"/>
          <w:kern w:val="2"/>
          <w:sz w:val="24"/>
          <w:szCs w:val="24"/>
          <w14:ligatures w14:val="standardContextual"/>
        </w:rPr>
        <w:t>estan</w:t>
      </w:r>
      <w:proofErr w:type="spellEnd"/>
      <w:r w:rsidRPr="00512C7E">
        <w:rPr>
          <w:rFonts w:ascii="Aptos" w:eastAsia="Aptos" w:hAnsi="Aptos" w:cs="Times New Roman"/>
          <w:kern w:val="2"/>
          <w:sz w:val="24"/>
          <w:szCs w:val="24"/>
          <w14:ligatures w14:val="standardContextual"/>
        </w:rPr>
        <w:t xml:space="preserve"> incluyendo requisitos habilitantes que no </w:t>
      </w:r>
      <w:proofErr w:type="spellStart"/>
      <w:r w:rsidRPr="00512C7E">
        <w:rPr>
          <w:rFonts w:ascii="Aptos" w:eastAsia="Aptos" w:hAnsi="Aptos" w:cs="Times New Roman"/>
          <w:kern w:val="2"/>
          <w:sz w:val="24"/>
          <w:szCs w:val="24"/>
          <w14:ligatures w14:val="standardContextual"/>
        </w:rPr>
        <w:t>estan</w:t>
      </w:r>
      <w:proofErr w:type="spellEnd"/>
      <w:r w:rsidRPr="00512C7E">
        <w:rPr>
          <w:rFonts w:ascii="Aptos" w:eastAsia="Aptos" w:hAnsi="Aptos" w:cs="Times New Roman"/>
          <w:kern w:val="2"/>
          <w:sz w:val="24"/>
          <w:szCs w:val="24"/>
          <w14:ligatures w14:val="standardContextual"/>
        </w:rPr>
        <w:t xml:space="preserve"> inmersos en el pliego tipo? </w:t>
      </w:r>
    </w:p>
    <w:p w14:paraId="0F2C047B" w14:textId="77777777" w:rsidR="00512C7E" w:rsidRPr="00512C7E" w:rsidRDefault="00512C7E" w:rsidP="00512C7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120" w:line="240" w:lineRule="auto"/>
        <w:ind w:left="709" w:right="709"/>
        <w:jc w:val="both"/>
        <w:rPr>
          <w:rFonts w:ascii="Verdana" w:eastAsia="Aptos" w:hAnsi="Verdana" w:cs="Arial"/>
          <w:color w:val="000000"/>
          <w:sz w:val="20"/>
          <w:szCs w:val="20"/>
          <w:lang w:val="es-MX"/>
          <w14:ligatures w14:val="standardContextual"/>
        </w:rPr>
      </w:pPr>
      <w:r w:rsidRPr="00512C7E">
        <w:rPr>
          <w:rFonts w:ascii="Aptos" w:eastAsia="Aptos" w:hAnsi="Aptos" w:cs="Times New Roman"/>
          <w:kern w:val="2"/>
          <w:sz w:val="24"/>
          <w:szCs w:val="24"/>
          <w14:ligatures w14:val="standardContextual"/>
        </w:rPr>
        <w:t xml:space="preserve">3. El documento base o pliego tipo en </w:t>
      </w:r>
      <w:proofErr w:type="spellStart"/>
      <w:r w:rsidRPr="00512C7E">
        <w:rPr>
          <w:rFonts w:ascii="Aptos" w:eastAsia="Aptos" w:hAnsi="Aptos" w:cs="Times New Roman"/>
          <w:kern w:val="2"/>
          <w:sz w:val="24"/>
          <w:szCs w:val="24"/>
          <w14:ligatures w14:val="standardContextual"/>
        </w:rPr>
        <w:t>ningun</w:t>
      </w:r>
      <w:proofErr w:type="spellEnd"/>
      <w:r w:rsidRPr="00512C7E">
        <w:rPr>
          <w:rFonts w:ascii="Aptos" w:eastAsia="Aptos" w:hAnsi="Aptos" w:cs="Times New Roman"/>
          <w:kern w:val="2"/>
          <w:sz w:val="24"/>
          <w:szCs w:val="24"/>
          <w14:ligatures w14:val="standardContextual"/>
        </w:rPr>
        <w:t xml:space="preserve"> capitulo menciona el cumplimiento del </w:t>
      </w:r>
      <w:proofErr w:type="spellStart"/>
      <w:r w:rsidRPr="00512C7E">
        <w:rPr>
          <w:rFonts w:ascii="Aptos" w:eastAsia="Aptos" w:hAnsi="Aptos" w:cs="Times New Roman"/>
          <w:kern w:val="2"/>
          <w:sz w:val="24"/>
          <w:szCs w:val="24"/>
          <w14:ligatures w14:val="standardContextual"/>
        </w:rPr>
        <w:t>articulo</w:t>
      </w:r>
      <w:proofErr w:type="spellEnd"/>
      <w:r w:rsidRPr="00512C7E">
        <w:rPr>
          <w:rFonts w:ascii="Aptos" w:eastAsia="Aptos" w:hAnsi="Aptos" w:cs="Times New Roman"/>
          <w:kern w:val="2"/>
          <w:sz w:val="24"/>
          <w:szCs w:val="24"/>
          <w14:ligatures w14:val="standardContextual"/>
        </w:rPr>
        <w:t xml:space="preserve"> 17 de la ley 842 de 2003, en ese orden de ideas al incluirlo </w:t>
      </w:r>
      <w:proofErr w:type="spellStart"/>
      <w:r w:rsidRPr="00512C7E">
        <w:rPr>
          <w:rFonts w:ascii="Aptos" w:eastAsia="Aptos" w:hAnsi="Aptos" w:cs="Times New Roman"/>
          <w:kern w:val="2"/>
          <w:sz w:val="24"/>
          <w:szCs w:val="24"/>
          <w14:ligatures w14:val="standardContextual"/>
        </w:rPr>
        <w:t>estaria</w:t>
      </w:r>
      <w:proofErr w:type="spellEnd"/>
      <w:r w:rsidRPr="00512C7E">
        <w:rPr>
          <w:rFonts w:ascii="Aptos" w:eastAsia="Aptos" w:hAnsi="Aptos" w:cs="Times New Roman"/>
          <w:kern w:val="2"/>
          <w:sz w:val="24"/>
          <w:szCs w:val="24"/>
          <w14:ligatures w14:val="standardContextual"/>
        </w:rPr>
        <w:t xml:space="preserve"> alterando el pliego tipo y violando la Ley 2022 de 2020 la cual dice y reza que los pliegos tipo son de obligatorio cumplimiento por parte de las entidades estatales?</w:t>
      </w:r>
      <w:r w:rsidRPr="00512C7E">
        <w:rPr>
          <w:rFonts w:ascii="Verdana" w:eastAsia="Aptos" w:hAnsi="Verdana" w:cs="Arial"/>
          <w:color w:val="000000"/>
          <w:sz w:val="20"/>
          <w:szCs w:val="20"/>
          <w:lang w:val="es-MX"/>
          <w14:ligatures w14:val="standardContextual"/>
        </w:rPr>
        <w:t xml:space="preserve">”. </w:t>
      </w:r>
    </w:p>
    <w:p w14:paraId="26B48C7F" w14:textId="77777777" w:rsidR="00512C7E" w:rsidRPr="00512C7E" w:rsidRDefault="00512C7E" w:rsidP="00512C7E">
      <w:pPr>
        <w:spacing w:after="0" w:line="240" w:lineRule="auto"/>
        <w:jc w:val="both"/>
        <w:rPr>
          <w:rFonts w:ascii="Verdana" w:eastAsia="Calibri" w:hAnsi="Verdana" w:cs="Arial"/>
          <w:color w:val="000000"/>
          <w:sz w:val="21"/>
          <w:szCs w:val="21"/>
          <w:lang w:eastAsia="es-ES"/>
        </w:rPr>
      </w:pPr>
    </w:p>
    <w:p w14:paraId="777EA53F" w14:textId="77777777" w:rsidR="00512C7E" w:rsidRPr="00512C7E" w:rsidRDefault="00512C7E" w:rsidP="00512C7E">
      <w:pPr>
        <w:spacing w:after="120" w:line="276" w:lineRule="auto"/>
        <w:ind w:firstLine="709"/>
        <w:jc w:val="both"/>
        <w:rPr>
          <w:rFonts w:ascii="Verdana" w:eastAsia="Calibri" w:hAnsi="Verdana" w:cs="Arial"/>
          <w:color w:val="000000"/>
          <w:lang w:eastAsia="es-ES"/>
        </w:rPr>
      </w:pPr>
      <w:r w:rsidRPr="00512C7E">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12C7E">
        <w:rPr>
          <w:rFonts w:ascii="Verdana" w:eastAsia="Calibri" w:hAnsi="Verdana" w:cs="Arial"/>
          <w:color w:val="000000"/>
          <w:lang w:eastAsia="es-ES"/>
        </w:rPr>
        <w:tab/>
      </w:r>
    </w:p>
    <w:p w14:paraId="50965C2B" w14:textId="77777777" w:rsidR="00512C7E" w:rsidRPr="00512C7E" w:rsidRDefault="00512C7E" w:rsidP="00512C7E">
      <w:pPr>
        <w:spacing w:after="0" w:line="276" w:lineRule="auto"/>
        <w:ind w:firstLine="709"/>
        <w:jc w:val="both"/>
        <w:rPr>
          <w:rFonts w:ascii="Verdana" w:eastAsia="Calibri" w:hAnsi="Verdana" w:cs="Arial"/>
          <w:color w:val="000000"/>
          <w:lang w:eastAsia="es-ES"/>
        </w:rPr>
      </w:pPr>
      <w:r w:rsidRPr="00512C7E">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335AC83F" w14:textId="77777777" w:rsidR="00512C7E" w:rsidRPr="00512C7E" w:rsidRDefault="00512C7E" w:rsidP="00512C7E">
      <w:pPr>
        <w:spacing w:after="0" w:line="276" w:lineRule="auto"/>
        <w:jc w:val="both"/>
        <w:rPr>
          <w:rFonts w:ascii="Verdana" w:eastAsia="Calibri" w:hAnsi="Verdana" w:cs="Arial"/>
          <w:color w:val="000000"/>
          <w:lang w:eastAsia="es-ES"/>
        </w:rPr>
      </w:pPr>
    </w:p>
    <w:p w14:paraId="3CC0DE92" w14:textId="77777777" w:rsidR="00512C7E" w:rsidRPr="00512C7E" w:rsidRDefault="00512C7E" w:rsidP="00512C7E">
      <w:pPr>
        <w:numPr>
          <w:ilvl w:val="0"/>
          <w:numId w:val="16"/>
        </w:numPr>
        <w:tabs>
          <w:tab w:val="left" w:pos="142"/>
          <w:tab w:val="left" w:pos="284"/>
        </w:tabs>
        <w:spacing w:after="0" w:line="276" w:lineRule="auto"/>
        <w:ind w:left="360"/>
        <w:jc w:val="both"/>
        <w:rPr>
          <w:rFonts w:ascii="Verdana" w:eastAsia="Century Gothic" w:hAnsi="Verdana" w:cs="Century Gothic"/>
          <w:b/>
          <w:bCs/>
        </w:rPr>
      </w:pPr>
      <w:r w:rsidRPr="00512C7E">
        <w:rPr>
          <w:rFonts w:ascii="Verdana" w:eastAsia="Century Gothic" w:hAnsi="Verdana" w:cs="Century Gothic"/>
          <w:b/>
          <w:bCs/>
        </w:rPr>
        <w:t>Problema planteado:</w:t>
      </w:r>
    </w:p>
    <w:p w14:paraId="4E275E08" w14:textId="77777777" w:rsidR="00512C7E" w:rsidRPr="00512C7E" w:rsidRDefault="00512C7E" w:rsidP="00512C7E">
      <w:pPr>
        <w:tabs>
          <w:tab w:val="left" w:pos="142"/>
          <w:tab w:val="left" w:pos="284"/>
        </w:tabs>
        <w:spacing w:after="0" w:line="276" w:lineRule="auto"/>
        <w:jc w:val="both"/>
        <w:rPr>
          <w:rFonts w:ascii="Verdana" w:eastAsia="Century Gothic" w:hAnsi="Verdana" w:cs="Century Gothic"/>
          <w:b/>
          <w:bCs/>
        </w:rPr>
      </w:pPr>
    </w:p>
    <w:p w14:paraId="574F2E53" w14:textId="77777777" w:rsidR="00512C7E" w:rsidRPr="00512C7E" w:rsidRDefault="00512C7E" w:rsidP="00512C7E">
      <w:pPr>
        <w:spacing w:after="0" w:line="276" w:lineRule="auto"/>
        <w:jc w:val="both"/>
        <w:rPr>
          <w:rFonts w:ascii="Verdana" w:eastAsia="Aptos" w:hAnsi="Verdana" w:cs="Times New Roman"/>
          <w:kern w:val="2"/>
          <w14:ligatures w14:val="standardContextual"/>
        </w:rPr>
      </w:pPr>
      <w:r w:rsidRPr="00512C7E">
        <w:rPr>
          <w:rFonts w:ascii="Verdana" w:eastAsia="Century Gothic" w:hAnsi="Verdana" w:cs="Century Gothic"/>
        </w:rPr>
        <w:t xml:space="preserve">De acuerdo con el contenido de su solicitud, esta Agencia resolverá los siguientes problemas jurídicos: i) </w:t>
      </w:r>
      <w:r w:rsidRPr="00512C7E">
        <w:rPr>
          <w:rFonts w:ascii="Verdana" w:eastAsia="Century Gothic" w:hAnsi="Verdana" w:cs="Century Gothic"/>
          <w:kern w:val="2"/>
          <w14:ligatures w14:val="standardContextual"/>
        </w:rPr>
        <w:t>¿Cuál es el alcance de la regla de la inalterabilidad que recae sobre los documentos tipo</w:t>
      </w:r>
      <w:r w:rsidRPr="00512C7E">
        <w:rPr>
          <w:rFonts w:ascii="Verdana" w:eastAsia="Calibri" w:hAnsi="Verdana" w:cs="Times New Roman"/>
        </w:rPr>
        <w:t xml:space="preserve">? y </w:t>
      </w:r>
      <w:proofErr w:type="spellStart"/>
      <w:r w:rsidRPr="00512C7E">
        <w:rPr>
          <w:rFonts w:ascii="Verdana" w:eastAsia="Calibri" w:hAnsi="Verdana" w:cs="Times New Roman"/>
        </w:rPr>
        <w:t>ii</w:t>
      </w:r>
      <w:proofErr w:type="spellEnd"/>
      <w:r w:rsidRPr="00512C7E">
        <w:rPr>
          <w:rFonts w:ascii="Verdana" w:eastAsia="Calibri" w:hAnsi="Verdana" w:cs="Times New Roman"/>
        </w:rPr>
        <w:t>)</w:t>
      </w:r>
      <w:r w:rsidRPr="00512C7E">
        <w:rPr>
          <w:rFonts w:ascii="Verdana" w:eastAsia="Century Gothic" w:hAnsi="Verdana" w:cs="Century Gothic"/>
        </w:rPr>
        <w:t xml:space="preserve"> </w:t>
      </w:r>
      <w:r w:rsidRPr="00512C7E">
        <w:rPr>
          <w:rFonts w:ascii="Verdana" w:eastAsia="Aptos" w:hAnsi="Verdana" w:cs="Times New Roman"/>
          <w:kern w:val="2"/>
          <w14:ligatures w14:val="standardContextual"/>
        </w:rPr>
        <w:t xml:space="preserve">¿Pueden las entidades estatales que adelantan procesos de contratación con documentos tipo exigir, como requisito habilitante, la acreditación del deber previsto en el artículo 17 de la Ley 842 de 2003 –según el cual las personas jurídicas cuyas actividades comprendan el </w:t>
      </w:r>
      <w:r w:rsidRPr="00512C7E">
        <w:rPr>
          <w:rFonts w:ascii="Verdana" w:eastAsia="Aptos" w:hAnsi="Verdana" w:cs="Times New Roman"/>
          <w:kern w:val="2"/>
          <w14:ligatures w14:val="standardContextual"/>
        </w:rPr>
        <w:lastRenderedPageBreak/>
        <w:t>ejercicio de la ingeniería deben incluir en su nómina permanente al menos un profesional matriculado en la carrera correspondiente a su objeto social–?</w:t>
      </w:r>
    </w:p>
    <w:p w14:paraId="13B102B1" w14:textId="77777777" w:rsidR="00512C7E" w:rsidRPr="00512C7E" w:rsidRDefault="00512C7E" w:rsidP="00512C7E">
      <w:pPr>
        <w:spacing w:after="0" w:line="276" w:lineRule="auto"/>
        <w:jc w:val="both"/>
        <w:rPr>
          <w:rFonts w:ascii="Verdana" w:eastAsia="Calibri" w:hAnsi="Verdana" w:cs="Arial"/>
          <w:color w:val="7030A0"/>
          <w:lang w:val="es-ES_tradnl"/>
        </w:rPr>
      </w:pPr>
    </w:p>
    <w:p w14:paraId="08C1004B" w14:textId="77777777" w:rsidR="00512C7E" w:rsidRPr="00512C7E" w:rsidRDefault="00512C7E" w:rsidP="00512C7E">
      <w:pPr>
        <w:numPr>
          <w:ilvl w:val="0"/>
          <w:numId w:val="16"/>
        </w:numPr>
        <w:tabs>
          <w:tab w:val="left" w:pos="142"/>
          <w:tab w:val="left" w:pos="284"/>
        </w:tabs>
        <w:spacing w:after="0" w:line="276" w:lineRule="auto"/>
        <w:ind w:left="360"/>
        <w:jc w:val="both"/>
        <w:rPr>
          <w:rFonts w:ascii="Verdana" w:eastAsia="Century Gothic" w:hAnsi="Verdana" w:cs="Century Gothic"/>
          <w:b/>
          <w:bCs/>
        </w:rPr>
      </w:pPr>
      <w:r w:rsidRPr="00512C7E">
        <w:rPr>
          <w:rFonts w:ascii="Verdana" w:eastAsia="Century Gothic" w:hAnsi="Verdana" w:cs="Century Gothic"/>
          <w:b/>
          <w:bCs/>
        </w:rPr>
        <w:t>Respuesta:</w:t>
      </w:r>
    </w:p>
    <w:p w14:paraId="6F34F55D" w14:textId="77777777" w:rsidR="00512C7E" w:rsidRPr="00512C7E" w:rsidRDefault="00512C7E" w:rsidP="00512C7E">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12C7E" w:rsidRPr="00512C7E" w14:paraId="3196E128" w14:textId="77777777" w:rsidTr="009E3879">
        <w:tc>
          <w:tcPr>
            <w:tcW w:w="8828" w:type="dxa"/>
          </w:tcPr>
          <w:p w14:paraId="5DB5F2DC" w14:textId="77777777" w:rsidR="00512C7E" w:rsidRPr="00512C7E" w:rsidRDefault="00512C7E" w:rsidP="00512C7E">
            <w:pPr>
              <w:spacing w:before="120" w:after="120" w:line="276" w:lineRule="auto"/>
              <w:jc w:val="both"/>
              <w:rPr>
                <w:rFonts w:ascii="Verdana" w:eastAsia="Calibri" w:hAnsi="Verdana" w:cs="Arial"/>
                <w:color w:val="000000"/>
                <w:lang w:val="es-ES"/>
              </w:rPr>
            </w:pPr>
            <w:r w:rsidRPr="00512C7E">
              <w:rPr>
                <w:rFonts w:ascii="Verdana" w:eastAsia="Calibri" w:hAnsi="Verdana" w:cs="Arial"/>
                <w:color w:val="000000"/>
                <w:lang w:val="es-ES"/>
              </w:rPr>
              <w:t xml:space="preserve">i). Todas las resoluciones expedidas por la Agencia Nacional de Contratación Pública – Colombia Compra Eficiente, mediante las cuales se han adoptado los documentos tipo, consagran la regla de la inalterabilidad. Esta prohibición consiste en que las entidades estatales no pueden incluir o modificar en los </w:t>
            </w:r>
            <w:r w:rsidRPr="00512C7E">
              <w:rPr>
                <w:rFonts w:ascii="Verdana" w:eastAsia="Calibri" w:hAnsi="Verdana" w:cs="Arial"/>
                <w:i/>
                <w:iCs/>
                <w:color w:val="000000"/>
                <w:lang w:val="es-ES"/>
              </w:rPr>
              <w:t>Documentos del Proceso</w:t>
            </w:r>
            <w:r w:rsidRPr="00512C7E">
              <w:rPr>
                <w:rFonts w:ascii="Verdana" w:eastAsia="Calibri" w:hAnsi="Verdana" w:cs="Arial"/>
                <w:color w:val="000000"/>
                <w:lang w:val="es-ES"/>
              </w:rPr>
              <w:t xml:space="preserve"> </w:t>
            </w:r>
            <w:r w:rsidRPr="00512C7E">
              <w:rPr>
                <w:rFonts w:ascii="Verdana" w:eastAsia="Calibri" w:hAnsi="Verdana" w:cs="Arial"/>
                <w:i/>
                <w:iCs/>
                <w:color w:val="000000"/>
                <w:lang w:val="es-ES"/>
              </w:rPr>
              <w:t>las condiciones habilitantes, los factores técnicos y económicos de escogencia y los sistemas de ponderación distintos a los señalados en los documentos tipo</w:t>
            </w:r>
            <w:r w:rsidRPr="00512C7E">
              <w:rPr>
                <w:rFonts w:ascii="Verdana" w:eastAsia="Calibri" w:hAnsi="Verdana" w:cs="Arial"/>
                <w:color w:val="000000"/>
                <w:lang w:val="es-ES"/>
              </w:rPr>
              <w:t>.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2832C85A" w14:textId="77777777" w:rsidR="00512C7E" w:rsidRPr="00512C7E" w:rsidRDefault="00512C7E" w:rsidP="00512C7E">
            <w:pPr>
              <w:spacing w:line="276" w:lineRule="auto"/>
              <w:jc w:val="both"/>
              <w:rPr>
                <w:rFonts w:ascii="Verdana" w:eastAsia="Calibri" w:hAnsi="Verdana" w:cs="Arial"/>
                <w:color w:val="000000"/>
                <w:lang w:val="es-ES"/>
              </w:rPr>
            </w:pPr>
            <w:r w:rsidRPr="00512C7E">
              <w:rPr>
                <w:rFonts w:ascii="Verdana" w:eastAsia="Calibri" w:hAnsi="Verdana" w:cs="Arial"/>
                <w:lang w:val="es-ES_tradnl"/>
              </w:rPr>
              <w:t xml:space="preserve">           L</w:t>
            </w:r>
            <w:proofErr w:type="spellStart"/>
            <w:r w:rsidRPr="00512C7E">
              <w:rPr>
                <w:rFonts w:ascii="Verdana" w:eastAsia="Calibri" w:hAnsi="Verdana" w:cs="Arial"/>
                <w:lang w:val="es-MX"/>
              </w:rPr>
              <w:t>a parte</w:t>
            </w:r>
            <w:proofErr w:type="spellEnd"/>
            <w:r w:rsidRPr="00512C7E">
              <w:rPr>
                <w:rFonts w:ascii="Verdana" w:eastAsia="Calibri" w:hAnsi="Verdana" w:cs="Arial"/>
                <w:lang w:val="es-MX"/>
              </w:rPr>
              <w:t xml:space="preserve"> introductoria de los documentos base de los documentos tipo disponen que los aspectos incluidos en corchetes y resaltados en gris </w:t>
            </w:r>
            <w:r w:rsidRPr="00512C7E">
              <w:rPr>
                <w:rFonts w:ascii="Verdana" w:eastAsia="Aptos" w:hAnsi="Verdana" w:cs="Arial"/>
              </w:rPr>
              <w:t>–[</w:t>
            </w:r>
            <w:r w:rsidRPr="00512C7E">
              <w:rPr>
                <w:rFonts w:ascii="Verdana" w:eastAsia="Aptos" w:hAnsi="Verdana" w:cs="Arial"/>
                <w:highlight w:val="lightGray"/>
              </w:rPr>
              <w:t>texto de ejemplo</w:t>
            </w:r>
            <w:r w:rsidRPr="00512C7E">
              <w:rPr>
                <w:rFonts w:ascii="Verdana" w:eastAsia="Aptos" w:hAnsi="Verdana" w:cs="Arial"/>
              </w:rPr>
              <w:t xml:space="preserve">]– </w:t>
            </w:r>
            <w:r w:rsidRPr="00512C7E">
              <w:rPr>
                <w:rFonts w:ascii="Verdana" w:eastAsia="Calibri" w:hAnsi="Verdana" w:cs="Arial"/>
                <w:lang w:val="es-MX"/>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3F3CE3C9" w14:textId="77777777" w:rsidR="00512C7E" w:rsidRPr="00512C7E" w:rsidRDefault="00512C7E" w:rsidP="00512C7E">
            <w:pPr>
              <w:spacing w:before="120" w:after="120" w:line="276" w:lineRule="auto"/>
              <w:ind w:firstLine="709"/>
              <w:jc w:val="both"/>
              <w:rPr>
                <w:rFonts w:ascii="Verdana" w:eastAsia="Calibri" w:hAnsi="Verdana" w:cs="Arial"/>
                <w:bCs/>
                <w:lang w:val="es-MX"/>
              </w:rPr>
            </w:pPr>
            <w:r w:rsidRPr="00512C7E">
              <w:rPr>
                <w:rFonts w:ascii="Verdana" w:eastAsia="Calibri" w:hAnsi="Verdana" w:cs="Arial"/>
                <w:bCs/>
                <w:lang w:val="es-MX"/>
              </w:rPr>
              <w:t>En suma, la regla general frente la aplicación de los documentos tipo es su inalterabilidad, y no podrán incluirse o modificarse en los documentos del proceso las condiciones habilitantes, los factores técnicos y económicos de escogencia y los sistemas de ponderación distintos a los señalados en los documentos tipo. En tal sentido, estos solo se podrán modificar respecto a aquellos contenidos que el mismo documento tipo lo permita.</w:t>
            </w:r>
          </w:p>
          <w:p w14:paraId="1DFB6D9D" w14:textId="77777777" w:rsidR="00512C7E" w:rsidRPr="00512C7E" w:rsidRDefault="00512C7E" w:rsidP="00512C7E">
            <w:pPr>
              <w:spacing w:before="120" w:after="120" w:line="276" w:lineRule="auto"/>
              <w:ind w:firstLine="709"/>
              <w:jc w:val="both"/>
              <w:rPr>
                <w:rFonts w:ascii="Verdana" w:eastAsia="Calibri" w:hAnsi="Verdana" w:cs="Arial"/>
                <w:bCs/>
                <w:lang w:val="es-MX"/>
              </w:rPr>
            </w:pPr>
            <w:r w:rsidRPr="00512C7E">
              <w:rPr>
                <w:rFonts w:ascii="Verdana" w:eastAsia="Calibri" w:hAnsi="Verdana" w:cs="Arial"/>
                <w:bCs/>
                <w:lang w:val="es-MX"/>
              </w:rPr>
              <w:t xml:space="preserve">Esta regla de inalterabilidad </w:t>
            </w:r>
            <w:r w:rsidRPr="00512C7E">
              <w:rPr>
                <w:rFonts w:ascii="Verdana" w:eastAsia="Calibri" w:hAnsi="Verdana" w:cs="Arial"/>
                <w:bCs/>
                <w:i/>
                <w:iCs/>
                <w:lang w:val="es-MX"/>
              </w:rPr>
              <w:t>también aplica a los formatos, anexos y matrices</w:t>
            </w:r>
            <w:r w:rsidRPr="00512C7E">
              <w:rPr>
                <w:rFonts w:ascii="Verdana" w:eastAsia="Calibri" w:hAnsi="Verdana" w:cs="Arial"/>
                <w:bCs/>
                <w:lang w:val="es-MX"/>
              </w:rPr>
              <w:t xml:space="preserve"> implementados junto con el “Documento Base”, los cuales deben </w:t>
            </w:r>
            <w:r w:rsidRPr="00512C7E">
              <w:rPr>
                <w:rFonts w:ascii="Verdana" w:eastAsia="Calibri" w:hAnsi="Verdana" w:cs="Arial"/>
                <w:bCs/>
                <w:lang w:val="es-MX"/>
              </w:rPr>
              <w:lastRenderedPageBreak/>
              <w:t xml:space="preserve">usarse en el procedimiento de contratación. Estos, al igual que el “Documento Base”, contienen apartes entre corchetes y resaltados en gris, los cuales deben ser diligenciados por la entidad, al igual que otros aspectos relativos a información que debe ser completada por los oferentes al hacer uso del formato. </w:t>
            </w:r>
          </w:p>
          <w:p w14:paraId="51A8E079" w14:textId="77777777" w:rsidR="00512C7E" w:rsidRPr="00512C7E" w:rsidRDefault="00512C7E" w:rsidP="00512C7E">
            <w:pPr>
              <w:spacing w:after="120" w:line="276" w:lineRule="auto"/>
              <w:jc w:val="both"/>
              <w:rPr>
                <w:rFonts w:ascii="Verdana" w:eastAsia="Calibri" w:hAnsi="Verdana" w:cs="Arial"/>
                <w:lang w:val="es-MX"/>
              </w:rPr>
            </w:pPr>
            <w:proofErr w:type="spellStart"/>
            <w:r w:rsidRPr="00512C7E">
              <w:rPr>
                <w:rFonts w:ascii="Verdana" w:eastAsia="Calibri" w:hAnsi="Verdana" w:cs="Arial"/>
                <w:szCs w:val="20"/>
                <w:lang w:val="es-MX"/>
              </w:rPr>
              <w:t>ii</w:t>
            </w:r>
            <w:proofErr w:type="spellEnd"/>
            <w:r w:rsidRPr="00512C7E">
              <w:rPr>
                <w:rFonts w:ascii="Verdana" w:eastAsia="Calibri" w:hAnsi="Verdana" w:cs="Arial"/>
                <w:szCs w:val="20"/>
                <w:lang w:val="es-MX"/>
              </w:rPr>
              <w:t>). Los documentos tipo constituyen un límite a la discrecionalidad de las entidades estatales en la configuración de los pliegos de condiciones, pues, como se detalló en el punto anterior de este concepto, fijan unos requisitos mínimos que aquellas deben respetar. Así ocurre en los procedimientos de licitación de obra pública de los sectores de infraestructura de transporte, infraestructura social y agua potable y saneamiento básico, para los cuales esta Agencia ha adoptado documentos tipo. En estos procedimientos debe cumplirse lo dispuesto en el pliego de condiciones tipo, que establece reglas imperativas para determinar, entre otros aspectos, los requisitos habilitantes.</w:t>
            </w:r>
          </w:p>
          <w:p w14:paraId="56B863E3" w14:textId="77777777" w:rsidR="00512C7E" w:rsidRPr="00512C7E" w:rsidRDefault="00512C7E" w:rsidP="00512C7E">
            <w:pPr>
              <w:tabs>
                <w:tab w:val="left" w:pos="709"/>
                <w:tab w:val="left" w:pos="851"/>
              </w:tabs>
              <w:spacing w:line="276" w:lineRule="auto"/>
              <w:jc w:val="both"/>
              <w:rPr>
                <w:rFonts w:ascii="Verdana" w:eastAsia="Calibri" w:hAnsi="Verdana" w:cs="Arial"/>
                <w:szCs w:val="20"/>
                <w:lang w:val="es-MX"/>
              </w:rPr>
            </w:pPr>
            <w:r w:rsidRPr="00512C7E">
              <w:rPr>
                <w:rFonts w:ascii="Verdana" w:eastAsia="Calibri" w:hAnsi="Verdana" w:cs="Arial"/>
                <w:szCs w:val="20"/>
                <w:lang w:val="es-MX"/>
              </w:rPr>
              <w:tab/>
              <w:t>Partiendo de la perspectiva anterior y teniendo en cuenta la pregunta del peticionario, cabe destacar que en los requisitos habilitantes contenidos en los documentos tipo de licitación de obra pública acogidos por esta Agencia en los sectores señalados, no se establece el evento previsto en el artículo 17 de la Ley 842 de 2003, además que dicho requisito tampoco se establece en otro lugar del documento tipo, por lo que resulta evidente que no es una exigencia aplicable en las licitaciones de obra pública de infraestructura que apliquen dichos documentos tipo. En efecto, el artículo indicado establece la siguiente obligación legal:</w:t>
            </w:r>
          </w:p>
          <w:p w14:paraId="7ADCE4D0" w14:textId="77777777" w:rsidR="00512C7E" w:rsidRPr="00512C7E" w:rsidRDefault="00512C7E" w:rsidP="00512C7E">
            <w:pPr>
              <w:tabs>
                <w:tab w:val="left" w:pos="709"/>
                <w:tab w:val="left" w:pos="851"/>
              </w:tabs>
              <w:spacing w:line="276" w:lineRule="auto"/>
              <w:jc w:val="both"/>
              <w:rPr>
                <w:rFonts w:ascii="Verdana" w:eastAsia="Calibri" w:hAnsi="Verdana" w:cs="Arial"/>
                <w:szCs w:val="20"/>
                <w:lang w:val="es-MX"/>
              </w:rPr>
            </w:pPr>
          </w:p>
          <w:p w14:paraId="0742E83E" w14:textId="77777777" w:rsidR="00512C7E" w:rsidRPr="00512C7E" w:rsidRDefault="00512C7E" w:rsidP="00512C7E">
            <w:pPr>
              <w:ind w:left="709" w:right="709"/>
              <w:jc w:val="both"/>
              <w:rPr>
                <w:rFonts w:ascii="Verdana" w:eastAsia="Calibri" w:hAnsi="Verdana" w:cs="Arial"/>
                <w:color w:val="000000"/>
                <w:sz w:val="21"/>
                <w:szCs w:val="21"/>
                <w:lang w:val="es-MX"/>
              </w:rPr>
            </w:pPr>
            <w:r w:rsidRPr="00512C7E">
              <w:rPr>
                <w:rFonts w:ascii="Verdana" w:eastAsia="Calibri" w:hAnsi="Verdana" w:cs="Arial"/>
                <w:color w:val="000000"/>
                <w:sz w:val="21"/>
                <w:szCs w:val="21"/>
                <w:lang w:val="es-MX"/>
              </w:rPr>
              <w:t>“Artículo 17. Responsabilidad de las personas jurídicas y de sus representantes. La sociedad, firma, empresa u organización profesional, cuyas actividades comprendan, en forma exclusiva o parcial, alguna o algunas de aquellas que correspondan al ejercicio de la ingeniería, de sus profesiones afines o de sus profesiones auxiliares, está obligada a incluir en su nómina permanente, como mínimo, a un profesional matriculado en la carrera correspondiente al objeto social de la respectiva persona jurídica.</w:t>
            </w:r>
          </w:p>
          <w:p w14:paraId="2CD43C8F" w14:textId="77777777" w:rsidR="00512C7E" w:rsidRPr="00512C7E" w:rsidRDefault="00512C7E" w:rsidP="00512C7E">
            <w:pPr>
              <w:ind w:left="709" w:right="709"/>
              <w:jc w:val="both"/>
              <w:rPr>
                <w:rFonts w:ascii="Verdana" w:eastAsia="Calibri" w:hAnsi="Verdana" w:cs="Arial"/>
                <w:color w:val="000000"/>
                <w:sz w:val="21"/>
                <w:szCs w:val="21"/>
                <w:lang w:val="es-MX"/>
              </w:rPr>
            </w:pPr>
          </w:p>
          <w:p w14:paraId="65240FF7" w14:textId="77777777" w:rsidR="00512C7E" w:rsidRPr="00512C7E" w:rsidRDefault="00512C7E" w:rsidP="00512C7E">
            <w:pPr>
              <w:ind w:left="709" w:right="709"/>
              <w:jc w:val="both"/>
              <w:rPr>
                <w:rFonts w:ascii="Verdana" w:eastAsia="Calibri" w:hAnsi="Verdana" w:cs="Arial"/>
                <w:color w:val="000000"/>
                <w:sz w:val="21"/>
                <w:szCs w:val="21"/>
                <w:lang w:val="es-MX"/>
              </w:rPr>
            </w:pPr>
            <w:r w:rsidRPr="00512C7E">
              <w:rPr>
                <w:rFonts w:ascii="Verdana" w:eastAsia="Calibri" w:hAnsi="Verdana" w:cs="Arial"/>
                <w:color w:val="000000"/>
                <w:sz w:val="21"/>
                <w:szCs w:val="21"/>
                <w:lang w:val="es-MX"/>
              </w:rPr>
              <w:t xml:space="preserve">Parágrafo. Al representante legal de la persona jurídica que omita el cumplimiento de lo dispuesto en el presente artículo se le aplicarán las sanciones previstas para el ejercicio ilegal de profesión y oficio reglamentado, mediante la aplicación del procedimiento establecido </w:t>
            </w:r>
            <w:r w:rsidRPr="00512C7E">
              <w:rPr>
                <w:rFonts w:ascii="Verdana" w:eastAsia="Calibri" w:hAnsi="Verdana" w:cs="Arial"/>
                <w:color w:val="000000"/>
                <w:sz w:val="21"/>
                <w:szCs w:val="21"/>
                <w:lang w:val="es-MX"/>
              </w:rPr>
              <w:lastRenderedPageBreak/>
              <w:t>para las contravenciones especiales de policía o aquel que lo sustituya”.</w:t>
            </w:r>
          </w:p>
          <w:p w14:paraId="338564A7" w14:textId="77777777" w:rsidR="00512C7E" w:rsidRPr="00512C7E" w:rsidRDefault="00512C7E" w:rsidP="00512C7E">
            <w:pPr>
              <w:ind w:right="709"/>
              <w:jc w:val="both"/>
              <w:rPr>
                <w:rFonts w:ascii="Verdana" w:eastAsia="Calibri" w:hAnsi="Verdana" w:cs="Arial"/>
                <w:color w:val="000000"/>
                <w:sz w:val="21"/>
                <w:szCs w:val="21"/>
                <w:lang w:val="es-MX"/>
              </w:rPr>
            </w:pPr>
          </w:p>
          <w:p w14:paraId="1F73200E" w14:textId="77777777" w:rsidR="00512C7E" w:rsidRPr="00512C7E" w:rsidRDefault="00512C7E" w:rsidP="00512C7E">
            <w:pPr>
              <w:tabs>
                <w:tab w:val="left" w:pos="709"/>
                <w:tab w:val="left" w:pos="851"/>
              </w:tabs>
              <w:spacing w:after="120" w:line="276" w:lineRule="auto"/>
              <w:jc w:val="both"/>
              <w:rPr>
                <w:rFonts w:ascii="Verdana" w:eastAsia="Calibri" w:hAnsi="Verdana" w:cs="Arial"/>
                <w:szCs w:val="20"/>
                <w:lang w:val="es-MX"/>
              </w:rPr>
            </w:pPr>
            <w:r w:rsidRPr="00512C7E">
              <w:rPr>
                <w:rFonts w:ascii="Verdana" w:eastAsia="Calibri" w:hAnsi="Verdana" w:cs="Arial"/>
                <w:szCs w:val="20"/>
                <w:lang w:val="es-MX"/>
              </w:rPr>
              <w:tab/>
              <w:t>El artículo citado establece el deber para las personas jurídicas, cuyas actividades correspondan al ejercicio de la ingeniería, de incluir en su “nómina permanente” al menos a un profesional matriculado en la carrera correspondiente al objeto social de la persona jurídica. Ahora bien, en relación con la incidencia de este deber en los procedimientos de selección, esta Agencia, desde el concepto C-868 de 2022, ha sostenido que los requisitos habilitantes no se agotan en los previstos en el numeral 1 del artículo 5 de la Ley 1150 de 2007, de manera que, en los procesos en los que la entidad estatal tiene autonomía para configurar los requisitos habilitantes, puede verificar el cumplimiento del artículo 17 de la Ley 842 de 2003.</w:t>
            </w:r>
          </w:p>
          <w:p w14:paraId="1EA17435" w14:textId="77777777" w:rsidR="00512C7E" w:rsidRPr="00512C7E" w:rsidRDefault="00512C7E" w:rsidP="00512C7E">
            <w:pPr>
              <w:tabs>
                <w:tab w:val="left" w:pos="709"/>
                <w:tab w:val="left" w:pos="851"/>
              </w:tabs>
              <w:spacing w:after="120" w:line="276" w:lineRule="auto"/>
              <w:jc w:val="both"/>
              <w:rPr>
                <w:rFonts w:ascii="Verdana" w:eastAsia="Calibri" w:hAnsi="Verdana" w:cs="Arial"/>
                <w:szCs w:val="20"/>
                <w:lang w:val="es-MX"/>
              </w:rPr>
            </w:pPr>
            <w:r w:rsidRPr="00512C7E">
              <w:rPr>
                <w:rFonts w:ascii="Verdana" w:eastAsia="Calibri" w:hAnsi="Verdana" w:cs="Arial"/>
                <w:szCs w:val="20"/>
                <w:lang w:val="es-MX"/>
              </w:rPr>
              <w:tab/>
              <w:t>Esta postura fue reiterada en el concepto C-609 de 2025, en el que se indicó que “la aptitud o idoneidad del proponente no se agota con la verificación de estos ítems, sino como en casos como el elevado en la consulta, existe además ciertos requisitos que de forma complementaría se deben cumplir, así el artículo 17 de la Ley 842 de 2003”. Recientemente, en el concepto C-012 de 2026, esta Agencia precisó que “el cumplimiento de esta obligación legal debe ser incorporado por la entidad contratante en su evaluación de la capacidad jurídica y organizacional de las ofertas” y que, para ello, “debe ser contenido de forma expresa en el pliego de condiciones”.</w:t>
            </w:r>
          </w:p>
          <w:p w14:paraId="32F3D4CB" w14:textId="77777777" w:rsidR="00512C7E" w:rsidRPr="00512C7E" w:rsidRDefault="00512C7E" w:rsidP="00512C7E">
            <w:pPr>
              <w:tabs>
                <w:tab w:val="left" w:pos="709"/>
                <w:tab w:val="left" w:pos="851"/>
              </w:tabs>
              <w:spacing w:after="120" w:line="276" w:lineRule="auto"/>
              <w:jc w:val="both"/>
              <w:rPr>
                <w:rFonts w:ascii="Verdana" w:eastAsia="Calibri" w:hAnsi="Verdana" w:cs="Arial"/>
                <w:szCs w:val="20"/>
                <w:lang w:val="es-MX"/>
              </w:rPr>
            </w:pPr>
            <w:r w:rsidRPr="00512C7E">
              <w:rPr>
                <w:rFonts w:ascii="Verdana" w:eastAsia="Calibri" w:hAnsi="Verdana" w:cs="Arial"/>
                <w:szCs w:val="20"/>
                <w:lang w:val="es-MX"/>
              </w:rPr>
              <w:tab/>
              <w:t>No obstante, esta posibilidad parte de la facultad que tiene la entidad estatal para configurar los requisitos habilitantes de su proceso, facultad que no existe en los procesos regidos por documentos tipo, pues, como se indicó, en estos los requisitos habilitantes se encuentran definidos de manera imperativa en el pliego de condiciones tipo y la entidad no puede adicionarlos ni modificarlos.</w:t>
            </w:r>
          </w:p>
          <w:p w14:paraId="4F374AC9" w14:textId="77777777" w:rsidR="00512C7E" w:rsidRPr="00512C7E" w:rsidRDefault="00512C7E" w:rsidP="00512C7E">
            <w:pPr>
              <w:tabs>
                <w:tab w:val="left" w:pos="709"/>
                <w:tab w:val="left" w:pos="851"/>
              </w:tabs>
              <w:spacing w:after="120" w:line="276" w:lineRule="auto"/>
              <w:jc w:val="both"/>
              <w:rPr>
                <w:rFonts w:ascii="Verdana" w:eastAsia="Calibri" w:hAnsi="Verdana" w:cs="Arial"/>
                <w:szCs w:val="20"/>
                <w:lang w:val="es-MX"/>
              </w:rPr>
            </w:pPr>
            <w:r w:rsidRPr="00512C7E">
              <w:rPr>
                <w:rFonts w:ascii="Verdana" w:eastAsia="Calibri" w:hAnsi="Verdana" w:cs="Arial"/>
                <w:szCs w:val="20"/>
                <w:lang w:val="es-MX"/>
              </w:rPr>
              <w:tab/>
              <w:t xml:space="preserve">A diferencia de la norma citada, y a modo de ejemplo, el artículo 20 de la misma ley sí tiene una exigencia y relación directa con las propuestas presentadas en los procesos de licitación pública, al exigir que aquellas presentadas en procesos cuyo objeto implique el desarrollo de las actividades catalogadas como ejercicio de la ingeniería, deben estar avaladas ‒o abonadas‒ por un ingeniero inscrito y con tarjeta de matrícula profesional en la respectiva rama de la ingeniería. Así, dicha obligación se refiere al </w:t>
            </w:r>
            <w:r w:rsidRPr="00512C7E">
              <w:rPr>
                <w:rFonts w:ascii="Verdana" w:eastAsia="Calibri" w:hAnsi="Verdana" w:cs="Arial"/>
                <w:szCs w:val="20"/>
                <w:lang w:val="es-MX"/>
              </w:rPr>
              <w:lastRenderedPageBreak/>
              <w:t>cumplimiento de un requisito impuesto por el legislador que deben cumplir los proponentes con la presentación de sus ofertas</w:t>
            </w:r>
            <w:r w:rsidRPr="00512C7E">
              <w:rPr>
                <w:rFonts w:ascii="Verdana" w:eastAsia="Calibri" w:hAnsi="Verdana" w:cs="Arial"/>
                <w:szCs w:val="20"/>
                <w:vertAlign w:val="superscript"/>
                <w:lang w:val="es-MX"/>
              </w:rPr>
              <w:footnoteReference w:id="2"/>
            </w:r>
            <w:r w:rsidRPr="00512C7E">
              <w:rPr>
                <w:rFonts w:ascii="Verdana" w:eastAsia="Calibri" w:hAnsi="Verdana" w:cs="Arial"/>
                <w:szCs w:val="20"/>
                <w:lang w:val="es-MX"/>
              </w:rPr>
              <w:t>. Por el contrario, retomando el artículo 17 analizado, debe tenerse en cuenta que el parágrafo de la disposición citada establece la consecuencia concreta frente al incumplimiento del deber legal establecido en dicho artículo. En efecto, dicho parágrafo prescribe una sanción concreta para el representante legal de la sociedad que incumpla el deber establecido en la disposición, al señalarse que “se aplicarán las sanciones previstas para el ejercicio ilegal de la profesión y oficio reglamentado”.</w:t>
            </w:r>
          </w:p>
          <w:p w14:paraId="173CCF19" w14:textId="77777777" w:rsidR="00512C7E" w:rsidRPr="00512C7E" w:rsidRDefault="00512C7E" w:rsidP="00512C7E">
            <w:pPr>
              <w:tabs>
                <w:tab w:val="left" w:pos="709"/>
                <w:tab w:val="left" w:pos="851"/>
              </w:tabs>
              <w:spacing w:after="120" w:line="276" w:lineRule="auto"/>
              <w:jc w:val="both"/>
              <w:rPr>
                <w:rFonts w:ascii="Verdana" w:eastAsia="Calibri" w:hAnsi="Verdana" w:cs="Arial"/>
                <w:szCs w:val="20"/>
                <w:lang w:val="es-MX"/>
              </w:rPr>
            </w:pPr>
            <w:r w:rsidRPr="00512C7E">
              <w:rPr>
                <w:rFonts w:ascii="Verdana" w:eastAsia="Calibri" w:hAnsi="Verdana" w:cs="Arial"/>
                <w:szCs w:val="20"/>
                <w:lang w:val="es-MX"/>
              </w:rPr>
              <w:tab/>
              <w:t>En tal sentido, la consecuencia aparejada al incumplimiento del deber establecido en el artículo 17 se dirige directamente a sancionar al representante legal de la sociedad. Por ello, en los procedimientos regidos por documentos tipo, la verificación de este deber como requisito habilitante solo procedería si el documento tipo lo hubiera previsto, lo cual no ocurre en los documentos tipo de licitación de obra pública adoptados por esta Agencia.</w:t>
            </w:r>
          </w:p>
          <w:p w14:paraId="12E1AFE7" w14:textId="77777777" w:rsidR="00512C7E" w:rsidRPr="00512C7E" w:rsidRDefault="00512C7E" w:rsidP="00512C7E">
            <w:pPr>
              <w:tabs>
                <w:tab w:val="left" w:pos="709"/>
                <w:tab w:val="left" w:pos="851"/>
              </w:tabs>
              <w:spacing w:after="120" w:line="276" w:lineRule="auto"/>
              <w:jc w:val="both"/>
              <w:rPr>
                <w:rFonts w:ascii="Verdana" w:eastAsia="Calibri" w:hAnsi="Verdana" w:cs="Arial"/>
                <w:szCs w:val="20"/>
                <w:lang w:val="es-MX"/>
              </w:rPr>
            </w:pPr>
            <w:r w:rsidRPr="00512C7E">
              <w:rPr>
                <w:rFonts w:ascii="Verdana" w:eastAsia="Calibri" w:hAnsi="Verdana" w:cs="Arial"/>
                <w:szCs w:val="20"/>
                <w:lang w:val="es-MX"/>
              </w:rPr>
              <w:tab/>
              <w:t xml:space="preserve">En armonía con lo anterior y como se enunció previamente, la obligación contenida en el artículo 17 de la Ley 842 de 2003 no se estableció como un requisito habilitante en los documentos tipo de licitación de obra pública adoptados por esta Agencia, y tampoco se exigió la acreditación de este requisito durante el procedimiento de selección en ningún lugar de los documentos tipo señalados. Sin embargo, ello no quiere decir que esta obligación desaparezca o no se deba cumplir, pues esta aplica por ministerio </w:t>
            </w:r>
            <w:r w:rsidRPr="00512C7E">
              <w:rPr>
                <w:rFonts w:ascii="Verdana" w:eastAsia="Calibri" w:hAnsi="Verdana" w:cs="Arial"/>
                <w:szCs w:val="20"/>
                <w:lang w:val="es-MX"/>
              </w:rPr>
              <w:lastRenderedPageBreak/>
              <w:t>de la ley, solo que no se vincula su contenido a alguna consecuencia jurídica frente a los procedimientos de selección que se rijan por los documentos tipo, sin perjuicio de las eventuales sanciones frente al representante legal de la sociedad que no acate su contenido.</w:t>
            </w:r>
          </w:p>
          <w:p w14:paraId="7725DEC5" w14:textId="77777777" w:rsidR="00512C7E" w:rsidRPr="00512C7E" w:rsidRDefault="00512C7E" w:rsidP="00512C7E">
            <w:pPr>
              <w:tabs>
                <w:tab w:val="left" w:pos="709"/>
                <w:tab w:val="left" w:pos="851"/>
              </w:tabs>
              <w:spacing w:after="120" w:line="276" w:lineRule="auto"/>
              <w:jc w:val="both"/>
              <w:rPr>
                <w:rFonts w:ascii="Verdana" w:eastAsia="Calibri" w:hAnsi="Verdana" w:cs="Arial"/>
                <w:szCs w:val="20"/>
                <w:lang w:val="es-MX"/>
              </w:rPr>
            </w:pPr>
            <w:r w:rsidRPr="00512C7E">
              <w:rPr>
                <w:rFonts w:ascii="Verdana" w:eastAsia="Calibri" w:hAnsi="Verdana" w:cs="Arial"/>
                <w:szCs w:val="20"/>
                <w:lang w:val="es-MX"/>
              </w:rPr>
              <w:tab/>
              <w:t>En efecto, el hecho de que el documento tipo no establezca todas las obligaciones legales que deben cumplir las personas naturales y jurídicas, no quiere decir que tales deberes desaparezcan, pues frente a su incumplimiento el ordenamiento jurídico establece sus consecuencias particulares. En otras palabras, las obligaciones legales tienen plena aplicación de acuerdo a su regulación concreta, sin que su ausencia en el documento tipo se pueda interpretar como una autorización para desconocer su exigibilidad, pues aplican por ministerio de la ley, pese a que no tengan una incidencia concreta en los procedimientos de selección regidos por documentos tipo.</w:t>
            </w:r>
          </w:p>
          <w:p w14:paraId="02E03211" w14:textId="77777777" w:rsidR="00512C7E" w:rsidRPr="00512C7E" w:rsidRDefault="00512C7E" w:rsidP="00512C7E">
            <w:pPr>
              <w:tabs>
                <w:tab w:val="left" w:pos="709"/>
                <w:tab w:val="left" w:pos="851"/>
              </w:tabs>
              <w:spacing w:line="276" w:lineRule="auto"/>
              <w:jc w:val="both"/>
              <w:rPr>
                <w:rFonts w:ascii="Verdana" w:eastAsia="Calibri" w:hAnsi="Verdana" w:cs="Arial"/>
                <w:szCs w:val="20"/>
                <w:lang w:val="es-MX"/>
              </w:rPr>
            </w:pPr>
            <w:r w:rsidRPr="00512C7E">
              <w:rPr>
                <w:rFonts w:ascii="Verdana" w:eastAsia="Calibri" w:hAnsi="Verdana" w:cs="Arial"/>
                <w:szCs w:val="20"/>
                <w:lang w:val="es-MX"/>
              </w:rPr>
              <w:tab/>
              <w:t>Se reitera la idea que se está desarrollando, en el sentido de que el documento tipo no estableció la exigencia de la acreditación, durante el procedimiento de selección, del cumplimiento de la obligación legal establecida en el artículo 17 de la Ley 842 de 2003. Además, dicho evento no se encuentra establecido como requisito habilitante y las entidades no pueden incluir nuevos requisitos habilitantes distintos a los establecidos en los documentos tipo, considerando la regla de la inalterabilidad que recae sobre estos documentos enunciada en el punto dos (</w:t>
            </w:r>
            <w:proofErr w:type="spellStart"/>
            <w:r w:rsidRPr="00512C7E">
              <w:rPr>
                <w:rFonts w:ascii="Verdana" w:eastAsia="Calibri" w:hAnsi="Verdana" w:cs="Arial"/>
                <w:szCs w:val="20"/>
                <w:lang w:val="es-MX"/>
              </w:rPr>
              <w:t>ii</w:t>
            </w:r>
            <w:proofErr w:type="spellEnd"/>
            <w:r w:rsidRPr="00512C7E">
              <w:rPr>
                <w:rFonts w:ascii="Verdana" w:eastAsia="Calibri" w:hAnsi="Verdana" w:cs="Arial"/>
                <w:szCs w:val="20"/>
                <w:lang w:val="es-MX"/>
              </w:rPr>
              <w:t>) de este concepto.</w:t>
            </w:r>
          </w:p>
          <w:p w14:paraId="6DED6B73" w14:textId="77777777" w:rsidR="00512C7E" w:rsidRPr="00512C7E" w:rsidRDefault="00512C7E" w:rsidP="00512C7E">
            <w:pPr>
              <w:spacing w:line="276" w:lineRule="auto"/>
              <w:jc w:val="both"/>
              <w:rPr>
                <w:rFonts w:ascii="Verdana" w:eastAsia="Aptos" w:hAnsi="Verdana" w:cs="Times New Roman"/>
                <w:lang w:val="es-MX"/>
              </w:rPr>
            </w:pPr>
          </w:p>
          <w:p w14:paraId="483FFA3D" w14:textId="77777777" w:rsidR="00512C7E" w:rsidRPr="00512C7E" w:rsidRDefault="00512C7E" w:rsidP="00512C7E">
            <w:pPr>
              <w:tabs>
                <w:tab w:val="left" w:pos="709"/>
              </w:tabs>
              <w:snapToGrid w:val="0"/>
              <w:spacing w:after="120" w:line="276" w:lineRule="auto"/>
              <w:jc w:val="both"/>
              <w:rPr>
                <w:rFonts w:ascii="Verdana" w:eastAsia="Calibri" w:hAnsi="Verdana" w:cs="Arial"/>
                <w:color w:val="000000"/>
                <w:lang w:val="es-ES"/>
              </w:rPr>
            </w:pPr>
            <w:r w:rsidRPr="00512C7E">
              <w:rPr>
                <w:rFonts w:ascii="Verdana" w:eastAsia="Calibri" w:hAnsi="Verdana" w:cs="Arial"/>
                <w:color w:val="000000"/>
                <w:lang w:val="es-ES"/>
              </w:rPr>
              <w:t>Finalmente, debe advertirse que, el análisis requerido para resolver problemas específicos en torno a la contratación de las entidades estatales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596FD04C" w14:textId="77777777" w:rsidR="00512C7E" w:rsidRPr="00512C7E" w:rsidRDefault="00512C7E" w:rsidP="00512C7E">
            <w:pPr>
              <w:tabs>
                <w:tab w:val="left" w:pos="709"/>
              </w:tabs>
              <w:snapToGrid w:val="0"/>
              <w:spacing w:line="276" w:lineRule="auto"/>
              <w:ind w:firstLine="709"/>
              <w:jc w:val="both"/>
              <w:rPr>
                <w:rFonts w:ascii="Verdana" w:eastAsia="Calibri" w:hAnsi="Verdana" w:cs="Arial"/>
                <w:color w:val="000000"/>
                <w:lang w:val="es-ES"/>
              </w:rPr>
            </w:pPr>
            <w:r w:rsidRPr="00512C7E">
              <w:rPr>
                <w:rFonts w:ascii="Verdana" w:eastAsia="Calibri" w:hAnsi="Verdana" w:cs="Arial"/>
                <w:color w:val="000000"/>
                <w:lang w:val="es-ES"/>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w:t>
            </w:r>
            <w:r w:rsidRPr="00512C7E">
              <w:rPr>
                <w:rFonts w:ascii="Verdana" w:eastAsia="Calibri" w:hAnsi="Verdana" w:cs="Arial"/>
                <w:color w:val="000000"/>
                <w:lang w:val="es-ES"/>
              </w:rPr>
              <w:lastRenderedPageBreak/>
              <w:t>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tc>
      </w:tr>
    </w:tbl>
    <w:p w14:paraId="04488471" w14:textId="77777777" w:rsidR="00512C7E" w:rsidRPr="00512C7E" w:rsidRDefault="00512C7E" w:rsidP="00512C7E">
      <w:pPr>
        <w:tabs>
          <w:tab w:val="left" w:pos="142"/>
          <w:tab w:val="left" w:pos="284"/>
        </w:tabs>
        <w:spacing w:after="0" w:line="276" w:lineRule="auto"/>
        <w:jc w:val="both"/>
        <w:rPr>
          <w:rFonts w:ascii="Verdana" w:eastAsia="Century Gothic" w:hAnsi="Verdana" w:cs="Century Gothic"/>
          <w:b/>
          <w:bCs/>
        </w:rPr>
      </w:pPr>
    </w:p>
    <w:p w14:paraId="6D0D8C69" w14:textId="77777777" w:rsidR="00512C7E" w:rsidRPr="00512C7E" w:rsidRDefault="00512C7E" w:rsidP="00512C7E">
      <w:pPr>
        <w:numPr>
          <w:ilvl w:val="0"/>
          <w:numId w:val="16"/>
        </w:numPr>
        <w:tabs>
          <w:tab w:val="left" w:pos="142"/>
          <w:tab w:val="left" w:pos="284"/>
        </w:tabs>
        <w:spacing w:after="0" w:line="276" w:lineRule="auto"/>
        <w:ind w:left="360"/>
        <w:jc w:val="both"/>
        <w:rPr>
          <w:rFonts w:ascii="Verdana" w:eastAsia="Century Gothic" w:hAnsi="Verdana" w:cs="Century Gothic"/>
          <w:b/>
          <w:bCs/>
        </w:rPr>
      </w:pPr>
      <w:r w:rsidRPr="00512C7E">
        <w:rPr>
          <w:rFonts w:ascii="Verdana" w:eastAsia="Century Gothic" w:hAnsi="Verdana" w:cs="Century Gothic"/>
          <w:b/>
          <w:bCs/>
        </w:rPr>
        <w:t>Razones de la respuesta:</w:t>
      </w:r>
    </w:p>
    <w:p w14:paraId="3BD07C2D" w14:textId="77777777" w:rsidR="00512C7E" w:rsidRPr="00512C7E" w:rsidRDefault="00512C7E" w:rsidP="00512C7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Verdana" w:eastAsia="Calibri" w:hAnsi="Verdana" w:cs="Helvetica"/>
          <w:color w:val="000000"/>
          <w:sz w:val="21"/>
          <w:szCs w:val="21"/>
        </w:rPr>
      </w:pPr>
    </w:p>
    <w:p w14:paraId="483890B5" w14:textId="77777777" w:rsidR="00512C7E" w:rsidRPr="00512C7E" w:rsidRDefault="00512C7E" w:rsidP="00512C7E">
      <w:pPr>
        <w:spacing w:after="0" w:line="276" w:lineRule="auto"/>
        <w:jc w:val="both"/>
        <w:rPr>
          <w:rFonts w:ascii="Verdana" w:eastAsia="Calibri" w:hAnsi="Verdana" w:cs="Arial"/>
        </w:rPr>
      </w:pPr>
      <w:r w:rsidRPr="00512C7E">
        <w:rPr>
          <w:rFonts w:ascii="Verdana" w:eastAsia="Calibri" w:hAnsi="Verdana" w:cs="Arial"/>
        </w:rPr>
        <w:t xml:space="preserve">Lo anterior se sustenta en las siguientes consideraciones: </w:t>
      </w:r>
    </w:p>
    <w:p w14:paraId="3D1438BC" w14:textId="77777777" w:rsidR="00512C7E" w:rsidRPr="00512C7E" w:rsidRDefault="00512C7E" w:rsidP="00512C7E">
      <w:pPr>
        <w:spacing w:after="0" w:line="276" w:lineRule="auto"/>
        <w:jc w:val="both"/>
        <w:rPr>
          <w:rFonts w:ascii="Verdana" w:eastAsia="Calibri" w:hAnsi="Verdana" w:cs="Arial"/>
        </w:rPr>
      </w:pPr>
    </w:p>
    <w:p w14:paraId="4BD15AFD" w14:textId="77777777" w:rsidR="00512C7E" w:rsidRPr="00512C7E" w:rsidRDefault="00512C7E" w:rsidP="00512C7E">
      <w:pPr>
        <w:spacing w:after="120"/>
        <w:jc w:val="both"/>
        <w:rPr>
          <w:rFonts w:ascii="Verdana" w:eastAsia="Aptos" w:hAnsi="Verdana" w:cs="ArialMT"/>
        </w:rPr>
      </w:pPr>
      <w:r w:rsidRPr="00512C7E">
        <w:rPr>
          <w:rFonts w:ascii="Verdana" w:eastAsia="Aptos" w:hAnsi="Verdana" w:cs="Arial"/>
        </w:rPr>
        <w:t xml:space="preserve">i. Los documentos tipo expedidos por la Agencia Nacional de Contratación Pública </w:t>
      </w:r>
      <w:r w:rsidRPr="00512C7E">
        <w:rPr>
          <w:rFonts w:ascii="Verdana" w:eastAsia="Aptos" w:hAnsi="Verdana" w:cs="ArialMT"/>
        </w:rPr>
        <w:t xml:space="preserve">– Colombia Compra Eficiente </w:t>
      </w:r>
      <w:r w:rsidRPr="00512C7E">
        <w:rPr>
          <w:rFonts w:ascii="Verdana" w:eastAsia="Aptos" w:hAnsi="Verdana" w:cs="Arial"/>
        </w:rPr>
        <w:t>en ejercicio de la potestad otorgada</w:t>
      </w:r>
      <w:r w:rsidRPr="00512C7E">
        <w:rPr>
          <w:rFonts w:ascii="Verdana" w:eastAsia="Aptos" w:hAnsi="Verdana" w:cs="ArialMT"/>
        </w:rPr>
        <w:t xml:space="preserve">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Así mismo, los sujetos obligados a su aplicación, no podrán variar los requisitos que en ellos sean fijados, ni establecer reglas o requisitos adicionales a los establecidos en estos para la presentación de las ofertas y la acreditación de los requisitos habilitantes.</w:t>
      </w:r>
    </w:p>
    <w:p w14:paraId="399C7BD2" w14:textId="77777777" w:rsidR="00512C7E" w:rsidRPr="00512C7E" w:rsidRDefault="00512C7E" w:rsidP="00512C7E">
      <w:pPr>
        <w:spacing w:after="120" w:line="276" w:lineRule="auto"/>
        <w:ind w:firstLine="708"/>
        <w:jc w:val="both"/>
        <w:rPr>
          <w:rFonts w:ascii="Verdana" w:eastAsia="Aptos" w:hAnsi="Verdana" w:cs="ArialMT"/>
        </w:rPr>
      </w:pPr>
      <w:r w:rsidRPr="00512C7E">
        <w:rPr>
          <w:rFonts w:ascii="Verdana" w:eastAsia="Aptos" w:hAnsi="Verdana" w:cs="ArialMT"/>
        </w:rPr>
        <w:t>La Agencia Nacional de Contratación Pública – Colombia Compra Eficiente expidió documentos tipo para los sectores de infraestructura de transporte, agua potable y saneamiento básico y social. Asimismo, esta Agencia expidió los documentos tipo de gestión catastral con enfoque multipropósito y para la contratación directa de convenios solidarios para la ejecución de obras hasta la menor cuantía con organismos de acción comunal</w:t>
      </w:r>
      <w:r w:rsidRPr="00512C7E">
        <w:rPr>
          <w:rFonts w:ascii="Verdana" w:eastAsia="Calibri" w:hAnsi="Verdana" w:cs="Times New Roman"/>
          <w:vertAlign w:val="superscript"/>
        </w:rPr>
        <w:footnoteReference w:id="3"/>
      </w:r>
      <w:r w:rsidRPr="00512C7E">
        <w:rPr>
          <w:rFonts w:ascii="Verdana" w:eastAsia="Aptos" w:hAnsi="Verdana" w:cs="ArialMT"/>
        </w:rPr>
        <w:t xml:space="preserve">. </w:t>
      </w:r>
    </w:p>
    <w:p w14:paraId="4346EDF2" w14:textId="77777777" w:rsidR="00512C7E" w:rsidRPr="00512C7E" w:rsidRDefault="00512C7E" w:rsidP="00512C7E">
      <w:pPr>
        <w:spacing w:after="120" w:line="276" w:lineRule="auto"/>
        <w:ind w:firstLine="708"/>
        <w:jc w:val="both"/>
        <w:rPr>
          <w:rFonts w:ascii="Verdana" w:eastAsia="Aptos" w:hAnsi="Verdana" w:cs="ArialMT"/>
        </w:rPr>
      </w:pPr>
      <w:r w:rsidRPr="00512C7E">
        <w:rPr>
          <w:rFonts w:ascii="Verdana" w:eastAsia="Aptos" w:hAnsi="Verdana" w:cs="ArialMT"/>
        </w:rPr>
        <w:t>Considerando que en su solicitud se indaga sobre los documentos tipo adoptados por esta Agencia en la modalidad de selección de licitación pública. Sobre el particular le indicamos que esta Agencia en la modalidad señalada acogió los siguientes documentos tipo que se encuentran vigentes:</w:t>
      </w:r>
    </w:p>
    <w:p w14:paraId="132341C5" w14:textId="77777777" w:rsidR="00512C7E" w:rsidRPr="00512C7E" w:rsidRDefault="00512C7E" w:rsidP="00512C7E">
      <w:pPr>
        <w:spacing w:after="120" w:line="276" w:lineRule="auto"/>
        <w:ind w:firstLine="708"/>
        <w:jc w:val="both"/>
        <w:rPr>
          <w:rFonts w:ascii="Verdana" w:eastAsia="Aptos" w:hAnsi="Verdana" w:cs="Arial"/>
          <w:kern w:val="2"/>
          <w14:ligatures w14:val="standardContextual"/>
        </w:rPr>
      </w:pPr>
      <w:r w:rsidRPr="00512C7E">
        <w:rPr>
          <w:rFonts w:ascii="Verdana" w:eastAsia="Aptos" w:hAnsi="Verdana" w:cs="Arial"/>
          <w:kern w:val="2"/>
          <w14:ligatures w14:val="standardContextual"/>
        </w:rPr>
        <w:t>i. Sector de Infraestructura de Transporte:</w:t>
      </w:r>
    </w:p>
    <w:p w14:paraId="4A9EE8C6" w14:textId="77777777" w:rsidR="00512C7E" w:rsidRPr="00512C7E" w:rsidRDefault="00512C7E" w:rsidP="00512C7E">
      <w:pPr>
        <w:spacing w:after="120" w:line="276" w:lineRule="auto"/>
        <w:ind w:firstLine="708"/>
        <w:jc w:val="both"/>
        <w:rPr>
          <w:rFonts w:ascii="Verdana" w:eastAsia="Aptos" w:hAnsi="Verdana" w:cs="Arial"/>
          <w:kern w:val="2"/>
          <w14:ligatures w14:val="standardContextual"/>
        </w:rPr>
      </w:pPr>
      <w:r w:rsidRPr="00512C7E">
        <w:rPr>
          <w:rFonts w:ascii="Verdana" w:eastAsia="Aptos" w:hAnsi="Verdana" w:cs="Arial"/>
          <w:kern w:val="2"/>
          <w14:ligatures w14:val="standardContextual"/>
        </w:rPr>
        <w:t xml:space="preserve">Resolución 456 del 10 de septiembre de 2024: “Por la cual se adopta la versión 4 de los documentos tipo para los procesos de selección de licitación de </w:t>
      </w:r>
      <w:r w:rsidRPr="00512C7E">
        <w:rPr>
          <w:rFonts w:ascii="Verdana" w:eastAsia="Aptos" w:hAnsi="Verdana" w:cs="Arial"/>
          <w:kern w:val="2"/>
          <w14:ligatures w14:val="standardContextual"/>
        </w:rPr>
        <w:lastRenderedPageBreak/>
        <w:t xml:space="preserve">obra pública de infraestructura de transporte y se deroga la Resolución 240 de 2020”. Fecha de entrada en vigencia: </w:t>
      </w:r>
      <w:r w:rsidRPr="00512C7E">
        <w:rPr>
          <w:rFonts w:ascii="Verdana" w:eastAsia="Aptos" w:hAnsi="Verdana" w:cs="Times New Roman"/>
          <w:kern w:val="2"/>
          <w14:ligatures w14:val="standardContextual"/>
        </w:rPr>
        <w:t>Aviso de convocatoria a partir del 3 de febrero de 2025.</w:t>
      </w:r>
    </w:p>
    <w:p w14:paraId="4D54D556" w14:textId="77777777" w:rsidR="00512C7E" w:rsidRPr="00512C7E" w:rsidRDefault="00512C7E" w:rsidP="00512C7E">
      <w:pPr>
        <w:spacing w:after="120" w:line="276" w:lineRule="auto"/>
        <w:ind w:firstLine="708"/>
        <w:jc w:val="both"/>
        <w:rPr>
          <w:rFonts w:ascii="Verdana" w:eastAsia="Aptos" w:hAnsi="Verdana" w:cs="Arial"/>
          <w:kern w:val="2"/>
          <w14:ligatures w14:val="standardContextual"/>
        </w:rPr>
      </w:pPr>
      <w:proofErr w:type="spellStart"/>
      <w:r w:rsidRPr="00512C7E">
        <w:rPr>
          <w:rFonts w:ascii="Verdana" w:eastAsia="Aptos" w:hAnsi="Verdana" w:cs="Arial"/>
          <w:kern w:val="2"/>
          <w14:ligatures w14:val="standardContextual"/>
        </w:rPr>
        <w:t>ii</w:t>
      </w:r>
      <w:proofErr w:type="spellEnd"/>
      <w:r w:rsidRPr="00512C7E">
        <w:rPr>
          <w:rFonts w:ascii="Verdana" w:eastAsia="Aptos" w:hAnsi="Verdana" w:cs="Arial"/>
          <w:kern w:val="2"/>
          <w14:ligatures w14:val="standardContextual"/>
        </w:rPr>
        <w:t>. Sector de Infraestructura de Agua Potable y Saneamiento Básico:</w:t>
      </w:r>
    </w:p>
    <w:p w14:paraId="4A89232D" w14:textId="77777777" w:rsidR="00512C7E" w:rsidRPr="00512C7E" w:rsidRDefault="00512C7E" w:rsidP="00512C7E">
      <w:pPr>
        <w:spacing w:after="120" w:line="276" w:lineRule="auto"/>
        <w:ind w:firstLine="708"/>
        <w:jc w:val="both"/>
        <w:rPr>
          <w:rFonts w:ascii="Verdana" w:eastAsia="Aptos" w:hAnsi="Verdana" w:cs="Arial"/>
          <w:kern w:val="2"/>
          <w14:ligatures w14:val="standardContextual"/>
        </w:rPr>
      </w:pPr>
      <w:r w:rsidRPr="00512C7E">
        <w:rPr>
          <w:rFonts w:ascii="Verdana" w:eastAsia="Aptos" w:hAnsi="Verdana" w:cs="Arial"/>
          <w:kern w:val="2"/>
          <w14:ligatures w14:val="standardContextual"/>
        </w:rPr>
        <w:t xml:space="preserve">Resolución 248 del 1 de diciembre de 2020: "Por la cual se adoptan los documentos tipo para los procesos de licitación pública para obras de infraestructura de agua potable y saneamiento básico". Fecha de entrada en vigencia: </w:t>
      </w:r>
      <w:r w:rsidRPr="00512C7E">
        <w:rPr>
          <w:rFonts w:ascii="Verdana" w:eastAsia="Aptos" w:hAnsi="Verdana" w:cs="Times New Roman"/>
          <w:kern w:val="2"/>
          <w14:ligatures w14:val="standardContextual"/>
        </w:rPr>
        <w:t>Aviso de convocatoria a partir del 11 de diciembre de 2020.</w:t>
      </w:r>
    </w:p>
    <w:p w14:paraId="0A175483" w14:textId="77777777" w:rsidR="00512C7E" w:rsidRPr="00512C7E" w:rsidRDefault="00512C7E" w:rsidP="00512C7E">
      <w:pPr>
        <w:spacing w:after="120" w:line="276" w:lineRule="auto"/>
        <w:ind w:firstLine="708"/>
        <w:jc w:val="both"/>
        <w:rPr>
          <w:rFonts w:ascii="Verdana" w:eastAsia="Aptos" w:hAnsi="Verdana" w:cs="Times New Roman"/>
          <w:kern w:val="2"/>
          <w14:ligatures w14:val="standardContextual"/>
        </w:rPr>
      </w:pPr>
      <w:r w:rsidRPr="00512C7E">
        <w:rPr>
          <w:rFonts w:ascii="Verdana" w:eastAsia="Aptos" w:hAnsi="Verdana" w:cs="Arial"/>
          <w:kern w:val="2"/>
          <w14:ligatures w14:val="standardContextual"/>
        </w:rPr>
        <w:t xml:space="preserve"> Resolución 249 del 1 de diciembre de 2020: “"Por la cual se adoptan los documentos tipo para los procesos de licitación pública para obras de infraestructura de agua potable y saneamiento básico en la modalidad de llave en mano". Fecha de entrada en vigencia: </w:t>
      </w:r>
      <w:r w:rsidRPr="00512C7E">
        <w:rPr>
          <w:rFonts w:ascii="Verdana" w:eastAsia="Aptos" w:hAnsi="Verdana" w:cs="Times New Roman"/>
          <w:kern w:val="2"/>
          <w14:ligatures w14:val="standardContextual"/>
        </w:rPr>
        <w:t>Aviso de convocatoria a partir del 11 de diciembre de 2020.</w:t>
      </w:r>
    </w:p>
    <w:p w14:paraId="3C11CCEE" w14:textId="77777777" w:rsidR="00512C7E" w:rsidRPr="00512C7E" w:rsidRDefault="00512C7E" w:rsidP="00512C7E">
      <w:pPr>
        <w:spacing w:after="120" w:line="276" w:lineRule="auto"/>
        <w:ind w:firstLine="708"/>
        <w:jc w:val="both"/>
        <w:rPr>
          <w:rFonts w:ascii="Verdana" w:eastAsia="Aptos" w:hAnsi="Verdana" w:cs="Arial"/>
          <w:kern w:val="2"/>
          <w14:ligatures w14:val="standardContextual"/>
        </w:rPr>
      </w:pPr>
      <w:r w:rsidRPr="00512C7E">
        <w:rPr>
          <w:rFonts w:ascii="Verdana" w:eastAsia="Aptos" w:hAnsi="Verdana" w:cs="Arial"/>
          <w:kern w:val="2"/>
          <w14:ligatures w14:val="standardContextual"/>
        </w:rPr>
        <w:t>Resolución 546 del 14 de septiembre de 2026, “</w:t>
      </w:r>
      <w:r w:rsidRPr="00512C7E">
        <w:rPr>
          <w:rFonts w:ascii="Verdana" w:eastAsia="Aptos" w:hAnsi="Verdana" w:cs="Times New Roman"/>
          <w:kern w:val="2"/>
          <w14:ligatures w14:val="standardContextual"/>
        </w:rPr>
        <w:t>Por la cual se adopta la versión -2- de los documentos tipo para los procesos de contratación de infraestructura de agua, saneamiento básico y estructuras hidráulicas que se adelantan por la modalidad de licitación pública o licitación pública bajo el esquema llave en mano; y se derogan las Resoluciones 248 de 2020 y 249 de 2020"</w:t>
      </w:r>
      <w:r w:rsidRPr="00512C7E">
        <w:rPr>
          <w:rFonts w:ascii="Verdana" w:eastAsia="Aptos" w:hAnsi="Verdana" w:cs="Arial"/>
          <w:kern w:val="2"/>
          <w14:ligatures w14:val="standardContextual"/>
        </w:rPr>
        <w:t xml:space="preserve">”. De acuerdo con el artículo 8 “vigencia” de la citada Resolución, estos rigen “(…) </w:t>
      </w:r>
      <w:r w:rsidRPr="00512C7E">
        <w:rPr>
          <w:rFonts w:ascii="Verdana" w:eastAsia="Aptos" w:hAnsi="Verdana" w:cs="Times New Roman"/>
          <w:kern w:val="2"/>
          <w14:ligatures w14:val="standardContextual"/>
        </w:rPr>
        <w:t>a partir de su publicación y aplicará a los procedimientos de selección de infraestructura de agua, saneamiento básico y estructuras hidráulicas que se adelantan por la modalidad de licitación pública o licitación pública bajo el esquema llave en mano, cuyo aviso de convocatoria sea publicado a partir del 01 de marzo de 2027.</w:t>
      </w:r>
    </w:p>
    <w:p w14:paraId="11EF87CD" w14:textId="77777777" w:rsidR="00512C7E" w:rsidRPr="00512C7E" w:rsidRDefault="00512C7E" w:rsidP="00512C7E">
      <w:pPr>
        <w:spacing w:after="120" w:line="276" w:lineRule="auto"/>
        <w:ind w:firstLine="708"/>
        <w:jc w:val="both"/>
        <w:rPr>
          <w:rFonts w:ascii="Verdana" w:eastAsia="Aptos" w:hAnsi="Verdana" w:cs="Arial"/>
          <w:kern w:val="2"/>
          <w14:ligatures w14:val="standardContextual"/>
        </w:rPr>
      </w:pPr>
      <w:proofErr w:type="spellStart"/>
      <w:r w:rsidRPr="00512C7E">
        <w:rPr>
          <w:rFonts w:ascii="Verdana" w:eastAsia="Aptos" w:hAnsi="Verdana" w:cs="Arial"/>
          <w:kern w:val="2"/>
          <w14:ligatures w14:val="standardContextual"/>
        </w:rPr>
        <w:t>iii</w:t>
      </w:r>
      <w:proofErr w:type="spellEnd"/>
      <w:r w:rsidRPr="00512C7E">
        <w:rPr>
          <w:rFonts w:ascii="Verdana" w:eastAsia="Aptos" w:hAnsi="Verdana" w:cs="Arial"/>
          <w:kern w:val="2"/>
          <w14:ligatures w14:val="standardContextual"/>
        </w:rPr>
        <w:t xml:space="preserve">. Sector de Infraestructura Social: </w:t>
      </w:r>
    </w:p>
    <w:p w14:paraId="2D3985EF" w14:textId="77777777" w:rsidR="00512C7E" w:rsidRPr="00512C7E" w:rsidRDefault="00512C7E" w:rsidP="00512C7E">
      <w:pPr>
        <w:spacing w:after="0" w:line="276" w:lineRule="auto"/>
        <w:ind w:firstLine="708"/>
        <w:jc w:val="both"/>
        <w:rPr>
          <w:rFonts w:ascii="Verdana" w:eastAsia="Aptos" w:hAnsi="Verdana" w:cs="Arial"/>
          <w:kern w:val="2"/>
          <w14:ligatures w14:val="standardContextual"/>
        </w:rPr>
      </w:pPr>
      <w:r w:rsidRPr="00512C7E">
        <w:rPr>
          <w:rFonts w:ascii="Verdana" w:eastAsia="Aptos" w:hAnsi="Verdana" w:cs="Arial"/>
          <w:kern w:val="2"/>
          <w14:ligatures w14:val="standardContextual"/>
        </w:rPr>
        <w:t xml:space="preserve">i) Resolución 539 del 21 de agosto de 2015 "Por la cual se adopta la versión -2- de los documentos tipo para los procesos de selección de licitación de obra pública del sector de infraestructura social y se deroga la Resolución 219 de 2021; se adoptan los documentos tipo complementarios para los procesos de licitación de obra pública de infraestructura social relacionados con los sectores de educación, salud, cultura, recreación y deporte - versión 2 y se derogan las Resoluciones 220, 392 у 454 de 2021; y se adoptan los documentos tipo complementarios para los procesos de licitación de obra pública de infraestructura social relacionados con los sectores institucional y vivienda". </w:t>
      </w:r>
      <w:r w:rsidRPr="00512C7E">
        <w:rPr>
          <w:rFonts w:ascii="Verdana" w:eastAsia="Aptos" w:hAnsi="Verdana" w:cs="Arial"/>
          <w:kern w:val="2"/>
          <w14:ligatures w14:val="standardContextual"/>
        </w:rPr>
        <w:lastRenderedPageBreak/>
        <w:t xml:space="preserve">Fecha de entrada en vigencia: </w:t>
      </w:r>
      <w:r w:rsidRPr="00512C7E">
        <w:rPr>
          <w:rFonts w:ascii="Verdana" w:eastAsia="Aptos" w:hAnsi="Verdana" w:cs="Times New Roman"/>
          <w:kern w:val="2"/>
          <w14:ligatures w14:val="standardContextual"/>
        </w:rPr>
        <w:t>Aviso de convocatoria a partir del 16 de febrero de 2026.</w:t>
      </w:r>
    </w:p>
    <w:p w14:paraId="12D40016" w14:textId="77777777" w:rsidR="00512C7E" w:rsidRPr="00512C7E" w:rsidRDefault="00512C7E" w:rsidP="00512C7E">
      <w:pPr>
        <w:spacing w:after="0" w:line="276" w:lineRule="auto"/>
        <w:ind w:firstLine="708"/>
        <w:jc w:val="both"/>
        <w:rPr>
          <w:rFonts w:ascii="Verdana" w:eastAsia="Aptos" w:hAnsi="Verdana" w:cs="Arial"/>
          <w:kern w:val="2"/>
          <w:sz w:val="24"/>
          <w:szCs w:val="24"/>
          <w14:ligatures w14:val="standardContextual"/>
        </w:rPr>
      </w:pPr>
    </w:p>
    <w:p w14:paraId="6A1412CC" w14:textId="77777777" w:rsidR="00512C7E" w:rsidRPr="00512C7E" w:rsidRDefault="00512C7E" w:rsidP="00512C7E">
      <w:pPr>
        <w:spacing w:after="0" w:line="276" w:lineRule="auto"/>
        <w:jc w:val="both"/>
        <w:rPr>
          <w:rFonts w:ascii="Verdana" w:eastAsia="Calibri" w:hAnsi="Verdana" w:cs="Arial"/>
          <w:color w:val="000000"/>
          <w:kern w:val="2"/>
          <w:lang w:val="es-ES_tradnl"/>
          <w14:ligatures w14:val="standardContextual"/>
        </w:rPr>
      </w:pPr>
      <w:proofErr w:type="spellStart"/>
      <w:r w:rsidRPr="00512C7E">
        <w:rPr>
          <w:rFonts w:ascii="Verdana" w:eastAsia="Calibri" w:hAnsi="Verdana" w:cs="Times New Roman"/>
          <w:lang w:val="es-ES" w:eastAsia="es-MX"/>
        </w:rPr>
        <w:t>iii</w:t>
      </w:r>
      <w:proofErr w:type="spellEnd"/>
      <w:r w:rsidRPr="00512C7E">
        <w:rPr>
          <w:rFonts w:ascii="Verdana" w:eastAsia="Calibri" w:hAnsi="Verdana" w:cs="Times New Roman"/>
          <w:lang w:val="es-ES" w:eastAsia="es-MX"/>
        </w:rPr>
        <w:t xml:space="preserve">. </w:t>
      </w:r>
      <w:r w:rsidRPr="00512C7E">
        <w:rPr>
          <w:rFonts w:ascii="Verdana" w:eastAsia="Calibri" w:hAnsi="Verdana" w:cs="Arial"/>
          <w:color w:val="000000"/>
          <w:kern w:val="2"/>
          <w:lang w:val="es-ES_tradnl"/>
          <w14:ligatures w14:val="standardContextual"/>
        </w:rPr>
        <w:t>Todas las resoluciones</w:t>
      </w:r>
      <w:r w:rsidRPr="00512C7E">
        <w:rPr>
          <w:rFonts w:ascii="Verdana" w:eastAsia="Calibri" w:hAnsi="Verdana" w:cs="Arial"/>
          <w:color w:val="000000"/>
          <w:kern w:val="2"/>
          <w:vertAlign w:val="superscript"/>
          <w:lang w:val="es-ES_tradnl"/>
          <w14:ligatures w14:val="standardContextual"/>
        </w:rPr>
        <w:footnoteReference w:id="4"/>
      </w:r>
      <w:r w:rsidRPr="00512C7E">
        <w:rPr>
          <w:rFonts w:ascii="Verdana" w:eastAsia="Calibri" w:hAnsi="Verdana" w:cs="Arial"/>
          <w:color w:val="000000"/>
          <w:kern w:val="2"/>
          <w:lang w:val="es-ES_tradnl"/>
          <w14:ligatures w14:val="standardContextual"/>
        </w:rPr>
        <w:t xml:space="preserve"> expedidas por la Agencia Nacional de Contratación Pública – Colombia Compra Eficiente, mediante las cuales se han adoptado los documentos tipo, consagran la regla de la inalterabilidad. Esta prohibición consiste en que las entidades estatales no pueden incluir o modificar en los </w:t>
      </w:r>
      <w:r w:rsidRPr="00512C7E">
        <w:rPr>
          <w:rFonts w:ascii="Verdana" w:eastAsia="Calibri" w:hAnsi="Verdana" w:cs="Arial"/>
          <w:i/>
          <w:iCs/>
          <w:color w:val="000000"/>
          <w:kern w:val="2"/>
          <w:lang w:val="es-ES_tradnl"/>
          <w14:ligatures w14:val="standardContextual"/>
        </w:rPr>
        <w:t>Documentos del Proceso</w:t>
      </w:r>
      <w:r w:rsidRPr="00512C7E">
        <w:rPr>
          <w:rFonts w:ascii="Verdana" w:eastAsia="Calibri" w:hAnsi="Verdana" w:cs="Arial"/>
          <w:color w:val="000000"/>
          <w:kern w:val="2"/>
          <w:lang w:val="es-ES_tradnl"/>
          <w14:ligatures w14:val="standardContextual"/>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1F220EE7" w14:textId="77777777" w:rsidR="00512C7E" w:rsidRPr="00512C7E" w:rsidRDefault="00512C7E" w:rsidP="00512C7E">
      <w:pPr>
        <w:spacing w:before="120" w:after="120" w:line="276" w:lineRule="auto"/>
        <w:ind w:firstLine="709"/>
        <w:jc w:val="both"/>
        <w:rPr>
          <w:rFonts w:ascii="Verdana" w:eastAsia="Calibri" w:hAnsi="Verdana" w:cs="Arial"/>
          <w:kern w:val="2"/>
          <w:lang w:val="es-ES_tradnl"/>
          <w14:ligatures w14:val="standardContextual"/>
        </w:rPr>
      </w:pPr>
      <w:r w:rsidRPr="00512C7E">
        <w:rPr>
          <w:rFonts w:ascii="Verdana" w:eastAsia="Calibri" w:hAnsi="Verdana" w:cs="Arial"/>
          <w:kern w:val="2"/>
          <w:lang w:val="es-ES_tradnl"/>
          <w14:ligatures w14:val="standardContextual"/>
        </w:rPr>
        <w:t xml:space="preserve">El fundamento legal vigente de la regla de la inalterabilidad está en el artículo 1 de la Ley 2022 de 2020, según el cual “(…) serán de obligatorio cumplimiento en la actividad contractual de todas las entidades sometidas al Estatuto General de Contratación de la Administración Pública”. Pero eso no significa que antes no rigiera, pues así también lo disponía el artículo 4 de la Ley 1882 de 2018. Por vía reglamentaria, también quedó consignado en su momento el carácter inmodificable de los pliegos tipo en el artículo 1 de los Decretos 342 de 2019, Decreto 2096 de 2019 y 594 de 2020, que adicionaron, respectivamente, los artículos 2.2.1.2.6.1.4, 2.2.1.2.6.2.3 y 2.2.1.2.6.3.4 al Decreto 1082 de 2015. En esta línea, las entidades públicas deberán sujetarse de forma irrestricta a las reglas establecidas en los documentos tipo, dispuestas en las diferentes resoluciones expedidas por la Agencia, por lo que no pueden hacer excepciones bajo una supuesta discrecionalidad a estas reglas que son obligatorias.  </w:t>
      </w:r>
    </w:p>
    <w:p w14:paraId="78A271E1" w14:textId="77777777" w:rsidR="00512C7E" w:rsidRPr="00512C7E" w:rsidRDefault="00512C7E" w:rsidP="00512C7E">
      <w:pPr>
        <w:spacing w:before="120" w:after="120" w:line="276" w:lineRule="auto"/>
        <w:ind w:firstLine="709"/>
        <w:jc w:val="both"/>
        <w:rPr>
          <w:rFonts w:ascii="Verdana" w:eastAsia="Calibri" w:hAnsi="Verdana" w:cs="Arial"/>
          <w:kern w:val="2"/>
          <w:lang w:val="es-ES_tradnl"/>
          <w14:ligatures w14:val="standardContextual"/>
        </w:rPr>
      </w:pPr>
      <w:r w:rsidRPr="00512C7E">
        <w:rPr>
          <w:rFonts w:ascii="Verdana" w:eastAsia="Calibri" w:hAnsi="Verdana" w:cs="Arial"/>
          <w:kern w:val="2"/>
          <w:lang w:val="es-ES_tradnl"/>
          <w14:ligatures w14:val="standardContextual"/>
        </w:rPr>
        <w:lastRenderedPageBreak/>
        <w:t>La inalterabilidad de los documentos tipo es una manifestación en mayor grado de las potestades regladas, lo cual implica una reducción de la discrecionalidad de la Administración en el momento de tomar una decisión en el proceso de contratación</w:t>
      </w:r>
      <w:r w:rsidRPr="00512C7E">
        <w:rPr>
          <w:rFonts w:ascii="Verdana" w:eastAsia="Calibri" w:hAnsi="Verdana" w:cs="Arial"/>
          <w:kern w:val="2"/>
          <w:vertAlign w:val="superscript"/>
          <w:lang w:val="es-ES_tradnl"/>
          <w14:ligatures w14:val="standardContextual"/>
        </w:rPr>
        <w:footnoteReference w:id="5"/>
      </w:r>
      <w:r w:rsidRPr="00512C7E">
        <w:rPr>
          <w:rFonts w:ascii="Verdana" w:eastAsia="Calibri" w:hAnsi="Verdana" w:cs="Arial"/>
          <w:kern w:val="2"/>
          <w:lang w:val="es-ES_tradnl"/>
          <w14:ligatures w14:val="standardContextual"/>
        </w:rPr>
        <w:t xml:space="preserve">. Cada entidad pública sujeta a los documentos tipo deberá hacer una aplicación o constatación irrestricta de las reglas y condiciones dispuestas en estos, salvo que las mismas posibilitan la discrecionalidad en determinados aspectos. </w:t>
      </w:r>
    </w:p>
    <w:p w14:paraId="0AF7CD43" w14:textId="77777777" w:rsidR="00512C7E" w:rsidRPr="00512C7E" w:rsidRDefault="00512C7E" w:rsidP="00512C7E">
      <w:pPr>
        <w:spacing w:before="120" w:after="120" w:line="276" w:lineRule="auto"/>
        <w:ind w:firstLine="709"/>
        <w:jc w:val="both"/>
        <w:rPr>
          <w:rFonts w:ascii="Verdana" w:eastAsia="Calibri" w:hAnsi="Verdana" w:cs="Arial"/>
          <w:kern w:val="2"/>
          <w:lang w:val="es-ES"/>
          <w14:ligatures w14:val="standardContextual"/>
        </w:rPr>
      </w:pPr>
      <w:r w:rsidRPr="00512C7E">
        <w:rPr>
          <w:rFonts w:ascii="Verdana" w:eastAsia="Calibri" w:hAnsi="Verdana" w:cs="Arial"/>
          <w:kern w:val="2"/>
          <w:lang w:val="es-ES"/>
          <w14:ligatures w14:val="standardContextual"/>
        </w:rPr>
        <w:t xml:space="preserve">Además, las entidades estatales deben garantizar el </w:t>
      </w:r>
      <w:r w:rsidRPr="00512C7E">
        <w:rPr>
          <w:rFonts w:ascii="Verdana" w:eastAsia="Calibri" w:hAnsi="Verdana" w:cs="Arial"/>
          <w:i/>
          <w:iCs/>
          <w:kern w:val="2"/>
          <w:lang w:val="es-ES"/>
          <w14:ligatures w14:val="standardContextual"/>
        </w:rPr>
        <w:t>principio de economía</w:t>
      </w:r>
      <w:r w:rsidRPr="00512C7E">
        <w:rPr>
          <w:rFonts w:ascii="Verdana" w:eastAsia="Calibri" w:hAnsi="Verdana" w:cs="Arial"/>
          <w:kern w:val="2"/>
          <w:lang w:val="es-ES"/>
          <w14:ligatures w14:val="standardContextual"/>
        </w:rPr>
        <w:t>, del cual se desprende que no pueden exigir documentos o requisitos más allá de los que permitan la Constitución, la ley y los reglamentos. Este postulado ha sido recogido no solo en la contratación estatal</w:t>
      </w:r>
      <w:r w:rsidRPr="00512C7E">
        <w:rPr>
          <w:rFonts w:ascii="Verdana" w:eastAsia="Calibri" w:hAnsi="Verdana" w:cs="Arial"/>
          <w:kern w:val="2"/>
          <w:vertAlign w:val="superscript"/>
          <w:lang w:val="es-ES"/>
          <w14:ligatures w14:val="standardContextual"/>
        </w:rPr>
        <w:footnoteReference w:id="6"/>
      </w:r>
      <w:r w:rsidRPr="00512C7E">
        <w:rPr>
          <w:rFonts w:ascii="Verdana" w:eastAsia="Calibri" w:hAnsi="Verdana" w:cs="Arial"/>
          <w:kern w:val="2"/>
          <w:lang w:val="es-ES"/>
          <w14:ligatures w14:val="standardContextual"/>
        </w:rPr>
        <w:t xml:space="preserve"> sino además en la normativa </w:t>
      </w:r>
      <w:proofErr w:type="spellStart"/>
      <w:r w:rsidRPr="00512C7E">
        <w:rPr>
          <w:rFonts w:ascii="Verdana" w:eastAsia="Calibri" w:hAnsi="Verdana" w:cs="Arial"/>
          <w:kern w:val="2"/>
          <w:lang w:val="es-ES"/>
          <w14:ligatures w14:val="standardContextual"/>
        </w:rPr>
        <w:t>antitrámites</w:t>
      </w:r>
      <w:proofErr w:type="spellEnd"/>
      <w:r w:rsidRPr="00512C7E">
        <w:rPr>
          <w:rFonts w:ascii="Verdana" w:eastAsia="Calibri" w:hAnsi="Verdana" w:cs="Arial"/>
          <w:kern w:val="2"/>
          <w:vertAlign w:val="superscript"/>
          <w:lang w:val="es-ES"/>
          <w14:ligatures w14:val="standardContextual"/>
        </w:rPr>
        <w:footnoteReference w:id="7"/>
      </w:r>
      <w:r w:rsidRPr="00512C7E">
        <w:rPr>
          <w:rFonts w:ascii="Verdana" w:eastAsia="Calibri" w:hAnsi="Verdana" w:cs="Arial"/>
          <w:kern w:val="2"/>
          <w:lang w:val="es-ES"/>
          <w14:ligatures w14:val="standardContextual"/>
        </w:rPr>
        <w:t>; pues se inscribe dentro de la tendencia de simplificación y racionalización de los procedimientos administrativos. De ahí que cuando las autoridades solicitan la entrega de documentación innecesaria, desconocen el principio de economía.</w:t>
      </w:r>
    </w:p>
    <w:p w14:paraId="5F8A34DE" w14:textId="77777777" w:rsidR="00512C7E" w:rsidRPr="00512C7E" w:rsidRDefault="00512C7E" w:rsidP="00512C7E">
      <w:pPr>
        <w:spacing w:after="120" w:line="276" w:lineRule="auto"/>
        <w:ind w:firstLine="708"/>
        <w:jc w:val="both"/>
        <w:rPr>
          <w:rFonts w:ascii="Verdana" w:eastAsia="Calibri" w:hAnsi="Verdana" w:cs="Arial"/>
          <w:color w:val="000000"/>
          <w:kern w:val="2"/>
          <w:lang w:val="es-ES"/>
          <w14:ligatures w14:val="standardContextual"/>
        </w:rPr>
      </w:pPr>
      <w:r w:rsidRPr="00512C7E">
        <w:rPr>
          <w:rFonts w:ascii="Verdana" w:eastAsia="Calibri" w:hAnsi="Verdana" w:cs="Arial"/>
          <w:color w:val="000000"/>
          <w:kern w:val="2"/>
          <w:lang w:val="es-ES"/>
          <w14:ligatures w14:val="standardContextual"/>
        </w:rPr>
        <w:lastRenderedPageBreak/>
        <w:t>Otro aspecto sobre el principio que inalterabilidad que debe destacarse es que, sin mínimos inalterables, los documentos tipo, estándar o normalizados, sencillamente, perderían sus características. Bajo riesgo de señalar una obviedad, se debe decir que la definición del término estándar es “Que sirve como tipo, modelo, norma, patrón o referencia”</w:t>
      </w:r>
      <w:r w:rsidRPr="00512C7E">
        <w:rPr>
          <w:rFonts w:ascii="Verdana" w:eastAsia="Calibri" w:hAnsi="Verdana" w:cs="Arial"/>
          <w:color w:val="000000"/>
          <w:kern w:val="2"/>
          <w:vertAlign w:val="superscript"/>
          <w:lang w:val="es-ES"/>
          <w14:ligatures w14:val="standardContextual"/>
        </w:rPr>
        <w:footnoteReference w:id="8"/>
      </w:r>
      <w:r w:rsidRPr="00512C7E">
        <w:rPr>
          <w:rFonts w:ascii="Verdana" w:eastAsia="Calibri" w:hAnsi="Verdana" w:cs="Arial"/>
          <w:color w:val="000000"/>
          <w:kern w:val="2"/>
          <w:lang w:val="es-ES"/>
          <w14:ligatures w14:val="standardContextual"/>
        </w:rPr>
        <w:t xml:space="preserve">. Si las autoridades pudiesen agregar, eliminar o modificar todos y cada uno de los aspectos contenidos en los pliegos tipo, estos documentos, llanamente, no podrían ser llamados pliegos tipo. </w:t>
      </w:r>
    </w:p>
    <w:p w14:paraId="541B04F6" w14:textId="77777777" w:rsidR="00512C7E" w:rsidRPr="00512C7E" w:rsidRDefault="00512C7E" w:rsidP="00512C7E">
      <w:pPr>
        <w:spacing w:after="120" w:line="276" w:lineRule="auto"/>
        <w:jc w:val="both"/>
        <w:rPr>
          <w:rFonts w:ascii="Verdana" w:eastAsia="Calibri" w:hAnsi="Verdana" w:cs="Arial"/>
          <w:color w:val="000000"/>
          <w:kern w:val="2"/>
          <w:lang w:val="es-ES"/>
          <w14:ligatures w14:val="standardContextual"/>
        </w:rPr>
      </w:pPr>
      <w:r w:rsidRPr="00512C7E">
        <w:rPr>
          <w:rFonts w:ascii="Verdana" w:eastAsia="Calibri" w:hAnsi="Verdana" w:cs="Arial"/>
          <w:color w:val="000000"/>
          <w:kern w:val="2"/>
          <w:lang w:val="es-ES"/>
          <w14:ligatures w14:val="standardContextual"/>
        </w:rPr>
        <w:tab/>
        <w:t xml:space="preserve">De otra parte, a la luz de los objetivos perseguidos, si la normativa permitiera la alteración de todo el documento tipo, sería imposible verificar en la práctica las ventajas perseguidas por el legislador. Así, por ejemplo, si cada autoridad pudiese rediseñar por completo el documento, la transparencia del sistema de compras públicas no sería mayor con la introducción de la estandarización de documentos. De similar manera, bajo la hipótesis de trabajo referida, las entidades podrían modificar todo el contenido del pliego, retornando a una de las prácticas que se buscó eliminar: la elaboración de “pliegos sastre”, que eliminan la competencia. En ese orden, si se permite ilimitadamente introducir ajustes, las entidades estatales podrían reintroducir los sesgos interpretativos incorrectos que se buscó erradicar con la introducción de la herramienta analizada. </w:t>
      </w:r>
    </w:p>
    <w:p w14:paraId="2B9A22D1" w14:textId="77777777" w:rsidR="00512C7E" w:rsidRPr="00512C7E" w:rsidRDefault="00512C7E" w:rsidP="00512C7E">
      <w:pPr>
        <w:spacing w:line="276" w:lineRule="auto"/>
        <w:jc w:val="both"/>
        <w:rPr>
          <w:rFonts w:ascii="Verdana" w:eastAsia="Calibri" w:hAnsi="Verdana" w:cs="Arial"/>
          <w:color w:val="000000"/>
          <w:kern w:val="2"/>
          <w:lang w:val="es-ES"/>
          <w14:ligatures w14:val="standardContextual"/>
        </w:rPr>
      </w:pPr>
      <w:r w:rsidRPr="00512C7E">
        <w:rPr>
          <w:rFonts w:ascii="Verdana" w:eastAsia="Calibri" w:hAnsi="Verdana" w:cs="Arial"/>
          <w:color w:val="000000"/>
          <w:kern w:val="2"/>
          <w:lang w:val="es-ES"/>
          <w14:ligatures w14:val="standardContextual"/>
        </w:rPr>
        <w:tab/>
        <w:t>Con base en lo dicho, se observa con toda claridad la necesidad de que existan unos mínimos inalterables que permitan, de un lado, que los pliegos tipo sean propiamente tales y, del otro, que se garanticen los fines expresamente perseguidos por el legislador con su introducción al ordenamiento nacional.</w:t>
      </w:r>
    </w:p>
    <w:p w14:paraId="53367069" w14:textId="77777777" w:rsidR="00512C7E" w:rsidRPr="00512C7E" w:rsidRDefault="00512C7E" w:rsidP="00512C7E">
      <w:pPr>
        <w:spacing w:line="276" w:lineRule="auto"/>
        <w:ind w:firstLine="708"/>
        <w:jc w:val="both"/>
        <w:rPr>
          <w:rFonts w:ascii="Verdana" w:eastAsia="Calibri" w:hAnsi="Verdana" w:cs="Arial"/>
          <w:color w:val="000000"/>
          <w:kern w:val="2"/>
          <w:lang w:val="es-ES"/>
          <w14:ligatures w14:val="standardContextual"/>
        </w:rPr>
      </w:pPr>
      <w:r w:rsidRPr="00512C7E">
        <w:rPr>
          <w:rFonts w:ascii="Verdana" w:eastAsia="Calibri" w:hAnsi="Verdana" w:cs="Arial"/>
          <w:kern w:val="2"/>
          <w:lang w:val="es-MX"/>
          <w14:ligatures w14:val="standardContextual"/>
        </w:rPr>
        <w:t xml:space="preserve">No obstante, la parte introductoria de los documentos base de los documentos tipo disponen que los aspectos incluidos en corchetes y resaltados en gris </w:t>
      </w:r>
      <w:r w:rsidRPr="00512C7E">
        <w:rPr>
          <w:rFonts w:ascii="Verdana" w:eastAsia="Aptos" w:hAnsi="Verdana" w:cs="Arial"/>
          <w:kern w:val="2"/>
          <w14:ligatures w14:val="standardContextual"/>
        </w:rPr>
        <w:t>–[</w:t>
      </w:r>
      <w:r w:rsidRPr="00512C7E">
        <w:rPr>
          <w:rFonts w:ascii="Verdana" w:eastAsia="Aptos" w:hAnsi="Verdana" w:cs="Arial"/>
          <w:kern w:val="2"/>
          <w:highlight w:val="lightGray"/>
          <w14:ligatures w14:val="standardContextual"/>
        </w:rPr>
        <w:t>texto de ejemplo</w:t>
      </w:r>
      <w:r w:rsidRPr="00512C7E">
        <w:rPr>
          <w:rFonts w:ascii="Verdana" w:eastAsia="Aptos" w:hAnsi="Verdana" w:cs="Arial"/>
          <w:kern w:val="2"/>
          <w14:ligatures w14:val="standardContextual"/>
        </w:rPr>
        <w:t xml:space="preserve">]– </w:t>
      </w:r>
      <w:r w:rsidRPr="00512C7E">
        <w:rPr>
          <w:rFonts w:ascii="Verdana" w:eastAsia="Calibri" w:hAnsi="Verdana" w:cs="Arial"/>
          <w:kern w:val="2"/>
          <w:lang w:val="es-MX"/>
          <w14:ligatures w14:val="standardContextual"/>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w:t>
      </w:r>
      <w:r w:rsidRPr="00512C7E">
        <w:rPr>
          <w:rFonts w:ascii="Verdana" w:eastAsia="Calibri" w:hAnsi="Verdana" w:cs="Arial"/>
          <w:kern w:val="2"/>
          <w:lang w:val="es-MX"/>
          <w14:ligatures w14:val="standardContextual"/>
        </w:rPr>
        <w:lastRenderedPageBreak/>
        <w:t xml:space="preserve">determinar la información que se diligenciará en los documentos tipo, de acuerdo con su necesidad y las instrucciones de los mismos documentos tipo. </w:t>
      </w:r>
    </w:p>
    <w:p w14:paraId="6A8346BB" w14:textId="77777777" w:rsidR="00512C7E" w:rsidRPr="00512C7E" w:rsidRDefault="00512C7E" w:rsidP="00512C7E">
      <w:pPr>
        <w:spacing w:before="120" w:after="120" w:line="276" w:lineRule="auto"/>
        <w:ind w:firstLine="709"/>
        <w:jc w:val="both"/>
        <w:rPr>
          <w:rFonts w:ascii="Verdana" w:eastAsia="Calibri" w:hAnsi="Verdana" w:cs="Arial"/>
          <w:bCs/>
          <w:kern w:val="2"/>
          <w:lang w:val="es-MX"/>
          <w14:ligatures w14:val="standardContextual"/>
        </w:rPr>
      </w:pPr>
      <w:r w:rsidRPr="00512C7E">
        <w:rPr>
          <w:rFonts w:ascii="Verdana" w:eastAsia="Calibri" w:hAnsi="Verdana" w:cs="Arial"/>
          <w:bCs/>
          <w:kern w:val="2"/>
          <w:lang w:val="es-MX"/>
          <w14:ligatures w14:val="standardContextual"/>
        </w:rPr>
        <w:t>En suma, la regla general frente la aplicación de los documentos tipo es su inalterabilidad, y no podrán incluirse o modificarse en los documentos del proceso las condiciones habilitantes, los factores técnicos y económicos de escogencia y los sistemas de ponderación distintos a los señalados en los documentos tipo. En tal sentido, estos solo se podrán modificar respecto a aquellos contenidos que el mismo documento tipo lo permita.</w:t>
      </w:r>
    </w:p>
    <w:p w14:paraId="493D64ED" w14:textId="77777777" w:rsidR="00512C7E" w:rsidRPr="00512C7E" w:rsidRDefault="00512C7E" w:rsidP="00512C7E">
      <w:pPr>
        <w:spacing w:before="120" w:after="120" w:line="276" w:lineRule="auto"/>
        <w:ind w:firstLine="709"/>
        <w:jc w:val="both"/>
        <w:rPr>
          <w:rFonts w:ascii="Verdana" w:eastAsia="Calibri" w:hAnsi="Verdana" w:cs="Arial"/>
          <w:bCs/>
          <w:kern w:val="2"/>
          <w:lang w:val="es-MX"/>
          <w14:ligatures w14:val="standardContextual"/>
        </w:rPr>
      </w:pPr>
      <w:r w:rsidRPr="00512C7E">
        <w:rPr>
          <w:rFonts w:ascii="Verdana" w:eastAsia="Calibri" w:hAnsi="Verdana" w:cs="Arial"/>
          <w:bCs/>
          <w:kern w:val="2"/>
          <w:lang w:val="es-MX"/>
          <w14:ligatures w14:val="standardContextual"/>
        </w:rPr>
        <w:t xml:space="preserve">Esta regla de inalterabilidad </w:t>
      </w:r>
      <w:r w:rsidRPr="00512C7E">
        <w:rPr>
          <w:rFonts w:ascii="Verdana" w:eastAsia="Calibri" w:hAnsi="Verdana" w:cs="Arial"/>
          <w:bCs/>
          <w:i/>
          <w:iCs/>
          <w:kern w:val="2"/>
          <w:lang w:val="es-MX"/>
          <w14:ligatures w14:val="standardContextual"/>
        </w:rPr>
        <w:t>también aplica a los formatos, anexos y matrices</w:t>
      </w:r>
      <w:r w:rsidRPr="00512C7E">
        <w:rPr>
          <w:rFonts w:ascii="Verdana" w:eastAsia="Calibri" w:hAnsi="Verdana" w:cs="Arial"/>
          <w:bCs/>
          <w:kern w:val="2"/>
          <w:lang w:val="es-MX"/>
          <w14:ligatures w14:val="standardContextual"/>
        </w:rPr>
        <w:t xml:space="preserve"> implementados junto con el “Documento Base”, los cuales deben usarse en el procedimiento de contratación. Estos, al igual que el “Documento Base”, contienen apartes entre corchetes y resaltados en gris, los cuales deben ser diligenciados por la entidad, al igual que otros aspectos relativos a información que debe ser completada por los oferentes al hacer uso del formato. </w:t>
      </w:r>
    </w:p>
    <w:p w14:paraId="5355AEA4" w14:textId="77777777" w:rsidR="00512C7E" w:rsidRPr="00512C7E" w:rsidRDefault="00512C7E" w:rsidP="00512C7E">
      <w:pPr>
        <w:spacing w:before="120" w:after="120" w:line="276" w:lineRule="auto"/>
        <w:ind w:firstLine="709"/>
        <w:jc w:val="both"/>
        <w:rPr>
          <w:rFonts w:ascii="Verdana" w:eastAsia="Calibri" w:hAnsi="Verdana" w:cs="Arial"/>
          <w:kern w:val="2"/>
          <w:lang w:val="es-MX"/>
          <w14:ligatures w14:val="standardContextual"/>
        </w:rPr>
      </w:pPr>
      <w:r w:rsidRPr="00512C7E">
        <w:rPr>
          <w:rFonts w:ascii="Verdana" w:eastAsia="Calibri" w:hAnsi="Verdana" w:cs="Arial"/>
          <w:kern w:val="2"/>
          <w:lang w:val="es-MX"/>
          <w14:ligatures w14:val="standardContextual"/>
        </w:rPr>
        <w:t xml:space="preserve">Con todo, la regla de inalterabilidad de los documentos tipo debe armonizarse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en últimas, el deber que le asiste es el de tener en cuenta y aplicar los aspectos sustanciales de los documentos tipo, sin distingo de la formalidad de la que se sirva para ello los actores de la contratación pública. </w:t>
      </w:r>
    </w:p>
    <w:p w14:paraId="19199B8D" w14:textId="77777777" w:rsidR="00512C7E" w:rsidRPr="00512C7E" w:rsidRDefault="00512C7E" w:rsidP="00512C7E">
      <w:pPr>
        <w:spacing w:before="120" w:line="276" w:lineRule="auto"/>
        <w:ind w:firstLine="709"/>
        <w:jc w:val="both"/>
        <w:rPr>
          <w:rFonts w:ascii="Verdana" w:eastAsia="Aptos" w:hAnsi="Verdana" w:cs="Arial"/>
          <w:kern w:val="2"/>
          <w14:ligatures w14:val="standardContextual"/>
        </w:rPr>
      </w:pPr>
      <w:r w:rsidRPr="00512C7E">
        <w:rPr>
          <w:rFonts w:ascii="Verdana" w:eastAsia="Aptos" w:hAnsi="Verdana" w:cs="Arial"/>
          <w:kern w:val="2"/>
          <w14:ligatures w14:val="standardContextual"/>
        </w:rPr>
        <w:t xml:space="preserve">En relación con el principio constitucional </w:t>
      </w:r>
      <w:r w:rsidRPr="00512C7E">
        <w:rPr>
          <w:rFonts w:ascii="Verdana" w:eastAsia="Aptos" w:hAnsi="Verdana" w:cs="Arial"/>
          <w:i/>
          <w:iCs/>
          <w:kern w:val="2"/>
          <w14:ligatures w14:val="standardContextual"/>
        </w:rPr>
        <w:t>sub examine</w:t>
      </w:r>
      <w:r w:rsidRPr="00512C7E">
        <w:rPr>
          <w:rFonts w:ascii="Verdana" w:eastAsia="Aptos" w:hAnsi="Verdana" w:cs="Arial"/>
          <w:kern w:val="2"/>
          <w14:ligatures w14:val="standardContextual"/>
        </w:rPr>
        <w:t>, la Corte Constitucional explica que “(…) por disposición del artículo 228 Superior, las formas no deben convertirse en un obstáculo para la efectividad del derecho sustancial, sino que deben propender por su realización. Es decir, que las normas procesales son un medio para lograr la efectividad de los derechos subjetivos y no fines en sí mismas”</w:t>
      </w:r>
      <w:r w:rsidRPr="00512C7E">
        <w:rPr>
          <w:rFonts w:ascii="Verdana" w:eastAsia="Aptos" w:hAnsi="Verdana" w:cs="Arial"/>
          <w:kern w:val="2"/>
          <w:vertAlign w:val="superscript"/>
          <w14:ligatures w14:val="standardContextual"/>
        </w:rPr>
        <w:footnoteReference w:id="9"/>
      </w:r>
      <w:r w:rsidRPr="00512C7E">
        <w:rPr>
          <w:rFonts w:ascii="Verdana" w:eastAsia="Aptos" w:hAnsi="Verdana" w:cs="Arial"/>
          <w:kern w:val="2"/>
          <w14:ligatures w14:val="standardContextual"/>
        </w:rPr>
        <w:t xml:space="preserve">. </w:t>
      </w:r>
    </w:p>
    <w:p w14:paraId="06713F20" w14:textId="77777777" w:rsidR="00512C7E" w:rsidRPr="00512C7E" w:rsidRDefault="00512C7E" w:rsidP="00512C7E">
      <w:pPr>
        <w:spacing w:after="0" w:line="276" w:lineRule="auto"/>
        <w:ind w:firstLine="709"/>
        <w:jc w:val="both"/>
        <w:rPr>
          <w:rFonts w:ascii="Verdana" w:eastAsia="Calibri" w:hAnsi="Verdana" w:cs="Arial"/>
          <w:kern w:val="2"/>
          <w:lang w:val="es-MX"/>
          <w14:ligatures w14:val="standardContextual"/>
        </w:rPr>
      </w:pPr>
      <w:r w:rsidRPr="00512C7E">
        <w:rPr>
          <w:rFonts w:ascii="Verdana" w:eastAsia="Calibri" w:hAnsi="Verdana" w:cs="Arial"/>
          <w:kern w:val="2"/>
          <w:lang w:val="es-MX"/>
          <w14:ligatures w14:val="standardContextual"/>
        </w:rPr>
        <w:lastRenderedPageBreak/>
        <w:t>El carácter inalterable de los documentos tipo no puede, por tanto, hacerse extensivo a los aspectos meramente formales de tales documentos, esto es, el tamaño y tipo de letra, las márgenes o las expresiones que pretenden hacer más comprensible el documento, como es el caso de aquellas que informan que una expresión larga será referida con otra similar pero más corta. Lo anterior considerando que estos aspectos en nada afectan la aplicación y alcance de los documentos tipos, es decir, no afectan su contenido esencial y, mucho menos, las obligaciones, deberes y derechos que se derivan para las partes contratantes.</w:t>
      </w:r>
    </w:p>
    <w:p w14:paraId="418F6C5E" w14:textId="77777777" w:rsidR="00512C7E" w:rsidRPr="00512C7E" w:rsidRDefault="00512C7E" w:rsidP="00512C7E">
      <w:pPr>
        <w:widowControl w:val="0"/>
        <w:autoSpaceDE w:val="0"/>
        <w:autoSpaceDN w:val="0"/>
        <w:spacing w:after="0" w:line="276" w:lineRule="auto"/>
        <w:jc w:val="both"/>
        <w:rPr>
          <w:rFonts w:ascii="Verdana" w:eastAsia="Calibri" w:hAnsi="Verdana" w:cs="Times New Roman"/>
          <w:lang w:val="es-ES" w:eastAsia="es-MX"/>
        </w:rPr>
      </w:pPr>
    </w:p>
    <w:p w14:paraId="363D1F67" w14:textId="77777777" w:rsidR="00512C7E" w:rsidRPr="00512C7E" w:rsidRDefault="00512C7E" w:rsidP="00512C7E">
      <w:pPr>
        <w:spacing w:after="120" w:line="276" w:lineRule="auto"/>
        <w:jc w:val="both"/>
        <w:rPr>
          <w:rFonts w:ascii="Verdana" w:eastAsia="Calibri" w:hAnsi="Verdana" w:cs="Arial"/>
          <w:kern w:val="2"/>
          <w:lang w:val="es-MX"/>
          <w14:ligatures w14:val="standardContextual"/>
        </w:rPr>
      </w:pPr>
      <w:proofErr w:type="spellStart"/>
      <w:r w:rsidRPr="00512C7E">
        <w:rPr>
          <w:rFonts w:ascii="Verdana" w:eastAsia="Aptos" w:hAnsi="Verdana" w:cs="Times New Roman"/>
          <w:lang w:eastAsia="es-MX"/>
        </w:rPr>
        <w:t>iii</w:t>
      </w:r>
      <w:proofErr w:type="spellEnd"/>
      <w:r w:rsidRPr="00512C7E">
        <w:rPr>
          <w:rFonts w:ascii="Verdana" w:eastAsia="Aptos" w:hAnsi="Verdana" w:cs="Times New Roman"/>
          <w:lang w:eastAsia="es-MX"/>
        </w:rPr>
        <w:t xml:space="preserve">. </w:t>
      </w:r>
      <w:r w:rsidRPr="00512C7E">
        <w:rPr>
          <w:rFonts w:ascii="Verdana" w:eastAsia="Calibri" w:hAnsi="Verdana" w:cs="Arial"/>
          <w:szCs w:val="20"/>
          <w:lang w:val="es-MX"/>
        </w:rPr>
        <w:t>Los documentos tipo constituyen un límite a la discrecionalidad de las entidades estatales en la configuración de los pliegos de condiciones, pues, como se detalló en el punto anterior de este concepto, fijan unos requisitos mínimos que aquellas deben respetar. Así ocurre en los procedimientos de licitación de obra pública de los sectores de infraestructura de transporte, infraestructura social y agua potable y saneamiento básico, para los cuales esta Agencia ha adoptado documentos tipo. En estos procedimientos debe cumplirse lo dispuesto en el pliego de condiciones tipo, que establece reglas imperativas para determinar, entre otros aspectos, los requisitos habilitantes.</w:t>
      </w:r>
    </w:p>
    <w:p w14:paraId="61EA704F" w14:textId="77777777" w:rsidR="00512C7E" w:rsidRPr="00512C7E" w:rsidRDefault="00512C7E" w:rsidP="00512C7E">
      <w:pPr>
        <w:tabs>
          <w:tab w:val="left" w:pos="709"/>
          <w:tab w:val="left" w:pos="851"/>
        </w:tabs>
        <w:spacing w:after="120" w:line="276" w:lineRule="auto"/>
        <w:jc w:val="both"/>
        <w:rPr>
          <w:rFonts w:ascii="Verdana" w:eastAsia="Calibri" w:hAnsi="Verdana" w:cs="Arial"/>
          <w:szCs w:val="20"/>
          <w:lang w:val="es-MX"/>
        </w:rPr>
      </w:pPr>
      <w:r w:rsidRPr="00512C7E">
        <w:rPr>
          <w:rFonts w:ascii="Verdana" w:eastAsia="Calibri" w:hAnsi="Verdana" w:cs="Arial"/>
          <w:szCs w:val="20"/>
          <w:lang w:val="es-MX"/>
        </w:rPr>
        <w:tab/>
        <w:t>Partiendo de la perspectiva anterior y teniendo en cuenta la pregunta del peticionario, cabe destacar que en los requisitos habilitantes contenidos en los documentos tipo de licitación de obra pública acogidos por esta Agencia en los sectores señalados, no se establece el evento previsto en el artículo 17 de la Ley 842 de 2003, además que dicho requisito tampoco se establece en otro lugar del documento tipo, por lo que resulta evidente que no es una exigencia aplicable en las licitaciones de obra pública de infraestructura que apliquen dichos documentos tipo. En efecto, el artículo indicado establece la siguiente obligación legal:</w:t>
      </w:r>
    </w:p>
    <w:p w14:paraId="79E361E2" w14:textId="77777777" w:rsidR="00512C7E" w:rsidRPr="00512C7E" w:rsidRDefault="00512C7E" w:rsidP="00512C7E">
      <w:pPr>
        <w:tabs>
          <w:tab w:val="left" w:pos="709"/>
          <w:tab w:val="left" w:pos="851"/>
        </w:tabs>
        <w:spacing w:after="0" w:line="276" w:lineRule="auto"/>
        <w:jc w:val="both"/>
        <w:rPr>
          <w:rFonts w:ascii="Verdana" w:eastAsia="Calibri" w:hAnsi="Verdana" w:cs="Arial"/>
          <w:szCs w:val="20"/>
          <w:lang w:val="es-MX"/>
        </w:rPr>
      </w:pPr>
    </w:p>
    <w:p w14:paraId="232F1D7B" w14:textId="77777777" w:rsidR="00512C7E" w:rsidRPr="00512C7E" w:rsidRDefault="00512C7E" w:rsidP="00512C7E">
      <w:pPr>
        <w:spacing w:after="0" w:line="240" w:lineRule="auto"/>
        <w:ind w:left="709" w:right="709"/>
        <w:jc w:val="both"/>
        <w:rPr>
          <w:rFonts w:ascii="Verdana" w:eastAsia="Calibri" w:hAnsi="Verdana" w:cs="Arial"/>
          <w:color w:val="000000"/>
          <w:sz w:val="21"/>
          <w:szCs w:val="21"/>
          <w:lang w:val="es-MX"/>
        </w:rPr>
      </w:pPr>
      <w:r w:rsidRPr="00512C7E">
        <w:rPr>
          <w:rFonts w:ascii="Verdana" w:eastAsia="Calibri" w:hAnsi="Verdana" w:cs="Arial"/>
          <w:color w:val="000000"/>
          <w:sz w:val="21"/>
          <w:szCs w:val="21"/>
          <w:lang w:val="es-MX"/>
        </w:rPr>
        <w:t>“Artículo 17. Responsabilidad de las personas jurídicas y de sus representantes. La sociedad, firma, empresa u organización profesional, cuyas actividades comprendan, en forma exclusiva o parcial, alguna o algunas de aquellas que correspondan al ejercicio de la ingeniería, de sus profesiones afines o de sus profesiones auxiliares, está obligada a incluir en su nómina permanente, como mínimo, a un profesional matriculado en la carrera correspondiente al objeto social de la respectiva persona jurídica.</w:t>
      </w:r>
    </w:p>
    <w:p w14:paraId="618AAD41" w14:textId="77777777" w:rsidR="00512C7E" w:rsidRPr="00512C7E" w:rsidRDefault="00512C7E" w:rsidP="00512C7E">
      <w:pPr>
        <w:spacing w:after="0" w:line="240" w:lineRule="auto"/>
        <w:ind w:left="709" w:right="709"/>
        <w:jc w:val="both"/>
        <w:rPr>
          <w:rFonts w:ascii="Verdana" w:eastAsia="Calibri" w:hAnsi="Verdana" w:cs="Arial"/>
          <w:color w:val="000000"/>
          <w:sz w:val="21"/>
          <w:szCs w:val="21"/>
          <w:lang w:val="es-MX"/>
        </w:rPr>
      </w:pPr>
    </w:p>
    <w:p w14:paraId="202591F3" w14:textId="77777777" w:rsidR="00512C7E" w:rsidRPr="00512C7E" w:rsidRDefault="00512C7E" w:rsidP="00512C7E">
      <w:pPr>
        <w:spacing w:after="0" w:line="240" w:lineRule="auto"/>
        <w:ind w:left="709" w:right="709"/>
        <w:jc w:val="both"/>
        <w:rPr>
          <w:rFonts w:ascii="Verdana" w:eastAsia="Calibri" w:hAnsi="Verdana" w:cs="Arial"/>
          <w:color w:val="000000"/>
          <w:sz w:val="21"/>
          <w:szCs w:val="21"/>
          <w:lang w:val="es-MX"/>
        </w:rPr>
      </w:pPr>
      <w:r w:rsidRPr="00512C7E">
        <w:rPr>
          <w:rFonts w:ascii="Verdana" w:eastAsia="Calibri" w:hAnsi="Verdana" w:cs="Arial"/>
          <w:color w:val="000000"/>
          <w:sz w:val="21"/>
          <w:szCs w:val="21"/>
          <w:lang w:val="es-MX"/>
        </w:rPr>
        <w:lastRenderedPageBreak/>
        <w:t>Parágrafo. Al representante legal de la persona jurídica que omita el cumplimiento de lo dispuesto en el presente artículo se le aplicarán las sanciones previstas para el ejercicio ilegal de profesión y oficio reglamentado, mediante la aplicación del procedimiento establecido para las contravenciones especiales de policía o aquel que lo sustituya”.</w:t>
      </w:r>
    </w:p>
    <w:p w14:paraId="5C5CCA01" w14:textId="77777777" w:rsidR="00512C7E" w:rsidRPr="00512C7E" w:rsidRDefault="00512C7E" w:rsidP="00512C7E">
      <w:pPr>
        <w:spacing w:after="0" w:line="240" w:lineRule="auto"/>
        <w:ind w:right="709"/>
        <w:jc w:val="both"/>
        <w:rPr>
          <w:rFonts w:ascii="Verdana" w:eastAsia="Calibri" w:hAnsi="Verdana" w:cs="Arial"/>
          <w:color w:val="000000"/>
          <w:sz w:val="21"/>
          <w:szCs w:val="21"/>
          <w:lang w:val="es-MX"/>
        </w:rPr>
      </w:pPr>
    </w:p>
    <w:p w14:paraId="6EBE6113" w14:textId="77777777" w:rsidR="00512C7E" w:rsidRPr="00512C7E" w:rsidRDefault="00512C7E" w:rsidP="00512C7E">
      <w:pPr>
        <w:tabs>
          <w:tab w:val="left" w:pos="709"/>
          <w:tab w:val="left" w:pos="851"/>
        </w:tabs>
        <w:spacing w:after="120" w:line="276" w:lineRule="auto"/>
        <w:jc w:val="both"/>
        <w:rPr>
          <w:rFonts w:ascii="Verdana" w:eastAsia="Calibri" w:hAnsi="Verdana" w:cs="Arial"/>
          <w:szCs w:val="20"/>
          <w:lang w:val="es-MX"/>
        </w:rPr>
      </w:pPr>
      <w:r w:rsidRPr="00512C7E">
        <w:rPr>
          <w:rFonts w:ascii="Verdana" w:eastAsia="Calibri" w:hAnsi="Verdana" w:cs="Arial"/>
          <w:szCs w:val="20"/>
          <w:lang w:val="es-MX"/>
        </w:rPr>
        <w:tab/>
        <w:t>El artículo citado establece el deber para las personas jurídicas, cuyas actividades correspondan al ejercicio de la ingeniería, de incluir en su “nómina permanente” al menos a un profesional matriculado en la carrera correspondiente al objeto social de la persona jurídica. Ahora bien, en relación con la incidencia de este deber en los procedimientos de selección, esta Agencia, desde el concepto C-868 de 2022, ha sostenido que los requisitos habilitantes no se agotan en los previstos en el numeral 1 del artículo 5 de la Ley 1150 de 2007, de manera que, en los procesos en los que la entidad estatal tiene autonomía para configurar los requisitos habilitantes, puede verificar el cumplimiento del artículo 17 de la Ley 842 de 2003.</w:t>
      </w:r>
    </w:p>
    <w:p w14:paraId="189F1881" w14:textId="77777777" w:rsidR="00512C7E" w:rsidRPr="00512C7E" w:rsidRDefault="00512C7E" w:rsidP="00512C7E">
      <w:pPr>
        <w:tabs>
          <w:tab w:val="left" w:pos="709"/>
          <w:tab w:val="left" w:pos="851"/>
        </w:tabs>
        <w:spacing w:after="120" w:line="276" w:lineRule="auto"/>
        <w:jc w:val="both"/>
        <w:rPr>
          <w:rFonts w:ascii="Verdana" w:eastAsia="Calibri" w:hAnsi="Verdana" w:cs="Arial"/>
          <w:szCs w:val="20"/>
          <w:lang w:val="es-MX"/>
        </w:rPr>
      </w:pPr>
      <w:r w:rsidRPr="00512C7E">
        <w:rPr>
          <w:rFonts w:ascii="Verdana" w:eastAsia="Calibri" w:hAnsi="Verdana" w:cs="Arial"/>
          <w:szCs w:val="20"/>
          <w:lang w:val="es-MX"/>
        </w:rPr>
        <w:tab/>
        <w:t>Esta postura fue reiterada en el concepto C-609 de 2025, en el que se indicó que “la aptitud o idoneidad del proponente no se agota con la verificación de estos ítems, sino como en casos como el elevado en la consulta, existe además ciertos requisitos que de forma complementaría se deben cumplir, así el artículo 17 de la Ley 842 de 2003”. Recientemente, en el concepto C-012 de 2026, esta Agencia precisó que “el cumplimiento de esta obligación legal debe ser incorporado por la entidad contratante en su evaluación de la capacidad jurídica y organizacional de las ofertas” y que, para ello, “debe ser contenido de forma expresa en el pliego de condiciones”.</w:t>
      </w:r>
    </w:p>
    <w:p w14:paraId="2A7BD76B" w14:textId="77777777" w:rsidR="00512C7E" w:rsidRPr="00512C7E" w:rsidRDefault="00512C7E" w:rsidP="00512C7E">
      <w:pPr>
        <w:tabs>
          <w:tab w:val="left" w:pos="709"/>
          <w:tab w:val="left" w:pos="851"/>
        </w:tabs>
        <w:spacing w:after="120" w:line="276" w:lineRule="auto"/>
        <w:jc w:val="both"/>
        <w:rPr>
          <w:rFonts w:ascii="Verdana" w:eastAsia="Calibri" w:hAnsi="Verdana" w:cs="Arial"/>
          <w:szCs w:val="20"/>
          <w:lang w:val="es-MX"/>
        </w:rPr>
      </w:pPr>
      <w:r w:rsidRPr="00512C7E">
        <w:rPr>
          <w:rFonts w:ascii="Verdana" w:eastAsia="Calibri" w:hAnsi="Verdana" w:cs="Arial"/>
          <w:szCs w:val="20"/>
          <w:lang w:val="es-MX"/>
        </w:rPr>
        <w:tab/>
        <w:t>No obstante, esta posibilidad parte de la facultad que tiene la entidad estatal para configurar los requisitos habilitantes de su proceso, facultad que no existe en los procesos regidos por documentos tipo, pues, como se indicó, en estos los requisitos habilitantes se encuentran definidos de manera imperativa en el pliego de condiciones tipo y la entidad no puede adicionarlos ni modificarlos.</w:t>
      </w:r>
    </w:p>
    <w:p w14:paraId="6C03F371" w14:textId="77777777" w:rsidR="00512C7E" w:rsidRPr="00512C7E" w:rsidRDefault="00512C7E" w:rsidP="00512C7E">
      <w:pPr>
        <w:tabs>
          <w:tab w:val="left" w:pos="709"/>
          <w:tab w:val="left" w:pos="851"/>
        </w:tabs>
        <w:spacing w:after="120" w:line="276" w:lineRule="auto"/>
        <w:jc w:val="both"/>
        <w:rPr>
          <w:rFonts w:ascii="Verdana" w:eastAsia="Calibri" w:hAnsi="Verdana" w:cs="Arial"/>
          <w:szCs w:val="20"/>
          <w:lang w:val="es-MX"/>
        </w:rPr>
      </w:pPr>
      <w:r w:rsidRPr="00512C7E">
        <w:rPr>
          <w:rFonts w:ascii="Verdana" w:eastAsia="Calibri" w:hAnsi="Verdana" w:cs="Arial"/>
          <w:szCs w:val="20"/>
          <w:lang w:val="es-MX"/>
        </w:rPr>
        <w:tab/>
        <w:t xml:space="preserve">A diferencia de la norma citada, y a modo de ejemplo, el artículo 20 de la misma ley sí tiene una exigencia y relación directa con las propuestas presentadas en los procesos de licitación pública, al exigir que aquellas presentadas en procesos cuyo objeto implique el desarrollo de las actividades </w:t>
      </w:r>
      <w:r w:rsidRPr="00512C7E">
        <w:rPr>
          <w:rFonts w:ascii="Verdana" w:eastAsia="Calibri" w:hAnsi="Verdana" w:cs="Arial"/>
          <w:szCs w:val="20"/>
          <w:lang w:val="es-MX"/>
        </w:rPr>
        <w:lastRenderedPageBreak/>
        <w:t>catalogadas como ejercicio de la ingeniería, deben estar avaladas ‒o abonadas‒ por un ingeniero inscrito y con tarjeta de matrícula profesional en la respectiva rama de la ingeniería. Así, dicha obligación se refiere al cumplimiento de un requisito impuesto por el legislador que deben cumplir los proponentes con la presentación de sus ofertas</w:t>
      </w:r>
      <w:r w:rsidRPr="00512C7E">
        <w:rPr>
          <w:rFonts w:ascii="Verdana" w:eastAsia="Calibri" w:hAnsi="Verdana" w:cs="Arial"/>
          <w:szCs w:val="20"/>
          <w:vertAlign w:val="superscript"/>
          <w:lang w:val="es-MX"/>
        </w:rPr>
        <w:footnoteReference w:id="10"/>
      </w:r>
      <w:r w:rsidRPr="00512C7E">
        <w:rPr>
          <w:rFonts w:ascii="Verdana" w:eastAsia="Calibri" w:hAnsi="Verdana" w:cs="Arial"/>
          <w:szCs w:val="20"/>
          <w:lang w:val="es-MX"/>
        </w:rPr>
        <w:t>. Por el contrario, retomando el artículo 17 analizado, debe tenerse en cuenta que el parágrafo de la disposición citada establece la consecuencia concreta frente al incumplimiento del deber legal establecido en dicho artículo. En efecto, dicho parágrafo prescribe una sanción concreta para el representante legal de la sociedad que incumpla el deber establecido en la disposición, al señalarse que “se aplicarán las sanciones previstas para el ejercicio ilegal de la profesión y oficio reglamentado”.</w:t>
      </w:r>
    </w:p>
    <w:p w14:paraId="6E9F3281" w14:textId="77777777" w:rsidR="00512C7E" w:rsidRPr="00512C7E" w:rsidRDefault="00512C7E" w:rsidP="00512C7E">
      <w:pPr>
        <w:tabs>
          <w:tab w:val="left" w:pos="709"/>
          <w:tab w:val="left" w:pos="851"/>
        </w:tabs>
        <w:spacing w:after="120" w:line="276" w:lineRule="auto"/>
        <w:jc w:val="both"/>
        <w:rPr>
          <w:rFonts w:ascii="Verdana" w:eastAsia="Calibri" w:hAnsi="Verdana" w:cs="Arial"/>
          <w:szCs w:val="20"/>
          <w:lang w:val="es-MX"/>
        </w:rPr>
      </w:pPr>
      <w:r w:rsidRPr="00512C7E">
        <w:rPr>
          <w:rFonts w:ascii="Verdana" w:eastAsia="Calibri" w:hAnsi="Verdana" w:cs="Arial"/>
          <w:szCs w:val="20"/>
          <w:lang w:val="es-MX"/>
        </w:rPr>
        <w:tab/>
        <w:t>En tal sentido, la consecuencia aparejada al incumplimiento del deber establecido en el artículo 17 se dirige directamente a sancionar al representante legal de la sociedad. Por ello, en los procedimientos regidos por documentos tipo, la verificación de este deber como requisito habilitante solo procedería si el documento tipo lo hubiera previsto, lo cual no ocurre en los documentos tipo de licitación de obra pública adoptados por esta Agencia.</w:t>
      </w:r>
    </w:p>
    <w:p w14:paraId="6C6173D3" w14:textId="77777777" w:rsidR="00512C7E" w:rsidRPr="00512C7E" w:rsidRDefault="00512C7E" w:rsidP="00512C7E">
      <w:pPr>
        <w:tabs>
          <w:tab w:val="left" w:pos="709"/>
          <w:tab w:val="left" w:pos="851"/>
        </w:tabs>
        <w:spacing w:after="120" w:line="276" w:lineRule="auto"/>
        <w:jc w:val="both"/>
        <w:rPr>
          <w:rFonts w:ascii="Verdana" w:eastAsia="Calibri" w:hAnsi="Verdana" w:cs="Arial"/>
          <w:szCs w:val="20"/>
          <w:lang w:val="es-MX"/>
        </w:rPr>
      </w:pPr>
      <w:r w:rsidRPr="00512C7E">
        <w:rPr>
          <w:rFonts w:ascii="Verdana" w:eastAsia="Calibri" w:hAnsi="Verdana" w:cs="Arial"/>
          <w:szCs w:val="20"/>
          <w:lang w:val="es-MX"/>
        </w:rPr>
        <w:tab/>
        <w:t xml:space="preserve">En armonía con lo anterior y como se enunció previamente, la obligación contenida en el artículo 17 de la Ley 842 de 2003 no se estableció como un requisito habilitante en los documentos tipo de licitación de obra pública adoptados por esta Agencia, y tampoco se exigió la acreditación de este requisito durante el procedimiento de selección en ningún lugar de los documentos tipo </w:t>
      </w:r>
      <w:r w:rsidRPr="00512C7E">
        <w:rPr>
          <w:rFonts w:ascii="Verdana" w:eastAsia="Calibri" w:hAnsi="Verdana" w:cs="Arial"/>
          <w:szCs w:val="20"/>
          <w:lang w:val="es-MX"/>
        </w:rPr>
        <w:lastRenderedPageBreak/>
        <w:t>señalados. Sin embargo, ello no quiere decir que esta obligación desaparezca o no se deba cumplir, pues esta aplica por ministerio de la ley, solo que no se vincula su contenido a alguna consecuencia jurídica frente a los procedimientos de selección que se rijan por los documentos tipo, sin perjuicio de las eventuales sanciones frente al representante legal de la sociedad que no acate su contenido.</w:t>
      </w:r>
    </w:p>
    <w:p w14:paraId="71A55452" w14:textId="77777777" w:rsidR="00512C7E" w:rsidRPr="00512C7E" w:rsidRDefault="00512C7E" w:rsidP="00512C7E">
      <w:pPr>
        <w:tabs>
          <w:tab w:val="left" w:pos="709"/>
          <w:tab w:val="left" w:pos="851"/>
        </w:tabs>
        <w:spacing w:after="120" w:line="276" w:lineRule="auto"/>
        <w:jc w:val="both"/>
        <w:rPr>
          <w:rFonts w:ascii="Verdana" w:eastAsia="Calibri" w:hAnsi="Verdana" w:cs="Arial"/>
          <w:szCs w:val="20"/>
          <w:lang w:val="es-MX"/>
        </w:rPr>
      </w:pPr>
      <w:r w:rsidRPr="00512C7E">
        <w:rPr>
          <w:rFonts w:ascii="Verdana" w:eastAsia="Calibri" w:hAnsi="Verdana" w:cs="Arial"/>
          <w:szCs w:val="20"/>
          <w:lang w:val="es-MX"/>
        </w:rPr>
        <w:tab/>
        <w:t>En efecto, el hecho de que el documento tipo no establezca todas las obligaciones legales que deben cumplir las personas naturales y jurídicas, no quiere decir que tales deberes desaparezcan, pues frente a su incumplimiento el ordenamiento jurídico establece sus consecuencias particulares. En otras palabras, las obligaciones legales tienen plena aplicación de acuerdo a su regulación concreta, sin que su ausencia en el documento tipo se pueda interpretar como una autorización para desconocer su exigibilidad, pues aplican por ministerio de la ley, pese a que no tengan una incidencia concreta en los procedimientos de selección regidos por documentos tipo.</w:t>
      </w:r>
    </w:p>
    <w:p w14:paraId="6EA0B291" w14:textId="77777777" w:rsidR="00512C7E" w:rsidRPr="00512C7E" w:rsidRDefault="00512C7E" w:rsidP="00512C7E">
      <w:pPr>
        <w:tabs>
          <w:tab w:val="left" w:pos="709"/>
          <w:tab w:val="left" w:pos="851"/>
        </w:tabs>
        <w:spacing w:after="0" w:line="276" w:lineRule="auto"/>
        <w:jc w:val="both"/>
        <w:rPr>
          <w:rFonts w:ascii="Verdana" w:eastAsia="Calibri" w:hAnsi="Verdana" w:cs="Arial"/>
          <w:szCs w:val="20"/>
          <w:lang w:val="es-MX"/>
        </w:rPr>
      </w:pPr>
      <w:r w:rsidRPr="00512C7E">
        <w:rPr>
          <w:rFonts w:ascii="Verdana" w:eastAsia="Calibri" w:hAnsi="Verdana" w:cs="Arial"/>
          <w:szCs w:val="20"/>
          <w:lang w:val="es-MX"/>
        </w:rPr>
        <w:tab/>
        <w:t>Se reitera la idea que se está desarrollando, en el sentido de que el documento tipo no estableció la exigencia de la acreditación, durante el procedimiento de selección, del cumplimiento de la obligación legal establecida en el artículo 17 de la Ley 842 de 2003. Además, dicho evento no se encuentra establecido como requisito habilitante y las entidades no pueden incluir nuevos requisitos habilitantes distintos a los establecidos en los documentos tipo, considerando la regla de la inalterabilidad que recae sobre estos documentos enunciada en el punto dos (</w:t>
      </w:r>
      <w:proofErr w:type="spellStart"/>
      <w:r w:rsidRPr="00512C7E">
        <w:rPr>
          <w:rFonts w:ascii="Verdana" w:eastAsia="Calibri" w:hAnsi="Verdana" w:cs="Arial"/>
          <w:szCs w:val="20"/>
          <w:lang w:val="es-MX"/>
        </w:rPr>
        <w:t>ii</w:t>
      </w:r>
      <w:proofErr w:type="spellEnd"/>
      <w:r w:rsidRPr="00512C7E">
        <w:rPr>
          <w:rFonts w:ascii="Verdana" w:eastAsia="Calibri" w:hAnsi="Verdana" w:cs="Arial"/>
          <w:szCs w:val="20"/>
          <w:lang w:val="es-MX"/>
        </w:rPr>
        <w:t>) de este concepto.</w:t>
      </w:r>
    </w:p>
    <w:p w14:paraId="25EF4A5B" w14:textId="77777777" w:rsidR="00512C7E" w:rsidRPr="00512C7E" w:rsidRDefault="00512C7E" w:rsidP="00512C7E">
      <w:pPr>
        <w:spacing w:after="0" w:line="276" w:lineRule="auto"/>
        <w:jc w:val="both"/>
        <w:rPr>
          <w:rFonts w:ascii="Verdana" w:eastAsia="Aptos" w:hAnsi="Verdana" w:cs="Times New Roman"/>
          <w:kern w:val="2"/>
          <w14:ligatures w14:val="standardContextual"/>
        </w:rPr>
      </w:pPr>
    </w:p>
    <w:p w14:paraId="68044B44" w14:textId="77777777" w:rsidR="00512C7E" w:rsidRPr="00512C7E" w:rsidRDefault="00512C7E" w:rsidP="00512C7E">
      <w:pPr>
        <w:tabs>
          <w:tab w:val="left" w:pos="709"/>
        </w:tabs>
        <w:snapToGrid w:val="0"/>
        <w:spacing w:after="120" w:line="276" w:lineRule="auto"/>
        <w:jc w:val="both"/>
        <w:rPr>
          <w:rFonts w:ascii="Verdana" w:eastAsia="Calibri" w:hAnsi="Verdana" w:cs="Arial"/>
          <w:color w:val="000000"/>
          <w:kern w:val="2"/>
          <w:lang w:val="es-ES"/>
          <w14:ligatures w14:val="standardContextual"/>
        </w:rPr>
      </w:pPr>
      <w:proofErr w:type="spellStart"/>
      <w:r w:rsidRPr="00512C7E">
        <w:rPr>
          <w:rFonts w:ascii="Verdana" w:eastAsia="Calibri" w:hAnsi="Verdana" w:cs="Arial"/>
          <w:color w:val="000000"/>
          <w:kern w:val="2"/>
          <w:lang w:val="es-ES"/>
          <w14:ligatures w14:val="standardContextual"/>
        </w:rPr>
        <w:t>iii</w:t>
      </w:r>
      <w:proofErr w:type="spellEnd"/>
      <w:r w:rsidRPr="00512C7E">
        <w:rPr>
          <w:rFonts w:ascii="Verdana" w:eastAsia="Calibri" w:hAnsi="Verdana" w:cs="Arial"/>
          <w:color w:val="000000"/>
          <w:kern w:val="2"/>
          <w:lang w:val="es-ES"/>
          <w14:ligatures w14:val="standardContextual"/>
        </w:rPr>
        <w:t>. Finalmente, debe advertirse que, el análisis requerido para resolver problemas específicos en torno a la contratación de las entidades estatales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07C8511D" w14:textId="77777777" w:rsidR="00512C7E" w:rsidRPr="00512C7E" w:rsidRDefault="00512C7E" w:rsidP="00512C7E">
      <w:pPr>
        <w:tabs>
          <w:tab w:val="left" w:pos="709"/>
        </w:tabs>
        <w:snapToGrid w:val="0"/>
        <w:spacing w:after="0" w:line="276" w:lineRule="auto"/>
        <w:ind w:firstLine="709"/>
        <w:jc w:val="both"/>
        <w:rPr>
          <w:rFonts w:ascii="Verdana" w:eastAsia="Calibri" w:hAnsi="Verdana" w:cs="Arial"/>
          <w:color w:val="000000"/>
          <w:kern w:val="2"/>
          <w:lang w:val="es-ES"/>
          <w14:ligatures w14:val="standardContextual"/>
        </w:rPr>
      </w:pPr>
      <w:r w:rsidRPr="00512C7E">
        <w:rPr>
          <w:rFonts w:ascii="Verdana" w:eastAsia="Calibri" w:hAnsi="Verdana" w:cs="Arial"/>
          <w:color w:val="000000"/>
          <w:kern w:val="2"/>
          <w:lang w:val="es-ES"/>
          <w14:ligatures w14:val="standardContextual"/>
        </w:rPr>
        <w:t xml:space="preserve">Dentro de este marco, la entidad contratante definirá en cada caso concreto lo relacionado con el tema objeto de consulta. Al tratarse de un análisis que debe realizarse en el procedimiento contractual específico, la Agencia no </w:t>
      </w:r>
      <w:r w:rsidRPr="00512C7E">
        <w:rPr>
          <w:rFonts w:ascii="Verdana" w:eastAsia="Calibri" w:hAnsi="Verdana" w:cs="Arial"/>
          <w:color w:val="000000"/>
          <w:kern w:val="2"/>
          <w:lang w:val="es-ES"/>
          <w14:ligatures w14:val="standardContextual"/>
        </w:rPr>
        <w:lastRenderedPageBreak/>
        <w:t>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2ADC7E1C" w14:textId="77777777" w:rsidR="00512C7E" w:rsidRPr="00512C7E" w:rsidRDefault="00512C7E" w:rsidP="00512C7E">
      <w:pPr>
        <w:spacing w:after="0"/>
        <w:ind w:firstLine="708"/>
        <w:jc w:val="both"/>
        <w:rPr>
          <w:rFonts w:ascii="Verdana" w:eastAsia="Aptos" w:hAnsi="Verdana" w:cs="Arial"/>
          <w:color w:val="000000"/>
          <w:lang w:val="es-ES"/>
        </w:rPr>
      </w:pPr>
    </w:p>
    <w:p w14:paraId="67DEB0F7" w14:textId="77777777" w:rsidR="00512C7E" w:rsidRPr="00512C7E" w:rsidRDefault="00512C7E" w:rsidP="00512C7E">
      <w:pPr>
        <w:numPr>
          <w:ilvl w:val="0"/>
          <w:numId w:val="16"/>
        </w:numPr>
        <w:tabs>
          <w:tab w:val="left" w:pos="142"/>
          <w:tab w:val="left" w:pos="284"/>
        </w:tabs>
        <w:spacing w:after="0" w:line="276" w:lineRule="auto"/>
        <w:ind w:left="360"/>
        <w:jc w:val="both"/>
        <w:rPr>
          <w:rFonts w:ascii="Verdana" w:eastAsia="Century Gothic" w:hAnsi="Verdana" w:cs="Century Gothic"/>
          <w:b/>
          <w:bCs/>
        </w:rPr>
      </w:pPr>
      <w:r w:rsidRPr="00512C7E">
        <w:rPr>
          <w:rFonts w:ascii="Verdana" w:eastAsia="Century Gothic" w:hAnsi="Verdana" w:cs="Century Gothic"/>
          <w:b/>
          <w:bCs/>
        </w:rPr>
        <w:t>Referencias normativas, jurisprudenciales y otras fuentes:</w:t>
      </w:r>
    </w:p>
    <w:p w14:paraId="6537E7CB" w14:textId="77777777" w:rsidR="00512C7E" w:rsidRPr="00512C7E" w:rsidRDefault="00512C7E" w:rsidP="00512C7E">
      <w:pPr>
        <w:spacing w:after="0"/>
        <w:ind w:left="-15840"/>
        <w:jc w:val="both"/>
        <w:rPr>
          <w:rFonts w:ascii="Verdana" w:eastAsia="Calibri" w:hAnsi="Verdana" w:cs="Arial"/>
          <w:b/>
          <w:bCs/>
        </w:rPr>
      </w:pPr>
      <w:r w:rsidRPr="00512C7E">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512C7E" w:rsidRPr="00512C7E" w14:paraId="5407F66C" w14:textId="77777777" w:rsidTr="009E3879">
        <w:trPr>
          <w:trHeight w:val="870"/>
        </w:trPr>
        <w:tc>
          <w:tcPr>
            <w:tcW w:w="8647" w:type="dxa"/>
            <w:tcBorders>
              <w:top w:val="dotted" w:sz="4" w:space="0" w:color="auto"/>
              <w:left w:val="dotted" w:sz="4" w:space="0" w:color="auto"/>
              <w:bottom w:val="dotted" w:sz="4" w:space="0" w:color="auto"/>
              <w:right w:val="dotted" w:sz="4" w:space="0" w:color="auto"/>
            </w:tcBorders>
          </w:tcPr>
          <w:p w14:paraId="2CC43E73" w14:textId="77777777" w:rsidR="00512C7E" w:rsidRPr="00512C7E" w:rsidRDefault="00512C7E" w:rsidP="00512C7E">
            <w:pPr>
              <w:widowControl w:val="0"/>
              <w:numPr>
                <w:ilvl w:val="0"/>
                <w:numId w:val="17"/>
              </w:numPr>
              <w:autoSpaceDE w:val="0"/>
              <w:autoSpaceDN w:val="0"/>
              <w:spacing w:line="276" w:lineRule="auto"/>
              <w:ind w:left="714" w:hanging="357"/>
              <w:jc w:val="both"/>
              <w:rPr>
                <w:rFonts w:ascii="Verdana" w:eastAsia="Calibri" w:hAnsi="Verdana" w:cs="Arial"/>
                <w:lang w:val="es-ES_tradnl"/>
              </w:rPr>
            </w:pPr>
            <w:r w:rsidRPr="00512C7E">
              <w:rPr>
                <w:rFonts w:ascii="Verdana" w:eastAsia="Calibri" w:hAnsi="Verdana" w:cs="Arial"/>
                <w:lang w:val="es-ES_tradnl"/>
              </w:rPr>
              <w:t xml:space="preserve">Ley 2022 de 2020, artículo 1. </w:t>
            </w:r>
          </w:p>
          <w:p w14:paraId="7F9C843C" w14:textId="77777777" w:rsidR="00512C7E" w:rsidRPr="00512C7E" w:rsidRDefault="00512C7E" w:rsidP="00512C7E">
            <w:pPr>
              <w:widowControl w:val="0"/>
              <w:numPr>
                <w:ilvl w:val="0"/>
                <w:numId w:val="17"/>
              </w:numPr>
              <w:autoSpaceDE w:val="0"/>
              <w:autoSpaceDN w:val="0"/>
              <w:spacing w:line="276" w:lineRule="auto"/>
              <w:jc w:val="both"/>
              <w:rPr>
                <w:rFonts w:ascii="Verdana" w:eastAsia="Calibri" w:hAnsi="Verdana" w:cs="Arial"/>
              </w:rPr>
            </w:pPr>
            <w:r w:rsidRPr="00512C7E">
              <w:rPr>
                <w:rFonts w:ascii="Verdana" w:eastAsia="Calibri" w:hAnsi="Verdana" w:cs="Arial"/>
              </w:rPr>
              <w:t>Ley 1150 de 2007, artículo 2.</w:t>
            </w:r>
          </w:p>
          <w:p w14:paraId="3289F66C" w14:textId="77777777" w:rsidR="00512C7E" w:rsidRPr="00512C7E" w:rsidRDefault="00512C7E" w:rsidP="00512C7E">
            <w:pPr>
              <w:widowControl w:val="0"/>
              <w:numPr>
                <w:ilvl w:val="0"/>
                <w:numId w:val="17"/>
              </w:numPr>
              <w:autoSpaceDE w:val="0"/>
              <w:autoSpaceDN w:val="0"/>
              <w:spacing w:line="276" w:lineRule="auto"/>
              <w:contextualSpacing/>
              <w:jc w:val="both"/>
              <w:rPr>
                <w:rFonts w:ascii="Verdana" w:eastAsia="Calibri" w:hAnsi="Verdana" w:cs="Arial"/>
                <w:lang w:val="es-ES"/>
              </w:rPr>
            </w:pPr>
            <w:r w:rsidRPr="00512C7E">
              <w:rPr>
                <w:rFonts w:ascii="Verdana" w:eastAsia="Calibri" w:hAnsi="Verdana" w:cs="Arial"/>
                <w:lang w:val="es-ES_tradnl"/>
              </w:rPr>
              <w:t xml:space="preserve">Documentos Tipo. Disponibles en: </w:t>
            </w:r>
            <w:hyperlink r:id="rId11" w:history="1">
              <w:r w:rsidRPr="00512C7E">
                <w:rPr>
                  <w:rFonts w:ascii="Verdana" w:eastAsia="Calibri" w:hAnsi="Verdana" w:cs="Arial"/>
                  <w:color w:val="0000FF"/>
                  <w:u w:val="single"/>
                  <w:lang w:val="es-ES_tradnl"/>
                </w:rPr>
                <w:t>https://www.colombiacompra.gov.co/documentos-tipo/documentos-tipo</w:t>
              </w:r>
            </w:hyperlink>
            <w:r w:rsidRPr="00512C7E">
              <w:rPr>
                <w:rFonts w:ascii="Verdana" w:eastAsia="Calibri" w:hAnsi="Verdana" w:cs="Arial"/>
                <w:lang w:val="es-ES_tradnl"/>
              </w:rPr>
              <w:t>.</w:t>
            </w:r>
          </w:p>
          <w:p w14:paraId="71BF540A" w14:textId="77777777" w:rsidR="00512C7E" w:rsidRPr="00512C7E" w:rsidRDefault="00512C7E" w:rsidP="00512C7E">
            <w:pPr>
              <w:widowControl w:val="0"/>
              <w:numPr>
                <w:ilvl w:val="0"/>
                <w:numId w:val="17"/>
              </w:numPr>
              <w:autoSpaceDE w:val="0"/>
              <w:autoSpaceDN w:val="0"/>
              <w:spacing w:line="276" w:lineRule="auto"/>
              <w:contextualSpacing/>
              <w:jc w:val="both"/>
              <w:rPr>
                <w:rFonts w:ascii="Verdana" w:eastAsia="Calibri" w:hAnsi="Verdana" w:cs="Arial"/>
                <w:lang w:val="es-ES"/>
              </w:rPr>
            </w:pPr>
            <w:r w:rsidRPr="00512C7E">
              <w:rPr>
                <w:rFonts w:ascii="Verdana" w:eastAsia="Calibri" w:hAnsi="Verdana" w:cs="Arial"/>
              </w:rPr>
              <w:t>Ley 842 de 2003, artículos 17 y 20</w:t>
            </w:r>
          </w:p>
        </w:tc>
      </w:tr>
    </w:tbl>
    <w:p w14:paraId="50857190" w14:textId="77777777" w:rsidR="00512C7E" w:rsidRPr="00512C7E" w:rsidRDefault="00512C7E" w:rsidP="00512C7E">
      <w:pPr>
        <w:tabs>
          <w:tab w:val="left" w:pos="142"/>
          <w:tab w:val="left" w:pos="284"/>
        </w:tabs>
        <w:spacing w:after="0" w:line="276" w:lineRule="auto"/>
        <w:jc w:val="both"/>
        <w:rPr>
          <w:rFonts w:ascii="Verdana" w:eastAsia="Calibri" w:hAnsi="Verdana" w:cs="Arial"/>
        </w:rPr>
      </w:pPr>
    </w:p>
    <w:p w14:paraId="2A628378" w14:textId="77777777" w:rsidR="00512C7E" w:rsidRPr="00512C7E" w:rsidRDefault="00512C7E" w:rsidP="00512C7E">
      <w:pPr>
        <w:numPr>
          <w:ilvl w:val="0"/>
          <w:numId w:val="16"/>
        </w:numPr>
        <w:tabs>
          <w:tab w:val="left" w:pos="142"/>
          <w:tab w:val="left" w:pos="284"/>
        </w:tabs>
        <w:spacing w:after="0" w:line="276" w:lineRule="auto"/>
        <w:ind w:left="360"/>
        <w:jc w:val="both"/>
        <w:rPr>
          <w:rFonts w:ascii="Verdana" w:eastAsia="Century Gothic" w:hAnsi="Verdana" w:cs="Century Gothic"/>
          <w:b/>
          <w:bCs/>
        </w:rPr>
      </w:pPr>
      <w:r w:rsidRPr="00512C7E">
        <w:rPr>
          <w:rFonts w:ascii="Verdana" w:eastAsia="Century Gothic" w:hAnsi="Verdana" w:cs="Century Gothic"/>
          <w:b/>
          <w:bCs/>
        </w:rPr>
        <w:t>Doctrina de la Agencia Nacional de Contratación Pública:</w:t>
      </w:r>
    </w:p>
    <w:p w14:paraId="205A6A7D" w14:textId="77777777" w:rsidR="00512C7E" w:rsidRPr="00512C7E" w:rsidRDefault="00512C7E" w:rsidP="00512C7E">
      <w:pPr>
        <w:widowControl w:val="0"/>
        <w:autoSpaceDE w:val="0"/>
        <w:autoSpaceDN w:val="0"/>
        <w:spacing w:after="0" w:line="276" w:lineRule="auto"/>
        <w:jc w:val="both"/>
        <w:rPr>
          <w:rFonts w:ascii="Verdana" w:eastAsia="Calibri" w:hAnsi="Verdana" w:cs="Arial"/>
        </w:rPr>
      </w:pPr>
    </w:p>
    <w:p w14:paraId="47B3F35C" w14:textId="77777777" w:rsidR="00512C7E" w:rsidRPr="00512C7E" w:rsidRDefault="00512C7E" w:rsidP="00512C7E">
      <w:pPr>
        <w:widowControl w:val="0"/>
        <w:autoSpaceDE w:val="0"/>
        <w:autoSpaceDN w:val="0"/>
        <w:spacing w:after="0" w:line="276" w:lineRule="auto"/>
        <w:jc w:val="both"/>
        <w:rPr>
          <w:rFonts w:ascii="Verdana" w:eastAsia="Times New Roman" w:hAnsi="Verdana" w:cs="Arial"/>
          <w:shd w:val="clear" w:color="auto" w:fill="FFFFFF"/>
          <w:lang w:val="es-ES"/>
        </w:rPr>
      </w:pPr>
      <w:r w:rsidRPr="00512C7E">
        <w:rPr>
          <w:rFonts w:ascii="Verdana" w:eastAsia="Calibri" w:hAnsi="Verdana" w:cs="Arial"/>
          <w:shd w:val="clear" w:color="auto" w:fill="FFFFFF"/>
        </w:rPr>
        <w:t>L</w:t>
      </w:r>
      <w:r w:rsidRPr="00512C7E">
        <w:rPr>
          <w:rFonts w:ascii="Verdana" w:eastAsia="Calibri" w:hAnsi="Verdana" w:cs="Arial"/>
          <w:shd w:val="clear" w:color="auto" w:fill="FFFFFF"/>
          <w:lang w:val="es-ES"/>
        </w:rPr>
        <w:t xml:space="preserve">a Agencia Nacional de Contratación Pública – Colombia Compra Eficiente, se ha pronunciado sobre el fundamento normativo de los documentos tipo en los conceptos: </w:t>
      </w:r>
      <w:r w:rsidRPr="00512C7E">
        <w:rPr>
          <w:rFonts w:ascii="Verdana" w:eastAsia="Times New Roman" w:hAnsi="Verdana" w:cs="Arial"/>
          <w:shd w:val="clear" w:color="auto" w:fill="FFFFFF"/>
          <w:lang w:val="es-ES"/>
        </w:rPr>
        <w:t xml:space="preserve">C-653 del 9 de noviembre de 2020, C-665 del 11 de noviembre de 2020, C-698 del 19 de noviembre de 2020, C-716 del 30 de noviembre de 2020, C-775 de 2020 del 11 de diciembre de 2020, C-798 del 25 de enero de 2021, C-027 del 1 de marzo de 2021 y C-204 del 6 de mayo de 2021, C-215 del 12 de mayo de 2021, C-224 del 20 de mayo, C-264 del 2 de junio del 2021, C-268 del 3 de junio de 2021, C-312 del 29 de junio de 2021, C-344 del 13 de julio de 2021, C-384 del 30 de julio de 2021, C-412 del 17 de agosto de 2021, C-433 del 20 de agosto de 2021, C-471 del 30 de agosto de 2021, C-450 del 31 de agosto de 2021, C-473 del 7 de septiembre de 2021, C-591 del 31 de agosto de 2021, C-493 del 13 de septiembre de 2021, C-569 del 12 de octubre de 2021, C-599 del 26 de octubre de 2021, C-643 del 17 de noviembre de 2021 y C-356 del 6 de julio de 2022, C-654 del 7 de octubre de 2022, C-874 del 22 de diciembre de 2022, C-909 del 5 de enero de 2023, C-945 del 17 de febrero de 2023, C-042 del 29 de marzo de 2023, C-051 del 28 de abril de 2023, C-299 del 24 de julio de 2023, C- 272 del 22 de agosto de 2024, C- 516 del 07 de octubre de 2024, C- 481 del 09 de noviembre de 2024, C- 692 del 19 de noviembre de </w:t>
      </w:r>
      <w:r w:rsidRPr="00512C7E">
        <w:rPr>
          <w:rFonts w:ascii="Verdana" w:eastAsia="Times New Roman" w:hAnsi="Verdana" w:cs="Arial"/>
          <w:shd w:val="clear" w:color="auto" w:fill="FFFFFF"/>
          <w:lang w:val="es-ES"/>
        </w:rPr>
        <w:lastRenderedPageBreak/>
        <w:t>2024, C-753 del 4 de enero de 2024, C-133 del 10 de marzo de 2025 y C-1485 del 24 de noviembre de 2025, entre otros.</w:t>
      </w:r>
    </w:p>
    <w:p w14:paraId="5D8BE1DE" w14:textId="77777777" w:rsidR="00512C7E" w:rsidRPr="00512C7E" w:rsidRDefault="00512C7E" w:rsidP="00512C7E">
      <w:pPr>
        <w:widowControl w:val="0"/>
        <w:autoSpaceDE w:val="0"/>
        <w:autoSpaceDN w:val="0"/>
        <w:spacing w:after="0" w:line="276" w:lineRule="auto"/>
        <w:jc w:val="both"/>
        <w:rPr>
          <w:rFonts w:ascii="Verdana" w:eastAsia="Times New Roman" w:hAnsi="Verdana" w:cs="Arial"/>
          <w:shd w:val="clear" w:color="auto" w:fill="FFFFFF"/>
          <w:lang w:val="es-ES"/>
        </w:rPr>
      </w:pPr>
    </w:p>
    <w:p w14:paraId="5A64EC7F" w14:textId="77777777" w:rsidR="00512C7E" w:rsidRPr="00512C7E" w:rsidRDefault="00512C7E" w:rsidP="00512C7E">
      <w:pPr>
        <w:widowControl w:val="0"/>
        <w:autoSpaceDE w:val="0"/>
        <w:autoSpaceDN w:val="0"/>
        <w:spacing w:after="0" w:line="276" w:lineRule="auto"/>
        <w:jc w:val="both"/>
        <w:rPr>
          <w:rFonts w:ascii="Verdana" w:eastAsia="Times New Roman" w:hAnsi="Verdana" w:cs="Arial"/>
          <w:shd w:val="clear" w:color="auto" w:fill="FFFFFF"/>
          <w:lang w:val="es-ES"/>
        </w:rPr>
      </w:pPr>
      <w:r w:rsidRPr="00512C7E">
        <w:rPr>
          <w:rFonts w:ascii="Verdana" w:eastAsia="Calibri" w:hAnsi="Verdana" w:cs="Arial"/>
          <w:shd w:val="clear" w:color="auto" w:fill="FFFFFF"/>
        </w:rPr>
        <w:t>Adicionalmente, esta Agencia se ha pronunciado sobre el artículo 17 de la Ley 842 de 2003 en los conceptos C-650 del 10 de noviembre de 2020, C-716 del 30 de noviembre de 2020, C-096 del 24 de marzo de 2021, C-108 del 29 de marzo de 2021, C-156 del 20 de abril de 2021, C-463 del 6 de septiembre de 2021, C-868 del 19 de diciembre de 2022, C-848 del 11 de diciembre de 2024, C-609 del 27 de junio de 2025 y C-012 del 16 de febrero de 2026. En ellos ha analizado la relación de esta norma con los requisitos habilitantes y su verificación, las causales de rechazo, las inhabilidades y el principio de selección objetiva, así como su aplicación en los procesos regidos por documentos tipo y la regla de inalterabilidad.</w:t>
      </w:r>
    </w:p>
    <w:p w14:paraId="6CD19EB9" w14:textId="77777777" w:rsidR="00512C7E" w:rsidRPr="00512C7E" w:rsidRDefault="00512C7E" w:rsidP="00512C7E">
      <w:pPr>
        <w:widowControl w:val="0"/>
        <w:autoSpaceDE w:val="0"/>
        <w:autoSpaceDN w:val="0"/>
        <w:spacing w:after="0" w:line="276" w:lineRule="auto"/>
        <w:jc w:val="both"/>
        <w:rPr>
          <w:rFonts w:ascii="Verdana" w:eastAsia="Times New Roman" w:hAnsi="Verdana" w:cs="Arial"/>
          <w:shd w:val="clear" w:color="auto" w:fill="FFFFFF"/>
          <w:lang w:val="es-ES"/>
        </w:rPr>
      </w:pPr>
    </w:p>
    <w:p w14:paraId="40C31033" w14:textId="77777777" w:rsidR="00512C7E" w:rsidRPr="00512C7E" w:rsidRDefault="00512C7E" w:rsidP="00512C7E">
      <w:pPr>
        <w:widowControl w:val="0"/>
        <w:autoSpaceDE w:val="0"/>
        <w:autoSpaceDN w:val="0"/>
        <w:spacing w:after="0" w:line="276" w:lineRule="auto"/>
        <w:jc w:val="both"/>
        <w:rPr>
          <w:rFonts w:ascii="Verdana" w:eastAsia="Calibri" w:hAnsi="Verdana" w:cs="Arial"/>
          <w:color w:val="0000FF"/>
          <w:kern w:val="2"/>
          <w:u w:val="single"/>
          <w:shd w:val="clear" w:color="auto" w:fill="FFFFFF"/>
          <w:lang w:eastAsia="es-MX"/>
          <w14:ligatures w14:val="standardContextual"/>
        </w:rPr>
      </w:pPr>
      <w:r w:rsidRPr="00512C7E">
        <w:rPr>
          <w:rFonts w:ascii="Verdana" w:eastAsia="Calibri" w:hAnsi="Verdana" w:cs="Arial"/>
          <w:color w:val="000000"/>
          <w:kern w:val="2"/>
          <w:shd w:val="clear" w:color="auto" w:fill="FFFFFF"/>
          <w:lang w:eastAsia="es-MX"/>
          <w14:ligatures w14:val="standardContextual"/>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tgtFrame="_blank" w:tooltip="Dirección URL original: https://relatoria.colombiacompra.gov.co/. Haga clic o pulse si confía en este vínculo." w:history="1">
        <w:r w:rsidRPr="00512C7E">
          <w:rPr>
            <w:rFonts w:ascii="Verdana" w:eastAsia="Calibri" w:hAnsi="Verdana" w:cs="Arial"/>
            <w:color w:val="0000FF"/>
            <w:kern w:val="2"/>
            <w:u w:val="single"/>
            <w:shd w:val="clear" w:color="auto" w:fill="FFFFFF"/>
            <w:lang w:eastAsia="es-MX"/>
            <w14:ligatures w14:val="standardContextual"/>
          </w:rPr>
          <w:t>https://relatoria.colombiacompra.gov.co/</w:t>
        </w:r>
      </w:hyperlink>
      <w:r w:rsidRPr="00512C7E">
        <w:rPr>
          <w:rFonts w:ascii="Verdana" w:eastAsia="Calibri" w:hAnsi="Verdana" w:cs="Arial"/>
          <w:color w:val="0000FF"/>
          <w:kern w:val="2"/>
          <w:u w:val="single"/>
          <w:shd w:val="clear" w:color="auto" w:fill="FFFFFF"/>
          <w:lang w:eastAsia="es-MX"/>
          <w14:ligatures w14:val="standardContextual"/>
        </w:rPr>
        <w:t> .</w:t>
      </w:r>
    </w:p>
    <w:p w14:paraId="16514B13" w14:textId="77777777" w:rsidR="00512C7E" w:rsidRPr="00512C7E" w:rsidRDefault="00512C7E" w:rsidP="00512C7E">
      <w:pPr>
        <w:widowControl w:val="0"/>
        <w:autoSpaceDE w:val="0"/>
        <w:autoSpaceDN w:val="0"/>
        <w:spacing w:after="0" w:line="276" w:lineRule="auto"/>
        <w:jc w:val="both"/>
        <w:rPr>
          <w:rFonts w:ascii="Verdana" w:eastAsia="Calibri" w:hAnsi="Verdana" w:cs="Arial"/>
          <w:color w:val="0000FF"/>
          <w:kern w:val="2"/>
          <w:u w:val="single"/>
          <w:shd w:val="clear" w:color="auto" w:fill="FFFFFF"/>
          <w:lang w:eastAsia="es-MX"/>
          <w14:ligatures w14:val="standardContextual"/>
        </w:rPr>
      </w:pPr>
    </w:p>
    <w:p w14:paraId="47B9C383" w14:textId="77777777" w:rsidR="00512C7E" w:rsidRPr="00512C7E" w:rsidRDefault="00512C7E" w:rsidP="00512C7E">
      <w:pPr>
        <w:spacing w:after="0" w:line="276" w:lineRule="auto"/>
        <w:jc w:val="both"/>
        <w:rPr>
          <w:rFonts w:ascii="Verdana" w:eastAsia="Aptos" w:hAnsi="Verdana" w:cs="Times New Roman"/>
          <w:kern w:val="2"/>
          <w14:ligatures w14:val="standardContextual"/>
        </w:rPr>
      </w:pPr>
      <w:r w:rsidRPr="00512C7E">
        <w:rPr>
          <w:rFonts w:ascii="Verdana" w:eastAsia="Aptos" w:hAnsi="Verdana" w:cs="Times New Roman"/>
          <w:color w:val="000000"/>
          <w:kern w:val="2"/>
          <w14:ligatures w14:val="standardContextual"/>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512C7E">
        <w:rPr>
          <w:rFonts w:ascii="Verdana" w:eastAsia="Aptos" w:hAnsi="Verdana" w:cs="Times New Roman"/>
          <w:b/>
          <w:bCs/>
          <w:color w:val="000000"/>
          <w:kern w:val="2"/>
          <w14:ligatures w14:val="standardContextual"/>
        </w:rPr>
        <w:t>Guía para la Exigencia y Constitución de Garantías en los Procesos de Contratación</w:t>
      </w:r>
      <w:r w:rsidRPr="00512C7E">
        <w:rPr>
          <w:rFonts w:ascii="Verdana" w:eastAsia="Aptos" w:hAnsi="Verdana" w:cs="Times New Roman"/>
          <w:color w:val="000000"/>
          <w:kern w:val="2"/>
          <w14:ligatures w14:val="standardContextual"/>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3" w:tooltip="https://nam02.safelinks.protection.outlook.com/?url=https%3A%2F%2Fwww.colombiacompra.gov.co%2Farchivos%2Fmanual%2Fguia-de-garantias-en-procesos-de-contratacion&amp;data=05%7C02%7Ccarlos.castrillon%40colombiacompra.gov.co%7C7128555136e04fa6887d08dee99e1b50%7C7b0904" w:history="1">
        <w:r w:rsidRPr="00512C7E">
          <w:rPr>
            <w:rFonts w:ascii="Verdana" w:eastAsia="Aptos" w:hAnsi="Verdana" w:cs="Times New Roman"/>
            <w:color w:val="0078D7"/>
            <w:kern w:val="2"/>
            <w:u w:val="single"/>
            <w14:ligatures w14:val="standardContextual"/>
          </w:rPr>
          <w:t>https://www.colombiacompra.gov.co/archivos/manual/guia-de-garantias-en-procesos-de-contratacion</w:t>
        </w:r>
      </w:hyperlink>
    </w:p>
    <w:p w14:paraId="3C8E477D" w14:textId="77777777" w:rsidR="00512C7E" w:rsidRPr="00512C7E" w:rsidRDefault="00512C7E" w:rsidP="00512C7E">
      <w:pPr>
        <w:spacing w:after="0" w:line="276" w:lineRule="auto"/>
        <w:jc w:val="both"/>
        <w:rPr>
          <w:rFonts w:ascii="Verdana" w:eastAsia="Aptos" w:hAnsi="Verdana" w:cs="Times New Roman"/>
          <w:kern w:val="2"/>
          <w14:ligatures w14:val="standardContextual"/>
        </w:rPr>
      </w:pPr>
    </w:p>
    <w:p w14:paraId="39596A84" w14:textId="77777777" w:rsidR="00512C7E" w:rsidRPr="00512C7E" w:rsidRDefault="00512C7E" w:rsidP="00512C7E">
      <w:pPr>
        <w:spacing w:after="0" w:line="276" w:lineRule="auto"/>
        <w:jc w:val="both"/>
        <w:rPr>
          <w:rFonts w:ascii="Verdana" w:eastAsia="Aptos" w:hAnsi="Verdana" w:cs="Times New Roman"/>
          <w:kern w:val="2"/>
          <w14:ligatures w14:val="standardContextual"/>
        </w:rPr>
      </w:pPr>
      <w:r w:rsidRPr="00512C7E">
        <w:rPr>
          <w:rFonts w:ascii="Verdana" w:eastAsia="Aptos" w:hAnsi="Verdana" w:cs="Times New Roman"/>
          <w:color w:val="000000"/>
          <w:kern w:val="2"/>
          <w14:ligatures w14:val="standardContextual"/>
        </w:rPr>
        <w:t>De otro lado, te contamos que el Decreto 287 del 19 de marzo de 2026 sustituyó los artículos 2.2.1.2.4.2.6., 2.2.1.2.4.2.7. y 2.2.1.2.4.2.8. del Decreto 1082 de 2015 y estructuró el </w:t>
      </w:r>
      <w:r w:rsidRPr="00512C7E">
        <w:rPr>
          <w:rFonts w:ascii="Verdana" w:eastAsia="Aptos" w:hAnsi="Verdana" w:cs="Times New Roman"/>
          <w:b/>
          <w:bCs/>
          <w:color w:val="000000"/>
          <w:kern w:val="2"/>
          <w14:ligatures w14:val="standardContextual"/>
        </w:rPr>
        <w:t>Sistema Integral de Preferencias en favor de las personas con discapacidad</w:t>
      </w:r>
      <w:r w:rsidRPr="00512C7E">
        <w:rPr>
          <w:rFonts w:ascii="Verdana" w:eastAsia="Aptos" w:hAnsi="Verdana" w:cs="Times New Roman"/>
          <w:color w:val="000000"/>
          <w:kern w:val="2"/>
          <w14:ligatures w14:val="standardContextual"/>
        </w:rPr>
        <w:t xml:space="preserve">, en cumplimiento del artículo 13 de la Ley </w:t>
      </w:r>
      <w:r w:rsidRPr="00512C7E">
        <w:rPr>
          <w:rFonts w:ascii="Verdana" w:eastAsia="Aptos" w:hAnsi="Verdana" w:cs="Times New Roman"/>
          <w:color w:val="000000"/>
          <w:kern w:val="2"/>
          <w14:ligatures w14:val="standardContextual"/>
        </w:rPr>
        <w:lastRenderedPageBreak/>
        <w:t>Estatutaria 1618 de 2013. Para orientar su aplicación, esta Agencia expidió la </w:t>
      </w:r>
      <w:r w:rsidRPr="00512C7E">
        <w:rPr>
          <w:rFonts w:ascii="Verdana" w:eastAsia="Aptos" w:hAnsi="Verdana" w:cs="Times New Roman"/>
          <w:b/>
          <w:bCs/>
          <w:color w:val="000000"/>
          <w:kern w:val="2"/>
          <w14:ligatures w14:val="standardContextual"/>
        </w:rPr>
        <w:t>Circular Externa 003 del 12 de mayo de 2026, </w:t>
      </w:r>
      <w:r w:rsidRPr="00512C7E">
        <w:rPr>
          <w:rFonts w:ascii="Verdana" w:eastAsia="Aptos" w:hAnsi="Verdana" w:cs="Times New Roman"/>
          <w:color w:val="000000"/>
          <w:kern w:val="2"/>
          <w14:ligatures w14:val="standardContextual"/>
        </w:rPr>
        <w:t>en la que precisa quiénes son los beneficiarios, las cinco medidas que integran el sistema y su obligatoriedad según la modalidad de selección, y el régimen de transición aplicable a los procesos en curso. Consúltala aquí: </w:t>
      </w:r>
      <w:hyperlink r:id="rId14" w:tooltip="https://nam02.safelinks.protection.outlook.com/?url=https%3A%2F%2Fwww.colombiacompra.gov.co%2Farchivos%2Fcircular%2Fcircular-externa-003-de-2026&amp;data=05%7C02%7Ccarlos.castrillon%40colombiacompra.gov.co%7C7128555136e04fa6887d08dee99e1b50%7C7b09041e245149d08cb17" w:history="1">
        <w:r w:rsidRPr="00512C7E">
          <w:rPr>
            <w:rFonts w:ascii="Verdana" w:eastAsia="Aptos" w:hAnsi="Verdana" w:cs="Times New Roman"/>
            <w:color w:val="0078D7"/>
            <w:kern w:val="2"/>
            <w:u w:val="single"/>
            <w14:ligatures w14:val="standardContextual"/>
          </w:rPr>
          <w:t>https://www.colombiacompra.gov.co/archivos/circular/circular-externa-003-de-2026</w:t>
        </w:r>
      </w:hyperlink>
    </w:p>
    <w:p w14:paraId="36581735" w14:textId="77777777" w:rsidR="00512C7E" w:rsidRPr="00512C7E" w:rsidRDefault="00512C7E" w:rsidP="00512C7E">
      <w:pPr>
        <w:spacing w:after="0" w:line="276" w:lineRule="auto"/>
        <w:jc w:val="both"/>
        <w:rPr>
          <w:rFonts w:ascii="Verdana" w:eastAsia="Aptos" w:hAnsi="Verdana" w:cs="Times New Roman"/>
          <w:color w:val="000000"/>
          <w:kern w:val="2"/>
          <w14:ligatures w14:val="standardContextual"/>
        </w:rPr>
      </w:pPr>
    </w:p>
    <w:p w14:paraId="6C7F0A24" w14:textId="77777777" w:rsidR="00512C7E" w:rsidRPr="00512C7E" w:rsidRDefault="00512C7E" w:rsidP="00512C7E">
      <w:pPr>
        <w:spacing w:after="0" w:line="276" w:lineRule="auto"/>
        <w:jc w:val="both"/>
        <w:rPr>
          <w:rFonts w:ascii="Verdana" w:eastAsia="Aptos" w:hAnsi="Verdana" w:cs="Times New Roman"/>
          <w:kern w:val="2"/>
          <w14:ligatures w14:val="standardContextual"/>
        </w:rPr>
      </w:pPr>
      <w:r w:rsidRPr="00512C7E">
        <w:rPr>
          <w:rFonts w:ascii="Verdana" w:eastAsia="Aptos" w:hAnsi="Verdana" w:cs="Times New Roman"/>
          <w:color w:val="000000"/>
          <w:kern w:val="2"/>
          <w14:ligatures w14:val="standardContextual"/>
        </w:rPr>
        <w:t>Recuerda también que la</w:t>
      </w:r>
      <w:r w:rsidRPr="00512C7E">
        <w:rPr>
          <w:rFonts w:ascii="Verdana" w:eastAsia="Aptos" w:hAnsi="Verdana" w:cs="Times New Roman"/>
          <w:b/>
          <w:bCs/>
          <w:color w:val="000000"/>
          <w:kern w:val="2"/>
          <w14:ligatures w14:val="standardContextual"/>
        </w:rPr>
        <w:t> información sobre sanciones e inhabilidades </w:t>
      </w:r>
      <w:r w:rsidRPr="00512C7E">
        <w:rPr>
          <w:rFonts w:ascii="Verdana" w:eastAsia="Aptos" w:hAnsi="Verdana" w:cs="Times New Roman"/>
          <w:color w:val="000000"/>
          <w:kern w:val="2"/>
          <w14:ligatures w14:val="standardContextual"/>
        </w:rPr>
        <w:t>solo cumple su función preventiva si llega oportunamente a los registros públicos. Sobre este deber, esta Agencia expidió la </w:t>
      </w:r>
      <w:r w:rsidRPr="00512C7E">
        <w:rPr>
          <w:rFonts w:ascii="Verdana" w:eastAsia="Aptos" w:hAnsi="Verdana" w:cs="Times New Roman"/>
          <w:b/>
          <w:bCs/>
          <w:color w:val="000000"/>
          <w:kern w:val="2"/>
          <w14:ligatures w14:val="standardContextual"/>
        </w:rPr>
        <w:t>Circular Externa 002 del 5 de mayo de 2026,</w:t>
      </w:r>
      <w:r w:rsidRPr="00512C7E">
        <w:rPr>
          <w:rFonts w:ascii="Verdana" w:eastAsia="Aptos" w:hAnsi="Verdana" w:cs="Times New Roman"/>
          <w:color w:val="000000"/>
          <w:kern w:val="2"/>
          <w14:ligatures w14:val="standardContextual"/>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5" w:tooltip="https://nam02.safelinks.protection.outlook.com/?url=https%3A%2F%2Fwww.colombiacompra.gov.co%2Farchivos%2Fcircular%2Fcircular-externa-002-de-2026&amp;data=05%7C02%7Ccarlos.castrillon%40colombiacompra.gov.co%7C7128555136e04fa6887d08dee99e1b50%7C7b09041e245149d08cb17" w:history="1">
        <w:r w:rsidRPr="00512C7E">
          <w:rPr>
            <w:rFonts w:ascii="Verdana" w:eastAsia="Aptos" w:hAnsi="Verdana" w:cs="Times New Roman"/>
            <w:color w:val="0078D7"/>
            <w:kern w:val="2"/>
            <w:u w:val="single"/>
            <w14:ligatures w14:val="standardContextual"/>
          </w:rPr>
          <w:t>https://www.colombiacompra.gov.co/archivos/circular/circular-externa-002-de-2026</w:t>
        </w:r>
      </w:hyperlink>
    </w:p>
    <w:p w14:paraId="60B508A1" w14:textId="77777777" w:rsidR="00512C7E" w:rsidRPr="00512C7E" w:rsidRDefault="00512C7E" w:rsidP="00512C7E">
      <w:pPr>
        <w:spacing w:after="0" w:line="276" w:lineRule="auto"/>
        <w:jc w:val="both"/>
        <w:rPr>
          <w:rFonts w:ascii="Verdana" w:eastAsia="Aptos" w:hAnsi="Verdana" w:cs="Times New Roman"/>
          <w:color w:val="000000"/>
          <w:kern w:val="2"/>
          <w14:ligatures w14:val="standardContextual"/>
        </w:rPr>
      </w:pPr>
    </w:p>
    <w:p w14:paraId="1C18E494" w14:textId="77777777" w:rsidR="00512C7E" w:rsidRPr="00512C7E" w:rsidRDefault="00512C7E" w:rsidP="00512C7E">
      <w:pPr>
        <w:spacing w:after="0" w:line="276" w:lineRule="auto"/>
        <w:jc w:val="both"/>
        <w:rPr>
          <w:rFonts w:ascii="Verdana" w:eastAsia="Aptos" w:hAnsi="Verdana" w:cs="Times New Roman"/>
          <w:color w:val="000000"/>
          <w:kern w:val="2"/>
          <w14:ligatures w14:val="standardContextual"/>
        </w:rPr>
      </w:pPr>
      <w:r w:rsidRPr="00512C7E">
        <w:rPr>
          <w:rFonts w:ascii="Verdana" w:eastAsia="Aptos" w:hAnsi="Verdana" w:cs="Times New Roman"/>
          <w:color w:val="000000"/>
          <w:kern w:val="2"/>
          <w14:ligatures w14:val="standardContextual"/>
        </w:rPr>
        <w:t>Finalmente, si quieres seguir de cerca la actividad de la Agencia, la tercera edición de 2026 del</w:t>
      </w:r>
      <w:r w:rsidRPr="00512C7E">
        <w:rPr>
          <w:rFonts w:ascii="Verdana" w:eastAsia="Aptos" w:hAnsi="Verdana" w:cs="Times New Roman"/>
          <w:b/>
          <w:bCs/>
          <w:color w:val="000000"/>
          <w:kern w:val="2"/>
          <w14:ligatures w14:val="standardContextual"/>
        </w:rPr>
        <w:t> Radar de la Compra Pública</w:t>
      </w:r>
      <w:r w:rsidRPr="00512C7E">
        <w:rPr>
          <w:rFonts w:ascii="Verdana" w:eastAsia="Aptos" w:hAnsi="Verdana" w:cs="Times New Roman"/>
          <w:color w:val="000000"/>
          <w:kern w:val="2"/>
          <w14:ligatures w14:val="standardContextual"/>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6" w:tooltip="https://nam02.safelinks.protection.outlook.com/?url=https%3A%2F%2Fwww.colombiacompra.gov.co%2Farchivos%2Fboletin%2Fboletin-edicion-n-3-de-2026-radar-de-la-compra-publica&amp;data=05%7C02%7Ccarlos.castrillon%40colombiacompra.gov.co%7C7128555136e04fa6887d08dee99e1b5" w:history="1">
        <w:r w:rsidRPr="00512C7E">
          <w:rPr>
            <w:rFonts w:ascii="Verdana" w:eastAsia="Aptos" w:hAnsi="Verdana" w:cs="Times New Roman"/>
            <w:color w:val="0078D7"/>
            <w:kern w:val="2"/>
            <w:u w:val="single"/>
            <w14:ligatures w14:val="standardContextual"/>
          </w:rPr>
          <w:t>https://www.colombiacompra.gov.co/archivos/boletin/boletin-edicion-n-3-de-2026-radar-de-la-compra-publica</w:t>
        </w:r>
      </w:hyperlink>
      <w:r w:rsidRPr="00512C7E">
        <w:rPr>
          <w:rFonts w:ascii="Verdana" w:eastAsia="Aptos" w:hAnsi="Verdana" w:cs="Times New Roman"/>
          <w:color w:val="000000"/>
          <w:kern w:val="2"/>
          <w14:ligatures w14:val="standardContextual"/>
        </w:rPr>
        <w:t>"</w:t>
      </w:r>
    </w:p>
    <w:p w14:paraId="0205BE50" w14:textId="77777777" w:rsidR="00512C7E" w:rsidRPr="00512C7E" w:rsidRDefault="00512C7E" w:rsidP="00512C7E">
      <w:pPr>
        <w:spacing w:after="0" w:line="276" w:lineRule="auto"/>
        <w:jc w:val="both"/>
        <w:rPr>
          <w:rFonts w:ascii="Verdana" w:eastAsia="Aptos" w:hAnsi="Verdana" w:cs="Times New Roman"/>
          <w:color w:val="000000"/>
          <w:kern w:val="2"/>
          <w14:ligatures w14:val="standardContextual"/>
        </w:rPr>
      </w:pPr>
    </w:p>
    <w:p w14:paraId="3162AD8C" w14:textId="77777777" w:rsidR="00512C7E" w:rsidRPr="00512C7E" w:rsidRDefault="00512C7E" w:rsidP="00512C7E">
      <w:pPr>
        <w:spacing w:after="0" w:line="276" w:lineRule="auto"/>
        <w:jc w:val="both"/>
        <w:rPr>
          <w:rFonts w:ascii="Verdana" w:eastAsia="Aptos" w:hAnsi="Verdana" w:cs="Times New Roman"/>
          <w:kern w:val="2"/>
          <w:lang w:eastAsia="es-MX"/>
          <w14:ligatures w14:val="standardContextual"/>
        </w:rPr>
      </w:pPr>
      <w:r w:rsidRPr="00512C7E">
        <w:rPr>
          <w:rFonts w:ascii="Verdana" w:eastAsia="Aptos" w:hAnsi="Verdana" w:cs="Times New Roman"/>
          <w:kern w:val="2"/>
          <w:lang w:eastAsia="es-MX"/>
          <w14:ligatures w14:val="standardContextual"/>
        </w:rPr>
        <w:t xml:space="preserve">Por último, lo invitamos a seguirnos en las redes sociales en las cuales se difunde información institucional: </w:t>
      </w:r>
    </w:p>
    <w:p w14:paraId="31A8AD54" w14:textId="77777777" w:rsidR="00512C7E" w:rsidRPr="00512C7E" w:rsidRDefault="00512C7E" w:rsidP="00512C7E">
      <w:pPr>
        <w:spacing w:after="0" w:line="276" w:lineRule="auto"/>
        <w:jc w:val="both"/>
        <w:rPr>
          <w:rFonts w:ascii="Verdana" w:eastAsia="Calibri" w:hAnsi="Verdana" w:cs="Times New Roman"/>
          <w:kern w:val="2"/>
          <w:lang w:eastAsia="es-MX"/>
          <w14:ligatures w14:val="standardContextual"/>
        </w:rPr>
      </w:pPr>
    </w:p>
    <w:p w14:paraId="2F0E355A" w14:textId="77777777" w:rsidR="00512C7E" w:rsidRPr="00512C7E" w:rsidRDefault="00512C7E" w:rsidP="00512C7E">
      <w:pPr>
        <w:spacing w:after="0" w:line="276" w:lineRule="auto"/>
        <w:jc w:val="both"/>
        <w:rPr>
          <w:rFonts w:ascii="Verdana" w:eastAsia="Aptos" w:hAnsi="Verdana" w:cs="Times New Roman"/>
          <w:kern w:val="2"/>
          <w:lang w:eastAsia="es-MX"/>
          <w14:ligatures w14:val="standardContextual"/>
        </w:rPr>
      </w:pPr>
      <w:r w:rsidRPr="00512C7E">
        <w:rPr>
          <w:rFonts w:ascii="Verdana" w:eastAsia="Aptos" w:hAnsi="Verdana" w:cs="Times New Roman"/>
          <w:kern w:val="2"/>
          <w:lang w:eastAsia="es-MX"/>
          <w14:ligatures w14:val="standardContextual"/>
        </w:rPr>
        <w:t xml:space="preserve">Twitter: </w:t>
      </w:r>
      <w:r w:rsidRPr="00512C7E">
        <w:rPr>
          <w:rFonts w:ascii="Verdana" w:eastAsia="Calibri" w:hAnsi="Verdana" w:cs="Times New Roman"/>
          <w:color w:val="156082"/>
          <w:kern w:val="2"/>
          <w:u w:val="single"/>
          <w:lang w:eastAsia="es-MX"/>
          <w14:ligatures w14:val="standardContextual"/>
        </w:rPr>
        <w:t>@colombiacompra</w:t>
      </w:r>
      <w:r w:rsidRPr="00512C7E">
        <w:rPr>
          <w:rFonts w:ascii="Verdana" w:eastAsia="Calibri" w:hAnsi="Verdana" w:cs="Times New Roman"/>
          <w:color w:val="156082"/>
          <w:kern w:val="2"/>
          <w:lang w:eastAsia="es-MX"/>
          <w14:ligatures w14:val="standardContextual"/>
        </w:rPr>
        <w:t xml:space="preserve"> </w:t>
      </w:r>
    </w:p>
    <w:p w14:paraId="4F217C43" w14:textId="77777777" w:rsidR="00512C7E" w:rsidRPr="00512C7E" w:rsidRDefault="00512C7E" w:rsidP="00512C7E">
      <w:pPr>
        <w:spacing w:after="0" w:line="276" w:lineRule="auto"/>
        <w:jc w:val="both"/>
        <w:rPr>
          <w:rFonts w:ascii="Verdana" w:eastAsia="Aptos" w:hAnsi="Verdana" w:cs="Times New Roman"/>
          <w:kern w:val="2"/>
          <w:lang w:eastAsia="es-MX"/>
          <w14:ligatures w14:val="standardContextual"/>
        </w:rPr>
      </w:pPr>
      <w:r w:rsidRPr="00512C7E">
        <w:rPr>
          <w:rFonts w:ascii="Verdana" w:eastAsia="Aptos" w:hAnsi="Verdana" w:cs="Times New Roman"/>
          <w:kern w:val="2"/>
          <w:lang w:eastAsia="es-MX"/>
          <w14:ligatures w14:val="standardContextual"/>
        </w:rPr>
        <w:t xml:space="preserve">Facebook: </w:t>
      </w:r>
      <w:proofErr w:type="spellStart"/>
      <w:r w:rsidRPr="00512C7E">
        <w:rPr>
          <w:rFonts w:ascii="Verdana" w:eastAsia="Calibri" w:hAnsi="Verdana" w:cs="Times New Roman"/>
          <w:color w:val="156082"/>
          <w:kern w:val="2"/>
          <w:u w:val="single"/>
          <w:lang w:eastAsia="es-MX"/>
          <w14:ligatures w14:val="standardContextual"/>
        </w:rPr>
        <w:t>ColombiaCompraEficiente</w:t>
      </w:r>
      <w:proofErr w:type="spellEnd"/>
    </w:p>
    <w:p w14:paraId="52A8E384" w14:textId="77777777" w:rsidR="00512C7E" w:rsidRPr="00512C7E" w:rsidRDefault="00512C7E" w:rsidP="00512C7E">
      <w:pPr>
        <w:spacing w:after="0" w:line="276" w:lineRule="auto"/>
        <w:jc w:val="both"/>
        <w:rPr>
          <w:rFonts w:ascii="Verdana" w:eastAsia="Aptos" w:hAnsi="Verdana" w:cs="Times New Roman"/>
          <w:kern w:val="2"/>
          <w:lang w:eastAsia="es-MX"/>
          <w14:ligatures w14:val="standardContextual"/>
        </w:rPr>
      </w:pPr>
      <w:r w:rsidRPr="00512C7E">
        <w:rPr>
          <w:rFonts w:ascii="Verdana" w:eastAsia="Aptos" w:hAnsi="Verdana" w:cs="Times New Roman"/>
          <w:kern w:val="2"/>
          <w:lang w:eastAsia="es-MX"/>
          <w14:ligatures w14:val="standardContextual"/>
        </w:rPr>
        <w:t xml:space="preserve">LinkedIn: </w:t>
      </w:r>
      <w:r w:rsidRPr="00512C7E">
        <w:rPr>
          <w:rFonts w:ascii="Verdana" w:eastAsia="Calibri" w:hAnsi="Verdana" w:cs="Times New Roman"/>
          <w:color w:val="156082"/>
          <w:kern w:val="2"/>
          <w:u w:val="single"/>
          <w:lang w:eastAsia="es-MX"/>
          <w14:ligatures w14:val="standardContextual"/>
        </w:rPr>
        <w:t>Agencia Nacional de Contratación Pública - Colombia Compra Eficiente</w:t>
      </w:r>
      <w:r w:rsidRPr="00512C7E">
        <w:rPr>
          <w:rFonts w:ascii="Verdana" w:eastAsia="Calibri" w:hAnsi="Verdana" w:cs="Times New Roman"/>
          <w:color w:val="156082"/>
          <w:kern w:val="2"/>
          <w:lang w:eastAsia="es-MX"/>
          <w14:ligatures w14:val="standardContextual"/>
        </w:rPr>
        <w:t xml:space="preserve"> </w:t>
      </w:r>
      <w:r w:rsidRPr="00512C7E">
        <w:rPr>
          <w:rFonts w:ascii="Verdana" w:eastAsia="Aptos" w:hAnsi="Verdana" w:cs="Times New Roman"/>
          <w:kern w:val="2"/>
          <w:lang w:eastAsia="es-MX"/>
          <w14:ligatures w14:val="standardContextual"/>
        </w:rPr>
        <w:t xml:space="preserve">Instagram: </w:t>
      </w:r>
      <w:r w:rsidRPr="00512C7E">
        <w:rPr>
          <w:rFonts w:ascii="Verdana" w:eastAsia="Calibri" w:hAnsi="Verdana" w:cs="Times New Roman"/>
          <w:color w:val="156082"/>
          <w:kern w:val="2"/>
          <w:u w:val="single"/>
          <w:lang w:eastAsia="es-MX"/>
          <w14:ligatures w14:val="standardContextual"/>
        </w:rPr>
        <w:t>@colombiacompraeficiente_cce</w:t>
      </w:r>
    </w:p>
    <w:p w14:paraId="342D1C3D" w14:textId="77777777" w:rsidR="00512C7E" w:rsidRPr="00512C7E" w:rsidRDefault="00512C7E" w:rsidP="00512C7E">
      <w:pPr>
        <w:spacing w:after="0" w:line="276" w:lineRule="auto"/>
        <w:jc w:val="both"/>
        <w:rPr>
          <w:rFonts w:ascii="Verdana" w:eastAsia="Aptos" w:hAnsi="Verdana" w:cs="Times New Roman"/>
          <w:kern w:val="2"/>
          <w:lang w:eastAsia="es-MX"/>
          <w14:ligatures w14:val="standardContextual"/>
        </w:rPr>
      </w:pPr>
    </w:p>
    <w:p w14:paraId="41A12F78" w14:textId="77777777" w:rsidR="00512C7E" w:rsidRPr="00512C7E" w:rsidRDefault="00512C7E" w:rsidP="00512C7E">
      <w:pPr>
        <w:spacing w:after="0" w:line="276" w:lineRule="auto"/>
        <w:jc w:val="both"/>
        <w:rPr>
          <w:rFonts w:ascii="Verdana" w:eastAsia="Calibri" w:hAnsi="Verdana" w:cs="Times New Roman"/>
          <w:bCs/>
          <w:kern w:val="2"/>
          <w:lang w:val="es-ES_tradnl" w:eastAsia="es-MX"/>
          <w14:ligatures w14:val="standardContextual"/>
        </w:rPr>
      </w:pPr>
      <w:r w:rsidRPr="00512C7E">
        <w:rPr>
          <w:rFonts w:ascii="Verdana" w:eastAsia="Calibri" w:hAnsi="Verdana" w:cs="Times New Roman"/>
          <w:kern w:val="2"/>
          <w:lang w:val="es-ES_tradnl" w:eastAsia="es-MX"/>
          <w14:ligatures w14:val="standardContextua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5FA6EA3B" w14:textId="77777777" w:rsidR="00512C7E" w:rsidRPr="00512C7E" w:rsidRDefault="00512C7E" w:rsidP="00512C7E">
      <w:pPr>
        <w:spacing w:after="0" w:line="276" w:lineRule="auto"/>
        <w:jc w:val="both"/>
        <w:rPr>
          <w:rFonts w:ascii="Verdana" w:eastAsia="Calibri" w:hAnsi="Verdana" w:cs="Times New Roman"/>
          <w:kern w:val="2"/>
          <w:lang w:eastAsia="es-MX"/>
          <w14:ligatures w14:val="standardContextual"/>
        </w:rPr>
      </w:pPr>
    </w:p>
    <w:p w14:paraId="2174B8E5" w14:textId="77777777" w:rsidR="00512C7E" w:rsidRPr="00512C7E" w:rsidRDefault="00512C7E" w:rsidP="00512C7E">
      <w:pPr>
        <w:spacing w:after="0" w:line="276" w:lineRule="auto"/>
        <w:jc w:val="both"/>
        <w:rPr>
          <w:rFonts w:ascii="Verdana" w:eastAsia="Calibri" w:hAnsi="Verdana" w:cs="Times New Roman"/>
          <w:kern w:val="2"/>
          <w:lang w:eastAsia="es-MX"/>
          <w14:ligatures w14:val="standardContextual"/>
        </w:rPr>
      </w:pPr>
      <w:r w:rsidRPr="00512C7E">
        <w:rPr>
          <w:rFonts w:ascii="Verdana" w:eastAsia="Calibri" w:hAnsi="Verdana" w:cs="Times New Roman"/>
          <w:kern w:val="2"/>
          <w:lang w:eastAsia="es-MX"/>
          <w14:ligatures w14:val="standardContextual"/>
        </w:rPr>
        <w:t>Atentamente,</w:t>
      </w:r>
    </w:p>
    <w:p w14:paraId="15E5EC68" w14:textId="26F858A3" w:rsidR="00512C7E" w:rsidRPr="00512C7E" w:rsidRDefault="008F2387" w:rsidP="00512C7E">
      <w:pPr>
        <w:tabs>
          <w:tab w:val="left" w:pos="1320"/>
        </w:tabs>
        <w:spacing w:after="0" w:line="278" w:lineRule="auto"/>
        <w:jc w:val="center"/>
        <w:rPr>
          <w:rFonts w:ascii="Century Gothic" w:eastAsia="Calibri" w:hAnsi="Century Gothic" w:cs="Times New Roman"/>
          <w:kern w:val="2"/>
          <w:sz w:val="24"/>
          <w:szCs w:val="24"/>
          <w:lang w:eastAsia="es-MX"/>
          <w14:ligatures w14:val="standardContextual"/>
        </w:rPr>
      </w:pPr>
      <w:r w:rsidRPr="004D5C25">
        <w:rPr>
          <w:rFonts w:ascii="Century Gothic" w:hAnsi="Century Gothic"/>
          <w:noProof/>
        </w:rPr>
        <w:drawing>
          <wp:inline distT="0" distB="0" distL="0" distR="0" wp14:anchorId="206D27D4" wp14:editId="169DB5DA">
            <wp:extent cx="2394455" cy="1027953"/>
            <wp:effectExtent l="0" t="0" r="0" b="127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7"/>
                    <a:stretch>
                      <a:fillRect/>
                    </a:stretch>
                  </pic:blipFill>
                  <pic:spPr>
                    <a:xfrm>
                      <a:off x="0" y="0"/>
                      <a:ext cx="2468950" cy="1059934"/>
                    </a:xfrm>
                    <a:prstGeom prst="rect">
                      <a:avLst/>
                    </a:prstGeom>
                  </pic:spPr>
                </pic:pic>
              </a:graphicData>
            </a:graphic>
          </wp:inline>
        </w:drawing>
      </w:r>
    </w:p>
    <w:p w14:paraId="30AB02A3" w14:textId="77777777" w:rsidR="00512C7E" w:rsidRPr="00512C7E" w:rsidRDefault="00512C7E" w:rsidP="00512C7E">
      <w:pPr>
        <w:tabs>
          <w:tab w:val="left" w:pos="1320"/>
        </w:tabs>
        <w:spacing w:after="0" w:line="278" w:lineRule="auto"/>
        <w:rPr>
          <w:rFonts w:ascii="Century Gothic" w:eastAsia="Calibri" w:hAnsi="Century Gothic" w:cs="Times New Roman"/>
          <w:kern w:val="2"/>
          <w:sz w:val="24"/>
          <w:szCs w:val="24"/>
          <w:lang w:eastAsia="es-MX"/>
          <w14:ligatures w14:val="standardContextual"/>
        </w:rPr>
      </w:pPr>
    </w:p>
    <w:tbl>
      <w:tblPr>
        <w:tblStyle w:val="Tablaconcuadrcula"/>
        <w:tblW w:w="7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1"/>
        <w:gridCol w:w="6561"/>
      </w:tblGrid>
      <w:tr w:rsidR="00512C7E" w:rsidRPr="00512C7E" w14:paraId="72700540" w14:textId="77777777" w:rsidTr="009E3879">
        <w:trPr>
          <w:trHeight w:val="323"/>
        </w:trPr>
        <w:tc>
          <w:tcPr>
            <w:tcW w:w="1041" w:type="dxa"/>
            <w:vAlign w:val="center"/>
            <w:hideMark/>
          </w:tcPr>
          <w:p w14:paraId="2B90EB2D" w14:textId="77777777" w:rsidR="00512C7E" w:rsidRPr="00512C7E" w:rsidRDefault="00512C7E" w:rsidP="00512C7E">
            <w:pPr>
              <w:rPr>
                <w:rFonts w:ascii="Verdana" w:eastAsia="Calibri" w:hAnsi="Verdana" w:cs="Arial"/>
                <w:sz w:val="16"/>
                <w:szCs w:val="16"/>
                <w:lang w:val="es-ES_tradnl" w:eastAsia="es-ES"/>
              </w:rPr>
            </w:pPr>
            <w:r w:rsidRPr="00512C7E">
              <w:rPr>
                <w:rFonts w:ascii="Verdana" w:eastAsia="Calibri" w:hAnsi="Verdana" w:cs="Arial"/>
                <w:sz w:val="16"/>
                <w:szCs w:val="16"/>
                <w:lang w:val="es-ES_tradnl" w:eastAsia="es-ES"/>
              </w:rPr>
              <w:t>Elaboró:</w:t>
            </w:r>
          </w:p>
        </w:tc>
        <w:tc>
          <w:tcPr>
            <w:tcW w:w="6561" w:type="dxa"/>
            <w:tcBorders>
              <w:top w:val="nil"/>
              <w:left w:val="nil"/>
              <w:bottom w:val="dotted" w:sz="4" w:space="0" w:color="7F7F7F"/>
              <w:right w:val="nil"/>
            </w:tcBorders>
            <w:vAlign w:val="center"/>
            <w:hideMark/>
          </w:tcPr>
          <w:p w14:paraId="719AED85" w14:textId="77777777" w:rsidR="00512C7E" w:rsidRPr="00512C7E" w:rsidRDefault="00512C7E" w:rsidP="00512C7E">
            <w:pPr>
              <w:rPr>
                <w:rFonts w:ascii="Verdana" w:eastAsia="Arial" w:hAnsi="Verdana" w:cs="Arial"/>
                <w:sz w:val="16"/>
                <w:szCs w:val="16"/>
                <w:lang w:val="es-ES" w:eastAsia="es-MX"/>
              </w:rPr>
            </w:pPr>
            <w:r w:rsidRPr="00512C7E">
              <w:rPr>
                <w:rFonts w:ascii="Verdana" w:eastAsia="Arial" w:hAnsi="Verdana" w:cs="Arial"/>
                <w:sz w:val="16"/>
                <w:szCs w:val="16"/>
                <w:lang w:val="es-ES" w:eastAsia="es-MX"/>
              </w:rPr>
              <w:t xml:space="preserve">Carlos Mario Castrillón Endo </w:t>
            </w:r>
          </w:p>
          <w:p w14:paraId="5F96EECA" w14:textId="77777777" w:rsidR="00512C7E" w:rsidRPr="00512C7E" w:rsidRDefault="00512C7E" w:rsidP="00512C7E">
            <w:pPr>
              <w:rPr>
                <w:rFonts w:ascii="Verdana" w:eastAsia="Arial" w:hAnsi="Verdana" w:cs="Arial"/>
                <w:sz w:val="16"/>
                <w:szCs w:val="16"/>
                <w:lang w:val="es-ES_tradnl" w:eastAsia="es-MX"/>
              </w:rPr>
            </w:pPr>
            <w:r w:rsidRPr="00512C7E">
              <w:rPr>
                <w:rFonts w:ascii="Verdana" w:eastAsia="Arial" w:hAnsi="Verdana" w:cs="Arial"/>
                <w:sz w:val="16"/>
                <w:szCs w:val="16"/>
                <w:lang w:val="es-ES_tradnl" w:eastAsia="es-MX"/>
              </w:rPr>
              <w:t>Contratista de la Subdirección de Gestión Contractual</w:t>
            </w:r>
          </w:p>
          <w:p w14:paraId="3C53B5BE" w14:textId="77777777" w:rsidR="00512C7E" w:rsidRPr="00512C7E" w:rsidRDefault="00512C7E" w:rsidP="00512C7E">
            <w:pPr>
              <w:rPr>
                <w:rFonts w:ascii="Verdana" w:eastAsia="Arial" w:hAnsi="Verdana" w:cs="Arial"/>
                <w:sz w:val="16"/>
                <w:szCs w:val="16"/>
                <w:lang w:val="es-ES_tradnl" w:eastAsia="es-MX"/>
              </w:rPr>
            </w:pPr>
          </w:p>
        </w:tc>
      </w:tr>
      <w:tr w:rsidR="00512C7E" w:rsidRPr="00512C7E" w14:paraId="29B4CE10" w14:textId="77777777" w:rsidTr="009E3879">
        <w:trPr>
          <w:trHeight w:val="338"/>
        </w:trPr>
        <w:tc>
          <w:tcPr>
            <w:tcW w:w="1041" w:type="dxa"/>
            <w:vAlign w:val="center"/>
            <w:hideMark/>
          </w:tcPr>
          <w:p w14:paraId="4E86502D" w14:textId="77777777" w:rsidR="00512C7E" w:rsidRPr="00512C7E" w:rsidRDefault="00512C7E" w:rsidP="00512C7E">
            <w:pPr>
              <w:rPr>
                <w:rFonts w:ascii="Verdana" w:eastAsia="Calibri" w:hAnsi="Verdana" w:cs="Arial"/>
                <w:sz w:val="16"/>
                <w:szCs w:val="16"/>
                <w:lang w:val="es-ES_tradnl" w:eastAsia="es-ES"/>
              </w:rPr>
            </w:pPr>
            <w:r w:rsidRPr="00512C7E">
              <w:rPr>
                <w:rFonts w:ascii="Verdana" w:eastAsia="Calibri" w:hAnsi="Verdana" w:cs="Arial"/>
                <w:sz w:val="16"/>
                <w:szCs w:val="16"/>
                <w:lang w:val="es-ES_tradnl" w:eastAsia="es-ES"/>
              </w:rPr>
              <w:t>Revisó:</w:t>
            </w:r>
          </w:p>
        </w:tc>
        <w:tc>
          <w:tcPr>
            <w:tcW w:w="6561" w:type="dxa"/>
            <w:tcBorders>
              <w:top w:val="dotted" w:sz="4" w:space="0" w:color="7F7F7F"/>
              <w:left w:val="nil"/>
              <w:bottom w:val="dotted" w:sz="4" w:space="0" w:color="7F7F7F"/>
              <w:right w:val="nil"/>
            </w:tcBorders>
            <w:vAlign w:val="center"/>
            <w:hideMark/>
          </w:tcPr>
          <w:p w14:paraId="11BEA5CB" w14:textId="77777777" w:rsidR="00512C7E" w:rsidRPr="00512C7E" w:rsidRDefault="00512C7E" w:rsidP="00512C7E">
            <w:pPr>
              <w:rPr>
                <w:rFonts w:ascii="Verdana" w:eastAsia="Arial" w:hAnsi="Verdana" w:cs="Arial"/>
                <w:sz w:val="16"/>
                <w:szCs w:val="16"/>
                <w:lang w:val="es-ES_tradnl" w:eastAsia="es-MX"/>
              </w:rPr>
            </w:pPr>
            <w:r w:rsidRPr="00512C7E">
              <w:rPr>
                <w:rFonts w:ascii="Verdana" w:eastAsia="Arial" w:hAnsi="Verdana" w:cs="Arial"/>
                <w:sz w:val="16"/>
                <w:szCs w:val="16"/>
                <w:lang w:val="es-ES_tradnl" w:eastAsia="es-MX"/>
              </w:rPr>
              <w:t>Juan David Cárdenas Cabeza</w:t>
            </w:r>
          </w:p>
          <w:p w14:paraId="59EB0F3F" w14:textId="77777777" w:rsidR="00512C7E" w:rsidRPr="00512C7E" w:rsidRDefault="00512C7E" w:rsidP="00512C7E">
            <w:pPr>
              <w:rPr>
                <w:rFonts w:ascii="Verdana" w:eastAsia="Arial" w:hAnsi="Verdana" w:cs="Arial"/>
                <w:sz w:val="16"/>
                <w:szCs w:val="16"/>
                <w:lang w:val="es-ES" w:eastAsia="es-MX"/>
              </w:rPr>
            </w:pPr>
            <w:r w:rsidRPr="00512C7E">
              <w:rPr>
                <w:rFonts w:ascii="Verdana" w:eastAsia="Arial" w:hAnsi="Verdana" w:cs="Arial"/>
                <w:sz w:val="16"/>
                <w:szCs w:val="16"/>
                <w:lang w:val="es-ES_tradnl" w:eastAsia="es-MX"/>
              </w:rPr>
              <w:t>Contratista de la Subdirección de Gestión Contractual</w:t>
            </w:r>
          </w:p>
        </w:tc>
      </w:tr>
      <w:tr w:rsidR="00512C7E" w:rsidRPr="00512C7E" w14:paraId="0E706FFE" w14:textId="77777777" w:rsidTr="009E3879">
        <w:trPr>
          <w:trHeight w:val="308"/>
        </w:trPr>
        <w:tc>
          <w:tcPr>
            <w:tcW w:w="1041" w:type="dxa"/>
            <w:vAlign w:val="center"/>
          </w:tcPr>
          <w:p w14:paraId="1851FE0D" w14:textId="77777777" w:rsidR="00512C7E" w:rsidRPr="00512C7E" w:rsidRDefault="00512C7E" w:rsidP="00512C7E">
            <w:pPr>
              <w:rPr>
                <w:rFonts w:ascii="Verdana" w:eastAsia="Calibri" w:hAnsi="Verdana" w:cs="Arial"/>
                <w:sz w:val="16"/>
                <w:szCs w:val="16"/>
                <w:lang w:val="es-ES_tradnl" w:eastAsia="es-ES"/>
              </w:rPr>
            </w:pPr>
            <w:r w:rsidRPr="00512C7E">
              <w:rPr>
                <w:rFonts w:ascii="Verdana" w:eastAsia="Calibri" w:hAnsi="Verdana" w:cs="Arial"/>
                <w:sz w:val="16"/>
                <w:szCs w:val="16"/>
                <w:lang w:val="es-ES_tradnl" w:eastAsia="es-ES"/>
              </w:rPr>
              <w:t>Aprobó:</w:t>
            </w:r>
          </w:p>
        </w:tc>
        <w:tc>
          <w:tcPr>
            <w:tcW w:w="6561" w:type="dxa"/>
            <w:tcBorders>
              <w:top w:val="dotted" w:sz="4" w:space="0" w:color="7F7F7F"/>
              <w:left w:val="nil"/>
              <w:bottom w:val="dotted" w:sz="4" w:space="0" w:color="7F7F7F"/>
              <w:right w:val="nil"/>
            </w:tcBorders>
            <w:vAlign w:val="center"/>
          </w:tcPr>
          <w:p w14:paraId="1C8C0214" w14:textId="77777777" w:rsidR="00512C7E" w:rsidRPr="00512C7E" w:rsidRDefault="00512C7E" w:rsidP="00512C7E">
            <w:pPr>
              <w:rPr>
                <w:rFonts w:ascii="Verdana" w:eastAsia="Calibri" w:hAnsi="Verdana" w:cs="Arial"/>
                <w:sz w:val="16"/>
                <w:szCs w:val="16"/>
                <w:lang w:val="es-ES" w:eastAsia="es-ES"/>
              </w:rPr>
            </w:pPr>
            <w:r w:rsidRPr="00512C7E">
              <w:rPr>
                <w:rFonts w:ascii="Verdana" w:eastAsia="Calibri" w:hAnsi="Verdana" w:cs="Arial"/>
                <w:sz w:val="16"/>
                <w:szCs w:val="16"/>
                <w:lang w:val="es-ES" w:eastAsia="es-ES"/>
              </w:rPr>
              <w:t>Carolina Quintero Gacharná</w:t>
            </w:r>
          </w:p>
          <w:p w14:paraId="42388C70" w14:textId="77777777" w:rsidR="00512C7E" w:rsidRPr="00512C7E" w:rsidRDefault="00512C7E" w:rsidP="00512C7E">
            <w:pPr>
              <w:rPr>
                <w:rFonts w:ascii="Verdana" w:eastAsia="Calibri" w:hAnsi="Verdana" w:cs="Arial"/>
                <w:sz w:val="16"/>
                <w:szCs w:val="16"/>
                <w:lang w:val="es-ES_tradnl" w:eastAsia="es-ES"/>
              </w:rPr>
            </w:pPr>
            <w:r w:rsidRPr="00512C7E">
              <w:rPr>
                <w:rFonts w:ascii="Verdana" w:eastAsia="Calibri" w:hAnsi="Verdana" w:cs="Arial"/>
                <w:sz w:val="16"/>
                <w:szCs w:val="16"/>
                <w:lang w:val="es-ES_tradnl" w:eastAsia="es-ES"/>
              </w:rPr>
              <w:t>Subdirectora de Gestión Contractual ANCP – CCE</w:t>
            </w:r>
          </w:p>
        </w:tc>
      </w:tr>
    </w:tbl>
    <w:p w14:paraId="0A852BCF" w14:textId="77777777" w:rsidR="00512C7E" w:rsidRPr="00512C7E" w:rsidRDefault="00512C7E" w:rsidP="00512C7E">
      <w:pPr>
        <w:spacing w:after="0" w:line="240" w:lineRule="auto"/>
        <w:textAlignment w:val="baseline"/>
        <w:rPr>
          <w:rFonts w:ascii="Aptos" w:eastAsia="Aptos" w:hAnsi="Aptos" w:cs="Times New Roman"/>
          <w:kern w:val="2"/>
          <w:sz w:val="24"/>
          <w:szCs w:val="24"/>
          <w14:ligatures w14:val="standardContextual"/>
        </w:rPr>
      </w:pPr>
    </w:p>
    <w:p w14:paraId="06067578" w14:textId="0896BF53" w:rsidR="00512C7E" w:rsidRPr="00512C7E" w:rsidRDefault="00512C7E" w:rsidP="00512C7E">
      <w:pPr>
        <w:spacing w:after="0" w:line="240" w:lineRule="auto"/>
        <w:textAlignment w:val="baseline"/>
        <w:rPr>
          <w:rFonts w:ascii="Aptos" w:eastAsia="Aptos" w:hAnsi="Aptos" w:cs="Times New Roman"/>
          <w:kern w:val="2"/>
          <w:sz w:val="24"/>
          <w:szCs w:val="24"/>
          <w14:ligatures w14:val="standardContextual"/>
        </w:rPr>
      </w:pPr>
      <w:r w:rsidRPr="00512C7E">
        <w:rPr>
          <w:rFonts w:ascii="Verdana" w:eastAsia="Verdana" w:hAnsi="Verdana" w:cs="Verdana"/>
          <w:kern w:val="2"/>
          <w:sz w:val="24"/>
          <w:szCs w:val="24"/>
          <w:lang w:eastAsia="es-CO"/>
          <w14:ligatures w14:val="standardContextual"/>
        </w:rPr>
        <w:t> </w:t>
      </w:r>
      <w:bookmarkEnd w:id="2"/>
    </w:p>
    <w:p w14:paraId="1006A388" w14:textId="77777777" w:rsidR="00C15139" w:rsidRPr="000E2B93" w:rsidRDefault="00C15139" w:rsidP="30821638">
      <w:pPr>
        <w:spacing w:after="0" w:line="240" w:lineRule="auto"/>
        <w:jc w:val="both"/>
        <w:textAlignment w:val="baseline"/>
        <w:rPr>
          <w:rFonts w:ascii="Verdana" w:eastAsia="Verdana" w:hAnsi="Verdana" w:cs="Verdana"/>
          <w:lang w:eastAsia="es-CO"/>
        </w:rPr>
      </w:pPr>
    </w:p>
    <w:p w14:paraId="69BC4D14" w14:textId="3EDF93E8"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2BE5BF" w14:textId="77777777" w:rsidR="0043473F" w:rsidRDefault="0043473F" w:rsidP="004A1847">
      <w:pPr>
        <w:spacing w:after="0" w:line="240" w:lineRule="auto"/>
      </w:pPr>
      <w:r>
        <w:separator/>
      </w:r>
    </w:p>
  </w:endnote>
  <w:endnote w:type="continuationSeparator" w:id="0">
    <w:p w14:paraId="5878A427" w14:textId="77777777" w:rsidR="0043473F" w:rsidRDefault="0043473F" w:rsidP="004A1847">
      <w:pPr>
        <w:spacing w:after="0" w:line="240" w:lineRule="auto"/>
      </w:pPr>
      <w:r>
        <w:continuationSeparator/>
      </w:r>
    </w:p>
  </w:endnote>
  <w:endnote w:type="continuationNotice" w:id="1">
    <w:p w14:paraId="1A97D1D5" w14:textId="77777777" w:rsidR="0043473F" w:rsidRDefault="0043473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Vrinda">
    <w:panose1 w:val="00000400000000000000"/>
    <w:charset w:val="00"/>
    <w:family w:val="swiss"/>
    <w:pitch w:val="variable"/>
    <w:sig w:usb0="00010003" w:usb1="00000000" w:usb2="00000000" w:usb3="00000000" w:csb0="00000001"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Helvetica">
    <w:panose1 w:val="020B0604020202020204"/>
    <w:charset w:val="00"/>
    <w:family w:val="auto"/>
    <w:pitch w:val="variable"/>
    <w:sig w:usb0="E00002FF" w:usb1="5000785B" w:usb2="00000000" w:usb3="00000000" w:csb0="0000019F" w:csb1="00000000"/>
  </w:font>
  <w:font w:name="ArialMT">
    <w:altName w:val="Arial"/>
    <w:panose1 w:val="00000000000000000000"/>
    <w:charset w:val="00"/>
    <w:family w:val="auto"/>
    <w:notTrueType/>
    <w:pitch w:val="default"/>
    <w:sig w:usb0="00000003" w:usb1="00000000"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imes New Roman"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0512C7E">
      <w:rPr>
        <w:rFonts w:ascii="Verdana" w:eastAsia="Verdana" w:hAnsi="Verdana" w:cs="Verdana"/>
        <w:b/>
        <w:bCs/>
        <w:color w:val="000000"/>
        <w:sz w:val="18"/>
        <w:szCs w:val="18"/>
        <w:lang w:eastAsia="es-CO"/>
      </w:rPr>
      <w:t xml:space="preserve">Código: </w:t>
    </w:r>
    <w:r w:rsidRPr="00512C7E">
      <w:rPr>
        <w:rFonts w:ascii="Verdana" w:eastAsia="Verdana" w:hAnsi="Verdana" w:cs="Verdana"/>
        <w:color w:val="000000"/>
        <w:sz w:val="18"/>
        <w:szCs w:val="18"/>
        <w:lang w:eastAsia="es-CO"/>
      </w:rPr>
      <w:t xml:space="preserve">CCE-REC-FM-17 </w:t>
    </w:r>
    <w:r w:rsidRPr="00512C7E">
      <w:rPr>
        <w:rFonts w:ascii="Verdana" w:eastAsia="Verdana" w:hAnsi="Verdana" w:cs="Verdana"/>
        <w:b/>
        <w:bCs/>
        <w:color w:val="000000"/>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B1C4B6" w14:textId="77777777" w:rsidR="0043473F" w:rsidRDefault="0043473F" w:rsidP="004A1847">
      <w:pPr>
        <w:spacing w:after="0" w:line="240" w:lineRule="auto"/>
      </w:pPr>
      <w:r>
        <w:separator/>
      </w:r>
    </w:p>
  </w:footnote>
  <w:footnote w:type="continuationSeparator" w:id="0">
    <w:p w14:paraId="520F886F" w14:textId="77777777" w:rsidR="0043473F" w:rsidRDefault="0043473F" w:rsidP="004A1847">
      <w:pPr>
        <w:spacing w:after="0" w:line="240" w:lineRule="auto"/>
      </w:pPr>
      <w:r>
        <w:continuationSeparator/>
      </w:r>
    </w:p>
  </w:footnote>
  <w:footnote w:type="continuationNotice" w:id="1">
    <w:p w14:paraId="35BEEEEB" w14:textId="77777777" w:rsidR="0043473F" w:rsidRDefault="0043473F">
      <w:pPr>
        <w:spacing w:after="0" w:line="240" w:lineRule="auto"/>
      </w:pPr>
    </w:p>
  </w:footnote>
  <w:footnote w:id="2">
    <w:p w14:paraId="3DA8505D" w14:textId="77777777" w:rsidR="00512C7E" w:rsidRDefault="00512C7E" w:rsidP="00512C7E">
      <w:pPr>
        <w:pStyle w:val="Textonotapie"/>
        <w:ind w:firstLine="709"/>
        <w:jc w:val="both"/>
        <w:rPr>
          <w:rFonts w:ascii="Arial" w:hAnsi="Arial" w:cs="Arial"/>
          <w:sz w:val="19"/>
          <w:szCs w:val="19"/>
        </w:rPr>
      </w:pPr>
      <w:r w:rsidRPr="00DA5120">
        <w:rPr>
          <w:rStyle w:val="Refdenotaalpie"/>
          <w:rFonts w:ascii="Arial" w:hAnsi="Arial" w:cs="Arial"/>
          <w:sz w:val="19"/>
          <w:szCs w:val="19"/>
        </w:rPr>
        <w:footnoteRef/>
      </w:r>
      <w:r w:rsidRPr="00DA5120">
        <w:rPr>
          <w:rFonts w:ascii="Arial" w:hAnsi="Arial" w:cs="Arial"/>
          <w:sz w:val="19"/>
          <w:szCs w:val="19"/>
        </w:rPr>
        <w:t xml:space="preserve"> El artículo 20 de la Ley 842 de 2003 establece: </w:t>
      </w:r>
      <w:r>
        <w:rPr>
          <w:rFonts w:ascii="Arial" w:hAnsi="Arial" w:cs="Arial"/>
          <w:sz w:val="19"/>
          <w:szCs w:val="19"/>
        </w:rPr>
        <w:t>“Artículo</w:t>
      </w:r>
      <w:r w:rsidRPr="00DA5120">
        <w:rPr>
          <w:rFonts w:ascii="Arial" w:hAnsi="Arial" w:cs="Arial"/>
          <w:sz w:val="19"/>
          <w:szCs w:val="19"/>
        </w:rPr>
        <w:t xml:space="preserve"> 20. </w:t>
      </w:r>
      <w:r>
        <w:rPr>
          <w:rFonts w:ascii="Arial" w:hAnsi="Arial" w:cs="Arial"/>
          <w:sz w:val="19"/>
          <w:szCs w:val="19"/>
        </w:rPr>
        <w:t>P</w:t>
      </w:r>
      <w:r w:rsidRPr="001D1B40">
        <w:rPr>
          <w:rFonts w:ascii="Arial" w:hAnsi="Arial" w:cs="Arial"/>
          <w:sz w:val="19"/>
          <w:szCs w:val="19"/>
        </w:rPr>
        <w:t>ropuestas y contratos</w:t>
      </w:r>
      <w:r w:rsidRPr="00DA5120">
        <w:rPr>
          <w:rFonts w:ascii="Arial" w:hAnsi="Arial" w:cs="Arial"/>
          <w:sz w:val="19"/>
          <w:szCs w:val="19"/>
        </w:rPr>
        <w:t>. Las propuestas que se formulen en las licitaciones y concursos abiertos por entidades públicas del orden nacional, seccional o local, para la adjudicación de contratos cuyo objeto implique el desarrollo de las actividades catalogadas como ejercicio de la ingeniería, deberán estar avalados, en todo caso, cuando menos, por un ingeniero inscrito y con tarjeta de matrícula profesional en la respectiva rama de la ingeniería.</w:t>
      </w:r>
    </w:p>
    <w:p w14:paraId="7D1FE203" w14:textId="77777777" w:rsidR="00512C7E" w:rsidRPr="00DA5120" w:rsidRDefault="00512C7E" w:rsidP="00512C7E">
      <w:pPr>
        <w:pStyle w:val="Textonotapie"/>
        <w:ind w:firstLine="709"/>
        <w:jc w:val="both"/>
        <w:rPr>
          <w:rFonts w:ascii="Arial" w:hAnsi="Arial" w:cs="Arial"/>
          <w:sz w:val="19"/>
          <w:szCs w:val="19"/>
        </w:rPr>
      </w:pPr>
    </w:p>
    <w:p w14:paraId="4B2E9250" w14:textId="77777777" w:rsidR="00512C7E" w:rsidRDefault="00512C7E" w:rsidP="00512C7E">
      <w:pPr>
        <w:pStyle w:val="Textonotapie"/>
        <w:ind w:firstLine="709"/>
        <w:jc w:val="both"/>
        <w:rPr>
          <w:rFonts w:ascii="Arial" w:hAnsi="Arial" w:cs="Arial"/>
          <w:sz w:val="19"/>
          <w:szCs w:val="19"/>
        </w:rPr>
      </w:pPr>
      <w:r w:rsidRPr="00DA5120">
        <w:rPr>
          <w:rFonts w:ascii="Arial" w:hAnsi="Arial" w:cs="Arial"/>
          <w:sz w:val="19"/>
          <w:szCs w:val="19"/>
        </w:rPr>
        <w:t>En los contratos que se celebren como resultado de la licitación o del concurso, los contratistas tendrán la obligación de encomendar los estudios, la dirección técnica, la ejecución de los trabajos o la interventoría, a profesionales inscritos en el registro profesional de ingeniería, acreditados con la tarjeta de matrícula profesional o, excepcionalmente, con la constancia o certificado de su vigencia.</w:t>
      </w:r>
    </w:p>
    <w:p w14:paraId="54AFDF41" w14:textId="77777777" w:rsidR="00512C7E" w:rsidRPr="00DA5120" w:rsidRDefault="00512C7E" w:rsidP="00512C7E">
      <w:pPr>
        <w:pStyle w:val="Textonotapie"/>
        <w:ind w:firstLine="709"/>
        <w:jc w:val="both"/>
        <w:rPr>
          <w:rFonts w:ascii="Arial" w:hAnsi="Arial" w:cs="Arial"/>
          <w:sz w:val="19"/>
          <w:szCs w:val="19"/>
        </w:rPr>
      </w:pPr>
    </w:p>
    <w:p w14:paraId="7A14926F" w14:textId="77777777" w:rsidR="00512C7E" w:rsidRPr="00DA5120" w:rsidRDefault="00512C7E" w:rsidP="00512C7E">
      <w:pPr>
        <w:pStyle w:val="Textonotapie"/>
        <w:ind w:firstLine="709"/>
        <w:jc w:val="both"/>
        <w:rPr>
          <w:rFonts w:ascii="Arial" w:hAnsi="Arial" w:cs="Arial"/>
          <w:sz w:val="19"/>
          <w:szCs w:val="19"/>
        </w:rPr>
      </w:pPr>
      <w:r w:rsidRPr="00DA5120">
        <w:rPr>
          <w:rFonts w:ascii="Arial" w:hAnsi="Arial" w:cs="Arial"/>
          <w:sz w:val="19"/>
          <w:szCs w:val="19"/>
        </w:rPr>
        <w:t>PARÁGRAFO. Lo dispuesto en este artículo se aplicará en todas sus partes, tanto a las propuestas que se presenten, como a los contratos de igual naturaleza y que, con el mismo objetivo, se celebren con las sociedades de economía mixta y con los establecimientos públicos y empresas industriales o comerciales del orden nacional, departamental, distrital o municipal y aquellas descentralizadas por servicios</w:t>
      </w:r>
      <w:r>
        <w:rPr>
          <w:rFonts w:ascii="Arial" w:hAnsi="Arial" w:cs="Arial"/>
          <w:sz w:val="19"/>
          <w:szCs w:val="19"/>
        </w:rPr>
        <w:t>”</w:t>
      </w:r>
      <w:r w:rsidRPr="00DA5120">
        <w:rPr>
          <w:rFonts w:ascii="Arial" w:hAnsi="Arial" w:cs="Arial"/>
          <w:sz w:val="19"/>
          <w:szCs w:val="19"/>
        </w:rPr>
        <w:t>.</w:t>
      </w:r>
    </w:p>
  </w:footnote>
  <w:footnote w:id="3">
    <w:p w14:paraId="024293A8" w14:textId="77777777" w:rsidR="00512C7E" w:rsidRPr="0048541D" w:rsidRDefault="00512C7E" w:rsidP="00512C7E">
      <w:pPr>
        <w:pStyle w:val="Textonotapie"/>
        <w:ind w:firstLine="708"/>
        <w:jc w:val="both"/>
        <w:rPr>
          <w:rFonts w:ascii="Verdana" w:hAnsi="Verdana"/>
          <w:sz w:val="18"/>
          <w:szCs w:val="18"/>
          <w:lang w:val="es-CO"/>
        </w:rPr>
      </w:pPr>
      <w:r w:rsidRPr="0048541D">
        <w:rPr>
          <w:rStyle w:val="Refdenotaalpie"/>
          <w:rFonts w:ascii="Verdana" w:hAnsi="Verdana"/>
          <w:sz w:val="18"/>
          <w:szCs w:val="18"/>
          <w:lang w:val="es-CO"/>
        </w:rPr>
        <w:footnoteRef/>
      </w:r>
      <w:r w:rsidRPr="0048541D">
        <w:rPr>
          <w:rFonts w:ascii="Verdana" w:hAnsi="Verdana"/>
          <w:sz w:val="18"/>
          <w:szCs w:val="18"/>
          <w:lang w:val="es-CO"/>
        </w:rPr>
        <w:t xml:space="preserve"> Estos Documentos Tipo pueden ser consultados en la página web de Colombia Compra Eficiente, a través del siguiente enlace: </w:t>
      </w:r>
      <w:hyperlink r:id="rId1" w:history="1">
        <w:r w:rsidRPr="0048541D">
          <w:rPr>
            <w:rStyle w:val="Hipervnculo"/>
            <w:rFonts w:ascii="Verdana" w:hAnsi="Verdana"/>
            <w:sz w:val="18"/>
            <w:szCs w:val="18"/>
            <w:lang w:val="es-CO"/>
          </w:rPr>
          <w:t>https://www.colombiacompra.gov.co/documentos-tipo/documentos-tipo</w:t>
        </w:r>
      </w:hyperlink>
      <w:r w:rsidRPr="0048541D">
        <w:rPr>
          <w:rFonts w:ascii="Verdana" w:hAnsi="Verdana"/>
          <w:sz w:val="18"/>
          <w:szCs w:val="18"/>
          <w:lang w:val="es-CO"/>
        </w:rPr>
        <w:t xml:space="preserve"> </w:t>
      </w:r>
    </w:p>
  </w:footnote>
  <w:footnote w:id="4">
    <w:p w14:paraId="4F2733BA" w14:textId="77777777" w:rsidR="00512C7E" w:rsidRPr="00980755" w:rsidRDefault="00512C7E" w:rsidP="00512C7E">
      <w:pPr>
        <w:pStyle w:val="Textonotapie"/>
        <w:ind w:firstLine="709"/>
        <w:jc w:val="both"/>
        <w:rPr>
          <w:rFonts w:ascii="Verdana" w:hAnsi="Verdana" w:cs="Arial"/>
          <w:color w:val="000000"/>
          <w:sz w:val="18"/>
          <w:szCs w:val="18"/>
        </w:rPr>
      </w:pPr>
    </w:p>
    <w:p w14:paraId="2DF83A0B" w14:textId="77777777" w:rsidR="00512C7E" w:rsidRPr="00980755" w:rsidRDefault="00512C7E" w:rsidP="00512C7E">
      <w:pPr>
        <w:pStyle w:val="Textonotapie"/>
        <w:ind w:firstLine="709"/>
        <w:jc w:val="both"/>
        <w:rPr>
          <w:rFonts w:ascii="Verdana" w:hAnsi="Verdana" w:cs="Arial"/>
          <w:color w:val="000000"/>
          <w:sz w:val="18"/>
          <w:szCs w:val="18"/>
          <w:lang w:val="es-ES"/>
        </w:rPr>
      </w:pPr>
      <w:r w:rsidRPr="00980755">
        <w:rPr>
          <w:rStyle w:val="Refdenotaalpie"/>
          <w:rFonts w:ascii="Verdana" w:hAnsi="Verdana" w:cs="Arial"/>
          <w:color w:val="000000"/>
          <w:sz w:val="18"/>
          <w:szCs w:val="18"/>
        </w:rPr>
        <w:footnoteRef/>
      </w:r>
      <w:r w:rsidRPr="00980755">
        <w:rPr>
          <w:rFonts w:ascii="Verdana" w:hAnsi="Verdana" w:cs="Arial"/>
          <w:color w:val="000000"/>
          <w:sz w:val="18"/>
          <w:szCs w:val="18"/>
        </w:rPr>
        <w:t xml:space="preserve"> </w:t>
      </w:r>
      <w:r w:rsidRPr="00980755">
        <w:rPr>
          <w:rFonts w:ascii="Verdana" w:hAnsi="Verdana" w:cs="Arial"/>
          <w:color w:val="000000"/>
          <w:sz w:val="18"/>
          <w:szCs w:val="18"/>
          <w:lang w:val="es-ES"/>
        </w:rPr>
        <w:t xml:space="preserve">En cuanto a las resoluciones vigentes, dicha regla se observa en el artículo 3 de las Resoluciones </w:t>
      </w:r>
      <w:bookmarkStart w:id="3" w:name="_Hlk82363077"/>
      <w:r w:rsidRPr="00980755">
        <w:rPr>
          <w:rFonts w:ascii="Verdana" w:hAnsi="Verdana" w:cs="Arial"/>
          <w:color w:val="000000"/>
          <w:sz w:val="18"/>
          <w:szCs w:val="18"/>
          <w:lang w:val="es-ES"/>
        </w:rPr>
        <w:t>248 de 2020, 249 de 2020, 269 de 2020, 219 de 2021, 220 de 2021, 392 de 2021, 454 de 2021, 333 de 2022, 358 de 2023, 798 de 2023, 456 de 2024, 463 de 2024, 464 de 2024, 725 de 2024, 726 de 2024, 539 de 2025, entre otras</w:t>
      </w:r>
      <w:bookmarkEnd w:id="3"/>
      <w:r w:rsidRPr="00980755">
        <w:rPr>
          <w:rFonts w:ascii="Verdana" w:hAnsi="Verdana" w:cs="Arial"/>
          <w:color w:val="000000"/>
          <w:sz w:val="18"/>
          <w:szCs w:val="18"/>
          <w:lang w:val="es-ES"/>
        </w:rPr>
        <w:t xml:space="preserve">. </w:t>
      </w:r>
    </w:p>
    <w:p w14:paraId="26D78FD0" w14:textId="77777777" w:rsidR="00512C7E" w:rsidRPr="00980755" w:rsidRDefault="00512C7E" w:rsidP="00512C7E">
      <w:pPr>
        <w:pStyle w:val="Textonotapie"/>
        <w:ind w:firstLine="709"/>
        <w:jc w:val="both"/>
        <w:rPr>
          <w:rFonts w:ascii="Verdana" w:hAnsi="Verdana" w:cs="Arial"/>
          <w:color w:val="000000"/>
          <w:sz w:val="18"/>
          <w:szCs w:val="18"/>
          <w:lang w:val="es-ES"/>
        </w:rPr>
      </w:pPr>
    </w:p>
  </w:footnote>
  <w:footnote w:id="5">
    <w:p w14:paraId="36B4F3E8" w14:textId="77777777" w:rsidR="00512C7E" w:rsidRPr="00980755" w:rsidRDefault="00512C7E" w:rsidP="00512C7E">
      <w:pPr>
        <w:pStyle w:val="Textonotapie"/>
        <w:ind w:firstLine="708"/>
        <w:jc w:val="both"/>
        <w:rPr>
          <w:rFonts w:ascii="Verdana" w:hAnsi="Verdana" w:cs="Arial"/>
          <w:color w:val="000000"/>
          <w:sz w:val="18"/>
          <w:szCs w:val="18"/>
        </w:rPr>
      </w:pPr>
      <w:r w:rsidRPr="00980755">
        <w:rPr>
          <w:rStyle w:val="Refdenotaalpie"/>
          <w:rFonts w:ascii="Verdana" w:hAnsi="Verdana" w:cs="Arial"/>
          <w:color w:val="000000"/>
          <w:sz w:val="18"/>
          <w:szCs w:val="18"/>
        </w:rPr>
        <w:footnoteRef/>
      </w:r>
      <w:r w:rsidRPr="00980755">
        <w:rPr>
          <w:rFonts w:ascii="Verdana" w:hAnsi="Verdana" w:cs="Arial"/>
          <w:color w:val="000000"/>
          <w:sz w:val="18"/>
          <w:szCs w:val="18"/>
        </w:rPr>
        <w:t xml:space="preserve"> En torno a las potestades regladas, García de Enterría y Ramón Fernández manifiestan: “El ejercicio de las potestades regladas reduce a la Administración a la constatación (accertamento, en el expresivo concepto italiano) del supuesto de hecho legalmente definido de manera completa y aplicar en presencia del mismo lo que la propia Ley ha determinado también agotadoramente […] La decisión en que consista el ejercicio de la potestad es obligatoria en presencia de dicho supuesto y su contenido no puede ser configurado libremente por la Administración, sino que ha de limitarse a lo que la propia Ley ha previsto sobre ese contenido de modo preciso y completo” (GARCÍA DE ENTERRÍA, Eduardo; y RAMÓN FERNÁNDEZ, Tomas. Curso de derecho administrativo. Tomo I. Madrid: Civitas, 1997. pp. 444-445)</w:t>
      </w:r>
    </w:p>
    <w:p w14:paraId="56FDE0D9" w14:textId="77777777" w:rsidR="00512C7E" w:rsidRPr="00980755" w:rsidRDefault="00512C7E" w:rsidP="00512C7E">
      <w:pPr>
        <w:pStyle w:val="Textonotapie"/>
        <w:ind w:firstLine="708"/>
        <w:jc w:val="both"/>
        <w:rPr>
          <w:rFonts w:ascii="Verdana" w:hAnsi="Verdana" w:cs="Arial"/>
          <w:color w:val="000000"/>
          <w:sz w:val="18"/>
          <w:szCs w:val="18"/>
        </w:rPr>
      </w:pPr>
    </w:p>
  </w:footnote>
  <w:footnote w:id="6">
    <w:p w14:paraId="64A7CF4E" w14:textId="77777777" w:rsidR="00512C7E" w:rsidRPr="00980755" w:rsidRDefault="00512C7E" w:rsidP="00512C7E">
      <w:pPr>
        <w:pStyle w:val="Textonotapie"/>
        <w:ind w:firstLine="709"/>
        <w:jc w:val="both"/>
        <w:rPr>
          <w:rFonts w:ascii="Verdana" w:hAnsi="Verdana" w:cs="Arial"/>
          <w:color w:val="000000"/>
          <w:sz w:val="18"/>
          <w:szCs w:val="18"/>
        </w:rPr>
      </w:pPr>
      <w:r w:rsidRPr="00980755">
        <w:rPr>
          <w:rStyle w:val="Refdenotaalpie"/>
          <w:rFonts w:ascii="Verdana" w:hAnsi="Verdana" w:cs="Arial"/>
          <w:color w:val="000000"/>
          <w:sz w:val="18"/>
          <w:szCs w:val="18"/>
        </w:rPr>
        <w:footnoteRef/>
      </w:r>
      <w:r w:rsidRPr="00980755">
        <w:rPr>
          <w:rFonts w:ascii="Verdana" w:hAnsi="Verdana" w:cs="Arial"/>
          <w:color w:val="000000"/>
          <w:sz w:val="18"/>
          <w:szCs w:val="18"/>
        </w:rPr>
        <w:t xml:space="preserve"> El artículo 25, numeral 1º de la Ley 80 de 1993 establece que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14C8C173" w14:textId="77777777" w:rsidR="00512C7E" w:rsidRPr="00980755" w:rsidRDefault="00512C7E" w:rsidP="00512C7E">
      <w:pPr>
        <w:pStyle w:val="Textonotapie"/>
        <w:ind w:firstLine="709"/>
        <w:jc w:val="both"/>
        <w:rPr>
          <w:rFonts w:ascii="Verdana" w:hAnsi="Verdana" w:cs="Arial"/>
          <w:color w:val="000000"/>
          <w:sz w:val="18"/>
          <w:szCs w:val="18"/>
        </w:rPr>
      </w:pPr>
    </w:p>
  </w:footnote>
  <w:footnote w:id="7">
    <w:p w14:paraId="74B211A5" w14:textId="77777777" w:rsidR="00512C7E" w:rsidRPr="00980755" w:rsidRDefault="00512C7E" w:rsidP="00512C7E">
      <w:pPr>
        <w:ind w:firstLine="709"/>
        <w:jc w:val="both"/>
        <w:rPr>
          <w:rFonts w:ascii="Verdana" w:hAnsi="Verdana" w:cs="Arial"/>
          <w:color w:val="000000"/>
          <w:sz w:val="18"/>
          <w:szCs w:val="18"/>
          <w:lang w:val="es-ES"/>
        </w:rPr>
      </w:pPr>
      <w:r w:rsidRPr="00980755">
        <w:rPr>
          <w:rStyle w:val="Refdenotaalpie"/>
          <w:rFonts w:ascii="Verdana" w:hAnsi="Verdana" w:cs="Arial"/>
          <w:color w:val="000000"/>
          <w:sz w:val="18"/>
          <w:szCs w:val="18"/>
        </w:rPr>
        <w:footnoteRef/>
      </w:r>
      <w:r w:rsidRPr="00980755">
        <w:rPr>
          <w:rFonts w:ascii="Verdana" w:hAnsi="Verdana" w:cs="Arial"/>
          <w:color w:val="000000"/>
          <w:sz w:val="18"/>
          <w:szCs w:val="18"/>
        </w:rPr>
        <w:t xml:space="preserve"> </w:t>
      </w:r>
      <w:r w:rsidRPr="00980755">
        <w:rPr>
          <w:rFonts w:ascii="Verdana" w:hAnsi="Verdana" w:cs="Arial"/>
          <w:color w:val="000000"/>
          <w:sz w:val="18"/>
          <w:szCs w:val="18"/>
          <w:lang w:val="es-ES"/>
        </w:rPr>
        <w:t>En efecto, el artículo 5 del Decreto 019 de 2012 prevé lo siguiente: “Las normas de procedimiento administrativo deben ser utilizadas para agilizar las decisiones; los procedimientos se deben adelantar en el menor tiempo y con la menor cantidad de gastos de quienes intervienen en ellos; las autoridades administrativas y los particulares que cumplen funciones administrativas no deben exigir más documentos y copias que los estrictamente necesarios, ni autenticaciones ni notas de presentación personal sino cuando la ley lo ordene en forma expresa, o tratándose de poderes especiales. En tal virtud, las autoridades deberán proceder con austeridad y eficiencia, optimizar el uso del tiempo y de los demás recursos, procurando el más alto nivel de calidad en sus actuaciones y la protección de los derechos de las personas”.</w:t>
      </w:r>
    </w:p>
  </w:footnote>
  <w:footnote w:id="8">
    <w:p w14:paraId="6E5BE1F9" w14:textId="77777777" w:rsidR="00512C7E" w:rsidRPr="00F830D6" w:rsidRDefault="00512C7E" w:rsidP="00512C7E">
      <w:pPr>
        <w:pStyle w:val="Textonotapie"/>
        <w:ind w:firstLine="708"/>
        <w:jc w:val="both"/>
        <w:rPr>
          <w:rFonts w:ascii="Verdana" w:hAnsi="Verdana" w:cs="Arial"/>
          <w:sz w:val="18"/>
          <w:szCs w:val="18"/>
          <w:lang w:val="es-ES"/>
        </w:rPr>
      </w:pPr>
      <w:r w:rsidRPr="00F830D6">
        <w:rPr>
          <w:rStyle w:val="Refdenotaalpie"/>
          <w:rFonts w:ascii="Verdana" w:hAnsi="Verdana" w:cs="Arial"/>
          <w:sz w:val="18"/>
          <w:szCs w:val="18"/>
        </w:rPr>
        <w:footnoteRef/>
      </w:r>
      <w:r w:rsidRPr="00F830D6">
        <w:rPr>
          <w:rFonts w:ascii="Verdana" w:hAnsi="Verdana" w:cs="Arial"/>
          <w:sz w:val="18"/>
          <w:szCs w:val="18"/>
        </w:rPr>
        <w:t xml:space="preserve"> Diccionario de la Real Academia Española, versión online disponible en: </w:t>
      </w:r>
      <w:hyperlink r:id="rId2" w:history="1">
        <w:r w:rsidRPr="00F830D6">
          <w:rPr>
            <w:rStyle w:val="Hipervnculo"/>
            <w:rFonts w:ascii="Verdana" w:hAnsi="Verdana" w:cs="Arial"/>
            <w:sz w:val="18"/>
            <w:szCs w:val="18"/>
          </w:rPr>
          <w:t>https://dle.rae.es/est%C3%A1ndar</w:t>
        </w:r>
      </w:hyperlink>
      <w:r w:rsidRPr="00F830D6">
        <w:rPr>
          <w:rFonts w:ascii="Verdana" w:hAnsi="Verdana" w:cs="Arial"/>
          <w:sz w:val="18"/>
          <w:szCs w:val="18"/>
        </w:rPr>
        <w:t xml:space="preserve">, consultado el 2 de junio de 2020. </w:t>
      </w:r>
    </w:p>
  </w:footnote>
  <w:footnote w:id="9">
    <w:p w14:paraId="55F8F109" w14:textId="77777777" w:rsidR="00512C7E" w:rsidRPr="00980755" w:rsidRDefault="00512C7E" w:rsidP="00512C7E">
      <w:pPr>
        <w:ind w:firstLine="708"/>
        <w:jc w:val="both"/>
        <w:rPr>
          <w:rFonts w:ascii="Verdana" w:hAnsi="Verdana" w:cs="Arial"/>
          <w:color w:val="000000"/>
          <w:sz w:val="18"/>
          <w:szCs w:val="18"/>
        </w:rPr>
      </w:pPr>
      <w:r w:rsidRPr="00980755">
        <w:rPr>
          <w:rStyle w:val="Refdenotaalpie"/>
          <w:rFonts w:ascii="Verdana" w:hAnsi="Verdana" w:cs="Arial"/>
          <w:color w:val="000000"/>
          <w:sz w:val="18"/>
          <w:szCs w:val="18"/>
        </w:rPr>
        <w:footnoteRef/>
      </w:r>
      <w:r w:rsidRPr="00980755">
        <w:rPr>
          <w:rFonts w:ascii="Verdana" w:hAnsi="Verdana" w:cs="Arial"/>
          <w:color w:val="000000"/>
          <w:sz w:val="18"/>
          <w:szCs w:val="18"/>
        </w:rPr>
        <w:t xml:space="preserve"> Cita tomada de la providencia del 20 de febrero de 2020, dictada por el Consejo de Estado. Sección Tercera. Subsección A, dentro del expediente 47001-23-33-000-2018-00035-01 (63.854), cuya ponente fue Marta Nubia Velásquez Rico.</w:t>
      </w:r>
    </w:p>
    <w:p w14:paraId="4A43CF8B" w14:textId="77777777" w:rsidR="00512C7E" w:rsidRPr="00980755" w:rsidRDefault="00512C7E" w:rsidP="00512C7E">
      <w:pPr>
        <w:ind w:firstLine="708"/>
        <w:jc w:val="both"/>
        <w:rPr>
          <w:rFonts w:ascii="Verdana" w:hAnsi="Verdana" w:cs="Arial"/>
          <w:color w:val="000000"/>
          <w:sz w:val="18"/>
          <w:szCs w:val="18"/>
        </w:rPr>
      </w:pPr>
    </w:p>
  </w:footnote>
  <w:footnote w:id="10">
    <w:p w14:paraId="267DE934" w14:textId="77777777" w:rsidR="00512C7E" w:rsidRDefault="00512C7E" w:rsidP="00512C7E">
      <w:pPr>
        <w:pStyle w:val="Textonotapie"/>
        <w:ind w:firstLine="709"/>
        <w:jc w:val="both"/>
        <w:rPr>
          <w:rFonts w:ascii="Arial" w:hAnsi="Arial" w:cs="Arial"/>
          <w:sz w:val="19"/>
          <w:szCs w:val="19"/>
        </w:rPr>
      </w:pPr>
      <w:r w:rsidRPr="00DA5120">
        <w:rPr>
          <w:rStyle w:val="Refdenotaalpie"/>
          <w:rFonts w:ascii="Arial" w:hAnsi="Arial" w:cs="Arial"/>
          <w:sz w:val="19"/>
          <w:szCs w:val="19"/>
        </w:rPr>
        <w:footnoteRef/>
      </w:r>
      <w:r w:rsidRPr="00DA5120">
        <w:rPr>
          <w:rFonts w:ascii="Arial" w:hAnsi="Arial" w:cs="Arial"/>
          <w:sz w:val="19"/>
          <w:szCs w:val="19"/>
        </w:rPr>
        <w:t xml:space="preserve"> El artículo 20 de la Ley 842 de 2003 establece: </w:t>
      </w:r>
      <w:r>
        <w:rPr>
          <w:rFonts w:ascii="Arial" w:hAnsi="Arial" w:cs="Arial"/>
          <w:sz w:val="19"/>
          <w:szCs w:val="19"/>
        </w:rPr>
        <w:t>“Artículo</w:t>
      </w:r>
      <w:r w:rsidRPr="00DA5120">
        <w:rPr>
          <w:rFonts w:ascii="Arial" w:hAnsi="Arial" w:cs="Arial"/>
          <w:sz w:val="19"/>
          <w:szCs w:val="19"/>
        </w:rPr>
        <w:t xml:space="preserve"> 20. </w:t>
      </w:r>
      <w:r>
        <w:rPr>
          <w:rFonts w:ascii="Arial" w:hAnsi="Arial" w:cs="Arial"/>
          <w:sz w:val="19"/>
          <w:szCs w:val="19"/>
        </w:rPr>
        <w:t>P</w:t>
      </w:r>
      <w:r w:rsidRPr="001D1B40">
        <w:rPr>
          <w:rFonts w:ascii="Arial" w:hAnsi="Arial" w:cs="Arial"/>
          <w:sz w:val="19"/>
          <w:szCs w:val="19"/>
        </w:rPr>
        <w:t>ropuestas y contratos</w:t>
      </w:r>
      <w:r w:rsidRPr="00DA5120">
        <w:rPr>
          <w:rFonts w:ascii="Arial" w:hAnsi="Arial" w:cs="Arial"/>
          <w:sz w:val="19"/>
          <w:szCs w:val="19"/>
        </w:rPr>
        <w:t>. Las propuestas que se formulen en las licitaciones y concursos abiertos por entidades públicas del orden nacional, seccional o local, para la adjudicación de contratos cuyo objeto implique el desarrollo de las actividades catalogadas como ejercicio de la ingeniería, deberán estar avalados, en todo caso, cuando menos, por un ingeniero inscrito y con tarjeta de matrícula profesional en la respectiva rama de la ingeniería.</w:t>
      </w:r>
    </w:p>
    <w:p w14:paraId="47684456" w14:textId="77777777" w:rsidR="00512C7E" w:rsidRPr="00DA5120" w:rsidRDefault="00512C7E" w:rsidP="00512C7E">
      <w:pPr>
        <w:pStyle w:val="Textonotapie"/>
        <w:ind w:firstLine="709"/>
        <w:jc w:val="both"/>
        <w:rPr>
          <w:rFonts w:ascii="Arial" w:hAnsi="Arial" w:cs="Arial"/>
          <w:sz w:val="19"/>
          <w:szCs w:val="19"/>
        </w:rPr>
      </w:pPr>
    </w:p>
    <w:p w14:paraId="061265EC" w14:textId="77777777" w:rsidR="00512C7E" w:rsidRDefault="00512C7E" w:rsidP="00512C7E">
      <w:pPr>
        <w:pStyle w:val="Textonotapie"/>
        <w:ind w:firstLine="709"/>
        <w:jc w:val="both"/>
        <w:rPr>
          <w:rFonts w:ascii="Arial" w:hAnsi="Arial" w:cs="Arial"/>
          <w:sz w:val="19"/>
          <w:szCs w:val="19"/>
        </w:rPr>
      </w:pPr>
      <w:r w:rsidRPr="00DA5120">
        <w:rPr>
          <w:rFonts w:ascii="Arial" w:hAnsi="Arial" w:cs="Arial"/>
          <w:sz w:val="19"/>
          <w:szCs w:val="19"/>
        </w:rPr>
        <w:t>En los contratos que se celebren como resultado de la licitación o del concurso, los contratistas tendrán la obligación de encomendar los estudios, la dirección técnica, la ejecución de los trabajos o la interventoría, a profesionales inscritos en el registro profesional de ingeniería, acreditados con la tarjeta de matrícula profesional o, excepcionalmente, con la constancia o certificado de su vigencia.</w:t>
      </w:r>
    </w:p>
    <w:p w14:paraId="0ADCB793" w14:textId="77777777" w:rsidR="00512C7E" w:rsidRPr="00DA5120" w:rsidRDefault="00512C7E" w:rsidP="00512C7E">
      <w:pPr>
        <w:pStyle w:val="Textonotapie"/>
        <w:ind w:firstLine="709"/>
        <w:jc w:val="both"/>
        <w:rPr>
          <w:rFonts w:ascii="Arial" w:hAnsi="Arial" w:cs="Arial"/>
          <w:sz w:val="19"/>
          <w:szCs w:val="19"/>
        </w:rPr>
      </w:pPr>
    </w:p>
    <w:p w14:paraId="507B35A7" w14:textId="77777777" w:rsidR="00512C7E" w:rsidRPr="00DA5120" w:rsidRDefault="00512C7E" w:rsidP="00512C7E">
      <w:pPr>
        <w:pStyle w:val="Textonotapie"/>
        <w:ind w:firstLine="709"/>
        <w:jc w:val="both"/>
        <w:rPr>
          <w:rFonts w:ascii="Arial" w:hAnsi="Arial" w:cs="Arial"/>
          <w:sz w:val="19"/>
          <w:szCs w:val="19"/>
        </w:rPr>
      </w:pPr>
      <w:r w:rsidRPr="00DA5120">
        <w:rPr>
          <w:rFonts w:ascii="Arial" w:hAnsi="Arial" w:cs="Arial"/>
          <w:sz w:val="19"/>
          <w:szCs w:val="19"/>
        </w:rPr>
        <w:t>PARÁGRAFO. Lo dispuesto en este artículo se aplicará en todas sus partes, tanto a las propuestas que se presenten, como a los contratos de igual naturaleza y que, con el mismo objetivo, se celebren con las sociedades de economía mixta y con los establecimientos públicos y empresas industriales o comerciales del orden nacional, departamental, distrital o municipal y aquellas descentralizadas por servicios</w:t>
      </w:r>
      <w:r>
        <w:rPr>
          <w:rFonts w:ascii="Arial" w:hAnsi="Arial" w:cs="Arial"/>
          <w:sz w:val="19"/>
          <w:szCs w:val="19"/>
        </w:rPr>
        <w:t>”</w:t>
      </w:r>
      <w:r w:rsidRPr="00DA5120">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928" w:hanging="360"/>
      </w:pPr>
      <w:rPr>
        <w:b/>
        <w:color w:val="000000" w:themeColor="text1"/>
      </w:rPr>
    </w:lvl>
    <w:lvl w:ilvl="1">
      <w:start w:val="2"/>
      <w:numFmt w:val="decimal"/>
      <w:isLgl/>
      <w:lvlText w:val="%1.%2"/>
      <w:lvlJc w:val="left"/>
      <w:pPr>
        <w:ind w:left="568" w:hanging="360"/>
      </w:pPr>
    </w:lvl>
    <w:lvl w:ilvl="2">
      <w:start w:val="1"/>
      <w:numFmt w:val="decimal"/>
      <w:isLgl/>
      <w:lvlText w:val="%1.%2.%3"/>
      <w:lvlJc w:val="left"/>
      <w:pPr>
        <w:ind w:left="1288" w:hanging="720"/>
      </w:pPr>
    </w:lvl>
    <w:lvl w:ilvl="3">
      <w:start w:val="1"/>
      <w:numFmt w:val="decimal"/>
      <w:isLgl/>
      <w:lvlText w:val="%1.%2.%3.%4"/>
      <w:lvlJc w:val="left"/>
      <w:pPr>
        <w:ind w:left="1288" w:hanging="720"/>
      </w:pPr>
    </w:lvl>
    <w:lvl w:ilvl="4">
      <w:start w:val="1"/>
      <w:numFmt w:val="decimal"/>
      <w:isLgl/>
      <w:lvlText w:val="%1.%2.%3.%4.%5"/>
      <w:lvlJc w:val="left"/>
      <w:pPr>
        <w:ind w:left="1648" w:hanging="1080"/>
      </w:pPr>
    </w:lvl>
    <w:lvl w:ilvl="5">
      <w:start w:val="1"/>
      <w:numFmt w:val="decimal"/>
      <w:isLgl/>
      <w:lvlText w:val="%1.%2.%3.%4.%5.%6"/>
      <w:lvlJc w:val="left"/>
      <w:pPr>
        <w:ind w:left="1648" w:hanging="1080"/>
      </w:pPr>
    </w:lvl>
    <w:lvl w:ilvl="6">
      <w:start w:val="1"/>
      <w:numFmt w:val="decimal"/>
      <w:isLgl/>
      <w:lvlText w:val="%1.%2.%3.%4.%5.%6.%7"/>
      <w:lvlJc w:val="left"/>
      <w:pPr>
        <w:ind w:left="2008" w:hanging="1440"/>
      </w:pPr>
    </w:lvl>
    <w:lvl w:ilvl="7">
      <w:start w:val="1"/>
      <w:numFmt w:val="decimal"/>
      <w:isLgl/>
      <w:lvlText w:val="%1.%2.%3.%4.%5.%6.%7.%8"/>
      <w:lvlJc w:val="left"/>
      <w:pPr>
        <w:ind w:left="2008" w:hanging="1440"/>
      </w:pPr>
    </w:lvl>
    <w:lvl w:ilvl="8">
      <w:start w:val="1"/>
      <w:numFmt w:val="decimal"/>
      <w:isLgl/>
      <w:lvlText w:val="%1.%2.%3.%4.%5.%6.%7.%8.%9"/>
      <w:lvlJc w:val="left"/>
      <w:pPr>
        <w:ind w:left="236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82798560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699B"/>
    <w:rsid w:val="001A33BF"/>
    <w:rsid w:val="001C6763"/>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121F"/>
    <w:rsid w:val="00322A85"/>
    <w:rsid w:val="00324168"/>
    <w:rsid w:val="00330834"/>
    <w:rsid w:val="003448F4"/>
    <w:rsid w:val="0035751E"/>
    <w:rsid w:val="00374F5E"/>
    <w:rsid w:val="00377E3E"/>
    <w:rsid w:val="00394E6C"/>
    <w:rsid w:val="003A779E"/>
    <w:rsid w:val="003D0F4D"/>
    <w:rsid w:val="003D5B0D"/>
    <w:rsid w:val="003E0499"/>
    <w:rsid w:val="003E4F80"/>
    <w:rsid w:val="003E6439"/>
    <w:rsid w:val="003F3941"/>
    <w:rsid w:val="00406575"/>
    <w:rsid w:val="00414C74"/>
    <w:rsid w:val="0042722E"/>
    <w:rsid w:val="0043473F"/>
    <w:rsid w:val="0044528D"/>
    <w:rsid w:val="00466E39"/>
    <w:rsid w:val="004A1847"/>
    <w:rsid w:val="004A305D"/>
    <w:rsid w:val="004F21C4"/>
    <w:rsid w:val="004F685F"/>
    <w:rsid w:val="00512C7E"/>
    <w:rsid w:val="005566E8"/>
    <w:rsid w:val="00574867"/>
    <w:rsid w:val="00591460"/>
    <w:rsid w:val="005A65E0"/>
    <w:rsid w:val="005C3777"/>
    <w:rsid w:val="005C5CDC"/>
    <w:rsid w:val="005D476C"/>
    <w:rsid w:val="006200BF"/>
    <w:rsid w:val="006219F8"/>
    <w:rsid w:val="006302F7"/>
    <w:rsid w:val="00634093"/>
    <w:rsid w:val="00646B9F"/>
    <w:rsid w:val="00665D70"/>
    <w:rsid w:val="006900D9"/>
    <w:rsid w:val="00706C16"/>
    <w:rsid w:val="007340C3"/>
    <w:rsid w:val="0075235A"/>
    <w:rsid w:val="00753B95"/>
    <w:rsid w:val="00756841"/>
    <w:rsid w:val="007649AB"/>
    <w:rsid w:val="00771D0C"/>
    <w:rsid w:val="007833AC"/>
    <w:rsid w:val="007B268C"/>
    <w:rsid w:val="007B4B7C"/>
    <w:rsid w:val="007B7171"/>
    <w:rsid w:val="007C0C0F"/>
    <w:rsid w:val="007C3DC2"/>
    <w:rsid w:val="007E5497"/>
    <w:rsid w:val="00806F5F"/>
    <w:rsid w:val="00820278"/>
    <w:rsid w:val="008258C9"/>
    <w:rsid w:val="00844AE9"/>
    <w:rsid w:val="00867F95"/>
    <w:rsid w:val="008843B6"/>
    <w:rsid w:val="00891928"/>
    <w:rsid w:val="008A446D"/>
    <w:rsid w:val="008B25F1"/>
    <w:rsid w:val="008B6569"/>
    <w:rsid w:val="008B71A5"/>
    <w:rsid w:val="008D180B"/>
    <w:rsid w:val="008F0EA7"/>
    <w:rsid w:val="008F2387"/>
    <w:rsid w:val="00923EEF"/>
    <w:rsid w:val="009419F9"/>
    <w:rsid w:val="0095054B"/>
    <w:rsid w:val="0095685E"/>
    <w:rsid w:val="00961B09"/>
    <w:rsid w:val="00965334"/>
    <w:rsid w:val="0097093E"/>
    <w:rsid w:val="00977205"/>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13171"/>
    <w:rsid w:val="00D361FD"/>
    <w:rsid w:val="00D423A2"/>
    <w:rsid w:val="00D44E26"/>
    <w:rsid w:val="00D520D8"/>
    <w:rsid w:val="00D63AC2"/>
    <w:rsid w:val="00D63EBB"/>
    <w:rsid w:val="00D7383B"/>
    <w:rsid w:val="00D7788A"/>
    <w:rsid w:val="00DA231B"/>
    <w:rsid w:val="00DC39FC"/>
    <w:rsid w:val="00DF5254"/>
    <w:rsid w:val="00DF6B78"/>
    <w:rsid w:val="00E02524"/>
    <w:rsid w:val="00E16408"/>
    <w:rsid w:val="00E20894"/>
    <w:rsid w:val="00E245AB"/>
    <w:rsid w:val="00E2764C"/>
    <w:rsid w:val="00E27F2E"/>
    <w:rsid w:val="00E50AFE"/>
    <w:rsid w:val="00E75C92"/>
    <w:rsid w:val="00E771DC"/>
    <w:rsid w:val="00E8772A"/>
    <w:rsid w:val="00E90F6B"/>
    <w:rsid w:val="00E92C27"/>
    <w:rsid w:val="00EA0E3D"/>
    <w:rsid w:val="00EC12D7"/>
    <w:rsid w:val="00EC38A7"/>
    <w:rsid w:val="00EE1AA8"/>
    <w:rsid w:val="00F16A54"/>
    <w:rsid w:val="00F23FEA"/>
    <w:rsid w:val="00F31EDC"/>
    <w:rsid w:val="00F462B3"/>
    <w:rsid w:val="00F5664F"/>
    <w:rsid w:val="00F666C4"/>
    <w:rsid w:val="00F76AFC"/>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59"/>
    <w:qFormat/>
    <w:rsid w:val="00512C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512C7E"/>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archivos%2Fmanual%2Fguia-de-garantias-en-procesos-de-contratacion&amp;data=05%7C02%7Ccarlos.castrillon%40colombiacompra.gov.co%7C7128555136e04fa6887d08dee99e1b50%7C7b09041e245149d08cb179d5e3d8c1be%7C0%7C0%7C639205062460492157%7CUnknown%7CTWFpbGZsb3d8eyJFbXB0eU1hcGkiOnRydWUsIlYiOiIwLjAuMDAwMCIsIlAiOiJXaW4zMiIsIkFOIjoiTWFpbCIsIldUIjoyfQ%3D%3D%7C0%7C%7C%7C&amp;sdata=3IOO%2FtzL7CYs7GSQWx3lEd8WXdinAX2M%2F8tHjq7gp4M%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boletin%2Fboletin-edicion-n-3-de-2026-radar-de-la-compra-publica&amp;data=05%7C02%7Ccarlos.castrillon%40colombiacompra.gov.co%7C7128555136e04fa6887d08dee99e1b50%7C7b09041e245149d08cb179d5e3d8c1be%7C0%7C0%7C639205062460570094%7CUnknown%7CTWFpbGZsb3d8eyJFbXB0eU1hcGkiOnRydWUsIlYiOiIwLjAuMDAwMCIsIlAiOiJXaW4zMiIsIkFOIjoiTWFpbCIsIldUIjoyfQ%3D%3D%7C0%7C%7C%7C&amp;sdata=kZv4Nh2z5OSpo4UBkV63XVE9d%2FJHjs3Ap9eCTYmcn3o%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documentos-tipo/documentos-tip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2-de-2026&amp;data=05%7C02%7Ccarlos.castrillon%40colombiacompra.gov.co%7C7128555136e04fa6887d08dee99e1b50%7C7b09041e245149d08cb179d5e3d8c1be%7C0%7C0%7C639205062460546272%7CUnknown%7CTWFpbGZsb3d8eyJFbXB0eU1hcGkiOnRydWUsIlYiOiIwLjAuMDAwMCIsIlAiOiJXaW4zMiIsIkFOIjoiTWFpbCIsIldUIjoyfQ%3D%3D%7C0%7C%7C%7C&amp;sdata=Tm99siSemhcsM9EWNgsmV8A0Zx%2FKwyZO2QYBBlaAAFU%3D&amp;reserved=0"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ircular%2Fcircular-externa-003-de-2026&amp;data=05%7C02%7Ccarlos.castrillon%40colombiacompra.gov.co%7C7128555136e04fa6887d08dee99e1b50%7C7b09041e245149d08cb179d5e3d8c1be%7C0%7C0%7C639205062460521959%7CUnknown%7CTWFpbGZsb3d8eyJFbXB0eU1hcGkiOnRydWUsIlYiOiIwLjAuMDAwMCIsIlAiOiJXaW4zMiIsIkFOIjoiTWFpbCIsIldUIjoyfQ%3D%3D%7C0%7C%7C%7C&amp;sdata=o8s%2BpWDv9aJuyyezu%2Bo7L1tMx0nIz73vR%2FGlLdtKa4E%3D&amp;reserved=0"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dle.rae.es/est%C3%A1ndar" TargetMode="External"/><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3E139341-372A-4923-831F-AE17099069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17</TotalTime>
  <Pages>24</Pages>
  <Words>8176</Words>
  <Characters>44970</Characters>
  <Application>Microsoft Office Word</Application>
  <DocSecurity>0</DocSecurity>
  <Lines>374</Lines>
  <Paragraphs>106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6</cp:revision>
  <cp:lastPrinted>2023-01-10T21:18:00Z</cp:lastPrinted>
  <dcterms:created xsi:type="dcterms:W3CDTF">2026-10-05T12:25:00Z</dcterms:created>
  <dcterms:modified xsi:type="dcterms:W3CDTF">2026-10-06T00:06:00Z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