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76"/>
      </w:tblGrid>
      <w:tr w:rsidR="00D76E46" w:rsidRPr="00280D79" w14:paraId="457801F0" w14:textId="77777777" w:rsidTr="00591244">
        <w:trPr>
          <w:trHeight w:val="1583"/>
        </w:trPr>
        <w:tc>
          <w:tcPr>
            <w:tcW w:w="8776" w:type="dxa"/>
          </w:tcPr>
          <w:p w14:paraId="1FFEBA9C" w14:textId="0F5929A9" w:rsidR="00D76E46" w:rsidRPr="00591244" w:rsidRDefault="00D76E46" w:rsidP="001601B7">
            <w:pPr>
              <w:jc w:val="both"/>
              <w:rPr>
                <w:rFonts w:ascii="Verdana" w:eastAsia="Times New Roman" w:hAnsi="Verdana" w:cs="Arial"/>
                <w:b/>
                <w:bCs/>
                <w:lang w:val="es-ES" w:eastAsia="es-ES_tradnl"/>
              </w:rPr>
            </w:pPr>
            <w:r w:rsidRPr="00591244">
              <w:rPr>
                <w:rFonts w:ascii="Verdana" w:eastAsia="Times New Roman" w:hAnsi="Verdana" w:cs="Arial"/>
                <w:b/>
                <w:bCs/>
                <w:lang w:val="es-ES" w:eastAsia="es-ES_tradnl"/>
              </w:rPr>
              <w:t>PROPONENTES EXTRANJEROS – Registro RUP – Obligatoriedad en procesos sometidos a EGCAP – No exigible en procedimientos de régimen especial</w:t>
            </w:r>
          </w:p>
          <w:p w14:paraId="4A99A1E2" w14:textId="77777777" w:rsidR="00D76E46" w:rsidRDefault="00D76E46" w:rsidP="001601B7">
            <w:pPr>
              <w:jc w:val="both"/>
              <w:rPr>
                <w:rFonts w:ascii="Verdana" w:eastAsia="Times New Roman" w:hAnsi="Verdana" w:cs="Arial"/>
                <w:lang w:val="es-ES" w:eastAsia="es-ES_tradnl"/>
              </w:rPr>
            </w:pPr>
          </w:p>
          <w:p w14:paraId="0A7074F7" w14:textId="14975C92" w:rsidR="00D76E46" w:rsidRPr="00591244" w:rsidRDefault="00591244" w:rsidP="00591244">
            <w:pPr>
              <w:spacing w:line="240" w:lineRule="auto"/>
              <w:jc w:val="both"/>
              <w:rPr>
                <w:rFonts w:ascii="Verdana" w:eastAsia="Times New Roman" w:hAnsi="Verdana" w:cs="Arial"/>
                <w:sz w:val="20"/>
                <w:szCs w:val="20"/>
                <w:lang w:val="es-ES" w:eastAsia="es-ES_tradnl"/>
              </w:rPr>
            </w:pPr>
            <w:r w:rsidRPr="00591244">
              <w:rPr>
                <w:rFonts w:ascii="Verdana" w:eastAsia="Arial MT" w:hAnsi="Verdana" w:cs="Arial"/>
                <w:sz w:val="20"/>
                <w:szCs w:val="20"/>
                <w:lang w:eastAsia="es-ES" w:bidi="es-ES"/>
              </w:rPr>
              <w:t>En otras palabras, las personas extranjeras con sucursal en Colombia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procedimiento de contratación en el que participarán es parte de aquellos en los cuales no se exceptúa el RUP y resulta obligatoria su exigencia. Por otro lado, si el procedimiento de contratación hace parte de los procedimientos exceptuados a los que hace referencia el inciso segundo del artículo 6 de la Ley 1150 de 2007, la entidad estatal deberá verificar directamente el cumplimiento de los requisitos habilitantes mediante documentos adicionales que acrediten la información referente a experiencia, capacidad jurídica, financiera y de organización. Adicionalmente, es deber de las entidades estatales verificar que dichas personas extranjeras, con sucursal en Colombia, acrediten que su duración no será inferior a la del plazo del contrato y un año más</w:t>
            </w:r>
          </w:p>
          <w:p w14:paraId="2062F2C0" w14:textId="77777777" w:rsidR="00D76E46" w:rsidRDefault="00D76E46" w:rsidP="001601B7">
            <w:pPr>
              <w:jc w:val="both"/>
              <w:rPr>
                <w:rFonts w:ascii="Verdana" w:eastAsia="Times New Roman" w:hAnsi="Verdana" w:cs="Arial"/>
                <w:lang w:val="es-ES" w:eastAsia="es-ES_tradnl"/>
              </w:rPr>
            </w:pPr>
          </w:p>
          <w:p w14:paraId="69132499" w14:textId="7967E73A" w:rsidR="00D76E46" w:rsidRPr="00591244" w:rsidRDefault="00D76E46" w:rsidP="001601B7">
            <w:pPr>
              <w:jc w:val="both"/>
              <w:rPr>
                <w:rFonts w:ascii="Verdana" w:eastAsia="Century Gothic" w:hAnsi="Verdana" w:cs="Century Gothic"/>
                <w:b/>
                <w:bCs/>
                <w:lang w:val="es-ES"/>
              </w:rPr>
            </w:pPr>
            <w:r w:rsidRPr="00591244">
              <w:rPr>
                <w:rFonts w:ascii="Verdana" w:eastAsia="Times New Roman" w:hAnsi="Verdana" w:cs="Arial"/>
                <w:b/>
                <w:bCs/>
                <w:lang w:val="es-ES" w:eastAsia="es-ES_tradnl"/>
              </w:rPr>
              <w:t>ADJUDICATARIOS EXTRANJEROS – Requisitos para celebrar contratos - Sociedades extranjeras con negocio permanente en el país – Obligación de constituir sucursal</w:t>
            </w:r>
          </w:p>
          <w:p w14:paraId="1E6FE384" w14:textId="77777777" w:rsidR="00D76E46" w:rsidRPr="00280D79" w:rsidRDefault="00D76E46" w:rsidP="001601B7">
            <w:pPr>
              <w:jc w:val="both"/>
              <w:rPr>
                <w:rFonts w:ascii="Verdana" w:eastAsia="Calibri" w:hAnsi="Verdana" w:cs="Arial"/>
                <w:b/>
                <w:highlight w:val="yellow"/>
                <w:lang w:val="es-ES" w:eastAsia="es-ES"/>
              </w:rPr>
            </w:pPr>
          </w:p>
        </w:tc>
      </w:tr>
    </w:tbl>
    <w:p w14:paraId="6976D1DE" w14:textId="7EB66509" w:rsidR="00D76E46" w:rsidRPr="00591244" w:rsidRDefault="00591244" w:rsidP="00591244">
      <w:pPr>
        <w:spacing w:after="0" w:line="240" w:lineRule="auto"/>
        <w:jc w:val="both"/>
        <w:rPr>
          <w:rFonts w:ascii="Verdana" w:hAnsi="Verdana"/>
          <w:sz w:val="20"/>
          <w:szCs w:val="20"/>
        </w:rPr>
      </w:pPr>
      <w:r w:rsidRPr="00591244">
        <w:rPr>
          <w:rFonts w:ascii="Verdana" w:hAnsi="Verdana" w:cs="Arial"/>
          <w:sz w:val="20"/>
          <w:szCs w:val="20"/>
          <w:lang w:val="es-ES"/>
        </w:rPr>
        <w:t xml:space="preserve">No obstante, lo anterior, las personas naturales o jurídicas extranjeras, con domicilio o sucursal en Colombia, están obligadas a inscribirse en el Registro único de Proponentes – RUP, con excepción de aquellos proponentes o proveedores </w:t>
      </w:r>
      <w:r w:rsidRPr="00591244">
        <w:rPr>
          <w:rFonts w:ascii="Verdana" w:hAnsi="Verdana" w:cs="Arial"/>
          <w:sz w:val="20"/>
          <w:szCs w:val="20"/>
        </w:rPr>
        <w:t xml:space="preserve">extranjeros sin domicilio ni sucursal en Colombia, de manera que estos últimos deben acreditar esta información directamente ante la entidad estatal que adelanta el proceso de contratación en la forma indicada en los pliegos de condiciones. </w:t>
      </w:r>
      <w:r w:rsidRPr="00591244">
        <w:rPr>
          <w:rFonts w:ascii="Verdana" w:hAnsi="Verdana" w:cs="Arial"/>
          <w:sz w:val="20"/>
          <w:szCs w:val="20"/>
          <w:lang w:val="es-ES"/>
        </w:rPr>
        <w:t xml:space="preserve">Sobre este punto, como lo expuso la Agencia Nacional de Contratación Pública – Colombia Compra Eficiente, en el </w:t>
      </w:r>
      <w:r w:rsidRPr="00591244">
        <w:rPr>
          <w:rFonts w:ascii="Verdana" w:hAnsi="Verdana" w:cs="Arial"/>
          <w:i/>
          <w:iCs/>
          <w:sz w:val="20"/>
          <w:szCs w:val="20"/>
          <w:lang w:val="es-ES"/>
        </w:rPr>
        <w:t>“Manual para Determinar y Verificar los Requisitos Habilitantes en los Procesos de Contratación”</w:t>
      </w:r>
      <w:r w:rsidRPr="00591244">
        <w:rPr>
          <w:rFonts w:ascii="Verdana" w:hAnsi="Verdana" w:cs="Arial"/>
          <w:sz w:val="20"/>
          <w:szCs w:val="20"/>
          <w:lang w:val="es-ES"/>
        </w:rPr>
        <w:t>, se sugiere “incluir en los pliegos de condiciones modelos de certificados con los cuales los proponentes acrediten los requisitos habilitantes</w:t>
      </w:r>
    </w:p>
    <w:p w14:paraId="4BA60CA8" w14:textId="77777777" w:rsidR="00D76E46" w:rsidRDefault="00D76E46" w:rsidP="00A802C9">
      <w:pPr>
        <w:spacing w:after="0" w:line="240" w:lineRule="auto"/>
        <w:rPr>
          <w:rFonts w:ascii="Verdana" w:hAnsi="Verdana"/>
        </w:rPr>
      </w:pPr>
    </w:p>
    <w:p w14:paraId="0C743E51" w14:textId="77777777" w:rsidR="00D76E46" w:rsidRDefault="00D76E46" w:rsidP="00A802C9">
      <w:pPr>
        <w:spacing w:after="0" w:line="240" w:lineRule="auto"/>
        <w:rPr>
          <w:rFonts w:ascii="Verdana" w:hAnsi="Verdana"/>
        </w:rPr>
      </w:pPr>
    </w:p>
    <w:p w14:paraId="7FE3E5FD" w14:textId="77777777" w:rsidR="00D76E46" w:rsidRDefault="00D76E46" w:rsidP="00A802C9">
      <w:pPr>
        <w:spacing w:after="0" w:line="240" w:lineRule="auto"/>
        <w:rPr>
          <w:rFonts w:ascii="Verdana" w:hAnsi="Verdana"/>
        </w:rPr>
      </w:pPr>
    </w:p>
    <w:p w14:paraId="1093D5FA" w14:textId="77777777" w:rsidR="00D76E46" w:rsidRDefault="00D76E46" w:rsidP="00A802C9">
      <w:pPr>
        <w:spacing w:after="0" w:line="240" w:lineRule="auto"/>
        <w:rPr>
          <w:rFonts w:ascii="Verdana" w:hAnsi="Verdana"/>
        </w:rPr>
      </w:pPr>
    </w:p>
    <w:p w14:paraId="22BECABB" w14:textId="77777777" w:rsidR="00591244" w:rsidRDefault="00591244" w:rsidP="00A802C9">
      <w:pPr>
        <w:spacing w:after="0" w:line="240" w:lineRule="auto"/>
        <w:rPr>
          <w:rFonts w:ascii="Verdana" w:hAnsi="Verdana"/>
        </w:rPr>
      </w:pPr>
    </w:p>
    <w:p w14:paraId="6179ACB5" w14:textId="77777777" w:rsidR="00591244" w:rsidRDefault="00591244" w:rsidP="00A802C9">
      <w:pPr>
        <w:spacing w:after="0" w:line="240" w:lineRule="auto"/>
        <w:rPr>
          <w:rFonts w:ascii="Verdana" w:hAnsi="Verdana"/>
        </w:rPr>
      </w:pPr>
    </w:p>
    <w:p w14:paraId="184B5815" w14:textId="77777777" w:rsidR="00591244" w:rsidRDefault="00591244" w:rsidP="00A802C9">
      <w:pPr>
        <w:spacing w:after="0" w:line="240" w:lineRule="auto"/>
        <w:rPr>
          <w:rFonts w:ascii="Verdana" w:hAnsi="Verdana"/>
        </w:rPr>
      </w:pPr>
    </w:p>
    <w:p w14:paraId="039E403D" w14:textId="77777777" w:rsidR="00D76E46" w:rsidRDefault="00D76E46" w:rsidP="00A802C9">
      <w:pPr>
        <w:spacing w:after="0" w:line="240" w:lineRule="auto"/>
        <w:rPr>
          <w:rFonts w:ascii="Verdana" w:hAnsi="Verdana"/>
        </w:rPr>
      </w:pPr>
    </w:p>
    <w:p w14:paraId="03A0CB09" w14:textId="128496EA" w:rsidR="00A802C9" w:rsidRDefault="00D84620" w:rsidP="00A802C9">
      <w:pPr>
        <w:spacing w:after="0" w:line="240" w:lineRule="auto"/>
        <w:rPr>
          <w:rFonts w:ascii="Verdana" w:hAnsi="Verdana"/>
        </w:rPr>
      </w:pPr>
      <w:r w:rsidRPr="00D84620">
        <w:rPr>
          <w:rFonts w:ascii="Verdana" w:hAnsi="Verdana"/>
          <w:noProof/>
        </w:rPr>
        <w:lastRenderedPageBreak/>
        <w:drawing>
          <wp:anchor distT="0" distB="0" distL="114300" distR="114300" simplePos="0" relativeHeight="251658240" behindDoc="1" locked="0" layoutInCell="1" allowOverlap="1" wp14:anchorId="18FE9587" wp14:editId="4AC68C39">
            <wp:simplePos x="0" y="0"/>
            <wp:positionH relativeFrom="column">
              <wp:posOffset>2966940</wp:posOffset>
            </wp:positionH>
            <wp:positionV relativeFrom="paragraph">
              <wp:posOffset>9221</wp:posOffset>
            </wp:positionV>
            <wp:extent cx="2631440" cy="727075"/>
            <wp:effectExtent l="0" t="0" r="0" b="0"/>
            <wp:wrapTight wrapText="bothSides">
              <wp:wrapPolygon edited="0">
                <wp:start x="0" y="0"/>
                <wp:lineTo x="0" y="20940"/>
                <wp:lineTo x="21423" y="20940"/>
                <wp:lineTo x="21423" y="0"/>
                <wp:lineTo x="0" y="0"/>
              </wp:wrapPolygon>
            </wp:wrapTight>
            <wp:docPr id="331599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1440" cy="727075"/>
                    </a:xfrm>
                    <a:prstGeom prst="rect">
                      <a:avLst/>
                    </a:prstGeom>
                    <a:noFill/>
                    <a:ln>
                      <a:noFill/>
                    </a:ln>
                  </pic:spPr>
                </pic:pic>
              </a:graphicData>
            </a:graphic>
          </wp:anchor>
        </w:drawing>
      </w:r>
      <w:r w:rsidR="00A802C9">
        <w:rPr>
          <w:rFonts w:ascii="Verdana" w:hAnsi="Verdana"/>
        </w:rPr>
        <w:t>B</w:t>
      </w:r>
      <w:r w:rsidR="00A802C9" w:rsidRPr="0044528D">
        <w:rPr>
          <w:rFonts w:ascii="Verdana" w:hAnsi="Verdana"/>
        </w:rPr>
        <w:t xml:space="preserve">ogotá D.C., </w:t>
      </w:r>
      <w:r>
        <w:rPr>
          <w:rFonts w:ascii="Verdana" w:hAnsi="Verdana"/>
        </w:rPr>
        <w:t>6 octubre de 2026</w:t>
      </w:r>
      <w:r w:rsidRPr="00D84620">
        <w:rPr>
          <w:rFonts w:ascii="Verdana" w:hAnsi="Verdana"/>
        </w:rPr>
        <w:t xml:space="preserve"> </w:t>
      </w:r>
    </w:p>
    <w:p w14:paraId="4A99D470" w14:textId="77777777" w:rsidR="00A802C9" w:rsidRDefault="00A802C9" w:rsidP="00A802C9">
      <w:pPr>
        <w:spacing w:after="0" w:line="240" w:lineRule="auto"/>
        <w:rPr>
          <w:rFonts w:ascii="Verdana" w:hAnsi="Verdana"/>
        </w:rPr>
      </w:pPr>
    </w:p>
    <w:p w14:paraId="0A77A10F" w14:textId="77777777" w:rsidR="00A802C9" w:rsidRPr="00631045" w:rsidRDefault="00A802C9" w:rsidP="00A802C9">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2A6A8428" w14:textId="77777777" w:rsidR="00A802C9" w:rsidRDefault="00A802C9" w:rsidP="00A802C9">
      <w:pPr>
        <w:spacing w:after="0" w:line="240" w:lineRule="auto"/>
        <w:rPr>
          <w:rFonts w:ascii="Verdana" w:eastAsia="Calibri" w:hAnsi="Verdana" w:cs="Arial"/>
          <w:b/>
          <w:bCs/>
          <w:lang w:eastAsia="es-ES"/>
        </w:rPr>
      </w:pPr>
      <w:r w:rsidRPr="004B6098">
        <w:rPr>
          <w:rFonts w:ascii="Verdana" w:eastAsia="Calibri" w:hAnsi="Verdana" w:cs="Arial"/>
          <w:b/>
          <w:bCs/>
          <w:lang w:eastAsia="es-ES"/>
        </w:rPr>
        <w:t>CRISTIAN POLOCHE</w:t>
      </w:r>
    </w:p>
    <w:p w14:paraId="535CC5DA" w14:textId="77777777" w:rsidR="00A802C9" w:rsidRPr="004B6098" w:rsidRDefault="00A802C9" w:rsidP="00A802C9">
      <w:pPr>
        <w:spacing w:after="0" w:line="240" w:lineRule="auto"/>
        <w:rPr>
          <w:rFonts w:ascii="Verdana" w:hAnsi="Verdana"/>
        </w:rPr>
      </w:pPr>
      <w:hyperlink r:id="rId8" w:history="1">
        <w:r w:rsidRPr="004B6098">
          <w:rPr>
            <w:rStyle w:val="Hipervnculo"/>
            <w:rFonts w:ascii="Verdana" w:hAnsi="Verdana"/>
          </w:rPr>
          <w:t>cmpg20@yahoo.es</w:t>
        </w:r>
      </w:hyperlink>
    </w:p>
    <w:p w14:paraId="291F1570" w14:textId="77777777" w:rsidR="00A802C9" w:rsidRDefault="00A802C9" w:rsidP="00A802C9">
      <w:pPr>
        <w:spacing w:after="0" w:line="240" w:lineRule="auto"/>
        <w:rPr>
          <w:rFonts w:ascii="Verdana" w:hAnsi="Verdana"/>
        </w:rPr>
      </w:pPr>
      <w:r>
        <w:rPr>
          <w:rFonts w:ascii="Verdana" w:hAnsi="Verdana"/>
        </w:rPr>
        <w:t xml:space="preserve">Bogotá D.C. </w:t>
      </w:r>
    </w:p>
    <w:p w14:paraId="288629FA" w14:textId="77777777" w:rsidR="00A802C9" w:rsidRDefault="00A802C9" w:rsidP="00A802C9">
      <w:pPr>
        <w:spacing w:after="0" w:line="240" w:lineRule="auto"/>
        <w:jc w:val="right"/>
        <w:rPr>
          <w:rFonts w:ascii="Verdana" w:hAnsi="Verdana"/>
        </w:rPr>
      </w:pPr>
    </w:p>
    <w:p w14:paraId="3E052FD1" w14:textId="77777777" w:rsidR="00A802C9" w:rsidRPr="00FE3DEC" w:rsidRDefault="00A802C9" w:rsidP="00A802C9">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802C9" w:rsidRPr="00593A5F" w14:paraId="37CA7DE4" w14:textId="77777777" w:rsidTr="00B142F7">
        <w:trPr>
          <w:trHeight w:val="273"/>
        </w:trPr>
        <w:tc>
          <w:tcPr>
            <w:tcW w:w="2295" w:type="dxa"/>
          </w:tcPr>
          <w:p w14:paraId="68083027" w14:textId="77777777" w:rsidR="00A802C9" w:rsidRPr="00E5644F" w:rsidRDefault="00A802C9" w:rsidP="00B142F7">
            <w:pPr>
              <w:jc w:val="both"/>
              <w:rPr>
                <w:rFonts w:ascii="Verdana" w:eastAsia="Calibri" w:hAnsi="Verdana" w:cs="Arial"/>
                <w:b/>
                <w:bCs/>
                <w:color w:val="7030A0"/>
                <w:lang w:val="es-ES_tradnl" w:eastAsia="es-ES_tradnl"/>
              </w:rPr>
            </w:pPr>
          </w:p>
        </w:tc>
        <w:tc>
          <w:tcPr>
            <w:tcW w:w="6481" w:type="dxa"/>
            <w:gridSpan w:val="2"/>
          </w:tcPr>
          <w:p w14:paraId="1D2C3019" w14:textId="77777777" w:rsidR="00A802C9" w:rsidRDefault="00A802C9" w:rsidP="00B142F7">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1345 </w:t>
            </w:r>
            <w:r w:rsidRPr="00E5644F">
              <w:rPr>
                <w:rFonts w:ascii="Verdana" w:eastAsia="Calibri" w:hAnsi="Verdana" w:cs="Arial"/>
                <w:b/>
                <w:bCs/>
                <w:lang w:val="es-ES" w:eastAsia="es-ES"/>
              </w:rPr>
              <w:t>de 202</w:t>
            </w:r>
            <w:r>
              <w:rPr>
                <w:rFonts w:ascii="Verdana" w:eastAsia="Calibri" w:hAnsi="Verdana" w:cs="Arial"/>
                <w:b/>
                <w:bCs/>
                <w:lang w:val="es-ES" w:eastAsia="es-ES"/>
              </w:rPr>
              <w:t>6</w:t>
            </w:r>
          </w:p>
          <w:p w14:paraId="433DE016" w14:textId="77777777" w:rsidR="00A802C9" w:rsidRPr="00E5644F" w:rsidRDefault="00A802C9" w:rsidP="00B142F7">
            <w:pPr>
              <w:jc w:val="both"/>
              <w:rPr>
                <w:rFonts w:ascii="Verdana" w:eastAsia="Calibri" w:hAnsi="Verdana" w:cs="Arial"/>
                <w:b/>
                <w:bCs/>
                <w:color w:val="7030A0"/>
                <w:lang w:val="es-ES" w:eastAsia="es-ES"/>
              </w:rPr>
            </w:pPr>
          </w:p>
        </w:tc>
      </w:tr>
      <w:tr w:rsidR="00A802C9" w:rsidRPr="00280D79" w14:paraId="070DF75B" w14:textId="77777777" w:rsidTr="00B142F7">
        <w:trPr>
          <w:trHeight w:val="1583"/>
        </w:trPr>
        <w:tc>
          <w:tcPr>
            <w:tcW w:w="2295" w:type="dxa"/>
          </w:tcPr>
          <w:p w14:paraId="6E4C5BC2" w14:textId="77777777" w:rsidR="00A802C9" w:rsidRPr="00593A5F" w:rsidRDefault="00A802C9" w:rsidP="00B142F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026909B5" w14:textId="77777777" w:rsidR="00A802C9" w:rsidRPr="004577D3" w:rsidRDefault="00A802C9" w:rsidP="00B142F7">
            <w:pPr>
              <w:jc w:val="both"/>
              <w:rPr>
                <w:rFonts w:ascii="Verdana" w:eastAsia="Century Gothic" w:hAnsi="Verdana" w:cs="Century Gothic"/>
                <w:b/>
                <w:bCs/>
                <w:lang w:val="es-ES"/>
              </w:rPr>
            </w:pPr>
            <w:r>
              <w:rPr>
                <w:rFonts w:ascii="Verdana" w:eastAsia="Times New Roman" w:hAnsi="Verdana" w:cs="Arial"/>
                <w:lang w:val="es-ES" w:eastAsia="es-ES_tradnl"/>
              </w:rPr>
              <w:t>PROPONENTES</w:t>
            </w:r>
            <w:r w:rsidRPr="001C6CAC">
              <w:rPr>
                <w:rFonts w:ascii="Verdana" w:eastAsia="Times New Roman" w:hAnsi="Verdana" w:cs="Arial"/>
                <w:lang w:val="es-ES" w:eastAsia="es-ES_tradnl"/>
              </w:rPr>
              <w:t xml:space="preserve"> EXTRANJEROS – Registro RUP – </w:t>
            </w:r>
            <w:r>
              <w:rPr>
                <w:rFonts w:ascii="Verdana" w:eastAsia="Times New Roman" w:hAnsi="Verdana" w:cs="Arial"/>
                <w:lang w:val="es-ES" w:eastAsia="es-ES_tradnl"/>
              </w:rPr>
              <w:t xml:space="preserve">Obligatoriedad en procesos sometidos a EGCAP – No exigible en procedimientos de régimen especial / </w:t>
            </w:r>
            <w:r w:rsidRPr="00766885">
              <w:rPr>
                <w:rFonts w:ascii="Verdana" w:eastAsia="Times New Roman" w:hAnsi="Verdana" w:cs="Arial"/>
                <w:lang w:val="es-ES" w:eastAsia="es-ES_tradnl"/>
              </w:rPr>
              <w:t xml:space="preserve">ADJUDICATARIOS </w:t>
            </w:r>
            <w:r w:rsidRPr="001C6CAC">
              <w:rPr>
                <w:rFonts w:ascii="Verdana" w:eastAsia="Times New Roman" w:hAnsi="Verdana" w:cs="Arial"/>
                <w:lang w:val="es-ES" w:eastAsia="es-ES_tradnl"/>
              </w:rPr>
              <w:t xml:space="preserve">EXTRANJEROS </w:t>
            </w:r>
            <w:r>
              <w:rPr>
                <w:rFonts w:ascii="Verdana" w:eastAsia="Times New Roman" w:hAnsi="Verdana" w:cs="Arial"/>
                <w:lang w:val="es-ES" w:eastAsia="es-ES_tradnl"/>
              </w:rPr>
              <w:t>– Requisitos para celebrar contratos - S</w:t>
            </w:r>
            <w:r w:rsidRPr="000C6745">
              <w:rPr>
                <w:rFonts w:ascii="Verdana" w:eastAsia="Times New Roman" w:hAnsi="Verdana" w:cs="Arial"/>
                <w:lang w:val="es-ES" w:eastAsia="es-ES_tradnl"/>
              </w:rPr>
              <w:t>ociedades extranjeras con negocio permanente en el país – Obligación de constituir sucursal</w:t>
            </w:r>
            <w:r>
              <w:rPr>
                <w:rFonts w:ascii="Verdana" w:eastAsia="Times New Roman" w:hAnsi="Verdana" w:cs="Arial"/>
                <w:lang w:val="es-ES" w:eastAsia="es-ES_tradnl"/>
              </w:rPr>
              <w:t xml:space="preserve"> / </w:t>
            </w:r>
          </w:p>
          <w:p w14:paraId="12A60B58" w14:textId="77777777" w:rsidR="00A802C9" w:rsidRPr="00280D79" w:rsidRDefault="00A802C9" w:rsidP="00B142F7">
            <w:pPr>
              <w:jc w:val="both"/>
              <w:rPr>
                <w:rFonts w:ascii="Verdana" w:eastAsia="Calibri" w:hAnsi="Verdana" w:cs="Arial"/>
                <w:b/>
                <w:highlight w:val="yellow"/>
                <w:lang w:val="es-ES" w:eastAsia="es-ES"/>
              </w:rPr>
            </w:pPr>
          </w:p>
        </w:tc>
      </w:tr>
      <w:tr w:rsidR="00A802C9" w:rsidRPr="00593A5F" w14:paraId="5DD4F21E" w14:textId="77777777" w:rsidTr="00B142F7">
        <w:trPr>
          <w:trHeight w:val="545"/>
        </w:trPr>
        <w:tc>
          <w:tcPr>
            <w:tcW w:w="2295" w:type="dxa"/>
          </w:tcPr>
          <w:p w14:paraId="3DD71402" w14:textId="77777777" w:rsidR="00A802C9" w:rsidRPr="006730E9" w:rsidRDefault="00A802C9" w:rsidP="00B142F7">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27622C" w14:textId="77777777" w:rsidR="00A802C9" w:rsidRDefault="00A802C9" w:rsidP="00B142F7">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4B6098">
              <w:rPr>
                <w:rFonts w:ascii="Verdana" w:eastAsia="Calibri" w:hAnsi="Verdana" w:cs="Arial"/>
                <w:lang w:val="es-ES_tradnl" w:eastAsia="es-ES_tradnl"/>
              </w:rPr>
              <w:t>1_2026_08_27_011428</w:t>
            </w:r>
            <w:r>
              <w:rPr>
                <w:rFonts w:ascii="Verdana" w:eastAsia="Calibri" w:hAnsi="Verdana" w:cs="Arial"/>
                <w:lang w:val="es-ES_tradnl" w:eastAsia="es-ES_tradnl"/>
              </w:rPr>
              <w:t xml:space="preserve"> acumulada con el radicado No. </w:t>
            </w:r>
            <w:r w:rsidRPr="004B6098">
              <w:rPr>
                <w:rFonts w:ascii="Verdana" w:eastAsia="Calibri" w:hAnsi="Verdana" w:cs="Arial"/>
                <w:lang w:val="es-ES_tradnl" w:eastAsia="es-ES_tradnl"/>
              </w:rPr>
              <w:t>1_2026_08_27_0114</w:t>
            </w:r>
            <w:r>
              <w:rPr>
                <w:rFonts w:ascii="Verdana" w:eastAsia="Calibri" w:hAnsi="Verdana" w:cs="Arial"/>
                <w:lang w:val="es-ES_tradnl" w:eastAsia="es-ES_tradnl"/>
              </w:rPr>
              <w:t>45</w:t>
            </w:r>
          </w:p>
          <w:p w14:paraId="24EE1CD6" w14:textId="77777777" w:rsidR="00A802C9" w:rsidRPr="006730E9" w:rsidRDefault="00A802C9" w:rsidP="00B142F7">
            <w:pPr>
              <w:jc w:val="both"/>
              <w:rPr>
                <w:rFonts w:ascii="Verdana" w:eastAsia="Calibri" w:hAnsi="Verdana" w:cs="Arial"/>
                <w:lang w:val="es-ES_tradnl" w:eastAsia="es-ES_tradnl"/>
              </w:rPr>
            </w:pPr>
          </w:p>
        </w:tc>
      </w:tr>
      <w:tr w:rsidR="00A802C9" w:rsidRPr="00DB23D2" w14:paraId="74314087" w14:textId="77777777" w:rsidTr="00B142F7">
        <w:trPr>
          <w:gridAfter w:val="1"/>
          <w:wAfter w:w="319" w:type="dxa"/>
          <w:trHeight w:val="242"/>
        </w:trPr>
        <w:tc>
          <w:tcPr>
            <w:tcW w:w="8457" w:type="dxa"/>
            <w:gridSpan w:val="2"/>
          </w:tcPr>
          <w:p w14:paraId="4D594177" w14:textId="77777777" w:rsidR="00A802C9" w:rsidRPr="00DB23D2" w:rsidRDefault="00A802C9" w:rsidP="00B142F7">
            <w:pPr>
              <w:spacing w:line="276" w:lineRule="auto"/>
              <w:jc w:val="both"/>
              <w:rPr>
                <w:rFonts w:ascii="Verdana" w:eastAsia="Calibri" w:hAnsi="Verdana" w:cs="Arial"/>
                <w:lang w:val="es-ES_tradnl" w:eastAsia="es-ES"/>
              </w:rPr>
            </w:pPr>
          </w:p>
        </w:tc>
      </w:tr>
    </w:tbl>
    <w:p w14:paraId="20857421" w14:textId="77777777" w:rsidR="00A802C9" w:rsidRPr="006730E9" w:rsidRDefault="00A802C9" w:rsidP="00A802C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Poloche;</w:t>
      </w:r>
    </w:p>
    <w:p w14:paraId="3AC4DDD8" w14:textId="77777777" w:rsidR="00A802C9" w:rsidRDefault="00A802C9" w:rsidP="00A802C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2D7F88BA" w14:textId="77777777" w:rsidR="00A802C9" w:rsidRPr="006730E9" w:rsidRDefault="00A802C9" w:rsidP="00A802C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Pr="00656A22">
        <w:rPr>
          <w:rFonts w:ascii="Verdana" w:eastAsia="Calibri" w:hAnsi="Verdana" w:cs="Arial"/>
          <w:lang w:val="es-ES" w:eastAsia="es-ES"/>
        </w:rPr>
        <w:t>2</w:t>
      </w:r>
      <w:r>
        <w:rPr>
          <w:rFonts w:ascii="Verdana" w:eastAsia="Calibri" w:hAnsi="Verdana" w:cs="Arial"/>
          <w:lang w:val="es-ES" w:eastAsia="es-ES"/>
        </w:rPr>
        <w:t>7</w:t>
      </w:r>
      <w:r w:rsidRPr="00656A22">
        <w:rPr>
          <w:rFonts w:ascii="Verdana" w:eastAsia="Calibri" w:hAnsi="Verdana" w:cs="Arial"/>
          <w:lang w:val="es-ES" w:eastAsia="es-ES"/>
        </w:rPr>
        <w:t xml:space="preserve"> de agosto de 202</w:t>
      </w:r>
      <w:r>
        <w:rPr>
          <w:rFonts w:ascii="Verdana" w:eastAsia="Calibri" w:hAnsi="Verdana" w:cs="Arial"/>
          <w:lang w:val="es-ES" w:eastAsia="es-ES"/>
        </w:rPr>
        <w:t>6</w:t>
      </w:r>
      <w:r w:rsidRPr="00656A22">
        <w:rPr>
          <w:rFonts w:ascii="Verdana" w:eastAsia="Calibri" w:hAnsi="Verdana" w:cs="Arial"/>
          <w:lang w:val="es-ES" w:eastAsia="es-ES"/>
        </w:rPr>
        <w:t>,</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10AD1892" w14:textId="77777777" w:rsidR="00A802C9" w:rsidRPr="00326382" w:rsidRDefault="00A802C9" w:rsidP="00A802C9">
      <w:pPr>
        <w:spacing w:after="0" w:line="276" w:lineRule="auto"/>
        <w:ind w:left="709" w:right="474"/>
        <w:jc w:val="both"/>
        <w:rPr>
          <w:rFonts w:ascii="Verdana" w:hAnsi="Verdana" w:cs="Arial"/>
          <w:sz w:val="20"/>
          <w:szCs w:val="20"/>
          <w:shd w:val="clear" w:color="auto" w:fill="FFFFFF"/>
        </w:rPr>
      </w:pPr>
      <w:bookmarkStart w:id="0" w:name="_Hlk95313578"/>
    </w:p>
    <w:bookmarkEnd w:id="0"/>
    <w:p w14:paraId="5B945A13" w14:textId="77777777" w:rsidR="00A802C9" w:rsidRPr="00EA70F7" w:rsidRDefault="00A802C9" w:rsidP="00A802C9">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65507E37" w14:textId="77777777" w:rsidR="00A802C9" w:rsidRPr="00C17C49" w:rsidRDefault="00A802C9" w:rsidP="00A802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C06F2B9" w14:textId="77777777" w:rsidR="00A802C9" w:rsidRPr="00EA70F7" w:rsidRDefault="00A802C9" w:rsidP="00A802C9">
      <w:pPr>
        <w:tabs>
          <w:tab w:val="left" w:pos="142"/>
          <w:tab w:val="left" w:pos="567"/>
        </w:tabs>
        <w:spacing w:after="0" w:line="240" w:lineRule="auto"/>
        <w:ind w:left="709" w:right="709"/>
        <w:jc w:val="both"/>
        <w:rPr>
          <w:rFonts w:ascii="Verdana" w:eastAsia="Century Gothic" w:hAnsi="Verdana" w:cs="Century Gothic"/>
          <w:i/>
          <w:iCs/>
          <w:sz w:val="20"/>
          <w:szCs w:val="20"/>
        </w:rPr>
      </w:pPr>
      <w:r w:rsidRPr="004B6098">
        <w:rPr>
          <w:rFonts w:ascii="Verdana" w:eastAsia="Century Gothic" w:hAnsi="Verdana" w:cs="Century Gothic"/>
          <w:i/>
          <w:iCs/>
          <w:sz w:val="20"/>
          <w:szCs w:val="20"/>
        </w:rPr>
        <w:t>Agradezco puedan indicarme cual es el procedimiento que deben</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seguir las sucursales extranjeras para hacer las conversiones</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de los contratos en moneda extranjera para registrar los SMMLV</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 xml:space="preserve">en el </w:t>
      </w:r>
      <w:proofErr w:type="spellStart"/>
      <w:r w:rsidRPr="004B6098">
        <w:rPr>
          <w:rFonts w:ascii="Verdana" w:eastAsia="Century Gothic" w:hAnsi="Verdana" w:cs="Century Gothic"/>
          <w:i/>
          <w:iCs/>
          <w:sz w:val="20"/>
          <w:szCs w:val="20"/>
        </w:rPr>
        <w:t>rup</w:t>
      </w:r>
      <w:proofErr w:type="spellEnd"/>
      <w:r w:rsidRPr="004B6098">
        <w:rPr>
          <w:rFonts w:ascii="Verdana" w:eastAsia="Century Gothic" w:hAnsi="Verdana" w:cs="Century Gothic"/>
          <w:i/>
          <w:iCs/>
          <w:sz w:val="20"/>
          <w:szCs w:val="20"/>
        </w:rPr>
        <w:t>. Mi duda esta, en si se puede hacer la conversión a</w:t>
      </w:r>
      <w:r>
        <w:rPr>
          <w:rFonts w:ascii="Verdana" w:eastAsia="Century Gothic" w:hAnsi="Verdana" w:cs="Century Gothic"/>
          <w:i/>
          <w:iCs/>
          <w:sz w:val="20"/>
          <w:szCs w:val="20"/>
        </w:rPr>
        <w:t xml:space="preserve"> </w:t>
      </w:r>
      <w:proofErr w:type="spellStart"/>
      <w:r w:rsidRPr="004B6098">
        <w:rPr>
          <w:rFonts w:ascii="Verdana" w:eastAsia="Century Gothic" w:hAnsi="Verdana" w:cs="Century Gothic"/>
          <w:i/>
          <w:iCs/>
          <w:sz w:val="20"/>
          <w:szCs w:val="20"/>
        </w:rPr>
        <w:t>dolares</w:t>
      </w:r>
      <w:proofErr w:type="spellEnd"/>
      <w:r w:rsidRPr="004B6098">
        <w:rPr>
          <w:rFonts w:ascii="Verdana" w:eastAsia="Century Gothic" w:hAnsi="Verdana" w:cs="Century Gothic"/>
          <w:i/>
          <w:iCs/>
          <w:sz w:val="20"/>
          <w:szCs w:val="20"/>
        </w:rPr>
        <w:t xml:space="preserve"> y de </w:t>
      </w:r>
      <w:proofErr w:type="spellStart"/>
      <w:r w:rsidRPr="004B6098">
        <w:rPr>
          <w:rFonts w:ascii="Verdana" w:eastAsia="Century Gothic" w:hAnsi="Verdana" w:cs="Century Gothic"/>
          <w:i/>
          <w:iCs/>
          <w:sz w:val="20"/>
          <w:szCs w:val="20"/>
        </w:rPr>
        <w:t>dolares</w:t>
      </w:r>
      <w:proofErr w:type="spellEnd"/>
      <w:r w:rsidRPr="004B6098">
        <w:rPr>
          <w:rFonts w:ascii="Verdana" w:eastAsia="Century Gothic" w:hAnsi="Verdana" w:cs="Century Gothic"/>
          <w:i/>
          <w:iCs/>
          <w:sz w:val="20"/>
          <w:szCs w:val="20"/>
        </w:rPr>
        <w:t xml:space="preserve"> a pesos colombianos teniendo en cuenta</w:t>
      </w:r>
      <w:r>
        <w:rPr>
          <w:rFonts w:ascii="Verdana" w:eastAsia="Century Gothic" w:hAnsi="Verdana" w:cs="Century Gothic"/>
          <w:i/>
          <w:iCs/>
          <w:sz w:val="20"/>
          <w:szCs w:val="20"/>
        </w:rPr>
        <w:t xml:space="preserve"> </w:t>
      </w:r>
      <w:proofErr w:type="spellStart"/>
      <w:r w:rsidRPr="004B6098">
        <w:rPr>
          <w:rFonts w:ascii="Verdana" w:eastAsia="Century Gothic" w:hAnsi="Verdana" w:cs="Century Gothic"/>
          <w:i/>
          <w:iCs/>
          <w:sz w:val="20"/>
          <w:szCs w:val="20"/>
        </w:rPr>
        <w:t>unicamente</w:t>
      </w:r>
      <w:proofErr w:type="spellEnd"/>
      <w:r w:rsidRPr="004B6098">
        <w:rPr>
          <w:rFonts w:ascii="Verdana" w:eastAsia="Century Gothic" w:hAnsi="Verdana" w:cs="Century Gothic"/>
          <w:i/>
          <w:iCs/>
          <w:sz w:val="20"/>
          <w:szCs w:val="20"/>
        </w:rPr>
        <w:t xml:space="preserve"> la fecha de terminación del contrato, o por el</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 xml:space="preserve">contrario se debe promediar la TRM de inicio y </w:t>
      </w:r>
      <w:proofErr w:type="spellStart"/>
      <w:r w:rsidRPr="004B6098">
        <w:rPr>
          <w:rFonts w:ascii="Verdana" w:eastAsia="Century Gothic" w:hAnsi="Verdana" w:cs="Century Gothic"/>
          <w:i/>
          <w:iCs/>
          <w:sz w:val="20"/>
          <w:szCs w:val="20"/>
        </w:rPr>
        <w:t>terminacion</w:t>
      </w:r>
      <w:proofErr w:type="spellEnd"/>
      <w:r w:rsidRPr="004B6098">
        <w:rPr>
          <w:rFonts w:ascii="Verdana" w:eastAsia="Century Gothic" w:hAnsi="Verdana" w:cs="Century Gothic"/>
          <w:i/>
          <w:iCs/>
          <w:sz w:val="20"/>
          <w:szCs w:val="20"/>
        </w:rPr>
        <w:t xml:space="preserve"> del</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 xml:space="preserve">contrato </w:t>
      </w:r>
      <w:r w:rsidRPr="004B6098">
        <w:rPr>
          <w:rFonts w:ascii="Verdana" w:eastAsia="Century Gothic" w:hAnsi="Verdana" w:cs="Century Gothic"/>
          <w:i/>
          <w:iCs/>
          <w:sz w:val="20"/>
          <w:szCs w:val="20"/>
        </w:rPr>
        <w:lastRenderedPageBreak/>
        <w:t xml:space="preserve">para </w:t>
      </w:r>
      <w:proofErr w:type="spellStart"/>
      <w:r w:rsidRPr="004B6098">
        <w:rPr>
          <w:rFonts w:ascii="Verdana" w:eastAsia="Century Gothic" w:hAnsi="Verdana" w:cs="Century Gothic"/>
          <w:i/>
          <w:iCs/>
          <w:sz w:val="20"/>
          <w:szCs w:val="20"/>
        </w:rPr>
        <w:t>asi</w:t>
      </w:r>
      <w:proofErr w:type="spellEnd"/>
      <w:r w:rsidRPr="004B6098">
        <w:rPr>
          <w:rFonts w:ascii="Verdana" w:eastAsia="Century Gothic" w:hAnsi="Verdana" w:cs="Century Gothic"/>
          <w:i/>
          <w:iCs/>
          <w:sz w:val="20"/>
          <w:szCs w:val="20"/>
        </w:rPr>
        <w:t xml:space="preserve"> pasar a pesos colombianos y realizar la</w:t>
      </w:r>
      <w:r>
        <w:rPr>
          <w:rFonts w:ascii="Verdana" w:eastAsia="Century Gothic" w:hAnsi="Verdana" w:cs="Century Gothic"/>
          <w:i/>
          <w:iCs/>
          <w:sz w:val="20"/>
          <w:szCs w:val="20"/>
        </w:rPr>
        <w:t xml:space="preserve"> </w:t>
      </w:r>
      <w:r w:rsidRPr="004B6098">
        <w:rPr>
          <w:rFonts w:ascii="Verdana" w:eastAsia="Century Gothic" w:hAnsi="Verdana" w:cs="Century Gothic"/>
          <w:i/>
          <w:iCs/>
          <w:sz w:val="20"/>
          <w:szCs w:val="20"/>
        </w:rPr>
        <w:t>conversión a SMMLV.</w:t>
      </w:r>
      <w:r w:rsidRPr="00CB7B40">
        <w:rPr>
          <w:rFonts w:ascii="Verdana" w:eastAsia="Century Gothic" w:hAnsi="Verdana" w:cs="Century Gothic"/>
          <w:i/>
          <w:iCs/>
          <w:sz w:val="20"/>
          <w:szCs w:val="20"/>
        </w:rPr>
        <w:t> </w:t>
      </w:r>
      <w:r w:rsidRPr="005E69AD">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119A8EE2" w14:textId="77777777" w:rsidR="00A802C9" w:rsidRDefault="00A802C9" w:rsidP="00A802C9">
      <w:pPr>
        <w:spacing w:after="0" w:line="276" w:lineRule="auto"/>
        <w:ind w:firstLine="709"/>
        <w:jc w:val="both"/>
        <w:rPr>
          <w:rFonts w:ascii="Verdana" w:eastAsia="Calibri" w:hAnsi="Verdana" w:cs="Arial"/>
          <w:lang w:val="es-ES" w:eastAsia="es-ES"/>
        </w:rPr>
      </w:pPr>
    </w:p>
    <w:p w14:paraId="71682840" w14:textId="77777777" w:rsidR="00A802C9" w:rsidRPr="00AA3B9F" w:rsidRDefault="00A802C9" w:rsidP="00A802C9">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3DD0946" w14:textId="77777777" w:rsidR="00A802C9" w:rsidRPr="00AA3B9F" w:rsidRDefault="00A802C9" w:rsidP="00A802C9">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11B99D2C" w14:textId="77777777" w:rsidR="00A802C9" w:rsidRDefault="00A802C9" w:rsidP="00A802C9">
      <w:pPr>
        <w:pStyle w:val="Prrafodelista"/>
        <w:tabs>
          <w:tab w:val="left" w:pos="142"/>
          <w:tab w:val="left" w:pos="284"/>
        </w:tabs>
        <w:spacing w:after="0" w:line="276" w:lineRule="auto"/>
        <w:ind w:left="425" w:right="1185"/>
        <w:contextualSpacing w:val="0"/>
        <w:jc w:val="both"/>
        <w:rPr>
          <w:rFonts w:ascii="Verdana" w:eastAsia="Century Gothic" w:hAnsi="Verdana" w:cs="Century Gothic"/>
          <w:i/>
          <w:iCs/>
        </w:rPr>
      </w:pPr>
    </w:p>
    <w:p w14:paraId="18CF5330" w14:textId="77777777" w:rsidR="00A802C9" w:rsidRDefault="00A802C9" w:rsidP="00A802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s 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64B726BC" w14:textId="77777777" w:rsidR="00A802C9" w:rsidRDefault="00A802C9" w:rsidP="00A802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155F361" w14:textId="77777777" w:rsidR="00A802C9" w:rsidRDefault="00A802C9" w:rsidP="00A802C9">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1" w:name="_Hlk196737317"/>
      <w:r>
        <w:rPr>
          <w:rFonts w:ascii="Verdana" w:eastAsia="Calibri" w:hAnsi="Verdana" w:cs="Arial"/>
          <w:lang w:eastAsia="es-ES"/>
        </w:rPr>
        <w:t xml:space="preserve"> </w:t>
      </w:r>
      <w:r w:rsidRPr="0015444C">
        <w:rPr>
          <w:rFonts w:ascii="Verdana" w:eastAsia="Calibri" w:hAnsi="Verdana" w:cs="Arial"/>
          <w:lang w:eastAsia="es-ES"/>
        </w:rPr>
        <w:t>¿Cuáles son las condiciones, requisitos y obligaciones —jurídicas, financieras, contables y de acreditación de requisitos habilitantes— que deben cumplir las sociedades extranjeras, con o sin sucursal en Colombia, para poder participar en procesos de contratación estatal?</w:t>
      </w:r>
    </w:p>
    <w:p w14:paraId="3966BE75" w14:textId="77777777" w:rsidR="00A802C9" w:rsidRPr="00CB7B40" w:rsidRDefault="00A802C9" w:rsidP="00A802C9">
      <w:pPr>
        <w:spacing w:after="0" w:line="276" w:lineRule="auto"/>
        <w:jc w:val="both"/>
        <w:rPr>
          <w:rFonts w:ascii="Verdana" w:eastAsia="Calibri" w:hAnsi="Verdana" w:cs="Arial"/>
          <w:lang w:eastAsia="es-ES"/>
        </w:rPr>
      </w:pPr>
    </w:p>
    <w:bookmarkEnd w:id="1"/>
    <w:p w14:paraId="35A56FC3" w14:textId="77777777" w:rsidR="00A802C9" w:rsidRDefault="00A802C9" w:rsidP="00A802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6BD5CD7" w14:textId="77777777" w:rsidR="00A802C9" w:rsidRPr="00593A5F" w:rsidRDefault="00A802C9" w:rsidP="00A802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802C9" w:rsidRPr="00593A5F" w14:paraId="2A36DDBB" w14:textId="77777777" w:rsidTr="00B142F7">
        <w:tc>
          <w:tcPr>
            <w:tcW w:w="8828" w:type="dxa"/>
          </w:tcPr>
          <w:p w14:paraId="499F6525" w14:textId="77777777" w:rsidR="00A802C9" w:rsidRDefault="00A802C9" w:rsidP="00B142F7">
            <w:pPr>
              <w:spacing w:after="120" w:line="276" w:lineRule="auto"/>
              <w:ind w:right="142"/>
              <w:jc w:val="both"/>
              <w:rPr>
                <w:rFonts w:ascii="Verdana" w:hAnsi="Verdana" w:cs="Arial"/>
                <w:lang w:eastAsia="es-ES_tradnl"/>
              </w:rPr>
            </w:pPr>
            <w:r w:rsidRPr="007312AF">
              <w:rPr>
                <w:rFonts w:ascii="Verdana" w:hAnsi="Verdana" w:cs="Arial"/>
                <w:lang w:eastAsia="es-ES_tradnl"/>
              </w:rPr>
              <w:t xml:space="preserve">Los proponentes extranjeros que deseen participar en procesos de contratación en Colombia deben cumplir con todos los requisitos habilitantes </w:t>
            </w:r>
            <w:r w:rsidRPr="007312AF">
              <w:rPr>
                <w:rFonts w:ascii="Verdana" w:hAnsi="Verdana" w:cs="Arial"/>
                <w:lang w:eastAsia="es-ES_tradnl"/>
              </w:rPr>
              <w:lastRenderedPageBreak/>
              <w:t>establecidos en el Pliego de Condiciones, así como con los criterios de calificación que se determinen para cada proceso.</w:t>
            </w:r>
          </w:p>
          <w:p w14:paraId="02F80966" w14:textId="77777777" w:rsidR="00A802C9" w:rsidRDefault="00A802C9" w:rsidP="00B142F7">
            <w:pPr>
              <w:spacing w:line="276" w:lineRule="auto"/>
              <w:ind w:right="142"/>
              <w:jc w:val="both"/>
              <w:rPr>
                <w:rFonts w:ascii="Verdana" w:hAnsi="Verdana" w:cs="Arial"/>
                <w:lang w:eastAsia="es-ES_tradnl"/>
              </w:rPr>
            </w:pPr>
            <w:r>
              <w:rPr>
                <w:rFonts w:ascii="Verdana" w:hAnsi="Verdana" w:cs="Arial"/>
                <w:lang w:eastAsia="es-ES_tradnl"/>
              </w:rPr>
              <w:t xml:space="preserve">          </w:t>
            </w:r>
            <w:r w:rsidRPr="007312AF">
              <w:rPr>
                <w:rFonts w:ascii="Verdana" w:hAnsi="Verdana" w:cs="Arial"/>
                <w:lang w:eastAsia="es-ES_tradnl"/>
              </w:rPr>
              <w:t xml:space="preserve">Para ello, </w:t>
            </w:r>
            <w:r>
              <w:rPr>
                <w:rFonts w:ascii="Verdana" w:hAnsi="Verdana" w:cs="Arial"/>
                <w:lang w:eastAsia="es-ES_tradnl"/>
              </w:rPr>
              <w:t xml:space="preserve">y en línea con lo previsto en el concepto C-445 del 16 de mayo de 2025 expedido por esta Subdirección Contractual, </w:t>
            </w:r>
            <w:r w:rsidRPr="007312AF">
              <w:rPr>
                <w:rFonts w:ascii="Verdana" w:hAnsi="Verdana" w:cs="Arial"/>
                <w:lang w:eastAsia="es-ES_tradnl"/>
              </w:rPr>
              <w:t>es importante tener en cuenta ciertos aspectos específicos que pueden aplicar a los oferentes extranjeros, tales como:</w:t>
            </w:r>
          </w:p>
          <w:p w14:paraId="008D3014" w14:textId="77777777" w:rsidR="00A802C9" w:rsidRPr="007312AF" w:rsidRDefault="00A802C9" w:rsidP="00B142F7">
            <w:pPr>
              <w:spacing w:line="276" w:lineRule="auto"/>
              <w:ind w:right="142"/>
              <w:jc w:val="both"/>
              <w:rPr>
                <w:rFonts w:ascii="Verdana" w:hAnsi="Verdana" w:cs="Arial"/>
                <w:lang w:eastAsia="es-ES_tradnl"/>
              </w:rPr>
            </w:pPr>
          </w:p>
          <w:p w14:paraId="437A0E37" w14:textId="77777777" w:rsidR="00A802C9" w:rsidRPr="000D2FED" w:rsidRDefault="00A802C9" w:rsidP="00A802C9">
            <w:pPr>
              <w:numPr>
                <w:ilvl w:val="0"/>
                <w:numId w:val="3"/>
              </w:numPr>
              <w:spacing w:line="276" w:lineRule="auto"/>
              <w:ind w:right="142"/>
              <w:jc w:val="both"/>
              <w:rPr>
                <w:rFonts w:ascii="Verdana" w:hAnsi="Verdana" w:cs="Arial"/>
                <w:lang w:eastAsia="es-ES_tradnl"/>
              </w:rPr>
            </w:pPr>
            <w:r w:rsidRPr="000D2FED">
              <w:rPr>
                <w:rFonts w:ascii="Verdana" w:hAnsi="Verdana" w:cs="Arial"/>
                <w:lang w:eastAsia="es-ES_tradnl"/>
              </w:rPr>
              <w:t>La inscripción en el Registro Único de Proponentes (RUP) y las excepciones previstas por la normativa vigente.</w:t>
            </w:r>
          </w:p>
          <w:p w14:paraId="3C801F21" w14:textId="77777777" w:rsidR="00A802C9" w:rsidRPr="000D2FED" w:rsidRDefault="00A802C9" w:rsidP="00A802C9">
            <w:pPr>
              <w:numPr>
                <w:ilvl w:val="0"/>
                <w:numId w:val="3"/>
              </w:numPr>
              <w:spacing w:line="276" w:lineRule="auto"/>
              <w:ind w:right="142"/>
              <w:jc w:val="both"/>
              <w:rPr>
                <w:rFonts w:ascii="Verdana" w:hAnsi="Verdana" w:cs="Arial"/>
                <w:lang w:eastAsia="es-ES_tradnl"/>
              </w:rPr>
            </w:pPr>
            <w:r w:rsidRPr="000D2FED">
              <w:rPr>
                <w:rFonts w:ascii="Verdana" w:hAnsi="Verdana" w:cs="Arial"/>
                <w:lang w:eastAsia="es-ES_tradnl"/>
              </w:rPr>
              <w:t>La apostilla o legalización de documentos emitidos en el exterior, de acuerdo con los tratados internacionales y las normas colombianas.</w:t>
            </w:r>
          </w:p>
          <w:p w14:paraId="1A3702D7" w14:textId="77777777" w:rsidR="00A802C9" w:rsidRPr="000D2FED" w:rsidRDefault="00A802C9" w:rsidP="00A802C9">
            <w:pPr>
              <w:numPr>
                <w:ilvl w:val="0"/>
                <w:numId w:val="3"/>
              </w:numPr>
              <w:spacing w:line="276" w:lineRule="auto"/>
              <w:ind w:right="142"/>
              <w:jc w:val="both"/>
              <w:rPr>
                <w:rFonts w:ascii="Verdana" w:hAnsi="Verdana" w:cs="Arial"/>
                <w:lang w:eastAsia="es-ES_tradnl"/>
              </w:rPr>
            </w:pPr>
            <w:r w:rsidRPr="000D2FED">
              <w:rPr>
                <w:rFonts w:ascii="Verdana" w:hAnsi="Verdana" w:cs="Arial"/>
                <w:lang w:eastAsia="es-ES_tradnl"/>
              </w:rPr>
              <w:t>El manejo de documentos en idioma extranjero, los cuales deberán ser traducidos oficialmente al español.</w:t>
            </w:r>
          </w:p>
          <w:p w14:paraId="4B74C161" w14:textId="77777777" w:rsidR="00A802C9" w:rsidRPr="000D2FED" w:rsidRDefault="00A802C9" w:rsidP="00A802C9">
            <w:pPr>
              <w:numPr>
                <w:ilvl w:val="0"/>
                <w:numId w:val="3"/>
              </w:numPr>
              <w:spacing w:line="276" w:lineRule="auto"/>
              <w:ind w:right="142"/>
              <w:jc w:val="both"/>
              <w:rPr>
                <w:rFonts w:ascii="Verdana" w:hAnsi="Verdana" w:cs="Arial"/>
                <w:lang w:eastAsia="es-ES_tradnl"/>
              </w:rPr>
            </w:pPr>
            <w:r w:rsidRPr="000D2FED">
              <w:rPr>
                <w:rFonts w:ascii="Verdana" w:hAnsi="Verdana" w:cs="Arial"/>
                <w:lang w:eastAsia="es-ES_tradnl"/>
              </w:rPr>
              <w:t>La convalidación de títulos académicos expedidos en el exterior, cuando sea necesario para acreditar requisitos técnicos o profesionales.</w:t>
            </w:r>
          </w:p>
          <w:p w14:paraId="592B86D2" w14:textId="77777777" w:rsidR="00A802C9" w:rsidRPr="007312AF" w:rsidRDefault="00A802C9" w:rsidP="00B142F7">
            <w:pPr>
              <w:spacing w:line="276" w:lineRule="auto"/>
              <w:ind w:right="142"/>
              <w:jc w:val="both"/>
              <w:rPr>
                <w:rFonts w:ascii="Verdana" w:hAnsi="Verdana" w:cs="Arial"/>
                <w:lang w:eastAsia="es-ES_tradnl"/>
              </w:rPr>
            </w:pPr>
          </w:p>
          <w:p w14:paraId="75E0054C" w14:textId="77777777" w:rsidR="00A802C9" w:rsidRPr="00DB7FBA" w:rsidRDefault="00A802C9" w:rsidP="00B142F7">
            <w:pPr>
              <w:spacing w:after="120" w:line="276" w:lineRule="auto"/>
              <w:jc w:val="both"/>
              <w:rPr>
                <w:rFonts w:ascii="Verdana" w:eastAsia="Calibri" w:hAnsi="Verdana" w:cs="Arial"/>
              </w:rPr>
            </w:pPr>
            <w:r>
              <w:rPr>
                <w:rFonts w:ascii="Verdana" w:eastAsia="Calibri" w:hAnsi="Verdana" w:cs="Arial"/>
              </w:rPr>
              <w:t xml:space="preserve">        L</w:t>
            </w:r>
            <w:r w:rsidRPr="00DB7FBA">
              <w:rPr>
                <w:rFonts w:ascii="Verdana" w:eastAsia="Calibri" w:hAnsi="Verdana" w:cs="Arial"/>
              </w:rPr>
              <w:t xml:space="preserve">as empresas colombianas y las extranjeras con sucursal en Colombia deben elaborar sus estados financieros de conformidad con lo dispuesto en la Ley 222 de 1995 y el Decreto 2420 de 2015, o las normas que los modifiquen, los cuales deben presentarse para la inscripción, renovación o actualización del RUP, según lo dispuesto en el artículo numeral 2.3 del artículo 2.2.1.1.1.5.2 del Decreto 1082 de 2015 y en el numeral 4.2.2.3 la Circular Externa Única expedida por la Superintendencia de Industria y Comercio.  La presentación de esos estados financieros eventualmente podrá ser exigida por alguna entidad estatal en un proceso de selección, en el caso de que, para evaluar la capacidad financiera, se requiera información adicional a la contenida en el RUP, evento en el cual además las normas mencionas deberán aplicarse las reglas incluidas en el pliego de condiciones. </w:t>
            </w:r>
          </w:p>
          <w:p w14:paraId="2E381ABD" w14:textId="77777777" w:rsidR="00A802C9" w:rsidRPr="000D2FED" w:rsidRDefault="00A802C9" w:rsidP="00B142F7">
            <w:pPr>
              <w:spacing w:after="120" w:line="276" w:lineRule="auto"/>
              <w:jc w:val="both"/>
              <w:rPr>
                <w:rFonts w:ascii="Verdana" w:eastAsia="Calibri" w:hAnsi="Verdana" w:cs="Arial"/>
              </w:rPr>
            </w:pPr>
            <w:r>
              <w:rPr>
                <w:rFonts w:ascii="Verdana" w:eastAsia="Calibri" w:hAnsi="Verdana" w:cs="Arial"/>
              </w:rPr>
              <w:t xml:space="preserve">        </w:t>
            </w:r>
            <w:r w:rsidRPr="000D2FED">
              <w:rPr>
                <w:rFonts w:ascii="Verdana" w:eastAsia="Calibri" w:hAnsi="Verdana" w:cs="Arial"/>
              </w:rPr>
              <w:t xml:space="preserve">Por su parte, los proponentes extranjeros sin sucursal en Colombia, al estar no estar obligados a inscribirse en el RUP y no estar sometidos al derecho colombiano, deben presentar sus estados de acuerdo con la legislación de su país de origen, sin perjuicio de las conversiones, traducciones y/o homologaciones a la que haya lugar, de conformidad con las reglas establecidas en pliego de condiciones. Al respecto es conveniente resaltar que </w:t>
            </w:r>
            <w:r w:rsidRPr="000D2FED">
              <w:rPr>
                <w:rFonts w:ascii="Verdana" w:eastAsia="Calibri" w:hAnsi="Verdana" w:cs="Arial"/>
              </w:rPr>
              <w:lastRenderedPageBreak/>
              <w:t xml:space="preserve">las Normas Internacionales de Información Financiera –NIIF–, adoptadas en Colombia con la expedición de la Ley 1314 de 2009, son reglas que permiten unificar el lenguaje de los estados financieros de las empresas, independientemente de su nacionalidad. De esta manera, la aplicación de estas normas en los procesos de contratación, particularmente, en el caso de proveedores extranjeros, facilita la evaluación de los requisitos de capacidad financiera, teniendo en cuenta que establecen una base común para la presentación de información financiera a nivel mundial. </w:t>
            </w:r>
          </w:p>
          <w:p w14:paraId="39668E51" w14:textId="77777777" w:rsidR="00A802C9" w:rsidRPr="000D2FED" w:rsidRDefault="00A802C9" w:rsidP="00B142F7">
            <w:pPr>
              <w:spacing w:after="120" w:line="276" w:lineRule="auto"/>
              <w:jc w:val="both"/>
              <w:rPr>
                <w:rFonts w:ascii="Verdana" w:eastAsia="Calibri" w:hAnsi="Verdana" w:cs="Arial"/>
              </w:rPr>
            </w:pPr>
            <w:r w:rsidRPr="000D2FED">
              <w:rPr>
                <w:rFonts w:ascii="Verdana" w:eastAsia="Calibri" w:hAnsi="Verdana" w:cs="Arial"/>
              </w:rPr>
              <w:t xml:space="preserve">        Es menester recordar que, para que los documentos en un idioma distinto al castellano puedan ser apreciados en el Proceso de Contratación deben ser presentados en su lengua original junto con la traducción oficial al castellano. El proponente puede presentar con la oferta documentos con una traducción simple y entregar la traducción oficial al castellano dentro del plazo previsto para la subsanación. La traducción oficial debe ser el mismo texto presentado.</w:t>
            </w:r>
          </w:p>
          <w:p w14:paraId="2E6E821C" w14:textId="77777777" w:rsidR="00A802C9" w:rsidRPr="000D2FED" w:rsidRDefault="00A802C9" w:rsidP="00B142F7">
            <w:pPr>
              <w:spacing w:after="120" w:line="276" w:lineRule="auto"/>
              <w:jc w:val="both"/>
              <w:rPr>
                <w:rFonts w:ascii="Verdana" w:eastAsia="Calibri" w:hAnsi="Verdana" w:cs="Arial"/>
              </w:rPr>
            </w:pPr>
            <w:r w:rsidRPr="000D2FED">
              <w:rPr>
                <w:rFonts w:ascii="Verdana" w:eastAsia="Calibri" w:hAnsi="Verdana" w:cs="Arial"/>
              </w:rPr>
              <w:t xml:space="preserve">      Sin embargo, cuando un proponente extranjero presenta certificados de experiencia en una moneda distinta a la colombiana, la conversión de los montos debe realizarse de acuerdo con las reglas establecidas por parte de las Entidades Estatales en los Documentos del Proceso. </w:t>
            </w:r>
          </w:p>
          <w:p w14:paraId="608226FD" w14:textId="77777777" w:rsidR="00A802C9" w:rsidRPr="000D2FED" w:rsidRDefault="00A802C9" w:rsidP="00B142F7">
            <w:pPr>
              <w:spacing w:after="120" w:line="276" w:lineRule="auto"/>
              <w:ind w:right="142"/>
              <w:jc w:val="both"/>
              <w:rPr>
                <w:rFonts w:ascii="Verdana" w:hAnsi="Verdana" w:cs="Arial"/>
                <w:lang w:eastAsia="es-ES_tradnl"/>
              </w:rPr>
            </w:pPr>
            <w:r w:rsidRPr="000D2FED">
              <w:rPr>
                <w:rFonts w:ascii="Verdana" w:hAnsi="Verdana" w:cs="Arial"/>
                <w:lang w:eastAsia="es-ES_tradnl"/>
              </w:rPr>
              <w:t xml:space="preserve">       Ahora bien, es fundamental precisar que la presentación de una oferta por parte de una persona natural o jurídica extranjera no implica, por sí sola, la obligación de establecer una sucursal en Colombia. Sin embargo, en caso de resultar adjudicatarios de un contrato cuya ejecución implique el ejercicio de negocios permanentes en el país, sí deberán constituir una sucursal con domicilio en territorio colombiano.</w:t>
            </w:r>
          </w:p>
          <w:p w14:paraId="7C1EA84D" w14:textId="77777777" w:rsidR="00A802C9" w:rsidRDefault="00A802C9" w:rsidP="00B142F7">
            <w:pPr>
              <w:spacing w:after="120" w:line="276" w:lineRule="auto"/>
              <w:ind w:right="142"/>
              <w:jc w:val="both"/>
              <w:rPr>
                <w:rFonts w:ascii="Verdana" w:hAnsi="Verdana" w:cs="Arial"/>
                <w:lang w:eastAsia="es-ES_tradnl"/>
              </w:rPr>
            </w:pPr>
            <w:r w:rsidRPr="000D2FED">
              <w:rPr>
                <w:rFonts w:ascii="Verdana" w:hAnsi="Verdana" w:cs="Arial"/>
                <w:lang w:eastAsia="es-ES_tradnl"/>
              </w:rPr>
              <w:t xml:space="preserve">      Conforme al artículo 477 del Código de Comercio, se considera que existe una actividad permanente, entre otras, cuando una sociedad extranjera interviene como contratista en la ejecución de obras o en la prestación de servicios en el país. En tal caso, la ley exige que dicha sociedad formalice su presencia mediante la constitución de una sucursal.</w:t>
            </w:r>
          </w:p>
          <w:p w14:paraId="3F2B7D7F" w14:textId="77777777" w:rsidR="00A802C9" w:rsidRPr="000D2FED" w:rsidRDefault="00A802C9" w:rsidP="00B142F7">
            <w:pPr>
              <w:spacing w:after="120" w:line="276" w:lineRule="auto"/>
              <w:ind w:right="142"/>
              <w:jc w:val="both"/>
              <w:rPr>
                <w:rFonts w:ascii="Verdana" w:hAnsi="Verdana" w:cs="Arial"/>
                <w:lang w:eastAsia="es-ES_tradnl"/>
              </w:rPr>
            </w:pPr>
            <w:r>
              <w:rPr>
                <w:rFonts w:ascii="Verdana" w:hAnsi="Verdana" w:cs="Arial"/>
                <w:lang w:eastAsia="es-ES_tradnl"/>
              </w:rPr>
              <w:t xml:space="preserve">        </w:t>
            </w:r>
            <w:r w:rsidRPr="000D2FED">
              <w:rPr>
                <w:rFonts w:ascii="Verdana" w:hAnsi="Verdana" w:cs="Arial"/>
                <w:lang w:eastAsia="es-ES_tradnl"/>
              </w:rPr>
              <w:t xml:space="preserve">De igual forma, cuando una persona natural extranjera desee obtener el permiso de funcionamiento para una sociedad extranjera en Colombia, deberá designar un apoderado domiciliado en el país, que actúe conforme a las normas legales vigentes. Esta figura es esencial para garantizar la </w:t>
            </w:r>
            <w:r w:rsidRPr="000D2FED">
              <w:rPr>
                <w:rFonts w:ascii="Verdana" w:hAnsi="Verdana" w:cs="Arial"/>
                <w:lang w:eastAsia="es-ES_tradnl"/>
              </w:rPr>
              <w:lastRenderedPageBreak/>
              <w:t>representación legal de la sociedad extranjera ante las autoridades colombianas.</w:t>
            </w:r>
          </w:p>
          <w:p w14:paraId="027A3DCB" w14:textId="77777777" w:rsidR="00A802C9" w:rsidRPr="000D2FED" w:rsidRDefault="00A802C9" w:rsidP="00B142F7">
            <w:pPr>
              <w:spacing w:after="120" w:line="276" w:lineRule="auto"/>
              <w:ind w:right="142"/>
              <w:jc w:val="both"/>
              <w:rPr>
                <w:rFonts w:ascii="Verdana" w:hAnsi="Verdana" w:cs="Arial"/>
                <w:lang w:eastAsia="es-ES_tradnl"/>
              </w:rPr>
            </w:pPr>
            <w:r w:rsidRPr="000D2FED">
              <w:rPr>
                <w:rFonts w:ascii="Verdana" w:hAnsi="Verdana" w:cs="Arial"/>
                <w:lang w:eastAsia="es-ES_tradnl"/>
              </w:rPr>
              <w:t xml:space="preserve">     </w:t>
            </w:r>
            <w:r>
              <w:rPr>
                <w:rFonts w:ascii="Verdana" w:hAnsi="Verdana" w:cs="Arial"/>
                <w:lang w:eastAsia="es-ES_tradnl"/>
              </w:rPr>
              <w:t xml:space="preserve">  Así mismo</w:t>
            </w:r>
            <w:r w:rsidRPr="000D2FED">
              <w:rPr>
                <w:rFonts w:ascii="Verdana" w:hAnsi="Verdana" w:cs="Arial"/>
                <w:lang w:eastAsia="es-ES_tradnl"/>
              </w:rPr>
              <w:t>, se debe tener en cuenta que cualquier sociedad extranjera que celebre contratos en Colombia está sujeta al cumplimiento de obligaciones en materia de seguridad social, aportes parafiscales, tributos e impuestos, de acuerdo con la naturaleza del negocio jurídico que se lleve a cabo en el territorio nacional</w:t>
            </w:r>
            <w:r>
              <w:rPr>
                <w:rFonts w:ascii="Verdana" w:hAnsi="Verdana" w:cs="Arial"/>
                <w:lang w:eastAsia="es-ES_tradnl"/>
              </w:rPr>
              <w:t>.</w:t>
            </w:r>
          </w:p>
          <w:p w14:paraId="26A14141" w14:textId="77777777" w:rsidR="00A802C9" w:rsidRPr="00E1659F" w:rsidRDefault="00A802C9" w:rsidP="00B142F7">
            <w:pPr>
              <w:spacing w:after="120" w:line="276" w:lineRule="auto"/>
              <w:ind w:right="142"/>
              <w:jc w:val="both"/>
              <w:rPr>
                <w:rFonts w:ascii="Verdana" w:hAnsi="Verdana" w:cs="Arial"/>
                <w:lang w:eastAsia="es-ES_tradnl"/>
              </w:rPr>
            </w:pPr>
            <w:r>
              <w:rPr>
                <w:rFonts w:ascii="Verdana" w:hAnsi="Verdana" w:cs="Arial"/>
                <w:lang w:eastAsia="es-ES_tradnl"/>
              </w:rPr>
              <w:t xml:space="preserve">     Por su parte, e</w:t>
            </w:r>
            <w:r w:rsidRPr="00E1659F">
              <w:rPr>
                <w:rFonts w:ascii="Verdana" w:hAnsi="Verdana" w:cs="Arial"/>
                <w:lang w:eastAsia="es-ES_tradnl"/>
              </w:rPr>
              <w:t>l tipo de vinculación que deben tener las personas (mujeres, personas con discapacidad, y, en general, grupos poblacionales objeto de puntaje adicional) con la sociedad proponente, para que esta obtenga el puntaje extra en los procesos de contratación estatal, debe ser de naturaleza laboral y no de otra índole.</w:t>
            </w:r>
          </w:p>
          <w:p w14:paraId="13513069" w14:textId="77777777" w:rsidR="00A802C9" w:rsidRDefault="00A802C9" w:rsidP="00B142F7">
            <w:pPr>
              <w:spacing w:line="276" w:lineRule="auto"/>
              <w:ind w:right="142"/>
              <w:jc w:val="both"/>
              <w:rPr>
                <w:rFonts w:ascii="Verdana" w:hAnsi="Verdana" w:cs="Arial"/>
                <w:lang w:eastAsia="es-ES_tradnl"/>
              </w:rPr>
            </w:pPr>
            <w:r>
              <w:rPr>
                <w:rFonts w:ascii="Verdana" w:hAnsi="Verdana" w:cs="Arial"/>
                <w:lang w:eastAsia="es-ES_tradnl"/>
              </w:rPr>
              <w:t xml:space="preserve">         Sumado a lo anterior, </w:t>
            </w:r>
            <w:r w:rsidRPr="004E17A0">
              <w:rPr>
                <w:rFonts w:ascii="Verdana" w:eastAsia="Times New Roman" w:hAnsi="Verdana" w:cs="Arial"/>
              </w:rPr>
              <w:t>la necesidad de que la experiencia contractual sea expresada salarios mínimos mensuales legales vigentes (SMLMV) se usa como un parámetro técnico para evaluar y comparar la capacidad de un contratista en procesos de contratación estatal, posibilitando establecer un estándar objetivo frente a la fluctuación del valor de la moneda dentro del mercado.</w:t>
            </w:r>
            <w:r w:rsidRPr="004E17A0">
              <w:rPr>
                <w:rFonts w:ascii="Verdana" w:eastAsia="Calibri" w:hAnsi="Verdana" w:cs="Arial"/>
                <w:lang w:eastAsia="es-CO"/>
              </w:rPr>
              <w:t xml:space="preserve"> </w:t>
            </w:r>
            <w:r w:rsidRPr="004E17A0">
              <w:rPr>
                <w:rFonts w:ascii="Verdana" w:eastAsia="Times New Roman" w:hAnsi="Verdana" w:cs="Arial"/>
              </w:rPr>
              <w:t>Esto, facilita la comparación de manera justa la experiencia de diferentes oferentes, ya que el valor de los SMLMV cambia anualmente, estandarizando la experiencia requerida en un momento determinado</w:t>
            </w:r>
          </w:p>
          <w:p w14:paraId="2CBAF5CD" w14:textId="77777777" w:rsidR="00A802C9" w:rsidRDefault="00A802C9" w:rsidP="00B142F7">
            <w:pPr>
              <w:spacing w:line="276" w:lineRule="auto"/>
              <w:ind w:right="142"/>
              <w:jc w:val="both"/>
              <w:rPr>
                <w:rFonts w:ascii="Verdana" w:hAnsi="Verdana" w:cs="Arial"/>
                <w:lang w:eastAsia="es-ES_tradnl"/>
              </w:rPr>
            </w:pPr>
          </w:p>
          <w:p w14:paraId="1B748228" w14:textId="77777777" w:rsidR="00A802C9" w:rsidRDefault="00A802C9" w:rsidP="00B142F7">
            <w:pPr>
              <w:spacing w:line="276" w:lineRule="auto"/>
              <w:ind w:right="142" w:firstLine="738"/>
              <w:jc w:val="both"/>
              <w:rPr>
                <w:rFonts w:ascii="Verdana" w:eastAsia="Calibri" w:hAnsi="Verdana" w:cs="Arial"/>
                <w:lang w:eastAsia="es-ES"/>
              </w:rPr>
            </w:pPr>
            <w:r>
              <w:rPr>
                <w:rFonts w:ascii="Verdana" w:hAnsi="Verdana" w:cs="Arial"/>
                <w:lang w:eastAsia="es-ES_tradnl"/>
              </w:rPr>
              <w:t xml:space="preserve">Dicho esto, ha de tenerse en cuenta que para la conversión de presupuesto a acreditar en la experiencia en el RUP cuando este ha sido ejecutado en una moneda diferente al peso colombiano, </w:t>
            </w:r>
            <w:r w:rsidRPr="00A30024">
              <w:rPr>
                <w:rFonts w:ascii="Verdana" w:hAnsi="Verdana" w:cs="Arial"/>
                <w:lang w:eastAsia="es-ES_tradnl"/>
              </w:rPr>
              <w:t>la conversión a SMLMV</w:t>
            </w:r>
            <w:r>
              <w:rPr>
                <w:rFonts w:ascii="Verdana" w:hAnsi="Verdana" w:cs="Arial"/>
                <w:lang w:eastAsia="es-ES_tradnl"/>
              </w:rPr>
              <w:t xml:space="preserve"> </w:t>
            </w:r>
            <w:r w:rsidRPr="00A30024">
              <w:rPr>
                <w:rFonts w:ascii="Verdana" w:hAnsi="Verdana" w:cs="Arial"/>
                <w:lang w:eastAsia="es-ES_tradnl"/>
              </w:rPr>
              <w:t xml:space="preserve">no consiste simplemente en dividir </w:t>
            </w:r>
            <w:r>
              <w:rPr>
                <w:rFonts w:ascii="Verdana" w:hAnsi="Verdana" w:cs="Arial"/>
                <w:lang w:eastAsia="es-ES_tradnl"/>
              </w:rPr>
              <w:t>dicha moneda</w:t>
            </w:r>
            <w:r w:rsidRPr="00A30024">
              <w:rPr>
                <w:rFonts w:ascii="Verdana" w:hAnsi="Verdana" w:cs="Arial"/>
                <w:lang w:eastAsia="es-ES_tradnl"/>
              </w:rPr>
              <w:t xml:space="preserve"> entre el salario mínimo colombiano. Primero debe hacerse la conversión del valor contractual a pesos colombianos y luego convertir ese valor a salarios mínimos, tomando como referencia el año que corresponda</w:t>
            </w:r>
            <w:r>
              <w:rPr>
                <w:rFonts w:ascii="Verdana" w:hAnsi="Verdana" w:cs="Arial"/>
                <w:lang w:eastAsia="es-ES_tradnl"/>
              </w:rPr>
              <w:t xml:space="preserve">; es decir, que la regla en este caso correspondería a: </w:t>
            </w:r>
            <w:r w:rsidRPr="00471F07">
              <w:rPr>
                <w:rFonts w:ascii="Verdana" w:hAnsi="Verdana" w:cs="Arial"/>
                <w:lang w:eastAsia="es-ES_tradnl"/>
              </w:rPr>
              <w:t xml:space="preserve">Valor del contrato en USD </w:t>
            </w:r>
            <w:r w:rsidRPr="00471F07">
              <w:rPr>
                <w:rFonts w:ascii="Arial" w:hAnsi="Arial" w:cs="Arial"/>
                <w:lang w:eastAsia="es-ES_tradnl"/>
              </w:rPr>
              <w:t>→</w:t>
            </w:r>
            <w:r w:rsidRPr="00471F07">
              <w:rPr>
                <w:rFonts w:ascii="Verdana" w:hAnsi="Verdana" w:cs="Arial"/>
                <w:lang w:eastAsia="es-ES_tradnl"/>
              </w:rPr>
              <w:t xml:space="preserve"> conversi</w:t>
            </w:r>
            <w:r w:rsidRPr="00471F07">
              <w:rPr>
                <w:rFonts w:ascii="Verdana" w:hAnsi="Verdana" w:cs="Verdana"/>
                <w:lang w:eastAsia="es-ES_tradnl"/>
              </w:rPr>
              <w:t>ó</w:t>
            </w:r>
            <w:r w:rsidRPr="00471F07">
              <w:rPr>
                <w:rFonts w:ascii="Verdana" w:hAnsi="Verdana" w:cs="Arial"/>
                <w:lang w:eastAsia="es-ES_tradnl"/>
              </w:rPr>
              <w:t xml:space="preserve">n a COP </w:t>
            </w:r>
            <w:r w:rsidRPr="00471F07">
              <w:rPr>
                <w:rFonts w:ascii="Arial" w:hAnsi="Arial" w:cs="Arial"/>
                <w:lang w:eastAsia="es-ES_tradnl"/>
              </w:rPr>
              <w:t>→</w:t>
            </w:r>
            <w:r w:rsidRPr="00471F07">
              <w:rPr>
                <w:rFonts w:ascii="Verdana" w:hAnsi="Verdana" w:cs="Arial"/>
                <w:lang w:eastAsia="es-ES_tradnl"/>
              </w:rPr>
              <w:t xml:space="preserve"> divisi</w:t>
            </w:r>
            <w:r w:rsidRPr="00471F07">
              <w:rPr>
                <w:rFonts w:ascii="Verdana" w:hAnsi="Verdana" w:cs="Verdana"/>
                <w:lang w:eastAsia="es-ES_tradnl"/>
              </w:rPr>
              <w:t>ó</w:t>
            </w:r>
            <w:r w:rsidRPr="00471F07">
              <w:rPr>
                <w:rFonts w:ascii="Verdana" w:hAnsi="Verdana" w:cs="Arial"/>
                <w:lang w:eastAsia="es-ES_tradnl"/>
              </w:rPr>
              <w:t>n por SMLMV del a</w:t>
            </w:r>
            <w:r w:rsidRPr="00471F07">
              <w:rPr>
                <w:rFonts w:ascii="Verdana" w:hAnsi="Verdana" w:cs="Verdana"/>
                <w:lang w:eastAsia="es-ES_tradnl"/>
              </w:rPr>
              <w:t>ñ</w:t>
            </w:r>
            <w:r w:rsidRPr="00471F07">
              <w:rPr>
                <w:rFonts w:ascii="Verdana" w:hAnsi="Verdana" w:cs="Arial"/>
                <w:lang w:eastAsia="es-ES_tradnl"/>
              </w:rPr>
              <w:t>o correspondiente</w:t>
            </w:r>
            <w:r>
              <w:rPr>
                <w:rFonts w:ascii="Verdana" w:hAnsi="Verdana" w:cs="Arial"/>
                <w:lang w:eastAsia="es-ES_tradnl"/>
              </w:rPr>
              <w:t xml:space="preserve">. </w:t>
            </w:r>
          </w:p>
          <w:p w14:paraId="5FB1F359" w14:textId="77777777" w:rsidR="00A802C9" w:rsidRPr="00C71956" w:rsidRDefault="00A802C9" w:rsidP="00B142F7">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w:t>
            </w:r>
            <w:r w:rsidRPr="00DB4737">
              <w:rPr>
                <w:rFonts w:ascii="Verdana" w:eastAsia="Calibri" w:hAnsi="Verdana" w:cs="Times New Roman"/>
              </w:rPr>
              <w:lastRenderedPageBreak/>
              <w:t>asesores, la solución de situaciones particulares corresponderá a los interesados de adoptar la decisión y, en caso de conflicto, a las autoridades judiciales, fiscales y disciplinarias.</w:t>
            </w:r>
            <w:r>
              <w:t xml:space="preserve"> </w:t>
            </w:r>
          </w:p>
          <w:p w14:paraId="48D18DB9" w14:textId="77777777" w:rsidR="00A802C9" w:rsidRPr="00E529C2" w:rsidRDefault="00A802C9" w:rsidP="00B142F7">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15E51B83" w14:textId="77777777" w:rsidR="00A802C9" w:rsidRDefault="00A802C9" w:rsidP="00A802C9">
      <w:pPr>
        <w:tabs>
          <w:tab w:val="left" w:pos="142"/>
          <w:tab w:val="left" w:pos="284"/>
        </w:tabs>
        <w:spacing w:after="0" w:line="276" w:lineRule="auto"/>
        <w:jc w:val="both"/>
        <w:rPr>
          <w:rFonts w:ascii="Verdana" w:eastAsia="Century Gothic" w:hAnsi="Verdana" w:cs="Century Gothic"/>
          <w:b/>
          <w:bCs/>
          <w:lang w:val="es-ES"/>
        </w:rPr>
      </w:pPr>
    </w:p>
    <w:p w14:paraId="115D3C7F" w14:textId="77777777" w:rsidR="00A802C9" w:rsidRDefault="00A802C9" w:rsidP="00A802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0E687B0" w14:textId="77777777" w:rsidR="00A802C9" w:rsidRDefault="00A802C9" w:rsidP="00A802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6F04393" w14:textId="77777777" w:rsidR="00A802C9" w:rsidRDefault="00A802C9" w:rsidP="00A802C9">
      <w:pPr>
        <w:spacing w:after="120" w:line="276" w:lineRule="auto"/>
        <w:ind w:firstLine="708"/>
        <w:jc w:val="both"/>
        <w:rPr>
          <w:rFonts w:ascii="Verdana" w:hAnsi="Verdana" w:cs="Arial"/>
          <w:lang w:val="es-ES"/>
        </w:rPr>
      </w:pPr>
      <w:bookmarkStart w:id="2" w:name="_Hlk108519028"/>
      <w:r>
        <w:rPr>
          <w:rFonts w:ascii="Verdana" w:hAnsi="Verdana" w:cs="Arial"/>
          <w:lang w:val="es-ES"/>
        </w:rPr>
        <w:t>En Colombia existe e</w:t>
      </w:r>
      <w:r w:rsidRPr="00B24FF1">
        <w:rPr>
          <w:rFonts w:ascii="Verdana" w:hAnsi="Verdana" w:cs="Arial"/>
          <w:lang w:val="es-ES"/>
        </w:rPr>
        <w:t>l Registro Único de Proponentes</w:t>
      </w:r>
      <w:r>
        <w:rPr>
          <w:rFonts w:ascii="Verdana" w:hAnsi="Verdana" w:cs="Arial"/>
          <w:lang w:val="es-ES"/>
        </w:rPr>
        <w:t xml:space="preserve"> – RUP que se exige para un gran número de procesos de contratación. Dicho registro se convierte en</w:t>
      </w:r>
      <w:r w:rsidRPr="00B24FF1">
        <w:rPr>
          <w:rFonts w:ascii="Verdana" w:hAnsi="Verdana" w:cs="Arial"/>
          <w:lang w:val="es-ES"/>
        </w:rPr>
        <w:t xml:space="preserve"> el instrumento a través del cual los proponentes acreditan la capacidad financiera, jurídica, organizacional y la experiencia, y es plena prueba de las circunstancias que se hagan constar</w:t>
      </w:r>
      <w:r w:rsidRPr="00B24FF1">
        <w:rPr>
          <w:rFonts w:ascii="Verdana" w:hAnsi="Verdana" w:cs="Arial"/>
          <w:vertAlign w:val="superscript"/>
          <w:lang w:val="es-ES"/>
        </w:rPr>
        <w:footnoteReference w:id="1"/>
      </w:r>
      <w:r w:rsidRPr="00B24FF1">
        <w:rPr>
          <w:rFonts w:ascii="Verdana" w:hAnsi="Verdana" w:cs="Arial"/>
          <w:lang w:val="es-ES"/>
        </w:rPr>
        <w:t xml:space="preserve">. </w:t>
      </w:r>
      <w:r w:rsidRPr="003C0FAD">
        <w:rPr>
          <w:rFonts w:ascii="Verdana" w:hAnsi="Verdana" w:cs="Arial"/>
        </w:rPr>
        <w:t xml:space="preserve">El propósito del RUP es contar </w:t>
      </w:r>
      <w:proofErr w:type="spellStart"/>
      <w:r w:rsidRPr="003C0FAD">
        <w:rPr>
          <w:rFonts w:ascii="Verdana" w:hAnsi="Verdana" w:cs="Arial"/>
          <w:i/>
          <w:iCs/>
        </w:rPr>
        <w:t>ex-ante</w:t>
      </w:r>
      <w:proofErr w:type="spellEnd"/>
      <w:r w:rsidRPr="003C0FAD">
        <w:rPr>
          <w:rFonts w:ascii="Verdana" w:hAnsi="Verdana" w:cs="Arial"/>
        </w:rPr>
        <w:t xml:space="preserve"> con la información de los posibles interesados en procesos de compra y tener en único registro la información estándar que los interesados deben presentar en los </w:t>
      </w:r>
      <w:r>
        <w:rPr>
          <w:rFonts w:ascii="Verdana" w:hAnsi="Verdana" w:cs="Arial"/>
        </w:rPr>
        <w:t>p</w:t>
      </w:r>
      <w:r w:rsidRPr="003C0FAD">
        <w:rPr>
          <w:rFonts w:ascii="Verdana" w:hAnsi="Verdana" w:cs="Arial"/>
        </w:rPr>
        <w:t xml:space="preserve">rocesos de </w:t>
      </w:r>
      <w:r>
        <w:rPr>
          <w:rFonts w:ascii="Verdana" w:hAnsi="Verdana" w:cs="Arial"/>
        </w:rPr>
        <w:t>c</w:t>
      </w:r>
      <w:r w:rsidRPr="003C0FAD">
        <w:rPr>
          <w:rFonts w:ascii="Verdana" w:hAnsi="Verdana" w:cs="Arial"/>
        </w:rPr>
        <w:t>ontratación</w:t>
      </w:r>
      <w:r>
        <w:rPr>
          <w:rStyle w:val="Refdenotaalpie"/>
          <w:rFonts w:ascii="Verdana" w:hAnsi="Verdana" w:cs="Arial"/>
        </w:rPr>
        <w:footnoteReference w:id="2"/>
      </w:r>
      <w:r w:rsidRPr="003C0FAD">
        <w:rPr>
          <w:rFonts w:ascii="Verdana" w:hAnsi="Verdana" w:cs="Arial"/>
        </w:rPr>
        <w:t>.</w:t>
      </w:r>
    </w:p>
    <w:p w14:paraId="2A5D5A09" w14:textId="77777777" w:rsidR="00A802C9" w:rsidRDefault="00A802C9" w:rsidP="00A802C9">
      <w:pPr>
        <w:spacing w:after="0" w:line="276" w:lineRule="auto"/>
        <w:ind w:firstLine="708"/>
        <w:jc w:val="both"/>
        <w:rPr>
          <w:rFonts w:ascii="Verdana" w:hAnsi="Verdana" w:cs="Arial"/>
          <w:lang w:val="es-ES"/>
        </w:rPr>
      </w:pPr>
      <w:r w:rsidRPr="00B24FF1">
        <w:rPr>
          <w:rFonts w:ascii="Verdana" w:hAnsi="Verdana" w:cs="Arial"/>
          <w:lang w:val="es-ES"/>
        </w:rPr>
        <w:t xml:space="preserve">En efecto, el artículo 6 de la Ley 1150 de 2007 prevé </w:t>
      </w:r>
      <w:r>
        <w:rPr>
          <w:rFonts w:ascii="Verdana" w:hAnsi="Verdana" w:cs="Arial"/>
          <w:lang w:val="es-ES"/>
        </w:rPr>
        <w:t>lo siguiente:</w:t>
      </w:r>
    </w:p>
    <w:p w14:paraId="5A53D9DE" w14:textId="77777777" w:rsidR="00A802C9" w:rsidRDefault="00A802C9" w:rsidP="00A802C9">
      <w:pPr>
        <w:spacing w:after="0" w:line="276" w:lineRule="auto"/>
        <w:ind w:firstLine="708"/>
        <w:jc w:val="both"/>
        <w:rPr>
          <w:rFonts w:ascii="Verdana" w:hAnsi="Verdana" w:cs="Arial"/>
          <w:lang w:val="es-ES"/>
        </w:rPr>
      </w:pPr>
    </w:p>
    <w:p w14:paraId="5DDA083E" w14:textId="77777777" w:rsidR="00A802C9" w:rsidRPr="00B72F80" w:rsidRDefault="00A802C9" w:rsidP="00A802C9">
      <w:pPr>
        <w:spacing w:after="0" w:line="240" w:lineRule="auto"/>
        <w:ind w:left="709" w:right="709"/>
        <w:jc w:val="both"/>
        <w:rPr>
          <w:rFonts w:ascii="Verdana" w:hAnsi="Verdana" w:cs="Arial"/>
          <w:sz w:val="20"/>
          <w:szCs w:val="20"/>
        </w:rPr>
      </w:pPr>
      <w:r w:rsidRPr="00B72F80">
        <w:rPr>
          <w:rFonts w:ascii="Verdana" w:hAnsi="Verdana" w:cs="Arial"/>
          <w:sz w:val="20"/>
          <w:szCs w:val="20"/>
        </w:rPr>
        <w:t>Artículo 6. </w:t>
      </w:r>
      <w:r w:rsidRPr="00B72F80">
        <w:rPr>
          <w:rFonts w:ascii="Verdana" w:hAnsi="Verdana" w:cs="Arial"/>
          <w:i/>
          <w:iCs/>
          <w:sz w:val="20"/>
          <w:szCs w:val="20"/>
        </w:rPr>
        <w:t xml:space="preserve">De la verificación de las condiciones de los proponentes. </w:t>
      </w:r>
      <w:r w:rsidRPr="00B72F80">
        <w:rPr>
          <w:rFonts w:ascii="Verdana" w:hAnsi="Verdana" w:cs="Arial"/>
          <w:b/>
          <w:bCs/>
          <w:sz w:val="20"/>
          <w:szCs w:val="20"/>
        </w:rPr>
        <w:t>Todas las personas naturales o jurídicas</w:t>
      </w:r>
      <w:r w:rsidRPr="00B72F80">
        <w:rPr>
          <w:rFonts w:ascii="Verdana" w:hAnsi="Verdana" w:cs="Arial"/>
          <w:sz w:val="20"/>
          <w:szCs w:val="20"/>
        </w:rPr>
        <w:t xml:space="preserve"> nacionales o </w:t>
      </w:r>
      <w:r w:rsidRPr="00B72F80">
        <w:rPr>
          <w:rFonts w:ascii="Verdana" w:hAnsi="Verdana" w:cs="Arial"/>
          <w:b/>
          <w:bCs/>
          <w:sz w:val="20"/>
          <w:szCs w:val="20"/>
        </w:rPr>
        <w:t>extranjeras</w:t>
      </w:r>
      <w:r w:rsidRPr="00B72F80">
        <w:rPr>
          <w:rFonts w:ascii="Verdana" w:hAnsi="Verdana" w:cs="Arial"/>
          <w:sz w:val="20"/>
          <w:szCs w:val="20"/>
        </w:rPr>
        <w:t xml:space="preserve"> </w:t>
      </w:r>
      <w:r w:rsidRPr="00B72F80">
        <w:rPr>
          <w:rFonts w:ascii="Verdana" w:hAnsi="Verdana" w:cs="Arial"/>
          <w:b/>
          <w:bCs/>
          <w:sz w:val="20"/>
          <w:szCs w:val="20"/>
        </w:rPr>
        <w:t>domiciliadas o con sucursal en Colombia, que aspiren a celebrar contratos con las entidades estatales, se inscribirán en el Registro Único de Proponentes del Registro Único Empresarial de la Cámara de Comercio con jurisdicción en su domicilio principal.</w:t>
      </w:r>
      <w:r w:rsidRPr="00B72F80">
        <w:rPr>
          <w:rFonts w:ascii="Verdana" w:hAnsi="Verdana" w:cs="Arial"/>
          <w:sz w:val="20"/>
          <w:szCs w:val="20"/>
        </w:rPr>
        <w:t>  </w:t>
      </w:r>
    </w:p>
    <w:p w14:paraId="107B1043" w14:textId="77777777" w:rsidR="00A802C9" w:rsidRPr="00B72F80" w:rsidRDefault="00A802C9" w:rsidP="00A802C9">
      <w:pPr>
        <w:spacing w:after="0" w:line="240" w:lineRule="auto"/>
        <w:ind w:left="709" w:right="709"/>
        <w:jc w:val="both"/>
        <w:rPr>
          <w:rFonts w:ascii="Verdana" w:hAnsi="Verdana" w:cs="Arial"/>
          <w:sz w:val="20"/>
          <w:szCs w:val="20"/>
        </w:rPr>
      </w:pPr>
      <w:r w:rsidRPr="00B72F80">
        <w:rPr>
          <w:rFonts w:ascii="Verdana" w:hAnsi="Verdana" w:cs="Arial"/>
          <w:sz w:val="20"/>
          <w:szCs w:val="20"/>
        </w:rPr>
        <w:t>  </w:t>
      </w:r>
    </w:p>
    <w:p w14:paraId="5C2B96BB" w14:textId="77777777" w:rsidR="00A802C9" w:rsidRPr="00B72F80" w:rsidRDefault="00A802C9" w:rsidP="00A802C9">
      <w:pPr>
        <w:spacing w:after="0" w:line="240" w:lineRule="auto"/>
        <w:ind w:left="709" w:right="709"/>
        <w:jc w:val="both"/>
        <w:rPr>
          <w:rFonts w:ascii="Verdana" w:hAnsi="Verdana" w:cs="Arial"/>
          <w:sz w:val="20"/>
          <w:szCs w:val="20"/>
        </w:rPr>
      </w:pPr>
      <w:r w:rsidRPr="00B72F80">
        <w:rPr>
          <w:rFonts w:ascii="Verdana" w:hAnsi="Verdana" w:cs="Arial"/>
          <w:sz w:val="20"/>
          <w:szCs w:val="20"/>
        </w:rPr>
        <w:lastRenderedPageBreak/>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0F426D36" w14:textId="77777777" w:rsidR="00A802C9" w:rsidRPr="00B72F80" w:rsidRDefault="00A802C9" w:rsidP="00A802C9">
      <w:pPr>
        <w:spacing w:after="0" w:line="240" w:lineRule="auto"/>
        <w:ind w:left="709" w:right="709"/>
        <w:jc w:val="both"/>
        <w:rPr>
          <w:rFonts w:ascii="Verdana" w:hAnsi="Verdana" w:cs="Arial"/>
          <w:sz w:val="20"/>
          <w:szCs w:val="20"/>
        </w:rPr>
      </w:pPr>
      <w:r w:rsidRPr="00B72F80">
        <w:rPr>
          <w:rFonts w:ascii="Verdana" w:hAnsi="Verdana" w:cs="Arial"/>
          <w:sz w:val="20"/>
          <w:szCs w:val="20"/>
        </w:rPr>
        <w:t>  </w:t>
      </w:r>
    </w:p>
    <w:p w14:paraId="02646BF7" w14:textId="77777777" w:rsidR="00A802C9" w:rsidRPr="00B72F80" w:rsidRDefault="00A802C9" w:rsidP="00A802C9">
      <w:pPr>
        <w:spacing w:after="0" w:line="240" w:lineRule="auto"/>
        <w:ind w:left="709" w:right="709"/>
        <w:jc w:val="both"/>
        <w:rPr>
          <w:rFonts w:ascii="Verdana" w:hAnsi="Verdana" w:cs="Arial"/>
          <w:sz w:val="20"/>
          <w:szCs w:val="20"/>
          <w:lang w:val="es-ES"/>
        </w:rPr>
      </w:pPr>
      <w:r w:rsidRPr="00B72F80">
        <w:rPr>
          <w:rFonts w:ascii="Verdana" w:hAnsi="Verdana" w:cs="Arial"/>
          <w:sz w:val="20"/>
          <w:szCs w:val="20"/>
        </w:rPr>
        <w:t xml:space="preserve">En dicho registro constará la información relacionada con la experiencia, capacidad jurídica, financiera y de organización del proponente y su clasificación </w:t>
      </w:r>
      <w:r w:rsidRPr="00B72F80">
        <w:rPr>
          <w:rFonts w:ascii="Verdana" w:hAnsi="Verdana" w:cs="Arial"/>
          <w:sz w:val="20"/>
          <w:szCs w:val="20"/>
          <w:lang w:val="es-ES"/>
        </w:rPr>
        <w:t>[…]</w:t>
      </w:r>
      <w:r w:rsidRPr="00B72F80">
        <w:rPr>
          <w:rFonts w:ascii="Verdana" w:hAnsi="Verdana" w:cs="Arial"/>
          <w:sz w:val="20"/>
          <w:szCs w:val="20"/>
        </w:rPr>
        <w:t>”</w:t>
      </w:r>
      <w:r w:rsidRPr="00B72F80">
        <w:rPr>
          <w:rFonts w:ascii="Verdana" w:hAnsi="Verdana" w:cs="Arial"/>
          <w:sz w:val="20"/>
          <w:szCs w:val="20"/>
          <w:lang w:val="es-ES"/>
        </w:rPr>
        <w:t>. [Énfasis por fuera de texto legal]</w:t>
      </w:r>
    </w:p>
    <w:p w14:paraId="618E90CF" w14:textId="77777777" w:rsidR="00A802C9" w:rsidRPr="00B24FF1" w:rsidRDefault="00A802C9" w:rsidP="00A802C9">
      <w:pPr>
        <w:spacing w:after="0" w:line="240" w:lineRule="auto"/>
        <w:ind w:left="709" w:right="709"/>
        <w:jc w:val="both"/>
        <w:rPr>
          <w:rFonts w:ascii="Verdana" w:hAnsi="Verdana" w:cs="Arial"/>
          <w:lang w:val="es-ES"/>
        </w:rPr>
      </w:pPr>
    </w:p>
    <w:p w14:paraId="35564A3E" w14:textId="77777777" w:rsidR="00A802C9" w:rsidRDefault="00A802C9" w:rsidP="00A802C9">
      <w:pPr>
        <w:spacing w:after="120" w:line="276" w:lineRule="auto"/>
        <w:ind w:firstLine="708"/>
        <w:jc w:val="both"/>
        <w:rPr>
          <w:rFonts w:ascii="Verdana" w:hAnsi="Verdana" w:cs="Arial"/>
          <w:lang w:val="es-ES"/>
        </w:rPr>
      </w:pPr>
      <w:r>
        <w:rPr>
          <w:rFonts w:ascii="Verdana" w:hAnsi="Verdana" w:cs="Arial"/>
          <w:lang w:val="es-ES"/>
        </w:rPr>
        <w:t>Así mismo, la misma norma establece que el RUP</w:t>
      </w:r>
      <w:r w:rsidRPr="00D2703D">
        <w:rPr>
          <w:rFonts w:ascii="Arial" w:hAnsi="Arial" w:cs="Arial"/>
          <w:color w:val="000000"/>
          <w:sz w:val="21"/>
          <w:szCs w:val="21"/>
        </w:rPr>
        <w:t xml:space="preserve"> </w:t>
      </w:r>
      <w:r w:rsidRPr="00D2703D">
        <w:rPr>
          <w:rFonts w:ascii="Verdana" w:hAnsi="Verdana" w:cs="Arial"/>
        </w:rPr>
        <w:t xml:space="preserve">será plena prueba de las circunstancias que en ella se hagan constar y que hayan sido verificadas por las </w:t>
      </w:r>
      <w:r>
        <w:rPr>
          <w:rFonts w:ascii="Verdana" w:hAnsi="Verdana" w:cs="Arial"/>
        </w:rPr>
        <w:t>c</w:t>
      </w:r>
      <w:r w:rsidRPr="00D2703D">
        <w:rPr>
          <w:rFonts w:ascii="Verdana" w:hAnsi="Verdana" w:cs="Arial"/>
        </w:rPr>
        <w:t xml:space="preserve">ámaras de </w:t>
      </w:r>
      <w:r>
        <w:rPr>
          <w:rFonts w:ascii="Verdana" w:hAnsi="Verdana" w:cs="Arial"/>
        </w:rPr>
        <w:t>c</w:t>
      </w:r>
      <w:r w:rsidRPr="00D2703D">
        <w:rPr>
          <w:rFonts w:ascii="Verdana" w:hAnsi="Verdana" w:cs="Arial"/>
        </w:rPr>
        <w:t xml:space="preserve">omercio. En </w:t>
      </w:r>
      <w:r>
        <w:rPr>
          <w:rFonts w:ascii="Verdana" w:hAnsi="Verdana" w:cs="Arial"/>
        </w:rPr>
        <w:t>consecuencia</w:t>
      </w:r>
      <w:r w:rsidRPr="00D2703D">
        <w:rPr>
          <w:rFonts w:ascii="Verdana" w:hAnsi="Verdana" w:cs="Arial"/>
        </w:rPr>
        <w:t xml:space="preserve">, la verificación de las condiciones establecidas en el numeral 1 del artículo 5 de la </w:t>
      </w:r>
      <w:r>
        <w:rPr>
          <w:rFonts w:ascii="Verdana" w:hAnsi="Verdana" w:cs="Arial"/>
        </w:rPr>
        <w:t>L</w:t>
      </w:r>
      <w:r w:rsidRPr="00D2703D">
        <w:rPr>
          <w:rFonts w:ascii="Verdana" w:hAnsi="Verdana" w:cs="Arial"/>
        </w:rPr>
        <w:t>ey</w:t>
      </w:r>
      <w:r>
        <w:rPr>
          <w:rFonts w:ascii="Verdana" w:hAnsi="Verdana" w:cs="Arial"/>
        </w:rPr>
        <w:t xml:space="preserve"> 1150 de 2007</w:t>
      </w:r>
      <w:r w:rsidRPr="00D2703D">
        <w:rPr>
          <w:rFonts w:ascii="Verdana" w:hAnsi="Verdana" w:cs="Arial"/>
        </w:rPr>
        <w:t xml:space="preserve">, se demostrará exclusivamente con el respectivo certificado del RUP </w:t>
      </w:r>
      <w:r>
        <w:rPr>
          <w:rFonts w:ascii="Verdana" w:hAnsi="Verdana" w:cs="Arial"/>
        </w:rPr>
        <w:t>donde consten las condiciones del proponente extranjero</w:t>
      </w:r>
      <w:r w:rsidRPr="00D2703D">
        <w:rPr>
          <w:rFonts w:ascii="Verdana" w:hAnsi="Verdana" w:cs="Arial"/>
        </w:rPr>
        <w:t xml:space="preserve">. </w:t>
      </w:r>
      <w:r>
        <w:rPr>
          <w:rFonts w:ascii="Verdana" w:hAnsi="Verdana" w:cs="Arial"/>
        </w:rPr>
        <w:t>En ese orden,</w:t>
      </w:r>
      <w:r w:rsidRPr="00D2703D">
        <w:rPr>
          <w:rFonts w:ascii="Verdana" w:hAnsi="Verdana" w:cs="Arial"/>
        </w:rPr>
        <w:t xml:space="preserve"> las </w:t>
      </w:r>
      <w:r>
        <w:rPr>
          <w:rFonts w:ascii="Verdana" w:hAnsi="Verdana" w:cs="Arial"/>
        </w:rPr>
        <w:t>e</w:t>
      </w:r>
      <w:r w:rsidRPr="00D2703D">
        <w:rPr>
          <w:rFonts w:ascii="Verdana" w:hAnsi="Verdana" w:cs="Arial"/>
        </w:rPr>
        <w:t xml:space="preserve">ntidades </w:t>
      </w:r>
      <w:r>
        <w:rPr>
          <w:rFonts w:ascii="Verdana" w:hAnsi="Verdana" w:cs="Arial"/>
        </w:rPr>
        <w:t>e</w:t>
      </w:r>
      <w:r w:rsidRPr="00D2703D">
        <w:rPr>
          <w:rFonts w:ascii="Verdana" w:hAnsi="Verdana" w:cs="Arial"/>
        </w:rPr>
        <w:t xml:space="preserve">statales </w:t>
      </w:r>
      <w:r>
        <w:rPr>
          <w:rFonts w:ascii="Verdana" w:hAnsi="Verdana" w:cs="Arial"/>
        </w:rPr>
        <w:t xml:space="preserve">no pueden ni tienen autorizado la </w:t>
      </w:r>
      <w:r w:rsidRPr="00D2703D">
        <w:rPr>
          <w:rFonts w:ascii="Verdana" w:hAnsi="Verdana" w:cs="Arial"/>
        </w:rPr>
        <w:t>exig</w:t>
      </w:r>
      <w:r>
        <w:rPr>
          <w:rFonts w:ascii="Verdana" w:hAnsi="Verdana" w:cs="Arial"/>
        </w:rPr>
        <w:t xml:space="preserve">encia de documentos distintos al RUP, así como también tienen los </w:t>
      </w:r>
      <w:r w:rsidRPr="00D2703D">
        <w:rPr>
          <w:rFonts w:ascii="Verdana" w:hAnsi="Verdana" w:cs="Arial"/>
        </w:rPr>
        <w:t xml:space="preserve">proponentes </w:t>
      </w:r>
      <w:r>
        <w:rPr>
          <w:rFonts w:ascii="Verdana" w:hAnsi="Verdana" w:cs="Arial"/>
        </w:rPr>
        <w:t xml:space="preserve">proscritos la posibilidad de </w:t>
      </w:r>
      <w:r w:rsidRPr="00D2703D">
        <w:rPr>
          <w:rFonts w:ascii="Verdana" w:hAnsi="Verdana" w:cs="Arial"/>
        </w:rPr>
        <w:t xml:space="preserve">aportar documentación </w:t>
      </w:r>
      <w:r>
        <w:rPr>
          <w:rFonts w:ascii="Verdana" w:hAnsi="Verdana" w:cs="Arial"/>
        </w:rPr>
        <w:t>que deba presentarse para la inscripción en el RUP</w:t>
      </w:r>
      <w:r w:rsidRPr="00D2703D">
        <w:rPr>
          <w:rFonts w:ascii="Verdana" w:hAnsi="Verdana" w:cs="Arial"/>
        </w:rPr>
        <w:t>. </w:t>
      </w:r>
    </w:p>
    <w:p w14:paraId="4A6AEC5D" w14:textId="77777777" w:rsidR="00A802C9" w:rsidRPr="00B24FF1" w:rsidRDefault="00A802C9" w:rsidP="00A802C9">
      <w:pPr>
        <w:spacing w:after="120" w:line="276" w:lineRule="auto"/>
        <w:ind w:firstLine="708"/>
        <w:jc w:val="both"/>
        <w:rPr>
          <w:rFonts w:ascii="Verdana" w:hAnsi="Verdana" w:cs="Arial"/>
          <w:lang w:val="es-ES"/>
        </w:rPr>
      </w:pPr>
      <w:r w:rsidRPr="00B24FF1">
        <w:rPr>
          <w:rFonts w:ascii="Verdana" w:hAnsi="Verdana" w:cs="Arial"/>
          <w:lang w:val="es-ES"/>
        </w:rPr>
        <w:t xml:space="preserve">No obstante, lo anterior, las personas naturales o jurídicas extranjeras, </w:t>
      </w:r>
      <w:r>
        <w:rPr>
          <w:rFonts w:ascii="Verdana" w:hAnsi="Verdana" w:cs="Arial"/>
          <w:lang w:val="es-ES"/>
        </w:rPr>
        <w:t>con</w:t>
      </w:r>
      <w:r w:rsidRPr="00B24FF1">
        <w:rPr>
          <w:rFonts w:ascii="Verdana" w:hAnsi="Verdana" w:cs="Arial"/>
          <w:lang w:val="es-ES"/>
        </w:rPr>
        <w:t xml:space="preserve"> domicilio o sucursal en Colombia, están obligadas a inscribirse en el Registro único de Proponentes – RUP</w:t>
      </w:r>
      <w:r>
        <w:rPr>
          <w:rFonts w:ascii="Verdana" w:hAnsi="Verdana" w:cs="Arial"/>
          <w:lang w:val="es-ES"/>
        </w:rPr>
        <w:t xml:space="preserve">, con excepción de aquellos proponentes o proveedores </w:t>
      </w:r>
      <w:r w:rsidRPr="006C4316">
        <w:rPr>
          <w:rFonts w:ascii="Verdana" w:hAnsi="Verdana" w:cs="Arial"/>
        </w:rPr>
        <w:t>extranjeros sin domicilio</w:t>
      </w:r>
      <w:r>
        <w:rPr>
          <w:rFonts w:ascii="Verdana" w:hAnsi="Verdana" w:cs="Arial"/>
        </w:rPr>
        <w:t xml:space="preserve"> ni sucursal</w:t>
      </w:r>
      <w:r w:rsidRPr="006C4316">
        <w:rPr>
          <w:rFonts w:ascii="Verdana" w:hAnsi="Verdana" w:cs="Arial"/>
        </w:rPr>
        <w:t xml:space="preserve"> en Colombia</w:t>
      </w:r>
      <w:r>
        <w:rPr>
          <w:rFonts w:ascii="Verdana" w:hAnsi="Verdana" w:cs="Arial"/>
        </w:rPr>
        <w:t xml:space="preserve">, de manera que estos últimos </w:t>
      </w:r>
      <w:r w:rsidRPr="006C4316">
        <w:rPr>
          <w:rFonts w:ascii="Verdana" w:hAnsi="Verdana" w:cs="Arial"/>
        </w:rPr>
        <w:t xml:space="preserve">deben acreditar esta información directamente ante la </w:t>
      </w:r>
      <w:r>
        <w:rPr>
          <w:rFonts w:ascii="Verdana" w:hAnsi="Verdana" w:cs="Arial"/>
        </w:rPr>
        <w:t>e</w:t>
      </w:r>
      <w:r w:rsidRPr="006C4316">
        <w:rPr>
          <w:rFonts w:ascii="Verdana" w:hAnsi="Verdana" w:cs="Arial"/>
        </w:rPr>
        <w:t xml:space="preserve">ntidad </w:t>
      </w:r>
      <w:r>
        <w:rPr>
          <w:rFonts w:ascii="Verdana" w:hAnsi="Verdana" w:cs="Arial"/>
        </w:rPr>
        <w:t>e</w:t>
      </w:r>
      <w:r w:rsidRPr="006C4316">
        <w:rPr>
          <w:rFonts w:ascii="Verdana" w:hAnsi="Verdana" w:cs="Arial"/>
        </w:rPr>
        <w:t xml:space="preserve">statal que adelanta el </w:t>
      </w:r>
      <w:r>
        <w:rPr>
          <w:rFonts w:ascii="Verdana" w:hAnsi="Verdana" w:cs="Arial"/>
        </w:rPr>
        <w:t>p</w:t>
      </w:r>
      <w:r w:rsidRPr="006C4316">
        <w:rPr>
          <w:rFonts w:ascii="Verdana" w:hAnsi="Verdana" w:cs="Arial"/>
        </w:rPr>
        <w:t xml:space="preserve">roceso de </w:t>
      </w:r>
      <w:r>
        <w:rPr>
          <w:rFonts w:ascii="Verdana" w:hAnsi="Verdana" w:cs="Arial"/>
        </w:rPr>
        <w:t>c</w:t>
      </w:r>
      <w:r w:rsidRPr="006C4316">
        <w:rPr>
          <w:rFonts w:ascii="Verdana" w:hAnsi="Verdana" w:cs="Arial"/>
        </w:rPr>
        <w:t>ontratación en la forma indicada en los pliegos de condiciones</w:t>
      </w:r>
      <w:r>
        <w:rPr>
          <w:rFonts w:ascii="Verdana" w:hAnsi="Verdana" w:cs="Arial"/>
        </w:rPr>
        <w:t xml:space="preserve">. </w:t>
      </w:r>
      <w:r w:rsidRPr="00B24FF1">
        <w:rPr>
          <w:rFonts w:ascii="Verdana" w:hAnsi="Verdana" w:cs="Arial"/>
          <w:lang w:val="es-ES"/>
        </w:rPr>
        <w:t xml:space="preserve">Sobre este punto, como lo expuso la Agencia Nacional de Contratación Pública – Colombia Compra Eficiente, en el </w:t>
      </w:r>
      <w:r>
        <w:rPr>
          <w:rFonts w:ascii="Verdana" w:hAnsi="Verdana" w:cs="Arial"/>
          <w:i/>
          <w:iCs/>
          <w:lang w:val="es-ES"/>
        </w:rPr>
        <w:t>“</w:t>
      </w:r>
      <w:r w:rsidRPr="00B24FF1">
        <w:rPr>
          <w:rFonts w:ascii="Verdana" w:hAnsi="Verdana" w:cs="Arial"/>
          <w:i/>
          <w:iCs/>
          <w:lang w:val="es-ES"/>
        </w:rPr>
        <w:t>Manual para Determinar y Verificar los Requisitos Habilitantes en los Procesos de Contratación</w:t>
      </w:r>
      <w:r>
        <w:rPr>
          <w:rFonts w:ascii="Verdana" w:hAnsi="Verdana" w:cs="Arial"/>
          <w:i/>
          <w:iCs/>
          <w:lang w:val="es-ES"/>
        </w:rPr>
        <w:t>”</w:t>
      </w:r>
      <w:r w:rsidRPr="00B24FF1">
        <w:rPr>
          <w:rFonts w:ascii="Verdana" w:hAnsi="Verdana" w:cs="Arial"/>
          <w:lang w:val="es-ES"/>
        </w:rPr>
        <w:t xml:space="preserve">, se sugiere </w:t>
      </w:r>
      <w:r>
        <w:rPr>
          <w:rFonts w:ascii="Verdana" w:hAnsi="Verdana" w:cs="Arial"/>
          <w:lang w:val="es-ES"/>
        </w:rPr>
        <w:t>“</w:t>
      </w:r>
      <w:r w:rsidRPr="00B24FF1">
        <w:rPr>
          <w:rFonts w:ascii="Verdana" w:hAnsi="Verdana" w:cs="Arial"/>
          <w:lang w:val="es-ES"/>
        </w:rPr>
        <w:t>incluir en los pliegos de condiciones modelos de certificados con los cuales los proponentes acrediten los requisitos habilitantes</w:t>
      </w:r>
      <w:r>
        <w:rPr>
          <w:rFonts w:ascii="Verdana" w:hAnsi="Verdana" w:cs="Arial"/>
          <w:lang w:val="es-ES"/>
        </w:rPr>
        <w:t>”</w:t>
      </w:r>
      <w:r>
        <w:rPr>
          <w:rStyle w:val="Refdenotaalpie"/>
          <w:rFonts w:ascii="Verdana" w:hAnsi="Verdana" w:cs="Arial"/>
          <w:lang w:val="es-ES"/>
        </w:rPr>
        <w:footnoteReference w:id="3"/>
      </w:r>
      <w:r w:rsidRPr="00B24FF1">
        <w:rPr>
          <w:rFonts w:ascii="Verdana" w:hAnsi="Verdana" w:cs="Arial"/>
          <w:lang w:val="es-ES"/>
        </w:rPr>
        <w:t>.</w:t>
      </w:r>
    </w:p>
    <w:p w14:paraId="02FA7C56" w14:textId="77777777" w:rsidR="00A802C9" w:rsidRDefault="00A802C9" w:rsidP="00A802C9">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lastRenderedPageBreak/>
        <w:t xml:space="preserve">Lo expuesto se encuentra en consonancia con lo regulado en el artículo </w:t>
      </w:r>
      <w:r w:rsidRPr="00E07C04">
        <w:rPr>
          <w:rFonts w:ascii="Verdana" w:eastAsia="Arial MT" w:hAnsi="Verdana" w:cs="Arial"/>
          <w:lang w:eastAsia="es-ES" w:bidi="es-ES"/>
        </w:rPr>
        <w:t>2.2.1.1.1.5.1.</w:t>
      </w:r>
      <w:r>
        <w:rPr>
          <w:rFonts w:ascii="Verdana" w:eastAsia="Arial MT" w:hAnsi="Verdana" w:cs="Arial"/>
          <w:lang w:eastAsia="es-ES" w:bidi="es-ES"/>
        </w:rPr>
        <w:t xml:space="preserve"> del Decreto 1082 de 2015, según el cual, “</w:t>
      </w:r>
      <w:r w:rsidRPr="00BF6B19">
        <w:rPr>
          <w:rFonts w:ascii="Verdana" w:eastAsia="Arial MT" w:hAnsi="Verdana" w:cs="Arial"/>
          <w:lang w:eastAsia="es-ES" w:bidi="es-ES"/>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Verdana" w:eastAsia="Arial MT" w:hAnsi="Verdana" w:cs="Arial"/>
          <w:lang w:eastAsia="es-ES" w:bidi="es-ES"/>
        </w:rPr>
        <w:t>”.</w:t>
      </w:r>
    </w:p>
    <w:p w14:paraId="5E80ACD5" w14:textId="77777777" w:rsidR="00A802C9" w:rsidRDefault="00A802C9" w:rsidP="00A802C9">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suma, de conformidad con el artículo 6 de la Ley 1150 de 2007 y el artículo </w:t>
      </w:r>
      <w:r w:rsidRPr="00E07C04">
        <w:rPr>
          <w:rFonts w:ascii="Verdana" w:eastAsia="Arial MT" w:hAnsi="Verdana" w:cs="Arial"/>
          <w:lang w:eastAsia="es-ES" w:bidi="es-ES"/>
        </w:rPr>
        <w:t xml:space="preserve">2.2.1.1.1.5.1. </w:t>
      </w:r>
      <w:r>
        <w:rPr>
          <w:rFonts w:ascii="Verdana" w:eastAsia="Arial MT" w:hAnsi="Verdana" w:cs="Arial"/>
          <w:lang w:eastAsia="es-ES" w:bidi="es-ES"/>
        </w:rPr>
        <w:t xml:space="preserve">del Decreto 1082 de 2015, dentro de los sujetos obligados a inscribirse en el </w:t>
      </w:r>
      <w:r w:rsidRPr="005E4011">
        <w:rPr>
          <w:rFonts w:ascii="Verdana" w:eastAsia="Arial MT" w:hAnsi="Verdana" w:cs="Arial"/>
          <w:lang w:val="es-ES" w:eastAsia="es-ES" w:bidi="es-ES"/>
        </w:rPr>
        <w:t xml:space="preserve">Registro Único de Proponentes </w:t>
      </w:r>
      <w:r>
        <w:rPr>
          <w:rFonts w:ascii="Verdana" w:eastAsia="Arial MT" w:hAnsi="Verdana" w:cs="Arial"/>
          <w:lang w:val="es-ES" w:eastAsia="es-ES" w:bidi="es-ES"/>
        </w:rPr>
        <w:t xml:space="preserve">– RUP </w:t>
      </w:r>
      <w:r w:rsidRPr="005E4011">
        <w:rPr>
          <w:rFonts w:ascii="Verdana" w:eastAsia="Arial MT" w:hAnsi="Verdana" w:cs="Arial"/>
          <w:lang w:val="es-ES" w:eastAsia="es-ES" w:bidi="es-ES"/>
        </w:rPr>
        <w:t xml:space="preserve">del Registro único Empresarial de la Cámara de Comercio </w:t>
      </w:r>
      <w:r>
        <w:rPr>
          <w:rFonts w:ascii="Verdana" w:eastAsia="Arial MT" w:hAnsi="Verdana" w:cs="Arial"/>
          <w:lang w:eastAsia="es-ES" w:bidi="es-ES"/>
        </w:rPr>
        <w:t>se encuentran las personas naturales o jurídicas extranjeras con domicilio o con sucursal en Colombia, en los siguientes dos casos: a</w:t>
      </w:r>
      <w:r w:rsidRPr="00C43861">
        <w:rPr>
          <w:rFonts w:ascii="Verdana" w:eastAsia="Arial MT" w:hAnsi="Verdana" w:cs="Arial"/>
          <w:lang w:eastAsia="es-ES" w:bidi="es-ES"/>
        </w:rPr>
        <w:t xml:space="preserve">) </w:t>
      </w:r>
      <w:r>
        <w:rPr>
          <w:rFonts w:ascii="Verdana" w:eastAsia="Arial MT" w:hAnsi="Verdana" w:cs="Arial"/>
          <w:lang w:eastAsia="es-ES" w:bidi="es-ES"/>
        </w:rPr>
        <w:t xml:space="preserve">cuando </w:t>
      </w:r>
      <w:r w:rsidRPr="00C43861">
        <w:rPr>
          <w:rFonts w:ascii="Verdana" w:eastAsia="Arial MT" w:hAnsi="Verdana" w:cs="Arial"/>
          <w:lang w:eastAsia="es-ES" w:bidi="es-ES"/>
        </w:rPr>
        <w:t xml:space="preserve">el procedimiento de contratación </w:t>
      </w:r>
      <w:r>
        <w:rPr>
          <w:rFonts w:ascii="Verdana" w:eastAsia="Arial MT" w:hAnsi="Verdana" w:cs="Arial"/>
          <w:lang w:eastAsia="es-ES" w:bidi="es-ES"/>
        </w:rPr>
        <w:t xml:space="preserve">en el que participarán </w:t>
      </w:r>
      <w:r w:rsidRPr="00C43861">
        <w:rPr>
          <w:rFonts w:ascii="Verdana" w:eastAsia="Arial MT" w:hAnsi="Verdana" w:cs="Arial"/>
          <w:lang w:eastAsia="es-ES" w:bidi="es-ES"/>
        </w:rPr>
        <w:t>sea de aquellos en los cuales no se exceptúa el RUP, de acuerdo con el inciso segundo del artículo 6 de la Ley 1150 de 2007</w:t>
      </w:r>
      <w:r>
        <w:rPr>
          <w:rFonts w:ascii="Verdana" w:eastAsia="Arial MT" w:hAnsi="Verdana" w:cs="Arial"/>
          <w:lang w:eastAsia="es-ES" w:bidi="es-ES"/>
        </w:rPr>
        <w:t xml:space="preserve"> y b</w:t>
      </w:r>
      <w:r w:rsidRPr="00C43861">
        <w:rPr>
          <w:rFonts w:ascii="Verdana" w:eastAsia="Arial MT" w:hAnsi="Verdana" w:cs="Arial"/>
          <w:lang w:eastAsia="es-ES" w:bidi="es-ES"/>
        </w:rPr>
        <w:t xml:space="preserve">) </w:t>
      </w:r>
      <w:r>
        <w:rPr>
          <w:rFonts w:ascii="Verdana" w:eastAsia="Arial MT" w:hAnsi="Verdana" w:cs="Arial"/>
          <w:lang w:eastAsia="es-ES" w:bidi="es-ES"/>
        </w:rPr>
        <w:t>cuando pretendan celebrar</w:t>
      </w:r>
      <w:r w:rsidRPr="00C43861">
        <w:rPr>
          <w:rFonts w:ascii="Verdana" w:eastAsia="Arial MT" w:hAnsi="Verdana" w:cs="Arial"/>
          <w:lang w:eastAsia="es-ES" w:bidi="es-ES"/>
        </w:rPr>
        <w:t xml:space="preserve"> contratos estatales</w:t>
      </w:r>
      <w:r>
        <w:rPr>
          <w:rFonts w:ascii="Verdana" w:eastAsia="Arial MT" w:hAnsi="Verdana" w:cs="Arial"/>
          <w:lang w:eastAsia="es-ES" w:bidi="es-ES"/>
        </w:rPr>
        <w:t xml:space="preserve">. De manera que solo quedarían exceptuadas de esta obligación de inscripción en el RUP </w:t>
      </w:r>
      <w:r w:rsidRPr="00084A28">
        <w:rPr>
          <w:rFonts w:ascii="Verdana" w:eastAsia="Arial MT" w:hAnsi="Verdana" w:cs="Arial"/>
          <w:lang w:eastAsia="es-ES" w:bidi="es-ES"/>
        </w:rPr>
        <w:t>las personas extranjeras sin domicilio o sucursal en Colombia</w:t>
      </w:r>
      <w:r>
        <w:rPr>
          <w:rFonts w:ascii="Verdana" w:eastAsia="Arial MT" w:hAnsi="Verdana" w:cs="Arial"/>
          <w:lang w:eastAsia="es-ES" w:bidi="es-ES"/>
        </w:rPr>
        <w:t xml:space="preserve">. </w:t>
      </w:r>
    </w:p>
    <w:p w14:paraId="09734D10" w14:textId="77777777" w:rsidR="00A802C9" w:rsidRDefault="00A802C9" w:rsidP="00A802C9">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otras palabras, las personas extranjeras con sucursal en Colombia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w:t>
      </w:r>
      <w:r w:rsidRPr="00C43861">
        <w:rPr>
          <w:rFonts w:ascii="Verdana" w:eastAsia="Arial MT" w:hAnsi="Verdana" w:cs="Arial"/>
          <w:lang w:eastAsia="es-ES" w:bidi="es-ES"/>
        </w:rPr>
        <w:t xml:space="preserve">procedimiento de contratación </w:t>
      </w:r>
      <w:r>
        <w:rPr>
          <w:rFonts w:ascii="Verdana" w:eastAsia="Arial MT" w:hAnsi="Verdana" w:cs="Arial"/>
          <w:lang w:eastAsia="es-ES" w:bidi="es-ES"/>
        </w:rPr>
        <w:t>en el que participarán es</w:t>
      </w:r>
      <w:r w:rsidRPr="00C43861">
        <w:rPr>
          <w:rFonts w:ascii="Verdana" w:eastAsia="Arial MT" w:hAnsi="Verdana" w:cs="Arial"/>
          <w:lang w:eastAsia="es-ES" w:bidi="es-ES"/>
        </w:rPr>
        <w:t xml:space="preserve"> </w:t>
      </w:r>
      <w:r>
        <w:rPr>
          <w:rFonts w:ascii="Verdana" w:eastAsia="Arial MT" w:hAnsi="Verdana" w:cs="Arial"/>
          <w:lang w:eastAsia="es-ES" w:bidi="es-ES"/>
        </w:rPr>
        <w:t>parte de</w:t>
      </w:r>
      <w:r w:rsidRPr="00C43861">
        <w:rPr>
          <w:rFonts w:ascii="Verdana" w:eastAsia="Arial MT" w:hAnsi="Verdana" w:cs="Arial"/>
          <w:lang w:eastAsia="es-ES" w:bidi="es-ES"/>
        </w:rPr>
        <w:t xml:space="preserve"> aquellos en los cuales no se exceptúa el RUP</w:t>
      </w:r>
      <w:r>
        <w:rPr>
          <w:rFonts w:ascii="Verdana" w:eastAsia="Arial MT" w:hAnsi="Verdana" w:cs="Arial"/>
          <w:lang w:eastAsia="es-ES" w:bidi="es-ES"/>
        </w:rPr>
        <w:t xml:space="preserve"> y resulta obligatoria su exigencia. Por otro lado, si el procedimiento de contratación hace parte de los procedimientos exceptuados a los que hace referencia el inciso segundo del artículo 6 de la Ley 1150 de 2007, la entidad estatal deberá verificar directamente el cumplimiento de los requisitos habilitantes mediante documentos adicionales que acrediten la información referente a </w:t>
      </w:r>
      <w:r w:rsidRPr="0061585E">
        <w:rPr>
          <w:rFonts w:ascii="Verdana" w:eastAsia="Arial MT" w:hAnsi="Verdana" w:cs="Arial"/>
          <w:lang w:eastAsia="es-ES" w:bidi="es-ES"/>
        </w:rPr>
        <w:t>experiencia, capacidad jurídica, financiera y de organización</w:t>
      </w:r>
      <w:r>
        <w:rPr>
          <w:rFonts w:ascii="Verdana" w:eastAsia="Arial MT" w:hAnsi="Verdana" w:cs="Arial"/>
          <w:lang w:eastAsia="es-ES" w:bidi="es-ES"/>
        </w:rPr>
        <w:t xml:space="preserve">. Adicionalmente, es deber de las entidades estatales verificar que dichas personas extranjeras, con sucursal en Colombia, acrediten </w:t>
      </w:r>
      <w:r w:rsidRPr="00D21078">
        <w:rPr>
          <w:rFonts w:ascii="Verdana" w:eastAsia="Arial MT" w:hAnsi="Verdana" w:cs="Arial"/>
          <w:lang w:eastAsia="es-ES" w:bidi="es-ES"/>
        </w:rPr>
        <w:t>que su duración no será inferior a la del plazo del contrato y un año más</w:t>
      </w:r>
      <w:r>
        <w:rPr>
          <w:rFonts w:ascii="Verdana" w:eastAsia="Arial MT" w:hAnsi="Verdana" w:cs="Arial"/>
          <w:lang w:eastAsia="es-ES" w:bidi="es-ES"/>
        </w:rPr>
        <w:t>.</w:t>
      </w:r>
    </w:p>
    <w:p w14:paraId="27601596" w14:textId="77777777" w:rsidR="00A802C9" w:rsidRDefault="00A802C9" w:rsidP="00A802C9">
      <w:pPr>
        <w:spacing w:after="120" w:line="276" w:lineRule="auto"/>
        <w:ind w:firstLine="708"/>
        <w:jc w:val="both"/>
        <w:rPr>
          <w:rFonts w:ascii="Verdana" w:eastAsia="Arial MT" w:hAnsi="Verdana" w:cs="Arial"/>
          <w:lang w:eastAsia="es-ES" w:bidi="es-ES"/>
        </w:rPr>
      </w:pPr>
      <w:r w:rsidRPr="00F9120E">
        <w:rPr>
          <w:rFonts w:ascii="Verdana" w:eastAsia="Calibri" w:hAnsi="Verdana" w:cs="Arial"/>
          <w:color w:val="000000" w:themeColor="text1"/>
          <w:lang w:val="es-ES"/>
        </w:rPr>
        <w:t xml:space="preserve"> </w:t>
      </w:r>
      <w:r>
        <w:rPr>
          <w:rFonts w:ascii="Verdana" w:eastAsia="Arial MT" w:hAnsi="Verdana" w:cs="Arial"/>
          <w:lang w:eastAsia="es-ES" w:bidi="es-ES"/>
        </w:rPr>
        <w:t xml:space="preserve">Explicado lo anterior, y de acuerdo con los problemas jurídicos propuestos, a continuación, abordamos los requisitos existentes para la </w:t>
      </w:r>
      <w:r>
        <w:rPr>
          <w:rFonts w:ascii="Verdana" w:eastAsia="Arial MT" w:hAnsi="Verdana" w:cs="Arial"/>
          <w:lang w:eastAsia="es-ES" w:bidi="es-ES"/>
        </w:rPr>
        <w:lastRenderedPageBreak/>
        <w:t>celebración de contratos sometidos al EGCAP. En ese orden, el proponente extranjero que ha cumplido con los requisitos habilitantes establecidos por la entidad estatal en el pliego de condiciones, y luego de que la entidad estatal ha finalizado la etapa de evaluación de las propuestas, si la oferta del proponente extranjero resulta ser la mejor oferta, aquello se traduce en que será</w:t>
      </w:r>
      <w:r w:rsidRPr="00130926">
        <w:rPr>
          <w:rFonts w:ascii="Verdana" w:eastAsia="Arial MT" w:hAnsi="Verdana" w:cs="Arial"/>
          <w:lang w:eastAsia="es-ES" w:bidi="es-ES"/>
        </w:rPr>
        <w:t xml:space="preserve"> adjudicatorio en un proceso de contratación</w:t>
      </w:r>
      <w:r>
        <w:rPr>
          <w:rFonts w:ascii="Verdana" w:eastAsia="Arial MT" w:hAnsi="Verdana" w:cs="Arial"/>
          <w:lang w:eastAsia="es-ES" w:bidi="es-ES"/>
        </w:rPr>
        <w:t>. De manera que vale la pena revisar los requisitos dispuestos por la normativa para que el adjudicatario extranjero celebre el contrato estatal, en los términos del artículo 41 de la Ley 80 de 1993.</w:t>
      </w:r>
    </w:p>
    <w:p w14:paraId="2C28ECDE" w14:textId="77777777" w:rsidR="00A802C9" w:rsidRPr="007E7837" w:rsidRDefault="00A802C9" w:rsidP="00A802C9">
      <w:pPr>
        <w:spacing w:after="120" w:line="276" w:lineRule="auto"/>
        <w:ind w:firstLine="708"/>
        <w:jc w:val="both"/>
        <w:rPr>
          <w:rFonts w:ascii="Verdana" w:hAnsi="Verdana" w:cs="Arial"/>
        </w:rPr>
      </w:pPr>
      <w:r w:rsidRPr="007E7837">
        <w:rPr>
          <w:rFonts w:ascii="Verdana" w:eastAsia="Calibri" w:hAnsi="Verdana" w:cs="Arial"/>
          <w:bCs/>
          <w:color w:val="000000" w:themeColor="text1"/>
          <w:lang w:val="es-ES_tradnl"/>
        </w:rPr>
        <w:t xml:space="preserve">Al respecto, </w:t>
      </w:r>
      <w:r w:rsidRPr="007E7837">
        <w:rPr>
          <w:rFonts w:ascii="Verdana" w:hAnsi="Verdana" w:cs="Arial"/>
          <w:color w:val="000000" w:themeColor="text1"/>
        </w:rPr>
        <w:t xml:space="preserve">es necesario tener en cuenta que el artículo 469 del Código de Comercio define a </w:t>
      </w:r>
      <w:r>
        <w:rPr>
          <w:rFonts w:ascii="Verdana" w:hAnsi="Verdana" w:cs="Arial"/>
          <w:color w:val="000000" w:themeColor="text1"/>
        </w:rPr>
        <w:t xml:space="preserve">la </w:t>
      </w:r>
      <w:r w:rsidRPr="007E7837">
        <w:rPr>
          <w:rFonts w:ascii="Verdana" w:hAnsi="Verdana" w:cs="Arial"/>
          <w:color w:val="000000" w:themeColor="text1"/>
        </w:rPr>
        <w:t>sociedad extrajera como “aquella constituida conforme a la ley de otro país y con domicilio principal en el exterior”. A su vez, el artículo 471 del Código de Comercio dispone que “Para que una sociedad extranjera pueda emprender negocios permanentes en Colombia, establecerá una sucursal con domicilio en el territorio nacional […]”, cumpliendo con los siguientes requisitos: i</w:t>
      </w:r>
      <w:r w:rsidRPr="007E7837">
        <w:rPr>
          <w:rFonts w:ascii="Verdana" w:hAnsi="Verdana" w:cs="Arial"/>
        </w:rPr>
        <w:t>) p</w:t>
      </w:r>
      <w:r w:rsidRPr="007E7837">
        <w:rPr>
          <w:rFonts w:ascii="Verdana" w:hAnsi="Verdana"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proofErr w:type="spellStart"/>
      <w:r w:rsidRPr="007E7837">
        <w:rPr>
          <w:rFonts w:ascii="Verdana" w:hAnsi="Verdana" w:cs="Arial"/>
          <w:color w:val="000000"/>
        </w:rPr>
        <w:t>ii</w:t>
      </w:r>
      <w:proofErr w:type="spellEnd"/>
      <w:r w:rsidRPr="007E7837">
        <w:rPr>
          <w:rFonts w:ascii="Verdana" w:hAnsi="Verdana" w:cs="Arial"/>
          <w:color w:val="000000"/>
        </w:rPr>
        <w:t xml:space="preserve">) obtener permiso para funcionar en el país de parte de la Superintendencia de Sociedades o de la Superintendencia Bancaria, según el caso. </w:t>
      </w:r>
    </w:p>
    <w:p w14:paraId="3913BE2A" w14:textId="77777777" w:rsidR="00A802C9" w:rsidRPr="007E7837" w:rsidRDefault="00A802C9" w:rsidP="00A802C9">
      <w:pPr>
        <w:spacing w:after="0" w:line="276" w:lineRule="auto"/>
        <w:ind w:right="51" w:firstLine="709"/>
        <w:jc w:val="both"/>
        <w:rPr>
          <w:rFonts w:ascii="Verdana" w:hAnsi="Verdana" w:cs="Arial"/>
          <w:color w:val="000000" w:themeColor="text1"/>
          <w:lang w:val="es-MX"/>
        </w:rPr>
      </w:pPr>
      <w:r w:rsidRPr="007E7837">
        <w:rPr>
          <w:rFonts w:ascii="Verdana" w:hAnsi="Verdana" w:cs="Arial"/>
          <w:color w:val="000000" w:themeColor="text1"/>
          <w:lang w:val="es-MX"/>
        </w:rPr>
        <w:t xml:space="preserve">Por su parte, el artículo 474 del Código de Comercio entiende por actividades permanentes para efectos del artículo 471: </w:t>
      </w:r>
    </w:p>
    <w:p w14:paraId="45732FF8" w14:textId="77777777" w:rsidR="00A802C9" w:rsidRPr="007E7837" w:rsidRDefault="00A802C9" w:rsidP="00A802C9">
      <w:pPr>
        <w:spacing w:after="0" w:line="276" w:lineRule="auto"/>
        <w:ind w:right="49"/>
        <w:jc w:val="both"/>
        <w:rPr>
          <w:rFonts w:ascii="Verdana" w:hAnsi="Verdana" w:cs="Arial"/>
          <w:color w:val="000000" w:themeColor="text1"/>
        </w:rPr>
      </w:pPr>
    </w:p>
    <w:p w14:paraId="6F040758" w14:textId="77777777" w:rsidR="00A802C9" w:rsidRPr="00972BE4" w:rsidRDefault="00A802C9" w:rsidP="00A802C9">
      <w:pPr>
        <w:spacing w:line="240" w:lineRule="auto"/>
        <w:ind w:left="709" w:right="709"/>
        <w:jc w:val="both"/>
        <w:rPr>
          <w:rFonts w:ascii="Verdana" w:hAnsi="Verdana" w:cs="Arial"/>
          <w:color w:val="000000" w:themeColor="text1"/>
          <w:sz w:val="20"/>
          <w:szCs w:val="20"/>
          <w:lang w:val="es-MX"/>
        </w:rPr>
      </w:pPr>
      <w:r w:rsidRPr="00972BE4">
        <w:rPr>
          <w:rFonts w:ascii="Verdana" w:hAnsi="Verdana" w:cs="Arial"/>
          <w:color w:val="000000" w:themeColor="text1"/>
          <w:sz w:val="20"/>
          <w:szCs w:val="20"/>
        </w:rPr>
        <w:t xml:space="preserve">“1) Abrir dentro del territorio de la República establecimientos mercantiles u oficinas de </w:t>
      </w:r>
      <w:proofErr w:type="gramStart"/>
      <w:r w:rsidRPr="00972BE4">
        <w:rPr>
          <w:rFonts w:ascii="Verdana" w:hAnsi="Verdana" w:cs="Arial"/>
          <w:color w:val="000000" w:themeColor="text1"/>
          <w:sz w:val="20"/>
          <w:szCs w:val="20"/>
        </w:rPr>
        <w:t>negocios</w:t>
      </w:r>
      <w:proofErr w:type="gramEnd"/>
      <w:r w:rsidRPr="00972BE4">
        <w:rPr>
          <w:rFonts w:ascii="Verdana" w:hAnsi="Verdana" w:cs="Arial"/>
          <w:color w:val="000000" w:themeColor="text1"/>
          <w:sz w:val="20"/>
          <w:szCs w:val="20"/>
        </w:rPr>
        <w:t xml:space="preserve"> aunque éstas solamente tengan un carácter técnico o de asesoría;</w:t>
      </w:r>
    </w:p>
    <w:p w14:paraId="089ABB66" w14:textId="77777777" w:rsidR="00A802C9" w:rsidRPr="00972BE4" w:rsidRDefault="00A802C9" w:rsidP="00A802C9">
      <w:pPr>
        <w:spacing w:line="240" w:lineRule="auto"/>
        <w:ind w:left="709" w:right="709"/>
        <w:jc w:val="both"/>
        <w:rPr>
          <w:rFonts w:ascii="Verdana" w:hAnsi="Verdana" w:cs="Arial"/>
          <w:color w:val="000000" w:themeColor="text1"/>
          <w:sz w:val="20"/>
          <w:szCs w:val="20"/>
        </w:rPr>
      </w:pPr>
      <w:r w:rsidRPr="00972BE4">
        <w:rPr>
          <w:rFonts w:ascii="Verdana" w:hAnsi="Verdana" w:cs="Arial"/>
          <w:b/>
          <w:bCs/>
          <w:color w:val="000000" w:themeColor="text1"/>
          <w:sz w:val="20"/>
          <w:szCs w:val="20"/>
        </w:rPr>
        <w:t>2)</w:t>
      </w:r>
      <w:r w:rsidRPr="00972BE4">
        <w:rPr>
          <w:rFonts w:ascii="Verdana" w:hAnsi="Verdana" w:cs="Arial"/>
          <w:color w:val="000000" w:themeColor="text1"/>
          <w:sz w:val="20"/>
          <w:szCs w:val="20"/>
        </w:rPr>
        <w:t xml:space="preserve"> </w:t>
      </w:r>
      <w:r w:rsidRPr="00972BE4">
        <w:rPr>
          <w:rFonts w:ascii="Verdana" w:hAnsi="Verdana" w:cs="Arial"/>
          <w:b/>
          <w:bCs/>
          <w:color w:val="000000" w:themeColor="text1"/>
          <w:sz w:val="20"/>
          <w:szCs w:val="20"/>
        </w:rPr>
        <w:t>Intervenir como contratista en la ejecución de obras o en la prestación de servicios</w:t>
      </w:r>
      <w:r w:rsidRPr="00972BE4">
        <w:rPr>
          <w:rFonts w:ascii="Verdana" w:hAnsi="Verdana" w:cs="Arial"/>
          <w:color w:val="000000" w:themeColor="text1"/>
          <w:sz w:val="20"/>
          <w:szCs w:val="20"/>
        </w:rPr>
        <w:t>;</w:t>
      </w:r>
    </w:p>
    <w:p w14:paraId="3313F86B" w14:textId="77777777" w:rsidR="00A802C9" w:rsidRPr="00972BE4" w:rsidRDefault="00A802C9" w:rsidP="00A802C9">
      <w:pPr>
        <w:spacing w:line="240" w:lineRule="auto"/>
        <w:ind w:left="709" w:right="709"/>
        <w:jc w:val="both"/>
        <w:rPr>
          <w:rFonts w:ascii="Verdana" w:hAnsi="Verdana" w:cs="Arial"/>
          <w:color w:val="000000" w:themeColor="text1"/>
          <w:sz w:val="20"/>
          <w:szCs w:val="20"/>
        </w:rPr>
      </w:pPr>
      <w:r w:rsidRPr="00972BE4">
        <w:rPr>
          <w:rFonts w:ascii="Verdana" w:hAnsi="Verdana" w:cs="Arial"/>
          <w:color w:val="000000" w:themeColor="text1"/>
          <w:sz w:val="20"/>
          <w:szCs w:val="20"/>
        </w:rPr>
        <w:t>3) Participar en cualquier forma en actividades que tengan por objeto el manejo, aprovechamiento o inversión de fondos provenientes del ahorro privado;</w:t>
      </w:r>
    </w:p>
    <w:p w14:paraId="202DFBD6" w14:textId="77777777" w:rsidR="00A802C9" w:rsidRPr="00972BE4" w:rsidRDefault="00A802C9" w:rsidP="00A802C9">
      <w:pPr>
        <w:spacing w:line="240" w:lineRule="auto"/>
        <w:ind w:left="709" w:right="709"/>
        <w:jc w:val="both"/>
        <w:rPr>
          <w:rFonts w:ascii="Verdana" w:hAnsi="Verdana" w:cs="Arial"/>
          <w:color w:val="000000" w:themeColor="text1"/>
          <w:sz w:val="20"/>
          <w:szCs w:val="20"/>
        </w:rPr>
      </w:pPr>
      <w:r w:rsidRPr="00972BE4">
        <w:rPr>
          <w:rFonts w:ascii="Verdana" w:hAnsi="Verdana" w:cs="Arial"/>
          <w:color w:val="000000" w:themeColor="text1"/>
          <w:sz w:val="20"/>
          <w:szCs w:val="20"/>
        </w:rPr>
        <w:t>4) Dedicarse a la industria extractiva en cualquiera de sus ramas o servicios;</w:t>
      </w:r>
    </w:p>
    <w:p w14:paraId="1F2307DA" w14:textId="77777777" w:rsidR="00A802C9" w:rsidRPr="00972BE4" w:rsidRDefault="00A802C9" w:rsidP="00A802C9">
      <w:pPr>
        <w:spacing w:line="240" w:lineRule="auto"/>
        <w:ind w:left="709" w:right="709"/>
        <w:jc w:val="both"/>
        <w:rPr>
          <w:rFonts w:ascii="Verdana" w:hAnsi="Verdana" w:cs="Arial"/>
          <w:b/>
          <w:bCs/>
          <w:color w:val="000000" w:themeColor="text1"/>
          <w:sz w:val="20"/>
          <w:szCs w:val="20"/>
        </w:rPr>
      </w:pPr>
      <w:r w:rsidRPr="00972BE4">
        <w:rPr>
          <w:rFonts w:ascii="Verdana" w:hAnsi="Verdana" w:cs="Arial"/>
          <w:b/>
          <w:bCs/>
          <w:color w:val="000000" w:themeColor="text1"/>
          <w:sz w:val="20"/>
          <w:szCs w:val="20"/>
        </w:rPr>
        <w:t xml:space="preserve">5) Obtener del Estado colombiano una concesión o que ésta le hubiere sido cedida a cualquier título, o que en alguna forma participe en la explotación de </w:t>
      </w:r>
      <w:proofErr w:type="gramStart"/>
      <w:r w:rsidRPr="00972BE4">
        <w:rPr>
          <w:rFonts w:ascii="Verdana" w:hAnsi="Verdana" w:cs="Arial"/>
          <w:b/>
          <w:bCs/>
          <w:color w:val="000000" w:themeColor="text1"/>
          <w:sz w:val="20"/>
          <w:szCs w:val="20"/>
        </w:rPr>
        <w:t>la misma</w:t>
      </w:r>
      <w:proofErr w:type="gramEnd"/>
      <w:r w:rsidRPr="00972BE4">
        <w:rPr>
          <w:rFonts w:ascii="Verdana" w:hAnsi="Verdana" w:cs="Arial"/>
          <w:b/>
          <w:bCs/>
          <w:color w:val="000000" w:themeColor="text1"/>
          <w:sz w:val="20"/>
          <w:szCs w:val="20"/>
        </w:rPr>
        <w:t xml:space="preserve"> y,</w:t>
      </w:r>
    </w:p>
    <w:p w14:paraId="1DF0F822" w14:textId="77777777" w:rsidR="00A802C9" w:rsidRPr="00972BE4" w:rsidRDefault="00A802C9" w:rsidP="00A802C9">
      <w:pPr>
        <w:spacing w:after="0" w:line="240" w:lineRule="auto"/>
        <w:ind w:left="709" w:right="709"/>
        <w:jc w:val="both"/>
        <w:rPr>
          <w:rFonts w:ascii="Verdana" w:hAnsi="Verdana" w:cs="Arial"/>
          <w:color w:val="000000" w:themeColor="text1"/>
          <w:sz w:val="20"/>
          <w:szCs w:val="20"/>
        </w:rPr>
      </w:pPr>
      <w:r w:rsidRPr="00972BE4">
        <w:rPr>
          <w:rFonts w:ascii="Verdana" w:hAnsi="Verdana" w:cs="Arial"/>
          <w:color w:val="000000" w:themeColor="text1"/>
          <w:sz w:val="20"/>
          <w:szCs w:val="20"/>
        </w:rPr>
        <w:lastRenderedPageBreak/>
        <w:t>6) El funcionamiento de sus asambleas de asociados, juntas directivas, gerencia o administración en el territorio nacional”. [Énfasis por fuera de texto legal]</w:t>
      </w:r>
    </w:p>
    <w:p w14:paraId="406C0432" w14:textId="77777777" w:rsidR="00A802C9" w:rsidRPr="00972BE4" w:rsidRDefault="00A802C9" w:rsidP="00A802C9">
      <w:pPr>
        <w:spacing w:after="0" w:line="276" w:lineRule="auto"/>
        <w:ind w:right="49"/>
        <w:jc w:val="both"/>
        <w:rPr>
          <w:rFonts w:ascii="Verdana" w:hAnsi="Verdana" w:cs="Arial"/>
          <w:color w:val="000000" w:themeColor="text1"/>
          <w:sz w:val="20"/>
          <w:szCs w:val="20"/>
        </w:rPr>
      </w:pPr>
    </w:p>
    <w:p w14:paraId="0AE9D5D2" w14:textId="77777777" w:rsidR="00A802C9" w:rsidRPr="007E7837" w:rsidRDefault="00A802C9" w:rsidP="00A802C9">
      <w:pPr>
        <w:spacing w:after="120" w:line="276" w:lineRule="auto"/>
        <w:ind w:right="51" w:firstLine="709"/>
        <w:jc w:val="both"/>
        <w:rPr>
          <w:rFonts w:ascii="Verdana" w:eastAsia="Calibri" w:hAnsi="Verdana" w:cs="Arial"/>
          <w:color w:val="000000" w:themeColor="text1"/>
          <w:lang w:val="es-MX"/>
        </w:rPr>
      </w:pPr>
      <w:r>
        <w:rPr>
          <w:rFonts w:ascii="Verdana" w:hAnsi="Verdana" w:cs="Arial"/>
          <w:color w:val="000000" w:themeColor="text1"/>
        </w:rPr>
        <w:t>A su vez</w:t>
      </w:r>
      <w:r w:rsidRPr="007E7837">
        <w:rPr>
          <w:rFonts w:ascii="Verdana" w:hAnsi="Verdana" w:cs="Arial"/>
          <w:color w:val="000000" w:themeColor="text1"/>
        </w:rPr>
        <w:t xml:space="preserve">, </w:t>
      </w:r>
      <w:r w:rsidRPr="007E7837">
        <w:rPr>
          <w:rFonts w:ascii="Verdana" w:eastAsia="Calibri" w:hAnsi="Verdana" w:cs="Arial"/>
          <w:color w:val="000000" w:themeColor="text1"/>
        </w:rPr>
        <w:t>el acápite IV</w:t>
      </w:r>
      <w:r w:rsidRPr="007E7837">
        <w:rPr>
          <w:rFonts w:ascii="Verdana" w:hAnsi="Verdana" w:cs="Arial"/>
          <w:color w:val="000000" w:themeColor="text1"/>
        </w:rPr>
        <w:t xml:space="preserve"> de la “Guía de Asuntos Corporativos en los Procesos de Contratación”, expedida por la </w:t>
      </w:r>
      <w:r w:rsidRPr="007E7837">
        <w:rPr>
          <w:rFonts w:ascii="Verdana" w:eastAsia="Calibri" w:hAnsi="Verdana" w:cs="Arial"/>
          <w:color w:val="000000" w:themeColor="text1"/>
        </w:rPr>
        <w:t>Agencia Nacional de Contratación Pública – Colombia Compra Eficiente, precisa que “</w:t>
      </w:r>
      <w:r w:rsidRPr="007E7837">
        <w:rPr>
          <w:rFonts w:ascii="Verdana" w:eastAsia="Calibri" w:hAnsi="Verdana" w:cs="Arial"/>
          <w:color w:val="000000" w:themeColor="text1"/>
          <w:lang w:val="es-MX"/>
        </w:rPr>
        <w:t xml:space="preserve">Para la presentación de la oferta no será necesario que se constituya una sucursal en Colombia </w:t>
      </w:r>
      <w:r w:rsidRPr="007D2C6B">
        <w:rPr>
          <w:rFonts w:ascii="Verdana" w:eastAsia="Calibri" w:hAnsi="Verdana" w:cs="Arial"/>
          <w:i/>
          <w:iCs/>
          <w:color w:val="000000" w:themeColor="text1"/>
          <w:lang w:val="es-MX"/>
        </w:rPr>
        <w:t>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7E7837">
        <w:rPr>
          <w:rFonts w:ascii="Verdana" w:eastAsia="Calibri" w:hAnsi="Verdana" w:cs="Arial"/>
          <w:color w:val="000000" w:themeColor="text1"/>
          <w:lang w:val="es-MX"/>
        </w:rPr>
        <w:t>”</w:t>
      </w:r>
      <w:r w:rsidRPr="007E7837">
        <w:rPr>
          <w:rStyle w:val="Refdenotaalpie"/>
          <w:rFonts w:ascii="Verdana" w:hAnsi="Verdana" w:cs="Arial"/>
          <w:color w:val="000000" w:themeColor="text1"/>
        </w:rPr>
        <w:footnoteReference w:id="4"/>
      </w:r>
      <w:r w:rsidRPr="007E7837">
        <w:rPr>
          <w:rFonts w:ascii="Verdana" w:eastAsia="Calibri" w:hAnsi="Verdana" w:cs="Arial"/>
          <w:color w:val="000000" w:themeColor="text1"/>
          <w:lang w:val="es-MX"/>
        </w:rPr>
        <w:t>.</w:t>
      </w:r>
    </w:p>
    <w:p w14:paraId="47BCA318" w14:textId="77777777" w:rsidR="00A802C9" w:rsidRDefault="00A802C9" w:rsidP="00A802C9">
      <w:pPr>
        <w:spacing w:after="120" w:line="276" w:lineRule="auto"/>
        <w:ind w:firstLine="708"/>
        <w:jc w:val="both"/>
        <w:rPr>
          <w:rFonts w:ascii="Verdana" w:eastAsia="Arial MT" w:hAnsi="Verdana" w:cs="Arial"/>
          <w:lang w:eastAsia="es-ES" w:bidi="es-ES"/>
        </w:rPr>
      </w:pPr>
      <w:r>
        <w:rPr>
          <w:rFonts w:ascii="Verdana" w:hAnsi="Verdana" w:cs="Arial"/>
          <w:color w:val="000000" w:themeColor="text1"/>
        </w:rPr>
        <w:t>Revisadas estas normas del derecho comercial</w:t>
      </w:r>
      <w:r w:rsidRPr="007E7837">
        <w:rPr>
          <w:rFonts w:ascii="Verdana" w:hAnsi="Verdana" w:cs="Arial"/>
          <w:color w:val="000000" w:themeColor="text1"/>
        </w:rPr>
        <w:t>,</w:t>
      </w:r>
      <w:r>
        <w:rPr>
          <w:rFonts w:ascii="Verdana" w:hAnsi="Verdana" w:cs="Arial"/>
          <w:color w:val="000000" w:themeColor="text1"/>
        </w:rPr>
        <w:t xml:space="preserve"> </w:t>
      </w:r>
      <w:r w:rsidRPr="007E7837">
        <w:rPr>
          <w:rFonts w:ascii="Verdana" w:hAnsi="Verdana" w:cs="Arial"/>
          <w:color w:val="000000" w:themeColor="text1"/>
        </w:rPr>
        <w:t>para que una sociedad extra</w:t>
      </w:r>
      <w:r>
        <w:rPr>
          <w:rFonts w:ascii="Verdana" w:hAnsi="Verdana" w:cs="Arial"/>
          <w:color w:val="000000" w:themeColor="text1"/>
        </w:rPr>
        <w:t>n</w:t>
      </w:r>
      <w:r w:rsidRPr="007E7837">
        <w:rPr>
          <w:rFonts w:ascii="Verdana" w:hAnsi="Verdana" w:cs="Arial"/>
          <w:color w:val="000000" w:themeColor="text1"/>
        </w:rPr>
        <w:t xml:space="preserve">jera </w:t>
      </w:r>
      <w:r>
        <w:rPr>
          <w:rFonts w:ascii="Verdana" w:hAnsi="Verdana" w:cs="Arial"/>
          <w:color w:val="000000" w:themeColor="text1"/>
        </w:rPr>
        <w:t>celebre un contrato estatal en Colombia que tenga por objeto la ejecución de obras o la prestación de servicios, o corresponda a la tipología de concesión para explotación, actividades que, según lo expuesto, tienen el carácter de</w:t>
      </w:r>
      <w:r w:rsidRPr="007E7837">
        <w:rPr>
          <w:rFonts w:ascii="Verdana" w:hAnsi="Verdana" w:cs="Arial"/>
          <w:color w:val="000000" w:themeColor="text1"/>
        </w:rPr>
        <w:t xml:space="preserve"> </w:t>
      </w:r>
      <w:r>
        <w:rPr>
          <w:rFonts w:ascii="Verdana" w:hAnsi="Verdana" w:cs="Arial"/>
          <w:color w:val="000000" w:themeColor="text1"/>
        </w:rPr>
        <w:t>permanentes</w:t>
      </w:r>
      <w:r w:rsidRPr="007E7837">
        <w:rPr>
          <w:rFonts w:ascii="Verdana" w:hAnsi="Verdana" w:cs="Arial"/>
          <w:color w:val="000000" w:themeColor="text1"/>
        </w:rPr>
        <w:t xml:space="preserve"> según el artículo 474 del Código de Comercio</w:t>
      </w:r>
      <w:r>
        <w:rPr>
          <w:rFonts w:ascii="Verdana" w:hAnsi="Verdana" w:cs="Arial"/>
          <w:color w:val="000000" w:themeColor="text1"/>
        </w:rPr>
        <w:t>,</w:t>
      </w:r>
      <w:r w:rsidRPr="007E7837">
        <w:rPr>
          <w:rFonts w:ascii="Verdana" w:hAnsi="Verdana" w:cs="Arial"/>
          <w:color w:val="000000" w:themeColor="text1"/>
        </w:rPr>
        <w:t xml:space="preserve"> deberá establecer una sucursal con domicilio en el territorio nacional –art. 471 </w:t>
      </w:r>
      <w:r w:rsidRPr="007E7837">
        <w:rPr>
          <w:rFonts w:ascii="Verdana" w:hAnsi="Verdana" w:cs="Arial"/>
          <w:i/>
          <w:iCs/>
          <w:color w:val="000000" w:themeColor="text1"/>
        </w:rPr>
        <w:t>ibidem</w:t>
      </w:r>
      <w:r w:rsidRPr="007E7837">
        <w:rPr>
          <w:rFonts w:ascii="Verdana" w:hAnsi="Verdana" w:cs="Arial"/>
          <w:color w:val="000000" w:themeColor="text1"/>
        </w:rPr>
        <w:t>–</w:t>
      </w:r>
      <w:r>
        <w:rPr>
          <w:rFonts w:ascii="Verdana" w:hAnsi="Verdana" w:cs="Arial"/>
          <w:color w:val="000000" w:themeColor="text1"/>
        </w:rPr>
        <w:t xml:space="preserve">. </w:t>
      </w:r>
      <w:r>
        <w:rPr>
          <w:rFonts w:ascii="Verdana" w:eastAsia="Arial MT" w:hAnsi="Verdana" w:cs="Arial"/>
          <w:lang w:eastAsia="es-ES" w:bidi="es-ES"/>
        </w:rPr>
        <w:t>Adicionalmente, en virtud del inciso tercero del artículo 6 de la Ley 80 de 1993, l</w:t>
      </w:r>
      <w:r w:rsidRPr="00D21078">
        <w:rPr>
          <w:rFonts w:ascii="Verdana" w:eastAsia="Arial MT" w:hAnsi="Verdana" w:cs="Arial"/>
          <w:lang w:eastAsia="es-ES" w:bidi="es-ES"/>
        </w:rPr>
        <w:t>as personas jurídicas nacionales y extranjeras deberán acreditar que su duración no será inferior a la del plazo del contrato y un año más.</w:t>
      </w:r>
    </w:p>
    <w:p w14:paraId="2AC9A656" w14:textId="77777777" w:rsidR="00A802C9" w:rsidRDefault="00A802C9" w:rsidP="00A802C9">
      <w:pPr>
        <w:spacing w:line="276" w:lineRule="auto"/>
        <w:ind w:right="49" w:firstLine="708"/>
        <w:jc w:val="both"/>
        <w:rPr>
          <w:rFonts w:ascii="Verdana" w:hAnsi="Verdana" w:cs="Arial"/>
          <w:color w:val="000000" w:themeColor="text1"/>
        </w:rPr>
      </w:pPr>
      <w:r>
        <w:rPr>
          <w:rFonts w:ascii="Verdana" w:hAnsi="Verdana" w:cs="Arial"/>
          <w:color w:val="000000" w:themeColor="text1"/>
        </w:rPr>
        <w:t xml:space="preserve">Así mismo, </w:t>
      </w:r>
      <w:r w:rsidRPr="007E7837">
        <w:rPr>
          <w:rFonts w:ascii="Verdana" w:hAnsi="Verdana" w:cs="Arial"/>
          <w:color w:val="000000" w:themeColor="text1"/>
        </w:rPr>
        <w:t xml:space="preserve">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p>
    <w:p w14:paraId="14FF0A2F" w14:textId="77777777" w:rsidR="00A802C9" w:rsidRDefault="00A802C9" w:rsidP="00A802C9">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No obstante, vale señalar que la Superintendencia de Sociedades ha interpretado que la enumeración que hace el artículo 474 del Código de Comercio es una mención “</w:t>
      </w:r>
      <w:r w:rsidRPr="00B20883">
        <w:rPr>
          <w:rFonts w:ascii="Verdana" w:eastAsia="Arial MT" w:hAnsi="Verdana" w:cs="Arial"/>
          <w:i/>
          <w:iCs/>
          <w:lang w:eastAsia="es-ES" w:bidi="es-ES"/>
        </w:rPr>
        <w:t>ilustrativa o enunciativa más no taxativa</w:t>
      </w:r>
      <w:r w:rsidRPr="002E76AE">
        <w:rPr>
          <w:rFonts w:ascii="Verdana" w:eastAsia="Arial MT" w:hAnsi="Verdana" w:cs="Arial"/>
          <w:lang w:eastAsia="es-ES" w:bidi="es-ES"/>
        </w:rPr>
        <w:t xml:space="preserve">”. </w:t>
      </w:r>
      <w:r>
        <w:rPr>
          <w:rFonts w:ascii="Verdana" w:eastAsia="Arial MT" w:hAnsi="Verdana" w:cs="Arial"/>
          <w:lang w:eastAsia="es-ES" w:bidi="es-ES"/>
        </w:rPr>
        <w:t>Lo anterior se justificó en que, según se desprende del Concepto emitido, “</w:t>
      </w:r>
      <w:r w:rsidRPr="002E76AE">
        <w:rPr>
          <w:rFonts w:ascii="Verdana" w:eastAsia="Arial MT" w:hAnsi="Verdana" w:cs="Arial"/>
          <w:i/>
          <w:iCs/>
          <w:lang w:eastAsia="es-ES" w:bidi="es-ES"/>
        </w:rPr>
        <w:t>dentro de</w:t>
      </w:r>
      <w:r w:rsidRPr="002E76AE">
        <w:rPr>
          <w:rFonts w:ascii="Verdana" w:eastAsia="Arial MT" w:hAnsi="Verdana" w:cs="Arial"/>
          <w:lang w:eastAsia="es-ES" w:bidi="es-ES"/>
        </w:rPr>
        <w:t xml:space="preserve"> </w:t>
      </w:r>
      <w:r w:rsidRPr="002E76AE">
        <w:rPr>
          <w:rFonts w:ascii="Verdana" w:eastAsia="Arial MT" w:hAnsi="Verdana" w:cs="Arial"/>
          <w:i/>
          <w:iCs/>
          <w:lang w:eastAsia="es-ES" w:bidi="es-ES"/>
        </w:rPr>
        <w:t xml:space="preserve">la dinámica de la actividad comercial y particularmente de los negocios, muchas </w:t>
      </w:r>
      <w:r w:rsidRPr="002E76AE">
        <w:rPr>
          <w:rFonts w:ascii="Verdana" w:eastAsia="Arial MT" w:hAnsi="Verdana" w:cs="Arial"/>
          <w:i/>
          <w:iCs/>
          <w:lang w:eastAsia="es-ES" w:bidi="es-ES"/>
        </w:rPr>
        <w:lastRenderedPageBreak/>
        <w:t>son las actividades que pueden involucrar la permanencia en su desarrollo</w:t>
      </w:r>
      <w:r w:rsidRPr="002E76AE">
        <w:rPr>
          <w:rFonts w:ascii="Verdana" w:eastAsia="Arial MT" w:hAnsi="Verdana" w:cs="Arial"/>
          <w:lang w:eastAsia="es-ES" w:bidi="es-ES"/>
        </w:rPr>
        <w:t>”</w:t>
      </w:r>
      <w:r>
        <w:rPr>
          <w:rStyle w:val="Refdenotaalpie"/>
          <w:rFonts w:ascii="Verdana" w:eastAsia="Arial MT" w:hAnsi="Verdana" w:cs="Arial"/>
          <w:lang w:eastAsia="es-ES" w:bidi="es-ES"/>
        </w:rPr>
        <w:footnoteReference w:id="5"/>
      </w:r>
      <w:r w:rsidRPr="002E76AE">
        <w:rPr>
          <w:rFonts w:ascii="Verdana" w:eastAsia="Arial MT" w:hAnsi="Verdana" w:cs="Arial"/>
          <w:lang w:eastAsia="es-ES" w:bidi="es-ES"/>
        </w:rPr>
        <w:t>.</w:t>
      </w:r>
      <w:r>
        <w:rPr>
          <w:rFonts w:ascii="Verdana" w:eastAsia="Arial MT" w:hAnsi="Verdana" w:cs="Arial"/>
          <w:lang w:eastAsia="es-ES" w:bidi="es-ES"/>
        </w:rPr>
        <w:t xml:space="preserve"> Por lo que cada entidad estatal deberá examinar, en la etapa de planeación, si el objeto contractual podría comportar actividades que deban considerarse como permanentes y, en su defecto, establecer la exigencia de constitución de sucursal con domicilio en el territorio nacional, en caso de que el proponente extranjero sea el adjudicatario. </w:t>
      </w:r>
    </w:p>
    <w:p w14:paraId="173677DB" w14:textId="77777777" w:rsidR="00A802C9" w:rsidRDefault="00A802C9" w:rsidP="00A802C9">
      <w:pPr>
        <w:spacing w:after="120" w:line="276" w:lineRule="auto"/>
        <w:ind w:right="51" w:firstLine="709"/>
        <w:jc w:val="both"/>
        <w:rPr>
          <w:rFonts w:ascii="Verdana" w:hAnsi="Verdana" w:cs="Arial"/>
          <w:color w:val="000000" w:themeColor="text1"/>
        </w:rPr>
      </w:pPr>
      <w:r w:rsidRPr="007E7837">
        <w:rPr>
          <w:rFonts w:ascii="Verdana" w:hAnsi="Verdana" w:cs="Arial"/>
          <w:color w:val="000000" w:themeColor="text1"/>
        </w:rPr>
        <w:t xml:space="preserve">Adicionalmente, 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7E7837">
        <w:rPr>
          <w:rFonts w:ascii="Verdana" w:hAnsi="Verdana" w:cs="Arial"/>
          <w:i/>
          <w:iCs/>
          <w:color w:val="000000" w:themeColor="text1"/>
        </w:rPr>
        <w:t>ibidem</w:t>
      </w:r>
      <w:r w:rsidRPr="007E7837">
        <w:rPr>
          <w:rFonts w:ascii="Verdana" w:hAnsi="Verdana" w:cs="Arial"/>
          <w:color w:val="000000" w:themeColor="text1"/>
          <w:lang w:val="es-MX"/>
        </w:rPr>
        <w:t xml:space="preserve"> también dispone que “</w:t>
      </w:r>
      <w:r w:rsidRPr="007E7837">
        <w:rPr>
          <w:rFonts w:ascii="Verdana" w:hAnsi="Verdana" w:cs="Arial"/>
          <w:color w:val="000000" w:themeColor="text1"/>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p>
    <w:p w14:paraId="1FA0CAAD" w14:textId="78B03387" w:rsidR="00A802C9" w:rsidRDefault="00A802C9" w:rsidP="00A802C9">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De otro lado, para aquellos contratos sometidos a regímenes especiales, los requisitos para su celebración serán los comprendidos en las normas </w:t>
      </w:r>
      <w:r w:rsidRPr="00F861F7">
        <w:rPr>
          <w:rFonts w:ascii="Verdana" w:eastAsia="Arial MT" w:hAnsi="Verdana" w:cs="Arial"/>
          <w:lang w:eastAsia="es-ES" w:bidi="es-ES"/>
        </w:rPr>
        <w:t xml:space="preserve">de creación de las entidades de </w:t>
      </w:r>
      <w:r>
        <w:rPr>
          <w:rFonts w:ascii="Verdana" w:eastAsia="Arial MT" w:hAnsi="Verdana" w:cs="Arial"/>
          <w:lang w:eastAsia="es-ES" w:bidi="es-ES"/>
        </w:rPr>
        <w:t>lo establecido en los</w:t>
      </w:r>
      <w:r w:rsidRPr="00F861F7">
        <w:rPr>
          <w:rFonts w:ascii="Verdana" w:eastAsia="Arial MT" w:hAnsi="Verdana" w:cs="Arial"/>
          <w:lang w:eastAsia="es-ES" w:bidi="es-ES"/>
        </w:rPr>
        <w:t xml:space="preserve"> manuales de contratació</w:t>
      </w:r>
      <w:r>
        <w:rPr>
          <w:rFonts w:ascii="Verdana" w:eastAsia="Arial MT" w:hAnsi="Verdana" w:cs="Arial"/>
          <w:lang w:eastAsia="es-ES" w:bidi="es-ES"/>
        </w:rPr>
        <w:t xml:space="preserve">n. </w:t>
      </w:r>
    </w:p>
    <w:p w14:paraId="768C1893" w14:textId="77777777" w:rsidR="00A802C9" w:rsidRDefault="00A802C9" w:rsidP="00A802C9">
      <w:pPr>
        <w:spacing w:after="120" w:line="276" w:lineRule="auto"/>
        <w:ind w:firstLine="708"/>
        <w:jc w:val="both"/>
        <w:rPr>
          <w:rFonts w:ascii="Verdana" w:eastAsia="Calibri" w:hAnsi="Verdana" w:cs="Arial"/>
        </w:rPr>
      </w:pPr>
      <w:r w:rsidRPr="004E17A0">
        <w:rPr>
          <w:rFonts w:ascii="Verdana" w:eastAsia="Times New Roman" w:hAnsi="Verdana" w:cs="Arial"/>
          <w:lang w:val="es-ES"/>
        </w:rPr>
        <w:t xml:space="preserve">Con respecto a la exigencia de la experiencia expresada en SMMLV, se acude a lo prescrito </w:t>
      </w:r>
      <w:r w:rsidRPr="004E17A0">
        <w:rPr>
          <w:rFonts w:ascii="Verdana" w:eastAsia="Calibri" w:hAnsi="Verdana" w:cs="Arial"/>
          <w:lang w:eastAsia="es-CO"/>
        </w:rPr>
        <w:t xml:space="preserve">en el </w:t>
      </w:r>
      <w:r w:rsidRPr="004E17A0">
        <w:rPr>
          <w:rFonts w:ascii="Verdana" w:eastAsia="Calibri" w:hAnsi="Verdana" w:cs="Arial"/>
          <w:bCs/>
          <w:lang w:eastAsia="es-CO"/>
        </w:rPr>
        <w:t xml:space="preserve">artículo 2.2.1.1.1.5.3. que establece que las cámaras de comercio deben verificar y certificar los requisitos habilitantes en el RUP, entre ellas, la experiencia que son aquellos contratos suscritos por el </w:t>
      </w:r>
      <w:r w:rsidRPr="004E17A0">
        <w:rPr>
          <w:rFonts w:ascii="Verdana" w:eastAsia="Calibri" w:hAnsi="Verdana" w:cs="Arial"/>
        </w:rPr>
        <w:t>interesado para cada uno de los bienes, obras y servicios que ofrece a las Entidades Estatales, identificados con el Clasificador de Bienes y Servicios en el tercer nivel y su valor expresado en SMMLV.</w:t>
      </w:r>
    </w:p>
    <w:p w14:paraId="7797B569" w14:textId="77777777" w:rsidR="00A802C9" w:rsidRPr="004E17A0" w:rsidRDefault="00A802C9" w:rsidP="00A802C9">
      <w:pPr>
        <w:widowControl w:val="0"/>
        <w:autoSpaceDE w:val="0"/>
        <w:autoSpaceDN w:val="0"/>
        <w:spacing w:after="120" w:line="276" w:lineRule="auto"/>
        <w:ind w:right="102" w:firstLine="607"/>
        <w:jc w:val="both"/>
        <w:rPr>
          <w:rFonts w:ascii="Verdana" w:eastAsia="Calibri" w:hAnsi="Verdana" w:cs="Arial"/>
          <w:lang w:eastAsia="es-CO"/>
        </w:rPr>
      </w:pPr>
      <w:r w:rsidRPr="004E17A0">
        <w:rPr>
          <w:rFonts w:ascii="Verdana" w:eastAsia="Calibri" w:hAnsi="Verdana" w:cs="Arial"/>
          <w:lang w:val="es-ES_tradnl" w:eastAsia="es-CO"/>
        </w:rPr>
        <w:t xml:space="preserve">Esto significa que </w:t>
      </w:r>
      <w:r w:rsidRPr="004E17A0">
        <w:rPr>
          <w:rFonts w:ascii="Verdana" w:eastAsia="Calibri" w:hAnsi="Verdana" w:cs="Arial"/>
          <w:lang w:eastAsia="es-CO"/>
        </w:rPr>
        <w:t xml:space="preserve">la experiencia registrada en el Registro Único de Proponentes (RUP) debe clasificarse conforme a dos criterios esenciales: el objeto del contrato y su valor económico, expresado en salarios mínimos legales </w:t>
      </w:r>
      <w:r w:rsidRPr="004E17A0">
        <w:rPr>
          <w:rFonts w:ascii="Verdana" w:eastAsia="Calibri" w:hAnsi="Verdana" w:cs="Arial"/>
          <w:lang w:eastAsia="es-CO"/>
        </w:rPr>
        <w:lastRenderedPageBreak/>
        <w:t>mensuales vigentes (SMLMV), lo cual implica que la experiencia acreditada en el RUP debe derivarse de contratos que hayan generado una contraprestación económica, permitiendo su cuantificación.</w:t>
      </w:r>
    </w:p>
    <w:p w14:paraId="121780A6" w14:textId="77777777" w:rsidR="00A802C9" w:rsidRPr="004E17A0" w:rsidRDefault="00A802C9" w:rsidP="00A802C9">
      <w:pPr>
        <w:widowControl w:val="0"/>
        <w:autoSpaceDE w:val="0"/>
        <w:autoSpaceDN w:val="0"/>
        <w:spacing w:after="120" w:line="276" w:lineRule="auto"/>
        <w:ind w:right="102" w:firstLine="607"/>
        <w:jc w:val="both"/>
        <w:rPr>
          <w:rFonts w:ascii="Verdana" w:eastAsia="Times New Roman" w:hAnsi="Verdana" w:cs="Arial"/>
        </w:rPr>
      </w:pPr>
      <w:r w:rsidRPr="004E17A0">
        <w:rPr>
          <w:rFonts w:ascii="Verdana" w:eastAsia="Calibri" w:hAnsi="Verdana" w:cs="Arial"/>
          <w:lang w:eastAsia="es-CO"/>
        </w:rPr>
        <w:t xml:space="preserve">Esta exigencia de la experiencia hechas por las cámaras de </w:t>
      </w:r>
      <w:proofErr w:type="gramStart"/>
      <w:r w:rsidRPr="004E17A0">
        <w:rPr>
          <w:rFonts w:ascii="Verdana" w:eastAsia="Calibri" w:hAnsi="Verdana" w:cs="Arial"/>
          <w:lang w:eastAsia="es-CO"/>
        </w:rPr>
        <w:t>comercio,</w:t>
      </w:r>
      <w:proofErr w:type="gramEnd"/>
      <w:r w:rsidRPr="004E17A0">
        <w:rPr>
          <w:rFonts w:ascii="Verdana" w:eastAsia="Calibri" w:hAnsi="Verdana" w:cs="Arial"/>
          <w:lang w:eastAsia="es-CO"/>
        </w:rPr>
        <w:t xml:space="preserve">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sidRPr="004E17A0">
        <w:rPr>
          <w:rFonts w:ascii="Verdana" w:eastAsia="Times New Roman" w:hAnsi="Verdana" w:cs="Arial"/>
          <w:lang w:val="es-ES"/>
        </w:rPr>
        <w:t xml:space="preserve">En estos términos, para efectos de evaluar la experiencia en los pliegos de condiciones, </w:t>
      </w:r>
      <w:r w:rsidRPr="004E17A0">
        <w:rPr>
          <w:rFonts w:ascii="Verdana" w:eastAsia="Times New Roman" w:hAnsi="Verdana" w:cs="Arial"/>
          <w:lang w:val="es-ES_tradnl"/>
        </w:rPr>
        <w:t xml:space="preserve">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 expresada en SMMLV. </w:t>
      </w:r>
    </w:p>
    <w:p w14:paraId="2AAF0B64" w14:textId="77777777" w:rsidR="00A802C9" w:rsidRPr="004E17A0" w:rsidRDefault="00A802C9" w:rsidP="00A802C9">
      <w:pPr>
        <w:widowControl w:val="0"/>
        <w:autoSpaceDE w:val="0"/>
        <w:autoSpaceDN w:val="0"/>
        <w:spacing w:before="120" w:after="120" w:line="276" w:lineRule="auto"/>
        <w:ind w:right="102" w:firstLine="607"/>
        <w:jc w:val="both"/>
        <w:rPr>
          <w:rFonts w:ascii="Verdana" w:eastAsia="Times New Roman" w:hAnsi="Verdana" w:cs="Arial"/>
        </w:rPr>
      </w:pPr>
      <w:r w:rsidRPr="004E17A0">
        <w:rPr>
          <w:rFonts w:ascii="Verdana" w:eastAsia="Times New Roman" w:hAnsi="Verdana" w:cs="Arial"/>
        </w:rPr>
        <w:t>En torno a la necesidad de que la experiencia contractual sea expresada salarios mínimos mensuales legales vigentes (SMLMV) se usa como un parámetro técnico para evaluar y comparar la capacidad de un contratista en procesos de contratación estatal, posibilitando establecer un estándar objetivo frente a la fluctuación del valor de la moneda dentro del mercado.</w:t>
      </w:r>
      <w:r w:rsidRPr="004E17A0">
        <w:rPr>
          <w:rFonts w:ascii="Verdana" w:eastAsia="Calibri" w:hAnsi="Verdana" w:cs="Arial"/>
          <w:lang w:eastAsia="es-CO"/>
        </w:rPr>
        <w:t xml:space="preserve"> </w:t>
      </w:r>
      <w:r w:rsidRPr="004E17A0">
        <w:rPr>
          <w:rFonts w:ascii="Verdana" w:eastAsia="Times New Roman" w:hAnsi="Verdana" w:cs="Arial"/>
        </w:rPr>
        <w:t>Esto, facilita la comparación de manera justa la experiencia de diferentes oferentes, ya que el valor de los SMLMV cambia anualmente, estandarizando la experiencia requerida en un momento determinado.</w:t>
      </w:r>
    </w:p>
    <w:p w14:paraId="1854BFD1" w14:textId="77777777" w:rsidR="00A802C9" w:rsidRDefault="00A802C9" w:rsidP="00A802C9">
      <w:pPr>
        <w:spacing w:after="120" w:line="276" w:lineRule="auto"/>
        <w:ind w:firstLine="709"/>
        <w:jc w:val="both"/>
        <w:rPr>
          <w:rFonts w:ascii="Verdana" w:eastAsia="Times New Roman" w:hAnsi="Verdana" w:cs="Arial"/>
          <w:u w:val="single"/>
          <w:bdr w:val="none" w:sz="0" w:space="0" w:color="auto" w:frame="1"/>
          <w:lang w:val="es-MX" w:eastAsia="es-CO"/>
        </w:rPr>
      </w:pPr>
      <w:r w:rsidRPr="004E17A0">
        <w:rPr>
          <w:rFonts w:ascii="Verdana" w:eastAsia="Calibri" w:hAnsi="Verdana" w:cs="Arial"/>
          <w:lang w:val="es-ES_tradnl" w:eastAsia="es-CO"/>
        </w:rPr>
        <w:t>Ahora bien, en los casos que no se exija el RUP</w:t>
      </w:r>
      <w:r w:rsidRPr="004E17A0">
        <w:rPr>
          <w:rFonts w:ascii="Verdana" w:eastAsia="Calibri" w:hAnsi="Verdana" w:cs="Arial"/>
          <w:lang w:eastAsia="es-CO"/>
        </w:rPr>
        <w:t xml:space="preserve">, la entidad si decide establecer requisitos habilitantes de experiencia, debe solicitar la documentación que lo acredite, tales como copias de contratos, actas de recibo a satisfacción, actas de liquidación o certificados expedidos por terceros que hayan recibido del oferente los bienes, obras o servicios objeto del proceso de contratación, en la cual podrán definir que la forma de calcular la experiencia sea expresada en SMMLV, lo cual posibilita comparar de manera más ajustada y proporcional a la experiencia de los proponentes. </w:t>
      </w:r>
      <w:r w:rsidRPr="004E17A0">
        <w:rPr>
          <w:rFonts w:ascii="Verdana" w:eastAsia="Times New Roman" w:hAnsi="Verdana" w:cs="Arial"/>
          <w:u w:val="single"/>
          <w:bdr w:val="none" w:sz="0" w:space="0" w:color="auto" w:frame="1"/>
          <w:lang w:val="es-MX" w:eastAsia="es-CO"/>
        </w:rPr>
        <w:t xml:space="preserve"> </w:t>
      </w:r>
    </w:p>
    <w:p w14:paraId="064F6928" w14:textId="77777777" w:rsidR="00A802C9" w:rsidRDefault="00A802C9" w:rsidP="00A802C9">
      <w:pPr>
        <w:spacing w:after="120" w:line="276" w:lineRule="auto"/>
        <w:ind w:firstLine="709"/>
        <w:jc w:val="both"/>
        <w:rPr>
          <w:rFonts w:ascii="Verdana" w:eastAsia="Times New Roman" w:hAnsi="Verdana" w:cs="Arial"/>
          <w:bdr w:val="none" w:sz="0" w:space="0" w:color="auto" w:frame="1"/>
          <w:lang w:eastAsia="es-CO"/>
        </w:rPr>
      </w:pPr>
      <w:r w:rsidRPr="00054825">
        <w:rPr>
          <w:rFonts w:ascii="Verdana" w:eastAsia="Times New Roman" w:hAnsi="Verdana" w:cs="Arial"/>
          <w:bdr w:val="none" w:sz="0" w:space="0" w:color="auto" w:frame="1"/>
          <w:lang w:eastAsia="es-CO"/>
        </w:rPr>
        <w:t>Es importante resaltar que debe tenerse en cuenta que, si bien no existe una regla concreta, ha de tenerse como referente el procedimiento de contratación y el documento mediante el cual se esté evaluando la experiencia.</w:t>
      </w:r>
    </w:p>
    <w:p w14:paraId="2F81C7CC" w14:textId="77777777" w:rsidR="00A802C9" w:rsidRDefault="00A802C9" w:rsidP="00A802C9">
      <w:pPr>
        <w:spacing w:after="120" w:line="276" w:lineRule="auto"/>
        <w:ind w:firstLine="709"/>
        <w:jc w:val="both"/>
        <w:rPr>
          <w:rFonts w:ascii="Verdana" w:eastAsia="Times New Roman" w:hAnsi="Verdana" w:cs="Arial"/>
          <w:bdr w:val="none" w:sz="0" w:space="0" w:color="auto" w:frame="1"/>
          <w:lang w:eastAsia="es-CO"/>
        </w:rPr>
      </w:pPr>
      <w:r w:rsidRPr="00054825">
        <w:rPr>
          <w:rFonts w:ascii="Verdana" w:eastAsia="Times New Roman" w:hAnsi="Verdana" w:cs="Arial"/>
          <w:bdr w:val="none" w:sz="0" w:space="0" w:color="auto" w:frame="1"/>
          <w:lang w:eastAsia="es-CO"/>
        </w:rPr>
        <w:t xml:space="preserve">En algunos procesos de contratación, las entidades optan por establecer la siguiente metodología para contratos en USD: convertir los dólares a pesos </w:t>
      </w:r>
      <w:r w:rsidRPr="00054825">
        <w:rPr>
          <w:rFonts w:ascii="Verdana" w:eastAsia="Times New Roman" w:hAnsi="Verdana" w:cs="Arial"/>
          <w:bdr w:val="none" w:sz="0" w:space="0" w:color="auto" w:frame="1"/>
          <w:lang w:eastAsia="es-CO"/>
        </w:rPr>
        <w:lastRenderedPageBreak/>
        <w:t>utilizando la serie de datos promedio anual de la TRM y Certificado de Cambio correspondiente al año de terminación del contrato, y posteriormente expresar el resultado en SMLMV de ese año.</w:t>
      </w:r>
      <w:r>
        <w:rPr>
          <w:rFonts w:ascii="Verdana" w:eastAsia="Times New Roman" w:hAnsi="Verdana" w:cs="Arial"/>
          <w:bdr w:val="none" w:sz="0" w:space="0" w:color="auto" w:frame="1"/>
          <w:lang w:eastAsia="es-CO"/>
        </w:rPr>
        <w:t xml:space="preserve"> Sin embargo, resulta oportuno mencionar que los Documentos Tipo han optado por establecer la siguiente metodología: </w:t>
      </w:r>
      <w:r w:rsidRPr="005E76EB">
        <w:rPr>
          <w:rFonts w:ascii="Verdana" w:eastAsia="Times New Roman" w:hAnsi="Verdana" w:cs="Arial"/>
          <w:bdr w:val="none" w:sz="0" w:space="0" w:color="auto" w:frame="1"/>
          <w:lang w:eastAsia="es-CO"/>
        </w:rPr>
        <w:t>utilizar el promedio entre la TRM de la fecha de inicio y la TRM de la fecha de terminación del contrato.</w:t>
      </w:r>
      <w:r>
        <w:rPr>
          <w:rFonts w:ascii="Verdana" w:eastAsia="Times New Roman" w:hAnsi="Verdana" w:cs="Arial"/>
          <w:bdr w:val="none" w:sz="0" w:space="0" w:color="auto" w:frame="1"/>
          <w:lang w:eastAsia="es-CO"/>
        </w:rPr>
        <w:t xml:space="preserve"> </w:t>
      </w:r>
    </w:p>
    <w:p w14:paraId="20DAB3A7" w14:textId="77777777" w:rsidR="00A802C9" w:rsidRPr="00054825" w:rsidRDefault="00A802C9" w:rsidP="00A802C9">
      <w:pPr>
        <w:spacing w:after="120" w:line="276" w:lineRule="auto"/>
        <w:ind w:firstLine="709"/>
        <w:jc w:val="both"/>
        <w:rPr>
          <w:rFonts w:ascii="Verdana" w:eastAsia="Times New Roman" w:hAnsi="Verdana" w:cs="Arial"/>
          <w:bdr w:val="none" w:sz="0" w:space="0" w:color="auto" w:frame="1"/>
          <w:lang w:eastAsia="es-CO"/>
        </w:rPr>
      </w:pPr>
      <w:r>
        <w:rPr>
          <w:rFonts w:ascii="Verdana" w:eastAsia="Times New Roman" w:hAnsi="Verdana" w:cs="Arial"/>
          <w:bdr w:val="none" w:sz="0" w:space="0" w:color="auto" w:frame="1"/>
          <w:lang w:eastAsia="es-CO"/>
        </w:rPr>
        <w:t xml:space="preserve">En conclusión, </w:t>
      </w:r>
      <w:r w:rsidRPr="007D4999">
        <w:rPr>
          <w:rFonts w:ascii="Verdana" w:eastAsia="Times New Roman" w:hAnsi="Verdana" w:cs="Arial"/>
          <w:bdr w:val="none" w:sz="0" w:space="0" w:color="auto" w:frame="1"/>
          <w:lang w:eastAsia="es-CO"/>
        </w:rPr>
        <w:t>no existe una única TRM que pueda aplicarse automáticamente a cualquier proceso de contratación. Hay que mirar qué regla establece el pliego, documento tipo o instrumento aplicable.</w:t>
      </w:r>
    </w:p>
    <w:p w14:paraId="012ADFA5" w14:textId="77777777" w:rsidR="00A802C9" w:rsidRDefault="00A802C9" w:rsidP="00A802C9">
      <w:pPr>
        <w:pStyle w:val="Sinespaciado"/>
        <w:spacing w:before="120" w:line="276" w:lineRule="auto"/>
        <w:ind w:firstLine="284"/>
        <w:jc w:val="both"/>
        <w:rPr>
          <w:rFonts w:ascii="Verdana" w:eastAsia="Calibri" w:hAnsi="Verdana" w:cs="Times New Roman"/>
          <w:sz w:val="22"/>
          <w:lang w:val="es-ES"/>
        </w:rPr>
      </w:pPr>
      <w:r w:rsidRPr="00475AA4">
        <w:rPr>
          <w:rFonts w:ascii="Verdana" w:hAnsi="Verdana" w:cs="Arial"/>
          <w:bCs/>
          <w:color w:val="000000" w:themeColor="text1"/>
          <w:sz w:val="22"/>
        </w:rPr>
        <w:t xml:space="preserve"> </w:t>
      </w:r>
      <w:r w:rsidRPr="00475AA4">
        <w:rPr>
          <w:rFonts w:ascii="Verdana" w:eastAsia="Calibri" w:hAnsi="Verdana" w:cs="Arial"/>
          <w:color w:val="000000" w:themeColor="text1"/>
          <w:sz w:val="22"/>
          <w:lang w:val="es-ES"/>
        </w:rPr>
        <w:t xml:space="preserve">     </w:t>
      </w:r>
      <w:bookmarkEnd w:id="2"/>
      <w:r w:rsidRPr="00475AA4">
        <w:rPr>
          <w:rFonts w:ascii="Verdana" w:eastAsia="Calibri" w:hAnsi="Verdana" w:cs="Times New Roman"/>
          <w:sz w:val="22"/>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4D2657A" w14:textId="77777777" w:rsidR="00A802C9" w:rsidRDefault="00A802C9" w:rsidP="00A802C9">
      <w:pPr>
        <w:spacing w:after="0" w:line="276" w:lineRule="auto"/>
        <w:ind w:firstLine="708"/>
        <w:jc w:val="both"/>
        <w:rPr>
          <w:rFonts w:ascii="Verdana" w:eastAsia="Calibri" w:hAnsi="Verdana" w:cs="Times New Roman"/>
          <w:lang w:val="es-ES"/>
        </w:rPr>
      </w:pPr>
    </w:p>
    <w:p w14:paraId="768BDD6C" w14:textId="77777777" w:rsidR="00A802C9" w:rsidRPr="00475AA4" w:rsidRDefault="00A802C9" w:rsidP="00A802C9">
      <w:pPr>
        <w:spacing w:after="0" w:line="276" w:lineRule="auto"/>
        <w:ind w:firstLine="708"/>
        <w:jc w:val="both"/>
        <w:rPr>
          <w:rFonts w:ascii="Verdana" w:eastAsia="Calibri" w:hAnsi="Verdana" w:cs="Times New Roman"/>
          <w:lang w:val="es-ES"/>
        </w:rPr>
      </w:pPr>
      <w:r w:rsidRPr="00475AA4">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EBA774F" w14:textId="77777777" w:rsidR="00A802C9" w:rsidRPr="008E2432" w:rsidRDefault="00A802C9" w:rsidP="00A802C9">
      <w:pPr>
        <w:spacing w:after="0" w:line="276" w:lineRule="auto"/>
        <w:ind w:firstLine="708"/>
        <w:jc w:val="both"/>
        <w:rPr>
          <w:rFonts w:ascii="Verdana" w:eastAsia="Calibri" w:hAnsi="Verdana" w:cs="Times New Roman"/>
          <w:lang w:val="es-ES"/>
        </w:rPr>
      </w:pPr>
    </w:p>
    <w:p w14:paraId="0280144E" w14:textId="77777777" w:rsidR="00A802C9" w:rsidRPr="0060676F" w:rsidRDefault="00A802C9" w:rsidP="00A802C9">
      <w:pPr>
        <w:pStyle w:val="Prrafodelista"/>
        <w:numPr>
          <w:ilvl w:val="0"/>
          <w:numId w:val="1"/>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06979888" w14:textId="77777777" w:rsidR="00A802C9" w:rsidRPr="00593A5F" w:rsidRDefault="00A802C9" w:rsidP="00A802C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802C9" w:rsidRPr="00593A5F" w14:paraId="23C859BF" w14:textId="77777777" w:rsidTr="00B142F7">
        <w:trPr>
          <w:trHeight w:val="870"/>
        </w:trPr>
        <w:tc>
          <w:tcPr>
            <w:tcW w:w="8647" w:type="dxa"/>
          </w:tcPr>
          <w:p w14:paraId="00C342A0" w14:textId="77777777" w:rsidR="00A802C9" w:rsidRPr="005067BB" w:rsidRDefault="00A802C9" w:rsidP="00A802C9">
            <w:pPr>
              <w:pStyle w:val="Prrafodelista"/>
              <w:numPr>
                <w:ilvl w:val="0"/>
                <w:numId w:val="2"/>
              </w:numPr>
              <w:spacing w:line="276" w:lineRule="auto"/>
              <w:jc w:val="both"/>
              <w:rPr>
                <w:rFonts w:ascii="Verdana" w:hAnsi="Verdana"/>
              </w:rPr>
            </w:pPr>
            <w:r w:rsidRPr="007E7837">
              <w:rPr>
                <w:rFonts w:ascii="Verdana" w:hAnsi="Verdana" w:cs="Arial"/>
                <w:color w:val="000000" w:themeColor="text1"/>
              </w:rPr>
              <w:t>Constitución Política</w:t>
            </w:r>
            <w:r>
              <w:rPr>
                <w:rFonts w:ascii="Verdana" w:hAnsi="Verdana" w:cs="Arial"/>
                <w:color w:val="000000" w:themeColor="text1"/>
              </w:rPr>
              <w:t xml:space="preserve">, </w:t>
            </w:r>
            <w:r w:rsidRPr="0071650A">
              <w:rPr>
                <w:rFonts w:ascii="Verdana" w:hAnsi="Verdana" w:cs="Arial"/>
                <w:color w:val="000000" w:themeColor="text1"/>
              </w:rPr>
              <w:t>Preámbulo y artículos 1</w:t>
            </w:r>
            <w:r>
              <w:rPr>
                <w:rFonts w:ascii="Verdana" w:hAnsi="Verdana" w:cs="Arial"/>
                <w:color w:val="000000" w:themeColor="text1"/>
              </w:rPr>
              <w:t>, 2 y 3 inciso 2</w:t>
            </w:r>
          </w:p>
          <w:p w14:paraId="5DDF947C" w14:textId="77777777" w:rsidR="00A802C9" w:rsidRPr="009D3F0F" w:rsidRDefault="00A802C9" w:rsidP="00A802C9">
            <w:pPr>
              <w:pStyle w:val="Prrafodelista"/>
              <w:numPr>
                <w:ilvl w:val="0"/>
                <w:numId w:val="2"/>
              </w:numPr>
              <w:spacing w:line="276" w:lineRule="auto"/>
              <w:jc w:val="both"/>
              <w:rPr>
                <w:rFonts w:ascii="Verdana" w:hAnsi="Verdana"/>
              </w:rPr>
            </w:pPr>
            <w:r w:rsidRPr="007E7837">
              <w:rPr>
                <w:rFonts w:ascii="Verdana" w:hAnsi="Verdana" w:cs="Arial"/>
                <w:color w:val="000000" w:themeColor="text1"/>
              </w:rPr>
              <w:t>Código Civil</w:t>
            </w:r>
            <w:r>
              <w:rPr>
                <w:rFonts w:ascii="Verdana" w:hAnsi="Verdana" w:cs="Arial"/>
                <w:color w:val="000000" w:themeColor="text1"/>
              </w:rPr>
              <w:t xml:space="preserve">, artículos 18, </w:t>
            </w:r>
            <w:r w:rsidRPr="00E82717">
              <w:rPr>
                <w:rFonts w:ascii="Verdana" w:hAnsi="Verdana" w:cs="Arial"/>
              </w:rPr>
              <w:t>1502, 1503 1504</w:t>
            </w:r>
            <w:r>
              <w:rPr>
                <w:rFonts w:ascii="Verdana" w:hAnsi="Verdana" w:cs="Arial"/>
              </w:rPr>
              <w:t xml:space="preserve"> </w:t>
            </w:r>
            <w:r w:rsidRPr="00E82717">
              <w:rPr>
                <w:rFonts w:ascii="Verdana" w:hAnsi="Verdana" w:cs="Arial"/>
              </w:rPr>
              <w:t>y 1505</w:t>
            </w:r>
          </w:p>
          <w:p w14:paraId="6550359C" w14:textId="77777777" w:rsidR="00A802C9" w:rsidRPr="004F4A81" w:rsidRDefault="00A802C9" w:rsidP="00A802C9">
            <w:pPr>
              <w:pStyle w:val="Prrafodelista"/>
              <w:numPr>
                <w:ilvl w:val="0"/>
                <w:numId w:val="2"/>
              </w:numPr>
              <w:spacing w:line="276" w:lineRule="auto"/>
              <w:jc w:val="both"/>
              <w:rPr>
                <w:rFonts w:ascii="Verdana" w:hAnsi="Verdana"/>
              </w:rPr>
            </w:pPr>
            <w:r>
              <w:rPr>
                <w:rFonts w:ascii="Verdana" w:eastAsia="Arial MT" w:hAnsi="Verdana" w:cs="Arial"/>
                <w:lang w:eastAsia="es-ES" w:bidi="es-ES"/>
              </w:rPr>
              <w:t xml:space="preserve">Ley 80 de 1993, artículos 6 y 7 </w:t>
            </w:r>
          </w:p>
          <w:p w14:paraId="51259AE8" w14:textId="77777777" w:rsidR="00A802C9" w:rsidRDefault="00A802C9" w:rsidP="00A802C9">
            <w:pPr>
              <w:pStyle w:val="Prrafodelista"/>
              <w:numPr>
                <w:ilvl w:val="0"/>
                <w:numId w:val="2"/>
              </w:numPr>
              <w:spacing w:line="276" w:lineRule="auto"/>
              <w:jc w:val="both"/>
              <w:rPr>
                <w:rFonts w:ascii="Verdana" w:hAnsi="Verdana" w:cs="Arial"/>
              </w:rPr>
            </w:pPr>
            <w:r w:rsidRPr="00B24FF1">
              <w:rPr>
                <w:rFonts w:ascii="Verdana" w:hAnsi="Verdana" w:cs="Arial"/>
              </w:rPr>
              <w:t>Ley 1150 de 2007</w:t>
            </w:r>
            <w:r>
              <w:rPr>
                <w:rFonts w:ascii="Verdana" w:hAnsi="Verdana" w:cs="Arial"/>
              </w:rPr>
              <w:t>, artículos 5 y 6</w:t>
            </w:r>
          </w:p>
          <w:p w14:paraId="2AB48C13" w14:textId="77777777" w:rsidR="00A802C9" w:rsidRPr="00660853" w:rsidRDefault="00A802C9" w:rsidP="00A802C9">
            <w:pPr>
              <w:pStyle w:val="Prrafodelista"/>
              <w:numPr>
                <w:ilvl w:val="0"/>
                <w:numId w:val="2"/>
              </w:numPr>
              <w:spacing w:line="276" w:lineRule="auto"/>
              <w:jc w:val="both"/>
              <w:rPr>
                <w:rFonts w:ascii="Verdana" w:hAnsi="Verdana" w:cs="Arial"/>
              </w:rPr>
            </w:pPr>
            <w:r w:rsidRPr="00FA2DA2">
              <w:rPr>
                <w:rFonts w:ascii="Verdana" w:hAnsi="Verdana" w:cs="Arial"/>
              </w:rPr>
              <w:t>Decreto 1082 de 2015</w:t>
            </w:r>
            <w:r>
              <w:rPr>
                <w:rFonts w:ascii="Verdana" w:hAnsi="Verdana" w:cs="Arial"/>
              </w:rPr>
              <w:t xml:space="preserve">, artículos </w:t>
            </w:r>
            <w:r w:rsidRPr="00B24FF1">
              <w:rPr>
                <w:rFonts w:ascii="Verdana" w:hAnsi="Verdana" w:cs="Arial"/>
              </w:rPr>
              <w:t>2.2.1.1.1.6.2</w:t>
            </w:r>
            <w:r>
              <w:rPr>
                <w:rFonts w:ascii="Verdana" w:hAnsi="Verdana" w:cs="Arial"/>
              </w:rPr>
              <w:t xml:space="preserve"> y </w:t>
            </w:r>
            <w:r w:rsidRPr="00E07C04">
              <w:rPr>
                <w:rFonts w:ascii="Verdana" w:eastAsia="Arial MT" w:hAnsi="Verdana" w:cs="Arial"/>
                <w:lang w:eastAsia="es-ES" w:bidi="es-ES"/>
              </w:rPr>
              <w:t>2.2.1.1.1.5.1.</w:t>
            </w:r>
          </w:p>
          <w:p w14:paraId="6B6E8DEA" w14:textId="77777777" w:rsidR="00A802C9" w:rsidRPr="00680C7B" w:rsidRDefault="00A802C9" w:rsidP="00A802C9">
            <w:pPr>
              <w:pStyle w:val="Prrafodelista"/>
              <w:numPr>
                <w:ilvl w:val="0"/>
                <w:numId w:val="2"/>
              </w:numPr>
              <w:spacing w:line="276" w:lineRule="auto"/>
              <w:jc w:val="both"/>
              <w:rPr>
                <w:rFonts w:ascii="Verdana" w:hAnsi="Verdana" w:cs="Arial"/>
              </w:rPr>
            </w:pPr>
            <w:r w:rsidRPr="007E7837">
              <w:rPr>
                <w:rFonts w:ascii="Verdana" w:hAnsi="Verdana" w:cs="Arial"/>
                <w:color w:val="000000" w:themeColor="text1"/>
              </w:rPr>
              <w:t>Código de Comercio</w:t>
            </w:r>
            <w:r>
              <w:rPr>
                <w:rFonts w:ascii="Verdana" w:hAnsi="Verdana" w:cs="Arial"/>
                <w:color w:val="000000" w:themeColor="text1"/>
              </w:rPr>
              <w:t>, artículo 469, 471, 474 y 482</w:t>
            </w:r>
          </w:p>
          <w:p w14:paraId="0B47421F" w14:textId="77777777" w:rsidR="00A802C9" w:rsidRDefault="00A802C9" w:rsidP="00A802C9">
            <w:pPr>
              <w:pStyle w:val="Prrafodelista"/>
              <w:numPr>
                <w:ilvl w:val="0"/>
                <w:numId w:val="2"/>
              </w:numPr>
              <w:spacing w:line="276" w:lineRule="auto"/>
              <w:jc w:val="both"/>
              <w:rPr>
                <w:rFonts w:ascii="Verdana" w:hAnsi="Verdana" w:cs="Arial"/>
              </w:rPr>
            </w:pPr>
            <w:r w:rsidRPr="007E28C2">
              <w:rPr>
                <w:rFonts w:ascii="Verdana" w:hAnsi="Verdana" w:cs="Arial"/>
              </w:rPr>
              <w:lastRenderedPageBreak/>
              <w:t>Ley 2160 de 2021</w:t>
            </w:r>
            <w:r>
              <w:rPr>
                <w:rFonts w:ascii="Verdana" w:hAnsi="Verdana" w:cs="Arial"/>
              </w:rPr>
              <w:t>, artículo 1 y 3</w:t>
            </w:r>
          </w:p>
          <w:p w14:paraId="47C05955" w14:textId="77777777" w:rsidR="00A802C9" w:rsidRDefault="00A802C9" w:rsidP="00A802C9">
            <w:pPr>
              <w:pStyle w:val="Prrafodelista"/>
              <w:numPr>
                <w:ilvl w:val="0"/>
                <w:numId w:val="2"/>
              </w:numPr>
              <w:spacing w:line="276" w:lineRule="auto"/>
              <w:jc w:val="both"/>
              <w:rPr>
                <w:rFonts w:ascii="Verdana" w:hAnsi="Verdana" w:cs="Arial"/>
              </w:rPr>
            </w:pPr>
            <w:r w:rsidRPr="00942A66">
              <w:rPr>
                <w:rFonts w:ascii="Verdana" w:hAnsi="Verdana" w:cs="Arial"/>
                <w:lang w:val="pt-BR"/>
              </w:rPr>
              <w:t xml:space="preserve">CORTE CONSTITUCIONAL. Sentencia C-414 de 1994. </w:t>
            </w:r>
            <w:r w:rsidRPr="00942A66">
              <w:rPr>
                <w:rFonts w:ascii="Verdana" w:hAnsi="Verdana" w:cs="Arial"/>
              </w:rPr>
              <w:t>M.P. Antonio Barrera Carbonell</w:t>
            </w:r>
          </w:p>
          <w:p w14:paraId="392FE2F4" w14:textId="77777777" w:rsidR="00A802C9" w:rsidRDefault="00A802C9" w:rsidP="00A802C9">
            <w:pPr>
              <w:pStyle w:val="Prrafodelista"/>
              <w:numPr>
                <w:ilvl w:val="0"/>
                <w:numId w:val="2"/>
              </w:numPr>
              <w:spacing w:line="276" w:lineRule="auto"/>
              <w:jc w:val="both"/>
              <w:rPr>
                <w:rFonts w:ascii="Verdana" w:hAnsi="Verdana" w:cs="Arial"/>
              </w:rPr>
            </w:pPr>
            <w:r w:rsidRPr="0086733D">
              <w:rPr>
                <w:rFonts w:ascii="Verdana" w:hAnsi="Verdana" w:cs="Arial"/>
                <w:lang w:val="pt-BR"/>
              </w:rPr>
              <w:t xml:space="preserve">CORTE CONSTITUCIONAL. Sentencia C-949 de 2001. </w:t>
            </w:r>
            <w:r w:rsidRPr="0086733D">
              <w:rPr>
                <w:rFonts w:ascii="Verdana" w:hAnsi="Verdana" w:cs="Arial"/>
              </w:rPr>
              <w:t>M.P. Clara Inés Vargas Hernández</w:t>
            </w:r>
          </w:p>
          <w:p w14:paraId="7D2272A5" w14:textId="77777777" w:rsidR="00A802C9" w:rsidRDefault="00A802C9" w:rsidP="00A802C9">
            <w:pPr>
              <w:pStyle w:val="Prrafodelista"/>
              <w:numPr>
                <w:ilvl w:val="0"/>
                <w:numId w:val="2"/>
              </w:numPr>
              <w:spacing w:line="276" w:lineRule="auto"/>
              <w:jc w:val="both"/>
              <w:rPr>
                <w:rFonts w:ascii="Verdana" w:hAnsi="Verdana" w:cs="Arial"/>
              </w:rPr>
            </w:pPr>
            <w:r w:rsidRPr="004D192F">
              <w:rPr>
                <w:rFonts w:ascii="Verdana" w:hAnsi="Verdana" w:cs="Arial"/>
              </w:rPr>
              <w:t>CONSEJO DE ESTADO. Sección Tercera. Sala Plena. Sentencia de Unificación del 25 de septiembre de 2013. Rad. 19.933. C.P. Mauricio Fajardo Gómez</w:t>
            </w:r>
          </w:p>
          <w:p w14:paraId="2D951323" w14:textId="77777777" w:rsidR="00A802C9" w:rsidRDefault="00A802C9" w:rsidP="00A802C9">
            <w:pPr>
              <w:pStyle w:val="Prrafodelista"/>
              <w:numPr>
                <w:ilvl w:val="0"/>
                <w:numId w:val="2"/>
              </w:numPr>
              <w:spacing w:line="276" w:lineRule="auto"/>
              <w:jc w:val="both"/>
              <w:rPr>
                <w:rFonts w:ascii="Verdana" w:hAnsi="Verdana" w:cs="Arial"/>
              </w:rPr>
            </w:pPr>
            <w:r w:rsidRPr="00CB4D9E">
              <w:rPr>
                <w:rFonts w:ascii="Verdana" w:hAnsi="Verdana" w:cs="Arial"/>
              </w:rPr>
              <w:t>Manual para determinar y verificar los requisitos habilitantes en los Procesos de Contratación</w:t>
            </w:r>
          </w:p>
          <w:p w14:paraId="4B0BEE78" w14:textId="77777777" w:rsidR="00A802C9" w:rsidRPr="009A7F9F" w:rsidRDefault="00A802C9" w:rsidP="00A802C9">
            <w:pPr>
              <w:pStyle w:val="Prrafodelista"/>
              <w:numPr>
                <w:ilvl w:val="0"/>
                <w:numId w:val="2"/>
              </w:numPr>
              <w:spacing w:line="276" w:lineRule="auto"/>
              <w:jc w:val="both"/>
              <w:rPr>
                <w:rFonts w:ascii="Verdana" w:hAnsi="Verdana" w:cs="Arial"/>
                <w:color w:val="000000" w:themeColor="text1"/>
              </w:rPr>
            </w:pPr>
            <w:r w:rsidRPr="00763739">
              <w:rPr>
                <w:rFonts w:ascii="Verdana" w:hAnsi="Verdana" w:cs="Arial"/>
              </w:rPr>
              <w:t>Guía para la participación de Proveedores Extranjeros en Procesos de Contratación</w:t>
            </w:r>
            <w:r>
              <w:rPr>
                <w:rFonts w:ascii="Verdana" w:hAnsi="Verdana" w:cs="Arial"/>
              </w:rPr>
              <w:t>.</w:t>
            </w:r>
          </w:p>
        </w:tc>
      </w:tr>
    </w:tbl>
    <w:p w14:paraId="5827BA4B" w14:textId="77777777" w:rsidR="00A802C9" w:rsidRDefault="00A802C9" w:rsidP="00A802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722BB26" w14:textId="77777777" w:rsidR="00A802C9" w:rsidRDefault="00A802C9" w:rsidP="00A802C9">
      <w:pPr>
        <w:pStyle w:val="Prrafodelista"/>
        <w:numPr>
          <w:ilvl w:val="0"/>
          <w:numId w:val="1"/>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A72437F" w14:textId="77777777" w:rsidR="00A802C9" w:rsidRPr="00593A5F" w:rsidRDefault="00A802C9" w:rsidP="00A802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943CCB" w14:textId="77777777" w:rsidR="00A802C9" w:rsidRPr="00AE7E03" w:rsidRDefault="00A802C9" w:rsidP="00A802C9">
      <w:pPr>
        <w:widowControl w:val="0"/>
        <w:autoSpaceDE w:val="0"/>
        <w:autoSpaceDN w:val="0"/>
        <w:spacing w:after="0" w:line="276" w:lineRule="auto"/>
        <w:jc w:val="both"/>
        <w:rPr>
          <w:rFonts w:ascii="Verdana" w:eastAsia="Arial" w:hAnsi="Verdana" w:cs="Arial"/>
          <w:lang w:val="es-MX" w:eastAsia="es-ES"/>
        </w:rPr>
      </w:pPr>
      <w:r w:rsidRPr="006E7036">
        <w:rPr>
          <w:rFonts w:ascii="Verdana" w:eastAsia="Aptos" w:hAnsi="Verdana" w:cs="Arial"/>
          <w:shd w:val="clear" w:color="auto" w:fill="FFFFFF"/>
          <w:lang w:val="es-ES"/>
        </w:rPr>
        <w:t xml:space="preserve">Sobre los requisitos habilitantes </w:t>
      </w:r>
      <w:r>
        <w:rPr>
          <w:rFonts w:ascii="Verdana" w:eastAsia="Aptos" w:hAnsi="Verdana" w:cs="Arial"/>
          <w:shd w:val="clear" w:color="auto" w:fill="FFFFFF"/>
          <w:lang w:val="es-ES"/>
        </w:rPr>
        <w:t xml:space="preserve">para proveedores extranjeros </w:t>
      </w:r>
      <w:r w:rsidRPr="006E7036">
        <w:rPr>
          <w:rFonts w:ascii="Verdana" w:eastAsia="Aptos" w:hAnsi="Verdana" w:cs="Arial"/>
          <w:shd w:val="clear" w:color="auto" w:fill="FFFFFF"/>
          <w:lang w:val="es-ES"/>
        </w:rPr>
        <w:t xml:space="preserve">en los procesos de contratación pública, esta Subdirección se ha referido en los Conceptos </w:t>
      </w:r>
      <w:r w:rsidRPr="006E7036">
        <w:rPr>
          <w:rFonts w:ascii="Verdana" w:eastAsia="Calibri" w:hAnsi="Verdana" w:cs="Arial"/>
          <w:lang w:val="es-ES_tradnl" w:eastAsia="es-MX"/>
        </w:rPr>
        <w:t xml:space="preserve">C-120 del 3 de marzo de 2020, C-204 del 31 de marzo de 2020, C-099 del 6 de abril de 2020, C-195 del 13 de abril de 2020, C-013 del 17 de abril de 2020, C-330 del 27 de mayo de 2020, C-396 de 16 de julio de 2020, C-142 del 30 de marzo de 2022, C-337 del 18 de agosto de 2023, </w:t>
      </w:r>
      <w:r w:rsidRPr="006E7036">
        <w:rPr>
          <w:rFonts w:ascii="Verdana" w:eastAsia="Aptos" w:hAnsi="Verdana" w:cs="Arial"/>
          <w:shd w:val="clear" w:color="auto" w:fill="FFFFFF"/>
          <w:lang w:val="es-ES"/>
        </w:rPr>
        <w:t>C-246 del 16 de julio de 2024, C-277 del 16 de julio de 2024, C-193 del 19 de julio de 2024, C-178 del 29 de julio de 2024, C-204 del 29 de julio de 2024, C-278 del 31 de julio de 2024, C-201 del 02 de agosto de 2024, C-349 del 15 de agosto de 2024, C-291 del 20 de agosto de 2024</w:t>
      </w:r>
      <w:r w:rsidRPr="00FC49A2">
        <w:rPr>
          <w:rFonts w:ascii="Verdana" w:eastAsia="Aptos" w:hAnsi="Verdana" w:cs="Arial"/>
          <w:shd w:val="clear" w:color="auto" w:fill="FFFFFF"/>
          <w:lang w:val="es-ES"/>
        </w:rPr>
        <w:t xml:space="preserve">, </w:t>
      </w:r>
      <w:r w:rsidRPr="00506295">
        <w:rPr>
          <w:rFonts w:ascii="Verdana" w:eastAsia="Calibri" w:hAnsi="Verdana" w:cs="Arial"/>
          <w:lang w:eastAsia="es-ES_tradnl"/>
        </w:rPr>
        <w:t>entre otros</w:t>
      </w:r>
      <w:r w:rsidRPr="00BE151B">
        <w:rPr>
          <w:rFonts w:ascii="Verdana" w:eastAsia="Calibri" w:hAnsi="Verdana" w:cs="Arial"/>
          <w:lang w:eastAsia="es-ES_tradnl"/>
        </w:rPr>
        <w:t>.</w:t>
      </w:r>
      <w:r>
        <w:rPr>
          <w:rFonts w:ascii="Verdana" w:eastAsia="Calibri" w:hAnsi="Verdana" w:cs="Arial"/>
          <w:lang w:eastAsia="es-ES_tradnl"/>
        </w:rPr>
        <w:t xml:space="preserve"> Así mismo, en los conceptos C-032 del 16 de abril de 2040, C-102 del 8 de julio de 2024, C-370 del 3 de septiembre de 2024, C-445 del 16 de mayo de 2025, C-1200 del 3 de octubre de 2025, C-641 del 1 de junio de 2026, y C-1104 del 20 de agosto de 2026 abordó temas relacionados con la participación de proponentes extranjeros en procesos de selección de contratistas del Estado</w:t>
      </w:r>
      <w:r>
        <w:rPr>
          <w:rFonts w:ascii="Verdana" w:eastAsia="Calibri" w:hAnsi="Verdana" w:cs="Arial"/>
          <w:lang w:val="es-ES" w:eastAsia="es-ES"/>
        </w:rPr>
        <w:t xml:space="preserve">, </w:t>
      </w:r>
      <w:r w:rsidRPr="00B60BC4">
        <w:rPr>
          <w:rFonts w:ascii="Verdana" w:eastAsia="Calibri" w:hAnsi="Verdana" w:cs="Arial"/>
          <w:lang w:val="es-ES_tradnl" w:eastAsia="es-ES_tradnl"/>
        </w:rPr>
        <w:t>entre otros</w:t>
      </w:r>
      <w:r w:rsidRPr="00E96AE3">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DED39E6" w14:textId="77777777" w:rsidR="00A802C9" w:rsidRPr="0065720B" w:rsidRDefault="00A802C9" w:rsidP="00A802C9">
      <w:pPr>
        <w:widowControl w:val="0"/>
        <w:autoSpaceDE w:val="0"/>
        <w:autoSpaceDN w:val="0"/>
        <w:spacing w:after="0" w:line="276" w:lineRule="auto"/>
        <w:jc w:val="both"/>
        <w:rPr>
          <w:rStyle w:val="normaltextrun"/>
          <w:rFonts w:ascii="Verdana" w:eastAsia="Calibri" w:hAnsi="Verdana" w:cs="Arial"/>
          <w:lang w:val="es-ES_tradnl" w:eastAsia="en-GB"/>
        </w:rPr>
      </w:pPr>
      <w:hyperlink r:id="rId9"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60D2F3A9" w14:textId="77777777" w:rsidR="00A802C9" w:rsidRPr="00505CD6" w:rsidRDefault="00A802C9" w:rsidP="00A802C9">
      <w:pPr>
        <w:widowControl w:val="0"/>
        <w:autoSpaceDE w:val="0"/>
        <w:autoSpaceDN w:val="0"/>
        <w:spacing w:after="0" w:line="276" w:lineRule="auto"/>
        <w:jc w:val="both"/>
        <w:rPr>
          <w:rFonts w:ascii="Verdana" w:hAnsi="Verdana" w:cs="Arial"/>
          <w:color w:val="000000" w:themeColor="text1"/>
          <w:shd w:val="clear" w:color="auto" w:fill="FFFFFF"/>
        </w:rPr>
      </w:pPr>
    </w:p>
    <w:p w14:paraId="17DA82B3" w14:textId="77777777" w:rsidR="00A802C9" w:rsidRPr="004E17A0" w:rsidRDefault="00A802C9" w:rsidP="00A802C9">
      <w:pPr>
        <w:jc w:val="both"/>
        <w:rPr>
          <w:rFonts w:ascii="Verdana" w:eastAsia="Calibri" w:hAnsi="Verdana" w:cs="Times New Roman"/>
        </w:rPr>
      </w:pPr>
      <w:r w:rsidRPr="004E17A0">
        <w:rPr>
          <w:rFonts w:ascii="Verdana" w:eastAsia="Calibri" w:hAnsi="Verdana" w:cs="Times New Roman"/>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E17A0">
        <w:rPr>
          <w:rFonts w:ascii="Verdana" w:eastAsia="Calibri" w:hAnsi="Verdana" w:cs="Times New Roman"/>
          <w:b/>
          <w:bCs/>
        </w:rPr>
        <w:t>Guía para la Exigencia y Constitución de Garantías en los Procesos de Contratación</w:t>
      </w:r>
      <w:r w:rsidRPr="004E17A0">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0" w:tgtFrame="_blank" w:tooltip="Dirección URL original: https://www.colombiacompra.gov.co/archivos/manual/guia-de-garantias-en-procesos-de-contratacion. Haga clic o pulse si confía en este vínculo." w:history="1">
        <w:r w:rsidRPr="004E17A0">
          <w:rPr>
            <w:rFonts w:ascii="Verdana" w:eastAsia="Calibri" w:hAnsi="Verdana" w:cs="Times New Roman"/>
            <w:color w:val="0000FF"/>
            <w:u w:val="single"/>
          </w:rPr>
          <w:t>https://www.colombiacompra.gov.co/archivos/manual/guia-de-garantias-en-procesos-de-contratacion</w:t>
        </w:r>
      </w:hyperlink>
    </w:p>
    <w:p w14:paraId="34D4BA83" w14:textId="77777777" w:rsidR="00A802C9" w:rsidRPr="004E17A0" w:rsidRDefault="00A802C9" w:rsidP="00A802C9">
      <w:pPr>
        <w:spacing w:line="256" w:lineRule="auto"/>
        <w:jc w:val="both"/>
        <w:rPr>
          <w:rFonts w:ascii="Verdana" w:eastAsia="Calibri" w:hAnsi="Verdana" w:cs="Times New Roman"/>
        </w:rPr>
      </w:pPr>
      <w:r w:rsidRPr="004E17A0">
        <w:rPr>
          <w:rFonts w:ascii="Verdana" w:eastAsia="Calibri" w:hAnsi="Verdana" w:cs="Times New Roman"/>
        </w:rPr>
        <w:t>De otro lado, te contamos que el Decreto 287 del 19 de marzo de 2026 sustituyó los artículos 2.2.1.2.4.2.6., 2.2.1.2.4.2.7. y 2.2.1.2.4.2.8. del Decreto 1082 de 2015 y estructuró el </w:t>
      </w:r>
      <w:r w:rsidRPr="004E17A0">
        <w:rPr>
          <w:rFonts w:ascii="Verdana" w:eastAsia="Calibri" w:hAnsi="Verdana" w:cs="Times New Roman"/>
          <w:b/>
          <w:bCs/>
        </w:rPr>
        <w:t>Sistema Integral de Preferencias en favor de las personas con discapacidad</w:t>
      </w:r>
      <w:r w:rsidRPr="004E17A0">
        <w:rPr>
          <w:rFonts w:ascii="Verdana" w:eastAsia="Calibri" w:hAnsi="Verdana" w:cs="Times New Roman"/>
        </w:rPr>
        <w:t>, en cumplimiento del artículo 13 de la Ley Estatutaria 1618 de 2013. Para orientar su aplicación, esta Agencia expidió la </w:t>
      </w:r>
      <w:r w:rsidRPr="004E17A0">
        <w:rPr>
          <w:rFonts w:ascii="Verdana" w:eastAsia="Calibri" w:hAnsi="Verdana" w:cs="Times New Roman"/>
          <w:b/>
          <w:bCs/>
        </w:rPr>
        <w:t>Circular Externa 003 del 12 de mayo de 2026, </w:t>
      </w:r>
      <w:r w:rsidRPr="004E17A0">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1" w:tgtFrame="_blank" w:tooltip="Dirección URL original: https://www.colombiacompra.gov.co/archivos/circular/circular-externa-003-de-2026. Haga clic o pulse si confía en este vínculo." w:history="1">
        <w:r w:rsidRPr="004E17A0">
          <w:rPr>
            <w:rFonts w:ascii="Verdana" w:eastAsia="Calibri" w:hAnsi="Verdana" w:cs="Times New Roman"/>
            <w:color w:val="0000FF"/>
            <w:u w:val="single"/>
          </w:rPr>
          <w:t>https://www.colombiacompra.gov.co/archivos/circular/circular-externa-003-de-2026</w:t>
        </w:r>
      </w:hyperlink>
    </w:p>
    <w:p w14:paraId="6003F0E1" w14:textId="77777777" w:rsidR="00A802C9" w:rsidRPr="004E17A0" w:rsidRDefault="00A802C9" w:rsidP="00A802C9">
      <w:pPr>
        <w:spacing w:line="256" w:lineRule="auto"/>
        <w:jc w:val="both"/>
        <w:rPr>
          <w:rFonts w:ascii="Verdana" w:eastAsia="Calibri" w:hAnsi="Verdana" w:cs="Times New Roman"/>
        </w:rPr>
      </w:pPr>
      <w:r w:rsidRPr="004E17A0">
        <w:rPr>
          <w:rFonts w:ascii="Verdana" w:eastAsia="Calibri" w:hAnsi="Verdana" w:cs="Times New Roman"/>
        </w:rPr>
        <w:t>Recuerda también que la</w:t>
      </w:r>
      <w:r w:rsidRPr="004E17A0">
        <w:rPr>
          <w:rFonts w:ascii="Verdana" w:eastAsia="Calibri" w:hAnsi="Verdana" w:cs="Times New Roman"/>
          <w:b/>
          <w:bCs/>
        </w:rPr>
        <w:t> información sobre sanciones e inhabilidades </w:t>
      </w:r>
      <w:r w:rsidRPr="004E17A0">
        <w:rPr>
          <w:rFonts w:ascii="Verdana" w:eastAsia="Calibri" w:hAnsi="Verdana" w:cs="Times New Roman"/>
        </w:rPr>
        <w:t>solo cumple su función preventiva si llega oportunamente a los registros públicos. Sobre este deber, esta Agencia expidió la </w:t>
      </w:r>
      <w:r w:rsidRPr="004E17A0">
        <w:rPr>
          <w:rFonts w:ascii="Verdana" w:eastAsia="Calibri" w:hAnsi="Verdana" w:cs="Times New Roman"/>
          <w:b/>
          <w:bCs/>
        </w:rPr>
        <w:t>Circular Externa 002 del 5 de mayo de 2026,</w:t>
      </w:r>
      <w:r w:rsidRPr="004E17A0">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2" w:tgtFrame="_blank" w:tooltip="Dirección URL original: https://www.colombiacompra.gov.co/archivos/circular/circular-externa-002-de-2026. Haga clic o pulse si confía en este vínculo." w:history="1">
        <w:r w:rsidRPr="004E17A0">
          <w:rPr>
            <w:rFonts w:ascii="Verdana" w:eastAsia="Calibri" w:hAnsi="Verdana" w:cs="Times New Roman"/>
            <w:color w:val="0000FF"/>
            <w:u w:val="single"/>
          </w:rPr>
          <w:t>https://www.colombiacompra.gov.co/archivos/circular/circular-externa-002-de-2026</w:t>
        </w:r>
      </w:hyperlink>
    </w:p>
    <w:p w14:paraId="123CD7E9" w14:textId="77777777" w:rsidR="00A802C9" w:rsidRPr="004E17A0" w:rsidRDefault="00A802C9" w:rsidP="00A802C9">
      <w:pPr>
        <w:spacing w:line="256" w:lineRule="auto"/>
        <w:jc w:val="both"/>
        <w:rPr>
          <w:rFonts w:ascii="Verdana" w:eastAsia="Calibri" w:hAnsi="Verdana" w:cs="Times New Roman"/>
        </w:rPr>
      </w:pPr>
      <w:r w:rsidRPr="004E17A0">
        <w:rPr>
          <w:rFonts w:ascii="Verdana" w:eastAsia="Calibri" w:hAnsi="Verdana" w:cs="Times New Roman"/>
        </w:rPr>
        <w:t>Finalmente, si quieres seguir de cerca la actividad de la Agencia, la tercera edición de 2026 del</w:t>
      </w:r>
      <w:r w:rsidRPr="004E17A0">
        <w:rPr>
          <w:rFonts w:ascii="Verdana" w:eastAsia="Calibri" w:hAnsi="Verdana" w:cs="Times New Roman"/>
          <w:b/>
          <w:bCs/>
        </w:rPr>
        <w:t> Radar de la Compra Pública</w:t>
      </w:r>
      <w:r w:rsidRPr="004E17A0">
        <w:rPr>
          <w:rFonts w:ascii="Verdana" w:eastAsia="Calibri" w:hAnsi="Verdana" w:cs="Times New Roman"/>
        </w:rPr>
        <w:t xml:space="preserve"> reúne, entre otros contenidos, la Circular Externa 003 de 2026, el Decreto 552 de 2026, un estudio sobre inteligencia artificial en la compra pública, los avances de la Relatoría, </w:t>
      </w:r>
      <w:r w:rsidRPr="004E17A0">
        <w:rPr>
          <w:rFonts w:ascii="Verdana" w:eastAsia="Calibri" w:hAnsi="Verdana" w:cs="Times New Roman"/>
        </w:rPr>
        <w:lastRenderedPageBreak/>
        <w:t>análisis jurisprudencial, conceptos jurídicos destacados y la oferta de la Escuela Virtual ANCP-CCE. Descárgalo aquí: </w:t>
      </w:r>
      <w:hyperlink r:id="rId13" w:tgtFrame="_blank" w:tooltip="Dirección URL original: https://www.colombiacompra.gov.co/archivos/boletin/boletin-edicion-n-3-de-2026-radar-de-la-compra-publica. Haga clic o pulse si confía en este vínculo." w:history="1">
        <w:r w:rsidRPr="004E17A0">
          <w:rPr>
            <w:rFonts w:ascii="Verdana" w:eastAsia="Calibri" w:hAnsi="Verdana" w:cs="Times New Roman"/>
            <w:color w:val="0000FF"/>
            <w:u w:val="single"/>
          </w:rPr>
          <w:t>https://www.colombiacompra.gov.co/archivos/boletin/boletin-edicion-n-3-de-2026-radar-de-la-compra-publica</w:t>
        </w:r>
      </w:hyperlink>
    </w:p>
    <w:p w14:paraId="4333B5E6" w14:textId="77777777" w:rsidR="00A802C9" w:rsidRPr="004E17A0" w:rsidRDefault="00A802C9" w:rsidP="00A802C9">
      <w:pPr>
        <w:spacing w:after="0" w:line="240" w:lineRule="auto"/>
        <w:jc w:val="both"/>
        <w:rPr>
          <w:rFonts w:ascii="Verdana" w:eastAsia="Calibri" w:hAnsi="Verdana" w:cs="Times New Roman"/>
          <w:color w:val="000000" w:themeColor="text1"/>
        </w:rPr>
      </w:pPr>
      <w:r w:rsidRPr="004E17A0">
        <w:rPr>
          <w:rFonts w:ascii="Verdana" w:eastAsia="Calibri" w:hAnsi="Verdana" w:cs="Times New Roman"/>
          <w:color w:val="000000" w:themeColor="text1"/>
        </w:rPr>
        <w:t xml:space="preserve">Lo invitamos a seguirnos en las redes sociales en las cuales se difunde información institucional: </w:t>
      </w:r>
    </w:p>
    <w:p w14:paraId="31D6117F" w14:textId="77777777" w:rsidR="00A802C9" w:rsidRPr="004E17A0" w:rsidRDefault="00A802C9" w:rsidP="00A802C9">
      <w:pPr>
        <w:spacing w:after="0" w:line="240" w:lineRule="auto"/>
        <w:jc w:val="both"/>
        <w:rPr>
          <w:rFonts w:ascii="Verdana" w:eastAsia="Calibri" w:hAnsi="Verdana" w:cs="Times New Roman"/>
          <w:color w:val="000000" w:themeColor="text1"/>
        </w:rPr>
      </w:pPr>
    </w:p>
    <w:p w14:paraId="7C69FFE9" w14:textId="77777777" w:rsidR="00A802C9" w:rsidRPr="004E17A0" w:rsidRDefault="00A802C9" w:rsidP="00A802C9">
      <w:pPr>
        <w:spacing w:after="0" w:line="240" w:lineRule="auto"/>
        <w:jc w:val="both"/>
        <w:rPr>
          <w:rFonts w:ascii="Verdana" w:eastAsia="Calibri" w:hAnsi="Verdana" w:cs="Times New Roman"/>
          <w:color w:val="000000" w:themeColor="text1"/>
        </w:rPr>
      </w:pPr>
      <w:r w:rsidRPr="004E17A0">
        <w:rPr>
          <w:rFonts w:ascii="Verdana" w:eastAsia="Calibri" w:hAnsi="Verdana" w:cs="Times New Roman"/>
          <w:color w:val="000000" w:themeColor="text1"/>
        </w:rPr>
        <w:t xml:space="preserve">Twitter: </w:t>
      </w:r>
      <w:r w:rsidRPr="004E17A0">
        <w:rPr>
          <w:rFonts w:ascii="Verdana" w:eastAsia="Calibri" w:hAnsi="Verdana" w:cs="Times New Roman"/>
          <w:color w:val="000000" w:themeColor="text1"/>
          <w:u w:val="single"/>
        </w:rPr>
        <w:t>@colombiacompra</w:t>
      </w:r>
      <w:r w:rsidRPr="004E17A0">
        <w:rPr>
          <w:rFonts w:ascii="Verdana" w:eastAsia="Calibri" w:hAnsi="Verdana" w:cs="Times New Roman"/>
          <w:color w:val="000000" w:themeColor="text1"/>
        </w:rPr>
        <w:t xml:space="preserve"> </w:t>
      </w:r>
    </w:p>
    <w:p w14:paraId="098B987E" w14:textId="77777777" w:rsidR="00A802C9" w:rsidRPr="004E17A0" w:rsidRDefault="00A802C9" w:rsidP="00A802C9">
      <w:pPr>
        <w:spacing w:after="0" w:line="240" w:lineRule="auto"/>
        <w:jc w:val="both"/>
        <w:rPr>
          <w:rFonts w:ascii="Verdana" w:eastAsia="Calibri" w:hAnsi="Verdana" w:cs="Times New Roman"/>
          <w:color w:val="000000" w:themeColor="text1"/>
        </w:rPr>
      </w:pPr>
      <w:r w:rsidRPr="004E17A0">
        <w:rPr>
          <w:rFonts w:ascii="Verdana" w:eastAsia="Calibri" w:hAnsi="Verdana" w:cs="Times New Roman"/>
          <w:color w:val="000000" w:themeColor="text1"/>
        </w:rPr>
        <w:t xml:space="preserve">Facebook: </w:t>
      </w:r>
      <w:proofErr w:type="spellStart"/>
      <w:r w:rsidRPr="004E17A0">
        <w:rPr>
          <w:rFonts w:ascii="Verdana" w:eastAsia="Calibri" w:hAnsi="Verdana" w:cs="Times New Roman"/>
          <w:color w:val="000000" w:themeColor="text1"/>
          <w:u w:val="single"/>
        </w:rPr>
        <w:t>ColombiaCompraEficiente</w:t>
      </w:r>
      <w:proofErr w:type="spellEnd"/>
    </w:p>
    <w:p w14:paraId="4B65BD37" w14:textId="77777777" w:rsidR="00A802C9" w:rsidRPr="004E17A0" w:rsidRDefault="00A802C9" w:rsidP="00A802C9">
      <w:pPr>
        <w:spacing w:after="0" w:line="240" w:lineRule="auto"/>
        <w:jc w:val="both"/>
        <w:rPr>
          <w:rFonts w:ascii="Verdana" w:eastAsia="Calibri" w:hAnsi="Verdana" w:cs="Times New Roman"/>
          <w:color w:val="000000" w:themeColor="text1"/>
        </w:rPr>
      </w:pPr>
      <w:r w:rsidRPr="004E17A0">
        <w:rPr>
          <w:rFonts w:ascii="Verdana" w:eastAsia="Calibri" w:hAnsi="Verdana" w:cs="Times New Roman"/>
          <w:color w:val="000000" w:themeColor="text1"/>
        </w:rPr>
        <w:t xml:space="preserve">LinkedIn: </w:t>
      </w:r>
      <w:r w:rsidRPr="004E17A0">
        <w:rPr>
          <w:rFonts w:ascii="Verdana" w:eastAsia="Calibri" w:hAnsi="Verdana" w:cs="Times New Roman"/>
          <w:color w:val="000000" w:themeColor="text1"/>
          <w:u w:val="single"/>
        </w:rPr>
        <w:t>Agencia Nacional de Contratación Pública - Colombia Compra Eficiente</w:t>
      </w:r>
      <w:r w:rsidRPr="004E17A0">
        <w:rPr>
          <w:rFonts w:ascii="Verdana" w:eastAsia="Calibri" w:hAnsi="Verdana" w:cs="Times New Roman"/>
          <w:color w:val="000000" w:themeColor="text1"/>
        </w:rPr>
        <w:t xml:space="preserve"> Instagram: </w:t>
      </w:r>
      <w:r w:rsidRPr="004E17A0">
        <w:rPr>
          <w:rFonts w:ascii="Verdana" w:eastAsia="Calibri" w:hAnsi="Verdana" w:cs="Times New Roman"/>
          <w:color w:val="000000" w:themeColor="text1"/>
          <w:u w:val="single"/>
        </w:rPr>
        <w:t>@colombiacompraeficiente_cce</w:t>
      </w:r>
    </w:p>
    <w:p w14:paraId="1918BD9A" w14:textId="77777777" w:rsidR="00A802C9" w:rsidRPr="004E17A0" w:rsidRDefault="00A802C9" w:rsidP="00A802C9">
      <w:pPr>
        <w:widowControl w:val="0"/>
        <w:autoSpaceDE w:val="0"/>
        <w:autoSpaceDN w:val="0"/>
        <w:spacing w:after="0" w:line="276" w:lineRule="auto"/>
        <w:jc w:val="both"/>
        <w:rPr>
          <w:rFonts w:ascii="Verdana" w:eastAsia="Calibri" w:hAnsi="Verdana" w:cs="Arial"/>
          <w:color w:val="000000" w:themeColor="text1"/>
        </w:rPr>
      </w:pPr>
    </w:p>
    <w:p w14:paraId="652E6F85" w14:textId="77777777" w:rsidR="00A802C9" w:rsidRPr="004E17A0" w:rsidRDefault="00A802C9" w:rsidP="00A802C9">
      <w:pPr>
        <w:widowControl w:val="0"/>
        <w:autoSpaceDE w:val="0"/>
        <w:autoSpaceDN w:val="0"/>
        <w:spacing w:after="0" w:line="276" w:lineRule="auto"/>
        <w:jc w:val="both"/>
        <w:rPr>
          <w:rFonts w:ascii="Verdana" w:eastAsia="Calibri" w:hAnsi="Verdana" w:cs="Arial"/>
          <w:color w:val="000000" w:themeColor="text1"/>
          <w:lang w:val="es-ES_tradnl"/>
        </w:rPr>
      </w:pPr>
      <w:r w:rsidRPr="004E17A0">
        <w:rPr>
          <w:rFonts w:ascii="Verdana" w:eastAsia="Calibri" w:hAnsi="Verdana" w:cs="Arial"/>
          <w:color w:val="000000" w:themeColor="text1"/>
        </w:rPr>
        <w:t xml:space="preserve">Este concepto tiene el alcance previsto en el artículo 28 del Código de Procedimiento Administrativo y de lo Contencioso Administrativo </w:t>
      </w:r>
      <w:r w:rsidRPr="004E17A0">
        <w:rPr>
          <w:rFonts w:ascii="Verdana" w:eastAsia="Calibri" w:hAnsi="Verdana" w:cs="Arial"/>
          <w:color w:val="000000" w:themeColor="text1"/>
          <w:lang w:val="es-ES_tradnl"/>
        </w:rPr>
        <w:t>y las expresiones aquí utilizadas con mayúscula inicial deben ser entendidas con el significado que les otorga el artículo 2.2.1.1.1.3.1. del Decreto 1082 de 2015.</w:t>
      </w:r>
    </w:p>
    <w:p w14:paraId="41793275" w14:textId="77777777" w:rsidR="00A802C9" w:rsidRPr="004E17A0" w:rsidRDefault="00A802C9" w:rsidP="00A802C9">
      <w:pPr>
        <w:spacing w:after="0" w:line="240" w:lineRule="auto"/>
        <w:rPr>
          <w:rFonts w:ascii="Verdana" w:eastAsia="Times New Roman" w:hAnsi="Verdana" w:cs="Arial"/>
          <w:color w:val="000000" w:themeColor="text1"/>
          <w:lang w:eastAsia="es-CO"/>
        </w:rPr>
      </w:pPr>
    </w:p>
    <w:p w14:paraId="619196FB" w14:textId="77777777" w:rsidR="00A802C9" w:rsidRPr="004E17A0" w:rsidRDefault="00A802C9" w:rsidP="00A802C9">
      <w:pPr>
        <w:spacing w:after="0" w:line="276" w:lineRule="auto"/>
        <w:rPr>
          <w:rFonts w:ascii="Verdana" w:eastAsia="Calibri" w:hAnsi="Verdana" w:cs="Arial"/>
          <w:lang w:val="es-ES" w:eastAsia="es-CO"/>
        </w:rPr>
      </w:pPr>
      <w:r w:rsidRPr="004E17A0">
        <w:rPr>
          <w:rFonts w:ascii="Verdana" w:eastAsia="Times New Roman" w:hAnsi="Verdana" w:cs="Arial"/>
          <w:lang w:val="es-ES" w:eastAsia="es-CO"/>
        </w:rPr>
        <w:t>Atentamente,</w:t>
      </w:r>
      <w:r w:rsidRPr="004E17A0">
        <w:rPr>
          <w:rFonts w:ascii="Verdana" w:eastAsia="Calibri" w:hAnsi="Verdana" w:cs="Arial"/>
          <w:lang w:val="es-ES" w:eastAsia="es-CO"/>
        </w:rPr>
        <w:t xml:space="preserve"> </w:t>
      </w:r>
    </w:p>
    <w:p w14:paraId="5DE26671" w14:textId="6DC2AC97" w:rsidR="00BB69BF" w:rsidRPr="00BB69BF" w:rsidRDefault="00BB69BF" w:rsidP="00BB69BF">
      <w:pPr>
        <w:spacing w:line="276" w:lineRule="auto"/>
        <w:jc w:val="center"/>
        <w:rPr>
          <w:noProof/>
        </w:rPr>
      </w:pPr>
      <w:r w:rsidRPr="00BB69BF">
        <w:rPr>
          <w:noProof/>
        </w:rPr>
        <w:drawing>
          <wp:inline distT="0" distB="0" distL="0" distR="0" wp14:anchorId="6E08AD04" wp14:editId="52E9C8A1">
            <wp:extent cx="3771900" cy="1403350"/>
            <wp:effectExtent l="0" t="0" r="0" b="6350"/>
            <wp:docPr id="7219337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335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2C9" w:rsidRPr="00593A5F" w14:paraId="20D8A6B5" w14:textId="77777777" w:rsidTr="00B142F7">
        <w:trPr>
          <w:trHeight w:val="315"/>
        </w:trPr>
        <w:tc>
          <w:tcPr>
            <w:tcW w:w="893" w:type="dxa"/>
            <w:vAlign w:val="center"/>
            <w:hideMark/>
          </w:tcPr>
          <w:p w14:paraId="1486361D" w14:textId="77777777" w:rsidR="00A802C9" w:rsidRPr="003751C7" w:rsidRDefault="00A802C9" w:rsidP="00B142F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D6C116" w14:textId="77777777" w:rsidR="00A802C9" w:rsidRPr="007911EE" w:rsidRDefault="00A802C9" w:rsidP="00B142F7">
            <w:pPr>
              <w:contextualSpacing/>
              <w:rPr>
                <w:rFonts w:ascii="Verdana" w:hAnsi="Verdana"/>
                <w:sz w:val="16"/>
                <w:szCs w:val="16"/>
              </w:rPr>
            </w:pPr>
            <w:r>
              <w:rPr>
                <w:rFonts w:ascii="Verdana" w:hAnsi="Verdana"/>
                <w:sz w:val="16"/>
                <w:szCs w:val="16"/>
              </w:rPr>
              <w:t>Natalia Montoya Jiménez</w:t>
            </w:r>
          </w:p>
          <w:p w14:paraId="78BA5EED" w14:textId="77777777" w:rsidR="00A802C9" w:rsidRPr="007911EE" w:rsidRDefault="00A802C9" w:rsidP="00B142F7">
            <w:pPr>
              <w:contextualSpacing/>
              <w:rPr>
                <w:rFonts w:ascii="Verdana" w:eastAsia="Arial" w:hAnsi="Verdana" w:cs="Arial"/>
                <w:sz w:val="16"/>
                <w:szCs w:val="16"/>
              </w:rPr>
            </w:pPr>
            <w:r>
              <w:rPr>
                <w:rFonts w:ascii="Verdana" w:hAnsi="Verdana"/>
                <w:sz w:val="16"/>
                <w:szCs w:val="16"/>
              </w:rPr>
              <w:t>Gestor T1 15</w:t>
            </w:r>
            <w:r w:rsidRPr="007911EE">
              <w:rPr>
                <w:rFonts w:ascii="Verdana" w:hAnsi="Verdana"/>
                <w:sz w:val="16"/>
                <w:szCs w:val="16"/>
              </w:rPr>
              <w:t xml:space="preserve"> de la Subdirección de Gestión Contractual</w:t>
            </w:r>
          </w:p>
        </w:tc>
      </w:tr>
      <w:tr w:rsidR="00A802C9" w:rsidRPr="00593A5F" w14:paraId="0B004121" w14:textId="77777777" w:rsidTr="00B142F7">
        <w:trPr>
          <w:trHeight w:val="330"/>
        </w:trPr>
        <w:tc>
          <w:tcPr>
            <w:tcW w:w="893" w:type="dxa"/>
            <w:vAlign w:val="center"/>
            <w:hideMark/>
          </w:tcPr>
          <w:p w14:paraId="328023EE" w14:textId="77777777" w:rsidR="00A802C9" w:rsidRPr="003751C7" w:rsidRDefault="00A802C9" w:rsidP="00B142F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EF2172" w14:textId="77777777" w:rsidR="00A802C9" w:rsidRDefault="00A802C9" w:rsidP="00B142F7">
            <w:pPr>
              <w:spacing w:line="276" w:lineRule="auto"/>
              <w:contextualSpacing/>
              <w:jc w:val="both"/>
              <w:rPr>
                <w:rFonts w:ascii="Verdana" w:hAnsi="Verdana"/>
                <w:sz w:val="16"/>
                <w:szCs w:val="16"/>
              </w:rPr>
            </w:pPr>
            <w:r>
              <w:rPr>
                <w:rFonts w:ascii="Verdana" w:hAnsi="Verdana"/>
                <w:sz w:val="16"/>
                <w:szCs w:val="16"/>
              </w:rPr>
              <w:t>Diana Lucia Saavedra Castañeda</w:t>
            </w:r>
          </w:p>
          <w:p w14:paraId="08E31744" w14:textId="77777777" w:rsidR="00A802C9" w:rsidRPr="007911EE" w:rsidRDefault="00A802C9" w:rsidP="00B142F7">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802C9" w:rsidRPr="00593A5F" w14:paraId="2E0944D9" w14:textId="77777777" w:rsidTr="00B142F7">
        <w:trPr>
          <w:trHeight w:val="330"/>
        </w:trPr>
        <w:tc>
          <w:tcPr>
            <w:tcW w:w="893" w:type="dxa"/>
            <w:vAlign w:val="center"/>
          </w:tcPr>
          <w:p w14:paraId="23CF5606" w14:textId="77777777" w:rsidR="00A802C9" w:rsidRPr="003751C7" w:rsidRDefault="00A802C9" w:rsidP="00B142F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23DF25" w14:textId="77777777" w:rsidR="00A802C9" w:rsidRDefault="00A802C9" w:rsidP="00B142F7">
            <w:pPr>
              <w:spacing w:line="276" w:lineRule="auto"/>
              <w:contextualSpacing/>
              <w:jc w:val="both"/>
              <w:rPr>
                <w:rFonts w:ascii="Verdana" w:hAnsi="Verdana"/>
                <w:sz w:val="16"/>
                <w:szCs w:val="16"/>
              </w:rPr>
            </w:pPr>
            <w:r>
              <w:rPr>
                <w:rFonts w:ascii="Verdana" w:hAnsi="Verdana"/>
                <w:sz w:val="16"/>
                <w:szCs w:val="16"/>
              </w:rPr>
              <w:t xml:space="preserve">Carolina Quintero Gacharná </w:t>
            </w:r>
          </w:p>
          <w:p w14:paraId="4F348CC5" w14:textId="77777777" w:rsidR="00A802C9" w:rsidRDefault="00A802C9" w:rsidP="00B142F7">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tbl>
    <w:p w14:paraId="34A30629" w14:textId="77777777" w:rsidR="00A802C9" w:rsidRDefault="00A802C9" w:rsidP="00A802C9">
      <w:pPr>
        <w:rPr>
          <w:noProof/>
        </w:rPr>
      </w:pPr>
    </w:p>
    <w:p w14:paraId="6D3017C0" w14:textId="458FD1D7" w:rsidR="00A802C9" w:rsidRPr="00590781" w:rsidRDefault="00A802C9" w:rsidP="00A802C9"/>
    <w:p w14:paraId="11531606" w14:textId="77777777" w:rsidR="002D6822" w:rsidRDefault="002D6822"/>
    <w:sectPr w:rsidR="002D6822" w:rsidSect="00A802C9">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9197" w14:textId="77777777" w:rsidR="00A77003" w:rsidRDefault="00A77003" w:rsidP="00A802C9">
      <w:pPr>
        <w:spacing w:after="0" w:line="240" w:lineRule="auto"/>
      </w:pPr>
      <w:r>
        <w:separator/>
      </w:r>
    </w:p>
  </w:endnote>
  <w:endnote w:type="continuationSeparator" w:id="0">
    <w:p w14:paraId="2ADAA61F" w14:textId="77777777" w:rsidR="00A77003" w:rsidRDefault="00A77003" w:rsidP="00A80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E1A3" w14:textId="77777777" w:rsidR="00A802C9" w:rsidRDefault="00A802C9">
    <w:pPr>
      <w:pStyle w:val="Piedepgina"/>
    </w:pPr>
  </w:p>
  <w:p w14:paraId="795A0B78" w14:textId="77777777" w:rsidR="00A802C9" w:rsidRPr="00174B77" w:rsidRDefault="00A802C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E76F1F5" w14:textId="77777777" w:rsidR="00A802C9" w:rsidRDefault="00A802C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42D051F" w14:textId="77777777" w:rsidR="00A802C9" w:rsidRPr="00E41027" w:rsidRDefault="00A802C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E2A23D1" w14:textId="77777777" w:rsidR="00A802C9" w:rsidRDefault="00A802C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8BA0" w14:textId="77777777" w:rsidR="00A77003" w:rsidRDefault="00A77003" w:rsidP="00A802C9">
      <w:pPr>
        <w:spacing w:after="0" w:line="240" w:lineRule="auto"/>
      </w:pPr>
      <w:r>
        <w:separator/>
      </w:r>
    </w:p>
  </w:footnote>
  <w:footnote w:type="continuationSeparator" w:id="0">
    <w:p w14:paraId="3196508C" w14:textId="77777777" w:rsidR="00A77003" w:rsidRDefault="00A77003" w:rsidP="00A802C9">
      <w:pPr>
        <w:spacing w:after="0" w:line="240" w:lineRule="auto"/>
      </w:pPr>
      <w:r>
        <w:continuationSeparator/>
      </w:r>
    </w:p>
  </w:footnote>
  <w:footnote w:id="1">
    <w:p w14:paraId="4E56E1A7" w14:textId="77777777" w:rsidR="00A802C9" w:rsidRPr="004B36AC" w:rsidRDefault="00A802C9" w:rsidP="00A802C9">
      <w:pPr>
        <w:pStyle w:val="Textonotapie"/>
        <w:ind w:firstLine="709"/>
        <w:contextualSpacing/>
        <w:jc w:val="both"/>
        <w:rPr>
          <w:rFonts w:ascii="Verdana" w:hAnsi="Verdana"/>
          <w:sz w:val="16"/>
          <w:szCs w:val="16"/>
        </w:rPr>
      </w:pPr>
      <w:r w:rsidRPr="004B36AC">
        <w:rPr>
          <w:rStyle w:val="Refdenotaalpie"/>
          <w:rFonts w:ascii="Verdana" w:hAnsi="Verdana"/>
          <w:sz w:val="16"/>
          <w:szCs w:val="16"/>
        </w:rPr>
        <w:footnoteRef/>
      </w:r>
      <w:r w:rsidRPr="004B36AC">
        <w:rPr>
          <w:rFonts w:ascii="Verdana" w:hAnsi="Verdana"/>
          <w:sz w:val="16"/>
          <w:szCs w:val="16"/>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p w14:paraId="761BAA18" w14:textId="77777777" w:rsidR="00A802C9" w:rsidRPr="004B36AC" w:rsidRDefault="00A802C9" w:rsidP="00A802C9">
      <w:pPr>
        <w:pStyle w:val="Textonotapie"/>
        <w:ind w:firstLine="709"/>
        <w:contextualSpacing/>
        <w:jc w:val="both"/>
        <w:rPr>
          <w:rFonts w:ascii="Verdana" w:hAnsi="Verdana"/>
          <w:sz w:val="16"/>
          <w:szCs w:val="16"/>
        </w:rPr>
      </w:pPr>
    </w:p>
  </w:footnote>
  <w:footnote w:id="2">
    <w:p w14:paraId="1E59402D" w14:textId="77777777" w:rsidR="00A802C9" w:rsidRPr="004B36AC" w:rsidRDefault="00A802C9" w:rsidP="00A802C9">
      <w:pPr>
        <w:pStyle w:val="Textonotapie"/>
        <w:ind w:firstLine="709"/>
        <w:contextualSpacing/>
        <w:jc w:val="both"/>
        <w:rPr>
          <w:rFonts w:ascii="Verdana" w:hAnsi="Verdana"/>
          <w:sz w:val="16"/>
          <w:szCs w:val="16"/>
        </w:rPr>
      </w:pPr>
      <w:r w:rsidRPr="004B36AC">
        <w:rPr>
          <w:rStyle w:val="Refdenotaalpie"/>
          <w:rFonts w:ascii="Verdana" w:hAnsi="Verdana"/>
          <w:sz w:val="16"/>
          <w:szCs w:val="16"/>
        </w:rPr>
        <w:footnoteRef/>
      </w:r>
      <w:r w:rsidRPr="004B36AC">
        <w:rPr>
          <w:rFonts w:ascii="Verdana" w:hAnsi="Verdana"/>
          <w:sz w:val="16"/>
          <w:szCs w:val="16"/>
        </w:rPr>
        <w:t xml:space="preserve"> </w:t>
      </w:r>
      <w:r w:rsidRPr="004B36AC">
        <w:rPr>
          <w:rFonts w:ascii="Verdana" w:hAnsi="Verdana" w:cs="Arial"/>
          <w:sz w:val="16"/>
          <w:szCs w:val="16"/>
          <w:lang w:val="es-ES"/>
        </w:rPr>
        <w:t xml:space="preserve">Guía para la participación de Proveedores Extranjeros en Procesos de Contratación: </w:t>
      </w:r>
      <w:hyperlink r:id="rId1" w:history="1">
        <w:r w:rsidRPr="004B36AC">
          <w:rPr>
            <w:rStyle w:val="Hipervnculo"/>
            <w:rFonts w:ascii="Verdana" w:hAnsi="Verdana" w:cs="Arial"/>
            <w:sz w:val="16"/>
            <w:szCs w:val="16"/>
            <w:lang w:val="es-ES"/>
          </w:rPr>
          <w:t>https://www.colombiacompra.gov.co/sites/cce_public/files/cce_documents/cce_guia_proveedores_extranjeros.pdf</w:t>
        </w:r>
      </w:hyperlink>
      <w:r w:rsidRPr="004B36AC">
        <w:rPr>
          <w:rFonts w:ascii="Verdana" w:hAnsi="Verdana" w:cs="Arial"/>
          <w:sz w:val="16"/>
          <w:szCs w:val="16"/>
          <w:lang w:val="es-ES"/>
        </w:rPr>
        <w:t xml:space="preserve"> Pág. 8.</w:t>
      </w:r>
    </w:p>
  </w:footnote>
  <w:footnote w:id="3">
    <w:p w14:paraId="60FFAFB9" w14:textId="77777777" w:rsidR="00A802C9" w:rsidRPr="004B36AC" w:rsidRDefault="00A802C9" w:rsidP="00A802C9">
      <w:pPr>
        <w:pStyle w:val="Textonotapie"/>
        <w:ind w:firstLine="709"/>
        <w:contextualSpacing/>
        <w:jc w:val="both"/>
        <w:rPr>
          <w:rFonts w:ascii="Verdana" w:hAnsi="Verdana"/>
          <w:sz w:val="16"/>
          <w:szCs w:val="16"/>
          <w:lang w:val="es-CO"/>
        </w:rPr>
      </w:pPr>
      <w:r w:rsidRPr="004B36AC">
        <w:rPr>
          <w:rStyle w:val="Refdenotaalpie"/>
          <w:rFonts w:ascii="Verdana" w:hAnsi="Verdana"/>
          <w:sz w:val="16"/>
          <w:szCs w:val="16"/>
        </w:rPr>
        <w:footnoteRef/>
      </w:r>
      <w:r w:rsidRPr="004B36AC">
        <w:rPr>
          <w:rFonts w:ascii="Verdana" w:hAnsi="Verdana"/>
          <w:sz w:val="16"/>
          <w:szCs w:val="16"/>
        </w:rPr>
        <w:t xml:space="preserve"> </w:t>
      </w:r>
      <w:r w:rsidRPr="004B36AC">
        <w:rPr>
          <w:rFonts w:ascii="Verdana" w:hAnsi="Verdana"/>
          <w:sz w:val="16"/>
          <w:szCs w:val="16"/>
          <w:lang w:val="es-CO"/>
        </w:rPr>
        <w:t xml:space="preserve">Manual Para Determinar y Verificar los Requisitos Habilitantes en los Procesos de Contratación: </w:t>
      </w:r>
      <w:hyperlink r:id="rId2" w:history="1">
        <w:r w:rsidRPr="004B36AC">
          <w:rPr>
            <w:rStyle w:val="Hipervnculo"/>
            <w:rFonts w:ascii="Verdana" w:hAnsi="Verdana"/>
            <w:sz w:val="16"/>
            <w:szCs w:val="16"/>
            <w:lang w:val="es-CO"/>
          </w:rPr>
          <w:t>https://www.colombiacompra.gov.co/sites/cce_public/files/cce_documents/cce-eicp-ma-04._manual_requisitos_habilitantes_v3_29-09-2023.pdf</w:t>
        </w:r>
      </w:hyperlink>
      <w:r w:rsidRPr="004B36AC">
        <w:rPr>
          <w:rFonts w:ascii="Verdana" w:hAnsi="Verdana"/>
          <w:sz w:val="16"/>
          <w:szCs w:val="16"/>
          <w:lang w:val="es-CO"/>
        </w:rPr>
        <w:t xml:space="preserve"> Pág. 9.</w:t>
      </w:r>
    </w:p>
  </w:footnote>
  <w:footnote w:id="4">
    <w:p w14:paraId="4C0540F2" w14:textId="77777777" w:rsidR="00A802C9" w:rsidRPr="004B36AC" w:rsidRDefault="00A802C9" w:rsidP="00A802C9">
      <w:pPr>
        <w:pStyle w:val="Textonotapie"/>
        <w:ind w:firstLine="709"/>
        <w:contextualSpacing/>
        <w:rPr>
          <w:rFonts w:ascii="Verdana" w:hAnsi="Verdana" w:cs="Arial"/>
          <w:sz w:val="16"/>
          <w:szCs w:val="16"/>
        </w:rPr>
      </w:pPr>
      <w:r w:rsidRPr="004B36AC">
        <w:rPr>
          <w:rStyle w:val="Refdenotaalpie"/>
          <w:rFonts w:ascii="Verdana" w:hAnsi="Verdana" w:cs="Arial"/>
          <w:sz w:val="16"/>
          <w:szCs w:val="16"/>
        </w:rPr>
        <w:footnoteRef/>
      </w:r>
      <w:hyperlink r:id="rId3" w:history="1">
        <w:r w:rsidRPr="004B36AC">
          <w:rPr>
            <w:rStyle w:val="Hipervnculo"/>
            <w:rFonts w:ascii="Verdana" w:hAnsi="Verdana" w:cs="Arial"/>
            <w:sz w:val="16"/>
            <w:szCs w:val="16"/>
          </w:rPr>
          <w:t>https://colombiacompra.gov.co/sites/cce_public/files/cce_documents/cce_guia_asuntos_corporativos.pdf</w:t>
        </w:r>
      </w:hyperlink>
      <w:r w:rsidRPr="004B36AC">
        <w:rPr>
          <w:rFonts w:ascii="Verdana" w:hAnsi="Verdana" w:cs="Arial"/>
          <w:sz w:val="16"/>
          <w:szCs w:val="16"/>
        </w:rPr>
        <w:t xml:space="preserve">. </w:t>
      </w:r>
    </w:p>
    <w:p w14:paraId="00995D9C" w14:textId="77777777" w:rsidR="00A802C9" w:rsidRPr="004B36AC" w:rsidRDefault="00A802C9" w:rsidP="00A802C9">
      <w:pPr>
        <w:pStyle w:val="Textonotapie"/>
        <w:ind w:firstLine="709"/>
        <w:contextualSpacing/>
        <w:rPr>
          <w:rFonts w:ascii="Verdana" w:hAnsi="Verdana" w:cs="Arial"/>
          <w:sz w:val="16"/>
          <w:szCs w:val="16"/>
          <w:lang w:val="es-ES_tradnl"/>
        </w:rPr>
      </w:pPr>
    </w:p>
  </w:footnote>
  <w:footnote w:id="5">
    <w:p w14:paraId="16A8C70C" w14:textId="77777777" w:rsidR="00A802C9" w:rsidRPr="004B36AC" w:rsidRDefault="00A802C9" w:rsidP="00A802C9">
      <w:pPr>
        <w:pStyle w:val="Textonotapie"/>
        <w:ind w:firstLine="709"/>
        <w:contextualSpacing/>
        <w:jc w:val="both"/>
        <w:rPr>
          <w:rFonts w:ascii="Verdana" w:hAnsi="Verdana"/>
          <w:sz w:val="16"/>
          <w:szCs w:val="16"/>
          <w:lang w:val="es-CO"/>
        </w:rPr>
      </w:pPr>
      <w:r w:rsidRPr="004B36AC">
        <w:rPr>
          <w:rStyle w:val="Refdenotaalpie"/>
          <w:rFonts w:ascii="Verdana" w:hAnsi="Verdana"/>
          <w:sz w:val="16"/>
          <w:szCs w:val="16"/>
        </w:rPr>
        <w:footnoteRef/>
      </w:r>
      <w:r w:rsidRPr="004B36AC">
        <w:rPr>
          <w:rFonts w:ascii="Verdana" w:hAnsi="Verdana"/>
          <w:sz w:val="16"/>
          <w:szCs w:val="16"/>
        </w:rPr>
        <w:t xml:space="preserve"> </w:t>
      </w:r>
      <w:r w:rsidRPr="004B36AC">
        <w:rPr>
          <w:rFonts w:ascii="Verdana" w:hAnsi="Verdana"/>
          <w:sz w:val="16"/>
          <w:szCs w:val="16"/>
          <w:lang w:val="es-CO"/>
        </w:rPr>
        <w:t>Superintendencia de Sociedades. Concepto OFICIO 220-114329 del 27 de julio de 2018 REF.: Aspectos sobre las sucursales de sociedad extranjera.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4376" w14:textId="77777777" w:rsidR="00A802C9" w:rsidRDefault="00A802C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DB6E6FA" wp14:editId="3CC7B706">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4C52F7B" wp14:editId="2BBB546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75A0DA2" w14:textId="77777777" w:rsidR="00A802C9" w:rsidRDefault="00A802C9">
    <w:pPr>
      <w:pStyle w:val="Encabezado"/>
    </w:pPr>
  </w:p>
  <w:p w14:paraId="54CA0526" w14:textId="77777777" w:rsidR="00A802C9" w:rsidRPr="004A305D" w:rsidRDefault="00A802C9" w:rsidP="00B01B1A">
    <w:pPr>
      <w:spacing w:after="0" w:line="120" w:lineRule="auto"/>
      <w:rPr>
        <w:rFonts w:ascii="Century Gothic" w:eastAsia="Geo" w:hAnsi="Century Gothic" w:cs="Geo"/>
        <w:sz w:val="16"/>
        <w:szCs w:val="16"/>
        <w:lang w:eastAsia="es-CO"/>
      </w:rPr>
    </w:pPr>
  </w:p>
  <w:p w14:paraId="65346209" w14:textId="77777777" w:rsidR="00A802C9" w:rsidRDefault="00A802C9" w:rsidP="00844AE9">
    <w:pPr>
      <w:spacing w:after="0" w:line="240" w:lineRule="auto"/>
      <w:rPr>
        <w:rFonts w:ascii="Verdana" w:hAnsi="Verdana"/>
        <w:sz w:val="24"/>
        <w:szCs w:val="24"/>
      </w:rPr>
    </w:pPr>
  </w:p>
  <w:p w14:paraId="25A1EE4E" w14:textId="77777777" w:rsidR="00A802C9" w:rsidRPr="00C925AC" w:rsidRDefault="00A802C9" w:rsidP="00844AE9">
    <w:pPr>
      <w:spacing w:after="0" w:line="240" w:lineRule="auto"/>
      <w:rPr>
        <w:rFonts w:ascii="Verdana" w:hAnsi="Verdana"/>
        <w:sz w:val="24"/>
        <w:szCs w:val="24"/>
      </w:rPr>
    </w:pPr>
  </w:p>
  <w:p w14:paraId="503FE38D" w14:textId="77777777" w:rsidR="00A802C9" w:rsidRPr="00C925AC" w:rsidRDefault="00A802C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571281927">
    <w:abstractNumId w:val="0"/>
  </w:num>
  <w:num w:numId="2" w16cid:durableId="1220364721">
    <w:abstractNumId w:val="2"/>
  </w:num>
  <w:num w:numId="3" w16cid:durableId="1616405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C9"/>
    <w:rsid w:val="002D6822"/>
    <w:rsid w:val="00591244"/>
    <w:rsid w:val="007A436C"/>
    <w:rsid w:val="008D297A"/>
    <w:rsid w:val="008D4548"/>
    <w:rsid w:val="009B4EF6"/>
    <w:rsid w:val="00A77003"/>
    <w:rsid w:val="00A802C9"/>
    <w:rsid w:val="00AE1F6B"/>
    <w:rsid w:val="00BB69BF"/>
    <w:rsid w:val="00D76E46"/>
    <w:rsid w:val="00D84620"/>
    <w:rsid w:val="00F906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35BA"/>
  <w15:chartTrackingRefBased/>
  <w15:docId w15:val="{B3503942-9B79-4FA7-B560-D362B8EB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2C9"/>
    <w:pPr>
      <w:spacing w:line="259" w:lineRule="auto"/>
    </w:pPr>
    <w:rPr>
      <w:kern w:val="0"/>
      <w:sz w:val="22"/>
      <w:szCs w:val="22"/>
      <w14:ligatures w14:val="none"/>
    </w:rPr>
  </w:style>
  <w:style w:type="paragraph" w:styleId="Ttulo1">
    <w:name w:val="heading 1"/>
    <w:basedOn w:val="Normal"/>
    <w:next w:val="Normal"/>
    <w:link w:val="Ttulo1Car"/>
    <w:uiPriority w:val="9"/>
    <w:qFormat/>
    <w:rsid w:val="00A802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02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02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02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02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02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02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02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02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02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02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02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02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02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02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02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02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02C9"/>
    <w:rPr>
      <w:rFonts w:eastAsiaTheme="majorEastAsia" w:cstheme="majorBidi"/>
      <w:color w:val="272727" w:themeColor="text1" w:themeTint="D8"/>
    </w:rPr>
  </w:style>
  <w:style w:type="paragraph" w:styleId="Ttulo">
    <w:name w:val="Title"/>
    <w:basedOn w:val="Normal"/>
    <w:next w:val="Normal"/>
    <w:link w:val="TtuloCar"/>
    <w:uiPriority w:val="10"/>
    <w:qFormat/>
    <w:rsid w:val="00A80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02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02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02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02C9"/>
    <w:pPr>
      <w:spacing w:before="160"/>
      <w:jc w:val="center"/>
    </w:pPr>
    <w:rPr>
      <w:i/>
      <w:iCs/>
      <w:color w:val="404040" w:themeColor="text1" w:themeTint="BF"/>
    </w:rPr>
  </w:style>
  <w:style w:type="character" w:customStyle="1" w:styleId="CitaCar">
    <w:name w:val="Cita Car"/>
    <w:basedOn w:val="Fuentedeprrafopredeter"/>
    <w:link w:val="Cita"/>
    <w:uiPriority w:val="29"/>
    <w:rsid w:val="00A802C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A802C9"/>
    <w:pPr>
      <w:ind w:left="720"/>
      <w:contextualSpacing/>
    </w:pPr>
  </w:style>
  <w:style w:type="character" w:styleId="nfasisintenso">
    <w:name w:val="Intense Emphasis"/>
    <w:basedOn w:val="Fuentedeprrafopredeter"/>
    <w:uiPriority w:val="21"/>
    <w:qFormat/>
    <w:rsid w:val="00A802C9"/>
    <w:rPr>
      <w:i/>
      <w:iCs/>
      <w:color w:val="0F4761" w:themeColor="accent1" w:themeShade="BF"/>
    </w:rPr>
  </w:style>
  <w:style w:type="paragraph" w:styleId="Citadestacada">
    <w:name w:val="Intense Quote"/>
    <w:basedOn w:val="Normal"/>
    <w:next w:val="Normal"/>
    <w:link w:val="CitadestacadaCar"/>
    <w:uiPriority w:val="30"/>
    <w:qFormat/>
    <w:rsid w:val="00A80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02C9"/>
    <w:rPr>
      <w:i/>
      <w:iCs/>
      <w:color w:val="0F4761" w:themeColor="accent1" w:themeShade="BF"/>
    </w:rPr>
  </w:style>
  <w:style w:type="character" w:styleId="Referenciaintensa">
    <w:name w:val="Intense Reference"/>
    <w:basedOn w:val="Fuentedeprrafopredeter"/>
    <w:uiPriority w:val="32"/>
    <w:qFormat/>
    <w:rsid w:val="00A802C9"/>
    <w:rPr>
      <w:b/>
      <w:bCs/>
      <w:smallCaps/>
      <w:color w:val="0F4761" w:themeColor="accent1" w:themeShade="BF"/>
      <w:spacing w:val="5"/>
    </w:rPr>
  </w:style>
  <w:style w:type="paragraph" w:styleId="Encabezado">
    <w:name w:val="header"/>
    <w:basedOn w:val="Normal"/>
    <w:link w:val="EncabezadoCar"/>
    <w:uiPriority w:val="99"/>
    <w:unhideWhenUsed/>
    <w:rsid w:val="00A802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02C9"/>
    <w:rPr>
      <w:kern w:val="0"/>
      <w:sz w:val="22"/>
      <w:szCs w:val="22"/>
      <w14:ligatures w14:val="none"/>
    </w:rPr>
  </w:style>
  <w:style w:type="paragraph" w:styleId="Piedepgina">
    <w:name w:val="footer"/>
    <w:basedOn w:val="Normal"/>
    <w:link w:val="PiedepginaCar"/>
    <w:uiPriority w:val="99"/>
    <w:unhideWhenUsed/>
    <w:rsid w:val="00A802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02C9"/>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802C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802C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802C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802C9"/>
    <w:rPr>
      <w:vertAlign w:val="superscript"/>
    </w:rPr>
  </w:style>
  <w:style w:type="character" w:customStyle="1" w:styleId="normaltextrun">
    <w:name w:val="normaltextrun"/>
    <w:basedOn w:val="Fuentedeprrafopredeter"/>
    <w:rsid w:val="00A802C9"/>
  </w:style>
  <w:style w:type="table" w:styleId="Tablaconcuadrcula">
    <w:name w:val="Table Grid"/>
    <w:basedOn w:val="Tablanormal"/>
    <w:uiPriority w:val="39"/>
    <w:qFormat/>
    <w:rsid w:val="00A802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802C9"/>
    <w:rPr>
      <w:color w:val="0000FF"/>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802C9"/>
  </w:style>
  <w:style w:type="paragraph" w:customStyle="1" w:styleId="Appelnotedebasde">
    <w:name w:val="Appel note de bas de..."/>
    <w:basedOn w:val="Normal"/>
    <w:link w:val="Refdenotaalpie"/>
    <w:uiPriority w:val="99"/>
    <w:rsid w:val="00A802C9"/>
    <w:pPr>
      <w:spacing w:line="240" w:lineRule="exact"/>
    </w:pPr>
    <w:rPr>
      <w:kern w:val="2"/>
      <w:sz w:val="24"/>
      <w:szCs w:val="24"/>
      <w:vertAlign w:val="superscript"/>
      <w14:ligatures w14:val="standardContextual"/>
    </w:rPr>
  </w:style>
  <w:style w:type="paragraph" w:styleId="Sinespaciado">
    <w:name w:val="No Spacing"/>
    <w:aliases w:val="No Indent"/>
    <w:link w:val="SinespaciadoCar"/>
    <w:uiPriority w:val="3"/>
    <w:qFormat/>
    <w:rsid w:val="00A802C9"/>
    <w:pPr>
      <w:spacing w:after="0" w:line="240" w:lineRule="auto"/>
    </w:pPr>
    <w:rPr>
      <w:kern w:val="0"/>
      <w:szCs w:val="22"/>
      <w:lang w:val="es-MX"/>
      <w14:ligatures w14:val="none"/>
    </w:rPr>
  </w:style>
  <w:style w:type="character" w:customStyle="1" w:styleId="SinespaciadoCar">
    <w:name w:val="Sin espaciado Car"/>
    <w:aliases w:val="No Indent Car"/>
    <w:link w:val="Sinespaciado"/>
    <w:uiPriority w:val="3"/>
    <w:rsid w:val="00A802C9"/>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pg20@yahoo.es" TargetMode="External"/><Relationship Id="rId13" Type="http://schemas.openxmlformats.org/officeDocument/2006/relationships/hyperlink" Target="https://nam02.safelinks.protection.outlook.com/?url=https%3A%2F%2Fwww.colombiacompra.gov.co%2Farchivos%2Fboletin%2Fboletin-edicion-n-3-de-2026-radar-de-la-compra-publica&amp;data=05%7C02%7Cximena.rios%40colombiacompra.gov.co%7C7128555136e04fa6887d08dee99e1b50%7C7b09041e245149d08cb179d5e3d8c1be%7C0%7C0%7C639205062450600483%7CUnknown%7CTWFpbGZsb3d8eyJFbXB0eU1hcGkiOnRydWUsIlYiOiIwLjAuMDAwMCIsIlAiOiJXaW4zMiIsIkFOIjoiTWFpbCIsIldUIjoyfQ%3D%3D%7C0%7C%7C%7C&amp;sdata=uYs%2B3QwtSZHgVJvlXP%2BmhySC1Jrm7vHXFmaHOtfNQ14%3D&amp;reserved=0"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hyperlink" Target="https://nam02.safelinks.protection.outlook.com/?url=https%3A%2F%2Fwww.colombiacompra.gov.co%2Farchivos%2Fcircular%2Fcircular-externa-002-de-2026&amp;data=05%7C02%7Cximena.rios%40colombiacompra.gov.co%7C7128555136e04fa6887d08dee99e1b50%7C7b09041e245149d08cb179d5e3d8c1be%7C0%7C0%7C639205062450582020%7CUnknown%7CTWFpbGZsb3d8eyJFbXB0eU1hcGkiOnRydWUsIlYiOiIwLjAuMDAwMCIsIlAiOiJXaW4zMiIsIkFOIjoiTWFpbCIsIldUIjoyfQ%3D%3D%7C0%7C%7C%7C&amp;sdata=rcNHkjlfUnBT10qBN9hOC13nRPZK9MU4FLtUNXV3C%2F0%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archivos%2Fcircular%2Fcircular-externa-003-de-2026&amp;data=05%7C02%7Cximena.rios%40colombiacompra.gov.co%7C7128555136e04fa6887d08dee99e1b50%7C7b09041e245149d08cb179d5e3d8c1be%7C0%7C0%7C639205062450563347%7CUnknown%7CTWFpbGZsb3d8eyJFbXB0eU1hcGkiOnRydWUsIlYiOiIwLjAuMDAwMCIsIlAiOiJXaW4zMiIsIkFOIjoiTWFpbCIsIldUIjoyfQ%3D%3D%7C0%7C%7C%7C&amp;sdata=tosoK34OMgJQcSayY6AWxgpMG1zlr0nJO8iR5nyvlYo%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m02.safelinks.protection.outlook.com/?url=https%3A%2F%2Fwww.colombiacompra.gov.co%2Farchivos%2Fmanual%2Fguia-de-garantias-en-procesos-de-contratacion&amp;data=05%7C02%7Cximena.rios%40colombiacompra.gov.co%7C7128555136e04fa6887d08dee99e1b50%7C7b09041e245149d08cb179d5e3d8c1be%7C0%7C0%7C639205062450539116%7CUnknown%7CTWFpbGZsb3d8eyJFbXB0eU1hcGkiOnRydWUsIlYiOiIwLjAuMDAwMCIsIlAiOiJXaW4zMiIsIkFOIjoiTWFpbCIsIldUIjoyfQ%3D%3D%7C0%7C%7C%7C&amp;sdata=CfPCOpuJcdBVx4A4Es00qhtHeb0EXqpLtjJ3sidG7qc%3D&amp;reserved=0"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s/cce_guia_asuntos_corporativos.pdf" TargetMode="External"/><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www.colombiacompra.gov.co/sites/cce_public/files/cce_documents/cce_guia_proveedores_extranjer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94E3B2-A081-4FA6-875C-9FD7E72B1569}"/>
</file>

<file path=customXml/itemProps2.xml><?xml version="1.0" encoding="utf-8"?>
<ds:datastoreItem xmlns:ds="http://schemas.openxmlformats.org/officeDocument/2006/customXml" ds:itemID="{D3CF68B0-C488-47D5-AC4A-609B43117B6B}"/>
</file>

<file path=customXml/itemProps3.xml><?xml version="1.0" encoding="utf-8"?>
<ds:datastoreItem xmlns:ds="http://schemas.openxmlformats.org/officeDocument/2006/customXml" ds:itemID="{CA3323A9-093D-40F0-B6FB-4E3D5B8300BA}"/>
</file>

<file path=docProps/app.xml><?xml version="1.0" encoding="utf-8"?>
<Properties xmlns="http://schemas.openxmlformats.org/officeDocument/2006/extended-properties" xmlns:vt="http://schemas.openxmlformats.org/officeDocument/2006/docPropsVTypes">
  <Template>Normal</Template>
  <TotalTime>5</TotalTime>
  <Pages>17</Pages>
  <Words>6116</Words>
  <Characters>33639</Characters>
  <Application>Microsoft Office Word</Application>
  <DocSecurity>0</DocSecurity>
  <Lines>280</Lines>
  <Paragraphs>79</Paragraphs>
  <ScaleCrop>false</ScaleCrop>
  <Company/>
  <LinksUpToDate>false</LinksUpToDate>
  <CharactersWithSpaces>39676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6</cp:revision>
  <dcterms:created xsi:type="dcterms:W3CDTF">2026-10-06T21:30:00Z</dcterms:created>
  <dcterms:modified xsi:type="dcterms:W3CDTF">2026-10-08T02:48:00Z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