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64836" w14:textId="77777777" w:rsidR="00E32781" w:rsidRPr="00E32781" w:rsidRDefault="00E32781" w:rsidP="00E32781">
      <w:pPr>
        <w:spacing w:after="0"/>
        <w:rPr>
          <w:rFonts w:ascii="Verdana" w:eastAsia="Aptos" w:hAnsi="Verdana" w:cs="Times New Roman"/>
        </w:rPr>
      </w:pPr>
      <w:bookmarkStart w:id="0" w:name="_Hlk143780582"/>
      <w:r w:rsidRPr="00E32781">
        <w:rPr>
          <w:rFonts w:ascii="Verdana" w:eastAsia="Aptos" w:hAnsi="Verdana" w:cs="Times New Roman"/>
          <w:b/>
          <w:bCs/>
          <w:color w:val="000000"/>
        </w:rPr>
        <w:t xml:space="preserve">DOCUMENTOS TIPO – Fundamento normativo – Obligatoriedad </w:t>
      </w:r>
    </w:p>
    <w:p w14:paraId="229D1DE1" w14:textId="77777777" w:rsidR="00E32781" w:rsidRPr="00E32781" w:rsidRDefault="00E32781" w:rsidP="00E32781">
      <w:pPr>
        <w:spacing w:after="0" w:line="276" w:lineRule="auto"/>
        <w:jc w:val="both"/>
        <w:rPr>
          <w:rFonts w:ascii="Verdana" w:eastAsia="Calibri" w:hAnsi="Verdana" w:cs="Arial"/>
          <w:b/>
          <w:bCs/>
          <w:sz w:val="20"/>
          <w:szCs w:val="20"/>
          <w:lang w:val="es-ES_tradnl"/>
        </w:rPr>
      </w:pPr>
    </w:p>
    <w:p w14:paraId="0090078D" w14:textId="77777777" w:rsidR="00E32781" w:rsidRPr="00E32781" w:rsidRDefault="00E32781" w:rsidP="00E32781">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E32781">
        <w:rPr>
          <w:rFonts w:ascii="Verdana" w:eastAsia="Times New Roman" w:hAnsi="Verdana" w:cs="Arial"/>
          <w:sz w:val="20"/>
          <w:szCs w:val="20"/>
          <w:shd w:val="clear" w:color="auto" w:fill="FFFFFF"/>
          <w:lang w:val="es-ES_tradnl" w:eastAsia="es-ES_tradn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307E524A" w14:textId="77777777" w:rsidR="00E32781" w:rsidRPr="00E32781" w:rsidRDefault="00E32781" w:rsidP="00E32781">
      <w:pPr>
        <w:spacing w:after="0" w:line="240" w:lineRule="auto"/>
        <w:jc w:val="both"/>
        <w:rPr>
          <w:rFonts w:ascii="Verdana" w:eastAsia="Geomanist Light" w:hAnsi="Verdana" w:cs="Arial"/>
          <w:sz w:val="20"/>
          <w:szCs w:val="20"/>
          <w:highlight w:val="yellow"/>
          <w:lang w:val="es-ES_tradnl"/>
        </w:rPr>
      </w:pPr>
    </w:p>
    <w:p w14:paraId="79279ED9" w14:textId="77777777" w:rsidR="00E32781" w:rsidRPr="00E32781" w:rsidRDefault="00E32781" w:rsidP="00E32781">
      <w:pPr>
        <w:widowControl w:val="0"/>
        <w:autoSpaceDE w:val="0"/>
        <w:autoSpaceDN w:val="0"/>
        <w:spacing w:after="0" w:line="240" w:lineRule="auto"/>
        <w:jc w:val="both"/>
        <w:rPr>
          <w:rFonts w:ascii="Verdana" w:eastAsia="Calibri" w:hAnsi="Verdana" w:cs="Arial"/>
          <w:b/>
          <w:bCs/>
          <w:kern w:val="2"/>
          <w14:ligatures w14:val="standardContextual"/>
        </w:rPr>
      </w:pPr>
      <w:r w:rsidRPr="00E32781">
        <w:rPr>
          <w:rFonts w:ascii="Verdana" w:eastAsia="Calibri" w:hAnsi="Verdana" w:cs="Arial"/>
          <w:b/>
          <w:bCs/>
          <w:kern w:val="2"/>
          <w14:ligatures w14:val="standardContextual"/>
        </w:rPr>
        <w:t>INALTERABILIDAD – Documentos tipo – Modificación</w:t>
      </w:r>
    </w:p>
    <w:p w14:paraId="0005D87E" w14:textId="77777777" w:rsidR="00E32781" w:rsidRPr="00E32781" w:rsidRDefault="00E32781" w:rsidP="00E32781">
      <w:pPr>
        <w:widowControl w:val="0"/>
        <w:autoSpaceDE w:val="0"/>
        <w:autoSpaceDN w:val="0"/>
        <w:spacing w:after="0" w:line="240" w:lineRule="auto"/>
        <w:jc w:val="both"/>
        <w:rPr>
          <w:rFonts w:ascii="Verdana" w:eastAsia="Calibri" w:hAnsi="Verdana" w:cs="Arial"/>
          <w:kern w:val="2"/>
          <w:sz w:val="20"/>
          <w:szCs w:val="20"/>
          <w14:ligatures w14:val="standardContextual"/>
        </w:rPr>
      </w:pPr>
    </w:p>
    <w:p w14:paraId="7B4F19FC" w14:textId="77777777" w:rsidR="00E32781" w:rsidRPr="00E32781" w:rsidRDefault="00E32781" w:rsidP="00E32781">
      <w:pPr>
        <w:widowControl w:val="0"/>
        <w:autoSpaceDE w:val="0"/>
        <w:autoSpaceDN w:val="0"/>
        <w:spacing w:after="0" w:line="240" w:lineRule="auto"/>
        <w:jc w:val="both"/>
        <w:rPr>
          <w:rFonts w:ascii="Verdana" w:eastAsia="Calibri" w:hAnsi="Verdana" w:cs="Arial"/>
          <w:kern w:val="2"/>
          <w:sz w:val="20"/>
          <w:szCs w:val="20"/>
          <w14:ligatures w14:val="standardContextual"/>
        </w:rPr>
      </w:pPr>
      <w:r w:rsidRPr="00E32781">
        <w:rPr>
          <w:rFonts w:ascii="Verdana" w:eastAsia="Calibri" w:hAnsi="Verdana" w:cs="Arial"/>
          <w:kern w:val="2"/>
          <w:sz w:val="20"/>
          <w:szCs w:val="20"/>
          <w14:ligatures w14:val="standardContextual"/>
        </w:rPr>
        <w:t>Es importante resaltar que, en virtud de la regla de inalterabilidad, los documentos tipo solo pueden ser modificados en los aspectos en que estos lo permitan. Esto corresponde a aquellos aspectos que se encuentran entre corchetes y resaltados en gris –[texto]–, para lo cual deberán observarse las instrucciones contenidas en los mismos para su diligenciamiento.</w:t>
      </w:r>
    </w:p>
    <w:p w14:paraId="24A4CBF1"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p>
    <w:p w14:paraId="61309352"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r w:rsidRPr="00E32781">
        <w:rPr>
          <w:rFonts w:ascii="Verdana" w:eastAsia="Calibri" w:hAnsi="Verdana" w:cs="Times New Roman"/>
          <w:sz w:val="20"/>
          <w:szCs w:val="20"/>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1F90A887"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p>
    <w:p w14:paraId="0B9E0090" w14:textId="77777777" w:rsidR="00E32781" w:rsidRPr="00E32781" w:rsidRDefault="00E32781" w:rsidP="00E32781">
      <w:pPr>
        <w:widowControl w:val="0"/>
        <w:autoSpaceDE w:val="0"/>
        <w:autoSpaceDN w:val="0"/>
        <w:spacing w:after="0" w:line="240" w:lineRule="auto"/>
        <w:jc w:val="both"/>
        <w:rPr>
          <w:rFonts w:ascii="Verdana" w:eastAsia="Calibri" w:hAnsi="Verdana" w:cs="Arial"/>
          <w:b/>
          <w:bCs/>
          <w:kern w:val="2"/>
          <w14:ligatures w14:val="standardContextual"/>
        </w:rPr>
      </w:pPr>
      <w:r w:rsidRPr="00E32781">
        <w:rPr>
          <w:rFonts w:ascii="Verdana" w:eastAsia="Calibri" w:hAnsi="Verdana" w:cs="Times New Roman"/>
          <w:b/>
          <w:bCs/>
          <w:lang w:val="es-ES"/>
        </w:rPr>
        <w:t>APLICACIÓN – Documentos tipo – Matriz 1 – Experiencia – Ámbito de aplicación</w:t>
      </w:r>
    </w:p>
    <w:p w14:paraId="47884CA9"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rPr>
      </w:pPr>
    </w:p>
    <w:p w14:paraId="52F1B9A6"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r w:rsidRPr="00E32781">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1E6BEF5F"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p>
    <w:p w14:paraId="2DCACFBA"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r w:rsidRPr="00E32781">
        <w:rPr>
          <w:rFonts w:ascii="Verdana" w:eastAsia="Calibri" w:hAnsi="Verdana" w:cs="Times New Roman"/>
          <w:sz w:val="20"/>
          <w:szCs w:val="20"/>
          <w:lang w:val="es-ES"/>
        </w:rPr>
        <w:t>(…)</w:t>
      </w:r>
    </w:p>
    <w:p w14:paraId="588FDF98"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p>
    <w:p w14:paraId="2281BFEF"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r w:rsidRPr="00E32781">
        <w:rPr>
          <w:rFonts w:ascii="Verdana" w:eastAsia="Calibri" w:hAnsi="Verdana" w:cs="Times New Roman"/>
          <w:sz w:val="20"/>
          <w:szCs w:val="20"/>
          <w:lang w:val="es-ES"/>
        </w:rPr>
        <w:t>De esta manera, para saber a qué actividades deben aplicarse los Documentos Tipo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66ACF503"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p>
    <w:p w14:paraId="14404EFB" w14:textId="77777777" w:rsidR="00E32781" w:rsidRPr="00E32781" w:rsidRDefault="00E32781" w:rsidP="00E32781">
      <w:pPr>
        <w:widowControl w:val="0"/>
        <w:autoSpaceDE w:val="0"/>
        <w:autoSpaceDN w:val="0"/>
        <w:spacing w:after="0" w:line="240" w:lineRule="auto"/>
        <w:jc w:val="both"/>
        <w:rPr>
          <w:rFonts w:ascii="Verdana" w:eastAsia="Calibri" w:hAnsi="Verdana" w:cs="Arial"/>
          <w:b/>
          <w:bCs/>
          <w:kern w:val="2"/>
          <w14:ligatures w14:val="standardContextual"/>
        </w:rPr>
      </w:pPr>
      <w:r w:rsidRPr="00E32781">
        <w:rPr>
          <w:rFonts w:ascii="Verdana" w:eastAsia="Calibri" w:hAnsi="Verdana" w:cs="Times New Roman"/>
          <w:b/>
          <w:bCs/>
          <w:lang w:val="es-ES"/>
        </w:rPr>
        <w:t xml:space="preserve">DOCUMENTOS TIPO – Infraestructura de transporte – Matriz 1 – </w:t>
      </w:r>
      <w:r w:rsidRPr="00E32781">
        <w:rPr>
          <w:rFonts w:ascii="Verdana" w:eastAsia="Calibri" w:hAnsi="Verdana" w:cs="Times New Roman"/>
          <w:b/>
          <w:bCs/>
          <w:lang w:val="es-ES"/>
        </w:rPr>
        <w:lastRenderedPageBreak/>
        <w:t>Experiencia – Infraestructura eléctrica asociada – Redes de distribución de energía eléctrica</w:t>
      </w:r>
    </w:p>
    <w:p w14:paraId="0222B354"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p>
    <w:p w14:paraId="08463D37"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r w:rsidRPr="00E32781">
        <w:rPr>
          <w:rFonts w:ascii="Verdana" w:eastAsia="Calibri" w:hAnsi="Verdana" w:cs="Times New Roman"/>
          <w:sz w:val="20"/>
          <w:szCs w:val="20"/>
          <w:lang w:val="es-ES"/>
        </w:rPr>
        <w:t>Ahora bien, las actividades 1.9 y 2.6 cobijan únicamente la intervención sobre infraestructura eléctrica asociada a la infraestructura de transporte. Este calificativo es un elemento normativo del supuesto de hecho y delimita el ámbito de aplicación de ambas actividades. La infraestructura eléctrica debe estar al servicio de la infraestructura de transporte o integrada funcionalmente a ella, como la iluminación vial, la semaforización o la alimentación eléctrica de los equipos y sistemas de control, señalización o gestión de la vía.</w:t>
      </w:r>
    </w:p>
    <w:p w14:paraId="09A71418"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p>
    <w:p w14:paraId="69BA8E29"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r w:rsidRPr="00E32781">
        <w:rPr>
          <w:rFonts w:ascii="Verdana" w:eastAsia="Calibri" w:hAnsi="Verdana" w:cs="Times New Roman"/>
          <w:sz w:val="20"/>
          <w:szCs w:val="20"/>
          <w:lang w:val="es-ES"/>
        </w:rPr>
        <w:t>(…)</w:t>
      </w:r>
    </w:p>
    <w:p w14:paraId="34ECA758"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p>
    <w:p w14:paraId="75DCB5DB"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r w:rsidRPr="00E32781">
        <w:rPr>
          <w:rFonts w:ascii="Verdana" w:eastAsia="Calibri" w:hAnsi="Verdana" w:cs="Times New Roman"/>
          <w:sz w:val="20"/>
          <w:szCs w:val="20"/>
          <w:lang w:val="es-ES"/>
        </w:rPr>
        <w:t>De esta forma, un proyecto cuyo objeto es la construcción de redes de media y baja tensión, el montaje de estructuras de distribución, la instalación de transformadores de distribución, acometidas y equipos de medida, destinado a ampliar la cobertura del servicio público domiciliario de energía eléctrica y a integrarse al sistema de distribución local a cargo del operador de red, no se enmarca, en principio, en las actividades 1.9 y 2.6 de la Matriz 1 – Experiencia. Esa infraestructura atiende la demanda de energía de los usuarios finales, no la movilidad de personas, bienes o servicios, y por eso carece de la conexidad funcional con la infraestructura de transporte que exigen dichas actividades. Tampoco cambia la conclusión que las redes vayan paralelas a una vía o que los apoyos se instalen en sus fajas de retiro o zonas de reserva. Esa ubicación responde al trazado y a la servidumbre, y no hace de la red de distribución una infraestructura asociada al transporte.</w:t>
      </w:r>
    </w:p>
    <w:p w14:paraId="2F397910"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p>
    <w:p w14:paraId="4AE620DF" w14:textId="77777777" w:rsidR="00E32781" w:rsidRPr="00E32781" w:rsidRDefault="00E32781" w:rsidP="00E32781">
      <w:pPr>
        <w:widowControl w:val="0"/>
        <w:autoSpaceDE w:val="0"/>
        <w:autoSpaceDN w:val="0"/>
        <w:spacing w:after="0" w:line="240" w:lineRule="auto"/>
        <w:jc w:val="both"/>
        <w:rPr>
          <w:rFonts w:ascii="Verdana" w:eastAsia="Calibri" w:hAnsi="Verdana" w:cs="Arial"/>
          <w:b/>
          <w:bCs/>
          <w:kern w:val="2"/>
          <w14:ligatures w14:val="standardContextual"/>
        </w:rPr>
      </w:pPr>
      <w:r w:rsidRPr="00E32781">
        <w:rPr>
          <w:rFonts w:ascii="Verdana" w:eastAsia="Calibri" w:hAnsi="Verdana" w:cs="Times New Roman"/>
          <w:b/>
          <w:bCs/>
          <w:lang w:val="es-ES"/>
        </w:rPr>
        <w:t>DOCUMENTOS TIPO – Infraestructura social – Sector institucional – Actividad 2.9 – Redes eléctricas – Edificaciones</w:t>
      </w:r>
    </w:p>
    <w:p w14:paraId="7987DE7B"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p>
    <w:p w14:paraId="6C6EFBDC"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r w:rsidRPr="00E32781">
        <w:rPr>
          <w:rFonts w:ascii="Verdana" w:eastAsia="Calibri" w:hAnsi="Verdana" w:cs="Times New Roman"/>
          <w:sz w:val="20"/>
          <w:szCs w:val="20"/>
          <w:lang w:val="es-ES"/>
        </w:rPr>
        <w:t>Considerando lo anterior, la infraestructura institucional de servicio público a la que se refiere el tipo de obra 2) de la Matriz 1 – Experiencia corresponde a edificaciones o espacios construidos y destinados a funciones administrativas y a la prestación de servicios públicos, como sedes administrativas, centros de comunicación, juzgados u otros de naturaleza similar. Esta lectura coincide con la estructura de la matriz, cuyos tipos de obra 1), 2) y 3) se denominan igual que los subgrupos de ocupación institucional de la NSR-10 relativos a seguridad pública, servicio público y reclusión, clasificación que recae sobre edificaciones.</w:t>
      </w:r>
    </w:p>
    <w:p w14:paraId="78C10567"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p>
    <w:p w14:paraId="1FF94292"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r w:rsidRPr="00E32781">
        <w:rPr>
          <w:rFonts w:ascii="Verdana" w:eastAsia="Calibri" w:hAnsi="Verdana" w:cs="Times New Roman"/>
          <w:sz w:val="20"/>
          <w:szCs w:val="20"/>
          <w:lang w:val="es-ES"/>
        </w:rPr>
        <w:t>(…)</w:t>
      </w:r>
    </w:p>
    <w:p w14:paraId="387BA226"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p>
    <w:p w14:paraId="7A084DBD"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r w:rsidRPr="00E32781">
        <w:rPr>
          <w:rFonts w:ascii="Verdana" w:eastAsia="Calibri" w:hAnsi="Verdana" w:cs="Times New Roman"/>
          <w:sz w:val="20"/>
          <w:szCs w:val="20"/>
          <w:lang w:val="es-ES"/>
        </w:rPr>
        <w:t xml:space="preserve">En consecuencia, la actividad 2.9 comprende las redes eléctricas que hacen parte de una edificación o espacio institucional de servicio público o que están a su servicio, como las redes internas, las subestaciones y plantas eléctricas de la sede o su iluminación interior y exterior. No comprende, en cambio, la ampliación de redes de distribución de energía eléctrica que no recaen sobre una edificación y que se integran al sistema de distribución </w:t>
      </w:r>
      <w:r w:rsidRPr="00E32781">
        <w:rPr>
          <w:rFonts w:ascii="Verdana" w:eastAsia="Calibri" w:hAnsi="Verdana" w:cs="Times New Roman"/>
          <w:sz w:val="20"/>
          <w:szCs w:val="20"/>
          <w:lang w:val="es-ES"/>
        </w:rPr>
        <w:lastRenderedPageBreak/>
        <w:t>local a cargo del operador de red. En ese supuesto no existe la edificación o el espacio institucional al que la matriz vincula la actividad, y la experiencia exigida, referida a redes eléctricas en edificaciones, no guardaría relación con el objeto del contrato.</w:t>
      </w:r>
    </w:p>
    <w:p w14:paraId="2B9B45DF"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p>
    <w:p w14:paraId="7ED43960" w14:textId="77777777" w:rsidR="00E32781" w:rsidRPr="00E32781" w:rsidRDefault="00E32781" w:rsidP="00E32781">
      <w:pPr>
        <w:widowControl w:val="0"/>
        <w:autoSpaceDE w:val="0"/>
        <w:autoSpaceDN w:val="0"/>
        <w:spacing w:after="0" w:line="240" w:lineRule="auto"/>
        <w:jc w:val="both"/>
        <w:rPr>
          <w:rFonts w:ascii="Verdana" w:eastAsia="Calibri" w:hAnsi="Verdana" w:cs="Arial"/>
          <w:b/>
          <w:bCs/>
          <w:kern w:val="2"/>
          <w14:ligatures w14:val="standardContextual"/>
        </w:rPr>
      </w:pPr>
      <w:r w:rsidRPr="00E32781">
        <w:rPr>
          <w:rFonts w:ascii="Verdana" w:eastAsia="Calibri" w:hAnsi="Verdana" w:cs="Times New Roman"/>
          <w:b/>
          <w:bCs/>
          <w:lang w:val="es-ES"/>
        </w:rPr>
        <w:t>ANEXO – GLOSARIO – Infraestructura social – Servicios públicos domiciliarios – Matriz 1 – Experiencia</w:t>
      </w:r>
    </w:p>
    <w:p w14:paraId="2EAA0F03"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p>
    <w:p w14:paraId="4D0EB896"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r w:rsidRPr="00E32781">
        <w:rPr>
          <w:rFonts w:ascii="Verdana" w:eastAsia="Calibri" w:hAnsi="Verdana" w:cs="Times New Roman"/>
          <w:sz w:val="20"/>
          <w:szCs w:val="20"/>
          <w:lang w:val="es-ES"/>
        </w:rPr>
        <w:t>Las definiciones del glosario sirven para interpretar los términos que emplea la matriz, conforme a la nota general 1 y al numeral 1.10 del documento base, pero no crean actividades que la matriz no contempla. Ninguna de las matrices del sector social estandariza la ampliación de redes de distribución de energía eléctrica como actividad autónoma, por lo que la mención de los servicios públicos domiciliarios en la definición de infraestructura social no modifica la conclusión expuesta frente a la actividad 2.9.</w:t>
      </w:r>
    </w:p>
    <w:p w14:paraId="48CC2BCE"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p>
    <w:p w14:paraId="5BB96B74" w14:textId="77777777" w:rsidR="00E32781" w:rsidRPr="00E32781" w:rsidRDefault="00E32781" w:rsidP="00E32781">
      <w:pPr>
        <w:widowControl w:val="0"/>
        <w:autoSpaceDE w:val="0"/>
        <w:autoSpaceDN w:val="0"/>
        <w:spacing w:after="0" w:line="240" w:lineRule="auto"/>
        <w:jc w:val="both"/>
        <w:rPr>
          <w:rFonts w:ascii="Verdana" w:eastAsia="Calibri" w:hAnsi="Verdana" w:cs="Arial"/>
          <w:b/>
          <w:bCs/>
          <w:kern w:val="2"/>
          <w14:ligatures w14:val="standardContextual"/>
        </w:rPr>
      </w:pPr>
      <w:r w:rsidRPr="00E32781">
        <w:rPr>
          <w:rFonts w:ascii="Verdana" w:eastAsia="Calibri" w:hAnsi="Verdana" w:cs="Times New Roman"/>
          <w:b/>
          <w:bCs/>
          <w:lang w:val="es-ES"/>
        </w:rPr>
        <w:t>DOCUMENTOS TIPO – Aplicación facultativa – Buenas prácticas – Inalterabilidad</w:t>
      </w:r>
    </w:p>
    <w:p w14:paraId="735C3760"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p>
    <w:p w14:paraId="33C54FD8"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r w:rsidRPr="00E32781">
        <w:rPr>
          <w:rFonts w:ascii="Verdana" w:eastAsia="Calibri" w:hAnsi="Verdana" w:cs="Times New Roman"/>
          <w:sz w:val="20"/>
          <w:szCs w:val="20"/>
          <w:lang w:val="es-ES"/>
        </w:rPr>
        <w:t xml:space="preserve">(…) si la Entidad determina que no está obligada a aplicar de manera forzosa los documentos tipo para desarrollar los procesos de contratación —ya sea porque, normativamente, no le resultan aplicables o porque el proceso que se pretende adelantar no </w:t>
      </w:r>
      <w:proofErr w:type="gramStart"/>
      <w:r w:rsidRPr="00E32781">
        <w:rPr>
          <w:rFonts w:ascii="Verdana" w:eastAsia="Calibri" w:hAnsi="Verdana" w:cs="Times New Roman"/>
          <w:sz w:val="20"/>
          <w:szCs w:val="20"/>
          <w:lang w:val="es-ES"/>
        </w:rPr>
        <w:t>se enmarca dentro de</w:t>
      </w:r>
      <w:proofErr w:type="gramEnd"/>
      <w:r w:rsidRPr="00E32781">
        <w:rPr>
          <w:rFonts w:ascii="Verdana" w:eastAsia="Calibri" w:hAnsi="Verdana" w:cs="Times New Roman"/>
          <w:sz w:val="20"/>
          <w:szCs w:val="20"/>
          <w:lang w:val="es-ES"/>
        </w:rPr>
        <w:t xml:space="preserve"> las modalidades de selección y tipos de obra estandarizados en las respectivas matrices de experiencia—, en tales escenarios dichos documentos carecen de fuerza obligatoria. En consecuencia, la Entidad deberá estructurar sus procesos, atendiendo la normativa vigente en materia de compras y contratación pública. No obstante, las Entidades pueden observar los documentos tipo de forma facultativa, como una estrategia para adoptar e incorporar políticas de buenas prácticas contractuales, realizando, en caso de que sea necesario, las adaptaciones que consideren pertinentes.</w:t>
      </w:r>
    </w:p>
    <w:p w14:paraId="3394CF96"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p>
    <w:p w14:paraId="6EEC7738" w14:textId="77777777" w:rsidR="00E32781" w:rsidRPr="00E32781" w:rsidRDefault="00E32781" w:rsidP="00E32781">
      <w:pPr>
        <w:widowControl w:val="0"/>
        <w:autoSpaceDE w:val="0"/>
        <w:autoSpaceDN w:val="0"/>
        <w:spacing w:after="0" w:line="240" w:lineRule="auto"/>
        <w:jc w:val="both"/>
        <w:rPr>
          <w:rFonts w:ascii="Verdana" w:eastAsia="Calibri" w:hAnsi="Verdana" w:cs="Times New Roman"/>
          <w:sz w:val="20"/>
          <w:szCs w:val="20"/>
          <w:lang w:val="es-ES"/>
        </w:rPr>
      </w:pPr>
      <w:r w:rsidRPr="00E32781">
        <w:rPr>
          <w:rFonts w:ascii="Verdana" w:eastAsia="Calibri" w:hAnsi="Verdana" w:cs="Times New Roman"/>
          <w:sz w:val="20"/>
          <w:szCs w:val="20"/>
          <w:lang w:val="es-ES"/>
        </w:rPr>
        <w:t xml:space="preserve">Este es el caso de los proyectos de ampliación de redes de distribución de energía eléctrica descritos en la consulta. Si la entidad decide tomar como referente un documento tipo, la regla de inalterabilidad no le resulta exigible, pues esta solo opera frente a los procesos que están obligados a aplicarlos. </w:t>
      </w:r>
    </w:p>
    <w:p w14:paraId="00A6955C" w14:textId="77777777" w:rsidR="00E32781" w:rsidRPr="00E32781" w:rsidRDefault="00E32781" w:rsidP="00E32781">
      <w:pPr>
        <w:spacing w:after="0" w:line="240" w:lineRule="auto"/>
        <w:jc w:val="both"/>
        <w:rPr>
          <w:rFonts w:ascii="Verdana" w:eastAsia="Calibri" w:hAnsi="Verdana" w:cs="Calibri"/>
          <w:kern w:val="2"/>
          <w:sz w:val="20"/>
          <w:szCs w:val="20"/>
          <w14:ligatures w14:val="standardContextual"/>
        </w:rPr>
      </w:pPr>
    </w:p>
    <w:p w14:paraId="11BCA133" w14:textId="77777777" w:rsidR="00E32781" w:rsidRPr="00E32781" w:rsidRDefault="00E32781" w:rsidP="00E32781">
      <w:pPr>
        <w:spacing w:after="0" w:line="240" w:lineRule="auto"/>
        <w:jc w:val="both"/>
        <w:rPr>
          <w:rFonts w:ascii="Verdana" w:eastAsia="Calibri" w:hAnsi="Verdana" w:cs="Calibri"/>
          <w:kern w:val="2"/>
          <w:sz w:val="20"/>
          <w:szCs w:val="20"/>
          <w14:ligatures w14:val="standardContextual"/>
        </w:rPr>
      </w:pPr>
    </w:p>
    <w:p w14:paraId="0C80CC8A" w14:textId="77777777" w:rsidR="00E32781" w:rsidRPr="00E32781" w:rsidRDefault="00E32781" w:rsidP="00E32781">
      <w:pPr>
        <w:spacing w:after="0" w:line="240" w:lineRule="auto"/>
        <w:jc w:val="both"/>
        <w:rPr>
          <w:rFonts w:ascii="Verdana" w:eastAsia="Calibri" w:hAnsi="Verdana" w:cs="Calibri"/>
          <w:kern w:val="2"/>
          <w:sz w:val="20"/>
          <w:szCs w:val="20"/>
          <w14:ligatures w14:val="standardContextual"/>
        </w:rPr>
      </w:pPr>
    </w:p>
    <w:p w14:paraId="44339327" w14:textId="77777777" w:rsidR="00E32781" w:rsidRPr="00E32781" w:rsidRDefault="00E32781" w:rsidP="00E32781">
      <w:pPr>
        <w:spacing w:after="0" w:line="240" w:lineRule="auto"/>
        <w:jc w:val="both"/>
        <w:rPr>
          <w:rFonts w:ascii="Verdana" w:eastAsia="Calibri" w:hAnsi="Verdana" w:cs="Calibri"/>
          <w:kern w:val="2"/>
          <w:sz w:val="20"/>
          <w:szCs w:val="20"/>
          <w14:ligatures w14:val="standardContextual"/>
        </w:rPr>
      </w:pPr>
    </w:p>
    <w:p w14:paraId="09A1062B" w14:textId="77777777" w:rsidR="00E32781" w:rsidRPr="00E32781" w:rsidRDefault="00E32781" w:rsidP="00E32781">
      <w:pPr>
        <w:spacing w:after="0" w:line="240" w:lineRule="auto"/>
        <w:jc w:val="both"/>
        <w:rPr>
          <w:rFonts w:ascii="Verdana" w:eastAsia="Calibri" w:hAnsi="Verdana" w:cs="Calibri"/>
          <w:kern w:val="2"/>
          <w:sz w:val="20"/>
          <w:szCs w:val="20"/>
          <w14:ligatures w14:val="standardContextual"/>
        </w:rPr>
      </w:pPr>
    </w:p>
    <w:p w14:paraId="017643F7" w14:textId="77777777" w:rsidR="00E32781" w:rsidRPr="00E32781" w:rsidRDefault="00E32781" w:rsidP="00E32781">
      <w:pPr>
        <w:spacing w:after="0" w:line="240" w:lineRule="auto"/>
        <w:jc w:val="both"/>
        <w:rPr>
          <w:rFonts w:ascii="Verdana" w:eastAsia="Calibri" w:hAnsi="Verdana" w:cs="Calibri"/>
          <w:kern w:val="2"/>
          <w:sz w:val="20"/>
          <w:szCs w:val="20"/>
          <w14:ligatures w14:val="standardContextual"/>
        </w:rPr>
      </w:pPr>
    </w:p>
    <w:p w14:paraId="311A11E1" w14:textId="77777777" w:rsidR="00E32781" w:rsidRPr="00E32781" w:rsidRDefault="00E32781" w:rsidP="00E32781">
      <w:pPr>
        <w:spacing w:after="0" w:line="240" w:lineRule="auto"/>
        <w:jc w:val="both"/>
        <w:rPr>
          <w:rFonts w:ascii="Verdana" w:eastAsia="Calibri" w:hAnsi="Verdana" w:cs="Calibri"/>
          <w:kern w:val="2"/>
          <w:sz w:val="20"/>
          <w:szCs w:val="20"/>
          <w14:ligatures w14:val="standardContextual"/>
        </w:rPr>
      </w:pPr>
    </w:p>
    <w:p w14:paraId="502CB297" w14:textId="77777777" w:rsidR="00E32781" w:rsidRPr="00E32781" w:rsidRDefault="00E32781" w:rsidP="00E32781">
      <w:pPr>
        <w:spacing w:after="0" w:line="240" w:lineRule="auto"/>
        <w:jc w:val="both"/>
        <w:rPr>
          <w:rFonts w:ascii="Verdana" w:eastAsia="Calibri" w:hAnsi="Verdana" w:cs="Calibri"/>
          <w:kern w:val="2"/>
          <w:sz w:val="20"/>
          <w:szCs w:val="20"/>
          <w14:ligatures w14:val="standardContextual"/>
        </w:rPr>
      </w:pPr>
    </w:p>
    <w:p w14:paraId="5DCC25A1" w14:textId="77777777" w:rsidR="00E32781" w:rsidRPr="00E32781" w:rsidRDefault="00E32781" w:rsidP="00E32781">
      <w:pPr>
        <w:spacing w:after="0" w:line="240" w:lineRule="auto"/>
        <w:jc w:val="both"/>
        <w:rPr>
          <w:rFonts w:ascii="Verdana" w:eastAsia="Calibri" w:hAnsi="Verdana" w:cs="Calibri"/>
          <w:kern w:val="2"/>
          <w:sz w:val="20"/>
          <w:szCs w:val="20"/>
          <w14:ligatures w14:val="standardContextual"/>
        </w:rPr>
      </w:pPr>
    </w:p>
    <w:p w14:paraId="7BCC80C1" w14:textId="77777777" w:rsidR="00E32781" w:rsidRPr="00E32781" w:rsidRDefault="00E32781" w:rsidP="00E32781">
      <w:pPr>
        <w:spacing w:after="0" w:line="240" w:lineRule="auto"/>
        <w:jc w:val="both"/>
        <w:rPr>
          <w:rFonts w:ascii="Verdana" w:eastAsia="Calibri" w:hAnsi="Verdana" w:cs="Calibri"/>
          <w:kern w:val="2"/>
          <w:sz w:val="20"/>
          <w:szCs w:val="20"/>
          <w14:ligatures w14:val="standardContextual"/>
        </w:rPr>
      </w:pPr>
    </w:p>
    <w:p w14:paraId="6F746233" w14:textId="77777777" w:rsidR="00E32781" w:rsidRPr="00E32781" w:rsidRDefault="00E32781" w:rsidP="00E32781">
      <w:pPr>
        <w:spacing w:after="0" w:line="240" w:lineRule="auto"/>
        <w:jc w:val="both"/>
        <w:rPr>
          <w:rFonts w:ascii="Verdana" w:eastAsia="Calibri" w:hAnsi="Verdana" w:cs="Calibri"/>
          <w:kern w:val="2"/>
          <w:sz w:val="20"/>
          <w:szCs w:val="20"/>
          <w14:ligatures w14:val="standardContextual"/>
        </w:rPr>
      </w:pPr>
    </w:p>
    <w:p w14:paraId="5EE8228E" w14:textId="77777777" w:rsidR="00E32781" w:rsidRPr="00E32781" w:rsidRDefault="00E32781" w:rsidP="00E32781">
      <w:pPr>
        <w:spacing w:after="0" w:line="240" w:lineRule="auto"/>
        <w:jc w:val="both"/>
        <w:rPr>
          <w:rFonts w:ascii="Verdana" w:eastAsia="Calibri" w:hAnsi="Verdana" w:cs="Calibri"/>
          <w:kern w:val="2"/>
          <w:sz w:val="20"/>
          <w:szCs w:val="20"/>
          <w14:ligatures w14:val="standardContextual"/>
        </w:rPr>
      </w:pPr>
    </w:p>
    <w:p w14:paraId="0A828E4F" w14:textId="69C9C17C" w:rsidR="00E32781" w:rsidRDefault="00E32781" w:rsidP="00E32781">
      <w:pPr>
        <w:spacing w:after="0" w:line="240" w:lineRule="auto"/>
        <w:rPr>
          <w:rFonts w:ascii="Verdana" w:eastAsia="Verdana" w:hAnsi="Verdana" w:cs="Verdana"/>
          <w:kern w:val="2"/>
          <w14:ligatures w14:val="standardContextual"/>
        </w:rPr>
      </w:pPr>
      <w:bookmarkStart w:id="1" w:name="_Hlk117695077"/>
      <w:r w:rsidRPr="00E32781">
        <w:rPr>
          <w:rFonts w:ascii="Verdana" w:eastAsia="Verdana" w:hAnsi="Verdana" w:cs="Verdana"/>
          <w:kern w:val="2"/>
          <w14:ligatures w14:val="standardContextual"/>
        </w:rPr>
        <w:lastRenderedPageBreak/>
        <w:t xml:space="preserve">Bogotá D.C., </w:t>
      </w:r>
      <w:r w:rsidR="00707A27">
        <w:rPr>
          <w:rFonts w:ascii="Verdana" w:eastAsia="Verdana" w:hAnsi="Verdana" w:cs="Verdana"/>
          <w:kern w:val="2"/>
          <w14:ligatures w14:val="standardContextual"/>
        </w:rPr>
        <w:t>6 de octubre de 2026</w:t>
      </w:r>
    </w:p>
    <w:p w14:paraId="25684BE2" w14:textId="4437BC9E" w:rsidR="00707A27" w:rsidRDefault="00707A27" w:rsidP="00E32781">
      <w:pPr>
        <w:spacing w:after="0" w:line="240" w:lineRule="auto"/>
        <w:rPr>
          <w:rFonts w:ascii="Verdana" w:eastAsia="Verdana" w:hAnsi="Verdana" w:cs="Verdana"/>
          <w:kern w:val="2"/>
          <w14:ligatures w14:val="standardContextual"/>
        </w:rPr>
      </w:pPr>
    </w:p>
    <w:p w14:paraId="3BFD1F96" w14:textId="1871863E" w:rsidR="00707A27" w:rsidRPr="00E32781" w:rsidRDefault="00707A27" w:rsidP="00707A27">
      <w:pPr>
        <w:spacing w:after="0" w:line="240" w:lineRule="auto"/>
        <w:jc w:val="right"/>
        <w:rPr>
          <w:rFonts w:ascii="Verdana" w:eastAsia="Verdana" w:hAnsi="Verdana" w:cs="Verdana"/>
          <w:kern w:val="2"/>
          <w14:ligatures w14:val="standardContextual"/>
        </w:rPr>
      </w:pPr>
    </w:p>
    <w:p w14:paraId="4D9A35AE" w14:textId="294BCC59" w:rsidR="00E32781" w:rsidRPr="00E32781" w:rsidRDefault="008752B2" w:rsidP="00E32781">
      <w:pPr>
        <w:spacing w:after="0" w:line="240" w:lineRule="auto"/>
        <w:rPr>
          <w:rFonts w:ascii="Verdana" w:eastAsia="Verdana" w:hAnsi="Verdana" w:cs="Verdana"/>
          <w:kern w:val="2"/>
          <w14:ligatures w14:val="standardContextual"/>
        </w:rPr>
      </w:pPr>
      <w:r w:rsidRPr="00707A27">
        <w:rPr>
          <w:rFonts w:ascii="Verdana" w:eastAsia="Verdana" w:hAnsi="Verdana" w:cs="Verdana"/>
          <w:noProof/>
          <w:kern w:val="2"/>
          <w14:ligatures w14:val="standardContextual"/>
        </w:rPr>
        <w:drawing>
          <wp:anchor distT="0" distB="0" distL="114300" distR="114300" simplePos="0" relativeHeight="251658240" behindDoc="0" locked="0" layoutInCell="1" allowOverlap="1" wp14:anchorId="3955F2B3" wp14:editId="5BEB28BB">
            <wp:simplePos x="0" y="0"/>
            <wp:positionH relativeFrom="margin">
              <wp:align>right</wp:align>
            </wp:positionH>
            <wp:positionV relativeFrom="paragraph">
              <wp:posOffset>8255</wp:posOffset>
            </wp:positionV>
            <wp:extent cx="2651760" cy="858520"/>
            <wp:effectExtent l="0" t="0" r="0" b="0"/>
            <wp:wrapSquare wrapText="bothSides"/>
            <wp:docPr id="20990511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051149" name=""/>
                    <pic:cNvPicPr/>
                  </pic:nvPicPr>
                  <pic:blipFill>
                    <a:blip r:embed="rId10">
                      <a:extLst>
                        <a:ext uri="{28A0092B-C50C-407E-A947-70E740481C1C}">
                          <a14:useLocalDpi xmlns:a14="http://schemas.microsoft.com/office/drawing/2010/main" val="0"/>
                        </a:ext>
                      </a:extLst>
                    </a:blip>
                    <a:stretch>
                      <a:fillRect/>
                    </a:stretch>
                  </pic:blipFill>
                  <pic:spPr>
                    <a:xfrm>
                      <a:off x="0" y="0"/>
                      <a:ext cx="2651760" cy="858520"/>
                    </a:xfrm>
                    <a:prstGeom prst="rect">
                      <a:avLst/>
                    </a:prstGeom>
                  </pic:spPr>
                </pic:pic>
              </a:graphicData>
            </a:graphic>
            <wp14:sizeRelV relativeFrom="margin">
              <wp14:pctHeight>0</wp14:pctHeight>
            </wp14:sizeRelV>
          </wp:anchor>
        </w:drawing>
      </w:r>
    </w:p>
    <w:p w14:paraId="300A2AE7" w14:textId="77777777" w:rsidR="00E32781" w:rsidRPr="00E32781" w:rsidRDefault="00E32781" w:rsidP="00E32781">
      <w:pPr>
        <w:spacing w:after="0" w:line="276" w:lineRule="auto"/>
        <w:jc w:val="both"/>
        <w:rPr>
          <w:rFonts w:ascii="Verdana" w:eastAsia="Calibri" w:hAnsi="Verdana" w:cs="Arial"/>
          <w:lang w:eastAsia="es-ES"/>
        </w:rPr>
      </w:pPr>
      <w:r w:rsidRPr="00E32781">
        <w:rPr>
          <w:rFonts w:ascii="Verdana" w:eastAsia="Calibri" w:hAnsi="Verdana" w:cs="Arial"/>
          <w:lang w:val="es-ES_tradnl" w:eastAsia="es-ES"/>
        </w:rPr>
        <w:t>Señor</w:t>
      </w:r>
    </w:p>
    <w:p w14:paraId="111CBFD4" w14:textId="77777777" w:rsidR="00E32781" w:rsidRPr="00E32781" w:rsidRDefault="00E32781" w:rsidP="00E32781">
      <w:pPr>
        <w:spacing w:after="0" w:line="276" w:lineRule="auto"/>
        <w:jc w:val="both"/>
        <w:rPr>
          <w:rFonts w:ascii="Verdana" w:eastAsia="Aptos" w:hAnsi="Verdana" w:cs="Times New Roman"/>
          <w:b/>
          <w:bCs/>
          <w:kern w:val="2"/>
          <w14:ligatures w14:val="standardContextual"/>
        </w:rPr>
      </w:pPr>
      <w:r w:rsidRPr="00E32781">
        <w:rPr>
          <w:rFonts w:ascii="Verdana" w:eastAsia="Aptos" w:hAnsi="Verdana" w:cs="Times New Roman"/>
          <w:b/>
          <w:bCs/>
          <w:kern w:val="2"/>
          <w14:ligatures w14:val="standardContextual"/>
        </w:rPr>
        <w:t>Kevin Eduardo Verjel Cáceres</w:t>
      </w:r>
    </w:p>
    <w:p w14:paraId="16F7EEAD" w14:textId="77777777" w:rsidR="00E32781" w:rsidRPr="00E32781" w:rsidRDefault="00E32781" w:rsidP="00E32781">
      <w:pPr>
        <w:spacing w:after="0" w:line="276" w:lineRule="auto"/>
        <w:jc w:val="both"/>
        <w:rPr>
          <w:rFonts w:ascii="Verdana" w:eastAsia="Aptos" w:hAnsi="Verdana" w:cs="Times New Roman"/>
          <w:kern w:val="2"/>
          <w14:ligatures w14:val="standardContextual"/>
        </w:rPr>
      </w:pPr>
      <w:r w:rsidRPr="00E32781">
        <w:rPr>
          <w:rFonts w:ascii="Verdana" w:eastAsia="Aptos" w:hAnsi="Verdana" w:cs="Times New Roman"/>
          <w:kern w:val="2"/>
          <w14:ligatures w14:val="standardContextual"/>
        </w:rPr>
        <w:t>Arauquita, Arauca</w:t>
      </w:r>
    </w:p>
    <w:p w14:paraId="408C2157" w14:textId="77777777" w:rsidR="00E32781" w:rsidRPr="00E32781" w:rsidRDefault="00E32781" w:rsidP="00E32781">
      <w:pPr>
        <w:spacing w:after="0" w:line="240" w:lineRule="auto"/>
        <w:jc w:val="both"/>
        <w:rPr>
          <w:rFonts w:ascii="Verdana" w:eastAsia="Calibri" w:hAnsi="Verdana" w:cs="Arial"/>
          <w:b/>
          <w:bCs/>
          <w:lang w:eastAsia="es-ES"/>
        </w:rPr>
      </w:pPr>
    </w:p>
    <w:tbl>
      <w:tblPr>
        <w:tblStyle w:val="Tablaconcuadrcula"/>
        <w:tblW w:w="8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5"/>
        <w:gridCol w:w="6183"/>
      </w:tblGrid>
      <w:tr w:rsidR="00E32781" w:rsidRPr="00E32781" w14:paraId="39E998B4" w14:textId="77777777" w:rsidTr="009E3879">
        <w:trPr>
          <w:trHeight w:val="910"/>
        </w:trPr>
        <w:tc>
          <w:tcPr>
            <w:tcW w:w="2725" w:type="dxa"/>
          </w:tcPr>
          <w:p w14:paraId="5AE7CCD0" w14:textId="77777777" w:rsidR="00E32781" w:rsidRPr="00E32781" w:rsidRDefault="00E32781" w:rsidP="00E32781">
            <w:pPr>
              <w:jc w:val="both"/>
              <w:rPr>
                <w:rFonts w:ascii="Verdana" w:eastAsia="Calibri" w:hAnsi="Verdana" w:cs="Arial"/>
                <w:b/>
                <w:bCs/>
                <w:color w:val="7030A0"/>
                <w:lang w:eastAsia="es-ES_tradnl"/>
              </w:rPr>
            </w:pPr>
          </w:p>
        </w:tc>
        <w:tc>
          <w:tcPr>
            <w:tcW w:w="6183" w:type="dxa"/>
          </w:tcPr>
          <w:p w14:paraId="09A928F9" w14:textId="77777777" w:rsidR="00E32781" w:rsidRPr="00E32781" w:rsidRDefault="00E32781" w:rsidP="00E32781">
            <w:pPr>
              <w:snapToGrid w:val="0"/>
              <w:jc w:val="both"/>
              <w:rPr>
                <w:rFonts w:ascii="Verdana" w:eastAsia="Calibri" w:hAnsi="Verdana" w:cs="Arial"/>
                <w:b/>
                <w:bCs/>
                <w:lang w:eastAsia="es-ES"/>
              </w:rPr>
            </w:pPr>
            <w:r w:rsidRPr="00E32781">
              <w:rPr>
                <w:rFonts w:ascii="Verdana" w:eastAsia="Calibri" w:hAnsi="Verdana" w:cs="Arial"/>
                <w:b/>
                <w:bCs/>
                <w:lang w:eastAsia="es-ES"/>
              </w:rPr>
              <w:t>Concepto C-1349 de 2026</w:t>
            </w:r>
          </w:p>
          <w:p w14:paraId="39959107" w14:textId="77777777" w:rsidR="00E32781" w:rsidRPr="00E32781" w:rsidRDefault="00E32781" w:rsidP="00E32781">
            <w:pPr>
              <w:snapToGrid w:val="0"/>
              <w:jc w:val="both"/>
              <w:rPr>
                <w:rFonts w:ascii="Verdana" w:eastAsia="Calibri" w:hAnsi="Verdana" w:cs="Arial"/>
                <w:b/>
                <w:bCs/>
                <w:lang w:eastAsia="es-ES"/>
              </w:rPr>
            </w:pPr>
          </w:p>
        </w:tc>
      </w:tr>
      <w:tr w:rsidR="00E32781" w:rsidRPr="00E32781" w14:paraId="062DCAE8" w14:textId="77777777" w:rsidTr="009E3879">
        <w:trPr>
          <w:trHeight w:val="910"/>
        </w:trPr>
        <w:tc>
          <w:tcPr>
            <w:tcW w:w="2725" w:type="dxa"/>
          </w:tcPr>
          <w:p w14:paraId="5193FF17" w14:textId="77777777" w:rsidR="00E32781" w:rsidRPr="00E32781" w:rsidRDefault="00E32781" w:rsidP="00E32781">
            <w:pPr>
              <w:jc w:val="both"/>
              <w:rPr>
                <w:rFonts w:ascii="Verdana" w:eastAsia="Calibri" w:hAnsi="Verdana" w:cs="Arial"/>
                <w:color w:val="000000"/>
                <w:lang w:eastAsia="es-ES_tradnl"/>
              </w:rPr>
            </w:pPr>
            <w:r w:rsidRPr="00E32781">
              <w:rPr>
                <w:rFonts w:ascii="Verdana" w:eastAsia="Calibri" w:hAnsi="Verdana" w:cs="Arial"/>
                <w:b/>
                <w:color w:val="000000"/>
                <w:lang w:eastAsia="es-ES_tradnl"/>
              </w:rPr>
              <w:t>Temas:</w:t>
            </w:r>
            <w:r w:rsidRPr="00E32781">
              <w:rPr>
                <w:rFonts w:ascii="Verdana" w:eastAsia="Calibri" w:hAnsi="Verdana" w:cs="Arial"/>
                <w:color w:val="000000"/>
                <w:lang w:eastAsia="es-ES_tradnl"/>
              </w:rPr>
              <w:t xml:space="preserve">                   </w:t>
            </w:r>
          </w:p>
        </w:tc>
        <w:tc>
          <w:tcPr>
            <w:tcW w:w="6183" w:type="dxa"/>
          </w:tcPr>
          <w:p w14:paraId="35ADFD0F" w14:textId="77777777" w:rsidR="00E32781" w:rsidRPr="00E32781" w:rsidRDefault="00E32781" w:rsidP="00E32781">
            <w:pPr>
              <w:jc w:val="both"/>
              <w:rPr>
                <w:rFonts w:ascii="Verdana" w:eastAsia="Calibri" w:hAnsi="Verdana" w:cs="Arial"/>
                <w:color w:val="000000"/>
                <w:lang w:val="es-ES_tradnl"/>
              </w:rPr>
            </w:pPr>
            <w:r w:rsidRPr="00E32781">
              <w:rPr>
                <w:rFonts w:ascii="Verdana" w:eastAsia="Aptos" w:hAnsi="Verdana" w:cs="Times New Roman"/>
                <w:color w:val="000000"/>
              </w:rPr>
              <w:t>DOCUMENTOS TIPO – Fundamento normativo – Obligatoriedad / INALTERABILIDAD – Documentos tipo – Modificación / APLICACIÓN – Documentos tipo – Matriz 1 – Experiencia – Ámbito de aplicación / DOCUMENTOS TIPO – Infraestructura de transporte – Matriz 1 – Experiencia – Infraestructura eléctrica asociada – Redes de distribución de energía eléctrica / DOCUMENTOS TIPO – Infraestructura social – Sector institucional – Actividad 2.9 – Redes eléctricas – Edificaciones / ANEXO – GLOSARIO – Infraestructura social – Servicios públicos domiciliarios – Matriz 1 – Experiencia / DOCUMENTOS TIPO – Aplicación facultativa – Buenas prácticas – Inalterabilidad</w:t>
            </w:r>
          </w:p>
          <w:p w14:paraId="6ED1EAE8" w14:textId="77777777" w:rsidR="00E32781" w:rsidRPr="00E32781" w:rsidRDefault="00E32781" w:rsidP="00E32781">
            <w:pPr>
              <w:snapToGrid w:val="0"/>
              <w:jc w:val="both"/>
              <w:rPr>
                <w:rFonts w:ascii="Verdana" w:eastAsia="Calibri" w:hAnsi="Verdana" w:cs="Arial"/>
                <w:lang w:eastAsia="es-ES"/>
              </w:rPr>
            </w:pPr>
          </w:p>
        </w:tc>
      </w:tr>
      <w:tr w:rsidR="00E32781" w:rsidRPr="00E32781" w14:paraId="62ED77FC" w14:textId="77777777" w:rsidTr="009E3879">
        <w:trPr>
          <w:trHeight w:val="556"/>
        </w:trPr>
        <w:tc>
          <w:tcPr>
            <w:tcW w:w="2725" w:type="dxa"/>
          </w:tcPr>
          <w:p w14:paraId="25CDED17" w14:textId="77777777" w:rsidR="00E32781" w:rsidRPr="00E32781" w:rsidRDefault="00E32781" w:rsidP="00E32781">
            <w:pPr>
              <w:jc w:val="both"/>
              <w:rPr>
                <w:rFonts w:ascii="Verdana" w:eastAsia="Calibri" w:hAnsi="Verdana" w:cs="Arial"/>
                <w:b/>
                <w:bCs/>
                <w:lang w:eastAsia="es-ES_tradnl"/>
              </w:rPr>
            </w:pPr>
            <w:r w:rsidRPr="00E32781">
              <w:rPr>
                <w:rFonts w:ascii="Verdana" w:eastAsia="Calibri" w:hAnsi="Verdana" w:cs="Arial"/>
                <w:b/>
                <w:bCs/>
                <w:lang w:eastAsia="es-ES_tradnl"/>
              </w:rPr>
              <w:t xml:space="preserve">Radicación:               </w:t>
            </w:r>
          </w:p>
        </w:tc>
        <w:tc>
          <w:tcPr>
            <w:tcW w:w="6183" w:type="dxa"/>
          </w:tcPr>
          <w:p w14:paraId="680D57C8" w14:textId="77777777" w:rsidR="00E32781" w:rsidRPr="00E32781" w:rsidRDefault="00E32781" w:rsidP="00E32781">
            <w:pPr>
              <w:snapToGrid w:val="0"/>
              <w:jc w:val="both"/>
              <w:rPr>
                <w:rFonts w:ascii="Verdana" w:eastAsia="Calibri" w:hAnsi="Verdana" w:cs="Arial"/>
                <w:lang w:eastAsia="es-ES_tradnl"/>
              </w:rPr>
            </w:pPr>
            <w:r w:rsidRPr="00E32781">
              <w:rPr>
                <w:rFonts w:ascii="Verdana" w:eastAsia="Calibri" w:hAnsi="Verdana" w:cs="Arial"/>
                <w:lang w:eastAsia="es-ES_tradnl"/>
              </w:rPr>
              <w:t xml:space="preserve">Respuesta a consulta con radicado No. </w:t>
            </w:r>
            <w:r w:rsidRPr="00E32781">
              <w:rPr>
                <w:rFonts w:ascii="Verdana" w:eastAsia="Calibri" w:hAnsi="Verdana" w:cs="Vrinda"/>
                <w:color w:val="000000"/>
                <w:lang w:val="es-ES_tradnl" w:eastAsia="es-ES_tradnl"/>
              </w:rPr>
              <w:t>1_2026_08_27_011470</w:t>
            </w:r>
          </w:p>
        </w:tc>
      </w:tr>
    </w:tbl>
    <w:p w14:paraId="4B20E0B4" w14:textId="77777777" w:rsidR="00E32781" w:rsidRPr="00E32781" w:rsidRDefault="00E32781" w:rsidP="00E32781">
      <w:pPr>
        <w:spacing w:after="0" w:line="240" w:lineRule="auto"/>
        <w:jc w:val="both"/>
        <w:rPr>
          <w:rFonts w:ascii="Verdana" w:eastAsia="Calibri" w:hAnsi="Verdana" w:cs="Arial"/>
          <w:b/>
          <w:bCs/>
          <w:lang w:eastAsia="es-ES"/>
        </w:rPr>
      </w:pPr>
      <w:r w:rsidRPr="00E32781">
        <w:rPr>
          <w:rFonts w:ascii="Verdana" w:eastAsia="Calibri" w:hAnsi="Verdana" w:cs="Arial"/>
          <w:b/>
          <w:bCs/>
          <w:lang w:eastAsia="es-ES"/>
        </w:rPr>
        <w:tab/>
      </w:r>
    </w:p>
    <w:p w14:paraId="47593148" w14:textId="77777777" w:rsidR="00E32781" w:rsidRPr="00E32781" w:rsidRDefault="00E32781" w:rsidP="00E32781">
      <w:pPr>
        <w:spacing w:after="0" w:line="240" w:lineRule="auto"/>
        <w:jc w:val="both"/>
        <w:rPr>
          <w:rFonts w:ascii="Verdana" w:eastAsia="Aptos" w:hAnsi="Verdana" w:cs="Times New Roman"/>
          <w:b/>
          <w:bCs/>
          <w:kern w:val="2"/>
          <w14:ligatures w14:val="standardContextual"/>
        </w:rPr>
      </w:pPr>
      <w:r w:rsidRPr="00E32781">
        <w:rPr>
          <w:rFonts w:ascii="Verdana" w:eastAsia="Calibri" w:hAnsi="Verdana" w:cs="Vrinda"/>
          <w:lang w:val="es-ES" w:eastAsia="es-ES"/>
        </w:rPr>
        <w:t xml:space="preserve">Estimado </w:t>
      </w:r>
      <w:proofErr w:type="spellStart"/>
      <w:r w:rsidRPr="00E32781">
        <w:rPr>
          <w:rFonts w:ascii="Verdana" w:eastAsia="Aptos" w:hAnsi="Verdana" w:cs="Times New Roman"/>
          <w:kern w:val="2"/>
          <w14:ligatures w14:val="standardContextual"/>
        </w:rPr>
        <w:t>Verjel</w:t>
      </w:r>
      <w:proofErr w:type="spellEnd"/>
      <w:r w:rsidRPr="00E32781">
        <w:rPr>
          <w:rFonts w:ascii="Verdana" w:eastAsia="Aptos" w:hAnsi="Verdana" w:cs="Times New Roman"/>
          <w:kern w:val="2"/>
          <w14:ligatures w14:val="standardContextual"/>
        </w:rPr>
        <w:t xml:space="preserve"> Cáceres:</w:t>
      </w:r>
    </w:p>
    <w:p w14:paraId="43C47378" w14:textId="77777777" w:rsidR="00E32781" w:rsidRPr="00E32781" w:rsidRDefault="00E32781" w:rsidP="00E32781">
      <w:pPr>
        <w:spacing w:after="0" w:line="240" w:lineRule="auto"/>
        <w:jc w:val="both"/>
        <w:rPr>
          <w:rFonts w:ascii="Verdana" w:eastAsia="Aptos" w:hAnsi="Verdana" w:cs="Times New Roman"/>
          <w:b/>
          <w:bCs/>
          <w:kern w:val="2"/>
          <w14:ligatures w14:val="standardContextual"/>
        </w:rPr>
      </w:pPr>
    </w:p>
    <w:p w14:paraId="628E940A" w14:textId="77777777" w:rsidR="00E32781" w:rsidRPr="00E32781" w:rsidRDefault="00E32781" w:rsidP="00E32781">
      <w:pPr>
        <w:spacing w:after="0" w:line="276" w:lineRule="auto"/>
        <w:jc w:val="both"/>
        <w:rPr>
          <w:rFonts w:ascii="Verdana" w:eastAsia="Calibri" w:hAnsi="Verdana" w:cs="Arial"/>
          <w:lang w:val="es-ES" w:eastAsia="es-ES"/>
        </w:rPr>
      </w:pPr>
      <w:r w:rsidRPr="00E32781">
        <w:rPr>
          <w:rFonts w:ascii="Verdana" w:eastAsia="Calibri" w:hAnsi="Verdana" w:cs="Arial"/>
          <w:lang w:val="es-ES" w:eastAsia="es-ES"/>
        </w:rPr>
        <w:t>En ejercicio de la competencia otorgada por los artículos 3, numeral 5º, y 11, numeral 8º, del Decreto Ley 4170 de 2011,</w:t>
      </w:r>
      <w:r w:rsidRPr="00E32781">
        <w:rPr>
          <w:rFonts w:ascii="Verdana" w:eastAsia="Arial MT" w:hAnsi="Verdana" w:cs="Arial MT"/>
          <w:lang w:val="es-ES" w:eastAsia="es-ES"/>
        </w:rPr>
        <w:t xml:space="preserve"> </w:t>
      </w:r>
      <w:r w:rsidRPr="00E32781">
        <w:rPr>
          <w:rFonts w:ascii="Verdana" w:eastAsia="Calibri" w:hAnsi="Verdana" w:cs="Arial"/>
          <w:lang w:eastAsia="es-MX"/>
        </w:rPr>
        <w:t xml:space="preserve">así como lo establecido por la </w:t>
      </w:r>
      <w:r w:rsidRPr="00E32781">
        <w:rPr>
          <w:rFonts w:ascii="Verdana" w:eastAsia="Aptos" w:hAnsi="Verdana" w:cs="Arial"/>
          <w:bCs/>
          <w:lang w:eastAsia="es-ES" w:bidi="es-ES"/>
        </w:rPr>
        <w:t>Resolución 469 de 2025 expedida por esta Entidad</w:t>
      </w:r>
      <w:r w:rsidRPr="00E32781">
        <w:rPr>
          <w:rFonts w:ascii="Verdana" w:eastAsia="Calibri" w:hAnsi="Verdana" w:cs="Arial"/>
          <w:lang w:eastAsia="es-MX"/>
        </w:rPr>
        <w:t xml:space="preserve">, </w:t>
      </w:r>
      <w:r w:rsidRPr="00E32781">
        <w:rPr>
          <w:rFonts w:ascii="Verdana" w:eastAsia="Calibri" w:hAnsi="Verdana" w:cs="Arial"/>
          <w:lang w:val="es-ES" w:eastAsia="es-ES"/>
        </w:rPr>
        <w:t xml:space="preserve">la Agencia Nacional de Contratación Pública – Colombia Compra Eficiente– responde su solicitud de consulta del 27 de agosto de 2026, en la cual manifiesta lo siguiente: </w:t>
      </w:r>
    </w:p>
    <w:p w14:paraId="12D22E7C" w14:textId="77777777" w:rsidR="00E32781" w:rsidRPr="00E32781" w:rsidRDefault="00E32781" w:rsidP="00E32781">
      <w:pPr>
        <w:spacing w:after="0" w:line="276" w:lineRule="auto"/>
        <w:jc w:val="both"/>
        <w:rPr>
          <w:rFonts w:ascii="Verdana" w:eastAsia="Calibri" w:hAnsi="Verdana" w:cs="Vrinda"/>
          <w:lang w:val="es-ES" w:eastAsia="es-ES"/>
        </w:rPr>
      </w:pPr>
    </w:p>
    <w:p w14:paraId="244DFF46" w14:textId="77777777" w:rsidR="00E32781" w:rsidRPr="00E32781" w:rsidRDefault="00E32781" w:rsidP="00E327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0"/>
          <w:szCs w:val="20"/>
          <w14:ligatures w14:val="standardContextual"/>
        </w:rPr>
      </w:pPr>
      <w:r w:rsidRPr="00E32781">
        <w:rPr>
          <w:rFonts w:ascii="Verdana" w:eastAsia="Aptos" w:hAnsi="Verdana" w:cs="Arial"/>
          <w:color w:val="000000"/>
          <w:sz w:val="20"/>
          <w:szCs w:val="20"/>
          <w:lang w:val="es-MX"/>
          <w14:ligatures w14:val="standardContextual"/>
        </w:rPr>
        <w:t>“</w:t>
      </w:r>
      <w:r w:rsidRPr="00E32781">
        <w:rPr>
          <w:rFonts w:ascii="Verdana" w:eastAsia="Aptos" w:hAnsi="Verdana" w:cs="Times New Roman"/>
          <w:kern w:val="2"/>
          <w:sz w:val="20"/>
          <w:szCs w:val="20"/>
          <w14:ligatures w14:val="standardContextual"/>
        </w:rPr>
        <w:t xml:space="preserve">Asunto: Consulta – Ámbito de aplicación de los documentos tipo frente a proyectos de ampliación de redes de distribución de energía eléctrica en zona rural. </w:t>
      </w:r>
    </w:p>
    <w:p w14:paraId="5F46EB0F" w14:textId="77777777" w:rsidR="00E32781" w:rsidRPr="00E32781" w:rsidRDefault="00E32781" w:rsidP="00E327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0"/>
          <w:szCs w:val="20"/>
          <w14:ligatures w14:val="standardContextual"/>
        </w:rPr>
      </w:pPr>
      <w:r w:rsidRPr="00E32781">
        <w:rPr>
          <w:rFonts w:ascii="Verdana" w:eastAsia="Aptos" w:hAnsi="Verdana" w:cs="Times New Roman"/>
          <w:kern w:val="2"/>
          <w:sz w:val="20"/>
          <w:szCs w:val="20"/>
          <w14:ligatures w14:val="standardContextual"/>
        </w:rPr>
        <w:lastRenderedPageBreak/>
        <w:t xml:space="preserve">Respetados señores: En ejercicio del derecho de petición en la modalidad de consulta (artículo 23 de la Constitución Política y artículo 14 del CPACA), formulo la siguiente solicitud en términos generales y abstractos, sin referencia a un proceso de contratación en curso. Antecedentes Esa Agencia ha señalado de manera reiterada que el ámbito de aplicación de los documentos tipo se determina verificando si el objeto contractual se enmarca en los tipos de infraestructura y en las actividades estandarizadas en las respectivas matrices de experiencia, con apoyo en el Anexo – Glosario. </w:t>
      </w:r>
    </w:p>
    <w:p w14:paraId="3EB474FE" w14:textId="77777777" w:rsidR="00E32781" w:rsidRPr="00E32781" w:rsidRDefault="00E32781" w:rsidP="00E327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0"/>
          <w:szCs w:val="20"/>
          <w14:ligatures w14:val="standardContextual"/>
        </w:rPr>
      </w:pPr>
      <w:r w:rsidRPr="00E32781">
        <w:rPr>
          <w:rFonts w:ascii="Verdana" w:eastAsia="Aptos" w:hAnsi="Verdana" w:cs="Times New Roman"/>
          <w:kern w:val="2"/>
          <w:sz w:val="20"/>
          <w:szCs w:val="20"/>
          <w14:ligatures w14:val="standardContextual"/>
        </w:rPr>
        <w:t xml:space="preserve">La tipología de proyecto sobre la que se consulta corresponde a la ampliación de redes de distribución de energía eléctrica en zona rural, en el marco de la prestación del servicio público domiciliario de energía eléctrica. Comprende, típicamente, la construcción de redes de media tensión a 13.200 V y de baja tensión a 220/120 V, el suministro e hincado de apoyos en concreto, el montaje de estructuras de distribución, el tendido de conductores, la instalación de transformadores de distribución, puestas a tierra, acometidas y equipos de medida, así como la certificación RETIE. </w:t>
      </w:r>
    </w:p>
    <w:p w14:paraId="2BF9063F" w14:textId="77777777" w:rsidR="00E32781" w:rsidRPr="00E32781" w:rsidRDefault="00E32781" w:rsidP="00E327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0"/>
          <w:szCs w:val="20"/>
          <w14:ligatures w14:val="standardContextual"/>
        </w:rPr>
      </w:pPr>
      <w:r w:rsidRPr="00E32781">
        <w:rPr>
          <w:rFonts w:ascii="Verdana" w:eastAsia="Aptos" w:hAnsi="Verdana" w:cs="Times New Roman"/>
          <w:kern w:val="2"/>
          <w:sz w:val="20"/>
          <w:szCs w:val="20"/>
          <w14:ligatures w14:val="standardContextual"/>
        </w:rPr>
        <w:t xml:space="preserve">La infraestructura resultante no recae sobre edificación alguna y se integra al sistema de distribución local a cargo del operador de red. Consulta 1. ¿Existe en alguna de las matrices de experiencia de los documentos tipo actualmente adoptados por esa Agencia —infraestructura de transporte, agua potable y saneamiento básico, o infraestructura social en cualquiera de sus sectores— una actividad a contratar que comprenda la tipología de proyecto descrita? En caso afirmativo, se solicita indicar la matriz, el tipo de infraestructura y el numeral de la actividad. </w:t>
      </w:r>
    </w:p>
    <w:p w14:paraId="0B716DCA" w14:textId="77777777" w:rsidR="00E32781" w:rsidRPr="00E32781" w:rsidRDefault="00E32781" w:rsidP="00E327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0"/>
          <w:szCs w:val="20"/>
          <w14:ligatures w14:val="standardContextual"/>
        </w:rPr>
      </w:pPr>
      <w:r w:rsidRPr="00E32781">
        <w:rPr>
          <w:rFonts w:ascii="Verdana" w:eastAsia="Aptos" w:hAnsi="Verdana" w:cs="Times New Roman"/>
          <w:kern w:val="2"/>
          <w:sz w:val="20"/>
          <w:szCs w:val="20"/>
          <w14:ligatures w14:val="standardContextual"/>
        </w:rPr>
        <w:t xml:space="preserve">2. En particular, ¿la actividad 2.9 de la Matriz 1 – Experiencia del Sector Institucional, referida a redes eléctricas de infraestructura de servicio público, comprende proyectos de ampliación de redes de distribución de energía eléctrica que no recaen sobre edificaciones? Lo anterior, teniendo en cuenta que la experiencia general asociada a dicha actividad exige contratos de redes eléctricas "para edificaciones" y la específica exige acreditar su intervención, suministro o instalación "en edificaciones". </w:t>
      </w:r>
    </w:p>
    <w:p w14:paraId="198D9C20" w14:textId="77777777" w:rsidR="00E32781" w:rsidRPr="00E32781" w:rsidRDefault="00E32781" w:rsidP="00E327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0"/>
          <w:szCs w:val="20"/>
          <w14:ligatures w14:val="standardContextual"/>
        </w:rPr>
      </w:pPr>
      <w:r w:rsidRPr="00E32781">
        <w:rPr>
          <w:rFonts w:ascii="Verdana" w:eastAsia="Aptos" w:hAnsi="Verdana" w:cs="Times New Roman"/>
          <w:kern w:val="2"/>
          <w:sz w:val="20"/>
          <w:szCs w:val="20"/>
          <w14:ligatures w14:val="standardContextual"/>
        </w:rPr>
        <w:t>3. ¿Incide en la respuesta anterior la definición de "Infraestructura Social" del Anexo – Glosario, en cuanto menciona los servicios públicos domiciliarios entre las áreas que la componen, o dicha definición no altera la delimitación que hacen las matrices de experiencia? 4. De concluirse que la tipología descrita no se encuentra estandarizada, ¿resulta jurídicamente admisible que una entidad acoja voluntariamente un documento tipo como buena práctica contractual, y bajo qué condiciones, considerando el principio de inalterabilidad?</w:t>
      </w:r>
      <w:r w:rsidRPr="00E32781">
        <w:rPr>
          <w:rFonts w:ascii="Verdana" w:eastAsia="Aptos" w:hAnsi="Verdana" w:cs="Arial"/>
          <w:color w:val="000000"/>
          <w:sz w:val="20"/>
          <w:szCs w:val="20"/>
          <w:lang w:val="es-MX"/>
          <w14:ligatures w14:val="standardContextual"/>
        </w:rPr>
        <w:t xml:space="preserve">”. </w:t>
      </w:r>
    </w:p>
    <w:p w14:paraId="68AB44E0" w14:textId="77777777" w:rsidR="00E32781" w:rsidRPr="00E32781" w:rsidRDefault="00E32781" w:rsidP="00E32781">
      <w:pPr>
        <w:spacing w:after="0" w:line="240" w:lineRule="auto"/>
        <w:jc w:val="both"/>
        <w:rPr>
          <w:rFonts w:ascii="Verdana" w:eastAsia="Calibri" w:hAnsi="Verdana" w:cs="Arial"/>
          <w:color w:val="000000"/>
          <w:sz w:val="21"/>
          <w:szCs w:val="21"/>
          <w:lang w:eastAsia="es-ES"/>
        </w:rPr>
      </w:pPr>
    </w:p>
    <w:p w14:paraId="0D7E29A2" w14:textId="77777777" w:rsidR="00E32781" w:rsidRPr="00E32781" w:rsidRDefault="00E32781" w:rsidP="00E32781">
      <w:pPr>
        <w:spacing w:after="120" w:line="276" w:lineRule="auto"/>
        <w:ind w:firstLine="709"/>
        <w:jc w:val="both"/>
        <w:rPr>
          <w:rFonts w:ascii="Verdana" w:eastAsia="Calibri" w:hAnsi="Verdana" w:cs="Arial"/>
          <w:color w:val="000000"/>
          <w:lang w:eastAsia="es-ES"/>
        </w:rPr>
      </w:pPr>
      <w:r w:rsidRPr="00E32781">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32781">
        <w:rPr>
          <w:rFonts w:ascii="Verdana" w:eastAsia="Calibri" w:hAnsi="Verdana" w:cs="Arial"/>
          <w:color w:val="000000"/>
          <w:lang w:eastAsia="es-ES"/>
        </w:rPr>
        <w:tab/>
      </w:r>
    </w:p>
    <w:p w14:paraId="3C0FE0AD" w14:textId="77777777" w:rsidR="00E32781" w:rsidRPr="00E32781" w:rsidRDefault="00E32781" w:rsidP="00E32781">
      <w:pPr>
        <w:spacing w:after="0" w:line="276" w:lineRule="auto"/>
        <w:ind w:firstLine="709"/>
        <w:jc w:val="both"/>
        <w:rPr>
          <w:rFonts w:ascii="Verdana" w:eastAsia="Calibri" w:hAnsi="Verdana" w:cs="Arial"/>
          <w:color w:val="000000"/>
          <w:lang w:eastAsia="es-ES"/>
        </w:rPr>
      </w:pPr>
      <w:r w:rsidRPr="00E32781">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482B28DC" w14:textId="77777777" w:rsidR="00E32781" w:rsidRPr="00E32781" w:rsidRDefault="00E32781" w:rsidP="00E32781">
      <w:pPr>
        <w:spacing w:after="0" w:line="276" w:lineRule="auto"/>
        <w:jc w:val="both"/>
        <w:rPr>
          <w:rFonts w:ascii="Verdana" w:eastAsia="Calibri" w:hAnsi="Verdana" w:cs="Arial"/>
          <w:color w:val="000000"/>
          <w:lang w:eastAsia="es-ES"/>
        </w:rPr>
      </w:pPr>
    </w:p>
    <w:p w14:paraId="3ACB5BDC" w14:textId="77777777" w:rsidR="00E32781" w:rsidRPr="00E32781" w:rsidRDefault="00E32781" w:rsidP="00E32781">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E32781">
        <w:rPr>
          <w:rFonts w:ascii="Verdana" w:eastAsia="Century Gothic" w:hAnsi="Verdana" w:cs="Century Gothic"/>
          <w:b/>
          <w:bCs/>
        </w:rPr>
        <w:t>Problema planteado:</w:t>
      </w:r>
    </w:p>
    <w:p w14:paraId="268FDBE4" w14:textId="77777777" w:rsidR="00E32781" w:rsidRPr="00E32781" w:rsidRDefault="00E32781" w:rsidP="00E32781">
      <w:pPr>
        <w:tabs>
          <w:tab w:val="left" w:pos="142"/>
          <w:tab w:val="left" w:pos="284"/>
        </w:tabs>
        <w:spacing w:after="0" w:line="276" w:lineRule="auto"/>
        <w:jc w:val="both"/>
        <w:rPr>
          <w:rFonts w:ascii="Verdana" w:eastAsia="Century Gothic" w:hAnsi="Verdana" w:cs="Century Gothic"/>
          <w:b/>
          <w:bCs/>
        </w:rPr>
      </w:pPr>
    </w:p>
    <w:p w14:paraId="77F392EA" w14:textId="77777777" w:rsidR="00E32781" w:rsidRPr="00E32781" w:rsidRDefault="00E32781" w:rsidP="00E32781">
      <w:pPr>
        <w:spacing w:after="0" w:line="276" w:lineRule="auto"/>
        <w:jc w:val="both"/>
        <w:rPr>
          <w:rFonts w:ascii="Verdana" w:eastAsia="Calibri" w:hAnsi="Verdana" w:cs="Arial"/>
          <w:bCs/>
          <w:kern w:val="2"/>
          <w:lang w:val="es-ES_tradnl" w:eastAsia="es-ES_tradnl"/>
          <w14:ligatures w14:val="standardContextual"/>
        </w:rPr>
      </w:pPr>
      <w:r w:rsidRPr="00E32781">
        <w:rPr>
          <w:rFonts w:ascii="Verdana" w:eastAsia="Century Gothic" w:hAnsi="Verdana" w:cs="Century Gothic"/>
        </w:rPr>
        <w:t xml:space="preserve">De acuerdo con el contenido de su solicitud, esta Agencia resolverá los siguientes problemas jurídicos: i) ¿Existe en las matrices de experiencia de los documentos tipo de infraestructura de transporte o de infraestructura social una actividad a contratar que comprenda la ampliación de redes de distribución de energía eléctrica en zona rural, que no recae sobre edificaciones y se integra al sistema de distribución local a cargo del operador de red?; </w:t>
      </w:r>
      <w:proofErr w:type="spellStart"/>
      <w:r w:rsidRPr="00E32781">
        <w:rPr>
          <w:rFonts w:ascii="Verdana" w:eastAsia="Century Gothic" w:hAnsi="Verdana" w:cs="Century Gothic"/>
        </w:rPr>
        <w:t>ii</w:t>
      </w:r>
      <w:proofErr w:type="spellEnd"/>
      <w:r w:rsidRPr="00E32781">
        <w:rPr>
          <w:rFonts w:ascii="Verdana" w:eastAsia="Century Gothic" w:hAnsi="Verdana" w:cs="Century Gothic"/>
        </w:rPr>
        <w:t xml:space="preserve">) ¿La actividad 2.9 de la Matriz 1 – Experiencia del Sector Institucional comprende este tipo de proyectos y, en tal análisis, incide la definición de “Infraestructura Social” del Anexo – Glosario, en cuanto menciona los servicios públicos domiciliarios?, y </w:t>
      </w:r>
      <w:proofErr w:type="spellStart"/>
      <w:r w:rsidRPr="00E32781">
        <w:rPr>
          <w:rFonts w:ascii="Verdana" w:eastAsia="Century Gothic" w:hAnsi="Verdana" w:cs="Century Gothic"/>
        </w:rPr>
        <w:t>iii</w:t>
      </w:r>
      <w:proofErr w:type="spellEnd"/>
      <w:r w:rsidRPr="00E32781">
        <w:rPr>
          <w:rFonts w:ascii="Verdana" w:eastAsia="Century Gothic" w:hAnsi="Verdana" w:cs="Century Gothic"/>
        </w:rPr>
        <w:t>) Si la tipología descrita no se encuentra estandarizada, ¿puede una entidad acoger voluntariamente un documento tipo como buena práctica contractual y, en tal caso, bajo qué condiciones frente a la regla de inalterabilidad?</w:t>
      </w:r>
    </w:p>
    <w:p w14:paraId="56581A16" w14:textId="77777777" w:rsidR="00E32781" w:rsidRPr="00E32781" w:rsidRDefault="00E32781" w:rsidP="00E32781">
      <w:pPr>
        <w:spacing w:after="0" w:line="276" w:lineRule="auto"/>
        <w:jc w:val="both"/>
        <w:rPr>
          <w:rFonts w:ascii="Verdana" w:eastAsia="Calibri" w:hAnsi="Verdana" w:cs="Arial"/>
          <w:color w:val="7030A0"/>
          <w:lang w:val="es-ES_tradnl"/>
        </w:rPr>
      </w:pPr>
    </w:p>
    <w:p w14:paraId="0CED9A3B" w14:textId="77777777" w:rsidR="00E32781" w:rsidRPr="00E32781" w:rsidRDefault="00E32781" w:rsidP="00E32781">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E32781">
        <w:rPr>
          <w:rFonts w:ascii="Verdana" w:eastAsia="Century Gothic" w:hAnsi="Verdana" w:cs="Century Gothic"/>
          <w:b/>
          <w:bCs/>
        </w:rPr>
        <w:t>Respuesta:</w:t>
      </w:r>
    </w:p>
    <w:p w14:paraId="124293EA" w14:textId="77777777" w:rsidR="00E32781" w:rsidRPr="00E32781" w:rsidRDefault="00E32781" w:rsidP="00E32781">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32781" w:rsidRPr="00E32781" w14:paraId="6470E255" w14:textId="77777777" w:rsidTr="009E3879">
        <w:tc>
          <w:tcPr>
            <w:tcW w:w="8828" w:type="dxa"/>
          </w:tcPr>
          <w:p w14:paraId="1F31409E" w14:textId="77777777" w:rsidR="00E32781" w:rsidRPr="00E32781" w:rsidRDefault="00E32781" w:rsidP="00E32781">
            <w:pPr>
              <w:snapToGrid w:val="0"/>
              <w:spacing w:after="120" w:line="276" w:lineRule="auto"/>
              <w:jc w:val="both"/>
              <w:rPr>
                <w:rFonts w:ascii="Verdana" w:eastAsia="Aptos" w:hAnsi="Verdana" w:cs="Times New Roman"/>
              </w:rPr>
            </w:pPr>
            <w:r w:rsidRPr="00E32781">
              <w:rPr>
                <w:rFonts w:ascii="Verdana" w:eastAsia="Calibri" w:hAnsi="Verdana" w:cs="Times New Roman"/>
                <w:lang w:val="es-ES"/>
              </w:rPr>
              <w:lastRenderedPageBreak/>
              <w:t>i. Las actividades 1.9 y 2.6 de la Matriz 1 – Experiencia de los documentos tipo de licitación de obra pública de infraestructura de transporte – versión 4 cobijan únicamente la intervención sobre infraestructura eléctrica asociada a la infraestructura de transporte. Este calificativo es un elemento normativo del supuesto de hecho y delimita el ámbito de aplicación de ambas actividades. La infraestructura eléctrica debe estar al servicio de la infraestructura de transporte o integrada funcionalmente a ella, como la iluminación vial, la semaforización o la alimentación eléctrica de los equipos y sistemas de control, señalización o gestión de la vía.</w:t>
            </w:r>
          </w:p>
          <w:p w14:paraId="3F88A140" w14:textId="77777777" w:rsidR="00E32781" w:rsidRPr="00E32781" w:rsidRDefault="00E32781" w:rsidP="00E32781">
            <w:pPr>
              <w:snapToGrid w:val="0"/>
              <w:spacing w:after="120" w:line="276" w:lineRule="auto"/>
              <w:ind w:firstLine="709"/>
              <w:jc w:val="both"/>
              <w:rPr>
                <w:rFonts w:ascii="Verdana" w:eastAsia="Aptos" w:hAnsi="Verdana" w:cs="Times New Roman"/>
              </w:rPr>
            </w:pPr>
            <w:r w:rsidRPr="00E32781">
              <w:rPr>
                <w:rFonts w:ascii="Verdana" w:eastAsia="Calibri" w:hAnsi="Verdana" w:cs="Times New Roman"/>
                <w:lang w:val="es-ES"/>
              </w:rPr>
              <w:t>De esta forma, un proyecto cuyo objeto es la construcción de redes de media y baja tensión, el montaje de estructuras de distribución, la instalación de transformadores de distribución, acometidas y equipos de medida, destinado a ampliar la cobertura del servicio público domiciliario de energía eléctrica y a integrarse al sistema de distribución local a cargo del operador de red, no se enmarca, en principio, en las actividades 1.9 y 2.6 de la Matriz 1 – Experiencia. Esa infraestructura atiende la demanda de energía de los usuarios finales, no la movilidad de personas, bienes o servicios, y por eso carece de la conexidad funcional con la infraestructura de transporte que exigen dichas actividades. Tampoco cambia la conclusión que las redes vayan paralelas a una vía o que los apoyos se instalen en sus fajas de retiro o zonas de reserva. Esa ubicación responde al trazado y a la servidumbre, y no hace de la red de distribución una infraestructura asociada al transporte.</w:t>
            </w:r>
          </w:p>
          <w:p w14:paraId="779EE266" w14:textId="77777777" w:rsidR="00E32781" w:rsidRPr="00E32781" w:rsidRDefault="00E32781" w:rsidP="00E32781">
            <w:pPr>
              <w:snapToGrid w:val="0"/>
              <w:spacing w:after="120" w:line="276" w:lineRule="auto"/>
              <w:ind w:firstLine="709"/>
              <w:jc w:val="both"/>
              <w:rPr>
                <w:rFonts w:ascii="Verdana" w:eastAsia="Aptos" w:hAnsi="Verdana" w:cs="Times New Roman"/>
              </w:rPr>
            </w:pPr>
            <w:r w:rsidRPr="00E32781">
              <w:rPr>
                <w:rFonts w:ascii="Verdana" w:eastAsia="Calibri" w:hAnsi="Verdana" w:cs="Times New Roman"/>
                <w:lang w:val="es-ES"/>
              </w:rPr>
              <w:t>Estas consideraciones aplican mutatis mutandis cuando el proceso de selección deba adelantarse bajo las modalidades de selección abreviada de menor cuantía o de mínima cuantía, regidas por los documentos tipo adoptados mediante las Resoluciones 463 y 464 del 10 de septiembre de 2024, respectivamente, habida cuenta de que las actividades analizadas también se encuentran previstas en las matrices de experiencia de dichos documentos tipo.</w:t>
            </w:r>
          </w:p>
          <w:p w14:paraId="25604E34" w14:textId="77777777" w:rsidR="00E32781" w:rsidRPr="00E32781" w:rsidRDefault="00E32781" w:rsidP="00E32781">
            <w:pPr>
              <w:snapToGrid w:val="0"/>
              <w:spacing w:after="120" w:line="276" w:lineRule="auto"/>
              <w:ind w:firstLine="709"/>
              <w:jc w:val="both"/>
              <w:rPr>
                <w:rFonts w:ascii="Verdana" w:eastAsia="Aptos" w:hAnsi="Verdana" w:cs="Times New Roman"/>
              </w:rPr>
            </w:pPr>
            <w:r w:rsidRPr="00E32781">
              <w:rPr>
                <w:rFonts w:ascii="Verdana" w:eastAsia="Calibri" w:hAnsi="Verdana" w:cs="Times New Roman"/>
                <w:lang w:val="es-ES"/>
              </w:rPr>
              <w:t xml:space="preserve">En consecuencia, la entidad estatal, en ejercicio de su deber de planeación y según el alcance técnico concreto del proyecto, debe determinar si el objeto a contratar es subsumible en alguna de las actividades de la Matriz 1 – Experiencia. Si concluye que no corresponde a ninguna de ellas, los documentos tipo de licitación de obra pública de infraestructura de transporte – versión 4 no serán de obligatoria aplicación, aunque puede usarlos como </w:t>
            </w:r>
            <w:r w:rsidRPr="00E32781">
              <w:rPr>
                <w:rFonts w:ascii="Verdana" w:eastAsia="Calibri" w:hAnsi="Verdana" w:cs="Times New Roman"/>
                <w:lang w:val="es-ES"/>
              </w:rPr>
              <w:lastRenderedPageBreak/>
              <w:t>referente de buenas prácticas al estructurar el proceso con el alcance que se detalla más adelante en este concepto.</w:t>
            </w:r>
          </w:p>
          <w:p w14:paraId="7AA4F0FC" w14:textId="77777777" w:rsidR="00E32781" w:rsidRPr="00E32781" w:rsidRDefault="00E32781" w:rsidP="00E32781">
            <w:pPr>
              <w:snapToGrid w:val="0"/>
              <w:spacing w:after="120" w:line="276" w:lineRule="auto"/>
              <w:jc w:val="both"/>
              <w:rPr>
                <w:rFonts w:ascii="Verdana" w:eastAsia="Aptos" w:hAnsi="Verdana" w:cs="Times New Roman"/>
              </w:rPr>
            </w:pPr>
            <w:proofErr w:type="spellStart"/>
            <w:r w:rsidRPr="00E32781">
              <w:rPr>
                <w:rFonts w:ascii="Verdana" w:eastAsia="Calibri" w:hAnsi="Verdana" w:cs="Times New Roman"/>
                <w:lang w:val="es-ES"/>
              </w:rPr>
              <w:t>ii</w:t>
            </w:r>
            <w:proofErr w:type="spellEnd"/>
            <w:r w:rsidRPr="00E32781">
              <w:rPr>
                <w:rFonts w:ascii="Verdana" w:eastAsia="Calibri" w:hAnsi="Verdana" w:cs="Times New Roman"/>
                <w:lang w:val="es-ES"/>
              </w:rPr>
              <w:t>. La actividad 2.9 comprende las redes eléctricas que hacen parte de una edificación o espacio institucional de servicio público o que están a su servicio, como las redes internas, las subestaciones y plantas eléctricas de la sede o su iluminación interior y exterior. No comprende, en cambio, la ampliación de redes de distribución de energía eléctrica que no recaen sobre una edificación y que se integran al sistema de distribución local a cargo del operador de red. En ese supuesto no existe la edificación o el espacio institucional al que la matriz vincula la actividad, y la experiencia exigida, referida a redes eléctricas en edificaciones, no guardaría relación con el objeto del contrato.</w:t>
            </w:r>
          </w:p>
          <w:p w14:paraId="24BDFA6B" w14:textId="77777777" w:rsidR="00E32781" w:rsidRPr="00E32781" w:rsidRDefault="00E32781" w:rsidP="00E32781">
            <w:pPr>
              <w:snapToGrid w:val="0"/>
              <w:spacing w:after="120" w:line="276" w:lineRule="auto"/>
              <w:ind w:firstLine="709"/>
              <w:jc w:val="both"/>
              <w:rPr>
                <w:rFonts w:ascii="Verdana" w:eastAsia="Aptos" w:hAnsi="Verdana" w:cs="Times New Roman"/>
              </w:rPr>
            </w:pPr>
            <w:r w:rsidRPr="00E32781">
              <w:rPr>
                <w:rFonts w:ascii="Verdana" w:eastAsia="Calibri" w:hAnsi="Verdana" w:cs="Times New Roman"/>
                <w:lang w:val="es-ES"/>
              </w:rPr>
              <w:t>Tampoco altera esta conclusión el hecho de que la energía eléctrica sea un servicio público domiciliario. La matriz emplea la expresión “infraestructura institucional de servicio público” en el sentido de la NSR-10, para referirse a edificaciones destinadas a funciones administrativas y a la prestación de servicios públicos, y no a las redes mediante las cuales se presta el servicio público domiciliario de energía eléctrica, cuyo régimen está previsto en las Leyes 142 y 143 de 1994.</w:t>
            </w:r>
          </w:p>
          <w:p w14:paraId="273CB2EA" w14:textId="77777777" w:rsidR="00E32781" w:rsidRPr="00E32781" w:rsidRDefault="00E32781" w:rsidP="00E32781">
            <w:pPr>
              <w:snapToGrid w:val="0"/>
              <w:spacing w:after="120" w:line="276" w:lineRule="auto"/>
              <w:ind w:firstLine="709"/>
              <w:jc w:val="both"/>
              <w:rPr>
                <w:rFonts w:ascii="Verdana" w:eastAsia="Aptos" w:hAnsi="Verdana" w:cs="Times New Roman"/>
              </w:rPr>
            </w:pPr>
            <w:r w:rsidRPr="00E32781">
              <w:rPr>
                <w:rFonts w:ascii="Verdana" w:eastAsia="Calibri" w:hAnsi="Verdana" w:cs="Times New Roman"/>
                <w:lang w:val="es-ES"/>
              </w:rPr>
              <w:t>La misma conclusión se predica de las demás actividades sobre redes eléctricas previstas en las matrices de experiencia del sector social. Las actividades 1.9 y 3.9 de la Matriz 1 – Experiencia del Sector Institucional, 1.9 del sector salud, 3.8 del sector cultura, recreación y deporte y 1.9 del sector vivienda tienen una redacción equivalente a la de la actividad 2.9 y exigen experiencia en redes eléctricas para edificaciones. Por su parte, las actividades 4.9 y 5.9 de la matriz del sector vivienda se refieren a “REDES ELÉCTRICAS DE VIVIENDA(S) RURAL(ES)” y a “REDES ELÉCTRICAS DE VIVIENDA(S) RURAL(ES) DISPERSA(S)”, respectivamente, pero su experiencia general también se acredita con proyectos de redes eléctricas “PARA EDIFICACIONES” y “PARA EDIFICACIONES DE VIVIENDAS”. En todos los casos la red eléctrica está ligada a una edificación del sector, de modo que ninguna de estas actividades comprende la ampliación de redes de distribución de energía eléctrica a cargo del operador de red.</w:t>
            </w:r>
          </w:p>
          <w:p w14:paraId="5EA87EE4" w14:textId="77777777" w:rsidR="00E32781" w:rsidRPr="00E32781" w:rsidRDefault="00E32781" w:rsidP="00E32781">
            <w:pPr>
              <w:snapToGrid w:val="0"/>
              <w:spacing w:after="120" w:line="276" w:lineRule="auto"/>
              <w:ind w:firstLine="709"/>
              <w:jc w:val="both"/>
              <w:rPr>
                <w:rFonts w:ascii="Verdana" w:eastAsia="Aptos" w:hAnsi="Verdana" w:cs="Times New Roman"/>
              </w:rPr>
            </w:pPr>
            <w:r w:rsidRPr="00E32781">
              <w:rPr>
                <w:rFonts w:ascii="Verdana" w:eastAsia="Calibri" w:hAnsi="Verdana" w:cs="Times New Roman"/>
                <w:lang w:val="es-ES"/>
              </w:rPr>
              <w:t xml:space="preserve">Las definiciones del glosario sirven para interpretar los términos que emplea la matriz, conforme a la nota general 1 y al numeral 1.10 del documento base, pero no crean actividades que la matriz no contempla. </w:t>
            </w:r>
            <w:r w:rsidRPr="00E32781">
              <w:rPr>
                <w:rFonts w:ascii="Verdana" w:eastAsia="Calibri" w:hAnsi="Verdana" w:cs="Times New Roman"/>
                <w:lang w:val="es-ES"/>
              </w:rPr>
              <w:lastRenderedPageBreak/>
              <w:t>Ninguna de las matrices del sector social estandariza la ampliación de redes de distribución de energía eléctrica como actividad autónoma, por lo que la mención de los servicios públicos domiciliarios en la definición de infraestructura social no modifica la conclusión expuesta frente a la actividad 2.9.</w:t>
            </w:r>
          </w:p>
          <w:p w14:paraId="0118E067" w14:textId="2E3BBA19" w:rsidR="00E32781" w:rsidRPr="00E32781" w:rsidRDefault="00E32781" w:rsidP="00E32781">
            <w:pPr>
              <w:snapToGrid w:val="0"/>
              <w:spacing w:after="120" w:line="276" w:lineRule="auto"/>
              <w:jc w:val="both"/>
              <w:rPr>
                <w:rFonts w:ascii="Verdana" w:eastAsia="Aptos" w:hAnsi="Verdana" w:cs="Times New Roman"/>
              </w:rPr>
            </w:pPr>
            <w:proofErr w:type="spellStart"/>
            <w:r w:rsidRPr="00E32781">
              <w:rPr>
                <w:rFonts w:ascii="Verdana" w:eastAsia="Calibri" w:hAnsi="Verdana" w:cs="Times New Roman"/>
                <w:lang w:val="es-ES"/>
              </w:rPr>
              <w:t>iii</w:t>
            </w:r>
            <w:proofErr w:type="spellEnd"/>
            <w:r w:rsidRPr="00E32781">
              <w:rPr>
                <w:rFonts w:ascii="Verdana" w:eastAsia="Calibri" w:hAnsi="Verdana" w:cs="Times New Roman"/>
                <w:lang w:val="es-ES"/>
              </w:rPr>
              <w:t xml:space="preserve">. Si la Entidad determina que no está obligada a aplicar de manera forzosa los documentos tipo para desarrollar los procesos de contratación —ya sea porque, normativamente, no le resultan aplicables o porque el proceso que se pretende adelantar no se enmarca </w:t>
            </w:r>
            <w:r w:rsidR="3BC34EE3" w:rsidRPr="5ACEE40B">
              <w:rPr>
                <w:rFonts w:ascii="Verdana" w:eastAsia="Calibri" w:hAnsi="Verdana" w:cs="Times New Roman"/>
                <w:lang w:val="es-ES"/>
              </w:rPr>
              <w:t>en</w:t>
            </w:r>
            <w:r w:rsidRPr="00E32781">
              <w:rPr>
                <w:rFonts w:ascii="Verdana" w:eastAsia="Calibri" w:hAnsi="Verdana" w:cs="Times New Roman"/>
                <w:lang w:val="es-ES"/>
              </w:rPr>
              <w:t xml:space="preserve"> las modalidades de selección y tipos de obra estandarizados en las respectivas matrices de experiencia—, en tales escenarios dichos documentos carecen de fuerza obligatoria. En consecuencia, la Entidad deberá estructurar sus procesos, atendiendo la normativa vigente en materia de compras y contratación pública. No obstante, las Entidades pueden observar los documentos tipo de forma facultativa, como una estrategia para adoptar e incorporar políticas de buenas prácticas contractuales, realizando, en caso de que sea necesario, las adaptaciones que consideren pertinentes.</w:t>
            </w:r>
          </w:p>
          <w:p w14:paraId="32656E4A" w14:textId="77777777" w:rsidR="00E32781" w:rsidRPr="00E32781" w:rsidRDefault="00E32781" w:rsidP="00E32781">
            <w:pPr>
              <w:snapToGrid w:val="0"/>
              <w:spacing w:after="120" w:line="276" w:lineRule="auto"/>
              <w:ind w:firstLine="709"/>
              <w:jc w:val="both"/>
              <w:rPr>
                <w:rFonts w:ascii="Verdana" w:eastAsia="Aptos" w:hAnsi="Verdana" w:cs="Times New Roman"/>
              </w:rPr>
            </w:pPr>
            <w:r w:rsidRPr="00E32781">
              <w:rPr>
                <w:rFonts w:ascii="Verdana" w:eastAsia="Calibri" w:hAnsi="Verdana" w:cs="Times New Roman"/>
                <w:lang w:val="es-ES"/>
              </w:rPr>
              <w:t xml:space="preserve">Este es el caso de los proyectos de ampliación de redes de distribución de energía eléctrica descritos en la consulta. Si la entidad decide tomar como referente un documento tipo, la regla de inalterabilidad no le resulta exigible, pues esta solo opera frente a los procesos que están obligados a aplicarlos. </w:t>
            </w:r>
          </w:p>
          <w:p w14:paraId="7844E06D" w14:textId="77777777" w:rsidR="00E32781" w:rsidRPr="00E32781" w:rsidRDefault="00E32781" w:rsidP="00E32781">
            <w:pPr>
              <w:snapToGrid w:val="0"/>
              <w:spacing w:after="120" w:line="276" w:lineRule="auto"/>
              <w:ind w:firstLine="709"/>
              <w:jc w:val="both"/>
              <w:rPr>
                <w:rFonts w:ascii="Verdana" w:eastAsia="Times New Roman" w:hAnsi="Verdana" w:cs="Arial"/>
                <w:shd w:val="clear" w:color="auto" w:fill="FFFFFF"/>
                <w:lang w:val="es-ES" w:eastAsia="es-ES"/>
              </w:rPr>
            </w:pPr>
            <w:r w:rsidRPr="00E32781">
              <w:rPr>
                <w:rFonts w:ascii="Verdana" w:eastAsia="Aptos" w:hAnsi="Verdana" w:cs="Aptos"/>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contemplada en dicha matriz.</w:t>
            </w:r>
            <w:r w:rsidRPr="5ACEE40B">
              <w:rPr>
                <w:rFonts w:ascii="Verdana" w:eastAsia="Times New Roman" w:hAnsi="Verdana" w:cs="Arial"/>
                <w:shd w:val="clear" w:color="auto" w:fill="FFFFFF"/>
                <w:lang w:val="es-ES" w:eastAsia="es-ES"/>
              </w:rPr>
              <w:t xml:space="preserve"> </w:t>
            </w:r>
          </w:p>
          <w:p w14:paraId="0562AF3F" w14:textId="77777777" w:rsidR="00E32781" w:rsidRPr="00E32781" w:rsidRDefault="00E32781" w:rsidP="00E32781">
            <w:pPr>
              <w:spacing w:after="120" w:line="276" w:lineRule="auto"/>
              <w:ind w:firstLine="709"/>
              <w:jc w:val="both"/>
              <w:rPr>
                <w:rFonts w:ascii="Verdana" w:eastAsia="Aptos" w:hAnsi="Verdana" w:cs="Times New Roman"/>
              </w:rPr>
            </w:pPr>
            <w:r w:rsidRPr="00E32781">
              <w:rPr>
                <w:rFonts w:ascii="Verdana" w:eastAsia="Calibri" w:hAnsi="Verdana" w:cs="Arial"/>
                <w:bCs/>
                <w:color w:val="000000"/>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w:t>
            </w:r>
            <w:r w:rsidRPr="00E32781">
              <w:rPr>
                <w:rFonts w:ascii="Verdana" w:eastAsia="Calibri" w:hAnsi="Verdana" w:cs="Arial"/>
                <w:bCs/>
                <w:color w:val="000000"/>
              </w:rPr>
              <w:lastRenderedPageBreak/>
              <w:t>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5E9C680" w14:textId="77777777" w:rsidR="00E32781" w:rsidRPr="00E32781" w:rsidRDefault="00E32781" w:rsidP="00E32781">
            <w:pPr>
              <w:spacing w:line="276" w:lineRule="auto"/>
              <w:ind w:firstLine="709"/>
              <w:jc w:val="both"/>
              <w:rPr>
                <w:rFonts w:ascii="Verdana" w:eastAsia="Calibri" w:hAnsi="Verdana" w:cs="Arial"/>
                <w:bCs/>
                <w:color w:val="000000"/>
              </w:rPr>
            </w:pPr>
            <w:r w:rsidRPr="00E32781">
              <w:rPr>
                <w:rFonts w:ascii="Verdana" w:eastAsia="Calibri" w:hAnsi="Verdana" w:cs="Arial"/>
                <w:bCs/>
                <w:color w:val="000000"/>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59A7BBCE" w14:textId="77777777" w:rsidR="00E32781" w:rsidRPr="00E32781" w:rsidRDefault="00E32781" w:rsidP="00E32781">
      <w:pPr>
        <w:tabs>
          <w:tab w:val="left" w:pos="142"/>
          <w:tab w:val="left" w:pos="284"/>
        </w:tabs>
        <w:spacing w:after="0" w:line="276" w:lineRule="auto"/>
        <w:jc w:val="both"/>
        <w:rPr>
          <w:rFonts w:ascii="Verdana" w:eastAsia="Century Gothic" w:hAnsi="Verdana" w:cs="Century Gothic"/>
          <w:b/>
          <w:bCs/>
        </w:rPr>
      </w:pPr>
    </w:p>
    <w:p w14:paraId="12DCC161" w14:textId="77777777" w:rsidR="00E32781" w:rsidRPr="00E32781" w:rsidRDefault="00E32781" w:rsidP="00E32781">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E32781">
        <w:rPr>
          <w:rFonts w:ascii="Verdana" w:eastAsia="Century Gothic" w:hAnsi="Verdana" w:cs="Century Gothic"/>
          <w:b/>
          <w:bCs/>
        </w:rPr>
        <w:t>Razones de la respuesta:</w:t>
      </w:r>
    </w:p>
    <w:p w14:paraId="39F35D29" w14:textId="77777777" w:rsidR="00E32781" w:rsidRPr="00E32781" w:rsidRDefault="00E32781" w:rsidP="00E32781">
      <w:pPr>
        <w:spacing w:after="0" w:line="276" w:lineRule="auto"/>
        <w:jc w:val="both"/>
        <w:rPr>
          <w:rFonts w:ascii="Verdana" w:eastAsia="Calibri" w:hAnsi="Verdana" w:cs="Arial"/>
          <w:lang w:val="es-ES"/>
        </w:rPr>
      </w:pPr>
    </w:p>
    <w:p w14:paraId="4849CD34" w14:textId="77777777" w:rsidR="00E32781" w:rsidRPr="00E32781" w:rsidRDefault="00E32781" w:rsidP="00E32781">
      <w:pPr>
        <w:spacing w:after="0" w:line="276" w:lineRule="auto"/>
        <w:jc w:val="both"/>
        <w:rPr>
          <w:rFonts w:ascii="Verdana" w:eastAsia="Calibri" w:hAnsi="Verdana" w:cs="Arial"/>
          <w:lang w:val="es-ES"/>
        </w:rPr>
      </w:pPr>
      <w:r w:rsidRPr="00E32781">
        <w:rPr>
          <w:rFonts w:ascii="Verdana" w:eastAsia="Calibri" w:hAnsi="Verdana" w:cs="Arial"/>
          <w:lang w:val="es-ES"/>
        </w:rPr>
        <w:t xml:space="preserve">Lo anterior se sustenta en las siguientes consideraciones: </w:t>
      </w:r>
    </w:p>
    <w:p w14:paraId="52521F87" w14:textId="77777777" w:rsidR="00E32781" w:rsidRPr="00E32781" w:rsidRDefault="00E32781" w:rsidP="00E32781">
      <w:pPr>
        <w:spacing w:after="0" w:line="276" w:lineRule="auto"/>
        <w:jc w:val="both"/>
        <w:rPr>
          <w:rFonts w:ascii="Verdana" w:eastAsia="Calibri" w:hAnsi="Verdana" w:cs="Arial"/>
          <w:lang w:val="es-ES"/>
        </w:rPr>
      </w:pPr>
    </w:p>
    <w:p w14:paraId="33905D81" w14:textId="77777777" w:rsidR="00E32781" w:rsidRPr="00E32781" w:rsidRDefault="00E32781" w:rsidP="00E32781">
      <w:pPr>
        <w:spacing w:after="120" w:line="276" w:lineRule="auto"/>
        <w:jc w:val="both"/>
        <w:rPr>
          <w:rFonts w:ascii="Verdana" w:eastAsia="Aptos" w:hAnsi="Verdana" w:cs="Arial"/>
        </w:rPr>
      </w:pPr>
      <w:r w:rsidRPr="00E32781">
        <w:rPr>
          <w:rFonts w:ascii="Verdana" w:eastAsia="Aptos" w:hAnsi="Verdana" w:cs="Arial"/>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45FE113" w14:textId="77777777" w:rsidR="00E32781" w:rsidRPr="00E32781" w:rsidRDefault="00E32781" w:rsidP="00E32781">
      <w:pPr>
        <w:spacing w:after="120" w:line="276" w:lineRule="auto"/>
        <w:ind w:firstLine="708"/>
        <w:jc w:val="both"/>
        <w:rPr>
          <w:rFonts w:ascii="Verdana" w:eastAsia="Aptos" w:hAnsi="Verdana" w:cs="Arial"/>
          <w:lang w:val="es-ES"/>
        </w:rPr>
      </w:pPr>
      <w:r w:rsidRPr="00E32781">
        <w:rPr>
          <w:rFonts w:ascii="Verdana" w:eastAsia="Aptos" w:hAnsi="Verdana" w:cs="Arial"/>
          <w:lang w:val="es-ES"/>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2D4A6D1F" w14:textId="77777777" w:rsidR="00E32781" w:rsidRPr="00E32781" w:rsidRDefault="00E32781" w:rsidP="00E32781">
      <w:pPr>
        <w:spacing w:after="120" w:line="276" w:lineRule="auto"/>
        <w:ind w:firstLine="708"/>
        <w:jc w:val="both"/>
        <w:rPr>
          <w:rFonts w:ascii="Verdana" w:eastAsia="Calibri" w:hAnsi="Verdana" w:cs="Arial"/>
          <w:kern w:val="2"/>
          <w14:ligatures w14:val="standardContextual"/>
        </w:rPr>
      </w:pPr>
      <w:r w:rsidRPr="00E32781">
        <w:rPr>
          <w:rFonts w:ascii="Verdana" w:eastAsia="Aptos" w:hAnsi="Verdana" w:cs="Arial"/>
          <w:kern w:val="2"/>
          <w14:ligatures w14:val="standardContextual"/>
        </w:rPr>
        <w:lastRenderedPageBreak/>
        <w:t xml:space="preserve">Concretamente, </w:t>
      </w:r>
      <w:r w:rsidRPr="00E32781">
        <w:rPr>
          <w:rFonts w:ascii="Verdana" w:eastAsia="Calibri" w:hAnsi="Verdana" w:cs="Arial"/>
          <w:kern w:val="2"/>
          <w:lang w:val="es-MX"/>
          <w14:ligatures w14:val="standardContextual"/>
        </w:rPr>
        <w:t xml:space="preserve">la Agencia Nacional de Contratación Pública – Colombia Compra </w:t>
      </w:r>
      <w:r w:rsidRPr="00E32781">
        <w:rPr>
          <w:rFonts w:ascii="Verdana" w:eastAsia="Calibri" w:hAnsi="Verdana" w:cs="Arial"/>
          <w:kern w:val="2"/>
          <w14:ligatures w14:val="standardContextual"/>
        </w:rPr>
        <w:t>Eficiente expidió los siguientes Documentos Tipo que se encuentran vigentes:</w:t>
      </w:r>
    </w:p>
    <w:p w14:paraId="1B490239"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r w:rsidRPr="00E32781">
        <w:rPr>
          <w:rFonts w:ascii="Verdana" w:eastAsia="Aptos" w:hAnsi="Verdana" w:cs="Arial"/>
          <w:kern w:val="2"/>
          <w14:ligatures w14:val="standardContextual"/>
        </w:rPr>
        <w:t>i. Sector de Infraestructura de Transporte:</w:t>
      </w:r>
    </w:p>
    <w:p w14:paraId="5AE714E1"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r w:rsidRPr="00E32781">
        <w:rPr>
          <w:rFonts w:ascii="Verdana" w:eastAsia="Aptos" w:hAnsi="Verdana" w:cs="Arial"/>
          <w:kern w:val="2"/>
          <w14:ligatures w14:val="standardContextual"/>
        </w:rPr>
        <w:t>Resolución 456 del 10 de septiembre de 2024: “Por la cual se adopta la versión 4 de los documentos tipo para los procesos de selección de licitación de obra pública de infraestructura de transporte y se deroga la Resolución 240 de 2020”.</w:t>
      </w:r>
    </w:p>
    <w:p w14:paraId="6E18E336"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r w:rsidRPr="00E32781">
        <w:rPr>
          <w:rFonts w:ascii="Verdana" w:eastAsia="Aptos" w:hAnsi="Verdana" w:cs="Arial"/>
          <w:kern w:val="2"/>
          <w14:ligatures w14:val="standardContextual"/>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4BD188E6"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r w:rsidRPr="00E32781">
        <w:rPr>
          <w:rFonts w:ascii="Verdana" w:eastAsia="Aptos" w:hAnsi="Verdana" w:cs="Arial"/>
          <w:kern w:val="2"/>
          <w14:ligatures w14:val="standardContextual"/>
        </w:rPr>
        <w:t xml:space="preserve">Resolución 464 del 10 de septiembre de 2024: “Por la cual se actualizan los documentos tipo para los procesos de obra pública de infraestructura de transporte adelantados bajo la modalidad de mínima cuantía”. </w:t>
      </w:r>
    </w:p>
    <w:p w14:paraId="407DCA2E"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r w:rsidRPr="00E32781">
        <w:rPr>
          <w:rFonts w:ascii="Verdana" w:eastAsia="Aptos" w:hAnsi="Verdana" w:cs="Arial"/>
          <w:kern w:val="2"/>
          <w14:ligatures w14:val="standardContextual"/>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34C20C65"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r w:rsidRPr="00E32781">
        <w:rPr>
          <w:rFonts w:ascii="Verdana" w:eastAsia="Aptos" w:hAnsi="Verdana" w:cs="Arial"/>
          <w:kern w:val="2"/>
          <w14:ligatures w14:val="standardContextual"/>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136255B0"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proofErr w:type="spellStart"/>
      <w:r w:rsidRPr="00E32781">
        <w:rPr>
          <w:rFonts w:ascii="Verdana" w:eastAsia="Aptos" w:hAnsi="Verdana" w:cs="Arial"/>
          <w:kern w:val="2"/>
          <w14:ligatures w14:val="standardContextual"/>
        </w:rPr>
        <w:t>ii</w:t>
      </w:r>
      <w:proofErr w:type="spellEnd"/>
      <w:r w:rsidRPr="00E32781">
        <w:rPr>
          <w:rFonts w:ascii="Verdana" w:eastAsia="Aptos" w:hAnsi="Verdana" w:cs="Arial"/>
          <w:kern w:val="2"/>
          <w14:ligatures w14:val="standardContextual"/>
        </w:rPr>
        <w:t>. Sector de Infraestructura de Agua Potable y Saneamiento Básico:</w:t>
      </w:r>
    </w:p>
    <w:p w14:paraId="3E7DEFFE"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r w:rsidRPr="00E32781">
        <w:rPr>
          <w:rFonts w:ascii="Verdana" w:eastAsia="Aptos" w:hAnsi="Verdana" w:cs="Arial"/>
          <w:kern w:val="2"/>
          <w14:ligatures w14:val="standardContextual"/>
        </w:rPr>
        <w:t>Resolución 248 del 1 de diciembre de 2020: "Por la cual se adoptan los documentos tipo para los procesos de licitación pública para obras de infraestructura de agua potable y saneamiento básico"</w:t>
      </w:r>
    </w:p>
    <w:p w14:paraId="006CBFD0"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r w:rsidRPr="00E32781">
        <w:rPr>
          <w:rFonts w:ascii="Verdana" w:eastAsia="Aptos" w:hAnsi="Verdana" w:cs="Arial"/>
          <w:kern w:val="2"/>
          <w14:ligatures w14:val="standardContextual"/>
        </w:rPr>
        <w:t xml:space="preserve"> Resolución 249 del 1 de diciembre de 2020: “"Por la cual se adoptan los documentos tipo para los procesos de licitación pública para obras de infraestructura de agua potable y saneamiento básico en la modalidad de llave en mano".</w:t>
      </w:r>
    </w:p>
    <w:p w14:paraId="67074E8D"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r w:rsidRPr="00E32781">
        <w:rPr>
          <w:rFonts w:ascii="Verdana" w:eastAsia="Aptos" w:hAnsi="Verdana" w:cs="Arial"/>
          <w:kern w:val="2"/>
          <w14:ligatures w14:val="standardContextual"/>
        </w:rPr>
        <w:lastRenderedPageBreak/>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1E5D55B6"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r w:rsidRPr="00E32781">
        <w:rPr>
          <w:rFonts w:ascii="Verdana" w:eastAsia="Aptos" w:hAnsi="Verdana" w:cs="Arial"/>
          <w:kern w:val="2"/>
          <w14:ligatures w14:val="standardContextual"/>
        </w:rPr>
        <w:t>Resolución 546 del 14 de septiembre de 2026</w:t>
      </w:r>
      <w:r w:rsidRPr="00E32781">
        <w:rPr>
          <w:rFonts w:ascii="Verdana" w:eastAsia="Aptos" w:hAnsi="Verdana" w:cs="Times New Roman"/>
          <w:kern w:val="2"/>
          <w14:ligatures w14:val="standardContextual"/>
        </w:rPr>
        <w:t xml:space="preserve"> “Por la cual se adopta la versión -2- de los documentos tipo para los procesos de contratación de infraestructura de agua, saneamiento básico y estructuras hidráulicas que se adelantan por la modalidad de licitación pública o licitación pública bajo el esquema llave en mano; y se derogan las Resoluciones 248 de 2020 y 249 de 2020”</w:t>
      </w:r>
      <w:r w:rsidRPr="00E32781">
        <w:rPr>
          <w:rFonts w:ascii="Verdana" w:eastAsia="Aptos" w:hAnsi="Verdana" w:cs="Arial"/>
          <w:kern w:val="2"/>
          <w14:ligatures w14:val="standardContextual"/>
        </w:rPr>
        <w:t xml:space="preserve">. De acuerdo con el artículo 8 “vigencia” de la citada Resolución, estos rigen “(…) </w:t>
      </w:r>
      <w:r w:rsidRPr="00E32781">
        <w:rPr>
          <w:rFonts w:ascii="Verdana" w:eastAsia="Aptos" w:hAnsi="Verdana" w:cs="Times New Roman"/>
          <w:kern w:val="2"/>
          <w14:ligatures w14:val="standardContextual"/>
        </w:rPr>
        <w:t>a partir de su publicación y aplicará a los procedimientos de selección de infraestructura de agua, saneamiento básico y estructuras hidráulicas que se adelantan por la modalidad de licitación pública o licitación pública bajo el esquema llave en mano, cuyo aviso de convocatoria sea publicado a partir del 01 de marzo de 2027”.</w:t>
      </w:r>
      <w:r w:rsidRPr="00E32781">
        <w:rPr>
          <w:rFonts w:ascii="Aptos" w:eastAsia="Aptos" w:hAnsi="Aptos" w:cs="Times New Roman"/>
          <w:kern w:val="2"/>
          <w14:ligatures w14:val="standardContextual"/>
        </w:rPr>
        <w:t xml:space="preserve"> </w:t>
      </w:r>
    </w:p>
    <w:p w14:paraId="7DADE7ED"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proofErr w:type="spellStart"/>
      <w:r w:rsidRPr="00E32781">
        <w:rPr>
          <w:rFonts w:ascii="Verdana" w:eastAsia="Aptos" w:hAnsi="Verdana" w:cs="Arial"/>
          <w:kern w:val="2"/>
          <w14:ligatures w14:val="standardContextual"/>
        </w:rPr>
        <w:t>iii</w:t>
      </w:r>
      <w:proofErr w:type="spellEnd"/>
      <w:r w:rsidRPr="00E32781">
        <w:rPr>
          <w:rFonts w:ascii="Verdana" w:eastAsia="Aptos" w:hAnsi="Verdana" w:cs="Arial"/>
          <w:kern w:val="2"/>
          <w14:ligatures w14:val="standardContextual"/>
        </w:rPr>
        <w:t xml:space="preserve">. Sector de Infraestructura Social: </w:t>
      </w:r>
    </w:p>
    <w:p w14:paraId="13A773E0"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r w:rsidRPr="00E32781">
        <w:rPr>
          <w:rFonts w:ascii="Verdana" w:eastAsia="Aptos" w:hAnsi="Verdana" w:cs="Arial"/>
          <w:kern w:val="2"/>
          <w14:ligatures w14:val="standardContextual"/>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1A1506C2"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r w:rsidRPr="00E32781">
        <w:rPr>
          <w:rFonts w:ascii="Verdana" w:eastAsia="Aptos" w:hAnsi="Verdana" w:cs="Arial"/>
          <w:kern w:val="2"/>
          <w14:ligatures w14:val="standardContextual"/>
        </w:rPr>
        <w:t xml:space="preserve"> </w:t>
      </w:r>
      <w:proofErr w:type="spellStart"/>
      <w:r w:rsidRPr="00E32781">
        <w:rPr>
          <w:rFonts w:ascii="Verdana" w:eastAsia="Aptos" w:hAnsi="Verdana" w:cs="Arial"/>
          <w:kern w:val="2"/>
          <w14:ligatures w14:val="standardContextual"/>
        </w:rPr>
        <w:t>ii</w:t>
      </w:r>
      <w:proofErr w:type="spellEnd"/>
      <w:r w:rsidRPr="00E32781">
        <w:rPr>
          <w:rFonts w:ascii="Verdana" w:eastAsia="Aptos" w:hAnsi="Verdana" w:cs="Arial"/>
          <w:kern w:val="2"/>
          <w14:ligatures w14:val="standardContextual"/>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33B104AA"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proofErr w:type="spellStart"/>
      <w:r w:rsidRPr="00E32781">
        <w:rPr>
          <w:rFonts w:ascii="Verdana" w:eastAsia="Aptos" w:hAnsi="Verdana" w:cs="Arial"/>
          <w:kern w:val="2"/>
          <w14:ligatures w14:val="standardContextual"/>
        </w:rPr>
        <w:t>iii</w:t>
      </w:r>
      <w:proofErr w:type="spellEnd"/>
      <w:r w:rsidRPr="00E32781">
        <w:rPr>
          <w:rFonts w:ascii="Verdana" w:eastAsia="Aptos" w:hAnsi="Verdana" w:cs="Arial"/>
          <w:kern w:val="2"/>
          <w14:ligatures w14:val="standardContextual"/>
        </w:rPr>
        <w:t xml:space="preserve">) Resolución 541 del 21 de agosto de 2025 “Por la cual se adoptan los documentos tipo para los procesos de mínima cuantía de obra pública de infraestructura social; y los documentos tipo complementarios para los procesos </w:t>
      </w:r>
      <w:r w:rsidRPr="00E32781">
        <w:rPr>
          <w:rFonts w:ascii="Verdana" w:eastAsia="Aptos" w:hAnsi="Verdana" w:cs="Arial"/>
          <w:kern w:val="2"/>
          <w14:ligatures w14:val="standardContextual"/>
        </w:rPr>
        <w:lastRenderedPageBreak/>
        <w:t xml:space="preserve">de mínima cuantía de obra pública de infraestructura social relacionados con los sectores educación, salud, cultura, recreación y deporte, institucional y vivienda”. </w:t>
      </w:r>
    </w:p>
    <w:p w14:paraId="290CAC79"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proofErr w:type="spellStart"/>
      <w:r w:rsidRPr="00E32781">
        <w:rPr>
          <w:rFonts w:ascii="Verdana" w:eastAsia="Aptos" w:hAnsi="Verdana" w:cs="Arial"/>
          <w:kern w:val="2"/>
          <w14:ligatures w14:val="standardContextual"/>
        </w:rPr>
        <w:t>iv</w:t>
      </w:r>
      <w:proofErr w:type="spellEnd"/>
      <w:r w:rsidRPr="00E32781">
        <w:rPr>
          <w:rFonts w:ascii="Verdana" w:eastAsia="Aptos" w:hAnsi="Verdana" w:cs="Arial"/>
          <w:kern w:val="2"/>
          <w14:ligatures w14:val="standardContextual"/>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66417911"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r w:rsidRPr="00E32781">
        <w:rPr>
          <w:rFonts w:ascii="Verdana" w:eastAsia="Aptos" w:hAnsi="Verdana" w:cs="Arial"/>
          <w:kern w:val="2"/>
          <w14:ligatures w14:val="standardContextual"/>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 </w:t>
      </w:r>
    </w:p>
    <w:p w14:paraId="78CE7C94"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proofErr w:type="spellStart"/>
      <w:r w:rsidRPr="00E32781">
        <w:rPr>
          <w:rFonts w:ascii="Verdana" w:eastAsia="Aptos" w:hAnsi="Verdana" w:cs="Arial"/>
          <w:kern w:val="2"/>
          <w14:ligatures w14:val="standardContextual"/>
        </w:rPr>
        <w:t>iv</w:t>
      </w:r>
      <w:proofErr w:type="spellEnd"/>
      <w:r w:rsidRPr="00E32781">
        <w:rPr>
          <w:rFonts w:ascii="Verdana" w:eastAsia="Aptos" w:hAnsi="Verdana" w:cs="Arial"/>
          <w:kern w:val="2"/>
          <w14:ligatures w14:val="standardContextual"/>
        </w:rPr>
        <w:t>. Documentos tipo para la contratación directa de convenios solidarios:</w:t>
      </w:r>
    </w:p>
    <w:p w14:paraId="248E4030" w14:textId="77777777" w:rsidR="00E32781" w:rsidRPr="00E32781" w:rsidRDefault="00E32781" w:rsidP="00E32781">
      <w:pPr>
        <w:spacing w:after="120" w:line="276" w:lineRule="auto"/>
        <w:ind w:firstLine="708"/>
        <w:jc w:val="both"/>
        <w:rPr>
          <w:rFonts w:ascii="Verdana" w:eastAsia="Aptos" w:hAnsi="Verdana" w:cs="Times New Roman"/>
          <w:kern w:val="2"/>
          <w14:ligatures w14:val="standardContextual"/>
        </w:rPr>
      </w:pPr>
      <w:r w:rsidRPr="00E32781">
        <w:rPr>
          <w:rFonts w:ascii="Verdana" w:eastAsia="Aptos" w:hAnsi="Verdana" w:cs="Arial"/>
          <w:kern w:val="2"/>
          <w14:ligatures w14:val="standardContextual"/>
        </w:rPr>
        <w:t>Resolución 358 del 30 de junio de 2023 “</w:t>
      </w:r>
      <w:r w:rsidRPr="00E32781">
        <w:rPr>
          <w:rFonts w:ascii="Verdana" w:eastAsia="Aptos" w:hAnsi="Verdana" w:cs="Times New Roman"/>
          <w:kern w:val="2"/>
          <w14:ligatures w14:val="standardContextual"/>
        </w:rPr>
        <w:t xml:space="preserve">Por la cual se adopta el documento tipo para la contratación directa de convenios solidarios para la ejecución de obras hasta la menor cuantía con organismos de acción comunal”. </w:t>
      </w:r>
    </w:p>
    <w:p w14:paraId="00414609" w14:textId="77777777" w:rsidR="00E32781" w:rsidRPr="00E32781" w:rsidRDefault="00E32781" w:rsidP="00E32781">
      <w:pPr>
        <w:spacing w:after="120" w:line="276" w:lineRule="auto"/>
        <w:ind w:firstLine="708"/>
        <w:jc w:val="both"/>
        <w:rPr>
          <w:rFonts w:ascii="Verdana" w:eastAsia="Aptos" w:hAnsi="Verdana" w:cs="Times New Roman"/>
          <w:kern w:val="2"/>
          <w14:ligatures w14:val="standardContextual"/>
        </w:rPr>
      </w:pPr>
      <w:r w:rsidRPr="00E32781">
        <w:rPr>
          <w:rFonts w:ascii="Verdana" w:eastAsia="Aptos" w:hAnsi="Verdana" w:cs="Times New Roman"/>
          <w:kern w:val="2"/>
          <w14:ligatures w14:val="standardContextual"/>
        </w:rPr>
        <w:t xml:space="preserve">v. Documentos tipo de gestión catastral: </w:t>
      </w:r>
    </w:p>
    <w:p w14:paraId="63287D84" w14:textId="77777777" w:rsidR="00E32781" w:rsidRPr="00E32781" w:rsidRDefault="00E32781" w:rsidP="00E32781">
      <w:pPr>
        <w:spacing w:after="120" w:line="276" w:lineRule="auto"/>
        <w:ind w:firstLine="708"/>
        <w:jc w:val="both"/>
        <w:rPr>
          <w:rFonts w:ascii="Verdana" w:eastAsia="Aptos" w:hAnsi="Verdana" w:cs="Arial"/>
          <w:kern w:val="2"/>
          <w14:ligatures w14:val="standardContextual"/>
        </w:rPr>
      </w:pPr>
      <w:r w:rsidRPr="00E32781">
        <w:rPr>
          <w:rFonts w:ascii="Verdana" w:eastAsia="Aptos" w:hAnsi="Verdana" w:cs="Arial"/>
          <w:kern w:val="2"/>
          <w14:ligatures w14:val="standardContextual"/>
        </w:rPr>
        <w:t xml:space="preserve">Resolución 269 del 16 de diciembre de 2020 “Por la cual se adopta el documento tipo para los procesos de gestión catastral con enfoque multipropósito que se celebren a través de contratos interadministrativos”. </w:t>
      </w:r>
    </w:p>
    <w:p w14:paraId="23641E47" w14:textId="77777777" w:rsidR="00E32781" w:rsidRPr="00E32781" w:rsidRDefault="00E32781" w:rsidP="00E32781">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E32781">
        <w:rPr>
          <w:rFonts w:ascii="Verdana" w:eastAsia="Calibri" w:hAnsi="Verdana" w:cs="Times New Roman"/>
          <w:kern w:val="2"/>
          <w:lang w:val="es-ES"/>
          <w14:ligatures w14:val="standardContextual"/>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E32781">
        <w:rPr>
          <w:rFonts w:ascii="Verdana" w:eastAsia="Calibri" w:hAnsi="Verdana" w:cs="Times New Roman"/>
          <w:kern w:val="2"/>
          <w:shd w:val="clear" w:color="auto" w:fill="E8E8E8"/>
          <w:lang w:val="es-ES"/>
          <w14:ligatures w14:val="standardContextual"/>
        </w:rPr>
        <w:t>–[texto]–,</w:t>
      </w:r>
      <w:r w:rsidRPr="00E32781">
        <w:rPr>
          <w:rFonts w:ascii="Verdana" w:eastAsia="Calibri" w:hAnsi="Verdana" w:cs="Times New Roman"/>
          <w:kern w:val="2"/>
          <w:lang w:val="es-ES"/>
          <w14:ligatures w14:val="standardContextual"/>
        </w:rPr>
        <w:t xml:space="preserve"> para lo cual deberán observarse las instrucciones contenidas en los mismos para su diligenciamiento.</w:t>
      </w:r>
    </w:p>
    <w:p w14:paraId="52EA4C2E" w14:textId="77777777" w:rsidR="00E32781" w:rsidRPr="00E32781" w:rsidRDefault="00E32781" w:rsidP="00E32781">
      <w:pPr>
        <w:widowControl w:val="0"/>
        <w:autoSpaceDE w:val="0"/>
        <w:autoSpaceDN w:val="0"/>
        <w:spacing w:after="120" w:line="276" w:lineRule="auto"/>
        <w:ind w:firstLine="708"/>
        <w:jc w:val="both"/>
        <w:rPr>
          <w:rFonts w:ascii="Verdana" w:eastAsia="Calibri" w:hAnsi="Verdana" w:cs="Times New Roman"/>
          <w:kern w:val="2"/>
          <w:lang w:val="es-ES"/>
          <w14:ligatures w14:val="standardContextual"/>
        </w:rPr>
      </w:pPr>
      <w:r w:rsidRPr="00E32781">
        <w:rPr>
          <w:rFonts w:ascii="Verdana" w:eastAsia="Calibri" w:hAnsi="Verdana" w:cs="Times New Roman"/>
          <w:kern w:val="2"/>
          <w:lang w:val="es-ES"/>
          <w14:ligatures w14:val="standardContextual"/>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w:t>
      </w:r>
      <w:r w:rsidRPr="00E32781">
        <w:rPr>
          <w:rFonts w:ascii="Verdana" w:eastAsia="Calibri" w:hAnsi="Verdana" w:cs="Times New Roman"/>
          <w:kern w:val="2"/>
          <w:lang w:val="es-ES"/>
          <w14:ligatures w14:val="standardContextual"/>
        </w:rPr>
        <w:lastRenderedPageBreak/>
        <w:t xml:space="preserve">alteración. </w:t>
      </w:r>
    </w:p>
    <w:p w14:paraId="01795802" w14:textId="77777777" w:rsidR="00E32781" w:rsidRPr="00E32781" w:rsidRDefault="00E32781" w:rsidP="00E32781">
      <w:pPr>
        <w:spacing w:after="0" w:line="276" w:lineRule="auto"/>
        <w:ind w:firstLine="708"/>
        <w:jc w:val="both"/>
        <w:rPr>
          <w:rFonts w:ascii="Aptos" w:eastAsia="Aptos" w:hAnsi="Aptos" w:cs="Times New Roman"/>
          <w:kern w:val="2"/>
          <w14:ligatures w14:val="standardContextual"/>
        </w:rPr>
      </w:pPr>
      <w:r w:rsidRPr="00E32781">
        <w:rPr>
          <w:rFonts w:ascii="Verdana" w:eastAsia="Aptos" w:hAnsi="Verdana" w:cs="Arial"/>
          <w:kern w:val="2"/>
          <w14:ligatures w14:val="standardContextual"/>
        </w:rPr>
        <w:t xml:space="preserve">Finalmente, en el sector de infraestructura de agua, saneamiento básico y estructuras hidráulicas, la Agencia Nacional de Contratación Pública – Colombia Compra Eficiente mediante la Resolución 546 del 14 de septiembre de 2026, adoptó la versión 2 de los de los documentos tipo para los procesos de contratación de infraestructura de agua, saneamiento básico y estructuras hidráulicas que se adelantan por la modalidad de licitación pública o licitación pública bajo el esquema llave en mano. De acuerdo con el artículo 8 “vigencia” de la citada Resolución, estos rigen “(…) </w:t>
      </w:r>
      <w:r w:rsidRPr="00E32781">
        <w:rPr>
          <w:rFonts w:ascii="Verdana" w:eastAsia="Aptos" w:hAnsi="Verdana" w:cs="Times New Roman"/>
          <w:kern w:val="2"/>
          <w14:ligatures w14:val="standardContextual"/>
        </w:rPr>
        <w:t>a partir de su publicación y aplicará a los procedimientos de selección de infraestructura de agua, saneamiento básico y estructuras hidráulicas que se adelantan por la modalidad de licitación pública o licitación pública bajo el esquema llave en mano, cuyo aviso de convocatoria sea publicado a partir del 01 de marzo de 2027.</w:t>
      </w:r>
      <w:r w:rsidRPr="00E32781">
        <w:rPr>
          <w:rFonts w:ascii="Aptos" w:eastAsia="Aptos" w:hAnsi="Aptos" w:cs="Times New Roman"/>
          <w:kern w:val="2"/>
          <w14:ligatures w14:val="standardContextual"/>
        </w:rPr>
        <w:t xml:space="preserve"> </w:t>
      </w:r>
    </w:p>
    <w:p w14:paraId="2731E94B" w14:textId="77777777" w:rsidR="00E32781" w:rsidRPr="00E32781" w:rsidRDefault="00E32781" w:rsidP="00E32781">
      <w:pPr>
        <w:spacing w:after="0" w:line="276" w:lineRule="auto"/>
        <w:ind w:firstLine="708"/>
        <w:jc w:val="both"/>
        <w:rPr>
          <w:rFonts w:ascii="Verdana" w:eastAsia="Aptos" w:hAnsi="Verdana" w:cs="Arial"/>
          <w:kern w:val="2"/>
          <w:sz w:val="24"/>
          <w:szCs w:val="24"/>
          <w14:ligatures w14:val="standardContextual"/>
        </w:rPr>
      </w:pPr>
    </w:p>
    <w:p w14:paraId="40CFAE4D" w14:textId="77777777" w:rsidR="00E32781" w:rsidRPr="00E32781" w:rsidRDefault="00E32781" w:rsidP="00E32781">
      <w:pPr>
        <w:widowControl w:val="0"/>
        <w:autoSpaceDE w:val="0"/>
        <w:autoSpaceDN w:val="0"/>
        <w:spacing w:after="120" w:line="276" w:lineRule="auto"/>
        <w:jc w:val="both"/>
        <w:rPr>
          <w:rFonts w:ascii="Verdana" w:eastAsia="Calibri" w:hAnsi="Verdana" w:cs="Times New Roman"/>
          <w:lang w:val="es-ES"/>
        </w:rPr>
      </w:pPr>
      <w:proofErr w:type="spellStart"/>
      <w:r w:rsidRPr="00E32781">
        <w:rPr>
          <w:rFonts w:ascii="Verdana" w:eastAsia="Calibri" w:hAnsi="Verdana" w:cs="Times New Roman"/>
          <w:lang w:val="es-ES"/>
        </w:rPr>
        <w:t>ii</w:t>
      </w:r>
      <w:proofErr w:type="spellEnd"/>
      <w:r w:rsidRPr="00E32781">
        <w:rPr>
          <w:rFonts w:ascii="Verdana" w:eastAsia="Calibri" w:hAnsi="Verdana" w:cs="Times New Roman"/>
          <w:lang w:val="es-ES"/>
        </w:rPr>
        <w:t>. 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A5E8CF5" w14:textId="77777777" w:rsidR="00E32781" w:rsidRPr="00E32781" w:rsidRDefault="00E32781" w:rsidP="00E32781">
      <w:pPr>
        <w:widowControl w:val="0"/>
        <w:autoSpaceDE w:val="0"/>
        <w:autoSpaceDN w:val="0"/>
        <w:spacing w:after="120" w:line="276" w:lineRule="auto"/>
        <w:ind w:firstLine="708"/>
        <w:jc w:val="both"/>
        <w:rPr>
          <w:rFonts w:ascii="Verdana" w:eastAsia="Calibri" w:hAnsi="Verdana" w:cs="Times New Roman"/>
          <w:lang w:val="es-ES"/>
        </w:rPr>
      </w:pPr>
      <w:r w:rsidRPr="00E32781">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18529874" w14:textId="77777777" w:rsidR="00E32781" w:rsidRPr="00E32781" w:rsidRDefault="00E32781" w:rsidP="00E32781">
      <w:pPr>
        <w:widowControl w:val="0"/>
        <w:autoSpaceDE w:val="0"/>
        <w:autoSpaceDN w:val="0"/>
        <w:spacing w:after="120" w:line="276" w:lineRule="auto"/>
        <w:ind w:firstLine="708"/>
        <w:jc w:val="both"/>
        <w:rPr>
          <w:rFonts w:ascii="Verdana" w:eastAsia="Calibri" w:hAnsi="Verdana" w:cs="Times New Roman"/>
          <w:lang w:val="es-ES"/>
        </w:rPr>
      </w:pPr>
      <w:r w:rsidRPr="00E32781">
        <w:rPr>
          <w:rFonts w:ascii="Verdana" w:eastAsia="Calibri" w:hAnsi="Verdana" w:cs="Times New Roman"/>
          <w:lang w:val="es-ES"/>
        </w:rPr>
        <w:t xml:space="preserve">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w:t>
      </w:r>
      <w:r w:rsidRPr="00E32781">
        <w:rPr>
          <w:rFonts w:ascii="Verdana" w:eastAsia="Calibri" w:hAnsi="Verdana" w:cs="Times New Roman"/>
          <w:lang w:val="es-ES"/>
        </w:rPr>
        <w:lastRenderedPageBreak/>
        <w:t>obligatoriamente, deben contratarse aplicando Documentos Tipo.</w:t>
      </w:r>
    </w:p>
    <w:p w14:paraId="33AF60F3" w14:textId="77777777" w:rsidR="00E32781" w:rsidRPr="00E32781" w:rsidRDefault="00E32781" w:rsidP="00E32781">
      <w:pPr>
        <w:widowControl w:val="0"/>
        <w:autoSpaceDE w:val="0"/>
        <w:autoSpaceDN w:val="0"/>
        <w:spacing w:after="0" w:line="276" w:lineRule="auto"/>
        <w:ind w:firstLine="708"/>
        <w:jc w:val="both"/>
        <w:rPr>
          <w:rFonts w:ascii="Verdana" w:eastAsia="Calibri" w:hAnsi="Verdana" w:cs="Times New Roman"/>
          <w:lang w:val="es-ES"/>
        </w:rPr>
      </w:pPr>
      <w:r w:rsidRPr="00E32781">
        <w:rPr>
          <w:rFonts w:ascii="Verdana" w:eastAsia="Calibri" w:hAnsi="Verdana" w:cs="Times New Roman"/>
          <w:lang w:val="es-ES"/>
        </w:rPr>
        <w:t>De esta manera, para saber a qué actividades deben aplicarse los Documentos Tipo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6A2716B4" w14:textId="77777777" w:rsidR="00E32781" w:rsidRPr="00E32781" w:rsidRDefault="00E32781" w:rsidP="00E32781">
      <w:pPr>
        <w:snapToGrid w:val="0"/>
        <w:spacing w:after="120" w:line="276" w:lineRule="auto"/>
        <w:jc w:val="both"/>
        <w:rPr>
          <w:rFonts w:ascii="Verdana" w:eastAsia="Aptos" w:hAnsi="Verdana" w:cs="Arial"/>
          <w:color w:val="000000"/>
          <w:kern w:val="2"/>
          <w14:ligatures w14:val="standardContextual"/>
        </w:rPr>
      </w:pPr>
      <w:proofErr w:type="spellStart"/>
      <w:r w:rsidRPr="00E32781">
        <w:rPr>
          <w:rFonts w:ascii="Verdana" w:eastAsia="Calibri" w:hAnsi="Verdana" w:cs="Times New Roman"/>
          <w:lang w:val="es-ES"/>
        </w:rPr>
        <w:t>iii</w:t>
      </w:r>
      <w:proofErr w:type="spellEnd"/>
      <w:r w:rsidRPr="00E32781">
        <w:rPr>
          <w:rFonts w:ascii="Verdana" w:eastAsia="Calibri" w:hAnsi="Verdana" w:cs="Times New Roman"/>
          <w:lang w:val="es-ES"/>
        </w:rPr>
        <w:t xml:space="preserve">. En relación con el primer problema jurídico planteado en este concepto, esto es, si la Agencia Nacional de Contratación Pública – Colombia Compra Eficiente ha adoptado documentos tipo aplicables a un proceso que tiene por objeto “(…) </w:t>
      </w:r>
      <w:r w:rsidRPr="00E32781">
        <w:rPr>
          <w:rFonts w:ascii="Verdana" w:eastAsia="Aptos" w:hAnsi="Verdana" w:cs="Times New Roman"/>
          <w:kern w:val="2"/>
          <w14:ligatures w14:val="standardContextual"/>
        </w:rPr>
        <w:t>la construcción de redes de media tensión a 13.200 V y de baja tensión a 220/120 V, el suministro e hincado de apoyos en concreto, el montaje de estructuras de distribución, el tendido de conductores, la instalación de transformadores de distribución, puestas a tierra, acometidas y equipos de medida, así como la certificación RETIE”, esta Agencia analizará la solicitud considerando los documentos tipo de los sectores de infraestructura de transporte y de infraestructura social, por ser aquellos en cuyas matrices de experiencia podría en principio, subsumirse el objeto consultado, en los siguientes términos:</w:t>
      </w:r>
    </w:p>
    <w:p w14:paraId="789EDBB7" w14:textId="77777777" w:rsidR="00E32781" w:rsidRPr="00E32781" w:rsidRDefault="00E32781" w:rsidP="00E32781">
      <w:pPr>
        <w:spacing w:after="120" w:line="276" w:lineRule="auto"/>
        <w:ind w:firstLine="644"/>
        <w:jc w:val="both"/>
        <w:rPr>
          <w:rFonts w:ascii="Verdana" w:eastAsia="Aptos" w:hAnsi="Verdana" w:cs="Arial"/>
          <w:color w:val="000000"/>
          <w:kern w:val="2"/>
          <w14:ligatures w14:val="standardContextual"/>
        </w:rPr>
      </w:pPr>
      <w:r w:rsidRPr="00E32781">
        <w:rPr>
          <w:rFonts w:ascii="Verdana" w:eastAsia="Aptos" w:hAnsi="Verdana" w:cs="Arial"/>
          <w:color w:val="000000"/>
          <w:kern w:val="2"/>
          <w14:ligatures w14:val="standardContextual"/>
        </w:rPr>
        <w:t>i). La parte introductoria del documento base de los documentos tipo adoptados mediante de la Resolución 465 del 10 de septiembre de 2024 dispone que estos “aplica(n) a los procesos de licitación de obra pública de infraestructura de transporte (versión 4), que correspondan a las actividades definidas en la Matriz 1 – Experiencia. En consecuencia, para las actividades de infraestructura de transporte no contempladas en la Matriz 1 – Experiencia no tienen que aplicar los documentos tipo; sin perjuicio de lo previsto en el artículo 2.2.1.2.6.1.5. del Decreto 1082 de 2015”. Así para determinar si estos documentos tipo aplican, debe compararse el objeto contractual con las actividades estandarizadas en la Matriz 1 – Experiencia.</w:t>
      </w:r>
    </w:p>
    <w:p w14:paraId="01600401" w14:textId="77777777" w:rsidR="00E32781" w:rsidRPr="00E32781" w:rsidRDefault="00E32781" w:rsidP="00E32781">
      <w:pPr>
        <w:snapToGrid w:val="0"/>
        <w:spacing w:after="120" w:line="276" w:lineRule="auto"/>
        <w:ind w:firstLine="644"/>
        <w:jc w:val="both"/>
        <w:rPr>
          <w:rFonts w:ascii="Verdana" w:eastAsia="Times New Roman" w:hAnsi="Verdana" w:cs="Arial"/>
          <w:kern w:val="2"/>
          <w:shd w:val="clear" w:color="auto" w:fill="FFFFFF"/>
          <w:lang w:val="es-ES" w:eastAsia="es-ES"/>
          <w14:ligatures w14:val="standardContextual"/>
        </w:rPr>
      </w:pPr>
      <w:r w:rsidRPr="00E32781">
        <w:rPr>
          <w:rFonts w:ascii="Verdana" w:eastAsia="Calibri" w:hAnsi="Verdana" w:cs="Times New Roman"/>
          <w:lang w:val="es-ES"/>
        </w:rPr>
        <w:tab/>
      </w:r>
      <w:r w:rsidRPr="00E32781">
        <w:rPr>
          <w:rFonts w:ascii="Verdana" w:eastAsia="Aptos" w:hAnsi="Verdana" w:cs="Arial"/>
          <w:color w:val="000000"/>
          <w:kern w:val="2"/>
          <w14:ligatures w14:val="standardContextual"/>
        </w:rPr>
        <w:t xml:space="preserve">La Matriz 1 – Experiencia de los documentos tipo señalados, está constituida por nueve (9) tipos de obras de infraestructura de transporte, identificadas con un número y su descripción, estas son: 1) obras en vías </w:t>
      </w:r>
      <w:r w:rsidRPr="00E32781">
        <w:rPr>
          <w:rFonts w:ascii="Verdana" w:eastAsia="Aptos" w:hAnsi="Verdana" w:cs="Arial"/>
          <w:color w:val="000000"/>
          <w:kern w:val="2"/>
          <w14:ligatures w14:val="standardContextual"/>
        </w:rPr>
        <w:lastRenderedPageBreak/>
        <w:t xml:space="preserve">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8) obras aeroportuarias y 9) Obras en túneles. Estos tipos de obra delimitan el ámbito material de aplicación de los documentos tipo de infraestructura de transporte, dado que comprenden todas aquellas actividades que constituyen obra pública de infraestructura de transporte y que han sido objeto de estandarización mediante la Resolución </w:t>
      </w:r>
      <w:r w:rsidRPr="00E32781">
        <w:rPr>
          <w:rFonts w:ascii="Verdana" w:eastAsia="Calibri" w:hAnsi="Verdana" w:cs="Times New Roman"/>
          <w:lang w:val="es-ES"/>
        </w:rPr>
        <w:t>465 del 10 de septiembre de 2024.</w:t>
      </w:r>
    </w:p>
    <w:p w14:paraId="5B864BE4" w14:textId="77777777" w:rsidR="00E32781" w:rsidRPr="00E32781" w:rsidRDefault="00E32781" w:rsidP="00E32781">
      <w:pPr>
        <w:snapToGrid w:val="0"/>
        <w:spacing w:after="120" w:line="276" w:lineRule="auto"/>
        <w:ind w:firstLine="644"/>
        <w:jc w:val="both"/>
        <w:rPr>
          <w:rFonts w:ascii="Verdana" w:eastAsia="Aptos" w:hAnsi="Verdana" w:cs="Arial"/>
          <w:color w:val="000000"/>
          <w:kern w:val="2"/>
          <w14:ligatures w14:val="standardContextual"/>
        </w:rPr>
      </w:pPr>
      <w:r w:rsidRPr="00E32781">
        <w:rPr>
          <w:rFonts w:ascii="Verdana" w:eastAsia="Aptos" w:hAnsi="Verdana" w:cs="Arial"/>
          <w:color w:val="000000"/>
          <w:kern w:val="2"/>
          <w14:ligatures w14:val="standardContextual"/>
        </w:rPr>
        <w:t xml:space="preserve">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w:t>
      </w:r>
    </w:p>
    <w:p w14:paraId="4A1A4624" w14:textId="77777777" w:rsidR="00E32781" w:rsidRPr="00E32781" w:rsidRDefault="00E32781" w:rsidP="00E32781">
      <w:pPr>
        <w:snapToGrid w:val="0"/>
        <w:spacing w:before="120" w:after="120" w:line="276" w:lineRule="auto"/>
        <w:ind w:firstLine="644"/>
        <w:jc w:val="both"/>
        <w:rPr>
          <w:rFonts w:ascii="Verdana" w:eastAsia="Times New Roman" w:hAnsi="Verdana" w:cs="Times New Roman"/>
          <w:lang w:eastAsia="es-CO"/>
        </w:rPr>
      </w:pPr>
      <w:r w:rsidRPr="00E32781">
        <w:rPr>
          <w:rFonts w:ascii="Verdana" w:eastAsia="Aptos" w:hAnsi="Verdana" w:cs="Times New Roman"/>
          <w:kern w:val="2"/>
          <w14:ligatures w14:val="standardContextual"/>
        </w:rPr>
        <w:t xml:space="preserve">En este contexto, corresponde establecer si los documentos tipo de licitación de obra pública de infraestructura de transporte – versión 4 resultan aplicables a un proceso de selección cuyo objeto comprende </w:t>
      </w:r>
      <w:r w:rsidRPr="00E32781">
        <w:rPr>
          <w:rFonts w:ascii="Verdana" w:eastAsia="Calibri" w:hAnsi="Verdana" w:cs="Times New Roman"/>
          <w:lang w:val="es-ES"/>
        </w:rPr>
        <w:t xml:space="preserve">“(…) </w:t>
      </w:r>
      <w:r w:rsidRPr="00E32781">
        <w:rPr>
          <w:rFonts w:ascii="Verdana" w:eastAsia="Aptos" w:hAnsi="Verdana" w:cs="Times New Roman"/>
          <w:kern w:val="2"/>
          <w14:ligatures w14:val="standardContextual"/>
        </w:rPr>
        <w:t>la construcción de redes de media tensión a 13.200 V y de baja tensión a 220/120 V, el suministro e hincado de apoyos en concreto, el montaje de estructuras de distribución, el tendido de conductores, la instalación de transformadores de distribución, puestas a tierra, acometidas y equipos de medida, así como la certificación RETIE”.</w:t>
      </w:r>
      <w:r w:rsidRPr="00E32781">
        <w:rPr>
          <w:rFonts w:ascii="Verdana" w:eastAsia="Aptos" w:hAnsi="Verdana" w:cs="Arial"/>
          <w:color w:val="000000"/>
          <w:kern w:val="2"/>
          <w14:ligatures w14:val="standardContextual"/>
        </w:rPr>
        <w:t xml:space="preserve"> </w:t>
      </w:r>
      <w:r w:rsidRPr="00E32781">
        <w:rPr>
          <w:rFonts w:ascii="Verdana" w:eastAsia="Times New Roman" w:hAnsi="Verdana" w:cs="Times New Roman"/>
          <w:lang w:eastAsia="es-CO"/>
        </w:rPr>
        <w:t xml:space="preserve">Para tal efecto, es necesario verificar si el objeto a contratar es subsumible en alguna de las actividades contempladas en la Matriz 1 – Experiencia para el respectivo tipo de obra. </w:t>
      </w:r>
    </w:p>
    <w:p w14:paraId="6D01AFFD" w14:textId="77777777" w:rsidR="00E32781" w:rsidRPr="00E32781" w:rsidRDefault="00E32781" w:rsidP="00E32781">
      <w:pPr>
        <w:snapToGrid w:val="0"/>
        <w:spacing w:after="0" w:line="276" w:lineRule="auto"/>
        <w:ind w:firstLine="644"/>
        <w:jc w:val="both"/>
        <w:rPr>
          <w:rFonts w:ascii="Verdana" w:eastAsia="Aptos" w:hAnsi="Verdana" w:cs="Times New Roman"/>
          <w:kern w:val="2"/>
          <w14:ligatures w14:val="standardContextual"/>
        </w:rPr>
      </w:pPr>
      <w:r w:rsidRPr="00E32781">
        <w:rPr>
          <w:rFonts w:ascii="Verdana" w:eastAsia="Aptos" w:hAnsi="Verdana" w:cs="Times New Roman"/>
          <w:kern w:val="2"/>
          <w14:ligatures w14:val="standardContextual"/>
        </w:rPr>
        <w:t>Revisada la Matriz 1 – Experiencia de los documentos tipo adoptados mediante la Resolución No. 465 de 2024, se advierte que las  actividades en las que, eventualmente puede enmarcarse el objeto por el que indaga en su solicitud son las siguientes:</w:t>
      </w:r>
    </w:p>
    <w:p w14:paraId="74C95FBD" w14:textId="77777777" w:rsidR="00E32781" w:rsidRPr="00E32781" w:rsidRDefault="00E32781" w:rsidP="00E32781">
      <w:pPr>
        <w:snapToGrid w:val="0"/>
        <w:spacing w:after="0" w:line="276" w:lineRule="auto"/>
        <w:ind w:firstLine="644"/>
        <w:jc w:val="both"/>
        <w:rPr>
          <w:rFonts w:ascii="Verdana" w:eastAsia="Calibri" w:hAnsi="Verdana" w:cs="Arial"/>
          <w:color w:val="0D0D0D"/>
          <w:lang w:val="es-MX"/>
        </w:rPr>
      </w:pPr>
    </w:p>
    <w:p w14:paraId="6C6AC5FA" w14:textId="77777777" w:rsidR="00E32781" w:rsidRPr="00E32781" w:rsidRDefault="00E32781" w:rsidP="00E32781">
      <w:pPr>
        <w:spacing w:after="0" w:line="240" w:lineRule="auto"/>
        <w:ind w:left="709" w:right="709"/>
        <w:jc w:val="both"/>
        <w:rPr>
          <w:rFonts w:ascii="Verdana" w:eastAsia="Calibri" w:hAnsi="Verdana" w:cs="Times New Roman"/>
          <w:kern w:val="2"/>
          <w:sz w:val="21"/>
          <w:szCs w:val="21"/>
          <w14:ligatures w14:val="standardContextual"/>
        </w:rPr>
      </w:pPr>
      <w:r w:rsidRPr="00E32781">
        <w:rPr>
          <w:rFonts w:ascii="Verdana" w:eastAsia="Calibri" w:hAnsi="Verdana" w:cs="Arial"/>
          <w:color w:val="0D0D0D"/>
          <w:sz w:val="21"/>
          <w:szCs w:val="21"/>
          <w:lang w:val="es-MX"/>
        </w:rPr>
        <w:t>“</w:t>
      </w:r>
      <w:r w:rsidRPr="00E32781">
        <w:rPr>
          <w:rFonts w:ascii="Verdana" w:eastAsia="Calibri" w:hAnsi="Verdana" w:cs="Times New Roman"/>
          <w:kern w:val="2"/>
          <w:sz w:val="21"/>
          <w:szCs w:val="21"/>
          <w14:ligatures w14:val="standardContextual"/>
        </w:rPr>
        <w:t>1.9. PROYECTOS DE INSTALACION O MANTENIMIENTO CORRECTIVO O MANTENIMIENTO PREVENTIVO  O  AMPLIACIÓN  DE INFRAESTRUCTURA ELECTRICA ASOCIADA A LA INFRAESTRUCTURA DE TRANSPORTE EN VIAS PRIMARIAS O SECUNDARIAS.”</w:t>
      </w:r>
    </w:p>
    <w:p w14:paraId="5739EC73" w14:textId="77777777" w:rsidR="00E32781" w:rsidRPr="00E32781" w:rsidRDefault="00E32781" w:rsidP="00E32781">
      <w:pPr>
        <w:spacing w:after="0" w:line="240" w:lineRule="auto"/>
        <w:ind w:left="709" w:right="709"/>
        <w:jc w:val="both"/>
        <w:rPr>
          <w:rFonts w:ascii="Verdana" w:eastAsia="Calibri" w:hAnsi="Verdana" w:cs="Times New Roman"/>
          <w:kern w:val="2"/>
          <w:sz w:val="21"/>
          <w:szCs w:val="21"/>
          <w14:ligatures w14:val="standardContextual"/>
        </w:rPr>
      </w:pPr>
    </w:p>
    <w:p w14:paraId="6430CF84" w14:textId="77777777" w:rsidR="00E32781" w:rsidRPr="00E32781" w:rsidRDefault="00E32781" w:rsidP="00E32781">
      <w:pPr>
        <w:spacing w:after="0" w:line="240" w:lineRule="auto"/>
        <w:ind w:left="709" w:right="709"/>
        <w:jc w:val="both"/>
        <w:rPr>
          <w:rFonts w:ascii="Verdana" w:eastAsia="Calibri" w:hAnsi="Verdana" w:cs="Times New Roman"/>
          <w:kern w:val="2"/>
          <w:sz w:val="21"/>
          <w:szCs w:val="21"/>
          <w14:ligatures w14:val="standardContextual"/>
        </w:rPr>
      </w:pPr>
      <w:r w:rsidRPr="00E32781">
        <w:rPr>
          <w:rFonts w:ascii="Verdana" w:eastAsia="Calibri" w:hAnsi="Verdana" w:cs="Times New Roman"/>
          <w:kern w:val="2"/>
          <w:sz w:val="21"/>
          <w:szCs w:val="21"/>
          <w14:ligatures w14:val="standardContextual"/>
        </w:rPr>
        <w:lastRenderedPageBreak/>
        <w:t>“2.6 PROYECTOS DE INSTALACION O MANTENIMIENTO CORRECTIVO O MANTENIMIENTO PREVENTIVO  O  AMPLIACIÓN  DE INFRAESTRUCTURA ELECTRICA ASOCIADA A LA INFRAESTRUCTURA DE TRANSPORTE EN VIAS PRIMARIAS O SECUNDARIAS</w:t>
      </w:r>
      <w:r w:rsidRPr="00E32781">
        <w:rPr>
          <w:rFonts w:ascii="Verdana" w:eastAsia="Calibri" w:hAnsi="Verdana" w:cs="Arial"/>
          <w:color w:val="0D0D0D"/>
          <w:sz w:val="21"/>
          <w:szCs w:val="21"/>
        </w:rPr>
        <w:t xml:space="preserve">”. </w:t>
      </w:r>
    </w:p>
    <w:p w14:paraId="3F95EFB1" w14:textId="77777777" w:rsidR="00E32781" w:rsidRPr="00E32781" w:rsidRDefault="00E32781" w:rsidP="00E32781">
      <w:pPr>
        <w:spacing w:after="0" w:line="276" w:lineRule="auto"/>
        <w:jc w:val="both"/>
        <w:rPr>
          <w:rFonts w:ascii="Verdana" w:eastAsia="Calibri" w:hAnsi="Verdana" w:cs="Arial"/>
          <w:color w:val="0D0D0D"/>
          <w:lang w:val="es-MX"/>
        </w:rPr>
      </w:pPr>
      <w:r w:rsidRPr="00E32781">
        <w:rPr>
          <w:rFonts w:ascii="Verdana" w:eastAsia="Calibri" w:hAnsi="Verdana" w:cs="Arial"/>
          <w:color w:val="0D0D0D"/>
          <w:lang w:val="es-MX"/>
        </w:rPr>
        <w:tab/>
      </w:r>
    </w:p>
    <w:p w14:paraId="761932FD" w14:textId="77777777" w:rsidR="00E32781" w:rsidRPr="00E32781" w:rsidRDefault="00E32781" w:rsidP="00E32781">
      <w:pPr>
        <w:spacing w:after="120" w:line="276" w:lineRule="auto"/>
        <w:jc w:val="both"/>
        <w:rPr>
          <w:rFonts w:ascii="Verdana" w:eastAsia="Calibri" w:hAnsi="Verdana" w:cs="Times New Roman"/>
          <w:kern w:val="2"/>
          <w14:ligatures w14:val="standardContextual"/>
        </w:rPr>
      </w:pPr>
      <w:r w:rsidRPr="00E32781">
        <w:rPr>
          <w:rFonts w:ascii="Verdana" w:eastAsia="Calibri" w:hAnsi="Verdana" w:cs="Arial"/>
          <w:color w:val="0D0D0D"/>
          <w:lang w:val="es-MX"/>
        </w:rPr>
        <w:tab/>
        <w:t xml:space="preserve">Como se aprecia, las actividades </w:t>
      </w:r>
      <w:r w:rsidRPr="00E32781">
        <w:rPr>
          <w:rFonts w:ascii="Verdana" w:eastAsia="Calibri" w:hAnsi="Verdana" w:cs="Times New Roman"/>
          <w:kern w:val="2"/>
          <w14:ligatures w14:val="standardContextual"/>
        </w:rPr>
        <w:t xml:space="preserve">1.9 </w:t>
      </w:r>
      <w:r w:rsidRPr="00E32781">
        <w:rPr>
          <w:rFonts w:ascii="Verdana" w:eastAsia="Calibri" w:hAnsi="Verdana" w:cs="Arial"/>
          <w:color w:val="0D0D0D"/>
          <w:lang w:val="es-MX"/>
        </w:rPr>
        <w:t xml:space="preserve">y </w:t>
      </w:r>
      <w:r w:rsidRPr="00E32781">
        <w:rPr>
          <w:rFonts w:ascii="Verdana" w:eastAsia="Calibri" w:hAnsi="Verdana" w:cs="Times New Roman"/>
          <w:kern w:val="2"/>
          <w14:ligatures w14:val="standardContextual"/>
        </w:rPr>
        <w:t xml:space="preserve">2.6, que hacen parte </w:t>
      </w:r>
      <w:r w:rsidRPr="00E32781">
        <w:rPr>
          <w:rFonts w:ascii="Verdana" w:eastAsia="Calibri" w:hAnsi="Verdana" w:cs="Arial"/>
          <w:color w:val="0D0D0D"/>
          <w:lang w:val="es-MX"/>
        </w:rPr>
        <w:t xml:space="preserve">de los </w:t>
      </w:r>
      <w:r w:rsidRPr="00E32781">
        <w:rPr>
          <w:rFonts w:ascii="Verdana" w:eastAsia="Calibri" w:hAnsi="Verdana" w:cs="Times New Roman"/>
          <w:kern w:val="2"/>
          <w14:ligatures w14:val="standardContextual"/>
        </w:rPr>
        <w:t xml:space="preserve">tipos </w:t>
      </w:r>
      <w:r w:rsidRPr="00E32781">
        <w:rPr>
          <w:rFonts w:ascii="Verdana" w:eastAsia="Calibri" w:hAnsi="Verdana" w:cs="Arial"/>
          <w:color w:val="0D0D0D"/>
          <w:lang w:val="es-MX"/>
        </w:rPr>
        <w:t xml:space="preserve">de obra </w:t>
      </w:r>
      <w:r w:rsidRPr="00E32781">
        <w:rPr>
          <w:rFonts w:ascii="Verdana" w:eastAsia="Calibri" w:hAnsi="Verdana" w:cs="Times New Roman"/>
          <w:kern w:val="2"/>
          <w14:ligatures w14:val="standardContextual"/>
        </w:rPr>
        <w:t xml:space="preserve">1) obras en vías primarias o secundarias y 2) obras en vías terciarias, respectivamente, recaen sobre proyectos de instalación, mantenimiento correctivo, mantenimiento preventivo o ampliación de infraestructura eléctrica. Sin embargo, ambas actividades exigen además una conexidad funcional expresa, esto es, que dicha infraestructura eléctrica esté </w:t>
      </w:r>
      <w:r w:rsidRPr="00E32781">
        <w:rPr>
          <w:rFonts w:ascii="Verdana" w:eastAsia="Calibri" w:hAnsi="Verdana" w:cs="Times New Roman"/>
          <w:i/>
          <w:iCs/>
          <w:kern w:val="2"/>
          <w14:ligatures w14:val="standardContextual"/>
        </w:rPr>
        <w:t>asociada a la infraestructura de transporte</w:t>
      </w:r>
      <w:r w:rsidRPr="00E32781">
        <w:rPr>
          <w:rFonts w:ascii="Verdana" w:eastAsia="Calibri" w:hAnsi="Verdana" w:cs="Times New Roman"/>
          <w:kern w:val="2"/>
          <w14:ligatures w14:val="standardContextual"/>
        </w:rPr>
        <w:t xml:space="preserve">. </w:t>
      </w:r>
    </w:p>
    <w:p w14:paraId="3FC5FE02" w14:textId="77777777" w:rsidR="00E32781" w:rsidRPr="00E32781" w:rsidRDefault="00E32781" w:rsidP="00E32781">
      <w:pPr>
        <w:spacing w:after="120" w:line="276" w:lineRule="auto"/>
        <w:ind w:firstLine="708"/>
        <w:jc w:val="both"/>
        <w:rPr>
          <w:rFonts w:ascii="Verdana" w:eastAsia="Calibri" w:hAnsi="Verdana" w:cs="Times New Roman"/>
          <w:kern w:val="2"/>
          <w14:ligatures w14:val="standardContextual"/>
        </w:rPr>
      </w:pPr>
      <w:r w:rsidRPr="00E32781">
        <w:rPr>
          <w:rFonts w:ascii="Verdana" w:eastAsia="Calibri" w:hAnsi="Verdana" w:cs="Times New Roman"/>
          <w:kern w:val="2"/>
          <w14:ligatures w14:val="standardContextual"/>
        </w:rPr>
        <w:t>En el tipo de obra 8) obras aeroportuarias, la Matriz 1 contempla la actividad 8.11, relativa a la construcción, expansión, mantenimiento, mejoramiento, optimización o adecuación de alumbrado público y redes eléctricas de media tensión para proyectos aeroportuarios o aeródromos. También esta actividad se limita a un tipo específico de infraestructura de transporte. Los documentos tipo, entonces, solo estandarizan las redes eléctricas cuando son accesorias a dicha infraestructura.</w:t>
      </w:r>
    </w:p>
    <w:p w14:paraId="29AE745C" w14:textId="77777777" w:rsidR="00E32781" w:rsidRPr="00E32781" w:rsidRDefault="00E32781" w:rsidP="00E32781">
      <w:pPr>
        <w:spacing w:after="120" w:line="276" w:lineRule="auto"/>
        <w:ind w:firstLine="709"/>
        <w:jc w:val="both"/>
        <w:rPr>
          <w:rFonts w:ascii="Verdana" w:eastAsia="Aptos" w:hAnsi="Verdana" w:cs="Times New Roman"/>
          <w:kern w:val="2"/>
          <w14:ligatures w14:val="standardContextual"/>
        </w:rPr>
      </w:pPr>
      <w:r w:rsidRPr="00E32781">
        <w:rPr>
          <w:rFonts w:ascii="Verdana" w:eastAsia="Calibri" w:hAnsi="Verdana" w:cs="Calibri"/>
          <w:kern w:val="2"/>
          <w14:ligatures w14:val="standardContextual"/>
        </w:rPr>
        <w:t>Dado que las actividades 1.9 y 2.6 de la Matriz 1 – Experiencia recaen sobre “infraestructura eléctrica”, el alcance de esta expresión se determina con la regla de interpretación prevista en el numeral 1.10 del documento base, según el cual “Para los fines de este pliego de condiciones, a menos que expresamente se estipule de otra manera, los términos deben entenderse de acuerdo con la definición contenida en el artículo 2.2.1.1.1.3.1 del Decreto 1082 de 2015, la Ley 1682 de 2013 o la norma que la modifique, complemente o sustituya, y el Anexo 3 - Glosario. Los términos no definidos deben comprenderse de conformidad con su significado natural y en el contexto del presente proceso de selección y el proyecto de infraestructura que se pretende adelantar”.</w:t>
      </w:r>
    </w:p>
    <w:p w14:paraId="24B2BAE6" w14:textId="77777777" w:rsidR="00E32781" w:rsidRPr="00E32781" w:rsidRDefault="00E32781" w:rsidP="00E32781">
      <w:pPr>
        <w:spacing w:after="120" w:line="276" w:lineRule="auto"/>
        <w:ind w:firstLine="708"/>
        <w:jc w:val="both"/>
        <w:rPr>
          <w:rFonts w:ascii="Verdana" w:eastAsia="Aptos" w:hAnsi="Verdana" w:cs="Times New Roman"/>
          <w:kern w:val="2"/>
          <w14:ligatures w14:val="standardContextual"/>
        </w:rPr>
      </w:pPr>
      <w:r w:rsidRPr="00E32781">
        <w:rPr>
          <w:rFonts w:ascii="Verdana" w:eastAsia="Times New Roman" w:hAnsi="Verdana" w:cs="Times New Roman"/>
          <w:lang w:eastAsia="es-MX"/>
        </w:rPr>
        <w:t xml:space="preserve">Según esa regla, la expresión “infraestructura eléctrica” tiene su sentido técnico: el conjunto de instalaciones, equipos y sistemas destinados a la generación, transmisión, transformación, distribución y control de la energía eléctrica. En el mismo sentido, el Reglamento Técnico de Instalaciones Eléctricas – RETIE, expedido por el Ministerio de Minas y Energía, define las instalaciones eléctricas como los circuitos eléctricos con sus componentes que conforman un </w:t>
      </w:r>
      <w:r w:rsidRPr="00E32781">
        <w:rPr>
          <w:rFonts w:ascii="Verdana" w:eastAsia="Times New Roman" w:hAnsi="Verdana" w:cs="Times New Roman"/>
          <w:lang w:eastAsia="es-MX"/>
        </w:rPr>
        <w:lastRenderedPageBreak/>
        <w:t>sistema eléctrico utilizado para la generación, transmisión, transformación, distribución o uso final de la energía eléctrica.</w:t>
      </w:r>
    </w:p>
    <w:p w14:paraId="77B8DC59" w14:textId="77777777" w:rsidR="00E32781" w:rsidRPr="00E32781" w:rsidRDefault="00E32781" w:rsidP="00E32781">
      <w:pPr>
        <w:spacing w:after="120" w:line="276" w:lineRule="auto"/>
        <w:ind w:firstLine="708"/>
        <w:jc w:val="both"/>
        <w:rPr>
          <w:rFonts w:ascii="Verdana" w:eastAsia="Aptos" w:hAnsi="Verdana" w:cs="Times New Roman"/>
          <w:kern w:val="2"/>
          <w14:ligatures w14:val="standardContextual"/>
        </w:rPr>
      </w:pPr>
      <w:r w:rsidRPr="00E32781">
        <w:rPr>
          <w:rFonts w:ascii="Verdana" w:eastAsia="Times New Roman" w:hAnsi="Verdana" w:cs="Times New Roman"/>
          <w:lang w:eastAsia="es-MX"/>
        </w:rPr>
        <w:t>Con ese criterio, considerando que el objeto consultado es la expansión de un sistema de distribución de energía eléctrica. Comprende redes de media tensión –nivel de tensión 2, a 13,2 kV– y de baja tensión –nivel de tensión 1, a 220/120 V–, apoyos y estructuras de distribución, transformadores de distribución, sistemas de puesta a tierra, acometidas y equipos de medida. Estos componentes llevan la energía desde la red del operador hasta el punto de conexión del usuario final y deben cumplir el RETIE, lo que se acredita con la certificación de conformidad.</w:t>
      </w:r>
    </w:p>
    <w:p w14:paraId="09EA3786" w14:textId="77777777" w:rsidR="00E32781" w:rsidRPr="00E32781" w:rsidRDefault="00E32781" w:rsidP="00E32781">
      <w:pPr>
        <w:spacing w:after="120" w:line="276" w:lineRule="auto"/>
        <w:ind w:firstLine="708"/>
        <w:jc w:val="both"/>
        <w:rPr>
          <w:rFonts w:ascii="Verdana" w:eastAsia="Aptos" w:hAnsi="Verdana" w:cs="Times New Roman"/>
          <w:kern w:val="2"/>
          <w14:ligatures w14:val="standardContextual"/>
        </w:rPr>
      </w:pPr>
      <w:r w:rsidRPr="00E32781">
        <w:rPr>
          <w:rFonts w:ascii="Verdana" w:eastAsia="Times New Roman" w:hAnsi="Verdana" w:cs="Times New Roman"/>
          <w:lang w:eastAsia="es-MX"/>
        </w:rPr>
        <w:t>Es, por tanto, infraestructura afecta a la prestación del servicio público domiciliario de energía eléctrica, que el numeral 14.25 del artículo 14 de la Ley 142 de 1994 define como el transporte de energía eléctrica desde las redes regionales de transmisión hasta el domicilio del usuario final, incluida su conexión y medición. En el mismo sentido, el artículo 11 de la Ley 143 de 1994 define las redes de distribución como el conjunto de líneas y subestaciones, con sus equipos asociados, destinados al servicio de los usuarios de un municipio o municipios adyacentes o asociados.</w:t>
      </w:r>
    </w:p>
    <w:p w14:paraId="7960C673" w14:textId="77777777" w:rsidR="00E32781" w:rsidRPr="00E32781" w:rsidRDefault="00E32781" w:rsidP="00E32781">
      <w:pPr>
        <w:spacing w:after="120" w:line="276" w:lineRule="auto"/>
        <w:ind w:firstLine="708"/>
        <w:jc w:val="both"/>
        <w:rPr>
          <w:rFonts w:ascii="Verdana" w:eastAsia="Calibri" w:hAnsi="Verdana" w:cs="Times New Roman"/>
          <w:kern w:val="2"/>
          <w14:ligatures w14:val="standardContextual"/>
        </w:rPr>
      </w:pPr>
      <w:r w:rsidRPr="00E32781">
        <w:rPr>
          <w:rFonts w:ascii="Verdana" w:eastAsia="Calibri" w:hAnsi="Verdana" w:cs="Times New Roman"/>
          <w:kern w:val="2"/>
          <w14:ligatures w14:val="standardContextual"/>
        </w:rPr>
        <w:t xml:space="preserve">Ahora bien, las actividades 1.9 y 2.6 cobijan únicamente la intervención sobre infraestructura eléctrica </w:t>
      </w:r>
      <w:r w:rsidRPr="00E32781">
        <w:rPr>
          <w:rFonts w:ascii="Verdana" w:eastAsia="Calibri" w:hAnsi="Verdana" w:cs="Times New Roman"/>
          <w:i/>
          <w:iCs/>
          <w:kern w:val="2"/>
          <w14:ligatures w14:val="standardContextual"/>
        </w:rPr>
        <w:t>asociada a la infraestructura de transporte</w:t>
      </w:r>
      <w:r w:rsidRPr="00E32781">
        <w:rPr>
          <w:rFonts w:ascii="Verdana" w:eastAsia="Calibri" w:hAnsi="Verdana" w:cs="Times New Roman"/>
          <w:kern w:val="2"/>
          <w14:ligatures w14:val="standardContextual"/>
        </w:rPr>
        <w:t>. Este calificativo es un elemento normativo del supuesto de hecho y delimita el ámbito de aplicación de ambas actividades. La infraestructura eléctrica debe estar al servicio de la infraestructura de transporte o integrada funcionalmente a ella, como la iluminación vial, la semaforización o la alimentación eléctrica de los equipos y sistemas de control, señalización o gestión de la vía.</w:t>
      </w:r>
    </w:p>
    <w:p w14:paraId="10AA2184" w14:textId="77777777" w:rsidR="00E32781" w:rsidRPr="00E32781" w:rsidRDefault="00E32781" w:rsidP="00E32781">
      <w:pPr>
        <w:autoSpaceDE w:val="0"/>
        <w:autoSpaceDN w:val="0"/>
        <w:adjustRightInd w:val="0"/>
        <w:spacing w:after="0" w:line="276" w:lineRule="auto"/>
        <w:ind w:firstLine="708"/>
        <w:jc w:val="both"/>
        <w:rPr>
          <w:rFonts w:ascii="Verdana" w:eastAsia="Times New Roman" w:hAnsi="Verdana" w:cs="Arial"/>
          <w:color w:val="000000"/>
          <w:bdr w:val="none" w:sz="0" w:space="0" w:color="auto" w:frame="1"/>
          <w:lang w:val="es-ES_tradnl" w:eastAsia="es-ES"/>
        </w:rPr>
      </w:pPr>
      <w:r w:rsidRPr="00E32781">
        <w:rPr>
          <w:rFonts w:ascii="Verdana" w:eastAsia="Times New Roman" w:hAnsi="Verdana" w:cs="Arial"/>
          <w:lang w:val="es-ES_tradnl" w:eastAsia="es-ES"/>
        </w:rPr>
        <w:t xml:space="preserve">El contenido de esa conexidad se establece a partir del artículo 2 de la Ley 1682 de 2013, que define la infraestructura del transporte como </w:t>
      </w:r>
      <w:r w:rsidRPr="00E32781">
        <w:rPr>
          <w:rFonts w:ascii="Verdana" w:eastAsia="Times New Roman" w:hAnsi="Verdana" w:cs="Arial"/>
          <w:color w:val="000000"/>
          <w:bdr w:val="none" w:sz="0" w:space="0" w:color="auto" w:frame="1"/>
          <w:lang w:val="es-ES_tradnl" w:eastAsia="es-ES"/>
        </w:rPr>
        <w:t xml:space="preserve">“(…) </w:t>
      </w:r>
      <w:r w:rsidRPr="00E32781">
        <w:rPr>
          <w:rFonts w:ascii="Verdana" w:eastAsia="Times New Roman" w:hAnsi="Verdana" w:cs="Arial"/>
          <w:lang w:val="es-ES_tradnl" w:eastAsia="es-ES"/>
        </w:rPr>
        <w:t>un sistema de movilidad integrado por un conjunto de bienes tangibles, intangibles y aquellos que se encuentren relacionados con este, el cual está bajo la vigilancia y control del Estado y se organiza de manera estable para permitir el traslado de las personas, los bienes y los servicios, el acceso y la integración de las diferentes zonas del país y que propende por el crecimiento, competitividad y mejora de la calidad de la vida de los ciudadanos</w:t>
      </w:r>
      <w:r w:rsidRPr="00E32781">
        <w:rPr>
          <w:rFonts w:ascii="Verdana" w:eastAsia="Times New Roman" w:hAnsi="Verdana" w:cs="Arial"/>
          <w:vertAlign w:val="superscript"/>
          <w:lang w:val="es-ES_tradnl" w:eastAsia="es-ES"/>
        </w:rPr>
        <w:footnoteReference w:id="2"/>
      </w:r>
      <w:r w:rsidRPr="00E32781">
        <w:rPr>
          <w:rFonts w:ascii="Verdana" w:eastAsia="Calibri" w:hAnsi="Verdana" w:cs="Arial"/>
          <w:lang w:val="es-ES_tradnl" w:eastAsia="es-ES"/>
        </w:rPr>
        <w:t xml:space="preserve">”. </w:t>
      </w:r>
      <w:r w:rsidRPr="00E32781">
        <w:rPr>
          <w:rFonts w:ascii="Verdana" w:eastAsia="Times New Roman" w:hAnsi="Verdana" w:cs="Arial"/>
          <w:lang w:val="es-ES_tradnl" w:eastAsia="es-ES"/>
        </w:rPr>
        <w:t xml:space="preserve">Por </w:t>
      </w:r>
      <w:r w:rsidRPr="00E32781">
        <w:rPr>
          <w:rFonts w:ascii="Verdana" w:eastAsia="Calibri" w:hAnsi="Verdana" w:cs="Arial"/>
          <w:lang w:val="es-ES_tradnl" w:eastAsia="es-ES"/>
        </w:rPr>
        <w:t xml:space="preserve">su </w:t>
      </w:r>
      <w:r w:rsidRPr="00E32781">
        <w:rPr>
          <w:rFonts w:ascii="Verdana" w:eastAsia="Times New Roman" w:hAnsi="Verdana" w:cs="Arial"/>
          <w:lang w:val="es-ES_tradnl" w:eastAsia="es-ES"/>
        </w:rPr>
        <w:t xml:space="preserve">parte, </w:t>
      </w:r>
      <w:r w:rsidRPr="00E32781">
        <w:rPr>
          <w:rFonts w:ascii="Verdana" w:eastAsia="Times New Roman" w:hAnsi="Verdana" w:cs="Arial"/>
          <w:color w:val="000000"/>
          <w:bdr w:val="none" w:sz="0" w:space="0" w:color="auto" w:frame="1"/>
          <w:lang w:val="es-ES_tradnl" w:eastAsia="es-ES"/>
        </w:rPr>
        <w:t xml:space="preserve">el Anexo 3 – </w:t>
      </w:r>
      <w:r w:rsidRPr="00E32781">
        <w:rPr>
          <w:rFonts w:ascii="Verdana" w:eastAsia="Times New Roman" w:hAnsi="Verdana" w:cs="Arial"/>
          <w:color w:val="000000"/>
          <w:bdr w:val="none" w:sz="0" w:space="0" w:color="auto" w:frame="1"/>
          <w:lang w:val="es-ES_tradnl" w:eastAsia="es-ES"/>
        </w:rPr>
        <w:lastRenderedPageBreak/>
        <w:t xml:space="preserve">Glosario de los documentos tipo de licitación </w:t>
      </w:r>
      <w:r w:rsidRPr="00E32781">
        <w:rPr>
          <w:rFonts w:ascii="Verdana" w:eastAsia="Times New Roman" w:hAnsi="Verdana" w:cs="Arial"/>
          <w:lang w:val="es-ES_tradnl" w:eastAsia="es-ES"/>
        </w:rPr>
        <w:t xml:space="preserve">de obra </w:t>
      </w:r>
      <w:r w:rsidRPr="00E32781">
        <w:rPr>
          <w:rFonts w:ascii="Verdana" w:eastAsia="Times New Roman" w:hAnsi="Verdana" w:cs="Arial"/>
          <w:color w:val="000000"/>
          <w:bdr w:val="none" w:sz="0" w:space="0" w:color="auto" w:frame="1"/>
          <w:lang w:val="es-ES_tradnl" w:eastAsia="es-ES"/>
        </w:rPr>
        <w:t xml:space="preserve">pública de infraestructura de transporte – versión 4 reitera la definición </w:t>
      </w:r>
      <w:r w:rsidRPr="00E32781">
        <w:rPr>
          <w:rFonts w:ascii="Verdana" w:eastAsia="Times New Roman" w:hAnsi="Verdana" w:cs="Arial"/>
          <w:lang w:val="es-ES_tradnl" w:eastAsia="es-ES"/>
        </w:rPr>
        <w:t xml:space="preserve">legal, enlista </w:t>
      </w:r>
      <w:r w:rsidRPr="00E32781">
        <w:rPr>
          <w:rFonts w:ascii="Verdana" w:eastAsia="Times New Roman" w:hAnsi="Verdana" w:cs="Arial"/>
          <w:color w:val="000000"/>
          <w:bdr w:val="none" w:sz="0" w:space="0" w:color="auto" w:frame="1"/>
          <w:lang w:val="es-ES_tradnl" w:eastAsia="es-ES"/>
        </w:rPr>
        <w:t xml:space="preserve">los elementos que la </w:t>
      </w:r>
      <w:r w:rsidRPr="00E32781">
        <w:rPr>
          <w:rFonts w:ascii="Verdana" w:eastAsia="Times New Roman" w:hAnsi="Verdana" w:cs="Arial"/>
          <w:lang w:val="es-ES_tradnl" w:eastAsia="es-ES"/>
        </w:rPr>
        <w:t xml:space="preserve">integran y </w:t>
      </w:r>
      <w:r w:rsidRPr="00E32781">
        <w:rPr>
          <w:rFonts w:ascii="Verdana" w:eastAsia="Times New Roman" w:hAnsi="Verdana" w:cs="Arial"/>
          <w:color w:val="000000"/>
          <w:bdr w:val="none" w:sz="0" w:space="0" w:color="auto" w:frame="1"/>
          <w:lang w:val="es-ES_tradnl" w:eastAsia="es-ES"/>
        </w:rPr>
        <w:t xml:space="preserve">precisa </w:t>
      </w:r>
      <w:r w:rsidRPr="00E32781">
        <w:rPr>
          <w:rFonts w:ascii="Verdana" w:eastAsia="Times New Roman" w:hAnsi="Verdana" w:cs="Arial"/>
          <w:lang w:val="es-ES_tradnl" w:eastAsia="es-ES"/>
        </w:rPr>
        <w:t xml:space="preserve">otros </w:t>
      </w:r>
      <w:r w:rsidRPr="00E32781">
        <w:rPr>
          <w:rFonts w:ascii="Verdana" w:eastAsia="Times New Roman" w:hAnsi="Verdana" w:cs="Arial"/>
          <w:color w:val="000000"/>
          <w:bdr w:val="none" w:sz="0" w:space="0" w:color="auto" w:frame="1"/>
          <w:lang w:val="es-ES_tradnl" w:eastAsia="es-ES"/>
        </w:rPr>
        <w:t xml:space="preserve">conceptos relativos a dicho objeto contractual. </w:t>
      </w:r>
      <w:r w:rsidRPr="00E32781">
        <w:rPr>
          <w:rFonts w:ascii="Verdana" w:eastAsia="Times New Roman" w:hAnsi="Verdana" w:cs="Arial"/>
          <w:lang w:val="es-ES_tradnl" w:eastAsia="es-ES"/>
        </w:rPr>
        <w:t xml:space="preserve">Para </w:t>
      </w:r>
      <w:r w:rsidRPr="00E32781">
        <w:rPr>
          <w:rFonts w:ascii="Verdana" w:eastAsia="Times New Roman" w:hAnsi="Verdana" w:cs="Arial"/>
          <w:color w:val="000000"/>
          <w:bdr w:val="none" w:sz="0" w:space="0" w:color="auto" w:frame="1"/>
          <w:lang w:val="es-ES_tradnl" w:eastAsia="es-ES"/>
        </w:rPr>
        <w:t xml:space="preserve">efectos de </w:t>
      </w:r>
      <w:r w:rsidRPr="00E32781">
        <w:rPr>
          <w:rFonts w:ascii="Verdana" w:eastAsia="Times New Roman" w:hAnsi="Verdana" w:cs="Arial"/>
          <w:lang w:val="es-ES_tradnl" w:eastAsia="es-ES"/>
        </w:rPr>
        <w:t xml:space="preserve">la </w:t>
      </w:r>
      <w:r w:rsidRPr="00E32781">
        <w:rPr>
          <w:rFonts w:ascii="Verdana" w:eastAsia="Times New Roman" w:hAnsi="Verdana" w:cs="Arial"/>
          <w:color w:val="000000"/>
          <w:bdr w:val="none" w:sz="0" w:space="0" w:color="auto" w:frame="1"/>
          <w:lang w:val="es-ES_tradnl" w:eastAsia="es-ES"/>
        </w:rPr>
        <w:t xml:space="preserve">consulta, </w:t>
      </w:r>
      <w:r w:rsidRPr="00E32781">
        <w:rPr>
          <w:rFonts w:ascii="Verdana" w:eastAsia="Times New Roman" w:hAnsi="Verdana" w:cs="Arial"/>
          <w:lang w:val="es-ES_tradnl" w:eastAsia="es-ES"/>
        </w:rPr>
        <w:t xml:space="preserve">interesa la siguiente definición </w:t>
      </w:r>
      <w:r w:rsidRPr="00E32781">
        <w:rPr>
          <w:rFonts w:ascii="Verdana" w:eastAsia="Times New Roman" w:hAnsi="Verdana" w:cs="Arial"/>
          <w:color w:val="000000"/>
          <w:bdr w:val="none" w:sz="0" w:space="0" w:color="auto" w:frame="1"/>
          <w:lang w:val="es-ES_tradnl" w:eastAsia="es-ES"/>
        </w:rPr>
        <w:t xml:space="preserve">del Anexo 3 </w:t>
      </w:r>
      <w:r w:rsidRPr="00E32781">
        <w:rPr>
          <w:rFonts w:ascii="Verdana" w:eastAsia="Times New Roman" w:hAnsi="Verdana" w:cs="Arial"/>
          <w:lang w:val="es-ES_tradnl" w:eastAsia="es-ES"/>
        </w:rPr>
        <w:t>– Glosario:</w:t>
      </w:r>
    </w:p>
    <w:p w14:paraId="69D48278" w14:textId="77777777" w:rsidR="00E32781" w:rsidRPr="00E32781" w:rsidRDefault="00E32781" w:rsidP="00E32781">
      <w:pPr>
        <w:spacing w:after="0"/>
        <w:rPr>
          <w:rFonts w:ascii="Calibri" w:eastAsia="Calibri" w:hAnsi="Calibri" w:cs="Times New Roman"/>
          <w:lang w:val="es-ES_tradnl" w:eastAsia="es-ES"/>
        </w:rPr>
      </w:pPr>
    </w:p>
    <w:p w14:paraId="189E144E" w14:textId="77777777" w:rsidR="00E32781" w:rsidRPr="00E32781" w:rsidRDefault="00E32781" w:rsidP="00E32781">
      <w:pPr>
        <w:autoSpaceDE w:val="0"/>
        <w:autoSpaceDN w:val="0"/>
        <w:adjustRightInd w:val="0"/>
        <w:spacing w:after="0" w:line="240" w:lineRule="auto"/>
        <w:ind w:left="709" w:right="709"/>
        <w:jc w:val="both"/>
        <w:rPr>
          <w:rFonts w:ascii="Verdana" w:eastAsia="Times New Roman" w:hAnsi="Verdana" w:cs="Arial"/>
          <w:sz w:val="21"/>
          <w:szCs w:val="21"/>
          <w:lang w:val="es-ES" w:eastAsia="es-ES"/>
        </w:rPr>
      </w:pPr>
      <w:r w:rsidRPr="00E32781">
        <w:rPr>
          <w:rFonts w:ascii="Verdana" w:eastAsia="Times New Roman" w:hAnsi="Verdana" w:cs="Arial"/>
          <w:b/>
          <w:bCs/>
          <w:sz w:val="21"/>
          <w:szCs w:val="21"/>
          <w:lang w:val="es-ES" w:eastAsia="es-ES"/>
        </w:rPr>
        <w:t xml:space="preserve">“1.35 Infraestructura del Transporte: </w:t>
      </w:r>
      <w:r w:rsidRPr="00E32781">
        <w:rPr>
          <w:rFonts w:ascii="Verdana" w:eastAsia="Times New Roman" w:hAnsi="Verdana" w:cs="Arial"/>
          <w:sz w:val="21"/>
          <w:szCs w:val="21"/>
          <w:lang w:val="es-ES" w:eastAsia="es-ES"/>
        </w:rPr>
        <w:t>Sistema de movilidad integrado por un conjunto de bienes tangibles, intangibles y aquellos que se encuentren relacionados con este, el cual está bajo la vigilancia y control del Estado y se organiza de manera estable para permitir el traslado de las personas, los bienes y los servicios, el acceso y la integración de las diferentes zonas del país y que propende por el crecimiento, competitividad y mejora de la calidad de la vida de los ciudadanos.</w:t>
      </w:r>
    </w:p>
    <w:p w14:paraId="037DBE98" w14:textId="77777777" w:rsidR="00E32781" w:rsidRPr="00E32781" w:rsidRDefault="00E32781" w:rsidP="00E32781">
      <w:pPr>
        <w:autoSpaceDE w:val="0"/>
        <w:autoSpaceDN w:val="0"/>
        <w:adjustRightInd w:val="0"/>
        <w:spacing w:before="40" w:after="40" w:line="240" w:lineRule="auto"/>
        <w:ind w:left="709" w:right="709"/>
        <w:jc w:val="both"/>
        <w:rPr>
          <w:rFonts w:ascii="Verdana" w:eastAsia="Times New Roman" w:hAnsi="Verdana" w:cs="Arial"/>
          <w:sz w:val="21"/>
          <w:szCs w:val="21"/>
          <w:lang w:val="es-ES" w:eastAsia="es-ES"/>
        </w:rPr>
      </w:pPr>
      <w:r w:rsidRPr="00E32781">
        <w:rPr>
          <w:rFonts w:ascii="Verdana" w:eastAsia="Times New Roman" w:hAnsi="Verdana" w:cs="Arial"/>
          <w:sz w:val="21"/>
          <w:szCs w:val="21"/>
          <w:lang w:val="es-ES" w:eastAsia="es-ES"/>
        </w:rPr>
        <w:t>Son las obras realizadas en: </w:t>
      </w:r>
    </w:p>
    <w:p w14:paraId="0A0580EC" w14:textId="77777777" w:rsidR="00E32781" w:rsidRPr="00E32781" w:rsidRDefault="00E32781" w:rsidP="00E32781">
      <w:pPr>
        <w:numPr>
          <w:ilvl w:val="3"/>
          <w:numId w:val="18"/>
        </w:numPr>
        <w:autoSpaceDE w:val="0"/>
        <w:autoSpaceDN w:val="0"/>
        <w:adjustRightInd w:val="0"/>
        <w:spacing w:before="120" w:after="240" w:line="240" w:lineRule="auto"/>
        <w:ind w:left="709" w:right="709" w:firstLine="0"/>
        <w:contextualSpacing/>
        <w:jc w:val="both"/>
        <w:rPr>
          <w:rFonts w:ascii="Verdana" w:eastAsia="Times New Roman" w:hAnsi="Verdana" w:cs="Arial"/>
          <w:sz w:val="21"/>
          <w:szCs w:val="21"/>
          <w:lang w:val="es-ES" w:eastAsia="es-ES"/>
        </w:rPr>
      </w:pPr>
      <w:r w:rsidRPr="00E32781">
        <w:rPr>
          <w:rFonts w:ascii="Verdana" w:eastAsia="Times New Roman" w:hAnsi="Verdana" w:cs="Arial"/>
          <w:sz w:val="21"/>
          <w:szCs w:val="21"/>
          <w:lang w:val="es-ES" w:eastAsia="es-ES"/>
        </w:rPr>
        <w:t>Vías primarias y secundarias</w:t>
      </w:r>
    </w:p>
    <w:p w14:paraId="102F9DF3" w14:textId="77777777" w:rsidR="00E32781" w:rsidRPr="00E32781" w:rsidRDefault="00E32781" w:rsidP="00E32781">
      <w:pPr>
        <w:numPr>
          <w:ilvl w:val="3"/>
          <w:numId w:val="18"/>
        </w:numPr>
        <w:autoSpaceDE w:val="0"/>
        <w:autoSpaceDN w:val="0"/>
        <w:adjustRightInd w:val="0"/>
        <w:spacing w:before="120" w:after="240" w:line="240" w:lineRule="auto"/>
        <w:ind w:left="709" w:right="709" w:firstLine="0"/>
        <w:contextualSpacing/>
        <w:jc w:val="both"/>
        <w:rPr>
          <w:rFonts w:ascii="Verdana" w:eastAsia="Times New Roman" w:hAnsi="Verdana" w:cs="Arial"/>
          <w:sz w:val="21"/>
          <w:szCs w:val="21"/>
          <w:lang w:val="es-ES" w:eastAsia="es-ES"/>
        </w:rPr>
      </w:pPr>
      <w:r w:rsidRPr="00E32781">
        <w:rPr>
          <w:rFonts w:ascii="Verdana" w:eastAsia="Times New Roman" w:hAnsi="Verdana" w:cs="Arial"/>
          <w:sz w:val="21"/>
          <w:szCs w:val="21"/>
          <w:lang w:val="es-ES" w:eastAsia="es-ES"/>
        </w:rPr>
        <w:t>Vías terciarias</w:t>
      </w:r>
    </w:p>
    <w:p w14:paraId="0DCB404F" w14:textId="77777777" w:rsidR="00E32781" w:rsidRPr="00E32781" w:rsidRDefault="00E32781" w:rsidP="00E32781">
      <w:pPr>
        <w:numPr>
          <w:ilvl w:val="3"/>
          <w:numId w:val="18"/>
        </w:numPr>
        <w:autoSpaceDE w:val="0"/>
        <w:autoSpaceDN w:val="0"/>
        <w:adjustRightInd w:val="0"/>
        <w:spacing w:before="120" w:after="240" w:line="240" w:lineRule="auto"/>
        <w:ind w:left="709" w:right="709" w:firstLine="0"/>
        <w:contextualSpacing/>
        <w:jc w:val="both"/>
        <w:rPr>
          <w:rFonts w:ascii="Verdana" w:eastAsia="Times New Roman" w:hAnsi="Verdana" w:cs="Arial"/>
          <w:sz w:val="21"/>
          <w:szCs w:val="21"/>
          <w:lang w:val="es-ES" w:eastAsia="es-ES"/>
        </w:rPr>
      </w:pPr>
      <w:r w:rsidRPr="00E32781">
        <w:rPr>
          <w:rFonts w:ascii="Verdana" w:eastAsia="Times New Roman" w:hAnsi="Verdana" w:cs="Arial"/>
          <w:sz w:val="21"/>
          <w:szCs w:val="21"/>
          <w:lang w:val="es-ES" w:eastAsia="es-ES"/>
        </w:rPr>
        <w:t>Infraestructuras marítimas y fluviales</w:t>
      </w:r>
    </w:p>
    <w:p w14:paraId="496EBFAF" w14:textId="77777777" w:rsidR="00E32781" w:rsidRPr="00E32781" w:rsidRDefault="00E32781" w:rsidP="00E32781">
      <w:pPr>
        <w:numPr>
          <w:ilvl w:val="3"/>
          <w:numId w:val="18"/>
        </w:numPr>
        <w:autoSpaceDE w:val="0"/>
        <w:autoSpaceDN w:val="0"/>
        <w:adjustRightInd w:val="0"/>
        <w:spacing w:before="120" w:after="240" w:line="240" w:lineRule="auto"/>
        <w:ind w:left="709" w:right="709" w:firstLine="0"/>
        <w:contextualSpacing/>
        <w:jc w:val="both"/>
        <w:rPr>
          <w:rFonts w:ascii="Verdana" w:eastAsia="Times New Roman" w:hAnsi="Verdana" w:cs="Arial"/>
          <w:sz w:val="21"/>
          <w:szCs w:val="21"/>
          <w:lang w:val="es-ES" w:eastAsia="es-ES"/>
        </w:rPr>
      </w:pPr>
      <w:r w:rsidRPr="00E32781">
        <w:rPr>
          <w:rFonts w:ascii="Verdana" w:eastAsia="Times New Roman" w:hAnsi="Verdana" w:cs="Arial"/>
          <w:sz w:val="21"/>
          <w:szCs w:val="21"/>
          <w:lang w:val="es-ES" w:eastAsia="es-ES"/>
        </w:rPr>
        <w:t>Vías primarias, secundarias o terciarias para atención a emergencias diferentes a contratación directa </w:t>
      </w:r>
    </w:p>
    <w:p w14:paraId="38BC8420" w14:textId="77777777" w:rsidR="00E32781" w:rsidRPr="00E32781" w:rsidRDefault="00E32781" w:rsidP="00E32781">
      <w:pPr>
        <w:numPr>
          <w:ilvl w:val="3"/>
          <w:numId w:val="18"/>
        </w:numPr>
        <w:autoSpaceDE w:val="0"/>
        <w:autoSpaceDN w:val="0"/>
        <w:adjustRightInd w:val="0"/>
        <w:spacing w:before="120" w:after="240" w:line="240" w:lineRule="auto"/>
        <w:ind w:left="709" w:right="709" w:firstLine="0"/>
        <w:contextualSpacing/>
        <w:jc w:val="both"/>
        <w:rPr>
          <w:rFonts w:ascii="Verdana" w:eastAsia="Times New Roman" w:hAnsi="Verdana" w:cs="Arial"/>
          <w:sz w:val="21"/>
          <w:szCs w:val="21"/>
          <w:lang w:val="es-ES" w:eastAsia="es-ES"/>
        </w:rPr>
      </w:pPr>
      <w:r w:rsidRPr="00E32781">
        <w:rPr>
          <w:rFonts w:ascii="Verdana" w:eastAsia="Times New Roman" w:hAnsi="Verdana" w:cs="Arial"/>
          <w:sz w:val="21"/>
          <w:szCs w:val="21"/>
          <w:lang w:val="es-ES" w:eastAsia="es-ES"/>
        </w:rPr>
        <w:t>Infraestructura férrea </w:t>
      </w:r>
    </w:p>
    <w:p w14:paraId="33259A84" w14:textId="77777777" w:rsidR="00E32781" w:rsidRPr="00E32781" w:rsidRDefault="00E32781" w:rsidP="00E32781">
      <w:pPr>
        <w:numPr>
          <w:ilvl w:val="3"/>
          <w:numId w:val="18"/>
        </w:numPr>
        <w:autoSpaceDE w:val="0"/>
        <w:autoSpaceDN w:val="0"/>
        <w:adjustRightInd w:val="0"/>
        <w:spacing w:before="120" w:after="240" w:line="240" w:lineRule="auto"/>
        <w:ind w:left="709" w:right="709" w:firstLine="0"/>
        <w:contextualSpacing/>
        <w:jc w:val="both"/>
        <w:rPr>
          <w:rFonts w:ascii="Verdana" w:eastAsia="Times New Roman" w:hAnsi="Verdana" w:cs="Arial"/>
          <w:sz w:val="21"/>
          <w:szCs w:val="21"/>
          <w:lang w:val="es-ES" w:eastAsia="es-ES"/>
        </w:rPr>
      </w:pPr>
      <w:r w:rsidRPr="00E32781">
        <w:rPr>
          <w:rFonts w:ascii="Verdana" w:eastAsia="Times New Roman" w:hAnsi="Verdana" w:cs="Arial"/>
          <w:sz w:val="21"/>
          <w:szCs w:val="21"/>
          <w:lang w:val="es-ES" w:eastAsia="es-ES"/>
        </w:rPr>
        <w:t>Infraestructura vial urbana </w:t>
      </w:r>
    </w:p>
    <w:p w14:paraId="44A57A17" w14:textId="77777777" w:rsidR="00E32781" w:rsidRPr="00E32781" w:rsidRDefault="00E32781" w:rsidP="00E32781">
      <w:pPr>
        <w:numPr>
          <w:ilvl w:val="3"/>
          <w:numId w:val="18"/>
        </w:numPr>
        <w:autoSpaceDE w:val="0"/>
        <w:autoSpaceDN w:val="0"/>
        <w:adjustRightInd w:val="0"/>
        <w:spacing w:before="120" w:after="0" w:line="240" w:lineRule="auto"/>
        <w:ind w:left="709" w:right="709" w:firstLine="0"/>
        <w:contextualSpacing/>
        <w:jc w:val="both"/>
        <w:rPr>
          <w:rFonts w:ascii="Verdana" w:eastAsia="Times New Roman" w:hAnsi="Verdana" w:cs="Arial"/>
          <w:sz w:val="21"/>
          <w:szCs w:val="21"/>
          <w:lang w:val="es-ES" w:eastAsia="es-ES"/>
        </w:rPr>
      </w:pPr>
      <w:r w:rsidRPr="00E32781">
        <w:rPr>
          <w:rFonts w:ascii="Verdana" w:eastAsia="Times New Roman" w:hAnsi="Verdana" w:cs="Arial"/>
          <w:sz w:val="21"/>
          <w:szCs w:val="21"/>
          <w:lang w:val="es-ES" w:eastAsia="es-ES"/>
        </w:rPr>
        <w:t>Puentes </w:t>
      </w:r>
    </w:p>
    <w:p w14:paraId="1B49B0C7" w14:textId="77777777" w:rsidR="00E32781" w:rsidRPr="00E32781" w:rsidRDefault="00E32781" w:rsidP="00E32781">
      <w:pPr>
        <w:numPr>
          <w:ilvl w:val="3"/>
          <w:numId w:val="18"/>
        </w:numPr>
        <w:autoSpaceDE w:val="0"/>
        <w:autoSpaceDN w:val="0"/>
        <w:adjustRightInd w:val="0"/>
        <w:spacing w:before="120" w:after="0" w:line="240" w:lineRule="auto"/>
        <w:ind w:right="709"/>
        <w:jc w:val="both"/>
        <w:rPr>
          <w:rFonts w:ascii="Verdana" w:eastAsia="Times New Roman" w:hAnsi="Verdana" w:cs="Arial"/>
          <w:sz w:val="21"/>
          <w:szCs w:val="21"/>
          <w:lang w:val="es-ES" w:eastAsia="es-ES"/>
        </w:rPr>
      </w:pPr>
      <w:r w:rsidRPr="00E32781">
        <w:rPr>
          <w:rFonts w:ascii="Verdana" w:eastAsia="Times New Roman" w:hAnsi="Verdana" w:cs="Arial"/>
          <w:sz w:val="21"/>
          <w:szCs w:val="21"/>
          <w:lang w:val="es-ES" w:eastAsia="es-ES"/>
        </w:rPr>
        <w:t>Infraestructura Aeroportuaria”.</w:t>
      </w:r>
    </w:p>
    <w:p w14:paraId="750F95C3" w14:textId="77777777" w:rsidR="00E32781" w:rsidRPr="00E32781" w:rsidRDefault="00E32781" w:rsidP="00E32781">
      <w:pPr>
        <w:spacing w:after="0" w:line="276" w:lineRule="auto"/>
        <w:ind w:right="709"/>
        <w:jc w:val="both"/>
        <w:rPr>
          <w:rFonts w:ascii="Verdana" w:eastAsia="Calibri" w:hAnsi="Verdana" w:cs="Arial"/>
          <w:kern w:val="2"/>
          <w:sz w:val="21"/>
          <w:szCs w:val="21"/>
          <w14:ligatures w14:val="standardContextual"/>
        </w:rPr>
      </w:pPr>
    </w:p>
    <w:p w14:paraId="71F14103" w14:textId="77777777" w:rsidR="00E32781" w:rsidRPr="00E32781" w:rsidRDefault="00E32781" w:rsidP="00E32781">
      <w:pPr>
        <w:spacing w:line="276" w:lineRule="auto"/>
        <w:ind w:firstLine="708"/>
        <w:jc w:val="both"/>
        <w:rPr>
          <w:rFonts w:ascii="Verdana" w:eastAsia="Calibri" w:hAnsi="Verdana" w:cs="Times New Roman"/>
        </w:rPr>
      </w:pPr>
      <w:r w:rsidRPr="00E32781">
        <w:rPr>
          <w:rFonts w:ascii="Verdana" w:eastAsia="Calibri" w:hAnsi="Verdana" w:cs="Arial"/>
          <w:color w:val="000000"/>
          <w:bdr w:val="none" w:sz="0" w:space="0" w:color="auto" w:frame="1"/>
          <w:lang w:val="es-ES_tradnl"/>
        </w:rPr>
        <w:t xml:space="preserve">La anterior definición es vinculante para la interpretación de los documentos tipo y, por ende, de los pliegos de condiciones que rijan cada procedimiento de selección adelantado con fundamento en ellos. </w:t>
      </w:r>
      <w:r w:rsidRPr="00E32781">
        <w:rPr>
          <w:rFonts w:ascii="Verdana" w:eastAsia="Calibri" w:hAnsi="Verdana" w:cs="Arial"/>
          <w:kern w:val="2"/>
          <w14:ligatures w14:val="standardContextual"/>
        </w:rPr>
        <w:t xml:space="preserve">Conforme con lo anterior, </w:t>
      </w:r>
      <w:r w:rsidRPr="00E32781">
        <w:rPr>
          <w:rFonts w:ascii="Verdana" w:eastAsia="Calibri" w:hAnsi="Verdana" w:cs="Arial"/>
          <w:color w:val="000000"/>
          <w:bdr w:val="none" w:sz="0" w:space="0" w:color="auto" w:frame="1"/>
          <w:lang w:val="es-ES_tradnl"/>
        </w:rPr>
        <w:t>la infraestructura eléctrica de las actividades 1.9 y 2.6 es la que forma parte del sistema de movilidad o está funcionalmente vinculada a las vías de esos tipos de obra, y existe para permitir o mejorar la operación, la seguridad o la funcionalidad de la infraestructura de transporte.</w:t>
      </w:r>
    </w:p>
    <w:p w14:paraId="4F5814F0" w14:textId="77777777" w:rsidR="00E32781" w:rsidRPr="00E32781" w:rsidRDefault="00E32781" w:rsidP="00E32781">
      <w:pPr>
        <w:spacing w:line="276" w:lineRule="auto"/>
        <w:ind w:firstLine="708"/>
        <w:jc w:val="both"/>
        <w:rPr>
          <w:rFonts w:ascii="Verdana" w:eastAsia="Calibri" w:hAnsi="Verdana" w:cs="Times New Roman"/>
        </w:rPr>
      </w:pPr>
      <w:r w:rsidRPr="00E32781">
        <w:rPr>
          <w:rFonts w:ascii="Verdana" w:eastAsia="Calibri" w:hAnsi="Verdana" w:cs="Arial"/>
          <w:color w:val="000000"/>
          <w:bdr w:val="none" w:sz="0" w:space="0" w:color="auto" w:frame="1"/>
          <w:lang w:val="es-ES_tradnl"/>
        </w:rPr>
        <w:t xml:space="preserve">De esta forma, un proyecto cuyo objeto es la construcción de redes de media y baja tensión, el montaje de estructuras de distribución, la instalación de transformadores de distribución, acometidas y equipos de medida, destinado a ampliar la cobertura del servicio público domiciliario de energía eléctrica y a integrarse al sistema de distribución local a cargo del operador de red, no se enmarca, en principio, en las actividades 1.9 y 2.6 de la Matriz 1 – Experiencia. Esa infraestructura atiende la demanda de energía de los usuarios finales, no la </w:t>
      </w:r>
      <w:r w:rsidRPr="00E32781">
        <w:rPr>
          <w:rFonts w:ascii="Verdana" w:eastAsia="Calibri" w:hAnsi="Verdana" w:cs="Arial"/>
          <w:color w:val="000000"/>
          <w:bdr w:val="none" w:sz="0" w:space="0" w:color="auto" w:frame="1"/>
          <w:lang w:val="es-ES_tradnl"/>
        </w:rPr>
        <w:lastRenderedPageBreak/>
        <w:t>movilidad de personas, bienes o servicios, y por eso carece de la conexidad funcional con la infraestructura de transporte que exigen dichas actividades. Tampoco cambia la conclusión que las redes vayan paralelas a una vía o que los apoyos se instalen en sus fajas de retiro o zonas de reserva. Esa ubicación responde al trazado y a la servidumbre, y no hace de la red de distribución una infraestructura asociada al transporte.</w:t>
      </w:r>
    </w:p>
    <w:p w14:paraId="012816FB" w14:textId="77777777" w:rsidR="00E32781" w:rsidRPr="00E32781" w:rsidRDefault="00E32781" w:rsidP="00E32781">
      <w:pPr>
        <w:spacing w:line="276" w:lineRule="auto"/>
        <w:ind w:firstLine="708"/>
        <w:jc w:val="both"/>
        <w:rPr>
          <w:rFonts w:ascii="Verdana" w:eastAsia="Calibri" w:hAnsi="Verdana" w:cs="Times New Roman"/>
        </w:rPr>
      </w:pPr>
      <w:r w:rsidRPr="00E32781">
        <w:rPr>
          <w:rFonts w:ascii="Verdana" w:eastAsia="Calibri" w:hAnsi="Verdana" w:cs="Arial"/>
          <w:color w:val="000000"/>
          <w:bdr w:val="none" w:sz="0" w:space="0" w:color="auto" w:frame="1"/>
          <w:lang w:val="es-ES_tradnl"/>
        </w:rPr>
        <w:t>Distinto es el caso de un proyecto que incluya componentes eléctricos destinados efectivamente a la infraestructura de transporte, como la iluminación de una vía primaria, secundaria o terciaria. Esos componentes pueden subsumirse en las actividades 1.9 o 2.6, y la entidad deberá evaluar la aplicación de los documentos tipo, así como de las reglas sobre actividad principal, combinación de experiencia y experiencia adicional previstas en el documento base.</w:t>
      </w:r>
    </w:p>
    <w:p w14:paraId="7A063BD9" w14:textId="77777777" w:rsidR="00E32781" w:rsidRPr="00E32781" w:rsidRDefault="00E32781" w:rsidP="00E32781">
      <w:pPr>
        <w:spacing w:line="276" w:lineRule="auto"/>
        <w:ind w:firstLine="708"/>
        <w:jc w:val="both"/>
        <w:rPr>
          <w:rFonts w:ascii="Verdana" w:eastAsia="Calibri" w:hAnsi="Verdana" w:cs="Times New Roman"/>
        </w:rPr>
      </w:pPr>
      <w:r w:rsidRPr="00E32781">
        <w:rPr>
          <w:rFonts w:ascii="Verdana" w:eastAsia="Calibri" w:hAnsi="Verdana" w:cs="Arial"/>
          <w:color w:val="000000"/>
          <w:bdr w:val="none" w:sz="0" w:space="0" w:color="auto" w:frame="1"/>
          <w:lang w:val="es-ES_tradnl"/>
        </w:rPr>
        <w:t>En consecuencia, la entidad estatal, en ejercicio de su deber de planeación y según el alcance técnico concreto del proyecto, debe determinar si el objeto a contratar es subsumible en alguna de las actividades de la Matriz 1 – Experiencia. Si concluye que no corresponde a ninguna de ellas, los documentos tipo de licitación de obra pública de infraestructura de transporte – versión 4 no serán de obligatoria aplicación, aunque puede usarlos como referente de buenas prácticas al estructurar el proceso con el alcance que se detalla más adelante en este concepto.</w:t>
      </w:r>
    </w:p>
    <w:p w14:paraId="5C32FB87" w14:textId="77777777" w:rsidR="00E32781" w:rsidRPr="00E32781" w:rsidRDefault="00E32781" w:rsidP="00E32781">
      <w:pPr>
        <w:tabs>
          <w:tab w:val="left" w:pos="142"/>
          <w:tab w:val="left" w:pos="284"/>
        </w:tabs>
        <w:spacing w:after="120" w:line="276" w:lineRule="auto"/>
        <w:jc w:val="both"/>
        <w:rPr>
          <w:rFonts w:ascii="Verdana" w:eastAsia="Calibri" w:hAnsi="Verdana" w:cs="Times New Roman"/>
        </w:rPr>
      </w:pPr>
      <w:r w:rsidRPr="00E32781">
        <w:rPr>
          <w:rFonts w:ascii="Verdana" w:eastAsia="Calibri" w:hAnsi="Verdana" w:cs="Times New Roman"/>
        </w:rPr>
        <w:tab/>
      </w:r>
      <w:r w:rsidRPr="00E32781">
        <w:rPr>
          <w:rFonts w:ascii="Verdana" w:eastAsia="Calibri" w:hAnsi="Verdana" w:cs="Times New Roman"/>
        </w:rPr>
        <w:tab/>
      </w:r>
      <w:r w:rsidRPr="00E32781">
        <w:rPr>
          <w:rFonts w:ascii="Verdana" w:eastAsia="Calibri" w:hAnsi="Verdana" w:cs="Times New Roman"/>
        </w:rPr>
        <w:tab/>
        <w:t xml:space="preserve">Estas consideraciones aplican </w:t>
      </w:r>
      <w:r w:rsidRPr="00E32781">
        <w:rPr>
          <w:rFonts w:ascii="Verdana" w:eastAsia="Calibri" w:hAnsi="Verdana" w:cs="Times New Roman"/>
          <w:i/>
          <w:iCs/>
        </w:rPr>
        <w:t>mutatis mutandis</w:t>
      </w:r>
      <w:r w:rsidRPr="00E32781">
        <w:rPr>
          <w:rFonts w:ascii="Verdana" w:eastAsia="Calibri" w:hAnsi="Verdana" w:cs="Times New Roman"/>
        </w:rPr>
        <w:t xml:space="preserve"> cuando el proceso de selección deba adelantarse bajo las modalidades de selección abreviada de menor cuantía o de mínima cuantía, regidas por los documentos tipo adoptados mediante las Resoluciones 463 y 464 del 10 de septiembre de 2024, respectivamente, habida cuenta de que las actividades analizadas también se encuentran previstas en las matrices de experiencia de dichos documentos tipo.</w:t>
      </w:r>
    </w:p>
    <w:p w14:paraId="2AE84D79" w14:textId="77777777" w:rsidR="00E32781" w:rsidRPr="00E32781" w:rsidRDefault="00E32781" w:rsidP="00E32781">
      <w:pPr>
        <w:tabs>
          <w:tab w:val="left" w:pos="142"/>
          <w:tab w:val="left" w:pos="284"/>
        </w:tabs>
        <w:spacing w:after="120" w:line="276" w:lineRule="auto"/>
        <w:jc w:val="both"/>
        <w:rPr>
          <w:rFonts w:ascii="Verdana" w:eastAsia="Calibri" w:hAnsi="Verdana" w:cs="Times New Roman"/>
        </w:rPr>
      </w:pPr>
      <w:r w:rsidRPr="00E32781">
        <w:rPr>
          <w:rFonts w:ascii="Verdana" w:eastAsia="Calibri" w:hAnsi="Verdana" w:cs="Times New Roman"/>
        </w:rPr>
        <w:tab/>
      </w:r>
      <w:r w:rsidRPr="00E32781">
        <w:rPr>
          <w:rFonts w:ascii="Verdana" w:eastAsia="Calibri" w:hAnsi="Verdana" w:cs="Times New Roman"/>
        </w:rPr>
        <w:tab/>
      </w:r>
      <w:r w:rsidRPr="00E32781">
        <w:rPr>
          <w:rFonts w:ascii="Verdana" w:eastAsia="Calibri" w:hAnsi="Verdana" w:cs="Times New Roman"/>
        </w:rPr>
        <w:tab/>
      </w:r>
      <w:proofErr w:type="spellStart"/>
      <w:r w:rsidRPr="00E32781">
        <w:rPr>
          <w:rFonts w:ascii="Verdana" w:eastAsia="Calibri" w:hAnsi="Verdana" w:cs="Times New Roman"/>
        </w:rPr>
        <w:t>ii</w:t>
      </w:r>
      <w:proofErr w:type="spellEnd"/>
      <w:r w:rsidRPr="00E32781">
        <w:rPr>
          <w:rFonts w:ascii="Verdana" w:eastAsia="Calibri" w:hAnsi="Verdana" w:cs="Times New Roman"/>
        </w:rPr>
        <w:t xml:space="preserve">). En cuanto a los documentos tipo de infraestructura social, que también hacen parte del primer problema jurídico, y en particular frente al segundo </w:t>
      </w:r>
      <w:proofErr w:type="spellStart"/>
      <w:r w:rsidRPr="00E32781">
        <w:rPr>
          <w:rFonts w:ascii="Verdana" w:eastAsia="Calibri" w:hAnsi="Verdana" w:cs="Times New Roman"/>
        </w:rPr>
        <w:t>segundo</w:t>
      </w:r>
      <w:proofErr w:type="spellEnd"/>
      <w:r w:rsidRPr="00E32781">
        <w:rPr>
          <w:rFonts w:ascii="Verdana" w:eastAsia="Calibri" w:hAnsi="Verdana" w:cs="Times New Roman"/>
        </w:rPr>
        <w:t xml:space="preserve"> en el que se indaga si “</w:t>
      </w:r>
      <w:r w:rsidRPr="00E32781">
        <w:rPr>
          <w:rFonts w:ascii="Verdana" w:eastAsia="Aptos" w:hAnsi="Verdana" w:cs="Times New Roman"/>
          <w:kern w:val="2"/>
          <w14:ligatures w14:val="standardContextual"/>
        </w:rPr>
        <w:t xml:space="preserve">¿la actividad 2.9 de la Matriz 1 – Experiencia del Sector Institucional, referida a redes eléctricas de infraestructura de servicio público, comprende proyectos de ampliación de redes de distribución de energía eléctrica que no recaen sobre edificaciones?”, debe señalarse que </w:t>
      </w:r>
      <w:r w:rsidRPr="00E32781">
        <w:rPr>
          <w:rFonts w:ascii="Verdana" w:eastAsia="Calibri" w:hAnsi="Verdana" w:cs="Times New Roman"/>
          <w:lang w:eastAsia="es-MX"/>
        </w:rPr>
        <w:t>e</w:t>
      </w:r>
      <w:r w:rsidRPr="00E32781">
        <w:rPr>
          <w:rFonts w:ascii="Verdana" w:eastAsia="Calibri" w:hAnsi="Verdana" w:cs="Times New Roman"/>
          <w:lang w:val="es-ES" w:eastAsia="es-MX"/>
        </w:rPr>
        <w:t xml:space="preserve">l artículo 17 de la Resolución 539 de 2025 adoptó los documentos tipo complementarios para </w:t>
      </w:r>
      <w:r w:rsidRPr="00E32781">
        <w:rPr>
          <w:rFonts w:ascii="Verdana" w:eastAsia="Calibri" w:hAnsi="Verdana" w:cs="Times New Roman"/>
          <w:lang w:val="es-ES" w:eastAsia="es-MX"/>
        </w:rPr>
        <w:lastRenderedPageBreak/>
        <w:t xml:space="preserve">los procesos de licitación de obra pública de infraestructura social relacionados con el sector Institucional. Por su parte, mediante el artículo 16 de la Resolución 540 de 2025, se acogieron los documentos tipo complementarios para los procesos de selección abreviada de menor cuantía de obra pública de infraestructura social relacionados con el sector Institucional. Lo propio se hizo mediante el artículo 16 de la Resolución 541 de 2025, a través del cual se adoptaron los documentos tipo complementarios para los procesos de mínima cuantía de obra pública de infraestructura social relacionados con el sector Institucional. </w:t>
      </w:r>
    </w:p>
    <w:p w14:paraId="2CF0F639" w14:textId="77777777" w:rsidR="00E32781" w:rsidRPr="00E32781" w:rsidRDefault="00E32781" w:rsidP="00E32781">
      <w:pPr>
        <w:spacing w:after="120" w:line="276" w:lineRule="auto"/>
        <w:jc w:val="both"/>
        <w:rPr>
          <w:rFonts w:ascii="Verdana" w:eastAsia="Calibri" w:hAnsi="Verdana" w:cs="Times New Roman"/>
          <w:lang w:val="es-ES" w:eastAsia="es-MX"/>
        </w:rPr>
      </w:pPr>
      <w:r w:rsidRPr="00E32781">
        <w:rPr>
          <w:rFonts w:ascii="Verdana" w:eastAsia="Calibri" w:hAnsi="Verdana" w:cs="Times New Roman"/>
          <w:lang w:val="es-ES" w:eastAsia="es-MX"/>
        </w:rPr>
        <w:tab/>
        <w:t xml:space="preserve">De acuerdo con los artículos 17 y 16 de las resoluciones señaladas, respectivamente, los documentos tipo que estas adoptan contienen parámetros obligatorios para las entidades estatales que realicen procedimientos de licitación pública, selección abreviada de menor cuantía o mínima cuantía, para celebrar contratos de obra relacionados con infraestructura institucional, cuando las actividades que pretendan contratar se encuentren contenidas en la Matriz – Experiencia Sector Institucional. </w:t>
      </w:r>
    </w:p>
    <w:p w14:paraId="3322A553" w14:textId="77777777" w:rsidR="00E32781" w:rsidRPr="00E32781" w:rsidRDefault="00E32781" w:rsidP="00E32781">
      <w:pPr>
        <w:spacing w:after="120" w:line="276" w:lineRule="auto"/>
        <w:jc w:val="both"/>
        <w:rPr>
          <w:rFonts w:ascii="Verdana" w:eastAsia="Arial" w:hAnsi="Verdana" w:cs="Aptos"/>
          <w:lang w:eastAsia="es-ES"/>
        </w:rPr>
      </w:pPr>
      <w:r w:rsidRPr="00E32781">
        <w:rPr>
          <w:rFonts w:ascii="Verdana" w:eastAsia="Calibri" w:hAnsi="Verdana" w:cs="Times New Roman"/>
          <w:lang w:val="es-ES" w:eastAsia="es-MX"/>
        </w:rPr>
        <w:tab/>
        <w:t xml:space="preserve">La Matriz 1 – Experiencia del Sector Institucional, </w:t>
      </w:r>
      <w:r w:rsidRPr="00E32781">
        <w:rPr>
          <w:rFonts w:ascii="Verdana" w:eastAsia="Times New Roman" w:hAnsi="Verdana" w:cs="Times New Roman"/>
          <w:color w:val="000000"/>
          <w:lang w:eastAsia="es-CO"/>
        </w:rPr>
        <w:t xml:space="preserve">en la modalidad de licitación pública, selección abreviada de menor cuantía y mínima cuantía dispone de los siguientes cinco (5) tipos de obra: </w:t>
      </w:r>
      <w:r w:rsidRPr="00E32781">
        <w:rPr>
          <w:rFonts w:ascii="Verdana" w:eastAsia="Arial" w:hAnsi="Verdana" w:cs="Aptos"/>
          <w:kern w:val="2"/>
          <w:lang w:eastAsia="es-ES"/>
          <w14:ligatures w14:val="standardContextual"/>
        </w:rPr>
        <w:t>“1) OBRAS EN PROYECTOS DE INFRAESTRUCTURA INSTITUCIONAL DE SEGURIDAD PUBLICA,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E32781">
        <w:rPr>
          <w:rFonts w:ascii="Verdana" w:eastAsia="Aptos" w:hAnsi="Verdana" w:cs="Arial"/>
          <w:kern w:val="2"/>
          <w14:ligatures w14:val="standardContextual"/>
        </w:rPr>
        <w:t xml:space="preserve">. Para cada tipo de obra, </w:t>
      </w:r>
      <w:r w:rsidRPr="00E32781">
        <w:rPr>
          <w:rFonts w:ascii="Verdana" w:eastAsia="Arial" w:hAnsi="Verdana" w:cs="Aptos"/>
          <w:lang w:eastAsia="es-ES"/>
        </w:rPr>
        <w:t xml:space="preserve">la Matriz 1 – Experiencia contiene una serie de actividades en las que la entidad debe encuadrar el objeto del proceso que pretende ejecutar. Estas actividades se relacionan con proyectos de construcción, ampliación, reconstrucción, adecuación, conservación, intervención, remodelación, mantenimiento, mejoramiento, modificación, optimización, rehabilitación, remodelación, reposición, reparación, suministro, entre otras actividades, sobre infraestructura institucional. </w:t>
      </w:r>
    </w:p>
    <w:p w14:paraId="532D38F8" w14:textId="77777777" w:rsidR="00E32781" w:rsidRPr="00E32781" w:rsidRDefault="00E32781" w:rsidP="00E32781">
      <w:pPr>
        <w:spacing w:after="0" w:line="276" w:lineRule="auto"/>
        <w:jc w:val="both"/>
        <w:rPr>
          <w:rFonts w:ascii="Verdana" w:eastAsia="Arial" w:hAnsi="Verdana" w:cs="Aptos"/>
          <w:lang w:eastAsia="es-ES"/>
        </w:rPr>
      </w:pPr>
      <w:r w:rsidRPr="00E32781">
        <w:rPr>
          <w:rFonts w:ascii="Verdana" w:eastAsia="Arial" w:hAnsi="Verdana" w:cs="Aptos"/>
          <w:lang w:eastAsia="es-ES"/>
        </w:rPr>
        <w:lastRenderedPageBreak/>
        <w:tab/>
        <w:t>Concretamente, en su solicitud usted indaga sobre si la actividad 2.9 de la Matriz 1 - Experiencia del Sector Institucional comprende proyectos sobre redes eléctricas de infraestructura de servicio público que no recaigan sobre edificaciones. Por ello, es necesario precisar el alcance de esa actividad, que establece lo siguiente:</w:t>
      </w:r>
    </w:p>
    <w:p w14:paraId="08EF5771" w14:textId="77777777" w:rsidR="00E32781" w:rsidRPr="00E32781" w:rsidRDefault="00E32781" w:rsidP="00E32781">
      <w:pPr>
        <w:spacing w:after="0" w:line="276" w:lineRule="auto"/>
        <w:jc w:val="both"/>
        <w:rPr>
          <w:rFonts w:ascii="Verdana" w:eastAsia="Arial" w:hAnsi="Verdana" w:cs="Aptos"/>
          <w:lang w:eastAsia="es-ES"/>
        </w:rPr>
      </w:pPr>
    </w:p>
    <w:p w14:paraId="60FA3941" w14:textId="77777777" w:rsidR="00E32781" w:rsidRPr="00E32781" w:rsidRDefault="00E32781" w:rsidP="00E32781">
      <w:pPr>
        <w:shd w:val="clear" w:color="auto" w:fill="FFFFFF"/>
        <w:spacing w:after="0" w:line="240" w:lineRule="auto"/>
        <w:ind w:left="709" w:right="709"/>
        <w:jc w:val="both"/>
        <w:rPr>
          <w:rFonts w:ascii="Verdana" w:eastAsia="Times New Roman" w:hAnsi="Verdana" w:cs="Arial"/>
          <w:color w:val="242424"/>
          <w:sz w:val="21"/>
          <w:szCs w:val="21"/>
          <w:lang w:eastAsia="es-MX"/>
        </w:rPr>
      </w:pPr>
      <w:r w:rsidRPr="00E32781">
        <w:rPr>
          <w:rFonts w:ascii="Verdana" w:eastAsia="Times New Roman" w:hAnsi="Verdana" w:cs="Arial"/>
          <w:color w:val="242424"/>
          <w:sz w:val="21"/>
          <w:szCs w:val="21"/>
          <w:lang w:eastAsia="es-MX"/>
        </w:rPr>
        <w:t xml:space="preserve">“2.9.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CIRCUITOS CERRADOS DE TV Y/O SISTEMAS DE SEGURIDAD Y/O CIRCUITOS DE VOZ Y DATOS Y/O   PLANTAS ELÉCTRICAS Y/O SUBESTACIONES Y/O REDES DE TELEMÁTICA Y/O COMUNICACIÓN Y/O SONIDO Y/O TELEFONÍA Y/O REDES O SISTEMAS DE ILUMINACIÓN O LUMINARIAS INTERIORES O EXTERIORES DE INFRAESTRUCTURA DE SERVICIO PUBLICO”. </w:t>
      </w:r>
    </w:p>
    <w:p w14:paraId="7A735D15" w14:textId="77777777" w:rsidR="00E32781" w:rsidRPr="00E32781" w:rsidRDefault="00E32781" w:rsidP="00E32781">
      <w:pPr>
        <w:spacing w:after="0" w:line="276" w:lineRule="auto"/>
        <w:jc w:val="both"/>
        <w:rPr>
          <w:rFonts w:ascii="Verdana" w:eastAsia="Times New Roman" w:hAnsi="Verdana" w:cs="Times New Roman"/>
          <w:color w:val="000000"/>
          <w:lang w:eastAsia="es-CO"/>
        </w:rPr>
      </w:pPr>
    </w:p>
    <w:p w14:paraId="36C6F31A" w14:textId="77777777" w:rsidR="00E32781" w:rsidRPr="00E32781" w:rsidRDefault="00E32781" w:rsidP="00E32781">
      <w:pPr>
        <w:spacing w:after="120" w:line="276" w:lineRule="auto"/>
        <w:ind w:firstLine="708"/>
        <w:jc w:val="both"/>
        <w:rPr>
          <w:rFonts w:ascii="Verdana" w:eastAsia="Aptos" w:hAnsi="Verdana" w:cs="Times New Roman"/>
          <w:i/>
          <w:iCs/>
          <w:kern w:val="2"/>
          <w14:ligatures w14:val="standardContextual"/>
        </w:rPr>
      </w:pPr>
      <w:r w:rsidRPr="00E32781">
        <w:rPr>
          <w:rFonts w:ascii="Verdana" w:eastAsia="Times New Roman" w:hAnsi="Verdana" w:cs="Times New Roman"/>
          <w:color w:val="000000"/>
          <w:lang w:eastAsia="es-CO"/>
        </w:rPr>
        <w:t xml:space="preserve">Como se aprecia, la actividad indicada aplica a los procesos que adelanten las entidades obligadas a utilizar los documentos tipo, cuando correspondan, para efectos de su solicitud, a la </w:t>
      </w:r>
      <w:r w:rsidRPr="00E32781">
        <w:rPr>
          <w:rFonts w:ascii="Verdana" w:eastAsia="Times New Roman" w:hAnsi="Verdana" w:cs="Arial"/>
          <w:color w:val="242424"/>
          <w:lang w:eastAsia="es-MX"/>
        </w:rPr>
        <w:t xml:space="preserve">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w:t>
      </w:r>
      <w:r w:rsidRPr="00E32781">
        <w:rPr>
          <w:rFonts w:ascii="Verdana" w:eastAsia="Times New Roman" w:hAnsi="Verdana" w:cs="Arial"/>
          <w:b/>
          <w:bCs/>
          <w:i/>
          <w:iCs/>
          <w:color w:val="242424"/>
          <w:lang w:eastAsia="es-MX"/>
        </w:rPr>
        <w:t>de redes eléctricas</w:t>
      </w:r>
      <w:r w:rsidRPr="00E32781">
        <w:rPr>
          <w:rFonts w:ascii="Verdana" w:eastAsia="Aptos" w:hAnsi="Verdana" w:cs="Times New Roman"/>
          <w:kern w:val="2"/>
          <w14:ligatures w14:val="standardContextual"/>
        </w:rPr>
        <w:t xml:space="preserve">, </w:t>
      </w:r>
      <w:r w:rsidRPr="00E32781">
        <w:rPr>
          <w:rFonts w:ascii="Verdana" w:eastAsia="Aptos" w:hAnsi="Verdana" w:cs="Times New Roman"/>
          <w:i/>
          <w:iCs/>
          <w:kern w:val="2"/>
          <w14:ligatures w14:val="standardContextual"/>
        </w:rPr>
        <w:t xml:space="preserve">siempre que recaigan sobre </w:t>
      </w:r>
      <w:r w:rsidRPr="00E32781">
        <w:rPr>
          <w:rFonts w:ascii="Verdana" w:eastAsia="Times New Roman" w:hAnsi="Verdana" w:cs="Times New Roman"/>
          <w:i/>
          <w:iCs/>
          <w:color w:val="000000"/>
          <w:lang w:eastAsia="es-CO"/>
        </w:rPr>
        <w:t xml:space="preserve">infraestructura de servicio público. </w:t>
      </w:r>
    </w:p>
    <w:p w14:paraId="09690BAF" w14:textId="77777777" w:rsidR="00E32781" w:rsidRPr="00E32781" w:rsidRDefault="00E32781" w:rsidP="00E32781">
      <w:pPr>
        <w:spacing w:after="120" w:line="276" w:lineRule="auto"/>
        <w:ind w:firstLine="708"/>
        <w:jc w:val="both"/>
        <w:rPr>
          <w:rFonts w:ascii="Verdana" w:eastAsia="Aptos" w:hAnsi="Verdana" w:cs="Times New Roman"/>
          <w:kern w:val="2"/>
          <w14:ligatures w14:val="standardContextual"/>
        </w:rPr>
      </w:pPr>
      <w:r w:rsidRPr="00E32781">
        <w:rPr>
          <w:rFonts w:ascii="Verdana" w:eastAsia="Aptos" w:hAnsi="Verdana" w:cs="Times New Roman"/>
          <w:kern w:val="2"/>
          <w14:ligatures w14:val="standardContextual"/>
        </w:rPr>
        <w:t xml:space="preserve">De esta forma, la expresión “redes eléctricas” debe entenderse en el sentido técnico precisado en el literal i) de este numeral para la infraestructura eléctrica, esto es, como parte del conjunto de instalaciones, equipos y sistemas destinados a la generación, transmisión, transformación, distribución y control de la energía eléctrica, en concordancia con la definición de instalaciones eléctricas del RETIE. Ahora bien, como la actividad recae sobre redes eléctricas de infraestructura de servicio público, </w:t>
      </w:r>
      <w:r w:rsidRPr="00E32781">
        <w:rPr>
          <w:rFonts w:ascii="Verdana" w:eastAsia="Times New Roman" w:hAnsi="Verdana" w:cs="Aptos"/>
          <w:lang w:eastAsia="es-MX"/>
        </w:rPr>
        <w:t xml:space="preserve">el alcance de este tipo de infraestructura debe interpretarse conforme a la nota general 1 de la Matriz 1 – Experiencia del Sector Institucional, prevista en las distintas modalidades de selección de los documentos tipo adoptados por esta Agencia. Según esta nota, “(l)as definiciones contenidas en esta Matriz deben enmarcarse en la normativa </w:t>
      </w:r>
      <w:r w:rsidRPr="00E32781">
        <w:rPr>
          <w:rFonts w:ascii="Verdana" w:eastAsia="Times New Roman" w:hAnsi="Verdana" w:cs="Aptos"/>
          <w:lang w:eastAsia="es-MX"/>
        </w:rPr>
        <w:lastRenderedPageBreak/>
        <w:t>vigente en la materia, así como en la NSR 10 y/o aquellas que los modifiquen, adicionen y/o sustituyan, así como a las definiciones contenidas en el “Anexo - Glosario del Sector Social””.</w:t>
      </w:r>
    </w:p>
    <w:p w14:paraId="1DF1E6E2" w14:textId="77777777" w:rsidR="00E32781" w:rsidRPr="00E32781" w:rsidRDefault="00E32781" w:rsidP="00E32781">
      <w:pPr>
        <w:spacing w:after="120" w:line="278" w:lineRule="auto"/>
        <w:ind w:firstLine="708"/>
        <w:jc w:val="both"/>
        <w:rPr>
          <w:rFonts w:ascii="Verdana" w:eastAsia="Times New Roman" w:hAnsi="Verdana" w:cs="Aptos"/>
          <w:lang w:eastAsia="es-MX"/>
        </w:rPr>
      </w:pPr>
      <w:r w:rsidRPr="00E32781">
        <w:rPr>
          <w:rFonts w:ascii="Verdana" w:eastAsia="Times New Roman" w:hAnsi="Verdana" w:cs="Aptos"/>
          <w:lang w:eastAsia="es-MX"/>
        </w:rPr>
        <w:t>La nota general 1 contenida en la Matriz 1 – Experiencia de los documentos tipo indicados es congruente con el numeral 1.10 del documento base, según el cual “(p)ara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p>
    <w:p w14:paraId="64332951" w14:textId="77777777" w:rsidR="00E32781" w:rsidRPr="00E32781" w:rsidRDefault="00E32781" w:rsidP="00E32781">
      <w:pPr>
        <w:spacing w:after="120" w:line="276" w:lineRule="auto"/>
        <w:ind w:firstLine="708"/>
        <w:jc w:val="both"/>
        <w:rPr>
          <w:rFonts w:ascii="Verdana" w:eastAsia="Calibri" w:hAnsi="Verdana" w:cs="Arial"/>
          <w:color w:val="0D0D0D"/>
          <w:lang w:eastAsia="es-MX"/>
        </w:rPr>
      </w:pPr>
      <w:r w:rsidRPr="00E32781">
        <w:rPr>
          <w:rFonts w:ascii="Verdana" w:eastAsia="Calibri" w:hAnsi="Verdana" w:cs="Arial"/>
          <w:lang w:val="es-ES_tradnl" w:eastAsia="es-MX"/>
        </w:rPr>
        <w:t xml:space="preserve">Como se precisó, la actividad 2.9 hace parte del tipo de obra 2) </w:t>
      </w:r>
      <w:r w:rsidRPr="00E32781">
        <w:rPr>
          <w:rFonts w:ascii="Verdana" w:eastAsia="Times New Roman" w:hAnsi="Verdana" w:cs="Calibri"/>
          <w:lang w:eastAsia="es-MX"/>
        </w:rPr>
        <w:t xml:space="preserve">obras en proyectos de infraestructura institucional de servicio público. Para determinar qué abarca este tipo de infraestructura, debe tenerse en cuenta que, de conformidad con la </w:t>
      </w:r>
      <w:r w:rsidRPr="00E32781">
        <w:rPr>
          <w:rFonts w:ascii="Verdana" w:eastAsia="Calibri" w:hAnsi="Verdana" w:cs="Arial"/>
          <w:color w:val="0D0D0D"/>
          <w:lang w:eastAsia="es-MX"/>
        </w:rPr>
        <w:t>NSR-10, en el Subgrupo de Ocupación Institucional de Servicio Público (I-5) “se clasifican las edificaciones o espacios destinados a funciones administrativas y prestación de servicios públicos necesarios para el buen funcionamiento de las ciudades”</w:t>
      </w:r>
      <w:r w:rsidRPr="00E32781">
        <w:rPr>
          <w:rFonts w:ascii="Verdana" w:eastAsia="Calibri" w:hAnsi="Verdana" w:cs="Arial"/>
          <w:color w:val="0D0D0D"/>
          <w:vertAlign w:val="superscript"/>
          <w:lang w:eastAsia="es-MX"/>
        </w:rPr>
        <w:footnoteReference w:id="3"/>
      </w:r>
      <w:r w:rsidRPr="00E32781">
        <w:rPr>
          <w:rFonts w:ascii="Verdana" w:eastAsia="Calibri" w:hAnsi="Verdana" w:cs="Arial"/>
          <w:color w:val="0D0D0D"/>
          <w:lang w:eastAsia="es-MX"/>
        </w:rPr>
        <w:t>. Entre las edificaciones o espacios que pertenecen a este Subgrupo se encuentran las siguientes: “Centros de comunicación o administrativos o administrativos de servicios municipales, distritales o gubernamentales, juzgados y otros similares”</w:t>
      </w:r>
      <w:r w:rsidRPr="00E32781">
        <w:rPr>
          <w:rFonts w:ascii="Verdana" w:eastAsia="Calibri" w:hAnsi="Verdana" w:cs="Arial"/>
          <w:color w:val="0D0D0D"/>
          <w:vertAlign w:val="superscript"/>
          <w:lang w:eastAsia="es-MX"/>
        </w:rPr>
        <w:footnoteReference w:id="4"/>
      </w:r>
      <w:r w:rsidRPr="00E32781">
        <w:rPr>
          <w:rFonts w:ascii="Verdana" w:eastAsia="Calibri" w:hAnsi="Verdana" w:cs="Arial"/>
          <w:color w:val="0D0D0D"/>
          <w:lang w:eastAsia="es-MX"/>
        </w:rPr>
        <w:t>.</w:t>
      </w:r>
    </w:p>
    <w:p w14:paraId="19C4F1A1" w14:textId="77777777" w:rsidR="00E32781" w:rsidRPr="00E32781" w:rsidRDefault="00E32781" w:rsidP="00E32781">
      <w:pPr>
        <w:spacing w:after="120" w:line="276" w:lineRule="auto"/>
        <w:ind w:firstLine="708"/>
        <w:jc w:val="both"/>
        <w:rPr>
          <w:rFonts w:ascii="Verdana" w:eastAsia="Calibri" w:hAnsi="Verdana" w:cs="Arial"/>
          <w:color w:val="0D0D0D"/>
          <w:lang w:eastAsia="es-MX"/>
        </w:rPr>
      </w:pPr>
      <w:r w:rsidRPr="00E32781">
        <w:rPr>
          <w:rFonts w:ascii="Verdana" w:eastAsia="Calibri" w:hAnsi="Verdana" w:cs="Arial"/>
          <w:color w:val="0D0D0D"/>
          <w:lang w:eastAsia="es-MX"/>
        </w:rPr>
        <w:t xml:space="preserve">En este sentido, el Subgrupo de Ocupación Institucional de Servicio Público corresponde a una categoría de clasificación establecida por la NSR-10 que agrupa a aquellas edificaciones o espacios destinados al ejercicio de funciones administrativas y a la prestación de servicios públicos necesarios para el buen funcionamiento de las ciudades. Este subgrupo comprende centros de comunicación, administrativos y sedes de servicios en distintos niveles, juzgados y otros similares. La expresión “otros similares” evidencia que la enumeración no es taxativa, sino enunciativa, por lo que incluye todas aquellas edificaciones que, por su naturaleza y finalidad, están orientadas a la prestación de servicios públicos y al desarrollo de funciones institucionales del Estado, como son las funciones administrativas. Con todo, esta cláusula abierta solo extiende la </w:t>
      </w:r>
      <w:r w:rsidRPr="00E32781">
        <w:rPr>
          <w:rFonts w:ascii="Verdana" w:eastAsia="Calibri" w:hAnsi="Verdana" w:cs="Arial"/>
          <w:color w:val="0D0D0D"/>
          <w:lang w:eastAsia="es-MX"/>
        </w:rPr>
        <w:lastRenderedPageBreak/>
        <w:t>categoría a otras edificaciones o espacios de la misma naturaleza, y no permite incluir en ella infraestructura que carezca de esa condición.</w:t>
      </w:r>
    </w:p>
    <w:p w14:paraId="337661DD" w14:textId="77777777" w:rsidR="00E32781" w:rsidRPr="00E32781" w:rsidRDefault="00E32781" w:rsidP="00E32781">
      <w:pPr>
        <w:spacing w:after="120" w:line="276" w:lineRule="auto"/>
        <w:ind w:firstLine="708"/>
        <w:jc w:val="both"/>
        <w:rPr>
          <w:rFonts w:ascii="Verdana" w:eastAsia="Calibri" w:hAnsi="Verdana" w:cs="Arial"/>
          <w:color w:val="0D0D0D"/>
          <w:lang w:eastAsia="es-MX"/>
        </w:rPr>
      </w:pPr>
      <w:r w:rsidRPr="00E32781">
        <w:rPr>
          <w:rFonts w:ascii="Verdana" w:eastAsia="Calibri" w:hAnsi="Verdana" w:cs="Arial"/>
          <w:color w:val="0D0D0D"/>
          <w:lang w:eastAsia="es-MX"/>
        </w:rPr>
        <w:t xml:space="preserve">De acuerdo con la definición del Subgrupo de Ocupación Institucional y las edificaciones que este comprende, dentro de este se encuentran las edificaciones institucionales, entendidas estas como la “infraestructura que ha sido construida para funciones específicas (como las administrativas, </w:t>
      </w:r>
      <w:proofErr w:type="spellStart"/>
      <w:r w:rsidRPr="00E32781">
        <w:rPr>
          <w:rFonts w:ascii="Verdana" w:eastAsia="Calibri" w:hAnsi="Verdana" w:cs="Arial"/>
          <w:color w:val="0D0D0D"/>
          <w:lang w:eastAsia="es-MX"/>
        </w:rPr>
        <w:t>etc</w:t>
      </w:r>
      <w:proofErr w:type="spellEnd"/>
      <w:r w:rsidRPr="00E32781">
        <w:rPr>
          <w:rFonts w:ascii="Verdana" w:eastAsia="Calibri" w:hAnsi="Verdana" w:cs="Arial"/>
          <w:color w:val="0D0D0D"/>
          <w:lang w:eastAsia="es-MX"/>
        </w:rPr>
        <w:t>) principalmente para el beneficio e interés público”</w:t>
      </w:r>
      <w:r w:rsidRPr="00E32781">
        <w:rPr>
          <w:rFonts w:ascii="Verdana" w:eastAsia="Calibri" w:hAnsi="Verdana" w:cs="Arial"/>
          <w:color w:val="0D0D0D"/>
          <w:vertAlign w:val="superscript"/>
          <w:lang w:eastAsia="es-MX"/>
        </w:rPr>
        <w:footnoteReference w:id="5"/>
      </w:r>
      <w:r w:rsidRPr="00E32781">
        <w:rPr>
          <w:rFonts w:ascii="Verdana" w:eastAsia="Calibri" w:hAnsi="Verdana" w:cs="Arial"/>
          <w:color w:val="0D0D0D"/>
          <w:lang w:eastAsia="es-MX"/>
        </w:rPr>
        <w:t xml:space="preserve">. </w:t>
      </w:r>
    </w:p>
    <w:p w14:paraId="5F9533D9" w14:textId="77777777" w:rsidR="00E32781" w:rsidRPr="00E32781" w:rsidRDefault="00E32781" w:rsidP="00E32781">
      <w:pPr>
        <w:spacing w:after="120" w:line="276" w:lineRule="auto"/>
        <w:ind w:firstLine="708"/>
        <w:jc w:val="both"/>
        <w:rPr>
          <w:rFonts w:ascii="Verdana" w:eastAsia="Calibri" w:hAnsi="Verdana" w:cs="Times New Roman"/>
          <w:color w:val="000000"/>
          <w:kern w:val="2"/>
          <w:lang w:val="es-ES_tradnl"/>
          <w14:ligatures w14:val="standardContextual"/>
        </w:rPr>
      </w:pPr>
      <w:r w:rsidRPr="00E32781">
        <w:rPr>
          <w:rFonts w:ascii="Verdana" w:eastAsia="Calibri" w:hAnsi="Verdana" w:cs="Arial"/>
          <w:color w:val="0D0D0D"/>
          <w:lang w:eastAsia="es-MX"/>
        </w:rPr>
        <w:t>Considerando lo anterior, la infraestructura institucional de servicio público a la que se refiere el tipo de obra 2) de la Matriz 1 – Experiencia corresponde a edificaciones o espacios construidos y destinados a funciones administrativas y a la prestación de servicios públicos, como sedes administrativas, centros de comunicación, juzgados u otros de naturaleza similar. Esta lectura coincide con la estructura de la matriz, cuyos tipos de obra 1), 2) y 3) se denominan igual que los subgrupos de ocupación institucional de la NSR-10 relativos a seguridad pública, servicio público y reclusión, clasificación que recae sobre edificaciones.</w:t>
      </w:r>
    </w:p>
    <w:p w14:paraId="79F3007E" w14:textId="77777777" w:rsidR="00E32781" w:rsidRPr="00E32781" w:rsidRDefault="00E32781" w:rsidP="00E32781">
      <w:pPr>
        <w:spacing w:after="120" w:line="276" w:lineRule="auto"/>
        <w:ind w:firstLine="708"/>
        <w:jc w:val="both"/>
        <w:rPr>
          <w:rFonts w:ascii="Verdana" w:eastAsia="Calibri" w:hAnsi="Verdana" w:cs="Times New Roman"/>
          <w:color w:val="000000"/>
          <w:kern w:val="2"/>
          <w:lang w:val="es-ES_tradnl"/>
          <w14:ligatures w14:val="standardContextual"/>
        </w:rPr>
      </w:pPr>
      <w:r w:rsidRPr="00E32781">
        <w:rPr>
          <w:rFonts w:ascii="Verdana" w:eastAsia="Calibri" w:hAnsi="Verdana" w:cs="Arial"/>
          <w:color w:val="0D0D0D"/>
          <w:lang w:eastAsia="es-MX"/>
        </w:rPr>
        <w:t>Esta conclusión se confirma con la experiencia que la Matriz 1 exige para la actividad 2.9. Como experiencia general, se requieren “PROYECTOS QUE CORRESPONDAN Y/O CONTEMPLEN ACTIVIDADES DE: CONSTRUCCIÓN Y/O AMPLIACIÓN (…) Y/O TERMINACIÓN DE REDES ELÉCTRICAS Y/O DE VOZ Y/O DE DATOS PARA EDIFICACIONES”</w:t>
      </w:r>
      <w:r w:rsidRPr="00E32781">
        <w:rPr>
          <w:rFonts w:ascii="Verdana" w:eastAsia="Calibri" w:hAnsi="Verdana" w:cs="Arial"/>
          <w:color w:val="0D0D0D"/>
          <w:vertAlign w:val="superscript"/>
          <w:lang w:eastAsia="es-MX"/>
        </w:rPr>
        <w:footnoteReference w:id="6"/>
      </w:r>
      <w:r w:rsidRPr="00E32781">
        <w:rPr>
          <w:rFonts w:ascii="Verdana" w:eastAsia="Calibri" w:hAnsi="Verdana" w:cs="Arial"/>
          <w:color w:val="0D0D0D"/>
          <w:lang w:eastAsia="es-MX"/>
        </w:rPr>
        <w:t>. Y como experiencia específica, en el caso de que el proyecto de la entidad corresponda a un proyecto de redes eléctricas, la matriz exige que “(p)</w:t>
      </w:r>
      <w:proofErr w:type="spellStart"/>
      <w:r w:rsidRPr="00E32781">
        <w:rPr>
          <w:rFonts w:ascii="Verdana" w:eastAsia="Calibri" w:hAnsi="Verdana" w:cs="Arial"/>
          <w:color w:val="0D0D0D"/>
          <w:lang w:eastAsia="es-MX"/>
        </w:rPr>
        <w:t>or</w:t>
      </w:r>
      <w:proofErr w:type="spellEnd"/>
      <w:r w:rsidRPr="00E32781">
        <w:rPr>
          <w:rFonts w:ascii="Verdana" w:eastAsia="Calibri" w:hAnsi="Verdana" w:cs="Arial"/>
          <w:color w:val="0D0D0D"/>
          <w:lang w:eastAsia="es-MX"/>
        </w:rPr>
        <w:t xml:space="preserve"> lo menos uno (1) de los contratos válidos aportados como experiencia general debe demostrar la intervención o suministro e instalación de redes eléctricas en edificaciones”</w:t>
      </w:r>
      <w:r w:rsidRPr="00E32781">
        <w:rPr>
          <w:rFonts w:ascii="Verdana" w:eastAsia="Calibri" w:hAnsi="Verdana" w:cs="Arial"/>
          <w:color w:val="0D0D0D"/>
          <w:vertAlign w:val="superscript"/>
          <w:lang w:eastAsia="es-MX"/>
        </w:rPr>
        <w:footnoteReference w:id="7"/>
      </w:r>
      <w:r w:rsidRPr="00E32781">
        <w:rPr>
          <w:rFonts w:ascii="Verdana" w:eastAsia="Calibri" w:hAnsi="Verdana" w:cs="Arial"/>
          <w:color w:val="0D0D0D"/>
          <w:lang w:eastAsia="es-MX"/>
        </w:rPr>
        <w:t>. La misma condición se prevé para las plantas eléctricas, las subestaciones y las redes o sistemas de iluminación o luminarias interiores o exteriores, cuya experiencia también debe acreditarse en edificaciones.</w:t>
      </w:r>
    </w:p>
    <w:p w14:paraId="7A66DADB" w14:textId="77777777" w:rsidR="00E32781" w:rsidRPr="00E32781" w:rsidRDefault="00E32781" w:rsidP="00845021">
      <w:pPr>
        <w:spacing w:after="120" w:line="276" w:lineRule="auto"/>
        <w:ind w:firstLine="708"/>
        <w:jc w:val="both"/>
        <w:rPr>
          <w:rFonts w:ascii="Verdana" w:eastAsia="Calibri" w:hAnsi="Verdana" w:cs="Times New Roman"/>
          <w:color w:val="000000"/>
          <w:kern w:val="2"/>
          <w:lang w:val="es-ES_tradnl"/>
          <w14:ligatures w14:val="standardContextual"/>
        </w:rPr>
      </w:pPr>
      <w:r w:rsidRPr="00E32781">
        <w:rPr>
          <w:rFonts w:ascii="Verdana" w:eastAsia="Calibri" w:hAnsi="Verdana" w:cs="Arial"/>
          <w:color w:val="0D0D0D"/>
          <w:lang w:eastAsia="es-MX"/>
        </w:rPr>
        <w:lastRenderedPageBreak/>
        <w:t>En consecuencia, la actividad 2.9 comprende las redes eléctricas que hacen parte de una edificación o espacio institucional de servicio público o que están a su servicio, como las redes internas, las subestaciones y plantas eléctricas de la sede o su iluminación interior y exterior. No comprende, en cambio, la ampliación de redes de distribución de energía eléctrica que no recaen sobre una edificación y que se integran al sistema de distribución local a cargo del operador de red. En ese supuesto no existe la edificación o el espacio institucional al que la matriz vincula la actividad, y la experiencia exigida, referida a redes eléctricas en edificaciones, no guardaría relación con el objeto del contrato.</w:t>
      </w:r>
    </w:p>
    <w:p w14:paraId="56E6F1C7" w14:textId="77777777" w:rsidR="00E32781" w:rsidRPr="00E32781" w:rsidRDefault="00E32781" w:rsidP="00845021">
      <w:pPr>
        <w:spacing w:after="120" w:line="276" w:lineRule="auto"/>
        <w:ind w:firstLine="708"/>
        <w:jc w:val="both"/>
        <w:rPr>
          <w:rFonts w:ascii="Verdana" w:eastAsia="Calibri" w:hAnsi="Verdana" w:cs="Times New Roman"/>
          <w:color w:val="000000"/>
          <w:kern w:val="2"/>
          <w:lang w:val="es-ES_tradnl"/>
          <w14:ligatures w14:val="standardContextual"/>
        </w:rPr>
      </w:pPr>
      <w:r w:rsidRPr="00E32781">
        <w:rPr>
          <w:rFonts w:ascii="Verdana" w:eastAsia="Calibri" w:hAnsi="Verdana" w:cs="Arial"/>
          <w:color w:val="0D0D0D"/>
          <w:lang w:eastAsia="es-MX"/>
        </w:rPr>
        <w:t>Tampoco altera esta conclusión el hecho de que la energía eléctrica sea un servicio público domiciliario. La matriz emplea la expresión “infraestructura institucional de servicio público” en el sentido de la NSR-10, para referirse a edificaciones destinadas a funciones administrativas y a la prestación de servicios públicos, y no a las redes mediante las cuales se presta el servicio público domiciliario de energía eléctrica, cuyo régimen está previsto en las Leyes 142 y 143 de 1994.</w:t>
      </w:r>
    </w:p>
    <w:p w14:paraId="74D6409F" w14:textId="77777777" w:rsidR="00E32781" w:rsidRPr="00E32781" w:rsidRDefault="00E32781" w:rsidP="00845021">
      <w:pPr>
        <w:spacing w:after="120" w:line="276" w:lineRule="auto"/>
        <w:ind w:firstLine="708"/>
        <w:jc w:val="both"/>
        <w:rPr>
          <w:rFonts w:ascii="Verdana" w:eastAsia="Calibri" w:hAnsi="Verdana" w:cs="Times New Roman"/>
          <w:color w:val="000000"/>
          <w:kern w:val="2"/>
          <w:lang w:val="es-ES_tradnl"/>
          <w14:ligatures w14:val="standardContextual"/>
        </w:rPr>
      </w:pPr>
      <w:r w:rsidRPr="00E32781">
        <w:rPr>
          <w:rFonts w:ascii="Verdana" w:eastAsia="Calibri" w:hAnsi="Verdana" w:cs="Arial"/>
          <w:color w:val="0D0D0D"/>
          <w:lang w:eastAsia="es-MX"/>
        </w:rPr>
        <w:t>La misma conclusión se predica de las demás actividades sobre redes eléctricas previstas en las matrices de experiencia del sector social. Las actividades 1.9 y 3.9 de la Matriz 1 – Experiencia del Sector Institucional, 1.9 del sector salud, 3.8 del sector cultura, recreación y deporte y 1.9 del sector vivienda tienen una redacción equivalente a la de la actividad 2.9 y exigen experiencia en redes eléctricas para edificaciones. Por su parte, las actividades 4.9 y 5.9 de la matriz del sector vivienda se refieren a “REDES ELÉCTRICAS DE VIVIENDA(S) RURAL(ES)” y a “REDES ELÉCTRICAS DE VIVIENDA(S) RURAL(ES) DISPERSA(S)”, respectivamente, pero su experiencia general también se acredita con proyectos de redes eléctricas “PARA EDIFICACIONES” y “PARA EDIFICACIONES DE VIVIENDAS”</w:t>
      </w:r>
      <w:r w:rsidRPr="00E32781">
        <w:rPr>
          <w:rFonts w:ascii="Verdana" w:eastAsia="Calibri" w:hAnsi="Verdana" w:cs="Arial"/>
          <w:color w:val="0D0D0D"/>
          <w:vertAlign w:val="superscript"/>
          <w:lang w:eastAsia="es-MX"/>
        </w:rPr>
        <w:footnoteReference w:id="8"/>
      </w:r>
      <w:r w:rsidRPr="00E32781">
        <w:rPr>
          <w:rFonts w:ascii="Verdana" w:eastAsia="Calibri" w:hAnsi="Verdana" w:cs="Arial"/>
          <w:color w:val="0D0D0D"/>
          <w:lang w:eastAsia="es-MX"/>
        </w:rPr>
        <w:t>. En todos los casos la red eléctrica está ligada a una edificación del sector, de modo que ninguna de estas actividades comprende la ampliación de redes de distribución de energía eléctrica a cargo del operador de red.</w:t>
      </w:r>
    </w:p>
    <w:p w14:paraId="5A7A1217" w14:textId="77777777" w:rsidR="00E32781" w:rsidRPr="00E32781" w:rsidRDefault="00E32781" w:rsidP="00E32781">
      <w:pPr>
        <w:spacing w:after="120" w:line="276" w:lineRule="auto"/>
        <w:ind w:firstLine="708"/>
        <w:jc w:val="both"/>
        <w:rPr>
          <w:rFonts w:ascii="Verdana" w:eastAsia="Calibri" w:hAnsi="Verdana" w:cs="Times New Roman"/>
          <w:color w:val="000000"/>
          <w:kern w:val="2"/>
          <w:lang w:val="es-ES_tradnl"/>
          <w14:ligatures w14:val="standardContextual"/>
        </w:rPr>
      </w:pPr>
      <w:r w:rsidRPr="00E32781">
        <w:rPr>
          <w:rFonts w:ascii="Verdana" w:eastAsia="Calibri" w:hAnsi="Verdana" w:cs="Arial"/>
          <w:color w:val="0D0D0D"/>
          <w:lang w:eastAsia="es-MX"/>
        </w:rPr>
        <w:lastRenderedPageBreak/>
        <w:t>En cuanto al tercer problema jurídico, relativo a si incide en la respuesta anterior la definición de “Infraestructura Social” del Anexo – Glosario, “en cuanto menciona los servicios públicos domiciliarios entre las áreas que la componen”</w:t>
      </w:r>
      <w:r w:rsidRPr="00E32781">
        <w:rPr>
          <w:rFonts w:ascii="Verdana" w:eastAsia="Calibri" w:hAnsi="Verdana" w:cs="Arial"/>
          <w:color w:val="0D0D0D"/>
          <w:vertAlign w:val="superscript"/>
          <w:lang w:eastAsia="es-MX"/>
        </w:rPr>
        <w:footnoteReference w:id="9"/>
      </w:r>
      <w:r w:rsidRPr="00E32781">
        <w:rPr>
          <w:rFonts w:ascii="Verdana" w:eastAsia="Calibri" w:hAnsi="Verdana" w:cs="Arial"/>
          <w:color w:val="0D0D0D"/>
          <w:lang w:eastAsia="es-MX"/>
        </w:rPr>
        <w:t xml:space="preserve">, debe señalarse que esa definición identifica el sector al que pertenecen los documentos tipo, pero no amplía las actividades estandarizadas en las matrices de experiencia. Como se explicó en el numeral </w:t>
      </w:r>
      <w:proofErr w:type="spellStart"/>
      <w:r w:rsidRPr="00E32781">
        <w:rPr>
          <w:rFonts w:ascii="Verdana" w:eastAsia="Calibri" w:hAnsi="Verdana" w:cs="Arial"/>
          <w:color w:val="0D0D0D"/>
          <w:lang w:eastAsia="es-MX"/>
        </w:rPr>
        <w:t>ii</w:t>
      </w:r>
      <w:proofErr w:type="spellEnd"/>
      <w:r w:rsidRPr="00E32781">
        <w:rPr>
          <w:rFonts w:ascii="Verdana" w:eastAsia="Calibri" w:hAnsi="Verdana" w:cs="Arial"/>
          <w:color w:val="0D0D0D"/>
          <w:lang w:eastAsia="es-MX"/>
        </w:rPr>
        <w:t xml:space="preserve"> de este acápite, los documentos tipo son obligatorios cuando el objeto contractual se enmarca materialmente en alguna de las actividades de la Matriz 1 – Experiencia del sector respectivo, y no por el solo hecho de que el proyecto pueda calificarse, en términos generales, como infraestructura social.</w:t>
      </w:r>
    </w:p>
    <w:p w14:paraId="1814DFA3" w14:textId="77777777" w:rsidR="00E32781" w:rsidRPr="00E32781" w:rsidRDefault="00E32781" w:rsidP="00E32781">
      <w:pPr>
        <w:spacing w:after="0" w:line="276" w:lineRule="auto"/>
        <w:ind w:firstLine="708"/>
        <w:jc w:val="both"/>
        <w:rPr>
          <w:rFonts w:ascii="Verdana" w:eastAsia="Calibri" w:hAnsi="Verdana" w:cs="Times New Roman"/>
          <w:color w:val="000000"/>
          <w:kern w:val="2"/>
          <w:lang w:val="es-ES_tradnl"/>
          <w14:ligatures w14:val="standardContextual"/>
        </w:rPr>
      </w:pPr>
      <w:r w:rsidRPr="00E32781">
        <w:rPr>
          <w:rFonts w:ascii="Verdana" w:eastAsia="Calibri" w:hAnsi="Verdana" w:cs="Arial"/>
          <w:color w:val="0D0D0D"/>
          <w:lang w:eastAsia="es-MX"/>
        </w:rPr>
        <w:t>Las definiciones del glosario sirven para interpretar los términos que emplea la matriz, conforme a la nota general 1 y al numeral 1.10 del documento base, pero no crean actividades que la matriz no contempla. Ninguna de las matrices del sector social estandariza la ampliación de redes de distribución de energía eléctrica como actividad autónoma, por lo que la mención de los servicios públicos domiciliarios en la definición de infraestructura social no modifica la conclusión expuesta frente a la actividad 2.9.</w:t>
      </w:r>
    </w:p>
    <w:p w14:paraId="73D43D8A" w14:textId="77777777" w:rsidR="00E32781" w:rsidRPr="00E32781" w:rsidRDefault="00E32781" w:rsidP="00E32781">
      <w:pPr>
        <w:spacing w:after="0" w:line="276" w:lineRule="auto"/>
        <w:jc w:val="both"/>
        <w:rPr>
          <w:rFonts w:ascii="Verdana" w:eastAsia="Calibri" w:hAnsi="Verdana" w:cs="Times New Roman"/>
        </w:rPr>
      </w:pPr>
    </w:p>
    <w:p w14:paraId="3049C25B" w14:textId="77777777" w:rsidR="00E32781" w:rsidRPr="00E32781" w:rsidRDefault="00E32781" w:rsidP="00E32781">
      <w:pPr>
        <w:snapToGrid w:val="0"/>
        <w:spacing w:after="120" w:line="276" w:lineRule="auto"/>
        <w:jc w:val="both"/>
        <w:rPr>
          <w:rFonts w:ascii="Verdana" w:eastAsia="Times New Roman" w:hAnsi="Verdana" w:cs="Arial"/>
          <w:kern w:val="2"/>
          <w:shd w:val="clear" w:color="auto" w:fill="FFFFFF"/>
          <w:lang w:val="es-ES" w:eastAsia="es-ES"/>
          <w14:ligatures w14:val="standardContextual"/>
        </w:rPr>
      </w:pPr>
      <w:proofErr w:type="spellStart"/>
      <w:r w:rsidRPr="00E32781">
        <w:rPr>
          <w:rFonts w:ascii="Verdana" w:eastAsia="Calibri" w:hAnsi="Verdana" w:cs="Arial"/>
          <w:lang w:eastAsia="es-ES_tradnl"/>
        </w:rPr>
        <w:t>iv</w:t>
      </w:r>
      <w:proofErr w:type="spellEnd"/>
      <w:r w:rsidRPr="00E32781">
        <w:rPr>
          <w:rFonts w:ascii="Verdana" w:eastAsia="Calibri" w:hAnsi="Verdana" w:cs="Arial"/>
          <w:lang w:eastAsia="es-ES_tradnl"/>
        </w:rPr>
        <w:t xml:space="preserve">. </w:t>
      </w:r>
      <w:r w:rsidRPr="00E32781">
        <w:rPr>
          <w:rFonts w:ascii="Verdana" w:eastAsia="Times New Roman" w:hAnsi="Verdana" w:cs="Arial"/>
          <w:kern w:val="2"/>
          <w:shd w:val="clear" w:color="auto" w:fill="FFFFFF"/>
          <w:lang w:val="es-ES" w:eastAsia="es-ES"/>
          <w14:ligatures w14:val="standardContextual"/>
        </w:rPr>
        <w:t xml:space="preserve">Si la Entidad determina que no está obligada a aplicar de manera forzosa los documentos tipo para desarrollar los procesos de contratación –ya sea porque, normativamente, no le resultan aplicables o porque el proceso que se pretende adelantar no </w:t>
      </w:r>
      <w:proofErr w:type="gramStart"/>
      <w:r w:rsidRPr="00E32781">
        <w:rPr>
          <w:rFonts w:ascii="Verdana" w:eastAsia="Times New Roman" w:hAnsi="Verdana" w:cs="Arial"/>
          <w:kern w:val="2"/>
          <w:shd w:val="clear" w:color="auto" w:fill="FFFFFF"/>
          <w:lang w:val="es-ES" w:eastAsia="es-ES"/>
          <w14:ligatures w14:val="standardContextual"/>
        </w:rPr>
        <w:t>se enmarca dentro de</w:t>
      </w:r>
      <w:proofErr w:type="gramEnd"/>
      <w:r w:rsidRPr="00E32781">
        <w:rPr>
          <w:rFonts w:ascii="Verdana" w:eastAsia="Times New Roman" w:hAnsi="Verdana" w:cs="Arial"/>
          <w:kern w:val="2"/>
          <w:shd w:val="clear" w:color="auto" w:fill="FFFFFF"/>
          <w:lang w:val="es-ES" w:eastAsia="es-ES"/>
          <w14:ligatures w14:val="standardContextual"/>
        </w:rPr>
        <w:t xml:space="preserve"> las modalidades de selección y tipos de obra estandarizados en las respectivas matrices de experiencia–, en tales escenarios dichos documentos carecen de fuerza obligatoria. En consecuencia, la Entidad deberá estructurar sus procesos, atendiendo la normativa vigente en materia de compras y contratación pública. No obstante, las Entidades pueden observar los documentos tipo de forma facultativa, como una estrategia para adoptar e incorporar políticas de buenas prácticas contractuales, realizando, en caso de que sea necesario, las adaptaciones que consideren pertinentes.</w:t>
      </w:r>
    </w:p>
    <w:p w14:paraId="18B1F434" w14:textId="77777777" w:rsidR="00E32781" w:rsidRPr="00E32781" w:rsidRDefault="00E32781" w:rsidP="00E32781">
      <w:pPr>
        <w:snapToGrid w:val="0"/>
        <w:spacing w:after="120" w:line="276" w:lineRule="auto"/>
        <w:ind w:firstLine="708"/>
        <w:jc w:val="both"/>
        <w:rPr>
          <w:rFonts w:ascii="Verdana" w:eastAsia="Times New Roman" w:hAnsi="Verdana" w:cs="Arial"/>
          <w:kern w:val="2"/>
          <w:shd w:val="clear" w:color="auto" w:fill="FFFFFF"/>
          <w:lang w:val="es-ES" w:eastAsia="es-ES"/>
          <w14:ligatures w14:val="standardContextual"/>
        </w:rPr>
      </w:pPr>
      <w:r w:rsidRPr="00E32781">
        <w:rPr>
          <w:rFonts w:ascii="Verdana" w:eastAsia="Calibri" w:hAnsi="Verdana" w:cs="Arial"/>
          <w:color w:val="0D0D0D"/>
          <w:lang w:eastAsia="es-MX"/>
        </w:rPr>
        <w:t xml:space="preserve">Este es el caso de los proyectos de ampliación de redes de distribución de energía eléctrica descritos en la consulta. Si la entidad decide tomar como referente un documento tipo, la regla de inalterabilidad no le resulta exigible, pues esta solo opera frente a los procesos que están obligados a aplicarlos. </w:t>
      </w:r>
    </w:p>
    <w:p w14:paraId="7DF22BE1" w14:textId="77777777" w:rsidR="00E32781" w:rsidRPr="00E32781" w:rsidRDefault="00E32781" w:rsidP="00E32781">
      <w:pPr>
        <w:snapToGrid w:val="0"/>
        <w:spacing w:after="0" w:line="276" w:lineRule="auto"/>
        <w:ind w:firstLine="708"/>
        <w:jc w:val="both"/>
        <w:rPr>
          <w:rFonts w:ascii="Verdana" w:eastAsia="Times New Roman" w:hAnsi="Verdana" w:cs="Arial"/>
          <w:kern w:val="2"/>
          <w:shd w:val="clear" w:color="auto" w:fill="FFFFFF"/>
          <w:lang w:val="es-ES" w:eastAsia="es-ES"/>
          <w14:ligatures w14:val="standardContextual"/>
        </w:rPr>
      </w:pPr>
      <w:r w:rsidRPr="00E32781">
        <w:rPr>
          <w:rFonts w:ascii="Verdana" w:eastAsia="Times New Roman" w:hAnsi="Verdana" w:cs="Arial"/>
          <w:kern w:val="2"/>
          <w:shd w:val="clear" w:color="auto" w:fill="FFFFFF"/>
          <w:lang w:val="es-ES" w:eastAsia="es-ES"/>
          <w14:ligatures w14:val="standardContextual"/>
        </w:rPr>
        <w:lastRenderedPageBreak/>
        <w:t xml:space="preserve">En consecuencia, los proponentes interesados en un proceso de contratación que se adelante por fuera del ámbito de aplicación de los documentos tipo expedidos por esta Agencia no pueden pretender extender su aplicación, incluidas sus reglas, a la entidad que está adelantando el proceso en el que estos no resulten obligatorios, pues esto supone desconocer que, precisamente por no estar cobijado el proceso por dichos documentos, la entidad no se encuentra sujeta a ellos, sin perjuicio de que esta decida adoptarlos voluntariamente y en los términos que libremente determine como criterio de buena práctica. </w:t>
      </w:r>
    </w:p>
    <w:p w14:paraId="4E8A5165" w14:textId="77777777" w:rsidR="00E32781" w:rsidRPr="00E32781" w:rsidRDefault="00E32781" w:rsidP="00E32781">
      <w:pPr>
        <w:spacing w:after="0" w:line="276" w:lineRule="auto"/>
        <w:jc w:val="both"/>
        <w:rPr>
          <w:rFonts w:ascii="Verdana" w:eastAsia="Calibri" w:hAnsi="Verdana" w:cs="Arial"/>
          <w:lang w:val="es-ES" w:eastAsia="es-ES_tradnl"/>
        </w:rPr>
      </w:pPr>
    </w:p>
    <w:p w14:paraId="2B6176DF" w14:textId="77777777" w:rsidR="00E32781" w:rsidRPr="00E32781" w:rsidRDefault="00E32781" w:rsidP="00E32781">
      <w:pPr>
        <w:snapToGrid w:val="0"/>
        <w:spacing w:after="120" w:line="276" w:lineRule="auto"/>
        <w:jc w:val="both"/>
        <w:rPr>
          <w:rFonts w:ascii="Verdana" w:eastAsia="Times New Roman" w:hAnsi="Verdana" w:cs="Arial"/>
          <w:kern w:val="2"/>
          <w:sz w:val="24"/>
          <w:szCs w:val="24"/>
          <w:shd w:val="clear" w:color="auto" w:fill="FFFFFF"/>
          <w:lang w:val="es-ES_tradnl" w:eastAsia="es-ES_tradnl"/>
          <w14:ligatures w14:val="standardContextual"/>
        </w:rPr>
      </w:pPr>
      <w:r w:rsidRPr="00E32781">
        <w:rPr>
          <w:rFonts w:ascii="Verdana" w:eastAsia="Calibri" w:hAnsi="Verdana" w:cs="Arial"/>
          <w:lang w:eastAsia="es-ES_tradnl"/>
        </w:rPr>
        <w:t xml:space="preserve">v. </w:t>
      </w:r>
      <w:r w:rsidRPr="00E32781">
        <w:rPr>
          <w:rFonts w:ascii="Verdana" w:eastAsia="Aptos" w:hAnsi="Verdana" w:cs="Aptos"/>
          <w:kern w:val="2"/>
          <w14:ligatures w14:val="standardContextual"/>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E32781">
        <w:rPr>
          <w:rFonts w:ascii="Verdana" w:eastAsia="Times New Roman" w:hAnsi="Verdana" w:cs="Arial"/>
          <w:kern w:val="2"/>
          <w:sz w:val="24"/>
          <w:szCs w:val="24"/>
          <w:shd w:val="clear" w:color="auto" w:fill="FFFFFF"/>
          <w:lang w:val="es-ES_tradnl" w:eastAsia="es-ES_tradnl"/>
          <w14:ligatures w14:val="standardContextual"/>
        </w:rPr>
        <w:t xml:space="preserve"> </w:t>
      </w:r>
    </w:p>
    <w:p w14:paraId="551A010F" w14:textId="77777777" w:rsidR="00E32781" w:rsidRPr="00E32781" w:rsidRDefault="00E32781" w:rsidP="00E32781">
      <w:pPr>
        <w:spacing w:after="120" w:line="276" w:lineRule="auto"/>
        <w:ind w:firstLine="708"/>
        <w:jc w:val="both"/>
        <w:rPr>
          <w:rFonts w:ascii="Verdana" w:eastAsia="Aptos" w:hAnsi="Verdana" w:cs="Times New Roman"/>
          <w:kern w:val="2"/>
          <w14:ligatures w14:val="standardContextual"/>
        </w:rPr>
      </w:pPr>
      <w:r w:rsidRPr="00E32781">
        <w:rPr>
          <w:rFonts w:ascii="Verdana" w:eastAsia="Calibri" w:hAnsi="Verdana" w:cs="Arial"/>
          <w:bCs/>
          <w:color w:val="000000"/>
          <w:kern w:val="2"/>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1A77131" w14:textId="77777777" w:rsidR="00E32781" w:rsidRPr="00E32781" w:rsidRDefault="00E32781" w:rsidP="00E32781">
      <w:pPr>
        <w:spacing w:after="0" w:line="276" w:lineRule="auto"/>
        <w:ind w:firstLine="708"/>
        <w:jc w:val="both"/>
        <w:rPr>
          <w:rFonts w:ascii="Verdana" w:eastAsia="Calibri" w:hAnsi="Verdana" w:cs="Arial"/>
          <w:bCs/>
          <w:color w:val="000000"/>
          <w:kern w:val="2"/>
          <w14:ligatures w14:val="standardContextual"/>
        </w:rPr>
      </w:pPr>
      <w:r w:rsidRPr="00E32781">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E32781">
        <w:rPr>
          <w:rFonts w:ascii="Verdana" w:eastAsia="Calibri" w:hAnsi="Verdana" w:cs="Arial"/>
          <w:bCs/>
          <w:color w:val="000000"/>
          <w:kern w:val="2"/>
          <w14:ligatures w14:val="standardContextual"/>
        </w:rPr>
        <w:lastRenderedPageBreak/>
        <w:t xml:space="preserve">gestión contractual, sin que sea atribución de Colombia Compra Eficiente validar sus actuaciones. </w:t>
      </w:r>
    </w:p>
    <w:p w14:paraId="6FAE4F59" w14:textId="77777777" w:rsidR="00E32781" w:rsidRPr="00E32781" w:rsidRDefault="00E32781" w:rsidP="00E32781">
      <w:pPr>
        <w:spacing w:after="0"/>
        <w:jc w:val="both"/>
        <w:rPr>
          <w:rFonts w:ascii="Verdana" w:eastAsia="Aptos" w:hAnsi="Verdana" w:cs="Arial"/>
          <w:color w:val="000000"/>
          <w:lang w:val="es-ES"/>
        </w:rPr>
      </w:pPr>
    </w:p>
    <w:p w14:paraId="0D26EE6A" w14:textId="77777777" w:rsidR="00E32781" w:rsidRPr="00E32781" w:rsidRDefault="00E32781" w:rsidP="00E32781">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E32781">
        <w:rPr>
          <w:rFonts w:ascii="Verdana" w:eastAsia="Century Gothic" w:hAnsi="Verdana" w:cs="Century Gothic"/>
          <w:b/>
          <w:bCs/>
        </w:rPr>
        <w:t>Referencias normativas, jurisprudenciales y otras fuentes:</w:t>
      </w:r>
    </w:p>
    <w:p w14:paraId="29950D55" w14:textId="77777777" w:rsidR="00E32781" w:rsidRPr="00E32781" w:rsidRDefault="00E32781" w:rsidP="00E32781">
      <w:pPr>
        <w:spacing w:after="0"/>
        <w:ind w:left="-15840"/>
        <w:jc w:val="both"/>
        <w:rPr>
          <w:rFonts w:ascii="Verdana" w:eastAsia="Calibri" w:hAnsi="Verdana" w:cs="Arial"/>
          <w:b/>
          <w:bCs/>
        </w:rPr>
      </w:pPr>
      <w:r w:rsidRPr="00E32781">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32781" w:rsidRPr="00E32781" w14:paraId="1FA4A014" w14:textId="77777777" w:rsidTr="009E3879">
        <w:trPr>
          <w:trHeight w:val="870"/>
        </w:trPr>
        <w:tc>
          <w:tcPr>
            <w:tcW w:w="8647" w:type="dxa"/>
            <w:tcBorders>
              <w:top w:val="dotted" w:sz="4" w:space="0" w:color="auto"/>
              <w:left w:val="dotted" w:sz="4" w:space="0" w:color="auto"/>
              <w:bottom w:val="dotted" w:sz="4" w:space="0" w:color="auto"/>
              <w:right w:val="dotted" w:sz="4" w:space="0" w:color="auto"/>
            </w:tcBorders>
          </w:tcPr>
          <w:p w14:paraId="562D51E4" w14:textId="77777777" w:rsidR="00E32781" w:rsidRPr="00E32781" w:rsidRDefault="00E32781" w:rsidP="00E32781">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E32781">
              <w:rPr>
                <w:rFonts w:ascii="Verdana" w:eastAsia="Calibri" w:hAnsi="Verdana" w:cs="Arial"/>
                <w:lang w:val="es-ES_tradnl"/>
              </w:rPr>
              <w:t xml:space="preserve">Ley 2022 de 2020, artículo 1. </w:t>
            </w:r>
          </w:p>
          <w:p w14:paraId="23AB73C4" w14:textId="77777777" w:rsidR="00E32781" w:rsidRPr="00E32781" w:rsidRDefault="00E32781" w:rsidP="00E32781">
            <w:pPr>
              <w:widowControl w:val="0"/>
              <w:numPr>
                <w:ilvl w:val="0"/>
                <w:numId w:val="17"/>
              </w:numPr>
              <w:autoSpaceDE w:val="0"/>
              <w:autoSpaceDN w:val="0"/>
              <w:spacing w:line="276" w:lineRule="auto"/>
              <w:jc w:val="both"/>
              <w:rPr>
                <w:rFonts w:ascii="Verdana" w:eastAsia="Calibri" w:hAnsi="Verdana" w:cs="Arial"/>
              </w:rPr>
            </w:pPr>
            <w:r w:rsidRPr="00E32781">
              <w:rPr>
                <w:rFonts w:ascii="Verdana" w:eastAsia="Calibri" w:hAnsi="Verdana" w:cs="Arial"/>
              </w:rPr>
              <w:t>Ley 1150 de 2007, artículo 2.</w:t>
            </w:r>
          </w:p>
          <w:p w14:paraId="50D0D483" w14:textId="77777777" w:rsidR="00E32781" w:rsidRPr="008A4A8D" w:rsidRDefault="00E32781" w:rsidP="00E32781">
            <w:pPr>
              <w:widowControl w:val="0"/>
              <w:numPr>
                <w:ilvl w:val="0"/>
                <w:numId w:val="17"/>
              </w:numPr>
              <w:autoSpaceDE w:val="0"/>
              <w:autoSpaceDN w:val="0"/>
              <w:spacing w:line="276" w:lineRule="auto"/>
              <w:contextualSpacing/>
              <w:jc w:val="both"/>
              <w:rPr>
                <w:rFonts w:ascii="Verdana" w:eastAsia="Calibri" w:hAnsi="Verdana" w:cs="Arial"/>
                <w:lang w:val="es-ES"/>
              </w:rPr>
            </w:pPr>
            <w:r w:rsidRPr="00E32781">
              <w:rPr>
                <w:rFonts w:ascii="Verdana" w:eastAsia="Calibri" w:hAnsi="Verdana" w:cs="Arial"/>
                <w:lang w:val="es-ES_tradnl"/>
              </w:rPr>
              <w:t xml:space="preserve">Documentos Tipo. Disponibles en: </w:t>
            </w:r>
            <w:hyperlink r:id="rId11" w:history="1">
              <w:r w:rsidRPr="00E32781">
                <w:rPr>
                  <w:rFonts w:ascii="Verdana" w:eastAsia="Calibri" w:hAnsi="Verdana" w:cs="Arial"/>
                  <w:color w:val="0000FF"/>
                  <w:u w:val="single"/>
                  <w:lang w:val="es-ES_tradnl"/>
                </w:rPr>
                <w:t>https://www.colombiacompra.gov.co/documentos-tipo/documentos-tipo</w:t>
              </w:r>
            </w:hyperlink>
            <w:r w:rsidRPr="00E32781">
              <w:rPr>
                <w:rFonts w:ascii="Verdana" w:eastAsia="Calibri" w:hAnsi="Verdana" w:cs="Arial"/>
                <w:lang w:val="es-ES_tradnl"/>
              </w:rPr>
              <w:t>.</w:t>
            </w:r>
          </w:p>
          <w:p w14:paraId="0384FB2D" w14:textId="171C73CB" w:rsidR="008A4A8D" w:rsidRPr="00E32781" w:rsidRDefault="008A4A8D" w:rsidP="00E32781">
            <w:pPr>
              <w:widowControl w:val="0"/>
              <w:numPr>
                <w:ilvl w:val="0"/>
                <w:numId w:val="17"/>
              </w:numPr>
              <w:autoSpaceDE w:val="0"/>
              <w:autoSpaceDN w:val="0"/>
              <w:spacing w:line="276" w:lineRule="auto"/>
              <w:jc w:val="both"/>
              <w:rPr>
                <w:rFonts w:ascii="Verdana" w:eastAsia="Calibri" w:hAnsi="Verdana" w:cs="Arial"/>
                <w:lang w:val="es-ES"/>
              </w:rPr>
            </w:pPr>
            <w:r w:rsidRPr="008A4A8D">
              <w:rPr>
                <w:rFonts w:ascii="Verdana" w:eastAsia="Calibri" w:hAnsi="Verdana" w:cs="Arial"/>
              </w:rPr>
              <w:t>Reglamento Colombiano de Construcción Sismo Resistente NSR-10, Título K, numeral K.2.6.5</w:t>
            </w:r>
          </w:p>
        </w:tc>
      </w:tr>
    </w:tbl>
    <w:p w14:paraId="099DD19F" w14:textId="77777777" w:rsidR="00E32781" w:rsidRPr="00E32781" w:rsidRDefault="00E32781" w:rsidP="00E32781">
      <w:pPr>
        <w:tabs>
          <w:tab w:val="left" w:pos="142"/>
          <w:tab w:val="left" w:pos="284"/>
        </w:tabs>
        <w:spacing w:after="0" w:line="276" w:lineRule="auto"/>
        <w:jc w:val="both"/>
        <w:rPr>
          <w:rFonts w:ascii="Verdana" w:eastAsia="Calibri" w:hAnsi="Verdana" w:cs="Arial"/>
        </w:rPr>
      </w:pPr>
    </w:p>
    <w:p w14:paraId="067F76A4" w14:textId="77777777" w:rsidR="00E32781" w:rsidRPr="00E32781" w:rsidRDefault="00E32781" w:rsidP="00E32781">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E32781">
        <w:rPr>
          <w:rFonts w:ascii="Verdana" w:eastAsia="Century Gothic" w:hAnsi="Verdana" w:cs="Century Gothic"/>
          <w:b/>
          <w:bCs/>
        </w:rPr>
        <w:t>Doctrina de la Agencia Nacional de Contratación Pública:</w:t>
      </w:r>
    </w:p>
    <w:p w14:paraId="62F715B1" w14:textId="77777777" w:rsidR="00E32781" w:rsidRPr="00E32781" w:rsidRDefault="00E32781" w:rsidP="00E32781">
      <w:pPr>
        <w:widowControl w:val="0"/>
        <w:autoSpaceDE w:val="0"/>
        <w:autoSpaceDN w:val="0"/>
        <w:spacing w:after="0" w:line="276" w:lineRule="auto"/>
        <w:jc w:val="both"/>
        <w:rPr>
          <w:rFonts w:ascii="Verdana" w:eastAsia="Calibri" w:hAnsi="Verdana" w:cs="Arial"/>
        </w:rPr>
      </w:pPr>
    </w:p>
    <w:p w14:paraId="3C081645" w14:textId="77777777" w:rsidR="00E32781" w:rsidRDefault="00E32781" w:rsidP="00E32781">
      <w:pPr>
        <w:spacing w:after="0" w:line="278" w:lineRule="auto"/>
        <w:jc w:val="both"/>
        <w:rPr>
          <w:rFonts w:ascii="Verdana" w:eastAsia="Times New Roman" w:hAnsi="Verdana" w:cs="Arial"/>
          <w:kern w:val="2"/>
          <w:shd w:val="clear" w:color="auto" w:fill="FFFFFF"/>
          <w:lang w:val="es-ES"/>
          <w14:ligatures w14:val="standardContextual"/>
        </w:rPr>
      </w:pPr>
      <w:r w:rsidRPr="00E32781">
        <w:rPr>
          <w:rFonts w:ascii="Verdana" w:eastAsia="Times New Roman" w:hAnsi="Verdana" w:cs="Arial"/>
          <w:kern w:val="2"/>
          <w:shd w:val="clear" w:color="auto" w:fill="FFFFFF"/>
          <w:lang w:val="es-ES"/>
          <w14:ligatures w14:val="standardContextual"/>
        </w:rPr>
        <w:t xml:space="preserve">En los conceptos C-085 del 10 de abril de 2023, C-375 del 2 de noviembre de 2023, C-063 del 17 de mayo de 2024, C-120 del 11 de junio de 2024, C-092 del 14 de junio de 2024, C-127 del 28 de junio de 2024, C-276 del 5 de julio de 2024, C-153 del 12 de julio de 2024, C-147 del 17 de julio de 2024, C-229 del 09 de agosto de 2024, C-549 del 15 de octubre de 2024, C-400 del 18 de octubre de 2024, C-587 del 23 de octubre de 2024, C-753 del 4 de diciembre de 2024, C-753 del 4 de diciembre de 2024, C-213 del 6 de marzo de 2025, C-283 del 14 de abril de 2025, C-168 del 12 de septiembre de 2025 , C-581 del 24 de junio de 2025, C-1093 del 15 de septiembre del 2025, C-1286 del 15 de septiembre de 2025, C-1360 del 9 de octubre de 2025, C-1532 del 2 de diciembre de 2025, C-325 del 8 de abril de 2026 y C- C-1040 del 12 de agosto de 2026, esta Agencia se pronunció sobre la Matriz 1 – Experiencia de los documentos tipo de infraestructura de transporte. </w:t>
      </w:r>
    </w:p>
    <w:p w14:paraId="69EC6E91" w14:textId="77777777" w:rsidR="00E32781" w:rsidRPr="00E32781" w:rsidRDefault="00E32781" w:rsidP="00E32781">
      <w:pPr>
        <w:spacing w:after="0" w:line="278" w:lineRule="auto"/>
        <w:jc w:val="both"/>
        <w:rPr>
          <w:rFonts w:ascii="Verdana" w:eastAsia="Times New Roman" w:hAnsi="Verdana" w:cs="Arial"/>
          <w:kern w:val="2"/>
          <w:shd w:val="clear" w:color="auto" w:fill="FFFFFF"/>
          <w:lang w:val="es-ES"/>
          <w14:ligatures w14:val="standardContextual"/>
        </w:rPr>
      </w:pPr>
    </w:p>
    <w:p w14:paraId="1D4B2F48" w14:textId="77777777" w:rsidR="00E32781" w:rsidRPr="00E32781" w:rsidRDefault="00E32781" w:rsidP="00E32781">
      <w:pPr>
        <w:spacing w:after="0" w:line="278" w:lineRule="auto"/>
        <w:jc w:val="both"/>
        <w:rPr>
          <w:rFonts w:ascii="Verdana" w:eastAsia="Times New Roman" w:hAnsi="Verdana" w:cs="Arial"/>
          <w:kern w:val="2"/>
          <w:shd w:val="clear" w:color="auto" w:fill="FFFFFF"/>
          <w:lang w:val="es-ES"/>
          <w14:ligatures w14:val="standardContextual"/>
        </w:rPr>
      </w:pPr>
      <w:r w:rsidRPr="00E32781">
        <w:rPr>
          <w:rFonts w:ascii="Verdana" w:eastAsia="Times New Roman" w:hAnsi="Verdana" w:cs="Arial"/>
          <w:kern w:val="2"/>
          <w:shd w:val="clear" w:color="auto" w:fill="FFFFFF"/>
          <w:lang w:val="es-ES"/>
          <w14:ligatures w14:val="standardContextual"/>
        </w:rPr>
        <w:t xml:space="preserve">Asimismo, esta Agencia en el Concepto C-740 del 21 de julio de 2025 y C-1159 del 2 de septiembre de 2026, se pronunció sobre la aplicación de los documentos tipo de infraestructura de transporte para contratar actividades sobre redes eléctricas. </w:t>
      </w:r>
    </w:p>
    <w:p w14:paraId="6861AB4E" w14:textId="77777777" w:rsidR="00E32781" w:rsidRPr="00E32781" w:rsidRDefault="00E32781" w:rsidP="00E32781">
      <w:pPr>
        <w:widowControl w:val="0"/>
        <w:autoSpaceDE w:val="0"/>
        <w:autoSpaceDN w:val="0"/>
        <w:spacing w:after="0" w:line="276" w:lineRule="auto"/>
        <w:jc w:val="both"/>
        <w:rPr>
          <w:rFonts w:ascii="Verdana" w:eastAsia="Calibri" w:hAnsi="Verdana" w:cs="Arial"/>
        </w:rPr>
      </w:pPr>
    </w:p>
    <w:p w14:paraId="05F5BA7D" w14:textId="77777777" w:rsidR="00E32781" w:rsidRPr="00E32781" w:rsidRDefault="00E32781" w:rsidP="00E32781">
      <w:pPr>
        <w:spacing w:after="0" w:line="276" w:lineRule="auto"/>
        <w:jc w:val="both"/>
        <w:rPr>
          <w:rFonts w:ascii="Verdana" w:eastAsia="Calibri" w:hAnsi="Verdana" w:cs="Arial"/>
          <w:kern w:val="2"/>
          <w:shd w:val="clear" w:color="auto" w:fill="FFFFFF"/>
          <w:lang w:val="es-ES" w:eastAsia="es-MX"/>
          <w14:ligatures w14:val="standardContextual"/>
        </w:rPr>
      </w:pPr>
      <w:r w:rsidRPr="00E32781">
        <w:rPr>
          <w:rFonts w:ascii="Verdana" w:eastAsia="Calibri" w:hAnsi="Verdana" w:cs="Arial"/>
          <w:kern w:val="2"/>
          <w:shd w:val="clear" w:color="auto" w:fill="FFFFFF"/>
          <w:lang w:val="es-ES" w:eastAsia="es-MX"/>
          <w14:ligatures w14:val="standardContextual"/>
        </w:rPr>
        <w:t>Por su parte, la Agencia Nacional de Contratación Pública – Colombia Compra Eficiente se pronunció</w:t>
      </w:r>
      <w:r w:rsidRPr="00E32781">
        <w:rPr>
          <w:rFonts w:ascii="Verdana" w:eastAsia="Calibri" w:hAnsi="Verdana" w:cs="Times New Roman"/>
          <w:kern w:val="2"/>
          <w:lang w:eastAsia="es-MX"/>
          <w14:ligatures w14:val="standardContextual"/>
        </w:rPr>
        <w:t xml:space="preserve"> </w:t>
      </w:r>
      <w:r w:rsidRPr="00E32781">
        <w:rPr>
          <w:rFonts w:ascii="Verdana" w:eastAsia="Calibri" w:hAnsi="Verdana" w:cs="Arial"/>
          <w:kern w:val="2"/>
          <w:shd w:val="clear" w:color="auto" w:fill="FFFFFF"/>
          <w:lang w:val="es-ES" w:eastAsia="es-MX"/>
          <w14:ligatures w14:val="standardContextual"/>
        </w:rPr>
        <w:t xml:space="preserve">sobre el ámbito de aplicación de los documentos tipo de </w:t>
      </w:r>
      <w:r w:rsidRPr="00E32781">
        <w:rPr>
          <w:rFonts w:ascii="Verdana" w:eastAsia="Calibri" w:hAnsi="Verdana" w:cs="Arial"/>
          <w:kern w:val="2"/>
          <w:shd w:val="clear" w:color="auto" w:fill="FFFFFF"/>
          <w:lang w:val="es-ES" w:eastAsia="es-MX"/>
          <w14:ligatures w14:val="standardContextual"/>
        </w:rPr>
        <w:lastRenderedPageBreak/>
        <w:t>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E32781">
        <w:rPr>
          <w:rFonts w:ascii="Verdana" w:eastAsia="Calibri" w:hAnsi="Verdana" w:cs="Arial"/>
          <w:kern w:val="2"/>
          <w:shd w:val="clear" w:color="auto" w:fill="FFFFFF"/>
          <w:lang w:val="es-ES" w:eastAsia="es-MX"/>
          <w14:ligatures w14:val="standardContextual"/>
        </w:rPr>
        <w:tab/>
        <w:t xml:space="preserve">C-636 del 1 de noviembre de 2024, C-777 del 9 de diciembre de 2024, C-971 del 21 de enero de 2025, C-1813 del 31 de diciembre de 2025, C-186 del 16 de marzo de 2026, C-258 del 19 de marzo de 2026, C-392 del 20 de abril de 2026, C-386 del 23 de abril de 2026, C-475 del 23 de abril de 2026, C-452 del 4 de mayo de 2026, C-583 del 8 de mayo de 2026, C-682 del 22 de mayo de 2026, C-754 del 17 de junio de 2026, C-1048 del 5 de agosto de 2026 y C-1180 del 8 de septiembre de 2026 entre otros. </w:t>
      </w:r>
    </w:p>
    <w:p w14:paraId="3EFFF725" w14:textId="77777777" w:rsidR="00E32781" w:rsidRPr="00E32781" w:rsidRDefault="00E32781" w:rsidP="00E32781">
      <w:pPr>
        <w:spacing w:after="0" w:line="278" w:lineRule="auto"/>
        <w:jc w:val="both"/>
        <w:rPr>
          <w:rFonts w:ascii="Verdana" w:eastAsia="Times New Roman" w:hAnsi="Verdana" w:cs="Arial"/>
          <w:shd w:val="clear" w:color="auto" w:fill="FFFFFF"/>
          <w:lang w:val="es-ES"/>
        </w:rPr>
      </w:pPr>
    </w:p>
    <w:p w14:paraId="7CB926F2" w14:textId="77777777" w:rsidR="00E32781" w:rsidRPr="00E32781" w:rsidRDefault="00E32781" w:rsidP="00E32781">
      <w:pPr>
        <w:widowControl w:val="0"/>
        <w:autoSpaceDE w:val="0"/>
        <w:autoSpaceDN w:val="0"/>
        <w:spacing w:after="0" w:line="276" w:lineRule="auto"/>
        <w:jc w:val="both"/>
        <w:rPr>
          <w:rFonts w:ascii="Verdana" w:eastAsia="Calibri" w:hAnsi="Verdana" w:cs="Arial"/>
          <w:color w:val="0000FF"/>
          <w:kern w:val="2"/>
          <w:u w:val="single"/>
          <w:shd w:val="clear" w:color="auto" w:fill="FFFFFF"/>
          <w14:ligatures w14:val="standardContextual"/>
        </w:rPr>
      </w:pPr>
      <w:r w:rsidRPr="00E32781">
        <w:rPr>
          <w:rFonts w:ascii="Verdana" w:eastAsia="Times New Roman" w:hAnsi="Verdana" w:cs="Arial"/>
          <w:shd w:val="clear" w:color="auto" w:fill="FFFFFF"/>
          <w:lang w:val="es-ES"/>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E32781">
          <w:rPr>
            <w:rFonts w:ascii="Verdana" w:eastAsia="Calibri" w:hAnsi="Verdana" w:cs="Arial"/>
            <w:color w:val="0000FF"/>
            <w:kern w:val="2"/>
            <w:u w:val="single"/>
            <w:shd w:val="clear" w:color="auto" w:fill="FFFFFF"/>
            <w14:ligatures w14:val="standardContextual"/>
          </w:rPr>
          <w:t>https://relatoria.colombiacompra.gov.co/</w:t>
        </w:r>
      </w:hyperlink>
      <w:r w:rsidRPr="00E32781">
        <w:rPr>
          <w:rFonts w:ascii="Verdana" w:eastAsia="Calibri" w:hAnsi="Verdana" w:cs="Arial"/>
          <w:color w:val="0000FF"/>
          <w:kern w:val="2"/>
          <w:u w:val="single"/>
          <w:shd w:val="clear" w:color="auto" w:fill="FFFFFF"/>
          <w14:ligatures w14:val="standardContextual"/>
        </w:rPr>
        <w:t> .</w:t>
      </w:r>
    </w:p>
    <w:p w14:paraId="66181051" w14:textId="77777777" w:rsidR="00E32781" w:rsidRPr="00E32781" w:rsidRDefault="00E32781" w:rsidP="00E32781">
      <w:pPr>
        <w:widowControl w:val="0"/>
        <w:autoSpaceDE w:val="0"/>
        <w:autoSpaceDN w:val="0"/>
        <w:spacing w:after="0" w:line="276" w:lineRule="auto"/>
        <w:jc w:val="both"/>
        <w:rPr>
          <w:rFonts w:ascii="Verdana" w:eastAsia="Calibri" w:hAnsi="Verdana" w:cs="Arial"/>
          <w:color w:val="0000FF"/>
          <w:kern w:val="2"/>
          <w:u w:val="single"/>
          <w:shd w:val="clear" w:color="auto" w:fill="FFFFFF"/>
          <w14:ligatures w14:val="standardContextual"/>
        </w:rPr>
      </w:pPr>
    </w:p>
    <w:bookmarkEnd w:id="1"/>
    <w:p w14:paraId="4436DDC0" w14:textId="77777777" w:rsidR="00E32781" w:rsidRPr="00E32781" w:rsidRDefault="00E32781" w:rsidP="00E32781">
      <w:pPr>
        <w:spacing w:after="0" w:line="276" w:lineRule="auto"/>
        <w:jc w:val="both"/>
        <w:rPr>
          <w:rFonts w:ascii="Calibri" w:eastAsia="Calibri" w:hAnsi="Calibri" w:cs="Times New Roman"/>
        </w:rPr>
      </w:pPr>
      <w:r w:rsidRPr="00E32781">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32781">
        <w:rPr>
          <w:rFonts w:ascii="Verdana" w:eastAsia="Aptos" w:hAnsi="Verdana" w:cs="Times New Roman"/>
          <w:b/>
          <w:bCs/>
          <w:color w:val="000000"/>
          <w:kern w:val="2"/>
          <w14:ligatures w14:val="standardContextual"/>
        </w:rPr>
        <w:t>Guía para la Exigencia y Constitución de Garantías en los Procesos de Contratación</w:t>
      </w:r>
      <w:r w:rsidRPr="00E32781">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https://nam02.safelinks.protection.outlook.com/?url=https%3A%2F%2Fwww.colombiacompra.gov.co%2Farchivos%2Fmanual%2Fguia-de-garantias-en-procesos-de-contratacion&amp;data=05%7C02%7Ccarlos.castrillon%40colombiacompra.gov.co%7C7128555136e04fa6887d08dee99e1b50%7C7b0904" w:history="1">
        <w:r w:rsidRPr="00E32781">
          <w:rPr>
            <w:rFonts w:ascii="Verdana" w:eastAsia="Aptos" w:hAnsi="Verdana" w:cs="Times New Roman"/>
            <w:color w:val="0078D7"/>
            <w:kern w:val="2"/>
            <w:u w:val="single"/>
            <w14:ligatures w14:val="standardContextual"/>
          </w:rPr>
          <w:t>https://www.colombiacompra.gov.co/archivos/manual/guia-de-garantias-en-procesos-de-contratacion</w:t>
        </w:r>
      </w:hyperlink>
    </w:p>
    <w:p w14:paraId="07E5DEED" w14:textId="77777777" w:rsidR="00E32781" w:rsidRPr="00E32781" w:rsidRDefault="00E32781" w:rsidP="00E32781">
      <w:pPr>
        <w:spacing w:after="0" w:line="276" w:lineRule="auto"/>
        <w:jc w:val="both"/>
        <w:rPr>
          <w:rFonts w:ascii="Verdana" w:eastAsia="Aptos" w:hAnsi="Verdana" w:cs="Times New Roman"/>
          <w:kern w:val="2"/>
          <w:sz w:val="24"/>
          <w:szCs w:val="24"/>
          <w14:ligatures w14:val="standardContextual"/>
        </w:rPr>
      </w:pPr>
    </w:p>
    <w:p w14:paraId="18A5EB37" w14:textId="77777777" w:rsidR="00E32781" w:rsidRPr="00E32781" w:rsidRDefault="00E32781" w:rsidP="00E32781">
      <w:pPr>
        <w:spacing w:after="0" w:line="276" w:lineRule="auto"/>
        <w:jc w:val="both"/>
        <w:rPr>
          <w:rFonts w:ascii="Calibri" w:eastAsia="Calibri" w:hAnsi="Calibri" w:cs="Times New Roman"/>
        </w:rPr>
      </w:pPr>
      <w:r w:rsidRPr="00E32781">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E32781">
        <w:rPr>
          <w:rFonts w:ascii="Verdana" w:eastAsia="Aptos" w:hAnsi="Verdana" w:cs="Times New Roman"/>
          <w:b/>
          <w:bCs/>
          <w:color w:val="000000"/>
          <w:kern w:val="2"/>
          <w14:ligatures w14:val="standardContextual"/>
        </w:rPr>
        <w:t>Sistema Integral de Preferencias en favor de las personas con discapacidad</w:t>
      </w:r>
      <w:r w:rsidRPr="00E32781">
        <w:rPr>
          <w:rFonts w:ascii="Verdana" w:eastAsia="Aptos" w:hAnsi="Verdana" w:cs="Times New Roman"/>
          <w:color w:val="000000"/>
          <w:kern w:val="2"/>
          <w14:ligatures w14:val="standardContextual"/>
        </w:rPr>
        <w:t xml:space="preserve">, en cumplimiento del artículo 13 de la Ley </w:t>
      </w:r>
      <w:r w:rsidRPr="00E32781">
        <w:rPr>
          <w:rFonts w:ascii="Verdana" w:eastAsia="Aptos" w:hAnsi="Verdana" w:cs="Times New Roman"/>
          <w:color w:val="000000"/>
          <w:kern w:val="2"/>
          <w14:ligatures w14:val="standardContextual"/>
        </w:rPr>
        <w:lastRenderedPageBreak/>
        <w:t>Estatutaria 1618 de 2013. Para orientar su aplicación, esta Agencia expidió la </w:t>
      </w:r>
      <w:r w:rsidRPr="00E32781">
        <w:rPr>
          <w:rFonts w:ascii="Verdana" w:eastAsia="Aptos" w:hAnsi="Verdana" w:cs="Times New Roman"/>
          <w:b/>
          <w:bCs/>
          <w:color w:val="000000"/>
          <w:kern w:val="2"/>
          <w14:ligatures w14:val="standardContextual"/>
        </w:rPr>
        <w:t>Circular Externa 003 del 12 de mayo de 2026, </w:t>
      </w:r>
      <w:r w:rsidRPr="00E32781">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4" w:tooltip="https://nam02.safelinks.protection.outlook.com/?url=https%3A%2F%2Fwww.colombiacompra.gov.co%2Farchivos%2Fcircular%2Fcircular-externa-003-de-2026&amp;data=05%7C02%7Ccarlos.castrillon%40colombiacompra.gov.co%7C7128555136e04fa6887d08dee99e1b50%7C7b09041e245149d08cb17" w:history="1">
        <w:r w:rsidRPr="00E32781">
          <w:rPr>
            <w:rFonts w:ascii="Verdana" w:eastAsia="Aptos" w:hAnsi="Verdana" w:cs="Times New Roman"/>
            <w:color w:val="0078D7"/>
            <w:kern w:val="2"/>
            <w:u w:val="single"/>
            <w14:ligatures w14:val="standardContextual"/>
          </w:rPr>
          <w:t>https://www.colombiacompra.gov.co/archivos/circular/circular-externa-003-de-2026</w:t>
        </w:r>
      </w:hyperlink>
    </w:p>
    <w:p w14:paraId="303D4A8A" w14:textId="77777777" w:rsidR="00E32781" w:rsidRPr="00E32781" w:rsidRDefault="00E32781" w:rsidP="00E32781">
      <w:pPr>
        <w:spacing w:after="0" w:line="276" w:lineRule="auto"/>
        <w:jc w:val="both"/>
        <w:rPr>
          <w:rFonts w:ascii="Verdana" w:eastAsia="Aptos" w:hAnsi="Verdana" w:cs="Times New Roman"/>
          <w:color w:val="000000"/>
          <w:kern w:val="2"/>
          <w14:ligatures w14:val="standardContextual"/>
        </w:rPr>
      </w:pPr>
    </w:p>
    <w:p w14:paraId="3A615465" w14:textId="77777777" w:rsidR="00E32781" w:rsidRPr="00E32781" w:rsidRDefault="00E32781" w:rsidP="00E32781">
      <w:pPr>
        <w:spacing w:after="0" w:line="276" w:lineRule="auto"/>
        <w:jc w:val="both"/>
        <w:rPr>
          <w:rFonts w:ascii="Calibri" w:eastAsia="Calibri" w:hAnsi="Calibri" w:cs="Times New Roman"/>
        </w:rPr>
      </w:pPr>
      <w:r w:rsidRPr="00E32781">
        <w:rPr>
          <w:rFonts w:ascii="Verdana" w:eastAsia="Aptos" w:hAnsi="Verdana" w:cs="Times New Roman"/>
          <w:color w:val="000000"/>
          <w:kern w:val="2"/>
          <w14:ligatures w14:val="standardContextual"/>
        </w:rPr>
        <w:t>Recuerda también que la</w:t>
      </w:r>
      <w:r w:rsidRPr="00E32781">
        <w:rPr>
          <w:rFonts w:ascii="Verdana" w:eastAsia="Aptos" w:hAnsi="Verdana" w:cs="Times New Roman"/>
          <w:b/>
          <w:bCs/>
          <w:color w:val="000000"/>
          <w:kern w:val="2"/>
          <w14:ligatures w14:val="standardContextual"/>
        </w:rPr>
        <w:t> información sobre sanciones e inhabilidades </w:t>
      </w:r>
      <w:r w:rsidRPr="00E32781">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E32781">
        <w:rPr>
          <w:rFonts w:ascii="Verdana" w:eastAsia="Aptos" w:hAnsi="Verdana" w:cs="Times New Roman"/>
          <w:b/>
          <w:bCs/>
          <w:color w:val="000000"/>
          <w:kern w:val="2"/>
          <w14:ligatures w14:val="standardContextual"/>
        </w:rPr>
        <w:t>Circular Externa 002 del 5 de mayo de 2026,</w:t>
      </w:r>
      <w:r w:rsidRPr="00E32781">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https://nam02.safelinks.protection.outlook.com/?url=https%3A%2F%2Fwww.colombiacompra.gov.co%2Farchivos%2Fcircular%2Fcircular-externa-002-de-2026&amp;data=05%7C02%7Ccarlos.castrillon%40colombiacompra.gov.co%7C7128555136e04fa6887d08dee99e1b50%7C7b09041e245149d08cb17" w:history="1">
        <w:r w:rsidRPr="00E32781">
          <w:rPr>
            <w:rFonts w:ascii="Verdana" w:eastAsia="Aptos" w:hAnsi="Verdana" w:cs="Times New Roman"/>
            <w:color w:val="0078D7"/>
            <w:kern w:val="2"/>
            <w:u w:val="single"/>
            <w14:ligatures w14:val="standardContextual"/>
          </w:rPr>
          <w:t>https://www.colombiacompra.gov.co/archivos/circular/circular-externa-002-de-2026</w:t>
        </w:r>
      </w:hyperlink>
    </w:p>
    <w:p w14:paraId="42EF6C60" w14:textId="77777777" w:rsidR="00E32781" w:rsidRPr="00E32781" w:rsidRDefault="00E32781" w:rsidP="00E32781">
      <w:pPr>
        <w:spacing w:after="0" w:line="276" w:lineRule="auto"/>
        <w:jc w:val="both"/>
        <w:rPr>
          <w:rFonts w:ascii="Verdana" w:eastAsia="Aptos" w:hAnsi="Verdana" w:cs="Times New Roman"/>
          <w:color w:val="000000"/>
          <w:kern w:val="2"/>
          <w14:ligatures w14:val="standardContextual"/>
        </w:rPr>
      </w:pPr>
    </w:p>
    <w:p w14:paraId="761D75DD" w14:textId="77777777" w:rsidR="00E32781" w:rsidRPr="00E32781" w:rsidRDefault="00E32781" w:rsidP="00E32781">
      <w:pPr>
        <w:spacing w:after="0" w:line="276" w:lineRule="auto"/>
        <w:jc w:val="both"/>
        <w:rPr>
          <w:rFonts w:ascii="Verdana" w:eastAsia="Aptos" w:hAnsi="Verdana" w:cs="Times New Roman"/>
          <w:color w:val="000000"/>
          <w:kern w:val="2"/>
          <w14:ligatures w14:val="standardContextual"/>
        </w:rPr>
      </w:pPr>
      <w:r w:rsidRPr="00E32781">
        <w:rPr>
          <w:rFonts w:ascii="Verdana" w:eastAsia="Aptos" w:hAnsi="Verdana" w:cs="Times New Roman"/>
          <w:color w:val="000000"/>
          <w:kern w:val="2"/>
          <w14:ligatures w14:val="standardContextual"/>
        </w:rPr>
        <w:t>Finalmente, si quieres seguir de cerca la actividad de la Agencia, la tercera edición de 2026 del</w:t>
      </w:r>
      <w:r w:rsidRPr="00E32781">
        <w:rPr>
          <w:rFonts w:ascii="Verdana" w:eastAsia="Aptos" w:hAnsi="Verdana" w:cs="Times New Roman"/>
          <w:b/>
          <w:bCs/>
          <w:color w:val="000000"/>
          <w:kern w:val="2"/>
          <w14:ligatures w14:val="standardContextual"/>
        </w:rPr>
        <w:t> Radar de la Compra Pública</w:t>
      </w:r>
      <w:r w:rsidRPr="00E32781">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https://nam02.safelinks.protection.outlook.com/?url=https%3A%2F%2Fwww.colombiacompra.gov.co%2Farchivos%2Fboletin%2Fboletin-edicion-n-3-de-2026-radar-de-la-compra-publica&amp;data=05%7C02%7Ccarlos.castrillon%40colombiacompra.gov.co%7C7128555136e04fa6887d08dee99e1b5" w:history="1">
        <w:r w:rsidRPr="00E32781">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E32781">
        <w:rPr>
          <w:rFonts w:ascii="Verdana" w:eastAsia="Aptos" w:hAnsi="Verdana" w:cs="Times New Roman"/>
          <w:color w:val="000000"/>
          <w:kern w:val="2"/>
          <w14:ligatures w14:val="standardContextual"/>
        </w:rPr>
        <w:t>"</w:t>
      </w:r>
    </w:p>
    <w:p w14:paraId="633F9B11" w14:textId="77777777" w:rsidR="00E32781" w:rsidRPr="00E32781" w:rsidRDefault="00E32781" w:rsidP="00E32781">
      <w:pPr>
        <w:spacing w:after="0" w:line="240" w:lineRule="auto"/>
        <w:jc w:val="both"/>
        <w:rPr>
          <w:rFonts w:ascii="Verdana" w:eastAsia="Aptos" w:hAnsi="Verdana" w:cs="Times New Roman"/>
          <w:lang w:eastAsia="es-MX"/>
        </w:rPr>
      </w:pPr>
      <w:r w:rsidRPr="00E32781">
        <w:rPr>
          <w:rFonts w:ascii="Verdana" w:eastAsia="Aptos" w:hAnsi="Verdana" w:cs="Times New Roman"/>
          <w:lang w:eastAsia="es-MX"/>
        </w:rPr>
        <w:t xml:space="preserve">Por último, lo invitamos a seguirnos en las redes sociales en las cuales se difunde información institucional: </w:t>
      </w:r>
    </w:p>
    <w:p w14:paraId="1A2CB7B7" w14:textId="77777777" w:rsidR="00E32781" w:rsidRPr="00E32781" w:rsidRDefault="00E32781" w:rsidP="00E32781">
      <w:pPr>
        <w:spacing w:after="0" w:line="240" w:lineRule="auto"/>
        <w:jc w:val="both"/>
        <w:rPr>
          <w:rFonts w:ascii="Verdana" w:eastAsia="Calibri" w:hAnsi="Verdana" w:cs="Times New Roman"/>
          <w:lang w:eastAsia="es-MX"/>
        </w:rPr>
      </w:pPr>
    </w:p>
    <w:p w14:paraId="4090A778" w14:textId="77777777" w:rsidR="00E32781" w:rsidRPr="00E32781" w:rsidRDefault="00E32781" w:rsidP="00E32781">
      <w:pPr>
        <w:spacing w:after="120" w:line="240" w:lineRule="auto"/>
        <w:jc w:val="both"/>
        <w:rPr>
          <w:rFonts w:ascii="Verdana" w:eastAsia="Aptos" w:hAnsi="Verdana" w:cs="Times New Roman"/>
          <w:lang w:eastAsia="es-MX"/>
        </w:rPr>
      </w:pPr>
      <w:r w:rsidRPr="00E32781">
        <w:rPr>
          <w:rFonts w:ascii="Verdana" w:eastAsia="Aptos" w:hAnsi="Verdana" w:cs="Times New Roman"/>
          <w:lang w:eastAsia="es-MX"/>
        </w:rPr>
        <w:t xml:space="preserve">Twitter: </w:t>
      </w:r>
      <w:r w:rsidRPr="00E32781">
        <w:rPr>
          <w:rFonts w:ascii="Verdana" w:eastAsia="Calibri" w:hAnsi="Verdana" w:cs="Times New Roman"/>
          <w:color w:val="156082"/>
          <w:u w:val="single"/>
          <w:lang w:eastAsia="es-MX"/>
        </w:rPr>
        <w:t>@colombiacompra</w:t>
      </w:r>
      <w:r w:rsidRPr="00E32781">
        <w:rPr>
          <w:rFonts w:ascii="Verdana" w:eastAsia="Calibri" w:hAnsi="Verdana" w:cs="Times New Roman"/>
          <w:color w:val="156082"/>
          <w:lang w:eastAsia="es-MX"/>
        </w:rPr>
        <w:t xml:space="preserve"> </w:t>
      </w:r>
    </w:p>
    <w:p w14:paraId="08758515" w14:textId="77777777" w:rsidR="00E32781" w:rsidRPr="00E32781" w:rsidRDefault="00E32781" w:rsidP="00E32781">
      <w:pPr>
        <w:spacing w:after="120" w:line="240" w:lineRule="auto"/>
        <w:jc w:val="both"/>
        <w:rPr>
          <w:rFonts w:ascii="Verdana" w:eastAsia="Aptos" w:hAnsi="Verdana" w:cs="Times New Roman"/>
          <w:lang w:eastAsia="es-MX"/>
        </w:rPr>
      </w:pPr>
      <w:r w:rsidRPr="00E32781">
        <w:rPr>
          <w:rFonts w:ascii="Verdana" w:eastAsia="Aptos" w:hAnsi="Verdana" w:cs="Times New Roman"/>
          <w:lang w:eastAsia="es-MX"/>
        </w:rPr>
        <w:t xml:space="preserve">Facebook: </w:t>
      </w:r>
      <w:proofErr w:type="spellStart"/>
      <w:r w:rsidRPr="00E32781">
        <w:rPr>
          <w:rFonts w:ascii="Verdana" w:eastAsia="Calibri" w:hAnsi="Verdana" w:cs="Times New Roman"/>
          <w:color w:val="156082"/>
          <w:u w:val="single"/>
          <w:lang w:eastAsia="es-MX"/>
        </w:rPr>
        <w:t>ColombiaCompraEficiente</w:t>
      </w:r>
      <w:proofErr w:type="spellEnd"/>
    </w:p>
    <w:p w14:paraId="1F7F2BFB" w14:textId="77777777" w:rsidR="00E32781" w:rsidRPr="00E32781" w:rsidRDefault="00E32781" w:rsidP="00E32781">
      <w:pPr>
        <w:spacing w:after="120" w:line="240" w:lineRule="auto"/>
        <w:jc w:val="both"/>
        <w:rPr>
          <w:rFonts w:ascii="Verdana" w:eastAsia="Aptos" w:hAnsi="Verdana" w:cs="Times New Roman"/>
          <w:lang w:eastAsia="es-MX"/>
        </w:rPr>
      </w:pPr>
      <w:r w:rsidRPr="00E32781">
        <w:rPr>
          <w:rFonts w:ascii="Verdana" w:eastAsia="Aptos" w:hAnsi="Verdana" w:cs="Times New Roman"/>
          <w:lang w:eastAsia="es-MX"/>
        </w:rPr>
        <w:t xml:space="preserve">LinkedIn: </w:t>
      </w:r>
      <w:r w:rsidRPr="00E32781">
        <w:rPr>
          <w:rFonts w:ascii="Verdana" w:eastAsia="Calibri" w:hAnsi="Verdana" w:cs="Times New Roman"/>
          <w:color w:val="156082"/>
          <w:u w:val="single"/>
          <w:lang w:eastAsia="es-MX"/>
        </w:rPr>
        <w:t>Agencia Nacional de Contratación Pública - Colombia Compra Eficiente</w:t>
      </w:r>
      <w:r w:rsidRPr="00E32781">
        <w:rPr>
          <w:rFonts w:ascii="Verdana" w:eastAsia="Calibri" w:hAnsi="Verdana" w:cs="Times New Roman"/>
          <w:color w:val="156082"/>
          <w:lang w:eastAsia="es-MX"/>
        </w:rPr>
        <w:t xml:space="preserve"> </w:t>
      </w:r>
      <w:r w:rsidRPr="00E32781">
        <w:rPr>
          <w:rFonts w:ascii="Verdana" w:eastAsia="Aptos" w:hAnsi="Verdana" w:cs="Times New Roman"/>
          <w:lang w:eastAsia="es-MX"/>
        </w:rPr>
        <w:t xml:space="preserve">Instagram: </w:t>
      </w:r>
      <w:r w:rsidRPr="00E32781">
        <w:rPr>
          <w:rFonts w:ascii="Verdana" w:eastAsia="Calibri" w:hAnsi="Verdana" w:cs="Times New Roman"/>
          <w:color w:val="156082"/>
          <w:u w:val="single"/>
          <w:lang w:eastAsia="es-MX"/>
        </w:rPr>
        <w:t>@colombiacompraeficiente_cce</w:t>
      </w:r>
    </w:p>
    <w:p w14:paraId="6CC6FC3F" w14:textId="77777777" w:rsidR="00E32781" w:rsidRPr="00E32781" w:rsidRDefault="00E32781" w:rsidP="00E32781">
      <w:pPr>
        <w:spacing w:after="0" w:line="276" w:lineRule="auto"/>
        <w:jc w:val="both"/>
        <w:rPr>
          <w:rFonts w:ascii="Verdana" w:eastAsia="Aptos" w:hAnsi="Verdana" w:cs="Times New Roman"/>
          <w:lang w:eastAsia="es-MX"/>
        </w:rPr>
      </w:pPr>
    </w:p>
    <w:p w14:paraId="28C7E257" w14:textId="77777777" w:rsidR="00E32781" w:rsidRPr="00E32781" w:rsidRDefault="00E32781" w:rsidP="00E32781">
      <w:pPr>
        <w:spacing w:after="0" w:line="276" w:lineRule="auto"/>
        <w:jc w:val="both"/>
        <w:rPr>
          <w:rFonts w:ascii="Verdana" w:eastAsia="Calibri" w:hAnsi="Verdana" w:cs="Times New Roman"/>
          <w:bCs/>
          <w:lang w:val="es-ES_tradnl" w:eastAsia="es-MX"/>
        </w:rPr>
      </w:pPr>
      <w:r w:rsidRPr="00E32781">
        <w:rPr>
          <w:rFonts w:ascii="Verdana" w:eastAsia="Calibri" w:hAnsi="Verdana" w:cs="Times New Roman"/>
          <w:lang w:val="es-ES_tradnl" w:eastAsia="es-MX"/>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742FB33" w14:textId="77777777" w:rsidR="00E32781" w:rsidRPr="00E32781" w:rsidRDefault="00E32781" w:rsidP="00E32781">
      <w:pPr>
        <w:spacing w:after="0" w:line="276" w:lineRule="auto"/>
        <w:jc w:val="both"/>
        <w:rPr>
          <w:rFonts w:ascii="Verdana" w:eastAsia="Calibri" w:hAnsi="Verdana" w:cs="Times New Roman"/>
          <w:lang w:eastAsia="es-MX"/>
        </w:rPr>
      </w:pPr>
    </w:p>
    <w:p w14:paraId="7FAB93F6" w14:textId="77777777" w:rsidR="00E32781" w:rsidRPr="00E32781" w:rsidRDefault="00E32781" w:rsidP="00E32781">
      <w:pPr>
        <w:spacing w:after="0" w:line="276" w:lineRule="auto"/>
        <w:jc w:val="both"/>
        <w:rPr>
          <w:rFonts w:ascii="Verdana" w:eastAsia="Calibri" w:hAnsi="Verdana" w:cs="Times New Roman"/>
          <w:lang w:eastAsia="es-MX"/>
        </w:rPr>
      </w:pPr>
      <w:r w:rsidRPr="00E32781">
        <w:rPr>
          <w:rFonts w:ascii="Verdana" w:eastAsia="Calibri" w:hAnsi="Verdana" w:cs="Times New Roman"/>
          <w:lang w:eastAsia="es-MX"/>
        </w:rPr>
        <w:t>Atentamente,</w:t>
      </w:r>
    </w:p>
    <w:p w14:paraId="74584CA9" w14:textId="77777777" w:rsidR="00E32781" w:rsidRPr="00E32781" w:rsidRDefault="00E32781" w:rsidP="00E32781">
      <w:pPr>
        <w:spacing w:after="0" w:line="276" w:lineRule="auto"/>
        <w:jc w:val="both"/>
        <w:rPr>
          <w:rFonts w:ascii="Verdana" w:eastAsia="Calibri" w:hAnsi="Verdana" w:cs="Times New Roman"/>
          <w:lang w:eastAsia="es-MX"/>
        </w:rPr>
      </w:pPr>
    </w:p>
    <w:p w14:paraId="7A81D8D1" w14:textId="483CC725" w:rsidR="00E32781" w:rsidRPr="00E32781" w:rsidRDefault="002A472E" w:rsidP="00E32781">
      <w:pPr>
        <w:spacing w:after="0" w:line="276" w:lineRule="auto"/>
        <w:jc w:val="center"/>
        <w:rPr>
          <w:rFonts w:ascii="Verdana" w:eastAsia="Calibri" w:hAnsi="Verdana" w:cs="Times New Roman"/>
          <w:lang w:eastAsia="es-MX"/>
        </w:rPr>
      </w:pPr>
      <w:r w:rsidRPr="004D5C25">
        <w:rPr>
          <w:rFonts w:ascii="Century Gothic" w:hAnsi="Century Gothic"/>
          <w:noProof/>
        </w:rPr>
        <w:drawing>
          <wp:inline distT="0" distB="0" distL="0" distR="0" wp14:anchorId="5EB0A2A4" wp14:editId="395C635E">
            <wp:extent cx="2394455" cy="1027953"/>
            <wp:effectExtent l="0" t="0" r="0" b="127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2468950" cy="1059934"/>
                    </a:xfrm>
                    <a:prstGeom prst="rect">
                      <a:avLst/>
                    </a:prstGeom>
                  </pic:spPr>
                </pic:pic>
              </a:graphicData>
            </a:graphic>
          </wp:inline>
        </w:drawing>
      </w:r>
    </w:p>
    <w:p w14:paraId="6267B9A4" w14:textId="77777777" w:rsidR="00E32781" w:rsidRPr="00E32781" w:rsidRDefault="00E32781" w:rsidP="00E32781">
      <w:pPr>
        <w:tabs>
          <w:tab w:val="left" w:pos="1320"/>
        </w:tabs>
        <w:spacing w:after="0"/>
        <w:jc w:val="center"/>
        <w:rPr>
          <w:rFonts w:ascii="Century Gothic" w:eastAsia="Calibri" w:hAnsi="Century Gothic"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E32781" w:rsidRPr="00E32781" w14:paraId="420FA982" w14:textId="77777777" w:rsidTr="5ACEE40B">
        <w:trPr>
          <w:trHeight w:val="323"/>
        </w:trPr>
        <w:tc>
          <w:tcPr>
            <w:tcW w:w="1041" w:type="dxa"/>
            <w:vAlign w:val="center"/>
            <w:hideMark/>
          </w:tcPr>
          <w:p w14:paraId="4049C230" w14:textId="77777777" w:rsidR="00E32781" w:rsidRPr="00E32781" w:rsidRDefault="00E32781" w:rsidP="00E32781">
            <w:pPr>
              <w:rPr>
                <w:rFonts w:ascii="Verdana" w:eastAsia="Calibri" w:hAnsi="Verdana" w:cs="Arial"/>
                <w:sz w:val="16"/>
                <w:szCs w:val="16"/>
                <w:lang w:val="es-ES_tradnl" w:eastAsia="es-ES"/>
              </w:rPr>
            </w:pPr>
            <w:r w:rsidRPr="00E32781">
              <w:rPr>
                <w:rFonts w:ascii="Verdana" w:eastAsia="Calibri" w:hAnsi="Verdana" w:cs="Arial"/>
                <w:sz w:val="16"/>
                <w:szCs w:val="16"/>
                <w:lang w:val="es-ES_tradnl" w:eastAsia="es-ES"/>
              </w:rPr>
              <w:t>Elaboró:</w:t>
            </w:r>
          </w:p>
        </w:tc>
        <w:tc>
          <w:tcPr>
            <w:tcW w:w="6561" w:type="dxa"/>
            <w:tcBorders>
              <w:top w:val="nil"/>
              <w:left w:val="nil"/>
              <w:bottom w:val="dotted" w:sz="4" w:space="0" w:color="7F7F7F" w:themeColor="text1" w:themeTint="80"/>
              <w:right w:val="nil"/>
            </w:tcBorders>
            <w:vAlign w:val="center"/>
            <w:hideMark/>
          </w:tcPr>
          <w:p w14:paraId="68AB7DB5" w14:textId="77777777" w:rsidR="00E32781" w:rsidRPr="00E32781" w:rsidRDefault="00E32781" w:rsidP="00E32781">
            <w:pPr>
              <w:rPr>
                <w:rFonts w:ascii="Verdana" w:eastAsia="Arial" w:hAnsi="Verdana" w:cs="Arial"/>
                <w:sz w:val="16"/>
                <w:szCs w:val="16"/>
                <w:lang w:val="es-ES" w:eastAsia="es-MX"/>
              </w:rPr>
            </w:pPr>
            <w:r w:rsidRPr="00E32781">
              <w:rPr>
                <w:rFonts w:ascii="Verdana" w:eastAsia="Arial" w:hAnsi="Verdana" w:cs="Arial"/>
                <w:sz w:val="16"/>
                <w:szCs w:val="16"/>
                <w:lang w:val="es-ES" w:eastAsia="es-MX"/>
              </w:rPr>
              <w:t xml:space="preserve">Carlos Mario Castrillón Endo </w:t>
            </w:r>
          </w:p>
          <w:p w14:paraId="16027388" w14:textId="77777777" w:rsidR="00E32781" w:rsidRPr="00E32781" w:rsidRDefault="00E32781" w:rsidP="00E32781">
            <w:pPr>
              <w:rPr>
                <w:rFonts w:ascii="Verdana" w:eastAsia="Arial" w:hAnsi="Verdana" w:cs="Arial"/>
                <w:sz w:val="16"/>
                <w:szCs w:val="16"/>
                <w:lang w:val="es-ES_tradnl" w:eastAsia="es-MX"/>
              </w:rPr>
            </w:pPr>
            <w:r w:rsidRPr="00E32781">
              <w:rPr>
                <w:rFonts w:ascii="Verdana" w:eastAsia="Arial" w:hAnsi="Verdana" w:cs="Arial"/>
                <w:sz w:val="16"/>
                <w:szCs w:val="16"/>
                <w:lang w:val="es-ES_tradnl" w:eastAsia="es-MX"/>
              </w:rPr>
              <w:t>Contratista de la Subdirección de Gestión Contractual</w:t>
            </w:r>
          </w:p>
          <w:p w14:paraId="7716D5A9" w14:textId="77777777" w:rsidR="00E32781" w:rsidRPr="00E32781" w:rsidRDefault="00E32781" w:rsidP="00E32781">
            <w:pPr>
              <w:rPr>
                <w:rFonts w:ascii="Verdana" w:eastAsia="Arial" w:hAnsi="Verdana" w:cs="Arial"/>
                <w:sz w:val="16"/>
                <w:szCs w:val="16"/>
                <w:lang w:val="es-ES_tradnl" w:eastAsia="es-MX"/>
              </w:rPr>
            </w:pPr>
          </w:p>
        </w:tc>
      </w:tr>
      <w:tr w:rsidR="00E32781" w:rsidRPr="00E32781" w14:paraId="41FC273C" w14:textId="77777777" w:rsidTr="5ACEE40B">
        <w:trPr>
          <w:trHeight w:val="338"/>
        </w:trPr>
        <w:tc>
          <w:tcPr>
            <w:tcW w:w="1041" w:type="dxa"/>
            <w:vAlign w:val="center"/>
            <w:hideMark/>
          </w:tcPr>
          <w:p w14:paraId="6DE6B677" w14:textId="77777777" w:rsidR="00E32781" w:rsidRPr="00E32781" w:rsidRDefault="00E32781" w:rsidP="00E32781">
            <w:pPr>
              <w:rPr>
                <w:rFonts w:ascii="Verdana" w:eastAsia="Calibri" w:hAnsi="Verdana" w:cs="Arial"/>
                <w:sz w:val="16"/>
                <w:szCs w:val="16"/>
                <w:lang w:val="es-ES_tradnl" w:eastAsia="es-ES"/>
              </w:rPr>
            </w:pPr>
            <w:r w:rsidRPr="00E32781">
              <w:rPr>
                <w:rFonts w:ascii="Verdana" w:eastAsia="Calibri" w:hAnsi="Verdana" w:cs="Arial"/>
                <w:sz w:val="16"/>
                <w:szCs w:val="16"/>
                <w:lang w:val="es-ES_tradnl" w:eastAsia="es-ES"/>
              </w:rPr>
              <w:t>Revisó:</w:t>
            </w:r>
          </w:p>
        </w:tc>
        <w:tc>
          <w:tcPr>
            <w:tcW w:w="6561" w:type="dxa"/>
            <w:tcBorders>
              <w:top w:val="dotted" w:sz="4" w:space="0" w:color="7F7F7F" w:themeColor="text1" w:themeTint="80"/>
              <w:left w:val="nil"/>
              <w:bottom w:val="dotted" w:sz="4" w:space="0" w:color="7F7F7F" w:themeColor="text1" w:themeTint="80"/>
              <w:right w:val="nil"/>
            </w:tcBorders>
            <w:vAlign w:val="center"/>
            <w:hideMark/>
          </w:tcPr>
          <w:p w14:paraId="46F2F60E" w14:textId="248C2700" w:rsidR="00E32781" w:rsidRPr="00E32781" w:rsidRDefault="00E32781" w:rsidP="00E32781">
            <w:pPr>
              <w:rPr>
                <w:rFonts w:ascii="Verdana" w:eastAsia="Arial" w:hAnsi="Verdana" w:cs="Arial"/>
                <w:sz w:val="16"/>
                <w:szCs w:val="16"/>
                <w:lang w:val="es-ES" w:eastAsia="es-MX"/>
              </w:rPr>
            </w:pPr>
            <w:r w:rsidRPr="00E32781">
              <w:rPr>
                <w:rFonts w:ascii="Verdana" w:eastAsia="Arial" w:hAnsi="Verdana" w:cs="Arial"/>
                <w:sz w:val="16"/>
                <w:szCs w:val="16"/>
                <w:lang w:val="es-ES" w:eastAsia="es-MX"/>
              </w:rPr>
              <w:t>Alexandra Rodríguez</w:t>
            </w:r>
          </w:p>
          <w:p w14:paraId="71D65678" w14:textId="77777777" w:rsidR="00E32781" w:rsidRPr="00E32781" w:rsidRDefault="00E32781" w:rsidP="00E32781">
            <w:pPr>
              <w:rPr>
                <w:rFonts w:ascii="Verdana" w:eastAsia="Arial" w:hAnsi="Verdana" w:cs="Arial"/>
                <w:sz w:val="16"/>
                <w:szCs w:val="16"/>
                <w:lang w:val="es-ES_tradnl" w:eastAsia="es-MX"/>
              </w:rPr>
            </w:pPr>
            <w:r w:rsidRPr="00E32781">
              <w:rPr>
                <w:rFonts w:ascii="Verdana" w:eastAsia="Arial" w:hAnsi="Verdana" w:cs="Arial"/>
                <w:sz w:val="16"/>
                <w:szCs w:val="16"/>
                <w:lang w:val="es-ES_tradnl" w:eastAsia="es-MX"/>
              </w:rPr>
              <w:t>Contratista de la Subdirección de Gestión Contractual</w:t>
            </w:r>
          </w:p>
          <w:p w14:paraId="46C01C33" w14:textId="77777777" w:rsidR="00E32781" w:rsidRPr="00E32781" w:rsidRDefault="00E32781" w:rsidP="00E32781">
            <w:pPr>
              <w:rPr>
                <w:rFonts w:ascii="Verdana" w:eastAsia="Arial" w:hAnsi="Verdana" w:cs="Arial"/>
                <w:sz w:val="16"/>
                <w:szCs w:val="16"/>
                <w:lang w:val="es-ES_tradnl" w:eastAsia="es-MX"/>
              </w:rPr>
            </w:pPr>
            <w:r w:rsidRPr="00E32781">
              <w:rPr>
                <w:rFonts w:ascii="Verdana" w:eastAsia="Arial" w:hAnsi="Verdana" w:cs="Arial"/>
                <w:sz w:val="16"/>
                <w:szCs w:val="16"/>
                <w:lang w:val="es-ES_tradnl" w:eastAsia="es-MX"/>
              </w:rPr>
              <w:t>Juan David Cárdenas Cabeza</w:t>
            </w:r>
          </w:p>
          <w:p w14:paraId="5306ABDD" w14:textId="77777777" w:rsidR="00E32781" w:rsidRPr="00E32781" w:rsidRDefault="00E32781" w:rsidP="00E32781">
            <w:pPr>
              <w:rPr>
                <w:rFonts w:ascii="Verdana" w:eastAsia="Arial" w:hAnsi="Verdana" w:cs="Arial"/>
                <w:sz w:val="16"/>
                <w:szCs w:val="16"/>
                <w:lang w:val="es-ES_tradnl" w:eastAsia="es-MX"/>
              </w:rPr>
            </w:pPr>
            <w:r w:rsidRPr="00E32781">
              <w:rPr>
                <w:rFonts w:ascii="Verdana" w:eastAsia="Arial" w:hAnsi="Verdana" w:cs="Arial"/>
                <w:sz w:val="16"/>
                <w:szCs w:val="16"/>
                <w:lang w:val="es-ES_tradnl" w:eastAsia="es-MX"/>
              </w:rPr>
              <w:t>Contratista de la Subdirección de Gestión Contractual</w:t>
            </w:r>
          </w:p>
        </w:tc>
      </w:tr>
      <w:tr w:rsidR="00E32781" w:rsidRPr="00E32781" w14:paraId="7185FB9E" w14:textId="77777777" w:rsidTr="5ACEE40B">
        <w:trPr>
          <w:trHeight w:val="308"/>
        </w:trPr>
        <w:tc>
          <w:tcPr>
            <w:tcW w:w="1041" w:type="dxa"/>
            <w:vAlign w:val="center"/>
          </w:tcPr>
          <w:p w14:paraId="0179FC7F" w14:textId="77777777" w:rsidR="00E32781" w:rsidRPr="00E32781" w:rsidRDefault="00E32781" w:rsidP="00E32781">
            <w:pPr>
              <w:rPr>
                <w:rFonts w:ascii="Verdana" w:eastAsia="Calibri" w:hAnsi="Verdana" w:cs="Arial"/>
                <w:sz w:val="16"/>
                <w:szCs w:val="16"/>
                <w:lang w:val="es-ES_tradnl" w:eastAsia="es-ES"/>
              </w:rPr>
            </w:pPr>
            <w:r w:rsidRPr="00E32781">
              <w:rPr>
                <w:rFonts w:ascii="Verdana" w:eastAsia="Calibri" w:hAnsi="Verdana" w:cs="Arial"/>
                <w:sz w:val="16"/>
                <w:szCs w:val="16"/>
                <w:lang w:val="es-ES_tradnl" w:eastAsia="es-ES"/>
              </w:rPr>
              <w:t>Aprobó:</w:t>
            </w:r>
          </w:p>
        </w:tc>
        <w:tc>
          <w:tcPr>
            <w:tcW w:w="6561" w:type="dxa"/>
            <w:tcBorders>
              <w:top w:val="dotted" w:sz="4" w:space="0" w:color="7F7F7F" w:themeColor="text1" w:themeTint="80"/>
              <w:left w:val="nil"/>
              <w:bottom w:val="dotted" w:sz="4" w:space="0" w:color="7F7F7F" w:themeColor="text1" w:themeTint="80"/>
              <w:right w:val="nil"/>
            </w:tcBorders>
            <w:vAlign w:val="center"/>
          </w:tcPr>
          <w:p w14:paraId="3FD8437E" w14:textId="77777777" w:rsidR="00E32781" w:rsidRPr="00E32781" w:rsidRDefault="00E32781" w:rsidP="00E32781">
            <w:pPr>
              <w:rPr>
                <w:rFonts w:ascii="Verdana" w:eastAsia="Calibri" w:hAnsi="Verdana" w:cs="Arial"/>
                <w:sz w:val="16"/>
                <w:szCs w:val="16"/>
                <w:lang w:val="es-ES" w:eastAsia="es-ES"/>
              </w:rPr>
            </w:pPr>
            <w:r w:rsidRPr="00E32781">
              <w:rPr>
                <w:rFonts w:ascii="Verdana" w:eastAsia="Calibri" w:hAnsi="Verdana" w:cs="Arial"/>
                <w:sz w:val="16"/>
                <w:szCs w:val="16"/>
                <w:lang w:val="es-ES" w:eastAsia="es-ES"/>
              </w:rPr>
              <w:t>Carolina Quintero Gacharná</w:t>
            </w:r>
          </w:p>
          <w:p w14:paraId="66A20AD2" w14:textId="77777777" w:rsidR="00E32781" w:rsidRPr="00E32781" w:rsidRDefault="00E32781" w:rsidP="00E32781">
            <w:pPr>
              <w:rPr>
                <w:rFonts w:ascii="Verdana" w:eastAsia="Calibri" w:hAnsi="Verdana" w:cs="Arial"/>
                <w:sz w:val="16"/>
                <w:szCs w:val="16"/>
                <w:lang w:val="es-ES_tradnl" w:eastAsia="es-ES"/>
              </w:rPr>
            </w:pPr>
            <w:r w:rsidRPr="00E32781">
              <w:rPr>
                <w:rFonts w:ascii="Verdana" w:eastAsia="Calibri" w:hAnsi="Verdana" w:cs="Arial"/>
                <w:sz w:val="16"/>
                <w:szCs w:val="16"/>
                <w:lang w:val="es-ES_tradnl" w:eastAsia="es-ES"/>
              </w:rPr>
              <w:t>Subdirectora de Gestión Contractual ANCP – CCE</w:t>
            </w:r>
          </w:p>
        </w:tc>
      </w:tr>
    </w:tbl>
    <w:p w14:paraId="69BC4D14" w14:textId="779263CE"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7C156" w14:textId="77777777" w:rsidR="00C11502" w:rsidRDefault="00C11502" w:rsidP="004A1847">
      <w:pPr>
        <w:spacing w:after="0" w:line="240" w:lineRule="auto"/>
      </w:pPr>
      <w:r>
        <w:separator/>
      </w:r>
    </w:p>
  </w:endnote>
  <w:endnote w:type="continuationSeparator" w:id="0">
    <w:p w14:paraId="5C934221" w14:textId="77777777" w:rsidR="00C11502" w:rsidRDefault="00C11502" w:rsidP="004A1847">
      <w:pPr>
        <w:spacing w:after="0" w:line="240" w:lineRule="auto"/>
      </w:pPr>
      <w:r>
        <w:continuationSeparator/>
      </w:r>
    </w:p>
  </w:endnote>
  <w:endnote w:type="continuationNotice" w:id="1">
    <w:p w14:paraId="3DAA7ED2" w14:textId="77777777" w:rsidR="00C11502" w:rsidRDefault="00C115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E32781">
      <w:rPr>
        <w:rFonts w:ascii="Verdana" w:eastAsia="Verdana" w:hAnsi="Verdana" w:cs="Verdana"/>
        <w:b/>
        <w:bCs/>
        <w:color w:val="000000"/>
        <w:sz w:val="18"/>
        <w:szCs w:val="18"/>
        <w:lang w:eastAsia="es-CO"/>
      </w:rPr>
      <w:t xml:space="preserve">Código: </w:t>
    </w:r>
    <w:r w:rsidRPr="00E32781">
      <w:rPr>
        <w:rFonts w:ascii="Verdana" w:eastAsia="Verdana" w:hAnsi="Verdana" w:cs="Verdana"/>
        <w:color w:val="000000"/>
        <w:sz w:val="18"/>
        <w:szCs w:val="18"/>
        <w:lang w:eastAsia="es-CO"/>
      </w:rPr>
      <w:t xml:space="preserve">CCE-REC-FM-17 </w:t>
    </w:r>
    <w:r w:rsidRPr="00E32781">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24C39" w14:textId="77777777" w:rsidR="00C11502" w:rsidRDefault="00C11502" w:rsidP="004A1847">
      <w:pPr>
        <w:spacing w:after="0" w:line="240" w:lineRule="auto"/>
      </w:pPr>
      <w:r>
        <w:separator/>
      </w:r>
    </w:p>
  </w:footnote>
  <w:footnote w:type="continuationSeparator" w:id="0">
    <w:p w14:paraId="0179B6A4" w14:textId="77777777" w:rsidR="00C11502" w:rsidRDefault="00C11502" w:rsidP="004A1847">
      <w:pPr>
        <w:spacing w:after="0" w:line="240" w:lineRule="auto"/>
      </w:pPr>
      <w:r>
        <w:continuationSeparator/>
      </w:r>
    </w:p>
  </w:footnote>
  <w:footnote w:type="continuationNotice" w:id="1">
    <w:p w14:paraId="4B6E1A26" w14:textId="77777777" w:rsidR="00C11502" w:rsidRDefault="00C11502">
      <w:pPr>
        <w:spacing w:after="0" w:line="240" w:lineRule="auto"/>
      </w:pPr>
    </w:p>
  </w:footnote>
  <w:footnote w:id="2">
    <w:p w14:paraId="6D075632" w14:textId="77777777" w:rsidR="00E32781" w:rsidRPr="001536DA" w:rsidRDefault="00E32781" w:rsidP="00E32781">
      <w:pPr>
        <w:pStyle w:val="Textonotapie"/>
        <w:ind w:firstLine="708"/>
        <w:jc w:val="both"/>
        <w:rPr>
          <w:rFonts w:ascii="Verdana" w:hAnsi="Verdana" w:cs="Arial"/>
          <w:sz w:val="18"/>
          <w:szCs w:val="18"/>
          <w:lang w:val="es-CO"/>
        </w:rPr>
      </w:pPr>
      <w:r w:rsidRPr="001536DA">
        <w:rPr>
          <w:rStyle w:val="Refdenotaalpie"/>
          <w:rFonts w:ascii="Verdana" w:hAnsi="Verdana" w:cs="Arial"/>
          <w:sz w:val="18"/>
          <w:szCs w:val="18"/>
        </w:rPr>
        <w:footnoteRef/>
      </w:r>
      <w:r w:rsidRPr="001536DA">
        <w:rPr>
          <w:rFonts w:ascii="Verdana" w:hAnsi="Verdana" w:cs="Arial"/>
          <w:sz w:val="18"/>
          <w:szCs w:val="18"/>
        </w:rPr>
        <w:t xml:space="preserve"> </w:t>
      </w:r>
      <w:r w:rsidRPr="001536DA">
        <w:rPr>
          <w:rFonts w:ascii="Verdana" w:hAnsi="Verdana" w:cs="Arial"/>
          <w:sz w:val="18"/>
          <w:szCs w:val="18"/>
          <w:lang w:val="es-CO"/>
        </w:rPr>
        <w:t>Ley 1682 de 2013, artículo 2.</w:t>
      </w:r>
    </w:p>
  </w:footnote>
  <w:footnote w:id="3">
    <w:p w14:paraId="4D82BEEA" w14:textId="77777777" w:rsidR="00E32781" w:rsidRPr="001536DA" w:rsidRDefault="00E32781" w:rsidP="00E32781">
      <w:pPr>
        <w:pStyle w:val="Textonotapie"/>
        <w:ind w:firstLine="708"/>
        <w:jc w:val="both"/>
        <w:rPr>
          <w:rFonts w:ascii="Verdana" w:hAnsi="Verdana"/>
          <w:sz w:val="18"/>
          <w:szCs w:val="18"/>
        </w:rPr>
      </w:pPr>
      <w:r w:rsidRPr="001536DA">
        <w:rPr>
          <w:rStyle w:val="Refdenotaalpie"/>
          <w:rFonts w:ascii="Verdana" w:hAnsi="Verdana"/>
          <w:sz w:val="18"/>
          <w:szCs w:val="18"/>
        </w:rPr>
        <w:footnoteRef/>
      </w:r>
      <w:r w:rsidRPr="001536DA">
        <w:rPr>
          <w:rFonts w:ascii="Verdana" w:hAnsi="Verdana"/>
          <w:sz w:val="18"/>
          <w:szCs w:val="18"/>
        </w:rPr>
        <w:t xml:space="preserve"> Reglamento Colombiano de Construcción Sismo Resistente NSR-10, Título K, numeral K.2.6.5.</w:t>
      </w:r>
    </w:p>
    <w:p w14:paraId="2BE2EF80" w14:textId="77777777" w:rsidR="00E32781" w:rsidRPr="001536DA" w:rsidRDefault="00E32781" w:rsidP="00E32781">
      <w:pPr>
        <w:pStyle w:val="Textonotapie"/>
        <w:ind w:firstLine="708"/>
        <w:jc w:val="both"/>
        <w:rPr>
          <w:rFonts w:ascii="Verdana" w:hAnsi="Verdana"/>
          <w:sz w:val="18"/>
          <w:szCs w:val="18"/>
          <w:lang w:val="es-ES_tradnl"/>
        </w:rPr>
      </w:pPr>
    </w:p>
  </w:footnote>
  <w:footnote w:id="4">
    <w:p w14:paraId="3C0AC8D5" w14:textId="77777777" w:rsidR="00E32781" w:rsidRPr="001536DA" w:rsidRDefault="00E32781" w:rsidP="00E32781">
      <w:pPr>
        <w:pStyle w:val="Textonotapie"/>
        <w:ind w:firstLine="708"/>
        <w:jc w:val="both"/>
        <w:rPr>
          <w:rFonts w:ascii="Verdana" w:hAnsi="Verdana"/>
          <w:sz w:val="18"/>
          <w:szCs w:val="18"/>
          <w:lang w:val="es-ES_tradnl"/>
        </w:rPr>
      </w:pPr>
      <w:r w:rsidRPr="001536DA">
        <w:rPr>
          <w:rStyle w:val="Refdenotaalpie"/>
          <w:rFonts w:ascii="Verdana" w:hAnsi="Verdana"/>
          <w:sz w:val="18"/>
          <w:szCs w:val="18"/>
        </w:rPr>
        <w:footnoteRef/>
      </w:r>
      <w:r w:rsidRPr="001536DA">
        <w:rPr>
          <w:rFonts w:ascii="Verdana" w:hAnsi="Verdana"/>
          <w:sz w:val="18"/>
          <w:szCs w:val="18"/>
        </w:rPr>
        <w:t xml:space="preserve"> </w:t>
      </w:r>
      <w:r w:rsidRPr="001536DA">
        <w:rPr>
          <w:rFonts w:ascii="Verdana" w:hAnsi="Verdana"/>
          <w:sz w:val="18"/>
          <w:szCs w:val="18"/>
          <w:lang w:val="es-ES_tradnl"/>
        </w:rPr>
        <w:t xml:space="preserve">Ibidem </w:t>
      </w:r>
    </w:p>
    <w:p w14:paraId="04C76A3A" w14:textId="77777777" w:rsidR="00E32781" w:rsidRPr="001536DA" w:rsidRDefault="00E32781" w:rsidP="00E32781">
      <w:pPr>
        <w:pStyle w:val="Textonotapie"/>
        <w:ind w:firstLine="708"/>
        <w:jc w:val="both"/>
        <w:rPr>
          <w:rFonts w:ascii="Verdana" w:hAnsi="Verdana"/>
          <w:sz w:val="18"/>
          <w:szCs w:val="18"/>
          <w:lang w:val="es-ES_tradnl"/>
        </w:rPr>
      </w:pPr>
    </w:p>
  </w:footnote>
  <w:footnote w:id="5">
    <w:p w14:paraId="7142D430" w14:textId="77777777" w:rsidR="00E32781" w:rsidRPr="001536DA" w:rsidRDefault="00E32781" w:rsidP="00E32781">
      <w:pPr>
        <w:pStyle w:val="Textonotapie"/>
        <w:ind w:firstLine="708"/>
        <w:jc w:val="both"/>
        <w:rPr>
          <w:rFonts w:ascii="Verdana" w:hAnsi="Verdana"/>
          <w:sz w:val="18"/>
          <w:szCs w:val="18"/>
        </w:rPr>
      </w:pPr>
      <w:r w:rsidRPr="001536DA">
        <w:rPr>
          <w:rStyle w:val="Refdenotaalpie"/>
          <w:rFonts w:ascii="Verdana" w:hAnsi="Verdana"/>
          <w:sz w:val="18"/>
          <w:szCs w:val="18"/>
        </w:rPr>
        <w:footnoteRef/>
      </w:r>
      <w:r w:rsidRPr="001536DA">
        <w:rPr>
          <w:rFonts w:ascii="Verdana" w:hAnsi="Verdana"/>
          <w:sz w:val="18"/>
          <w:szCs w:val="18"/>
        </w:rPr>
        <w:t xml:space="preserve"> Anexo 5 – Glosario, de los documentos tipo de licitación de obra pública de infraestructura social, definición 2.80. </w:t>
      </w:r>
    </w:p>
    <w:p w14:paraId="2BD31A38" w14:textId="77777777" w:rsidR="00E32781" w:rsidRPr="001536DA" w:rsidRDefault="00E32781" w:rsidP="00E32781">
      <w:pPr>
        <w:pStyle w:val="Textonotapie"/>
        <w:ind w:firstLine="708"/>
        <w:jc w:val="both"/>
        <w:rPr>
          <w:rFonts w:ascii="Verdana" w:hAnsi="Verdana"/>
          <w:sz w:val="18"/>
          <w:szCs w:val="18"/>
          <w:lang w:val="es-ES_tradnl"/>
        </w:rPr>
      </w:pPr>
    </w:p>
  </w:footnote>
  <w:footnote w:id="6">
    <w:p w14:paraId="5CA195A8" w14:textId="77777777" w:rsidR="00E32781" w:rsidRPr="001536DA" w:rsidRDefault="00E32781" w:rsidP="00E32781">
      <w:pPr>
        <w:pStyle w:val="Textonotapie"/>
        <w:ind w:firstLine="708"/>
        <w:jc w:val="both"/>
        <w:rPr>
          <w:rFonts w:ascii="Verdana" w:hAnsi="Verdana"/>
          <w:sz w:val="18"/>
          <w:szCs w:val="18"/>
        </w:rPr>
      </w:pPr>
      <w:r w:rsidRPr="001536DA">
        <w:rPr>
          <w:rStyle w:val="Refdenotaalpie"/>
          <w:rFonts w:ascii="Verdana" w:hAnsi="Verdana"/>
          <w:sz w:val="18"/>
          <w:szCs w:val="18"/>
        </w:rPr>
        <w:footnoteRef/>
      </w:r>
      <w:r w:rsidRPr="001536DA">
        <w:rPr>
          <w:rFonts w:ascii="Verdana" w:hAnsi="Verdana"/>
          <w:sz w:val="18"/>
          <w:szCs w:val="18"/>
        </w:rPr>
        <w:t xml:space="preserve"> Documentos tipo de licitación de obra pública de infraestructura social, Matriz 1 – Experiencia “Sector Institucional”, versión 1 del 21 de agosto de 2025, actividad 2.9, experiencia general.</w:t>
      </w:r>
    </w:p>
    <w:p w14:paraId="3DF73A87" w14:textId="77777777" w:rsidR="00E32781" w:rsidRPr="001536DA" w:rsidRDefault="00E32781" w:rsidP="00E32781">
      <w:pPr>
        <w:pStyle w:val="Textonotapie"/>
        <w:ind w:firstLine="708"/>
        <w:jc w:val="both"/>
        <w:rPr>
          <w:rFonts w:ascii="Verdana" w:hAnsi="Verdana"/>
          <w:sz w:val="18"/>
          <w:szCs w:val="18"/>
        </w:rPr>
      </w:pPr>
    </w:p>
  </w:footnote>
  <w:footnote w:id="7">
    <w:p w14:paraId="508D277B" w14:textId="77777777" w:rsidR="00E32781" w:rsidRPr="001536DA" w:rsidRDefault="00E32781" w:rsidP="00E32781">
      <w:pPr>
        <w:pStyle w:val="Textonotapie"/>
        <w:ind w:firstLine="708"/>
        <w:jc w:val="both"/>
        <w:rPr>
          <w:rFonts w:ascii="Verdana" w:hAnsi="Verdana"/>
          <w:sz w:val="18"/>
          <w:szCs w:val="18"/>
        </w:rPr>
      </w:pPr>
      <w:r w:rsidRPr="001536DA">
        <w:rPr>
          <w:rStyle w:val="Refdenotaalpie"/>
          <w:rFonts w:ascii="Verdana" w:hAnsi="Verdana"/>
          <w:sz w:val="18"/>
          <w:szCs w:val="18"/>
        </w:rPr>
        <w:footnoteRef/>
      </w:r>
      <w:r w:rsidRPr="001536DA">
        <w:rPr>
          <w:rFonts w:ascii="Verdana" w:hAnsi="Verdana"/>
          <w:sz w:val="18"/>
          <w:szCs w:val="18"/>
        </w:rPr>
        <w:t xml:space="preserve"> Ibidem, actividad 2.9, experiencia específica, numeral 2.</w:t>
      </w:r>
    </w:p>
  </w:footnote>
  <w:footnote w:id="8">
    <w:p w14:paraId="52307CBD" w14:textId="77777777" w:rsidR="00E32781" w:rsidRPr="001536DA" w:rsidRDefault="00E32781" w:rsidP="00E32781">
      <w:pPr>
        <w:pStyle w:val="Textonotapie"/>
        <w:ind w:firstLine="708"/>
        <w:jc w:val="both"/>
        <w:rPr>
          <w:rFonts w:ascii="Verdana" w:hAnsi="Verdana"/>
          <w:sz w:val="18"/>
          <w:szCs w:val="18"/>
        </w:rPr>
      </w:pPr>
      <w:r w:rsidRPr="001536DA">
        <w:rPr>
          <w:rStyle w:val="Refdenotaalpie"/>
          <w:rFonts w:ascii="Verdana" w:hAnsi="Verdana"/>
          <w:sz w:val="18"/>
          <w:szCs w:val="18"/>
        </w:rPr>
        <w:footnoteRef/>
      </w:r>
      <w:r w:rsidRPr="001536DA">
        <w:rPr>
          <w:rFonts w:ascii="Verdana" w:hAnsi="Verdana"/>
          <w:sz w:val="18"/>
          <w:szCs w:val="18"/>
        </w:rPr>
        <w:t xml:space="preserve"> Documentos tipo de licitación de obra pública de infraestructura social, Matrices 1 – Experiencia de los sectores institucional (versión 1 del 21 de agosto de 2025), salud (versión 3 del 21 de agosto de 2025), cultura, recreación y deporte (versión 3 del 21 de agosto de 2025) y vivienda urbana, vivienda rural y vivienda rural dispersa (versión 1 del 21 de agosto de 2025).</w:t>
      </w:r>
    </w:p>
    <w:p w14:paraId="292E3D72" w14:textId="77777777" w:rsidR="00E32781" w:rsidRPr="001536DA" w:rsidRDefault="00E32781" w:rsidP="00E32781">
      <w:pPr>
        <w:pStyle w:val="Textonotapie"/>
        <w:ind w:firstLine="708"/>
        <w:jc w:val="both"/>
        <w:rPr>
          <w:rFonts w:ascii="Verdana" w:hAnsi="Verdana"/>
          <w:sz w:val="18"/>
          <w:szCs w:val="18"/>
        </w:rPr>
      </w:pPr>
    </w:p>
  </w:footnote>
  <w:footnote w:id="9">
    <w:p w14:paraId="6DF80FA2" w14:textId="77777777" w:rsidR="00E32781" w:rsidRPr="001536DA" w:rsidRDefault="00E32781" w:rsidP="00E32781">
      <w:pPr>
        <w:pStyle w:val="Textonotapie"/>
        <w:ind w:firstLine="708"/>
        <w:jc w:val="both"/>
        <w:rPr>
          <w:rFonts w:ascii="Verdana" w:hAnsi="Verdana"/>
          <w:sz w:val="18"/>
          <w:szCs w:val="18"/>
        </w:rPr>
      </w:pPr>
      <w:r w:rsidRPr="001536DA">
        <w:rPr>
          <w:rStyle w:val="Refdenotaalpie"/>
          <w:rFonts w:ascii="Verdana" w:hAnsi="Verdana"/>
          <w:sz w:val="18"/>
          <w:szCs w:val="18"/>
        </w:rPr>
        <w:footnoteRef/>
      </w:r>
      <w:r w:rsidRPr="001536DA">
        <w:rPr>
          <w:rFonts w:ascii="Verdana" w:hAnsi="Verdana"/>
          <w:sz w:val="18"/>
          <w:szCs w:val="18"/>
        </w:rPr>
        <w:t xml:space="preserve"> Consulta con radicado No. 1_2026_08_27_011470 del 27 de agosto de 2026, pregunta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928" w:hanging="360"/>
      </w:pPr>
      <w:rPr>
        <w:b/>
        <w:color w:val="000000" w:themeColor="text1"/>
      </w:rPr>
    </w:lvl>
    <w:lvl w:ilvl="1">
      <w:start w:val="2"/>
      <w:numFmt w:val="decimal"/>
      <w:isLgl/>
      <w:lvlText w:val="%1.%2"/>
      <w:lvlJc w:val="left"/>
      <w:pPr>
        <w:ind w:left="56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D874C6"/>
    <w:multiLevelType w:val="hybridMultilevel"/>
    <w:tmpl w:val="9592819A"/>
    <w:lvl w:ilvl="0" w:tplc="DE866992">
      <w:start w:val="1"/>
      <w:numFmt w:val="decimal"/>
      <w:lvlText w:val="%1."/>
      <w:lvlJc w:val="left"/>
      <w:pPr>
        <w:ind w:left="360" w:hanging="360"/>
      </w:pPr>
      <w:rPr>
        <w:b/>
      </w:rPr>
    </w:lvl>
    <w:lvl w:ilvl="1" w:tplc="0C0A0019">
      <w:start w:val="1"/>
      <w:numFmt w:val="lowerLetter"/>
      <w:lvlText w:val="%2."/>
      <w:lvlJc w:val="left"/>
      <w:pPr>
        <w:ind w:left="1440" w:hanging="360"/>
      </w:pPr>
    </w:lvl>
    <w:lvl w:ilvl="2" w:tplc="76B6B5BA">
      <w:start w:val="1"/>
      <w:numFmt w:val="lowerLetter"/>
      <w:lvlText w:val="(%3)"/>
      <w:lvlJc w:val="left"/>
      <w:pPr>
        <w:ind w:left="2340" w:hanging="360"/>
      </w:pPr>
      <w:rPr>
        <w:rFonts w:hint="default"/>
      </w:rPr>
    </w:lvl>
    <w:lvl w:ilvl="3" w:tplc="7E7A99BC">
      <w:numFmt w:val="bullet"/>
      <w:lvlText w:val="-"/>
      <w:lvlJc w:val="left"/>
      <w:pPr>
        <w:ind w:left="1210" w:hanging="500"/>
      </w:pPr>
      <w:rPr>
        <w:rFonts w:ascii="Times New Roman" w:eastAsia="Times New Roman" w:hAnsi="Times New Roman" w:cs="Times New Roman" w:hint="default"/>
        <w:sz w:val="24"/>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827985604">
    <w:abstractNumId w:val="10"/>
  </w:num>
  <w:num w:numId="18" w16cid:durableId="6773931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152C9"/>
    <w:rsid w:val="0022400B"/>
    <w:rsid w:val="002421BB"/>
    <w:rsid w:val="0025796E"/>
    <w:rsid w:val="002707A2"/>
    <w:rsid w:val="002951A0"/>
    <w:rsid w:val="002962BC"/>
    <w:rsid w:val="002A093D"/>
    <w:rsid w:val="002A0DD0"/>
    <w:rsid w:val="002A472E"/>
    <w:rsid w:val="002A49AC"/>
    <w:rsid w:val="002A64FD"/>
    <w:rsid w:val="002C5D3C"/>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32A6"/>
    <w:rsid w:val="005A65E0"/>
    <w:rsid w:val="005C3301"/>
    <w:rsid w:val="005C3777"/>
    <w:rsid w:val="005C5CDC"/>
    <w:rsid w:val="005D476C"/>
    <w:rsid w:val="006200BF"/>
    <w:rsid w:val="006219F8"/>
    <w:rsid w:val="0062503B"/>
    <w:rsid w:val="006302F7"/>
    <w:rsid w:val="00646B9F"/>
    <w:rsid w:val="00665D70"/>
    <w:rsid w:val="006900D9"/>
    <w:rsid w:val="00706C16"/>
    <w:rsid w:val="00707A27"/>
    <w:rsid w:val="007340C3"/>
    <w:rsid w:val="0075235A"/>
    <w:rsid w:val="00756841"/>
    <w:rsid w:val="007649AB"/>
    <w:rsid w:val="00764B8B"/>
    <w:rsid w:val="00771D0C"/>
    <w:rsid w:val="007833AC"/>
    <w:rsid w:val="007B268C"/>
    <w:rsid w:val="007B7171"/>
    <w:rsid w:val="007C0C0F"/>
    <w:rsid w:val="007C3DC2"/>
    <w:rsid w:val="007E5497"/>
    <w:rsid w:val="00806F5F"/>
    <w:rsid w:val="00820278"/>
    <w:rsid w:val="008258C9"/>
    <w:rsid w:val="00844AE9"/>
    <w:rsid w:val="00845021"/>
    <w:rsid w:val="00867F95"/>
    <w:rsid w:val="00871D37"/>
    <w:rsid w:val="008752B2"/>
    <w:rsid w:val="008843B6"/>
    <w:rsid w:val="00891928"/>
    <w:rsid w:val="008A446D"/>
    <w:rsid w:val="008A4A8D"/>
    <w:rsid w:val="008B25F1"/>
    <w:rsid w:val="008B71A5"/>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502"/>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D7FC8"/>
    <w:rsid w:val="00DF5254"/>
    <w:rsid w:val="00E02524"/>
    <w:rsid w:val="00E16408"/>
    <w:rsid w:val="00E20894"/>
    <w:rsid w:val="00E245AB"/>
    <w:rsid w:val="00E2764C"/>
    <w:rsid w:val="00E27F2E"/>
    <w:rsid w:val="00E32781"/>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BC34EE3"/>
    <w:rsid w:val="3C591AFD"/>
    <w:rsid w:val="42183F0A"/>
    <w:rsid w:val="458375F0"/>
    <w:rsid w:val="49C3C0F1"/>
    <w:rsid w:val="545B112A"/>
    <w:rsid w:val="5ACEE40B"/>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E327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E3278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C601F23-3FDB-46FC-9AFC-7447D8E8F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31</Pages>
  <Words>11412</Words>
  <Characters>62767</Characters>
  <Application>Microsoft Office Word</Application>
  <DocSecurity>0</DocSecurity>
  <Lines>523</Lines>
  <Paragraphs>148</Paragraphs>
  <ScaleCrop>false</ScaleCrop>
  <Company/>
  <LinksUpToDate>false</LinksUpToDate>
  <CharactersWithSpaces>74031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2026-10-06T18:14:00Z</dcterms:created>
  <dcterms:modified xsi:type="dcterms:W3CDTF">2026-10-07T13:06:00Z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