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9CC3E" w14:textId="77777777" w:rsidR="000C7D93" w:rsidRPr="004A0841" w:rsidRDefault="000C7D93" w:rsidP="00A55343">
      <w:pPr>
        <w:spacing w:after="0" w:line="240" w:lineRule="auto"/>
        <w:jc w:val="both"/>
        <w:rPr>
          <w:rFonts w:ascii="Verdana" w:hAnsi="Verdana" w:cs="Arial"/>
          <w:b/>
          <w:bCs/>
          <w:color w:val="000000"/>
          <w:lang w:val="es-ES"/>
        </w:rPr>
      </w:pPr>
      <w:bookmarkStart w:id="0" w:name="_Hlk143780582"/>
      <w:r w:rsidRPr="004A0841">
        <w:rPr>
          <w:rFonts w:ascii="Verdana" w:hAnsi="Verdana" w:cs="Arial"/>
          <w:b/>
          <w:bCs/>
          <w:color w:val="000000"/>
          <w:lang w:val="es-ES"/>
        </w:rPr>
        <w:t>PRECIOS UNITARIOS – APU – AIU</w:t>
      </w:r>
    </w:p>
    <w:p w14:paraId="569D31E6" w14:textId="77777777" w:rsidR="000C7D93" w:rsidRDefault="000C7D93" w:rsidP="00A55343">
      <w:pPr>
        <w:spacing w:after="0" w:line="240" w:lineRule="auto"/>
        <w:jc w:val="both"/>
        <w:rPr>
          <w:rFonts w:ascii="Verdana" w:hAnsi="Verdana" w:cs="Arial"/>
          <w:b/>
          <w:bCs/>
          <w:color w:val="000000"/>
          <w:lang w:val="es-ES"/>
        </w:rPr>
      </w:pPr>
    </w:p>
    <w:p w14:paraId="67903A6A" w14:textId="77777777" w:rsidR="000C7D93" w:rsidRPr="004A0841" w:rsidRDefault="000C7D93" w:rsidP="00A55343">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 </w:t>
      </w:r>
      <w:r w:rsidRPr="004A0841">
        <w:rPr>
          <w:rFonts w:ascii="Verdana" w:hAnsi="Verdana" w:cs="Arial"/>
          <w:bCs/>
          <w:color w:val="000000"/>
          <w:sz w:val="20"/>
          <w:lang w:val="es-ES"/>
        </w:rPr>
        <w:t xml:space="preserve">en los contratos cuyo precio se estructura a partir del sistema de precios unitarios, ha hecho parte de la práctica de los negocios que el contratante le solicite al potencial contratista que separe en su propuesta los </w:t>
      </w:r>
      <w:r w:rsidRPr="004A0841">
        <w:rPr>
          <w:rFonts w:ascii="Verdana" w:hAnsi="Verdana" w:cs="Arial"/>
          <w:bCs/>
          <w:i/>
          <w:iCs/>
          <w:color w:val="000000"/>
          <w:sz w:val="20"/>
          <w:lang w:val="es-ES"/>
        </w:rPr>
        <w:t>costos directos</w:t>
      </w:r>
      <w:r w:rsidRPr="004A0841">
        <w:rPr>
          <w:rFonts w:ascii="Verdana" w:hAnsi="Verdana" w:cs="Arial"/>
          <w:bCs/>
          <w:color w:val="000000"/>
          <w:sz w:val="20"/>
          <w:lang w:val="es-ES"/>
        </w:rPr>
        <w:t xml:space="preserve"> –es decir, los que están directamente implicados en la ejecución del objeto–, de los </w:t>
      </w:r>
      <w:r w:rsidRPr="004A0841">
        <w:rPr>
          <w:rFonts w:ascii="Verdana" w:hAnsi="Verdana" w:cs="Arial"/>
          <w:bCs/>
          <w:i/>
          <w:iCs/>
          <w:color w:val="000000"/>
          <w:sz w:val="20"/>
          <w:lang w:val="es-ES"/>
        </w:rPr>
        <w:t>costos indirectos</w:t>
      </w:r>
      <w:r w:rsidRPr="004A0841">
        <w:rPr>
          <w:rFonts w:ascii="Verdana" w:hAnsi="Verdana" w:cs="Arial"/>
          <w:bCs/>
          <w:color w:val="000000"/>
          <w:sz w:val="20"/>
          <w:lang w:val="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A0841">
        <w:rPr>
          <w:rFonts w:ascii="Verdana" w:hAnsi="Verdana" w:cs="Arial"/>
          <w:bCs/>
          <w:i/>
          <w:iCs/>
          <w:color w:val="000000"/>
          <w:sz w:val="20"/>
          <w:lang w:val="es-ES"/>
        </w:rPr>
        <w:t>costos directos</w:t>
      </w:r>
      <w:r w:rsidRPr="004A0841">
        <w:rPr>
          <w:rFonts w:ascii="Verdana" w:hAnsi="Verdana" w:cs="Arial"/>
          <w:bCs/>
          <w:color w:val="000000"/>
          <w:sz w:val="20"/>
          <w:lang w:val="es-ES"/>
        </w:rPr>
        <w:t xml:space="preserve"> se evidencian en el análisis de precios unitarios –APU–, como la sumatoria de los valores de los </w:t>
      </w:r>
      <w:r w:rsidRPr="004A0841">
        <w:rPr>
          <w:rFonts w:ascii="Verdana" w:hAnsi="Verdana" w:cs="Arial"/>
          <w:bCs/>
          <w:i/>
          <w:iCs/>
          <w:color w:val="000000"/>
          <w:sz w:val="20"/>
          <w:lang w:val="es-ES"/>
        </w:rPr>
        <w:t>ítems</w:t>
      </w:r>
      <w:r w:rsidRPr="004A0841">
        <w:rPr>
          <w:rFonts w:ascii="Verdana" w:hAnsi="Verdana" w:cs="Arial"/>
          <w:bCs/>
          <w:color w:val="000000"/>
          <w:sz w:val="20"/>
          <w:lang w:val="es-ES"/>
        </w:rPr>
        <w:t xml:space="preserve"> según su unidad de medida, los </w:t>
      </w:r>
      <w:r w:rsidRPr="004A0841">
        <w:rPr>
          <w:rFonts w:ascii="Verdana" w:hAnsi="Verdana" w:cs="Arial"/>
          <w:bCs/>
          <w:i/>
          <w:iCs/>
          <w:color w:val="000000"/>
          <w:sz w:val="20"/>
          <w:lang w:val="es-ES"/>
        </w:rPr>
        <w:t>costos indirectos</w:t>
      </w:r>
      <w:r w:rsidRPr="004A0841">
        <w:rPr>
          <w:rFonts w:ascii="Verdana" w:hAnsi="Verdana" w:cs="Arial"/>
          <w:bCs/>
          <w:color w:val="000000"/>
          <w:sz w:val="20"/>
          <w:lang w:val="es-ES"/>
        </w:rPr>
        <w:t xml:space="preserve"> se suelen abreviar en las variables que integran el acrónimo AIU –Administración, Imprevistos y Utilidad–.</w:t>
      </w:r>
    </w:p>
    <w:p w14:paraId="231DE9FF" w14:textId="77777777" w:rsidR="000C7D93" w:rsidRDefault="000C7D93" w:rsidP="00A55343">
      <w:pPr>
        <w:spacing w:after="0" w:line="240" w:lineRule="auto"/>
        <w:jc w:val="both"/>
        <w:rPr>
          <w:rFonts w:ascii="Verdana" w:eastAsia="Geomanist Light" w:hAnsi="Verdana" w:cs="Arial"/>
          <w:b/>
          <w:bCs/>
          <w:lang w:val="es-ES" w:eastAsia="es-MX"/>
        </w:rPr>
      </w:pPr>
    </w:p>
    <w:p w14:paraId="4DA6AE48" w14:textId="77777777" w:rsidR="000C7D93" w:rsidRPr="004A0841" w:rsidRDefault="000C7D93" w:rsidP="00A55343">
      <w:pPr>
        <w:spacing w:after="0" w:line="240" w:lineRule="auto"/>
        <w:jc w:val="both"/>
        <w:rPr>
          <w:rFonts w:ascii="Verdana" w:eastAsia="Geomanist Light" w:hAnsi="Verdana" w:cs="Arial"/>
          <w:b/>
          <w:bCs/>
          <w:lang w:eastAsia="es-MX"/>
        </w:rPr>
      </w:pPr>
      <w:r w:rsidRPr="004A0841">
        <w:rPr>
          <w:rFonts w:ascii="Verdana" w:eastAsia="Geomanist Light" w:hAnsi="Verdana" w:cs="Arial"/>
          <w:b/>
          <w:bCs/>
          <w:lang w:eastAsia="es-MX"/>
        </w:rPr>
        <w:t>AIU – Costos indirectos – Discrecionalidad</w:t>
      </w:r>
    </w:p>
    <w:p w14:paraId="0E78E769" w14:textId="77777777" w:rsidR="000C7D93" w:rsidRDefault="000C7D93" w:rsidP="00A55343">
      <w:pPr>
        <w:spacing w:after="0" w:line="240" w:lineRule="auto"/>
        <w:jc w:val="both"/>
        <w:rPr>
          <w:rFonts w:ascii="Verdana" w:eastAsia="Geomanist Light" w:hAnsi="Verdana" w:cs="Arial"/>
          <w:b/>
          <w:bCs/>
          <w:lang w:eastAsia="es-MX"/>
        </w:rPr>
      </w:pPr>
    </w:p>
    <w:p w14:paraId="4F526629" w14:textId="77777777" w:rsidR="000C7D93" w:rsidRPr="004A0841" w:rsidRDefault="000C7D93" w:rsidP="00A55343">
      <w:pPr>
        <w:spacing w:after="0" w:line="240" w:lineRule="auto"/>
        <w:jc w:val="both"/>
        <w:rPr>
          <w:rFonts w:ascii="Verdana" w:eastAsia="Geomanist Light" w:hAnsi="Verdana" w:cs="Arial"/>
          <w:bCs/>
          <w:sz w:val="20"/>
          <w:lang w:val="es-ES" w:eastAsia="es-MX"/>
        </w:rPr>
      </w:pPr>
      <w:r w:rsidRPr="004A0841">
        <w:rPr>
          <w:rFonts w:ascii="Verdana" w:eastAsia="Geomanist Light" w:hAnsi="Verdana" w:cs="Arial"/>
          <w:bCs/>
          <w:sz w:val="20"/>
          <w:lang w:val="es-ES" w:eastAsia="es-MX"/>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4A0841">
        <w:rPr>
          <w:rFonts w:ascii="Verdana" w:eastAsia="Geomanist Light" w:hAnsi="Verdana" w:cs="Arial"/>
          <w:bCs/>
          <w:i/>
          <w:iCs/>
          <w:sz w:val="20"/>
          <w:lang w:val="es-ES" w:eastAsia="es-MX"/>
        </w:rPr>
        <w:t>Administración</w:t>
      </w:r>
      <w:r w:rsidRPr="004A0841">
        <w:rPr>
          <w:rFonts w:ascii="Verdana" w:eastAsia="Geomanist Light" w:hAnsi="Verdana" w:cs="Arial"/>
          <w:bCs/>
          <w:sz w:val="20"/>
          <w:lang w:val="es-ES" w:eastAsia="es-MX"/>
        </w:rPr>
        <w:t xml:space="preserve"> o de </w:t>
      </w:r>
      <w:r w:rsidRPr="004A0841">
        <w:rPr>
          <w:rFonts w:ascii="Verdana" w:eastAsia="Geomanist Light" w:hAnsi="Verdana" w:cs="Arial"/>
          <w:bCs/>
          <w:i/>
          <w:iCs/>
          <w:sz w:val="20"/>
          <w:lang w:val="es-ES" w:eastAsia="es-MX"/>
        </w:rPr>
        <w:t>Imprevistos</w:t>
      </w:r>
      <w:r w:rsidRPr="004A0841">
        <w:rPr>
          <w:rFonts w:ascii="Verdana" w:eastAsia="Geomanist Light" w:hAnsi="Verdana" w:cs="Arial"/>
          <w:bCs/>
          <w:sz w:val="20"/>
          <w:lang w:val="es-ES" w:eastAsia="es-MX"/>
        </w:rPr>
        <w:t>.</w:t>
      </w:r>
    </w:p>
    <w:p w14:paraId="27260385" w14:textId="77777777" w:rsidR="000C7D93" w:rsidRPr="004A0841" w:rsidRDefault="000C7D93" w:rsidP="00A55343">
      <w:pPr>
        <w:spacing w:after="0" w:line="240" w:lineRule="auto"/>
        <w:jc w:val="both"/>
        <w:rPr>
          <w:rFonts w:ascii="Verdana" w:eastAsia="Geomanist Light" w:hAnsi="Verdana" w:cs="Arial"/>
          <w:bCs/>
          <w:sz w:val="20"/>
          <w:lang w:val="es-ES_tradnl" w:eastAsia="es-MX"/>
        </w:rPr>
      </w:pPr>
    </w:p>
    <w:p w14:paraId="7861C9DF" w14:textId="77777777" w:rsidR="000C7D93" w:rsidRPr="004A0841" w:rsidRDefault="000C7D93" w:rsidP="00A55343">
      <w:pPr>
        <w:spacing w:after="0" w:line="240" w:lineRule="auto"/>
        <w:jc w:val="both"/>
        <w:rPr>
          <w:rFonts w:ascii="Verdana" w:eastAsia="Geomanist Light" w:hAnsi="Verdana" w:cs="Arial"/>
          <w:bCs/>
          <w:sz w:val="20"/>
          <w:lang w:val="es-ES" w:eastAsia="es-MX"/>
        </w:rPr>
      </w:pPr>
      <w:r w:rsidRPr="004A0841">
        <w:rPr>
          <w:rFonts w:ascii="Verdana" w:eastAsia="Geomanist Light" w:hAnsi="Verdana" w:cs="Arial"/>
          <w:bCs/>
          <w:sz w:val="20"/>
          <w:lang w:val="es-ES" w:eastAsia="es-MX"/>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w:t>
      </w:r>
    </w:p>
    <w:p w14:paraId="5A8A77EE" w14:textId="77777777" w:rsidR="000C7D93" w:rsidRPr="004A0841" w:rsidRDefault="000C7D93" w:rsidP="00A55343">
      <w:pPr>
        <w:spacing w:after="0" w:line="240" w:lineRule="auto"/>
        <w:jc w:val="both"/>
        <w:rPr>
          <w:rFonts w:ascii="Verdana" w:eastAsia="Geomanist Light" w:hAnsi="Verdana" w:cs="Arial"/>
          <w:b/>
          <w:bCs/>
          <w:lang w:val="es-ES" w:eastAsia="es-MX"/>
        </w:rPr>
      </w:pPr>
    </w:p>
    <w:p w14:paraId="0D27D27C" w14:textId="77777777" w:rsidR="000C7D93" w:rsidRDefault="000C7D93" w:rsidP="00A55343">
      <w:pPr>
        <w:spacing w:after="0" w:line="240" w:lineRule="auto"/>
        <w:jc w:val="both"/>
        <w:rPr>
          <w:rFonts w:ascii="Verdana" w:eastAsia="Geomanist Light" w:hAnsi="Verdana" w:cs="Arial"/>
          <w:b/>
          <w:bCs/>
          <w:lang w:eastAsia="es-MX"/>
        </w:rPr>
      </w:pPr>
      <w:r>
        <w:rPr>
          <w:rFonts w:ascii="Verdana" w:eastAsia="Geomanist Light" w:hAnsi="Verdana" w:cs="Arial"/>
          <w:b/>
          <w:bCs/>
          <w:lang w:eastAsia="es-MX"/>
        </w:rPr>
        <w:t xml:space="preserve">AIU – APU – Determinación </w:t>
      </w:r>
    </w:p>
    <w:p w14:paraId="4BC29D89" w14:textId="77777777" w:rsidR="000C7D93" w:rsidRDefault="000C7D93" w:rsidP="00A55343">
      <w:pPr>
        <w:spacing w:after="0" w:line="240" w:lineRule="auto"/>
        <w:jc w:val="both"/>
        <w:rPr>
          <w:rFonts w:ascii="Verdana" w:eastAsia="Geomanist Light" w:hAnsi="Verdana" w:cs="Arial"/>
          <w:b/>
          <w:bCs/>
          <w:lang w:eastAsia="es-MX"/>
        </w:rPr>
      </w:pPr>
    </w:p>
    <w:p w14:paraId="04227D58" w14:textId="77777777" w:rsidR="000C7D93" w:rsidRPr="00751DE8" w:rsidRDefault="000C7D93" w:rsidP="00A55343">
      <w:pPr>
        <w:spacing w:after="0" w:line="240" w:lineRule="auto"/>
        <w:jc w:val="both"/>
        <w:rPr>
          <w:rFonts w:ascii="Verdana" w:eastAsia="Geomanist Light" w:hAnsi="Verdana" w:cs="Arial"/>
          <w:bCs/>
          <w:sz w:val="20"/>
          <w:lang w:val="es-ES_tradnl" w:eastAsia="es-MX"/>
        </w:rPr>
      </w:pPr>
      <w:r w:rsidRPr="00751DE8">
        <w:rPr>
          <w:rFonts w:ascii="Verdana" w:eastAsia="Geomanist Light" w:hAnsi="Verdana" w:cs="Arial"/>
          <w:bCs/>
          <w:sz w:val="20"/>
          <w:lang w:val="es-ES_tradnl" w:eastAsia="es-MX"/>
        </w:rPr>
        <w:t xml:space="preserve">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w:t>
      </w:r>
      <w:r w:rsidRPr="00751DE8">
        <w:rPr>
          <w:rFonts w:ascii="Verdana" w:eastAsia="Geomanist Light" w:hAnsi="Verdana" w:cs="Arial"/>
          <w:bCs/>
          <w:sz w:val="20"/>
          <w:lang w:val="es-ES_tradnl" w:eastAsia="es-MX"/>
        </w:rPr>
        <w:lastRenderedPageBreak/>
        <w:t xml:space="preserve">En fin, lo que se quiere indicar con estos comentarios es que la necesidad de presentar una propuesta desglosando en forma intensa su precio no procede de la ley, ni del reglamento, sino de la costumbre, […]”. De otro lado, quien define el valor de cada </w:t>
      </w:r>
      <w:r w:rsidRPr="00751DE8">
        <w:rPr>
          <w:rFonts w:ascii="Verdana" w:eastAsia="Geomanist Light" w:hAnsi="Verdana" w:cs="Arial"/>
          <w:bCs/>
          <w:i/>
          <w:iCs/>
          <w:sz w:val="20"/>
          <w:lang w:val="es-ES_tradnl" w:eastAsia="es-MX"/>
        </w:rPr>
        <w:t>letra</w:t>
      </w:r>
      <w:r w:rsidRPr="00751DE8">
        <w:rPr>
          <w:rFonts w:ascii="Verdana" w:eastAsia="Geomanist Light" w:hAnsi="Verdana" w:cs="Arial"/>
          <w:bCs/>
          <w:sz w:val="20"/>
          <w:lang w:val="es-ES_tradnl" w:eastAsia="es-MX"/>
        </w:rPr>
        <w:t xml:space="preserve"> –AIU– es el proponente, pues goza de libertad empresarial para hacerlo en la elaboración de su oferta.</w:t>
      </w:r>
      <w:r>
        <w:rPr>
          <w:rFonts w:ascii="Verdana" w:eastAsia="Geomanist Light" w:hAnsi="Verdana" w:cs="Arial"/>
          <w:bCs/>
          <w:sz w:val="20"/>
          <w:lang w:val="es-ES_tradnl" w:eastAsia="es-MX"/>
        </w:rPr>
        <w:t xml:space="preserve"> </w:t>
      </w:r>
      <w:r w:rsidRPr="00751DE8">
        <w:rPr>
          <w:rFonts w:ascii="Verdana" w:eastAsia="Geomanist Light" w:hAnsi="Verdana" w:cs="Arial"/>
          <w:bCs/>
          <w:sz w:val="20"/>
          <w:lang w:val="es-ES_tradnl" w:eastAsia="es-MX"/>
        </w:rPr>
        <w:t xml:space="preserve">De este modo, </w:t>
      </w:r>
      <w:r w:rsidRPr="00751DE8">
        <w:rPr>
          <w:rFonts w:ascii="Verdana" w:eastAsia="Geomanist Light" w:hAnsi="Verdana" w:cs="Arial"/>
          <w:bCs/>
          <w:sz w:val="20"/>
          <w:lang w:eastAsia="es-MX"/>
        </w:rPr>
        <w:t>el AIU, como metodología de pacto del precio que proviene de la costumbre mercantil, puede utilizarse en principio en cualquier tipología contractual, aunque lo más común es que se use en los contratos de tracto sucesivo, especialmente, en los que se distinguen los precios unitarios.</w:t>
      </w:r>
      <w:r w:rsidRPr="00751DE8">
        <w:rPr>
          <w:rFonts w:ascii="Verdana" w:eastAsia="Geomanist Light" w:hAnsi="Verdana" w:cs="Arial"/>
          <w:bCs/>
          <w:sz w:val="20"/>
          <w:lang w:val="es-ES_tradnl" w:eastAsia="es-MX"/>
        </w:rPr>
        <w:t xml:space="preserve"> </w:t>
      </w:r>
      <w:r w:rsidRPr="00751DE8">
        <w:rPr>
          <w:rFonts w:ascii="Verdana" w:eastAsia="Geomanist Light" w:hAnsi="Verdana" w:cs="Arial"/>
          <w:bCs/>
          <w:sz w:val="20"/>
          <w:lang w:eastAsia="es-MX"/>
        </w:rPr>
        <w:t xml:space="preserve">La determinación de este sistema de estipulación del valor debe ser el resultado de los estudios previos, y en especial, del análisis del sector. Solo a partir de tales estudios la entidad estatal podrá concluir si es oportuno y conveniente establecer que el precio del contrato y, por tanto, la propuesta del </w:t>
      </w:r>
      <w:proofErr w:type="gramStart"/>
      <w:r w:rsidRPr="00751DE8">
        <w:rPr>
          <w:rFonts w:ascii="Verdana" w:eastAsia="Geomanist Light" w:hAnsi="Verdana" w:cs="Arial"/>
          <w:bCs/>
          <w:sz w:val="20"/>
          <w:lang w:eastAsia="es-MX"/>
        </w:rPr>
        <w:t>oferente,</w:t>
      </w:r>
      <w:proofErr w:type="gramEnd"/>
      <w:r w:rsidRPr="00751DE8">
        <w:rPr>
          <w:rFonts w:ascii="Verdana" w:eastAsia="Geomanist Light" w:hAnsi="Verdana" w:cs="Arial"/>
          <w:bCs/>
          <w:sz w:val="20"/>
          <w:lang w:eastAsia="es-MX"/>
        </w:rPr>
        <w:t xml:space="preserve"> se deberá establecer distinguiendo los costos directos respecto de los costos indirectos; estos últimos representados en el AIU. </w:t>
      </w:r>
    </w:p>
    <w:p w14:paraId="3A2F5403" w14:textId="77777777" w:rsidR="000C7D93" w:rsidRDefault="000C7D93" w:rsidP="00A55343">
      <w:pPr>
        <w:spacing w:after="0" w:line="240" w:lineRule="auto"/>
        <w:jc w:val="both"/>
        <w:rPr>
          <w:rFonts w:ascii="Verdana" w:eastAsia="Geomanist Light" w:hAnsi="Verdana" w:cs="Arial"/>
          <w:b/>
          <w:bCs/>
          <w:lang w:eastAsia="es-MX"/>
        </w:rPr>
      </w:pPr>
    </w:p>
    <w:p w14:paraId="44B6D606" w14:textId="77777777" w:rsidR="000C7D93" w:rsidRPr="004A0841" w:rsidRDefault="000C7D93" w:rsidP="00A55343">
      <w:pPr>
        <w:spacing w:after="0" w:line="240" w:lineRule="auto"/>
        <w:jc w:val="both"/>
        <w:rPr>
          <w:rFonts w:ascii="Verdana" w:eastAsia="Geomanist Light" w:hAnsi="Verdana" w:cs="Arial"/>
          <w:b/>
          <w:bCs/>
          <w:lang w:eastAsia="es-MX"/>
        </w:rPr>
      </w:pPr>
      <w:r w:rsidRPr="004A0841">
        <w:rPr>
          <w:rFonts w:ascii="Verdana" w:eastAsia="Geomanist Light" w:hAnsi="Verdana" w:cs="Arial"/>
          <w:b/>
          <w:bCs/>
          <w:lang w:eastAsia="es-MX"/>
        </w:rPr>
        <w:t xml:space="preserve">AIU – Estudios del sector – Tipología contractual – Actividades </w:t>
      </w:r>
    </w:p>
    <w:p w14:paraId="353D8357" w14:textId="77777777" w:rsidR="000C7D93" w:rsidRDefault="000C7D93" w:rsidP="00A55343">
      <w:pPr>
        <w:spacing w:after="0" w:line="240" w:lineRule="auto"/>
        <w:jc w:val="both"/>
        <w:rPr>
          <w:rFonts w:ascii="Verdana" w:eastAsia="Geomanist Light" w:hAnsi="Verdana" w:cs="Arial"/>
          <w:b/>
          <w:bCs/>
          <w:lang w:eastAsia="es-MX"/>
        </w:rPr>
      </w:pPr>
    </w:p>
    <w:p w14:paraId="13E46E4F" w14:textId="77777777" w:rsidR="000C7D93" w:rsidRPr="00751DE8" w:rsidRDefault="000C7D93" w:rsidP="00A55343">
      <w:pPr>
        <w:spacing w:after="0" w:line="240" w:lineRule="auto"/>
        <w:jc w:val="both"/>
        <w:rPr>
          <w:rFonts w:ascii="Verdana" w:eastAsia="Geomanist Light" w:hAnsi="Verdana" w:cs="Arial"/>
          <w:bCs/>
          <w:sz w:val="20"/>
          <w:szCs w:val="20"/>
          <w:lang w:eastAsia="es-MX"/>
        </w:rPr>
      </w:pPr>
      <w:r w:rsidRPr="00751DE8">
        <w:rPr>
          <w:rFonts w:ascii="Verdana" w:eastAsia="Geomanist Light" w:hAnsi="Verdana" w:cs="Arial"/>
          <w:bCs/>
          <w:sz w:val="20"/>
          <w:szCs w:val="20"/>
          <w:lang w:val="es-ES_tradnl" w:eastAsia="es-MX"/>
        </w:rPr>
        <w:t xml:space="preserve">De este modo, </w:t>
      </w:r>
      <w:r w:rsidRPr="00751DE8">
        <w:rPr>
          <w:rFonts w:ascii="Verdana" w:eastAsia="Geomanist Light" w:hAnsi="Verdana" w:cs="Arial"/>
          <w:bCs/>
          <w:sz w:val="20"/>
          <w:szCs w:val="20"/>
          <w:lang w:eastAsia="es-MX"/>
        </w:rPr>
        <w:t>el AIU, como metodología de pacto del precio que proviene de la costumbre mercantil, puede utilizarse en principio en cualquier tipología contractual, aunque lo más común es que se use en los contratos de tracto sucesivo, especialmente, en los que se distinguen los precios unitarios.</w:t>
      </w:r>
      <w:r w:rsidRPr="00751DE8">
        <w:rPr>
          <w:rFonts w:ascii="Verdana" w:eastAsia="Geomanist Light" w:hAnsi="Verdana" w:cs="Arial"/>
          <w:bCs/>
          <w:sz w:val="20"/>
          <w:szCs w:val="20"/>
          <w:lang w:val="es-ES_tradnl" w:eastAsia="es-MX"/>
        </w:rPr>
        <w:t xml:space="preserve"> </w:t>
      </w:r>
      <w:r w:rsidRPr="00751DE8">
        <w:rPr>
          <w:rFonts w:ascii="Verdana" w:eastAsia="Geomanist Light" w:hAnsi="Verdana" w:cs="Arial"/>
          <w:bCs/>
          <w:sz w:val="20"/>
          <w:szCs w:val="20"/>
          <w:lang w:eastAsia="es-MX"/>
        </w:rPr>
        <w:t xml:space="preserve">La determinación de este sistema de estipulación del valor debe ser el resultado de los estudios previos, y en especial, del análisis del sector. Solo a partir de tales estudios la entidad estatal podrá concluir si es oportuno y conveniente establecer que el precio del contrato y, por tanto, la propuesta del </w:t>
      </w:r>
      <w:proofErr w:type="gramStart"/>
      <w:r w:rsidRPr="00751DE8">
        <w:rPr>
          <w:rFonts w:ascii="Verdana" w:eastAsia="Geomanist Light" w:hAnsi="Verdana" w:cs="Arial"/>
          <w:bCs/>
          <w:sz w:val="20"/>
          <w:szCs w:val="20"/>
          <w:lang w:eastAsia="es-MX"/>
        </w:rPr>
        <w:t>oferente,</w:t>
      </w:r>
      <w:proofErr w:type="gramEnd"/>
      <w:r w:rsidRPr="00751DE8">
        <w:rPr>
          <w:rFonts w:ascii="Verdana" w:eastAsia="Geomanist Light" w:hAnsi="Verdana" w:cs="Arial"/>
          <w:bCs/>
          <w:sz w:val="20"/>
          <w:szCs w:val="20"/>
          <w:lang w:eastAsia="es-MX"/>
        </w:rPr>
        <w:t xml:space="preserve"> se deberá establecer distinguiendo los costos directos respecto de los costos indirectos; estos últimos representados en el AIU. </w:t>
      </w:r>
    </w:p>
    <w:p w14:paraId="3D688E0A" w14:textId="77777777" w:rsidR="000C7D93" w:rsidRPr="00751DE8" w:rsidRDefault="000C7D93" w:rsidP="00A55343">
      <w:pPr>
        <w:spacing w:after="0" w:line="240" w:lineRule="auto"/>
        <w:jc w:val="both"/>
        <w:rPr>
          <w:rFonts w:ascii="Verdana" w:eastAsia="Geomanist Light" w:hAnsi="Verdana" w:cs="Arial"/>
          <w:bCs/>
          <w:sz w:val="20"/>
          <w:szCs w:val="20"/>
          <w:lang w:eastAsia="es-MX"/>
        </w:rPr>
      </w:pPr>
    </w:p>
    <w:p w14:paraId="6F1DD817" w14:textId="77777777" w:rsidR="000C7D93" w:rsidRPr="00751DE8" w:rsidRDefault="000C7D93" w:rsidP="00A55343">
      <w:pPr>
        <w:spacing w:after="0" w:line="240" w:lineRule="auto"/>
        <w:jc w:val="both"/>
        <w:rPr>
          <w:rFonts w:ascii="Verdana" w:eastAsia="Geomanist Light" w:hAnsi="Verdana" w:cs="Arial"/>
          <w:bCs/>
          <w:sz w:val="20"/>
          <w:szCs w:val="20"/>
          <w:lang w:eastAsia="es-MX"/>
        </w:rPr>
      </w:pPr>
      <w:r w:rsidRPr="00751DE8">
        <w:rPr>
          <w:rFonts w:ascii="Verdana" w:eastAsia="Geomanist Light" w:hAnsi="Verdana" w:cs="Arial"/>
          <w:bCs/>
          <w:sz w:val="20"/>
          <w:szCs w:val="20"/>
          <w:lang w:eastAsia="es-MX"/>
        </w:rPr>
        <w:t xml:space="preserve">En consecuencia, no hay </w:t>
      </w:r>
      <w:r w:rsidRPr="00751DE8">
        <w:rPr>
          <w:rFonts w:ascii="Verdana" w:eastAsia="Geomanist Light" w:hAnsi="Verdana" w:cs="Arial"/>
          <w:bCs/>
          <w:i/>
          <w:iCs/>
          <w:sz w:val="20"/>
          <w:szCs w:val="20"/>
          <w:lang w:eastAsia="es-MX"/>
        </w:rPr>
        <w:t>a priori</w:t>
      </w:r>
      <w:r w:rsidRPr="00751DE8">
        <w:rPr>
          <w:rFonts w:ascii="Verdana" w:eastAsia="Geomanist Light" w:hAnsi="Verdana" w:cs="Arial"/>
          <w:bCs/>
          <w:sz w:val="20"/>
          <w:szCs w:val="20"/>
          <w:lang w:eastAsia="es-MX"/>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0EA50F73" w14:textId="77777777" w:rsidR="000C7D93" w:rsidRPr="00612ADF" w:rsidRDefault="000C7D93" w:rsidP="00A55343">
      <w:pPr>
        <w:spacing w:after="0" w:line="240" w:lineRule="auto"/>
        <w:jc w:val="both"/>
        <w:rPr>
          <w:rFonts w:ascii="Verdana" w:hAnsi="Verdana" w:cs="Arial"/>
          <w:b/>
          <w:color w:val="000000"/>
          <w:lang w:val="es-ES"/>
        </w:rPr>
      </w:pPr>
    </w:p>
    <w:p w14:paraId="4356B8CF" w14:textId="77777777" w:rsidR="00612ADF" w:rsidRDefault="00612ADF" w:rsidP="00A55343">
      <w:pPr>
        <w:spacing w:after="0" w:line="240" w:lineRule="auto"/>
        <w:jc w:val="both"/>
        <w:rPr>
          <w:rFonts w:ascii="Verdana" w:eastAsia="Geomanist Light" w:hAnsi="Verdana" w:cs="Arial"/>
          <w:b/>
          <w:lang w:eastAsia="es-MX"/>
        </w:rPr>
      </w:pPr>
      <w:r w:rsidRPr="00612ADF">
        <w:rPr>
          <w:rFonts w:ascii="Verdana" w:eastAsia="Geomanist Light" w:hAnsi="Verdana" w:cs="Arial"/>
          <w:b/>
          <w:lang w:eastAsia="es-MX"/>
        </w:rPr>
        <w:t xml:space="preserve">COSTOS DIRECTOS – Definición – Alcance </w:t>
      </w:r>
    </w:p>
    <w:p w14:paraId="69184175" w14:textId="77777777" w:rsidR="00612ADF" w:rsidRPr="00CB2D2C" w:rsidRDefault="00612ADF" w:rsidP="00A55343">
      <w:pPr>
        <w:spacing w:after="0" w:line="240" w:lineRule="auto"/>
        <w:jc w:val="both"/>
        <w:rPr>
          <w:rFonts w:ascii="Verdana" w:eastAsia="Geomanist Light" w:hAnsi="Verdana" w:cs="Arial"/>
          <w:bCs/>
          <w:sz w:val="20"/>
          <w:szCs w:val="20"/>
          <w:lang w:eastAsia="es-MX"/>
        </w:rPr>
      </w:pPr>
    </w:p>
    <w:p w14:paraId="008E3ABE" w14:textId="7ED7BC2F" w:rsidR="00612ADF" w:rsidRPr="00CB2D2C" w:rsidRDefault="00CB2D2C" w:rsidP="00A55343">
      <w:pPr>
        <w:spacing w:after="0" w:line="240" w:lineRule="auto"/>
        <w:jc w:val="both"/>
        <w:rPr>
          <w:rFonts w:ascii="Verdana" w:eastAsia="Geomanist Light" w:hAnsi="Verdana" w:cs="Arial"/>
          <w:bCs/>
          <w:sz w:val="20"/>
          <w:szCs w:val="20"/>
          <w:lang w:eastAsia="es-MX"/>
        </w:rPr>
      </w:pPr>
      <w:r w:rsidRPr="00CB2D2C">
        <w:rPr>
          <w:rFonts w:ascii="Verdana" w:eastAsia="Geomanist Light" w:hAnsi="Verdana" w:cs="Arial"/>
          <w:bCs/>
          <w:sz w:val="20"/>
          <w:szCs w:val="20"/>
          <w:lang w:val="es-ES" w:eastAsia="es-MX"/>
        </w:rPr>
        <w:t xml:space="preserve">Los costos directos </w:t>
      </w:r>
      <w:r w:rsidRPr="00CB2D2C">
        <w:rPr>
          <w:rFonts w:ascii="Verdana" w:eastAsia="Geomanist Light" w:hAnsi="Verdana" w:cs="Arial"/>
          <w:bCs/>
          <w:sz w:val="20"/>
          <w:szCs w:val="20"/>
          <w:lang w:val="es-ES_tradnl" w:eastAsia="es-MX"/>
        </w:rPr>
        <w:t xml:space="preserve">son aquellos </w:t>
      </w:r>
      <w:r w:rsidRPr="00CB2D2C">
        <w:rPr>
          <w:rFonts w:ascii="Verdana" w:eastAsia="Geomanist Light" w:hAnsi="Verdana" w:cs="Arial"/>
          <w:bCs/>
          <w:sz w:val="20"/>
          <w:szCs w:val="20"/>
          <w:lang w:val="es-ES" w:eastAsia="es-MX"/>
        </w:rPr>
        <w:t>que están directamente implicados en la ejecución del objeto o imprescindibles</w:t>
      </w:r>
      <w:r w:rsidRPr="00CB2D2C">
        <w:rPr>
          <w:rFonts w:ascii="Verdana" w:eastAsia="Geomanist Light" w:hAnsi="Verdana" w:cs="Arial"/>
          <w:bCs/>
          <w:sz w:val="20"/>
          <w:szCs w:val="20"/>
          <w:lang w:val="es-ES_tradnl" w:eastAsia="es-MX"/>
        </w:rPr>
        <w:t xml:space="preserve"> para ejecutar la obra, entre los que se encuentra: la adquisición de materiales, insumos y suministros, la inversión en equipos, el pago de la mano de obra de las cuadrillas de trabajadores obreros y otros gastos afines –representados en los ítems que componen el contrato–. </w:t>
      </w:r>
      <w:r w:rsidRPr="00CB2D2C">
        <w:rPr>
          <w:rFonts w:ascii="Verdana" w:eastAsia="Geomanist Light" w:hAnsi="Verdana" w:cs="Arial"/>
          <w:bCs/>
          <w:sz w:val="20"/>
          <w:szCs w:val="20"/>
          <w:lang w:eastAsia="es-MX"/>
        </w:rPr>
        <w:t xml:space="preserve">Desde una perspectiva técnica y jurídica, los costos directos de obra constituyen aquellos gastos que pueden identificarse y asignarse de manera específica a una partida o actividad concreta dentro del proyecto constructivo. </w:t>
      </w:r>
      <w:r w:rsidRPr="00CB2D2C">
        <w:rPr>
          <w:rFonts w:ascii="Verdana" w:eastAsia="Geomanist Light" w:hAnsi="Verdana" w:cs="Arial"/>
          <w:bCs/>
          <w:sz w:val="20"/>
          <w:szCs w:val="20"/>
          <w:lang w:val="es-ES_tradnl" w:eastAsia="es-MX"/>
        </w:rPr>
        <w:t xml:space="preserve">En este aspecto, dichos costos hacen parte del precio del contrato, igual que los costos indirectos. </w:t>
      </w:r>
      <w:r w:rsidRPr="00CB2D2C">
        <w:rPr>
          <w:rFonts w:ascii="Verdana" w:eastAsia="Geomanist Light" w:hAnsi="Verdana" w:cs="Arial"/>
          <w:bCs/>
          <w:sz w:val="20"/>
          <w:szCs w:val="20"/>
          <w:lang w:eastAsia="es-MX"/>
        </w:rPr>
        <w:t xml:space="preserve">En el ámbito de la contratación estatal, estos costos son determinantes </w:t>
      </w:r>
      <w:r w:rsidRPr="00CB2D2C">
        <w:rPr>
          <w:rFonts w:ascii="Verdana" w:eastAsia="Geomanist Light" w:hAnsi="Verdana" w:cs="Arial"/>
          <w:bCs/>
          <w:sz w:val="20"/>
          <w:szCs w:val="20"/>
          <w:lang w:eastAsia="es-MX"/>
        </w:rPr>
        <w:lastRenderedPageBreak/>
        <w:t>porque permiten establecer con precisión el precio unitario de cada concepto y, en consecuencia, asegurar la transparencia y la trazabilidad del presupuesto.</w:t>
      </w:r>
    </w:p>
    <w:p w14:paraId="2AD8A2DE" w14:textId="77777777" w:rsidR="00612ADF" w:rsidRPr="00612ADF" w:rsidRDefault="00612ADF" w:rsidP="00A55343">
      <w:pPr>
        <w:spacing w:after="0" w:line="240" w:lineRule="auto"/>
        <w:jc w:val="both"/>
        <w:rPr>
          <w:rFonts w:ascii="Verdana" w:eastAsia="Geomanist Light" w:hAnsi="Verdana" w:cs="Arial"/>
          <w:b/>
          <w:lang w:eastAsia="es-MX"/>
        </w:rPr>
      </w:pPr>
    </w:p>
    <w:p w14:paraId="4C34F457" w14:textId="70FCBC81" w:rsidR="008002AC" w:rsidRPr="00612ADF" w:rsidRDefault="008002AC" w:rsidP="00A55343">
      <w:pPr>
        <w:spacing w:after="0" w:line="240" w:lineRule="auto"/>
        <w:jc w:val="both"/>
        <w:rPr>
          <w:rFonts w:ascii="Verdana" w:hAnsi="Verdana" w:cs="Arial"/>
          <w:b/>
          <w:lang w:val="es-ES" w:eastAsia="es-ES"/>
        </w:rPr>
      </w:pPr>
      <w:r w:rsidRPr="00612ADF">
        <w:rPr>
          <w:rFonts w:ascii="Verdana" w:eastAsia="Geomanist Light" w:hAnsi="Verdana" w:cs="Arial"/>
          <w:b/>
          <w:lang w:eastAsia="es-MX"/>
        </w:rPr>
        <w:t xml:space="preserve">COSTOS DIRECTOS – Deber de seguimiento – Supervisión – Interventoría.  </w:t>
      </w:r>
    </w:p>
    <w:p w14:paraId="60039760" w14:textId="77777777" w:rsidR="008002AC" w:rsidRPr="00612ADF" w:rsidRDefault="008002AC" w:rsidP="00A55343">
      <w:pPr>
        <w:spacing w:after="0" w:line="240" w:lineRule="auto"/>
        <w:rPr>
          <w:rFonts w:ascii="Verdana" w:eastAsia="Verdana" w:hAnsi="Verdana" w:cs="Verdana"/>
          <w:b/>
          <w:lang w:val="es-ES"/>
        </w:rPr>
      </w:pPr>
    </w:p>
    <w:p w14:paraId="7C6082F3" w14:textId="77777777" w:rsidR="00767A02" w:rsidRDefault="00767A02" w:rsidP="00A55343">
      <w:pPr>
        <w:spacing w:after="0" w:line="240" w:lineRule="auto"/>
        <w:jc w:val="both"/>
        <w:rPr>
          <w:rFonts w:ascii="Verdana" w:eastAsia="Verdana" w:hAnsi="Verdana" w:cs="Verdana"/>
          <w:bCs/>
          <w:sz w:val="20"/>
          <w:szCs w:val="20"/>
        </w:rPr>
      </w:pPr>
      <w:r w:rsidRPr="00767A02">
        <w:rPr>
          <w:rFonts w:ascii="Verdana" w:eastAsia="Verdana" w:hAnsi="Verdana" w:cs="Verdana"/>
          <w:bCs/>
          <w:sz w:val="20"/>
          <w:szCs w:val="20"/>
          <w:lang w:val="es-ES"/>
        </w:rPr>
        <w:t>En el marco del seguimiento contractual, la supervisión tiene como función inseparable el seguimiento técnico, administrativo, financiero, contable y jurídico del contrato vigilado, mientras que a la interventoría</w:t>
      </w:r>
      <w:r w:rsidRPr="00767A02">
        <w:rPr>
          <w:rFonts w:ascii="Verdana" w:eastAsia="Verdana" w:hAnsi="Verdana" w:cs="Verdana"/>
          <w:bCs/>
          <w:sz w:val="20"/>
          <w:szCs w:val="20"/>
        </w:rPr>
        <w:t xml:space="preserve"> le es inherente el seguimiento técnico de la correcta ejecución del contrato vigilado. Con todo, el artículo 83 de la Ley 1474 de 2011 permite que en el contrato de interventoría también se pacten obligaciones para que el contratista realice el seguimiento administrativo, financiero, contable o jurídico.</w:t>
      </w:r>
    </w:p>
    <w:p w14:paraId="251DE09C" w14:textId="77777777" w:rsidR="00920327" w:rsidRPr="00767A02" w:rsidRDefault="00920327" w:rsidP="00A55343">
      <w:pPr>
        <w:spacing w:after="0" w:line="240" w:lineRule="auto"/>
        <w:jc w:val="both"/>
        <w:rPr>
          <w:rFonts w:ascii="Verdana" w:eastAsia="Verdana" w:hAnsi="Verdana" w:cs="Verdana"/>
          <w:sz w:val="20"/>
          <w:szCs w:val="20"/>
          <w:lang w:val="es-ES"/>
        </w:rPr>
      </w:pPr>
    </w:p>
    <w:p w14:paraId="1D8C9798" w14:textId="77777777" w:rsidR="00767A02" w:rsidRDefault="00767A02" w:rsidP="00A55343">
      <w:pPr>
        <w:spacing w:after="0" w:line="240" w:lineRule="auto"/>
        <w:jc w:val="both"/>
        <w:rPr>
          <w:rFonts w:ascii="Verdana" w:eastAsia="Verdana" w:hAnsi="Verdana" w:cs="Verdana"/>
          <w:sz w:val="20"/>
          <w:szCs w:val="20"/>
        </w:rPr>
      </w:pPr>
      <w:r w:rsidRPr="00767A02">
        <w:rPr>
          <w:rFonts w:ascii="Verdana" w:eastAsia="Verdana" w:hAnsi="Verdana" w:cs="Verdana"/>
          <w:sz w:val="20"/>
          <w:szCs w:val="20"/>
        </w:rPr>
        <w:t xml:space="preserve">Sin embargo, dicha facultad de seguimiento debe ejercerse dentro del marco contractual y funcional, por lo que no puede confundirse con las competencias de fiscalización tributaria que corresponden exclusivamente a la Dirección de Impuestos y Aduanas Nacionales -DIAN-, señalando que la supervisión contractual busca garantizar la transparencia y la protección del patrimonio público, sin que ello implique sustituir funciones de otras autoridades, especialmente, las tributarias.  </w:t>
      </w:r>
    </w:p>
    <w:p w14:paraId="28EA2A26" w14:textId="77777777" w:rsidR="00920327" w:rsidRPr="00767A02" w:rsidRDefault="00920327" w:rsidP="00A55343">
      <w:pPr>
        <w:spacing w:after="0" w:line="240" w:lineRule="auto"/>
        <w:jc w:val="both"/>
        <w:rPr>
          <w:rFonts w:ascii="Verdana" w:eastAsia="Verdana" w:hAnsi="Verdana" w:cs="Verdana"/>
          <w:sz w:val="20"/>
          <w:szCs w:val="20"/>
          <w:lang w:val="es-ES"/>
        </w:rPr>
      </w:pPr>
    </w:p>
    <w:p w14:paraId="35A06AAD" w14:textId="77777777" w:rsidR="00767A02" w:rsidRDefault="00767A02" w:rsidP="00A55343">
      <w:pPr>
        <w:spacing w:after="0" w:line="240" w:lineRule="auto"/>
        <w:jc w:val="both"/>
        <w:rPr>
          <w:rFonts w:ascii="Verdana" w:eastAsia="Verdana" w:hAnsi="Verdana" w:cs="Verdana"/>
          <w:sz w:val="20"/>
          <w:szCs w:val="20"/>
        </w:rPr>
      </w:pPr>
      <w:r w:rsidRPr="00767A02">
        <w:rPr>
          <w:rFonts w:ascii="Verdana" w:eastAsia="Verdana" w:hAnsi="Verdana" w:cs="Verdana"/>
          <w:sz w:val="20"/>
          <w:szCs w:val="20"/>
        </w:rPr>
        <w:t>En este aspecto se ha sostenido que la supervisión contractual incluye el seguimiento y control financiero del contrato, a fin de que haya una debida ejecución financiera del contrato y que haya un equilibrio económico del contrato. Ahora bien, exigir que los costos coincidan con los reportes a la DIAN puede operar como un instrumento de verificación y de alerta frente a eventuales sobrecostos o riesgos de evasión, mas no como una condición de pago ni como una competencia de fiscalización tributaria. El alcance de la supervisión de la entidad, en este caso, se restringe a garantizar la transparencia y el correcto uso de los recursos públicos, sin invadir las competencias de fiscalización tributaria que corresponden a la DIAN.</w:t>
      </w:r>
    </w:p>
    <w:p w14:paraId="0770FF6A" w14:textId="77777777" w:rsidR="00920327" w:rsidRPr="00767A02" w:rsidRDefault="00920327" w:rsidP="00A55343">
      <w:pPr>
        <w:spacing w:after="0" w:line="240" w:lineRule="auto"/>
        <w:jc w:val="both"/>
        <w:rPr>
          <w:rFonts w:ascii="Verdana" w:eastAsia="Verdana" w:hAnsi="Verdana" w:cs="Verdana"/>
          <w:sz w:val="20"/>
          <w:szCs w:val="20"/>
        </w:rPr>
      </w:pPr>
    </w:p>
    <w:p w14:paraId="66293B1F" w14:textId="532D5B02" w:rsidR="00767A02" w:rsidRPr="00767A02" w:rsidRDefault="00767A02" w:rsidP="00A55343">
      <w:pPr>
        <w:spacing w:after="0" w:line="240" w:lineRule="auto"/>
        <w:jc w:val="both"/>
        <w:rPr>
          <w:rFonts w:ascii="Verdana" w:eastAsia="Verdana" w:hAnsi="Verdana" w:cs="Verdana"/>
          <w:sz w:val="20"/>
          <w:szCs w:val="20"/>
        </w:rPr>
      </w:pPr>
      <w:r w:rsidRPr="00767A02">
        <w:rPr>
          <w:rFonts w:ascii="Verdana" w:eastAsia="Verdana" w:hAnsi="Verdana" w:cs="Verdana"/>
          <w:sz w:val="20"/>
          <w:szCs w:val="20"/>
        </w:rPr>
        <w:t xml:space="preserve">Así pues, el alcance de la supervisión de la entidad se restringe a garantizar la correcta ejecución financiera del contrato y el uso adecuado de los recursos públicos. La posibilidad de exigir que los valores cobrados coincidan con los reportes transmitidos a la DIAN depende del sistema con el que se haya estructurado y pactado el precio. Cuando el valor se acordó bajo el sistema de precios unitarios —con o sin discriminación del AIU—, el contratista se remunera con el producto de las cantidades de obra efectivamente ejecutadas por el precio unitario pactado, de modo que lo que cobra no son los costos en que realmente incurrió, sino el precio convenido, que es ley para las partes. </w:t>
      </w:r>
    </w:p>
    <w:p w14:paraId="35F32318" w14:textId="77777777" w:rsidR="008002AC" w:rsidRDefault="008002AC" w:rsidP="00A55343">
      <w:pPr>
        <w:spacing w:after="0" w:line="240" w:lineRule="auto"/>
        <w:rPr>
          <w:rFonts w:ascii="Verdana" w:eastAsia="Verdana" w:hAnsi="Verdana" w:cs="Verdana"/>
        </w:rPr>
      </w:pPr>
    </w:p>
    <w:p w14:paraId="5B439EEE" w14:textId="77777777" w:rsidR="008002AC" w:rsidRDefault="008002AC" w:rsidP="00A55343">
      <w:pPr>
        <w:spacing w:after="0" w:line="240" w:lineRule="auto"/>
        <w:rPr>
          <w:rFonts w:ascii="Verdana" w:eastAsia="Verdana" w:hAnsi="Verdana" w:cs="Verdana"/>
        </w:rPr>
      </w:pPr>
    </w:p>
    <w:p w14:paraId="627CBFE5" w14:textId="77777777" w:rsidR="00A55343" w:rsidRDefault="00A55343" w:rsidP="00A55343">
      <w:pPr>
        <w:spacing w:after="0" w:line="240" w:lineRule="auto"/>
        <w:rPr>
          <w:rFonts w:ascii="Verdana" w:eastAsia="Verdana" w:hAnsi="Verdana" w:cs="Verdana"/>
        </w:rPr>
      </w:pPr>
    </w:p>
    <w:p w14:paraId="6A033504" w14:textId="77777777" w:rsidR="00A55343" w:rsidRDefault="00A55343" w:rsidP="00A55343">
      <w:pPr>
        <w:spacing w:after="0" w:line="240" w:lineRule="auto"/>
        <w:rPr>
          <w:rFonts w:ascii="Verdana" w:eastAsia="Verdana" w:hAnsi="Verdana" w:cs="Verdana"/>
        </w:rPr>
      </w:pPr>
    </w:p>
    <w:p w14:paraId="15D1BA7A" w14:textId="77777777" w:rsidR="00A55343" w:rsidRDefault="00A55343" w:rsidP="00A55343">
      <w:pPr>
        <w:spacing w:after="0" w:line="240" w:lineRule="auto"/>
        <w:rPr>
          <w:rFonts w:ascii="Verdana" w:eastAsia="Verdana" w:hAnsi="Verdana" w:cs="Verdana"/>
        </w:rPr>
      </w:pPr>
    </w:p>
    <w:p w14:paraId="76647116" w14:textId="51619BF8" w:rsidR="006779F5" w:rsidRDefault="003B15B1" w:rsidP="006779F5">
      <w:pPr>
        <w:spacing w:after="0"/>
        <w:rPr>
          <w:rFonts w:ascii="Verdana" w:hAnsi="Verdana"/>
        </w:rPr>
      </w:pPr>
      <w:r w:rsidRPr="003B15B1">
        <w:rPr>
          <w:noProof/>
        </w:rPr>
        <w:lastRenderedPageBreak/>
        <w:drawing>
          <wp:anchor distT="0" distB="0" distL="114300" distR="114300" simplePos="0" relativeHeight="251658240" behindDoc="0" locked="0" layoutInCell="1" allowOverlap="1" wp14:anchorId="441069AD" wp14:editId="090008D1">
            <wp:simplePos x="0" y="0"/>
            <wp:positionH relativeFrom="column">
              <wp:posOffset>3385185</wp:posOffset>
            </wp:positionH>
            <wp:positionV relativeFrom="paragraph">
              <wp:posOffset>6985</wp:posOffset>
            </wp:positionV>
            <wp:extent cx="2384425" cy="680720"/>
            <wp:effectExtent l="0" t="0" r="0" b="5080"/>
            <wp:wrapSquare wrapText="bothSides"/>
            <wp:docPr id="352912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4425" cy="680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79F5" w:rsidRPr="30821638">
        <w:rPr>
          <w:rFonts w:ascii="Verdana" w:eastAsia="Verdana" w:hAnsi="Verdana" w:cs="Verdana"/>
        </w:rPr>
        <w:t xml:space="preserve">Bogotá D.C., </w:t>
      </w:r>
      <w:r w:rsidR="00820EE3">
        <w:rPr>
          <w:rFonts w:ascii="Verdana" w:eastAsia="Verdana" w:hAnsi="Verdana" w:cs="Verdana"/>
        </w:rPr>
        <w:t>6</w:t>
      </w:r>
      <w:r w:rsidR="008002AC">
        <w:rPr>
          <w:rFonts w:ascii="Verdana" w:eastAsia="Verdana" w:hAnsi="Verdana" w:cs="Verdana"/>
        </w:rPr>
        <w:t xml:space="preserve"> de octubre de 2026</w:t>
      </w:r>
      <w:r w:rsidR="006779F5">
        <w:tab/>
      </w:r>
      <w:r w:rsidR="006779F5">
        <w:br/>
      </w:r>
    </w:p>
    <w:p w14:paraId="065357A0" w14:textId="7C57DA60" w:rsidR="006779F5" w:rsidRPr="002B4BE9" w:rsidRDefault="006779F5" w:rsidP="006779F5">
      <w:pPr>
        <w:spacing w:after="0" w:line="240" w:lineRule="auto"/>
        <w:rPr>
          <w:rFonts w:ascii="Verdana" w:hAnsi="Verdana"/>
        </w:rPr>
      </w:pPr>
    </w:p>
    <w:p w14:paraId="465547B4" w14:textId="77777777" w:rsidR="006779F5" w:rsidRDefault="006779F5" w:rsidP="006779F5">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r>
        <w:rPr>
          <w:rFonts w:ascii="Verdana" w:eastAsia="Calibri" w:hAnsi="Verdana" w:cs="Times New Roman"/>
          <w:lang w:val="es-MX"/>
        </w:rPr>
        <w:t>es</w:t>
      </w:r>
    </w:p>
    <w:p w14:paraId="50AC8F2B" w14:textId="77777777" w:rsidR="006779F5" w:rsidRPr="00086C94" w:rsidRDefault="006779F5" w:rsidP="006779F5">
      <w:pPr>
        <w:spacing w:after="0" w:line="240" w:lineRule="auto"/>
        <w:rPr>
          <w:rFonts w:ascii="Verdana" w:eastAsia="Calibri" w:hAnsi="Verdana" w:cs="Times New Roman"/>
          <w:b/>
          <w:bCs/>
          <w:lang w:val="es-MX"/>
        </w:rPr>
      </w:pPr>
      <w:r w:rsidRPr="00086C94">
        <w:rPr>
          <w:rFonts w:ascii="Verdana" w:eastAsia="Calibri" w:hAnsi="Verdana" w:cs="Times New Roman"/>
          <w:b/>
          <w:bCs/>
          <w:lang w:val="es-MX"/>
        </w:rPr>
        <w:t>INSTITUTO PARA EL DESARROLLO URBANO</w:t>
      </w:r>
      <w:r>
        <w:rPr>
          <w:rFonts w:ascii="Verdana" w:eastAsia="Calibri" w:hAnsi="Verdana" w:cs="Times New Roman"/>
          <w:b/>
          <w:bCs/>
          <w:lang w:val="es-MX"/>
        </w:rPr>
        <w:t xml:space="preserve"> -IDU-</w:t>
      </w:r>
    </w:p>
    <w:p w14:paraId="06FD491B" w14:textId="77777777" w:rsidR="006779F5" w:rsidRDefault="006779F5" w:rsidP="006779F5">
      <w:pPr>
        <w:spacing w:after="0" w:line="240" w:lineRule="auto"/>
        <w:rPr>
          <w:rFonts w:ascii="Verdana" w:eastAsia="Calibri" w:hAnsi="Verdana" w:cs="Times New Roman"/>
          <w:bCs/>
        </w:rPr>
      </w:pPr>
      <w:hyperlink r:id="rId12" w:history="1">
        <w:r w:rsidRPr="00C8172A">
          <w:rPr>
            <w:rStyle w:val="Hipervnculo"/>
            <w:rFonts w:ascii="Verdana" w:eastAsia="Calibri" w:hAnsi="Verdana" w:cs="Times New Roman"/>
            <w:bCs/>
          </w:rPr>
          <w:t>sistemagestiondocumental@idu.gov.co;</w:t>
        </w:r>
      </w:hyperlink>
    </w:p>
    <w:p w14:paraId="3DEA342D" w14:textId="77777777" w:rsidR="006779F5" w:rsidRDefault="006779F5" w:rsidP="006779F5">
      <w:pPr>
        <w:spacing w:after="0" w:line="240" w:lineRule="auto"/>
        <w:rPr>
          <w:rFonts w:ascii="Verdana" w:eastAsia="Calibri" w:hAnsi="Verdana" w:cs="Times New Roman"/>
          <w:bCs/>
        </w:rPr>
      </w:pPr>
      <w:hyperlink r:id="rId13" w:history="1">
        <w:r w:rsidRPr="00C8172A">
          <w:rPr>
            <w:rStyle w:val="Hipervnculo"/>
            <w:rFonts w:ascii="Verdana" w:eastAsia="Calibri" w:hAnsi="Verdana" w:cs="Times New Roman"/>
            <w:bCs/>
          </w:rPr>
          <w:t>correocertificadonotificaciones@4-72.com.co</w:t>
        </w:r>
      </w:hyperlink>
      <w:r>
        <w:rPr>
          <w:rFonts w:ascii="Verdana" w:eastAsia="Calibri" w:hAnsi="Verdana" w:cs="Times New Roman"/>
          <w:bCs/>
        </w:rPr>
        <w:t xml:space="preserve">  </w:t>
      </w:r>
    </w:p>
    <w:p w14:paraId="5CE071FF" w14:textId="77777777" w:rsidR="006779F5" w:rsidRPr="00B83AAC" w:rsidRDefault="006779F5" w:rsidP="006779F5">
      <w:pPr>
        <w:spacing w:after="0" w:line="240" w:lineRule="auto"/>
        <w:rPr>
          <w:rFonts w:ascii="Verdana" w:eastAsia="Calibri" w:hAnsi="Verdana" w:cs="Times New Roman"/>
          <w:lang w:val="es-MX"/>
        </w:rPr>
      </w:pPr>
      <w:r>
        <w:rPr>
          <w:rFonts w:ascii="Verdana" w:eastAsia="Calibri" w:hAnsi="Verdana" w:cs="Times New Roman"/>
          <w:bCs/>
        </w:rPr>
        <w:t>La ciudad</w:t>
      </w:r>
    </w:p>
    <w:p w14:paraId="298220B3" w14:textId="77777777" w:rsidR="006779F5" w:rsidRPr="002B4BE9" w:rsidRDefault="006779F5" w:rsidP="006779F5">
      <w:pPr>
        <w:spacing w:after="0" w:line="240" w:lineRule="auto"/>
        <w:rPr>
          <w:rFonts w:ascii="Verdana" w:eastAsia="Calibri" w:hAnsi="Verdana" w:cs="Times New Roman"/>
        </w:rPr>
      </w:pPr>
    </w:p>
    <w:p w14:paraId="002D3D6F" w14:textId="77777777" w:rsidR="006779F5" w:rsidRPr="002B4BE9" w:rsidRDefault="006779F5" w:rsidP="006779F5">
      <w:pPr>
        <w:spacing w:after="0" w:line="240" w:lineRule="auto"/>
        <w:rPr>
          <w:rFonts w:ascii="Verdana" w:eastAsia="Calibri" w:hAnsi="Verdana" w:cs="Times New Roman"/>
        </w:rPr>
      </w:pPr>
    </w:p>
    <w:p w14:paraId="629A8CF6" w14:textId="77777777" w:rsidR="006779F5" w:rsidRPr="002B4BE9" w:rsidRDefault="006779F5" w:rsidP="006779F5">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C–1351 de 2026</w:t>
      </w:r>
    </w:p>
    <w:p w14:paraId="5E1E97B4" w14:textId="77777777" w:rsidR="006779F5" w:rsidRPr="002B4BE9" w:rsidRDefault="006779F5" w:rsidP="006779F5">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779F5" w:rsidRPr="002B4BE9" w14:paraId="67645E4D" w14:textId="77777777" w:rsidTr="00145E65">
        <w:trPr>
          <w:trHeight w:val="645"/>
        </w:trPr>
        <w:tc>
          <w:tcPr>
            <w:tcW w:w="2685" w:type="dxa"/>
            <w:hideMark/>
          </w:tcPr>
          <w:p w14:paraId="56AEB08D" w14:textId="77777777" w:rsidR="006779F5" w:rsidRPr="002B4BE9" w:rsidRDefault="006779F5" w:rsidP="00145E65">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06B7FB1A" w14:textId="79270DD1" w:rsidR="006779F5" w:rsidRPr="00A0389A" w:rsidRDefault="006779F5" w:rsidP="00145E65">
            <w:pPr>
              <w:spacing w:line="276" w:lineRule="auto"/>
              <w:jc w:val="both"/>
              <w:rPr>
                <w:rFonts w:ascii="Verdana" w:hAnsi="Verdana" w:cs="Arial"/>
                <w:lang w:val="es-ES" w:eastAsia="es-ES"/>
              </w:rPr>
            </w:pPr>
            <w:r w:rsidRPr="00A0389A">
              <w:rPr>
                <w:rFonts w:ascii="Verdana" w:hAnsi="Verdana" w:cs="Arial"/>
                <w:bCs/>
                <w:color w:val="000000"/>
                <w:lang w:val="es-ES"/>
              </w:rPr>
              <w:t xml:space="preserve">PRECIOS UNITARIOS – APU – AIU / </w:t>
            </w:r>
            <w:r w:rsidRPr="00A0389A">
              <w:rPr>
                <w:rFonts w:ascii="Verdana" w:eastAsia="Geomanist Light" w:hAnsi="Verdana" w:cs="Arial"/>
                <w:bCs/>
                <w:lang w:eastAsia="es-MX"/>
              </w:rPr>
              <w:t xml:space="preserve">AIU – Costos indirectos – Discrecionalidad / AIU – APU – Determinación / AIU – Estudios del sector – </w:t>
            </w:r>
            <w:r>
              <w:rPr>
                <w:rFonts w:ascii="Verdana" w:eastAsia="Geomanist Light" w:hAnsi="Verdana" w:cs="Arial"/>
                <w:bCs/>
                <w:lang w:eastAsia="es-MX"/>
              </w:rPr>
              <w:t>T</w:t>
            </w:r>
            <w:r w:rsidRPr="00A0389A">
              <w:rPr>
                <w:rFonts w:ascii="Verdana" w:eastAsia="Geomanist Light" w:hAnsi="Verdana" w:cs="Arial"/>
                <w:bCs/>
                <w:lang w:eastAsia="es-MX"/>
              </w:rPr>
              <w:t>ipología contractual – Actividades</w:t>
            </w:r>
            <w:r>
              <w:rPr>
                <w:rFonts w:ascii="Verdana" w:eastAsia="Geomanist Light" w:hAnsi="Verdana" w:cs="Arial"/>
                <w:bCs/>
                <w:lang w:eastAsia="es-MX"/>
              </w:rPr>
              <w:t xml:space="preserve"> / COSTOS DIRECTOS – Definición – Alcance / COSTOS DIRECTOS – Deber de seguimiento – Supervisión – Interventoría</w:t>
            </w:r>
          </w:p>
          <w:p w14:paraId="5B28BACF" w14:textId="77777777" w:rsidR="006779F5" w:rsidRPr="002B4BE9" w:rsidRDefault="006779F5" w:rsidP="00145E65">
            <w:pPr>
              <w:snapToGrid w:val="0"/>
              <w:spacing w:line="276" w:lineRule="auto"/>
              <w:jc w:val="both"/>
              <w:rPr>
                <w:rFonts w:ascii="Verdana" w:hAnsi="Verdana" w:cs="Arial"/>
                <w:bCs/>
                <w:lang w:val="es-ES" w:eastAsia="es-ES"/>
              </w:rPr>
            </w:pPr>
          </w:p>
        </w:tc>
        <w:tc>
          <w:tcPr>
            <w:tcW w:w="6237" w:type="dxa"/>
          </w:tcPr>
          <w:p w14:paraId="4493710A" w14:textId="77777777" w:rsidR="006779F5" w:rsidRPr="002B4BE9" w:rsidRDefault="006779F5" w:rsidP="00145E65">
            <w:pPr>
              <w:rPr>
                <w:rFonts w:ascii="Verdana" w:hAnsi="Verdana"/>
                <w:lang w:val="es-ES"/>
              </w:rPr>
            </w:pPr>
          </w:p>
        </w:tc>
      </w:tr>
      <w:tr w:rsidR="006779F5" w:rsidRPr="002B4BE9" w14:paraId="74F233A6" w14:textId="77777777" w:rsidTr="00145E65">
        <w:tc>
          <w:tcPr>
            <w:tcW w:w="2685" w:type="dxa"/>
          </w:tcPr>
          <w:p w14:paraId="1082AFBB" w14:textId="77777777" w:rsidR="006779F5" w:rsidRPr="002B4BE9" w:rsidRDefault="006779F5" w:rsidP="00145E65">
            <w:pPr>
              <w:rPr>
                <w:rFonts w:ascii="Verdana" w:hAnsi="Verdana"/>
                <w:b/>
                <w:bCs/>
                <w:lang w:val="es-ES_tradnl"/>
              </w:rPr>
            </w:pPr>
          </w:p>
          <w:p w14:paraId="009C40CD" w14:textId="77777777" w:rsidR="006779F5" w:rsidRPr="00995618" w:rsidRDefault="006779F5" w:rsidP="00145E65">
            <w:pPr>
              <w:rPr>
                <w:rFonts w:ascii="Verdana" w:hAnsi="Verdana"/>
                <w:b/>
                <w:bCs/>
                <w:lang w:val="es-ES_tradnl"/>
              </w:rPr>
            </w:pPr>
            <w:r w:rsidRPr="002B4BE9">
              <w:rPr>
                <w:rFonts w:ascii="Verdana" w:hAnsi="Verdana"/>
                <w:b/>
                <w:bCs/>
                <w:lang w:val="es-ES_tradnl"/>
              </w:rPr>
              <w:t xml:space="preserve">Radicación:               </w:t>
            </w:r>
          </w:p>
        </w:tc>
        <w:tc>
          <w:tcPr>
            <w:tcW w:w="6241" w:type="dxa"/>
          </w:tcPr>
          <w:p w14:paraId="056E9DDE" w14:textId="77777777" w:rsidR="006779F5" w:rsidRPr="002B4BE9" w:rsidRDefault="006779F5" w:rsidP="00145E65">
            <w:pPr>
              <w:spacing w:line="276" w:lineRule="auto"/>
              <w:jc w:val="both"/>
              <w:rPr>
                <w:rFonts w:ascii="Verdana" w:hAnsi="Verdana"/>
                <w:lang w:val="es-ES_tradnl"/>
              </w:rPr>
            </w:pPr>
          </w:p>
          <w:p w14:paraId="7FAAF343" w14:textId="77777777" w:rsidR="006779F5" w:rsidRPr="002B4BE9" w:rsidRDefault="006779F5" w:rsidP="00145E65">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B83AAC">
              <w:rPr>
                <w:rFonts w:ascii="Verdana" w:hAnsi="Verdana"/>
              </w:rPr>
              <w:t>1_2026_08_28_011487 y 1_2026_08_28_01148</w:t>
            </w:r>
            <w:r>
              <w:rPr>
                <w:rFonts w:ascii="Verdana" w:hAnsi="Verdana"/>
              </w:rPr>
              <w:t>9 (acumulados)</w:t>
            </w:r>
          </w:p>
          <w:p w14:paraId="5C433DB8" w14:textId="77777777" w:rsidR="006779F5" w:rsidRPr="002B4BE9" w:rsidRDefault="006779F5" w:rsidP="00145E65">
            <w:pPr>
              <w:spacing w:line="276" w:lineRule="auto"/>
              <w:jc w:val="both"/>
              <w:rPr>
                <w:rFonts w:ascii="Verdana" w:hAnsi="Verdana"/>
              </w:rPr>
            </w:pPr>
          </w:p>
          <w:p w14:paraId="1AA3977C" w14:textId="77777777" w:rsidR="006779F5" w:rsidRPr="002B4BE9" w:rsidRDefault="006779F5" w:rsidP="00145E65">
            <w:pPr>
              <w:spacing w:line="276" w:lineRule="auto"/>
              <w:jc w:val="both"/>
              <w:rPr>
                <w:rFonts w:ascii="Verdana" w:hAnsi="Verdana"/>
              </w:rPr>
            </w:pPr>
          </w:p>
        </w:tc>
        <w:tc>
          <w:tcPr>
            <w:tcW w:w="6237" w:type="dxa"/>
          </w:tcPr>
          <w:p w14:paraId="10F72925" w14:textId="77777777" w:rsidR="006779F5" w:rsidRPr="002B4BE9" w:rsidRDefault="006779F5" w:rsidP="00145E65">
            <w:pPr>
              <w:rPr>
                <w:rFonts w:ascii="Verdana" w:hAnsi="Verdana"/>
              </w:rPr>
            </w:pPr>
          </w:p>
        </w:tc>
      </w:tr>
    </w:tbl>
    <w:p w14:paraId="0AB464E3" w14:textId="77777777" w:rsidR="006779F5" w:rsidRPr="009037F6" w:rsidRDefault="006779F5" w:rsidP="006779F5">
      <w:pPr>
        <w:spacing w:after="0" w:line="256" w:lineRule="auto"/>
        <w:rPr>
          <w:rFonts w:ascii="Verdana" w:eastAsia="Calibri" w:hAnsi="Verdana" w:cs="Times New Roman"/>
          <w:lang w:val="es-ES"/>
        </w:rPr>
      </w:pPr>
      <w:r>
        <w:rPr>
          <w:rFonts w:ascii="Verdana" w:eastAsia="Calibri" w:hAnsi="Verdana" w:cs="Times New Roman"/>
          <w:lang w:val="es-ES"/>
        </w:rPr>
        <w:t>Estimados Señores de la IDU</w:t>
      </w:r>
      <w:r w:rsidRPr="009037F6">
        <w:rPr>
          <w:rFonts w:ascii="Verdana" w:eastAsia="Calibri" w:hAnsi="Verdana" w:cs="Times New Roman"/>
          <w:lang w:val="es-ES"/>
        </w:rPr>
        <w:t xml:space="preserve">: </w:t>
      </w:r>
    </w:p>
    <w:p w14:paraId="458F1C6D" w14:textId="77777777" w:rsidR="006779F5" w:rsidRPr="009037F6" w:rsidRDefault="006779F5" w:rsidP="006779F5">
      <w:pPr>
        <w:spacing w:after="0" w:line="276" w:lineRule="auto"/>
        <w:rPr>
          <w:rFonts w:ascii="Verdana" w:eastAsia="Calibri" w:hAnsi="Verdana" w:cs="Times New Roman"/>
          <w:lang w:val="es-ES"/>
        </w:rPr>
      </w:pPr>
    </w:p>
    <w:p w14:paraId="1E4251C6" w14:textId="77777777" w:rsidR="006779F5" w:rsidRDefault="006779F5" w:rsidP="006779F5">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28 de agosto de 2026</w:t>
      </w:r>
      <w:r w:rsidRPr="009037F6">
        <w:rPr>
          <w:rFonts w:ascii="Verdana" w:eastAsia="Calibri" w:hAnsi="Verdana" w:cs="Times New Roman"/>
          <w:bCs/>
          <w:lang w:val="es-ES" w:bidi="es-ES"/>
        </w:rPr>
        <w:t xml:space="preserve">, en la cual manifiesta: </w:t>
      </w:r>
    </w:p>
    <w:p w14:paraId="7147DA0A" w14:textId="77777777" w:rsidR="006779F5" w:rsidRDefault="006779F5" w:rsidP="006779F5">
      <w:pPr>
        <w:spacing w:after="0" w:line="276" w:lineRule="auto"/>
        <w:jc w:val="both"/>
        <w:rPr>
          <w:rFonts w:ascii="Verdana" w:eastAsia="Calibri" w:hAnsi="Verdana" w:cs="Times New Roman"/>
          <w:bCs/>
          <w:lang w:val="es-ES" w:bidi="es-ES"/>
        </w:rPr>
      </w:pPr>
    </w:p>
    <w:p w14:paraId="6C84ABEA" w14:textId="77777777" w:rsidR="006779F5" w:rsidRDefault="006779F5" w:rsidP="006779F5">
      <w:p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lang w:val="es-ES" w:bidi="es-ES"/>
        </w:rPr>
        <w:t>“</w:t>
      </w:r>
      <w:r w:rsidRPr="00BB2BF0">
        <w:rPr>
          <w:rFonts w:ascii="Verdana" w:eastAsia="Calibri" w:hAnsi="Verdana" w:cs="Times New Roman"/>
          <w:bCs/>
          <w:sz w:val="20"/>
          <w:szCs w:val="20"/>
          <w:lang w:bidi="es-ES"/>
        </w:rPr>
        <w:t>En virtud de lo expuesto, de manera respetuosa se solicita a la Agencia</w:t>
      </w:r>
      <w:r w:rsidRPr="00BB2BF0">
        <w:rPr>
          <w:rFonts w:ascii="Verdana" w:eastAsia="Calibri" w:hAnsi="Verdana" w:cs="Times New Roman"/>
          <w:bCs/>
          <w:sz w:val="20"/>
          <w:szCs w:val="20"/>
          <w:lang w:val="es-ES" w:bidi="es-ES"/>
        </w:rPr>
        <w:t xml:space="preserve"> </w:t>
      </w:r>
      <w:r w:rsidRPr="00BB2BF0">
        <w:rPr>
          <w:rFonts w:ascii="Verdana" w:eastAsia="Calibri" w:hAnsi="Verdana" w:cs="Times New Roman"/>
          <w:bCs/>
          <w:sz w:val="20"/>
          <w:szCs w:val="20"/>
          <w:lang w:bidi="es-ES"/>
        </w:rPr>
        <w:t>Nacional de Contratación Pública – Colombia Compra Eficiente (CCE) emitir concepto frente a la viabilidad legal y procedimental de exigir a los contratistas</w:t>
      </w:r>
      <w:r w:rsidRPr="00BB2BF0">
        <w:rPr>
          <w:rFonts w:ascii="Verdana" w:eastAsia="Calibri" w:hAnsi="Verdana" w:cs="Times New Roman"/>
          <w:bCs/>
          <w:sz w:val="20"/>
          <w:szCs w:val="20"/>
          <w:lang w:val="es-ES" w:bidi="es-ES"/>
        </w:rPr>
        <w:t xml:space="preserve"> </w:t>
      </w:r>
      <w:r w:rsidRPr="00BB2BF0">
        <w:rPr>
          <w:rFonts w:ascii="Verdana" w:eastAsia="Calibri" w:hAnsi="Verdana" w:cs="Times New Roman"/>
          <w:bCs/>
          <w:sz w:val="20"/>
          <w:szCs w:val="20"/>
          <w:lang w:bidi="es-ES"/>
        </w:rPr>
        <w:t xml:space="preserve">de la Entidad que los valores cobrados por concepto de </w:t>
      </w:r>
      <w:proofErr w:type="gramStart"/>
      <w:r w:rsidRPr="00BB2BF0">
        <w:rPr>
          <w:rFonts w:ascii="Verdana" w:eastAsia="Calibri" w:hAnsi="Verdana" w:cs="Times New Roman"/>
          <w:bCs/>
          <w:sz w:val="20"/>
          <w:szCs w:val="20"/>
          <w:lang w:bidi="es-ES"/>
        </w:rPr>
        <w:t>costos,</w:t>
      </w:r>
      <w:proofErr w:type="gramEnd"/>
      <w:r w:rsidRPr="00BB2BF0">
        <w:rPr>
          <w:rFonts w:ascii="Verdana" w:eastAsia="Calibri" w:hAnsi="Verdana" w:cs="Times New Roman"/>
          <w:bCs/>
          <w:sz w:val="20"/>
          <w:szCs w:val="20"/>
          <w:lang w:bidi="es-ES"/>
        </w:rPr>
        <w:t xml:space="preserve"> sean</w:t>
      </w:r>
      <w:r w:rsidRPr="00BB2BF0">
        <w:rPr>
          <w:rFonts w:ascii="Verdana" w:eastAsia="Calibri" w:hAnsi="Verdana" w:cs="Times New Roman"/>
          <w:bCs/>
          <w:sz w:val="20"/>
          <w:szCs w:val="20"/>
          <w:lang w:val="es-ES" w:bidi="es-ES"/>
        </w:rPr>
        <w:t xml:space="preserve"> </w:t>
      </w:r>
      <w:r w:rsidRPr="00BB2BF0">
        <w:rPr>
          <w:rFonts w:ascii="Verdana" w:eastAsia="Calibri" w:hAnsi="Verdana" w:cs="Times New Roman"/>
          <w:bCs/>
          <w:sz w:val="20"/>
          <w:szCs w:val="20"/>
          <w:lang w:bidi="es-ES"/>
        </w:rPr>
        <w:t xml:space="preserve">coincidentes de manera estricta con el reporte de costos transmitidos </w:t>
      </w:r>
      <w:r w:rsidRPr="00BB2BF0">
        <w:rPr>
          <w:rFonts w:ascii="Verdana" w:eastAsia="Calibri" w:hAnsi="Verdana" w:cs="Times New Roman"/>
          <w:bCs/>
          <w:sz w:val="20"/>
          <w:szCs w:val="20"/>
          <w:lang w:bidi="es-ES"/>
        </w:rPr>
        <w:lastRenderedPageBreak/>
        <w:t>por éstos</w:t>
      </w:r>
      <w:r w:rsidRPr="00BB2BF0">
        <w:rPr>
          <w:rFonts w:ascii="Verdana" w:eastAsia="Calibri" w:hAnsi="Verdana" w:cs="Times New Roman"/>
          <w:bCs/>
          <w:sz w:val="20"/>
          <w:szCs w:val="20"/>
          <w:lang w:val="es-ES" w:bidi="es-ES"/>
        </w:rPr>
        <w:t xml:space="preserve"> </w:t>
      </w:r>
      <w:r w:rsidRPr="00BB2BF0">
        <w:rPr>
          <w:rFonts w:ascii="Verdana" w:eastAsia="Calibri" w:hAnsi="Verdana" w:cs="Times New Roman"/>
          <w:bCs/>
          <w:sz w:val="20"/>
          <w:szCs w:val="20"/>
          <w:lang w:bidi="es-ES"/>
        </w:rPr>
        <w:t>a la DIAN, precisando el alcance de las facultades de supervisión del IDU en</w:t>
      </w:r>
      <w:r w:rsidRPr="00BB2BF0">
        <w:rPr>
          <w:rFonts w:ascii="Verdana" w:eastAsia="Calibri" w:hAnsi="Verdana" w:cs="Times New Roman"/>
          <w:bCs/>
          <w:sz w:val="20"/>
          <w:szCs w:val="20"/>
          <w:lang w:val="es-ES" w:bidi="es-ES"/>
        </w:rPr>
        <w:t xml:space="preserve"> </w:t>
      </w:r>
      <w:r w:rsidRPr="00BB2BF0">
        <w:rPr>
          <w:rFonts w:ascii="Verdana" w:eastAsia="Calibri" w:hAnsi="Verdana" w:cs="Times New Roman"/>
          <w:bCs/>
          <w:sz w:val="20"/>
          <w:szCs w:val="20"/>
          <w:lang w:bidi="es-ES"/>
        </w:rPr>
        <w:t>este caso”.</w:t>
      </w:r>
    </w:p>
    <w:p w14:paraId="38C41AA2" w14:textId="77777777" w:rsidR="006779F5" w:rsidRPr="00BB2BF0" w:rsidRDefault="006779F5" w:rsidP="006779F5">
      <w:pPr>
        <w:spacing w:after="0" w:line="240" w:lineRule="auto"/>
        <w:ind w:left="709" w:right="709"/>
        <w:jc w:val="both"/>
        <w:rPr>
          <w:rFonts w:ascii="Verdana" w:eastAsia="Calibri" w:hAnsi="Verdana" w:cs="Times New Roman"/>
          <w:bCs/>
          <w:sz w:val="20"/>
          <w:szCs w:val="20"/>
          <w:lang w:val="es-ES" w:bidi="es-ES"/>
        </w:rPr>
      </w:pPr>
    </w:p>
    <w:p w14:paraId="563E7E9C" w14:textId="77777777" w:rsidR="006779F5" w:rsidRPr="009037F6" w:rsidRDefault="006779F5" w:rsidP="006779F5">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68C04A2" w14:textId="77777777" w:rsidR="006779F5" w:rsidRPr="009037F6" w:rsidRDefault="006779F5" w:rsidP="006779F5">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349A8C26" w14:textId="77777777" w:rsidR="006779F5" w:rsidRPr="009037F6" w:rsidRDefault="006779F5" w:rsidP="006779F5">
      <w:pPr>
        <w:spacing w:after="0" w:line="276" w:lineRule="auto"/>
        <w:rPr>
          <w:rFonts w:ascii="Verdana" w:eastAsia="Calibri" w:hAnsi="Verdana" w:cs="Times New Roman"/>
          <w:lang w:val="es-ES"/>
        </w:rPr>
      </w:pPr>
    </w:p>
    <w:p w14:paraId="27FF6AB8" w14:textId="77777777" w:rsidR="006779F5" w:rsidRPr="009037F6" w:rsidRDefault="006779F5" w:rsidP="006779F5">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0CADD150" w14:textId="77777777" w:rsidR="006779F5" w:rsidRPr="009037F6" w:rsidRDefault="006779F5" w:rsidP="006779F5">
      <w:pPr>
        <w:spacing w:after="0" w:line="276" w:lineRule="auto"/>
        <w:rPr>
          <w:rFonts w:ascii="Verdana" w:eastAsia="Calibri" w:hAnsi="Verdana" w:cs="Times New Roman"/>
        </w:rPr>
      </w:pPr>
    </w:p>
    <w:p w14:paraId="0343B3F2" w14:textId="77777777" w:rsidR="006779F5" w:rsidRPr="00D1210B" w:rsidRDefault="006779F5" w:rsidP="006779F5">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el siguiente problema jurídico:</w:t>
      </w:r>
      <w:r w:rsidRPr="007B4511">
        <w:t xml:space="preserve"> </w:t>
      </w:r>
      <w:r w:rsidRPr="007B4511">
        <w:rPr>
          <w:rFonts w:ascii="Verdana" w:eastAsia="Calibri" w:hAnsi="Verdana" w:cs="Times New Roman"/>
        </w:rPr>
        <w:t xml:space="preserve">¿Es procedente que </w:t>
      </w:r>
      <w:r>
        <w:rPr>
          <w:rFonts w:ascii="Verdana" w:eastAsia="Calibri" w:hAnsi="Verdana" w:cs="Times New Roman"/>
        </w:rPr>
        <w:t xml:space="preserve">la entidad </w:t>
      </w:r>
      <w:r w:rsidRPr="007B4511">
        <w:rPr>
          <w:rFonts w:ascii="Verdana" w:eastAsia="Calibri" w:hAnsi="Verdana" w:cs="Times New Roman"/>
        </w:rPr>
        <w:t>exija a sus contratistas que los valores cobrados por concepto de costos</w:t>
      </w:r>
      <w:r>
        <w:rPr>
          <w:rFonts w:ascii="Verdana" w:eastAsia="Calibri" w:hAnsi="Verdana" w:cs="Times New Roman"/>
        </w:rPr>
        <w:t xml:space="preserve"> directos en un contrato de obra</w:t>
      </w:r>
      <w:r w:rsidRPr="007B4511">
        <w:rPr>
          <w:rFonts w:ascii="Verdana" w:eastAsia="Calibri" w:hAnsi="Verdana" w:cs="Times New Roman"/>
        </w:rPr>
        <w:t xml:space="preserve"> coincidan estrictamente con los reportes transmitidos por éstos a la DIAN, y </w:t>
      </w:r>
      <w:r>
        <w:rPr>
          <w:rFonts w:ascii="Verdana" w:eastAsia="Calibri" w:hAnsi="Verdana" w:cs="Times New Roman"/>
        </w:rPr>
        <w:t xml:space="preserve">en este sentido cuál es </w:t>
      </w:r>
      <w:r w:rsidRPr="007B4511">
        <w:rPr>
          <w:rFonts w:ascii="Verdana" w:eastAsia="Calibri" w:hAnsi="Verdana" w:cs="Times New Roman"/>
        </w:rPr>
        <w:t>el alcance de las facultades de supervisión de la Entidad en este escenario?</w:t>
      </w:r>
      <w:r>
        <w:rPr>
          <w:rFonts w:ascii="Verdana" w:eastAsia="Calibri" w:hAnsi="Verdana" w:cs="Times New Roman"/>
        </w:rPr>
        <w:t xml:space="preserve"> </w:t>
      </w:r>
    </w:p>
    <w:p w14:paraId="575B0223" w14:textId="77777777" w:rsidR="006779F5" w:rsidRPr="009037F6" w:rsidRDefault="006779F5" w:rsidP="006779F5">
      <w:pPr>
        <w:spacing w:after="0" w:line="276" w:lineRule="auto"/>
        <w:jc w:val="both"/>
        <w:rPr>
          <w:rFonts w:ascii="Verdana" w:eastAsia="Calibri" w:hAnsi="Verdana" w:cs="Times New Roman"/>
          <w:i/>
          <w:iCs/>
          <w:lang w:val="es-ES"/>
        </w:rPr>
      </w:pPr>
    </w:p>
    <w:p w14:paraId="596DCD89" w14:textId="77777777" w:rsidR="006779F5" w:rsidRPr="009037F6" w:rsidRDefault="006779F5" w:rsidP="006779F5">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6472E2EC" w14:textId="77777777" w:rsidR="006779F5" w:rsidRPr="009037F6" w:rsidRDefault="006779F5" w:rsidP="006779F5">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779F5" w:rsidRPr="009037F6" w14:paraId="5033D4A1" w14:textId="77777777" w:rsidTr="00145E65">
        <w:trPr>
          <w:trHeight w:val="345"/>
          <w:jc w:val="center"/>
        </w:trPr>
        <w:tc>
          <w:tcPr>
            <w:tcW w:w="8784" w:type="dxa"/>
            <w:tcBorders>
              <w:bottom w:val="single" w:sz="4" w:space="0" w:color="auto"/>
            </w:tcBorders>
          </w:tcPr>
          <w:p w14:paraId="267875FE" w14:textId="77777777" w:rsidR="006779F5" w:rsidRDefault="006779F5" w:rsidP="00145E65">
            <w:pPr>
              <w:spacing w:after="120" w:line="276" w:lineRule="auto"/>
              <w:jc w:val="both"/>
              <w:rPr>
                <w:rFonts w:ascii="Verdana" w:eastAsia="Arial MT" w:hAnsi="Verdana" w:cs="Arial"/>
                <w:bCs/>
                <w:color w:val="000000"/>
              </w:rPr>
            </w:pPr>
            <w:r w:rsidRPr="00E81556">
              <w:rPr>
                <w:rFonts w:ascii="Verdana" w:eastAsia="Arial MT" w:hAnsi="Verdana" w:cs="Arial"/>
                <w:bCs/>
                <w:color w:val="000000"/>
              </w:rPr>
              <w:t xml:space="preserve">La respuesta depende del sistema con el que se haya estructurado el precio del contrato de obra. Cuando el valor se pactó bajo el sistema de precios </w:t>
            </w:r>
            <w:r w:rsidRPr="00E81556">
              <w:rPr>
                <w:rFonts w:ascii="Verdana" w:eastAsia="Arial MT" w:hAnsi="Verdana" w:cs="Arial"/>
                <w:bCs/>
                <w:color w:val="000000"/>
              </w:rPr>
              <w:lastRenderedPageBreak/>
              <w:t>unitarios —con o sin discriminación del AIU—, no es procedente que la entidad exija, como condición para el pago, que los valores cobrados por concepto de costos directos coincidan de manera estricta con los reportes que el contratista transmite a la DIAN, pues en esa modalidad la remuneración corresponde al producto de las cantidades de obra ejecutadas por el precio unitario pactado, con independencia de los costos en que realmente incurra el contratista. Distinto es el caso en que el valor se estructuró sobre el reembolso de costos o la administración delegada de recursos, en el que los costos reales sí constituyen la base del pago y, por tanto, su verificación documental resulta admisible y necesaria. En todo caso, el alcance de la supervisión se circunscribe a la correcta ejecución del contrato y a la protección del patrimonio público, sin que pueda sustituir la competencia de fiscalización tributaria privativa de la DIAN.</w:t>
            </w:r>
          </w:p>
          <w:p w14:paraId="76534738" w14:textId="77777777" w:rsidR="006779F5" w:rsidRPr="005E0D92" w:rsidRDefault="006779F5" w:rsidP="00145E65">
            <w:pPr>
              <w:spacing w:after="120" w:line="276" w:lineRule="auto"/>
              <w:ind w:firstLine="709"/>
              <w:jc w:val="both"/>
              <w:rPr>
                <w:rFonts w:ascii="Verdana" w:eastAsia="Arial MT" w:hAnsi="Verdana" w:cs="Arial"/>
                <w:bCs/>
                <w:color w:val="000000"/>
              </w:rPr>
            </w:pPr>
            <w:r w:rsidRPr="005E0D92">
              <w:rPr>
                <w:rFonts w:ascii="Verdana" w:eastAsia="Arial MT" w:hAnsi="Verdana" w:cs="Arial"/>
                <w:bCs/>
                <w:color w:val="000000"/>
              </w:rPr>
              <w:t>En relación con el problema jurídico planteado, debe señalarse que para garantizar que los costos directos reflejen la realidad de la ejecución contractual resulta necesario un seguimiento riguroso por parte de la supervisión o la interventoría. La exigencia de que los valores cobrados por concepto de costos directos coincidan estrictamente con los reportes transmitidos a la DIAN plantea un asunto relativo al alcance de las facultades de supervisión de la entidad contratante. En principio, la entidad estatal está obligada a verificar la correcta ejecución del contrato y la razonabilidad de los costos, conforme al artículo 26, numeral 1, de la Ley 80 de 1993, que consagra el principio de responsabilidad y dispone que los servidores públicos deben velar por el cumplimiento de los fines de la contratación, la vigilancia de la ejecución del objeto contratado y la protección de los derechos de la entidad, del contratista y de los terceros afectados.</w:t>
            </w:r>
          </w:p>
          <w:p w14:paraId="73E02727" w14:textId="77777777" w:rsidR="006779F5" w:rsidRPr="005E0D92" w:rsidRDefault="006779F5" w:rsidP="00145E65">
            <w:pPr>
              <w:spacing w:after="120" w:line="276" w:lineRule="auto"/>
              <w:ind w:firstLine="709"/>
              <w:jc w:val="both"/>
              <w:rPr>
                <w:rFonts w:ascii="Verdana" w:eastAsia="Arial MT" w:hAnsi="Verdana" w:cs="Arial"/>
                <w:bCs/>
                <w:color w:val="000000"/>
              </w:rPr>
            </w:pPr>
            <w:r w:rsidRPr="005E0D92">
              <w:rPr>
                <w:rFonts w:ascii="Verdana" w:eastAsia="Arial MT" w:hAnsi="Verdana" w:cs="Arial"/>
                <w:bCs/>
                <w:color w:val="000000"/>
              </w:rPr>
              <w:t>En el marco del seguimiento contractual, la supervisión tiene a su cargo el control técnico, administrativo, financiero, contable y jurídico del contrato, mientras que la interventoría se centra en el seguimiento técnico de la ejecución. No obstante, el artículo 83 de la Ley 1474 de 2011 permite que en los contratos de interventoría se pacten obligaciones adicionales de carácter administrativo, financiero, contable o jurídico, ampliando así el alcance de sus funciones.</w:t>
            </w:r>
          </w:p>
          <w:p w14:paraId="794AEE16" w14:textId="77777777" w:rsidR="006779F5" w:rsidRPr="005E0D92" w:rsidRDefault="006779F5" w:rsidP="00145E65">
            <w:pPr>
              <w:spacing w:after="120" w:line="276" w:lineRule="auto"/>
              <w:ind w:firstLine="709"/>
              <w:jc w:val="both"/>
              <w:rPr>
                <w:rFonts w:ascii="Verdana" w:eastAsia="Arial MT" w:hAnsi="Verdana" w:cs="Arial"/>
                <w:bCs/>
                <w:color w:val="000000"/>
              </w:rPr>
            </w:pPr>
            <w:r w:rsidRPr="005E0D92">
              <w:rPr>
                <w:rFonts w:ascii="Verdana" w:eastAsia="Arial MT" w:hAnsi="Verdana" w:cs="Arial"/>
                <w:bCs/>
                <w:color w:val="000000"/>
              </w:rPr>
              <w:lastRenderedPageBreak/>
              <w:t>Ahora bien, dicha facultad de seguimiento</w:t>
            </w:r>
            <w:r>
              <w:rPr>
                <w:rFonts w:ascii="Verdana" w:eastAsia="Arial MT" w:hAnsi="Verdana" w:cs="Arial"/>
                <w:bCs/>
                <w:color w:val="000000"/>
              </w:rPr>
              <w:t xml:space="preserve"> y control</w:t>
            </w:r>
            <w:r w:rsidRPr="005E0D92">
              <w:rPr>
                <w:rFonts w:ascii="Verdana" w:eastAsia="Arial MT" w:hAnsi="Verdana" w:cs="Arial"/>
                <w:bCs/>
                <w:color w:val="000000"/>
              </w:rPr>
              <w:t xml:space="preserve"> debe ejercerse dentro del marco contractual y funcional, sin confundirse con las competencias de fiscalización tributaria que corresponden exclusivamente a la Dirección de Impuestos y Aduanas Nacionales – DIAN. La supervisión contractual tiene como propósito garantizar la transparencia y la protección del patrimonio público, sin sustituir las funciones de otras autoridades, en especial, las tributarias. En este sentido, exigir que los costos coincidan con los reportes transmitidos a la DIAN puede considerarse </w:t>
            </w:r>
            <w:r w:rsidRPr="00D94F0F">
              <w:rPr>
                <w:rFonts w:ascii="Verdana" w:eastAsia="Arial MT" w:hAnsi="Verdana" w:cs="Arial"/>
                <w:bCs/>
                <w:color w:val="000000"/>
              </w:rPr>
              <w:t>un mecanismo de verificación</w:t>
            </w:r>
            <w:r w:rsidRPr="005E0D92">
              <w:rPr>
                <w:rFonts w:ascii="Verdana" w:eastAsia="Arial MT" w:hAnsi="Verdana" w:cs="Arial"/>
                <w:bCs/>
                <w:color w:val="000000"/>
              </w:rPr>
              <w:t xml:space="preserve"> y </w:t>
            </w:r>
            <w:r w:rsidRPr="00D94F0F">
              <w:rPr>
                <w:rFonts w:ascii="Verdana" w:eastAsia="Arial MT" w:hAnsi="Verdana" w:cs="Arial"/>
                <w:bCs/>
                <w:color w:val="000000"/>
              </w:rPr>
              <w:t>de alerta</w:t>
            </w:r>
            <w:r w:rsidRPr="005E0D92">
              <w:rPr>
                <w:rFonts w:ascii="Verdana" w:eastAsia="Arial MT" w:hAnsi="Verdana" w:cs="Arial"/>
                <w:bCs/>
                <w:color w:val="000000"/>
              </w:rPr>
              <w:t xml:space="preserve"> frente a riesgos de sobrecostos o evasión, siempre que se entienda como un </w:t>
            </w:r>
            <w:r w:rsidRPr="00D94F0F">
              <w:rPr>
                <w:rFonts w:ascii="Verdana" w:eastAsia="Arial MT" w:hAnsi="Verdana" w:cs="Arial"/>
                <w:bCs/>
                <w:color w:val="000000"/>
              </w:rPr>
              <w:t xml:space="preserve">instrumento de </w:t>
            </w:r>
            <w:r w:rsidRPr="005E0D92">
              <w:rPr>
                <w:rFonts w:ascii="Verdana" w:eastAsia="Arial MT" w:hAnsi="Verdana" w:cs="Arial"/>
                <w:bCs/>
                <w:color w:val="000000"/>
              </w:rPr>
              <w:t xml:space="preserve">control contractual </w:t>
            </w:r>
            <w:r w:rsidRPr="00D94F0F">
              <w:rPr>
                <w:rFonts w:ascii="Verdana" w:eastAsia="Arial MT" w:hAnsi="Verdana" w:cs="Arial"/>
                <w:bCs/>
                <w:color w:val="000000"/>
              </w:rPr>
              <w:t>—</w:t>
            </w:r>
            <w:r w:rsidRPr="005E0D92">
              <w:rPr>
                <w:rFonts w:ascii="Verdana" w:eastAsia="Arial MT" w:hAnsi="Verdana" w:cs="Arial"/>
                <w:bCs/>
                <w:color w:val="000000"/>
              </w:rPr>
              <w:t>y no como una función de fiscalización tributaria</w:t>
            </w:r>
            <w:r w:rsidRPr="00D94F0F">
              <w:rPr>
                <w:rFonts w:ascii="Verdana" w:eastAsia="Arial MT" w:hAnsi="Verdana" w:cs="Arial"/>
                <w:bCs/>
                <w:color w:val="000000"/>
              </w:rPr>
              <w:t>— y sin que se convierta en una condición del pago cuando el precio se pactó por el sistema de precios unitarios</w:t>
            </w:r>
            <w:r w:rsidRPr="005E0D92">
              <w:rPr>
                <w:rFonts w:ascii="Verdana" w:eastAsia="Arial MT" w:hAnsi="Verdana" w:cs="Arial"/>
                <w:bCs/>
                <w:color w:val="000000"/>
              </w:rPr>
              <w:t>.</w:t>
            </w:r>
          </w:p>
          <w:p w14:paraId="4A9CC9FD" w14:textId="77777777" w:rsidR="006779F5" w:rsidRDefault="006779F5" w:rsidP="00145E65">
            <w:pPr>
              <w:spacing w:after="120" w:line="276" w:lineRule="auto"/>
              <w:ind w:firstLine="709"/>
              <w:jc w:val="both"/>
              <w:rPr>
                <w:rFonts w:ascii="Verdana" w:hAnsi="Verdana" w:cs="Arial"/>
                <w:lang w:val="es-ES_tradnl" w:eastAsia="es-ES"/>
              </w:rPr>
            </w:pPr>
            <w:r w:rsidRPr="005E0D92">
              <w:rPr>
                <w:rFonts w:ascii="Verdana" w:eastAsia="Arial MT" w:hAnsi="Verdana" w:cs="Arial"/>
                <w:bCs/>
                <w:color w:val="000000"/>
              </w:rPr>
              <w:t xml:space="preserve">Así las cosas, el alcance de la supervisión de la entidad se restringe a garantizar la correcta ejecución financiera del contrato y el uso adecuado de los recursos públicos. </w:t>
            </w:r>
            <w:r w:rsidRPr="008F261B">
              <w:rPr>
                <w:rFonts w:ascii="Verdana" w:eastAsia="Arial MT" w:hAnsi="Verdana" w:cs="Arial"/>
                <w:bCs/>
                <w:color w:val="000000"/>
              </w:rPr>
              <w:t>De este modo, cuando el precio se pactó por precios unitarios, el cotejo entre los costos directos cobrados y los reportados a la DIAN opera, a lo sumo, como un instrumento de verificación y de alerta frente a eventuales sobrecostos, simulaciones o riesgos de evasión —cuyos hallazgos deben ponerse en conocimiento de las autoridades competentes—, pero no habilita a la entidad para condicionar el pago a dicha coincidencia ni para rehacer el precio convenido, que es ley para las partes. La exigencia de una coincidencia estricta solo sería procedente si el pago se estructuró sobre el reembolso de los costos efectivamente causados o si así se estipuló de manera expresa desde la etapa de planeación.</w:t>
            </w:r>
          </w:p>
          <w:p w14:paraId="7BFDBC75" w14:textId="77777777" w:rsidR="006779F5" w:rsidRPr="00756D0C" w:rsidRDefault="006779F5" w:rsidP="00145E65">
            <w:pPr>
              <w:spacing w:line="276" w:lineRule="auto"/>
              <w:ind w:firstLine="709"/>
              <w:jc w:val="both"/>
              <w:rPr>
                <w:rFonts w:ascii="Verdana" w:hAnsi="Verdana" w:cs="Arial"/>
                <w:bCs/>
                <w:color w:val="000000" w:themeColor="text1"/>
              </w:rPr>
            </w:pPr>
            <w:r w:rsidRPr="00494FAA">
              <w:rPr>
                <w:rFonts w:ascii="Verdana"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F7115B4" w14:textId="77777777" w:rsidR="006779F5" w:rsidRPr="00B57A1B" w:rsidRDefault="006779F5" w:rsidP="006779F5">
      <w:pPr>
        <w:spacing w:after="0" w:line="276" w:lineRule="auto"/>
        <w:jc w:val="both"/>
        <w:rPr>
          <w:rFonts w:ascii="Verdana" w:eastAsia="Calibri" w:hAnsi="Verdana" w:cs="Arial"/>
          <w:bCs/>
          <w:color w:val="000000" w:themeColor="text1"/>
        </w:rPr>
      </w:pPr>
      <w:bookmarkStart w:id="1" w:name="_Hlk78820161"/>
      <w:bookmarkStart w:id="2" w:name="_Hlk37703813"/>
    </w:p>
    <w:p w14:paraId="605A85D6" w14:textId="77777777" w:rsidR="006779F5" w:rsidRPr="00B57A1B" w:rsidRDefault="006779F5" w:rsidP="006779F5">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0BCD4EDE" w14:textId="77777777" w:rsidR="006779F5" w:rsidRPr="003C0ED7" w:rsidRDefault="006779F5" w:rsidP="006779F5">
      <w:pPr>
        <w:spacing w:after="0" w:line="276" w:lineRule="auto"/>
        <w:jc w:val="both"/>
        <w:rPr>
          <w:rFonts w:ascii="Verdana" w:eastAsia="Calibri" w:hAnsi="Verdana" w:cs="Arial"/>
          <w:lang w:val="es-ES"/>
        </w:rPr>
      </w:pPr>
    </w:p>
    <w:p w14:paraId="5E57523E" w14:textId="77777777" w:rsidR="006779F5" w:rsidRPr="00A0389A" w:rsidRDefault="006779F5" w:rsidP="006779F5">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56FB0C2F" w14:textId="77777777" w:rsidR="006779F5" w:rsidRPr="00A0389A" w:rsidRDefault="006779F5" w:rsidP="006779F5">
      <w:pPr>
        <w:spacing w:after="0" w:line="276" w:lineRule="auto"/>
        <w:jc w:val="both"/>
        <w:rPr>
          <w:rFonts w:ascii="Verdana" w:eastAsia="Calibri" w:hAnsi="Verdana" w:cs="Arial"/>
          <w:color w:val="000000" w:themeColor="text1"/>
        </w:rPr>
      </w:pPr>
    </w:p>
    <w:p w14:paraId="780F43FB" w14:textId="77777777" w:rsidR="006779F5" w:rsidRPr="00A0389A" w:rsidRDefault="006779F5" w:rsidP="006779F5">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w:t>
      </w:r>
      <w:r w:rsidRPr="00A0389A">
        <w:rPr>
          <w:rFonts w:ascii="Verdana"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7CAFFD60" w14:textId="77777777" w:rsidR="006779F5" w:rsidRPr="00A0389A" w:rsidRDefault="006779F5" w:rsidP="006779F5">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A0389A">
        <w:rPr>
          <w:rFonts w:ascii="Verdana" w:hAnsi="Verdana" w:cs="Arial"/>
          <w:vertAlign w:val="superscript"/>
          <w:lang w:val="es-ES" w:eastAsia="es-ES"/>
        </w:rPr>
        <w:footnoteReference w:id="1"/>
      </w:r>
      <w:r w:rsidRPr="00A0389A">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w:t>
      </w:r>
      <w:r w:rsidRPr="00A0389A">
        <w:rPr>
          <w:rFonts w:ascii="Verdana" w:hAnsi="Verdana" w:cs="Arial"/>
          <w:lang w:val="es-ES" w:eastAsia="es-ES"/>
        </w:rPr>
        <w:lastRenderedPageBreak/>
        <w:t xml:space="preserve">de tales esquemas de establecimiento del precio pueden citarse, entre otros: i) los precios unitarios –calculados de acuerdo con las unidades que componen el objeto del contrato–, </w:t>
      </w:r>
      <w:proofErr w:type="spellStart"/>
      <w:r w:rsidRPr="00A0389A">
        <w:rPr>
          <w:rFonts w:ascii="Verdana" w:hAnsi="Verdana" w:cs="Arial"/>
          <w:lang w:val="es-ES" w:eastAsia="es-ES"/>
        </w:rPr>
        <w:t>ii</w:t>
      </w:r>
      <w:proofErr w:type="spellEnd"/>
      <w:r w:rsidRPr="00A0389A">
        <w:rPr>
          <w:rFonts w:ascii="Verdana" w:hAnsi="Verdana" w:cs="Arial"/>
          <w:lang w:val="es-ES" w:eastAsia="es-ES"/>
        </w:rPr>
        <w:t xml:space="preserve">) el precio global –que equivale al monto total, sin discriminar unidades–, y </w:t>
      </w:r>
      <w:proofErr w:type="spellStart"/>
      <w:r w:rsidRPr="00A0389A">
        <w:rPr>
          <w:rFonts w:ascii="Verdana" w:hAnsi="Verdana" w:cs="Arial"/>
          <w:lang w:val="es-ES" w:eastAsia="es-ES"/>
        </w:rPr>
        <w:t>iii</w:t>
      </w:r>
      <w:proofErr w:type="spellEnd"/>
      <w:r w:rsidRPr="00A0389A">
        <w:rPr>
          <w:rFonts w:ascii="Verdana" w:hAnsi="Verdana" w:cs="Arial"/>
          <w:lang w:val="es-ES" w:eastAsia="es-ES"/>
        </w:rPr>
        <w:t>) la administración delegada de recursos –en la que se distinguen los costos de inversión de los honorarios del administrador–.</w:t>
      </w:r>
    </w:p>
    <w:p w14:paraId="06983C32" w14:textId="77777777" w:rsidR="006779F5" w:rsidRPr="00A0389A" w:rsidRDefault="006779F5" w:rsidP="006779F5">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A0389A">
        <w:rPr>
          <w:rFonts w:ascii="Verdana" w:hAnsi="Verdana" w:cs="Arial"/>
          <w:i/>
          <w:iCs/>
          <w:lang w:val="es-ES" w:eastAsia="es-ES"/>
        </w:rPr>
        <w:t>costos directos</w:t>
      </w:r>
      <w:r w:rsidRPr="00A0389A">
        <w:rPr>
          <w:rFonts w:ascii="Verdana" w:hAnsi="Verdana" w:cs="Arial"/>
          <w:lang w:val="es-ES" w:eastAsia="es-ES"/>
        </w:rPr>
        <w:t xml:space="preserve"> –es decir, los que están directamente implicados en la ejecución del objeto–, de los </w:t>
      </w:r>
      <w:r w:rsidRPr="00A0389A">
        <w:rPr>
          <w:rFonts w:ascii="Verdana" w:hAnsi="Verdana" w:cs="Arial"/>
          <w:i/>
          <w:iCs/>
          <w:lang w:val="es-ES" w:eastAsia="es-ES"/>
        </w:rPr>
        <w:t>costos indirectos</w:t>
      </w:r>
      <w:r w:rsidRPr="00A0389A">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A0389A">
        <w:rPr>
          <w:rFonts w:ascii="Verdana" w:hAnsi="Verdana" w:cs="Arial"/>
          <w:i/>
          <w:iCs/>
          <w:lang w:val="es-ES" w:eastAsia="es-ES"/>
        </w:rPr>
        <w:t>costos directos</w:t>
      </w:r>
      <w:r w:rsidRPr="00A0389A">
        <w:rPr>
          <w:rFonts w:ascii="Verdana" w:hAnsi="Verdana" w:cs="Arial"/>
          <w:lang w:val="es-ES" w:eastAsia="es-ES"/>
        </w:rPr>
        <w:t xml:space="preserve"> se evidencian en el análisis de precios unitarios –APU–, como la sumatoria de los valores de los </w:t>
      </w:r>
      <w:r w:rsidRPr="00A0389A">
        <w:rPr>
          <w:rFonts w:ascii="Verdana" w:hAnsi="Verdana" w:cs="Arial"/>
          <w:i/>
          <w:iCs/>
          <w:lang w:val="es-ES" w:eastAsia="es-ES"/>
        </w:rPr>
        <w:t>ítems</w:t>
      </w:r>
      <w:r w:rsidRPr="00A0389A">
        <w:rPr>
          <w:rFonts w:ascii="Verdana" w:hAnsi="Verdana" w:cs="Arial"/>
          <w:lang w:val="es-ES" w:eastAsia="es-ES"/>
        </w:rPr>
        <w:t xml:space="preserve"> según su unidad de medida, los </w:t>
      </w:r>
      <w:r w:rsidRPr="00A0389A">
        <w:rPr>
          <w:rFonts w:ascii="Verdana" w:hAnsi="Verdana" w:cs="Arial"/>
          <w:i/>
          <w:iCs/>
          <w:lang w:val="es-ES" w:eastAsia="es-ES"/>
        </w:rPr>
        <w:t>costos indirectos</w:t>
      </w:r>
      <w:r w:rsidRPr="00A0389A">
        <w:rPr>
          <w:rFonts w:ascii="Verdana" w:hAnsi="Verdana" w:cs="Arial"/>
          <w:lang w:val="es-ES" w:eastAsia="es-ES"/>
        </w:rPr>
        <w:t xml:space="preserve"> se suelen abreviar en las variables que integran el acrónimo AIU –Administración, Imprevistos y Utilidad–. </w:t>
      </w:r>
    </w:p>
    <w:p w14:paraId="194A086F" w14:textId="77777777" w:rsidR="006779F5" w:rsidRPr="00A0389A" w:rsidRDefault="006779F5" w:rsidP="006779F5">
      <w:pPr>
        <w:spacing w:before="120" w:after="0" w:line="276" w:lineRule="auto"/>
        <w:ind w:firstLine="709"/>
        <w:jc w:val="both"/>
        <w:rPr>
          <w:rFonts w:ascii="Verdana" w:hAnsi="Verdana" w:cs="Arial"/>
          <w:bCs/>
          <w:szCs w:val="24"/>
          <w:lang w:eastAsia="es-ES_tradnl"/>
        </w:rPr>
      </w:pPr>
      <w:r w:rsidRPr="00A0389A">
        <w:rPr>
          <w:rFonts w:ascii="Verdana" w:hAnsi="Verdana" w:cs="Arial"/>
          <w:bCs/>
          <w:szCs w:val="24"/>
          <w:lang w:val="es-ES" w:eastAsia="es-ES_tradnl"/>
        </w:rPr>
        <w:t>L</w:t>
      </w:r>
      <w:r w:rsidRPr="00A0389A">
        <w:rPr>
          <w:rFonts w:ascii="Verdana" w:hAnsi="Verdana" w:cs="Arial"/>
          <w:bCs/>
          <w:szCs w:val="24"/>
          <w:lang w:val="es-ES_tradnl" w:eastAsia="es-ES_tradnl"/>
        </w:rPr>
        <w:t xml:space="preserve">a jurisprudencia ha señalado que “[…] </w:t>
      </w:r>
      <w:r w:rsidRPr="00A0389A">
        <w:rPr>
          <w:rFonts w:ascii="Verdana" w:hAnsi="Verdana" w:cs="Arial"/>
          <w:bCs/>
          <w:szCs w:val="24"/>
          <w:lang w:eastAsia="es-ES_tradnl"/>
        </w:rPr>
        <w:t>en la conformación de dichos precios unitarios, se tienen en cuenta todos los gastos que se requieren para realizar la unidad de medida respectiva –el metro lineal, el metro cúbico, el metro cuadrado, e</w:t>
      </w:r>
      <w:r>
        <w:rPr>
          <w:rFonts w:ascii="Verdana" w:hAnsi="Verdana" w:cs="Arial"/>
          <w:bCs/>
          <w:szCs w:val="24"/>
          <w:lang w:eastAsia="es-ES_tradnl"/>
        </w:rPr>
        <w:t>ntre otros</w:t>
      </w:r>
      <w:r w:rsidRPr="00A0389A">
        <w:rPr>
          <w:rFonts w:ascii="Verdana" w:hAnsi="Verdana" w:cs="Arial"/>
          <w:bCs/>
          <w:szCs w:val="24"/>
          <w:lang w:eastAsia="es-ES_tradnl"/>
        </w:rPr>
        <w:t xml:space="preserve">-. Y lo que comúnmente se denomina análisis de precios unitarios, corresponde a la descomposición de </w:t>
      </w:r>
      <w:proofErr w:type="gramStart"/>
      <w:r w:rsidRPr="00A0389A">
        <w:rPr>
          <w:rFonts w:ascii="Verdana" w:hAnsi="Verdana" w:cs="Arial"/>
          <w:bCs/>
          <w:szCs w:val="24"/>
          <w:lang w:eastAsia="es-ES_tradnl"/>
        </w:rPr>
        <w:t>los mismos</w:t>
      </w:r>
      <w:proofErr w:type="gramEnd"/>
      <w:r w:rsidRPr="00A0389A">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w:t>
      </w:r>
      <w:r>
        <w:rPr>
          <w:rFonts w:ascii="Verdana" w:hAnsi="Verdana" w:cs="Arial"/>
          <w:bCs/>
          <w:szCs w:val="24"/>
          <w:lang w:eastAsia="es-ES_tradnl"/>
        </w:rPr>
        <w:t>ntre otros</w:t>
      </w:r>
      <w:r w:rsidRPr="00A0389A">
        <w:rPr>
          <w:rFonts w:ascii="Verdana" w:hAnsi="Verdana" w:cs="Arial"/>
          <w:bCs/>
          <w:szCs w:val="24"/>
          <w:lang w:eastAsia="es-ES_tradnl"/>
        </w:rPr>
        <w:t>.</w:t>
      </w:r>
      <w:r w:rsidRPr="00A0389A">
        <w:rPr>
          <w:rFonts w:ascii="Verdana" w:hAnsi="Verdana" w:cs="Arial"/>
          <w:bCs/>
          <w:szCs w:val="24"/>
          <w:lang w:val="es-ES_tradnl" w:eastAsia="es-ES_tradnl"/>
        </w:rPr>
        <w:t>”</w:t>
      </w:r>
      <w:r w:rsidRPr="00A0389A">
        <w:rPr>
          <w:rFonts w:ascii="Verdana" w:hAnsi="Verdana" w:cs="Arial"/>
          <w:bCs/>
          <w:szCs w:val="24"/>
          <w:vertAlign w:val="superscript"/>
          <w:lang w:val="es-ES_tradnl" w:eastAsia="es-ES_tradnl"/>
        </w:rPr>
        <w:footnoteReference w:id="2"/>
      </w:r>
      <w:r w:rsidRPr="00A0389A">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48323BA0" w14:textId="77777777" w:rsidR="006779F5" w:rsidRPr="00A0389A" w:rsidRDefault="006779F5" w:rsidP="006779F5">
      <w:pPr>
        <w:spacing w:after="0" w:line="276" w:lineRule="auto"/>
        <w:ind w:firstLine="709"/>
        <w:jc w:val="both"/>
        <w:rPr>
          <w:rFonts w:ascii="Verdana" w:hAnsi="Verdana" w:cs="Arial"/>
          <w:bCs/>
          <w:szCs w:val="24"/>
          <w:lang w:eastAsia="es-ES_tradnl"/>
        </w:rPr>
      </w:pPr>
    </w:p>
    <w:p w14:paraId="4A2656E5" w14:textId="77777777" w:rsidR="006779F5" w:rsidRPr="005A3E5E" w:rsidRDefault="006779F5" w:rsidP="006779F5">
      <w:pPr>
        <w:tabs>
          <w:tab w:val="left" w:pos="709"/>
        </w:tabs>
        <w:spacing w:after="120" w:line="240" w:lineRule="auto"/>
        <w:ind w:left="709" w:right="709"/>
        <w:jc w:val="both"/>
        <w:rPr>
          <w:rFonts w:ascii="Verdana" w:hAnsi="Verdana" w:cs="Arial"/>
          <w:sz w:val="20"/>
          <w:szCs w:val="20"/>
          <w:lang w:val="es-ES" w:eastAsia="es-ES"/>
        </w:rPr>
      </w:pPr>
      <w:r w:rsidRPr="005A3E5E">
        <w:rPr>
          <w:rFonts w:ascii="Verdana" w:hAnsi="Verdana" w:cs="Arial"/>
          <w:sz w:val="20"/>
          <w:szCs w:val="20"/>
          <w:lang w:val="es-ES" w:eastAsia="es-ES"/>
        </w:rPr>
        <w:lastRenderedPageBreak/>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3BE06D01" w14:textId="77777777" w:rsidR="006779F5" w:rsidRPr="005A3E5E" w:rsidRDefault="006779F5" w:rsidP="006779F5">
      <w:pPr>
        <w:tabs>
          <w:tab w:val="left" w:pos="709"/>
        </w:tabs>
        <w:spacing w:after="0" w:line="240" w:lineRule="auto"/>
        <w:ind w:left="709" w:right="709"/>
        <w:jc w:val="both"/>
        <w:rPr>
          <w:rFonts w:ascii="Verdana" w:hAnsi="Verdana" w:cs="Arial"/>
          <w:sz w:val="20"/>
          <w:szCs w:val="20"/>
          <w:lang w:val="es-ES_tradnl" w:eastAsia="es-ES_tradnl"/>
        </w:rPr>
      </w:pPr>
      <w:r w:rsidRPr="005A3E5E">
        <w:rPr>
          <w:rFonts w:ascii="Verdana"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5A3E5E">
        <w:rPr>
          <w:rFonts w:ascii="Verdana" w:hAnsi="Verdana" w:cs="Arial"/>
          <w:sz w:val="20"/>
          <w:szCs w:val="20"/>
          <w:vertAlign w:val="superscript"/>
          <w:lang w:val="es-ES_tradnl" w:eastAsia="es-ES_tradnl"/>
        </w:rPr>
        <w:footnoteReference w:id="3"/>
      </w:r>
      <w:r w:rsidRPr="005A3E5E">
        <w:rPr>
          <w:rFonts w:ascii="Verdana" w:hAnsi="Verdana" w:cs="Arial"/>
          <w:sz w:val="20"/>
          <w:szCs w:val="20"/>
          <w:lang w:val="es-ES_tradnl" w:eastAsia="es-ES_tradnl"/>
        </w:rPr>
        <w:t xml:space="preserve">. </w:t>
      </w:r>
    </w:p>
    <w:p w14:paraId="2BC282BA" w14:textId="77777777" w:rsidR="006779F5" w:rsidRPr="00A0389A" w:rsidRDefault="006779F5" w:rsidP="006779F5">
      <w:pPr>
        <w:tabs>
          <w:tab w:val="left" w:pos="709"/>
        </w:tabs>
        <w:spacing w:after="0" w:line="276" w:lineRule="auto"/>
        <w:ind w:left="709" w:right="760"/>
        <w:jc w:val="both"/>
        <w:rPr>
          <w:rFonts w:ascii="Verdana" w:hAnsi="Verdana" w:cs="Arial"/>
          <w:szCs w:val="24"/>
          <w:lang w:val="es-ES_tradnl" w:eastAsia="es-ES_tradnl"/>
        </w:rPr>
      </w:pPr>
    </w:p>
    <w:p w14:paraId="601DD85C" w14:textId="77777777" w:rsidR="006779F5" w:rsidRPr="00A0389A" w:rsidRDefault="006779F5" w:rsidP="006779F5">
      <w:pPr>
        <w:spacing w:after="0" w:line="276" w:lineRule="auto"/>
        <w:ind w:firstLine="709"/>
        <w:jc w:val="both"/>
        <w:rPr>
          <w:rFonts w:ascii="Verdana" w:hAnsi="Verdana" w:cs="Arial"/>
          <w:szCs w:val="24"/>
          <w:lang w:val="es-ES_tradnl" w:eastAsia="es-ES_tradnl"/>
        </w:rPr>
      </w:pPr>
      <w:r w:rsidRPr="00A0389A">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74022380" w14:textId="77777777" w:rsidR="006779F5" w:rsidRPr="00A0389A" w:rsidRDefault="006779F5" w:rsidP="006779F5">
      <w:pPr>
        <w:spacing w:after="0" w:line="276" w:lineRule="auto"/>
        <w:ind w:firstLine="709"/>
        <w:jc w:val="both"/>
        <w:rPr>
          <w:rFonts w:ascii="Verdana" w:hAnsi="Verdana" w:cs="Arial"/>
          <w:szCs w:val="24"/>
          <w:lang w:val="es-ES_tradnl" w:eastAsia="es-ES_tradnl"/>
        </w:rPr>
      </w:pPr>
    </w:p>
    <w:p w14:paraId="1118DCCA" w14:textId="77777777" w:rsidR="006779F5" w:rsidRPr="00EF2241" w:rsidRDefault="006779F5" w:rsidP="006779F5">
      <w:pPr>
        <w:tabs>
          <w:tab w:val="left" w:pos="709"/>
        </w:tabs>
        <w:spacing w:after="120" w:line="240" w:lineRule="auto"/>
        <w:ind w:left="709" w:right="709"/>
        <w:jc w:val="both"/>
        <w:rPr>
          <w:rFonts w:ascii="Verdana" w:hAnsi="Verdana" w:cs="Arial"/>
          <w:sz w:val="20"/>
          <w:szCs w:val="20"/>
          <w:lang w:val="es-ES_tradnl" w:eastAsia="es-ES_tradnl"/>
        </w:rPr>
      </w:pPr>
      <w:r w:rsidRPr="00EF2241">
        <w:rPr>
          <w:rFonts w:ascii="Verdana" w:hAnsi="Verdana" w:cs="Arial"/>
          <w:sz w:val="20"/>
          <w:szCs w:val="20"/>
          <w:lang w:val="es-ES_tradnl" w:eastAsia="es-ES_tradnl"/>
        </w:rPr>
        <w:t xml:space="preserve">“[…] el AIU propuesto para el contrato, corresponde a: </w:t>
      </w:r>
    </w:p>
    <w:p w14:paraId="01DAEB75" w14:textId="77777777" w:rsidR="006779F5" w:rsidRPr="00EF2241" w:rsidRDefault="006779F5" w:rsidP="006779F5">
      <w:pPr>
        <w:tabs>
          <w:tab w:val="left" w:pos="709"/>
        </w:tabs>
        <w:spacing w:after="120" w:line="240" w:lineRule="auto"/>
        <w:ind w:left="709" w:right="709"/>
        <w:jc w:val="both"/>
        <w:rPr>
          <w:rFonts w:ascii="Verdana" w:hAnsi="Verdana" w:cs="Arial"/>
          <w:sz w:val="20"/>
          <w:szCs w:val="20"/>
          <w:lang w:val="es-ES_tradnl" w:eastAsia="es-ES_tradnl"/>
        </w:rPr>
      </w:pPr>
      <w:r w:rsidRPr="00EF2241">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46879237" w14:textId="77777777" w:rsidR="006779F5" w:rsidRPr="00EF2241" w:rsidRDefault="006779F5" w:rsidP="006779F5">
      <w:pPr>
        <w:tabs>
          <w:tab w:val="left" w:pos="709"/>
        </w:tabs>
        <w:spacing w:after="120" w:line="240" w:lineRule="auto"/>
        <w:ind w:left="709" w:right="709"/>
        <w:jc w:val="both"/>
        <w:rPr>
          <w:rFonts w:ascii="Verdana" w:hAnsi="Verdana" w:cs="Arial"/>
          <w:sz w:val="20"/>
          <w:szCs w:val="20"/>
          <w:lang w:val="es-ES" w:eastAsia="es-ES"/>
        </w:rPr>
      </w:pPr>
      <w:proofErr w:type="spellStart"/>
      <w:r w:rsidRPr="00EF2241">
        <w:rPr>
          <w:rFonts w:ascii="Verdana" w:hAnsi="Verdana" w:cs="Arial"/>
          <w:sz w:val="20"/>
          <w:szCs w:val="20"/>
          <w:lang w:val="es-ES" w:eastAsia="es-ES"/>
        </w:rPr>
        <w:t>ii</w:t>
      </w:r>
      <w:proofErr w:type="spellEnd"/>
      <w:r w:rsidRPr="00EF2241">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EF2241">
        <w:rPr>
          <w:rFonts w:ascii="Verdana" w:hAnsi="Verdana" w:cs="Arial"/>
          <w:sz w:val="20"/>
          <w:szCs w:val="20"/>
          <w:lang w:val="es-ES" w:eastAsia="es-ES"/>
        </w:rPr>
        <w:t>álea</w:t>
      </w:r>
      <w:proofErr w:type="spellEnd"/>
      <w:r w:rsidRPr="00EF2241">
        <w:rPr>
          <w:rFonts w:ascii="Verdana" w:hAnsi="Verdana" w:cs="Arial"/>
          <w:sz w:val="20"/>
          <w:szCs w:val="20"/>
          <w:lang w:val="es-ES" w:eastAsia="es-ES"/>
        </w:rPr>
        <w:t xml:space="preserve"> normal del contrato: I; </w:t>
      </w:r>
    </w:p>
    <w:p w14:paraId="5A010FFD" w14:textId="77777777" w:rsidR="006779F5" w:rsidRPr="00EF2241" w:rsidRDefault="006779F5" w:rsidP="006779F5">
      <w:pPr>
        <w:tabs>
          <w:tab w:val="left" w:pos="709"/>
        </w:tabs>
        <w:spacing w:after="120" w:line="240" w:lineRule="auto"/>
        <w:ind w:left="709" w:right="709"/>
        <w:jc w:val="both"/>
        <w:rPr>
          <w:rFonts w:ascii="Verdana" w:hAnsi="Verdana" w:cs="Arial"/>
          <w:sz w:val="20"/>
          <w:szCs w:val="20"/>
          <w:lang w:val="es-ES" w:eastAsia="es-ES"/>
        </w:rPr>
      </w:pPr>
      <w:proofErr w:type="spellStart"/>
      <w:r w:rsidRPr="00EF2241">
        <w:rPr>
          <w:rFonts w:ascii="Verdana" w:hAnsi="Verdana" w:cs="Arial"/>
          <w:sz w:val="20"/>
          <w:szCs w:val="20"/>
          <w:lang w:val="es-ES" w:eastAsia="es-ES"/>
        </w:rPr>
        <w:t>iii</w:t>
      </w:r>
      <w:proofErr w:type="spellEnd"/>
      <w:r w:rsidRPr="00EF2241">
        <w:rPr>
          <w:rFonts w:ascii="Verdana" w:hAnsi="Verdana" w:cs="Arial"/>
          <w:sz w:val="20"/>
          <w:szCs w:val="20"/>
          <w:lang w:val="es-ES" w:eastAsia="es-ES"/>
        </w:rPr>
        <w:t xml:space="preserve">) la utilidad o el beneficio económico que pretende percibir el contratista por la ejecución del contrato, esto es: U. </w:t>
      </w:r>
    </w:p>
    <w:p w14:paraId="75CF3CBE" w14:textId="77777777" w:rsidR="006779F5" w:rsidRPr="00EF2241" w:rsidRDefault="006779F5" w:rsidP="006779F5">
      <w:pPr>
        <w:tabs>
          <w:tab w:val="left" w:pos="709"/>
        </w:tabs>
        <w:spacing w:after="0" w:line="240" w:lineRule="auto"/>
        <w:ind w:left="709" w:right="709"/>
        <w:jc w:val="both"/>
        <w:rPr>
          <w:rFonts w:ascii="Verdana" w:hAnsi="Verdana" w:cs="Arial"/>
          <w:sz w:val="20"/>
          <w:szCs w:val="20"/>
          <w:lang w:val="es-ES_tradnl" w:eastAsia="es-ES_tradnl"/>
        </w:rPr>
      </w:pPr>
      <w:r w:rsidRPr="00EF2241">
        <w:rPr>
          <w:rFonts w:ascii="Verdana" w:hAnsi="Verdana" w:cs="Arial"/>
          <w:sz w:val="20"/>
          <w:szCs w:val="20"/>
          <w:lang w:val="es-ES_tradnl" w:eastAsia="es-ES_tradnl"/>
        </w:rPr>
        <w:t xml:space="preserve">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w:t>
      </w:r>
      <w:r w:rsidRPr="00EF2241">
        <w:rPr>
          <w:rFonts w:ascii="Verdana" w:hAnsi="Verdana" w:cs="Arial"/>
          <w:sz w:val="20"/>
          <w:szCs w:val="20"/>
          <w:lang w:val="es-ES_tradnl" w:eastAsia="es-ES_tradnl"/>
        </w:rPr>
        <w:lastRenderedPageBreak/>
        <w:t>a la cual se compromete a ejecutar cabalmente un contrato en el caso de que le sea adjudicado”</w:t>
      </w:r>
      <w:r w:rsidRPr="00EF2241">
        <w:rPr>
          <w:rFonts w:ascii="Verdana" w:hAnsi="Verdana" w:cs="Arial"/>
          <w:sz w:val="20"/>
          <w:szCs w:val="20"/>
          <w:vertAlign w:val="superscript"/>
          <w:lang w:val="es-ES_tradnl" w:eastAsia="es-ES_tradnl"/>
        </w:rPr>
        <w:footnoteReference w:id="4"/>
      </w:r>
      <w:r w:rsidRPr="00EF2241">
        <w:rPr>
          <w:rFonts w:ascii="Verdana" w:hAnsi="Verdana" w:cs="Arial"/>
          <w:sz w:val="20"/>
          <w:szCs w:val="20"/>
          <w:lang w:val="es-ES_tradnl" w:eastAsia="es-ES_tradnl"/>
        </w:rPr>
        <w:t>.</w:t>
      </w:r>
    </w:p>
    <w:p w14:paraId="2A5A2B14" w14:textId="77777777" w:rsidR="006779F5" w:rsidRPr="00A0389A" w:rsidRDefault="006779F5" w:rsidP="006779F5">
      <w:pPr>
        <w:tabs>
          <w:tab w:val="left" w:pos="709"/>
        </w:tabs>
        <w:spacing w:after="0" w:line="276" w:lineRule="auto"/>
        <w:ind w:left="709" w:right="760"/>
        <w:jc w:val="both"/>
        <w:rPr>
          <w:rFonts w:ascii="Verdana" w:hAnsi="Verdana" w:cs="Arial"/>
          <w:szCs w:val="24"/>
          <w:lang w:val="es-ES_tradnl" w:eastAsia="es-ES_tradnl"/>
        </w:rPr>
      </w:pPr>
    </w:p>
    <w:p w14:paraId="60336106" w14:textId="77777777" w:rsidR="006779F5" w:rsidRPr="00A0389A" w:rsidRDefault="006779F5" w:rsidP="006779F5">
      <w:pPr>
        <w:spacing w:after="120" w:line="276" w:lineRule="auto"/>
        <w:ind w:firstLine="709"/>
        <w:jc w:val="both"/>
        <w:rPr>
          <w:rFonts w:ascii="Verdana" w:hAnsi="Verdana" w:cs="Arial"/>
          <w:lang w:val="es-ES" w:eastAsia="es-ES"/>
        </w:rPr>
      </w:pPr>
      <w:r w:rsidRPr="00A0389A">
        <w:rPr>
          <w:rFonts w:ascii="Verdana" w:hAnsi="Verdana" w:cs="Arial"/>
          <w:lang w:val="es-ES" w:eastAsia="es-ES"/>
        </w:rPr>
        <w:t>A su turno, la Sala de Consulta y Servicio Civil del Consejo de Estado sostuvo en concepto del 5 de septiembre de 2018</w:t>
      </w:r>
      <w:r w:rsidRPr="00A0389A">
        <w:rPr>
          <w:rFonts w:ascii="Verdana" w:hAnsi="Verdana" w:cs="Arial"/>
          <w:vertAlign w:val="superscript"/>
          <w:lang w:val="es-ES" w:eastAsia="es-ES"/>
        </w:rPr>
        <w:footnoteReference w:id="5"/>
      </w:r>
      <w:r w:rsidRPr="00A0389A">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A0389A">
        <w:rPr>
          <w:rFonts w:ascii="Verdana" w:hAnsi="Verdana" w:cs="Arial"/>
          <w:lang w:val="es-ES" w:eastAsia="es-ES"/>
        </w:rPr>
        <w:t>la misma</w:t>
      </w:r>
      <w:proofErr w:type="gramEnd"/>
      <w:r w:rsidRPr="00A0389A">
        <w:rPr>
          <w:rFonts w:ascii="Verdana" w:hAnsi="Verdana" w:cs="Arial"/>
          <w:vertAlign w:val="superscript"/>
          <w:lang w:val="es-ES" w:eastAsia="es-ES"/>
        </w:rPr>
        <w:footnoteReference w:id="6"/>
      </w:r>
      <w:r w:rsidRPr="00A0389A">
        <w:rPr>
          <w:rFonts w:ascii="Verdana" w:hAnsi="Verdana" w:cs="Arial"/>
          <w:lang w:val="es-ES" w:eastAsia="es-ES"/>
        </w:rPr>
        <w:t>, sin perjuicio que en otros contratos este valor no aparezca discriminado y se incorpore en el valor de los precios unitarios”</w:t>
      </w:r>
      <w:r w:rsidRPr="00A0389A">
        <w:rPr>
          <w:rFonts w:ascii="Verdana" w:hAnsi="Verdana" w:cs="Arial"/>
          <w:vertAlign w:val="superscript"/>
          <w:lang w:val="es-ES" w:eastAsia="es-ES"/>
        </w:rPr>
        <w:footnoteReference w:id="7"/>
      </w:r>
      <w:r w:rsidRPr="00A0389A">
        <w:rPr>
          <w:rFonts w:ascii="Verdana" w:hAnsi="Verdana" w:cs="Arial"/>
          <w:lang w:val="es-ES" w:eastAsia="es-ES"/>
        </w:rPr>
        <w:t xml:space="preserve">. </w:t>
      </w:r>
    </w:p>
    <w:p w14:paraId="2E1E1D50" w14:textId="77777777" w:rsidR="006779F5" w:rsidRPr="00A0389A" w:rsidRDefault="006779F5" w:rsidP="006779F5">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A0389A">
        <w:rPr>
          <w:rFonts w:ascii="Verdana" w:hAnsi="Verdana" w:cs="Arial"/>
          <w:bCs/>
          <w:szCs w:val="24"/>
          <w:vertAlign w:val="superscript"/>
          <w:lang w:val="es-ES_tradnl" w:eastAsia="es-ES_tradnl"/>
        </w:rPr>
        <w:footnoteReference w:id="8"/>
      </w:r>
      <w:r w:rsidRPr="00A0389A">
        <w:rPr>
          <w:rFonts w:ascii="Verdana" w:hAnsi="Verdana" w:cs="Arial"/>
          <w:bCs/>
          <w:szCs w:val="24"/>
          <w:lang w:val="es-ES_tradnl" w:eastAsia="es-ES_tradnl"/>
        </w:rPr>
        <w:t xml:space="preserve">. De otro lado, quien define el valor de cada </w:t>
      </w:r>
      <w:r w:rsidRPr="00A0389A">
        <w:rPr>
          <w:rFonts w:ascii="Verdana" w:hAnsi="Verdana" w:cs="Arial"/>
          <w:bCs/>
          <w:i/>
          <w:iCs/>
          <w:szCs w:val="24"/>
          <w:lang w:val="es-ES_tradnl" w:eastAsia="es-ES_tradnl"/>
        </w:rPr>
        <w:t>letra</w:t>
      </w:r>
      <w:r w:rsidRPr="00A0389A">
        <w:rPr>
          <w:rFonts w:ascii="Verdana" w:hAnsi="Verdana" w:cs="Arial"/>
          <w:bCs/>
          <w:szCs w:val="24"/>
          <w:lang w:val="es-ES_tradnl" w:eastAsia="es-ES_tradnl"/>
        </w:rPr>
        <w:t xml:space="preserve"> –AIU– es el proponente, pues goza de libertad empresarial para hacerlo en la elaboración de su oferta</w:t>
      </w:r>
      <w:r w:rsidRPr="00A0389A">
        <w:rPr>
          <w:rFonts w:ascii="Verdana" w:hAnsi="Verdana" w:cs="Arial"/>
          <w:bCs/>
          <w:szCs w:val="24"/>
          <w:vertAlign w:val="superscript"/>
          <w:lang w:val="es-ES_tradnl" w:eastAsia="es-ES_tradnl"/>
        </w:rPr>
        <w:footnoteReference w:id="9"/>
      </w:r>
      <w:r w:rsidRPr="00A0389A">
        <w:rPr>
          <w:rFonts w:ascii="Verdana" w:hAnsi="Verdana" w:cs="Arial"/>
          <w:bCs/>
          <w:szCs w:val="24"/>
          <w:lang w:val="es-ES_tradnl" w:eastAsia="es-ES_tradnl"/>
        </w:rPr>
        <w:t>.</w:t>
      </w:r>
    </w:p>
    <w:p w14:paraId="545762BF" w14:textId="77777777" w:rsidR="006779F5" w:rsidRPr="00A0389A" w:rsidRDefault="006779F5" w:rsidP="006779F5">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lastRenderedPageBreak/>
        <w:t xml:space="preserve">De este modo, </w:t>
      </w:r>
      <w:r w:rsidRPr="00A0389A">
        <w:rPr>
          <w:rFonts w:ascii="Verdana" w:hAnsi="Verdana" w:cs="Arial"/>
          <w:lang w:eastAsia="es-ES"/>
        </w:rPr>
        <w:t>el AIU, como metodología de pacto del precio que provien</w:t>
      </w:r>
      <w:r>
        <w:rPr>
          <w:rFonts w:ascii="Verdana" w:hAnsi="Verdana" w:cs="Arial"/>
          <w:lang w:eastAsia="es-ES"/>
        </w:rPr>
        <w:t xml:space="preserve">e de la costumbre mercantil, </w:t>
      </w:r>
      <w:r w:rsidRPr="00A0389A">
        <w:rPr>
          <w:rFonts w:ascii="Verdana" w:hAnsi="Verdana" w:cs="Arial"/>
          <w:lang w:eastAsia="es-ES"/>
        </w:rPr>
        <w:t>puede utilizar</w:t>
      </w:r>
      <w:r>
        <w:rPr>
          <w:rFonts w:ascii="Verdana" w:hAnsi="Verdana" w:cs="Arial"/>
          <w:lang w:eastAsia="es-ES"/>
        </w:rPr>
        <w:t>se</w:t>
      </w:r>
      <w:r w:rsidRPr="00A0389A">
        <w:rPr>
          <w:rFonts w:ascii="Verdana" w:hAnsi="Verdana" w:cs="Arial"/>
          <w:lang w:eastAsia="es-ES"/>
        </w:rPr>
        <w:t xml:space="preserve"> en principio en cualquier tipología contractual, aunque lo más común es que se use en los contratos de tracto sucesivo, especialmente</w:t>
      </w:r>
      <w:r>
        <w:rPr>
          <w:rFonts w:ascii="Verdana" w:hAnsi="Verdana" w:cs="Arial"/>
          <w:lang w:eastAsia="es-ES"/>
        </w:rPr>
        <w:t>,</w:t>
      </w:r>
      <w:r w:rsidRPr="00A0389A">
        <w:rPr>
          <w:rFonts w:ascii="Verdana" w:hAnsi="Verdana" w:cs="Arial"/>
          <w:lang w:eastAsia="es-ES"/>
        </w:rPr>
        <w:t xml:space="preserve"> en los que se distinguen los precios unitarios.</w:t>
      </w:r>
      <w:r w:rsidRPr="00A0389A">
        <w:rPr>
          <w:rFonts w:ascii="Verdana" w:hAnsi="Verdana" w:cs="Arial"/>
          <w:bCs/>
          <w:szCs w:val="24"/>
          <w:lang w:val="es-ES_tradnl" w:eastAsia="es-ES_tradnl"/>
        </w:rPr>
        <w:t xml:space="preserve"> </w:t>
      </w:r>
      <w:r w:rsidRPr="00A0389A">
        <w:rPr>
          <w:rFonts w:ascii="Verdana" w:hAnsi="Verdana" w:cs="Arial"/>
          <w:lang w:eastAsia="es-ES"/>
        </w:rPr>
        <w:t>La determinación de este sistema de estipulación del valor debe ser el resultad</w:t>
      </w:r>
      <w:r>
        <w:rPr>
          <w:rFonts w:ascii="Verdana" w:hAnsi="Verdana" w:cs="Arial"/>
          <w:lang w:eastAsia="es-ES"/>
        </w:rPr>
        <w:t xml:space="preserve">o de los estudios previos, y en especial, </w:t>
      </w:r>
      <w:r w:rsidRPr="00A0389A">
        <w:rPr>
          <w:rFonts w:ascii="Verdana" w:hAnsi="Verdana" w:cs="Arial"/>
          <w:lang w:eastAsia="es-ES"/>
        </w:rPr>
        <w:t xml:space="preserve">del análisis del sector. Solo a partir de tales estudios la entidad estatal podrá concluir si es oportuno y conveniente establecer que el precio del contrato y, por tanto, la propuesta del </w:t>
      </w:r>
      <w:proofErr w:type="gramStart"/>
      <w:r w:rsidRPr="00A0389A">
        <w:rPr>
          <w:rFonts w:ascii="Verdana" w:hAnsi="Verdana" w:cs="Arial"/>
          <w:lang w:eastAsia="es-ES"/>
        </w:rPr>
        <w:t>oferente,</w:t>
      </w:r>
      <w:proofErr w:type="gramEnd"/>
      <w:r w:rsidRPr="00A0389A">
        <w:rPr>
          <w:rFonts w:ascii="Verdana" w:hAnsi="Verdana" w:cs="Arial"/>
          <w:lang w:eastAsia="es-ES"/>
        </w:rPr>
        <w:t xml:space="preserve"> se deberá establecer distinguiendo los costos directos respecto de los costos indirectos; estos últimos representados en el AIU. </w:t>
      </w:r>
    </w:p>
    <w:p w14:paraId="37742DAD" w14:textId="77777777" w:rsidR="006779F5" w:rsidRPr="00A0389A" w:rsidRDefault="006779F5" w:rsidP="006779F5">
      <w:pPr>
        <w:spacing w:after="120" w:line="276" w:lineRule="auto"/>
        <w:ind w:firstLine="743"/>
        <w:jc w:val="both"/>
        <w:rPr>
          <w:rFonts w:ascii="Verdana" w:hAnsi="Verdana" w:cs="Arial"/>
          <w:lang w:eastAsia="es-ES"/>
        </w:rPr>
      </w:pPr>
      <w:r w:rsidRPr="00A0389A">
        <w:rPr>
          <w:rFonts w:ascii="Verdana" w:hAnsi="Verdana" w:cs="Arial"/>
          <w:lang w:eastAsia="es-ES"/>
        </w:rPr>
        <w:t xml:space="preserve">En consecuencia, </w:t>
      </w:r>
      <w:bookmarkStart w:id="3" w:name="_Hlk191240669"/>
      <w:r w:rsidRPr="00A0389A">
        <w:rPr>
          <w:rFonts w:ascii="Verdana" w:hAnsi="Verdana" w:cs="Arial"/>
          <w:lang w:eastAsia="es-ES"/>
        </w:rPr>
        <w:t xml:space="preserve">no hay </w:t>
      </w:r>
      <w:r w:rsidRPr="0063731E">
        <w:rPr>
          <w:rFonts w:ascii="Verdana" w:hAnsi="Verdana" w:cs="Arial"/>
          <w:i/>
          <w:iCs/>
          <w:lang w:eastAsia="es-ES"/>
        </w:rPr>
        <w:t>a priori</w:t>
      </w:r>
      <w:r w:rsidRPr="00A0389A">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7F091C16" w14:textId="77777777" w:rsidR="006779F5" w:rsidRPr="00A0389A" w:rsidRDefault="006779F5" w:rsidP="006779F5">
      <w:pPr>
        <w:snapToGrid w:val="0"/>
        <w:spacing w:after="120" w:line="276" w:lineRule="auto"/>
        <w:ind w:firstLine="743"/>
        <w:jc w:val="both"/>
        <w:rPr>
          <w:rFonts w:ascii="Verdana" w:hAnsi="Verdana" w:cs="Arial"/>
          <w:lang w:eastAsia="es-ES"/>
        </w:rPr>
      </w:pPr>
      <w:r w:rsidRPr="00A0389A">
        <w:rPr>
          <w:rFonts w:ascii="Verdana" w:hAnsi="Verdana" w:cs="Arial"/>
          <w:bCs/>
          <w:szCs w:val="24"/>
          <w:lang w:val="es-ES_tradnl" w:eastAsia="es-ES_tradnl"/>
        </w:rPr>
        <w:t xml:space="preserve">En este contexto, si </w:t>
      </w:r>
      <w:r w:rsidRPr="00A0389A">
        <w:rPr>
          <w:rFonts w:ascii="Verdana" w:hAnsi="Verdana" w:cs="Arial"/>
          <w:lang w:eastAsia="es-ES"/>
        </w:rPr>
        <w:t>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w:t>
      </w:r>
    </w:p>
    <w:bookmarkEnd w:id="3"/>
    <w:p w14:paraId="1B877AD2" w14:textId="77777777" w:rsidR="006779F5" w:rsidRPr="00A0389A" w:rsidRDefault="006779F5" w:rsidP="006779F5">
      <w:pPr>
        <w:snapToGrid w:val="0"/>
        <w:spacing w:after="120" w:line="276" w:lineRule="auto"/>
        <w:ind w:firstLine="743"/>
        <w:jc w:val="both"/>
        <w:rPr>
          <w:rFonts w:ascii="Verdana" w:hAnsi="Verdana" w:cs="Arial"/>
          <w:bCs/>
          <w:szCs w:val="24"/>
          <w:lang w:val="es-ES_tradnl" w:eastAsia="es-ES_tradnl"/>
        </w:rPr>
      </w:pPr>
      <w:r w:rsidRPr="00A0389A">
        <w:rPr>
          <w:rFonts w:ascii="Verdana" w:hAnsi="Verdana" w:cs="Arial"/>
          <w:lang w:eastAsia="es-ES"/>
        </w:rPr>
        <w:t xml:space="preserve">Ahora bien, </w:t>
      </w:r>
      <w:r w:rsidRPr="00A0389A">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A0389A">
        <w:rPr>
          <w:rFonts w:ascii="Verdana" w:hAnsi="Verdana" w:cs="Arial"/>
          <w:bCs/>
          <w:i/>
          <w:iCs/>
          <w:szCs w:val="24"/>
          <w:lang w:val="es-ES_tradnl" w:eastAsia="es-ES_tradnl"/>
        </w:rPr>
        <w:t>Administración</w:t>
      </w:r>
      <w:r w:rsidRPr="00A0389A">
        <w:rPr>
          <w:rFonts w:ascii="Verdana" w:hAnsi="Verdana" w:cs="Arial"/>
          <w:bCs/>
          <w:szCs w:val="24"/>
          <w:lang w:val="es-ES_tradnl" w:eastAsia="es-ES_tradnl"/>
        </w:rPr>
        <w:t xml:space="preserve"> o los </w:t>
      </w:r>
      <w:r w:rsidRPr="00A0389A">
        <w:rPr>
          <w:rFonts w:ascii="Verdana" w:hAnsi="Verdana" w:cs="Arial"/>
          <w:bCs/>
          <w:i/>
          <w:iCs/>
          <w:szCs w:val="24"/>
          <w:lang w:val="es-ES_tradnl" w:eastAsia="es-ES_tradnl"/>
        </w:rPr>
        <w:t>Imprevistos</w:t>
      </w:r>
      <w:r w:rsidRPr="00A0389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377F8376" w14:textId="77777777" w:rsidR="006779F5" w:rsidRPr="00A0389A" w:rsidRDefault="006779F5" w:rsidP="006779F5">
      <w:pPr>
        <w:snapToGrid w:val="0"/>
        <w:spacing w:after="120" w:line="276" w:lineRule="auto"/>
        <w:ind w:firstLine="601"/>
        <w:jc w:val="both"/>
        <w:rPr>
          <w:rFonts w:ascii="Verdana" w:hAnsi="Verdana" w:cs="Arial"/>
          <w:lang w:val="es-ES" w:eastAsia="es-ES"/>
        </w:rPr>
      </w:pPr>
      <w:r w:rsidRPr="00A0389A">
        <w:rPr>
          <w:rFonts w:ascii="Verdana" w:hAnsi="Verdana" w:cs="Arial"/>
          <w:lang w:eastAsia="es-ES"/>
        </w:rPr>
        <w:lastRenderedPageBreak/>
        <w:t xml:space="preserve">Sin embargo, </w:t>
      </w:r>
      <w:r w:rsidRPr="00A0389A">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31E3100C" w14:textId="77777777" w:rsidR="006779F5" w:rsidRPr="00A0389A" w:rsidRDefault="006779F5" w:rsidP="006779F5">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A0389A">
        <w:rPr>
          <w:rFonts w:ascii="Verdana" w:eastAsia="Calibri" w:hAnsi="Verdana" w:cs="Arial"/>
          <w:bCs/>
          <w:i/>
          <w:iCs/>
          <w:szCs w:val="24"/>
          <w:lang w:val="es-ES_tradnl" w:eastAsia="es-ES_tradnl"/>
        </w:rPr>
        <w:t xml:space="preserve">indirectos </w:t>
      </w:r>
      <w:r w:rsidRPr="00A0389A">
        <w:rPr>
          <w:rFonts w:ascii="Verdana" w:eastAsia="Calibri" w:hAnsi="Verdana" w:cs="Arial"/>
          <w:bCs/>
          <w:szCs w:val="24"/>
          <w:lang w:val="es-ES_tradnl" w:eastAsia="es-ES_tradnl"/>
        </w:rPr>
        <w:t xml:space="preserve">en que incurren los contratistas, entre ellos, los de la </w:t>
      </w:r>
      <w:r w:rsidRPr="00A0389A">
        <w:rPr>
          <w:rFonts w:ascii="Verdana" w:eastAsia="Calibri" w:hAnsi="Verdana" w:cs="Arial"/>
          <w:bCs/>
          <w:i/>
          <w:iCs/>
          <w:szCs w:val="24"/>
          <w:lang w:val="es-ES_tradnl" w:eastAsia="es-ES_tradnl"/>
        </w:rPr>
        <w:t xml:space="preserve">Administración </w:t>
      </w:r>
      <w:r w:rsidRPr="00A0389A">
        <w:rPr>
          <w:rFonts w:ascii="Verdana" w:eastAsia="Calibri" w:hAnsi="Verdana" w:cs="Arial"/>
          <w:lang w:val="es-ES_tradnl" w:eastAsia="es-ES"/>
        </w:rPr>
        <w:t>y</w:t>
      </w:r>
      <w:r w:rsidRPr="00A0389A">
        <w:rPr>
          <w:rFonts w:ascii="Verdana" w:eastAsia="Calibri" w:hAnsi="Verdana" w:cs="Arial"/>
          <w:lang w:val="es-ES" w:eastAsia="es-ES"/>
        </w:rPr>
        <w:t xml:space="preserve"> lo</w:t>
      </w:r>
      <w:r w:rsidRPr="00A0389A">
        <w:rPr>
          <w:rFonts w:ascii="Verdana" w:eastAsia="Calibri" w:hAnsi="Verdana" w:cs="Arial"/>
          <w:i/>
          <w:iCs/>
          <w:lang w:val="es-ES" w:eastAsia="es-ES"/>
        </w:rPr>
        <w:t>s Imprevistos</w:t>
      </w:r>
      <w:r w:rsidRPr="00A0389A">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A0389A">
        <w:rPr>
          <w:rFonts w:ascii="Verdana" w:eastAsia="Calibri" w:hAnsi="Verdana" w:cs="Times New Roman"/>
          <w:vertAlign w:val="superscript"/>
          <w:lang w:val="es-ES" w:eastAsia="es-ES_tradnl"/>
        </w:rPr>
        <w:footnoteReference w:id="10"/>
      </w:r>
      <w:r w:rsidRPr="00A0389A">
        <w:rPr>
          <w:rFonts w:ascii="Verdana" w:eastAsia="Calibri" w:hAnsi="Verdana" w:cs="Arial"/>
          <w:bCs/>
          <w:szCs w:val="24"/>
          <w:lang w:val="es-ES_tradnl" w:eastAsia="es-ES_tradnl"/>
        </w:rPr>
        <w:t xml:space="preserve">. </w:t>
      </w:r>
    </w:p>
    <w:p w14:paraId="6EEB6F74" w14:textId="77777777" w:rsidR="006779F5" w:rsidRPr="00A0389A" w:rsidRDefault="006779F5" w:rsidP="006779F5">
      <w:pPr>
        <w:snapToGrid w:val="0"/>
        <w:spacing w:after="120" w:line="276" w:lineRule="auto"/>
        <w:ind w:firstLine="601"/>
        <w:jc w:val="both"/>
        <w:rPr>
          <w:rFonts w:ascii="Verdana" w:eastAsia="Calibri" w:hAnsi="Verdana" w:cs="Arial"/>
          <w:bCs/>
          <w:szCs w:val="24"/>
          <w:lang w:val="es-ES_tradnl" w:eastAsia="es-ES_tradnl"/>
        </w:rPr>
      </w:pPr>
      <w:r w:rsidRPr="0095754D">
        <w:rPr>
          <w:rFonts w:ascii="Verdana" w:eastAsia="Calibri" w:hAnsi="Verdana" w:cs="Arial"/>
          <w:lang w:eastAsia="es-ES"/>
        </w:rPr>
        <w:t xml:space="preserve">Así las cosas, las partes asumen los riesgos inherentes a esta forma de pactar el precio, entendiendo aceptadas las </w:t>
      </w:r>
      <w:proofErr w:type="spellStart"/>
      <w:r w:rsidRPr="0095754D">
        <w:rPr>
          <w:rFonts w:ascii="Verdana" w:eastAsia="Calibri" w:hAnsi="Verdana" w:cs="Arial"/>
          <w:i/>
          <w:iCs/>
          <w:lang w:eastAsia="es-ES"/>
        </w:rPr>
        <w:t>áleas</w:t>
      </w:r>
      <w:proofErr w:type="spellEnd"/>
      <w:r w:rsidRPr="0095754D">
        <w:rPr>
          <w:rFonts w:ascii="Verdana" w:eastAsia="Calibri" w:hAnsi="Verdana" w:cs="Arial"/>
          <w:lang w:eastAsia="es-ES"/>
        </w:rPr>
        <w:t xml:space="preserve"> normales que se presenten en la ejecución del contrato, de manera que, aunque el contratista incurra en mayores costos de los ítems incluidos en la </w:t>
      </w:r>
      <w:r w:rsidRPr="0095754D">
        <w:rPr>
          <w:rFonts w:ascii="Verdana" w:eastAsia="Calibri" w:hAnsi="Verdana" w:cs="Arial"/>
          <w:i/>
          <w:iCs/>
          <w:lang w:eastAsia="es-ES"/>
        </w:rPr>
        <w:t>Administración</w:t>
      </w:r>
      <w:r w:rsidRPr="0095754D">
        <w:rPr>
          <w:rFonts w:ascii="Verdana" w:eastAsia="Calibri" w:hAnsi="Verdana" w:cs="Arial"/>
          <w:lang w:eastAsia="es-ES"/>
        </w:rPr>
        <w:t xml:space="preserve"> o en más gastos de </w:t>
      </w:r>
      <w:r w:rsidRPr="0095754D">
        <w:rPr>
          <w:rFonts w:ascii="Verdana" w:eastAsia="Calibri" w:hAnsi="Verdana" w:cs="Arial"/>
          <w:i/>
          <w:iCs/>
          <w:lang w:eastAsia="es-ES"/>
        </w:rPr>
        <w:t>Imprevistos</w:t>
      </w:r>
      <w:r w:rsidRPr="0095754D">
        <w:rPr>
          <w:rFonts w:ascii="Verdana" w:eastAsia="Calibri" w:hAnsi="Verdana" w:cs="Arial"/>
          <w:lang w:eastAsia="es-ES"/>
        </w:rPr>
        <w:t xml:space="preserve"> al presentar su oferta, o que estos disminuyan, aparezcan algunos nuevos o desaparezcan algunos de ellos, el valor se mantenga invariable.</w:t>
      </w:r>
    </w:p>
    <w:p w14:paraId="591F9FD6" w14:textId="77777777" w:rsidR="006779F5" w:rsidRPr="00A0389A" w:rsidRDefault="006779F5" w:rsidP="006779F5">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w:t>
      </w:r>
      <w:r w:rsidRPr="00A0389A">
        <w:rPr>
          <w:rFonts w:ascii="Verdana" w:eastAsia="Calibri" w:hAnsi="Verdana" w:cs="Arial"/>
          <w:lang w:val="es-ES" w:eastAsia="es-ES"/>
        </w:rPr>
        <w:lastRenderedPageBreak/>
        <w:t xml:space="preserve">pues su contraparte no le podrá exigir un monto superior, bajo el argumento de que incurrió en costos o gastos adicionales asociados al componente </w:t>
      </w:r>
      <w:r w:rsidRPr="00A0389A">
        <w:rPr>
          <w:rFonts w:ascii="Verdana" w:eastAsia="Calibri" w:hAnsi="Verdana" w:cs="Arial"/>
          <w:i/>
          <w:iCs/>
          <w:lang w:val="es-ES" w:eastAsia="es-ES"/>
        </w:rPr>
        <w:t>Administración</w:t>
      </w:r>
      <w:r w:rsidRPr="00A0389A">
        <w:rPr>
          <w:rFonts w:ascii="Verdana" w:eastAsia="Calibri" w:hAnsi="Verdana" w:cs="Arial"/>
          <w:lang w:val="es-ES" w:eastAsia="es-ES"/>
        </w:rPr>
        <w:t xml:space="preserve"> o de </w:t>
      </w:r>
      <w:r w:rsidRPr="00A0389A">
        <w:rPr>
          <w:rFonts w:ascii="Verdana" w:eastAsia="Calibri" w:hAnsi="Verdana" w:cs="Arial"/>
          <w:i/>
          <w:iCs/>
          <w:lang w:val="es-ES" w:eastAsia="es-ES"/>
        </w:rPr>
        <w:t>Imprevistos</w:t>
      </w:r>
      <w:r w:rsidRPr="00A0389A">
        <w:rPr>
          <w:rFonts w:ascii="Verdana" w:eastAsia="Calibri" w:hAnsi="Verdana" w:cs="Times New Roman"/>
          <w:vertAlign w:val="superscript"/>
          <w:lang w:val="es-ES" w:eastAsia="es-ES"/>
        </w:rPr>
        <w:footnoteReference w:id="11"/>
      </w:r>
      <w:r w:rsidRPr="00A0389A">
        <w:rPr>
          <w:rFonts w:ascii="Verdana" w:eastAsia="Calibri" w:hAnsi="Verdana" w:cs="Arial"/>
          <w:lang w:val="es-ES" w:eastAsia="es-ES"/>
        </w:rPr>
        <w:t>.</w:t>
      </w:r>
    </w:p>
    <w:p w14:paraId="2D43C7C2" w14:textId="77777777" w:rsidR="006779F5" w:rsidRDefault="006779F5" w:rsidP="006779F5">
      <w:pPr>
        <w:spacing w:after="0" w:line="276" w:lineRule="auto"/>
        <w:ind w:firstLine="709"/>
        <w:jc w:val="both"/>
        <w:rPr>
          <w:rFonts w:ascii="Verdana" w:hAnsi="Verdana" w:cs="Arial"/>
          <w:lang w:val="es-ES" w:eastAsia="es-ES"/>
        </w:rPr>
      </w:pPr>
      <w:r w:rsidRPr="001F5DD0">
        <w:rPr>
          <w:rFonts w:ascii="Verdana" w:hAnsi="Verdana" w:cs="Arial"/>
          <w:lang w:val="es-ES" w:eastAsia="es-E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w:t>
      </w:r>
    </w:p>
    <w:p w14:paraId="1C53305A" w14:textId="77777777" w:rsidR="006779F5" w:rsidRDefault="006779F5" w:rsidP="006779F5">
      <w:pPr>
        <w:spacing w:after="0" w:line="276" w:lineRule="auto"/>
        <w:jc w:val="both"/>
        <w:rPr>
          <w:rFonts w:ascii="Verdana" w:hAnsi="Verdana" w:cs="Arial"/>
          <w:lang w:val="es-ES" w:eastAsia="es-ES"/>
        </w:rPr>
      </w:pPr>
    </w:p>
    <w:p w14:paraId="3E729C20" w14:textId="77777777" w:rsidR="006779F5" w:rsidRPr="003070C4" w:rsidRDefault="006779F5" w:rsidP="006779F5">
      <w:pPr>
        <w:spacing w:after="0" w:line="276" w:lineRule="auto"/>
        <w:jc w:val="both"/>
        <w:rPr>
          <w:rFonts w:ascii="Verdana" w:hAnsi="Verdana" w:cs="Arial"/>
          <w:lang w:val="es-ES_tradnl" w:eastAsia="es-ES"/>
        </w:rPr>
      </w:pPr>
      <w:proofErr w:type="spellStart"/>
      <w:r>
        <w:rPr>
          <w:rFonts w:ascii="Verdana" w:hAnsi="Verdana" w:cs="Arial"/>
          <w:lang w:val="es-ES" w:eastAsia="es-ES"/>
        </w:rPr>
        <w:t>ii</w:t>
      </w:r>
      <w:proofErr w:type="spellEnd"/>
      <w:r>
        <w:rPr>
          <w:rFonts w:ascii="Verdana" w:hAnsi="Verdana" w:cs="Arial"/>
          <w:lang w:val="es-ES" w:eastAsia="es-ES"/>
        </w:rPr>
        <w:t xml:space="preserve">. Los costos directos </w:t>
      </w:r>
      <w:r>
        <w:rPr>
          <w:rFonts w:ascii="Verdana" w:hAnsi="Verdana" w:cs="Arial"/>
          <w:bCs/>
          <w:lang w:val="es-ES_tradnl" w:eastAsia="es-ES"/>
        </w:rPr>
        <w:t xml:space="preserve">son aquellos </w:t>
      </w:r>
      <w:r w:rsidRPr="007406B3">
        <w:rPr>
          <w:rFonts w:ascii="Verdana" w:hAnsi="Verdana" w:cs="Arial"/>
          <w:lang w:val="es-ES" w:eastAsia="es-ES"/>
        </w:rPr>
        <w:t>que están directamente implicados en la ejecución del objet</w:t>
      </w:r>
      <w:r>
        <w:rPr>
          <w:rFonts w:ascii="Verdana" w:hAnsi="Verdana" w:cs="Arial"/>
          <w:lang w:val="es-ES" w:eastAsia="es-ES"/>
        </w:rPr>
        <w:t>o o imprescindibles</w:t>
      </w:r>
      <w:r w:rsidRPr="00960F17">
        <w:rPr>
          <w:rFonts w:ascii="Verdana" w:hAnsi="Verdana" w:cs="Arial"/>
          <w:lang w:val="es-ES_tradnl" w:eastAsia="es-ES"/>
        </w:rPr>
        <w:t xml:space="preserve"> para ejecutar la obra, entre los que se encuentra: la adquisición de materiales, insumos y suministros, la inversión en equipos, el pago de la mano de obra de las cuadrillas de trabajadores obreros y otros gastos afines –representados en los ítems que componen el contrato–</w:t>
      </w:r>
      <w:r>
        <w:rPr>
          <w:rStyle w:val="Refdenotaalpie"/>
          <w:rFonts w:ascii="Verdana" w:hAnsi="Verdana" w:cs="Arial"/>
          <w:lang w:val="es-ES_tradnl" w:eastAsia="es-ES"/>
        </w:rPr>
        <w:footnoteReference w:id="12"/>
      </w:r>
      <w:r w:rsidRPr="00960F17">
        <w:rPr>
          <w:rFonts w:ascii="Verdana" w:hAnsi="Verdana" w:cs="Arial"/>
          <w:lang w:val="es-ES_tradnl" w:eastAsia="es-ES"/>
        </w:rPr>
        <w:t>.</w:t>
      </w:r>
      <w:r>
        <w:rPr>
          <w:rFonts w:ascii="Verdana" w:hAnsi="Verdana" w:cs="Arial"/>
          <w:lang w:val="es-ES_tradnl" w:eastAsia="es-ES"/>
        </w:rPr>
        <w:t xml:space="preserve"> </w:t>
      </w:r>
      <w:r w:rsidRPr="00BA3308">
        <w:rPr>
          <w:rFonts w:ascii="Verdana" w:hAnsi="Verdana" w:cs="Arial"/>
          <w:lang w:eastAsia="es-ES"/>
        </w:rPr>
        <w:t xml:space="preserve">Desde una perspectiva técnica y jurídica, los costos directos de obra constituyen aquellos gastos que pueden identificarse y asignarse de manera específica a una partida o actividad concreta dentro del proyecto constructivo. </w:t>
      </w:r>
      <w:r w:rsidRPr="00AA189D">
        <w:rPr>
          <w:rFonts w:ascii="Verdana" w:hAnsi="Verdana" w:cs="Arial"/>
          <w:lang w:val="es-ES_tradnl" w:eastAsia="es-ES"/>
        </w:rPr>
        <w:t xml:space="preserve">En este aspecto, dichos costos hacen parte del precio del contrato, igual que los costos indirectos. </w:t>
      </w:r>
      <w:r w:rsidRPr="00BA3308">
        <w:rPr>
          <w:rFonts w:ascii="Verdana" w:hAnsi="Verdana" w:cs="Arial"/>
          <w:lang w:eastAsia="es-ES"/>
        </w:rPr>
        <w:t>En el ámbito de la contratación estatal, estos costos son determinantes porque permiten establecer con precisión el precio unitario de cada concepto y, en consecuencia, asegurar la transparencia y la trazabilidad del presupuesto.</w:t>
      </w:r>
      <w:r>
        <w:rPr>
          <w:rFonts w:ascii="Verdana" w:hAnsi="Verdana" w:cs="Arial"/>
          <w:lang w:eastAsia="es-ES"/>
        </w:rPr>
        <w:t xml:space="preserve"> Al respecto, la doctrina expresa frente a los costos directos lo siguiente:</w:t>
      </w:r>
    </w:p>
    <w:p w14:paraId="4DDC50A4" w14:textId="77777777" w:rsidR="006779F5" w:rsidRDefault="006779F5" w:rsidP="006779F5">
      <w:pPr>
        <w:spacing w:after="0" w:line="276" w:lineRule="auto"/>
        <w:jc w:val="both"/>
        <w:rPr>
          <w:rFonts w:ascii="Verdana" w:hAnsi="Verdana" w:cs="Arial"/>
          <w:lang w:eastAsia="es-ES"/>
        </w:rPr>
      </w:pPr>
    </w:p>
    <w:p w14:paraId="180E7554" w14:textId="77777777" w:rsidR="006779F5" w:rsidRPr="00535CBB" w:rsidRDefault="006779F5" w:rsidP="006779F5">
      <w:pPr>
        <w:spacing w:after="0" w:line="240" w:lineRule="auto"/>
        <w:ind w:left="709" w:right="709"/>
        <w:jc w:val="both"/>
        <w:rPr>
          <w:rFonts w:ascii="Verdana" w:hAnsi="Verdana" w:cs="Arial"/>
          <w:sz w:val="20"/>
          <w:szCs w:val="20"/>
          <w:lang w:eastAsia="es-ES"/>
        </w:rPr>
      </w:pPr>
      <w:r w:rsidRPr="00535CBB">
        <w:rPr>
          <w:rFonts w:ascii="Verdana" w:hAnsi="Verdana" w:cs="Arial"/>
          <w:sz w:val="20"/>
          <w:szCs w:val="20"/>
          <w:lang w:eastAsia="es-ES"/>
        </w:rPr>
        <w:t>"</w:t>
      </w:r>
      <w:r>
        <w:rPr>
          <w:rFonts w:ascii="Verdana" w:hAnsi="Verdana" w:cs="Arial"/>
          <w:sz w:val="20"/>
          <w:szCs w:val="20"/>
          <w:lang w:eastAsia="es-ES"/>
        </w:rPr>
        <w:t>[</w:t>
      </w:r>
      <w:r w:rsidRPr="00535CBB">
        <w:rPr>
          <w:rFonts w:ascii="Verdana" w:hAnsi="Verdana" w:cs="Arial"/>
          <w:sz w:val="20"/>
          <w:szCs w:val="20"/>
          <w:lang w:eastAsia="es-ES"/>
        </w:rPr>
        <w:t>...</w:t>
      </w:r>
      <w:r>
        <w:rPr>
          <w:rFonts w:ascii="Verdana" w:hAnsi="Verdana" w:cs="Arial"/>
          <w:sz w:val="20"/>
          <w:szCs w:val="20"/>
          <w:lang w:eastAsia="es-ES"/>
        </w:rPr>
        <w:t>]</w:t>
      </w:r>
    </w:p>
    <w:p w14:paraId="7DB7D182" w14:textId="77777777" w:rsidR="006779F5" w:rsidRPr="00535CBB" w:rsidRDefault="006779F5" w:rsidP="006779F5">
      <w:pPr>
        <w:spacing w:after="0" w:line="240" w:lineRule="auto"/>
        <w:ind w:left="709" w:right="709"/>
        <w:jc w:val="both"/>
        <w:rPr>
          <w:rFonts w:ascii="Verdana" w:hAnsi="Verdana" w:cs="Arial"/>
          <w:sz w:val="20"/>
          <w:szCs w:val="20"/>
          <w:lang w:eastAsia="es-ES"/>
        </w:rPr>
      </w:pPr>
      <w:r w:rsidRPr="00535CBB">
        <w:rPr>
          <w:rFonts w:ascii="Verdana" w:hAnsi="Verdana" w:cs="Arial"/>
          <w:sz w:val="20"/>
          <w:szCs w:val="20"/>
          <w:lang w:eastAsia="es-ES"/>
        </w:rPr>
        <w:t>a) la mano de obra, con sus pluses y cargas y seguros</w:t>
      </w:r>
      <w:r>
        <w:rPr>
          <w:rFonts w:ascii="Verdana" w:hAnsi="Verdana" w:cs="Arial"/>
          <w:sz w:val="20"/>
          <w:szCs w:val="20"/>
          <w:lang w:eastAsia="es-ES"/>
        </w:rPr>
        <w:t xml:space="preserve"> </w:t>
      </w:r>
      <w:r w:rsidRPr="00535CBB">
        <w:rPr>
          <w:rFonts w:ascii="Verdana" w:hAnsi="Verdana" w:cs="Arial"/>
          <w:sz w:val="20"/>
          <w:szCs w:val="20"/>
          <w:lang w:eastAsia="es-ES"/>
        </w:rPr>
        <w:t>sociales, que intervienen directamente en la</w:t>
      </w:r>
      <w:r>
        <w:rPr>
          <w:rFonts w:ascii="Verdana" w:hAnsi="Verdana" w:cs="Arial"/>
          <w:sz w:val="20"/>
          <w:szCs w:val="20"/>
          <w:lang w:eastAsia="es-ES"/>
        </w:rPr>
        <w:t xml:space="preserve"> </w:t>
      </w:r>
      <w:r w:rsidRPr="00535CBB">
        <w:rPr>
          <w:rFonts w:ascii="Verdana" w:hAnsi="Verdana" w:cs="Arial"/>
          <w:sz w:val="20"/>
          <w:szCs w:val="20"/>
          <w:lang w:eastAsia="es-ES"/>
        </w:rPr>
        <w:t>ejecución de la unidad de la obra;</w:t>
      </w:r>
    </w:p>
    <w:p w14:paraId="0FED58B2" w14:textId="77777777" w:rsidR="006779F5" w:rsidRPr="00535CBB" w:rsidRDefault="006779F5" w:rsidP="006779F5">
      <w:pPr>
        <w:spacing w:after="0" w:line="240" w:lineRule="auto"/>
        <w:ind w:left="709" w:right="709"/>
        <w:jc w:val="both"/>
        <w:rPr>
          <w:rFonts w:ascii="Verdana" w:hAnsi="Verdana" w:cs="Arial"/>
          <w:sz w:val="20"/>
          <w:szCs w:val="20"/>
          <w:lang w:eastAsia="es-ES"/>
        </w:rPr>
      </w:pPr>
      <w:r w:rsidRPr="00535CBB">
        <w:rPr>
          <w:rFonts w:ascii="Verdana" w:hAnsi="Verdana" w:cs="Arial"/>
          <w:sz w:val="20"/>
          <w:szCs w:val="20"/>
          <w:lang w:eastAsia="es-ES"/>
        </w:rPr>
        <w:lastRenderedPageBreak/>
        <w:t>b) los materiales a los precios resultantes a pie de obra,</w:t>
      </w:r>
      <w:r>
        <w:rPr>
          <w:rFonts w:ascii="Verdana" w:hAnsi="Verdana" w:cs="Arial"/>
          <w:sz w:val="20"/>
          <w:szCs w:val="20"/>
          <w:lang w:eastAsia="es-ES"/>
        </w:rPr>
        <w:t xml:space="preserve"> </w:t>
      </w:r>
      <w:r w:rsidRPr="00535CBB">
        <w:rPr>
          <w:rFonts w:ascii="Verdana" w:hAnsi="Verdana" w:cs="Arial"/>
          <w:sz w:val="20"/>
          <w:szCs w:val="20"/>
          <w:lang w:eastAsia="es-ES"/>
        </w:rPr>
        <w:t>que quedan integrados en la</w:t>
      </w:r>
      <w:r>
        <w:rPr>
          <w:rFonts w:ascii="Verdana" w:hAnsi="Verdana" w:cs="Arial"/>
          <w:sz w:val="20"/>
          <w:szCs w:val="20"/>
          <w:lang w:eastAsia="es-ES"/>
        </w:rPr>
        <w:t xml:space="preserve"> </w:t>
      </w:r>
      <w:r w:rsidRPr="00535CBB">
        <w:rPr>
          <w:rFonts w:ascii="Verdana" w:hAnsi="Verdana" w:cs="Arial"/>
          <w:sz w:val="20"/>
          <w:szCs w:val="20"/>
          <w:lang w:eastAsia="es-ES"/>
        </w:rPr>
        <w:t>unidad de que se trate</w:t>
      </w:r>
      <w:r>
        <w:rPr>
          <w:rFonts w:ascii="Verdana" w:hAnsi="Verdana" w:cs="Arial"/>
          <w:sz w:val="20"/>
          <w:szCs w:val="20"/>
          <w:lang w:eastAsia="es-ES"/>
        </w:rPr>
        <w:t xml:space="preserve"> </w:t>
      </w:r>
      <w:r w:rsidRPr="00535CBB">
        <w:rPr>
          <w:rFonts w:ascii="Verdana" w:hAnsi="Verdana" w:cs="Arial"/>
          <w:sz w:val="20"/>
          <w:szCs w:val="20"/>
          <w:lang w:eastAsia="es-ES"/>
        </w:rPr>
        <w:t>o que sean necesarios para su ejecución;</w:t>
      </w:r>
    </w:p>
    <w:p w14:paraId="1F7070DE" w14:textId="77777777" w:rsidR="006779F5" w:rsidRPr="00535CBB" w:rsidRDefault="006779F5" w:rsidP="006779F5">
      <w:pPr>
        <w:spacing w:after="0" w:line="240" w:lineRule="auto"/>
        <w:ind w:left="709" w:right="709"/>
        <w:jc w:val="both"/>
        <w:rPr>
          <w:rFonts w:ascii="Verdana" w:hAnsi="Verdana" w:cs="Arial"/>
          <w:sz w:val="20"/>
          <w:szCs w:val="20"/>
          <w:lang w:eastAsia="es-ES"/>
        </w:rPr>
      </w:pPr>
      <w:r>
        <w:rPr>
          <w:rFonts w:ascii="Verdana" w:hAnsi="Verdana" w:cs="Arial"/>
          <w:sz w:val="20"/>
          <w:szCs w:val="20"/>
          <w:lang w:eastAsia="es-ES"/>
        </w:rPr>
        <w:t>c</w:t>
      </w:r>
      <w:r w:rsidRPr="00535CBB">
        <w:rPr>
          <w:rFonts w:ascii="Verdana" w:hAnsi="Verdana" w:cs="Arial"/>
          <w:sz w:val="20"/>
          <w:szCs w:val="20"/>
          <w:lang w:eastAsia="es-ES"/>
        </w:rPr>
        <w:t xml:space="preserve">) Jos gastos de personal, energía, combustible, etc. </w:t>
      </w:r>
      <w:r>
        <w:rPr>
          <w:rFonts w:ascii="Verdana" w:hAnsi="Verdana" w:cs="Arial"/>
          <w:sz w:val="20"/>
          <w:szCs w:val="20"/>
          <w:lang w:eastAsia="es-ES"/>
        </w:rPr>
        <w:t xml:space="preserve">que </w:t>
      </w:r>
      <w:r w:rsidRPr="00535CBB">
        <w:rPr>
          <w:rFonts w:ascii="Verdana" w:hAnsi="Verdana" w:cs="Arial"/>
          <w:sz w:val="20"/>
          <w:szCs w:val="20"/>
          <w:lang w:eastAsia="es-ES"/>
        </w:rPr>
        <w:t>tengan lugar en el accionamiento o funcionamiento</w:t>
      </w:r>
      <w:r>
        <w:rPr>
          <w:rFonts w:ascii="Verdana" w:hAnsi="Verdana" w:cs="Arial"/>
          <w:sz w:val="20"/>
          <w:szCs w:val="20"/>
          <w:lang w:eastAsia="es-ES"/>
        </w:rPr>
        <w:t xml:space="preserve"> </w:t>
      </w:r>
      <w:r w:rsidRPr="00535CBB">
        <w:rPr>
          <w:rFonts w:ascii="Verdana" w:hAnsi="Verdana" w:cs="Arial"/>
          <w:sz w:val="20"/>
          <w:szCs w:val="20"/>
          <w:lang w:eastAsia="es-ES"/>
        </w:rPr>
        <w:t>de la maquinaria e instalaciones utilizadas en la</w:t>
      </w:r>
      <w:r>
        <w:rPr>
          <w:rFonts w:ascii="Verdana" w:hAnsi="Verdana" w:cs="Arial"/>
          <w:sz w:val="20"/>
          <w:szCs w:val="20"/>
          <w:lang w:eastAsia="es-ES"/>
        </w:rPr>
        <w:t xml:space="preserve"> </w:t>
      </w:r>
      <w:r w:rsidRPr="00535CBB">
        <w:rPr>
          <w:rFonts w:ascii="Verdana" w:hAnsi="Verdana" w:cs="Arial"/>
          <w:sz w:val="20"/>
          <w:szCs w:val="20"/>
          <w:lang w:eastAsia="es-ES"/>
        </w:rPr>
        <w:t>ejecución de la unidad de la obra,</w:t>
      </w:r>
    </w:p>
    <w:p w14:paraId="37A6C413" w14:textId="77777777" w:rsidR="006779F5" w:rsidRPr="00535CBB" w:rsidRDefault="006779F5" w:rsidP="006779F5">
      <w:pPr>
        <w:spacing w:after="0" w:line="240" w:lineRule="auto"/>
        <w:ind w:left="709" w:right="709"/>
        <w:jc w:val="both"/>
        <w:rPr>
          <w:rFonts w:ascii="Verdana" w:hAnsi="Verdana" w:cs="Arial"/>
          <w:sz w:val="20"/>
          <w:szCs w:val="20"/>
          <w:lang w:eastAsia="es-ES"/>
        </w:rPr>
      </w:pPr>
      <w:r w:rsidRPr="00535CBB">
        <w:rPr>
          <w:rFonts w:ascii="Verdana" w:hAnsi="Verdana" w:cs="Arial"/>
          <w:sz w:val="20"/>
          <w:szCs w:val="20"/>
          <w:lang w:eastAsia="es-ES"/>
        </w:rPr>
        <w:t>d) los gastos de amortización y conservación de la</w:t>
      </w:r>
      <w:r>
        <w:rPr>
          <w:rFonts w:ascii="Verdana" w:hAnsi="Verdana" w:cs="Arial"/>
          <w:sz w:val="20"/>
          <w:szCs w:val="20"/>
          <w:lang w:eastAsia="es-ES"/>
        </w:rPr>
        <w:t xml:space="preserve"> </w:t>
      </w:r>
      <w:r w:rsidRPr="00535CBB">
        <w:rPr>
          <w:rFonts w:ascii="Verdana" w:hAnsi="Verdana" w:cs="Arial"/>
          <w:sz w:val="20"/>
          <w:szCs w:val="20"/>
          <w:lang w:eastAsia="es-ES"/>
        </w:rPr>
        <w:t>maquinaria e instalaciones anteriormente citadas'</w:t>
      </w:r>
      <w:r>
        <w:rPr>
          <w:rStyle w:val="Refdenotaalpie"/>
          <w:rFonts w:ascii="Verdana" w:hAnsi="Verdana" w:cs="Arial"/>
          <w:sz w:val="20"/>
          <w:szCs w:val="20"/>
          <w:lang w:eastAsia="es-ES"/>
        </w:rPr>
        <w:footnoteReference w:id="13"/>
      </w:r>
    </w:p>
    <w:p w14:paraId="13BCD510" w14:textId="77777777" w:rsidR="006779F5" w:rsidRDefault="006779F5" w:rsidP="006779F5">
      <w:pPr>
        <w:spacing w:after="0" w:line="276" w:lineRule="auto"/>
        <w:jc w:val="both"/>
        <w:rPr>
          <w:rFonts w:ascii="Verdana" w:hAnsi="Verdana" w:cs="Arial"/>
          <w:lang w:val="es-ES_tradnl" w:eastAsia="es-ES"/>
        </w:rPr>
      </w:pPr>
      <w:r>
        <w:rPr>
          <w:rFonts w:ascii="Verdana" w:hAnsi="Verdana" w:cs="Arial"/>
          <w:lang w:val="es-ES_tradnl" w:eastAsia="es-ES"/>
        </w:rPr>
        <w:tab/>
      </w:r>
    </w:p>
    <w:p w14:paraId="4E467737" w14:textId="77777777" w:rsidR="006779F5" w:rsidRDefault="006779F5" w:rsidP="006779F5">
      <w:pPr>
        <w:spacing w:after="0" w:line="276" w:lineRule="auto"/>
        <w:jc w:val="both"/>
        <w:rPr>
          <w:rFonts w:ascii="Verdana" w:hAnsi="Verdana" w:cs="Arial"/>
          <w:lang w:val="es-ES_tradnl" w:eastAsia="es-ES"/>
        </w:rPr>
      </w:pPr>
      <w:r>
        <w:rPr>
          <w:rFonts w:ascii="Verdana" w:hAnsi="Verdana" w:cs="Arial"/>
          <w:lang w:val="es-ES_tradnl" w:eastAsia="es-ES"/>
        </w:rPr>
        <w:tab/>
        <w:t xml:space="preserve">Así mismo, </w:t>
      </w:r>
      <w:r w:rsidRPr="00E5167E">
        <w:rPr>
          <w:rFonts w:ascii="Verdana" w:hAnsi="Verdana" w:cs="Arial"/>
          <w:lang w:eastAsia="es-ES"/>
        </w:rPr>
        <w:t>La doctrina especializada en contratación estatal y en contabilidad de la construcción ha señalado que los costos directos constituyen el núcleo esencial del análisis de precios unitarios, en tanto permiten asignar de manera precisa los recursos materiales, humanos y técnicos a cada partida de obra.</w:t>
      </w:r>
      <w:r>
        <w:rPr>
          <w:rFonts w:ascii="Verdana" w:hAnsi="Verdana" w:cs="Arial"/>
          <w:lang w:val="es-ES_tradnl" w:eastAsia="es-ES"/>
        </w:rPr>
        <w:t xml:space="preserve"> Al respecto, la doctrina expresa:</w:t>
      </w:r>
    </w:p>
    <w:p w14:paraId="00585FDC" w14:textId="77777777" w:rsidR="006779F5" w:rsidRDefault="006779F5" w:rsidP="006779F5">
      <w:pPr>
        <w:spacing w:after="0" w:line="276" w:lineRule="auto"/>
        <w:jc w:val="both"/>
        <w:rPr>
          <w:rFonts w:ascii="Verdana" w:hAnsi="Verdana" w:cs="Arial"/>
          <w:lang w:val="es-ES_tradnl" w:eastAsia="es-ES"/>
        </w:rPr>
      </w:pPr>
    </w:p>
    <w:p w14:paraId="59623D75" w14:textId="77777777" w:rsidR="006779F5" w:rsidRPr="00C03EAE" w:rsidRDefault="006779F5" w:rsidP="006779F5">
      <w:pPr>
        <w:spacing w:after="0" w:line="240" w:lineRule="auto"/>
        <w:ind w:left="709" w:right="709"/>
        <w:jc w:val="both"/>
        <w:rPr>
          <w:rFonts w:ascii="Verdana" w:hAnsi="Verdana" w:cs="Arial"/>
          <w:sz w:val="20"/>
          <w:szCs w:val="20"/>
          <w:lang w:eastAsia="es-ES"/>
        </w:rPr>
      </w:pPr>
      <w:r w:rsidRPr="00C03EAE">
        <w:rPr>
          <w:rFonts w:ascii="Verdana" w:hAnsi="Verdana" w:cs="Arial"/>
          <w:sz w:val="20"/>
          <w:szCs w:val="20"/>
          <w:lang w:eastAsia="es-ES"/>
        </w:rPr>
        <w:t>Así pues, el costo directo total de una obra equivale a la suma de los costos directos parciales, a los que se llega multiplicando el precio unitario ofertado por el contratista para cada actividad o partida por la cantidad de trabajo a ejecutar. Normalmente la cantidad de trabajo a ejecutar está definida en el expediente técnico en la medida que esto sea posible, pero para la determinación de los precios unitarios si bien es cierto se parte de los valores referenciales propuestos por la Entidad en el Presupuesto Base son fijados por los propios postores quienes se las ingeniarán para obtener los mejores precios en el mercado tanto respecto de la mano de obra, como de los materiales y equipos a emplear.</w:t>
      </w:r>
      <w:r>
        <w:rPr>
          <w:rStyle w:val="Refdenotaalpie"/>
          <w:rFonts w:ascii="Verdana" w:hAnsi="Verdana" w:cs="Arial"/>
          <w:sz w:val="20"/>
          <w:szCs w:val="20"/>
          <w:lang w:eastAsia="es-ES"/>
        </w:rPr>
        <w:footnoteReference w:id="14"/>
      </w:r>
    </w:p>
    <w:p w14:paraId="28DC96BC" w14:textId="77777777" w:rsidR="006779F5" w:rsidRDefault="006779F5" w:rsidP="006779F5">
      <w:pPr>
        <w:spacing w:after="0" w:line="276" w:lineRule="auto"/>
        <w:ind w:firstLine="708"/>
        <w:jc w:val="both"/>
        <w:rPr>
          <w:rFonts w:ascii="Verdana" w:hAnsi="Verdana" w:cs="Arial"/>
          <w:lang w:val="es-ES_tradnl" w:eastAsia="es-ES"/>
        </w:rPr>
      </w:pPr>
    </w:p>
    <w:p w14:paraId="318F7B5F" w14:textId="77777777" w:rsidR="006779F5" w:rsidRDefault="006779F5" w:rsidP="006779F5">
      <w:pPr>
        <w:spacing w:after="120" w:line="276" w:lineRule="auto"/>
        <w:ind w:firstLine="709"/>
        <w:jc w:val="both"/>
        <w:rPr>
          <w:rFonts w:ascii="Verdana" w:hAnsi="Verdana" w:cs="Arial"/>
          <w:lang w:eastAsia="es-ES"/>
        </w:rPr>
      </w:pPr>
      <w:r>
        <w:rPr>
          <w:rFonts w:ascii="Verdana" w:hAnsi="Verdana" w:cs="Arial"/>
          <w:lang w:eastAsia="es-ES"/>
        </w:rPr>
        <w:t>Ahora bien</w:t>
      </w:r>
      <w:r w:rsidRPr="00AC04A7">
        <w:rPr>
          <w:rFonts w:ascii="Verdana" w:hAnsi="Verdana" w:cs="Arial"/>
          <w:lang w:eastAsia="es-ES"/>
        </w:rPr>
        <w:t xml:space="preserve">, para garantizar que los costos directos reflejen la realidad de la ejecución contractual, resulta indispensable el ejercicio de un seguimiento riguroso por parte de la supervisión o la interventoría. </w:t>
      </w:r>
      <w:r>
        <w:rPr>
          <w:rFonts w:ascii="Verdana" w:hAnsi="Verdana" w:cs="Arial"/>
          <w:lang w:val="es-ES_tradnl" w:eastAsia="es-ES"/>
        </w:rPr>
        <w:t>Para ello, hay que señalar que la</w:t>
      </w:r>
      <w:r w:rsidRPr="00A96160">
        <w:rPr>
          <w:rFonts w:ascii="Verdana" w:hAnsi="Verdana" w:cs="Arial"/>
          <w:lang w:val="es-ES_tradnl" w:eastAsia="es-ES"/>
        </w:rPr>
        <w:t xml:space="preserve"> </w:t>
      </w:r>
      <w:r w:rsidRPr="00A96160">
        <w:rPr>
          <w:rFonts w:ascii="Verdana" w:hAnsi="Verdana" w:cs="Arial"/>
          <w:lang w:eastAsia="es-ES"/>
        </w:rPr>
        <w:t xml:space="preserve">exigencia </w:t>
      </w:r>
      <w:r w:rsidRPr="00495E9A">
        <w:rPr>
          <w:rFonts w:ascii="Verdana" w:hAnsi="Verdana" w:cs="Arial"/>
          <w:lang w:eastAsia="es-ES"/>
        </w:rPr>
        <w:t>de que los valores cobrados por concepto de costos directos coincidan estrictamente con los reportes transmitidos a la DIAN plantea un problema de alcance de las facultades de supervisión</w:t>
      </w:r>
      <w:r>
        <w:rPr>
          <w:rFonts w:ascii="Verdana" w:hAnsi="Verdana" w:cs="Arial"/>
          <w:lang w:eastAsia="es-ES"/>
        </w:rPr>
        <w:t xml:space="preserve"> o interventoría</w:t>
      </w:r>
      <w:r w:rsidRPr="00495E9A">
        <w:rPr>
          <w:rFonts w:ascii="Verdana" w:hAnsi="Verdana" w:cs="Arial"/>
          <w:lang w:eastAsia="es-ES"/>
        </w:rPr>
        <w:t xml:space="preserve"> de la entidad contratante. En principio, la entidad estatal sí tiene la obligación de verificar la correcta ejecución del contrato y la razonabilidad de los costos</w:t>
      </w:r>
      <w:r>
        <w:rPr>
          <w:rFonts w:ascii="Verdana" w:hAnsi="Verdana" w:cs="Arial"/>
          <w:lang w:eastAsia="es-ES"/>
        </w:rPr>
        <w:t xml:space="preserve"> directos</w:t>
      </w:r>
      <w:r w:rsidRPr="00495E9A">
        <w:rPr>
          <w:rFonts w:ascii="Verdana" w:hAnsi="Verdana" w:cs="Arial"/>
          <w:lang w:eastAsia="es-ES"/>
        </w:rPr>
        <w:t>,</w:t>
      </w:r>
      <w:r>
        <w:rPr>
          <w:rFonts w:ascii="Verdana" w:hAnsi="Verdana" w:cs="Arial"/>
          <w:lang w:eastAsia="es-ES"/>
        </w:rPr>
        <w:t xml:space="preserve"> sustentado en el artículo 26 numeral 1 de la Ley 80 de 1993 para entidades sometidas a este sobre el principio de responsabilidad: “[…] </w:t>
      </w:r>
      <w:r w:rsidRPr="00D06B12">
        <w:rPr>
          <w:rFonts w:ascii="Verdana" w:hAnsi="Verdana" w:cs="Arial"/>
          <w:lang w:eastAsia="es-ES"/>
        </w:rPr>
        <w:t xml:space="preserve">En virtud </w:t>
      </w:r>
      <w:r w:rsidRPr="00D06B12">
        <w:rPr>
          <w:rFonts w:ascii="Verdana" w:hAnsi="Verdana" w:cs="Arial"/>
          <w:lang w:eastAsia="es-ES"/>
        </w:rPr>
        <w:lastRenderedPageBreak/>
        <w:t>de este principio:</w:t>
      </w:r>
      <w:r w:rsidRPr="00495E9A">
        <w:rPr>
          <w:rFonts w:ascii="Verdana" w:hAnsi="Verdana" w:cs="Arial"/>
          <w:lang w:eastAsia="es-ES"/>
        </w:rPr>
        <w:t xml:space="preserve"> </w:t>
      </w:r>
      <w:r w:rsidRPr="001A0D5B">
        <w:rPr>
          <w:rFonts w:ascii="Verdana" w:hAnsi="Verdana" w:cs="Arial"/>
          <w:lang w:eastAsia="es-ES"/>
        </w:rPr>
        <w:t>1o. 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r>
        <w:rPr>
          <w:rFonts w:ascii="Verdana" w:hAnsi="Verdana" w:cs="Arial"/>
          <w:lang w:eastAsia="es-ES"/>
        </w:rPr>
        <w:t>”</w:t>
      </w:r>
      <w:r w:rsidRPr="001A0D5B">
        <w:rPr>
          <w:rFonts w:ascii="Verdana" w:hAnsi="Verdana" w:cs="Arial"/>
          <w:lang w:eastAsia="es-ES"/>
        </w:rPr>
        <w:t>.</w:t>
      </w:r>
    </w:p>
    <w:p w14:paraId="687CB384" w14:textId="77777777" w:rsidR="006779F5" w:rsidRDefault="006779F5" w:rsidP="006779F5">
      <w:pPr>
        <w:spacing w:after="120" w:line="276" w:lineRule="auto"/>
        <w:ind w:firstLine="708"/>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Quien ejerza la vigilancia de la ejecución del contrato, ya sea mediante la supervisión 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mediante</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interventoría,</w:t>
      </w:r>
      <w:r w:rsidRPr="00984E13">
        <w:rPr>
          <w:rFonts w:ascii="Verdana" w:eastAsia="Arial MT" w:hAnsi="Verdana" w:cs="Arial"/>
          <w:color w:val="000000" w:themeColor="text1"/>
          <w:spacing w:val="-4"/>
          <w:lang w:val="es-ES"/>
        </w:rPr>
        <w:t xml:space="preserve"> </w:t>
      </w:r>
      <w:r w:rsidRPr="00984E13">
        <w:rPr>
          <w:rFonts w:ascii="Verdana" w:eastAsia="Arial MT" w:hAnsi="Verdana" w:cs="Arial"/>
          <w:color w:val="000000" w:themeColor="text1"/>
          <w:lang w:val="es-ES"/>
        </w:rPr>
        <w:t>puede</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hacer</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uso</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las</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facultades</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previstas</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4"/>
          <w:lang w:val="es-ES"/>
        </w:rPr>
        <w:t xml:space="preserve"> </w:t>
      </w:r>
      <w:r w:rsidRPr="00984E13">
        <w:rPr>
          <w:rFonts w:ascii="Verdana" w:eastAsia="Arial MT" w:hAnsi="Verdana" w:cs="Arial"/>
          <w:color w:val="000000" w:themeColor="text1"/>
          <w:lang w:val="es-ES"/>
        </w:rPr>
        <w:t>artículo</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84</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Ley</w:t>
      </w:r>
      <w:r w:rsidRPr="00984E13">
        <w:rPr>
          <w:rFonts w:ascii="Verdana" w:eastAsia="Arial MT" w:hAnsi="Verdana" w:cs="Arial"/>
          <w:color w:val="000000" w:themeColor="text1"/>
          <w:spacing w:val="-58"/>
          <w:lang w:val="es-ES"/>
        </w:rPr>
        <w:t xml:space="preserve"> </w:t>
      </w:r>
      <w:r w:rsidRPr="00984E13">
        <w:rPr>
          <w:rFonts w:ascii="Verdana" w:eastAsia="Arial MT" w:hAnsi="Verdana" w:cs="Arial"/>
          <w:color w:val="000000" w:themeColor="text1"/>
          <w:lang w:val="es-ES"/>
        </w:rPr>
        <w:t>1474 de 2011 para efectuar el seguimiento al cumplimiento obligacional del contrato y estará</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 xml:space="preserve">sometido a los deberes y responsabilidades que implica el ejercicio de dicha actividad. En este contexto, </w:t>
      </w:r>
      <w:r>
        <w:rPr>
          <w:rFonts w:ascii="Verdana" w:eastAsia="Arial MT" w:hAnsi="Verdana" w:cs="Arial"/>
          <w:color w:val="000000" w:themeColor="text1"/>
          <w:lang w:val="es-ES"/>
        </w:rPr>
        <w:t xml:space="preserve">tanto los supervisores como los interventores </w:t>
      </w:r>
      <w:r w:rsidRPr="00984E13">
        <w:rPr>
          <w:rFonts w:ascii="Verdana" w:eastAsia="Arial MT" w:hAnsi="Verdana" w:cs="Arial"/>
          <w:color w:val="000000" w:themeColor="text1"/>
          <w:lang w:val="es-ES"/>
        </w:rPr>
        <w:t>“</w:t>
      </w:r>
      <w:r w:rsidRPr="00B431DE">
        <w:rPr>
          <w:rFonts w:ascii="Verdana" w:eastAsia="Arial MT" w:hAnsi="Verdana" w:cs="Arial"/>
          <w:color w:val="000000" w:themeColor="text1"/>
        </w:rPr>
        <w:t>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r>
        <w:rPr>
          <w:rFonts w:ascii="Verdana" w:eastAsia="Arial MT" w:hAnsi="Verdana" w:cs="Arial"/>
          <w:color w:val="000000" w:themeColor="text1"/>
        </w:rPr>
        <w:t>”. En otras palabras,</w:t>
      </w:r>
      <w:r w:rsidRPr="00F34F57">
        <w:rPr>
          <w:rFonts w:ascii="Verdana" w:eastAsia="Arial MT" w:hAnsi="Verdana" w:cs="Arial"/>
          <w:color w:val="000000" w:themeColor="text1"/>
        </w:rPr>
        <w:t xml:space="preserve"> quienes ejercen funciones de seguimiento contractual tienen la potestad de pedir al contratista toda la información necesaria —informes, aclaraciones y explicaciones— para verificar cómo avanza la ejecución del contrato. Además, se les impone un deber especial: deben mantener informada a la entidad contratante sobre cualquier hecho, situación o indicio que pueda constituir un acto de corrupción o que genere riesgo de incumplimiento contractual, e incluso reportar cuando dicho incumplimiento ya se haya producido. </w:t>
      </w:r>
    </w:p>
    <w:p w14:paraId="12FFBE26" w14:textId="77777777" w:rsidR="006779F5" w:rsidRDefault="006779F5" w:rsidP="006779F5">
      <w:pPr>
        <w:spacing w:after="120" w:line="276" w:lineRule="auto"/>
        <w:ind w:firstLine="709"/>
        <w:jc w:val="both"/>
        <w:rPr>
          <w:rFonts w:ascii="Verdana" w:eastAsia="Times New Roman" w:hAnsi="Verdana" w:cs="Arial"/>
          <w:bCs/>
          <w:lang w:val="es-ES"/>
        </w:rPr>
      </w:pPr>
      <w:r>
        <w:rPr>
          <w:rFonts w:ascii="Verdana" w:eastAsia="Arial MT" w:hAnsi="Verdana" w:cs="Arial"/>
          <w:color w:val="000000" w:themeColor="text1"/>
          <w:lang w:val="es-ES"/>
        </w:rPr>
        <w:t>Incluso, a</w:t>
      </w:r>
      <w:r w:rsidRPr="00140D7A">
        <w:rPr>
          <w:rFonts w:ascii="Verdana" w:eastAsia="Arial MT" w:hAnsi="Verdana" w:cs="Arial"/>
          <w:color w:val="000000" w:themeColor="text1"/>
          <w:lang w:val="es-ES"/>
        </w:rPr>
        <w:t>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Lo anterior</w:t>
      </w:r>
      <w:r>
        <w:rPr>
          <w:rFonts w:ascii="Verdana" w:eastAsia="Arial MT" w:hAnsi="Verdana" w:cs="Arial"/>
          <w:color w:val="000000" w:themeColor="text1"/>
          <w:lang w:val="es-ES"/>
        </w:rPr>
        <w:t>,</w:t>
      </w:r>
      <w:r w:rsidRPr="00140D7A">
        <w:rPr>
          <w:rFonts w:ascii="Verdana" w:eastAsia="Arial MT" w:hAnsi="Verdana" w:cs="Arial"/>
          <w:color w:val="000000" w:themeColor="text1"/>
          <w:lang w:val="es-ES"/>
        </w:rPr>
        <w:t xml:space="preserve"> en la medida </w:t>
      </w:r>
      <w:r>
        <w:rPr>
          <w:rFonts w:ascii="Verdana" w:eastAsia="Arial MT" w:hAnsi="Verdana" w:cs="Arial"/>
          <w:color w:val="000000" w:themeColor="text1"/>
          <w:lang w:val="es-ES"/>
        </w:rPr>
        <w:t>en</w:t>
      </w:r>
      <w:r w:rsidRPr="00140D7A">
        <w:rPr>
          <w:rFonts w:ascii="Verdana" w:eastAsia="Arial MT" w:hAnsi="Verdana" w:cs="Arial"/>
          <w:color w:val="000000" w:themeColor="text1"/>
          <w:lang w:val="es-ES"/>
        </w:rPr>
        <w:t xml:space="preserve"> que ambos son mecanismos a través de los cuales las entidades cumplen el deber de vigilar la correcta ejecución de los contratos, por lo que comparten una finalidad común.</w:t>
      </w:r>
      <w:r w:rsidRPr="00AD4D54">
        <w:rPr>
          <w:rFonts w:ascii="Verdana" w:eastAsia="Times New Roman" w:hAnsi="Verdana" w:cs="Arial"/>
          <w:bCs/>
          <w:lang w:val="es-ES"/>
        </w:rPr>
        <w:t xml:space="preserve"> </w:t>
      </w:r>
    </w:p>
    <w:p w14:paraId="782E808F" w14:textId="77777777" w:rsidR="006779F5" w:rsidRPr="005D6415" w:rsidRDefault="006779F5" w:rsidP="006779F5">
      <w:pPr>
        <w:spacing w:after="120" w:line="276" w:lineRule="auto"/>
        <w:ind w:firstLine="709"/>
        <w:jc w:val="both"/>
        <w:rPr>
          <w:rFonts w:ascii="Verdana" w:eastAsia="Arial MT" w:hAnsi="Verdana" w:cs="Arial"/>
          <w:color w:val="000000" w:themeColor="text1"/>
          <w:lang w:val="es-ES"/>
        </w:rPr>
      </w:pPr>
      <w:r w:rsidRPr="005D6415">
        <w:rPr>
          <w:rFonts w:ascii="Verdana" w:eastAsia="Arial MT" w:hAnsi="Verdana" w:cs="Arial"/>
          <w:bCs/>
          <w:color w:val="000000" w:themeColor="text1"/>
          <w:lang w:val="es-ES"/>
        </w:rPr>
        <w:t>En el marco del seguimiento contractual, la supervisión tiene como función inseparable el seguimiento técnico, administrativo, financiero, contable y jurídico del contrato vigilado, mientras que a la interventoría</w:t>
      </w:r>
      <w:r w:rsidRPr="005D6415">
        <w:rPr>
          <w:rFonts w:ascii="Verdana" w:eastAsia="Arial MT" w:hAnsi="Verdana" w:cs="Arial"/>
          <w:bCs/>
          <w:color w:val="000000" w:themeColor="text1"/>
        </w:rPr>
        <w:t xml:space="preserve"> le es inherente el seguimiento técnico de la correcta ejecución del contrato vigilado. Con todo, el </w:t>
      </w:r>
      <w:r w:rsidRPr="005D6415">
        <w:rPr>
          <w:rFonts w:ascii="Verdana" w:eastAsia="Arial MT" w:hAnsi="Verdana" w:cs="Arial"/>
          <w:bCs/>
          <w:color w:val="000000" w:themeColor="text1"/>
        </w:rPr>
        <w:lastRenderedPageBreak/>
        <w:t>artículo 83 de la Ley 1474 de 2011 permite que en el contrato de interventoría también se pacten obligaciones para que el contratista realice el seguimiento administrativo, financiero, contable o jurídico.</w:t>
      </w:r>
    </w:p>
    <w:p w14:paraId="2B06D61A" w14:textId="77777777" w:rsidR="006779F5" w:rsidRPr="00710752" w:rsidRDefault="006779F5" w:rsidP="006779F5">
      <w:pPr>
        <w:spacing w:after="120" w:line="276" w:lineRule="auto"/>
        <w:ind w:firstLine="708"/>
        <w:jc w:val="both"/>
        <w:rPr>
          <w:rFonts w:ascii="Verdana" w:hAnsi="Verdana" w:cs="Arial"/>
          <w:lang w:val="es-ES" w:eastAsia="es-ES"/>
        </w:rPr>
      </w:pPr>
      <w:r w:rsidRPr="005D6415">
        <w:rPr>
          <w:rFonts w:ascii="Verdana" w:hAnsi="Verdana" w:cs="Arial"/>
          <w:lang w:eastAsia="es-ES"/>
        </w:rPr>
        <w:t>Sin embargo, dicha facultad de seguimiento debe ejercerse dentro del marco contractual y funcional, por lo que no puede confundirse con las competencias de fiscalización tributaria que corresponden exclusivamente a la Dirección de Impuestos y Aduanas Nacionales -DIAN-, señalando que la supervisión contractual busca garantizar la transparencia y la protección del patrimonio público, sin que ello implique sustituir funciones de otras autoridades, especialmente, las tributarias.</w:t>
      </w:r>
      <w:r>
        <w:rPr>
          <w:rFonts w:ascii="Verdana" w:hAnsi="Verdana" w:cs="Arial"/>
          <w:lang w:eastAsia="es-ES"/>
        </w:rPr>
        <w:t xml:space="preserve">  </w:t>
      </w:r>
    </w:p>
    <w:p w14:paraId="40506981" w14:textId="77777777" w:rsidR="006779F5" w:rsidRPr="00495E9A" w:rsidRDefault="006779F5" w:rsidP="006779F5">
      <w:pPr>
        <w:spacing w:before="120" w:after="120" w:line="276" w:lineRule="auto"/>
        <w:ind w:firstLine="709"/>
        <w:jc w:val="both"/>
        <w:rPr>
          <w:rFonts w:ascii="Verdana" w:hAnsi="Verdana" w:cs="Arial"/>
          <w:lang w:eastAsia="es-ES"/>
        </w:rPr>
      </w:pPr>
      <w:r>
        <w:rPr>
          <w:rFonts w:ascii="Verdana" w:hAnsi="Verdana" w:cs="Arial"/>
          <w:lang w:eastAsia="es-ES"/>
        </w:rPr>
        <w:t xml:space="preserve">En este aspecto se </w:t>
      </w:r>
      <w:r w:rsidRPr="00495E9A">
        <w:rPr>
          <w:rFonts w:ascii="Verdana" w:hAnsi="Verdana" w:cs="Arial"/>
          <w:lang w:eastAsia="es-ES"/>
        </w:rPr>
        <w:t xml:space="preserve">ha sostenido que la supervisión contractual incluye </w:t>
      </w:r>
      <w:r>
        <w:rPr>
          <w:rFonts w:ascii="Verdana" w:hAnsi="Verdana" w:cs="Arial"/>
          <w:lang w:eastAsia="es-ES"/>
        </w:rPr>
        <w:t xml:space="preserve">el seguimiento y control financiero del contrato, a fin de que haya una debida ejecución financiera del contrato y que haya un </w:t>
      </w:r>
      <w:r w:rsidRPr="00495E9A">
        <w:rPr>
          <w:rFonts w:ascii="Verdana" w:hAnsi="Verdana" w:cs="Arial"/>
          <w:lang w:eastAsia="es-ES"/>
        </w:rPr>
        <w:t xml:space="preserve">equilibrio económico del contrato. </w:t>
      </w:r>
      <w:r>
        <w:rPr>
          <w:rFonts w:ascii="Verdana" w:hAnsi="Verdana" w:cs="Arial"/>
          <w:lang w:eastAsia="es-ES"/>
        </w:rPr>
        <w:t xml:space="preserve">Ahora bien, exigir </w:t>
      </w:r>
      <w:r w:rsidRPr="00495E9A">
        <w:rPr>
          <w:rFonts w:ascii="Verdana" w:hAnsi="Verdana" w:cs="Arial"/>
          <w:lang w:eastAsia="es-ES"/>
        </w:rPr>
        <w:t xml:space="preserve">que los costos coincidan con los reportes a la DIAN puede </w:t>
      </w:r>
      <w:r w:rsidRPr="0031601F">
        <w:rPr>
          <w:rFonts w:ascii="Verdana" w:hAnsi="Verdana" w:cs="Arial"/>
          <w:lang w:eastAsia="es-ES"/>
        </w:rPr>
        <w:t>operar como un instrumento</w:t>
      </w:r>
      <w:r w:rsidRPr="00495E9A">
        <w:rPr>
          <w:rFonts w:ascii="Verdana" w:hAnsi="Verdana" w:cs="Arial"/>
          <w:lang w:eastAsia="es-ES"/>
        </w:rPr>
        <w:t xml:space="preserve"> de </w:t>
      </w:r>
      <w:r w:rsidRPr="0031601F">
        <w:rPr>
          <w:rFonts w:ascii="Verdana" w:hAnsi="Verdana" w:cs="Arial"/>
          <w:lang w:eastAsia="es-ES"/>
        </w:rPr>
        <w:t xml:space="preserve">verificación y de alerta frente a eventuales </w:t>
      </w:r>
      <w:r w:rsidRPr="00495E9A">
        <w:rPr>
          <w:rFonts w:ascii="Verdana" w:hAnsi="Verdana" w:cs="Arial"/>
          <w:lang w:eastAsia="es-ES"/>
        </w:rPr>
        <w:t xml:space="preserve">sobrecostos o </w:t>
      </w:r>
      <w:r w:rsidRPr="0031601F">
        <w:rPr>
          <w:rFonts w:ascii="Verdana" w:hAnsi="Verdana" w:cs="Arial"/>
          <w:lang w:eastAsia="es-ES"/>
        </w:rPr>
        <w:t xml:space="preserve">riesgos de </w:t>
      </w:r>
      <w:r w:rsidRPr="00495E9A">
        <w:rPr>
          <w:rFonts w:ascii="Verdana" w:hAnsi="Verdana" w:cs="Arial"/>
          <w:lang w:eastAsia="es-ES"/>
        </w:rPr>
        <w:t>evasión</w:t>
      </w:r>
      <w:r w:rsidRPr="0031601F">
        <w:rPr>
          <w:rFonts w:ascii="Verdana" w:hAnsi="Verdana" w:cs="Arial"/>
          <w:lang w:eastAsia="es-ES"/>
        </w:rPr>
        <w:t>, mas no como una condición de pago ni como una competencia de fiscalización tributaria.</w:t>
      </w:r>
      <w:r w:rsidRPr="00495E9A">
        <w:rPr>
          <w:rFonts w:ascii="Verdana" w:hAnsi="Verdana" w:cs="Arial"/>
          <w:lang w:eastAsia="es-ES"/>
        </w:rPr>
        <w:t xml:space="preserve"> El alcance de la supervisión de</w:t>
      </w:r>
      <w:r>
        <w:rPr>
          <w:rFonts w:ascii="Verdana" w:hAnsi="Verdana" w:cs="Arial"/>
          <w:lang w:eastAsia="es-ES"/>
        </w:rPr>
        <w:t xml:space="preserve"> la entidad</w:t>
      </w:r>
      <w:r w:rsidRPr="00495E9A">
        <w:rPr>
          <w:rFonts w:ascii="Verdana" w:hAnsi="Verdana" w:cs="Arial"/>
          <w:lang w:eastAsia="es-ES"/>
        </w:rPr>
        <w:t>, en este caso, se restringe a garantizar la transparencia y el correcto uso de los recursos públicos, sin invadir las competencias de fiscalización tributaria que corresponden a la DIAN.</w:t>
      </w:r>
    </w:p>
    <w:bookmarkEnd w:id="1"/>
    <w:bookmarkEnd w:id="2"/>
    <w:p w14:paraId="67EC4D55" w14:textId="77777777" w:rsidR="006779F5" w:rsidRDefault="006779F5" w:rsidP="006779F5">
      <w:pPr>
        <w:spacing w:before="120" w:after="0" w:line="276" w:lineRule="auto"/>
        <w:ind w:firstLine="709"/>
        <w:jc w:val="both"/>
        <w:rPr>
          <w:rFonts w:ascii="Verdana" w:hAnsi="Verdana" w:cs="Arial"/>
          <w:lang w:eastAsia="es-ES"/>
        </w:rPr>
      </w:pPr>
      <w:r>
        <w:rPr>
          <w:rFonts w:ascii="Verdana" w:hAnsi="Verdana" w:cs="Arial"/>
          <w:lang w:eastAsia="es-ES"/>
        </w:rPr>
        <w:t>Así pues</w:t>
      </w:r>
      <w:r w:rsidRPr="004150B9">
        <w:rPr>
          <w:rFonts w:ascii="Verdana" w:hAnsi="Verdana" w:cs="Arial"/>
          <w:lang w:eastAsia="es-ES"/>
        </w:rPr>
        <w:t xml:space="preserve">, el alcance de la supervisión de la entidad se restringe a garantizar </w:t>
      </w:r>
      <w:r w:rsidRPr="00A34A8F">
        <w:rPr>
          <w:rFonts w:ascii="Verdana" w:hAnsi="Verdana" w:cs="Arial"/>
          <w:lang w:eastAsia="es-ES"/>
        </w:rPr>
        <w:t>la correcta ejecución financiera del contrato y el uso adecuado de los recursos públicos. La posibilidad de exigir que los valores cobrados coincidan con los reportes transmitidos a la DIAN depende del sistema con el que se haya estructurado y pactado el precio. Cuando el valor se acordó bajo el sistema de precios unitarios —con o sin discriminación del AIU—, el contratista se remunera con el producto de las cantidades de obra efectivamente ejecutadas por el precio unitario pactado, de modo que lo que cobra no son los costos en que realmente incurrió, sino el precio convenido, que es ley para las partes.</w:t>
      </w:r>
      <w:r w:rsidRPr="00A34A8F">
        <w:rPr>
          <w:rFonts w:ascii="Verdana" w:hAnsi="Verdana" w:cs="Arial"/>
          <w:vertAlign w:val="superscript"/>
          <w:lang w:eastAsia="es-ES"/>
        </w:rPr>
        <w:footnoteReference w:id="15"/>
      </w:r>
      <w:r w:rsidRPr="00A34A8F">
        <w:rPr>
          <w:rFonts w:ascii="Verdana" w:hAnsi="Verdana" w:cs="Arial"/>
          <w:lang w:eastAsia="es-ES"/>
        </w:rPr>
        <w:t xml:space="preserve"> Según se explicó, en esa modalidad las partes asumen las </w:t>
      </w:r>
      <w:proofErr w:type="spellStart"/>
      <w:r w:rsidRPr="00A34A8F">
        <w:rPr>
          <w:rFonts w:ascii="Verdana" w:hAnsi="Verdana" w:cs="Arial"/>
          <w:lang w:eastAsia="es-ES"/>
        </w:rPr>
        <w:t>áleas</w:t>
      </w:r>
      <w:proofErr w:type="spellEnd"/>
      <w:r w:rsidRPr="00A34A8F">
        <w:rPr>
          <w:rFonts w:ascii="Verdana" w:hAnsi="Verdana" w:cs="Arial"/>
          <w:lang w:eastAsia="es-ES"/>
        </w:rPr>
        <w:t xml:space="preserve"> normales de la ejecución y el </w:t>
      </w:r>
      <w:r w:rsidRPr="00A34A8F">
        <w:rPr>
          <w:rFonts w:ascii="Verdana" w:hAnsi="Verdana" w:cs="Arial"/>
          <w:lang w:eastAsia="es-ES"/>
        </w:rPr>
        <w:lastRenderedPageBreak/>
        <w:t>precio permanece invariable aunque los costos reales del contratista resulten mayores o menores a los estimados, sin que estos deban legalizarse o soportarse ante la entidad.</w:t>
      </w:r>
      <w:r w:rsidRPr="00A34A8F">
        <w:rPr>
          <w:rFonts w:ascii="Verdana" w:hAnsi="Verdana" w:cs="Arial"/>
          <w:vertAlign w:val="superscript"/>
          <w:lang w:eastAsia="es-ES"/>
        </w:rPr>
        <w:footnoteReference w:id="16"/>
      </w:r>
      <w:r w:rsidRPr="00A34A8F">
        <w:rPr>
          <w:rFonts w:ascii="Verdana" w:hAnsi="Verdana" w:cs="Arial"/>
          <w:lang w:eastAsia="es-ES"/>
        </w:rPr>
        <w:t xml:space="preserve"> Por esa razón, exigir una coincidencia estricta entre los costos cobrados y los reportados a la DIAN, como condición para el pago, desnaturalizaría el sistema de precios unitarios y trasladaría a la ejecución una discusión que la entidad definió, en la etapa de planeación, al fijar la metodología de estructuración del valor.</w:t>
      </w:r>
    </w:p>
    <w:p w14:paraId="6F5F9D0D" w14:textId="77777777" w:rsidR="006779F5" w:rsidRDefault="006779F5" w:rsidP="006779F5">
      <w:pPr>
        <w:spacing w:before="120" w:after="0" w:line="276" w:lineRule="auto"/>
        <w:ind w:firstLine="709"/>
        <w:jc w:val="both"/>
        <w:rPr>
          <w:rFonts w:ascii="Verdana" w:hAnsi="Verdana" w:cs="Arial"/>
          <w:lang w:eastAsia="es-ES"/>
        </w:rPr>
      </w:pPr>
      <w:r w:rsidRPr="005E287E">
        <w:rPr>
          <w:rFonts w:ascii="Verdana" w:hAnsi="Verdana" w:cs="Arial"/>
          <w:lang w:eastAsia="es-ES"/>
        </w:rPr>
        <w:t>En consecuencia, en los contratos pactados por precios unitarios el cotejo con la información tributaria no habilita a la entidad para condicionar el pago ni para rehacer el precio convenido. Ese cotejo opera, a lo sumo, como un instrumento de verificación y de alerta temprana frente a eventuales sobrecostos, simulaciones o riesgos de evasión, cuyos hallazgos deben ponerse en conocimiento de las autoridades competentes —entre ellas la DIAN y los organismos de control—, sin que la supervisión pueda sustituir sus funciones. La exigencia de una coincidencia estricta solo resulta procedente cuando el pago se estructuró sobre el reembolso de los costos efectivamente causados —como en la administración delegada de recursos—, caso en el cual la verificación documental de esos costos es no solo admisible sino necesaria, o cuando tal condición se estipuló de manera expresa en los documentos del proceso y en el contrato desde la etapa de planeación.</w:t>
      </w:r>
    </w:p>
    <w:p w14:paraId="4219007F" w14:textId="77777777" w:rsidR="006779F5" w:rsidRDefault="006779F5" w:rsidP="006779F5">
      <w:pPr>
        <w:spacing w:after="0" w:line="276" w:lineRule="auto"/>
        <w:ind w:firstLine="709"/>
        <w:jc w:val="both"/>
        <w:rPr>
          <w:rFonts w:ascii="Verdana" w:hAnsi="Verdana" w:cs="Arial"/>
          <w:lang w:eastAsia="es-ES"/>
        </w:rPr>
      </w:pPr>
    </w:p>
    <w:p w14:paraId="5434DCE1" w14:textId="77777777" w:rsidR="006779F5" w:rsidRPr="00494FAA" w:rsidRDefault="006779F5" w:rsidP="006779F5">
      <w:pPr>
        <w:spacing w:after="120" w:line="276" w:lineRule="auto"/>
        <w:jc w:val="both"/>
        <w:rPr>
          <w:rFonts w:ascii="Verdana" w:eastAsia="Arial" w:hAnsi="Verdana" w:cs="Arial"/>
          <w:color w:val="000000"/>
          <w:lang w:eastAsia="es-CO"/>
        </w:rPr>
      </w:pPr>
      <w:proofErr w:type="spellStart"/>
      <w:r w:rsidRPr="00494FAA">
        <w:rPr>
          <w:rFonts w:ascii="Verdana" w:hAnsi="Verdana" w:cs="Arial"/>
          <w:bCs/>
          <w:color w:val="000000" w:themeColor="text1"/>
        </w:rPr>
        <w:t>i</w:t>
      </w:r>
      <w:r>
        <w:rPr>
          <w:rFonts w:ascii="Verdana" w:hAnsi="Verdana" w:cs="Arial"/>
          <w:bCs/>
          <w:color w:val="000000" w:themeColor="text1"/>
        </w:rPr>
        <w:t>i</w:t>
      </w:r>
      <w:r w:rsidRPr="00494FAA">
        <w:rPr>
          <w:rFonts w:ascii="Verdana" w:hAnsi="Verdana" w:cs="Arial"/>
          <w:bCs/>
          <w:color w:val="000000" w:themeColor="text1"/>
        </w:rPr>
        <w:t>i</w:t>
      </w:r>
      <w:proofErr w:type="spellEnd"/>
      <w:r w:rsidRPr="00494FAA">
        <w:rPr>
          <w:rFonts w:ascii="Verdana" w:hAnsi="Verdana" w:cs="Arial"/>
          <w:bCs/>
          <w:color w:val="000000" w:themeColor="text1"/>
        </w:rPr>
        <w:t>. 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B0A8E4A" w14:textId="77777777" w:rsidR="006779F5" w:rsidRPr="00494FAA" w:rsidRDefault="006779F5" w:rsidP="006779F5">
      <w:pPr>
        <w:spacing w:after="0" w:line="276" w:lineRule="auto"/>
        <w:ind w:firstLine="709"/>
        <w:jc w:val="both"/>
        <w:rPr>
          <w:rFonts w:ascii="Verdana" w:hAnsi="Verdana" w:cs="Arial"/>
          <w:bCs/>
          <w:color w:val="000000" w:themeColor="text1"/>
        </w:rPr>
      </w:pPr>
      <w:r w:rsidRPr="00494FAA">
        <w:rPr>
          <w:rFonts w:ascii="Verdana" w:hAnsi="Verdana" w:cs="Arial"/>
          <w:bCs/>
          <w:color w:val="000000" w:themeColor="text1"/>
        </w:rPr>
        <w:t xml:space="preserve">Dentro de este marco, la entidad contratante definirá en cada caso concreto lo relacionado con el tema objeto de consulta. Al tratarse de un análisis </w:t>
      </w:r>
      <w:r w:rsidRPr="00494FAA">
        <w:rPr>
          <w:rFonts w:ascii="Verdana" w:hAnsi="Verdana" w:cs="Arial"/>
          <w:bCs/>
          <w:color w:val="000000" w:themeColor="text1"/>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F06FBCF" w14:textId="77777777" w:rsidR="006779F5" w:rsidRPr="009037F6" w:rsidRDefault="006779F5" w:rsidP="006779F5">
      <w:pPr>
        <w:spacing w:after="0" w:line="276" w:lineRule="auto"/>
        <w:jc w:val="both"/>
        <w:rPr>
          <w:rFonts w:ascii="Verdana" w:eastAsia="Calibri" w:hAnsi="Verdana" w:cs="Arial"/>
          <w:lang w:val="es-ES" w:eastAsia="es-MX"/>
        </w:rPr>
      </w:pPr>
    </w:p>
    <w:p w14:paraId="49F72F28" w14:textId="77777777" w:rsidR="006779F5" w:rsidRPr="009037F6" w:rsidRDefault="006779F5" w:rsidP="006779F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Referencias normativas</w:t>
      </w:r>
    </w:p>
    <w:p w14:paraId="2AD8EE38" w14:textId="77777777" w:rsidR="006779F5" w:rsidRPr="009037F6" w:rsidRDefault="006779F5" w:rsidP="006779F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779F5" w:rsidRPr="009037F6" w14:paraId="615FA86D" w14:textId="77777777" w:rsidTr="00145E65">
        <w:trPr>
          <w:trHeight w:val="79"/>
          <w:jc w:val="center"/>
        </w:trPr>
        <w:tc>
          <w:tcPr>
            <w:tcW w:w="8647" w:type="dxa"/>
          </w:tcPr>
          <w:p w14:paraId="5F37A845" w14:textId="77777777" w:rsidR="006779F5" w:rsidRPr="00471859" w:rsidRDefault="006779F5" w:rsidP="00145E65">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bookmarkStart w:id="4" w:name="_Hlk215586792"/>
            <w:r w:rsidRPr="00624EEC">
              <w:rPr>
                <w:rFonts w:ascii="Verdana" w:eastAsia="Arial MT" w:hAnsi="Verdana" w:cs="Arial"/>
                <w:lang w:val="es-ES" w:eastAsia="es-ES" w:bidi="es-ES"/>
              </w:rPr>
              <w:t xml:space="preserve"> </w:t>
            </w:r>
            <w:bookmarkEnd w:id="4"/>
            <w:r>
              <w:rPr>
                <w:rFonts w:ascii="Verdana" w:eastAsia="Arial MT" w:hAnsi="Verdana" w:cs="Arial"/>
                <w:lang w:val="es-ES" w:eastAsia="es-ES" w:bidi="es-ES"/>
              </w:rPr>
              <w:t xml:space="preserve">Ley 80 de 1993, artículos </w:t>
            </w:r>
            <w:r w:rsidRPr="00471859">
              <w:rPr>
                <w:rFonts w:ascii="Verdana" w:eastAsia="Arial MT" w:hAnsi="Verdana" w:cs="Arial"/>
                <w:lang w:val="es-ES" w:eastAsia="es-ES" w:bidi="es-ES"/>
              </w:rPr>
              <w:t xml:space="preserve">4, </w:t>
            </w:r>
            <w:r>
              <w:rPr>
                <w:rFonts w:ascii="Verdana" w:eastAsia="Arial MT" w:hAnsi="Verdana" w:cs="Arial"/>
                <w:lang w:val="es-ES" w:eastAsia="es-ES" w:bidi="es-ES"/>
              </w:rPr>
              <w:t>13, 26, 32 y 40.</w:t>
            </w:r>
            <w:r w:rsidRPr="00471859">
              <w:rPr>
                <w:rFonts w:ascii="Verdana" w:eastAsia="Arial MT" w:hAnsi="Verdana" w:cs="Arial"/>
                <w:lang w:val="es-ES" w:eastAsia="es-ES" w:bidi="es-ES"/>
              </w:rPr>
              <w:t xml:space="preserve"> </w:t>
            </w:r>
          </w:p>
          <w:p w14:paraId="753F354E" w14:textId="77777777" w:rsidR="006779F5" w:rsidRDefault="006779F5" w:rsidP="00145E65">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471859">
              <w:rPr>
                <w:rFonts w:ascii="Verdana" w:eastAsia="Arial MT" w:hAnsi="Verdana" w:cs="Arial"/>
                <w:lang w:val="es-ES" w:eastAsia="es-ES" w:bidi="es-ES"/>
              </w:rPr>
              <w:t>Ley 1150 de 2007, artículo 4.</w:t>
            </w:r>
          </w:p>
          <w:p w14:paraId="14ECF42A" w14:textId="77777777" w:rsidR="006779F5" w:rsidRPr="00351BD7" w:rsidRDefault="006779F5" w:rsidP="00145E65">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1474 de 2011, artículos 83 y 84.  </w:t>
            </w:r>
          </w:p>
        </w:tc>
      </w:tr>
    </w:tbl>
    <w:p w14:paraId="2DCD4E24" w14:textId="77777777" w:rsidR="006779F5" w:rsidRPr="009037F6" w:rsidRDefault="006779F5" w:rsidP="006779F5">
      <w:pPr>
        <w:widowControl w:val="0"/>
        <w:autoSpaceDE w:val="0"/>
        <w:autoSpaceDN w:val="0"/>
        <w:spacing w:after="0" w:line="276" w:lineRule="auto"/>
        <w:jc w:val="both"/>
        <w:rPr>
          <w:rFonts w:ascii="Verdana" w:hAnsi="Verdana" w:cs="Arial"/>
        </w:rPr>
      </w:pPr>
    </w:p>
    <w:p w14:paraId="383B8E2D" w14:textId="77777777" w:rsidR="006779F5" w:rsidRPr="009037F6" w:rsidRDefault="006779F5" w:rsidP="006779F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5FCA18AE" w14:textId="77777777" w:rsidR="006779F5" w:rsidRPr="009037F6" w:rsidRDefault="006779F5" w:rsidP="006779F5">
      <w:pPr>
        <w:widowControl w:val="0"/>
        <w:autoSpaceDE w:val="0"/>
        <w:autoSpaceDN w:val="0"/>
        <w:spacing w:after="0" w:line="276" w:lineRule="auto"/>
        <w:jc w:val="both"/>
        <w:rPr>
          <w:rFonts w:ascii="Verdana" w:hAnsi="Verdana" w:cs="Arial"/>
        </w:rPr>
      </w:pPr>
    </w:p>
    <w:p w14:paraId="6721BE39" w14:textId="77777777" w:rsidR="006779F5" w:rsidRPr="00AD7D5F" w:rsidRDefault="006779F5" w:rsidP="006779F5">
      <w:pPr>
        <w:widowControl w:val="0"/>
        <w:autoSpaceDE w:val="0"/>
        <w:autoSpaceDN w:val="0"/>
        <w:spacing w:after="0" w:line="276" w:lineRule="auto"/>
        <w:jc w:val="both"/>
        <w:rPr>
          <w:rFonts w:ascii="Verdana" w:eastAsia="Calibri" w:hAnsi="Verdana" w:cs="Arial"/>
          <w:lang w:val="es-ES"/>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en varias ocasiones sobre el AIU en los </w:t>
      </w:r>
      <w:r>
        <w:rPr>
          <w:rStyle w:val="normaltextrun"/>
          <w:rFonts w:ascii="Verdana" w:hAnsi="Verdana" w:cs="Arial"/>
          <w:shd w:val="clear" w:color="auto" w:fill="FFFFFF"/>
        </w:rPr>
        <w:t xml:space="preserve">Conceptos </w:t>
      </w:r>
      <w:r w:rsidRPr="00E278D2">
        <w:rPr>
          <w:rStyle w:val="normaltextrun"/>
          <w:rFonts w:ascii="Verdana" w:hAnsi="Verdana" w:cs="Arial"/>
          <w:shd w:val="clear" w:color="auto" w:fill="FFFFFF"/>
        </w:rPr>
        <w:t>4201714000005136 del 14 de noviembre de 2017; 4201714000006401 del 23 de noviembre de 2017;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4201813000004155 del 9 de mayo de 2018; 4201814000008069 del 27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4201814000007383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4201814000008069 del 13 de noviembre de 2018; 4201912000004214 del 26</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junio de 2019; 4201912000006455 y 4201912000006463 del 19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4201912000007375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28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4201912000007092 del 29 de noviembre de 2019; 4202012000000093, C–037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 28 de enero de 2020, 4202012000000664 del 30 de enero de 2020, C-191 del 16 de marzo de 2020,</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C-211 del 8 de abril de 2020, C-714 del 9 de diciembre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2020, C-059 del 10 de marzo de 2021, C-613 del 6 de octubre de 2022, C-716 de 15 de noviembre de 2022, C-802 de 23 de noviembre de 2022, C-854 del 9 de diciembre de 2022, C-914 del 27 de diciembre de 2022</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w:t>
      </w:r>
      <w:r>
        <w:rPr>
          <w:rStyle w:val="normaltextrun"/>
          <w:rFonts w:ascii="Verdana" w:hAnsi="Verdana" w:cs="Arial"/>
          <w:shd w:val="clear" w:color="auto" w:fill="FFFFFF"/>
        </w:rPr>
        <w:t>-</w:t>
      </w:r>
      <w:r w:rsidRPr="00E278D2">
        <w:rPr>
          <w:rStyle w:val="normaltextrun"/>
          <w:rFonts w:ascii="Verdana" w:hAnsi="Verdana" w:cs="Arial"/>
          <w:shd w:val="clear" w:color="auto" w:fill="FFFFFF"/>
        </w:rPr>
        <w:t>361 de septiembre de 2023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C-401 del 27 de septiembre de 202</w:t>
      </w:r>
      <w:r>
        <w:rPr>
          <w:rStyle w:val="normaltextrun"/>
          <w:rFonts w:ascii="Verdana" w:hAnsi="Verdana" w:cs="Arial"/>
          <w:shd w:val="clear" w:color="auto" w:fill="FFFFFF"/>
        </w:rPr>
        <w:t xml:space="preserve">3 y C-455 del 18 de septiembre de 2024, C-248 del 3 de abril de 2025 y C-460 del 18 de junio de 2025, C-180 del 24 de febrero de 2026, C-148 del 10 de marzo de 2026, entre otros. En todo caso, se hace un análisis sobre los costos administrativos en los procesos de contratación estatal. </w:t>
      </w:r>
      <w:r w:rsidRPr="009037F6">
        <w:rPr>
          <w:rFonts w:ascii="Verdana" w:eastAsia="Calibri" w:hAnsi="Verdana" w:cs="Times New Roman"/>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48B89F2" w14:textId="77777777" w:rsidR="006779F5" w:rsidRPr="009037F6" w:rsidRDefault="006779F5" w:rsidP="006779F5">
      <w:pPr>
        <w:spacing w:after="0" w:line="256" w:lineRule="auto"/>
        <w:jc w:val="both"/>
        <w:rPr>
          <w:rFonts w:ascii="Verdana" w:eastAsia="Calibri" w:hAnsi="Verdana" w:cs="Times New Roman"/>
        </w:rPr>
      </w:pPr>
      <w:hyperlink r:id="rId14"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4837B858" w14:textId="77777777" w:rsidR="006779F5" w:rsidRPr="009037F6" w:rsidRDefault="006779F5" w:rsidP="006779F5">
      <w:pPr>
        <w:spacing w:after="0"/>
        <w:jc w:val="both"/>
        <w:rPr>
          <w:rFonts w:ascii="Verdana" w:hAnsi="Verdana"/>
        </w:rPr>
      </w:pPr>
    </w:p>
    <w:p w14:paraId="1CA7E0FC" w14:textId="77777777" w:rsidR="006779F5" w:rsidRPr="00E64A0F" w:rsidRDefault="006779F5" w:rsidP="006779F5">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64A0F">
        <w:rPr>
          <w:rFonts w:ascii="Verdana" w:eastAsia="Times New Roman" w:hAnsi="Verdana" w:cs="Times New Roman"/>
          <w:b/>
          <w:bCs/>
          <w:color w:val="000000"/>
          <w:lang w:eastAsia="es-MX"/>
        </w:rPr>
        <w:t>Guía para la Exigencia y Constitución de Garantías en los Procesos de Contratación</w:t>
      </w:r>
      <w:r w:rsidRPr="00E64A0F">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Original URL:&#10;https://www.colombiacompra.gov.co/archivos/manual/guia-de-garantias-en-procesos-de-contratacion&#10;&#10;Click to follow link." w:history="1">
        <w:r w:rsidRPr="00E64A0F">
          <w:rPr>
            <w:rFonts w:ascii="Verdana" w:eastAsia="Times New Roman" w:hAnsi="Verdana" w:cs="Times New Roman"/>
            <w:color w:val="0086F0"/>
            <w:u w:val="single"/>
            <w:lang w:eastAsia="es-MX"/>
          </w:rPr>
          <w:t>https://www.colombiacompra.gov.co/archivos/manual/guia-de-garantias-en-procesos-de-contratacion</w:t>
        </w:r>
      </w:hyperlink>
    </w:p>
    <w:p w14:paraId="6F6EF54B" w14:textId="77777777" w:rsidR="006779F5" w:rsidRPr="00E64A0F" w:rsidRDefault="006779F5" w:rsidP="006779F5">
      <w:pPr>
        <w:spacing w:after="0" w:line="276" w:lineRule="auto"/>
        <w:jc w:val="both"/>
        <w:rPr>
          <w:rFonts w:ascii="Verdana" w:eastAsia="Times New Roman" w:hAnsi="Verdana" w:cs="Times New Roman"/>
          <w:color w:val="000000"/>
          <w:lang w:eastAsia="es-MX"/>
        </w:rPr>
      </w:pPr>
    </w:p>
    <w:p w14:paraId="0EC51E9B" w14:textId="77777777" w:rsidR="006779F5" w:rsidRPr="00E64A0F" w:rsidRDefault="006779F5" w:rsidP="006779F5">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E64A0F">
        <w:rPr>
          <w:rFonts w:ascii="Verdana" w:eastAsia="Times New Roman" w:hAnsi="Verdana" w:cs="Times New Roman"/>
          <w:b/>
          <w:bCs/>
          <w:color w:val="000000"/>
          <w:lang w:eastAsia="es-MX"/>
        </w:rPr>
        <w:t>Sistema Integral de Preferencias en favor de las personas con discapacidad</w:t>
      </w:r>
      <w:r w:rsidRPr="00E64A0F">
        <w:rPr>
          <w:rFonts w:ascii="Verdana" w:eastAsia="Times New Roman" w:hAnsi="Verdana" w:cs="Times New Roman"/>
          <w:color w:val="000000"/>
          <w:lang w:eastAsia="es-MX"/>
        </w:rPr>
        <w:t>, en cumplimiento del artículo 13 de la Ley Estatutaria 1618 de 2013. Para orientar su aplicación, esta Agencia expidió la </w:t>
      </w:r>
      <w:r w:rsidRPr="00E64A0F">
        <w:rPr>
          <w:rFonts w:ascii="Verdana" w:eastAsia="Times New Roman" w:hAnsi="Verdana" w:cs="Times New Roman"/>
          <w:b/>
          <w:bCs/>
          <w:color w:val="000000"/>
          <w:lang w:eastAsia="es-MX"/>
        </w:rPr>
        <w:t>Circular Externa 003 del 12 de mayo de 2026, </w:t>
      </w:r>
      <w:r w:rsidRPr="00E64A0F">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6" w:tooltip="Original URL:&#10;https://www.colombiacompra.gov.co/archivos/circular/circular-externa-003-de-2026&#10;&#10;Click to follow link." w:history="1">
        <w:r w:rsidRPr="00E64A0F">
          <w:rPr>
            <w:rFonts w:ascii="Verdana" w:eastAsia="Times New Roman" w:hAnsi="Verdana" w:cs="Times New Roman"/>
            <w:color w:val="0086F0"/>
            <w:u w:val="single"/>
            <w:lang w:eastAsia="es-MX"/>
          </w:rPr>
          <w:t>https://www.colombiacompra.gov.co/archivos/circular/circular-externa-003-de-2026</w:t>
        </w:r>
      </w:hyperlink>
    </w:p>
    <w:p w14:paraId="3B33EA90" w14:textId="77777777" w:rsidR="006779F5" w:rsidRPr="00E64A0F" w:rsidRDefault="006779F5" w:rsidP="006779F5">
      <w:pPr>
        <w:spacing w:after="0" w:line="276" w:lineRule="auto"/>
        <w:jc w:val="both"/>
        <w:rPr>
          <w:rFonts w:ascii="Verdana" w:eastAsia="Times New Roman" w:hAnsi="Verdana" w:cs="Times New Roman"/>
          <w:color w:val="000000"/>
          <w:lang w:eastAsia="es-MX"/>
        </w:rPr>
      </w:pPr>
    </w:p>
    <w:p w14:paraId="51BA7060" w14:textId="77777777" w:rsidR="006779F5" w:rsidRPr="00E64A0F" w:rsidRDefault="006779F5" w:rsidP="006779F5">
      <w:pPr>
        <w:spacing w:after="0" w:line="276" w:lineRule="auto"/>
        <w:jc w:val="both"/>
        <w:rPr>
          <w:rFonts w:ascii="Verdana" w:eastAsia="Times New Roman" w:hAnsi="Verdana" w:cs="Times New Roman"/>
          <w:color w:val="000000"/>
          <w:lang w:eastAsia="es-MX"/>
        </w:rPr>
      </w:pPr>
      <w:r w:rsidRPr="00E64A0F">
        <w:rPr>
          <w:rFonts w:ascii="Verdana" w:eastAsia="Times New Roman" w:hAnsi="Verdana" w:cs="Times New Roman"/>
          <w:color w:val="000000"/>
          <w:lang w:eastAsia="es-MX"/>
        </w:rPr>
        <w:t>Recuerda también que la</w:t>
      </w:r>
      <w:r w:rsidRPr="00E64A0F">
        <w:rPr>
          <w:rFonts w:ascii="Verdana" w:eastAsia="Times New Roman" w:hAnsi="Verdana" w:cs="Times New Roman"/>
          <w:b/>
          <w:bCs/>
          <w:color w:val="000000"/>
          <w:lang w:eastAsia="es-MX"/>
        </w:rPr>
        <w:t> información sobre sanciones e inhabilidades </w:t>
      </w:r>
      <w:r w:rsidRPr="00E64A0F">
        <w:rPr>
          <w:rFonts w:ascii="Verdana" w:eastAsia="Times New Roman" w:hAnsi="Verdana" w:cs="Times New Roman"/>
          <w:color w:val="000000"/>
          <w:lang w:eastAsia="es-MX"/>
        </w:rPr>
        <w:t>solo cumple su función preventiva si llega oportunamente a los registros públicos. Sobre este deber, esta Agencia expidió la </w:t>
      </w:r>
      <w:r w:rsidRPr="00E64A0F">
        <w:rPr>
          <w:rFonts w:ascii="Verdana" w:eastAsia="Times New Roman" w:hAnsi="Verdana" w:cs="Times New Roman"/>
          <w:b/>
          <w:bCs/>
          <w:color w:val="000000"/>
          <w:lang w:eastAsia="es-MX"/>
        </w:rPr>
        <w:t xml:space="preserve">Circular Externa 002 del 5 de mayo de </w:t>
      </w:r>
      <w:proofErr w:type="gramStart"/>
      <w:r w:rsidRPr="00E64A0F">
        <w:rPr>
          <w:rFonts w:ascii="Verdana" w:eastAsia="Times New Roman" w:hAnsi="Verdana" w:cs="Times New Roman"/>
          <w:b/>
          <w:bCs/>
          <w:color w:val="000000"/>
          <w:lang w:eastAsia="es-MX"/>
        </w:rPr>
        <w:t>2026,</w:t>
      </w:r>
      <w:r w:rsidRPr="00E64A0F">
        <w:rPr>
          <w:rFonts w:ascii="Verdana" w:eastAsia="Times New Roman" w:hAnsi="Verdana" w:cs="Times New Roman"/>
          <w:color w:val="000000"/>
          <w:lang w:eastAsia="es-MX"/>
        </w:rPr>
        <w:t>dirigida</w:t>
      </w:r>
      <w:proofErr w:type="gramEnd"/>
      <w:r w:rsidRPr="00E64A0F">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w:t>
      </w:r>
      <w:r w:rsidRPr="00E64A0F">
        <w:rPr>
          <w:rFonts w:ascii="Verdana" w:eastAsia="Times New Roman" w:hAnsi="Verdana" w:cs="Times New Roman"/>
          <w:color w:val="000000"/>
          <w:lang w:eastAsia="es-MX"/>
        </w:rPr>
        <w:lastRenderedPageBreak/>
        <w:t>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Original URL:&#10;https://www.colombiacompra.gov.co/archivos/circular/circular-externa-002-de-2026&#10;&#10;Click to follow link." w:history="1">
        <w:r w:rsidRPr="00E64A0F">
          <w:rPr>
            <w:rFonts w:ascii="Verdana" w:eastAsia="Times New Roman" w:hAnsi="Verdana" w:cs="Times New Roman"/>
            <w:color w:val="0086F0"/>
            <w:u w:val="single"/>
            <w:lang w:eastAsia="es-MX"/>
          </w:rPr>
          <w:t>https://www.colombiacompra.gov.co/archivos/circular/circular-externa-002-de-2026</w:t>
        </w:r>
      </w:hyperlink>
    </w:p>
    <w:p w14:paraId="7875F973" w14:textId="77777777" w:rsidR="006779F5" w:rsidRPr="00E64A0F" w:rsidRDefault="006779F5" w:rsidP="006779F5">
      <w:pPr>
        <w:spacing w:after="0" w:line="276" w:lineRule="auto"/>
        <w:jc w:val="both"/>
        <w:rPr>
          <w:rFonts w:ascii="Verdana" w:eastAsia="Times New Roman" w:hAnsi="Verdana" w:cs="Times New Roman"/>
          <w:color w:val="000000"/>
          <w:lang w:eastAsia="es-MX"/>
        </w:rPr>
      </w:pPr>
    </w:p>
    <w:p w14:paraId="60EFA42A" w14:textId="77777777" w:rsidR="006779F5" w:rsidRPr="00E64A0F" w:rsidRDefault="006779F5" w:rsidP="006779F5">
      <w:pPr>
        <w:spacing w:after="0" w:line="276" w:lineRule="auto"/>
        <w:jc w:val="both"/>
        <w:rPr>
          <w:rFonts w:ascii="Aptos" w:eastAsia="Times New Roman" w:hAnsi="Aptos" w:cs="Times New Roman"/>
          <w:color w:val="000000"/>
          <w:lang w:eastAsia="es-MX"/>
        </w:rPr>
      </w:pPr>
      <w:r w:rsidRPr="00E64A0F">
        <w:rPr>
          <w:rFonts w:ascii="Verdana" w:eastAsia="Times New Roman" w:hAnsi="Verdana" w:cs="Times New Roman"/>
          <w:color w:val="000000"/>
          <w:lang w:eastAsia="es-MX"/>
        </w:rPr>
        <w:t>Finalmente, si quieres seguir de cerca la actividad de la Agencia, la tercera edición de 2026 del</w:t>
      </w:r>
      <w:r w:rsidRPr="00E64A0F">
        <w:rPr>
          <w:rFonts w:ascii="Verdana" w:eastAsia="Times New Roman" w:hAnsi="Verdana" w:cs="Times New Roman"/>
          <w:b/>
          <w:bCs/>
          <w:color w:val="000000"/>
          <w:lang w:eastAsia="es-MX"/>
        </w:rPr>
        <w:t> Radar de la Compra Pública</w:t>
      </w:r>
      <w:r w:rsidRPr="00E64A0F">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Original URL:&#10;https://www.colombiacompra.gov.co/archivos/boletin/boletin-edicion-n-3-de-2026-radar-de-la-compra-publica&#10;&#10;Click to follow link." w:history="1">
        <w:r w:rsidRPr="00E64A0F">
          <w:rPr>
            <w:rFonts w:ascii="Verdana" w:eastAsia="Times New Roman" w:hAnsi="Verdana" w:cs="Times New Roman"/>
            <w:color w:val="0086F0"/>
            <w:u w:val="single"/>
            <w:lang w:eastAsia="es-MX"/>
          </w:rPr>
          <w:t>https://www.colombiacompra.gov.co/archivos/boletin/boletin-edicion-n-3-de-2026-radar-de-la-compra-publica</w:t>
        </w:r>
      </w:hyperlink>
    </w:p>
    <w:p w14:paraId="6479D4F8" w14:textId="77777777" w:rsidR="006779F5" w:rsidRPr="00E64A0F" w:rsidRDefault="006779F5" w:rsidP="006779F5">
      <w:pPr>
        <w:shd w:val="clear" w:color="auto" w:fill="FFFFFF"/>
        <w:spacing w:after="0" w:line="276" w:lineRule="auto"/>
        <w:jc w:val="both"/>
        <w:rPr>
          <w:rFonts w:ascii="Verdana" w:eastAsia="Times New Roman" w:hAnsi="Verdana" w:cs="Times New Roman"/>
          <w:color w:val="000000"/>
          <w:u w:val="single"/>
          <w:lang w:eastAsia="es-ES_tradnl"/>
        </w:rPr>
      </w:pPr>
    </w:p>
    <w:p w14:paraId="30EC15A5" w14:textId="77777777" w:rsidR="006779F5" w:rsidRPr="00E64A0F" w:rsidRDefault="006779F5" w:rsidP="006779F5">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C0735D4" w14:textId="77777777" w:rsidR="006779F5" w:rsidRPr="00E64A0F" w:rsidRDefault="006779F5" w:rsidP="006779F5">
      <w:pPr>
        <w:spacing w:after="0" w:line="276" w:lineRule="auto"/>
        <w:jc w:val="both"/>
        <w:rPr>
          <w:rFonts w:ascii="Verdana" w:eastAsia="Times New Roman" w:hAnsi="Verdana" w:cs="Times New Roman"/>
          <w:lang w:eastAsia="es-ES_tradnl"/>
        </w:rPr>
      </w:pPr>
    </w:p>
    <w:p w14:paraId="6BA8EC84" w14:textId="77777777" w:rsidR="006779F5" w:rsidRPr="00E64A0F" w:rsidRDefault="006779F5" w:rsidP="006779F5">
      <w:pPr>
        <w:numPr>
          <w:ilvl w:val="0"/>
          <w:numId w:val="15"/>
        </w:numPr>
        <w:spacing w:after="0" w:line="276" w:lineRule="auto"/>
        <w:jc w:val="both"/>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 xml:space="preserve">Línea nacional gratuita o servicio a la ciudadanía (Mesa de servicio): </w:t>
      </w:r>
      <w:r w:rsidRPr="00E64A0F">
        <w:rPr>
          <w:rFonts w:ascii="Verdana" w:eastAsia="Times New Roman" w:hAnsi="Verdana" w:cs="Times New Roman"/>
          <w:color w:val="0000FF"/>
          <w:u w:val="single"/>
          <w:lang w:val="es-ES" w:eastAsia="es-ES_tradnl"/>
        </w:rPr>
        <w:t>01800 0520808</w:t>
      </w:r>
    </w:p>
    <w:p w14:paraId="4A867060" w14:textId="77777777" w:rsidR="006779F5" w:rsidRPr="00E64A0F" w:rsidRDefault="006779F5" w:rsidP="006779F5">
      <w:pPr>
        <w:numPr>
          <w:ilvl w:val="0"/>
          <w:numId w:val="15"/>
        </w:numPr>
        <w:spacing w:after="0" w:line="276" w:lineRule="auto"/>
        <w:rPr>
          <w:rFonts w:ascii="Verdana" w:eastAsia="Verdana" w:hAnsi="Verdana" w:cs="Verdana"/>
          <w:color w:val="4472C4"/>
          <w:u w:val="single"/>
          <w:lang w:val="es-MX" w:eastAsia="es-ES_tradnl"/>
        </w:rPr>
      </w:pPr>
      <w:r w:rsidRPr="00E64A0F">
        <w:rPr>
          <w:rFonts w:ascii="Verdana" w:eastAsia="Verdana" w:hAnsi="Verdana" w:cs="Verdana"/>
          <w:lang w:val="es-MX" w:eastAsia="es-ES_tradnl"/>
        </w:rPr>
        <w:t>Línea en Bogotá (Mesa de servicio</w:t>
      </w:r>
      <w:proofErr w:type="gramStart"/>
      <w:r w:rsidRPr="00E64A0F">
        <w:rPr>
          <w:rFonts w:ascii="Verdana" w:eastAsia="Verdana" w:hAnsi="Verdana" w:cs="Verdana"/>
          <w:lang w:val="es-MX" w:eastAsia="es-ES_tradnl"/>
        </w:rPr>
        <w:t>):</w:t>
      </w:r>
      <w:r w:rsidRPr="00E64A0F">
        <w:rPr>
          <w:rFonts w:ascii="Verdana" w:eastAsia="Times New Roman" w:hAnsi="Verdana" w:cs="Times New Roman"/>
          <w:color w:val="0000FF"/>
          <w:u w:val="single"/>
          <w:lang w:val="es-ES" w:eastAsia="es-ES_tradnl"/>
        </w:rPr>
        <w:t>+</w:t>
      </w:r>
      <w:proofErr w:type="gramEnd"/>
      <w:r w:rsidRPr="00E64A0F">
        <w:rPr>
          <w:rFonts w:ascii="Verdana" w:eastAsia="Times New Roman" w:hAnsi="Verdana" w:cs="Times New Roman"/>
          <w:color w:val="0000FF"/>
          <w:u w:val="single"/>
          <w:lang w:val="es-ES" w:eastAsia="es-ES_tradnl"/>
        </w:rPr>
        <w:t>57 601 7456788</w:t>
      </w:r>
    </w:p>
    <w:p w14:paraId="2291E66C" w14:textId="77777777" w:rsidR="006779F5" w:rsidRPr="00E64A0F" w:rsidRDefault="006779F5" w:rsidP="006779F5">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MX" w:eastAsia="es-ES_tradnl"/>
        </w:rPr>
        <w:t xml:space="preserve">Correo de radicación de correspondencia: </w:t>
      </w:r>
      <w:hyperlink r:id="rId19">
        <w:r w:rsidRPr="00E64A0F">
          <w:rPr>
            <w:rFonts w:ascii="Verdana" w:eastAsia="Verdana" w:hAnsi="Verdana" w:cs="Verdana"/>
            <w:color w:val="0000FF"/>
            <w:u w:val="single"/>
            <w:lang w:val="es-MX" w:eastAsia="es-ES_tradnl"/>
          </w:rPr>
          <w:t>ventanilladeradicacion@colombiacompra.gov.co</w:t>
        </w:r>
      </w:hyperlink>
    </w:p>
    <w:p w14:paraId="52418504" w14:textId="77777777" w:rsidR="006779F5" w:rsidRPr="00E64A0F" w:rsidRDefault="006779F5" w:rsidP="006779F5">
      <w:pPr>
        <w:numPr>
          <w:ilvl w:val="0"/>
          <w:numId w:val="15"/>
        </w:numPr>
        <w:spacing w:after="0" w:line="276" w:lineRule="auto"/>
        <w:rPr>
          <w:rFonts w:ascii="Verdana" w:eastAsia="Verdana" w:hAnsi="Verdana" w:cs="Verdana"/>
          <w:color w:val="0000FF"/>
          <w:u w:val="single"/>
          <w:lang w:val="es-MX" w:eastAsia="es-ES_tradnl"/>
        </w:rPr>
      </w:pPr>
      <w:r w:rsidRPr="00E64A0F">
        <w:rPr>
          <w:rFonts w:ascii="Verdana" w:eastAsia="Verdana" w:hAnsi="Verdana" w:cs="Verdana"/>
          <w:lang w:val="es-ES" w:eastAsia="es-ES_tradnl"/>
        </w:rPr>
        <w:t>Formulario web para</w:t>
      </w:r>
      <w:r w:rsidRPr="00E64A0F">
        <w:rPr>
          <w:rFonts w:ascii="Verdana" w:eastAsia="Verdana" w:hAnsi="Verdana" w:cs="Verdana"/>
          <w:lang w:val="es" w:eastAsia="es-ES_tradnl"/>
        </w:rPr>
        <w:t xml:space="preserve"> PQRSD: </w:t>
      </w:r>
      <w:hyperlink r:id="rId20">
        <w:r w:rsidRPr="00E64A0F">
          <w:rPr>
            <w:rFonts w:ascii="Verdana" w:eastAsia="Verdana" w:hAnsi="Verdana" w:cs="Verdana"/>
            <w:color w:val="0000FF"/>
            <w:u w:val="single"/>
            <w:lang w:val="es-MX" w:eastAsia="es-ES_tradnl"/>
          </w:rPr>
          <w:t>https://www.colombiacompra.gov.co/pqrsd/informacion-importante-antes-de-formular-una-pqrsd</w:t>
        </w:r>
      </w:hyperlink>
    </w:p>
    <w:p w14:paraId="3698C4BE" w14:textId="77777777" w:rsidR="006779F5" w:rsidRPr="00E64A0F" w:rsidRDefault="006779F5" w:rsidP="006779F5">
      <w:pPr>
        <w:spacing w:after="0" w:line="276" w:lineRule="auto"/>
        <w:ind w:left="720"/>
        <w:jc w:val="both"/>
        <w:rPr>
          <w:rFonts w:ascii="Verdana" w:eastAsia="Times New Roman" w:hAnsi="Verdana" w:cs="Times New Roman"/>
          <w:lang w:eastAsia="es-ES_tradnl"/>
        </w:rPr>
      </w:pPr>
    </w:p>
    <w:p w14:paraId="1DC08225" w14:textId="77777777" w:rsidR="006779F5" w:rsidRPr="00E64A0F" w:rsidRDefault="006779F5" w:rsidP="006779F5">
      <w:pPr>
        <w:spacing w:after="0" w:line="276" w:lineRule="auto"/>
        <w:rPr>
          <w:rFonts w:ascii="Verdana" w:eastAsia="Times New Roman" w:hAnsi="Verdana" w:cs="Times New Roman"/>
          <w:lang w:eastAsia="es-ES_tradnl"/>
        </w:rPr>
      </w:pPr>
      <w:r w:rsidRPr="00E64A0F">
        <w:rPr>
          <w:rFonts w:ascii="Verdana" w:eastAsia="Times New Roman" w:hAnsi="Verdana" w:cs="Times New Roman"/>
          <w:lang w:eastAsia="es-ES_tradnl"/>
        </w:rPr>
        <w:t xml:space="preserve">Evalúa el servicio que ofrece la Agencia por el canal de atención de PQRSD en el siguiente </w:t>
      </w:r>
      <w:proofErr w:type="gramStart"/>
      <w:r w:rsidRPr="00E64A0F">
        <w:rPr>
          <w:rFonts w:ascii="Verdana" w:eastAsia="Times New Roman" w:hAnsi="Verdana" w:cs="Times New Roman"/>
          <w:lang w:eastAsia="es-ES_tradnl"/>
        </w:rPr>
        <w:t>enlace :</w:t>
      </w:r>
      <w:proofErr w:type="gramEnd"/>
      <w:hyperlink r:id="rId21" w:tgtFrame="_blank" w:tooltip="https://forms.office.com/r/pphywvs2sz" w:history="1">
        <w:r w:rsidRPr="00E64A0F">
          <w:rPr>
            <w:rFonts w:ascii="Verdana" w:eastAsia="Times New Roman" w:hAnsi="Verdana" w:cs="Times New Roman"/>
            <w:color w:val="0000FF"/>
            <w:u w:val="single"/>
            <w:lang w:eastAsia="es-ES_tradnl"/>
          </w:rPr>
          <w:t>https://forms.office.com/r/pPHyWVs2SZ</w:t>
        </w:r>
      </w:hyperlink>
      <w:r w:rsidRPr="00E64A0F">
        <w:rPr>
          <w:rFonts w:ascii="Verdana" w:eastAsia="Times New Roman" w:hAnsi="Verdana" w:cs="Times New Roman"/>
          <w:lang w:eastAsia="es-ES_tradnl"/>
        </w:rPr>
        <w:t xml:space="preserve"> .¡Ayúdanos a mejorar porque el compromiso es de todos!</w:t>
      </w:r>
    </w:p>
    <w:p w14:paraId="7D4D861A" w14:textId="77777777" w:rsidR="006779F5" w:rsidRPr="00E64A0F" w:rsidRDefault="006779F5" w:rsidP="006779F5">
      <w:pPr>
        <w:spacing w:after="0" w:line="276" w:lineRule="auto"/>
        <w:rPr>
          <w:rFonts w:ascii="Verdana" w:eastAsia="Times New Roman" w:hAnsi="Verdana" w:cs="Times New Roman"/>
          <w:lang w:eastAsia="es-ES_tradnl"/>
        </w:rPr>
      </w:pPr>
    </w:p>
    <w:p w14:paraId="221E8A49" w14:textId="77777777" w:rsidR="006779F5" w:rsidRPr="00E64A0F" w:rsidRDefault="006779F5" w:rsidP="006779F5">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lastRenderedPageBreak/>
        <w:t xml:space="preserve">Por último, lo invitamos a seguirnos en las redes sociales en las cuales se difunde información institucional: </w:t>
      </w:r>
    </w:p>
    <w:p w14:paraId="08ABC94C" w14:textId="77777777" w:rsidR="006779F5" w:rsidRPr="00E64A0F" w:rsidRDefault="006779F5" w:rsidP="006779F5">
      <w:pPr>
        <w:spacing w:after="0" w:line="276" w:lineRule="auto"/>
        <w:jc w:val="both"/>
        <w:rPr>
          <w:rFonts w:ascii="Verdana" w:eastAsia="Times New Roman" w:hAnsi="Verdana" w:cs="Times New Roman"/>
          <w:lang w:eastAsia="es-ES_tradnl"/>
        </w:rPr>
      </w:pPr>
    </w:p>
    <w:p w14:paraId="4156139E" w14:textId="77777777" w:rsidR="006779F5" w:rsidRPr="00E64A0F" w:rsidRDefault="006779F5" w:rsidP="006779F5">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Twitter: </w:t>
      </w:r>
      <w:r w:rsidRPr="00E64A0F">
        <w:rPr>
          <w:rFonts w:ascii="Verdana" w:eastAsia="Times New Roman" w:hAnsi="Verdana" w:cs="Times New Roman"/>
          <w:color w:val="0000FF"/>
          <w:u w:val="single"/>
          <w:lang w:eastAsia="es-ES_tradnl"/>
        </w:rPr>
        <w:t>@colombiacompra</w:t>
      </w:r>
      <w:r w:rsidRPr="00E64A0F">
        <w:rPr>
          <w:rFonts w:ascii="Verdana" w:eastAsia="Times New Roman" w:hAnsi="Verdana" w:cs="Times New Roman"/>
          <w:lang w:eastAsia="es-ES_tradnl"/>
        </w:rPr>
        <w:t xml:space="preserve"> </w:t>
      </w:r>
    </w:p>
    <w:p w14:paraId="1E3B7848" w14:textId="77777777" w:rsidR="006779F5" w:rsidRPr="00E64A0F" w:rsidRDefault="006779F5" w:rsidP="006779F5">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Facebook: </w:t>
      </w:r>
      <w:proofErr w:type="spellStart"/>
      <w:r w:rsidRPr="00E64A0F">
        <w:rPr>
          <w:rFonts w:ascii="Verdana" w:eastAsia="Times New Roman" w:hAnsi="Verdana" w:cs="Times New Roman"/>
          <w:color w:val="0000FF"/>
          <w:u w:val="single"/>
          <w:lang w:eastAsia="es-ES_tradnl"/>
        </w:rPr>
        <w:t>ColombiaCompraEficiente</w:t>
      </w:r>
      <w:proofErr w:type="spellEnd"/>
    </w:p>
    <w:p w14:paraId="6A821A80" w14:textId="77777777" w:rsidR="006779F5" w:rsidRPr="00E64A0F" w:rsidRDefault="006779F5" w:rsidP="006779F5">
      <w:pPr>
        <w:spacing w:after="0" w:line="276" w:lineRule="auto"/>
        <w:jc w:val="both"/>
        <w:rPr>
          <w:rFonts w:ascii="Verdana" w:eastAsia="Times New Roman" w:hAnsi="Verdana" w:cs="Times New Roman"/>
          <w:lang w:eastAsia="es-ES_tradnl"/>
        </w:rPr>
      </w:pPr>
      <w:r w:rsidRPr="00E64A0F">
        <w:rPr>
          <w:rFonts w:ascii="Verdana" w:eastAsia="Times New Roman" w:hAnsi="Verdana" w:cs="Times New Roman"/>
          <w:lang w:eastAsia="es-ES_tradnl"/>
        </w:rPr>
        <w:t xml:space="preserve">LinkedIn: </w:t>
      </w:r>
      <w:r w:rsidRPr="00E64A0F">
        <w:rPr>
          <w:rFonts w:ascii="Verdana" w:eastAsia="Times New Roman" w:hAnsi="Verdana" w:cs="Times New Roman"/>
          <w:color w:val="0000FF"/>
          <w:u w:val="single"/>
          <w:lang w:eastAsia="es-ES_tradnl"/>
        </w:rPr>
        <w:t>Agencia Nacional de Contratación Pública - Colombia Compra Eficiente</w:t>
      </w:r>
      <w:r w:rsidRPr="00E64A0F">
        <w:rPr>
          <w:rFonts w:ascii="Verdana" w:eastAsia="Times New Roman" w:hAnsi="Verdana" w:cs="Times New Roman"/>
          <w:lang w:eastAsia="es-ES_tradnl"/>
        </w:rPr>
        <w:t xml:space="preserve"> Instagram: </w:t>
      </w:r>
      <w:r w:rsidRPr="00E64A0F">
        <w:rPr>
          <w:rFonts w:ascii="Verdana" w:eastAsia="Times New Roman" w:hAnsi="Verdana" w:cs="Times New Roman"/>
          <w:color w:val="0000FF"/>
          <w:u w:val="single"/>
          <w:lang w:eastAsia="es-ES_tradnl"/>
        </w:rPr>
        <w:t>@colombiacompraeficiente_cce</w:t>
      </w:r>
    </w:p>
    <w:p w14:paraId="1C3F911F" w14:textId="77777777" w:rsidR="006779F5" w:rsidRPr="00E64A0F" w:rsidRDefault="006779F5" w:rsidP="006779F5">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E64A0F">
        <w:rPr>
          <w:rFonts w:ascii="Verdana" w:eastAsia="Times New Roman" w:hAnsi="Verdana" w:cs="Arial"/>
          <w:color w:val="FF0000"/>
          <w:shd w:val="clear" w:color="auto" w:fill="FFFFFF"/>
          <w:lang w:val="es-ES_tradnl" w:eastAsia="es-ES_tradnl"/>
        </w:rPr>
        <w:t xml:space="preserve">        </w:t>
      </w:r>
    </w:p>
    <w:p w14:paraId="4DAF05F6" w14:textId="77777777" w:rsidR="006779F5" w:rsidRPr="00E64A0F" w:rsidRDefault="006779F5" w:rsidP="006779F5">
      <w:pPr>
        <w:widowControl w:val="0"/>
        <w:autoSpaceDE w:val="0"/>
        <w:autoSpaceDN w:val="0"/>
        <w:spacing w:after="0" w:line="276" w:lineRule="auto"/>
        <w:jc w:val="both"/>
        <w:rPr>
          <w:rFonts w:ascii="Verdana" w:eastAsia="Times New Roman" w:hAnsi="Verdana" w:cs="Arial"/>
          <w:lang w:val="es-ES_tradnl" w:eastAsia="es-ES_tradnl"/>
        </w:rPr>
      </w:pPr>
      <w:r w:rsidRPr="00E64A0F">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E64A0F">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4E8494F2" w14:textId="77777777" w:rsidR="006779F5" w:rsidRPr="00E64A0F" w:rsidRDefault="006779F5" w:rsidP="006779F5">
      <w:pPr>
        <w:widowControl w:val="0"/>
        <w:autoSpaceDE w:val="0"/>
        <w:autoSpaceDN w:val="0"/>
        <w:spacing w:after="0" w:line="276" w:lineRule="auto"/>
        <w:jc w:val="both"/>
        <w:rPr>
          <w:rFonts w:ascii="Verdana" w:eastAsia="Times New Roman" w:hAnsi="Verdana" w:cs="Arial"/>
          <w:lang w:eastAsia="es-ES_tradnl"/>
        </w:rPr>
      </w:pPr>
    </w:p>
    <w:p w14:paraId="37BFF0E7" w14:textId="2BD5E0FC" w:rsidR="006779F5" w:rsidRPr="00A55343" w:rsidRDefault="006779F5" w:rsidP="00A55343">
      <w:pPr>
        <w:spacing w:after="120" w:line="276" w:lineRule="auto"/>
        <w:rPr>
          <w:rFonts w:ascii="Verdana" w:eastAsia="Times New Roman" w:hAnsi="Verdana" w:cs="Arial"/>
          <w:lang w:eastAsia="es-CO"/>
        </w:rPr>
      </w:pPr>
      <w:r w:rsidRPr="00E64A0F">
        <w:rPr>
          <w:rFonts w:ascii="Verdana" w:eastAsia="Times New Roman" w:hAnsi="Verdana" w:cs="Arial"/>
          <w:lang w:eastAsia="es-CO"/>
        </w:rPr>
        <w:t xml:space="preserve">Atentamente, </w:t>
      </w:r>
    </w:p>
    <w:p w14:paraId="59898F1B" w14:textId="3E3C3017" w:rsidR="006779F5" w:rsidRPr="00E64A0F" w:rsidRDefault="00A55343" w:rsidP="006779F5">
      <w:pPr>
        <w:spacing w:after="0" w:line="256" w:lineRule="auto"/>
        <w:jc w:val="center"/>
        <w:rPr>
          <w:rFonts w:ascii="Century Gothic" w:eastAsia="Calibri" w:hAnsi="Century Gothic" w:cs="Times New Roman"/>
          <w:noProof/>
          <w:sz w:val="16"/>
          <w:szCs w:val="16"/>
          <w:lang w:val="en-US"/>
        </w:rPr>
      </w:pPr>
      <w:r w:rsidRPr="002C3AD6">
        <w:rPr>
          <w:rFonts w:ascii="Century Gothic" w:hAnsi="Century Gothic"/>
          <w:noProof/>
          <w:lang w:val="en-US"/>
        </w:rPr>
        <w:drawing>
          <wp:inline distT="0" distB="0" distL="0" distR="0" wp14:anchorId="260DBB86" wp14:editId="77DFBCFF">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891299" cy="1509270"/>
                    </a:xfrm>
                    <a:prstGeom prst="rect">
                      <a:avLst/>
                    </a:prstGeom>
                  </pic:spPr>
                </pic:pic>
              </a:graphicData>
            </a:graphic>
          </wp:inline>
        </w:drawing>
      </w:r>
    </w:p>
    <w:p w14:paraId="0D43D9B3" w14:textId="77777777" w:rsidR="006779F5" w:rsidRPr="00E64A0F" w:rsidRDefault="006779F5" w:rsidP="006779F5">
      <w:pPr>
        <w:spacing w:after="0" w:line="256" w:lineRule="auto"/>
        <w:jc w:val="center"/>
        <w:rPr>
          <w:rFonts w:ascii="Century Gothic" w:eastAsia="Calibri" w:hAnsi="Century Gothic" w:cs="Times New Roman"/>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779F5" w:rsidRPr="00E64A0F" w14:paraId="15719F43" w14:textId="77777777" w:rsidTr="00145E65">
        <w:trPr>
          <w:trHeight w:val="409"/>
        </w:trPr>
        <w:tc>
          <w:tcPr>
            <w:tcW w:w="817" w:type="dxa"/>
            <w:tcBorders>
              <w:top w:val="nil"/>
              <w:left w:val="nil"/>
              <w:bottom w:val="nil"/>
              <w:right w:val="nil"/>
            </w:tcBorders>
            <w:vAlign w:val="center"/>
            <w:hideMark/>
          </w:tcPr>
          <w:p w14:paraId="7F03682A"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40BFFFAE"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José Luis Sánchez Cardona</w:t>
            </w:r>
          </w:p>
          <w:p w14:paraId="20C089C2"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Contratista de la Subdirección de Gestión Contractual</w:t>
            </w:r>
          </w:p>
        </w:tc>
      </w:tr>
      <w:tr w:rsidR="006779F5" w:rsidRPr="00E64A0F" w14:paraId="0DB2E8E7" w14:textId="77777777" w:rsidTr="00145E65">
        <w:trPr>
          <w:trHeight w:val="409"/>
        </w:trPr>
        <w:tc>
          <w:tcPr>
            <w:tcW w:w="817" w:type="dxa"/>
            <w:tcBorders>
              <w:top w:val="nil"/>
              <w:left w:val="nil"/>
              <w:bottom w:val="nil"/>
              <w:right w:val="nil"/>
            </w:tcBorders>
            <w:vAlign w:val="center"/>
            <w:hideMark/>
          </w:tcPr>
          <w:p w14:paraId="42F78144"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2C26E2D3"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Alejandro R. Sarmiento Cantillo</w:t>
            </w:r>
          </w:p>
          <w:p w14:paraId="6AD87950"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Gestor T1-15 de la Subdirección de Gestión Contractual </w:t>
            </w:r>
          </w:p>
        </w:tc>
      </w:tr>
      <w:tr w:rsidR="006779F5" w:rsidRPr="00E64A0F" w14:paraId="6374EB91" w14:textId="77777777" w:rsidTr="00145E65">
        <w:trPr>
          <w:trHeight w:val="389"/>
        </w:trPr>
        <w:tc>
          <w:tcPr>
            <w:tcW w:w="817" w:type="dxa"/>
            <w:tcBorders>
              <w:top w:val="nil"/>
              <w:left w:val="nil"/>
              <w:bottom w:val="nil"/>
              <w:right w:val="nil"/>
            </w:tcBorders>
            <w:vAlign w:val="center"/>
            <w:hideMark/>
          </w:tcPr>
          <w:p w14:paraId="239D9CB1"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709103AC"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Carolina Quintero Gacharná</w:t>
            </w:r>
          </w:p>
          <w:p w14:paraId="0646C15E" w14:textId="77777777" w:rsidR="006779F5" w:rsidRPr="00E64A0F" w:rsidRDefault="006779F5" w:rsidP="00145E65">
            <w:pPr>
              <w:spacing w:after="0" w:line="256" w:lineRule="auto"/>
              <w:rPr>
                <w:rFonts w:ascii="Verdana" w:eastAsia="Calibri" w:hAnsi="Verdana" w:cs="Times New Roman"/>
                <w:sz w:val="16"/>
                <w:szCs w:val="16"/>
              </w:rPr>
            </w:pPr>
            <w:r w:rsidRPr="00E64A0F">
              <w:rPr>
                <w:rFonts w:ascii="Verdana" w:eastAsia="Calibri" w:hAnsi="Verdana" w:cs="Times New Roman"/>
                <w:sz w:val="16"/>
                <w:szCs w:val="16"/>
              </w:rPr>
              <w:t>Subdirectora de Gestión Contractual ANCP – CCE</w:t>
            </w:r>
          </w:p>
        </w:tc>
      </w:tr>
      <w:bookmarkEnd w:id="0"/>
    </w:tbl>
    <w:p w14:paraId="73C61EC8" w14:textId="10FA846D" w:rsidR="00EB224C" w:rsidRPr="006779F5" w:rsidRDefault="00EB224C" w:rsidP="00A55343"/>
    <w:sectPr w:rsidR="00EB224C" w:rsidRPr="006779F5"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402DD" w14:textId="77777777" w:rsidR="0092140C" w:rsidRDefault="0092140C" w:rsidP="004A1847">
      <w:pPr>
        <w:spacing w:after="0" w:line="240" w:lineRule="auto"/>
      </w:pPr>
      <w:r>
        <w:separator/>
      </w:r>
    </w:p>
  </w:endnote>
  <w:endnote w:type="continuationSeparator" w:id="0">
    <w:p w14:paraId="3FD689AE" w14:textId="77777777" w:rsidR="0092140C" w:rsidRDefault="0092140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2FA85F4B"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274B0" w14:textId="77777777" w:rsidR="0092140C" w:rsidRDefault="0092140C" w:rsidP="004A1847">
      <w:pPr>
        <w:spacing w:after="0" w:line="240" w:lineRule="auto"/>
      </w:pPr>
      <w:r>
        <w:separator/>
      </w:r>
    </w:p>
  </w:footnote>
  <w:footnote w:type="continuationSeparator" w:id="0">
    <w:p w14:paraId="294A31F0" w14:textId="77777777" w:rsidR="0092140C" w:rsidRDefault="0092140C" w:rsidP="004A1847">
      <w:pPr>
        <w:spacing w:after="0" w:line="240" w:lineRule="auto"/>
      </w:pPr>
      <w:r>
        <w:continuationSeparator/>
      </w:r>
    </w:p>
  </w:footnote>
  <w:footnote w:id="1">
    <w:p w14:paraId="5FBD0D74" w14:textId="77777777" w:rsidR="006779F5" w:rsidRPr="0093154C" w:rsidRDefault="006779F5" w:rsidP="006779F5">
      <w:pPr>
        <w:pStyle w:val="Textonotapie"/>
        <w:ind w:firstLine="709"/>
        <w:jc w:val="both"/>
        <w:rPr>
          <w:rFonts w:ascii="Verdana" w:eastAsia="Calibri" w:hAnsi="Verdana" w:cs="Arial"/>
          <w:sz w:val="16"/>
          <w:szCs w:val="16"/>
          <w:lang w:val="es-ES_tradnl" w:eastAsia="es-ES_tradnl"/>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2BA0DB4" w14:textId="77777777" w:rsidR="006779F5" w:rsidRPr="0093154C" w:rsidRDefault="006779F5" w:rsidP="006779F5">
      <w:pPr>
        <w:pStyle w:val="Textonotapie"/>
        <w:ind w:firstLine="709"/>
        <w:jc w:val="both"/>
        <w:rPr>
          <w:rFonts w:ascii="Verdana" w:hAnsi="Verdana" w:cs="Arial"/>
          <w:sz w:val="16"/>
          <w:szCs w:val="16"/>
          <w:lang w:val="es-ES"/>
        </w:rPr>
      </w:pPr>
      <w:r w:rsidRPr="0093154C">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08BCB4DF" w14:textId="77777777" w:rsidR="006779F5" w:rsidRPr="0093154C"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 xml:space="preserve">CONSEJO DE ESTADO. Sección Tercera. Subsección B. Sentencia del 29 de febrero de 2012. </w:t>
      </w:r>
      <w:r w:rsidRPr="0093154C">
        <w:rPr>
          <w:rFonts w:ascii="Verdana" w:eastAsia="Calibri" w:hAnsi="Verdana" w:cs="Arial"/>
          <w:sz w:val="16"/>
          <w:szCs w:val="16"/>
          <w:lang w:val="es-ES_tradnl" w:eastAsia="es-ES_tradnl"/>
        </w:rPr>
        <w:t>Exp. 16371, C.P. Danilo Rojas Betancourth.</w:t>
      </w:r>
    </w:p>
  </w:footnote>
  <w:footnote w:id="3">
    <w:p w14:paraId="4A737F6A" w14:textId="77777777" w:rsidR="006779F5" w:rsidRDefault="006779F5" w:rsidP="006779F5">
      <w:pPr>
        <w:pStyle w:val="Textonotapie"/>
        <w:ind w:firstLine="709"/>
        <w:jc w:val="both"/>
        <w:rPr>
          <w:rFonts w:ascii="Verdana" w:eastAsia="Calibri" w:hAnsi="Verdana" w:cs="Arial"/>
          <w:sz w:val="16"/>
          <w:szCs w:val="16"/>
          <w:lang w:val="es-ES_tradnl" w:eastAsia="es-ES_tradnl"/>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PINO RICCI, Jorge. El régimen jurídico de los contratos estatales. Universidad Externado de Colombia. Bogotá, 2005. pp. 416.</w:t>
      </w:r>
    </w:p>
    <w:p w14:paraId="4BEBEC62" w14:textId="77777777" w:rsidR="006779F5" w:rsidRPr="0093154C" w:rsidRDefault="006779F5" w:rsidP="006779F5">
      <w:pPr>
        <w:pStyle w:val="Textonotapie"/>
        <w:ind w:firstLine="709"/>
        <w:jc w:val="both"/>
        <w:rPr>
          <w:rFonts w:ascii="Verdana" w:hAnsi="Verdana" w:cs="Arial"/>
          <w:sz w:val="16"/>
          <w:szCs w:val="16"/>
          <w:lang w:val="es-CO"/>
        </w:rPr>
      </w:pPr>
    </w:p>
  </w:footnote>
  <w:footnote w:id="4">
    <w:p w14:paraId="34D85481" w14:textId="77777777" w:rsidR="006779F5" w:rsidRPr="0093154C"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 xml:space="preserve">CONSEJO DE ESTADO. Sección Tercera. Subsección B. Sentencia del 14 de octubre de 2011. </w:t>
      </w:r>
      <w:r w:rsidRPr="0093154C">
        <w:rPr>
          <w:rFonts w:ascii="Verdana" w:eastAsia="Calibri" w:hAnsi="Verdana" w:cs="Arial"/>
          <w:sz w:val="16"/>
          <w:szCs w:val="16"/>
          <w:lang w:val="es-ES_tradnl" w:eastAsia="es-ES_tradnl"/>
        </w:rPr>
        <w:t>Exp. 20811, C.P. Ruth Stella Correa Palacio.</w:t>
      </w:r>
    </w:p>
  </w:footnote>
  <w:footnote w:id="5">
    <w:p w14:paraId="6A2E97BA" w14:textId="77777777" w:rsidR="006779F5" w:rsidRDefault="006779F5" w:rsidP="006779F5">
      <w:pPr>
        <w:pStyle w:val="Textonotapie"/>
        <w:ind w:firstLine="708"/>
        <w:jc w:val="both"/>
        <w:rPr>
          <w:rFonts w:ascii="Verdana" w:eastAsia="Calibri" w:hAnsi="Verdana" w:cs="Arial"/>
          <w:sz w:val="16"/>
          <w:szCs w:val="16"/>
          <w:lang w:val="es-ES_tradnl" w:eastAsia="es-ES_tradnl"/>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p w14:paraId="187FA39F" w14:textId="77777777" w:rsidR="006779F5" w:rsidRPr="0093154C" w:rsidRDefault="006779F5" w:rsidP="006779F5">
      <w:pPr>
        <w:pStyle w:val="Textonotapie"/>
        <w:ind w:firstLine="708"/>
        <w:jc w:val="both"/>
        <w:rPr>
          <w:rFonts w:ascii="Verdana" w:hAnsi="Verdana" w:cs="Arial"/>
          <w:sz w:val="16"/>
          <w:szCs w:val="16"/>
        </w:rPr>
      </w:pPr>
    </w:p>
  </w:footnote>
  <w:footnote w:id="6">
    <w:p w14:paraId="73B4D78F" w14:textId="77777777" w:rsidR="006779F5" w:rsidRPr="0093154C"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7">
    <w:p w14:paraId="7BBE901E" w14:textId="77777777" w:rsidR="006779F5"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93154C">
        <w:rPr>
          <w:rFonts w:ascii="Verdana" w:hAnsi="Verdana" w:cs="Arial"/>
          <w:sz w:val="16"/>
          <w:szCs w:val="16"/>
        </w:rPr>
        <w:t xml:space="preserve"> </w:t>
      </w:r>
    </w:p>
    <w:p w14:paraId="58ABC2D0" w14:textId="77777777" w:rsidR="006779F5" w:rsidRPr="0093154C" w:rsidRDefault="006779F5" w:rsidP="006779F5">
      <w:pPr>
        <w:pStyle w:val="Textonotapie"/>
        <w:ind w:firstLine="708"/>
        <w:jc w:val="both"/>
        <w:rPr>
          <w:rFonts w:ascii="Verdana" w:hAnsi="Verdana" w:cs="Arial"/>
          <w:sz w:val="16"/>
          <w:szCs w:val="16"/>
        </w:rPr>
      </w:pPr>
    </w:p>
  </w:footnote>
  <w:footnote w:id="8">
    <w:p w14:paraId="505D7F67" w14:textId="77777777" w:rsidR="006779F5" w:rsidRPr="0093154C" w:rsidRDefault="006779F5" w:rsidP="006779F5">
      <w:pPr>
        <w:pStyle w:val="Textonotapie"/>
        <w:ind w:firstLine="709"/>
        <w:jc w:val="both"/>
        <w:rPr>
          <w:rFonts w:ascii="Verdana" w:eastAsia="Calibri" w:hAnsi="Verdana" w:cs="Arial"/>
          <w:sz w:val="16"/>
          <w:szCs w:val="16"/>
          <w:lang w:val="es-ES_tradnl" w:eastAsia="es-ES_tradnl"/>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 xml:space="preserve">MARÍN, </w:t>
      </w:r>
      <w:r w:rsidRPr="0093154C">
        <w:rPr>
          <w:rFonts w:ascii="Verdana" w:eastAsia="Calibri" w:hAnsi="Verdana" w:cs="Arial"/>
          <w:sz w:val="16"/>
          <w:szCs w:val="16"/>
          <w:lang w:val="es-ES_tradnl" w:eastAsia="es-ES_tradnl"/>
        </w:rPr>
        <w:t>Op. Cit., pp. 64-65.</w:t>
      </w:r>
    </w:p>
  </w:footnote>
  <w:footnote w:id="9">
    <w:p w14:paraId="2DED6417" w14:textId="77777777" w:rsidR="006779F5" w:rsidRPr="0093154C" w:rsidRDefault="006779F5" w:rsidP="006779F5">
      <w:pPr>
        <w:pStyle w:val="Textonotapie"/>
        <w:ind w:firstLine="709"/>
        <w:jc w:val="both"/>
        <w:rPr>
          <w:rFonts w:ascii="Verdana" w:hAnsi="Verdana" w:cs="Arial"/>
          <w:sz w:val="16"/>
          <w:szCs w:val="16"/>
          <w:lang w:val="es-ES"/>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Ibíd., p. 66.</w:t>
      </w:r>
    </w:p>
  </w:footnote>
  <w:footnote w:id="10">
    <w:p w14:paraId="07259FC0" w14:textId="77777777" w:rsidR="006779F5" w:rsidRPr="0093154C" w:rsidRDefault="006779F5" w:rsidP="006779F5">
      <w:pPr>
        <w:pStyle w:val="Textonotapie"/>
        <w:ind w:firstLine="708"/>
        <w:jc w:val="both"/>
        <w:rPr>
          <w:rFonts w:ascii="Verdana" w:eastAsia="Calibri" w:hAnsi="Verdana" w:cs="Arial"/>
          <w:sz w:val="16"/>
          <w:szCs w:val="16"/>
          <w:lang w:val="es-ES_tradnl" w:eastAsia="es-ES_tradnl"/>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r w:rsidRPr="0093154C">
        <w:rPr>
          <w:rFonts w:ascii="Verdana" w:eastAsia="Calibri" w:hAnsi="Verdana" w:cs="Arial"/>
          <w:sz w:val="16"/>
          <w:szCs w:val="16"/>
          <w:lang w:val="es-ES_tradnl" w:eastAsia="es-ES_tradnl"/>
        </w:rPr>
        <w:t>Ibíd, p. 76)</w:t>
      </w:r>
    </w:p>
  </w:footnote>
  <w:footnote w:id="11">
    <w:p w14:paraId="496E309D" w14:textId="77777777" w:rsidR="006779F5" w:rsidRPr="0093154C"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w:t>
      </w:r>
      <w:r w:rsidRPr="0093154C">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2">
    <w:p w14:paraId="234BC2CA" w14:textId="77777777" w:rsidR="006779F5" w:rsidRDefault="006779F5" w:rsidP="006779F5">
      <w:pPr>
        <w:pStyle w:val="Textonotapie"/>
        <w:ind w:firstLine="708"/>
        <w:rPr>
          <w:rFonts w:ascii="Verdana" w:eastAsia="Calibri" w:hAnsi="Verdana" w:cs="Arial"/>
          <w:sz w:val="16"/>
          <w:szCs w:val="16"/>
          <w:lang w:val="es-ES_tradnl" w:eastAsia="es-ES_tradnl"/>
        </w:rPr>
      </w:pPr>
      <w:r w:rsidRPr="0093154C">
        <w:rPr>
          <w:rStyle w:val="Refdenotaalpie"/>
          <w:sz w:val="16"/>
          <w:szCs w:val="16"/>
        </w:rPr>
        <w:footnoteRef/>
      </w:r>
      <w:r w:rsidRPr="0093154C">
        <w:rPr>
          <w:sz w:val="16"/>
          <w:szCs w:val="16"/>
        </w:rPr>
        <w:t xml:space="preserve"> </w:t>
      </w:r>
      <w:r w:rsidRPr="0093154C">
        <w:rPr>
          <w:rFonts w:ascii="Verdana" w:eastAsia="Calibri" w:hAnsi="Verdana" w:cs="Arial"/>
          <w:sz w:val="16"/>
          <w:szCs w:val="16"/>
          <w:lang w:val="es-ES_tradnl" w:eastAsia="es-ES_tradnl"/>
        </w:rPr>
        <w:t xml:space="preserve">MARÍN CORTÉS, Fabián. El precio. </w:t>
      </w:r>
      <w:r w:rsidRPr="0093154C">
        <w:rPr>
          <w:rFonts w:ascii="Verdana" w:eastAsia="Calibri" w:hAnsi="Verdana" w:cs="Arial"/>
          <w:sz w:val="16"/>
          <w:szCs w:val="16"/>
          <w:lang w:val="es-ES_tradnl" w:eastAsia="es-ES_tradnl"/>
        </w:rPr>
        <w:t xml:space="preserve">Op. cit. p. 64. </w:t>
      </w:r>
    </w:p>
    <w:p w14:paraId="2C7C8B5D" w14:textId="77777777" w:rsidR="006779F5" w:rsidRPr="0093154C" w:rsidRDefault="006779F5" w:rsidP="006779F5">
      <w:pPr>
        <w:pStyle w:val="Textonotapie"/>
        <w:ind w:firstLine="708"/>
        <w:rPr>
          <w:sz w:val="16"/>
          <w:szCs w:val="16"/>
          <w:lang w:val="es-CO"/>
        </w:rPr>
      </w:pPr>
    </w:p>
  </w:footnote>
  <w:footnote w:id="13">
    <w:p w14:paraId="40FB294E" w14:textId="77777777" w:rsidR="006779F5" w:rsidRPr="0093154C" w:rsidRDefault="006779F5" w:rsidP="006779F5">
      <w:pPr>
        <w:pStyle w:val="Textonotapie"/>
        <w:ind w:firstLine="708"/>
        <w:jc w:val="both"/>
        <w:rPr>
          <w:rFonts w:ascii="Verdana" w:hAnsi="Verdana"/>
          <w:sz w:val="16"/>
          <w:szCs w:val="16"/>
          <w:lang w:val="es-CO"/>
        </w:rPr>
      </w:pPr>
      <w:r w:rsidRPr="0093154C">
        <w:rPr>
          <w:rStyle w:val="Refdenotaalpie"/>
          <w:rFonts w:ascii="Verdana" w:hAnsi="Verdana"/>
          <w:sz w:val="16"/>
          <w:szCs w:val="16"/>
        </w:rPr>
        <w:footnoteRef/>
      </w:r>
      <w:r w:rsidRPr="0093154C">
        <w:rPr>
          <w:rFonts w:ascii="Verdana" w:hAnsi="Verdana"/>
          <w:sz w:val="16"/>
          <w:szCs w:val="16"/>
        </w:rPr>
        <w:t xml:space="preserve"> </w:t>
      </w:r>
      <w:r w:rsidRPr="0093154C">
        <w:rPr>
          <w:rFonts w:ascii="Verdana" w:hAnsi="Verdana"/>
          <w:sz w:val="16"/>
          <w:szCs w:val="16"/>
          <w:lang w:val="es-CO"/>
        </w:rPr>
        <w:t>JURISTO SÁNCHEZ. Rafael. El Contrato de Obra Pública. Madrid: Universidad Complutense de Madrid, 1997. p.17.</w:t>
      </w:r>
    </w:p>
  </w:footnote>
  <w:footnote w:id="14">
    <w:p w14:paraId="7E6C69DA" w14:textId="77777777" w:rsidR="006779F5" w:rsidRPr="0093154C" w:rsidRDefault="006779F5" w:rsidP="006779F5">
      <w:pPr>
        <w:pStyle w:val="Textonotapie"/>
        <w:ind w:firstLine="708"/>
        <w:jc w:val="both"/>
        <w:rPr>
          <w:sz w:val="16"/>
          <w:szCs w:val="16"/>
          <w:lang w:val="es-CO"/>
        </w:rPr>
      </w:pPr>
      <w:r w:rsidRPr="0093154C">
        <w:rPr>
          <w:rStyle w:val="Refdenotaalpie"/>
          <w:rFonts w:ascii="Verdana" w:hAnsi="Verdana"/>
          <w:sz w:val="16"/>
          <w:szCs w:val="16"/>
        </w:rPr>
        <w:footnoteRef/>
      </w:r>
      <w:r w:rsidRPr="0093154C">
        <w:rPr>
          <w:rFonts w:ascii="Verdana" w:hAnsi="Verdana"/>
          <w:sz w:val="16"/>
          <w:szCs w:val="16"/>
        </w:rPr>
        <w:t xml:space="preserve"> </w:t>
      </w:r>
      <w:r w:rsidRPr="0093154C">
        <w:rPr>
          <w:rFonts w:ascii="Verdana" w:hAnsi="Verdana"/>
          <w:sz w:val="16"/>
          <w:szCs w:val="16"/>
          <w:lang w:val="es-CO"/>
        </w:rPr>
        <w:t xml:space="preserve">VELÁSQUEZ VELA, Víctor. Variación de Precio en los Contratos de ejecución de obra pública. </w:t>
      </w:r>
      <w:r w:rsidRPr="0093154C">
        <w:rPr>
          <w:rFonts w:ascii="Verdana" w:hAnsi="Verdana"/>
          <w:i/>
          <w:iCs/>
          <w:sz w:val="16"/>
          <w:szCs w:val="16"/>
          <w:lang w:val="es-CO"/>
        </w:rPr>
        <w:t>Derecho &amp; sociedad</w:t>
      </w:r>
      <w:r w:rsidRPr="0093154C">
        <w:rPr>
          <w:rFonts w:ascii="Verdana" w:hAnsi="Verdana"/>
          <w:sz w:val="16"/>
          <w:szCs w:val="16"/>
          <w:lang w:val="es-CO"/>
        </w:rPr>
        <w:t>, 2011, vol. 36, p. 31.</w:t>
      </w:r>
      <w:r w:rsidRPr="0093154C">
        <w:rPr>
          <w:sz w:val="16"/>
          <w:szCs w:val="16"/>
          <w:lang w:val="es-CO"/>
        </w:rPr>
        <w:t xml:space="preserve"> </w:t>
      </w:r>
    </w:p>
  </w:footnote>
  <w:footnote w:id="15">
    <w:p w14:paraId="2025CC34" w14:textId="77777777" w:rsidR="006779F5"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COLOMBIA COMPRA EFICIENTE, Subdirección de Gestión Contractual. Concepto con radicado 2201913000003074 del 9 de mayo de 2019, en el que se reitera que la vigilancia de la ejecución no habilita al supervisor o interventor para objetar o modificar los precios unitarios pactados, que son ley para las partes. En el mismo sentido, el Consejo de Estado, Sección Tercera, en sentencia del 31 de agosto de 2011, </w:t>
      </w:r>
      <w:r w:rsidRPr="0093154C">
        <w:rPr>
          <w:rFonts w:ascii="Verdana" w:hAnsi="Verdana" w:cs="Arial"/>
          <w:sz w:val="16"/>
          <w:szCs w:val="16"/>
        </w:rPr>
        <w:t>Exp. 18080, señaló que “en el contrato a precios unitarios la forma de pago es por unidades o cantidades de obra”.</w:t>
      </w:r>
    </w:p>
    <w:p w14:paraId="6517B20B" w14:textId="77777777" w:rsidR="006779F5" w:rsidRPr="0093154C" w:rsidRDefault="006779F5" w:rsidP="006779F5">
      <w:pPr>
        <w:pStyle w:val="Textonotapie"/>
        <w:ind w:firstLine="708"/>
        <w:jc w:val="both"/>
        <w:rPr>
          <w:rFonts w:ascii="Verdana" w:hAnsi="Verdana" w:cs="Arial"/>
          <w:sz w:val="16"/>
          <w:szCs w:val="16"/>
        </w:rPr>
      </w:pPr>
    </w:p>
  </w:footnote>
  <w:footnote w:id="16">
    <w:p w14:paraId="591630F4" w14:textId="77777777" w:rsidR="006779F5" w:rsidRDefault="006779F5" w:rsidP="006779F5">
      <w:pPr>
        <w:pStyle w:val="Textonotapie"/>
        <w:ind w:firstLine="708"/>
        <w:jc w:val="both"/>
        <w:rPr>
          <w:rFonts w:ascii="Verdana" w:hAnsi="Verdana" w:cs="Arial"/>
          <w:sz w:val="16"/>
          <w:szCs w:val="16"/>
        </w:rPr>
      </w:pPr>
      <w:r w:rsidRPr="0093154C">
        <w:rPr>
          <w:rStyle w:val="Refdenotaalpie"/>
          <w:rFonts w:ascii="Verdana" w:hAnsi="Verdana" w:cs="Arial"/>
          <w:sz w:val="16"/>
          <w:szCs w:val="16"/>
        </w:rPr>
        <w:footnoteRef/>
      </w:r>
      <w:r w:rsidRPr="0093154C">
        <w:rPr>
          <w:rFonts w:ascii="Verdana" w:hAnsi="Verdana" w:cs="Arial"/>
          <w:sz w:val="16"/>
          <w:szCs w:val="16"/>
        </w:rPr>
        <w:t xml:space="preserve"> COLOMBIA COMPRA EFICIENTE. Concepto con radicado 4201813000008707 del 3 de diciembre de 2018, en el que se precisa que los componentes de Administración e Imprevistos integran el AIU y, por consiguiente, el valor total del contrato, de modo que “no hay lugar a soportarlos en la ejecución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31938168">
    <w:abstractNumId w:val="10"/>
  </w:num>
  <w:num w:numId="2" w16cid:durableId="1701395266">
    <w:abstractNumId w:val="2"/>
  </w:num>
  <w:num w:numId="3" w16cid:durableId="1228302096">
    <w:abstractNumId w:val="8"/>
  </w:num>
  <w:num w:numId="4" w16cid:durableId="1224296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4133619">
    <w:abstractNumId w:val="2"/>
  </w:num>
  <w:num w:numId="6" w16cid:durableId="675615384">
    <w:abstractNumId w:val="17"/>
  </w:num>
  <w:num w:numId="7" w16cid:durableId="864321219">
    <w:abstractNumId w:val="9"/>
  </w:num>
  <w:num w:numId="8" w16cid:durableId="776483372">
    <w:abstractNumId w:val="16"/>
  </w:num>
  <w:num w:numId="9" w16cid:durableId="386535148">
    <w:abstractNumId w:val="11"/>
  </w:num>
  <w:num w:numId="10" w16cid:durableId="295140899">
    <w:abstractNumId w:val="15"/>
  </w:num>
  <w:num w:numId="11" w16cid:durableId="1744570314">
    <w:abstractNumId w:val="12"/>
  </w:num>
  <w:num w:numId="12" w16cid:durableId="2114939488">
    <w:abstractNumId w:val="0"/>
  </w:num>
  <w:num w:numId="13" w16cid:durableId="1963681345">
    <w:abstractNumId w:val="5"/>
  </w:num>
  <w:num w:numId="14" w16cid:durableId="1701009809">
    <w:abstractNumId w:val="18"/>
  </w:num>
  <w:num w:numId="15" w16cid:durableId="393743610">
    <w:abstractNumId w:val="14"/>
  </w:num>
  <w:num w:numId="16" w16cid:durableId="1320385261">
    <w:abstractNumId w:val="6"/>
  </w:num>
  <w:num w:numId="17" w16cid:durableId="790906778">
    <w:abstractNumId w:val="13"/>
  </w:num>
  <w:num w:numId="18" w16cid:durableId="2064792881">
    <w:abstractNumId w:val="21"/>
  </w:num>
  <w:num w:numId="19" w16cid:durableId="1641492545">
    <w:abstractNumId w:val="20"/>
  </w:num>
  <w:num w:numId="20" w16cid:durableId="485634091">
    <w:abstractNumId w:val="1"/>
  </w:num>
  <w:num w:numId="21" w16cid:durableId="1839732846">
    <w:abstractNumId w:val="4"/>
  </w:num>
  <w:num w:numId="22" w16cid:durableId="1229269678">
    <w:abstractNumId w:val="7"/>
  </w:num>
  <w:num w:numId="23" w16cid:durableId="1427530286">
    <w:abstractNumId w:val="3"/>
  </w:num>
  <w:num w:numId="24" w16cid:durableId="21075810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34D5"/>
    <w:rsid w:val="00016F78"/>
    <w:rsid w:val="00020EC3"/>
    <w:rsid w:val="000353BD"/>
    <w:rsid w:val="00046945"/>
    <w:rsid w:val="00046C75"/>
    <w:rsid w:val="00061B2A"/>
    <w:rsid w:val="000711CF"/>
    <w:rsid w:val="00076D52"/>
    <w:rsid w:val="00080B1D"/>
    <w:rsid w:val="00082362"/>
    <w:rsid w:val="00085031"/>
    <w:rsid w:val="00086822"/>
    <w:rsid w:val="00086C94"/>
    <w:rsid w:val="0009079C"/>
    <w:rsid w:val="000A1514"/>
    <w:rsid w:val="000A1642"/>
    <w:rsid w:val="000A66E5"/>
    <w:rsid w:val="000A683E"/>
    <w:rsid w:val="000B0FAA"/>
    <w:rsid w:val="000B19B9"/>
    <w:rsid w:val="000B27F0"/>
    <w:rsid w:val="000C5A9E"/>
    <w:rsid w:val="000C7D93"/>
    <w:rsid w:val="000D0334"/>
    <w:rsid w:val="000D1DC8"/>
    <w:rsid w:val="000D4734"/>
    <w:rsid w:val="000D5DA7"/>
    <w:rsid w:val="000E6E2C"/>
    <w:rsid w:val="000F01E9"/>
    <w:rsid w:val="000F04D1"/>
    <w:rsid w:val="000F078F"/>
    <w:rsid w:val="000F3444"/>
    <w:rsid w:val="000F3E03"/>
    <w:rsid w:val="000F512E"/>
    <w:rsid w:val="000F6486"/>
    <w:rsid w:val="000F7FD4"/>
    <w:rsid w:val="00105C57"/>
    <w:rsid w:val="001114C0"/>
    <w:rsid w:val="00115FDC"/>
    <w:rsid w:val="001161CA"/>
    <w:rsid w:val="001168F2"/>
    <w:rsid w:val="00116940"/>
    <w:rsid w:val="00125105"/>
    <w:rsid w:val="00127233"/>
    <w:rsid w:val="001328F3"/>
    <w:rsid w:val="001354EE"/>
    <w:rsid w:val="001428DC"/>
    <w:rsid w:val="001521B3"/>
    <w:rsid w:val="0015699B"/>
    <w:rsid w:val="00157B62"/>
    <w:rsid w:val="00171640"/>
    <w:rsid w:val="001728E4"/>
    <w:rsid w:val="00174D6E"/>
    <w:rsid w:val="0019787F"/>
    <w:rsid w:val="001A0D5B"/>
    <w:rsid w:val="001A176B"/>
    <w:rsid w:val="001A33BF"/>
    <w:rsid w:val="001A5968"/>
    <w:rsid w:val="001B7FB9"/>
    <w:rsid w:val="001C5AE4"/>
    <w:rsid w:val="001C61B3"/>
    <w:rsid w:val="001D02CC"/>
    <w:rsid w:val="001D64AE"/>
    <w:rsid w:val="001E2E05"/>
    <w:rsid w:val="001E4177"/>
    <w:rsid w:val="001F0B24"/>
    <w:rsid w:val="001F5DD0"/>
    <w:rsid w:val="001F7DC6"/>
    <w:rsid w:val="002010A3"/>
    <w:rsid w:val="00207466"/>
    <w:rsid w:val="00211E12"/>
    <w:rsid w:val="00212AD1"/>
    <w:rsid w:val="00217FCA"/>
    <w:rsid w:val="002209DE"/>
    <w:rsid w:val="0022400B"/>
    <w:rsid w:val="0023515D"/>
    <w:rsid w:val="002421BB"/>
    <w:rsid w:val="00253436"/>
    <w:rsid w:val="0025796E"/>
    <w:rsid w:val="0026579C"/>
    <w:rsid w:val="002707A2"/>
    <w:rsid w:val="0027110C"/>
    <w:rsid w:val="00275482"/>
    <w:rsid w:val="00277C07"/>
    <w:rsid w:val="002868FF"/>
    <w:rsid w:val="0028778F"/>
    <w:rsid w:val="00294054"/>
    <w:rsid w:val="002951A0"/>
    <w:rsid w:val="002962BC"/>
    <w:rsid w:val="002975A4"/>
    <w:rsid w:val="002A093D"/>
    <w:rsid w:val="002A0DD0"/>
    <w:rsid w:val="002A49AC"/>
    <w:rsid w:val="002A64FD"/>
    <w:rsid w:val="002B730F"/>
    <w:rsid w:val="002B7827"/>
    <w:rsid w:val="002C7A84"/>
    <w:rsid w:val="002E05EF"/>
    <w:rsid w:val="002E2BF8"/>
    <w:rsid w:val="002E4D32"/>
    <w:rsid w:val="002E4FD9"/>
    <w:rsid w:val="002F0847"/>
    <w:rsid w:val="0030657A"/>
    <w:rsid w:val="003070C4"/>
    <w:rsid w:val="003136DC"/>
    <w:rsid w:val="003156BF"/>
    <w:rsid w:val="00316053"/>
    <w:rsid w:val="00322A85"/>
    <w:rsid w:val="00322C00"/>
    <w:rsid w:val="00322D77"/>
    <w:rsid w:val="00324168"/>
    <w:rsid w:val="00330834"/>
    <w:rsid w:val="003332A8"/>
    <w:rsid w:val="003365A9"/>
    <w:rsid w:val="003448F4"/>
    <w:rsid w:val="00351BD7"/>
    <w:rsid w:val="00374F5E"/>
    <w:rsid w:val="003769E1"/>
    <w:rsid w:val="00377E3E"/>
    <w:rsid w:val="00381BAB"/>
    <w:rsid w:val="003A779E"/>
    <w:rsid w:val="003B0DFC"/>
    <w:rsid w:val="003B15B1"/>
    <w:rsid w:val="003C0ED7"/>
    <w:rsid w:val="003D0F4D"/>
    <w:rsid w:val="003D494E"/>
    <w:rsid w:val="003D5B0D"/>
    <w:rsid w:val="003E0499"/>
    <w:rsid w:val="003E4C37"/>
    <w:rsid w:val="003E4F80"/>
    <w:rsid w:val="003E6439"/>
    <w:rsid w:val="003F18C5"/>
    <w:rsid w:val="003F1FD8"/>
    <w:rsid w:val="003F3941"/>
    <w:rsid w:val="00403EFA"/>
    <w:rsid w:val="00406575"/>
    <w:rsid w:val="00407BED"/>
    <w:rsid w:val="004140B3"/>
    <w:rsid w:val="00414C74"/>
    <w:rsid w:val="004150B9"/>
    <w:rsid w:val="00415F1D"/>
    <w:rsid w:val="0042722E"/>
    <w:rsid w:val="0042740B"/>
    <w:rsid w:val="0043467B"/>
    <w:rsid w:val="0044528D"/>
    <w:rsid w:val="00446FEE"/>
    <w:rsid w:val="00451137"/>
    <w:rsid w:val="004555EA"/>
    <w:rsid w:val="0045785F"/>
    <w:rsid w:val="00466E39"/>
    <w:rsid w:val="00484E40"/>
    <w:rsid w:val="0048787A"/>
    <w:rsid w:val="00492C4A"/>
    <w:rsid w:val="00494F04"/>
    <w:rsid w:val="00495E9A"/>
    <w:rsid w:val="004A0841"/>
    <w:rsid w:val="004A0A0B"/>
    <w:rsid w:val="004A0E5C"/>
    <w:rsid w:val="004A1847"/>
    <w:rsid w:val="004A305D"/>
    <w:rsid w:val="004B3DAC"/>
    <w:rsid w:val="004B73B9"/>
    <w:rsid w:val="004C0DBB"/>
    <w:rsid w:val="004D2B6F"/>
    <w:rsid w:val="004E267E"/>
    <w:rsid w:val="004E2B92"/>
    <w:rsid w:val="004F21C4"/>
    <w:rsid w:val="004F685F"/>
    <w:rsid w:val="005000A1"/>
    <w:rsid w:val="00513BF7"/>
    <w:rsid w:val="00517955"/>
    <w:rsid w:val="005229DB"/>
    <w:rsid w:val="005233A1"/>
    <w:rsid w:val="00524422"/>
    <w:rsid w:val="005323C8"/>
    <w:rsid w:val="00534886"/>
    <w:rsid w:val="00535CBB"/>
    <w:rsid w:val="005365D9"/>
    <w:rsid w:val="00536A0E"/>
    <w:rsid w:val="00545F50"/>
    <w:rsid w:val="0055262A"/>
    <w:rsid w:val="00553040"/>
    <w:rsid w:val="0055663E"/>
    <w:rsid w:val="005566E8"/>
    <w:rsid w:val="00560892"/>
    <w:rsid w:val="00570B00"/>
    <w:rsid w:val="00572622"/>
    <w:rsid w:val="00573280"/>
    <w:rsid w:val="00574867"/>
    <w:rsid w:val="00591460"/>
    <w:rsid w:val="00592C94"/>
    <w:rsid w:val="005A2CAB"/>
    <w:rsid w:val="005A3311"/>
    <w:rsid w:val="005A3E5E"/>
    <w:rsid w:val="005A52A7"/>
    <w:rsid w:val="005A57A5"/>
    <w:rsid w:val="005A6454"/>
    <w:rsid w:val="005A65E0"/>
    <w:rsid w:val="005C0881"/>
    <w:rsid w:val="005C3777"/>
    <w:rsid w:val="005C5CDC"/>
    <w:rsid w:val="005C653A"/>
    <w:rsid w:val="005D2566"/>
    <w:rsid w:val="005D476C"/>
    <w:rsid w:val="005E0D92"/>
    <w:rsid w:val="005F20A4"/>
    <w:rsid w:val="00600BA0"/>
    <w:rsid w:val="00600D92"/>
    <w:rsid w:val="00603C5B"/>
    <w:rsid w:val="00611CE6"/>
    <w:rsid w:val="00612ADF"/>
    <w:rsid w:val="006137E1"/>
    <w:rsid w:val="00617200"/>
    <w:rsid w:val="00617E91"/>
    <w:rsid w:val="006200BF"/>
    <w:rsid w:val="0062143E"/>
    <w:rsid w:val="006219F8"/>
    <w:rsid w:val="00624A89"/>
    <w:rsid w:val="00624EEC"/>
    <w:rsid w:val="006302F7"/>
    <w:rsid w:val="0064349E"/>
    <w:rsid w:val="00646B9F"/>
    <w:rsid w:val="00646F24"/>
    <w:rsid w:val="006547C3"/>
    <w:rsid w:val="00660C46"/>
    <w:rsid w:val="00662087"/>
    <w:rsid w:val="00663A04"/>
    <w:rsid w:val="00665D70"/>
    <w:rsid w:val="00672499"/>
    <w:rsid w:val="00677249"/>
    <w:rsid w:val="006779F5"/>
    <w:rsid w:val="00684F67"/>
    <w:rsid w:val="0068758B"/>
    <w:rsid w:val="006900D9"/>
    <w:rsid w:val="0069741A"/>
    <w:rsid w:val="006A2BE4"/>
    <w:rsid w:val="006B4707"/>
    <w:rsid w:val="006D13BA"/>
    <w:rsid w:val="006D1D21"/>
    <w:rsid w:val="006D591D"/>
    <w:rsid w:val="006D64EE"/>
    <w:rsid w:val="006F2238"/>
    <w:rsid w:val="006F4199"/>
    <w:rsid w:val="007009D7"/>
    <w:rsid w:val="007025D7"/>
    <w:rsid w:val="00706C16"/>
    <w:rsid w:val="00710752"/>
    <w:rsid w:val="0071557C"/>
    <w:rsid w:val="0072127A"/>
    <w:rsid w:val="00731F30"/>
    <w:rsid w:val="007340C3"/>
    <w:rsid w:val="0073510E"/>
    <w:rsid w:val="007406B3"/>
    <w:rsid w:val="007458D3"/>
    <w:rsid w:val="00751DE8"/>
    <w:rsid w:val="0075235A"/>
    <w:rsid w:val="00752CDB"/>
    <w:rsid w:val="00753A5F"/>
    <w:rsid w:val="0075557D"/>
    <w:rsid w:val="00756841"/>
    <w:rsid w:val="00756D0C"/>
    <w:rsid w:val="00763E16"/>
    <w:rsid w:val="007649AB"/>
    <w:rsid w:val="00767A02"/>
    <w:rsid w:val="00771AEF"/>
    <w:rsid w:val="00771D0C"/>
    <w:rsid w:val="00781CFA"/>
    <w:rsid w:val="00782ED2"/>
    <w:rsid w:val="007833AC"/>
    <w:rsid w:val="00795086"/>
    <w:rsid w:val="007A037B"/>
    <w:rsid w:val="007A1830"/>
    <w:rsid w:val="007A4216"/>
    <w:rsid w:val="007B268C"/>
    <w:rsid w:val="007B4511"/>
    <w:rsid w:val="007B7171"/>
    <w:rsid w:val="007C0C0F"/>
    <w:rsid w:val="007C3DC2"/>
    <w:rsid w:val="007C4353"/>
    <w:rsid w:val="007D3058"/>
    <w:rsid w:val="007D4B12"/>
    <w:rsid w:val="007E43AC"/>
    <w:rsid w:val="007E5497"/>
    <w:rsid w:val="007F113A"/>
    <w:rsid w:val="008002AC"/>
    <w:rsid w:val="00803584"/>
    <w:rsid w:val="00806F5F"/>
    <w:rsid w:val="008103F6"/>
    <w:rsid w:val="00820278"/>
    <w:rsid w:val="00820488"/>
    <w:rsid w:val="0082071A"/>
    <w:rsid w:val="00820EE3"/>
    <w:rsid w:val="00821DB0"/>
    <w:rsid w:val="0082251D"/>
    <w:rsid w:val="008258C9"/>
    <w:rsid w:val="00830893"/>
    <w:rsid w:val="00833286"/>
    <w:rsid w:val="00836232"/>
    <w:rsid w:val="00841E29"/>
    <w:rsid w:val="00842CFB"/>
    <w:rsid w:val="00844AE9"/>
    <w:rsid w:val="00850709"/>
    <w:rsid w:val="0085545E"/>
    <w:rsid w:val="00867F95"/>
    <w:rsid w:val="00871AAC"/>
    <w:rsid w:val="00875356"/>
    <w:rsid w:val="008843B6"/>
    <w:rsid w:val="00884940"/>
    <w:rsid w:val="00886410"/>
    <w:rsid w:val="00891928"/>
    <w:rsid w:val="00891A0E"/>
    <w:rsid w:val="00892A21"/>
    <w:rsid w:val="008A446D"/>
    <w:rsid w:val="008B0D0F"/>
    <w:rsid w:val="008B25F1"/>
    <w:rsid w:val="008C11FD"/>
    <w:rsid w:val="008C4DD5"/>
    <w:rsid w:val="008C517A"/>
    <w:rsid w:val="008C6AE5"/>
    <w:rsid w:val="008D1660"/>
    <w:rsid w:val="008D180B"/>
    <w:rsid w:val="008F0EA7"/>
    <w:rsid w:val="008F17DC"/>
    <w:rsid w:val="008F4334"/>
    <w:rsid w:val="008F553F"/>
    <w:rsid w:val="008F6705"/>
    <w:rsid w:val="008F6837"/>
    <w:rsid w:val="00901213"/>
    <w:rsid w:val="009037F6"/>
    <w:rsid w:val="0091143C"/>
    <w:rsid w:val="00915B42"/>
    <w:rsid w:val="00920327"/>
    <w:rsid w:val="00920817"/>
    <w:rsid w:val="0092140C"/>
    <w:rsid w:val="00923EEF"/>
    <w:rsid w:val="00933E3F"/>
    <w:rsid w:val="009419F9"/>
    <w:rsid w:val="00953ABE"/>
    <w:rsid w:val="0095685E"/>
    <w:rsid w:val="00960F17"/>
    <w:rsid w:val="00961B09"/>
    <w:rsid w:val="00962113"/>
    <w:rsid w:val="00963E12"/>
    <w:rsid w:val="00964321"/>
    <w:rsid w:val="00965334"/>
    <w:rsid w:val="0097093E"/>
    <w:rsid w:val="009722DE"/>
    <w:rsid w:val="0097302E"/>
    <w:rsid w:val="009747FB"/>
    <w:rsid w:val="00984DB3"/>
    <w:rsid w:val="00992E19"/>
    <w:rsid w:val="009A0486"/>
    <w:rsid w:val="009A0DFA"/>
    <w:rsid w:val="009B28B9"/>
    <w:rsid w:val="009B2D26"/>
    <w:rsid w:val="009B4B7C"/>
    <w:rsid w:val="009C71FA"/>
    <w:rsid w:val="009C72E7"/>
    <w:rsid w:val="009C7F7E"/>
    <w:rsid w:val="009D23F2"/>
    <w:rsid w:val="009D3058"/>
    <w:rsid w:val="009D5A9C"/>
    <w:rsid w:val="009E1F28"/>
    <w:rsid w:val="009E6924"/>
    <w:rsid w:val="009E71B8"/>
    <w:rsid w:val="009E7AED"/>
    <w:rsid w:val="009F2EDE"/>
    <w:rsid w:val="009F3770"/>
    <w:rsid w:val="009F3A13"/>
    <w:rsid w:val="009F4B67"/>
    <w:rsid w:val="009F7A6E"/>
    <w:rsid w:val="00A0334B"/>
    <w:rsid w:val="00A0526C"/>
    <w:rsid w:val="00A122D3"/>
    <w:rsid w:val="00A14468"/>
    <w:rsid w:val="00A17F13"/>
    <w:rsid w:val="00A20739"/>
    <w:rsid w:val="00A22363"/>
    <w:rsid w:val="00A23AF9"/>
    <w:rsid w:val="00A31A76"/>
    <w:rsid w:val="00A33C78"/>
    <w:rsid w:val="00A53338"/>
    <w:rsid w:val="00A55343"/>
    <w:rsid w:val="00A73F45"/>
    <w:rsid w:val="00A84AF1"/>
    <w:rsid w:val="00A8776C"/>
    <w:rsid w:val="00A966B0"/>
    <w:rsid w:val="00AA189D"/>
    <w:rsid w:val="00AA1E47"/>
    <w:rsid w:val="00AB0ADB"/>
    <w:rsid w:val="00AB2EFA"/>
    <w:rsid w:val="00AB436E"/>
    <w:rsid w:val="00AB7B8A"/>
    <w:rsid w:val="00AC04A7"/>
    <w:rsid w:val="00AD173A"/>
    <w:rsid w:val="00AD4D54"/>
    <w:rsid w:val="00AD7D5F"/>
    <w:rsid w:val="00AE1F6E"/>
    <w:rsid w:val="00AE3513"/>
    <w:rsid w:val="00AE3DAA"/>
    <w:rsid w:val="00AE5DD2"/>
    <w:rsid w:val="00AF5A10"/>
    <w:rsid w:val="00B00C0E"/>
    <w:rsid w:val="00B01B1A"/>
    <w:rsid w:val="00B02AD7"/>
    <w:rsid w:val="00B04DA1"/>
    <w:rsid w:val="00B11075"/>
    <w:rsid w:val="00B206B6"/>
    <w:rsid w:val="00B234CF"/>
    <w:rsid w:val="00B35656"/>
    <w:rsid w:val="00B37EB5"/>
    <w:rsid w:val="00B4317D"/>
    <w:rsid w:val="00B44A47"/>
    <w:rsid w:val="00B54271"/>
    <w:rsid w:val="00B5550F"/>
    <w:rsid w:val="00B57182"/>
    <w:rsid w:val="00B573C9"/>
    <w:rsid w:val="00B6149C"/>
    <w:rsid w:val="00B64484"/>
    <w:rsid w:val="00B71FD5"/>
    <w:rsid w:val="00B72CD3"/>
    <w:rsid w:val="00B72FFF"/>
    <w:rsid w:val="00B74092"/>
    <w:rsid w:val="00B83AAC"/>
    <w:rsid w:val="00B95DAC"/>
    <w:rsid w:val="00BA064F"/>
    <w:rsid w:val="00BA2EB9"/>
    <w:rsid w:val="00BA3308"/>
    <w:rsid w:val="00BA5760"/>
    <w:rsid w:val="00BA703D"/>
    <w:rsid w:val="00BB2BF0"/>
    <w:rsid w:val="00BC3D36"/>
    <w:rsid w:val="00BC5D42"/>
    <w:rsid w:val="00BC70CB"/>
    <w:rsid w:val="00BD0E5E"/>
    <w:rsid w:val="00BD13AC"/>
    <w:rsid w:val="00BD54A6"/>
    <w:rsid w:val="00BD7F72"/>
    <w:rsid w:val="00BF056C"/>
    <w:rsid w:val="00BF34A7"/>
    <w:rsid w:val="00BF3B66"/>
    <w:rsid w:val="00BF5C08"/>
    <w:rsid w:val="00BF7425"/>
    <w:rsid w:val="00C03EAE"/>
    <w:rsid w:val="00C04FB3"/>
    <w:rsid w:val="00C11D8B"/>
    <w:rsid w:val="00C1350D"/>
    <w:rsid w:val="00C2359C"/>
    <w:rsid w:val="00C251B0"/>
    <w:rsid w:val="00C330EB"/>
    <w:rsid w:val="00C419DF"/>
    <w:rsid w:val="00C50D69"/>
    <w:rsid w:val="00C5365C"/>
    <w:rsid w:val="00C568CB"/>
    <w:rsid w:val="00C619D4"/>
    <w:rsid w:val="00C61D93"/>
    <w:rsid w:val="00C66989"/>
    <w:rsid w:val="00C754BE"/>
    <w:rsid w:val="00C76B1C"/>
    <w:rsid w:val="00C82667"/>
    <w:rsid w:val="00C86435"/>
    <w:rsid w:val="00C90C96"/>
    <w:rsid w:val="00C925AC"/>
    <w:rsid w:val="00C94828"/>
    <w:rsid w:val="00C963BE"/>
    <w:rsid w:val="00C96B64"/>
    <w:rsid w:val="00CA2858"/>
    <w:rsid w:val="00CB02F1"/>
    <w:rsid w:val="00CB2D2C"/>
    <w:rsid w:val="00CB6357"/>
    <w:rsid w:val="00CC1723"/>
    <w:rsid w:val="00CC1B26"/>
    <w:rsid w:val="00CD1478"/>
    <w:rsid w:val="00CD34BC"/>
    <w:rsid w:val="00CD4C85"/>
    <w:rsid w:val="00CE3C1C"/>
    <w:rsid w:val="00CE4026"/>
    <w:rsid w:val="00CF3989"/>
    <w:rsid w:val="00CF47E8"/>
    <w:rsid w:val="00D06146"/>
    <w:rsid w:val="00D0699E"/>
    <w:rsid w:val="00D06B12"/>
    <w:rsid w:val="00D07665"/>
    <w:rsid w:val="00D1210B"/>
    <w:rsid w:val="00D17202"/>
    <w:rsid w:val="00D222C0"/>
    <w:rsid w:val="00D22D2B"/>
    <w:rsid w:val="00D334DD"/>
    <w:rsid w:val="00D34EA3"/>
    <w:rsid w:val="00D361FD"/>
    <w:rsid w:val="00D423A2"/>
    <w:rsid w:val="00D44E26"/>
    <w:rsid w:val="00D51A5D"/>
    <w:rsid w:val="00D520D8"/>
    <w:rsid w:val="00D532D4"/>
    <w:rsid w:val="00D56F8A"/>
    <w:rsid w:val="00D62B9C"/>
    <w:rsid w:val="00D63AC2"/>
    <w:rsid w:val="00D64111"/>
    <w:rsid w:val="00D64AFC"/>
    <w:rsid w:val="00D7383B"/>
    <w:rsid w:val="00D73DBD"/>
    <w:rsid w:val="00D7541C"/>
    <w:rsid w:val="00D7788A"/>
    <w:rsid w:val="00D85F06"/>
    <w:rsid w:val="00D936A2"/>
    <w:rsid w:val="00DA231B"/>
    <w:rsid w:val="00DB13F4"/>
    <w:rsid w:val="00DB1A58"/>
    <w:rsid w:val="00DB55DA"/>
    <w:rsid w:val="00DC39FC"/>
    <w:rsid w:val="00DC5D10"/>
    <w:rsid w:val="00DC7CCB"/>
    <w:rsid w:val="00DE6EC3"/>
    <w:rsid w:val="00DF5254"/>
    <w:rsid w:val="00E02524"/>
    <w:rsid w:val="00E1159D"/>
    <w:rsid w:val="00E1451E"/>
    <w:rsid w:val="00E15EFC"/>
    <w:rsid w:val="00E16408"/>
    <w:rsid w:val="00E20894"/>
    <w:rsid w:val="00E245AB"/>
    <w:rsid w:val="00E27341"/>
    <w:rsid w:val="00E2764C"/>
    <w:rsid w:val="00E27F2E"/>
    <w:rsid w:val="00E31225"/>
    <w:rsid w:val="00E501E7"/>
    <w:rsid w:val="00E50AFE"/>
    <w:rsid w:val="00E5167E"/>
    <w:rsid w:val="00E577E2"/>
    <w:rsid w:val="00E57BC5"/>
    <w:rsid w:val="00E615C4"/>
    <w:rsid w:val="00E71E1B"/>
    <w:rsid w:val="00E75C92"/>
    <w:rsid w:val="00E771DC"/>
    <w:rsid w:val="00E8698F"/>
    <w:rsid w:val="00E86B54"/>
    <w:rsid w:val="00E8772A"/>
    <w:rsid w:val="00E90F6B"/>
    <w:rsid w:val="00E91AED"/>
    <w:rsid w:val="00E92C0D"/>
    <w:rsid w:val="00E92C27"/>
    <w:rsid w:val="00E96B5C"/>
    <w:rsid w:val="00EA0E3D"/>
    <w:rsid w:val="00EA2DC0"/>
    <w:rsid w:val="00EA426C"/>
    <w:rsid w:val="00EB224C"/>
    <w:rsid w:val="00EC006D"/>
    <w:rsid w:val="00EC297F"/>
    <w:rsid w:val="00EC38A7"/>
    <w:rsid w:val="00ED4980"/>
    <w:rsid w:val="00EE1AA8"/>
    <w:rsid w:val="00EE265D"/>
    <w:rsid w:val="00EE2901"/>
    <w:rsid w:val="00EE3D99"/>
    <w:rsid w:val="00EF1D4F"/>
    <w:rsid w:val="00EF2241"/>
    <w:rsid w:val="00EF4E7D"/>
    <w:rsid w:val="00EF5E13"/>
    <w:rsid w:val="00EF647F"/>
    <w:rsid w:val="00F03314"/>
    <w:rsid w:val="00F0580C"/>
    <w:rsid w:val="00F23FEA"/>
    <w:rsid w:val="00F27B7B"/>
    <w:rsid w:val="00F31EDC"/>
    <w:rsid w:val="00F34294"/>
    <w:rsid w:val="00F462B3"/>
    <w:rsid w:val="00F5664F"/>
    <w:rsid w:val="00F666C4"/>
    <w:rsid w:val="00F76AFC"/>
    <w:rsid w:val="00F81BF0"/>
    <w:rsid w:val="00F82C5B"/>
    <w:rsid w:val="00F82E88"/>
    <w:rsid w:val="00F86E11"/>
    <w:rsid w:val="00F86E3E"/>
    <w:rsid w:val="00F876F7"/>
    <w:rsid w:val="00F95C74"/>
    <w:rsid w:val="00FA47C0"/>
    <w:rsid w:val="00FA5FFD"/>
    <w:rsid w:val="00FB5DD1"/>
    <w:rsid w:val="00FB750E"/>
    <w:rsid w:val="00FC2B5D"/>
    <w:rsid w:val="00FD1DDC"/>
    <w:rsid w:val="00FD3AD2"/>
    <w:rsid w:val="00FD59D3"/>
    <w:rsid w:val="00FE5EE4"/>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892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rreocertificadonotificaciones@4-72.com.co" TargetMode="External"/><Relationship Id="rId18"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sistemagestiondocumental@idu.gov.co;" TargetMode="External"/><Relationship Id="rId17"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5B5E8A0-4B32-4B6B-B1C5-99E72F165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7846</Words>
  <Characters>43157</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16</cp:revision>
  <cp:lastPrinted>2023-01-10T21:18:00Z</cp:lastPrinted>
  <dcterms:created xsi:type="dcterms:W3CDTF">2026-10-06T21:59:00Z</dcterms:created>
  <dcterms:modified xsi:type="dcterms:W3CDTF">2026-10-07T13:19:00Z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