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C965" w14:textId="77777777" w:rsidR="000A6B2B" w:rsidRPr="000A6B2B" w:rsidRDefault="000A6B2B" w:rsidP="000A6B2B">
      <w:pPr>
        <w:spacing w:after="0" w:line="240" w:lineRule="auto"/>
        <w:rPr>
          <w:rFonts w:ascii="Verdana" w:eastAsia="Calibri" w:hAnsi="Verdana" w:cs="Arial"/>
          <w:b/>
          <w:bCs/>
          <w:lang w:val="es-ES_tradnl"/>
        </w:rPr>
      </w:pPr>
      <w:bookmarkStart w:id="0" w:name="_Hlk143780582"/>
      <w:r w:rsidRPr="000A6B2B">
        <w:rPr>
          <w:rFonts w:ascii="Verdana" w:eastAsia="Calibri" w:hAnsi="Verdana" w:cs="Arial"/>
          <w:b/>
          <w:bCs/>
          <w:lang w:val="es-ES_tradnl"/>
        </w:rPr>
        <w:t>DOCUMENTOS TIPO – Fundamento normativo – Obligatoriedad</w:t>
      </w:r>
    </w:p>
    <w:p w14:paraId="2442275F" w14:textId="77777777" w:rsidR="000A6B2B" w:rsidRPr="000A6B2B" w:rsidRDefault="000A6B2B" w:rsidP="000A6B2B">
      <w:pPr>
        <w:spacing w:after="0" w:line="240" w:lineRule="auto"/>
        <w:jc w:val="both"/>
        <w:rPr>
          <w:rFonts w:ascii="Verdana" w:eastAsia="Calibri" w:hAnsi="Verdana" w:cs="Arial"/>
          <w:b/>
          <w:bCs/>
          <w:sz w:val="20"/>
          <w:szCs w:val="20"/>
          <w:lang w:val="es-ES_tradnl"/>
        </w:rPr>
      </w:pPr>
    </w:p>
    <w:p w14:paraId="18ED2EC5"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E280B70" w14:textId="77777777" w:rsidR="000A6B2B" w:rsidRPr="000A6B2B" w:rsidRDefault="000A6B2B" w:rsidP="000A6B2B">
      <w:pPr>
        <w:spacing w:after="0" w:line="240" w:lineRule="auto"/>
        <w:jc w:val="both"/>
        <w:rPr>
          <w:rFonts w:ascii="Verdana" w:eastAsia="Calibri" w:hAnsi="Verdana" w:cs="Arial"/>
          <w:b/>
          <w:bCs/>
          <w:lang w:val="es-ES_tradnl"/>
        </w:rPr>
      </w:pPr>
    </w:p>
    <w:p w14:paraId="414BB9A7" w14:textId="77777777" w:rsidR="000A6B2B" w:rsidRPr="000A6B2B" w:rsidRDefault="000A6B2B" w:rsidP="000A6B2B">
      <w:pPr>
        <w:widowControl w:val="0"/>
        <w:autoSpaceDE w:val="0"/>
        <w:autoSpaceDN w:val="0"/>
        <w:spacing w:after="0" w:line="240" w:lineRule="auto"/>
        <w:jc w:val="both"/>
        <w:rPr>
          <w:rFonts w:ascii="Verdana" w:eastAsia="Calibri" w:hAnsi="Verdana" w:cs="Times New Roman"/>
          <w:b/>
          <w:bCs/>
          <w:lang w:val="es-ES"/>
        </w:rPr>
      </w:pPr>
      <w:r w:rsidRPr="000A6B2B">
        <w:rPr>
          <w:rFonts w:ascii="Verdana" w:eastAsia="Calibri" w:hAnsi="Verdana" w:cs="Arial"/>
          <w:b/>
          <w:bCs/>
          <w:lang w:val="es-ES_tradnl"/>
        </w:rPr>
        <w:t>SECTOR SOCIAL</w:t>
      </w:r>
      <w:r w:rsidRPr="000A6B2B">
        <w:rPr>
          <w:rFonts w:ascii="Verdana" w:eastAsia="Calibri" w:hAnsi="Verdana" w:cs="Times New Roman"/>
          <w:lang w:val="es-ES"/>
        </w:rPr>
        <w:t xml:space="preserve"> </w:t>
      </w:r>
      <w:r w:rsidRPr="000A6B2B">
        <w:rPr>
          <w:rFonts w:ascii="Verdana" w:eastAsia="Calibri" w:hAnsi="Verdana" w:cs="Times New Roman"/>
          <w:b/>
          <w:bCs/>
          <w:lang w:val="es-ES"/>
        </w:rPr>
        <w:t>– Documentos tipo – Vigentes</w:t>
      </w:r>
    </w:p>
    <w:p w14:paraId="111E2013" w14:textId="77777777" w:rsidR="000A6B2B" w:rsidRPr="000A6B2B" w:rsidRDefault="000A6B2B" w:rsidP="000A6B2B">
      <w:pPr>
        <w:widowControl w:val="0"/>
        <w:autoSpaceDE w:val="0"/>
        <w:autoSpaceDN w:val="0"/>
        <w:spacing w:after="0" w:line="240" w:lineRule="auto"/>
        <w:jc w:val="both"/>
        <w:rPr>
          <w:rFonts w:ascii="Verdana" w:eastAsia="Calibri" w:hAnsi="Verdana" w:cs="Times New Roman"/>
          <w:b/>
          <w:bCs/>
          <w:lang w:val="es-ES"/>
        </w:rPr>
      </w:pPr>
    </w:p>
    <w:p w14:paraId="4BC13BAA" w14:textId="77777777" w:rsidR="000A6B2B" w:rsidRPr="000A6B2B" w:rsidRDefault="000A6B2B" w:rsidP="000A6B2B">
      <w:pPr>
        <w:widowControl w:val="0"/>
        <w:autoSpaceDE w:val="0"/>
        <w:autoSpaceDN w:val="0"/>
        <w:spacing w:after="0" w:line="240" w:lineRule="auto"/>
        <w:jc w:val="both"/>
        <w:rPr>
          <w:rFonts w:ascii="Verdana" w:eastAsia="Calibri" w:hAnsi="Verdana" w:cs="Times New Roman"/>
          <w:b/>
          <w:bCs/>
          <w:sz w:val="20"/>
          <w:szCs w:val="20"/>
          <w:lang w:val="es-ES"/>
        </w:rPr>
      </w:pPr>
      <w:r w:rsidRPr="000A6B2B">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4F1ABC87" w14:textId="77777777" w:rsidR="000A6B2B" w:rsidRPr="000A6B2B" w:rsidRDefault="000A6B2B" w:rsidP="000A6B2B">
      <w:pPr>
        <w:widowControl w:val="0"/>
        <w:autoSpaceDE w:val="0"/>
        <w:autoSpaceDN w:val="0"/>
        <w:spacing w:after="0" w:line="240" w:lineRule="auto"/>
        <w:jc w:val="both"/>
        <w:rPr>
          <w:rFonts w:ascii="Verdana" w:eastAsia="Calibri" w:hAnsi="Verdana" w:cs="Times New Roman"/>
          <w:lang w:val="es-ES"/>
        </w:rPr>
      </w:pPr>
    </w:p>
    <w:p w14:paraId="4FBF63BB" w14:textId="77777777" w:rsidR="000A6B2B" w:rsidRPr="000A6B2B" w:rsidRDefault="000A6B2B" w:rsidP="000A6B2B">
      <w:pPr>
        <w:spacing w:after="0" w:line="240" w:lineRule="auto"/>
        <w:jc w:val="both"/>
        <w:rPr>
          <w:rFonts w:ascii="Verdana" w:eastAsia="Calibri" w:hAnsi="Verdana" w:cs="Times New Roman"/>
          <w:sz w:val="20"/>
          <w:szCs w:val="20"/>
          <w:lang w:val="es-ES"/>
        </w:rPr>
      </w:pPr>
      <w:r w:rsidRPr="000A6B2B">
        <w:rPr>
          <w:rFonts w:ascii="Verdana" w:eastAsia="Calibri" w:hAnsi="Verdana" w:cs="Times New Roman"/>
          <w:b/>
          <w:bCs/>
          <w:lang w:val="es-ES"/>
        </w:rPr>
        <w:t xml:space="preserve">DOCUMENTOS TIPO – Aplicación – Matriz de Experiencia </w:t>
      </w:r>
    </w:p>
    <w:p w14:paraId="7C61CADB" w14:textId="77777777" w:rsidR="000A6B2B" w:rsidRPr="000A6B2B" w:rsidRDefault="000A6B2B" w:rsidP="000A6B2B">
      <w:pPr>
        <w:spacing w:after="0" w:line="240" w:lineRule="auto"/>
        <w:rPr>
          <w:rFonts w:ascii="Verdana" w:eastAsia="Geomanist Light" w:hAnsi="Verdana" w:cs="Arial"/>
          <w:lang w:val="es-MX"/>
        </w:rPr>
      </w:pPr>
    </w:p>
    <w:p w14:paraId="4EB0302A" w14:textId="77777777" w:rsidR="000A6B2B" w:rsidRPr="000A6B2B" w:rsidRDefault="000A6B2B" w:rsidP="000A6B2B">
      <w:pPr>
        <w:widowControl w:val="0"/>
        <w:autoSpaceDE w:val="0"/>
        <w:autoSpaceDN w:val="0"/>
        <w:spacing w:after="0" w:line="240" w:lineRule="auto"/>
        <w:jc w:val="both"/>
        <w:rPr>
          <w:rFonts w:ascii="Verdana" w:eastAsia="Calibri" w:hAnsi="Verdana" w:cs="Times New Roman"/>
          <w:sz w:val="20"/>
          <w:szCs w:val="20"/>
          <w:lang w:val="es-ES"/>
        </w:rPr>
      </w:pPr>
      <w:r w:rsidRPr="000A6B2B">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83497CB" w14:textId="77777777" w:rsidR="000A6B2B" w:rsidRPr="000A6B2B" w:rsidRDefault="000A6B2B" w:rsidP="000A6B2B">
      <w:pPr>
        <w:widowControl w:val="0"/>
        <w:autoSpaceDE w:val="0"/>
        <w:autoSpaceDN w:val="0"/>
        <w:spacing w:after="0" w:line="240" w:lineRule="auto"/>
        <w:jc w:val="both"/>
        <w:rPr>
          <w:rFonts w:ascii="Verdana" w:eastAsia="Calibri" w:hAnsi="Verdana" w:cs="Times New Roman"/>
          <w:sz w:val="20"/>
          <w:szCs w:val="20"/>
          <w:lang w:val="es-ES"/>
        </w:rPr>
      </w:pPr>
    </w:p>
    <w:p w14:paraId="74B02D18" w14:textId="77777777" w:rsidR="000A6B2B" w:rsidRPr="000A6B2B" w:rsidRDefault="000A6B2B" w:rsidP="000A6B2B">
      <w:pPr>
        <w:widowControl w:val="0"/>
        <w:autoSpaceDE w:val="0"/>
        <w:autoSpaceDN w:val="0"/>
        <w:spacing w:after="0" w:line="240" w:lineRule="auto"/>
        <w:jc w:val="both"/>
        <w:rPr>
          <w:rFonts w:ascii="Verdana" w:eastAsia="Calibri" w:hAnsi="Verdana" w:cs="Times New Roman"/>
          <w:sz w:val="20"/>
          <w:szCs w:val="20"/>
          <w:lang w:val="es-ES"/>
        </w:rPr>
      </w:pPr>
      <w:r w:rsidRPr="000A6B2B">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5BEF692" w14:textId="77777777" w:rsidR="000A6B2B" w:rsidRPr="000A6B2B" w:rsidRDefault="000A6B2B" w:rsidP="000A6B2B">
      <w:pPr>
        <w:widowControl w:val="0"/>
        <w:autoSpaceDE w:val="0"/>
        <w:autoSpaceDN w:val="0"/>
        <w:spacing w:after="0" w:line="240" w:lineRule="auto"/>
        <w:jc w:val="both"/>
        <w:rPr>
          <w:rFonts w:ascii="Verdana" w:eastAsia="Calibri" w:hAnsi="Verdana" w:cs="Times New Roman"/>
          <w:sz w:val="20"/>
          <w:szCs w:val="20"/>
          <w:lang w:val="es-ES"/>
        </w:rPr>
      </w:pPr>
    </w:p>
    <w:p w14:paraId="2A05F477" w14:textId="77777777" w:rsidR="000A6B2B" w:rsidRPr="000A6B2B" w:rsidRDefault="000A6B2B" w:rsidP="000A6B2B">
      <w:pPr>
        <w:spacing w:after="0" w:line="240" w:lineRule="auto"/>
        <w:jc w:val="both"/>
        <w:rPr>
          <w:rFonts w:ascii="Verdana" w:eastAsia="Calibri" w:hAnsi="Verdana" w:cs="Arial"/>
          <w:b/>
          <w:bCs/>
          <w:lang w:val="es-ES_tradnl"/>
        </w:rPr>
      </w:pPr>
      <w:r w:rsidRPr="000A6B2B">
        <w:rPr>
          <w:rFonts w:ascii="Verdana" w:eastAsia="Calibri" w:hAnsi="Verdana" w:cs="Arial"/>
          <w:b/>
          <w:bCs/>
          <w:lang w:val="es-ES_tradnl"/>
        </w:rPr>
        <w:t>SECTOR INSTITUCIONAL – Documentos tipo – Infraestructura institucional de seguridad pública – Actividades – Mantenimiento – Adecuación – Mejoramiento – Conservación – Intervención</w:t>
      </w:r>
    </w:p>
    <w:p w14:paraId="41804043"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702E2BAB"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 xml:space="preserve">Como se aprecia, estas actividades aplican a los procesos que adelanten las entidades obligadas a utilizar los documentos tipo cuando correspondan –para efectos de su solicitud– al mantenimiento, adecuación, mejoramiento, conservación o intervención de: </w:t>
      </w:r>
      <w:r w:rsidRPr="000A6B2B">
        <w:rPr>
          <w:rFonts w:ascii="Verdana" w:eastAsia="Calibri" w:hAnsi="Verdana" w:cs="Arial"/>
          <w:sz w:val="20"/>
          <w:szCs w:val="20"/>
          <w:lang w:val="es-ES"/>
        </w:rPr>
        <w:lastRenderedPageBreak/>
        <w:t>infraestructura de seguridad pública; cerramientos para infraestructura de seguridad pública; comedores, zonas de almacenamiento y/o conservación de alimentos y/o zonas de alimentación; baterías sanitarias y/o redes hidrosanitarias y/o tanques de almacenamiento y/o sistemas de bombeo y/o redes contra incendios; cubiertas; bienes de interés cultural y/o patrimonial asociados a infraestructura de seguridad pública; redes eléctricas y/o circuitos cerrados de TV y/o sistemas de seguridad y/o circuitos de voz y datos y/o plantas eléctricas y/o subestaciones y/o redes de telemática, comunicación, sonido o telefonía y/o redes o sistemas de iluminación o luminarias interiores o exteriores; zonas verdes y/o actividades de urbanismo y/o de paisajismo; calderas o zonas de lavanderías o similares; y espacios con sistemas modulares temporales o definitivos o similares, todos ellos en infraestructura de seguridad pública. En todo caso, será la entidad contratante la que, según el alcance específico de la intervención que pretenda ejecutar, determine cuál o cuáles de estas actividades aplican a su proceso de contratación, atendiendo las particularidades técnicas, el objeto contractual y las necesidades reales de la obra.</w:t>
      </w:r>
    </w:p>
    <w:p w14:paraId="364E3D73"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7298480E" w14:textId="77777777" w:rsidR="000A6B2B" w:rsidRPr="000A6B2B" w:rsidRDefault="000A6B2B" w:rsidP="000A6B2B">
      <w:pPr>
        <w:spacing w:after="0" w:line="240" w:lineRule="auto"/>
        <w:jc w:val="both"/>
        <w:rPr>
          <w:rFonts w:ascii="Verdana" w:eastAsia="Calibri" w:hAnsi="Verdana" w:cs="Arial"/>
          <w:b/>
          <w:bCs/>
          <w:lang w:val="es-ES_tradnl"/>
        </w:rPr>
      </w:pPr>
      <w:r w:rsidRPr="000A6B2B">
        <w:rPr>
          <w:rFonts w:ascii="Verdana" w:eastAsia="Calibri" w:hAnsi="Verdana" w:cs="Arial"/>
          <w:b/>
          <w:bCs/>
          <w:lang w:val="es-ES_tradnl"/>
        </w:rPr>
        <w:t>INFRAESTRUCTURA INSTITUCIONAL DE SEGURIDAD PÚBLICA – Documentos tipo – Sector social – NSR-10 – Alcance</w:t>
      </w:r>
    </w:p>
    <w:p w14:paraId="571134C6"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4A227B27"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Ahora bien, como se precisó las actividades señaladas recaen sobre obras en proyectos de infraestructura institucional de seguridad pública. De esta forma, para determinar qué abarca este tipo de infraestructura, debe indicarse que, de conformidad con la norma NSR-10 en el Subgrupo de Ocupación Institucional de Seguridad Pública (I-4) “se clasifican las edificaciones o espacios indispensables para atender emergencias y preservar el orden público y la seguridad de las personas”. Entre las edificaciones o espacios que pertenecen a este Subgrupo se encuentran las siguientes: “Estaciones de policía, Estaciones de bomberos, Estaciones de defensa civil, Instituciones militares, Otros similares”.</w:t>
      </w:r>
    </w:p>
    <w:p w14:paraId="27DB5E3D"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25BB002F"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En este sentido, el Subgrupo de Ocupación Institucional de Seguridad Pública es una categoría de clasificación de la NSR-10 que agrupa las edificaciones o espacios destinados a atender emergencias y a preservar el orden público y la seguridad de las personas. La lista indicativa del subgrupo menciona de forma expresa las estaciones de policía, junto con las estaciones de bomberos, las de defensa civil y las instituciones militares. La expresión “otros similares” muestra que la enumeración es enunciativa y no taxativa, de modo que también comprende las edificaciones que, por su naturaleza y destinación, sirven al cumplimiento de funciones de seguridad pública y de preservación del orden público.</w:t>
      </w:r>
    </w:p>
    <w:p w14:paraId="1202E37E"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13DE1924" w14:textId="77777777" w:rsidR="000A6B2B" w:rsidRPr="000A6B2B" w:rsidRDefault="000A6B2B" w:rsidP="000A6B2B">
      <w:pPr>
        <w:spacing w:after="0" w:line="240" w:lineRule="auto"/>
        <w:jc w:val="both"/>
        <w:rPr>
          <w:rFonts w:ascii="Verdana" w:eastAsia="Calibri" w:hAnsi="Verdana" w:cs="Arial"/>
          <w:b/>
          <w:bCs/>
          <w:lang w:val="es-ES_tradnl"/>
        </w:rPr>
      </w:pPr>
      <w:r w:rsidRPr="000A6B2B">
        <w:rPr>
          <w:rFonts w:ascii="Verdana" w:eastAsia="Calibri" w:hAnsi="Verdana" w:cs="Arial"/>
          <w:b/>
          <w:bCs/>
          <w:lang w:val="es-ES_tradnl"/>
        </w:rPr>
        <w:t>POLICÍA NACIONAL – Instalaciones – Infraestructura institucional de seguridad pública – Documentos tipo – Aplicación</w:t>
      </w:r>
    </w:p>
    <w:p w14:paraId="4A772EAD"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59469051"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 xml:space="preserve">Considerando lo anterior, las edificaciones e instalaciones en las que la Policía Nacional de Colombia cumple sus funciones, como las estaciones de policía, </w:t>
      </w:r>
      <w:proofErr w:type="gramStart"/>
      <w:r w:rsidRPr="000A6B2B">
        <w:rPr>
          <w:rFonts w:ascii="Verdana" w:eastAsia="Calibri" w:hAnsi="Verdana" w:cs="Arial"/>
          <w:sz w:val="20"/>
          <w:szCs w:val="20"/>
          <w:lang w:val="es-ES"/>
        </w:rPr>
        <w:t>se enmarcan dentro del</w:t>
      </w:r>
      <w:proofErr w:type="gramEnd"/>
      <w:r w:rsidRPr="000A6B2B">
        <w:rPr>
          <w:rFonts w:ascii="Verdana" w:eastAsia="Calibri" w:hAnsi="Verdana" w:cs="Arial"/>
          <w:sz w:val="20"/>
          <w:szCs w:val="20"/>
          <w:lang w:val="es-ES"/>
        </w:rPr>
        <w:t xml:space="preserve"> Subgrupo de Ocupación Institucional de Seguridad Pública (I-4) definido por la NSR-</w:t>
      </w:r>
      <w:r w:rsidRPr="000A6B2B">
        <w:rPr>
          <w:rFonts w:ascii="Verdana" w:eastAsia="Calibri" w:hAnsi="Verdana" w:cs="Arial"/>
          <w:sz w:val="20"/>
          <w:szCs w:val="20"/>
          <w:lang w:val="es-ES"/>
        </w:rPr>
        <w:lastRenderedPageBreak/>
        <w:t>10, en la medida en que su destinación funcional corresponde a la preservación del orden público y de la seguridad de las personas.</w:t>
      </w:r>
    </w:p>
    <w:p w14:paraId="031B5BBB"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4B9AC26A"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Por lo anterior, la Agencia Nacional de Contratación Pública – Colombia Compra Eficiente indica que, a partir del 16 de febrero de 2026, si una entidad de aquellas obligadas a utilizar los documentos tipo expedidos por esta Entidad adelanta un proceso que tenga por objeto la(s) actividad(es) contenidas en el capítulo “1. Obras en proyectos de infraestructura institucional de seguridad pública” de la Matriz 1 – Experiencia Sector Institucional, deberá implementar los documentos tipo acogidos mediante las Resoluciones 539, 540 o 541 de 2025, según el proyecto se adelante por la modalidad de licitación de obra pública, selección abreviada de menor cuantía o mínima cuantía.</w:t>
      </w:r>
    </w:p>
    <w:p w14:paraId="0B21402B"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15A76C11" w14:textId="77777777" w:rsidR="000A6B2B" w:rsidRPr="000A6B2B" w:rsidRDefault="000A6B2B" w:rsidP="000A6B2B">
      <w:pPr>
        <w:spacing w:after="0" w:line="240" w:lineRule="auto"/>
        <w:jc w:val="both"/>
        <w:rPr>
          <w:rFonts w:ascii="Verdana" w:eastAsia="Calibri" w:hAnsi="Verdana" w:cs="Arial"/>
          <w:b/>
          <w:bCs/>
          <w:lang w:val="es-ES_tradnl"/>
        </w:rPr>
      </w:pPr>
      <w:r w:rsidRPr="000A6B2B">
        <w:rPr>
          <w:rFonts w:ascii="Verdana" w:eastAsia="Calibri" w:hAnsi="Verdana" w:cs="Arial"/>
          <w:b/>
          <w:bCs/>
          <w:lang w:val="es-ES_tradnl"/>
        </w:rPr>
        <w:t>DOCUMENTOS TIPO – Sector institucional – Actividades de defensa – Reserva – Excepción</w:t>
      </w:r>
    </w:p>
    <w:p w14:paraId="52E995BA"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6621DA55"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Ahora bien, frente a las instalaciones de la Policía Nacional que involucren actividades de defensa, debe tenerse en cuenta la siguiente nota del documento base:</w:t>
      </w:r>
    </w:p>
    <w:p w14:paraId="3BC1DFF2"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17B9246D" w14:textId="77777777" w:rsidR="000A6B2B" w:rsidRPr="000A6B2B" w:rsidRDefault="000A6B2B" w:rsidP="000A6B2B">
      <w:pPr>
        <w:spacing w:after="0" w:line="240" w:lineRule="auto"/>
        <w:ind w:left="709" w:right="709"/>
        <w:jc w:val="both"/>
        <w:rPr>
          <w:rFonts w:ascii="Verdana" w:eastAsia="Calibri" w:hAnsi="Verdana" w:cs="Arial"/>
          <w:sz w:val="20"/>
          <w:szCs w:val="20"/>
          <w:lang w:val="es-ES"/>
        </w:rPr>
      </w:pPr>
      <w:r w:rsidRPr="000A6B2B">
        <w:rPr>
          <w:rFonts w:ascii="Verdana" w:eastAsia="Calibri" w:hAnsi="Verdana" w:cs="Arial"/>
          <w:sz w:val="20"/>
          <w:szCs w:val="20"/>
          <w:lang w:val="es-ES"/>
        </w:rPr>
        <w:t>“Nota 1: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34B73773"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p>
    <w:p w14:paraId="73D7060C" w14:textId="77777777" w:rsidR="000A6B2B" w:rsidRPr="000A6B2B" w:rsidRDefault="000A6B2B" w:rsidP="000A6B2B">
      <w:pPr>
        <w:tabs>
          <w:tab w:val="left" w:pos="709"/>
        </w:tabs>
        <w:spacing w:after="0" w:line="240" w:lineRule="auto"/>
        <w:jc w:val="both"/>
        <w:rPr>
          <w:rFonts w:ascii="Verdana" w:eastAsia="Calibri" w:hAnsi="Verdana" w:cs="Arial"/>
          <w:sz w:val="20"/>
          <w:szCs w:val="20"/>
          <w:lang w:val="es-ES"/>
        </w:rPr>
      </w:pPr>
      <w:r w:rsidRPr="000A6B2B">
        <w:rPr>
          <w:rFonts w:ascii="Verdana" w:eastAsia="Calibri" w:hAnsi="Verdana" w:cs="Arial"/>
          <w:sz w:val="20"/>
          <w:szCs w:val="20"/>
          <w:lang w:val="es-ES"/>
        </w:rPr>
        <w:t>Conforme con esta nota, la regla general sigue siendo la aplicación de los documentos tipo cuando el objeto del proceso corresponda a alguna de las actividades de la Matriz 1 – Experiencia del Sector Institucional. La posibilidad de apartarse de ellos es excepcional y exige dos condiciones: que las actividades a contratar involucren asuntos de defensa y que la entidad justifique, en los estudios y documentos previos, que las obras, bienes o servicios requieren reserva en los términos del literal d) del numeral 4 del artículo 2 de la Ley 1150 de 2007. Por tanto, la sola destinación de una edificación a funciones de seguridad pública no permite dejar de aplicar los documentos tipo. Para ello se requiere que la reserva esté debidamente sustentada bajo los parámetros señalados.</w:t>
      </w:r>
    </w:p>
    <w:p w14:paraId="1B10014F" w14:textId="77777777" w:rsidR="000A6B2B" w:rsidRPr="000A6B2B" w:rsidRDefault="000A6B2B" w:rsidP="000A6B2B">
      <w:pPr>
        <w:spacing w:after="0" w:line="240" w:lineRule="auto"/>
        <w:rPr>
          <w:rFonts w:ascii="Verdana" w:eastAsia="Geomanist Light" w:hAnsi="Verdana" w:cs="Arial"/>
          <w:kern w:val="2"/>
          <w:sz w:val="20"/>
          <w:szCs w:val="20"/>
          <w14:ligatures w14:val="standardContextual"/>
        </w:rPr>
      </w:pPr>
    </w:p>
    <w:p w14:paraId="500EEC6B" w14:textId="77777777" w:rsidR="000A6B2B" w:rsidRPr="000A6B2B" w:rsidRDefault="000A6B2B" w:rsidP="000A6B2B">
      <w:pPr>
        <w:spacing w:after="0" w:line="240" w:lineRule="auto"/>
        <w:rPr>
          <w:rFonts w:ascii="Verdana" w:eastAsia="Geomanist Light" w:hAnsi="Verdana" w:cs="Arial"/>
          <w:kern w:val="2"/>
          <w:sz w:val="20"/>
          <w:szCs w:val="20"/>
          <w:lang w:val="es-MX"/>
          <w14:ligatures w14:val="standardContextual"/>
        </w:rPr>
      </w:pPr>
    </w:p>
    <w:p w14:paraId="6790B1F7" w14:textId="77777777" w:rsidR="000A6B2B" w:rsidRPr="000A6B2B" w:rsidRDefault="000A6B2B" w:rsidP="000A6B2B">
      <w:pPr>
        <w:spacing w:after="0" w:line="240" w:lineRule="auto"/>
        <w:rPr>
          <w:rFonts w:ascii="Verdana" w:eastAsia="Geomanist Light" w:hAnsi="Verdana" w:cs="Arial"/>
          <w:kern w:val="2"/>
          <w:sz w:val="20"/>
          <w:szCs w:val="20"/>
          <w:lang w:val="es-MX"/>
          <w14:ligatures w14:val="standardContextual"/>
        </w:rPr>
      </w:pPr>
    </w:p>
    <w:p w14:paraId="35083C8E" w14:textId="77777777" w:rsidR="000A6B2B" w:rsidRPr="000A6B2B" w:rsidRDefault="000A6B2B" w:rsidP="000A6B2B">
      <w:pPr>
        <w:spacing w:after="0" w:line="240" w:lineRule="auto"/>
        <w:rPr>
          <w:rFonts w:ascii="Verdana" w:eastAsia="Geomanist Light" w:hAnsi="Verdana" w:cs="Arial"/>
          <w:kern w:val="2"/>
          <w:sz w:val="20"/>
          <w:szCs w:val="20"/>
          <w:lang w:val="es-MX"/>
          <w14:ligatures w14:val="standardContextual"/>
        </w:rPr>
      </w:pPr>
    </w:p>
    <w:p w14:paraId="1807D5AD" w14:textId="77777777" w:rsidR="000A6B2B" w:rsidRPr="000A6B2B" w:rsidRDefault="000A6B2B" w:rsidP="000A6B2B">
      <w:pPr>
        <w:spacing w:after="0" w:line="240" w:lineRule="auto"/>
        <w:rPr>
          <w:rFonts w:ascii="Verdana" w:eastAsia="Geomanist Light" w:hAnsi="Verdana" w:cs="Arial"/>
          <w:kern w:val="2"/>
          <w:sz w:val="24"/>
          <w:szCs w:val="24"/>
          <w:lang w:val="es-MX"/>
          <w14:ligatures w14:val="standardContextual"/>
        </w:rPr>
      </w:pPr>
    </w:p>
    <w:p w14:paraId="7F9D0943" w14:textId="77777777" w:rsidR="000A6B2B" w:rsidRPr="000A6B2B" w:rsidRDefault="000A6B2B" w:rsidP="000A6B2B">
      <w:pPr>
        <w:spacing w:after="0" w:line="240" w:lineRule="auto"/>
        <w:rPr>
          <w:rFonts w:ascii="Verdana" w:eastAsia="Geomanist Light" w:hAnsi="Verdana" w:cs="Arial"/>
          <w:kern w:val="2"/>
          <w:sz w:val="24"/>
          <w:szCs w:val="24"/>
          <w:lang w:val="es-MX"/>
          <w14:ligatures w14:val="standardContextual"/>
        </w:rPr>
      </w:pPr>
    </w:p>
    <w:p w14:paraId="4679511E" w14:textId="77777777" w:rsidR="000A6B2B" w:rsidRPr="000A6B2B" w:rsidRDefault="000A6B2B" w:rsidP="000A6B2B">
      <w:pPr>
        <w:spacing w:after="0" w:line="240" w:lineRule="auto"/>
        <w:rPr>
          <w:rFonts w:ascii="Verdana" w:eastAsia="Geomanist Light" w:hAnsi="Verdana" w:cs="Arial"/>
          <w:kern w:val="2"/>
          <w:sz w:val="24"/>
          <w:szCs w:val="24"/>
          <w:lang w:val="es-MX"/>
          <w14:ligatures w14:val="standardContextual"/>
        </w:rPr>
      </w:pPr>
    </w:p>
    <w:p w14:paraId="3729B674" w14:textId="77777777" w:rsidR="000A6B2B" w:rsidRPr="000A6B2B" w:rsidRDefault="000A6B2B" w:rsidP="000A6B2B">
      <w:pPr>
        <w:spacing w:after="0" w:line="240" w:lineRule="auto"/>
        <w:rPr>
          <w:rFonts w:ascii="Verdana" w:eastAsia="Geomanist Light" w:hAnsi="Verdana" w:cs="Arial"/>
          <w:kern w:val="2"/>
          <w:sz w:val="24"/>
          <w:szCs w:val="24"/>
          <w:lang w:val="es-MX"/>
          <w14:ligatures w14:val="standardContextual"/>
        </w:rPr>
      </w:pPr>
    </w:p>
    <w:p w14:paraId="56494FB7" w14:textId="77777777" w:rsidR="000A6B2B" w:rsidRPr="000A6B2B" w:rsidRDefault="000A6B2B" w:rsidP="000A6B2B">
      <w:pPr>
        <w:spacing w:after="0" w:line="240" w:lineRule="auto"/>
        <w:jc w:val="both"/>
        <w:rPr>
          <w:rFonts w:ascii="Verdana" w:eastAsia="Times New Roman" w:hAnsi="Verdana" w:cs="Times New Roman"/>
          <w:color w:val="000000"/>
          <w:lang w:eastAsia="es-CO"/>
        </w:rPr>
      </w:pPr>
    </w:p>
    <w:p w14:paraId="1C5A5D73" w14:textId="77777777" w:rsidR="00425F2E" w:rsidRDefault="00425F2E" w:rsidP="000A6B2B">
      <w:pPr>
        <w:spacing w:after="0" w:line="240" w:lineRule="auto"/>
        <w:rPr>
          <w:rFonts w:ascii="Verdana" w:eastAsia="Verdana" w:hAnsi="Verdana" w:cs="Verdana"/>
          <w:kern w:val="2"/>
          <w14:ligatures w14:val="standardContextual"/>
        </w:rPr>
      </w:pPr>
    </w:p>
    <w:p w14:paraId="427CADC0" w14:textId="77777777" w:rsidR="00425F2E" w:rsidRDefault="00425F2E" w:rsidP="000A6B2B">
      <w:pPr>
        <w:spacing w:after="0" w:line="240" w:lineRule="auto"/>
        <w:rPr>
          <w:rFonts w:ascii="Verdana" w:eastAsia="Verdana" w:hAnsi="Verdana" w:cs="Verdana"/>
          <w:kern w:val="2"/>
          <w14:ligatures w14:val="standardContextual"/>
        </w:rPr>
      </w:pPr>
    </w:p>
    <w:p w14:paraId="38FA1C0A" w14:textId="7B943AE8" w:rsidR="00900D09" w:rsidRDefault="00425F2E" w:rsidP="000A6B2B">
      <w:pPr>
        <w:spacing w:after="0" w:line="240" w:lineRule="auto"/>
        <w:rPr>
          <w:rFonts w:ascii="Verdana" w:eastAsia="Verdana" w:hAnsi="Verdana" w:cs="Verdana"/>
          <w:kern w:val="2"/>
          <w14:ligatures w14:val="standardContextual"/>
        </w:rPr>
      </w:pPr>
      <w:r w:rsidRPr="00900D09">
        <w:rPr>
          <w:rFonts w:ascii="Verdana" w:eastAsia="Verdana" w:hAnsi="Verdana" w:cs="Verdana"/>
          <w:noProof/>
          <w:kern w:val="2"/>
          <w14:ligatures w14:val="standardContextual"/>
        </w:rPr>
        <w:lastRenderedPageBreak/>
        <w:drawing>
          <wp:anchor distT="0" distB="0" distL="114300" distR="114300" simplePos="0" relativeHeight="251658240" behindDoc="0" locked="0" layoutInCell="1" allowOverlap="1" wp14:anchorId="535F7BB5" wp14:editId="4CB3F1D8">
            <wp:simplePos x="0" y="0"/>
            <wp:positionH relativeFrom="margin">
              <wp:align>right</wp:align>
            </wp:positionH>
            <wp:positionV relativeFrom="paragraph">
              <wp:posOffset>168275</wp:posOffset>
            </wp:positionV>
            <wp:extent cx="2902585" cy="802640"/>
            <wp:effectExtent l="0" t="0" r="0" b="0"/>
            <wp:wrapSquare wrapText="bothSides"/>
            <wp:docPr id="6147431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43135" name=""/>
                    <pic:cNvPicPr/>
                  </pic:nvPicPr>
                  <pic:blipFill>
                    <a:blip r:embed="rId10">
                      <a:extLst>
                        <a:ext uri="{28A0092B-C50C-407E-A947-70E740481C1C}">
                          <a14:useLocalDpi xmlns:a14="http://schemas.microsoft.com/office/drawing/2010/main" val="0"/>
                        </a:ext>
                      </a:extLst>
                    </a:blip>
                    <a:stretch>
                      <a:fillRect/>
                    </a:stretch>
                  </pic:blipFill>
                  <pic:spPr>
                    <a:xfrm>
                      <a:off x="0" y="0"/>
                      <a:ext cx="2902585" cy="802640"/>
                    </a:xfrm>
                    <a:prstGeom prst="rect">
                      <a:avLst/>
                    </a:prstGeom>
                  </pic:spPr>
                </pic:pic>
              </a:graphicData>
            </a:graphic>
            <wp14:sizeRelH relativeFrom="margin">
              <wp14:pctWidth>0</wp14:pctWidth>
            </wp14:sizeRelH>
            <wp14:sizeRelV relativeFrom="margin">
              <wp14:pctHeight>0</wp14:pctHeight>
            </wp14:sizeRelV>
          </wp:anchor>
        </w:drawing>
      </w:r>
      <w:r w:rsidR="000A6B2B" w:rsidRPr="000A6B2B">
        <w:rPr>
          <w:rFonts w:ascii="Verdana" w:eastAsia="Verdana" w:hAnsi="Verdana" w:cs="Verdana"/>
          <w:kern w:val="2"/>
          <w14:ligatures w14:val="standardContextual"/>
        </w:rPr>
        <w:t xml:space="preserve">Bogotá D.C., </w:t>
      </w:r>
      <w:r w:rsidR="00900D09">
        <w:rPr>
          <w:rFonts w:ascii="Verdana" w:eastAsia="Verdana" w:hAnsi="Verdana" w:cs="Verdana"/>
          <w:kern w:val="2"/>
          <w14:ligatures w14:val="standardContextual"/>
        </w:rPr>
        <w:t>8 de octubre de 2026</w:t>
      </w:r>
    </w:p>
    <w:p w14:paraId="4270D6ED" w14:textId="71378FCA" w:rsidR="000A6B2B" w:rsidRPr="00DA354C" w:rsidRDefault="000A6B2B" w:rsidP="00DA354C">
      <w:pPr>
        <w:spacing w:after="0" w:line="240" w:lineRule="auto"/>
        <w:jc w:val="right"/>
        <w:rPr>
          <w:rFonts w:ascii="Verdana" w:eastAsia="Verdana" w:hAnsi="Verdana" w:cs="Verdana"/>
          <w:kern w:val="2"/>
          <w14:ligatures w14:val="standardContextual"/>
        </w:rPr>
      </w:pPr>
    </w:p>
    <w:p w14:paraId="7DF229B8" w14:textId="77777777" w:rsidR="000A6B2B" w:rsidRPr="000A6B2B" w:rsidRDefault="000A6B2B" w:rsidP="000A6B2B">
      <w:pPr>
        <w:spacing w:after="0" w:line="276" w:lineRule="auto"/>
        <w:rPr>
          <w:rFonts w:ascii="Verdana" w:eastAsia="Calibri" w:hAnsi="Verdana" w:cs="Arial"/>
          <w:lang w:val="es-ES" w:eastAsia="es-ES"/>
        </w:rPr>
      </w:pPr>
      <w:r w:rsidRPr="000A6B2B">
        <w:rPr>
          <w:rFonts w:ascii="Verdana" w:eastAsia="Calibri" w:hAnsi="Verdana" w:cs="Arial"/>
          <w:lang w:val="es-ES" w:eastAsia="es-ES"/>
        </w:rPr>
        <w:t>Señora</w:t>
      </w:r>
    </w:p>
    <w:p w14:paraId="4E378010" w14:textId="77777777" w:rsidR="000A6B2B" w:rsidRPr="000A6B2B" w:rsidRDefault="000A6B2B" w:rsidP="000A6B2B">
      <w:pPr>
        <w:spacing w:after="0" w:line="276" w:lineRule="auto"/>
        <w:rPr>
          <w:rFonts w:ascii="Verdana" w:eastAsia="Aptos" w:hAnsi="Verdana" w:cs="Times New Roman"/>
          <w:b/>
          <w:bCs/>
          <w:kern w:val="2"/>
          <w14:ligatures w14:val="standardContextual"/>
        </w:rPr>
      </w:pPr>
      <w:r w:rsidRPr="000A6B2B">
        <w:rPr>
          <w:rFonts w:ascii="Verdana" w:eastAsia="Aptos" w:hAnsi="Verdana" w:cs="Times New Roman"/>
          <w:b/>
          <w:bCs/>
          <w:kern w:val="2"/>
          <w14:ligatures w14:val="standardContextual"/>
        </w:rPr>
        <w:t>Yesika Ramírez Ballesteros</w:t>
      </w:r>
    </w:p>
    <w:p w14:paraId="4238C832" w14:textId="77777777" w:rsidR="000A6B2B" w:rsidRPr="000A6B2B" w:rsidRDefault="000A6B2B" w:rsidP="000A6B2B">
      <w:pPr>
        <w:spacing w:after="0" w:line="276" w:lineRule="auto"/>
        <w:rPr>
          <w:rFonts w:ascii="Verdana" w:eastAsia="Calibri" w:hAnsi="Verdana" w:cs="Arial"/>
          <w:lang w:val="es-ES_tradnl" w:eastAsia="es-ES_tradnl"/>
        </w:rPr>
      </w:pPr>
      <w:r w:rsidRPr="000A6B2B">
        <w:rPr>
          <w:rFonts w:ascii="Verdana" w:eastAsia="Calibri" w:hAnsi="Verdana" w:cs="Arial"/>
          <w:lang w:val="es-ES_tradnl" w:eastAsia="es-ES_tradnl"/>
        </w:rPr>
        <w:t>Bogotá D.C</w:t>
      </w:r>
    </w:p>
    <w:p w14:paraId="1764EC99" w14:textId="77777777" w:rsidR="000A6B2B" w:rsidRPr="000A6B2B" w:rsidRDefault="000A6B2B" w:rsidP="000A6B2B">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0A6B2B" w:rsidRPr="000A6B2B" w14:paraId="40AFD1F2" w14:textId="77777777" w:rsidTr="009E3879">
        <w:trPr>
          <w:trHeight w:val="229"/>
        </w:trPr>
        <w:tc>
          <w:tcPr>
            <w:tcW w:w="2268" w:type="dxa"/>
          </w:tcPr>
          <w:p w14:paraId="15D57989" w14:textId="77777777" w:rsidR="000A6B2B" w:rsidRPr="000A6B2B" w:rsidRDefault="000A6B2B" w:rsidP="000A6B2B">
            <w:pPr>
              <w:jc w:val="both"/>
              <w:rPr>
                <w:rFonts w:ascii="Verdana" w:eastAsia="Calibri" w:hAnsi="Verdana" w:cs="Arial"/>
                <w:b/>
                <w:bCs/>
                <w:lang w:val="it-IT" w:eastAsia="es-ES_tradnl"/>
              </w:rPr>
            </w:pPr>
          </w:p>
        </w:tc>
        <w:tc>
          <w:tcPr>
            <w:tcW w:w="6100" w:type="dxa"/>
          </w:tcPr>
          <w:p w14:paraId="39A428FA" w14:textId="77777777" w:rsidR="000A6B2B" w:rsidRPr="000A6B2B" w:rsidRDefault="000A6B2B" w:rsidP="000A6B2B">
            <w:pPr>
              <w:snapToGrid w:val="0"/>
              <w:jc w:val="both"/>
              <w:rPr>
                <w:rFonts w:ascii="Verdana" w:eastAsia="Calibri" w:hAnsi="Verdana" w:cs="Arial"/>
                <w:b/>
                <w:bCs/>
                <w:lang w:val="es-ES" w:eastAsia="es-ES"/>
              </w:rPr>
            </w:pPr>
            <w:r w:rsidRPr="000A6B2B">
              <w:rPr>
                <w:rFonts w:ascii="Verdana" w:eastAsia="Calibri" w:hAnsi="Verdana" w:cs="Arial"/>
                <w:b/>
                <w:bCs/>
                <w:lang w:val="es-ES" w:eastAsia="es-ES"/>
              </w:rPr>
              <w:t xml:space="preserve">Concepto </w:t>
            </w:r>
            <w:bookmarkStart w:id="1" w:name="OLE_LINK1"/>
            <w:r w:rsidRPr="000A6B2B">
              <w:rPr>
                <w:rFonts w:ascii="Verdana" w:eastAsia="Calibri" w:hAnsi="Verdana" w:cs="Arial"/>
                <w:b/>
                <w:bCs/>
                <w:lang w:val="es-ES" w:eastAsia="es-ES"/>
              </w:rPr>
              <w:t>C-1358 de 2026</w:t>
            </w:r>
            <w:bookmarkEnd w:id="1"/>
          </w:p>
          <w:p w14:paraId="69C4DF1A" w14:textId="77777777" w:rsidR="000A6B2B" w:rsidRPr="000A6B2B" w:rsidRDefault="000A6B2B" w:rsidP="000A6B2B">
            <w:pPr>
              <w:snapToGrid w:val="0"/>
              <w:jc w:val="both"/>
              <w:rPr>
                <w:rFonts w:ascii="Verdana" w:eastAsia="Calibri" w:hAnsi="Verdana" w:cs="Arial"/>
                <w:b/>
                <w:bCs/>
                <w:lang w:val="es-ES" w:eastAsia="es-ES"/>
              </w:rPr>
            </w:pPr>
          </w:p>
        </w:tc>
      </w:tr>
      <w:tr w:rsidR="000A6B2B" w:rsidRPr="000A6B2B" w14:paraId="55ED1F6A" w14:textId="77777777" w:rsidTr="009E3879">
        <w:trPr>
          <w:trHeight w:val="884"/>
        </w:trPr>
        <w:tc>
          <w:tcPr>
            <w:tcW w:w="2268" w:type="dxa"/>
          </w:tcPr>
          <w:p w14:paraId="3416012A" w14:textId="77777777" w:rsidR="000A6B2B" w:rsidRPr="000A6B2B" w:rsidRDefault="000A6B2B" w:rsidP="000A6B2B">
            <w:pPr>
              <w:jc w:val="both"/>
              <w:rPr>
                <w:rFonts w:ascii="Verdana" w:eastAsia="Calibri" w:hAnsi="Verdana" w:cs="Arial"/>
                <w:lang w:val="es-ES_tradnl" w:eastAsia="es-ES_tradnl"/>
              </w:rPr>
            </w:pPr>
            <w:r w:rsidRPr="000A6B2B">
              <w:rPr>
                <w:rFonts w:ascii="Verdana" w:eastAsia="Calibri" w:hAnsi="Verdana" w:cs="Arial"/>
                <w:b/>
                <w:lang w:val="es-ES_tradnl" w:eastAsia="es-ES_tradnl"/>
              </w:rPr>
              <w:t>Temas:</w:t>
            </w:r>
            <w:r w:rsidRPr="000A6B2B">
              <w:rPr>
                <w:rFonts w:ascii="Verdana" w:eastAsia="Calibri" w:hAnsi="Verdana" w:cs="Arial"/>
                <w:lang w:val="es-ES_tradnl" w:eastAsia="es-ES_tradnl"/>
              </w:rPr>
              <w:t xml:space="preserve">                   </w:t>
            </w:r>
          </w:p>
        </w:tc>
        <w:tc>
          <w:tcPr>
            <w:tcW w:w="6100" w:type="dxa"/>
          </w:tcPr>
          <w:p w14:paraId="4B377057" w14:textId="77777777" w:rsidR="000A6B2B" w:rsidRPr="000A6B2B" w:rsidRDefault="000A6B2B" w:rsidP="000A6B2B">
            <w:pPr>
              <w:snapToGrid w:val="0"/>
              <w:jc w:val="both"/>
              <w:rPr>
                <w:rFonts w:ascii="Verdana" w:eastAsia="Geomanist Light" w:hAnsi="Verdana" w:cs="Arial"/>
              </w:rPr>
            </w:pPr>
            <w:r w:rsidRPr="000A6B2B">
              <w:rPr>
                <w:rFonts w:ascii="Verdana" w:eastAsia="Calibri" w:hAnsi="Verdana" w:cs="Arial"/>
                <w:lang w:val="es-ES_tradnl"/>
              </w:rPr>
              <w:t>DOCUMENTOS TIPO – Fundamento normativo – Obligatoriedad / SECTOR SOCIAL</w:t>
            </w:r>
            <w:r w:rsidRPr="000A6B2B">
              <w:rPr>
                <w:rFonts w:ascii="Verdana" w:eastAsia="Calibri" w:hAnsi="Verdana" w:cs="Times New Roman"/>
                <w:lang w:val="es-ES"/>
              </w:rPr>
              <w:t xml:space="preserve"> – Documentos tipo – Vigentes / DOCUMENTOS TIPO – Aplicación – Matriz de Experiencia </w:t>
            </w:r>
            <w:r w:rsidRPr="000A6B2B">
              <w:rPr>
                <w:rFonts w:ascii="Verdana" w:eastAsia="Calibri" w:hAnsi="Verdana" w:cs="Times New Roman"/>
                <w:sz w:val="20"/>
                <w:szCs w:val="20"/>
                <w:lang w:val="es-ES"/>
              </w:rPr>
              <w:t xml:space="preserve">/ </w:t>
            </w:r>
            <w:r w:rsidRPr="000A6B2B">
              <w:rPr>
                <w:rFonts w:ascii="Verdana" w:eastAsia="Calibri" w:hAnsi="Verdana" w:cs="Arial"/>
                <w:color w:val="000000"/>
                <w:lang w:val="es-ES_tradnl"/>
              </w:rPr>
              <w:t>SECTOR INSTITUCIONAL – Documentos tipo – Infraestructura institucional de seguridad pública – Actividades – Mantenimiento – Adecuación – Mejoramiento – Conservación – Intervención / INFRAESTRUCTURA INSTITUCIONAL DE SEGURIDAD PÚBLICA – Documentos tipo – Sector social – NSR-10 – Alcance / POLICÍA NACIONAL – Instalaciones – Infraestructura institucional de seguridad pública – Documentos tipo – Aplicación / DOCUMENTOS TIPO – Sector institucional – Actividades de defensa – Reserva – Excepción</w:t>
            </w:r>
            <w:r w:rsidRPr="000A6B2B">
              <w:rPr>
                <w:rFonts w:ascii="Verdana" w:eastAsia="Geomanist Light" w:hAnsi="Verdana" w:cs="Arial"/>
              </w:rPr>
              <w:t xml:space="preserve"> </w:t>
            </w:r>
          </w:p>
          <w:p w14:paraId="28DD8968" w14:textId="77777777" w:rsidR="000A6B2B" w:rsidRPr="000A6B2B" w:rsidRDefault="000A6B2B" w:rsidP="000A6B2B">
            <w:pPr>
              <w:snapToGrid w:val="0"/>
              <w:jc w:val="both"/>
              <w:rPr>
                <w:rFonts w:ascii="Verdana" w:eastAsia="Aptos" w:hAnsi="Verdana" w:cs="Aptos"/>
              </w:rPr>
            </w:pPr>
          </w:p>
        </w:tc>
      </w:tr>
      <w:tr w:rsidR="000A6B2B" w:rsidRPr="000A6B2B" w14:paraId="029BD154" w14:textId="77777777" w:rsidTr="009E3879">
        <w:tc>
          <w:tcPr>
            <w:tcW w:w="2268" w:type="dxa"/>
          </w:tcPr>
          <w:p w14:paraId="04DB0E09" w14:textId="77777777" w:rsidR="000A6B2B" w:rsidRPr="000A6B2B" w:rsidRDefault="000A6B2B" w:rsidP="000A6B2B">
            <w:pPr>
              <w:jc w:val="both"/>
              <w:rPr>
                <w:rFonts w:ascii="Verdana" w:eastAsia="Calibri" w:hAnsi="Verdana" w:cs="Arial"/>
                <w:b/>
                <w:lang w:val="es-ES_tradnl" w:eastAsia="es-ES_tradnl"/>
              </w:rPr>
            </w:pPr>
            <w:r w:rsidRPr="000A6B2B">
              <w:rPr>
                <w:rFonts w:ascii="Verdana" w:eastAsia="Calibri" w:hAnsi="Verdana" w:cs="Arial"/>
                <w:b/>
                <w:lang w:val="es-ES_tradnl" w:eastAsia="es-ES_tradnl"/>
              </w:rPr>
              <w:t>Radicación:</w:t>
            </w:r>
            <w:r w:rsidRPr="000A6B2B">
              <w:rPr>
                <w:rFonts w:ascii="Verdana" w:eastAsia="Calibri" w:hAnsi="Verdana" w:cs="Arial"/>
                <w:lang w:val="es-ES_tradnl" w:eastAsia="es-ES_tradnl"/>
              </w:rPr>
              <w:t xml:space="preserve">               </w:t>
            </w:r>
          </w:p>
        </w:tc>
        <w:tc>
          <w:tcPr>
            <w:tcW w:w="6100" w:type="dxa"/>
          </w:tcPr>
          <w:p w14:paraId="62B631A7" w14:textId="77777777" w:rsidR="000A6B2B" w:rsidRPr="000A6B2B" w:rsidRDefault="000A6B2B" w:rsidP="000A6B2B">
            <w:pPr>
              <w:ind w:left="3" w:hanging="3"/>
              <w:jc w:val="both"/>
              <w:rPr>
                <w:rFonts w:ascii="Verdana" w:eastAsia="Calibri" w:hAnsi="Verdana" w:cs="Arial"/>
                <w:lang w:val="es-ES_tradnl" w:eastAsia="es-ES_tradnl"/>
              </w:rPr>
            </w:pPr>
            <w:r w:rsidRPr="000A6B2B">
              <w:rPr>
                <w:rFonts w:ascii="Verdana" w:eastAsia="Calibri" w:hAnsi="Verdana" w:cs="Arial"/>
                <w:lang w:val="es-ES_tradnl" w:eastAsia="es-ES_tradnl"/>
              </w:rPr>
              <w:t>Respuesta a consulta con radicado No. 1_2026_08_31_011518</w:t>
            </w:r>
          </w:p>
        </w:tc>
      </w:tr>
    </w:tbl>
    <w:p w14:paraId="2EBA2815" w14:textId="77777777" w:rsidR="000A6B2B" w:rsidRPr="000A6B2B" w:rsidRDefault="000A6B2B" w:rsidP="000A6B2B">
      <w:pPr>
        <w:spacing w:after="0" w:line="240" w:lineRule="auto"/>
        <w:jc w:val="both"/>
        <w:rPr>
          <w:rFonts w:ascii="Verdana" w:eastAsia="Calibri" w:hAnsi="Verdana" w:cs="Arial"/>
          <w:lang w:eastAsia="es-ES_tradnl"/>
        </w:rPr>
      </w:pPr>
    </w:p>
    <w:p w14:paraId="36A079AF" w14:textId="77777777" w:rsidR="000A6B2B" w:rsidRPr="000A6B2B" w:rsidRDefault="000A6B2B" w:rsidP="000A6B2B">
      <w:pPr>
        <w:spacing w:after="0" w:line="276" w:lineRule="auto"/>
        <w:rPr>
          <w:rFonts w:ascii="Verdana" w:eastAsia="Aptos" w:hAnsi="Verdana" w:cs="Times New Roman"/>
          <w:b/>
          <w:bCs/>
          <w:kern w:val="2"/>
          <w14:ligatures w14:val="standardContextual"/>
        </w:rPr>
      </w:pPr>
      <w:r w:rsidRPr="000A6B2B">
        <w:rPr>
          <w:rFonts w:ascii="Verdana" w:eastAsia="Calibri" w:hAnsi="Verdana" w:cs="Arial"/>
          <w:lang w:val="es-ES" w:eastAsia="es-ES"/>
        </w:rPr>
        <w:t xml:space="preserve">Estimada señora </w:t>
      </w:r>
      <w:r w:rsidRPr="000A6B2B">
        <w:rPr>
          <w:rFonts w:ascii="Verdana" w:eastAsia="Aptos" w:hAnsi="Verdana" w:cs="Times New Roman"/>
          <w:kern w:val="2"/>
          <w14:ligatures w14:val="standardContextual"/>
        </w:rPr>
        <w:t>Ramírez Ballesteros</w:t>
      </w:r>
      <w:r w:rsidRPr="000A6B2B">
        <w:rPr>
          <w:rFonts w:ascii="Verdana" w:eastAsia="Calibri" w:hAnsi="Verdana" w:cs="Arial"/>
          <w:lang w:val="es-ES" w:eastAsia="es-ES"/>
        </w:rPr>
        <w:t xml:space="preserve">: </w:t>
      </w:r>
    </w:p>
    <w:p w14:paraId="45690711" w14:textId="77777777" w:rsidR="000A6B2B" w:rsidRPr="000A6B2B" w:rsidRDefault="000A6B2B" w:rsidP="000A6B2B">
      <w:pPr>
        <w:tabs>
          <w:tab w:val="left" w:pos="3768"/>
        </w:tabs>
        <w:spacing w:after="0" w:line="276" w:lineRule="auto"/>
        <w:jc w:val="both"/>
        <w:rPr>
          <w:rFonts w:ascii="Verdana" w:eastAsia="Calibri" w:hAnsi="Verdana" w:cs="Arial"/>
          <w:lang w:val="es-ES" w:eastAsia="es-ES"/>
        </w:rPr>
      </w:pPr>
      <w:r w:rsidRPr="000A6B2B">
        <w:rPr>
          <w:rFonts w:ascii="Verdana" w:eastAsia="Calibri" w:hAnsi="Verdana" w:cs="Arial"/>
          <w:lang w:val="es-ES" w:eastAsia="es-ES"/>
        </w:rPr>
        <w:tab/>
      </w:r>
    </w:p>
    <w:p w14:paraId="6940DE81" w14:textId="77777777" w:rsidR="000A6B2B" w:rsidRPr="000A6B2B" w:rsidRDefault="000A6B2B" w:rsidP="000A6B2B">
      <w:pPr>
        <w:spacing w:after="0" w:line="276" w:lineRule="auto"/>
        <w:jc w:val="both"/>
        <w:rPr>
          <w:rFonts w:ascii="Verdana" w:eastAsia="Calibri" w:hAnsi="Verdana" w:cs="Arial"/>
          <w:lang w:val="es-ES" w:eastAsia="es-ES"/>
        </w:rPr>
      </w:pPr>
      <w:r w:rsidRPr="000A6B2B">
        <w:rPr>
          <w:rFonts w:ascii="Verdana" w:eastAsia="Calibri" w:hAnsi="Verdana" w:cs="Arial"/>
          <w:lang w:val="es-ES" w:eastAsia="es-ES"/>
        </w:rPr>
        <w:t>En ejercicio de la competencia otorgada por los artículos 3, numeral 5º, y 11, numeral 8º, del Decreto Ley 4170 de 2011,</w:t>
      </w:r>
      <w:r w:rsidRPr="000A6B2B">
        <w:rPr>
          <w:rFonts w:ascii="Verdana" w:eastAsia="Arial MT" w:hAnsi="Verdana" w:cs="Arial MT"/>
          <w:lang w:val="es-ES" w:eastAsia="es-ES"/>
        </w:rPr>
        <w:t xml:space="preserve"> </w:t>
      </w:r>
      <w:r w:rsidRPr="000A6B2B">
        <w:rPr>
          <w:rFonts w:ascii="Verdana" w:eastAsia="Calibri" w:hAnsi="Verdana" w:cs="Arial"/>
        </w:rPr>
        <w:t xml:space="preserve">así como lo establecido por la </w:t>
      </w:r>
      <w:r w:rsidRPr="000A6B2B">
        <w:rPr>
          <w:rFonts w:ascii="Verdana" w:eastAsia="Aptos" w:hAnsi="Verdana" w:cs="Arial"/>
          <w:bCs/>
          <w:kern w:val="2"/>
          <w:lang w:eastAsia="es-ES" w:bidi="es-ES"/>
          <w14:ligatures w14:val="standardContextual"/>
        </w:rPr>
        <w:t>Resolución 469 de 2025 expedida por esta Entidad</w:t>
      </w:r>
      <w:r w:rsidRPr="000A6B2B">
        <w:rPr>
          <w:rFonts w:ascii="Verdana" w:eastAsia="Calibri" w:hAnsi="Verdana" w:cs="Arial"/>
        </w:rPr>
        <w:t xml:space="preserve">, </w:t>
      </w:r>
      <w:r w:rsidRPr="000A6B2B">
        <w:rPr>
          <w:rFonts w:ascii="Verdana" w:eastAsia="Calibri" w:hAnsi="Verdana" w:cs="Arial"/>
          <w:lang w:val="es-ES" w:eastAsia="es-ES"/>
        </w:rPr>
        <w:t xml:space="preserve">la Agencia Nacional de Contratación Pública – Colombia Compra Eficiente– responde sus solicitudes de consulta del 31 de agosto de 2026, en la cual manifiesta lo siguiente: </w:t>
      </w:r>
    </w:p>
    <w:p w14:paraId="78A4F811" w14:textId="77777777" w:rsidR="000A6B2B" w:rsidRPr="000A6B2B" w:rsidRDefault="000A6B2B" w:rsidP="000A6B2B">
      <w:pPr>
        <w:shd w:val="clear" w:color="auto" w:fill="FFFFFF"/>
        <w:spacing w:after="0" w:line="240" w:lineRule="auto"/>
        <w:jc w:val="both"/>
        <w:rPr>
          <w:rFonts w:ascii="Calibri" w:eastAsia="Times New Roman" w:hAnsi="Calibri" w:cs="Calibri"/>
          <w:color w:val="242424"/>
          <w:lang w:eastAsia="es-MX"/>
        </w:rPr>
      </w:pPr>
      <w:r w:rsidRPr="000A6B2B">
        <w:rPr>
          <w:rFonts w:ascii="Arial" w:eastAsia="Times New Roman" w:hAnsi="Arial" w:cs="Arial"/>
          <w:color w:val="242424"/>
          <w:sz w:val="24"/>
          <w:szCs w:val="24"/>
          <w:lang w:eastAsia="es-MX"/>
        </w:rPr>
        <w:t> </w:t>
      </w:r>
    </w:p>
    <w:p w14:paraId="6BCD9205"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Times New Roman" w:hAnsi="Verdana" w:cs="Arial"/>
          <w:color w:val="242424"/>
          <w:sz w:val="20"/>
          <w:szCs w:val="20"/>
          <w:lang w:eastAsia="es-MX"/>
        </w:rPr>
        <w:t>“</w:t>
      </w:r>
      <w:r w:rsidRPr="000A6B2B">
        <w:rPr>
          <w:rFonts w:ascii="Verdana" w:eastAsia="Aptos" w:hAnsi="Verdana" w:cs="Times New Roman"/>
          <w:kern w:val="2"/>
          <w:sz w:val="20"/>
          <w:szCs w:val="20"/>
          <w14:ligatures w14:val="standardContextual"/>
        </w:rPr>
        <w:t xml:space="preserve">La Policía Nacional de Colombia, en ejercicio de sus funciones y con el propósito de garantizar la adecuada planeación y estructuración de sus procesos de contratación, se permite solicitar a esa Agencia orientación respecto de la obligatoriedad de aplicar los Documentos Tipo del Sector Institucional en aquellos procesos de obra pública cuyo objeto se encuentre relacionado con el mantenimiento, adecuación, mejoramiento o intervención física de las edificaciones e instalaciones de la Institución. </w:t>
      </w:r>
    </w:p>
    <w:p w14:paraId="4867AE98"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lastRenderedPageBreak/>
        <w:t xml:space="preserve">La presente consulta surge a partir de lo señalado por esa Agencia en el Concepto C-595 de 2026, particularmente respecto del ámbito de aplicación de los Documentos Tipo adicionales del Sector Institucional y de las actividades contempladas en la Matriz 1 – Experiencia. </w:t>
      </w:r>
    </w:p>
    <w:p w14:paraId="4CA1E2E5"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 xml:space="preserve">En dicho concepto se señala que los Documentos Tipo adicionales del Sector Institucional, para las modalidades de licitación pública, selección abreviada de menor cuantía y mínima cuantía, contemplan, entre otros, los siguientes tipos de infraestructura: </w:t>
      </w:r>
    </w:p>
    <w:p w14:paraId="798A57AF"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p>
    <w:p w14:paraId="4B52D560"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 xml:space="preserve">De igual manera, en el referido concepto se indica que, frente a objetos contractuales que contemplen intervenciones de “adecuación, mejoramiento, mantenimiento o intervención física” de edificaciones, debe verificarse si las actividades previstas pueden enmarcarse dentro de alguna de las categorías establecidas en la Matriz 1 – Experiencia del Sector Institucional. </w:t>
      </w:r>
    </w:p>
    <w:p w14:paraId="43D0A701"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 xml:space="preserve">En este contexto, resulta necesario precisar el alcance de dicha obligatoriedad cuando el proceso de contratación sea adelantado por la Policía Nacional de Colombia y tenga por objeto la ejecución de obras destinadas al mantenimiento, adecuación, mejoramiento, conservación o intervención física de sus instalaciones. </w:t>
      </w:r>
    </w:p>
    <w:p w14:paraId="36A3B71E"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Lo anterior adquiere especial relevancia si se tiene en cuenta que las instalaciones de la Policía Nacional presentan características particulares derivadas de la naturaleza de las funciones constitucionales y legales que desarrolla la Institución, relacionadas con la seguridad y convivencia ciudadana, y que determinadas edificaciones pueden tener condiciones, requerimientos técnicos, funcionales y de seguridad específicos que no necesariamente corresponden a las categorías ordinarias de infraestructura institucional contempladas en los Documentos Tipo.</w:t>
      </w:r>
    </w:p>
    <w:p w14:paraId="41B4C700"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Consulta</w:t>
      </w:r>
    </w:p>
    <w:p w14:paraId="4F432151"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En virtud de lo anterior, respetuosamente solicitamos a la Agencia Nacional de Contratación Pública – Colombia Compra Eficiente se sirva precisar:</w:t>
      </w:r>
    </w:p>
    <w:p w14:paraId="5D6203DB"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 xml:space="preserve"> 1. Si los procesos de obra pública adelantados por la Policía Nacional de Colombia, cuyo objeto comprenda el mantenimiento, adecuación, mejoramiento, conservación o intervención física de edificaciones e instalaciones de la Institución, se encuentran obligatoriamente sometidos </w:t>
      </w:r>
      <w:r w:rsidRPr="000A6B2B">
        <w:rPr>
          <w:rFonts w:ascii="Verdana" w:eastAsia="Aptos" w:hAnsi="Verdana" w:cs="Times New Roman"/>
          <w:kern w:val="2"/>
          <w:sz w:val="20"/>
          <w:szCs w:val="20"/>
          <w14:ligatures w14:val="standardContextual"/>
        </w:rPr>
        <w:lastRenderedPageBreak/>
        <w:t xml:space="preserve">a los Documentos Tipo del Sector Institucional adoptados mediante las Resoluciones 539, 540 y 541 de 2025, cuando sean adelantados bajo las modalidades de licitación pública, selección abreviada de menor cuantía o mínima cuantía. </w:t>
      </w:r>
    </w:p>
    <w:p w14:paraId="143AC3D3"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 xml:space="preserve">2. Si para determinar la obligatoriedad de aplicación de los Documentos Tipo resulta suficiente que las actividades de obra correspondan materialmente a expresiones como “adecuación”, “mejoramiento” o “mantenimiento”, o si, adicionalmente, debe verificarse que la infraestructura objeto de intervención corresponda específicamente a alguna de las tipologías y actividades contempladas en la Matriz 1 – Experiencia del Sector Institucional. </w:t>
      </w:r>
    </w:p>
    <w:p w14:paraId="2D773245" w14:textId="77777777" w:rsidR="000A6B2B" w:rsidRPr="000A6B2B" w:rsidRDefault="000A6B2B" w:rsidP="000A6B2B">
      <w:pPr>
        <w:shd w:val="clear" w:color="auto" w:fill="FFFFFF"/>
        <w:spacing w:after="120" w:line="240" w:lineRule="auto"/>
        <w:ind w:left="709" w:right="709"/>
        <w:jc w:val="both"/>
        <w:rPr>
          <w:rFonts w:ascii="Verdana" w:eastAsia="Century Gothic" w:hAnsi="Verdana" w:cs="Arial"/>
          <w:sz w:val="20"/>
          <w:szCs w:val="20"/>
          <w:lang w:eastAsia="es-MX"/>
        </w:rPr>
      </w:pPr>
      <w:r w:rsidRPr="000A6B2B">
        <w:rPr>
          <w:rFonts w:ascii="Verdana" w:eastAsia="Aptos" w:hAnsi="Verdana" w:cs="Times New Roman"/>
          <w:kern w:val="2"/>
          <w:sz w:val="20"/>
          <w:szCs w:val="20"/>
          <w14:ligatures w14:val="standardContextual"/>
        </w:rPr>
        <w:t>3. En particular, solicitamos precisar si las obras de mantenimiento, adecuación, mejoramiento o intervención física de instalaciones propias de la Policía Nacional destinadas al cumplimiento de sus funciones de seguridad pública, deben entenderse comprendidas dentro de la categoría de “obras en proyectos de infraestructura institucional de seguridad pública”, o si dicha categoría se encuentra limitada a determinadas tipologías de infraestructura o actividades expresamente previstas en la Matriz 1.</w:t>
      </w:r>
    </w:p>
    <w:p w14:paraId="50D058E2"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 xml:space="preserve">4. En caso de que una determinada intervención sobre infraestructura de la Policía Nacional no se encuentre expresamente comprendida dentro de las actividades o tipologías previstas en la Matriz 1 – Experiencia, solicitamos precisar si, en tal evento, existe obligación de aplicar los Documentos Tipo o si, por el contrario, la Entidad puede estructurar sus documentos de contratación de conformidad con las necesidades particulares del proyecto, dejando debidamente sustentada dicha circunstancia en los estudios y documentos previos. </w:t>
      </w:r>
    </w:p>
    <w:p w14:paraId="63EEAB71"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 xml:space="preserve">5. Así mismo, solicitamos precisar el alcance de la nota contenida en la Matriz 1 – Experiencia, según la cual: “Las definiciones contenidas en esta Matriz deben enmarcarse en la normativa vigente en la materia, así como en la NSR 10 o aquellas que los modifiquen, adicionen o sustituyan, así como a las definiciones contenidas en el «Anexo – Glosario del Sector Social»”. Lo anterior, con el propósito de establecer si la clasificación de una obra como adecuación, mejoramiento, mantenimiento o intervención debe realizarse exclusivamente a partir de las definiciones contenidas en los Documentos Tipo y su Glosario, o si debe atenderse igualmente a la naturaleza, destinación y características particulares de la infraestructura objeto del proceso. </w:t>
      </w:r>
    </w:p>
    <w:p w14:paraId="563409FB" w14:textId="77777777" w:rsidR="000A6B2B" w:rsidRPr="000A6B2B" w:rsidRDefault="000A6B2B" w:rsidP="000A6B2B">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0A6B2B">
        <w:rPr>
          <w:rFonts w:ascii="Verdana" w:eastAsia="Aptos" w:hAnsi="Verdana" w:cs="Times New Roman"/>
          <w:kern w:val="2"/>
          <w:sz w:val="20"/>
          <w:szCs w:val="20"/>
          <w14:ligatures w14:val="standardContextual"/>
        </w:rPr>
        <w:t xml:space="preserve">6. Finalmente, solicitamos precisar si la circunstancia de que determinadas instalaciones de la Policía Nacional correspondan a infraestructura destinada al cumplimiento de funciones de seguridad pública, seguridad institucional o defensa, y presenten características especiales derivadas </w:t>
      </w:r>
      <w:r w:rsidRPr="000A6B2B">
        <w:rPr>
          <w:rFonts w:ascii="Verdana" w:eastAsia="Aptos" w:hAnsi="Verdana" w:cs="Times New Roman"/>
          <w:kern w:val="2"/>
          <w:sz w:val="20"/>
          <w:szCs w:val="20"/>
          <w14:ligatures w14:val="standardContextual"/>
        </w:rPr>
        <w:lastRenderedPageBreak/>
        <w:t xml:space="preserve">de dichas funciones, constituye un elemento relevante para determinar el ámbito de aplicación de los Documentos Tipo. </w:t>
      </w:r>
    </w:p>
    <w:p w14:paraId="256FCCA9" w14:textId="77777777" w:rsidR="000A6B2B" w:rsidRPr="000A6B2B" w:rsidRDefault="000A6B2B" w:rsidP="000A6B2B">
      <w:pPr>
        <w:shd w:val="clear" w:color="auto" w:fill="FFFFFF"/>
        <w:spacing w:after="120" w:line="240" w:lineRule="auto"/>
        <w:ind w:left="709" w:right="709"/>
        <w:jc w:val="both"/>
        <w:rPr>
          <w:rFonts w:ascii="Verdana" w:eastAsia="Century Gothic" w:hAnsi="Verdana" w:cs="Arial"/>
          <w:sz w:val="20"/>
          <w:szCs w:val="20"/>
          <w:lang w:eastAsia="es-MX"/>
        </w:rPr>
      </w:pPr>
      <w:r w:rsidRPr="000A6B2B">
        <w:rPr>
          <w:rFonts w:ascii="Verdana" w:eastAsia="Aptos" w:hAnsi="Verdana" w:cs="Times New Roman"/>
          <w:kern w:val="2"/>
          <w:sz w:val="20"/>
          <w:szCs w:val="20"/>
          <w14:ligatures w14:val="standardContextual"/>
        </w:rPr>
        <w:t>La presente consulta tiene como finalidad contar con claridad respecto del alcance de la obligatoriedad de los Documentos Tipo, de manera que la Policía Nacional pueda estructurar sus procesos de contratación de obra pública observando las disposiciones aplicables y, simultáneamente, garantizar que los documentos del proceso respondan a las condiciones técnicas, funcionales y particulares de la infraestructura que será objeto de intervención. Agradecemos la atención prestada y la orientación que pueda brindar esa Agencia sobre los aspectos planteados.</w:t>
      </w:r>
      <w:r w:rsidRPr="000A6B2B">
        <w:rPr>
          <w:rFonts w:ascii="Verdana" w:eastAsia="Century Gothic" w:hAnsi="Verdana" w:cs="Arial"/>
          <w:sz w:val="20"/>
          <w:szCs w:val="20"/>
          <w:lang w:eastAsia="es-MX"/>
        </w:rPr>
        <w:t xml:space="preserve">”. </w:t>
      </w:r>
    </w:p>
    <w:p w14:paraId="4D0B2724" w14:textId="77777777" w:rsidR="000A6B2B" w:rsidRPr="000A6B2B" w:rsidRDefault="000A6B2B" w:rsidP="000A6B2B">
      <w:pPr>
        <w:spacing w:after="0" w:line="240" w:lineRule="auto"/>
        <w:ind w:left="709" w:right="709"/>
        <w:jc w:val="both"/>
        <w:rPr>
          <w:rFonts w:ascii="Arial" w:eastAsia="Aptos" w:hAnsi="Arial" w:cs="Arial"/>
          <w:kern w:val="2"/>
          <w:sz w:val="21"/>
          <w:szCs w:val="21"/>
          <w14:ligatures w14:val="standardContextual"/>
        </w:rPr>
      </w:pPr>
    </w:p>
    <w:p w14:paraId="3FE96F50" w14:textId="77777777" w:rsidR="000A6B2B" w:rsidRPr="000A6B2B" w:rsidRDefault="000A6B2B" w:rsidP="000A6B2B">
      <w:pPr>
        <w:spacing w:after="120" w:line="276" w:lineRule="auto"/>
        <w:ind w:firstLine="709"/>
        <w:jc w:val="both"/>
        <w:rPr>
          <w:rFonts w:ascii="Verdana" w:eastAsia="Calibri" w:hAnsi="Verdana" w:cs="Arial"/>
          <w:color w:val="000000"/>
          <w:kern w:val="2"/>
          <w:lang w:val="es-ES" w:eastAsia="es-ES"/>
          <w14:ligatures w14:val="standardContextual"/>
        </w:rPr>
      </w:pPr>
      <w:r w:rsidRPr="000A6B2B">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A6B2B">
        <w:rPr>
          <w:rFonts w:ascii="Verdana" w:eastAsia="Calibri" w:hAnsi="Verdana" w:cs="Arial"/>
          <w:color w:val="000000"/>
          <w:kern w:val="2"/>
          <w:lang w:val="es-ES_tradnl" w:eastAsia="es-ES_tradnl"/>
          <w14:ligatures w14:val="standardContextual"/>
        </w:rPr>
        <w:tab/>
      </w:r>
    </w:p>
    <w:p w14:paraId="796024BA" w14:textId="77777777" w:rsidR="000A6B2B" w:rsidRPr="000A6B2B" w:rsidRDefault="000A6B2B" w:rsidP="000A6B2B">
      <w:pPr>
        <w:spacing w:after="0" w:line="276" w:lineRule="auto"/>
        <w:ind w:firstLine="709"/>
        <w:jc w:val="both"/>
        <w:rPr>
          <w:rFonts w:ascii="Verdana" w:eastAsia="Calibri" w:hAnsi="Verdana" w:cs="Arial"/>
          <w:color w:val="000000"/>
          <w:kern w:val="2"/>
          <w:lang w:val="es-ES" w:eastAsia="es-ES"/>
          <w14:ligatures w14:val="standardContextual"/>
        </w:rPr>
      </w:pPr>
      <w:r w:rsidRPr="000A6B2B">
        <w:rPr>
          <w:rFonts w:ascii="Verdana" w:eastAsia="Calibri" w:hAnsi="Verdana" w:cs="Arial"/>
          <w:color w:val="000000"/>
          <w:kern w:val="2"/>
          <w:lang w:val="es-ES" w:eastAsia="es-ES"/>
          <w14:ligatures w14:val="standardContextual"/>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0A6B2B">
        <w:rPr>
          <w:rFonts w:ascii="Verdana" w:eastAsia="Calibri" w:hAnsi="Verdana" w:cs="Arial"/>
          <w:color w:val="7030A0"/>
          <w:kern w:val="2"/>
          <w:lang w:val="es-ES" w:eastAsia="es-ES"/>
          <w14:ligatures w14:val="standardContextual"/>
        </w:rPr>
        <w:t xml:space="preserve"> </w:t>
      </w:r>
      <w:r w:rsidRPr="000A6B2B">
        <w:rPr>
          <w:rFonts w:ascii="Verdana" w:eastAsia="Calibri" w:hAnsi="Verdana" w:cs="Arial"/>
          <w:color w:val="000000"/>
          <w:kern w:val="2"/>
          <w:lang w:val="es-ES" w:eastAsia="es-ES"/>
          <w14:ligatures w14:val="standardContextual"/>
        </w:rPr>
        <w:t>problema</w:t>
      </w:r>
      <w:r w:rsidRPr="000A6B2B">
        <w:rPr>
          <w:rFonts w:ascii="Verdana" w:eastAsia="Calibri" w:hAnsi="Verdana" w:cs="Arial"/>
          <w:color w:val="7030A0"/>
          <w:kern w:val="2"/>
          <w:lang w:val="es-ES" w:eastAsia="es-ES"/>
          <w14:ligatures w14:val="standardContextual"/>
        </w:rPr>
        <w:t xml:space="preserve"> </w:t>
      </w:r>
      <w:r w:rsidRPr="000A6B2B">
        <w:rPr>
          <w:rFonts w:ascii="Verdana" w:eastAsia="Calibri" w:hAnsi="Verdana" w:cs="Arial"/>
          <w:color w:val="000000"/>
          <w:kern w:val="2"/>
          <w:lang w:val="es-ES" w:eastAsia="es-ES"/>
          <w14:ligatures w14:val="standardContextual"/>
        </w:rPr>
        <w:t>jurídico</w:t>
      </w:r>
      <w:r w:rsidRPr="000A6B2B">
        <w:rPr>
          <w:rFonts w:ascii="Verdana" w:eastAsia="Calibri" w:hAnsi="Verdana" w:cs="Arial"/>
          <w:color w:val="7030A0"/>
          <w:kern w:val="2"/>
          <w:lang w:val="es-ES" w:eastAsia="es-ES"/>
          <w14:ligatures w14:val="standardContextual"/>
        </w:rPr>
        <w:t xml:space="preserve"> </w:t>
      </w:r>
      <w:r w:rsidRPr="000A6B2B">
        <w:rPr>
          <w:rFonts w:ascii="Verdana" w:eastAsia="Calibri" w:hAnsi="Verdana" w:cs="Arial"/>
          <w:color w:val="000000"/>
          <w:kern w:val="2"/>
          <w:lang w:val="es-ES" w:eastAsia="es-ES"/>
          <w14:ligatures w14:val="standardContextual"/>
        </w:rPr>
        <w:t xml:space="preserve">de su consulta. </w:t>
      </w:r>
    </w:p>
    <w:p w14:paraId="786DFD83" w14:textId="77777777" w:rsidR="000A6B2B" w:rsidRPr="000A6B2B" w:rsidRDefault="000A6B2B" w:rsidP="000A6B2B">
      <w:pPr>
        <w:spacing w:after="0" w:line="276" w:lineRule="auto"/>
        <w:jc w:val="both"/>
        <w:rPr>
          <w:rFonts w:ascii="Verdana" w:eastAsia="Calibri" w:hAnsi="Verdana" w:cs="Arial"/>
          <w:lang w:val="es-ES" w:eastAsia="es-ES"/>
        </w:rPr>
      </w:pPr>
    </w:p>
    <w:p w14:paraId="2EA373DE" w14:textId="77777777" w:rsidR="000A6B2B" w:rsidRPr="000A6B2B" w:rsidRDefault="000A6B2B" w:rsidP="000A6B2B">
      <w:pPr>
        <w:numPr>
          <w:ilvl w:val="0"/>
          <w:numId w:val="17"/>
        </w:numPr>
        <w:tabs>
          <w:tab w:val="left" w:pos="142"/>
          <w:tab w:val="left" w:pos="284"/>
        </w:tabs>
        <w:spacing w:after="0" w:line="276" w:lineRule="auto"/>
        <w:jc w:val="both"/>
        <w:rPr>
          <w:rFonts w:ascii="Verdana" w:eastAsia="Century Gothic" w:hAnsi="Verdana" w:cs="Century Gothic"/>
          <w:b/>
          <w:bCs/>
        </w:rPr>
      </w:pPr>
      <w:r w:rsidRPr="000A6B2B">
        <w:rPr>
          <w:rFonts w:ascii="Verdana" w:eastAsia="Century Gothic" w:hAnsi="Verdana" w:cs="Century Gothic"/>
          <w:b/>
          <w:bCs/>
        </w:rPr>
        <w:t>Problema planteado:</w:t>
      </w:r>
    </w:p>
    <w:p w14:paraId="4FA0C711" w14:textId="77777777" w:rsidR="000A6B2B" w:rsidRPr="000A6B2B" w:rsidRDefault="000A6B2B" w:rsidP="000A6B2B">
      <w:pPr>
        <w:tabs>
          <w:tab w:val="left" w:pos="426"/>
        </w:tabs>
        <w:spacing w:after="0" w:line="276" w:lineRule="auto"/>
        <w:jc w:val="both"/>
        <w:rPr>
          <w:rFonts w:ascii="Verdana" w:eastAsia="Century Gothic" w:hAnsi="Verdana" w:cs="Century Gothic"/>
          <w:lang w:val="es-ES"/>
        </w:rPr>
      </w:pPr>
    </w:p>
    <w:p w14:paraId="6601B296" w14:textId="77777777" w:rsidR="000A6B2B" w:rsidRPr="000A6B2B" w:rsidRDefault="000A6B2B" w:rsidP="000A6B2B">
      <w:pPr>
        <w:spacing w:after="0" w:line="276" w:lineRule="auto"/>
        <w:jc w:val="both"/>
        <w:rPr>
          <w:rFonts w:ascii="Verdana" w:eastAsia="Calibri" w:hAnsi="Verdana" w:cs="Arial"/>
          <w:kern w:val="2"/>
          <w:lang w:val="es-ES" w:eastAsia="es-ES"/>
          <w14:ligatures w14:val="standardContextual"/>
        </w:rPr>
      </w:pPr>
      <w:r w:rsidRPr="000A6B2B">
        <w:rPr>
          <w:rFonts w:ascii="Verdana" w:eastAsia="Aptos" w:hAnsi="Verdana" w:cs="Times New Roman"/>
          <w:kern w:val="2"/>
          <w14:ligatures w14:val="standardContextual"/>
        </w:rPr>
        <w:t xml:space="preserve">De acuerdo con el contenido de su solicitud, en relación con los </w:t>
      </w:r>
      <w:r w:rsidRPr="000A6B2B">
        <w:rPr>
          <w:rFonts w:ascii="Verdana" w:eastAsia="Aptos" w:hAnsi="Verdana" w:cs="Times New Roman"/>
          <w:b/>
          <w:bCs/>
          <w:i/>
          <w:iCs/>
          <w:kern w:val="2"/>
          <w14:ligatures w14:val="standardContextual"/>
        </w:rPr>
        <w:t>documentos tipo del sector institucional</w:t>
      </w:r>
      <w:r w:rsidRPr="000A6B2B">
        <w:rPr>
          <w:rFonts w:ascii="Verdana" w:eastAsia="Aptos" w:hAnsi="Verdana" w:cs="Times New Roman"/>
          <w:kern w:val="2"/>
          <w14:ligatures w14:val="standardContextual"/>
        </w:rPr>
        <w:t xml:space="preserve">, esta Agencia resolverá los siguientes problemas jurídicos: i) ¿Cuándo resultan obligatorios los documentos tipo del sector institucional y qué función cumple la Matriz 1 – Experiencia para determinarlo?; </w:t>
      </w:r>
      <w:proofErr w:type="spellStart"/>
      <w:r w:rsidRPr="000A6B2B">
        <w:rPr>
          <w:rFonts w:ascii="Verdana" w:eastAsia="Aptos" w:hAnsi="Verdana" w:cs="Times New Roman"/>
          <w:kern w:val="2"/>
          <w14:ligatures w14:val="standardContextual"/>
        </w:rPr>
        <w:t>ii</w:t>
      </w:r>
      <w:proofErr w:type="spellEnd"/>
      <w:r w:rsidRPr="000A6B2B">
        <w:rPr>
          <w:rFonts w:ascii="Verdana" w:eastAsia="Aptos" w:hAnsi="Verdana" w:cs="Times New Roman"/>
          <w:kern w:val="2"/>
          <w14:ligatures w14:val="standardContextual"/>
        </w:rPr>
        <w:t xml:space="preserve">) ¿Qué actividades de la Matriz 1 – Experiencia del Sector Institucional </w:t>
      </w:r>
      <w:r w:rsidRPr="000A6B2B">
        <w:rPr>
          <w:rFonts w:ascii="Verdana" w:eastAsia="Aptos" w:hAnsi="Verdana" w:cs="Times New Roman"/>
          <w:kern w:val="2"/>
          <w14:ligatures w14:val="standardContextual"/>
        </w:rPr>
        <w:lastRenderedPageBreak/>
        <w:t xml:space="preserve">comprenden el mantenimiento, adecuación, mejoramiento, conservación o intervención de infraestructura institucional de seguridad pública?; </w:t>
      </w:r>
      <w:proofErr w:type="spellStart"/>
      <w:r w:rsidRPr="000A6B2B">
        <w:rPr>
          <w:rFonts w:ascii="Verdana" w:eastAsia="Aptos" w:hAnsi="Verdana" w:cs="Times New Roman"/>
          <w:kern w:val="2"/>
          <w14:ligatures w14:val="standardContextual"/>
        </w:rPr>
        <w:t>iii</w:t>
      </w:r>
      <w:proofErr w:type="spellEnd"/>
      <w:r w:rsidRPr="000A6B2B">
        <w:rPr>
          <w:rFonts w:ascii="Verdana" w:eastAsia="Aptos" w:hAnsi="Verdana" w:cs="Times New Roman"/>
          <w:kern w:val="2"/>
          <w14:ligatures w14:val="standardContextual"/>
        </w:rPr>
        <w:t xml:space="preserve">) ¿Las edificaciones e instalaciones de la Policía Nacional se enmarcan en el tipo de infraestructura institucional de seguridad pública y, en consecuencia, deben aplicarse los documentos tipo del sector institucional en sus procesos de obra?; y </w:t>
      </w:r>
      <w:proofErr w:type="spellStart"/>
      <w:r w:rsidRPr="000A6B2B">
        <w:rPr>
          <w:rFonts w:ascii="Verdana" w:eastAsia="Aptos" w:hAnsi="Verdana" w:cs="Times New Roman"/>
          <w:kern w:val="2"/>
          <w14:ligatures w14:val="standardContextual"/>
        </w:rPr>
        <w:t>iv</w:t>
      </w:r>
      <w:proofErr w:type="spellEnd"/>
      <w:r w:rsidRPr="000A6B2B">
        <w:rPr>
          <w:rFonts w:ascii="Verdana" w:eastAsia="Aptos" w:hAnsi="Verdana" w:cs="Times New Roman"/>
          <w:kern w:val="2"/>
          <w14:ligatures w14:val="standardContextual"/>
        </w:rPr>
        <w:t>) ¿En qué eventos la entidad puede apartarse de los documentos tipo cuando las actividades a contratar involucren asuntos de defensa?</w:t>
      </w:r>
    </w:p>
    <w:p w14:paraId="6A2D1568" w14:textId="77777777" w:rsidR="000A6B2B" w:rsidRPr="000A6B2B" w:rsidRDefault="000A6B2B" w:rsidP="000A6B2B">
      <w:pPr>
        <w:spacing w:after="0" w:line="276" w:lineRule="auto"/>
        <w:jc w:val="both"/>
        <w:rPr>
          <w:rFonts w:ascii="Verdana" w:eastAsia="Century Gothic" w:hAnsi="Verdana" w:cs="Century Gothic"/>
          <w:lang w:val="es-ES"/>
        </w:rPr>
      </w:pPr>
    </w:p>
    <w:p w14:paraId="5E9B2CB8" w14:textId="77777777" w:rsidR="000A6B2B" w:rsidRPr="000A6B2B" w:rsidRDefault="000A6B2B" w:rsidP="000A6B2B">
      <w:pPr>
        <w:tabs>
          <w:tab w:val="left" w:pos="142"/>
          <w:tab w:val="left" w:pos="284"/>
        </w:tabs>
        <w:spacing w:after="0" w:line="276" w:lineRule="auto"/>
        <w:contextualSpacing/>
        <w:jc w:val="both"/>
        <w:rPr>
          <w:rFonts w:ascii="Verdana" w:eastAsia="Century Gothic" w:hAnsi="Verdana" w:cs="Century Gothic"/>
          <w:b/>
          <w:bCs/>
          <w:lang w:val="es-ES"/>
        </w:rPr>
      </w:pPr>
      <w:r w:rsidRPr="000A6B2B">
        <w:rPr>
          <w:rFonts w:ascii="Verdana" w:eastAsia="Century Gothic" w:hAnsi="Verdana" w:cs="Century Gothic"/>
          <w:b/>
          <w:bCs/>
          <w:lang w:val="es-ES"/>
        </w:rPr>
        <w:t>2. Respuestas:</w:t>
      </w:r>
    </w:p>
    <w:p w14:paraId="020F64F1" w14:textId="77777777" w:rsidR="000A6B2B" w:rsidRPr="000A6B2B" w:rsidRDefault="000A6B2B" w:rsidP="000A6B2B">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A6B2B" w:rsidRPr="000A6B2B" w14:paraId="5D3149FE" w14:textId="77777777" w:rsidTr="009E3879">
        <w:trPr>
          <w:trHeight w:val="40"/>
        </w:trPr>
        <w:tc>
          <w:tcPr>
            <w:tcW w:w="8828" w:type="dxa"/>
            <w:tcBorders>
              <w:top w:val="dotted" w:sz="4" w:space="0" w:color="auto"/>
              <w:left w:val="dotted" w:sz="4" w:space="0" w:color="auto"/>
              <w:bottom w:val="dotted" w:sz="4" w:space="0" w:color="auto"/>
              <w:right w:val="dotted" w:sz="4" w:space="0" w:color="auto"/>
            </w:tcBorders>
          </w:tcPr>
          <w:p w14:paraId="23A019B7" w14:textId="77777777" w:rsidR="000A6B2B" w:rsidRPr="000A6B2B" w:rsidRDefault="000A6B2B" w:rsidP="000A6B2B">
            <w:pPr>
              <w:spacing w:after="120" w:line="276" w:lineRule="auto"/>
              <w:jc w:val="both"/>
              <w:rPr>
                <w:rFonts w:ascii="Verdana" w:eastAsia="Calibri" w:hAnsi="Verdana" w:cs="Arial"/>
                <w:bCs/>
                <w:color w:val="000000"/>
              </w:rPr>
            </w:pPr>
            <w:r w:rsidRPr="000A6B2B">
              <w:rPr>
                <w:rFonts w:ascii="Verdana" w:eastAsia="Calibri" w:hAnsi="Verdana" w:cs="Arial"/>
                <w:bCs/>
                <w:color w:val="000000"/>
              </w:rPr>
              <w:t>i). 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00742BF" w14:textId="77777777" w:rsidR="000A6B2B" w:rsidRPr="000A6B2B" w:rsidRDefault="000A6B2B" w:rsidP="000A6B2B">
            <w:pPr>
              <w:spacing w:after="120" w:line="276" w:lineRule="auto"/>
              <w:ind w:firstLine="709"/>
              <w:jc w:val="both"/>
              <w:rPr>
                <w:rFonts w:ascii="Verdana" w:eastAsia="Calibri" w:hAnsi="Verdana" w:cs="Arial"/>
                <w:bCs/>
                <w:color w:val="000000"/>
              </w:rPr>
            </w:pPr>
            <w:r w:rsidRPr="000A6B2B">
              <w:rPr>
                <w:rFonts w:ascii="Verdana" w:eastAsia="Calibri" w:hAnsi="Verdana" w:cs="Arial"/>
                <w:bCs/>
                <w:color w:val="000000"/>
              </w:rPr>
              <w:t>De esta manera, para saber a qué actividades deben aplicarse los documentos tipo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1986BE2" w14:textId="77777777" w:rsidR="000A6B2B" w:rsidRPr="000A6B2B" w:rsidRDefault="000A6B2B" w:rsidP="000A6B2B">
            <w:pPr>
              <w:spacing w:after="120" w:line="276" w:lineRule="auto"/>
              <w:jc w:val="both"/>
              <w:rPr>
                <w:rFonts w:ascii="Verdana" w:eastAsia="Times New Roman" w:hAnsi="Verdana" w:cs="Times New Roman"/>
                <w:color w:val="000000"/>
                <w:lang w:eastAsia="es-CO"/>
              </w:rPr>
            </w:pPr>
            <w:proofErr w:type="spellStart"/>
            <w:r w:rsidRPr="000A6B2B">
              <w:rPr>
                <w:rFonts w:ascii="Verdana" w:eastAsia="Calibri" w:hAnsi="Verdana" w:cs="Times New Roman"/>
                <w:lang w:val="es-ES" w:eastAsia="es-MX"/>
              </w:rPr>
              <w:t>ii</w:t>
            </w:r>
            <w:proofErr w:type="spellEnd"/>
            <w:r w:rsidRPr="000A6B2B">
              <w:rPr>
                <w:rFonts w:ascii="Verdana" w:eastAsia="Calibri" w:hAnsi="Verdana" w:cs="Times New Roman"/>
                <w:lang w:val="es-ES" w:eastAsia="es-MX"/>
              </w:rPr>
              <w:t xml:space="preserve">). La Matriz 1 – Experiencia del Sector Institucional, </w:t>
            </w:r>
            <w:r w:rsidRPr="000A6B2B">
              <w:rPr>
                <w:rFonts w:ascii="Verdana" w:eastAsia="Times New Roman" w:hAnsi="Verdana" w:cs="Times New Roman"/>
                <w:color w:val="000000"/>
                <w:lang w:eastAsia="es-CO"/>
              </w:rPr>
              <w:t xml:space="preserve">en la modalidad de licitación pública, selección abreviada de menor cuantía y mínima cuantía dispone de los siguientes cinco (5) tipos de infraestructura: </w:t>
            </w:r>
            <w:r w:rsidRPr="000A6B2B">
              <w:rPr>
                <w:rFonts w:ascii="Verdana" w:eastAsia="Arial" w:hAnsi="Verdana" w:cs="Aptos"/>
                <w:lang w:eastAsia="es-ES"/>
              </w:rPr>
              <w:t xml:space="preserve">“1) OBRAS EN PROYECTOS DE INFRAESTRUCTURA INSTITUCIONAL DE SEGURIDAD PUBLICA, 2) OBRAS EN PROYECTOS DE INFRAESTRUCTURA INSTITUCIONAL DE SERVICIO PÚBLICO, 3) OBRAS EN PROYECTOS DE INFRAESTRUCTURA INSTITUCIONAL - SITIOS DE RECLUSIÓN, 4) OBRAS EN VÍAS DE ACCESO O </w:t>
            </w:r>
            <w:r w:rsidRPr="000A6B2B">
              <w:rPr>
                <w:rFonts w:ascii="Verdana" w:eastAsia="Arial" w:hAnsi="Verdana" w:cs="Aptos"/>
                <w:lang w:eastAsia="es-ES"/>
              </w:rPr>
              <w:lastRenderedPageBreak/>
              <w:t>PARQUEADEROS O ZONAS DE CIRCULACIÓN (VEHICULAR O PEATONAL) O PLAZUELAS O PLAZAS O PLAZUELAS EN EDIFICACIONES INSTITUCIONALES, y 5) OBRAS PARA ATENCIÓN, PREVENCIÓN O MITIGACIÓN DE EMERGENCIAS DIFERENTES A CONTRATACIÓN DIRECTA PARA EL SECTOR INSTITUCIONAL”</w:t>
            </w:r>
            <w:r w:rsidRPr="000A6B2B">
              <w:rPr>
                <w:rFonts w:ascii="Verdana" w:eastAsia="Aptos" w:hAnsi="Verdana" w:cs="Arial"/>
              </w:rPr>
              <w:t xml:space="preserve">. </w:t>
            </w:r>
          </w:p>
          <w:p w14:paraId="0F6F966B" w14:textId="77777777" w:rsidR="000A6B2B" w:rsidRPr="000A6B2B" w:rsidRDefault="000A6B2B" w:rsidP="000A6B2B">
            <w:pPr>
              <w:spacing w:after="120" w:line="276" w:lineRule="auto"/>
              <w:jc w:val="both"/>
              <w:rPr>
                <w:rFonts w:ascii="Verdana" w:eastAsia="Times New Roman" w:hAnsi="Verdana" w:cs="Times New Roman"/>
                <w:color w:val="000000"/>
                <w:lang w:eastAsia="es-CO"/>
              </w:rPr>
            </w:pPr>
            <w:r w:rsidRPr="000A6B2B">
              <w:rPr>
                <w:rFonts w:ascii="Verdana" w:eastAsia="Times New Roman" w:hAnsi="Verdana" w:cs="Times New Roman"/>
                <w:color w:val="000000"/>
                <w:lang w:eastAsia="es-CO"/>
              </w:rPr>
              <w:tab/>
              <w:t xml:space="preserve">Concretamente, en su solicitud usted indaga sobre la aplicación de los Documentos Tipo del Sector Institucional – </w:t>
            </w:r>
            <w:r w:rsidRPr="000A6B2B">
              <w:rPr>
                <w:rFonts w:ascii="Verdana" w:eastAsia="Aptos" w:hAnsi="Verdana" w:cs="Times New Roman"/>
              </w:rPr>
              <w:t>Seguridad Pública</w:t>
            </w:r>
            <w:r w:rsidRPr="000A6B2B">
              <w:rPr>
                <w:rFonts w:ascii="Verdana" w:eastAsia="Times New Roman" w:hAnsi="Verdana" w:cs="Times New Roman"/>
                <w:color w:val="000000"/>
                <w:lang w:eastAsia="es-CO"/>
              </w:rPr>
              <w:t xml:space="preserve"> de seguridad pública, en los procesos de obra que adelante la Policía Nacional de Colombia para el mantenimiento, adecuación, mejoramiento, conservación o intervención física de sus edificaciones e instalaciones.  De esta forma, resulta pertinente establecer qué actividades de los Documentos Tipo mencionados recaen sobre las actividades indicadas y si estas resultan adecuadas para adelantar los procesos que requiere la entidad. </w:t>
            </w:r>
          </w:p>
          <w:p w14:paraId="46EA4E21" w14:textId="77777777" w:rsidR="000A6B2B" w:rsidRPr="000A6B2B" w:rsidRDefault="000A6B2B" w:rsidP="000A6B2B">
            <w:pPr>
              <w:spacing w:line="276" w:lineRule="auto"/>
              <w:ind w:firstLine="708"/>
              <w:jc w:val="both"/>
              <w:rPr>
                <w:rFonts w:ascii="Verdana" w:eastAsia="Aptos" w:hAnsi="Verdana" w:cs="Times New Roman"/>
              </w:rPr>
            </w:pPr>
            <w:r w:rsidRPr="000A6B2B">
              <w:rPr>
                <w:rFonts w:ascii="Verdana" w:eastAsia="Aptos" w:hAnsi="Verdana" w:cs="Times New Roman"/>
              </w:rPr>
              <w:t xml:space="preserve">En este sentido, le indicamos que, una vez revisadas las actividades contenidas en la Matriz 1 – Experiencia de los Documentos Tipo del Sector Institucional, el numeral 1 “obras en proyectos de infraestructura institucional se Seguridad Pública”, las siguientes corresponden a las actividades de mantenimiento, adecuación, mejoramiento, conservación o intervención señaladas, dentro del sector indicado: </w:t>
            </w:r>
          </w:p>
          <w:p w14:paraId="25C417DD" w14:textId="77777777" w:rsidR="000A6B2B" w:rsidRPr="000A6B2B" w:rsidRDefault="000A6B2B" w:rsidP="000A6B2B">
            <w:pPr>
              <w:jc w:val="both"/>
              <w:rPr>
                <w:rFonts w:ascii="Verdana" w:eastAsia="Times New Roman" w:hAnsi="Verdana" w:cs="Times New Roman"/>
                <w:color w:val="000000"/>
                <w:lang w:eastAsia="es-CO"/>
              </w:rPr>
            </w:pPr>
          </w:p>
          <w:p w14:paraId="6ED444E3" w14:textId="77777777" w:rsidR="000A6B2B" w:rsidRPr="000A6B2B" w:rsidRDefault="000A6B2B" w:rsidP="000A6B2B">
            <w:pPr>
              <w:shd w:val="clear" w:color="auto" w:fill="FFFFFF"/>
              <w:snapToGrid w:val="0"/>
              <w:spacing w:after="120"/>
              <w:ind w:left="709" w:right="709"/>
              <w:jc w:val="both"/>
              <w:rPr>
                <w:rFonts w:ascii="Verdana" w:eastAsia="Times New Roman" w:hAnsi="Verdana" w:cs="Arial"/>
                <w:color w:val="242424"/>
                <w:sz w:val="21"/>
                <w:szCs w:val="21"/>
                <w:lang w:eastAsia="es-MX"/>
              </w:rPr>
            </w:pPr>
            <w:r w:rsidRPr="000A6B2B">
              <w:rPr>
                <w:rFonts w:ascii="Verdana" w:eastAsia="Times New Roman" w:hAnsi="Verdana" w:cs="Arial"/>
                <w:color w:val="242424"/>
                <w:sz w:val="21"/>
                <w:szCs w:val="21"/>
                <w:lang w:eastAsia="es-MX"/>
              </w:rPr>
              <w:t>“</w:t>
            </w:r>
            <w:r w:rsidRPr="000A6B2B">
              <w:rPr>
                <w:rFonts w:ascii="Verdana" w:eastAsia="Aptos" w:hAnsi="Verdana" w:cs="Times New Roman"/>
                <w:sz w:val="21"/>
                <w:szCs w:val="21"/>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SEGURIDAD PÚBLICA</w:t>
            </w:r>
            <w:r w:rsidRPr="000A6B2B">
              <w:rPr>
                <w:rFonts w:ascii="Verdana" w:eastAsia="Aptos" w:hAnsi="Verdana" w:cs="Times New Roman"/>
                <w:sz w:val="21"/>
                <w:szCs w:val="21"/>
              </w:rPr>
              <w:br/>
              <w:t>1.3.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PARA INFRAESTRUCTURA DE SEGURIDAD PÚBLICA</w:t>
            </w:r>
            <w:r w:rsidRPr="000A6B2B">
              <w:rPr>
                <w:rFonts w:ascii="Verdana" w:eastAsia="Aptos" w:hAnsi="Verdana" w:cs="Times New Roman"/>
                <w:sz w:val="21"/>
                <w:szCs w:val="21"/>
              </w:rPr>
              <w:br/>
              <w:t xml:space="preserve">1.5.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w:t>
            </w:r>
            <w:r w:rsidRPr="000A6B2B">
              <w:rPr>
                <w:rFonts w:ascii="Verdana" w:eastAsia="Aptos" w:hAnsi="Verdana" w:cs="Times New Roman"/>
                <w:sz w:val="21"/>
                <w:szCs w:val="21"/>
              </w:rPr>
              <w:lastRenderedPageBreak/>
              <w:t>TERMINACIÓN Y/O REFORZAMIENTO ESTRUCTURAL Y/O ACTUALIZACIÓN SÍSMICA Y/O REPOTENCIACIÓN ESTRUCTURAL DE COMEDORES, ZONAS DE ALMACENAMIENTO Y/O ZONAS DE CONSERVACIÓN DE ALIMENTOS Y/O ZONAS DE ALIMENTACIÓN DE INFRAESTRUCTURA DE SEGURIDAD PÚBLICA</w:t>
            </w:r>
            <w:r w:rsidRPr="000A6B2B">
              <w:rPr>
                <w:rFonts w:ascii="Verdana" w:eastAsia="Aptos" w:hAnsi="Verdana" w:cs="Times New Roman"/>
                <w:sz w:val="21"/>
                <w:szCs w:val="21"/>
              </w:rPr>
              <w:br/>
              <w:t>1.6.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SEGURIDAD PÚBLICA</w:t>
            </w:r>
            <w:r w:rsidRPr="000A6B2B">
              <w:rPr>
                <w:rFonts w:ascii="Verdana" w:eastAsia="Aptos" w:hAnsi="Verdana" w:cs="Times New Roman"/>
                <w:sz w:val="21"/>
                <w:szCs w:val="21"/>
              </w:rPr>
              <w:br/>
              <w:t>1.7.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DE SEGURIDAD PÚBLICA</w:t>
            </w:r>
            <w:r w:rsidRPr="000A6B2B">
              <w:rPr>
                <w:rFonts w:ascii="Verdana" w:eastAsia="Aptos" w:hAnsi="Verdana" w:cs="Times New Roman"/>
                <w:sz w:val="21"/>
                <w:szCs w:val="21"/>
              </w:rPr>
              <w:br/>
              <w:t>1.8.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SEGURIDAD PUBLICA</w:t>
            </w:r>
            <w:r w:rsidRPr="000A6B2B">
              <w:rPr>
                <w:rFonts w:ascii="Verdana" w:eastAsia="Aptos" w:hAnsi="Verdana" w:cs="Times New Roman"/>
                <w:sz w:val="21"/>
                <w:szCs w:val="21"/>
              </w:rPr>
              <w:br/>
              <w:t xml:space="preserve">1.9.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w:t>
            </w:r>
            <w:r w:rsidRPr="000A6B2B">
              <w:rPr>
                <w:rFonts w:ascii="Verdana" w:eastAsia="Aptos" w:hAnsi="Verdana" w:cs="Times New Roman"/>
                <w:sz w:val="21"/>
                <w:szCs w:val="21"/>
              </w:rPr>
              <w:lastRenderedPageBreak/>
              <w:t>Y/O REDES O SISTEMAS DE ILUMINACIÓN O LUMINARIAS INTERIORES O EXTERIORES DE INFRAESTRUCTURA DE SEGURIDAD PÚBLICA</w:t>
            </w:r>
            <w:r w:rsidRPr="000A6B2B">
              <w:rPr>
                <w:rFonts w:ascii="Verdana" w:eastAsia="Aptos" w:hAnsi="Verdana" w:cs="Times New Roman"/>
                <w:sz w:val="21"/>
                <w:szCs w:val="21"/>
              </w:rPr>
              <w:br/>
              <w:t>1.10. PROYECTOS DE CONSTRUCCIÓN Y/O HABILITACIÓN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ZONAS VERDES, Y/O ACTIVIDADES DE URBANISMO Y/O DE PAISAJISMO ASOCIADA A INFRAESTRUCTURA DE SEGURIDAD PUBLICA</w:t>
            </w:r>
            <w:r w:rsidRPr="000A6B2B">
              <w:rPr>
                <w:rFonts w:ascii="Verdana" w:eastAsia="Aptos" w:hAnsi="Verdana" w:cs="Times New Roman"/>
                <w:sz w:val="21"/>
                <w:szCs w:val="21"/>
              </w:rPr>
              <w:br/>
              <w:t>(…)</w:t>
            </w:r>
            <w:r w:rsidRPr="000A6B2B">
              <w:rPr>
                <w:rFonts w:ascii="Verdana" w:eastAsia="Aptos" w:hAnsi="Verdana" w:cs="Times New Roman"/>
                <w:sz w:val="21"/>
                <w:szCs w:val="21"/>
              </w:rPr>
              <w:br/>
              <w:t>1.13.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CALDERAS O ZONAS DE LAVANDERÍAS O SIMILARES PARA INFRAESTRUCTURA DE SEGURIDAD PÚBLICA.</w:t>
            </w:r>
            <w:r w:rsidRPr="000A6B2B">
              <w:rPr>
                <w:rFonts w:ascii="Verdana" w:eastAsia="Aptos" w:hAnsi="Verdana" w:cs="Times New Roman"/>
                <w:sz w:val="21"/>
                <w:szCs w:val="21"/>
              </w:rPr>
              <w:br/>
              <w:t>1.14. SUMINISTRO Y/O INSTALACIÓN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ESPACIOS CON SISTEMAS MODULARES TEMPORALES O DEFINITIVOS O SIMILARES”.</w:t>
            </w:r>
            <w:r w:rsidRPr="000A6B2B">
              <w:rPr>
                <w:rFonts w:ascii="Verdana" w:eastAsia="Times New Roman" w:hAnsi="Verdana" w:cs="Arial"/>
                <w:color w:val="242424"/>
                <w:sz w:val="21"/>
                <w:szCs w:val="21"/>
                <w:lang w:eastAsia="es-MX"/>
              </w:rPr>
              <w:t xml:space="preserve"> </w:t>
            </w:r>
          </w:p>
          <w:p w14:paraId="60639CDE" w14:textId="77777777" w:rsidR="000A6B2B" w:rsidRPr="000A6B2B" w:rsidRDefault="000A6B2B" w:rsidP="000A6B2B">
            <w:pPr>
              <w:spacing w:line="276" w:lineRule="auto"/>
              <w:jc w:val="both"/>
              <w:rPr>
                <w:rFonts w:ascii="Verdana" w:eastAsia="Times New Roman" w:hAnsi="Verdana" w:cs="Times New Roman"/>
                <w:color w:val="000000"/>
                <w:lang w:eastAsia="es-CO"/>
              </w:rPr>
            </w:pPr>
          </w:p>
          <w:p w14:paraId="6885D9C5" w14:textId="77777777" w:rsidR="000A6B2B" w:rsidRPr="000A6B2B" w:rsidRDefault="000A6B2B" w:rsidP="000A6B2B">
            <w:pPr>
              <w:spacing w:after="120" w:line="276" w:lineRule="auto"/>
              <w:ind w:firstLine="708"/>
              <w:jc w:val="both"/>
              <w:rPr>
                <w:rFonts w:ascii="Verdana" w:eastAsia="Aptos" w:hAnsi="Verdana" w:cs="Times New Roman"/>
              </w:rPr>
            </w:pPr>
            <w:r w:rsidRPr="000A6B2B">
              <w:rPr>
                <w:rFonts w:ascii="Verdana" w:eastAsia="Times New Roman" w:hAnsi="Verdana" w:cs="Times New Roman"/>
                <w:color w:val="000000"/>
                <w:lang w:eastAsia="es-CO"/>
              </w:rPr>
              <w:t xml:space="preserve">Como se aprecia, estas actividades aplican a los procesos que adelanten las entidades obligadas a utilizar los documentos tipo cuando correspondan –para efectos de su solicitud– </w:t>
            </w:r>
            <w:r w:rsidRPr="000A6B2B">
              <w:rPr>
                <w:rFonts w:ascii="Verdana" w:eastAsia="Aptos" w:hAnsi="Verdana" w:cs="Times New Roman"/>
              </w:rPr>
              <w:t xml:space="preserve">al mantenimiento, adecuación, mejoramiento, conservación o intervención de: infraestructura de seguridad pública; cerramientos para infraestructura de seguridad pública; comedores, zonas de almacenamiento y/o conservación de alimentos y/o zonas de alimentación; baterías sanitarias y/o redes hidrosanitarias y/o tanques de almacenamiento y/o sistemas de bombeo y/o redes contra incendios; cubiertas; bienes de interés cultural y/o patrimonial asociados a infraestructura de seguridad </w:t>
            </w:r>
            <w:r w:rsidRPr="000A6B2B">
              <w:rPr>
                <w:rFonts w:ascii="Verdana" w:eastAsia="Aptos" w:hAnsi="Verdana" w:cs="Times New Roman"/>
              </w:rPr>
              <w:lastRenderedPageBreak/>
              <w:t xml:space="preserve">pública; redes eléctricas y/o circuitos cerrados de TV y/o sistemas de seguridad y/o circuitos de voz y datos y/o plantas eléctricas y/o subestaciones y/o redes de telemática, comunicación, sonido o telefonía y/o redes o sistemas de iluminación o luminarias interiores o exteriores; zonas verdes y/o actividades de urbanismo y/o de paisajismo; calderas o zonas de lavanderías o similares; y espacios con sistemas modulares temporales o definitivos o similares, </w:t>
            </w:r>
            <w:r w:rsidRPr="000A6B2B">
              <w:rPr>
                <w:rFonts w:ascii="Verdana" w:eastAsia="Aptos" w:hAnsi="Verdana" w:cs="Times New Roman"/>
                <w:i/>
                <w:iCs/>
              </w:rPr>
              <w:t>todos ellos en infraestructura de seguridad pública</w:t>
            </w:r>
            <w:r w:rsidRPr="000A6B2B">
              <w:rPr>
                <w:rFonts w:ascii="Verdana" w:eastAsia="Aptos" w:hAnsi="Verdana" w:cs="Times New Roman"/>
              </w:rPr>
              <w:t>. En todo caso, será la entidad contratante la que, según el alcance específico de la intervención que pretenda ejecutar, determine cuál o cuáles de estas actividades aplican a su proceso de contratación, atendiendo las particularidades técnicas, el objeto contractual y las necesidades reales de la obra.</w:t>
            </w:r>
          </w:p>
          <w:p w14:paraId="720054B2" w14:textId="77777777" w:rsidR="000A6B2B" w:rsidRPr="000A6B2B" w:rsidRDefault="000A6B2B" w:rsidP="000A6B2B">
            <w:pPr>
              <w:spacing w:after="120" w:line="276" w:lineRule="auto"/>
              <w:jc w:val="both"/>
              <w:rPr>
                <w:rFonts w:ascii="Verdana" w:eastAsia="Times New Roman" w:hAnsi="Verdana" w:cs="Aptos"/>
                <w:lang w:eastAsia="es-MX"/>
              </w:rPr>
            </w:pPr>
            <w:proofErr w:type="spellStart"/>
            <w:r w:rsidRPr="000A6B2B">
              <w:rPr>
                <w:rFonts w:ascii="Verdana" w:eastAsia="Times New Roman" w:hAnsi="Verdana" w:cs="Aptos"/>
                <w:lang w:eastAsia="es-MX"/>
              </w:rPr>
              <w:t>iii</w:t>
            </w:r>
            <w:proofErr w:type="spellEnd"/>
            <w:r w:rsidRPr="000A6B2B">
              <w:rPr>
                <w:rFonts w:ascii="Verdana" w:eastAsia="Times New Roman" w:hAnsi="Verdana" w:cs="Aptos"/>
                <w:lang w:eastAsia="es-MX"/>
              </w:rPr>
              <w:t>). Para interpretar el alcance del tipo de infraestructura de seguridad pública, se debe tener en cuenta la nota general 1 de la Matriz 1– Experiencia del Sector Institucional, en las distintas modalidades de selección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11BE33B8" w14:textId="77777777" w:rsidR="000A6B2B" w:rsidRPr="000A6B2B" w:rsidRDefault="000A6B2B" w:rsidP="000A6B2B">
            <w:pPr>
              <w:spacing w:after="120" w:line="276" w:lineRule="auto"/>
              <w:ind w:firstLine="708"/>
              <w:jc w:val="both"/>
              <w:rPr>
                <w:rFonts w:ascii="Verdana" w:eastAsia="Times New Roman" w:hAnsi="Verdana" w:cs="Aptos"/>
                <w:lang w:eastAsia="es-MX"/>
              </w:rPr>
            </w:pPr>
            <w:r w:rsidRPr="000A6B2B">
              <w:rPr>
                <w:rFonts w:ascii="Verdana" w:eastAsia="Times New Roman" w:hAnsi="Verdana" w:cs="Aptos"/>
                <w:lang w:eastAsia="es-MX"/>
              </w:rPr>
              <w:t>La nota general 1 contenida en la Matriz 1 – Experiencia de los documentos tipo indicados,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48D2C17B"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lang w:val="es-ES_tradnl" w:eastAsia="es-MX"/>
              </w:rPr>
              <w:t xml:space="preserve">Ahora bien, como se precisó las actividades señaladas recaen sobre </w:t>
            </w:r>
            <w:r w:rsidRPr="000A6B2B">
              <w:rPr>
                <w:rFonts w:ascii="Verdana" w:eastAsia="Times New Roman" w:hAnsi="Verdana" w:cs="Calibri"/>
                <w:lang w:eastAsia="es-MX"/>
              </w:rPr>
              <w:t xml:space="preserve">obras en proyectos de infraestructura institucional de seguridad pública. De esta forma, para determinar qué abarca este tipo de infraestructura, debe indicarse que, de conformidad con la norma </w:t>
            </w:r>
            <w:r w:rsidRPr="000A6B2B">
              <w:rPr>
                <w:rFonts w:ascii="Verdana" w:eastAsia="Calibri" w:hAnsi="Verdana" w:cs="Arial"/>
                <w:color w:val="0D0D0D"/>
                <w:lang w:eastAsia="es-MX"/>
              </w:rPr>
              <w:t xml:space="preserve">NSR-10 en el Subgrupo de Ocupación Institucional de Seguridad Pública (I-4) “se clasifican las edificaciones o espacios indispensables para atender emergencias y preservar </w:t>
            </w:r>
            <w:r w:rsidRPr="000A6B2B">
              <w:rPr>
                <w:rFonts w:ascii="Verdana" w:eastAsia="Calibri" w:hAnsi="Verdana" w:cs="Arial"/>
                <w:color w:val="0D0D0D"/>
                <w:lang w:eastAsia="es-MX"/>
              </w:rPr>
              <w:lastRenderedPageBreak/>
              <w:t>el orden público y la seguridad de las personas”</w:t>
            </w:r>
            <w:r w:rsidRPr="000A6B2B">
              <w:rPr>
                <w:rFonts w:ascii="Verdana" w:eastAsia="Calibri" w:hAnsi="Verdana" w:cs="Arial"/>
                <w:color w:val="0D0D0D"/>
                <w:vertAlign w:val="superscript"/>
                <w:lang w:eastAsia="es-MX"/>
              </w:rPr>
              <w:footnoteReference w:id="1"/>
            </w:r>
            <w:r w:rsidRPr="000A6B2B">
              <w:rPr>
                <w:rFonts w:ascii="Verdana" w:eastAsia="Calibri" w:hAnsi="Verdana" w:cs="Arial"/>
                <w:color w:val="0D0D0D"/>
                <w:lang w:eastAsia="es-MX"/>
              </w:rPr>
              <w:t>. Entre las edificaciones o espacios que pertenecen a este Subgrupo se encuentran las siguientes: “Estaciones de policía, Estaciones de bomberos, Estaciones de defensa civil, Instituciones militares, Otros similares”</w:t>
            </w:r>
            <w:r w:rsidRPr="000A6B2B">
              <w:rPr>
                <w:rFonts w:ascii="Verdana" w:eastAsia="Calibri" w:hAnsi="Verdana" w:cs="Arial"/>
                <w:color w:val="0D0D0D"/>
                <w:vertAlign w:val="superscript"/>
                <w:lang w:eastAsia="es-MX"/>
              </w:rPr>
              <w:footnoteReference w:id="2"/>
            </w:r>
            <w:r w:rsidRPr="000A6B2B">
              <w:rPr>
                <w:rFonts w:ascii="Verdana" w:eastAsia="Calibri" w:hAnsi="Verdana" w:cs="Arial"/>
                <w:color w:val="0D0D0D"/>
                <w:lang w:eastAsia="es-MX"/>
              </w:rPr>
              <w:t>.</w:t>
            </w:r>
          </w:p>
          <w:p w14:paraId="585568E5"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En este sentido, el Subgrupo de Ocupación Institucional de Seguridad Pública es una categoría de clasificación de la NSR-10 que agrupa las edificaciones o espacios destinados a atender emergencias y a preservar el orden público y la seguridad de las personas. La lista indicativa del subgrupo menciona de forma expresa las estaciones de policía, junto con las estaciones de bomberos, las de defensa civil y las instituciones militares. La expresión “otros similares” muestra que la enumeración es enunciativa y no taxativa, de modo que también comprende las edificaciones que, por su naturaleza y destinación, sirven al cumplimiento de funciones de seguridad pública y de preservación del orden público.</w:t>
            </w:r>
          </w:p>
          <w:p w14:paraId="5FA5F188"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Considerando lo anterior, las edificaciones e instalaciones en las que la Policía Nacional de Colombia cumple sus funciones, como las estaciones de policía, se enmarcan dentro del Subgrupo de Ocupación Institucional de Seguridad Pública (I-4) definido por la NSR-10, en la medida en que su destinación funcional corresponde a la preservación del orden público y de la seguridad de las personas.</w:t>
            </w:r>
          </w:p>
          <w:p w14:paraId="7C2FCE29"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En efecto, de acuerdo con el artículo 218 de la Constitución Política, la Policía Nacional es “un cuerpo armado permanente de naturaleza civil, a cargo de la Nación, cuyo fin primordial es el mantenimiento de las condiciones necesarias para el ejercicio de los derechos y libertades públicas, y para asegurar que los habitantes de Colombia convivan en paz”</w:t>
            </w:r>
            <w:r w:rsidRPr="000A6B2B">
              <w:rPr>
                <w:rFonts w:ascii="Verdana" w:eastAsia="Aptos" w:hAnsi="Verdana" w:cs="Times New Roman"/>
                <w:color w:val="0D0D0D"/>
                <w:shd w:val="clear" w:color="auto" w:fill="FFFFFF"/>
                <w:vertAlign w:val="superscript"/>
              </w:rPr>
              <w:footnoteReference w:id="3"/>
            </w:r>
            <w:r w:rsidRPr="000A6B2B">
              <w:rPr>
                <w:rFonts w:ascii="Verdana" w:eastAsia="Calibri" w:hAnsi="Verdana" w:cs="Arial"/>
                <w:color w:val="0D0D0D"/>
                <w:lang w:eastAsia="es-MX"/>
              </w:rPr>
              <w:t>. Esa finalidad coincide con la de las edificaciones del Subgrupo I-4, que la NSR-10 describe como indispensables para preservar el orden público y la seguridad de las personas.</w:t>
            </w:r>
          </w:p>
          <w:p w14:paraId="51050057"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 xml:space="preserve">Además, se trata de infraestructura destinada de manera permanente al cumplimiento de funciones del Estado relacionadas con la seguridad y la </w:t>
            </w:r>
            <w:r w:rsidRPr="000A6B2B">
              <w:rPr>
                <w:rFonts w:ascii="Verdana" w:eastAsia="Calibri" w:hAnsi="Verdana" w:cs="Arial"/>
                <w:color w:val="0D0D0D"/>
                <w:lang w:eastAsia="es-MX"/>
              </w:rPr>
              <w:lastRenderedPageBreak/>
              <w:t>convivencia ciudadana, por lo que su naturaleza se ajusta a los criterios de finalidad y uso que caracterizan a las edificaciones de este subgrupo.</w:t>
            </w:r>
          </w:p>
          <w:p w14:paraId="47EAF6C7" w14:textId="77777777" w:rsidR="000A6B2B" w:rsidRPr="000A6B2B" w:rsidRDefault="000A6B2B" w:rsidP="000A6B2B">
            <w:pPr>
              <w:spacing w:after="120" w:line="276" w:lineRule="auto"/>
              <w:ind w:firstLine="708"/>
              <w:jc w:val="both"/>
              <w:rPr>
                <w:rFonts w:ascii="Verdana" w:eastAsia="Calibri" w:hAnsi="Verdana" w:cs="Times New Roman"/>
                <w:color w:val="000000"/>
                <w:lang w:val="es-ES_tradnl"/>
              </w:rPr>
            </w:pPr>
            <w:r w:rsidRPr="000A6B2B">
              <w:rPr>
                <w:rFonts w:ascii="Verdana" w:eastAsia="Calibri" w:hAnsi="Verdana" w:cs="Arial"/>
                <w:lang w:val="es-ES" w:eastAsia="es-MX"/>
              </w:rPr>
              <w:t>Por lo anterior, la Agencia Nacional de Contratación Pública – Colombia Compra Eficiente indica que, a partir del 16 de febrero de 2026, si una entidad de aquellas obligadas a utilizar los documentos tipo expedidos por esta Entidad adelanta un proceso que tenga por objeto la(s) actividad(es) contenidas en el capítulo “1. Obras en proyectos de infraestructura institucional de seguridad pública” de la Matriz 1 – Experiencia Sector Institucional</w:t>
            </w:r>
            <w:r w:rsidRPr="000A6B2B">
              <w:rPr>
                <w:rFonts w:ascii="Verdana" w:eastAsia="Times New Roman" w:hAnsi="Verdana" w:cs="Aptos"/>
                <w:lang w:eastAsia="es-MX"/>
              </w:rPr>
              <w:t xml:space="preserve">, </w:t>
            </w:r>
            <w:r w:rsidRPr="000A6B2B">
              <w:rPr>
                <w:rFonts w:ascii="Verdana" w:eastAsia="Calibri" w:hAnsi="Verdana" w:cs="Arial"/>
                <w:lang w:val="es-ES" w:eastAsia="es-MX"/>
              </w:rPr>
              <w:t xml:space="preserve">deberá implementar los </w:t>
            </w:r>
            <w:r w:rsidRPr="000A6B2B">
              <w:rPr>
                <w:rFonts w:ascii="Verdana" w:eastAsia="Calibri" w:hAnsi="Verdana" w:cs="Arial"/>
                <w:color w:val="0D0D0D"/>
                <w:lang w:eastAsia="es-MX"/>
              </w:rPr>
              <w:t>documentos tipo acogidos mediante las Resoluciones 539, 540 o 541 de 2025, según el proyecto se adelante por la modalidad de licitación de obra pública, selección abreviada de menor cuantía o mínima cuantía.</w:t>
            </w:r>
          </w:p>
          <w:p w14:paraId="1C09FCB9" w14:textId="77777777" w:rsidR="000A6B2B" w:rsidRPr="000A6B2B" w:rsidRDefault="000A6B2B" w:rsidP="000A6B2B">
            <w:pPr>
              <w:spacing w:after="120" w:line="276" w:lineRule="auto"/>
              <w:ind w:firstLine="708"/>
              <w:jc w:val="both"/>
              <w:rPr>
                <w:rFonts w:ascii="Verdana" w:eastAsia="Times New Roman" w:hAnsi="Verdana" w:cs="Arial"/>
                <w:shd w:val="clear" w:color="auto" w:fill="FFFFFF"/>
                <w:lang w:val="es-ES_tradnl" w:eastAsia="es-ES_tradnl"/>
              </w:rPr>
            </w:pPr>
            <w:r w:rsidRPr="000A6B2B">
              <w:rPr>
                <w:rFonts w:ascii="Verdana" w:eastAsia="Aptos" w:hAnsi="Verdana" w:cs="Aptos"/>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0A6B2B">
              <w:rPr>
                <w:rFonts w:ascii="Verdana" w:eastAsia="Times New Roman" w:hAnsi="Verdana" w:cs="Arial"/>
                <w:shd w:val="clear" w:color="auto" w:fill="FFFFFF"/>
                <w:lang w:val="es-ES_tradnl" w:eastAsia="es-ES_tradnl"/>
              </w:rPr>
              <w:t xml:space="preserve"> </w:t>
            </w:r>
          </w:p>
          <w:p w14:paraId="4631032C" w14:textId="77777777" w:rsidR="000A6B2B" w:rsidRPr="000A6B2B" w:rsidRDefault="000A6B2B" w:rsidP="000A6B2B">
            <w:pPr>
              <w:spacing w:line="276" w:lineRule="auto"/>
              <w:jc w:val="both"/>
              <w:rPr>
                <w:rFonts w:ascii="Verdana" w:eastAsia="Calibri" w:hAnsi="Verdana" w:cs="Arial"/>
                <w:color w:val="0D0D0D"/>
                <w:lang w:eastAsia="es-MX"/>
              </w:rPr>
            </w:pPr>
            <w:proofErr w:type="spellStart"/>
            <w:r w:rsidRPr="000A6B2B">
              <w:rPr>
                <w:rFonts w:ascii="Verdana" w:eastAsia="Calibri" w:hAnsi="Verdana" w:cs="Arial"/>
                <w:color w:val="0D0D0D"/>
                <w:lang w:eastAsia="es-MX"/>
              </w:rPr>
              <w:t>iv</w:t>
            </w:r>
            <w:proofErr w:type="spellEnd"/>
            <w:r w:rsidRPr="000A6B2B">
              <w:rPr>
                <w:rFonts w:ascii="Verdana" w:eastAsia="Calibri" w:hAnsi="Verdana" w:cs="Arial"/>
                <w:color w:val="0D0D0D"/>
                <w:lang w:eastAsia="es-MX"/>
              </w:rPr>
              <w:t>). Frente a las instalaciones de la Policía Nacional que involucren actividades de defensa, debe tenerse en cuenta la siguiente nota del documento base:</w:t>
            </w:r>
          </w:p>
          <w:p w14:paraId="61539124" w14:textId="77777777" w:rsidR="000A6B2B" w:rsidRPr="000A6B2B" w:rsidRDefault="000A6B2B" w:rsidP="000A6B2B">
            <w:pPr>
              <w:spacing w:line="276" w:lineRule="auto"/>
              <w:ind w:firstLine="708"/>
              <w:jc w:val="both"/>
              <w:rPr>
                <w:rFonts w:ascii="Verdana" w:eastAsia="Calibri" w:hAnsi="Verdana" w:cs="Arial"/>
                <w:lang w:eastAsia="es-MX"/>
              </w:rPr>
            </w:pPr>
          </w:p>
          <w:p w14:paraId="5DF3E9F8" w14:textId="77777777" w:rsidR="000A6B2B" w:rsidRPr="000A6B2B" w:rsidRDefault="000A6B2B" w:rsidP="000A6B2B">
            <w:pPr>
              <w:ind w:left="709" w:right="709"/>
              <w:jc w:val="both"/>
              <w:rPr>
                <w:rFonts w:ascii="Verdana" w:eastAsia="Aptos" w:hAnsi="Verdana" w:cs="Times New Roman"/>
                <w:sz w:val="21"/>
                <w:szCs w:val="21"/>
                <w:lang w:val="es-MX"/>
              </w:rPr>
            </w:pPr>
            <w:r w:rsidRPr="000A6B2B">
              <w:rPr>
                <w:rFonts w:ascii="Verdana" w:eastAsia="Aptos" w:hAnsi="Verdana" w:cs="Times New Roman"/>
                <w:sz w:val="21"/>
                <w:szCs w:val="21"/>
                <w:lang w:val="es-MX"/>
              </w:rPr>
              <w:t>“Nota 1: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7163AB67" w14:textId="77777777" w:rsidR="000A6B2B" w:rsidRPr="000A6B2B" w:rsidRDefault="000A6B2B" w:rsidP="000A6B2B">
            <w:pPr>
              <w:ind w:left="709" w:right="709"/>
              <w:jc w:val="both"/>
              <w:rPr>
                <w:rFonts w:ascii="Verdana" w:eastAsia="Aptos" w:hAnsi="Verdana" w:cs="Times New Roman"/>
                <w:sz w:val="21"/>
                <w:szCs w:val="21"/>
                <w:lang w:val="es-MX"/>
              </w:rPr>
            </w:pPr>
          </w:p>
          <w:p w14:paraId="17B3863B" w14:textId="77777777" w:rsidR="000A6B2B" w:rsidRPr="000A6B2B" w:rsidRDefault="000A6B2B" w:rsidP="000A6B2B">
            <w:pPr>
              <w:spacing w:line="276" w:lineRule="auto"/>
              <w:ind w:firstLine="708"/>
              <w:jc w:val="both"/>
              <w:rPr>
                <w:rFonts w:ascii="Verdana" w:eastAsia="Calibri" w:hAnsi="Verdana" w:cs="Arial"/>
                <w:lang w:eastAsia="es-MX"/>
              </w:rPr>
            </w:pPr>
            <w:r w:rsidRPr="000A6B2B">
              <w:rPr>
                <w:rFonts w:ascii="Verdana" w:eastAsia="Calibri" w:hAnsi="Verdana" w:cs="Arial"/>
                <w:color w:val="0D0D0D"/>
                <w:lang w:eastAsia="es-MX"/>
              </w:rPr>
              <w:t xml:space="preserve">Conforme con esta nota, la regla general sigue siendo la aplicación de los documentos tipo cuando el objeto del proceso corresponda a alguna de las actividades de la Matriz 1 – Experiencia del Sector Institucional. La posibilidad de apartarse de ellos es excepcional y exige dos condiciones: que las actividades a contratar involucren asuntos de defensa y que la entidad </w:t>
            </w:r>
            <w:r w:rsidRPr="000A6B2B">
              <w:rPr>
                <w:rFonts w:ascii="Verdana" w:eastAsia="Calibri" w:hAnsi="Verdana" w:cs="Arial"/>
                <w:color w:val="0D0D0D"/>
                <w:lang w:eastAsia="es-MX"/>
              </w:rPr>
              <w:lastRenderedPageBreak/>
              <w:t>justifique, en los estudios y documentos previos, que las obras, bienes o servicios requieren reserva en los términos del literal d) del numeral 4 del artículo 2 de la Ley 1150 de 2007. Por tanto, la sola destinación de una edificación a funciones de seguridad pública no permite dejar de aplicar los documentos tipo. Para ello se requiere que la reserva esté debidamente sustentada bajo los parámetros señalados.</w:t>
            </w:r>
          </w:p>
        </w:tc>
      </w:tr>
    </w:tbl>
    <w:p w14:paraId="46F076D4" w14:textId="77777777" w:rsidR="000A6B2B" w:rsidRPr="000A6B2B" w:rsidRDefault="000A6B2B" w:rsidP="000A6B2B">
      <w:pPr>
        <w:tabs>
          <w:tab w:val="left" w:pos="142"/>
          <w:tab w:val="left" w:pos="284"/>
        </w:tabs>
        <w:spacing w:after="0" w:line="276" w:lineRule="auto"/>
        <w:jc w:val="both"/>
        <w:rPr>
          <w:rFonts w:ascii="Verdana" w:eastAsia="Century Gothic" w:hAnsi="Verdana" w:cs="Century Gothic"/>
          <w:b/>
          <w:bCs/>
          <w:lang w:val="es-ES"/>
        </w:rPr>
      </w:pPr>
    </w:p>
    <w:p w14:paraId="120B8FE4" w14:textId="77777777" w:rsidR="000A6B2B" w:rsidRPr="000A6B2B" w:rsidRDefault="000A6B2B" w:rsidP="000A6B2B">
      <w:pPr>
        <w:tabs>
          <w:tab w:val="left" w:pos="142"/>
          <w:tab w:val="left" w:pos="284"/>
        </w:tabs>
        <w:spacing w:after="0" w:line="276" w:lineRule="auto"/>
        <w:jc w:val="both"/>
        <w:rPr>
          <w:rFonts w:ascii="Verdana" w:eastAsia="Century Gothic" w:hAnsi="Verdana" w:cs="Century Gothic"/>
          <w:b/>
          <w:bCs/>
          <w:lang w:val="es-ES"/>
        </w:rPr>
      </w:pPr>
      <w:r w:rsidRPr="000A6B2B">
        <w:rPr>
          <w:rFonts w:ascii="Verdana" w:eastAsia="Century Gothic" w:hAnsi="Verdana" w:cs="Century Gothic"/>
          <w:b/>
          <w:bCs/>
          <w:lang w:val="es-ES"/>
        </w:rPr>
        <w:t>3. Razones de la respuesta:</w:t>
      </w:r>
    </w:p>
    <w:p w14:paraId="609BCE61" w14:textId="77777777" w:rsidR="000A6B2B" w:rsidRPr="000A6B2B" w:rsidRDefault="000A6B2B" w:rsidP="000A6B2B">
      <w:pPr>
        <w:spacing w:after="0" w:line="276" w:lineRule="auto"/>
        <w:jc w:val="both"/>
        <w:rPr>
          <w:rFonts w:ascii="Verdana" w:eastAsia="Calibri" w:hAnsi="Verdana" w:cs="Arial"/>
          <w:lang w:val="es-ES"/>
        </w:rPr>
      </w:pPr>
    </w:p>
    <w:p w14:paraId="5449540D" w14:textId="77777777" w:rsidR="000A6B2B" w:rsidRPr="000A6B2B" w:rsidRDefault="000A6B2B" w:rsidP="000A6B2B">
      <w:pPr>
        <w:spacing w:after="0" w:line="276" w:lineRule="auto"/>
        <w:jc w:val="both"/>
        <w:rPr>
          <w:rFonts w:ascii="Verdana" w:eastAsia="Calibri" w:hAnsi="Verdana" w:cs="Arial"/>
          <w:lang w:val="es-ES"/>
        </w:rPr>
      </w:pPr>
      <w:r w:rsidRPr="000A6B2B">
        <w:rPr>
          <w:rFonts w:ascii="Verdana" w:eastAsia="Calibri" w:hAnsi="Verdana" w:cs="Arial"/>
          <w:lang w:val="es-ES"/>
        </w:rPr>
        <w:t xml:space="preserve">Lo anterior se sustenta en las siguientes consideraciones: </w:t>
      </w:r>
    </w:p>
    <w:p w14:paraId="1C2A5762" w14:textId="77777777" w:rsidR="000A6B2B" w:rsidRPr="000A6B2B" w:rsidRDefault="000A6B2B" w:rsidP="000A6B2B">
      <w:pPr>
        <w:spacing w:after="0" w:line="276" w:lineRule="auto"/>
        <w:jc w:val="both"/>
        <w:rPr>
          <w:rFonts w:ascii="Verdana" w:eastAsia="Calibri" w:hAnsi="Verdana" w:cs="Arial"/>
          <w:lang w:val="es-ES"/>
        </w:rPr>
      </w:pPr>
    </w:p>
    <w:p w14:paraId="1F670A38" w14:textId="77777777" w:rsidR="000A6B2B" w:rsidRPr="000A6B2B" w:rsidRDefault="000A6B2B" w:rsidP="000A6B2B">
      <w:pPr>
        <w:widowControl w:val="0"/>
        <w:autoSpaceDE w:val="0"/>
        <w:autoSpaceDN w:val="0"/>
        <w:spacing w:after="120" w:line="276" w:lineRule="auto"/>
        <w:jc w:val="both"/>
        <w:rPr>
          <w:rFonts w:ascii="Verdana" w:eastAsia="Aptos" w:hAnsi="Verdana" w:cs="Arial"/>
        </w:rPr>
      </w:pPr>
      <w:r w:rsidRPr="000A6B2B">
        <w:rPr>
          <w:rFonts w:ascii="Verdana" w:eastAsia="Calibri" w:hAnsi="Verdana" w:cs="Arial"/>
          <w:lang w:val="es-ES"/>
        </w:rPr>
        <w:t xml:space="preserve">i. </w:t>
      </w:r>
      <w:r w:rsidRPr="000A6B2B">
        <w:rPr>
          <w:rFonts w:ascii="Verdana" w:eastAsia="Aptos" w:hAnsi="Verdana" w:cs="Ari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EFFC1FC" w14:textId="77777777" w:rsidR="000A6B2B" w:rsidRPr="000A6B2B" w:rsidRDefault="000A6B2B" w:rsidP="000A6B2B">
      <w:pPr>
        <w:spacing w:after="120" w:line="276" w:lineRule="auto"/>
        <w:ind w:firstLine="708"/>
        <w:jc w:val="both"/>
        <w:rPr>
          <w:rFonts w:ascii="Verdana" w:eastAsia="Aptos" w:hAnsi="Verdana" w:cs="Arial"/>
        </w:rPr>
      </w:pPr>
      <w:r w:rsidRPr="000A6B2B">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4C1D0DD" w14:textId="77777777" w:rsidR="000A6B2B" w:rsidRPr="000A6B2B" w:rsidRDefault="000A6B2B" w:rsidP="000A6B2B">
      <w:pPr>
        <w:spacing w:after="120" w:line="276" w:lineRule="auto"/>
        <w:ind w:firstLine="708"/>
        <w:jc w:val="both"/>
        <w:rPr>
          <w:rFonts w:ascii="Verdana" w:eastAsia="Times New Roman" w:hAnsi="Verdana" w:cs="Times New Roman"/>
          <w:color w:val="000000"/>
          <w:lang w:eastAsia="es-CO"/>
        </w:rPr>
      </w:pPr>
      <w:r w:rsidRPr="000A6B2B">
        <w:rPr>
          <w:rFonts w:ascii="Verdana" w:eastAsia="Aptos" w:hAnsi="Verdana" w:cs="Arial"/>
        </w:rPr>
        <w:t xml:space="preserve">En el sector social, </w:t>
      </w:r>
      <w:r w:rsidRPr="000A6B2B">
        <w:rPr>
          <w:rFonts w:ascii="Verdana" w:eastAsia="Calibri" w:hAnsi="Verdana" w:cs="Arial"/>
          <w:lang w:val="es-MX"/>
        </w:rPr>
        <w:t xml:space="preserve">la Agencia Nacional de Contratación Pública – Colombia Compra </w:t>
      </w:r>
      <w:r w:rsidRPr="000A6B2B">
        <w:rPr>
          <w:rFonts w:ascii="Verdana" w:eastAsia="Calibri" w:hAnsi="Verdana" w:cs="Arial"/>
        </w:rPr>
        <w:t xml:space="preserve">Eficiente </w:t>
      </w:r>
      <w:r w:rsidRPr="000A6B2B">
        <w:rPr>
          <w:rFonts w:ascii="Verdana" w:eastAsia="Times New Roman" w:hAnsi="Verdana" w:cs="Times New Roman"/>
          <w:color w:val="000000"/>
          <w:lang w:eastAsia="es-CO"/>
        </w:rPr>
        <w:t xml:space="preserve">en el segundo semestre del año 2025 adoptó las siguientes Resoluciones para </w:t>
      </w:r>
      <w:r w:rsidRPr="000A6B2B">
        <w:rPr>
          <w:rFonts w:ascii="Verdana" w:eastAsia="Times New Roman" w:hAnsi="Verdana" w:cs="Times New Roman"/>
          <w:i/>
          <w:iCs/>
          <w:color w:val="000000"/>
          <w:lang w:eastAsia="es-CO"/>
        </w:rPr>
        <w:t>contratar obra pública</w:t>
      </w:r>
      <w:r w:rsidRPr="000A6B2B">
        <w:rPr>
          <w:rFonts w:ascii="Verdana" w:eastAsia="Times New Roman" w:hAnsi="Verdana" w:cs="Times New Roman"/>
          <w:color w:val="000000"/>
          <w:lang w:eastAsia="es-CO"/>
        </w:rPr>
        <w:t xml:space="preserve"> y concurso de méritos:</w:t>
      </w:r>
    </w:p>
    <w:p w14:paraId="5A7692D6" w14:textId="77777777" w:rsidR="000A6B2B" w:rsidRPr="000A6B2B" w:rsidRDefault="000A6B2B" w:rsidP="000A6B2B">
      <w:pPr>
        <w:spacing w:after="120" w:line="276" w:lineRule="auto"/>
        <w:ind w:firstLine="708"/>
        <w:jc w:val="both"/>
        <w:rPr>
          <w:rFonts w:ascii="Verdana" w:eastAsia="Times New Roman" w:hAnsi="Verdana" w:cs="Times New Roman"/>
          <w:color w:val="000000"/>
          <w:lang w:eastAsia="es-CO"/>
        </w:rPr>
      </w:pPr>
      <w:r w:rsidRPr="000A6B2B">
        <w:rPr>
          <w:rFonts w:ascii="Verdana" w:eastAsia="Times New Roman" w:hAnsi="Verdana" w:cs="Times New Roman"/>
          <w:color w:val="000000"/>
          <w:lang w:eastAsia="es-CO"/>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w:t>
      </w:r>
      <w:r w:rsidRPr="000A6B2B">
        <w:rPr>
          <w:rFonts w:ascii="Verdana" w:eastAsia="Times New Roman" w:hAnsi="Verdana" w:cs="Times New Roman"/>
          <w:color w:val="000000"/>
          <w:lang w:eastAsia="es-CO"/>
        </w:rPr>
        <w:lastRenderedPageBreak/>
        <w:t>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1EC12CE" w14:textId="77777777" w:rsidR="000A6B2B" w:rsidRPr="000A6B2B" w:rsidRDefault="000A6B2B" w:rsidP="000A6B2B">
      <w:pPr>
        <w:spacing w:after="120" w:line="276" w:lineRule="auto"/>
        <w:ind w:firstLine="708"/>
        <w:jc w:val="both"/>
        <w:rPr>
          <w:rFonts w:ascii="Verdana" w:eastAsia="Times New Roman" w:hAnsi="Verdana" w:cs="Times New Roman"/>
          <w:color w:val="000000"/>
          <w:lang w:eastAsia="es-CO"/>
        </w:rPr>
      </w:pPr>
      <w:r w:rsidRPr="000A6B2B">
        <w:rPr>
          <w:rFonts w:ascii="Verdana" w:eastAsia="Times New Roman" w:hAnsi="Verdana" w:cs="Times New Roman"/>
          <w:color w:val="000000"/>
          <w:lang w:eastAsia="es-CO"/>
        </w:rPr>
        <w:t xml:space="preserve"> </w:t>
      </w:r>
      <w:proofErr w:type="spellStart"/>
      <w:r w:rsidRPr="000A6B2B">
        <w:rPr>
          <w:rFonts w:ascii="Verdana" w:eastAsia="Times New Roman" w:hAnsi="Verdana" w:cs="Times New Roman"/>
          <w:color w:val="000000"/>
          <w:lang w:eastAsia="es-CO"/>
        </w:rPr>
        <w:t>ii</w:t>
      </w:r>
      <w:proofErr w:type="spellEnd"/>
      <w:r w:rsidRPr="000A6B2B">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289A345E" w14:textId="77777777" w:rsidR="000A6B2B" w:rsidRPr="000A6B2B" w:rsidRDefault="000A6B2B" w:rsidP="000A6B2B">
      <w:pPr>
        <w:spacing w:after="120" w:line="276" w:lineRule="auto"/>
        <w:ind w:firstLine="708"/>
        <w:jc w:val="both"/>
        <w:rPr>
          <w:rFonts w:ascii="Verdana" w:eastAsia="Times New Roman" w:hAnsi="Verdana" w:cs="Times New Roman"/>
          <w:color w:val="000000"/>
          <w:lang w:eastAsia="es-CO"/>
        </w:rPr>
      </w:pPr>
      <w:proofErr w:type="spellStart"/>
      <w:r w:rsidRPr="000A6B2B">
        <w:rPr>
          <w:rFonts w:ascii="Verdana" w:eastAsia="Times New Roman" w:hAnsi="Verdana" w:cs="Times New Roman"/>
          <w:color w:val="000000"/>
          <w:lang w:eastAsia="es-CO"/>
        </w:rPr>
        <w:t>iii</w:t>
      </w:r>
      <w:proofErr w:type="spellEnd"/>
      <w:r w:rsidRPr="000A6B2B">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3ED7B139" w14:textId="77777777" w:rsidR="000A6B2B" w:rsidRPr="000A6B2B" w:rsidRDefault="000A6B2B" w:rsidP="000A6B2B">
      <w:pPr>
        <w:spacing w:after="120" w:line="276" w:lineRule="auto"/>
        <w:ind w:firstLine="708"/>
        <w:jc w:val="both"/>
        <w:rPr>
          <w:rFonts w:ascii="Verdana" w:eastAsia="Times New Roman" w:hAnsi="Verdana" w:cs="Times New Roman"/>
          <w:color w:val="000000"/>
          <w:lang w:eastAsia="es-CO"/>
        </w:rPr>
      </w:pPr>
      <w:proofErr w:type="spellStart"/>
      <w:r w:rsidRPr="000A6B2B">
        <w:rPr>
          <w:rFonts w:ascii="Verdana" w:eastAsia="Times New Roman" w:hAnsi="Verdana" w:cs="Times New Roman"/>
          <w:color w:val="000000"/>
          <w:lang w:eastAsia="es-CO"/>
        </w:rPr>
        <w:t>iv</w:t>
      </w:r>
      <w:proofErr w:type="spellEnd"/>
      <w:r w:rsidRPr="000A6B2B">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73B69E96" w14:textId="77777777" w:rsidR="000A6B2B" w:rsidRPr="000A6B2B" w:rsidRDefault="000A6B2B" w:rsidP="000A6B2B">
      <w:pPr>
        <w:spacing w:after="120" w:line="276" w:lineRule="auto"/>
        <w:ind w:firstLine="708"/>
        <w:jc w:val="both"/>
        <w:rPr>
          <w:rFonts w:ascii="Verdana" w:eastAsia="Times New Roman" w:hAnsi="Verdana" w:cs="Times New Roman"/>
          <w:color w:val="000000"/>
          <w:lang w:eastAsia="es-CO"/>
        </w:rPr>
      </w:pPr>
      <w:r w:rsidRPr="000A6B2B">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0A6B2B">
        <w:rPr>
          <w:rFonts w:ascii="Verdana" w:eastAsia="Aptos" w:hAnsi="Verdana" w:cs="Times New Roman"/>
          <w:kern w:val="2"/>
          <w14:ligatures w14:val="standardContextual"/>
        </w:rPr>
        <w:t xml:space="preserve"> </w:t>
      </w:r>
    </w:p>
    <w:p w14:paraId="3FEEDA40" w14:textId="77777777" w:rsidR="000A6B2B" w:rsidRPr="000A6B2B" w:rsidRDefault="000A6B2B" w:rsidP="000A6B2B">
      <w:pPr>
        <w:spacing w:after="120" w:line="276" w:lineRule="auto"/>
        <w:ind w:firstLine="708"/>
        <w:jc w:val="both"/>
        <w:textAlignment w:val="baseline"/>
        <w:rPr>
          <w:rFonts w:ascii="Verdana" w:eastAsia="Calibri" w:hAnsi="Verdana" w:cs="Arial"/>
        </w:rPr>
      </w:pPr>
      <w:r w:rsidRPr="000A6B2B">
        <w:rPr>
          <w:rFonts w:ascii="Verdana" w:eastAsia="Aptos" w:hAnsi="Verdana" w:cs="Times New Roman"/>
          <w:kern w:val="2"/>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w:t>
      </w:r>
      <w:r w:rsidRPr="000A6B2B">
        <w:rPr>
          <w:rFonts w:ascii="Verdana" w:eastAsia="Aptos" w:hAnsi="Verdana" w:cs="Times New Roman"/>
          <w:kern w:val="2"/>
          <w14:ligatures w14:val="standardContextual"/>
        </w:rPr>
        <w:lastRenderedPageBreak/>
        <w:t>recreación y deporte, institucional y vivienda, en los procesos de selección cuyo aviso de convocatoria se publique a partir del 16 de febrero de 2026</w:t>
      </w:r>
      <w:r w:rsidRPr="000A6B2B">
        <w:rPr>
          <w:rFonts w:ascii="Verdana" w:eastAsia="Calibri" w:hAnsi="Verdana" w:cs="Arial"/>
          <w:vertAlign w:val="superscript"/>
        </w:rPr>
        <w:footnoteReference w:id="4"/>
      </w:r>
      <w:r w:rsidRPr="000A6B2B">
        <w:rPr>
          <w:rFonts w:ascii="Verdana" w:eastAsia="Calibri" w:hAnsi="Verdana" w:cs="Arial"/>
        </w:rPr>
        <w:t>.</w:t>
      </w:r>
    </w:p>
    <w:p w14:paraId="4937A988" w14:textId="77777777" w:rsidR="000A6B2B" w:rsidRPr="000A6B2B" w:rsidRDefault="000A6B2B" w:rsidP="000A6B2B">
      <w:pPr>
        <w:widowControl w:val="0"/>
        <w:autoSpaceDE w:val="0"/>
        <w:autoSpaceDN w:val="0"/>
        <w:spacing w:after="120" w:line="276" w:lineRule="auto"/>
        <w:ind w:firstLine="708"/>
        <w:jc w:val="both"/>
        <w:rPr>
          <w:rFonts w:ascii="Verdana" w:eastAsia="Calibri" w:hAnsi="Verdana" w:cs="Times New Roman"/>
          <w:lang w:val="es-ES"/>
        </w:rPr>
      </w:pPr>
      <w:r w:rsidRPr="000A6B2B">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elementos que se encuentran entre corchetes y resaltados en gris </w:t>
      </w:r>
      <w:r w:rsidRPr="000A6B2B">
        <w:rPr>
          <w:rFonts w:ascii="Verdana" w:eastAsia="Calibri" w:hAnsi="Verdana" w:cs="Times New Roman"/>
          <w:shd w:val="clear" w:color="auto" w:fill="E8E8E8"/>
          <w:lang w:val="es-ES"/>
        </w:rPr>
        <w:t>–[texto]–,</w:t>
      </w:r>
      <w:r w:rsidRPr="000A6B2B">
        <w:rPr>
          <w:rFonts w:ascii="Verdana" w:eastAsia="Calibri" w:hAnsi="Verdana" w:cs="Times New Roman"/>
          <w:lang w:val="es-ES"/>
        </w:rPr>
        <w:t xml:space="preserve"> para lo cual deberán observarse las instrucciones contenidas en los mismos para su diligenciamiento.</w:t>
      </w:r>
    </w:p>
    <w:p w14:paraId="776FAFE7" w14:textId="77777777" w:rsidR="000A6B2B" w:rsidRPr="000A6B2B" w:rsidRDefault="000A6B2B" w:rsidP="000A6B2B">
      <w:pPr>
        <w:widowControl w:val="0"/>
        <w:autoSpaceDE w:val="0"/>
        <w:autoSpaceDN w:val="0"/>
        <w:spacing w:after="120" w:line="276" w:lineRule="auto"/>
        <w:ind w:firstLine="708"/>
        <w:jc w:val="both"/>
        <w:rPr>
          <w:rFonts w:ascii="Verdana" w:eastAsia="Calibri" w:hAnsi="Verdana" w:cs="Times New Roman"/>
          <w:lang w:val="es-ES"/>
        </w:rPr>
      </w:pPr>
      <w:r w:rsidRPr="000A6B2B">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2BC2788" w14:textId="77777777" w:rsidR="000A6B2B" w:rsidRPr="000A6B2B" w:rsidRDefault="000A6B2B" w:rsidP="000A6B2B">
      <w:pPr>
        <w:widowControl w:val="0"/>
        <w:autoSpaceDE w:val="0"/>
        <w:autoSpaceDN w:val="0"/>
        <w:spacing w:after="120" w:line="276" w:lineRule="auto"/>
        <w:ind w:firstLine="708"/>
        <w:jc w:val="both"/>
        <w:rPr>
          <w:rFonts w:ascii="Verdana" w:eastAsia="Calibri" w:hAnsi="Verdana" w:cs="Times New Roman"/>
          <w:lang w:val="es-ES"/>
        </w:rPr>
      </w:pPr>
      <w:r w:rsidRPr="000A6B2B">
        <w:rPr>
          <w:rFonts w:ascii="Verdana" w:eastAsia="Calibri" w:hAnsi="Verdana" w:cs="Times New Roman"/>
          <w:lang w:val="es-ES"/>
        </w:rPr>
        <w:t xml:space="preserve">Para establecer si determinado objeto contractual se encuentra cobijado </w:t>
      </w:r>
      <w:r w:rsidRPr="000A6B2B">
        <w:rPr>
          <w:rFonts w:ascii="Verdana" w:eastAsia="Calibri" w:hAnsi="Verdana" w:cs="Times New Roman"/>
          <w:lang w:val="es-ES"/>
        </w:rPr>
        <w:lastRenderedPageBreak/>
        <w:t>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7455490" w14:textId="77777777" w:rsidR="000A6B2B" w:rsidRPr="000A6B2B" w:rsidRDefault="000A6B2B" w:rsidP="000A6B2B">
      <w:pPr>
        <w:widowControl w:val="0"/>
        <w:autoSpaceDE w:val="0"/>
        <w:autoSpaceDN w:val="0"/>
        <w:spacing w:after="120" w:line="276" w:lineRule="auto"/>
        <w:ind w:firstLine="708"/>
        <w:jc w:val="both"/>
        <w:rPr>
          <w:rFonts w:ascii="Verdana" w:eastAsia="Calibri" w:hAnsi="Verdana" w:cs="Times New Roman"/>
          <w:lang w:val="es-ES"/>
        </w:rPr>
      </w:pPr>
      <w:r w:rsidRPr="000A6B2B">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9C9EF15" w14:textId="77777777" w:rsidR="000A6B2B" w:rsidRPr="000A6B2B" w:rsidRDefault="000A6B2B" w:rsidP="000A6B2B">
      <w:pPr>
        <w:widowControl w:val="0"/>
        <w:autoSpaceDE w:val="0"/>
        <w:autoSpaceDN w:val="0"/>
        <w:spacing w:after="120" w:line="276" w:lineRule="auto"/>
        <w:ind w:firstLine="708"/>
        <w:jc w:val="both"/>
        <w:rPr>
          <w:rFonts w:ascii="Verdana" w:eastAsia="Calibri" w:hAnsi="Verdana" w:cs="Times New Roman"/>
          <w:lang w:val="es-ES"/>
        </w:rPr>
      </w:pPr>
      <w:r w:rsidRPr="000A6B2B">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2E5B924" w14:textId="77777777" w:rsidR="000A6B2B" w:rsidRPr="000A6B2B" w:rsidRDefault="000A6B2B" w:rsidP="000A6B2B">
      <w:pPr>
        <w:widowControl w:val="0"/>
        <w:autoSpaceDE w:val="0"/>
        <w:autoSpaceDN w:val="0"/>
        <w:spacing w:after="0" w:line="276" w:lineRule="auto"/>
        <w:ind w:firstLine="708"/>
        <w:jc w:val="both"/>
        <w:rPr>
          <w:rFonts w:ascii="Verdana" w:eastAsia="Calibri" w:hAnsi="Verdana" w:cs="Times New Roman"/>
          <w:lang w:val="es-ES"/>
        </w:rPr>
      </w:pPr>
      <w:r w:rsidRPr="000A6B2B">
        <w:rPr>
          <w:rFonts w:ascii="Verdana" w:eastAsia="Calibri" w:hAnsi="Verdana" w:cs="Times New Roman"/>
          <w:lang w:val="es-ES"/>
        </w:rPr>
        <w:t>De esta manera, para saber a qué actividades deben aplicarse los documentos tipo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71FC82FA" w14:textId="77777777" w:rsidR="000A6B2B" w:rsidRPr="000A6B2B" w:rsidRDefault="000A6B2B" w:rsidP="000A6B2B">
      <w:pPr>
        <w:widowControl w:val="0"/>
        <w:autoSpaceDE w:val="0"/>
        <w:autoSpaceDN w:val="0"/>
        <w:spacing w:after="0" w:line="276" w:lineRule="auto"/>
        <w:jc w:val="both"/>
        <w:rPr>
          <w:rFonts w:ascii="Verdana" w:eastAsia="Calibri" w:hAnsi="Verdana" w:cs="Times New Roman"/>
          <w:lang w:val="es-ES"/>
        </w:rPr>
      </w:pPr>
    </w:p>
    <w:p w14:paraId="7F39960B" w14:textId="77777777" w:rsidR="000A6B2B" w:rsidRPr="000A6B2B" w:rsidRDefault="000A6B2B" w:rsidP="000A6B2B">
      <w:pPr>
        <w:spacing w:after="120" w:line="276" w:lineRule="auto"/>
        <w:jc w:val="both"/>
        <w:rPr>
          <w:rFonts w:ascii="Verdana" w:eastAsia="Calibri" w:hAnsi="Verdana" w:cs="Times New Roman"/>
          <w:lang w:val="es-ES" w:eastAsia="es-MX"/>
        </w:rPr>
      </w:pPr>
      <w:proofErr w:type="spellStart"/>
      <w:r w:rsidRPr="000A6B2B">
        <w:rPr>
          <w:rFonts w:ascii="Verdana" w:eastAsia="Calibri" w:hAnsi="Verdana" w:cs="Times New Roman"/>
          <w:lang w:val="es-ES"/>
        </w:rPr>
        <w:t>ii</w:t>
      </w:r>
      <w:proofErr w:type="spellEnd"/>
      <w:r w:rsidRPr="000A6B2B">
        <w:rPr>
          <w:rFonts w:ascii="Verdana" w:eastAsia="Calibri" w:hAnsi="Verdana" w:cs="Times New Roman"/>
          <w:lang w:val="es-ES"/>
        </w:rPr>
        <w:t xml:space="preserve">. </w:t>
      </w:r>
      <w:r w:rsidRPr="000A6B2B">
        <w:rPr>
          <w:rFonts w:ascii="Verdana" w:eastAsia="Calibri" w:hAnsi="Verdana" w:cs="Times New Roman"/>
          <w:lang w:val="es-ES" w:eastAsia="es-MX"/>
        </w:rPr>
        <w:t xml:space="preserve">El artículo 17 de la Resolución 539 de 2025 adoptó los documentos tipo complementarios para los procesos de licitación de obra pública de infraestructura social relacionados con el sector Institucional. Por su parte, mediante el artículo 16 de la Resolución 540 de 2025, se acogieron los </w:t>
      </w:r>
      <w:r w:rsidRPr="000A6B2B">
        <w:rPr>
          <w:rFonts w:ascii="Verdana" w:eastAsia="Calibri" w:hAnsi="Verdana" w:cs="Times New Roman"/>
          <w:lang w:val="es-ES" w:eastAsia="es-MX"/>
        </w:rPr>
        <w:lastRenderedPageBreak/>
        <w:t xml:space="preserve">documentos tipo complementarios para los procesos de selección abreviada de menor cuantía de obra pública de infraestructura social relacionados con el sector Institucional. Lo propio se hizo mediante el artículo 16 de la Resolución 541 de 2025, a través del cual se adoptó los documentos tipo complementarios para los procesos de mínima cuantía de obra pública de infraestructura social relacionados con el sector Institucional. </w:t>
      </w:r>
    </w:p>
    <w:p w14:paraId="5F3E337B" w14:textId="77777777" w:rsidR="000A6B2B" w:rsidRPr="000A6B2B" w:rsidRDefault="000A6B2B" w:rsidP="000A6B2B">
      <w:pPr>
        <w:spacing w:after="120" w:line="276" w:lineRule="auto"/>
        <w:jc w:val="both"/>
        <w:rPr>
          <w:rFonts w:ascii="Verdana" w:eastAsia="Calibri" w:hAnsi="Verdana" w:cs="Times New Roman"/>
          <w:lang w:val="es-ES" w:eastAsia="es-MX"/>
        </w:rPr>
      </w:pPr>
      <w:r w:rsidRPr="000A6B2B">
        <w:rPr>
          <w:rFonts w:ascii="Verdana" w:eastAsia="Calibri" w:hAnsi="Verdana" w:cs="Times New Roman"/>
          <w:lang w:val="es-ES" w:eastAsia="es-MX"/>
        </w:rPr>
        <w:tab/>
        <w:t xml:space="preserve">De acuerdo con los artículos 17 y 16 –respectivamente, de las resoluciones señaladas–, los documentos tipo que estas adoptan contienen parámetros obligatorios para las entidades estatales que realicen procedimientos de licitación pública, selección abreviada de menor cuantía o mínima cuantía, para celebrar contratos de obra relacionados con infraestructura institucional, cuando las actividades que pretendan contratar se encuentren contenidas en la Matriz – Experiencia Sector Institucional. </w:t>
      </w:r>
    </w:p>
    <w:p w14:paraId="7049EFE4" w14:textId="77777777" w:rsidR="000A6B2B" w:rsidRPr="000A6B2B" w:rsidRDefault="000A6B2B" w:rsidP="000A6B2B">
      <w:pPr>
        <w:spacing w:after="120" w:line="276" w:lineRule="auto"/>
        <w:jc w:val="both"/>
        <w:rPr>
          <w:rFonts w:ascii="Verdana" w:eastAsia="Times New Roman" w:hAnsi="Verdana" w:cs="Times New Roman"/>
          <w:color w:val="000000"/>
          <w:lang w:eastAsia="es-CO"/>
        </w:rPr>
      </w:pPr>
      <w:r w:rsidRPr="000A6B2B">
        <w:rPr>
          <w:rFonts w:ascii="Verdana" w:eastAsia="Calibri" w:hAnsi="Verdana" w:cs="Times New Roman"/>
          <w:lang w:val="es-ES" w:eastAsia="es-MX"/>
        </w:rPr>
        <w:tab/>
        <w:t xml:space="preserve">La Matriz 1 – Experiencia del Sector Institucional, </w:t>
      </w:r>
      <w:r w:rsidRPr="000A6B2B">
        <w:rPr>
          <w:rFonts w:ascii="Verdana" w:eastAsia="Times New Roman" w:hAnsi="Verdana" w:cs="Times New Roman"/>
          <w:color w:val="000000"/>
          <w:lang w:eastAsia="es-CO"/>
        </w:rPr>
        <w:t xml:space="preserve">en la modalidad de licitación pública, selección abreviada de menor cuantía y mínima cuantía dispone de los siguientes cinco (5) tipos de infraestructura: </w:t>
      </w:r>
      <w:r w:rsidRPr="000A6B2B">
        <w:rPr>
          <w:rFonts w:ascii="Verdana" w:eastAsia="Arial" w:hAnsi="Verdana" w:cs="Aptos"/>
          <w:kern w:val="2"/>
          <w:lang w:eastAsia="es-ES"/>
          <w14:ligatures w14:val="standardContextual"/>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0A6B2B">
        <w:rPr>
          <w:rFonts w:ascii="Verdana" w:eastAsia="Aptos" w:hAnsi="Verdana" w:cs="Arial"/>
          <w:kern w:val="2"/>
          <w14:ligatures w14:val="standardContextual"/>
        </w:rPr>
        <w:t xml:space="preserve">. </w:t>
      </w:r>
      <w:r w:rsidRPr="000A6B2B">
        <w:rPr>
          <w:rFonts w:ascii="Verdana" w:eastAsia="Arial" w:hAnsi="Verdana" w:cs="Aptos"/>
          <w:lang w:eastAsia="es-ES"/>
        </w:rPr>
        <w:t xml:space="preserve">Sobre los tipos de obras señaladas, la Matriz 1 – Experiencia contiene una serie de actividades donde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reparación, suministro, entre otras actividades, sobre infraestructura institucional. </w:t>
      </w:r>
    </w:p>
    <w:p w14:paraId="5F84E17B" w14:textId="77777777" w:rsidR="000A6B2B" w:rsidRPr="000A6B2B" w:rsidRDefault="000A6B2B" w:rsidP="000A6B2B">
      <w:pPr>
        <w:spacing w:after="120" w:line="276" w:lineRule="auto"/>
        <w:jc w:val="both"/>
        <w:rPr>
          <w:rFonts w:ascii="Verdana" w:eastAsia="Times New Roman" w:hAnsi="Verdana" w:cs="Times New Roman"/>
          <w:color w:val="000000"/>
          <w:lang w:eastAsia="es-CO"/>
        </w:rPr>
      </w:pPr>
      <w:r w:rsidRPr="000A6B2B">
        <w:rPr>
          <w:rFonts w:ascii="Verdana" w:eastAsia="Times New Roman" w:hAnsi="Verdana" w:cs="Times New Roman"/>
          <w:color w:val="000000"/>
          <w:lang w:eastAsia="es-CO"/>
        </w:rPr>
        <w:tab/>
        <w:t xml:space="preserve">Concretamente, en su solicitud usted indaga sobre la aplicación de los Documentos Tipo del Sector Institucional – </w:t>
      </w:r>
      <w:r w:rsidRPr="000A6B2B">
        <w:rPr>
          <w:rFonts w:ascii="Verdana" w:eastAsia="Aptos" w:hAnsi="Verdana" w:cs="Times New Roman"/>
          <w:kern w:val="2"/>
          <w14:ligatures w14:val="standardContextual"/>
        </w:rPr>
        <w:t>Seguridad Pública</w:t>
      </w:r>
      <w:r w:rsidRPr="000A6B2B">
        <w:rPr>
          <w:rFonts w:ascii="Verdana" w:eastAsia="Times New Roman" w:hAnsi="Verdana" w:cs="Times New Roman"/>
          <w:color w:val="000000"/>
          <w:lang w:eastAsia="es-CO"/>
        </w:rPr>
        <w:t xml:space="preserve"> de seguridad pública, en los procesos de obra que adelante la Policía Nacional de Colombia para el mantenimiento, adecuación, mejoramiento, conservación o intervención </w:t>
      </w:r>
      <w:r w:rsidRPr="000A6B2B">
        <w:rPr>
          <w:rFonts w:ascii="Verdana" w:eastAsia="Times New Roman" w:hAnsi="Verdana" w:cs="Times New Roman"/>
          <w:color w:val="000000"/>
          <w:lang w:eastAsia="es-CO"/>
        </w:rPr>
        <w:lastRenderedPageBreak/>
        <w:t xml:space="preserve">física de sus edificaciones e instalaciones.  De esta forma, resulta pertinente establecer qué actividades de los Documentos Tipo mencionados recaen sobre las actividades indicadas y si estas resultan adecuadas para adelantar los procesos que requiere la entidad. </w:t>
      </w:r>
    </w:p>
    <w:p w14:paraId="07CB1BDB" w14:textId="77777777" w:rsidR="000A6B2B" w:rsidRPr="000A6B2B" w:rsidRDefault="000A6B2B" w:rsidP="000A6B2B">
      <w:pPr>
        <w:spacing w:after="0" w:line="276" w:lineRule="auto"/>
        <w:ind w:firstLine="708"/>
        <w:jc w:val="both"/>
        <w:rPr>
          <w:rFonts w:ascii="Verdana" w:eastAsia="Aptos" w:hAnsi="Verdana" w:cs="Times New Roman"/>
          <w:kern w:val="2"/>
          <w14:ligatures w14:val="standardContextual"/>
        </w:rPr>
      </w:pPr>
      <w:r w:rsidRPr="000A6B2B">
        <w:rPr>
          <w:rFonts w:ascii="Verdana" w:eastAsia="Aptos" w:hAnsi="Verdana" w:cs="Times New Roman"/>
          <w:kern w:val="2"/>
          <w14:ligatures w14:val="standardContextual"/>
        </w:rPr>
        <w:t xml:space="preserve">En este sentido, le indicamos que, una vez revisadas las actividades contenidas en la Matriz 1 – Experiencia de los Documentos Tipo del Sector Institucional, el numeral 1 “obras en proyectos de infraestructura institucional se Seguridad Pública”, las siguientes corresponden a las actividades de mantenimiento, adecuación, mejoramiento, conservación o intervención señaladas, dentro del sector indicado: </w:t>
      </w:r>
    </w:p>
    <w:p w14:paraId="15F850D1" w14:textId="77777777" w:rsidR="000A6B2B" w:rsidRPr="000A6B2B" w:rsidRDefault="000A6B2B" w:rsidP="000A6B2B">
      <w:pPr>
        <w:spacing w:after="0" w:line="240" w:lineRule="auto"/>
        <w:jc w:val="both"/>
        <w:rPr>
          <w:rFonts w:ascii="Verdana" w:eastAsia="Times New Roman" w:hAnsi="Verdana" w:cs="Times New Roman"/>
          <w:color w:val="000000"/>
          <w:lang w:eastAsia="es-CO"/>
        </w:rPr>
      </w:pPr>
    </w:p>
    <w:p w14:paraId="72411480" w14:textId="77777777" w:rsidR="000A6B2B" w:rsidRPr="000A6B2B" w:rsidRDefault="000A6B2B" w:rsidP="000A6B2B">
      <w:pPr>
        <w:shd w:val="clear" w:color="auto" w:fill="FFFFFF"/>
        <w:snapToGrid w:val="0"/>
        <w:spacing w:after="120" w:line="240" w:lineRule="auto"/>
        <w:ind w:left="709" w:right="709"/>
        <w:jc w:val="both"/>
        <w:rPr>
          <w:rFonts w:ascii="Verdana" w:eastAsia="Times New Roman" w:hAnsi="Verdana" w:cs="Arial"/>
          <w:color w:val="242424"/>
          <w:sz w:val="21"/>
          <w:szCs w:val="21"/>
          <w:lang w:eastAsia="es-MX"/>
        </w:rPr>
      </w:pPr>
      <w:r w:rsidRPr="000A6B2B">
        <w:rPr>
          <w:rFonts w:ascii="Verdana" w:eastAsia="Times New Roman" w:hAnsi="Verdana" w:cs="Arial"/>
          <w:color w:val="242424"/>
          <w:sz w:val="21"/>
          <w:szCs w:val="21"/>
          <w:lang w:eastAsia="es-MX"/>
        </w:rPr>
        <w:t>“</w:t>
      </w:r>
      <w:r w:rsidRPr="000A6B2B">
        <w:rPr>
          <w:rFonts w:ascii="Verdana" w:eastAsia="Aptos" w:hAnsi="Verdana" w:cs="Times New Roman"/>
          <w:kern w:val="2"/>
          <w:sz w:val="21"/>
          <w:szCs w:val="21"/>
          <w14:ligatures w14:val="standardContextual"/>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SEGURIDAD PÚBLICA</w:t>
      </w:r>
      <w:r w:rsidRPr="000A6B2B">
        <w:rPr>
          <w:rFonts w:ascii="Verdana" w:eastAsia="Aptos" w:hAnsi="Verdana" w:cs="Times New Roman"/>
          <w:kern w:val="2"/>
          <w:sz w:val="21"/>
          <w:szCs w:val="21"/>
          <w14:ligatures w14:val="standardContextual"/>
        </w:rPr>
        <w:br/>
        <w:t>1.3.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PARA INFRAESTRUCTURA DE SEGURIDAD PÚBLICA</w:t>
      </w:r>
      <w:r w:rsidRPr="000A6B2B">
        <w:rPr>
          <w:rFonts w:ascii="Verdana" w:eastAsia="Aptos" w:hAnsi="Verdana" w:cs="Times New Roman"/>
          <w:kern w:val="2"/>
          <w:sz w:val="21"/>
          <w:szCs w:val="21"/>
          <w14:ligatures w14:val="standardContextual"/>
        </w:rPr>
        <w:br/>
        <w:t>1.5.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COMEDORES, ZONAS DE ALMACENAMIENTO Y/O ZONAS DE CONSERVACIÓN DE ALIMENTOS Y/O ZONAS DE ALIMENTACIÓN DE INFRAESTRUCTURA DE SEGURIDAD PÚBLICA</w:t>
      </w:r>
      <w:r w:rsidRPr="000A6B2B">
        <w:rPr>
          <w:rFonts w:ascii="Verdana" w:eastAsia="Aptos" w:hAnsi="Verdana" w:cs="Times New Roman"/>
          <w:kern w:val="2"/>
          <w:sz w:val="21"/>
          <w:szCs w:val="21"/>
          <w14:ligatures w14:val="standardContextual"/>
        </w:rPr>
        <w:br/>
        <w:t xml:space="preserve">1.6. PROYECTOS DE CONSTRUCCIÓN Y/O AMPLIACIÓN Y/O RECONSTRUCCIÓN ADECUACIÓN Y/O CONSERVACIÓN Y/O INTERVENCIÓN Y/O INSTALACIÓN Y/O MANTENIMIENTO Y/O MEJORAMIENTO Y/O MODIFICACIÓN U OPTIMIZACIÓN Y/O REHABILITACIÓN Y/O REMODELACIÓN Y/O REPOSICIÓN Y/O </w:t>
      </w:r>
      <w:r w:rsidRPr="000A6B2B">
        <w:rPr>
          <w:rFonts w:ascii="Verdana" w:eastAsia="Aptos" w:hAnsi="Verdana" w:cs="Times New Roman"/>
          <w:kern w:val="2"/>
          <w:sz w:val="21"/>
          <w:szCs w:val="21"/>
          <w14:ligatures w14:val="standardContextual"/>
        </w:rPr>
        <w:lastRenderedPageBreak/>
        <w:t>REPARACIÓN LOCATIVA Y/O RESTAURACIÓN Y/O RESTITUCIÓN Y/O TERMINACIÓN DE BATERÍAS SANITARIAS Y/O REDES HIDROSANITARIAS Y/O TANQUES DE ALMACENAMIENTO Y/O SISTEMAS DE BOMBEO Y/O REDES CONTRA INCENDIOS DE INFRAESTRUCTURA DE SEGURIDAD PÚBLICA</w:t>
      </w:r>
      <w:r w:rsidRPr="000A6B2B">
        <w:rPr>
          <w:rFonts w:ascii="Verdana" w:eastAsia="Aptos" w:hAnsi="Verdana" w:cs="Times New Roman"/>
          <w:kern w:val="2"/>
          <w:sz w:val="21"/>
          <w:szCs w:val="21"/>
          <w14:ligatures w14:val="standardContextual"/>
        </w:rPr>
        <w:br/>
        <w:t>1.7.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DE SEGURIDAD PÚBLICA</w:t>
      </w:r>
      <w:r w:rsidRPr="000A6B2B">
        <w:rPr>
          <w:rFonts w:ascii="Verdana" w:eastAsia="Aptos" w:hAnsi="Verdana" w:cs="Times New Roman"/>
          <w:kern w:val="2"/>
          <w:sz w:val="21"/>
          <w:szCs w:val="21"/>
          <w14:ligatures w14:val="standardContextual"/>
        </w:rPr>
        <w:br/>
        <w:t>1.8.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SEGURIDAD PUBLICA</w:t>
      </w:r>
      <w:r w:rsidRPr="000A6B2B">
        <w:rPr>
          <w:rFonts w:ascii="Verdana" w:eastAsia="Aptos" w:hAnsi="Verdana" w:cs="Times New Roman"/>
          <w:kern w:val="2"/>
          <w:sz w:val="21"/>
          <w:szCs w:val="21"/>
          <w14:ligatures w14:val="standardContextual"/>
        </w:rPr>
        <w:br/>
        <w:t>1.9.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SEGURIDAD PÚBLICA</w:t>
      </w:r>
      <w:r w:rsidRPr="000A6B2B">
        <w:rPr>
          <w:rFonts w:ascii="Verdana" w:eastAsia="Aptos" w:hAnsi="Verdana" w:cs="Times New Roman"/>
          <w:kern w:val="2"/>
          <w:sz w:val="21"/>
          <w:szCs w:val="21"/>
          <w14:ligatures w14:val="standardContextual"/>
        </w:rPr>
        <w:br/>
        <w:t xml:space="preserve">1.10. PROYECTOS DE CONSTRUCCIÓN Y/O HABILITACIÓN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ZONAS VERDES, Y/O ACTIVIDADES DE URBANISMO Y/O DE PAISAJISMO ASOCIADA A </w:t>
      </w:r>
      <w:r w:rsidRPr="000A6B2B">
        <w:rPr>
          <w:rFonts w:ascii="Verdana" w:eastAsia="Aptos" w:hAnsi="Verdana" w:cs="Times New Roman"/>
          <w:kern w:val="2"/>
          <w:sz w:val="21"/>
          <w:szCs w:val="21"/>
          <w14:ligatures w14:val="standardContextual"/>
        </w:rPr>
        <w:lastRenderedPageBreak/>
        <w:t>INFRAESTRUCTURA DE SEGURIDAD PUBLICA</w:t>
      </w:r>
      <w:r w:rsidRPr="000A6B2B">
        <w:rPr>
          <w:rFonts w:ascii="Verdana" w:eastAsia="Aptos" w:hAnsi="Verdana" w:cs="Times New Roman"/>
          <w:kern w:val="2"/>
          <w:sz w:val="21"/>
          <w:szCs w:val="21"/>
          <w14:ligatures w14:val="standardContextual"/>
        </w:rPr>
        <w:br/>
        <w:t>(…)</w:t>
      </w:r>
      <w:r w:rsidRPr="000A6B2B">
        <w:rPr>
          <w:rFonts w:ascii="Verdana" w:eastAsia="Aptos" w:hAnsi="Verdana" w:cs="Times New Roman"/>
          <w:kern w:val="2"/>
          <w:sz w:val="21"/>
          <w:szCs w:val="21"/>
          <w14:ligatures w14:val="standardContextual"/>
        </w:rPr>
        <w:br/>
        <w:t>1.13.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CALDERAS O ZONAS DE LAVANDERÍAS O SIMILARES PARA INFRAESTRUCTURA DE SEGURIDAD PÚBLICA.</w:t>
      </w:r>
      <w:r w:rsidRPr="000A6B2B">
        <w:rPr>
          <w:rFonts w:ascii="Verdana" w:eastAsia="Aptos" w:hAnsi="Verdana" w:cs="Times New Roman"/>
          <w:kern w:val="2"/>
          <w:sz w:val="21"/>
          <w:szCs w:val="21"/>
          <w14:ligatures w14:val="standardContextual"/>
        </w:rPr>
        <w:br/>
        <w:t>1.14. SUMINISTRO Y/O INSTALACIÓN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ESPACIOS CON SISTEMAS MODULARES TEMPORALES O DEFINITIVOS O SIMILARES”.</w:t>
      </w:r>
      <w:r w:rsidRPr="000A6B2B">
        <w:rPr>
          <w:rFonts w:ascii="Verdana" w:eastAsia="Times New Roman" w:hAnsi="Verdana" w:cs="Arial"/>
          <w:color w:val="242424"/>
          <w:sz w:val="21"/>
          <w:szCs w:val="21"/>
          <w:lang w:eastAsia="es-MX"/>
        </w:rPr>
        <w:t xml:space="preserve"> </w:t>
      </w:r>
    </w:p>
    <w:p w14:paraId="45BC63A4" w14:textId="77777777" w:rsidR="000A6B2B" w:rsidRPr="000A6B2B" w:rsidRDefault="000A6B2B" w:rsidP="000A6B2B">
      <w:pPr>
        <w:spacing w:after="0" w:line="276" w:lineRule="auto"/>
        <w:jc w:val="both"/>
        <w:rPr>
          <w:rFonts w:ascii="Verdana" w:eastAsia="Times New Roman" w:hAnsi="Verdana" w:cs="Times New Roman"/>
          <w:color w:val="000000"/>
          <w:lang w:eastAsia="es-CO"/>
        </w:rPr>
      </w:pPr>
    </w:p>
    <w:p w14:paraId="67476F0E" w14:textId="77777777" w:rsidR="000A6B2B" w:rsidRPr="000A6B2B" w:rsidRDefault="000A6B2B" w:rsidP="000A6B2B">
      <w:pPr>
        <w:spacing w:after="120" w:line="276" w:lineRule="auto"/>
        <w:ind w:firstLine="708"/>
        <w:jc w:val="both"/>
        <w:rPr>
          <w:rFonts w:ascii="Verdana" w:eastAsia="Aptos" w:hAnsi="Verdana" w:cs="Times New Roman"/>
          <w:kern w:val="2"/>
          <w14:ligatures w14:val="standardContextual"/>
        </w:rPr>
      </w:pPr>
      <w:r w:rsidRPr="000A6B2B">
        <w:rPr>
          <w:rFonts w:ascii="Verdana" w:eastAsia="Times New Roman" w:hAnsi="Verdana" w:cs="Times New Roman"/>
          <w:color w:val="000000"/>
          <w:lang w:eastAsia="es-CO"/>
        </w:rPr>
        <w:t xml:space="preserve">Como se aprecia, estas actividades aplican a los procesos que adelanten las entidades obligadas a utilizar los documentos tipo cuando correspondan –para efectos de su solicitud– </w:t>
      </w:r>
      <w:r w:rsidRPr="000A6B2B">
        <w:rPr>
          <w:rFonts w:ascii="Verdana" w:eastAsia="Aptos" w:hAnsi="Verdana" w:cs="Times New Roman"/>
          <w:kern w:val="2"/>
          <w14:ligatures w14:val="standardContextual"/>
        </w:rPr>
        <w:t xml:space="preserve">al mantenimiento, adecuación, mejoramiento, conservación o intervención de: infraestructura de seguridad pública; cerramientos para infraestructura de seguridad pública; comedores, zonas de almacenamiento y/o conservación de alimentos y/o zonas de alimentación; baterías sanitarias y/o redes hidrosanitarias y/o tanques de almacenamiento y/o sistemas de bombeo y/o redes contra incendios; cubiertas; bienes de interés cultural y/o patrimonial asociados a infraestructura de seguridad pública; redes eléctricas y/o circuitos cerrados de TV y/o sistemas de seguridad y/o circuitos de voz y datos y/o plantas eléctricas y/o subestaciones y/o redes de telemática, comunicación, sonido o telefonía y/o redes o sistemas de iluminación o luminarias interiores o exteriores; zonas verdes y/o actividades de urbanismo y/o de paisajismo; calderas o zonas de lavanderías o similares; y espacios con sistemas modulares temporales o definitivos o similares, </w:t>
      </w:r>
      <w:r w:rsidRPr="000A6B2B">
        <w:rPr>
          <w:rFonts w:ascii="Verdana" w:eastAsia="Aptos" w:hAnsi="Verdana" w:cs="Times New Roman"/>
          <w:i/>
          <w:iCs/>
          <w:kern w:val="2"/>
          <w14:ligatures w14:val="standardContextual"/>
        </w:rPr>
        <w:t>todos ellos en infraestructura de seguridad pública</w:t>
      </w:r>
      <w:r w:rsidRPr="000A6B2B">
        <w:rPr>
          <w:rFonts w:ascii="Verdana" w:eastAsia="Aptos" w:hAnsi="Verdana" w:cs="Times New Roman"/>
          <w:kern w:val="2"/>
          <w14:ligatures w14:val="standardContextual"/>
        </w:rPr>
        <w:t xml:space="preserve">. En todo caso, será la entidad contratante la que, según el alcance específico de la intervención que pretenda ejecutar, determine cuál o cuáles de estas actividades aplican a su proceso de </w:t>
      </w:r>
      <w:r w:rsidRPr="000A6B2B">
        <w:rPr>
          <w:rFonts w:ascii="Verdana" w:eastAsia="Aptos" w:hAnsi="Verdana" w:cs="Times New Roman"/>
          <w:kern w:val="2"/>
          <w14:ligatures w14:val="standardContextual"/>
        </w:rPr>
        <w:lastRenderedPageBreak/>
        <w:t>contratación, atendiendo las particularidades técnicas, el objeto contractual y las necesidades reales de la obra.</w:t>
      </w:r>
    </w:p>
    <w:p w14:paraId="3A7C5C2E" w14:textId="77777777" w:rsidR="000A6B2B" w:rsidRPr="000A6B2B" w:rsidRDefault="000A6B2B" w:rsidP="000A6B2B">
      <w:pPr>
        <w:spacing w:after="120" w:line="276" w:lineRule="auto"/>
        <w:ind w:firstLine="708"/>
        <w:jc w:val="both"/>
        <w:rPr>
          <w:rFonts w:ascii="Verdana" w:eastAsia="Times New Roman" w:hAnsi="Verdana" w:cs="Aptos"/>
          <w:lang w:eastAsia="es-MX"/>
        </w:rPr>
      </w:pPr>
      <w:r w:rsidRPr="000A6B2B">
        <w:rPr>
          <w:rFonts w:ascii="Verdana" w:eastAsia="Times New Roman" w:hAnsi="Verdana" w:cs="Aptos"/>
          <w:lang w:eastAsia="es-MX"/>
        </w:rPr>
        <w:t>Para interpretar el alcance del tipo de infraestructura de seguridad pública, se debe tener en cuenta la nota general 1 de la Matriz 1– Experiencia del Sector Institucional, en las distintas modalidades de selección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4FE9205C" w14:textId="77777777" w:rsidR="000A6B2B" w:rsidRPr="000A6B2B" w:rsidRDefault="000A6B2B" w:rsidP="000A6B2B">
      <w:pPr>
        <w:spacing w:after="120" w:line="276" w:lineRule="auto"/>
        <w:ind w:firstLine="708"/>
        <w:jc w:val="both"/>
        <w:rPr>
          <w:rFonts w:ascii="Verdana" w:eastAsia="Times New Roman" w:hAnsi="Verdana" w:cs="Aptos"/>
          <w:lang w:eastAsia="es-MX"/>
        </w:rPr>
      </w:pPr>
      <w:r w:rsidRPr="000A6B2B">
        <w:rPr>
          <w:rFonts w:ascii="Verdana" w:eastAsia="Times New Roman" w:hAnsi="Verdana" w:cs="Aptos"/>
          <w:lang w:eastAsia="es-MX"/>
        </w:rPr>
        <w:t>La nota general 1 contenida en la Matriz 1 – Experiencia de los documentos tipo indicados,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3D8B467C"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lang w:val="es-ES_tradnl" w:eastAsia="es-MX"/>
        </w:rPr>
        <w:t xml:space="preserve">Ahora bien, como se precisó las actividades señaladas recaen sobre </w:t>
      </w:r>
      <w:r w:rsidRPr="000A6B2B">
        <w:rPr>
          <w:rFonts w:ascii="Verdana" w:eastAsia="Times New Roman" w:hAnsi="Verdana" w:cs="Calibri"/>
          <w:lang w:eastAsia="es-MX"/>
        </w:rPr>
        <w:t xml:space="preserve">obras en proyectos de infraestructura institucional de seguridad pública. De esta forma, para determinar qué abarca este tipo de infraestructura, debe indicarse que, de conformidad con la norma </w:t>
      </w:r>
      <w:r w:rsidRPr="000A6B2B">
        <w:rPr>
          <w:rFonts w:ascii="Verdana" w:eastAsia="Calibri" w:hAnsi="Verdana" w:cs="Arial"/>
          <w:color w:val="0D0D0D"/>
          <w:lang w:eastAsia="es-MX"/>
        </w:rPr>
        <w:t>NSR-10 en el Subgrupo de Ocupación Institucional de Seguridad Pública (I-4) “se clasifican las edificaciones o espacios indispensables para atender emergencias y preservar el orden público y la seguridad de las personas”</w:t>
      </w:r>
      <w:r w:rsidRPr="000A6B2B">
        <w:rPr>
          <w:rFonts w:ascii="Verdana" w:eastAsia="Calibri" w:hAnsi="Verdana" w:cs="Arial"/>
          <w:color w:val="0D0D0D"/>
          <w:vertAlign w:val="superscript"/>
          <w:lang w:eastAsia="es-MX"/>
        </w:rPr>
        <w:footnoteReference w:id="5"/>
      </w:r>
      <w:r w:rsidRPr="000A6B2B">
        <w:rPr>
          <w:rFonts w:ascii="Verdana" w:eastAsia="Calibri" w:hAnsi="Verdana" w:cs="Arial"/>
          <w:color w:val="0D0D0D"/>
          <w:lang w:eastAsia="es-MX"/>
        </w:rPr>
        <w:t>. Entre las edificaciones o espacios que pertenecen a este Subgrupo se encuentran las siguientes: “Estaciones de policía, Estaciones de bomberos, Estaciones de defensa civil, Instituciones militares, Otros similares”</w:t>
      </w:r>
      <w:r w:rsidRPr="000A6B2B">
        <w:rPr>
          <w:rFonts w:ascii="Verdana" w:eastAsia="Calibri" w:hAnsi="Verdana" w:cs="Arial"/>
          <w:color w:val="0D0D0D"/>
          <w:vertAlign w:val="superscript"/>
          <w:lang w:eastAsia="es-MX"/>
        </w:rPr>
        <w:footnoteReference w:id="6"/>
      </w:r>
      <w:r w:rsidRPr="000A6B2B">
        <w:rPr>
          <w:rFonts w:ascii="Verdana" w:eastAsia="Calibri" w:hAnsi="Verdana" w:cs="Arial"/>
          <w:color w:val="0D0D0D"/>
          <w:lang w:eastAsia="es-MX"/>
        </w:rPr>
        <w:t>.</w:t>
      </w:r>
    </w:p>
    <w:p w14:paraId="231BCD74"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 xml:space="preserve">En este sentido, el Subgrupo de Ocupación Institucional de Seguridad Pública es una categoría de clasificación de la NSR-10 que agrupa las edificaciones o espacios destinados a atender emergencias y a preservar el orden público y la seguridad de las personas. La lista indicativa del subgrupo menciona </w:t>
      </w:r>
      <w:r w:rsidRPr="000A6B2B">
        <w:rPr>
          <w:rFonts w:ascii="Verdana" w:eastAsia="Calibri" w:hAnsi="Verdana" w:cs="Arial"/>
          <w:color w:val="0D0D0D"/>
          <w:lang w:eastAsia="es-MX"/>
        </w:rPr>
        <w:lastRenderedPageBreak/>
        <w:t>de forma expresa las estaciones de policía, junto con las estaciones de bomberos, las de defensa civil y las instituciones militares. La expresión “otros similares” muestra que la enumeración es enunciativa y no taxativa, de modo que también comprende las edificaciones que, por su naturaleza y destinación, sirven al cumplimiento de funciones de seguridad pública y de preservación del orden público.</w:t>
      </w:r>
    </w:p>
    <w:p w14:paraId="7CA59CC6"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 xml:space="preserve">De acuerdo con la definición del Subgrupo de Ocupación Institucional de Seguridad Pública y las edificaciones que este comprende, dentro de este se encuentran las edificaciones institucionales, entendidas estas como la “infraestructura que ha sido construida para funciones específicas (como las administrativas, </w:t>
      </w:r>
      <w:proofErr w:type="spellStart"/>
      <w:r w:rsidRPr="000A6B2B">
        <w:rPr>
          <w:rFonts w:ascii="Verdana" w:eastAsia="Calibri" w:hAnsi="Verdana" w:cs="Arial"/>
          <w:color w:val="0D0D0D"/>
          <w:lang w:eastAsia="es-MX"/>
        </w:rPr>
        <w:t>etc</w:t>
      </w:r>
      <w:proofErr w:type="spellEnd"/>
      <w:r w:rsidRPr="000A6B2B">
        <w:rPr>
          <w:rFonts w:ascii="Verdana" w:eastAsia="Calibri" w:hAnsi="Verdana" w:cs="Arial"/>
          <w:color w:val="0D0D0D"/>
          <w:lang w:eastAsia="es-MX"/>
        </w:rPr>
        <w:t>) principalmente para el beneficio e interés público”</w:t>
      </w:r>
      <w:r w:rsidRPr="000A6B2B">
        <w:rPr>
          <w:rFonts w:ascii="Verdana" w:eastAsia="Calibri" w:hAnsi="Verdana" w:cs="Arial"/>
          <w:color w:val="0D0D0D"/>
          <w:vertAlign w:val="superscript"/>
          <w:lang w:eastAsia="es-MX"/>
        </w:rPr>
        <w:footnoteReference w:id="7"/>
      </w:r>
      <w:r w:rsidRPr="000A6B2B">
        <w:rPr>
          <w:rFonts w:ascii="Verdana" w:eastAsia="Calibri" w:hAnsi="Verdana" w:cs="Arial"/>
          <w:color w:val="0D0D0D"/>
          <w:lang w:eastAsia="es-MX"/>
        </w:rPr>
        <w:t>. En el caso de las instalaciones de la Policía Nacional, esa función específica corresponde a la atención de emergencias y a la preservación del orden público y de la seguridad de las personas.</w:t>
      </w:r>
    </w:p>
    <w:p w14:paraId="787C5CA0"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Considerando lo anterior, las edificaciones e instalaciones en las que la Policía Nacional de Colombia cumple sus funciones, como las estaciones de policía, se enmarcan dentro del Subgrupo de Ocupación Institucional de Seguridad Pública (I-4) definido por la NSR-10, en la medida en que su destinación funcional corresponde a la preservación del orden público y de la seguridad de las personas.</w:t>
      </w:r>
    </w:p>
    <w:p w14:paraId="55FA5A56"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En efecto, de acuerdo con el artículo 218 de la Constitución Política, la Policía Nacional es “un cuerpo armado permanente de naturaleza civil, a cargo de la Nación, cuyo fin primordial es el mantenimiento de las condiciones necesarias para el ejercicio de los derechos y libertades públicas, y para asegurar que los habitantes de Colombia convivan en paz”</w:t>
      </w:r>
      <w:r w:rsidRPr="000A6B2B">
        <w:rPr>
          <w:rFonts w:ascii="Verdana" w:eastAsia="Aptos" w:hAnsi="Verdana" w:cs="Times New Roman"/>
          <w:color w:val="0D0D0D"/>
          <w:kern w:val="2"/>
          <w:shd w:val="clear" w:color="auto" w:fill="FFFFFF"/>
          <w:vertAlign w:val="superscript"/>
          <w14:ligatures w14:val="standardContextual"/>
        </w:rPr>
        <w:footnoteReference w:id="8"/>
      </w:r>
      <w:r w:rsidRPr="000A6B2B">
        <w:rPr>
          <w:rFonts w:ascii="Verdana" w:eastAsia="Calibri" w:hAnsi="Verdana" w:cs="Arial"/>
          <w:color w:val="0D0D0D"/>
          <w:lang w:eastAsia="es-MX"/>
        </w:rPr>
        <w:t>. Esa finalidad coincide con la de las edificaciones del Subgrupo I-4, que la NSR-10 describe como indispensables para preservar el orden público y la seguridad de las personas.</w:t>
      </w:r>
    </w:p>
    <w:p w14:paraId="00688AF5" w14:textId="77777777" w:rsidR="000A6B2B" w:rsidRPr="000A6B2B" w:rsidRDefault="000A6B2B" w:rsidP="000A6B2B">
      <w:pPr>
        <w:spacing w:after="120" w:line="276" w:lineRule="auto"/>
        <w:ind w:firstLine="708"/>
        <w:jc w:val="both"/>
        <w:rPr>
          <w:rFonts w:ascii="Verdana" w:eastAsia="Calibri" w:hAnsi="Verdana" w:cs="Arial"/>
          <w:color w:val="0D0D0D"/>
          <w:lang w:eastAsia="es-MX"/>
        </w:rPr>
      </w:pPr>
      <w:r w:rsidRPr="000A6B2B">
        <w:rPr>
          <w:rFonts w:ascii="Verdana" w:eastAsia="Calibri" w:hAnsi="Verdana" w:cs="Arial"/>
          <w:color w:val="0D0D0D"/>
          <w:lang w:eastAsia="es-MX"/>
        </w:rPr>
        <w:t xml:space="preserve">Además, se trata de infraestructura destinada de manera permanente al cumplimiento de funciones del Estado relacionadas con la seguridad y la </w:t>
      </w:r>
      <w:r w:rsidRPr="000A6B2B">
        <w:rPr>
          <w:rFonts w:ascii="Verdana" w:eastAsia="Calibri" w:hAnsi="Verdana" w:cs="Arial"/>
          <w:color w:val="0D0D0D"/>
          <w:lang w:eastAsia="es-MX"/>
        </w:rPr>
        <w:lastRenderedPageBreak/>
        <w:t>convivencia ciudadana, por lo que su naturaleza se ajusta a los criterios de finalidad y uso que caracterizan a las edificaciones de este subgrupo.</w:t>
      </w:r>
    </w:p>
    <w:p w14:paraId="45A79A31" w14:textId="77777777" w:rsidR="000A6B2B" w:rsidRPr="000A6B2B" w:rsidRDefault="000A6B2B" w:rsidP="000A6B2B">
      <w:pPr>
        <w:spacing w:after="120" w:line="276" w:lineRule="auto"/>
        <w:ind w:firstLine="708"/>
        <w:jc w:val="both"/>
        <w:rPr>
          <w:rFonts w:ascii="Verdana" w:eastAsia="Calibri" w:hAnsi="Verdana" w:cs="Times New Roman"/>
          <w:color w:val="000000"/>
          <w:kern w:val="2"/>
          <w:lang w:val="es-ES_tradnl"/>
          <w14:ligatures w14:val="standardContextual"/>
        </w:rPr>
      </w:pPr>
      <w:r w:rsidRPr="000A6B2B">
        <w:rPr>
          <w:rFonts w:ascii="Verdana" w:eastAsia="Calibri" w:hAnsi="Verdana" w:cs="Arial"/>
          <w:lang w:val="es-ES" w:eastAsia="es-MX"/>
        </w:rPr>
        <w:t>Por lo anterior, la Agencia Nacional de Contratación Pública – Colombia Compra Eficiente indica que, a partir del 16 de febrero de 2026, si una entidad de aquellas obligadas a utilizar los documentos tipo expedidos por esta Entidad adelanta un proceso que tenga por objeto la(s) actividad(es) contenidas en el capítulo “1. Obras en proyectos de infraestructura institucional de seguridad pública” de la Matriz 1 – Experiencia Sector Institucional</w:t>
      </w:r>
      <w:r w:rsidRPr="000A6B2B">
        <w:rPr>
          <w:rFonts w:ascii="Verdana" w:eastAsia="Times New Roman" w:hAnsi="Verdana" w:cs="Aptos"/>
          <w:lang w:eastAsia="es-MX"/>
        </w:rPr>
        <w:t xml:space="preserve">, </w:t>
      </w:r>
      <w:r w:rsidRPr="000A6B2B">
        <w:rPr>
          <w:rFonts w:ascii="Verdana" w:eastAsia="Calibri" w:hAnsi="Verdana" w:cs="Arial"/>
          <w:lang w:val="es-ES" w:eastAsia="es-MX"/>
        </w:rPr>
        <w:t xml:space="preserve">deberá implementar los </w:t>
      </w:r>
      <w:r w:rsidRPr="000A6B2B">
        <w:rPr>
          <w:rFonts w:ascii="Verdana" w:eastAsia="Calibri" w:hAnsi="Verdana" w:cs="Arial"/>
          <w:color w:val="0D0D0D"/>
          <w:lang w:eastAsia="es-MX"/>
        </w:rPr>
        <w:t>documentos tipo acogidos mediante las Resoluciones 539, 540 o 541 de 2025, según el proyecto se adelante por la modalidad de licitación de obra pública, selección abreviada de menor cuantía o mínima cuantía.</w:t>
      </w:r>
    </w:p>
    <w:p w14:paraId="49D324B1" w14:textId="77777777" w:rsidR="000A6B2B" w:rsidRPr="000A6B2B" w:rsidRDefault="000A6B2B" w:rsidP="000A6B2B">
      <w:pPr>
        <w:spacing w:after="12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0A6B2B">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0A6B2B">
        <w:rPr>
          <w:rFonts w:ascii="Verdana" w:eastAsia="Times New Roman" w:hAnsi="Verdana" w:cs="Arial"/>
          <w:kern w:val="2"/>
          <w:shd w:val="clear" w:color="auto" w:fill="FFFFFF"/>
          <w:lang w:val="es-ES_tradnl" w:eastAsia="es-ES_tradnl"/>
          <w14:ligatures w14:val="standardContextual"/>
        </w:rPr>
        <w:t xml:space="preserve"> </w:t>
      </w:r>
    </w:p>
    <w:p w14:paraId="443368D3" w14:textId="77777777" w:rsidR="000A6B2B" w:rsidRPr="000A6B2B" w:rsidRDefault="000A6B2B" w:rsidP="000A6B2B">
      <w:pPr>
        <w:spacing w:after="0" w:line="276" w:lineRule="auto"/>
        <w:ind w:firstLine="708"/>
        <w:jc w:val="both"/>
        <w:rPr>
          <w:rFonts w:ascii="Verdana" w:eastAsia="Calibri" w:hAnsi="Verdana" w:cs="Arial"/>
          <w:color w:val="0D0D0D"/>
          <w:kern w:val="2"/>
          <w:lang w:eastAsia="es-MX"/>
          <w14:ligatures w14:val="standardContextual"/>
        </w:rPr>
      </w:pPr>
      <w:r w:rsidRPr="000A6B2B">
        <w:rPr>
          <w:rFonts w:ascii="Verdana" w:eastAsia="Calibri" w:hAnsi="Verdana" w:cs="Arial"/>
          <w:color w:val="0D0D0D"/>
          <w:kern w:val="2"/>
          <w:lang w:eastAsia="es-MX"/>
          <w14:ligatures w14:val="standardContextual"/>
        </w:rPr>
        <w:t>Ahora bien, frente a las instalaciones de la Policía Nacional que involucren actividades de defensa, debe tenerse en cuenta la siguiente nota del documento base:</w:t>
      </w:r>
    </w:p>
    <w:p w14:paraId="03494E48" w14:textId="77777777" w:rsidR="000A6B2B" w:rsidRPr="000A6B2B" w:rsidRDefault="000A6B2B" w:rsidP="000A6B2B">
      <w:pPr>
        <w:spacing w:after="0" w:line="276" w:lineRule="auto"/>
        <w:ind w:firstLine="708"/>
        <w:jc w:val="both"/>
        <w:rPr>
          <w:rFonts w:ascii="Verdana" w:eastAsia="Calibri" w:hAnsi="Verdana" w:cs="Arial"/>
          <w:kern w:val="2"/>
          <w:lang w:eastAsia="es-MX"/>
          <w14:ligatures w14:val="standardContextual"/>
        </w:rPr>
      </w:pPr>
    </w:p>
    <w:p w14:paraId="2E4CDBA7" w14:textId="77777777" w:rsidR="000A6B2B" w:rsidRPr="000A6B2B" w:rsidRDefault="000A6B2B" w:rsidP="000A6B2B">
      <w:pPr>
        <w:spacing w:after="0" w:line="240" w:lineRule="auto"/>
        <w:ind w:left="709" w:right="709"/>
        <w:jc w:val="both"/>
        <w:rPr>
          <w:rFonts w:ascii="Verdana" w:eastAsia="Aptos" w:hAnsi="Verdana" w:cs="Times New Roman"/>
          <w:kern w:val="2"/>
          <w:sz w:val="21"/>
          <w:szCs w:val="21"/>
          <w:lang w:val="es-MX"/>
          <w14:ligatures w14:val="standardContextual"/>
        </w:rPr>
      </w:pPr>
      <w:r w:rsidRPr="000A6B2B">
        <w:rPr>
          <w:rFonts w:ascii="Verdana" w:eastAsia="Aptos" w:hAnsi="Verdana" w:cs="Times New Roman"/>
          <w:kern w:val="2"/>
          <w:sz w:val="21"/>
          <w:szCs w:val="21"/>
          <w:lang w:val="es-MX"/>
          <w14:ligatures w14:val="standardContextual"/>
        </w:rPr>
        <w:t>“Nota 1: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559351B0" w14:textId="77777777" w:rsidR="000A6B2B" w:rsidRPr="000A6B2B" w:rsidRDefault="000A6B2B" w:rsidP="000A6B2B">
      <w:pPr>
        <w:spacing w:after="0" w:line="240" w:lineRule="auto"/>
        <w:ind w:left="709" w:right="709"/>
        <w:jc w:val="both"/>
        <w:rPr>
          <w:rFonts w:ascii="Verdana" w:eastAsia="Aptos" w:hAnsi="Verdana" w:cs="Times New Roman"/>
          <w:kern w:val="2"/>
          <w:sz w:val="21"/>
          <w:szCs w:val="21"/>
          <w:lang w:val="es-MX"/>
          <w14:ligatures w14:val="standardContextual"/>
        </w:rPr>
      </w:pPr>
    </w:p>
    <w:p w14:paraId="0FB1AA60" w14:textId="77777777" w:rsidR="000A6B2B" w:rsidRPr="000A6B2B" w:rsidRDefault="000A6B2B" w:rsidP="000A6B2B">
      <w:pPr>
        <w:spacing w:after="0" w:line="276" w:lineRule="auto"/>
        <w:ind w:firstLine="708"/>
        <w:jc w:val="both"/>
        <w:rPr>
          <w:rFonts w:ascii="Verdana" w:eastAsia="Calibri" w:hAnsi="Verdana" w:cs="Arial"/>
          <w:kern w:val="2"/>
          <w:lang w:eastAsia="es-MX"/>
          <w14:ligatures w14:val="standardContextual"/>
        </w:rPr>
      </w:pPr>
      <w:r w:rsidRPr="000A6B2B">
        <w:rPr>
          <w:rFonts w:ascii="Verdana" w:eastAsia="Calibri" w:hAnsi="Verdana" w:cs="Arial"/>
          <w:color w:val="0D0D0D"/>
          <w:kern w:val="2"/>
          <w:lang w:eastAsia="es-MX"/>
          <w14:ligatures w14:val="standardContextual"/>
        </w:rPr>
        <w:t xml:space="preserve">Conforme con esta nota, la regla general sigue siendo la aplicación de los documentos tipo cuando el objeto del proceso corresponda a alguna de las actividades de la Matriz 1 – Experiencia del Sector Institucional. La posibilidad de apartarse de ellos es excepcional y exige dos condiciones: que las actividades </w:t>
      </w:r>
      <w:r w:rsidRPr="000A6B2B">
        <w:rPr>
          <w:rFonts w:ascii="Verdana" w:eastAsia="Calibri" w:hAnsi="Verdana" w:cs="Arial"/>
          <w:color w:val="0D0D0D"/>
          <w:kern w:val="2"/>
          <w:lang w:eastAsia="es-MX"/>
          <w14:ligatures w14:val="standardContextual"/>
        </w:rPr>
        <w:lastRenderedPageBreak/>
        <w:t>a contratar involucren asuntos de defensa y que la entidad justifique, en los estudios y documentos previos, que las obras, bienes o servicios requieren reserva en los términos del literal d) del numeral 4 del artículo 2 de la Ley 1150 de 2007. Por tanto, la sola destinación de una edificación a funciones de seguridad pública no permite dejar de aplicar los documentos tipo. Para ello se requiere que la reserva esté debidamente sustentada bajo los parámetros señalados.</w:t>
      </w:r>
    </w:p>
    <w:p w14:paraId="2DE1EBC2" w14:textId="77777777" w:rsidR="000A6B2B" w:rsidRPr="000A6B2B" w:rsidRDefault="000A6B2B" w:rsidP="000A6B2B">
      <w:pPr>
        <w:spacing w:after="0" w:line="276" w:lineRule="auto"/>
        <w:jc w:val="both"/>
        <w:rPr>
          <w:rFonts w:ascii="Verdana" w:eastAsia="Calibri" w:hAnsi="Verdana" w:cs="Arial"/>
          <w:bCs/>
          <w:color w:val="000000"/>
          <w:kern w:val="2"/>
          <w14:ligatures w14:val="standardContextual"/>
        </w:rPr>
      </w:pPr>
    </w:p>
    <w:p w14:paraId="4F1E44DF" w14:textId="77777777" w:rsidR="000A6B2B" w:rsidRPr="000A6B2B" w:rsidRDefault="000A6B2B" w:rsidP="000A6B2B">
      <w:pPr>
        <w:spacing w:after="120" w:line="276" w:lineRule="auto"/>
        <w:jc w:val="both"/>
        <w:rPr>
          <w:rFonts w:ascii="Verdana" w:eastAsia="Aptos" w:hAnsi="Verdana" w:cs="Times New Roman"/>
          <w:kern w:val="2"/>
          <w14:ligatures w14:val="standardContextual"/>
        </w:rPr>
      </w:pPr>
      <w:proofErr w:type="spellStart"/>
      <w:r w:rsidRPr="000A6B2B">
        <w:rPr>
          <w:rFonts w:ascii="Verdana" w:eastAsia="Calibri" w:hAnsi="Verdana" w:cs="Arial"/>
          <w:bCs/>
          <w:color w:val="000000"/>
          <w:kern w:val="2"/>
          <w14:ligatures w14:val="standardContextual"/>
        </w:rPr>
        <w:t>iv</w:t>
      </w:r>
      <w:proofErr w:type="spellEnd"/>
      <w:r w:rsidRPr="000A6B2B">
        <w:rPr>
          <w:rFonts w:ascii="Verdana" w:eastAsia="Calibri" w:hAnsi="Verdana" w:cs="Arial"/>
          <w:bCs/>
          <w:color w:val="000000"/>
          <w:kern w:val="2"/>
          <w14:ligatures w14:val="standardContextual"/>
        </w:rPr>
        <w:t>. 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744FF38" w14:textId="77777777" w:rsidR="000A6B2B" w:rsidRPr="000A6B2B" w:rsidRDefault="000A6B2B" w:rsidP="000A6B2B">
      <w:pPr>
        <w:spacing w:after="0" w:line="276" w:lineRule="auto"/>
        <w:ind w:firstLine="708"/>
        <w:jc w:val="both"/>
        <w:rPr>
          <w:rFonts w:ascii="Verdana" w:eastAsia="Calibri" w:hAnsi="Verdana" w:cs="Arial"/>
          <w:bCs/>
          <w:color w:val="000000"/>
          <w:kern w:val="2"/>
          <w14:ligatures w14:val="standardContextual"/>
        </w:rPr>
      </w:pPr>
      <w:r w:rsidRPr="000A6B2B">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CFFE9E1" w14:textId="77777777" w:rsidR="000A6B2B" w:rsidRPr="000A6B2B" w:rsidRDefault="000A6B2B" w:rsidP="000A6B2B">
      <w:pPr>
        <w:spacing w:after="0" w:line="276" w:lineRule="auto"/>
        <w:jc w:val="both"/>
        <w:rPr>
          <w:rFonts w:ascii="Verdana" w:eastAsia="Calibri" w:hAnsi="Verdana" w:cs="Arial"/>
          <w:lang w:eastAsia="es-ES_tradnl"/>
        </w:rPr>
      </w:pPr>
    </w:p>
    <w:p w14:paraId="50BC0ABE" w14:textId="77777777" w:rsidR="000A6B2B" w:rsidRPr="000A6B2B" w:rsidRDefault="000A6B2B" w:rsidP="000A6B2B">
      <w:pPr>
        <w:tabs>
          <w:tab w:val="left" w:pos="142"/>
          <w:tab w:val="left" w:pos="284"/>
        </w:tabs>
        <w:spacing w:after="0" w:line="276" w:lineRule="auto"/>
        <w:jc w:val="both"/>
        <w:rPr>
          <w:rFonts w:ascii="Verdana" w:eastAsia="Century Gothic" w:hAnsi="Verdana" w:cs="Century Gothic"/>
          <w:b/>
          <w:bCs/>
          <w:lang w:val="es-ES_tradnl"/>
        </w:rPr>
      </w:pPr>
      <w:r w:rsidRPr="000A6B2B">
        <w:rPr>
          <w:rFonts w:ascii="Verdana" w:eastAsia="Century Gothic" w:hAnsi="Verdana" w:cs="Century Gothic"/>
          <w:b/>
          <w:bCs/>
          <w:lang w:val="es-ES_tradnl"/>
        </w:rPr>
        <w:t>4. Referencias normativas, jurisprudenciales y otras fuentes:</w:t>
      </w:r>
    </w:p>
    <w:p w14:paraId="58F50918" w14:textId="77777777" w:rsidR="000A6B2B" w:rsidRPr="000A6B2B" w:rsidRDefault="000A6B2B" w:rsidP="000A6B2B">
      <w:pPr>
        <w:spacing w:after="0"/>
        <w:ind w:left="-15840"/>
        <w:jc w:val="both"/>
        <w:rPr>
          <w:rFonts w:ascii="Verdana" w:eastAsia="Calibri" w:hAnsi="Verdana" w:cs="Arial"/>
          <w:b/>
          <w:bCs/>
        </w:rPr>
      </w:pPr>
      <w:r w:rsidRPr="000A6B2B">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A6B2B" w:rsidRPr="000A6B2B" w14:paraId="4B756BFB" w14:textId="77777777" w:rsidTr="009E3879">
        <w:trPr>
          <w:trHeight w:val="870"/>
        </w:trPr>
        <w:tc>
          <w:tcPr>
            <w:tcW w:w="8647" w:type="dxa"/>
            <w:tcBorders>
              <w:top w:val="dotted" w:sz="4" w:space="0" w:color="auto"/>
              <w:left w:val="dotted" w:sz="4" w:space="0" w:color="auto"/>
              <w:bottom w:val="dotted" w:sz="4" w:space="0" w:color="auto"/>
              <w:right w:val="dotted" w:sz="4" w:space="0" w:color="auto"/>
            </w:tcBorders>
          </w:tcPr>
          <w:p w14:paraId="4B6AB10A" w14:textId="77777777" w:rsidR="000A6B2B" w:rsidRPr="000A6B2B" w:rsidRDefault="000A6B2B" w:rsidP="000A6B2B">
            <w:pPr>
              <w:contextualSpacing/>
              <w:jc w:val="both"/>
              <w:rPr>
                <w:rFonts w:ascii="Verdana" w:eastAsia="Calibri" w:hAnsi="Verdana" w:cs="Arial"/>
                <w:bCs/>
              </w:rPr>
            </w:pPr>
          </w:p>
          <w:p w14:paraId="5716A5DF" w14:textId="77777777" w:rsidR="000A6B2B" w:rsidRPr="000A6B2B" w:rsidRDefault="000A6B2B" w:rsidP="000A6B2B">
            <w:pPr>
              <w:widowControl w:val="0"/>
              <w:numPr>
                <w:ilvl w:val="0"/>
                <w:numId w:val="16"/>
              </w:numPr>
              <w:autoSpaceDE w:val="0"/>
              <w:autoSpaceDN w:val="0"/>
              <w:spacing w:line="276" w:lineRule="auto"/>
              <w:jc w:val="both"/>
              <w:rPr>
                <w:rFonts w:ascii="Verdana" w:eastAsia="Calibri" w:hAnsi="Verdana" w:cs="Arial"/>
                <w:lang w:val="es-ES_tradnl"/>
              </w:rPr>
            </w:pPr>
            <w:r w:rsidRPr="000A6B2B">
              <w:rPr>
                <w:rFonts w:ascii="Verdana" w:eastAsia="Calibri" w:hAnsi="Verdana" w:cs="Arial"/>
                <w:lang w:val="es-ES_tradnl"/>
              </w:rPr>
              <w:t xml:space="preserve">Ley 2022 de 2020, artículo 1. </w:t>
            </w:r>
          </w:p>
          <w:p w14:paraId="1AE642AB" w14:textId="77777777" w:rsidR="000A6B2B" w:rsidRPr="000A6B2B" w:rsidRDefault="000A6B2B" w:rsidP="000A6B2B">
            <w:pPr>
              <w:widowControl w:val="0"/>
              <w:numPr>
                <w:ilvl w:val="0"/>
                <w:numId w:val="16"/>
              </w:numPr>
              <w:autoSpaceDE w:val="0"/>
              <w:autoSpaceDN w:val="0"/>
              <w:spacing w:line="276" w:lineRule="auto"/>
              <w:jc w:val="both"/>
              <w:rPr>
                <w:rFonts w:ascii="Verdana" w:eastAsia="Calibri" w:hAnsi="Verdana" w:cs="Arial"/>
              </w:rPr>
            </w:pPr>
            <w:r w:rsidRPr="000A6B2B">
              <w:rPr>
                <w:rFonts w:ascii="Verdana" w:eastAsia="Calibri" w:hAnsi="Verdana" w:cs="Arial"/>
              </w:rPr>
              <w:t>Ley 1150 de 2007, artículo 2.</w:t>
            </w:r>
          </w:p>
          <w:p w14:paraId="0E9847C1" w14:textId="77777777" w:rsidR="000A6B2B" w:rsidRPr="000A6B2B" w:rsidRDefault="000A6B2B" w:rsidP="000A6B2B">
            <w:pPr>
              <w:widowControl w:val="0"/>
              <w:numPr>
                <w:ilvl w:val="0"/>
                <w:numId w:val="16"/>
              </w:numPr>
              <w:autoSpaceDE w:val="0"/>
              <w:autoSpaceDN w:val="0"/>
              <w:spacing w:line="276" w:lineRule="auto"/>
              <w:contextualSpacing/>
              <w:jc w:val="both"/>
              <w:rPr>
                <w:rFonts w:ascii="Verdana" w:eastAsia="Calibri" w:hAnsi="Verdana" w:cs="Arial"/>
              </w:rPr>
            </w:pPr>
            <w:r w:rsidRPr="000A6B2B">
              <w:rPr>
                <w:rFonts w:ascii="Verdana" w:eastAsia="Calibri" w:hAnsi="Verdana" w:cs="Arial"/>
                <w:lang w:val="es-ES_tradnl"/>
              </w:rPr>
              <w:t xml:space="preserve">Documentos Tipo. Disponibles en: </w:t>
            </w:r>
            <w:hyperlink r:id="rId11" w:history="1">
              <w:r w:rsidRPr="000A6B2B">
                <w:rPr>
                  <w:rFonts w:ascii="Verdana" w:eastAsia="Calibri" w:hAnsi="Verdana" w:cs="Arial"/>
                  <w:color w:val="0000FF"/>
                  <w:u w:val="single"/>
                  <w:lang w:val="es-ES_tradnl"/>
                </w:rPr>
                <w:t>https://www.colombiacompra.gov.co/documentos-tipo/documentos-tipo</w:t>
              </w:r>
            </w:hyperlink>
            <w:r w:rsidRPr="000A6B2B">
              <w:rPr>
                <w:rFonts w:ascii="Verdana" w:eastAsia="Calibri" w:hAnsi="Verdana" w:cs="Arial"/>
                <w:lang w:val="es-ES_tradnl"/>
              </w:rPr>
              <w:t>.</w:t>
            </w:r>
          </w:p>
          <w:p w14:paraId="03058258" w14:textId="77777777" w:rsidR="000A6B2B" w:rsidRPr="000A6B2B" w:rsidRDefault="000A6B2B" w:rsidP="000A6B2B">
            <w:pPr>
              <w:widowControl w:val="0"/>
              <w:numPr>
                <w:ilvl w:val="0"/>
                <w:numId w:val="16"/>
              </w:numPr>
              <w:autoSpaceDE w:val="0"/>
              <w:autoSpaceDN w:val="0"/>
              <w:spacing w:line="276" w:lineRule="auto"/>
              <w:jc w:val="both"/>
              <w:rPr>
                <w:rFonts w:ascii="Verdana" w:eastAsia="Calibri" w:hAnsi="Verdana" w:cs="Arial"/>
                <w:lang w:val="es-ES_tradnl"/>
              </w:rPr>
            </w:pPr>
            <w:r w:rsidRPr="000A6B2B">
              <w:rPr>
                <w:rFonts w:ascii="Verdana" w:eastAsia="Calibri" w:hAnsi="Verdana" w:cs="Arial"/>
                <w:lang w:val="es-ES_tradnl"/>
              </w:rPr>
              <w:lastRenderedPageBreak/>
              <w:t xml:space="preserve">ALESSANDRI RODRÍGUEZ, Arturo. De los contratos. Santiago de Chile: Editorial Jurídica EDIAR-CONOCSUR LTDA, 1988. p. 182. </w:t>
            </w:r>
          </w:p>
          <w:p w14:paraId="05662B89" w14:textId="77777777" w:rsidR="000A6B2B" w:rsidRPr="000A6B2B" w:rsidRDefault="000A6B2B" w:rsidP="000A6B2B">
            <w:pPr>
              <w:widowControl w:val="0"/>
              <w:numPr>
                <w:ilvl w:val="0"/>
                <w:numId w:val="16"/>
              </w:numPr>
              <w:autoSpaceDE w:val="0"/>
              <w:autoSpaceDN w:val="0"/>
              <w:spacing w:line="276" w:lineRule="auto"/>
              <w:jc w:val="both"/>
              <w:rPr>
                <w:rFonts w:ascii="Verdana" w:eastAsia="Calibri" w:hAnsi="Verdana" w:cs="Arial"/>
                <w:lang w:val="es-ES"/>
              </w:rPr>
            </w:pPr>
            <w:r w:rsidRPr="000A6B2B">
              <w:rPr>
                <w:rFonts w:ascii="Verdana" w:eastAsia="Calibri" w:hAnsi="Verdana" w:cs="Arial"/>
                <w:lang w:val="es-ES"/>
              </w:rPr>
              <w:t>OSPINA MENA, Jesús Marino. Régimen de la Contratación Estatal. Un salto a la contratación liquida. Bogotá: Dike, 2020. p. 168.</w:t>
            </w:r>
          </w:p>
          <w:p w14:paraId="3BA0D7C7" w14:textId="77777777" w:rsidR="000A6B2B" w:rsidRPr="000A6B2B" w:rsidRDefault="000A6B2B" w:rsidP="000A6B2B">
            <w:pPr>
              <w:widowControl w:val="0"/>
              <w:numPr>
                <w:ilvl w:val="0"/>
                <w:numId w:val="16"/>
              </w:numPr>
              <w:autoSpaceDE w:val="0"/>
              <w:autoSpaceDN w:val="0"/>
              <w:spacing w:line="276" w:lineRule="auto"/>
              <w:jc w:val="both"/>
              <w:rPr>
                <w:rFonts w:ascii="Verdana" w:eastAsia="Calibri" w:hAnsi="Verdana" w:cs="Arial"/>
                <w:lang w:val="es-ES_tradnl"/>
              </w:rPr>
            </w:pPr>
            <w:r w:rsidRPr="000A6B2B">
              <w:rPr>
                <w:rFonts w:ascii="Verdana" w:eastAsia="Calibri" w:hAnsi="Verdana" w:cs="Arial"/>
                <w:lang w:val="es-ES_tradnl"/>
              </w:rPr>
              <w:t>CONSEJO DE ESTADO. Sala de Consulta y Servicio Civil. Concepto del 5 de septiembre de 2018. Rad. 2.386. C.P. Edgar González López.</w:t>
            </w:r>
          </w:p>
          <w:p w14:paraId="2482AFD4" w14:textId="77777777" w:rsidR="000A6B2B" w:rsidRPr="000A6B2B" w:rsidRDefault="000A6B2B" w:rsidP="000A6B2B">
            <w:pPr>
              <w:widowControl w:val="0"/>
              <w:numPr>
                <w:ilvl w:val="0"/>
                <w:numId w:val="16"/>
              </w:numPr>
              <w:autoSpaceDE w:val="0"/>
              <w:autoSpaceDN w:val="0"/>
              <w:spacing w:line="276" w:lineRule="auto"/>
              <w:jc w:val="both"/>
              <w:rPr>
                <w:rFonts w:ascii="Verdana" w:eastAsia="Calibri" w:hAnsi="Verdana" w:cs="Arial"/>
                <w:lang w:val="es-ES_tradnl"/>
              </w:rPr>
            </w:pPr>
            <w:r w:rsidRPr="000A6B2B">
              <w:rPr>
                <w:rFonts w:ascii="Verdana" w:eastAsia="Calibri" w:hAnsi="Verdana" w:cs="Arial"/>
                <w:lang w:val="es-ES_tradnl"/>
              </w:rPr>
              <w:t>VELÁSQUEZ JARAMILLO, Luis Guillermo. Bienes. Duodécima edición. Bogotá: Temis, 2010. p. 22.</w:t>
            </w:r>
          </w:p>
          <w:p w14:paraId="44A00F3D" w14:textId="77777777" w:rsidR="000A6B2B" w:rsidRPr="000A6B2B" w:rsidRDefault="000A6B2B" w:rsidP="000A6B2B">
            <w:pPr>
              <w:widowControl w:val="0"/>
              <w:numPr>
                <w:ilvl w:val="0"/>
                <w:numId w:val="16"/>
              </w:numPr>
              <w:autoSpaceDE w:val="0"/>
              <w:autoSpaceDN w:val="0"/>
              <w:spacing w:line="276" w:lineRule="auto"/>
              <w:jc w:val="both"/>
              <w:rPr>
                <w:rFonts w:ascii="Verdana" w:eastAsia="Calibri" w:hAnsi="Verdana" w:cs="Arial"/>
                <w:lang w:val="es-ES_tradnl"/>
              </w:rPr>
            </w:pPr>
            <w:r w:rsidRPr="000A6B2B">
              <w:rPr>
                <w:rFonts w:ascii="Verdana" w:eastAsia="Calibri" w:hAnsi="Verdana" w:cs="Arial"/>
                <w:lang w:val="es-ES_tradnl"/>
              </w:rPr>
              <w:t>MAZEUD, Henri, MAZEUD, León y MAZEUD, Jean. Lecciones de derecho civil. Parte Primera. Volumen I. Buenos Aires: EJEA, 1976. p. 305-306.</w:t>
            </w:r>
          </w:p>
        </w:tc>
      </w:tr>
    </w:tbl>
    <w:p w14:paraId="72BC4755" w14:textId="77777777" w:rsidR="000A6B2B" w:rsidRPr="000A6B2B" w:rsidRDefault="000A6B2B" w:rsidP="000A6B2B">
      <w:pPr>
        <w:tabs>
          <w:tab w:val="left" w:pos="142"/>
          <w:tab w:val="left" w:pos="284"/>
        </w:tabs>
        <w:spacing w:after="0" w:line="276" w:lineRule="auto"/>
        <w:jc w:val="both"/>
        <w:rPr>
          <w:rFonts w:ascii="Verdana" w:eastAsia="Calibri" w:hAnsi="Verdana" w:cs="Arial"/>
        </w:rPr>
      </w:pPr>
    </w:p>
    <w:p w14:paraId="3C098F33" w14:textId="77777777" w:rsidR="000A6B2B" w:rsidRPr="000A6B2B" w:rsidRDefault="000A6B2B" w:rsidP="000A6B2B">
      <w:pPr>
        <w:tabs>
          <w:tab w:val="left" w:pos="142"/>
          <w:tab w:val="left" w:pos="284"/>
        </w:tabs>
        <w:spacing w:after="0" w:line="276" w:lineRule="auto"/>
        <w:jc w:val="both"/>
        <w:rPr>
          <w:rFonts w:ascii="Verdana" w:eastAsia="Century Gothic" w:hAnsi="Verdana" w:cs="Century Gothic"/>
          <w:b/>
          <w:bCs/>
          <w:lang w:val="es-ES"/>
        </w:rPr>
      </w:pPr>
      <w:r w:rsidRPr="000A6B2B">
        <w:rPr>
          <w:rFonts w:ascii="Verdana" w:eastAsia="Calibri" w:hAnsi="Verdana" w:cs="Arial"/>
          <w:b/>
          <w:bCs/>
        </w:rPr>
        <w:t>5</w:t>
      </w:r>
      <w:r w:rsidRPr="000A6B2B">
        <w:rPr>
          <w:rFonts w:ascii="Verdana" w:eastAsia="Calibri" w:hAnsi="Verdana" w:cs="Arial"/>
        </w:rPr>
        <w:t>.</w:t>
      </w:r>
      <w:r w:rsidRPr="000A6B2B">
        <w:rPr>
          <w:rFonts w:ascii="Verdana" w:eastAsia="Century Gothic" w:hAnsi="Verdana" w:cs="Century Gothic"/>
          <w:b/>
          <w:bCs/>
          <w:lang w:val="es-ES"/>
        </w:rPr>
        <w:t>Doctrina de la Agencia Nacional de Contratación Pública:</w:t>
      </w:r>
    </w:p>
    <w:p w14:paraId="55C77304" w14:textId="77777777" w:rsidR="000A6B2B" w:rsidRPr="000A6B2B" w:rsidRDefault="000A6B2B" w:rsidP="000A6B2B">
      <w:pPr>
        <w:spacing w:after="0" w:line="276" w:lineRule="auto"/>
        <w:jc w:val="both"/>
        <w:rPr>
          <w:rFonts w:ascii="Verdana" w:eastAsia="Calibri" w:hAnsi="Verdana" w:cs="Arial"/>
          <w:kern w:val="2"/>
          <w:shd w:val="clear" w:color="auto" w:fill="FFFFFF"/>
          <w:lang w:val="es-ES"/>
          <w14:ligatures w14:val="standardContextual"/>
        </w:rPr>
      </w:pPr>
    </w:p>
    <w:p w14:paraId="5F9431F9" w14:textId="77777777" w:rsidR="000A6B2B" w:rsidRPr="000A6B2B" w:rsidRDefault="000A6B2B" w:rsidP="000A6B2B">
      <w:pPr>
        <w:spacing w:after="0" w:line="276" w:lineRule="auto"/>
        <w:jc w:val="both"/>
        <w:rPr>
          <w:rFonts w:ascii="Verdana" w:eastAsia="Calibri" w:hAnsi="Verdana" w:cs="Arial"/>
          <w:shd w:val="clear" w:color="auto" w:fill="FFFFFF"/>
          <w:lang w:val="es-ES" w:eastAsia="es-MX"/>
        </w:rPr>
      </w:pPr>
      <w:r w:rsidRPr="000A6B2B">
        <w:rPr>
          <w:rFonts w:ascii="Verdana" w:eastAsia="Calibri" w:hAnsi="Verdana" w:cs="Arial"/>
          <w:shd w:val="clear" w:color="auto" w:fill="FFFFFF"/>
          <w:lang w:val="es-ES" w:eastAsia="es-MX"/>
        </w:rPr>
        <w:t>La Agencia Nacional de Contratación Pública – Colombia Compra Eficiente se pronunció</w:t>
      </w:r>
      <w:r w:rsidRPr="000A6B2B">
        <w:rPr>
          <w:rFonts w:ascii="Verdana" w:eastAsia="Calibri" w:hAnsi="Verdana" w:cs="Times New Roman"/>
          <w:lang w:eastAsia="es-MX"/>
        </w:rPr>
        <w:t xml:space="preserve"> </w:t>
      </w:r>
      <w:r w:rsidRPr="000A6B2B">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0A6B2B">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C-186 del 16 de marzo de 2026, C-258 del 19 de marzo de 2026, C-392 del 20 de abril de 2026, C-386 del 23 de abril de 2026, C-475 del 23 de abril de 2026, C-452 del 4 de mayo de 2026, C-583 del 8 de mayo de 2026, C-682 del 22 de mayo de 2026, C-754 del 17 de junio de 2026, C-1048 del 5 de agosto de 2026, C-1268 del 15 de septiembre de 2026, C-1318 del 25 de septiembre de 2026 y C-1349 del 6 de octubre de 2026 entre otros. </w:t>
      </w:r>
    </w:p>
    <w:p w14:paraId="534E0F46" w14:textId="77777777" w:rsidR="000A6B2B" w:rsidRPr="000A6B2B" w:rsidRDefault="000A6B2B" w:rsidP="000A6B2B">
      <w:pPr>
        <w:spacing w:after="0" w:line="240" w:lineRule="auto"/>
        <w:jc w:val="both"/>
        <w:rPr>
          <w:rFonts w:ascii="Verdana" w:eastAsia="Calibri" w:hAnsi="Verdana" w:cs="Arial"/>
          <w:color w:val="000000"/>
          <w:shd w:val="clear" w:color="auto" w:fill="FFFFFF"/>
          <w:lang w:val="es-ES" w:eastAsia="es-MX"/>
        </w:rPr>
      </w:pPr>
    </w:p>
    <w:p w14:paraId="74ACC6E5" w14:textId="77777777" w:rsidR="000A6B2B" w:rsidRPr="000A6B2B" w:rsidRDefault="000A6B2B" w:rsidP="000A6B2B">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0A6B2B">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0A6B2B">
          <w:rPr>
            <w:rFonts w:ascii="Verdana" w:eastAsia="Calibri" w:hAnsi="Verdana" w:cs="Arial"/>
            <w:color w:val="0000FF"/>
            <w:u w:val="single"/>
            <w:shd w:val="clear" w:color="auto" w:fill="FFFFFF"/>
            <w:lang w:eastAsia="es-MX"/>
          </w:rPr>
          <w:t>https://relatoria.colombiacompra.gov.co/</w:t>
        </w:r>
      </w:hyperlink>
      <w:r w:rsidRPr="000A6B2B">
        <w:rPr>
          <w:rFonts w:ascii="Verdana" w:eastAsia="Calibri" w:hAnsi="Verdana" w:cs="Arial"/>
          <w:color w:val="0000FF"/>
          <w:u w:val="single"/>
          <w:shd w:val="clear" w:color="auto" w:fill="FFFFFF"/>
          <w:lang w:eastAsia="es-MX"/>
        </w:rPr>
        <w:t> .</w:t>
      </w:r>
    </w:p>
    <w:p w14:paraId="2357308F" w14:textId="77777777" w:rsidR="000A6B2B" w:rsidRPr="000A6B2B" w:rsidRDefault="000A6B2B" w:rsidP="000A6B2B">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62EEB10B" w14:textId="77777777" w:rsidR="000A6B2B" w:rsidRPr="000A6B2B" w:rsidRDefault="000A6B2B" w:rsidP="000A6B2B">
      <w:pPr>
        <w:spacing w:after="0" w:line="276" w:lineRule="auto"/>
        <w:jc w:val="both"/>
        <w:rPr>
          <w:rFonts w:ascii="Verdana" w:eastAsia="Aptos" w:hAnsi="Verdana" w:cs="Times New Roman"/>
          <w:kern w:val="2"/>
          <w14:ligatures w14:val="standardContextual"/>
        </w:rPr>
      </w:pPr>
      <w:r w:rsidRPr="000A6B2B">
        <w:rPr>
          <w:rFonts w:ascii="Verdana" w:eastAsia="Aptos" w:hAnsi="Verdana" w:cs="Times New Roman"/>
          <w:color w:val="000000"/>
          <w:kern w:val="2"/>
          <w14:ligatures w14:val="standardContextual"/>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A6B2B">
        <w:rPr>
          <w:rFonts w:ascii="Verdana" w:eastAsia="Aptos" w:hAnsi="Verdana" w:cs="Times New Roman"/>
          <w:b/>
          <w:bCs/>
          <w:color w:val="000000"/>
          <w:kern w:val="2"/>
          <w14:ligatures w14:val="standardContextual"/>
        </w:rPr>
        <w:t>Guía para la Exigencia y Constitución de Garantías en los Procesos de Contratación</w:t>
      </w:r>
      <w:r w:rsidRPr="000A6B2B">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0A6B2B">
          <w:rPr>
            <w:rFonts w:ascii="Verdana" w:eastAsia="Aptos" w:hAnsi="Verdana" w:cs="Times New Roman"/>
            <w:color w:val="0078D7"/>
            <w:kern w:val="2"/>
            <w:u w:val="single"/>
            <w14:ligatures w14:val="standardContextual"/>
          </w:rPr>
          <w:t>https://www.colombiacompra.gov.co/archivos/manual/guia-de-garantias-en-procesos-de-contratacion</w:t>
        </w:r>
      </w:hyperlink>
    </w:p>
    <w:p w14:paraId="7A0ADDB1" w14:textId="77777777" w:rsidR="000A6B2B" w:rsidRPr="000A6B2B" w:rsidRDefault="000A6B2B" w:rsidP="000A6B2B">
      <w:pPr>
        <w:spacing w:after="0" w:line="276" w:lineRule="auto"/>
        <w:jc w:val="both"/>
        <w:rPr>
          <w:rFonts w:ascii="Verdana" w:eastAsia="Aptos" w:hAnsi="Verdana" w:cs="Times New Roman"/>
          <w:kern w:val="2"/>
          <w14:ligatures w14:val="standardContextual"/>
        </w:rPr>
      </w:pPr>
    </w:p>
    <w:p w14:paraId="0DE7C252" w14:textId="77777777" w:rsidR="000A6B2B" w:rsidRPr="000A6B2B" w:rsidRDefault="000A6B2B" w:rsidP="000A6B2B">
      <w:pPr>
        <w:spacing w:after="0" w:line="276" w:lineRule="auto"/>
        <w:jc w:val="both"/>
        <w:rPr>
          <w:rFonts w:ascii="Verdana" w:eastAsia="Aptos" w:hAnsi="Verdana" w:cs="Times New Roman"/>
          <w:kern w:val="2"/>
          <w14:ligatures w14:val="standardContextual"/>
        </w:rPr>
      </w:pPr>
      <w:r w:rsidRPr="000A6B2B">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0A6B2B">
        <w:rPr>
          <w:rFonts w:ascii="Verdana" w:eastAsia="Aptos" w:hAnsi="Verdana" w:cs="Times New Roman"/>
          <w:b/>
          <w:bCs/>
          <w:color w:val="000000"/>
          <w:kern w:val="2"/>
          <w14:ligatures w14:val="standardContextual"/>
        </w:rPr>
        <w:t>Sistema Integral de Preferencias en favor de las personas con discapacidad</w:t>
      </w:r>
      <w:r w:rsidRPr="000A6B2B">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0A6B2B">
        <w:rPr>
          <w:rFonts w:ascii="Verdana" w:eastAsia="Aptos" w:hAnsi="Verdana" w:cs="Times New Roman"/>
          <w:b/>
          <w:bCs/>
          <w:color w:val="000000"/>
          <w:kern w:val="2"/>
          <w14:ligatures w14:val="standardContextual"/>
        </w:rPr>
        <w:t>Circular Externa 003 del 12 de mayo de 2026, </w:t>
      </w:r>
      <w:r w:rsidRPr="000A6B2B">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0A6B2B">
          <w:rPr>
            <w:rFonts w:ascii="Verdana" w:eastAsia="Aptos" w:hAnsi="Verdana" w:cs="Times New Roman"/>
            <w:color w:val="0078D7"/>
            <w:kern w:val="2"/>
            <w:u w:val="single"/>
            <w14:ligatures w14:val="standardContextual"/>
          </w:rPr>
          <w:t>https://www.colombiacompra.gov.co/archivos/circular/circular-externa-003-de-2026</w:t>
        </w:r>
      </w:hyperlink>
    </w:p>
    <w:p w14:paraId="0F167060" w14:textId="77777777" w:rsidR="000A6B2B" w:rsidRPr="000A6B2B" w:rsidRDefault="000A6B2B" w:rsidP="000A6B2B">
      <w:pPr>
        <w:spacing w:after="0" w:line="276" w:lineRule="auto"/>
        <w:jc w:val="both"/>
        <w:rPr>
          <w:rFonts w:ascii="Verdana" w:eastAsia="Aptos" w:hAnsi="Verdana" w:cs="Times New Roman"/>
          <w:color w:val="000000"/>
          <w:kern w:val="2"/>
          <w14:ligatures w14:val="standardContextual"/>
        </w:rPr>
      </w:pPr>
    </w:p>
    <w:p w14:paraId="6AE1C945" w14:textId="77777777" w:rsidR="000A6B2B" w:rsidRPr="000A6B2B" w:rsidRDefault="000A6B2B" w:rsidP="000A6B2B">
      <w:pPr>
        <w:spacing w:after="0" w:line="276" w:lineRule="auto"/>
        <w:jc w:val="both"/>
        <w:rPr>
          <w:rFonts w:ascii="Verdana" w:eastAsia="Aptos" w:hAnsi="Verdana" w:cs="Times New Roman"/>
          <w:kern w:val="2"/>
          <w14:ligatures w14:val="standardContextual"/>
        </w:rPr>
      </w:pPr>
      <w:r w:rsidRPr="000A6B2B">
        <w:rPr>
          <w:rFonts w:ascii="Verdana" w:eastAsia="Aptos" w:hAnsi="Verdana" w:cs="Times New Roman"/>
          <w:color w:val="000000"/>
          <w:kern w:val="2"/>
          <w14:ligatures w14:val="standardContextual"/>
        </w:rPr>
        <w:t>Recuerda también que la</w:t>
      </w:r>
      <w:r w:rsidRPr="000A6B2B">
        <w:rPr>
          <w:rFonts w:ascii="Verdana" w:eastAsia="Aptos" w:hAnsi="Verdana" w:cs="Times New Roman"/>
          <w:b/>
          <w:bCs/>
          <w:color w:val="000000"/>
          <w:kern w:val="2"/>
          <w14:ligatures w14:val="standardContextual"/>
        </w:rPr>
        <w:t> información sobre sanciones e inhabilidades </w:t>
      </w:r>
      <w:r w:rsidRPr="000A6B2B">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0A6B2B">
        <w:rPr>
          <w:rFonts w:ascii="Verdana" w:eastAsia="Aptos" w:hAnsi="Verdana" w:cs="Times New Roman"/>
          <w:b/>
          <w:bCs/>
          <w:color w:val="000000"/>
          <w:kern w:val="2"/>
          <w14:ligatures w14:val="standardContextual"/>
        </w:rPr>
        <w:t>Circular Externa 002 del 5 de mayo de 2026,</w:t>
      </w:r>
      <w:r w:rsidRPr="000A6B2B">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0A6B2B">
          <w:rPr>
            <w:rFonts w:ascii="Verdana" w:eastAsia="Aptos" w:hAnsi="Verdana" w:cs="Times New Roman"/>
            <w:color w:val="0078D7"/>
            <w:kern w:val="2"/>
            <w:u w:val="single"/>
            <w14:ligatures w14:val="standardContextual"/>
          </w:rPr>
          <w:t>https://www.colombiacompra.gov.co/archivos/circular/circular-externa-002-de-2026</w:t>
        </w:r>
      </w:hyperlink>
    </w:p>
    <w:p w14:paraId="72F35752" w14:textId="77777777" w:rsidR="000A6B2B" w:rsidRPr="000A6B2B" w:rsidRDefault="000A6B2B" w:rsidP="000A6B2B">
      <w:pPr>
        <w:spacing w:after="0" w:line="276" w:lineRule="auto"/>
        <w:jc w:val="both"/>
        <w:rPr>
          <w:rFonts w:ascii="Verdana" w:eastAsia="Aptos" w:hAnsi="Verdana" w:cs="Times New Roman"/>
          <w:color w:val="000000"/>
          <w:kern w:val="2"/>
          <w14:ligatures w14:val="standardContextual"/>
        </w:rPr>
      </w:pPr>
    </w:p>
    <w:p w14:paraId="7C69DD58" w14:textId="77777777" w:rsidR="000A6B2B" w:rsidRPr="000A6B2B" w:rsidRDefault="000A6B2B" w:rsidP="000A6B2B">
      <w:pPr>
        <w:spacing w:after="0" w:line="276" w:lineRule="auto"/>
        <w:jc w:val="both"/>
        <w:rPr>
          <w:rFonts w:ascii="Verdana" w:eastAsia="Aptos" w:hAnsi="Verdana" w:cs="Times New Roman"/>
          <w:color w:val="000000"/>
          <w:kern w:val="2"/>
          <w14:ligatures w14:val="standardContextual"/>
        </w:rPr>
      </w:pPr>
      <w:r w:rsidRPr="000A6B2B">
        <w:rPr>
          <w:rFonts w:ascii="Verdana" w:eastAsia="Aptos" w:hAnsi="Verdana" w:cs="Times New Roman"/>
          <w:color w:val="000000"/>
          <w:kern w:val="2"/>
          <w14:ligatures w14:val="standardContextual"/>
        </w:rPr>
        <w:lastRenderedPageBreak/>
        <w:t>Finalmente, si quieres seguir de cerca la actividad de la Agencia, la tercera edición de 2026 del</w:t>
      </w:r>
      <w:r w:rsidRPr="000A6B2B">
        <w:rPr>
          <w:rFonts w:ascii="Verdana" w:eastAsia="Aptos" w:hAnsi="Verdana" w:cs="Times New Roman"/>
          <w:b/>
          <w:bCs/>
          <w:color w:val="000000"/>
          <w:kern w:val="2"/>
          <w14:ligatures w14:val="standardContextual"/>
        </w:rPr>
        <w:t> Radar de la Compra Pública</w:t>
      </w:r>
      <w:r w:rsidRPr="000A6B2B">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0A6B2B">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0A6B2B">
        <w:rPr>
          <w:rFonts w:ascii="Verdana" w:eastAsia="Aptos" w:hAnsi="Verdana" w:cs="Times New Roman"/>
          <w:color w:val="000000"/>
          <w:kern w:val="2"/>
          <w14:ligatures w14:val="standardContextual"/>
        </w:rPr>
        <w:t>"</w:t>
      </w:r>
    </w:p>
    <w:p w14:paraId="045D8337" w14:textId="77777777" w:rsidR="000A6B2B" w:rsidRPr="000A6B2B" w:rsidRDefault="000A6B2B" w:rsidP="000A6B2B">
      <w:pPr>
        <w:spacing w:after="0" w:line="276" w:lineRule="auto"/>
        <w:jc w:val="both"/>
        <w:rPr>
          <w:rFonts w:ascii="Verdana" w:eastAsia="Aptos" w:hAnsi="Verdana" w:cs="Times New Roman"/>
          <w:color w:val="000000"/>
          <w:kern w:val="2"/>
          <w14:ligatures w14:val="standardContextual"/>
        </w:rPr>
      </w:pPr>
    </w:p>
    <w:p w14:paraId="127F8D68" w14:textId="77777777" w:rsidR="000A6B2B" w:rsidRPr="000A6B2B" w:rsidRDefault="000A6B2B" w:rsidP="000A6B2B">
      <w:pPr>
        <w:spacing w:after="0" w:line="276" w:lineRule="auto"/>
        <w:jc w:val="both"/>
        <w:rPr>
          <w:rFonts w:ascii="Verdana" w:eastAsia="Aptos" w:hAnsi="Verdana" w:cs="Times New Roman"/>
          <w:lang w:eastAsia="es-MX"/>
        </w:rPr>
      </w:pPr>
      <w:r w:rsidRPr="000A6B2B">
        <w:rPr>
          <w:rFonts w:ascii="Verdana" w:eastAsia="Aptos" w:hAnsi="Verdana" w:cs="Times New Roman"/>
          <w:lang w:eastAsia="es-MX"/>
        </w:rPr>
        <w:t xml:space="preserve">Por último, lo invitamos a seguirnos en las redes sociales en las cuales se difunde información institucional: </w:t>
      </w:r>
    </w:p>
    <w:p w14:paraId="426079A4" w14:textId="77777777" w:rsidR="000A6B2B" w:rsidRPr="000A6B2B" w:rsidRDefault="000A6B2B" w:rsidP="000A6B2B">
      <w:pPr>
        <w:spacing w:after="0" w:line="276" w:lineRule="auto"/>
        <w:jc w:val="both"/>
        <w:rPr>
          <w:rFonts w:ascii="Verdana" w:eastAsia="Calibri" w:hAnsi="Verdana" w:cs="Times New Roman"/>
          <w:lang w:eastAsia="es-MX"/>
        </w:rPr>
      </w:pPr>
    </w:p>
    <w:p w14:paraId="0A275E86" w14:textId="77777777" w:rsidR="000A6B2B" w:rsidRPr="000A6B2B" w:rsidRDefault="000A6B2B" w:rsidP="000A6B2B">
      <w:pPr>
        <w:spacing w:after="0" w:line="276" w:lineRule="auto"/>
        <w:jc w:val="both"/>
        <w:rPr>
          <w:rFonts w:ascii="Verdana" w:eastAsia="Aptos" w:hAnsi="Verdana" w:cs="Times New Roman"/>
          <w:lang w:eastAsia="es-MX"/>
        </w:rPr>
      </w:pPr>
      <w:r w:rsidRPr="000A6B2B">
        <w:rPr>
          <w:rFonts w:ascii="Verdana" w:eastAsia="Aptos" w:hAnsi="Verdana" w:cs="Times New Roman"/>
          <w:lang w:eastAsia="es-MX"/>
        </w:rPr>
        <w:t xml:space="preserve">Twitter: </w:t>
      </w:r>
      <w:r w:rsidRPr="000A6B2B">
        <w:rPr>
          <w:rFonts w:ascii="Verdana" w:eastAsia="Calibri" w:hAnsi="Verdana" w:cs="Times New Roman"/>
          <w:color w:val="156082"/>
          <w:u w:val="single"/>
          <w:lang w:eastAsia="es-MX"/>
        </w:rPr>
        <w:t>@colombiacompra</w:t>
      </w:r>
      <w:r w:rsidRPr="000A6B2B">
        <w:rPr>
          <w:rFonts w:ascii="Verdana" w:eastAsia="Calibri" w:hAnsi="Verdana" w:cs="Times New Roman"/>
          <w:color w:val="156082"/>
          <w:lang w:eastAsia="es-MX"/>
        </w:rPr>
        <w:t xml:space="preserve"> </w:t>
      </w:r>
    </w:p>
    <w:p w14:paraId="2361FB45" w14:textId="77777777" w:rsidR="000A6B2B" w:rsidRPr="000A6B2B" w:rsidRDefault="000A6B2B" w:rsidP="000A6B2B">
      <w:pPr>
        <w:spacing w:after="0" w:line="276" w:lineRule="auto"/>
        <w:jc w:val="both"/>
        <w:rPr>
          <w:rFonts w:ascii="Verdana" w:eastAsia="Aptos" w:hAnsi="Verdana" w:cs="Times New Roman"/>
          <w:lang w:eastAsia="es-MX"/>
        </w:rPr>
      </w:pPr>
      <w:r w:rsidRPr="000A6B2B">
        <w:rPr>
          <w:rFonts w:ascii="Verdana" w:eastAsia="Aptos" w:hAnsi="Verdana" w:cs="Times New Roman"/>
          <w:lang w:eastAsia="es-MX"/>
        </w:rPr>
        <w:t xml:space="preserve">Facebook: </w:t>
      </w:r>
      <w:proofErr w:type="spellStart"/>
      <w:r w:rsidRPr="000A6B2B">
        <w:rPr>
          <w:rFonts w:ascii="Verdana" w:eastAsia="Calibri" w:hAnsi="Verdana" w:cs="Times New Roman"/>
          <w:color w:val="156082"/>
          <w:u w:val="single"/>
          <w:lang w:eastAsia="es-MX"/>
        </w:rPr>
        <w:t>ColombiaCompraEficiente</w:t>
      </w:r>
      <w:proofErr w:type="spellEnd"/>
    </w:p>
    <w:p w14:paraId="00F14F93" w14:textId="77777777" w:rsidR="000A6B2B" w:rsidRPr="000A6B2B" w:rsidRDefault="000A6B2B" w:rsidP="000A6B2B">
      <w:pPr>
        <w:spacing w:after="0" w:line="276" w:lineRule="auto"/>
        <w:jc w:val="both"/>
        <w:rPr>
          <w:rFonts w:ascii="Verdana" w:eastAsia="Aptos" w:hAnsi="Verdana" w:cs="Times New Roman"/>
          <w:lang w:eastAsia="es-MX"/>
        </w:rPr>
      </w:pPr>
      <w:r w:rsidRPr="000A6B2B">
        <w:rPr>
          <w:rFonts w:ascii="Verdana" w:eastAsia="Aptos" w:hAnsi="Verdana" w:cs="Times New Roman"/>
          <w:lang w:eastAsia="es-MX"/>
        </w:rPr>
        <w:t xml:space="preserve">LinkedIn: </w:t>
      </w:r>
      <w:r w:rsidRPr="000A6B2B">
        <w:rPr>
          <w:rFonts w:ascii="Verdana" w:eastAsia="Calibri" w:hAnsi="Verdana" w:cs="Times New Roman"/>
          <w:color w:val="156082"/>
          <w:u w:val="single"/>
          <w:lang w:eastAsia="es-MX"/>
        </w:rPr>
        <w:t>Agencia Nacional de Contratación Pública - Colombia Compra Eficiente</w:t>
      </w:r>
      <w:r w:rsidRPr="000A6B2B">
        <w:rPr>
          <w:rFonts w:ascii="Verdana" w:eastAsia="Calibri" w:hAnsi="Verdana" w:cs="Times New Roman"/>
          <w:color w:val="156082"/>
          <w:lang w:eastAsia="es-MX"/>
        </w:rPr>
        <w:t xml:space="preserve"> </w:t>
      </w:r>
      <w:r w:rsidRPr="000A6B2B">
        <w:rPr>
          <w:rFonts w:ascii="Verdana" w:eastAsia="Aptos" w:hAnsi="Verdana" w:cs="Times New Roman"/>
          <w:lang w:eastAsia="es-MX"/>
        </w:rPr>
        <w:t xml:space="preserve">Instagram: </w:t>
      </w:r>
      <w:r w:rsidRPr="000A6B2B">
        <w:rPr>
          <w:rFonts w:ascii="Verdana" w:eastAsia="Calibri" w:hAnsi="Verdana" w:cs="Times New Roman"/>
          <w:color w:val="156082"/>
          <w:u w:val="single"/>
          <w:lang w:eastAsia="es-MX"/>
        </w:rPr>
        <w:t>@colombiacompraeficiente_cce</w:t>
      </w:r>
    </w:p>
    <w:p w14:paraId="44867525" w14:textId="77777777" w:rsidR="000A6B2B" w:rsidRPr="000A6B2B" w:rsidRDefault="000A6B2B" w:rsidP="000A6B2B">
      <w:pPr>
        <w:spacing w:after="0" w:line="276" w:lineRule="auto"/>
        <w:jc w:val="both"/>
        <w:rPr>
          <w:rFonts w:ascii="Verdana" w:eastAsia="Aptos" w:hAnsi="Verdana" w:cs="Times New Roman"/>
          <w:lang w:eastAsia="es-MX"/>
        </w:rPr>
      </w:pPr>
    </w:p>
    <w:p w14:paraId="7548F5DD" w14:textId="77777777" w:rsidR="000A6B2B" w:rsidRPr="000A6B2B" w:rsidRDefault="000A6B2B" w:rsidP="000A6B2B">
      <w:pPr>
        <w:spacing w:after="0" w:line="276" w:lineRule="auto"/>
        <w:jc w:val="both"/>
        <w:rPr>
          <w:rFonts w:ascii="Verdana" w:eastAsia="Calibri" w:hAnsi="Verdana" w:cs="Times New Roman"/>
          <w:bCs/>
          <w:lang w:val="es-ES_tradnl" w:eastAsia="es-MX"/>
        </w:rPr>
      </w:pPr>
      <w:r w:rsidRPr="000A6B2B">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B0D1A65" w14:textId="77777777" w:rsidR="000A6B2B" w:rsidRPr="000A6B2B" w:rsidRDefault="000A6B2B" w:rsidP="000A6B2B">
      <w:pPr>
        <w:spacing w:after="0" w:line="276" w:lineRule="auto"/>
        <w:jc w:val="both"/>
        <w:rPr>
          <w:rFonts w:ascii="Verdana" w:eastAsia="Calibri" w:hAnsi="Verdana" w:cs="Times New Roman"/>
          <w:lang w:eastAsia="es-MX"/>
        </w:rPr>
      </w:pPr>
    </w:p>
    <w:p w14:paraId="10BA58F4" w14:textId="77777777" w:rsidR="000A6B2B" w:rsidRPr="000A6B2B" w:rsidRDefault="000A6B2B" w:rsidP="000A6B2B">
      <w:pPr>
        <w:spacing w:after="0" w:line="276" w:lineRule="auto"/>
        <w:jc w:val="both"/>
        <w:rPr>
          <w:rFonts w:ascii="Verdana" w:eastAsia="Calibri" w:hAnsi="Verdana" w:cs="Times New Roman"/>
          <w:lang w:eastAsia="es-MX"/>
        </w:rPr>
      </w:pPr>
      <w:r w:rsidRPr="000A6B2B">
        <w:rPr>
          <w:rFonts w:ascii="Verdana" w:eastAsia="Calibri" w:hAnsi="Verdana" w:cs="Times New Roman"/>
          <w:lang w:eastAsia="es-MX"/>
        </w:rPr>
        <w:t>Atentamente,</w:t>
      </w:r>
    </w:p>
    <w:p w14:paraId="57F34E53" w14:textId="6CF824AC" w:rsidR="000A6B2B" w:rsidRPr="000A6B2B" w:rsidRDefault="00DA354C" w:rsidP="000A6B2B">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06A3D958" wp14:editId="57D45399">
            <wp:extent cx="1525430" cy="654876"/>
            <wp:effectExtent l="0" t="0" r="0" b="571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1616888" cy="694139"/>
                    </a:xfrm>
                    <a:prstGeom prst="rect">
                      <a:avLst/>
                    </a:prstGeom>
                  </pic:spPr>
                </pic:pic>
              </a:graphicData>
            </a:graphic>
          </wp:inline>
        </w:drawing>
      </w:r>
    </w:p>
    <w:p w14:paraId="2C109D25" w14:textId="77777777" w:rsidR="000A6B2B" w:rsidRPr="000A6B2B" w:rsidRDefault="000A6B2B" w:rsidP="000A6B2B">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0A6B2B" w:rsidRPr="000A6B2B" w14:paraId="5BB4ACC8" w14:textId="77777777" w:rsidTr="009E3879">
        <w:trPr>
          <w:trHeight w:val="323"/>
        </w:trPr>
        <w:tc>
          <w:tcPr>
            <w:tcW w:w="1041" w:type="dxa"/>
            <w:vAlign w:val="center"/>
            <w:hideMark/>
          </w:tcPr>
          <w:p w14:paraId="146969DD" w14:textId="77777777" w:rsidR="000A6B2B" w:rsidRPr="000A6B2B" w:rsidRDefault="000A6B2B" w:rsidP="000A6B2B">
            <w:pPr>
              <w:rPr>
                <w:rFonts w:ascii="Verdana" w:eastAsia="Calibri" w:hAnsi="Verdana" w:cs="Arial"/>
                <w:sz w:val="16"/>
                <w:szCs w:val="16"/>
                <w:lang w:val="es-ES_tradnl" w:eastAsia="es-ES"/>
              </w:rPr>
            </w:pPr>
            <w:r w:rsidRPr="000A6B2B">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B0EF976" w14:textId="77777777" w:rsidR="000A6B2B" w:rsidRPr="000A6B2B" w:rsidRDefault="000A6B2B" w:rsidP="000A6B2B">
            <w:pPr>
              <w:rPr>
                <w:rFonts w:ascii="Verdana" w:eastAsia="Arial" w:hAnsi="Verdana" w:cs="Arial"/>
                <w:sz w:val="16"/>
                <w:szCs w:val="16"/>
                <w:lang w:val="es-ES" w:eastAsia="es-MX"/>
              </w:rPr>
            </w:pPr>
            <w:r w:rsidRPr="000A6B2B">
              <w:rPr>
                <w:rFonts w:ascii="Verdana" w:eastAsia="Arial" w:hAnsi="Verdana" w:cs="Arial"/>
                <w:sz w:val="16"/>
                <w:szCs w:val="16"/>
                <w:lang w:val="es-ES" w:eastAsia="es-MX"/>
              </w:rPr>
              <w:t xml:space="preserve">Carlos Mario Castrillón Endo </w:t>
            </w:r>
          </w:p>
          <w:p w14:paraId="7884E3DA" w14:textId="77777777" w:rsidR="000A6B2B" w:rsidRPr="000A6B2B" w:rsidRDefault="000A6B2B" w:rsidP="000A6B2B">
            <w:pPr>
              <w:rPr>
                <w:rFonts w:ascii="Verdana" w:eastAsia="Arial" w:hAnsi="Verdana" w:cs="Arial"/>
                <w:sz w:val="16"/>
                <w:szCs w:val="16"/>
                <w:lang w:val="es-ES_tradnl" w:eastAsia="es-MX"/>
              </w:rPr>
            </w:pPr>
            <w:r w:rsidRPr="000A6B2B">
              <w:rPr>
                <w:rFonts w:ascii="Verdana" w:eastAsia="Arial" w:hAnsi="Verdana" w:cs="Arial"/>
                <w:sz w:val="16"/>
                <w:szCs w:val="16"/>
                <w:lang w:val="es-ES_tradnl" w:eastAsia="es-MX"/>
              </w:rPr>
              <w:t>Contratista de la Subdirección de Gestión Contractual</w:t>
            </w:r>
          </w:p>
          <w:p w14:paraId="1D26270C" w14:textId="77777777" w:rsidR="000A6B2B" w:rsidRPr="000A6B2B" w:rsidRDefault="000A6B2B" w:rsidP="000A6B2B">
            <w:pPr>
              <w:rPr>
                <w:rFonts w:ascii="Verdana" w:eastAsia="Arial" w:hAnsi="Verdana" w:cs="Arial"/>
                <w:sz w:val="16"/>
                <w:szCs w:val="16"/>
                <w:lang w:val="es-ES_tradnl" w:eastAsia="es-MX"/>
              </w:rPr>
            </w:pPr>
          </w:p>
        </w:tc>
      </w:tr>
      <w:tr w:rsidR="000A6B2B" w:rsidRPr="000A6B2B" w14:paraId="3491FB08" w14:textId="77777777" w:rsidTr="009E3879">
        <w:trPr>
          <w:trHeight w:val="338"/>
        </w:trPr>
        <w:tc>
          <w:tcPr>
            <w:tcW w:w="1041" w:type="dxa"/>
            <w:vAlign w:val="center"/>
            <w:hideMark/>
          </w:tcPr>
          <w:p w14:paraId="3D55620D" w14:textId="77777777" w:rsidR="000A6B2B" w:rsidRPr="000A6B2B" w:rsidRDefault="000A6B2B" w:rsidP="000A6B2B">
            <w:pPr>
              <w:rPr>
                <w:rFonts w:ascii="Verdana" w:eastAsia="Calibri" w:hAnsi="Verdana" w:cs="Arial"/>
                <w:sz w:val="16"/>
                <w:szCs w:val="16"/>
                <w:lang w:val="es-ES_tradnl" w:eastAsia="es-ES"/>
              </w:rPr>
            </w:pPr>
            <w:r w:rsidRPr="000A6B2B">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0F9F6E0F" w14:textId="77777777" w:rsidR="000A6B2B" w:rsidRPr="000A6B2B" w:rsidRDefault="000A6B2B" w:rsidP="000A6B2B">
            <w:pPr>
              <w:rPr>
                <w:rFonts w:ascii="Verdana" w:eastAsia="Arial" w:hAnsi="Verdana" w:cs="Arial"/>
                <w:sz w:val="16"/>
                <w:szCs w:val="16"/>
                <w:lang w:val="es-ES_tradnl" w:eastAsia="es-MX"/>
              </w:rPr>
            </w:pPr>
            <w:r w:rsidRPr="000A6B2B">
              <w:rPr>
                <w:rFonts w:ascii="Verdana" w:eastAsia="Arial" w:hAnsi="Verdana" w:cs="Arial"/>
                <w:sz w:val="16"/>
                <w:szCs w:val="16"/>
                <w:lang w:val="es-ES_tradnl" w:eastAsia="es-MX"/>
              </w:rPr>
              <w:t>Alexandra Rodríguez Motta</w:t>
            </w:r>
          </w:p>
          <w:p w14:paraId="724DE70D" w14:textId="77777777" w:rsidR="000A6B2B" w:rsidRPr="000A6B2B" w:rsidRDefault="000A6B2B" w:rsidP="000A6B2B">
            <w:pPr>
              <w:rPr>
                <w:rFonts w:ascii="Verdana" w:eastAsia="Arial" w:hAnsi="Verdana" w:cs="Arial"/>
                <w:sz w:val="16"/>
                <w:szCs w:val="16"/>
                <w:lang w:val="es-ES_tradnl" w:eastAsia="es-MX"/>
              </w:rPr>
            </w:pPr>
            <w:r w:rsidRPr="000A6B2B">
              <w:rPr>
                <w:rFonts w:ascii="Verdana" w:eastAsia="Arial" w:hAnsi="Verdana" w:cs="Arial"/>
                <w:sz w:val="16"/>
                <w:szCs w:val="16"/>
                <w:lang w:val="es-ES_tradnl" w:eastAsia="es-MX"/>
              </w:rPr>
              <w:t>Contratista de la Subdirección de Gestión Contractual</w:t>
            </w:r>
          </w:p>
          <w:p w14:paraId="31A5C101" w14:textId="77777777" w:rsidR="000A6B2B" w:rsidRPr="000A6B2B" w:rsidRDefault="000A6B2B" w:rsidP="000A6B2B">
            <w:pPr>
              <w:rPr>
                <w:rFonts w:ascii="Verdana" w:eastAsia="Arial" w:hAnsi="Verdana" w:cs="Arial"/>
                <w:sz w:val="16"/>
                <w:szCs w:val="16"/>
                <w:lang w:val="es-ES_tradnl" w:eastAsia="es-MX"/>
              </w:rPr>
            </w:pPr>
            <w:r w:rsidRPr="000A6B2B">
              <w:rPr>
                <w:rFonts w:ascii="Verdana" w:eastAsia="Arial" w:hAnsi="Verdana" w:cs="Arial"/>
                <w:sz w:val="16"/>
                <w:szCs w:val="16"/>
                <w:lang w:val="es-ES_tradnl" w:eastAsia="es-MX"/>
              </w:rPr>
              <w:t xml:space="preserve">Adriana Katherine López Rodríguez </w:t>
            </w:r>
          </w:p>
          <w:p w14:paraId="3EEA10C4" w14:textId="77777777" w:rsidR="000A6B2B" w:rsidRPr="000A6B2B" w:rsidRDefault="000A6B2B" w:rsidP="000A6B2B">
            <w:pPr>
              <w:rPr>
                <w:rFonts w:ascii="Verdana" w:eastAsia="Arial" w:hAnsi="Verdana" w:cs="Arial"/>
                <w:sz w:val="16"/>
                <w:szCs w:val="16"/>
                <w:lang w:val="es-ES_tradnl" w:eastAsia="es-MX"/>
              </w:rPr>
            </w:pPr>
            <w:r w:rsidRPr="000A6B2B">
              <w:rPr>
                <w:rFonts w:ascii="Verdana" w:eastAsia="Arial" w:hAnsi="Verdana" w:cs="Arial"/>
                <w:sz w:val="16"/>
                <w:szCs w:val="16"/>
                <w:lang w:val="es-ES_tradnl" w:eastAsia="es-MX"/>
              </w:rPr>
              <w:t>Contratista de la Subdirección de Gestión Contractual</w:t>
            </w:r>
          </w:p>
        </w:tc>
      </w:tr>
      <w:tr w:rsidR="000A6B2B" w:rsidRPr="000A6B2B" w14:paraId="2493CBAE" w14:textId="77777777" w:rsidTr="009E3879">
        <w:trPr>
          <w:trHeight w:val="308"/>
        </w:trPr>
        <w:tc>
          <w:tcPr>
            <w:tcW w:w="1041" w:type="dxa"/>
            <w:vAlign w:val="center"/>
          </w:tcPr>
          <w:p w14:paraId="5F5834DA" w14:textId="77777777" w:rsidR="000A6B2B" w:rsidRPr="000A6B2B" w:rsidRDefault="000A6B2B" w:rsidP="000A6B2B">
            <w:pPr>
              <w:rPr>
                <w:rFonts w:ascii="Verdana" w:eastAsia="Calibri" w:hAnsi="Verdana" w:cs="Arial"/>
                <w:sz w:val="16"/>
                <w:szCs w:val="16"/>
                <w:lang w:val="es-ES_tradnl" w:eastAsia="es-ES"/>
              </w:rPr>
            </w:pPr>
            <w:r w:rsidRPr="000A6B2B">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55F06BF5" w14:textId="77777777" w:rsidR="000A6B2B" w:rsidRPr="000A6B2B" w:rsidRDefault="000A6B2B" w:rsidP="000A6B2B">
            <w:pPr>
              <w:rPr>
                <w:rFonts w:ascii="Verdana" w:eastAsia="Calibri" w:hAnsi="Verdana" w:cs="Arial"/>
                <w:sz w:val="16"/>
                <w:szCs w:val="16"/>
                <w:lang w:val="es-ES" w:eastAsia="es-ES"/>
              </w:rPr>
            </w:pPr>
            <w:r w:rsidRPr="000A6B2B">
              <w:rPr>
                <w:rFonts w:ascii="Verdana" w:eastAsia="Calibri" w:hAnsi="Verdana" w:cs="Arial"/>
                <w:sz w:val="16"/>
                <w:szCs w:val="16"/>
                <w:lang w:val="es-ES" w:eastAsia="es-ES"/>
              </w:rPr>
              <w:t>Carolina Quintero Gacharná</w:t>
            </w:r>
          </w:p>
          <w:p w14:paraId="036A6AE7" w14:textId="77777777" w:rsidR="000A6B2B" w:rsidRPr="000A6B2B" w:rsidRDefault="000A6B2B" w:rsidP="000A6B2B">
            <w:pPr>
              <w:rPr>
                <w:rFonts w:ascii="Verdana" w:eastAsia="Calibri" w:hAnsi="Verdana" w:cs="Arial"/>
                <w:sz w:val="16"/>
                <w:szCs w:val="16"/>
                <w:lang w:val="es-ES_tradnl" w:eastAsia="es-ES"/>
              </w:rPr>
            </w:pPr>
            <w:r w:rsidRPr="000A6B2B">
              <w:rPr>
                <w:rFonts w:ascii="Verdana" w:eastAsia="Calibri" w:hAnsi="Verdana" w:cs="Arial"/>
                <w:sz w:val="16"/>
                <w:szCs w:val="16"/>
                <w:lang w:val="es-ES_tradnl" w:eastAsia="es-ES"/>
              </w:rPr>
              <w:t>Subdirectora de Gestión Contractual ANCP – CCE</w:t>
            </w:r>
          </w:p>
        </w:tc>
      </w:tr>
      <w:bookmarkEnd w:id="0"/>
    </w:tbl>
    <w:p w14:paraId="69BC4D14" w14:textId="2A8967CC"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6E1B2" w14:textId="77777777" w:rsidR="00C57F1A" w:rsidRDefault="00C57F1A" w:rsidP="004A1847">
      <w:pPr>
        <w:spacing w:after="0" w:line="240" w:lineRule="auto"/>
      </w:pPr>
      <w:r>
        <w:separator/>
      </w:r>
    </w:p>
  </w:endnote>
  <w:endnote w:type="continuationSeparator" w:id="0">
    <w:p w14:paraId="75A989E4" w14:textId="77777777" w:rsidR="00C57F1A" w:rsidRDefault="00C57F1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FAADE" w14:textId="77777777" w:rsidR="00C57F1A" w:rsidRDefault="00C57F1A" w:rsidP="004A1847">
      <w:pPr>
        <w:spacing w:after="0" w:line="240" w:lineRule="auto"/>
      </w:pPr>
      <w:r>
        <w:separator/>
      </w:r>
    </w:p>
  </w:footnote>
  <w:footnote w:type="continuationSeparator" w:id="0">
    <w:p w14:paraId="6FA9DB7E" w14:textId="77777777" w:rsidR="00C57F1A" w:rsidRDefault="00C57F1A" w:rsidP="004A1847">
      <w:pPr>
        <w:spacing w:after="0" w:line="240" w:lineRule="auto"/>
      </w:pPr>
      <w:r>
        <w:continuationSeparator/>
      </w:r>
    </w:p>
  </w:footnote>
  <w:footnote w:id="1">
    <w:p w14:paraId="7BF5EA24" w14:textId="77777777" w:rsidR="000A6B2B" w:rsidRPr="00A52ADE" w:rsidRDefault="000A6B2B" w:rsidP="000A6B2B">
      <w:pPr>
        <w:pStyle w:val="Textonotapie"/>
        <w:ind w:firstLine="708"/>
        <w:jc w:val="both"/>
        <w:rPr>
          <w:rFonts w:ascii="Verdana" w:hAnsi="Verdana"/>
          <w:sz w:val="18"/>
          <w:szCs w:val="18"/>
        </w:rPr>
      </w:pPr>
      <w:r w:rsidRPr="00A52ADE">
        <w:rPr>
          <w:rStyle w:val="Refdenotaalpie"/>
          <w:rFonts w:ascii="Verdana" w:hAnsi="Verdana"/>
          <w:sz w:val="18"/>
          <w:szCs w:val="18"/>
        </w:rPr>
        <w:footnoteRef/>
      </w:r>
      <w:r w:rsidRPr="00A52ADE">
        <w:rPr>
          <w:rFonts w:ascii="Verdana" w:hAnsi="Verdana"/>
          <w:sz w:val="18"/>
          <w:szCs w:val="18"/>
        </w:rPr>
        <w:t xml:space="preserve"> Reglamento Colombiano de Construcción Sismo Resistente NSR-10</w:t>
      </w:r>
      <w:r>
        <w:rPr>
          <w:rFonts w:ascii="Verdana" w:hAnsi="Verdana"/>
          <w:sz w:val="18"/>
          <w:szCs w:val="18"/>
        </w:rPr>
        <w:t>, , numeral K.2.6.5.</w:t>
      </w:r>
    </w:p>
    <w:p w14:paraId="24246D34" w14:textId="77777777" w:rsidR="000A6B2B" w:rsidRPr="00A52ADE" w:rsidRDefault="000A6B2B" w:rsidP="000A6B2B">
      <w:pPr>
        <w:pStyle w:val="Textonotapie"/>
        <w:jc w:val="both"/>
        <w:rPr>
          <w:rFonts w:ascii="Verdana" w:hAnsi="Verdana"/>
          <w:sz w:val="18"/>
          <w:szCs w:val="18"/>
          <w:lang w:val="es-ES_tradnl"/>
        </w:rPr>
      </w:pPr>
    </w:p>
  </w:footnote>
  <w:footnote w:id="2">
    <w:p w14:paraId="247E1C9D" w14:textId="77777777" w:rsidR="000A6B2B" w:rsidRPr="00A52ADE" w:rsidRDefault="000A6B2B" w:rsidP="000A6B2B">
      <w:pPr>
        <w:pStyle w:val="Textonotapie"/>
        <w:ind w:firstLine="708"/>
        <w:jc w:val="both"/>
        <w:rPr>
          <w:rFonts w:ascii="Verdana" w:hAnsi="Verdana"/>
          <w:sz w:val="18"/>
          <w:szCs w:val="18"/>
          <w:lang w:val="es-ES_tradnl"/>
        </w:rPr>
      </w:pPr>
      <w:r w:rsidRPr="00A52ADE">
        <w:rPr>
          <w:rStyle w:val="Refdenotaalpie"/>
          <w:rFonts w:ascii="Verdana" w:hAnsi="Verdana"/>
          <w:sz w:val="18"/>
          <w:szCs w:val="18"/>
        </w:rPr>
        <w:footnoteRef/>
      </w:r>
      <w:r w:rsidRPr="00A52ADE">
        <w:rPr>
          <w:rFonts w:ascii="Verdana" w:hAnsi="Verdana"/>
          <w:sz w:val="18"/>
          <w:szCs w:val="18"/>
        </w:rPr>
        <w:t xml:space="preserve"> </w:t>
      </w:r>
      <w:r w:rsidRPr="00A52ADE">
        <w:rPr>
          <w:rFonts w:ascii="Verdana" w:hAnsi="Verdana"/>
          <w:sz w:val="18"/>
          <w:szCs w:val="18"/>
          <w:lang w:val="es-ES_tradnl"/>
        </w:rPr>
        <w:t>Ibidem</w:t>
      </w:r>
      <w:r>
        <w:rPr>
          <w:rFonts w:ascii="Verdana" w:hAnsi="Verdana"/>
          <w:sz w:val="18"/>
          <w:szCs w:val="18"/>
        </w:rPr>
        <w:t xml:space="preserve">, Tabla K.2.6-4. </w:t>
      </w:r>
    </w:p>
    <w:p w14:paraId="151C79C5" w14:textId="77777777" w:rsidR="000A6B2B" w:rsidRPr="00A52ADE" w:rsidRDefault="000A6B2B" w:rsidP="000A6B2B">
      <w:pPr>
        <w:pStyle w:val="Textonotapie"/>
        <w:ind w:firstLine="708"/>
        <w:jc w:val="both"/>
        <w:rPr>
          <w:rFonts w:ascii="Verdana" w:hAnsi="Verdana"/>
          <w:sz w:val="18"/>
          <w:szCs w:val="18"/>
          <w:lang w:val="es-ES_tradnl"/>
        </w:rPr>
      </w:pPr>
    </w:p>
  </w:footnote>
  <w:footnote w:id="3">
    <w:p w14:paraId="00784007" w14:textId="77777777" w:rsidR="000A6B2B" w:rsidRPr="00BD5135" w:rsidRDefault="000A6B2B" w:rsidP="000A6B2B">
      <w:pPr>
        <w:pStyle w:val="Textonotapie"/>
        <w:ind w:firstLine="708"/>
        <w:rPr>
          <w:rFonts w:ascii="Verdana" w:hAnsi="Verdana"/>
          <w:sz w:val="18"/>
          <w:szCs w:val="18"/>
        </w:rPr>
      </w:pPr>
      <w:r w:rsidRPr="00BD5135">
        <w:rPr>
          <w:rFonts w:ascii="Verdana" w:hAnsi="Verdana"/>
          <w:sz w:val="18"/>
          <w:szCs w:val="18"/>
          <w:vertAlign w:val="superscript"/>
        </w:rPr>
        <w:footnoteRef/>
      </w:r>
      <w:r w:rsidRPr="00BD5135">
        <w:rPr>
          <w:rFonts w:ascii="Verdana" w:hAnsi="Verdana"/>
          <w:sz w:val="18"/>
          <w:szCs w:val="18"/>
          <w:vertAlign w:val="superscript"/>
        </w:rPr>
        <w:t xml:space="preserve"> </w:t>
      </w:r>
      <w:r>
        <w:rPr>
          <w:rFonts w:ascii="Verdana" w:hAnsi="Verdana"/>
          <w:sz w:val="18"/>
          <w:szCs w:val="18"/>
        </w:rPr>
        <w:t>Constitución Política de Colombia, artículo 218.</w:t>
      </w:r>
    </w:p>
  </w:footnote>
  <w:footnote w:id="4">
    <w:p w14:paraId="203D0EA2" w14:textId="77777777" w:rsidR="000A6B2B" w:rsidRPr="00BD5135" w:rsidRDefault="000A6B2B" w:rsidP="000A6B2B">
      <w:pPr>
        <w:pStyle w:val="Textonotapie"/>
        <w:ind w:firstLine="708"/>
        <w:jc w:val="both"/>
        <w:rPr>
          <w:rFonts w:ascii="Verdana" w:hAnsi="Verdana"/>
          <w:sz w:val="18"/>
          <w:szCs w:val="18"/>
        </w:rPr>
      </w:pPr>
      <w:r w:rsidRPr="00BD5135">
        <w:rPr>
          <w:rStyle w:val="Refdenotaalpie"/>
          <w:rFonts w:ascii="Verdana" w:hAnsi="Verdana"/>
          <w:sz w:val="18"/>
          <w:szCs w:val="18"/>
        </w:rPr>
        <w:footnoteRef/>
      </w:r>
      <w:r w:rsidRPr="00BD5135">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61671845" w14:textId="77777777" w:rsidR="000A6B2B" w:rsidRPr="00BD5135" w:rsidRDefault="000A6B2B" w:rsidP="000A6B2B">
      <w:pPr>
        <w:pStyle w:val="Textonotapie"/>
        <w:ind w:firstLine="708"/>
        <w:jc w:val="both"/>
        <w:rPr>
          <w:rFonts w:ascii="Verdana" w:hAnsi="Verdana"/>
          <w:sz w:val="18"/>
          <w:szCs w:val="18"/>
        </w:rPr>
      </w:pPr>
    </w:p>
    <w:p w14:paraId="4B1AF5FB" w14:textId="77777777" w:rsidR="000A6B2B" w:rsidRPr="00BD5135" w:rsidRDefault="000A6B2B" w:rsidP="000A6B2B">
      <w:pPr>
        <w:pStyle w:val="Textonotapie"/>
        <w:ind w:firstLine="708"/>
        <w:jc w:val="both"/>
        <w:rPr>
          <w:rFonts w:ascii="Verdana" w:hAnsi="Verdana"/>
          <w:sz w:val="18"/>
          <w:szCs w:val="18"/>
        </w:rPr>
      </w:pPr>
      <w:r w:rsidRPr="00BD5135">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645B776C" w14:textId="77777777" w:rsidR="000A6B2B" w:rsidRPr="00BD5135" w:rsidRDefault="000A6B2B" w:rsidP="000A6B2B">
      <w:pPr>
        <w:pStyle w:val="Textonotapie"/>
        <w:ind w:firstLine="708"/>
        <w:jc w:val="both"/>
        <w:rPr>
          <w:rFonts w:ascii="Verdana" w:hAnsi="Verdana"/>
          <w:sz w:val="18"/>
          <w:szCs w:val="18"/>
        </w:rPr>
      </w:pPr>
    </w:p>
    <w:p w14:paraId="240150E3" w14:textId="77777777" w:rsidR="000A6B2B" w:rsidRPr="00BD5135" w:rsidRDefault="000A6B2B" w:rsidP="000A6B2B">
      <w:pPr>
        <w:pStyle w:val="Textonotapie"/>
        <w:ind w:firstLine="708"/>
        <w:jc w:val="both"/>
        <w:rPr>
          <w:rFonts w:ascii="Verdana" w:hAnsi="Verdana"/>
          <w:sz w:val="18"/>
          <w:szCs w:val="18"/>
        </w:rPr>
      </w:pPr>
      <w:r w:rsidRPr="00BD5135">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6188E875" w14:textId="77777777" w:rsidR="000A6B2B" w:rsidRPr="00BD5135" w:rsidRDefault="000A6B2B" w:rsidP="000A6B2B">
      <w:pPr>
        <w:pStyle w:val="Textonotapie"/>
        <w:ind w:firstLine="708"/>
        <w:jc w:val="both"/>
        <w:rPr>
          <w:rFonts w:ascii="Verdana" w:hAnsi="Verdana"/>
          <w:sz w:val="18"/>
          <w:szCs w:val="18"/>
        </w:rPr>
      </w:pPr>
    </w:p>
    <w:p w14:paraId="5C4AC218" w14:textId="77777777" w:rsidR="000A6B2B" w:rsidRPr="00BD5135" w:rsidRDefault="000A6B2B" w:rsidP="000A6B2B">
      <w:pPr>
        <w:pStyle w:val="Textonotapie"/>
        <w:ind w:firstLine="708"/>
        <w:jc w:val="both"/>
        <w:rPr>
          <w:rFonts w:ascii="Verdana" w:hAnsi="Verdana"/>
          <w:sz w:val="18"/>
          <w:szCs w:val="18"/>
        </w:rPr>
      </w:pPr>
      <w:r w:rsidRPr="00BD5135">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3B04FAA5" w14:textId="77777777" w:rsidR="000A6B2B" w:rsidRPr="00BD5135" w:rsidRDefault="000A6B2B" w:rsidP="000A6B2B">
      <w:pPr>
        <w:pStyle w:val="Textonotapie"/>
        <w:ind w:firstLine="708"/>
        <w:jc w:val="both"/>
        <w:rPr>
          <w:rFonts w:ascii="Verdana" w:hAnsi="Verdana"/>
          <w:sz w:val="18"/>
          <w:szCs w:val="18"/>
        </w:rPr>
      </w:pPr>
    </w:p>
    <w:p w14:paraId="4910634F" w14:textId="77777777" w:rsidR="000A6B2B" w:rsidRPr="00BD5135" w:rsidRDefault="000A6B2B" w:rsidP="000A6B2B">
      <w:pPr>
        <w:pStyle w:val="Textonotapie"/>
        <w:ind w:firstLine="708"/>
        <w:jc w:val="both"/>
        <w:rPr>
          <w:rFonts w:ascii="Verdana" w:hAnsi="Verdana"/>
          <w:sz w:val="18"/>
          <w:szCs w:val="18"/>
        </w:rPr>
      </w:pPr>
      <w:r w:rsidRPr="00BD5135">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p w14:paraId="14BE9F99" w14:textId="77777777" w:rsidR="000A6B2B" w:rsidRPr="00BD5135" w:rsidRDefault="000A6B2B" w:rsidP="000A6B2B">
      <w:pPr>
        <w:pStyle w:val="Textonotapie"/>
        <w:ind w:firstLine="708"/>
        <w:jc w:val="both"/>
        <w:rPr>
          <w:rFonts w:ascii="Verdana" w:hAnsi="Verdana"/>
          <w:sz w:val="18"/>
          <w:szCs w:val="18"/>
        </w:rPr>
      </w:pPr>
    </w:p>
  </w:footnote>
  <w:footnote w:id="5">
    <w:p w14:paraId="6FFD7883" w14:textId="77777777" w:rsidR="000A6B2B" w:rsidRPr="00A52ADE" w:rsidRDefault="000A6B2B" w:rsidP="000A6B2B">
      <w:pPr>
        <w:pStyle w:val="Textonotapie"/>
        <w:ind w:firstLine="708"/>
        <w:jc w:val="both"/>
        <w:rPr>
          <w:rFonts w:ascii="Verdana" w:hAnsi="Verdana"/>
          <w:sz w:val="18"/>
          <w:szCs w:val="18"/>
        </w:rPr>
      </w:pPr>
      <w:r w:rsidRPr="00A52ADE">
        <w:rPr>
          <w:rStyle w:val="Refdenotaalpie"/>
          <w:rFonts w:ascii="Verdana" w:hAnsi="Verdana"/>
          <w:sz w:val="18"/>
          <w:szCs w:val="18"/>
        </w:rPr>
        <w:footnoteRef/>
      </w:r>
      <w:r w:rsidRPr="00A52ADE">
        <w:rPr>
          <w:rFonts w:ascii="Verdana" w:hAnsi="Verdana"/>
          <w:sz w:val="18"/>
          <w:szCs w:val="18"/>
        </w:rPr>
        <w:t xml:space="preserve"> Reglamento Colombiano de Construcción Sismo Resistente NSR-10</w:t>
      </w:r>
      <w:r>
        <w:rPr>
          <w:rFonts w:ascii="Verdana" w:hAnsi="Verdana"/>
          <w:sz w:val="18"/>
          <w:szCs w:val="18"/>
        </w:rPr>
        <w:t>, , numeral K.2.6.5.</w:t>
      </w:r>
    </w:p>
    <w:p w14:paraId="6A0521D0" w14:textId="77777777" w:rsidR="000A6B2B" w:rsidRPr="00A52ADE" w:rsidRDefault="000A6B2B" w:rsidP="000A6B2B">
      <w:pPr>
        <w:pStyle w:val="Textonotapie"/>
        <w:jc w:val="both"/>
        <w:rPr>
          <w:rFonts w:ascii="Verdana" w:hAnsi="Verdana"/>
          <w:sz w:val="18"/>
          <w:szCs w:val="18"/>
          <w:lang w:val="es-ES_tradnl"/>
        </w:rPr>
      </w:pPr>
    </w:p>
  </w:footnote>
  <w:footnote w:id="6">
    <w:p w14:paraId="61EF1BE0" w14:textId="77777777" w:rsidR="000A6B2B" w:rsidRPr="00A52ADE" w:rsidRDefault="000A6B2B" w:rsidP="000A6B2B">
      <w:pPr>
        <w:pStyle w:val="Textonotapie"/>
        <w:ind w:firstLine="708"/>
        <w:jc w:val="both"/>
        <w:rPr>
          <w:rFonts w:ascii="Verdana" w:hAnsi="Verdana"/>
          <w:sz w:val="18"/>
          <w:szCs w:val="18"/>
          <w:lang w:val="es-ES_tradnl"/>
        </w:rPr>
      </w:pPr>
      <w:r w:rsidRPr="00A52ADE">
        <w:rPr>
          <w:rStyle w:val="Refdenotaalpie"/>
          <w:rFonts w:ascii="Verdana" w:hAnsi="Verdana"/>
          <w:sz w:val="18"/>
          <w:szCs w:val="18"/>
        </w:rPr>
        <w:footnoteRef/>
      </w:r>
      <w:r w:rsidRPr="00A52ADE">
        <w:rPr>
          <w:rFonts w:ascii="Verdana" w:hAnsi="Verdana"/>
          <w:sz w:val="18"/>
          <w:szCs w:val="18"/>
        </w:rPr>
        <w:t xml:space="preserve"> </w:t>
      </w:r>
      <w:r w:rsidRPr="00A52ADE">
        <w:rPr>
          <w:rFonts w:ascii="Verdana" w:hAnsi="Verdana"/>
          <w:sz w:val="18"/>
          <w:szCs w:val="18"/>
          <w:lang w:val="es-ES_tradnl"/>
        </w:rPr>
        <w:t>Ibidem</w:t>
      </w:r>
      <w:r>
        <w:rPr>
          <w:rFonts w:ascii="Verdana" w:hAnsi="Verdana"/>
          <w:sz w:val="18"/>
          <w:szCs w:val="18"/>
        </w:rPr>
        <w:t xml:space="preserve">, Tabla K.2.6-4. </w:t>
      </w:r>
    </w:p>
    <w:p w14:paraId="2D0D4F1F" w14:textId="77777777" w:rsidR="000A6B2B" w:rsidRPr="00A52ADE" w:rsidRDefault="000A6B2B" w:rsidP="000A6B2B">
      <w:pPr>
        <w:pStyle w:val="Textonotapie"/>
        <w:ind w:firstLine="708"/>
        <w:jc w:val="both"/>
        <w:rPr>
          <w:rFonts w:ascii="Verdana" w:hAnsi="Verdana"/>
          <w:sz w:val="18"/>
          <w:szCs w:val="18"/>
          <w:lang w:val="es-ES_tradnl"/>
        </w:rPr>
      </w:pPr>
    </w:p>
  </w:footnote>
  <w:footnote w:id="7">
    <w:p w14:paraId="72A11D91" w14:textId="77777777" w:rsidR="000A6B2B" w:rsidRDefault="000A6B2B" w:rsidP="000A6B2B">
      <w:pPr>
        <w:pStyle w:val="Textonotapie"/>
        <w:ind w:firstLine="708"/>
        <w:jc w:val="both"/>
        <w:rPr>
          <w:rFonts w:ascii="Verdana" w:hAnsi="Verdana"/>
          <w:sz w:val="18"/>
          <w:szCs w:val="18"/>
        </w:rPr>
      </w:pPr>
      <w:r>
        <w:rPr>
          <w:rStyle w:val="FootnoteCharacters"/>
        </w:rPr>
        <w:footnoteRef/>
      </w:r>
      <w:r>
        <w:rPr>
          <w:rFonts w:ascii="Verdana" w:hAnsi="Verdana"/>
          <w:sz w:val="18"/>
          <w:szCs w:val="18"/>
        </w:rPr>
        <w:t xml:space="preserve"> Anexo 5 – Glosario, de los documentos tipo de licitación de obra pública de infraestructura social, definición 2.80. </w:t>
      </w:r>
    </w:p>
    <w:p w14:paraId="29F8448E" w14:textId="77777777" w:rsidR="000A6B2B" w:rsidRDefault="000A6B2B" w:rsidP="000A6B2B">
      <w:pPr>
        <w:pStyle w:val="Textonotapie"/>
        <w:ind w:firstLine="708"/>
        <w:jc w:val="both"/>
        <w:rPr>
          <w:rFonts w:ascii="Verdana" w:hAnsi="Verdana"/>
          <w:sz w:val="18"/>
          <w:szCs w:val="18"/>
          <w:lang w:val="es-ES_tradnl"/>
        </w:rPr>
      </w:pPr>
    </w:p>
  </w:footnote>
  <w:footnote w:id="8">
    <w:p w14:paraId="346ABF3F" w14:textId="77777777" w:rsidR="000A6B2B" w:rsidRPr="00BD5135" w:rsidRDefault="000A6B2B" w:rsidP="000A6B2B">
      <w:pPr>
        <w:pStyle w:val="Textonotapie"/>
        <w:ind w:firstLine="708"/>
        <w:rPr>
          <w:rFonts w:ascii="Verdana" w:hAnsi="Verdana"/>
          <w:sz w:val="18"/>
          <w:szCs w:val="18"/>
        </w:rPr>
      </w:pPr>
      <w:r w:rsidRPr="00BD5135">
        <w:rPr>
          <w:rFonts w:ascii="Verdana" w:hAnsi="Verdana"/>
          <w:sz w:val="18"/>
          <w:szCs w:val="18"/>
          <w:vertAlign w:val="superscript"/>
        </w:rPr>
        <w:footnoteRef/>
      </w:r>
      <w:r w:rsidRPr="00BD5135">
        <w:rPr>
          <w:rFonts w:ascii="Verdana" w:hAnsi="Verdana"/>
          <w:sz w:val="18"/>
          <w:szCs w:val="18"/>
          <w:vertAlign w:val="superscript"/>
        </w:rPr>
        <w:t xml:space="preserve"> </w:t>
      </w:r>
      <w:r>
        <w:rPr>
          <w:rFonts w:ascii="Verdana" w:hAnsi="Verdana"/>
          <w:sz w:val="18"/>
          <w:szCs w:val="18"/>
        </w:rPr>
        <w:t>Constitución Política de Colombia, artículo 218.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A6B2B"/>
    <w:rsid w:val="000B19B9"/>
    <w:rsid w:val="000D0334"/>
    <w:rsid w:val="000D5DA7"/>
    <w:rsid w:val="000F6486"/>
    <w:rsid w:val="00113381"/>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5F2E"/>
    <w:rsid w:val="0042722E"/>
    <w:rsid w:val="0044528D"/>
    <w:rsid w:val="00452B82"/>
    <w:rsid w:val="00466E39"/>
    <w:rsid w:val="004A1847"/>
    <w:rsid w:val="004A305D"/>
    <w:rsid w:val="004F21C4"/>
    <w:rsid w:val="004F685F"/>
    <w:rsid w:val="005566E8"/>
    <w:rsid w:val="00574867"/>
    <w:rsid w:val="00591460"/>
    <w:rsid w:val="005A65E0"/>
    <w:rsid w:val="005B2D4F"/>
    <w:rsid w:val="005C3777"/>
    <w:rsid w:val="005C5CDC"/>
    <w:rsid w:val="005D476C"/>
    <w:rsid w:val="006200BF"/>
    <w:rsid w:val="006219F8"/>
    <w:rsid w:val="006302F7"/>
    <w:rsid w:val="00646B9F"/>
    <w:rsid w:val="006619EE"/>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17224"/>
    <w:rsid w:val="00820278"/>
    <w:rsid w:val="008258C9"/>
    <w:rsid w:val="00844AE9"/>
    <w:rsid w:val="00867F95"/>
    <w:rsid w:val="008843B6"/>
    <w:rsid w:val="00891928"/>
    <w:rsid w:val="008A446D"/>
    <w:rsid w:val="008B25F1"/>
    <w:rsid w:val="008B71A5"/>
    <w:rsid w:val="008D180B"/>
    <w:rsid w:val="008F0EA7"/>
    <w:rsid w:val="00900D09"/>
    <w:rsid w:val="00923EEF"/>
    <w:rsid w:val="009419F9"/>
    <w:rsid w:val="0095685E"/>
    <w:rsid w:val="00961B09"/>
    <w:rsid w:val="00965334"/>
    <w:rsid w:val="0097093E"/>
    <w:rsid w:val="009A0DFA"/>
    <w:rsid w:val="009A1C6F"/>
    <w:rsid w:val="009B2D26"/>
    <w:rsid w:val="009B545C"/>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57F1A"/>
    <w:rsid w:val="00C754BE"/>
    <w:rsid w:val="00C76B1C"/>
    <w:rsid w:val="00C925AC"/>
    <w:rsid w:val="00CB6357"/>
    <w:rsid w:val="00CC1B26"/>
    <w:rsid w:val="00D361FD"/>
    <w:rsid w:val="00D423A2"/>
    <w:rsid w:val="00D44E26"/>
    <w:rsid w:val="00D520D8"/>
    <w:rsid w:val="00D63AC2"/>
    <w:rsid w:val="00D7383B"/>
    <w:rsid w:val="00D7788A"/>
    <w:rsid w:val="00DA231B"/>
    <w:rsid w:val="00DA354C"/>
    <w:rsid w:val="00DC39FC"/>
    <w:rsid w:val="00DF5254"/>
    <w:rsid w:val="00E02524"/>
    <w:rsid w:val="00E16408"/>
    <w:rsid w:val="00E20894"/>
    <w:rsid w:val="00E245AB"/>
    <w:rsid w:val="00E2764C"/>
    <w:rsid w:val="00E27F2E"/>
    <w:rsid w:val="00E50AFE"/>
    <w:rsid w:val="00E54E29"/>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A6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qFormat/>
    <w:rsid w:val="000A6B2B"/>
    <w:pPr>
      <w:spacing w:line="240" w:lineRule="exact"/>
    </w:pPr>
    <w:rPr>
      <w:vertAlign w:val="superscript"/>
    </w:rPr>
  </w:style>
  <w:style w:type="character" w:customStyle="1" w:styleId="FootnoteCharacters">
    <w:name w:val="Footnote Characters"/>
    <w:basedOn w:val="Fuentedeprrafopredeter"/>
    <w:unhideWhenUsed/>
    <w:qFormat/>
    <w:rsid w:val="000A6B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7EFD431-79F6-48A9-95A9-5DE8597B3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29</Pages>
  <Words>10669</Words>
  <Characters>58681</Characters>
  <Application>Microsoft Office Word</Application>
  <DocSecurity>0</DocSecurity>
  <Lines>489</Lines>
  <Paragraphs>138</Paragraphs>
  <ScaleCrop>false</ScaleCrop>
  <Company/>
  <LinksUpToDate>false</LinksUpToDate>
  <CharactersWithSpaces>69212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2026-10-08T12:08:00Z</dcterms:created>
  <dcterms:modified xsi:type="dcterms:W3CDTF">2026-10-13T23:24:00Z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