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65213" w14:textId="3DE71B56" w:rsidR="000E07C3" w:rsidRPr="000E07C3" w:rsidRDefault="00C15139" w:rsidP="30821638">
      <w:pPr>
        <w:spacing w:after="0"/>
        <w:rPr>
          <w:rFonts w:ascii="Verdana" w:eastAsia="Verdana" w:hAnsi="Verdana" w:cs="Verdana"/>
        </w:rPr>
      </w:pPr>
      <w:bookmarkStart w:id="0" w:name="_Hlk143780582"/>
      <w:r>
        <w:tab/>
      </w:r>
    </w:p>
    <w:p w14:paraId="4510AC57" w14:textId="34AFA95B" w:rsidR="000E07C3" w:rsidRPr="00E06B0F" w:rsidRDefault="000E07C3" w:rsidP="000E07C3">
      <w:pPr>
        <w:spacing w:after="0" w:line="240" w:lineRule="auto"/>
        <w:jc w:val="both"/>
        <w:rPr>
          <w:rFonts w:ascii="Verdana" w:eastAsia="Calibri" w:hAnsi="Verdana" w:cs="Arial"/>
          <w:b/>
          <w:bCs/>
          <w:lang w:val="es-ES" w:eastAsia="es-ES"/>
        </w:rPr>
      </w:pPr>
    </w:p>
    <w:p w14:paraId="2BB052B5" w14:textId="77777777" w:rsidR="000E07C3" w:rsidRDefault="000E07C3" w:rsidP="000E07C3">
      <w:pPr>
        <w:jc w:val="both"/>
        <w:rPr>
          <w:rFonts w:ascii="Verdana" w:eastAsia="Calibri" w:hAnsi="Verdana" w:cs="Arial"/>
          <w:b/>
          <w:bCs/>
          <w:lang w:val="es-ES" w:eastAsia="es-ES"/>
        </w:rPr>
      </w:pPr>
      <w:r w:rsidRPr="00E06B0F">
        <w:rPr>
          <w:rFonts w:ascii="Verdana" w:eastAsia="Calibri" w:hAnsi="Verdana" w:cs="Arial"/>
          <w:b/>
          <w:bCs/>
          <w:lang w:val="es-ES" w:eastAsia="es-ES"/>
        </w:rPr>
        <w:t xml:space="preserve">ENTIDADES EXCEPTUADAS – Aplicación de normas de derecho público </w:t>
      </w:r>
    </w:p>
    <w:p w14:paraId="2661C013" w14:textId="77777777" w:rsidR="000E07C3" w:rsidRDefault="000E07C3" w:rsidP="000E07C3">
      <w:pPr>
        <w:spacing w:after="0" w:line="240" w:lineRule="auto"/>
        <w:jc w:val="both"/>
        <w:rPr>
          <w:rFonts w:ascii="Verdana" w:hAnsi="Verdana" w:cs="Arial"/>
          <w:bCs/>
          <w:sz w:val="20"/>
          <w:szCs w:val="20"/>
          <w:lang w:val="es-ES_tradnl"/>
        </w:rPr>
      </w:pPr>
      <w:r>
        <w:rPr>
          <w:rFonts w:ascii="Verdana" w:hAnsi="Verdana" w:cs="Arial"/>
          <w:bCs/>
          <w:sz w:val="20"/>
          <w:szCs w:val="20"/>
          <w:lang w:val="es-ES_tradnl"/>
        </w:rPr>
        <w:t xml:space="preserve">[…] </w:t>
      </w:r>
      <w:r w:rsidRPr="00B1736C">
        <w:rPr>
          <w:rFonts w:ascii="Verdana" w:hAnsi="Verdana" w:cs="Arial"/>
          <w:bCs/>
          <w:sz w:val="20"/>
          <w:szCs w:val="20"/>
          <w:lang w:val="es-ES_tradnl"/>
        </w:rPr>
        <w:t xml:space="preserve">las </w:t>
      </w:r>
      <w:r w:rsidRPr="00B1736C">
        <w:rPr>
          <w:rFonts w:ascii="Verdana" w:hAnsi="Verdana" w:cs="Arial"/>
          <w:bCs/>
          <w:i/>
          <w:iCs/>
          <w:sz w:val="20"/>
          <w:szCs w:val="20"/>
          <w:lang w:val="es-ES_tradnl"/>
        </w:rPr>
        <w:t>entidades del régimen exceptuado</w:t>
      </w:r>
      <w:r w:rsidRPr="00B1736C">
        <w:rPr>
          <w:rFonts w:ascii="Verdana" w:hAnsi="Verdana" w:cs="Arial"/>
          <w:bCs/>
          <w:sz w:val="20"/>
          <w:szCs w:val="20"/>
          <w:lang w:val="es-ES_tradnl"/>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0F1255F9" w14:textId="77777777" w:rsidR="000E07C3" w:rsidRDefault="000E07C3" w:rsidP="000E07C3">
      <w:pPr>
        <w:spacing w:after="0" w:line="240" w:lineRule="auto"/>
        <w:jc w:val="both"/>
        <w:rPr>
          <w:rFonts w:ascii="Verdana" w:hAnsi="Verdana" w:cs="Arial"/>
          <w:bCs/>
          <w:sz w:val="20"/>
          <w:szCs w:val="20"/>
          <w:lang w:val="es-ES_tradnl"/>
        </w:rPr>
      </w:pPr>
    </w:p>
    <w:p w14:paraId="4D78E65B" w14:textId="77777777" w:rsidR="000E07C3" w:rsidRDefault="000E07C3" w:rsidP="000E07C3">
      <w:pPr>
        <w:spacing w:after="0" w:line="240" w:lineRule="auto"/>
        <w:jc w:val="both"/>
        <w:rPr>
          <w:rFonts w:ascii="Verdana" w:hAnsi="Verdana" w:cs="Arial"/>
          <w:bCs/>
          <w:sz w:val="20"/>
          <w:szCs w:val="20"/>
          <w:lang w:val="es-ES_tradnl"/>
        </w:rPr>
      </w:pPr>
      <w:r>
        <w:rPr>
          <w:rFonts w:ascii="Verdana" w:hAnsi="Verdana" w:cs="Arial"/>
          <w:bCs/>
          <w:sz w:val="20"/>
          <w:szCs w:val="20"/>
          <w:lang w:val="es-ES_tradnl"/>
        </w:rPr>
        <w:t xml:space="preserve">[…] </w:t>
      </w:r>
    </w:p>
    <w:p w14:paraId="322A140A" w14:textId="77777777" w:rsidR="000E07C3" w:rsidRDefault="000E07C3" w:rsidP="000E07C3">
      <w:pPr>
        <w:spacing w:after="0" w:line="240" w:lineRule="auto"/>
        <w:jc w:val="both"/>
        <w:rPr>
          <w:rFonts w:ascii="Verdana" w:hAnsi="Verdana" w:cs="Arial"/>
          <w:bCs/>
          <w:sz w:val="20"/>
          <w:szCs w:val="20"/>
          <w:lang w:val="es-ES_tradnl"/>
        </w:rPr>
      </w:pPr>
    </w:p>
    <w:p w14:paraId="134F9B74" w14:textId="77777777" w:rsidR="000E07C3" w:rsidRPr="00B1736C" w:rsidRDefault="000E07C3" w:rsidP="000E07C3">
      <w:pPr>
        <w:spacing w:after="0" w:line="240" w:lineRule="auto"/>
        <w:jc w:val="both"/>
        <w:rPr>
          <w:rFonts w:ascii="Verdana" w:hAnsi="Verdana" w:cs="Arial"/>
          <w:bCs/>
          <w:sz w:val="20"/>
          <w:szCs w:val="20"/>
          <w:lang w:val="es-ES_tradnl"/>
        </w:rPr>
      </w:pPr>
      <w:r w:rsidRPr="00B1736C">
        <w:rPr>
          <w:rFonts w:ascii="Verdana" w:eastAsia="Calibri" w:hAnsi="Verdana" w:cs="Arial"/>
          <w:color w:val="000000" w:themeColor="text1"/>
          <w:sz w:val="20"/>
          <w:szCs w:val="20"/>
          <w:lang w:val="es-ES_tradnl"/>
        </w:rPr>
        <w:t xml:space="preserve">Las </w:t>
      </w:r>
      <w:r w:rsidRPr="00B1736C">
        <w:rPr>
          <w:rFonts w:ascii="Verdana" w:eastAsia="Calibri" w:hAnsi="Verdana" w:cs="Arial"/>
          <w:i/>
          <w:iCs/>
          <w:color w:val="000000" w:themeColor="text1"/>
          <w:sz w:val="20"/>
          <w:szCs w:val="20"/>
          <w:lang w:val="es-ES_tradnl"/>
        </w:rPr>
        <w:t>entidades de régimen especial</w:t>
      </w:r>
      <w:r w:rsidRPr="00B1736C">
        <w:rPr>
          <w:rFonts w:ascii="Verdana" w:eastAsia="Calibri" w:hAnsi="Verdana" w:cs="Arial"/>
          <w:color w:val="000000" w:themeColor="text1"/>
          <w:sz w:val="20"/>
          <w:szCs w:val="20"/>
          <w:lang w:val="es-ES_tradnl"/>
        </w:rPr>
        <w:t xml:space="preserve">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propia para su desarrollo, esto es, el derecho privado, lo cual está determinado en las normas de creación de las entidades de régimen especial y en sus manuales de contratación.</w:t>
      </w:r>
    </w:p>
    <w:p w14:paraId="700B601E" w14:textId="77777777" w:rsidR="000E07C3" w:rsidRPr="00B1736C" w:rsidRDefault="000E07C3" w:rsidP="000E07C3">
      <w:pPr>
        <w:jc w:val="both"/>
        <w:rPr>
          <w:rFonts w:ascii="Verdana" w:eastAsia="Calibri" w:hAnsi="Verdana" w:cs="Arial"/>
          <w:b/>
          <w:bCs/>
          <w:lang w:val="es-ES_tradnl" w:eastAsia="es-ES"/>
        </w:rPr>
      </w:pPr>
    </w:p>
    <w:p w14:paraId="7F735AD4" w14:textId="77777777" w:rsidR="000E07C3" w:rsidRPr="00E06B0F" w:rsidRDefault="000E07C3" w:rsidP="000E07C3">
      <w:pPr>
        <w:spacing w:after="0" w:line="240" w:lineRule="auto"/>
        <w:jc w:val="both"/>
        <w:rPr>
          <w:rFonts w:ascii="Verdana" w:eastAsia="Calibri" w:hAnsi="Verdana" w:cs="Arial"/>
          <w:b/>
          <w:bCs/>
          <w:lang w:val="es-ES" w:eastAsia="es-ES"/>
        </w:rPr>
      </w:pPr>
    </w:p>
    <w:p w14:paraId="077061A4" w14:textId="77777777" w:rsidR="000E07C3" w:rsidRDefault="000E07C3" w:rsidP="000E07C3">
      <w:pPr>
        <w:jc w:val="both"/>
        <w:rPr>
          <w:rFonts w:ascii="Verdana" w:eastAsia="Calibri" w:hAnsi="Verdana" w:cs="Arial"/>
          <w:b/>
          <w:bCs/>
          <w:lang w:val="es-ES" w:eastAsia="es-ES"/>
        </w:rPr>
      </w:pPr>
      <w:r w:rsidRPr="00E06B0F">
        <w:rPr>
          <w:rFonts w:ascii="Verdana" w:eastAsia="Calibri" w:hAnsi="Verdana" w:cs="Arial"/>
          <w:b/>
          <w:bCs/>
          <w:lang w:val="es-ES" w:eastAsia="es-ES"/>
        </w:rPr>
        <w:t xml:space="preserve">CONTRATOS ESTATALES – Régimen especial – Obligaciones transversales – Manual de contratación – Límites </w:t>
      </w:r>
    </w:p>
    <w:p w14:paraId="7D5E9655" w14:textId="77777777" w:rsidR="000E07C3" w:rsidRDefault="000E07C3" w:rsidP="000E07C3">
      <w:pPr>
        <w:spacing w:after="0" w:line="240" w:lineRule="auto"/>
        <w:jc w:val="both"/>
        <w:rPr>
          <w:rFonts w:ascii="Verdana" w:eastAsia="Calibri" w:hAnsi="Verdana" w:cs="Arial"/>
          <w:color w:val="000000" w:themeColor="text1"/>
          <w:sz w:val="20"/>
          <w:szCs w:val="20"/>
          <w:lang w:val="es-ES"/>
        </w:rPr>
      </w:pPr>
      <w:r w:rsidRPr="73881B6E">
        <w:rPr>
          <w:rFonts w:ascii="Verdana" w:eastAsia="Calibri" w:hAnsi="Verdana" w:cs="Arial"/>
          <w:color w:val="000000" w:themeColor="text1"/>
          <w:sz w:val="20"/>
          <w:szCs w:val="20"/>
          <w:lang w:val="es-ES"/>
        </w:rPr>
        <w:t>Teniendo en cuenta que las entidades de régimen especial están facultadas legalmente para aplicar reglas distintas a las establecidas en la Ley 80 de 1993 y sus normas complementarias, su régimen contractual estará definido en la norma que crea el régimen especial y será desarrollado en el manual de contratación de la respectiva entidad,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p>
    <w:p w14:paraId="30BA3F34" w14:textId="77777777" w:rsidR="000E07C3" w:rsidRDefault="000E07C3" w:rsidP="000E07C3">
      <w:pPr>
        <w:spacing w:after="0" w:line="240" w:lineRule="auto"/>
        <w:jc w:val="both"/>
        <w:rPr>
          <w:rFonts w:ascii="Verdana" w:eastAsia="Calibri" w:hAnsi="Verdana" w:cs="Arial"/>
          <w:color w:val="000000" w:themeColor="text1"/>
          <w:sz w:val="20"/>
          <w:szCs w:val="20"/>
          <w:lang w:val="es-ES_tradnl"/>
        </w:rPr>
      </w:pPr>
    </w:p>
    <w:p w14:paraId="74177F56" w14:textId="77777777" w:rsidR="000E07C3" w:rsidRDefault="000E07C3" w:rsidP="000E07C3">
      <w:pPr>
        <w:spacing w:after="0" w:line="240" w:lineRule="auto"/>
        <w:jc w:val="both"/>
        <w:rPr>
          <w:rFonts w:ascii="Verdana" w:eastAsia="Calibri" w:hAnsi="Verdana" w:cs="Arial"/>
          <w:color w:val="000000" w:themeColor="text1"/>
          <w:sz w:val="20"/>
          <w:szCs w:val="20"/>
          <w:lang w:val="es-ES_tradnl"/>
        </w:rPr>
      </w:pPr>
      <w:r w:rsidRPr="00B1736C">
        <w:rPr>
          <w:rFonts w:ascii="Verdana" w:eastAsia="Calibri" w:hAnsi="Verdana" w:cs="Arial"/>
          <w:color w:val="000000" w:themeColor="text1"/>
          <w:sz w:val="20"/>
          <w:szCs w:val="20"/>
          <w:lang w:val="es-ES_tradnl"/>
        </w:rPr>
        <w:t>No obstante, las entidades de régimen especial cumplen una finalidad pública y utilizan recursos públicos para lograrlo, por lo que no son ajenas a los principios de la función administrativa y de la gestión fiscal, entre otras reglas dispuestas en la normativa de contratación pública que son transversales a todas las entidades, sin importar su régimen contractual.</w:t>
      </w:r>
    </w:p>
    <w:p w14:paraId="447CF117" w14:textId="77777777" w:rsidR="000E07C3" w:rsidRDefault="000E07C3" w:rsidP="000E07C3">
      <w:pPr>
        <w:spacing w:after="0" w:line="240" w:lineRule="auto"/>
        <w:jc w:val="both"/>
        <w:rPr>
          <w:rFonts w:ascii="Verdana" w:eastAsia="Calibri" w:hAnsi="Verdana" w:cs="Arial"/>
          <w:color w:val="000000" w:themeColor="text1"/>
          <w:sz w:val="20"/>
          <w:szCs w:val="20"/>
          <w:lang w:val="es-ES_tradnl"/>
        </w:rPr>
      </w:pPr>
    </w:p>
    <w:p w14:paraId="0839DA19" w14:textId="77777777" w:rsidR="000E07C3" w:rsidRDefault="000E07C3" w:rsidP="000E07C3">
      <w:pPr>
        <w:spacing w:after="0" w:line="240" w:lineRule="auto"/>
        <w:jc w:val="both"/>
        <w:rPr>
          <w:rFonts w:ascii="Verdana" w:eastAsia="Calibri" w:hAnsi="Verdana" w:cs="Arial"/>
          <w:color w:val="000000" w:themeColor="text1"/>
          <w:sz w:val="20"/>
          <w:szCs w:val="20"/>
          <w:lang w:val="es-ES_tradnl"/>
        </w:rPr>
      </w:pPr>
      <w:r>
        <w:rPr>
          <w:rFonts w:ascii="Verdana" w:eastAsia="Calibri" w:hAnsi="Verdana" w:cs="Arial"/>
          <w:color w:val="000000" w:themeColor="text1"/>
          <w:sz w:val="20"/>
          <w:szCs w:val="20"/>
          <w:lang w:val="es-ES_tradnl"/>
        </w:rPr>
        <w:t xml:space="preserve">[…] </w:t>
      </w:r>
    </w:p>
    <w:p w14:paraId="2E70A349" w14:textId="77777777" w:rsidR="000E07C3" w:rsidRDefault="000E07C3" w:rsidP="000E07C3">
      <w:pPr>
        <w:spacing w:after="0" w:line="240" w:lineRule="auto"/>
        <w:jc w:val="both"/>
        <w:rPr>
          <w:rFonts w:ascii="Verdana" w:eastAsia="Calibri" w:hAnsi="Verdana" w:cs="Arial"/>
          <w:color w:val="000000" w:themeColor="text1"/>
          <w:sz w:val="20"/>
          <w:szCs w:val="20"/>
          <w:lang w:val="es-ES_tradnl"/>
        </w:rPr>
      </w:pPr>
    </w:p>
    <w:p w14:paraId="3234F5D2" w14:textId="77777777" w:rsidR="000E07C3" w:rsidRDefault="000E07C3" w:rsidP="000E07C3">
      <w:pPr>
        <w:spacing w:after="0" w:line="240" w:lineRule="auto"/>
        <w:jc w:val="both"/>
        <w:rPr>
          <w:rFonts w:ascii="Verdana" w:eastAsia="Calibri" w:hAnsi="Verdana" w:cs="Arial"/>
          <w:color w:val="000000" w:themeColor="text1"/>
          <w:sz w:val="20"/>
          <w:szCs w:val="20"/>
          <w:lang w:val="es-ES_tradnl"/>
        </w:rPr>
      </w:pPr>
      <w:r w:rsidRPr="00B1736C">
        <w:rPr>
          <w:rFonts w:ascii="Verdana" w:eastAsia="Calibri" w:hAnsi="Verdana" w:cs="Arial"/>
          <w:color w:val="000000" w:themeColor="text1"/>
          <w:sz w:val="20"/>
          <w:szCs w:val="20"/>
          <w:lang w:val="es-ES_tradnl"/>
        </w:rPr>
        <w:lastRenderedPageBreak/>
        <w:t>Considerando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y los criterios de evaluación,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r>
        <w:rPr>
          <w:rFonts w:ascii="Verdana" w:eastAsia="Calibri" w:hAnsi="Verdana" w:cs="Arial"/>
          <w:color w:val="000000" w:themeColor="text1"/>
          <w:sz w:val="20"/>
          <w:szCs w:val="20"/>
          <w:lang w:val="es-ES_tradnl"/>
        </w:rPr>
        <w:t>.</w:t>
      </w:r>
    </w:p>
    <w:p w14:paraId="34C74C03" w14:textId="77777777" w:rsidR="000E07C3" w:rsidRDefault="000E07C3" w:rsidP="000E07C3">
      <w:pPr>
        <w:spacing w:after="0" w:line="240" w:lineRule="auto"/>
        <w:jc w:val="both"/>
        <w:rPr>
          <w:rFonts w:ascii="Verdana" w:eastAsia="Calibri" w:hAnsi="Verdana" w:cs="Arial"/>
          <w:color w:val="000000" w:themeColor="text1"/>
          <w:sz w:val="20"/>
          <w:szCs w:val="20"/>
          <w:lang w:val="es-ES_tradnl"/>
        </w:rPr>
      </w:pPr>
    </w:p>
    <w:p w14:paraId="5CBBD6F2" w14:textId="77777777" w:rsidR="000E07C3" w:rsidRDefault="000E07C3" w:rsidP="000E07C3">
      <w:pPr>
        <w:spacing w:after="0" w:line="240" w:lineRule="auto"/>
        <w:jc w:val="both"/>
        <w:rPr>
          <w:rFonts w:ascii="Verdana" w:eastAsia="Calibri" w:hAnsi="Verdana" w:cs="Arial"/>
          <w:color w:val="000000" w:themeColor="text1"/>
          <w:sz w:val="20"/>
          <w:szCs w:val="20"/>
          <w:lang w:val="es-ES_tradnl"/>
        </w:rPr>
      </w:pPr>
      <w:r>
        <w:rPr>
          <w:rFonts w:ascii="Verdana" w:eastAsia="Calibri" w:hAnsi="Verdana" w:cs="Arial"/>
          <w:color w:val="000000" w:themeColor="text1"/>
          <w:sz w:val="20"/>
          <w:szCs w:val="20"/>
          <w:lang w:val="es-ES_tradnl"/>
        </w:rPr>
        <w:t>[…]</w:t>
      </w:r>
    </w:p>
    <w:p w14:paraId="2D31E32C" w14:textId="77777777" w:rsidR="000E07C3" w:rsidRDefault="000E07C3" w:rsidP="000E07C3">
      <w:pPr>
        <w:spacing w:after="0" w:line="240" w:lineRule="auto"/>
        <w:jc w:val="both"/>
        <w:rPr>
          <w:rFonts w:ascii="Verdana" w:eastAsia="Calibri" w:hAnsi="Verdana" w:cs="Arial"/>
          <w:color w:val="000000" w:themeColor="text1"/>
          <w:sz w:val="20"/>
          <w:szCs w:val="20"/>
          <w:lang w:val="es-ES_tradnl"/>
        </w:rPr>
      </w:pPr>
    </w:p>
    <w:p w14:paraId="6DE4DFFB" w14:textId="77777777" w:rsidR="000E07C3" w:rsidRPr="00B1736C" w:rsidRDefault="000E07C3" w:rsidP="000E07C3">
      <w:pPr>
        <w:spacing w:after="0" w:line="240" w:lineRule="auto"/>
        <w:jc w:val="both"/>
        <w:rPr>
          <w:rFonts w:ascii="Verdana" w:eastAsia="Calibri" w:hAnsi="Verdana" w:cs="Arial"/>
          <w:color w:val="000000" w:themeColor="text1"/>
          <w:sz w:val="20"/>
          <w:szCs w:val="20"/>
          <w:lang w:val="es-ES_tradnl"/>
        </w:rPr>
      </w:pPr>
      <w:r w:rsidRPr="00D954B5">
        <w:rPr>
          <w:rFonts w:ascii="Verdana" w:eastAsia="Calibri" w:hAnsi="Verdana" w:cs="Arial"/>
          <w:color w:val="000000" w:themeColor="text1"/>
          <w:sz w:val="20"/>
          <w:szCs w:val="20"/>
          <w:lang w:val="es-ES_tradnl"/>
        </w:rPr>
        <w:t>Adicionalmente, las entidades estatales que, por disposición legal, cuentan con un régimen especial , exceptuado del Estatuto General de Contratación de la Administración Pública –Leyes 80 de 1993, 1150 de 2007 y normas complementarias – pueden expedir un reglamento interno de contratación –comúnmente denominado manual de contratación–,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w:t>
      </w:r>
    </w:p>
    <w:p w14:paraId="00718797" w14:textId="77777777" w:rsidR="000E07C3" w:rsidRDefault="000E07C3" w:rsidP="000E07C3">
      <w:pPr>
        <w:jc w:val="both"/>
        <w:rPr>
          <w:rFonts w:ascii="Verdana" w:eastAsia="Calibri" w:hAnsi="Verdana" w:cs="Arial"/>
          <w:b/>
          <w:bCs/>
          <w:lang w:val="es-ES" w:eastAsia="es-ES"/>
        </w:rPr>
      </w:pPr>
      <w:r w:rsidRPr="00E06B0F">
        <w:rPr>
          <w:rFonts w:ascii="Verdana" w:eastAsia="Calibri" w:hAnsi="Verdana" w:cs="Arial"/>
          <w:b/>
          <w:bCs/>
          <w:lang w:val="es-ES" w:eastAsia="es-ES"/>
        </w:rPr>
        <w:t xml:space="preserve">EMPRESAS INDUSTRIALES Y COMERCIALES DEL ESTADO – Régimen contractual – Ley 80 de 1993 – Derecho privado </w:t>
      </w:r>
    </w:p>
    <w:p w14:paraId="1E6B5272" w14:textId="77777777" w:rsidR="000E07C3" w:rsidRDefault="000E07C3" w:rsidP="000E07C3">
      <w:pPr>
        <w:jc w:val="both"/>
        <w:rPr>
          <w:rFonts w:ascii="Verdana" w:eastAsia="Calibri" w:hAnsi="Verdana" w:cs="Arial"/>
          <w:sz w:val="20"/>
          <w:szCs w:val="20"/>
          <w:lang w:val="es-ES" w:eastAsia="es-ES"/>
        </w:rPr>
      </w:pPr>
      <w:r w:rsidRPr="0068597B">
        <w:rPr>
          <w:rFonts w:ascii="Verdana" w:eastAsia="Calibri" w:hAnsi="Verdana" w:cs="Arial"/>
          <w:sz w:val="20"/>
          <w:szCs w:val="20"/>
          <w:lang w:val="es-ES" w:eastAsia="es-ES"/>
        </w:rPr>
        <w:t xml:space="preserve">En la estructura de la Administración pública se encuentran las entidades descentralizadas por servicios, y dentro de dicha categoría se ubican las empresas industriales y comerciales del Estado, las cuales –sin perjuicio del control de tutela– tienen personería jurídica, autonomía administrativa y patrimonio propio. El inciso primero del artículo 85 de la Ley 489 de 1998 las define como “[…] organismos creados por la ley o autorizados por ésta, que desarrollan actividades de naturaleza industrial o comercial y de gestión económica conforme a las reglas del Derecho Privado, salvo las excepciones que consagra la ley […]”. </w:t>
      </w:r>
    </w:p>
    <w:p w14:paraId="1646A7CD" w14:textId="77777777" w:rsidR="000E07C3" w:rsidRDefault="000E07C3" w:rsidP="000E07C3">
      <w:pPr>
        <w:jc w:val="both"/>
        <w:rPr>
          <w:rFonts w:ascii="Verdana" w:eastAsia="Calibri" w:hAnsi="Verdana" w:cs="Arial"/>
          <w:sz w:val="20"/>
          <w:szCs w:val="20"/>
          <w:lang w:val="es-ES" w:eastAsia="es-ES"/>
        </w:rPr>
      </w:pPr>
      <w:r w:rsidRPr="0068597B">
        <w:rPr>
          <w:rFonts w:ascii="Verdana" w:eastAsia="Calibri" w:hAnsi="Verdana" w:cs="Arial"/>
          <w:sz w:val="20"/>
          <w:szCs w:val="20"/>
          <w:lang w:val="es-ES" w:eastAsia="es-ES"/>
        </w:rPr>
        <w:t xml:space="preserve">Considerando la actividad desarrollada, se itera, de carácter industrial o comercial, el régimen jurídico aplicable a estas empresas difiere del que corresponde a otras entidades descentralizadas funcionalmente o por servicios, como las superintendencias con personería jurídica, los establecimientos públicos o las unidades administrativas especiales, pues la regla general es el derecho privado, salvo excepciones legales.         </w:t>
      </w:r>
    </w:p>
    <w:p w14:paraId="2FA00DEC" w14:textId="77777777" w:rsidR="000E07C3" w:rsidRDefault="000E07C3" w:rsidP="000E07C3">
      <w:pPr>
        <w:jc w:val="both"/>
        <w:rPr>
          <w:rFonts w:ascii="Verdana" w:eastAsia="Calibri" w:hAnsi="Verdana" w:cs="Arial"/>
          <w:sz w:val="20"/>
          <w:szCs w:val="20"/>
          <w:lang w:val="es-ES" w:eastAsia="es-ES"/>
        </w:rPr>
      </w:pPr>
      <w:r w:rsidRPr="0068597B">
        <w:rPr>
          <w:rFonts w:ascii="Verdana" w:eastAsia="Calibri" w:hAnsi="Verdana" w:cs="Arial"/>
          <w:sz w:val="20"/>
          <w:szCs w:val="20"/>
          <w:lang w:val="es-ES" w:eastAsia="es-ES"/>
        </w:rPr>
        <w:t xml:space="preserve">Sobre el régimen de contratación, el artículo 2 de la Ley 80 de 1993 incorporó a las empresas industriales y comerciales del Estado dentro de la categoría de entidades estatales. Para estos efectos, el numeral 1, literal m), del artículo 24 del Estatuto General </w:t>
      </w:r>
      <w:r w:rsidRPr="0068597B">
        <w:rPr>
          <w:rFonts w:ascii="Verdana" w:eastAsia="Calibri" w:hAnsi="Verdana" w:cs="Arial"/>
          <w:sz w:val="20"/>
          <w:szCs w:val="20"/>
          <w:lang w:val="es-ES" w:eastAsia="es-ES"/>
        </w:rPr>
        <w:lastRenderedPageBreak/>
        <w:t xml:space="preserve">–derogado por el artículo 32 de la Ley 1150 de 2007– permitía la contratación directa de los bienes y servicios requeridos para el desarrollo de su objeto social, exceptuado los contratos de obra, consultoría, concesión, encargos fiduciarios y fiducia pública. Con el literal g) del artículo 2.2 de la Ley 1150 de 2007, dicha circunstancia se convierte en una causal de selección abreviada, la cual se regirá por el procedimiento de menor cuantía conforme al artículo 2.2.1.2.1.2.24 del Decreto 1082 de 2015.  </w:t>
      </w:r>
    </w:p>
    <w:p w14:paraId="2A42D989" w14:textId="77777777" w:rsidR="000E07C3" w:rsidRDefault="000E07C3" w:rsidP="000E07C3">
      <w:pPr>
        <w:jc w:val="both"/>
        <w:rPr>
          <w:rFonts w:ascii="Verdana" w:eastAsia="Calibri" w:hAnsi="Verdana" w:cs="Arial"/>
          <w:sz w:val="20"/>
          <w:szCs w:val="20"/>
          <w:lang w:val="es-ES" w:eastAsia="es-ES"/>
        </w:rPr>
      </w:pPr>
      <w:r w:rsidRPr="0068597B">
        <w:rPr>
          <w:rFonts w:ascii="Verdana" w:eastAsia="Calibri" w:hAnsi="Verdana" w:cs="Arial"/>
          <w:sz w:val="20"/>
          <w:szCs w:val="20"/>
          <w:lang w:val="es-ES" w:eastAsia="es-ES"/>
        </w:rPr>
        <w:t>Actualmente, el artículo 14 de Ley 1150 de 2007 distingue entre las empresas industriales y comerciales del Estado que desarrollan sus actividades en competencia con los particulares y las que no: mientras los contratos de estas últimas regresan a las normas de la Ley 80 de 1993, los de aquellas permanecen dentro del Código Civil y de Comercio, lo que –respecto al contenido del artículo 85 de la Ley 489 de 1998– implica un retorno parcial del derecho administrativo.</w:t>
      </w:r>
    </w:p>
    <w:p w14:paraId="61A020D7" w14:textId="77777777" w:rsidR="000E07C3" w:rsidRDefault="000E07C3" w:rsidP="000E07C3">
      <w:pPr>
        <w:jc w:val="both"/>
        <w:rPr>
          <w:rFonts w:ascii="Verdana" w:eastAsia="Calibri" w:hAnsi="Verdana" w:cs="Arial"/>
          <w:sz w:val="20"/>
          <w:szCs w:val="20"/>
          <w:lang w:val="es-ES" w:eastAsia="es-ES"/>
        </w:rPr>
      </w:pPr>
      <w:r>
        <w:rPr>
          <w:rFonts w:ascii="Verdana" w:eastAsia="Calibri" w:hAnsi="Verdana" w:cs="Arial"/>
          <w:sz w:val="20"/>
          <w:szCs w:val="20"/>
          <w:lang w:val="es-ES" w:eastAsia="es-ES"/>
        </w:rPr>
        <w:t xml:space="preserve">[…] </w:t>
      </w:r>
    </w:p>
    <w:p w14:paraId="5718C5E9" w14:textId="77777777" w:rsidR="000E07C3" w:rsidRDefault="000E07C3" w:rsidP="000E07C3">
      <w:pPr>
        <w:spacing w:after="0" w:line="240" w:lineRule="auto"/>
        <w:jc w:val="both"/>
        <w:rPr>
          <w:rFonts w:ascii="Verdana" w:eastAsia="Calibri" w:hAnsi="Verdana" w:cs="Arial"/>
          <w:sz w:val="20"/>
          <w:szCs w:val="20"/>
          <w:lang w:eastAsia="es-ES"/>
        </w:rPr>
      </w:pPr>
      <w:r w:rsidRPr="0033618B">
        <w:rPr>
          <w:rFonts w:ascii="Verdana" w:eastAsia="Calibri" w:hAnsi="Verdana" w:cs="Arial"/>
          <w:sz w:val="20"/>
          <w:szCs w:val="20"/>
          <w:lang w:eastAsia="es-ES"/>
        </w:rPr>
        <w:t>En esta medida, las empresas industriales y comerciales del Estado que no estén en competencia ni desarrollen su actividad en mercados regulados están sometidas al Estatuto General de Contratación de la Administración Pública y las normas que lo complementan. Conforme al literal g) del artículo 2.2 de la Ley 1150 de 2007, estos contratos siguen las reglas del procedimiento de selección abreviada, exceptuados los del artículo 32 de la Ley 80 de 1993. En contraste, el régimen contractual de las empresas industriales y comerciales del Estado que se encuentren en competencia o en mercados regulados es el propio de tales actividades, esto es, por regla general, el derecho privado.</w:t>
      </w:r>
    </w:p>
    <w:p w14:paraId="6C6D7015" w14:textId="77777777" w:rsidR="000E07C3" w:rsidRDefault="000E07C3" w:rsidP="000E07C3">
      <w:pPr>
        <w:spacing w:after="0" w:line="240" w:lineRule="auto"/>
        <w:jc w:val="both"/>
        <w:rPr>
          <w:rFonts w:ascii="Verdana" w:eastAsia="Arial" w:hAnsi="Verdana" w:cs="Arial"/>
          <w:b/>
          <w:bCs/>
          <w:lang w:val="es-ES"/>
        </w:rPr>
      </w:pPr>
    </w:p>
    <w:p w14:paraId="3D71B9CF" w14:textId="77777777" w:rsidR="000E07C3" w:rsidRDefault="000E07C3" w:rsidP="000E07C3">
      <w:pPr>
        <w:jc w:val="both"/>
        <w:rPr>
          <w:rFonts w:ascii="Verdana" w:eastAsia="Calibri" w:hAnsi="Verdana" w:cs="Arial"/>
          <w:sz w:val="20"/>
          <w:szCs w:val="20"/>
          <w:lang w:eastAsia="es-ES"/>
        </w:rPr>
      </w:pPr>
      <w:r w:rsidRPr="00E06B0F">
        <w:rPr>
          <w:rFonts w:ascii="Verdana" w:eastAsia="Arial" w:hAnsi="Verdana" w:cs="Arial"/>
          <w:b/>
          <w:bCs/>
          <w:lang w:val="es-ES"/>
        </w:rPr>
        <w:t>PRINCIPIO DE PUBLICIDAD – Concepto – Fundamento constitucional</w:t>
      </w:r>
      <w:r w:rsidRPr="00E06B0F">
        <w:rPr>
          <w:rFonts w:ascii="Verdana" w:hAnsi="Verdana" w:cs="Arial"/>
          <w:b/>
          <w:bCs/>
          <w:lang w:val="es-ES_tradnl" w:eastAsia="es-ES" w:bidi="es-ES"/>
        </w:rPr>
        <w:t xml:space="preserve"> </w:t>
      </w:r>
    </w:p>
    <w:p w14:paraId="4EF20E7E" w14:textId="77777777" w:rsidR="000E07C3" w:rsidRDefault="000E07C3" w:rsidP="000E07C3">
      <w:pPr>
        <w:jc w:val="both"/>
        <w:rPr>
          <w:rFonts w:ascii="Verdana" w:eastAsia="Calibri" w:hAnsi="Verdana" w:cs="Arial"/>
          <w:sz w:val="20"/>
          <w:szCs w:val="20"/>
          <w:lang w:eastAsia="es-ES"/>
        </w:rPr>
      </w:pPr>
      <w:r w:rsidRPr="0033618B">
        <w:rPr>
          <w:rFonts w:ascii="Verdana" w:hAnsi="Verdana" w:cs="Arial"/>
          <w:sz w:val="20"/>
          <w:szCs w:val="20"/>
          <w:lang w:val="es-ES_tradnl" w:eastAsia="es-ES" w:bidi="es-ES"/>
        </w:rPr>
        <w:t>[…] uno de los postulados más importantes de un Estado Social Democrático de Derecho es el principio de publicidad, pues este permite que las actuaciones de las autoridades gocen de visibilidad.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artículo 74, que consagra la garantía de acceso a los documentos públicos que no gocen de reserva -y esta, además, es excepcional pues solo procede si existe causal constitucional o legal expresa-.</w:t>
      </w:r>
    </w:p>
    <w:p w14:paraId="3722DEE0" w14:textId="77777777" w:rsidR="000E07C3" w:rsidRDefault="000E07C3" w:rsidP="000E07C3">
      <w:pPr>
        <w:jc w:val="both"/>
        <w:rPr>
          <w:rFonts w:ascii="Verdana" w:eastAsia="Calibri" w:hAnsi="Verdana" w:cs="Arial"/>
          <w:sz w:val="20"/>
          <w:szCs w:val="20"/>
          <w:lang w:eastAsia="es-ES"/>
        </w:rPr>
      </w:pPr>
      <w:r w:rsidRPr="00E06B0F">
        <w:rPr>
          <w:rFonts w:ascii="Verdana" w:hAnsi="Verdana" w:cs="Arial"/>
          <w:b/>
          <w:bCs/>
          <w:lang w:val="es-ES_tradnl" w:eastAsia="es-ES" w:bidi="es-ES"/>
        </w:rPr>
        <w:t xml:space="preserve">PRINCIPIO DE PUBLICIDAD – Ley 1712 de 2014 – Sujetos Obligados </w:t>
      </w:r>
    </w:p>
    <w:p w14:paraId="4FCD0ED1" w14:textId="77777777" w:rsidR="000E07C3" w:rsidRPr="0033618B" w:rsidRDefault="000E07C3" w:rsidP="000E07C3">
      <w:pPr>
        <w:spacing w:after="0" w:line="240" w:lineRule="auto"/>
        <w:jc w:val="both"/>
        <w:rPr>
          <w:rFonts w:ascii="Verdana" w:eastAsia="Calibri" w:hAnsi="Verdana" w:cs="Arial"/>
          <w:sz w:val="20"/>
          <w:szCs w:val="20"/>
          <w:lang w:eastAsia="es-ES"/>
        </w:rPr>
      </w:pPr>
      <w:r w:rsidRPr="0033618B">
        <w:rPr>
          <w:rFonts w:ascii="Verdana" w:eastAsia="Verdana" w:hAnsi="Verdana" w:cs="Verdana"/>
          <w:sz w:val="20"/>
          <w:szCs w:val="20"/>
          <w:lang w:val="es-MX"/>
        </w:rPr>
        <w:t xml:space="preserve">El principio de transparencia en la información alude al deber de los sujetos de proporcionar y facilitar el acceso a la misma en los términos más amplios posibles, y a través de los medios y procedimientos legales. </w:t>
      </w:r>
      <w:r w:rsidRPr="0033618B">
        <w:rPr>
          <w:rFonts w:ascii="Verdana" w:eastAsia="Times New Roman" w:hAnsi="Verdana" w:cs="Arial"/>
          <w:sz w:val="20"/>
          <w:szCs w:val="20"/>
          <w:lang w:val="es-ES_tradnl" w:eastAsia="es-ES_tradnl"/>
          <w14:ligatures w14:val="standardContextual"/>
        </w:rPr>
        <w:t>En este sentido, el artículo 5 de la Ley 1712 de 2014 establece el ámbito de ampliación, esto es, quienes son los sujetos obligados a publicar su información.</w:t>
      </w:r>
    </w:p>
    <w:p w14:paraId="08BE40CB" w14:textId="77777777" w:rsidR="000E07C3" w:rsidRDefault="000E07C3" w:rsidP="000E07C3">
      <w:pPr>
        <w:tabs>
          <w:tab w:val="left" w:pos="709"/>
        </w:tabs>
        <w:spacing w:after="0" w:line="240" w:lineRule="auto"/>
        <w:jc w:val="both"/>
        <w:rPr>
          <w:rFonts w:ascii="Verdana" w:eastAsia="Times New Roman" w:hAnsi="Verdana" w:cs="Arial"/>
          <w:sz w:val="20"/>
          <w:szCs w:val="20"/>
          <w:lang w:val="es-ES_tradnl" w:eastAsia="es-ES_tradnl"/>
          <w14:ligatures w14:val="standardContextual"/>
        </w:rPr>
      </w:pPr>
    </w:p>
    <w:p w14:paraId="05C86F8F" w14:textId="77777777" w:rsidR="000E07C3" w:rsidRDefault="000E07C3" w:rsidP="000E07C3">
      <w:pPr>
        <w:tabs>
          <w:tab w:val="left" w:pos="709"/>
        </w:tabs>
        <w:spacing w:after="0" w:line="240" w:lineRule="auto"/>
        <w:jc w:val="both"/>
        <w:rPr>
          <w:rFonts w:ascii="Verdana" w:eastAsia="Times New Roman" w:hAnsi="Verdana" w:cs="Arial"/>
          <w:sz w:val="20"/>
          <w:szCs w:val="20"/>
          <w:lang w:val="es-ES_tradnl" w:eastAsia="es-ES_tradnl"/>
          <w14:ligatures w14:val="standardContextual"/>
        </w:rPr>
      </w:pPr>
      <w:r w:rsidRPr="0033618B">
        <w:rPr>
          <w:rFonts w:ascii="Verdana" w:eastAsia="Times New Roman" w:hAnsi="Verdana" w:cs="Arial"/>
          <w:sz w:val="20"/>
          <w:szCs w:val="20"/>
          <w:lang w:val="es-ES_tradnl" w:eastAsia="es-ES_tradnl"/>
          <w14:ligatures w14:val="standardContextual"/>
        </w:rPr>
        <w:t xml:space="preserve">Teniendo en cuenta quienes son los sujetos obligados a publicar la información, es pertinente señalar que el precitado artículo dispone que la Ley 1712 aplica a un amplio </w:t>
      </w:r>
      <w:r w:rsidRPr="0033618B">
        <w:rPr>
          <w:rFonts w:ascii="Verdana" w:eastAsia="Times New Roman" w:hAnsi="Verdana" w:cs="Arial"/>
          <w:sz w:val="20"/>
          <w:szCs w:val="20"/>
          <w:lang w:val="es-ES_tradnl" w:eastAsia="es-ES_tradnl"/>
          <w14:ligatures w14:val="standardContextual"/>
        </w:rPr>
        <w:lastRenderedPageBreak/>
        <w:t>conjunto de sujetos obligados, incluyendo todas las entidades públicas de cualquier rama y nivel; órganos autónomos y de control; personas naturales o jurídicas, públicas o privadas, que ejerzan función pública o presten servicios públicos respecto de la información relacionada con dicha función; empresas estatales; partidos y movimientos políticos; y entidades que administren recursos públicos o parafiscales. Además, quienes reciban o intermedien fondos públicos, sin cumplir otros criterios, solo deben cumplir la ley respecto de la información vinculada a esos recursos. Finalmente, aclara que los usuarios privados de información pública no son sujetos obligados.</w:t>
      </w:r>
    </w:p>
    <w:p w14:paraId="756C832F" w14:textId="77777777" w:rsidR="000E07C3" w:rsidRDefault="000E07C3" w:rsidP="000E07C3">
      <w:pPr>
        <w:tabs>
          <w:tab w:val="left" w:pos="709"/>
        </w:tabs>
        <w:spacing w:after="0" w:line="240" w:lineRule="auto"/>
        <w:jc w:val="both"/>
        <w:rPr>
          <w:rFonts w:ascii="Verdana" w:eastAsia="Times New Roman" w:hAnsi="Verdana" w:cs="Arial"/>
          <w:sz w:val="20"/>
          <w:szCs w:val="20"/>
          <w:lang w:val="es-ES_tradnl" w:eastAsia="es-ES_tradnl"/>
          <w14:ligatures w14:val="standardContextual"/>
        </w:rPr>
      </w:pPr>
    </w:p>
    <w:p w14:paraId="5EF191CA" w14:textId="77777777" w:rsidR="000E07C3" w:rsidRDefault="000E07C3" w:rsidP="000E07C3">
      <w:pPr>
        <w:tabs>
          <w:tab w:val="left" w:pos="709"/>
        </w:tabs>
        <w:spacing w:after="0" w:line="240" w:lineRule="auto"/>
        <w:jc w:val="both"/>
        <w:rPr>
          <w:rFonts w:ascii="Verdana" w:eastAsia="Times New Roman" w:hAnsi="Verdana" w:cs="Arial"/>
          <w:sz w:val="20"/>
          <w:szCs w:val="20"/>
          <w:lang w:val="es-ES_tradnl" w:eastAsia="es-ES_tradnl"/>
          <w14:ligatures w14:val="standardContextual"/>
        </w:rPr>
      </w:pPr>
      <w:r>
        <w:rPr>
          <w:rFonts w:ascii="Verdana" w:eastAsia="Times New Roman" w:hAnsi="Verdana" w:cs="Arial"/>
          <w:sz w:val="20"/>
          <w:szCs w:val="20"/>
          <w:lang w:val="es-ES_tradnl" w:eastAsia="es-ES_tradnl"/>
          <w14:ligatures w14:val="standardContextual"/>
        </w:rPr>
        <w:t xml:space="preserve">[…] </w:t>
      </w:r>
    </w:p>
    <w:p w14:paraId="7472EBFD" w14:textId="77777777" w:rsidR="000E07C3" w:rsidRDefault="000E07C3" w:rsidP="000E07C3">
      <w:pPr>
        <w:tabs>
          <w:tab w:val="left" w:pos="709"/>
        </w:tabs>
        <w:spacing w:after="0" w:line="240" w:lineRule="auto"/>
        <w:jc w:val="both"/>
        <w:rPr>
          <w:rFonts w:ascii="Verdana" w:eastAsia="Times New Roman" w:hAnsi="Verdana" w:cs="Arial"/>
          <w:sz w:val="20"/>
          <w:szCs w:val="20"/>
          <w:lang w:val="es-ES_tradnl" w:eastAsia="es-ES_tradnl"/>
          <w14:ligatures w14:val="standardContextual"/>
        </w:rPr>
      </w:pPr>
    </w:p>
    <w:p w14:paraId="77D4418B" w14:textId="77777777" w:rsidR="000E07C3" w:rsidRDefault="000E07C3" w:rsidP="000E07C3">
      <w:pPr>
        <w:tabs>
          <w:tab w:val="left" w:pos="709"/>
        </w:tabs>
        <w:spacing w:after="0" w:line="240" w:lineRule="auto"/>
        <w:jc w:val="both"/>
        <w:rPr>
          <w:rFonts w:ascii="Verdana" w:eastAsia="Times New Roman" w:hAnsi="Verdana" w:cs="Arial"/>
          <w:sz w:val="20"/>
          <w:szCs w:val="20"/>
          <w:lang w:val="es-ES_tradnl" w:eastAsia="es-ES_tradnl"/>
          <w14:ligatures w14:val="standardContextual"/>
        </w:rPr>
      </w:pPr>
      <w:r w:rsidRPr="0033618B">
        <w:rPr>
          <w:rFonts w:ascii="Verdana" w:eastAsia="Times New Roman" w:hAnsi="Verdana" w:cs="Arial"/>
          <w:sz w:val="20"/>
          <w:szCs w:val="20"/>
          <w:lang w:val="es-ES_tradnl" w:eastAsia="es-ES_tradnl"/>
          <w14:ligatures w14:val="standardContextual"/>
        </w:rPr>
        <w:t>Asimismo, de acuerdo con el literal g) del artículo 11 de la Ley 1712 de 2014, todos los destinatarios de la Ley Estatutaria de Transparencia y Acceso a la Información Pública deben garantizar la publicidad de “sus procedimientos, lineamientos, políticas en materia de adquisiciones y compras, así como todos los datos de adjudicación y ejecución de contratos, incluidos concursos y licitaciones”, y esta información también debe estar en el SECOP.</w:t>
      </w:r>
    </w:p>
    <w:p w14:paraId="24E35C6C" w14:textId="77777777" w:rsidR="000E07C3" w:rsidRDefault="000E07C3" w:rsidP="000E07C3">
      <w:pPr>
        <w:tabs>
          <w:tab w:val="left" w:pos="709"/>
        </w:tabs>
        <w:spacing w:after="0" w:line="240" w:lineRule="auto"/>
        <w:jc w:val="both"/>
        <w:rPr>
          <w:rFonts w:ascii="Verdana" w:eastAsia="Times New Roman" w:hAnsi="Verdana" w:cs="Arial"/>
          <w:sz w:val="20"/>
          <w:szCs w:val="20"/>
          <w:lang w:val="es-ES_tradnl" w:eastAsia="es-ES_tradnl"/>
          <w14:ligatures w14:val="standardContextual"/>
        </w:rPr>
      </w:pPr>
    </w:p>
    <w:p w14:paraId="415D5681" w14:textId="77777777" w:rsidR="000E07C3" w:rsidRDefault="000E07C3" w:rsidP="000E07C3">
      <w:pPr>
        <w:tabs>
          <w:tab w:val="left" w:pos="709"/>
        </w:tabs>
        <w:spacing w:after="0" w:line="240" w:lineRule="auto"/>
        <w:jc w:val="both"/>
        <w:rPr>
          <w:rFonts w:ascii="Verdana" w:hAnsi="Verdana" w:cs="Arial"/>
          <w:b/>
          <w:bCs/>
          <w:lang w:val="es-ES_tradnl" w:eastAsia="es-ES" w:bidi="es-ES"/>
        </w:rPr>
      </w:pPr>
      <w:r w:rsidRPr="00E06B0F">
        <w:rPr>
          <w:rFonts w:ascii="Verdana" w:hAnsi="Verdana" w:cs="Arial"/>
          <w:b/>
          <w:bCs/>
          <w:lang w:val="es-ES_tradnl" w:eastAsia="es-ES" w:bidi="es-ES"/>
        </w:rPr>
        <w:t xml:space="preserve">PRINCIPIO DE PUBLICIDAD – SECOP – Documentos del proceso – Deber de publicación </w:t>
      </w:r>
    </w:p>
    <w:p w14:paraId="34CC6057" w14:textId="77777777" w:rsidR="000E07C3" w:rsidRDefault="000E07C3" w:rsidP="000E07C3">
      <w:pPr>
        <w:tabs>
          <w:tab w:val="left" w:pos="709"/>
        </w:tabs>
        <w:spacing w:after="0" w:line="240" w:lineRule="auto"/>
        <w:jc w:val="both"/>
        <w:rPr>
          <w:rFonts w:ascii="Verdana" w:hAnsi="Verdana" w:cs="Arial"/>
          <w:b/>
          <w:bCs/>
          <w:lang w:val="es-ES_tradnl" w:eastAsia="es-ES" w:bidi="es-ES"/>
        </w:rPr>
      </w:pPr>
    </w:p>
    <w:p w14:paraId="1F98BC67" w14:textId="77777777" w:rsidR="000E07C3" w:rsidRDefault="000E07C3" w:rsidP="000E07C3">
      <w:pPr>
        <w:tabs>
          <w:tab w:val="left" w:pos="709"/>
        </w:tabs>
        <w:spacing w:after="0" w:line="240" w:lineRule="auto"/>
        <w:jc w:val="both"/>
        <w:rPr>
          <w:rFonts w:ascii="Verdana" w:hAnsi="Verdana" w:cs="Arial"/>
          <w:sz w:val="20"/>
          <w:szCs w:val="20"/>
          <w:lang w:val="es-MX" w:eastAsia="es-ES" w:bidi="es-ES"/>
        </w:rPr>
      </w:pPr>
      <w:r>
        <w:rPr>
          <w:rFonts w:ascii="Verdana" w:hAnsi="Verdana" w:cs="Arial"/>
          <w:sz w:val="20"/>
          <w:szCs w:val="20"/>
          <w:lang w:val="es-MX" w:eastAsia="es-ES" w:bidi="es-ES"/>
        </w:rPr>
        <w:t xml:space="preserve">[…] </w:t>
      </w:r>
      <w:r w:rsidRPr="0023027A">
        <w:rPr>
          <w:rFonts w:ascii="Verdana" w:hAnsi="Verdana" w:cs="Arial"/>
          <w:sz w:val="20"/>
          <w:szCs w:val="20"/>
          <w:lang w:val="es-MX" w:eastAsia="es-ES" w:bidi="es-ES"/>
        </w:rPr>
        <w:t>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41808A3E" w14:textId="77777777" w:rsidR="000E07C3" w:rsidRDefault="000E07C3" w:rsidP="000E07C3">
      <w:pPr>
        <w:tabs>
          <w:tab w:val="left" w:pos="709"/>
        </w:tabs>
        <w:spacing w:after="0" w:line="240" w:lineRule="auto"/>
        <w:jc w:val="both"/>
        <w:rPr>
          <w:rFonts w:ascii="Verdana" w:hAnsi="Verdana" w:cs="Arial"/>
          <w:sz w:val="20"/>
          <w:szCs w:val="20"/>
          <w:lang w:val="es-MX" w:eastAsia="es-ES" w:bidi="es-ES"/>
        </w:rPr>
      </w:pPr>
    </w:p>
    <w:p w14:paraId="7B4449A8" w14:textId="77777777" w:rsidR="000E07C3" w:rsidRDefault="000E07C3" w:rsidP="000E07C3">
      <w:pPr>
        <w:tabs>
          <w:tab w:val="left" w:pos="709"/>
        </w:tabs>
        <w:spacing w:after="0" w:line="240" w:lineRule="auto"/>
        <w:jc w:val="both"/>
        <w:rPr>
          <w:rFonts w:ascii="Verdana" w:hAnsi="Verdana" w:cs="Arial"/>
          <w:sz w:val="20"/>
          <w:szCs w:val="20"/>
          <w:lang w:val="es-MX" w:eastAsia="es-ES" w:bidi="es-ES"/>
        </w:rPr>
      </w:pPr>
      <w:r w:rsidRPr="0023027A">
        <w:rPr>
          <w:rFonts w:ascii="Verdana" w:hAnsi="Verdana" w:cs="Arial"/>
          <w:sz w:val="20"/>
          <w:szCs w:val="20"/>
          <w:lang w:val="es-MX" w:eastAsia="es-ES" w:bidi="es-ES"/>
        </w:rPr>
        <w:t xml:space="preserve">La expresión Documentos del Proceso está definida en el artículo 2.2.1.1.3.1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05CAA9C5" w14:textId="77777777" w:rsidR="000E07C3" w:rsidRDefault="000E07C3" w:rsidP="000E07C3">
      <w:pPr>
        <w:tabs>
          <w:tab w:val="left" w:pos="709"/>
        </w:tabs>
        <w:spacing w:after="0" w:line="240" w:lineRule="auto"/>
        <w:jc w:val="both"/>
        <w:rPr>
          <w:rFonts w:ascii="Verdana" w:hAnsi="Verdana" w:cs="Arial"/>
          <w:sz w:val="20"/>
          <w:szCs w:val="20"/>
          <w:lang w:val="es-MX" w:eastAsia="es-ES" w:bidi="es-ES"/>
        </w:rPr>
      </w:pPr>
    </w:p>
    <w:p w14:paraId="4ADFA83B" w14:textId="77777777" w:rsidR="000E07C3" w:rsidRDefault="000E07C3" w:rsidP="000E07C3">
      <w:pPr>
        <w:tabs>
          <w:tab w:val="left" w:pos="709"/>
        </w:tabs>
        <w:spacing w:after="0" w:line="240" w:lineRule="auto"/>
        <w:jc w:val="both"/>
        <w:rPr>
          <w:rFonts w:ascii="Verdana" w:hAnsi="Verdana" w:cs="Arial"/>
          <w:sz w:val="20"/>
          <w:szCs w:val="20"/>
          <w:lang w:val="es-MX" w:eastAsia="es-ES" w:bidi="es-ES"/>
        </w:rPr>
      </w:pPr>
      <w:r w:rsidRPr="0023027A">
        <w:rPr>
          <w:rFonts w:ascii="Verdana" w:hAnsi="Verdana" w:cs="Arial"/>
          <w:sz w:val="20"/>
          <w:szCs w:val="20"/>
          <w:lang w:val="es-MX" w:eastAsia="es-ES" w:bidi="es-ES"/>
        </w:rPr>
        <w:t xml:space="preserve">Sin embargo, para identificar los documentos que deben publicarse, es necesario realizar una interpretación sistemática de las disposiciones del Decreto 1082 de 2015, comoquiera que el anterior no es un listado taxativo, sino enunciativo, porque además de los documentos enlistados, el artículo 2.2.1.1.1.3.1 Ibidem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w:t>
      </w:r>
      <w:proofErr w:type="spellStart"/>
      <w:r w:rsidRPr="0023027A">
        <w:rPr>
          <w:rFonts w:ascii="Verdana" w:hAnsi="Verdana" w:cs="Arial"/>
          <w:sz w:val="20"/>
          <w:szCs w:val="20"/>
          <w:lang w:val="es-MX" w:eastAsia="es-ES" w:bidi="es-ES"/>
        </w:rPr>
        <w:t>mas</w:t>
      </w:r>
      <w:proofErr w:type="spellEnd"/>
      <w:r w:rsidRPr="0023027A">
        <w:rPr>
          <w:rFonts w:ascii="Verdana" w:hAnsi="Verdana" w:cs="Arial"/>
          <w:sz w:val="20"/>
          <w:szCs w:val="20"/>
          <w:lang w:val="es-MX" w:eastAsia="es-ES" w:bidi="es-ES"/>
        </w:rPr>
        <w:t xml:space="preserve"> tarde”. Nótese que la norma hace referencia a los documentos “expedidos por la entidad estatal” durante el proceso de contratación, excluyendo de la noción de Documentos del Proceso los expedidos por un sujeto distinto a la entidad, salvo la oferta, la cual se incluye expresamente en el referido artículo 2.2.1.1.1.3.1. </w:t>
      </w:r>
    </w:p>
    <w:p w14:paraId="0145CC15" w14:textId="77777777" w:rsidR="000E07C3" w:rsidRDefault="000E07C3" w:rsidP="000E07C3">
      <w:pPr>
        <w:tabs>
          <w:tab w:val="left" w:pos="709"/>
        </w:tabs>
        <w:spacing w:after="0" w:line="240" w:lineRule="auto"/>
        <w:jc w:val="both"/>
        <w:rPr>
          <w:rFonts w:ascii="Verdana" w:hAnsi="Verdana" w:cs="Arial"/>
          <w:sz w:val="20"/>
          <w:szCs w:val="20"/>
          <w:lang w:val="es-MX" w:eastAsia="es-ES" w:bidi="es-ES"/>
        </w:rPr>
      </w:pPr>
    </w:p>
    <w:p w14:paraId="6DB303A3" w14:textId="77777777" w:rsidR="000E07C3" w:rsidRPr="0023027A" w:rsidRDefault="000E07C3" w:rsidP="000E07C3">
      <w:pPr>
        <w:tabs>
          <w:tab w:val="left" w:pos="709"/>
        </w:tabs>
        <w:spacing w:after="0" w:line="240" w:lineRule="auto"/>
        <w:jc w:val="both"/>
        <w:rPr>
          <w:rFonts w:ascii="Verdana" w:hAnsi="Verdana" w:cs="Arial"/>
          <w:sz w:val="20"/>
          <w:szCs w:val="20"/>
          <w:lang w:val="es-MX" w:eastAsia="es-ES" w:bidi="es-ES"/>
        </w:rPr>
      </w:pPr>
      <w:r w:rsidRPr="0023027A">
        <w:rPr>
          <w:rFonts w:ascii="Verdana" w:hAnsi="Verdana" w:cs="Arial"/>
          <w:sz w:val="20"/>
          <w:szCs w:val="20"/>
          <w:lang w:val="es-MX" w:eastAsia="es-ES" w:bidi="es-ES"/>
        </w:rPr>
        <w:lastRenderedPageBreak/>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w:t>
      </w:r>
      <w:proofErr w:type="spellStart"/>
      <w:r w:rsidRPr="0023027A">
        <w:rPr>
          <w:rFonts w:ascii="Verdana" w:hAnsi="Verdana" w:cs="Arial"/>
          <w:sz w:val="20"/>
          <w:szCs w:val="20"/>
          <w:lang w:val="es-MX" w:eastAsia="es-ES" w:bidi="es-ES"/>
        </w:rPr>
        <w:t>postcontractual</w:t>
      </w:r>
      <w:proofErr w:type="spellEnd"/>
      <w:r w:rsidRPr="0023027A">
        <w:rPr>
          <w:rFonts w:ascii="Verdana" w:hAnsi="Verdana" w:cs="Arial"/>
          <w:sz w:val="20"/>
          <w:szCs w:val="20"/>
          <w:lang w:val="es-MX" w:eastAsia="es-ES" w:bidi="es-ES"/>
        </w:rPr>
        <w:t xml:space="preserve"> deberán ser publicados en SECOP dentro de los tres (3) días siguientes a su expedición, para cumplir el deber de publicidad regulado por el artículo 2.2.1.1.1.7.1 del Decreto 1082 de 2015.</w:t>
      </w:r>
    </w:p>
    <w:p w14:paraId="079F8565" w14:textId="77777777" w:rsidR="000E07C3" w:rsidRPr="0033618B" w:rsidRDefault="000E07C3" w:rsidP="000E07C3">
      <w:pPr>
        <w:tabs>
          <w:tab w:val="left" w:pos="709"/>
        </w:tabs>
        <w:spacing w:after="0" w:line="240" w:lineRule="auto"/>
        <w:jc w:val="both"/>
        <w:rPr>
          <w:rFonts w:ascii="Verdana" w:eastAsia="Times New Roman" w:hAnsi="Verdana" w:cs="Arial"/>
          <w:sz w:val="20"/>
          <w:szCs w:val="20"/>
          <w:lang w:val="es-ES_tradnl" w:eastAsia="es-ES_tradnl"/>
          <w14:ligatures w14:val="standardContextual"/>
        </w:rPr>
      </w:pPr>
    </w:p>
    <w:p w14:paraId="0DCD3867" w14:textId="77777777" w:rsidR="000E07C3" w:rsidRDefault="000E07C3" w:rsidP="000E07C3">
      <w:pPr>
        <w:jc w:val="both"/>
        <w:rPr>
          <w:rFonts w:ascii="Verdana" w:hAnsi="Verdana" w:cs="Arial"/>
          <w:b/>
          <w:bCs/>
          <w:lang w:eastAsia="es-ES" w:bidi="es-ES"/>
        </w:rPr>
      </w:pPr>
      <w:r w:rsidRPr="00E06B0F">
        <w:rPr>
          <w:rFonts w:ascii="Verdana" w:hAnsi="Verdana" w:cs="Arial"/>
          <w:b/>
          <w:bCs/>
          <w:lang w:eastAsia="es-ES" w:bidi="es-ES"/>
        </w:rPr>
        <w:t xml:space="preserve">ENTIDADES CON RÉGIMEN ESPECIAL – Deber de publicar en SECOP – Artículo 53 Ley 2195 de 2022 </w:t>
      </w:r>
    </w:p>
    <w:p w14:paraId="14F9908D" w14:textId="77777777" w:rsidR="000E07C3" w:rsidRDefault="000E07C3" w:rsidP="000E07C3">
      <w:pPr>
        <w:jc w:val="both"/>
        <w:rPr>
          <w:rFonts w:ascii="Verdana" w:hAnsi="Verdana" w:cs="Arial"/>
          <w:sz w:val="20"/>
          <w:szCs w:val="20"/>
          <w:lang w:eastAsia="es-ES" w:bidi="es-ES"/>
        </w:rPr>
      </w:pPr>
      <w:r w:rsidRPr="000C00A4">
        <w:rPr>
          <w:rFonts w:ascii="Verdana" w:hAnsi="Verdana" w:cs="Arial"/>
          <w:sz w:val="20"/>
          <w:szCs w:val="20"/>
          <w:lang w:eastAsia="es-ES" w:bidi="es-ES"/>
        </w:rPr>
        <w:t xml:space="preserve">Ahora bien, como entidades de régimen especial es clara la obligatoriedad de publicar la información de la actividad contractual en el SECOP. En tal sentido, debe destacarse el artículo 53 de la Ley 2195 de 2022 que modifica el artículo 13 de la Ley 1150 de 2007, estableció la obligación de las Entidades Estatales exceptuadas del Estatuto General de Contratación de la Administración Pública de publicar en el SECOP II –es decir en la plataforma transaccional vigente– su actividad contractual. Así pues, respecto de los documentos que deben publicarse en el SECOP II a efectos de cumplir el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w:t>
      </w:r>
      <w:proofErr w:type="spellStart"/>
      <w:r w:rsidRPr="000C00A4">
        <w:rPr>
          <w:rFonts w:ascii="Verdana" w:hAnsi="Verdana" w:cs="Arial"/>
          <w:sz w:val="20"/>
          <w:szCs w:val="20"/>
          <w:lang w:eastAsia="es-ES" w:bidi="es-ES"/>
        </w:rPr>
        <w:t>post-contractual</w:t>
      </w:r>
      <w:proofErr w:type="spellEnd"/>
      <w:r w:rsidRPr="000C00A4">
        <w:rPr>
          <w:rFonts w:ascii="Verdana" w:hAnsi="Verdana" w:cs="Arial"/>
          <w:sz w:val="20"/>
          <w:szCs w:val="20"/>
          <w:lang w:eastAsia="es-ES" w:bidi="es-ES"/>
        </w:rPr>
        <w:t>”.</w:t>
      </w:r>
    </w:p>
    <w:p w14:paraId="452B2F7D" w14:textId="77777777" w:rsidR="000E07C3" w:rsidRPr="000C00A4" w:rsidRDefault="000E07C3" w:rsidP="000E07C3">
      <w:pPr>
        <w:spacing w:after="0" w:line="240" w:lineRule="auto"/>
        <w:jc w:val="both"/>
        <w:rPr>
          <w:rFonts w:ascii="Verdana" w:hAnsi="Verdana" w:cs="Arial"/>
          <w:sz w:val="20"/>
          <w:szCs w:val="20"/>
          <w:lang w:eastAsia="es-ES" w:bidi="es-ES"/>
        </w:rPr>
      </w:pPr>
      <w:r w:rsidRPr="000C00A4">
        <w:rPr>
          <w:rFonts w:ascii="Verdana" w:hAnsi="Verdana" w:cs="Arial"/>
          <w:sz w:val="20"/>
          <w:szCs w:val="20"/>
          <w:lang w:eastAsia="es-ES" w:bidi="es-ES"/>
        </w:rPr>
        <w:t>En ese sentido, dicho precepto anteriormente referenciado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que modificó el artículo 13 de la Ley 1150 de 2007,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que estas contienen, si procede restricción de esta por una reserva constitucional o legal.</w:t>
      </w:r>
    </w:p>
    <w:p w14:paraId="24C9A614" w14:textId="77777777" w:rsidR="000E07C3" w:rsidRDefault="000E07C3" w:rsidP="000E07C3">
      <w:pPr>
        <w:spacing w:after="0" w:line="240" w:lineRule="auto"/>
        <w:jc w:val="both"/>
        <w:rPr>
          <w:rFonts w:ascii="Verdana" w:eastAsia="Calibri" w:hAnsi="Verdana" w:cs="Arial"/>
          <w:b/>
          <w:bCs/>
          <w:lang w:val="es-ES" w:eastAsia="es-ES"/>
        </w:rPr>
      </w:pPr>
    </w:p>
    <w:p w14:paraId="66F514AC" w14:textId="77777777" w:rsidR="000E07C3" w:rsidRDefault="000E07C3" w:rsidP="000E07C3">
      <w:pPr>
        <w:jc w:val="both"/>
        <w:rPr>
          <w:rFonts w:ascii="Verdana" w:eastAsia="Calibri" w:hAnsi="Verdana" w:cs="Arial"/>
          <w:b/>
          <w:bCs/>
          <w:lang w:val="es-ES" w:eastAsia="es-ES"/>
        </w:rPr>
      </w:pPr>
      <w:r w:rsidRPr="00E06B0F">
        <w:rPr>
          <w:rFonts w:ascii="Verdana" w:eastAsia="Calibri" w:hAnsi="Verdana" w:cs="Arial"/>
          <w:b/>
          <w:bCs/>
          <w:lang w:val="es-ES" w:eastAsia="es-ES"/>
        </w:rPr>
        <w:t xml:space="preserve">CIRCULAR EXTERNA 002 DE 2026 – Ámbito de aplicación – Entidades exceptuadas </w:t>
      </w:r>
    </w:p>
    <w:p w14:paraId="6326E84B" w14:textId="77777777" w:rsidR="000E07C3" w:rsidRDefault="000E07C3" w:rsidP="000E07C3">
      <w:pPr>
        <w:jc w:val="both"/>
        <w:rPr>
          <w:rFonts w:ascii="Verdana" w:eastAsia="Calibri" w:hAnsi="Verdana" w:cs="Arial"/>
          <w:sz w:val="20"/>
          <w:szCs w:val="20"/>
          <w:lang w:val="es-ES" w:eastAsia="es-ES"/>
        </w:rPr>
      </w:pPr>
      <w:r w:rsidRPr="000C00A4">
        <w:rPr>
          <w:rFonts w:ascii="Verdana" w:eastAsia="Calibri" w:hAnsi="Verdana" w:cs="Arial"/>
          <w:sz w:val="20"/>
          <w:szCs w:val="20"/>
          <w:lang w:val="es-ES" w:eastAsia="es-ES"/>
        </w:rPr>
        <w:t xml:space="preserve">Esta obligación se refuerza con la Circular Externa 002 del 8 de mayo de 2026 expedida por la ANCP – CCE, sobre la “Obligatoriedad de reportar declaratoria de caducidad, multas, sanciones, declaratorias de incumplimiento, inhabilidades y sentencias condenatorias impuestas a los contratistas del Estado ante las Cámaras de Comercio, Procuraduría General de la Nación y en el SECOP” y que se dirige a “Las entidades del Estado, sin distinción de su régimen contractual aplicable” (Énfasis fuera de texto). </w:t>
      </w:r>
    </w:p>
    <w:p w14:paraId="66AA6EF8" w14:textId="77777777" w:rsidR="000E07C3" w:rsidRDefault="000E07C3" w:rsidP="000E07C3">
      <w:pPr>
        <w:jc w:val="both"/>
        <w:rPr>
          <w:rFonts w:ascii="Verdana" w:eastAsia="Calibri" w:hAnsi="Verdana" w:cs="Arial"/>
          <w:sz w:val="20"/>
          <w:szCs w:val="20"/>
          <w:lang w:val="es-ES" w:eastAsia="es-ES"/>
        </w:rPr>
      </w:pPr>
      <w:r w:rsidRPr="000C00A4">
        <w:rPr>
          <w:rFonts w:ascii="Verdana" w:eastAsia="Calibri" w:hAnsi="Verdana" w:cs="Arial"/>
          <w:sz w:val="20"/>
          <w:szCs w:val="20"/>
          <w:lang w:val="es-ES" w:eastAsia="es-ES"/>
        </w:rPr>
        <w:lastRenderedPageBreak/>
        <w:t>Por tanto, las entidades exceptuadas de la Ley 80 de 1993 tienen el deber de “[…] efectuar reportes derivados de decisiones relacionadas con presuntos incumplimientos contractuales […]”, entre otros casos, cuando la ausencia de ejecución, la ejecución defectuosa o tardía de la prestación conducen a la declaración de terminación anticipada, multas o cláusula penal pecuniaria. Conforme al numeral 7 de la citada guía, la Agencia establece el alcance de la “Aplicabilidad de sanciones y cláusulas de ejercicio unilateral por parte de las Entidades Estatales con régimen especial de contratación”.</w:t>
      </w:r>
    </w:p>
    <w:p w14:paraId="3370053F" w14:textId="77777777" w:rsidR="000E07C3" w:rsidRPr="000C00A4" w:rsidRDefault="000E07C3" w:rsidP="000E07C3">
      <w:pPr>
        <w:spacing w:after="0" w:line="240" w:lineRule="auto"/>
        <w:jc w:val="both"/>
        <w:rPr>
          <w:rFonts w:ascii="Verdana" w:eastAsia="Calibri" w:hAnsi="Verdana" w:cs="Arial"/>
          <w:sz w:val="20"/>
          <w:szCs w:val="20"/>
          <w:lang w:val="es-ES" w:eastAsia="es-ES"/>
        </w:rPr>
      </w:pPr>
      <w:r w:rsidRPr="000C00A4">
        <w:rPr>
          <w:rFonts w:ascii="Verdana" w:eastAsia="Calibri" w:hAnsi="Verdana" w:cs="Arial"/>
          <w:sz w:val="20"/>
          <w:szCs w:val="20"/>
          <w:lang w:val="es-ES" w:eastAsia="es-ES"/>
        </w:rPr>
        <w:t>La Circular 002 de 2026 no se refiere al reporte, por ejemplo, de las decisiones contractuales mediante las cuales la entidad determina la ocurrencia de un siniestro derivado de un presunto incumplimiento contractual, con fines de efectividad de garantías y reclamación ante la aseguradora. Activar las garantías, por ejemplo, supone previamente la expedición de certificados, actas o documentos equivalentes donde, además de constar el ejercicio del derecho de defensa y contradicción por parte del afectado, acreditan la imposición de las sanciones pactadas en el negocio jurídico, las cuales sirven de fundamento para la reclamación posterior. Esta es la información objeto de reporte, la cual deberá constituirse en las condiciones que defina el manual de contratación de la entidad para su traslado a la cámara de comercio.</w:t>
      </w:r>
    </w:p>
    <w:p w14:paraId="6B8623F7" w14:textId="77777777" w:rsidR="000E07C3" w:rsidRPr="00643E5C" w:rsidRDefault="000E07C3" w:rsidP="000E07C3">
      <w:pPr>
        <w:spacing w:after="0" w:line="240" w:lineRule="auto"/>
        <w:rPr>
          <w:rFonts w:ascii="Verdana" w:hAnsi="Verdana"/>
        </w:rPr>
      </w:pPr>
    </w:p>
    <w:p w14:paraId="28C5ECD0" w14:textId="77777777" w:rsidR="000E07C3" w:rsidRDefault="000E07C3" w:rsidP="000E07C3">
      <w:pPr>
        <w:spacing w:after="0" w:line="240" w:lineRule="auto"/>
        <w:jc w:val="both"/>
        <w:rPr>
          <w:rFonts w:ascii="Verdana" w:eastAsia="Calibri" w:hAnsi="Verdana" w:cs="Arial"/>
          <w:lang w:eastAsia="es-ES"/>
        </w:rPr>
      </w:pPr>
      <w:bookmarkStart w:id="1" w:name="_Hlk214366482"/>
    </w:p>
    <w:p w14:paraId="35304F7E" w14:textId="77777777" w:rsidR="000E07C3" w:rsidRDefault="000E07C3" w:rsidP="000E07C3">
      <w:pPr>
        <w:spacing w:after="0" w:line="240" w:lineRule="auto"/>
        <w:jc w:val="both"/>
        <w:rPr>
          <w:rFonts w:ascii="Verdana" w:eastAsia="Calibri" w:hAnsi="Verdana" w:cs="Arial"/>
          <w:lang w:eastAsia="es-ES"/>
        </w:rPr>
      </w:pPr>
    </w:p>
    <w:p w14:paraId="09D0CD29" w14:textId="77777777" w:rsidR="000E07C3" w:rsidRDefault="000E07C3" w:rsidP="000E07C3">
      <w:pPr>
        <w:spacing w:after="0" w:line="240" w:lineRule="auto"/>
        <w:jc w:val="both"/>
        <w:rPr>
          <w:rFonts w:ascii="Verdana" w:eastAsia="Calibri" w:hAnsi="Verdana" w:cs="Arial"/>
          <w:lang w:eastAsia="es-ES"/>
        </w:rPr>
      </w:pPr>
    </w:p>
    <w:p w14:paraId="0A92CF1A" w14:textId="77777777" w:rsidR="000E07C3" w:rsidRDefault="000E07C3" w:rsidP="000E07C3">
      <w:pPr>
        <w:spacing w:after="0" w:line="240" w:lineRule="auto"/>
        <w:jc w:val="both"/>
        <w:rPr>
          <w:rFonts w:ascii="Verdana" w:eastAsia="Calibri" w:hAnsi="Verdana" w:cs="Arial"/>
          <w:lang w:eastAsia="es-ES"/>
        </w:rPr>
      </w:pPr>
    </w:p>
    <w:p w14:paraId="0AECCB3C" w14:textId="77777777" w:rsidR="000E07C3" w:rsidRDefault="000E07C3" w:rsidP="000E07C3">
      <w:pPr>
        <w:spacing w:after="0" w:line="240" w:lineRule="auto"/>
        <w:jc w:val="both"/>
        <w:rPr>
          <w:rFonts w:ascii="Verdana" w:eastAsia="Calibri" w:hAnsi="Verdana" w:cs="Arial"/>
          <w:lang w:eastAsia="es-ES"/>
        </w:rPr>
      </w:pPr>
    </w:p>
    <w:p w14:paraId="03B5CE5E" w14:textId="77777777" w:rsidR="000E07C3" w:rsidRDefault="000E07C3" w:rsidP="000E07C3">
      <w:pPr>
        <w:spacing w:after="0" w:line="240" w:lineRule="auto"/>
        <w:jc w:val="both"/>
        <w:rPr>
          <w:rFonts w:ascii="Verdana" w:eastAsia="Calibri" w:hAnsi="Verdana" w:cs="Arial"/>
          <w:lang w:eastAsia="es-ES"/>
        </w:rPr>
      </w:pPr>
    </w:p>
    <w:p w14:paraId="409C250B" w14:textId="77777777" w:rsidR="000E07C3" w:rsidRDefault="000E07C3" w:rsidP="000E07C3">
      <w:pPr>
        <w:spacing w:after="0" w:line="240" w:lineRule="auto"/>
        <w:jc w:val="both"/>
        <w:rPr>
          <w:rFonts w:ascii="Verdana" w:eastAsia="Calibri" w:hAnsi="Verdana" w:cs="Arial"/>
          <w:lang w:eastAsia="es-ES"/>
        </w:rPr>
      </w:pPr>
    </w:p>
    <w:p w14:paraId="30273698" w14:textId="77777777" w:rsidR="000E07C3" w:rsidRDefault="000E07C3" w:rsidP="000E07C3">
      <w:pPr>
        <w:spacing w:after="0" w:line="240" w:lineRule="auto"/>
        <w:jc w:val="both"/>
        <w:rPr>
          <w:rFonts w:ascii="Verdana" w:eastAsia="Calibri" w:hAnsi="Verdana" w:cs="Arial"/>
          <w:lang w:eastAsia="es-ES"/>
        </w:rPr>
      </w:pPr>
    </w:p>
    <w:p w14:paraId="47FEE8A1" w14:textId="77777777" w:rsidR="000E07C3" w:rsidRDefault="000E07C3" w:rsidP="000E07C3">
      <w:pPr>
        <w:spacing w:after="0" w:line="240" w:lineRule="auto"/>
        <w:jc w:val="both"/>
        <w:rPr>
          <w:rFonts w:ascii="Verdana" w:eastAsia="Calibri" w:hAnsi="Verdana" w:cs="Arial"/>
          <w:lang w:eastAsia="es-ES"/>
        </w:rPr>
      </w:pPr>
    </w:p>
    <w:p w14:paraId="42C5FC92" w14:textId="77777777" w:rsidR="000E07C3" w:rsidRDefault="000E07C3" w:rsidP="000E07C3">
      <w:pPr>
        <w:spacing w:after="0" w:line="240" w:lineRule="auto"/>
        <w:jc w:val="both"/>
        <w:rPr>
          <w:rFonts w:ascii="Verdana" w:eastAsia="Calibri" w:hAnsi="Verdana" w:cs="Arial"/>
          <w:lang w:eastAsia="es-ES"/>
        </w:rPr>
      </w:pPr>
    </w:p>
    <w:p w14:paraId="3A573DE1" w14:textId="77777777" w:rsidR="000E07C3" w:rsidRDefault="000E07C3" w:rsidP="000E07C3">
      <w:pPr>
        <w:spacing w:after="0" w:line="240" w:lineRule="auto"/>
        <w:jc w:val="both"/>
        <w:rPr>
          <w:rFonts w:ascii="Verdana" w:eastAsia="Calibri" w:hAnsi="Verdana" w:cs="Arial"/>
          <w:lang w:eastAsia="es-ES"/>
        </w:rPr>
      </w:pPr>
    </w:p>
    <w:p w14:paraId="1A6CBBDC" w14:textId="77777777" w:rsidR="000E07C3" w:rsidRDefault="000E07C3" w:rsidP="000E07C3">
      <w:pPr>
        <w:spacing w:after="0" w:line="240" w:lineRule="auto"/>
        <w:jc w:val="both"/>
        <w:rPr>
          <w:rFonts w:ascii="Verdana" w:eastAsia="Calibri" w:hAnsi="Verdana" w:cs="Arial"/>
          <w:lang w:eastAsia="es-ES"/>
        </w:rPr>
      </w:pPr>
    </w:p>
    <w:p w14:paraId="4DCABDFC" w14:textId="77777777" w:rsidR="000E07C3" w:rsidRDefault="000E07C3" w:rsidP="000E07C3">
      <w:pPr>
        <w:spacing w:after="0" w:line="240" w:lineRule="auto"/>
        <w:jc w:val="both"/>
        <w:rPr>
          <w:rFonts w:ascii="Verdana" w:eastAsia="Calibri" w:hAnsi="Verdana" w:cs="Arial"/>
          <w:lang w:eastAsia="es-ES"/>
        </w:rPr>
      </w:pPr>
    </w:p>
    <w:p w14:paraId="4308A6B5" w14:textId="77777777" w:rsidR="000E07C3" w:rsidRDefault="000E07C3" w:rsidP="000E07C3">
      <w:pPr>
        <w:spacing w:after="0" w:line="240" w:lineRule="auto"/>
        <w:jc w:val="both"/>
        <w:rPr>
          <w:rFonts w:ascii="Verdana" w:eastAsia="Calibri" w:hAnsi="Verdana" w:cs="Arial"/>
          <w:lang w:eastAsia="es-ES"/>
        </w:rPr>
      </w:pPr>
    </w:p>
    <w:p w14:paraId="46F45883" w14:textId="77777777" w:rsidR="000E07C3" w:rsidRDefault="000E07C3" w:rsidP="000E07C3">
      <w:pPr>
        <w:spacing w:after="0" w:line="240" w:lineRule="auto"/>
        <w:jc w:val="both"/>
        <w:rPr>
          <w:rFonts w:ascii="Verdana" w:eastAsia="Calibri" w:hAnsi="Verdana" w:cs="Arial"/>
          <w:lang w:eastAsia="es-ES"/>
        </w:rPr>
      </w:pPr>
    </w:p>
    <w:p w14:paraId="0850F36B" w14:textId="77777777" w:rsidR="000E07C3" w:rsidRDefault="000E07C3" w:rsidP="000E07C3">
      <w:pPr>
        <w:spacing w:after="0" w:line="240" w:lineRule="auto"/>
        <w:jc w:val="both"/>
        <w:rPr>
          <w:rFonts w:ascii="Verdana" w:eastAsia="Calibri" w:hAnsi="Verdana" w:cs="Arial"/>
          <w:lang w:eastAsia="es-ES"/>
        </w:rPr>
      </w:pPr>
    </w:p>
    <w:p w14:paraId="4DD8DC7D" w14:textId="77777777" w:rsidR="000E07C3" w:rsidRDefault="000E07C3" w:rsidP="000E07C3">
      <w:pPr>
        <w:spacing w:after="0" w:line="240" w:lineRule="auto"/>
        <w:jc w:val="both"/>
        <w:rPr>
          <w:rFonts w:ascii="Verdana" w:eastAsia="Calibri" w:hAnsi="Verdana" w:cs="Arial"/>
          <w:lang w:eastAsia="es-ES"/>
        </w:rPr>
      </w:pPr>
    </w:p>
    <w:p w14:paraId="0621661D" w14:textId="77777777" w:rsidR="000E07C3" w:rsidRDefault="000E07C3" w:rsidP="000E07C3">
      <w:pPr>
        <w:spacing w:after="0" w:line="240" w:lineRule="auto"/>
        <w:jc w:val="both"/>
        <w:rPr>
          <w:rFonts w:ascii="Verdana" w:eastAsia="Calibri" w:hAnsi="Verdana" w:cs="Arial"/>
          <w:lang w:eastAsia="es-ES"/>
        </w:rPr>
      </w:pPr>
    </w:p>
    <w:p w14:paraId="0809D3BC" w14:textId="77777777" w:rsidR="000E07C3" w:rsidRDefault="000E07C3" w:rsidP="000E07C3">
      <w:pPr>
        <w:spacing w:after="0" w:line="240" w:lineRule="auto"/>
        <w:jc w:val="both"/>
        <w:rPr>
          <w:rFonts w:ascii="Verdana" w:eastAsia="Calibri" w:hAnsi="Verdana" w:cs="Arial"/>
          <w:lang w:eastAsia="es-ES"/>
        </w:rPr>
      </w:pPr>
    </w:p>
    <w:p w14:paraId="7AB5B16E" w14:textId="77777777" w:rsidR="000E07C3" w:rsidRDefault="000E07C3" w:rsidP="000E07C3">
      <w:pPr>
        <w:spacing w:after="0" w:line="240" w:lineRule="auto"/>
        <w:jc w:val="both"/>
        <w:rPr>
          <w:rFonts w:ascii="Verdana" w:eastAsia="Calibri" w:hAnsi="Verdana" w:cs="Arial"/>
          <w:lang w:eastAsia="es-ES"/>
        </w:rPr>
      </w:pPr>
    </w:p>
    <w:p w14:paraId="5E91F881" w14:textId="77777777" w:rsidR="000E07C3" w:rsidRDefault="000E07C3" w:rsidP="000E07C3">
      <w:pPr>
        <w:spacing w:after="0" w:line="240" w:lineRule="auto"/>
        <w:jc w:val="both"/>
        <w:rPr>
          <w:rFonts w:ascii="Verdana" w:eastAsia="Calibri" w:hAnsi="Verdana" w:cs="Arial"/>
          <w:lang w:eastAsia="es-ES"/>
        </w:rPr>
      </w:pPr>
    </w:p>
    <w:p w14:paraId="4E53E007" w14:textId="77777777" w:rsidR="000E07C3" w:rsidRDefault="000E07C3" w:rsidP="000E07C3">
      <w:pPr>
        <w:spacing w:after="0" w:line="240" w:lineRule="auto"/>
        <w:jc w:val="both"/>
        <w:rPr>
          <w:rFonts w:ascii="Verdana" w:eastAsia="Calibri" w:hAnsi="Verdana" w:cs="Arial"/>
          <w:lang w:eastAsia="es-ES"/>
        </w:rPr>
      </w:pPr>
    </w:p>
    <w:p w14:paraId="0F10668A" w14:textId="77777777" w:rsidR="000E07C3" w:rsidRDefault="000E07C3" w:rsidP="000E07C3">
      <w:pPr>
        <w:spacing w:after="0" w:line="240" w:lineRule="auto"/>
        <w:jc w:val="both"/>
        <w:rPr>
          <w:rFonts w:ascii="Verdana" w:eastAsia="Calibri" w:hAnsi="Verdana" w:cs="Arial"/>
          <w:lang w:eastAsia="es-ES"/>
        </w:rPr>
      </w:pPr>
    </w:p>
    <w:p w14:paraId="74B5F263" w14:textId="77777777" w:rsidR="000E07C3" w:rsidRDefault="000E07C3" w:rsidP="000E07C3">
      <w:pPr>
        <w:spacing w:after="0" w:line="240" w:lineRule="auto"/>
        <w:jc w:val="both"/>
        <w:rPr>
          <w:rFonts w:ascii="Verdana" w:eastAsia="Calibri" w:hAnsi="Verdana" w:cs="Arial"/>
          <w:lang w:eastAsia="es-ES"/>
        </w:rPr>
      </w:pPr>
    </w:p>
    <w:p w14:paraId="177C7CB3" w14:textId="77777777" w:rsidR="000E07C3" w:rsidRDefault="000E07C3" w:rsidP="000E07C3">
      <w:pPr>
        <w:spacing w:after="0" w:line="240" w:lineRule="auto"/>
        <w:jc w:val="both"/>
        <w:rPr>
          <w:rFonts w:ascii="Verdana" w:eastAsia="Calibri" w:hAnsi="Verdana" w:cs="Arial"/>
          <w:lang w:eastAsia="es-ES"/>
        </w:rPr>
      </w:pPr>
    </w:p>
    <w:p w14:paraId="3DE83E17" w14:textId="6A6255A0" w:rsidR="000E07C3" w:rsidRDefault="000E07C3" w:rsidP="000E07C3">
      <w:pPr>
        <w:spacing w:after="0" w:line="240" w:lineRule="auto"/>
        <w:jc w:val="both"/>
        <w:rPr>
          <w:rFonts w:ascii="Verdana" w:eastAsia="Calibri" w:hAnsi="Verdana" w:cs="Arial"/>
          <w:lang w:eastAsia="es-ES"/>
        </w:rPr>
      </w:pPr>
    </w:p>
    <w:p w14:paraId="724203D9" w14:textId="55264271" w:rsidR="00AD3CEC" w:rsidRDefault="00AD3CEC" w:rsidP="00AD3CEC">
      <w:pPr>
        <w:spacing w:after="0" w:line="240" w:lineRule="auto"/>
        <w:ind w:left="6372"/>
        <w:jc w:val="both"/>
        <w:rPr>
          <w:rFonts w:ascii="Verdana" w:eastAsia="Calibri" w:hAnsi="Verdana" w:cs="Arial"/>
          <w:lang w:eastAsia="es-ES"/>
        </w:rPr>
      </w:pPr>
      <w:r>
        <w:rPr>
          <w:rFonts w:ascii="Verdana" w:eastAsia="Calibri" w:hAnsi="Verdana" w:cs="Arial"/>
          <w:lang w:eastAsia="es-ES"/>
        </w:rPr>
        <w:t xml:space="preserve">                                                                               </w:t>
      </w:r>
    </w:p>
    <w:p w14:paraId="07E5E83E" w14:textId="44E61620" w:rsidR="000E07C3" w:rsidRDefault="004B1AC0" w:rsidP="000E07C3">
      <w:pPr>
        <w:spacing w:after="0" w:line="240" w:lineRule="auto"/>
        <w:jc w:val="both"/>
        <w:rPr>
          <w:rFonts w:ascii="Verdana" w:eastAsia="Calibri" w:hAnsi="Verdana" w:cs="Arial"/>
          <w:lang w:eastAsia="es-ES"/>
        </w:rPr>
      </w:pPr>
      <w:r w:rsidRPr="004B1AC0">
        <w:rPr>
          <w:rFonts w:ascii="Verdana" w:eastAsia="Verdana" w:hAnsi="Verdana" w:cs="Verdana"/>
          <w:lang w:val="es-ES"/>
        </w:rPr>
        <w:t xml:space="preserve">Bogotá D.C., </w:t>
      </w:r>
      <w:r>
        <w:rPr>
          <w:rFonts w:ascii="Verdana" w:eastAsia="Verdana" w:hAnsi="Verdana" w:cs="Verdana"/>
          <w:lang w:val="es-ES"/>
        </w:rPr>
        <w:t>25</w:t>
      </w:r>
      <w:r w:rsidRPr="004B1AC0">
        <w:rPr>
          <w:rFonts w:ascii="Verdana" w:eastAsia="Verdana" w:hAnsi="Verdana" w:cs="Verdana"/>
          <w:lang w:val="es-ES"/>
        </w:rPr>
        <w:t xml:space="preserve"> de </w:t>
      </w:r>
      <w:r w:rsidR="00325A05">
        <w:rPr>
          <w:rFonts w:ascii="Verdana" w:eastAsia="Verdana" w:hAnsi="Verdana" w:cs="Verdana"/>
          <w:lang w:val="es-ES"/>
        </w:rPr>
        <w:t>septiembre</w:t>
      </w:r>
      <w:r w:rsidRPr="004B1AC0">
        <w:rPr>
          <w:rFonts w:ascii="Verdana" w:eastAsia="Verdana" w:hAnsi="Verdana" w:cs="Verdana"/>
          <w:lang w:val="es-ES"/>
        </w:rPr>
        <w:t xml:space="preserve"> de 2026</w:t>
      </w:r>
      <w:r w:rsidRPr="004B1AC0">
        <w:rPr>
          <w:rFonts w:ascii="Verdana" w:eastAsia="Verdana" w:hAnsi="Verdana" w:cs="Verdana"/>
        </w:rPr>
        <w:t> </w:t>
      </w:r>
    </w:p>
    <w:p w14:paraId="1D25E5A7" w14:textId="3E10D10F" w:rsidR="000E07C3" w:rsidRDefault="000E07C3" w:rsidP="000E07C3">
      <w:pPr>
        <w:spacing w:after="0" w:line="240" w:lineRule="auto"/>
        <w:jc w:val="both"/>
        <w:rPr>
          <w:rFonts w:ascii="Verdana" w:eastAsia="Calibri" w:hAnsi="Verdana" w:cs="Arial"/>
          <w:lang w:eastAsia="es-ES"/>
        </w:rPr>
      </w:pPr>
    </w:p>
    <w:p w14:paraId="4E01597D" w14:textId="597BD9C1" w:rsidR="00325A05" w:rsidRDefault="00325A05" w:rsidP="000E07C3">
      <w:pPr>
        <w:spacing w:after="0" w:line="240" w:lineRule="auto"/>
        <w:jc w:val="both"/>
        <w:rPr>
          <w:rFonts w:ascii="Verdana" w:eastAsia="Calibri" w:hAnsi="Verdana" w:cs="Arial"/>
          <w:lang w:eastAsia="es-ES"/>
        </w:rPr>
      </w:pPr>
      <w:r w:rsidRPr="00AD3CEC">
        <w:rPr>
          <w:rFonts w:ascii="Verdana" w:eastAsia="Calibri" w:hAnsi="Verdana" w:cs="Arial"/>
          <w:noProof/>
          <w:lang w:eastAsia="es-ES"/>
        </w:rPr>
        <w:drawing>
          <wp:anchor distT="0" distB="0" distL="114300" distR="114300" simplePos="0" relativeHeight="251658240" behindDoc="1" locked="0" layoutInCell="1" allowOverlap="1" wp14:anchorId="132D69DE" wp14:editId="071E80E8">
            <wp:simplePos x="0" y="0"/>
            <wp:positionH relativeFrom="column">
              <wp:posOffset>3245143</wp:posOffset>
            </wp:positionH>
            <wp:positionV relativeFrom="paragraph">
              <wp:posOffset>80645</wp:posOffset>
            </wp:positionV>
            <wp:extent cx="2082800" cy="684530"/>
            <wp:effectExtent l="0" t="0" r="0" b="1270"/>
            <wp:wrapTight wrapText="bothSides">
              <wp:wrapPolygon edited="0">
                <wp:start x="0" y="0"/>
                <wp:lineTo x="0" y="21039"/>
                <wp:lineTo x="21337" y="21039"/>
                <wp:lineTo x="21337" y="0"/>
                <wp:lineTo x="0" y="0"/>
              </wp:wrapPolygon>
            </wp:wrapTight>
            <wp:docPr id="17425642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82800" cy="684530"/>
                    </a:xfrm>
                    <a:prstGeom prst="rect">
                      <a:avLst/>
                    </a:prstGeom>
                    <a:noFill/>
                    <a:ln>
                      <a:noFill/>
                    </a:ln>
                  </pic:spPr>
                </pic:pic>
              </a:graphicData>
            </a:graphic>
          </wp:anchor>
        </w:drawing>
      </w:r>
    </w:p>
    <w:p w14:paraId="141EB205" w14:textId="3D2758BE" w:rsidR="000E07C3" w:rsidRPr="00B44380" w:rsidRDefault="000E07C3" w:rsidP="000E07C3">
      <w:pPr>
        <w:spacing w:after="0" w:line="240" w:lineRule="auto"/>
        <w:jc w:val="both"/>
        <w:rPr>
          <w:rFonts w:ascii="Verdana" w:eastAsia="Calibri" w:hAnsi="Verdana" w:cs="Arial"/>
          <w:lang w:eastAsia="es-ES"/>
        </w:rPr>
      </w:pPr>
      <w:r w:rsidRPr="00B44380">
        <w:rPr>
          <w:rFonts w:ascii="Verdana" w:eastAsia="Calibri" w:hAnsi="Verdana" w:cs="Arial"/>
          <w:lang w:eastAsia="es-ES"/>
        </w:rPr>
        <w:t>Señor</w:t>
      </w:r>
    </w:p>
    <w:p w14:paraId="78A023E2" w14:textId="36FD1D8F" w:rsidR="000E07C3" w:rsidRDefault="000E07C3" w:rsidP="000E07C3">
      <w:pPr>
        <w:spacing w:after="0" w:line="240" w:lineRule="auto"/>
        <w:jc w:val="both"/>
        <w:rPr>
          <w:rFonts w:ascii="Verdana" w:eastAsia="Calibri" w:hAnsi="Verdana" w:cs="Arial"/>
          <w:b/>
          <w:bCs/>
          <w:lang w:eastAsia="es-ES"/>
        </w:rPr>
      </w:pPr>
      <w:r>
        <w:rPr>
          <w:rFonts w:ascii="Verdana" w:eastAsia="Calibri" w:hAnsi="Verdana" w:cs="Arial"/>
          <w:b/>
          <w:bCs/>
          <w:lang w:eastAsia="es-ES"/>
        </w:rPr>
        <w:t>Fernando Gutiérrez</w:t>
      </w:r>
    </w:p>
    <w:p w14:paraId="328D8C8A" w14:textId="5E8118A0" w:rsidR="000E07C3" w:rsidRPr="00B44380" w:rsidRDefault="000E07C3" w:rsidP="000E07C3">
      <w:pPr>
        <w:spacing w:after="0" w:line="240" w:lineRule="auto"/>
        <w:jc w:val="both"/>
        <w:rPr>
          <w:rFonts w:ascii="Verdana" w:eastAsia="Calibri" w:hAnsi="Verdana" w:cs="Arial"/>
          <w:lang w:eastAsia="es-ES"/>
        </w:rPr>
      </w:pPr>
      <w:hyperlink r:id="rId11" w:history="1">
        <w:r w:rsidRPr="00B44380">
          <w:rPr>
            <w:rStyle w:val="Hipervnculo"/>
            <w:rFonts w:ascii="Verdana" w:eastAsia="Calibri" w:hAnsi="Verdana" w:cs="Arial"/>
            <w:lang w:eastAsia="es-ES"/>
          </w:rPr>
          <w:t>fernandog213@hotmail.com</w:t>
        </w:r>
      </w:hyperlink>
    </w:p>
    <w:p w14:paraId="7B555249" w14:textId="77777777" w:rsidR="000E07C3" w:rsidRPr="00B44380" w:rsidRDefault="000E07C3" w:rsidP="000E07C3">
      <w:pPr>
        <w:spacing w:after="0" w:line="240" w:lineRule="auto"/>
        <w:jc w:val="both"/>
        <w:rPr>
          <w:rFonts w:ascii="Verdana" w:eastAsia="Calibri" w:hAnsi="Verdana" w:cs="Arial"/>
          <w:lang w:eastAsia="es-ES"/>
        </w:rPr>
      </w:pPr>
      <w:r w:rsidRPr="00B44380">
        <w:rPr>
          <w:rFonts w:ascii="Verdana" w:eastAsia="Calibri" w:hAnsi="Verdana" w:cs="Arial"/>
          <w:lang w:eastAsia="es-ES"/>
        </w:rPr>
        <w:t>Ciudad</w:t>
      </w:r>
    </w:p>
    <w:p w14:paraId="1342B7A7" w14:textId="77777777" w:rsidR="000E07C3" w:rsidRPr="007F2AEC" w:rsidRDefault="000E07C3" w:rsidP="000E07C3">
      <w:pPr>
        <w:spacing w:after="0" w:line="240" w:lineRule="auto"/>
        <w:jc w:val="both"/>
        <w:rPr>
          <w:rFonts w:ascii="Verdana" w:hAnsi="Verdana"/>
        </w:rPr>
      </w:pPr>
    </w:p>
    <w:p w14:paraId="018C4256" w14:textId="77777777" w:rsidR="000E07C3" w:rsidRPr="007F2AEC" w:rsidRDefault="000E07C3" w:rsidP="000E07C3">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0E07C3" w:rsidRPr="005644FE" w14:paraId="0C9F31CE" w14:textId="77777777" w:rsidTr="00507C8E">
        <w:trPr>
          <w:trHeight w:val="162"/>
        </w:trPr>
        <w:tc>
          <w:tcPr>
            <w:tcW w:w="3119" w:type="dxa"/>
          </w:tcPr>
          <w:p w14:paraId="7CD98759" w14:textId="77777777" w:rsidR="000E07C3" w:rsidRPr="007F2AEC" w:rsidRDefault="000E07C3" w:rsidP="00507C8E">
            <w:pPr>
              <w:jc w:val="both"/>
              <w:rPr>
                <w:rFonts w:ascii="Verdana" w:eastAsia="Calibri" w:hAnsi="Verdana" w:cs="Arial"/>
                <w:b/>
                <w:bCs/>
                <w:color w:val="7030A0"/>
                <w:lang w:eastAsia="es-ES_tradnl"/>
              </w:rPr>
            </w:pPr>
          </w:p>
        </w:tc>
        <w:tc>
          <w:tcPr>
            <w:tcW w:w="5670" w:type="dxa"/>
          </w:tcPr>
          <w:p w14:paraId="402A64AF" w14:textId="71966F2C" w:rsidR="000E07C3" w:rsidRPr="005644FE" w:rsidRDefault="000E07C3" w:rsidP="00507C8E">
            <w:pPr>
              <w:jc w:val="both"/>
              <w:rPr>
                <w:rFonts w:ascii="Verdana" w:eastAsia="Calibri" w:hAnsi="Verdana" w:cs="Arial"/>
                <w:b/>
                <w:bCs/>
                <w:lang w:eastAsia="es-ES"/>
              </w:rPr>
            </w:pPr>
            <w:r w:rsidRPr="005644FE">
              <w:rPr>
                <w:rFonts w:ascii="Verdana" w:eastAsia="Calibri" w:hAnsi="Verdana" w:cs="Arial"/>
                <w:b/>
                <w:bCs/>
                <w:lang w:eastAsia="es-ES"/>
              </w:rPr>
              <w:t>Concepto C</w:t>
            </w:r>
            <w:r w:rsidRPr="00D260F1">
              <w:rPr>
                <w:rFonts w:ascii="Verdana" w:eastAsia="Calibri" w:hAnsi="Verdana" w:cs="Arial"/>
                <w:b/>
                <w:bCs/>
                <w:lang w:eastAsia="es-ES"/>
              </w:rPr>
              <w:t>-</w:t>
            </w:r>
            <w:r>
              <w:rPr>
                <w:rFonts w:ascii="Verdana" w:eastAsia="Calibri" w:hAnsi="Verdana" w:cs="Arial"/>
                <w:b/>
                <w:bCs/>
                <w:lang w:eastAsia="es-ES"/>
              </w:rPr>
              <w:t>1363 de 2026</w:t>
            </w:r>
          </w:p>
          <w:p w14:paraId="35655CA0" w14:textId="77777777" w:rsidR="000E07C3" w:rsidRPr="005644FE" w:rsidRDefault="000E07C3" w:rsidP="00507C8E">
            <w:pPr>
              <w:jc w:val="both"/>
              <w:rPr>
                <w:rFonts w:ascii="Verdana" w:eastAsia="Calibri" w:hAnsi="Verdana" w:cs="Arial"/>
                <w:b/>
                <w:bCs/>
                <w:color w:val="7030A0"/>
                <w:lang w:eastAsia="es-ES"/>
              </w:rPr>
            </w:pPr>
          </w:p>
        </w:tc>
      </w:tr>
      <w:tr w:rsidR="000E07C3" w:rsidRPr="005644FE" w14:paraId="3EB4E7AF" w14:textId="77777777" w:rsidTr="00507C8E">
        <w:trPr>
          <w:trHeight w:val="884"/>
        </w:trPr>
        <w:tc>
          <w:tcPr>
            <w:tcW w:w="3119" w:type="dxa"/>
          </w:tcPr>
          <w:p w14:paraId="524670D8" w14:textId="77777777" w:rsidR="000E07C3" w:rsidRPr="005644FE" w:rsidRDefault="000E07C3" w:rsidP="00507C8E">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7363F378" w14:textId="25585416" w:rsidR="000E07C3" w:rsidRDefault="000E07C3" w:rsidP="00507C8E">
            <w:pPr>
              <w:jc w:val="both"/>
              <w:rPr>
                <w:rFonts w:ascii="Verdana" w:eastAsia="Calibri" w:hAnsi="Verdana" w:cs="Arial"/>
                <w:lang w:val="es-ES" w:eastAsia="es-ES"/>
              </w:rPr>
            </w:pPr>
            <w:r>
              <w:rPr>
                <w:rFonts w:ascii="Verdana" w:eastAsia="Calibri" w:hAnsi="Verdana" w:cs="Arial"/>
                <w:lang w:val="es-ES" w:eastAsia="es-ES"/>
              </w:rPr>
              <w:t xml:space="preserve"> </w:t>
            </w:r>
            <w:r w:rsidRPr="004850E9">
              <w:rPr>
                <w:rFonts w:ascii="Verdana" w:eastAsia="Calibri" w:hAnsi="Verdana" w:cs="Arial"/>
                <w:lang w:val="es-ES" w:eastAsia="es-ES"/>
              </w:rPr>
              <w:t>ENTIDADES EXCEPTUADAS – Aplicación de normas de derecho público</w:t>
            </w:r>
            <w:r>
              <w:rPr>
                <w:rFonts w:ascii="Verdana" w:eastAsia="Calibri" w:hAnsi="Verdana" w:cs="Arial"/>
                <w:lang w:val="es-ES" w:eastAsia="es-ES"/>
              </w:rPr>
              <w:t xml:space="preserve"> / </w:t>
            </w:r>
            <w:r w:rsidRPr="004850E9">
              <w:rPr>
                <w:rFonts w:ascii="Verdana" w:eastAsia="Calibri" w:hAnsi="Verdana" w:cs="Arial"/>
                <w:lang w:val="es-ES" w:eastAsia="es-ES"/>
              </w:rPr>
              <w:t>CONTRATOS ESTATALES – Régimen especial – Obligaciones transversales – Manual de contratación – Límites</w:t>
            </w:r>
            <w:r>
              <w:rPr>
                <w:rFonts w:ascii="Verdana" w:eastAsia="Calibri" w:hAnsi="Verdana" w:cs="Arial"/>
                <w:lang w:val="es-ES" w:eastAsia="es-ES"/>
              </w:rPr>
              <w:t xml:space="preserve"> / </w:t>
            </w:r>
            <w:r w:rsidRPr="004850E9">
              <w:rPr>
                <w:rFonts w:ascii="Verdana" w:eastAsia="Calibri" w:hAnsi="Verdana" w:cs="Arial"/>
                <w:lang w:val="es-ES" w:eastAsia="es-ES"/>
              </w:rPr>
              <w:t>EMPRESAS INDUSTRIALES Y COMERCIALES DEL ESTADO – Régimen contractual – Ley 80 de 1993 – Derecho privado</w:t>
            </w:r>
            <w:r>
              <w:rPr>
                <w:rFonts w:ascii="Verdana" w:eastAsia="Calibri" w:hAnsi="Verdana" w:cs="Arial"/>
                <w:lang w:val="es-ES" w:eastAsia="es-ES"/>
              </w:rPr>
              <w:t xml:space="preserve"> / </w:t>
            </w:r>
            <w:r w:rsidRPr="00AD6B46">
              <w:rPr>
                <w:rFonts w:ascii="Verdana" w:eastAsia="Arial" w:hAnsi="Verdana" w:cs="Arial"/>
                <w:lang w:val="es-ES"/>
              </w:rPr>
              <w:t>PRINCIPIO DE PUBLICIDAD – Concepto – Fundamento constitucional</w:t>
            </w:r>
            <w:r w:rsidRPr="00AD6B46">
              <w:rPr>
                <w:rFonts w:ascii="Verdana" w:hAnsi="Verdana" w:cs="Arial"/>
                <w:bCs/>
                <w:lang w:val="es-ES_tradnl" w:eastAsia="es-ES" w:bidi="es-ES"/>
              </w:rPr>
              <w:t xml:space="preserve"> / </w:t>
            </w:r>
            <w:r>
              <w:rPr>
                <w:rFonts w:ascii="Verdana" w:hAnsi="Verdana" w:cs="Arial"/>
                <w:bCs/>
                <w:lang w:val="es-ES_tradnl" w:eastAsia="es-ES" w:bidi="es-ES"/>
              </w:rPr>
              <w:t xml:space="preserve">PRINCIPIO DE PUBLICIDAD – Ley 1712 de 2014 – Sujetos Obligados / </w:t>
            </w:r>
            <w:r w:rsidRPr="00AD6B46">
              <w:rPr>
                <w:rFonts w:ascii="Verdana" w:hAnsi="Verdana" w:cs="Arial"/>
                <w:bCs/>
                <w:lang w:val="es-ES_tradnl" w:eastAsia="es-ES" w:bidi="es-ES"/>
              </w:rPr>
              <w:t xml:space="preserve">PRINCIPIO DE PUBLICIDAD – SECOP – Documentos del proceso – Deber de publicación / </w:t>
            </w:r>
            <w:r w:rsidRPr="00AD6B46">
              <w:rPr>
                <w:rFonts w:ascii="Verdana" w:hAnsi="Verdana" w:cs="Arial"/>
                <w:bCs/>
                <w:lang w:eastAsia="es-ES" w:bidi="es-ES"/>
              </w:rPr>
              <w:t>ENTIDADES CON RÉGIMEN ESPECIAL – Deber de publicar en SECOP – Artículo 53 Ley 2195 de 2022</w:t>
            </w:r>
            <w:r>
              <w:rPr>
                <w:rFonts w:ascii="Verdana" w:hAnsi="Verdana" w:cs="Arial"/>
                <w:bCs/>
                <w:lang w:eastAsia="es-ES" w:bidi="es-ES"/>
              </w:rPr>
              <w:t xml:space="preserve"> / DEBER DE REPORTAR INHABILIDADES DE CONTRATISTAS –/</w:t>
            </w:r>
            <w:r w:rsidRPr="00A8132A">
              <w:rPr>
                <w:rFonts w:ascii="Verdana" w:eastAsia="Calibri" w:hAnsi="Verdana" w:cs="Arial"/>
                <w:lang w:val="es-ES" w:eastAsia="es-ES"/>
              </w:rPr>
              <w:t>–</w:t>
            </w:r>
            <w:r>
              <w:rPr>
                <w:rFonts w:ascii="Verdana" w:eastAsia="Calibri" w:hAnsi="Verdana" w:cs="Arial"/>
                <w:lang w:val="es-ES" w:eastAsia="es-ES"/>
              </w:rPr>
              <w:t xml:space="preserve">Normatividad y obligatoriedad / REPORTE - </w:t>
            </w:r>
            <w:r w:rsidRPr="00A8132A">
              <w:rPr>
                <w:rFonts w:ascii="Verdana" w:eastAsia="Calibri" w:hAnsi="Verdana" w:cs="Arial"/>
                <w:lang w:val="es-ES" w:eastAsia="es-ES"/>
              </w:rPr>
              <w:t>Multas, sanciones e inhabilidades  – Entidades sometidas – Marco normativo</w:t>
            </w:r>
            <w:r>
              <w:rPr>
                <w:rFonts w:ascii="Verdana" w:eastAsia="Calibri" w:hAnsi="Verdana" w:cs="Arial"/>
                <w:lang w:val="es-ES" w:eastAsia="es-ES"/>
              </w:rPr>
              <w:t xml:space="preserve"> / </w:t>
            </w:r>
            <w:r w:rsidRPr="004A4130">
              <w:rPr>
                <w:rFonts w:ascii="Verdana" w:eastAsia="Calibri" w:hAnsi="Verdana" w:cs="Arial"/>
                <w:lang w:val="es-ES" w:eastAsia="es-ES"/>
              </w:rPr>
              <w:t>CIRCULAR EXTERNA 002 DE 2026 – Ámbito de aplicación – Entidades exceptuadas</w:t>
            </w:r>
            <w:r w:rsidRPr="004850E9">
              <w:rPr>
                <w:rFonts w:ascii="Verdana" w:eastAsia="Calibri" w:hAnsi="Verdana" w:cs="Arial"/>
                <w:lang w:val="es-ES" w:eastAsia="es-ES"/>
              </w:rPr>
              <w:t xml:space="preserve"> </w:t>
            </w:r>
          </w:p>
          <w:p w14:paraId="5C803D1A" w14:textId="77777777" w:rsidR="000E07C3" w:rsidRPr="00205703" w:rsidRDefault="000E07C3" w:rsidP="00507C8E">
            <w:pPr>
              <w:jc w:val="both"/>
              <w:rPr>
                <w:rFonts w:ascii="Verdana" w:hAnsi="Verdana" w:cs="Arial"/>
                <w:bCs/>
                <w:lang w:eastAsia="es-ES" w:bidi="es-ES"/>
              </w:rPr>
            </w:pPr>
          </w:p>
        </w:tc>
      </w:tr>
      <w:tr w:rsidR="000E07C3" w:rsidRPr="005644FE" w14:paraId="6C149657" w14:textId="77777777" w:rsidTr="00507C8E">
        <w:tc>
          <w:tcPr>
            <w:tcW w:w="3119" w:type="dxa"/>
          </w:tcPr>
          <w:p w14:paraId="3D290B3A" w14:textId="77777777" w:rsidR="000E07C3" w:rsidRPr="005644FE" w:rsidRDefault="000E07C3" w:rsidP="00507C8E">
            <w:pPr>
              <w:jc w:val="both"/>
              <w:rPr>
                <w:rFonts w:ascii="Verdana" w:eastAsia="Calibri" w:hAnsi="Verdana" w:cs="Arial"/>
                <w:b/>
                <w:lang w:eastAsia="es-ES_tradnl"/>
              </w:rPr>
            </w:pPr>
            <w:r w:rsidRPr="002A71DF">
              <w:rPr>
                <w:rFonts w:ascii="Verdana" w:eastAsia="Calibri" w:hAnsi="Verdana" w:cs="Arial"/>
                <w:b/>
                <w:lang w:val="es-ES_tradnl" w:eastAsia="es-ES_tradnl"/>
              </w:rPr>
              <w:t>Radicación:</w:t>
            </w:r>
            <w:r w:rsidRPr="002A71DF">
              <w:rPr>
                <w:rFonts w:ascii="Verdana" w:eastAsia="Calibri" w:hAnsi="Verdana" w:cs="Arial"/>
                <w:lang w:val="es-ES_tradnl" w:eastAsia="es-ES_tradnl"/>
              </w:rPr>
              <w:t xml:space="preserve">               </w:t>
            </w:r>
          </w:p>
        </w:tc>
        <w:tc>
          <w:tcPr>
            <w:tcW w:w="5670" w:type="dxa"/>
          </w:tcPr>
          <w:p w14:paraId="6AA08410" w14:textId="77777777" w:rsidR="000E07C3" w:rsidRPr="002A71DF" w:rsidRDefault="000E07C3" w:rsidP="00507C8E">
            <w:pPr>
              <w:jc w:val="both"/>
              <w:rPr>
                <w:rFonts w:ascii="Verdana" w:eastAsia="Calibri" w:hAnsi="Verdana" w:cs="Arial"/>
                <w:lang w:eastAsia="es-ES_tradnl"/>
              </w:rPr>
            </w:pPr>
            <w:r w:rsidRPr="002A71DF">
              <w:rPr>
                <w:rFonts w:ascii="Verdana" w:eastAsia="Calibri" w:hAnsi="Verdana" w:cs="Arial"/>
                <w:lang w:val="es-ES_tradnl" w:eastAsia="es-ES_tradnl"/>
              </w:rPr>
              <w:t xml:space="preserve">Respuesta a la consulta con radicado No. </w:t>
            </w:r>
            <w:r w:rsidRPr="002A71DF">
              <w:rPr>
                <w:rFonts w:ascii="Verdana" w:eastAsia="Aptos" w:hAnsi="Verdana" w:cs="Calibri"/>
                <w:color w:val="000000"/>
              </w:rPr>
              <w:t>1_2026_08_</w:t>
            </w:r>
            <w:r>
              <w:rPr>
                <w:rFonts w:ascii="Verdana" w:eastAsia="Aptos" w:hAnsi="Verdana" w:cs="Calibri"/>
                <w:color w:val="000000"/>
              </w:rPr>
              <w:t>31_011545</w:t>
            </w:r>
          </w:p>
          <w:p w14:paraId="2AF74B68" w14:textId="77777777" w:rsidR="000E07C3" w:rsidRPr="00F04657" w:rsidRDefault="000E07C3" w:rsidP="00507C8E">
            <w:pPr>
              <w:spacing w:after="120"/>
              <w:jc w:val="both"/>
              <w:rPr>
                <w:rFonts w:ascii="Verdana" w:eastAsia="Calibri" w:hAnsi="Verdana" w:cs="Arial"/>
                <w:lang w:eastAsia="es-ES"/>
              </w:rPr>
            </w:pPr>
            <w:r w:rsidRPr="002A71DF">
              <w:rPr>
                <w:rFonts w:ascii="Verdana" w:eastAsia="Calibri" w:hAnsi="Verdana" w:cs="Arial"/>
                <w:lang w:eastAsia="es-ES_tradnl"/>
              </w:rPr>
              <w:tab/>
            </w:r>
          </w:p>
        </w:tc>
      </w:tr>
    </w:tbl>
    <w:p w14:paraId="6CD88555" w14:textId="77777777" w:rsidR="000E07C3" w:rsidRPr="005644FE" w:rsidRDefault="000E07C3" w:rsidP="000E07C3">
      <w:pPr>
        <w:spacing w:after="0" w:line="240" w:lineRule="auto"/>
        <w:jc w:val="both"/>
        <w:rPr>
          <w:rFonts w:ascii="Verdana" w:eastAsia="Calibri" w:hAnsi="Verdana" w:cs="Arial"/>
          <w:lang w:eastAsia="es-ES_tradnl"/>
        </w:rPr>
      </w:pPr>
      <w:r>
        <w:rPr>
          <w:rFonts w:ascii="Verdana" w:eastAsia="Calibri" w:hAnsi="Verdana" w:cs="Arial"/>
          <w:lang w:eastAsia="es-ES_tradnl"/>
        </w:rPr>
        <w:t xml:space="preserve"> </w:t>
      </w:r>
    </w:p>
    <w:p w14:paraId="4980064A" w14:textId="66A12898" w:rsidR="000E07C3" w:rsidRPr="005644FE" w:rsidRDefault="000E07C3" w:rsidP="000E07C3">
      <w:pPr>
        <w:spacing w:after="0" w:line="276" w:lineRule="auto"/>
        <w:jc w:val="both"/>
        <w:rPr>
          <w:rFonts w:ascii="Verdana" w:eastAsia="Calibri" w:hAnsi="Verdana" w:cs="Arial"/>
          <w:lang w:eastAsia="es-ES"/>
        </w:rPr>
      </w:pPr>
      <w:r>
        <w:rPr>
          <w:rFonts w:ascii="Verdana" w:eastAsia="Calibri" w:hAnsi="Verdana" w:cs="Arial"/>
          <w:lang w:eastAsia="es-ES"/>
        </w:rPr>
        <w:t>Estimado señor Gutiérrez:</w:t>
      </w:r>
    </w:p>
    <w:p w14:paraId="4F7E1AD3" w14:textId="77777777" w:rsidR="000E07C3" w:rsidRPr="00E02524" w:rsidRDefault="000E07C3" w:rsidP="000E07C3">
      <w:pPr>
        <w:spacing w:after="0" w:line="276" w:lineRule="auto"/>
        <w:jc w:val="both"/>
        <w:rPr>
          <w:rFonts w:ascii="Verdana" w:hAnsi="Verdana"/>
          <w:lang w:val="es-MX"/>
        </w:rPr>
      </w:pPr>
    </w:p>
    <w:p w14:paraId="33D7F79B" w14:textId="77777777" w:rsidR="000E07C3" w:rsidRPr="00245F51" w:rsidRDefault="000E07C3" w:rsidP="000E07C3">
      <w:pPr>
        <w:spacing w:after="0" w:line="276" w:lineRule="auto"/>
        <w:jc w:val="both"/>
        <w:rPr>
          <w:rFonts w:ascii="Verdana" w:eastAsia="Calibri" w:hAnsi="Verdana" w:cs="Arial"/>
          <w:sz w:val="20"/>
          <w:szCs w:val="20"/>
          <w:lang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864DFD">
        <w:rPr>
          <w:rFonts w:ascii="Verdana" w:eastAsia="Arial MT" w:hAnsi="Verdana" w:cs="Arial MT"/>
          <w:lang w:val="es-ES" w:eastAsia="es-ES"/>
        </w:rPr>
        <w:t xml:space="preserve">y de conformidad con las modalidades del derecho de petición contempladas en la Ley 1755 de 2015, así </w:t>
      </w:r>
      <w:r w:rsidRPr="00864DFD">
        <w:rPr>
          <w:rFonts w:ascii="Verdana" w:eastAsia="Arial MT" w:hAnsi="Verdana" w:cs="Arial MT"/>
          <w:lang w:val="es-ES" w:eastAsia="es-ES"/>
        </w:rPr>
        <w:lastRenderedPageBreak/>
        <w:t xml:space="preserve">como lo establecido en la resolución </w:t>
      </w:r>
      <w:proofErr w:type="spellStart"/>
      <w:r w:rsidRPr="00864DFD">
        <w:rPr>
          <w:rFonts w:ascii="Verdana" w:eastAsia="Arial MT" w:hAnsi="Verdana" w:cs="Arial MT"/>
          <w:lang w:val="es-ES" w:eastAsia="es-ES"/>
        </w:rPr>
        <w:t>N°</w:t>
      </w:r>
      <w:proofErr w:type="spellEnd"/>
      <w:r w:rsidRPr="00864DFD">
        <w:rPr>
          <w:rFonts w:ascii="Verdana" w:eastAsia="Arial MT" w:hAnsi="Verdana" w:cs="Arial MT"/>
          <w:lang w:val="es-ES" w:eastAsia="es-ES"/>
        </w:rPr>
        <w:t xml:space="preserve"> 469 del 2025 expedida por esta Agencia, damos respuesta a su</w:t>
      </w:r>
      <w:r>
        <w:rPr>
          <w:rFonts w:ascii="Verdana" w:eastAsia="Arial MT" w:hAnsi="Verdana" w:cs="Arial MT"/>
          <w:lang w:val="es-ES" w:eastAsia="es-ES"/>
        </w:rPr>
        <w:t xml:space="preserve"> </w:t>
      </w:r>
      <w:r w:rsidRPr="006730E9">
        <w:rPr>
          <w:rFonts w:ascii="Verdana" w:eastAsia="Calibri" w:hAnsi="Verdana" w:cs="Arial"/>
          <w:lang w:val="es-ES" w:eastAsia="es-ES"/>
        </w:rPr>
        <w:t xml:space="preserve">solicitud </w:t>
      </w:r>
      <w:r>
        <w:rPr>
          <w:rFonts w:ascii="Verdana" w:eastAsia="Calibri" w:hAnsi="Verdana" w:cs="Arial"/>
          <w:lang w:val="es-ES" w:eastAsia="es-ES"/>
        </w:rPr>
        <w:t xml:space="preserve">de consulta 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31</w:t>
      </w:r>
      <w:r>
        <w:rPr>
          <w:rFonts w:ascii="Verdana" w:eastAsia="Calibri" w:hAnsi="Verdana" w:cs="Arial"/>
          <w:lang w:eastAsia="es-ES"/>
        </w:rPr>
        <w:t xml:space="preserve"> de agosto</w:t>
      </w:r>
      <w:r w:rsidRPr="00073A28">
        <w:rPr>
          <w:rFonts w:ascii="Verdana" w:eastAsia="Calibri" w:hAnsi="Verdana" w:cs="Arial"/>
          <w:lang w:eastAsia="es-ES"/>
        </w:rPr>
        <w:t xml:space="preserve"> de 202</w:t>
      </w:r>
      <w:r>
        <w:rPr>
          <w:rFonts w:ascii="Verdana" w:eastAsia="Calibri" w:hAnsi="Verdana" w:cs="Arial"/>
          <w:lang w:eastAsia="es-ES"/>
        </w:rPr>
        <w:t>6</w:t>
      </w:r>
      <w:r w:rsidRPr="00073A28">
        <w:rPr>
          <w:rFonts w:ascii="Verdana" w:eastAsia="Calibri" w:hAnsi="Verdana" w:cs="Arial"/>
          <w:lang w:eastAsia="es-ES"/>
        </w:rPr>
        <w:t xml:space="preserve">, en la cual manifiesta lo siguiente: </w:t>
      </w:r>
    </w:p>
    <w:p w14:paraId="7F42BECF" w14:textId="77777777" w:rsidR="000E07C3" w:rsidRPr="0084712D" w:rsidRDefault="000E07C3" w:rsidP="000E07C3">
      <w:pPr>
        <w:spacing w:after="0" w:line="276" w:lineRule="auto"/>
        <w:jc w:val="both"/>
        <w:rPr>
          <w:rFonts w:ascii="Verdana" w:hAnsi="Verdana"/>
        </w:rPr>
      </w:pPr>
    </w:p>
    <w:p w14:paraId="3E9F12AC" w14:textId="77777777" w:rsidR="000E07C3" w:rsidRDefault="000E07C3" w:rsidP="000E07C3">
      <w:pPr>
        <w:tabs>
          <w:tab w:val="left" w:pos="3393"/>
        </w:tabs>
        <w:spacing w:after="0" w:line="276" w:lineRule="auto"/>
        <w:jc w:val="both"/>
        <w:rPr>
          <w:rFonts w:ascii="Verdana" w:hAnsi="Verdana"/>
        </w:rPr>
      </w:pPr>
      <w:r w:rsidRPr="00E02524">
        <w:rPr>
          <w:rFonts w:ascii="Verdana" w:hAnsi="Verdana"/>
        </w:rPr>
        <w:t xml:space="preserve">PETICIÓN REALIZADA </w:t>
      </w:r>
      <w:r>
        <w:rPr>
          <w:rFonts w:ascii="Verdana" w:hAnsi="Verdana"/>
        </w:rPr>
        <w:tab/>
      </w:r>
    </w:p>
    <w:p w14:paraId="779C138B" w14:textId="77777777" w:rsidR="000E07C3" w:rsidRDefault="000E07C3" w:rsidP="000E07C3">
      <w:pPr>
        <w:tabs>
          <w:tab w:val="left" w:pos="3393"/>
        </w:tabs>
        <w:spacing w:after="0" w:line="276" w:lineRule="auto"/>
        <w:jc w:val="both"/>
        <w:rPr>
          <w:rFonts w:ascii="Verdana" w:hAnsi="Verdana"/>
        </w:rPr>
      </w:pPr>
    </w:p>
    <w:p w14:paraId="39A6AB24" w14:textId="77777777" w:rsidR="000E07C3" w:rsidRPr="00A125EA" w:rsidRDefault="000E07C3" w:rsidP="000E07C3">
      <w:pPr>
        <w:spacing w:after="0" w:line="240" w:lineRule="auto"/>
        <w:ind w:right="709"/>
        <w:jc w:val="both"/>
        <w:rPr>
          <w:rFonts w:ascii="Verdana" w:eastAsia="Calibri" w:hAnsi="Verdana" w:cs="Arial"/>
          <w:lang w:eastAsia="es-ES"/>
        </w:rPr>
      </w:pPr>
      <w:r>
        <w:rPr>
          <w:rFonts w:ascii="Verdana" w:hAnsi="Verdana"/>
          <w:sz w:val="20"/>
          <w:szCs w:val="20"/>
        </w:rPr>
        <w:t>“</w:t>
      </w:r>
      <w:r w:rsidRPr="00A125EA">
        <w:rPr>
          <w:rFonts w:ascii="Verdana" w:eastAsia="Calibri" w:hAnsi="Verdana" w:cs="Arial"/>
          <w:lang w:eastAsia="es-ES"/>
        </w:rPr>
        <w:t>UNA EICE DE CONFORMIDAD A LA CIRCULAR 002 DE 2024 ESTA OBLIGADA A PUBLICAR LA CONTRATACION ES EL SECOP 2 ES OBLIGATORIO EL USO DE MANERA TRANSACCCIONAL TRANSACCIONAL O SE PUEDE PUBLICITARIO Y EL TRAMITE CONTRACTUAL PUBLICTARIO EN CASO DE PLIEGOS TIPO LA ENTREGA DE PROPUESTAS SERIA EN FISICO”</w:t>
      </w:r>
    </w:p>
    <w:p w14:paraId="4A00506E" w14:textId="77777777" w:rsidR="000E07C3" w:rsidRPr="00647D77" w:rsidRDefault="000E07C3" w:rsidP="000E07C3">
      <w:pPr>
        <w:spacing w:after="0" w:line="276" w:lineRule="auto"/>
        <w:ind w:right="709"/>
        <w:jc w:val="both"/>
        <w:rPr>
          <w:rFonts w:ascii="Verdana" w:hAnsi="Verdana"/>
        </w:rPr>
      </w:pPr>
    </w:p>
    <w:p w14:paraId="091A6953" w14:textId="77777777" w:rsidR="000E07C3" w:rsidRPr="00F64722" w:rsidRDefault="000E07C3" w:rsidP="000E07C3">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lang w:eastAsia="es-ES"/>
        </w:rPr>
        <w:t xml:space="preserve">la Agencia Nacional de Contratación Pública - </w:t>
      </w:r>
      <w:r w:rsidRPr="005644FE">
        <w:rPr>
          <w:rFonts w:ascii="Verdana" w:eastAsia="Calibri" w:hAnsi="Verdana" w:cs="Arial"/>
          <w:color w:val="000000"/>
          <w:lang w:eastAsia="es-ES"/>
        </w:rPr>
        <w:t xml:space="preserve">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5475511" w14:textId="77777777" w:rsidR="000E07C3" w:rsidRPr="00B207E1" w:rsidRDefault="000E07C3" w:rsidP="000E07C3">
      <w:pPr>
        <w:spacing w:after="0" w:line="276" w:lineRule="auto"/>
        <w:ind w:firstLine="709"/>
        <w:jc w:val="both"/>
        <w:rPr>
          <w:rFonts w:ascii="Verdana" w:eastAsia="Calibri" w:hAnsi="Verdana" w:cs="Arial"/>
          <w:lang w:eastAsia="es-ES"/>
        </w:rPr>
      </w:pPr>
      <w:r w:rsidRPr="0048718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w:t>
      </w:r>
      <w:r w:rsidRPr="00C761DE">
        <w:rPr>
          <w:rFonts w:ascii="Verdana" w:eastAsia="Calibri" w:hAnsi="Verdana" w:cs="Arial"/>
          <w:color w:val="000000"/>
          <w:lang w:eastAsia="es-ES"/>
        </w:rPr>
        <w:t xml:space="preserve">es, </w:t>
      </w:r>
      <w:r w:rsidRPr="00B207E1">
        <w:rPr>
          <w:rFonts w:ascii="Verdana" w:eastAsia="Calibri" w:hAnsi="Verdana" w:cs="Arial"/>
          <w:color w:val="000000"/>
          <w:lang w:eastAsia="es-ES"/>
        </w:rPr>
        <w:t>haciendo abstracción del caso particular y concreto señalado en su petición, pero señalando algunas consideraciones sobre las normas generales relacionadas al problema jurídico de su consulta.</w:t>
      </w:r>
      <w:r w:rsidRPr="00B207E1">
        <w:rPr>
          <w:rFonts w:ascii="Verdana" w:eastAsia="Calibri" w:hAnsi="Verdana" w:cs="Arial"/>
          <w:lang w:eastAsia="es-ES"/>
        </w:rPr>
        <w:t xml:space="preserve"> </w:t>
      </w:r>
    </w:p>
    <w:p w14:paraId="2C9744B2" w14:textId="77777777" w:rsidR="000E07C3" w:rsidRPr="00B207E1" w:rsidRDefault="000E07C3" w:rsidP="000E07C3">
      <w:pPr>
        <w:spacing w:after="0" w:line="276" w:lineRule="auto"/>
        <w:ind w:firstLine="709"/>
        <w:jc w:val="both"/>
        <w:rPr>
          <w:rFonts w:ascii="Verdana" w:eastAsia="Calibri" w:hAnsi="Verdana" w:cs="Arial"/>
          <w:lang w:eastAsia="es-ES"/>
        </w:rPr>
      </w:pPr>
    </w:p>
    <w:p w14:paraId="42331A22" w14:textId="77777777" w:rsidR="000E07C3" w:rsidRPr="00B207E1" w:rsidRDefault="000E07C3" w:rsidP="000E07C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207E1">
        <w:rPr>
          <w:rFonts w:ascii="Verdana" w:eastAsia="Century Gothic" w:hAnsi="Verdana" w:cs="Century Gothic"/>
          <w:b/>
          <w:bCs/>
        </w:rPr>
        <w:t>Problema planteado:</w:t>
      </w:r>
    </w:p>
    <w:p w14:paraId="3D7E7068" w14:textId="77777777" w:rsidR="000E07C3" w:rsidRPr="00B207E1" w:rsidRDefault="000E07C3" w:rsidP="000E07C3">
      <w:pPr>
        <w:spacing w:after="0" w:line="276" w:lineRule="auto"/>
        <w:jc w:val="both"/>
        <w:rPr>
          <w:rFonts w:ascii="Verdana" w:eastAsia="Calibri" w:hAnsi="Verdana" w:cs="Arial"/>
          <w:color w:val="000000"/>
          <w:lang w:eastAsia="es-ES"/>
        </w:rPr>
      </w:pPr>
    </w:p>
    <w:p w14:paraId="36AB0865" w14:textId="77777777" w:rsidR="000E07C3" w:rsidRDefault="000E07C3" w:rsidP="000E07C3">
      <w:pPr>
        <w:spacing w:after="0" w:line="276" w:lineRule="auto"/>
        <w:jc w:val="both"/>
        <w:rPr>
          <w:rFonts w:ascii="Verdana" w:eastAsia="Calibri" w:hAnsi="Verdana" w:cs="Times New Roman"/>
          <w:iCs/>
          <w:lang w:val="es-ES"/>
        </w:rPr>
      </w:pPr>
      <w:r w:rsidRPr="00B207E1">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 xml:space="preserve">el </w:t>
      </w:r>
      <w:r w:rsidRPr="00B207E1">
        <w:rPr>
          <w:rFonts w:ascii="Verdana" w:eastAsia="Calibri" w:hAnsi="Verdana" w:cs="Arial"/>
          <w:color w:val="000000"/>
          <w:lang w:eastAsia="es-ES"/>
        </w:rPr>
        <w:t xml:space="preserve">siguiente problema jurídico: </w:t>
      </w:r>
      <w:r>
        <w:rPr>
          <w:rFonts w:ascii="Verdana" w:eastAsia="Calibri" w:hAnsi="Verdana" w:cs="Times New Roman"/>
          <w:iCs/>
          <w:lang w:val="es-ES"/>
        </w:rPr>
        <w:t>¿</w:t>
      </w:r>
      <w:r w:rsidRPr="005C3AA4">
        <w:rPr>
          <w:rFonts w:ascii="Verdana" w:eastAsia="Calibri" w:hAnsi="Verdana" w:cs="Times New Roman"/>
          <w:iCs/>
        </w:rPr>
        <w:t xml:space="preserve">Está obligada una EICE a realizar su contratación de manera transaccional en SECOP II, o puede limitarse a la publicidad del trámite </w:t>
      </w:r>
      <w:r w:rsidRPr="005C3AA4">
        <w:rPr>
          <w:rFonts w:ascii="Verdana" w:eastAsia="Calibri" w:hAnsi="Verdana" w:cs="Times New Roman"/>
          <w:iCs/>
        </w:rPr>
        <w:lastRenderedPageBreak/>
        <w:t>contractual, particularmente cuando aplica pliegos tipo y recibe las propuestas en físico?</w:t>
      </w:r>
    </w:p>
    <w:p w14:paraId="5A6DD086" w14:textId="77777777" w:rsidR="000E07C3" w:rsidRDefault="000E07C3" w:rsidP="000E07C3">
      <w:pPr>
        <w:spacing w:after="0" w:line="276" w:lineRule="auto"/>
        <w:jc w:val="both"/>
        <w:rPr>
          <w:rFonts w:ascii="Verdana" w:eastAsia="Century Gothic" w:hAnsi="Verdana" w:cs="Century Gothic"/>
          <w:b/>
          <w:bCs/>
        </w:rPr>
      </w:pPr>
    </w:p>
    <w:p w14:paraId="41E5899C" w14:textId="77777777" w:rsidR="000E07C3" w:rsidRDefault="000E07C3" w:rsidP="000E07C3">
      <w:pPr>
        <w:spacing w:after="0" w:line="276" w:lineRule="auto"/>
        <w:jc w:val="both"/>
        <w:rPr>
          <w:rFonts w:ascii="Verdana" w:eastAsia="Century Gothic" w:hAnsi="Verdana" w:cs="Century Gothic"/>
          <w:b/>
          <w:bCs/>
        </w:rPr>
      </w:pPr>
      <w:r w:rsidRPr="00B33011">
        <w:rPr>
          <w:rFonts w:ascii="Verdana" w:eastAsia="Century Gothic" w:hAnsi="Verdana" w:cs="Century Gothic"/>
          <w:b/>
          <w:bCs/>
        </w:rPr>
        <w:t>2. Respuesta:</w:t>
      </w:r>
    </w:p>
    <w:p w14:paraId="1DDCF2DA" w14:textId="77777777" w:rsidR="000E07C3" w:rsidRPr="00185290" w:rsidRDefault="000E07C3" w:rsidP="000E07C3">
      <w:pPr>
        <w:spacing w:after="0" w:line="276" w:lineRule="auto"/>
        <w:jc w:val="both"/>
        <w:rPr>
          <w:rFonts w:ascii="Verdana" w:eastAsia="Century Gothic" w:hAnsi="Verdana" w:cs="Century Gothic"/>
        </w:rPr>
      </w:pPr>
    </w:p>
    <w:tbl>
      <w:tblPr>
        <w:tblStyle w:val="Tablaconcuadrcula"/>
        <w:tblW w:w="0" w:type="auto"/>
        <w:tblLook w:val="04A0" w:firstRow="1" w:lastRow="0" w:firstColumn="1" w:lastColumn="0" w:noHBand="0" w:noVBand="1"/>
      </w:tblPr>
      <w:tblGrid>
        <w:gridCol w:w="8828"/>
      </w:tblGrid>
      <w:tr w:rsidR="000E07C3" w:rsidRPr="005644FE" w14:paraId="243874CE" w14:textId="77777777" w:rsidTr="00507C8E">
        <w:tc>
          <w:tcPr>
            <w:tcW w:w="8828" w:type="dxa"/>
          </w:tcPr>
          <w:p w14:paraId="405D4C1E" w14:textId="77777777" w:rsidR="000E07C3" w:rsidRDefault="000E07C3" w:rsidP="00507C8E">
            <w:pPr>
              <w:spacing w:after="120" w:line="276" w:lineRule="auto"/>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L</w:t>
            </w:r>
            <w:r w:rsidRPr="00817382">
              <w:rPr>
                <w:rFonts w:ascii="Verdana" w:eastAsia="Calibri" w:hAnsi="Verdana" w:cs="Arial"/>
                <w:color w:val="000000" w:themeColor="text1"/>
                <w:lang w:val="es-ES_tradnl"/>
              </w:rPr>
              <w:t>as entidades de régimen especial cumplen una finalidad pública y utilizan recursos públicos para lograrlo, por lo que no son ajenas a los principios de la función administrativa y de la gestión fiscal, entre otras reglas dispuestas en la normativa de contratación pública que son transversales a todas las entidades, sin importar su régimen contractual.</w:t>
            </w:r>
          </w:p>
          <w:p w14:paraId="563DFA35" w14:textId="77777777" w:rsidR="000E07C3" w:rsidRDefault="000E07C3" w:rsidP="00507C8E">
            <w:pPr>
              <w:spacing w:after="120" w:line="276" w:lineRule="auto"/>
              <w:ind w:firstLine="709"/>
              <w:jc w:val="both"/>
              <w:rPr>
                <w:rFonts w:ascii="Verdana" w:eastAsia="Calibri" w:hAnsi="Verdana" w:cs="Arial"/>
                <w:color w:val="000000" w:themeColor="text1"/>
                <w:lang w:val="es-ES_tradnl"/>
              </w:rPr>
            </w:pPr>
            <w:r w:rsidRPr="00817382">
              <w:rPr>
                <w:rFonts w:ascii="Verdana" w:eastAsia="Calibri" w:hAnsi="Verdana" w:cs="Arial"/>
                <w:color w:val="000000" w:themeColor="text1"/>
                <w:lang w:val="es-ES_tradnl"/>
              </w:rPr>
              <w:t>Considerando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y los criterios de evaluación,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22B49EE5" w14:textId="77777777" w:rsidR="000E07C3" w:rsidRDefault="000E07C3" w:rsidP="00507C8E">
            <w:pPr>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Así</w:t>
            </w:r>
            <w:r w:rsidRPr="00817382">
              <w:rPr>
                <w:rFonts w:ascii="Verdana" w:eastAsia="Calibri" w:hAnsi="Verdana" w:cs="Arial"/>
                <w:color w:val="000000" w:themeColor="text1"/>
                <w:lang w:val="es-ES_tradnl"/>
              </w:rPr>
              <w:t>, el hecho de que algunas entidades estatales se rijan por el derecho privado en materia contractual no puede entenderse como una negación de lo que establece el artículo 13 de la Ley 1150 de 2007. Este enunciado normativo significó un “retorno del derecho administrativo” para las entidades excluidas, al reiterar que deben cumplir los principios constitucionales de la función administrativa y de la gestión fiscal, así como el régimen de inhabilidades e incompatibilidades previsto legalmente para la contratación estatal; y ahora también publicar su actividad contractual en el SECOP II, de conformidad con el artículo 53 de la Ley 2195 de 2022.</w:t>
            </w:r>
          </w:p>
          <w:p w14:paraId="0640704A" w14:textId="77777777" w:rsidR="000E07C3" w:rsidRDefault="000E07C3" w:rsidP="00507C8E">
            <w:pPr>
              <w:spacing w:after="120" w:line="276" w:lineRule="auto"/>
              <w:ind w:firstLine="709"/>
              <w:jc w:val="both"/>
              <w:rPr>
                <w:rFonts w:ascii="Verdana" w:eastAsia="Calibri" w:hAnsi="Verdana" w:cs="Arial"/>
                <w:color w:val="000000" w:themeColor="text1"/>
              </w:rPr>
            </w:pPr>
            <w:r w:rsidRPr="009B6C67">
              <w:rPr>
                <w:rFonts w:ascii="Verdana" w:eastAsia="Calibri" w:hAnsi="Verdana" w:cs="Arial"/>
                <w:color w:val="000000" w:themeColor="text1"/>
              </w:rPr>
              <w:t xml:space="preserve">Por lo tanto, el régimen contractual de </w:t>
            </w:r>
            <w:r w:rsidRPr="00A22A66">
              <w:rPr>
                <w:rFonts w:ascii="Verdana" w:eastAsia="Calibri" w:hAnsi="Verdana" w:cs="Arial"/>
                <w:color w:val="000000" w:themeColor="text1"/>
              </w:rPr>
              <w:t xml:space="preserve">las </w:t>
            </w:r>
            <w:r>
              <w:rPr>
                <w:rFonts w:ascii="Verdana" w:eastAsia="Calibri" w:hAnsi="Verdana" w:cs="Arial"/>
                <w:color w:val="000000" w:themeColor="text1"/>
              </w:rPr>
              <w:t>empresas industriales y comerciales del Estado</w:t>
            </w:r>
            <w:r w:rsidRPr="009B6C67">
              <w:rPr>
                <w:rFonts w:ascii="Verdana" w:eastAsia="Calibri" w:hAnsi="Verdana" w:cs="Arial"/>
                <w:color w:val="000000" w:themeColor="text1"/>
              </w:rPr>
              <w:t xml:space="preserve"> que estén en competencia o desarrollen su actividad en mercados regulados es el propio de tal actividad, esto es, por regla general, el derecho privado, salvo las excepciones legales. Aunque estos contratos están excluidos de la Ley 80 de 1993, no se rigen exclusivamente por el derecho civil y comercial, pues –conforme al artículo 13 de la Ley 1150 de </w:t>
            </w:r>
            <w:r w:rsidRPr="009B6C67">
              <w:rPr>
                <w:rFonts w:ascii="Verdana" w:eastAsia="Calibri" w:hAnsi="Verdana" w:cs="Arial"/>
                <w:color w:val="000000" w:themeColor="text1"/>
              </w:rPr>
              <w:lastRenderedPageBreak/>
              <w:t xml:space="preserve">2007– aplican tanto los principios de la función administrativa y de la gestión fiscal como el régimen de inhabilidades e incompatibilidades. Por el contrario, aquellas </w:t>
            </w:r>
            <w:r>
              <w:rPr>
                <w:rFonts w:ascii="Verdana" w:eastAsia="Calibri" w:hAnsi="Verdana" w:cs="Arial"/>
                <w:color w:val="000000" w:themeColor="text1"/>
              </w:rPr>
              <w:t>empresas industriales y comerciales del Estado</w:t>
            </w:r>
            <w:r w:rsidRPr="009B6C67">
              <w:rPr>
                <w:rFonts w:ascii="Verdana" w:eastAsia="Calibri" w:hAnsi="Verdana" w:cs="Arial"/>
                <w:color w:val="000000" w:themeColor="text1"/>
              </w:rPr>
              <w:t xml:space="preserve"> que no estén en competencia ni desarrollen su actividad en mercados regulados están sometidas al Estatuto General de Contratación de la Administración Pública y las normas que lo complementan, como lo dispone el artículo 14 de la Ley 1150 de 2007.</w:t>
            </w:r>
          </w:p>
          <w:p w14:paraId="71208A17" w14:textId="77777777" w:rsidR="000E07C3" w:rsidRPr="00813F18" w:rsidRDefault="000E07C3" w:rsidP="00507C8E">
            <w:pPr>
              <w:tabs>
                <w:tab w:val="left" w:pos="709"/>
              </w:tabs>
              <w:spacing w:after="120" w:line="276" w:lineRule="auto"/>
              <w:ind w:firstLine="709"/>
              <w:jc w:val="both"/>
              <w:rPr>
                <w:rFonts w:ascii="Verdana" w:eastAsia="Calibri" w:hAnsi="Verdana" w:cs="Arial"/>
                <w:color w:val="000000" w:themeColor="text1"/>
              </w:rPr>
            </w:pPr>
            <w:r>
              <w:rPr>
                <w:rFonts w:ascii="Verdana" w:eastAsia="Verdana" w:hAnsi="Verdana" w:cs="Verdana"/>
                <w:lang w:val="es-MX"/>
              </w:rPr>
              <w:t xml:space="preserve">El principio de publicidad impone a las autoridades administrativas el deber de dar a conocer sus actos, contratos y precisiones para que se divulguen y eventualmente se controlen. Por ello, en la contratación estatal, el literal c) del artículo 3 de la Ley 1150 de 2007 establece el Sistema Electrónico para la Contratación Pública, en adelante SECOP, como un mecanismo que “contara con información oficial de la contratación realizada con dineros públicos, para lo cual establecerá los patrones a que haya lugar y se encargará de su difusión a través de canales electrónicos. </w:t>
            </w:r>
          </w:p>
          <w:p w14:paraId="085E91F0" w14:textId="77777777" w:rsidR="000E07C3" w:rsidRDefault="000E07C3" w:rsidP="00507C8E">
            <w:pPr>
              <w:spacing w:after="120" w:line="276" w:lineRule="auto"/>
              <w:ind w:firstLine="709"/>
              <w:jc w:val="both"/>
              <w:rPr>
                <w:rFonts w:ascii="Verdana" w:eastAsia="Verdana" w:hAnsi="Verdana" w:cs="Verdana"/>
                <w:lang w:val="es-MX"/>
              </w:rPr>
            </w:pPr>
            <w:r>
              <w:rPr>
                <w:rFonts w:ascii="Verdana" w:eastAsia="Times New Roman" w:hAnsi="Verdana" w:cs="Arial"/>
                <w:lang w:val="es-ES_tradnl" w:eastAsia="es-ES_tradnl"/>
                <w14:ligatures w14:val="standardContextual"/>
              </w:rPr>
              <w:t>L</w:t>
            </w:r>
            <w:r w:rsidRPr="00AD6B46">
              <w:rPr>
                <w:rFonts w:ascii="Verdana" w:eastAsia="Times New Roman" w:hAnsi="Verdana" w:cs="Arial"/>
                <w:lang w:val="es-ES_tradnl" w:eastAsia="es-ES_tradnl"/>
                <w14:ligatures w14:val="standardContextual"/>
              </w:rPr>
              <w:t>as Entidades Estatales, conforme al artículo 2.2.1.1.1.7.1 del Decreto 1082 de 2015, tienen la obligación de publicar en el SECOP “[…] los Documentos del Proceso y los actos administrativos del Proceso de Contratación, dentro de los tres (3) días siguientes a su expedición […]”.</w:t>
            </w:r>
            <w:r>
              <w:rPr>
                <w:rFonts w:ascii="Verdana" w:eastAsia="Verdana" w:hAnsi="Verdana" w:cs="Verdana"/>
                <w:lang w:val="es-MX"/>
              </w:rPr>
              <w:t xml:space="preserve"> La expresión </w:t>
            </w:r>
            <w:r w:rsidRPr="00B069AA">
              <w:rPr>
                <w:rFonts w:ascii="Verdana" w:eastAsia="Verdana" w:hAnsi="Verdana" w:cs="Verdana"/>
                <w:i/>
                <w:iCs/>
                <w:lang w:val="es-MX"/>
              </w:rPr>
              <w:t>Documentos del Proceso</w:t>
            </w:r>
            <w:r>
              <w:rPr>
                <w:rFonts w:ascii="Verdana" w:eastAsia="Verdana" w:hAnsi="Verdana" w:cs="Verdana"/>
                <w:lang w:val="es-MX"/>
              </w:rPr>
              <w:t xml:space="preserve"> está definida en el artículo 2.2.1.1.3.1 del Decreto 1082 de 2015, donde se establece que: “son: (a) los estudios y documentos previos; (b) el aviso de convocatoria; (c) los pliegos de condiciones o la invitación; (d) las adendas; (e) la oferta; (f) el informe de evaluación; (g) el contrato; y </w:t>
            </w:r>
            <w:r w:rsidRPr="000A6CCE">
              <w:rPr>
                <w:rFonts w:ascii="Verdana" w:eastAsia="Verdana" w:hAnsi="Verdana" w:cs="Verdana"/>
                <w:i/>
                <w:iCs/>
                <w:lang w:val="es-MX"/>
              </w:rPr>
              <w:t>cualquier otro documento expedido por la Entidad Estatal durante el proceso de Contratación</w:t>
            </w:r>
            <w:r>
              <w:rPr>
                <w:rFonts w:ascii="Verdana" w:eastAsia="Verdana" w:hAnsi="Verdana" w:cs="Verdana"/>
                <w:lang w:val="es-MX"/>
              </w:rPr>
              <w:t xml:space="preserve">”. </w:t>
            </w:r>
          </w:p>
          <w:p w14:paraId="2F116826" w14:textId="77777777" w:rsidR="000E07C3" w:rsidRDefault="000E07C3" w:rsidP="00507C8E">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Sin embargo, para identificar los documentos que deben publicarse, es necesario realizar una interpretación sistemática de las disposiciones del Decreto 1082 de 2015, comoquiera que el anterior no es un listado taxativo, sino enunciativo, porque además de los documentos enlistados, el artículo 2.2.1.1.1.3.1 </w:t>
            </w:r>
            <w:r w:rsidRPr="00F111D4">
              <w:rPr>
                <w:rFonts w:ascii="Verdana" w:eastAsia="Verdana" w:hAnsi="Verdana" w:cs="Verdana"/>
                <w:i/>
                <w:iCs/>
                <w:lang w:val="es-MX"/>
              </w:rPr>
              <w:t>Ibidem</w:t>
            </w:r>
            <w:r>
              <w:rPr>
                <w:rFonts w:ascii="Verdana" w:eastAsia="Verdana" w:hAnsi="Verdana" w:cs="Verdana"/>
                <w:lang w:val="es-MX"/>
              </w:rPr>
              <w:t xml:space="preserve">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w:t>
            </w:r>
            <w:r>
              <w:rPr>
                <w:rFonts w:ascii="Verdana" w:eastAsia="Verdana" w:hAnsi="Verdana" w:cs="Verdana"/>
                <w:lang w:val="es-MX"/>
              </w:rPr>
              <w:lastRenderedPageBreak/>
              <w:t xml:space="preserve">vencimiento del plazo, lo que ocurra </w:t>
            </w:r>
            <w:proofErr w:type="spellStart"/>
            <w:r>
              <w:rPr>
                <w:rFonts w:ascii="Verdana" w:eastAsia="Verdana" w:hAnsi="Verdana" w:cs="Verdana"/>
                <w:lang w:val="es-MX"/>
              </w:rPr>
              <w:t>mas</w:t>
            </w:r>
            <w:proofErr w:type="spellEnd"/>
            <w:r>
              <w:rPr>
                <w:rFonts w:ascii="Verdana" w:eastAsia="Verdana" w:hAnsi="Verdana" w:cs="Verdana"/>
                <w:lang w:val="es-MX"/>
              </w:rPr>
              <w:t xml:space="preserve"> tarde”. Nótese que la norma hace referencia a los documentos “expedidos por la entidad estatal” durante el proceso de contratación, excluyendo de la noción de Documentos del Proceso los expedidos por un sujeto distinto a la entidad, salvo la oferta, la cual se incluye expresamente en el referido artículo 2.2.1.1.1.3.1. </w:t>
            </w:r>
          </w:p>
          <w:p w14:paraId="49D549FA" w14:textId="77777777" w:rsidR="000E07C3" w:rsidRDefault="000E07C3" w:rsidP="00507C8E">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w:t>
            </w:r>
            <w:proofErr w:type="spellStart"/>
            <w:r>
              <w:rPr>
                <w:rFonts w:ascii="Verdana" w:eastAsia="Verdana" w:hAnsi="Verdana" w:cs="Verdana"/>
                <w:lang w:val="es-MX"/>
              </w:rPr>
              <w:t>postcontractual</w:t>
            </w:r>
            <w:proofErr w:type="spellEnd"/>
            <w:r>
              <w:rPr>
                <w:rFonts w:ascii="Verdana" w:eastAsia="Verdana" w:hAnsi="Verdana" w:cs="Verdana"/>
                <w:lang w:val="es-MX"/>
              </w:rPr>
              <w:t xml:space="preserve"> deberán ser publicados en SECOP dentro de los tres (3) días siguientes a su expedición, para cumplir el deber de publicidad regulado por el artículo 2.2.1.1.1.7.1 del Decreto 1082 de 2015. </w:t>
            </w:r>
          </w:p>
          <w:p w14:paraId="1683E34D" w14:textId="77777777" w:rsidR="000E07C3" w:rsidRDefault="000E07C3" w:rsidP="00507C8E">
            <w:pPr>
              <w:spacing w:after="120" w:line="276" w:lineRule="auto"/>
              <w:ind w:firstLine="709"/>
              <w:jc w:val="both"/>
              <w:rPr>
                <w:rFonts w:ascii="Verdana" w:eastAsia="Calibri" w:hAnsi="Verdana" w:cs="Arial"/>
                <w:color w:val="000000"/>
              </w:rPr>
            </w:pPr>
            <w:r>
              <w:rPr>
                <w:rFonts w:ascii="Verdana" w:eastAsia="Calibri" w:hAnsi="Verdana" w:cs="Arial"/>
                <w:color w:val="000000"/>
                <w:lang w:val="es-ES_tradnl"/>
              </w:rPr>
              <w:t xml:space="preserve">Ahora bien, como entidades de régimen especial </w:t>
            </w:r>
            <w:r w:rsidRPr="00AD6B46">
              <w:rPr>
                <w:rFonts w:ascii="Verdana" w:hAnsi="Verdana" w:cs="Arial"/>
                <w:shd w:val="clear" w:color="auto" w:fill="FFFFFF"/>
              </w:rPr>
              <w:t>es clara la obligatoriedad de publicar la información de la actividad contractual</w:t>
            </w:r>
            <w:r>
              <w:rPr>
                <w:rFonts w:ascii="Verdana" w:hAnsi="Verdana" w:cs="Arial"/>
                <w:shd w:val="clear" w:color="auto" w:fill="FFFFFF"/>
              </w:rPr>
              <w:t xml:space="preserve"> en el SECOP</w:t>
            </w:r>
            <w:r w:rsidRPr="00AD6B46">
              <w:rPr>
                <w:rFonts w:ascii="Verdana" w:hAnsi="Verdana" w:cs="Arial"/>
                <w:shd w:val="clear" w:color="auto" w:fill="FFFFFF"/>
              </w:rPr>
              <w:t xml:space="preserve">. En tal sentido, </w:t>
            </w:r>
            <w:r w:rsidRPr="00AD6B46">
              <w:rPr>
                <w:rFonts w:ascii="Verdana" w:eastAsia="Calibri" w:hAnsi="Verdana" w:cs="Arial"/>
                <w:color w:val="000000"/>
              </w:rPr>
              <w:t>debe destacarse el artículo 53 de la Ley 2195 de 2022 que modifica el artículo 13 de la Ley 1150 de 2007</w:t>
            </w:r>
            <w:r>
              <w:rPr>
                <w:rFonts w:ascii="Verdana" w:eastAsia="Calibri" w:hAnsi="Verdana" w:cs="Arial"/>
                <w:color w:val="000000"/>
              </w:rPr>
              <w:t>,</w:t>
            </w:r>
            <w:r w:rsidRPr="00AD6B46">
              <w:rPr>
                <w:rFonts w:ascii="Verdana" w:eastAsia="Calibri" w:hAnsi="Verdana" w:cs="Arial"/>
                <w:color w:val="000000"/>
              </w:rPr>
              <w:t xml:space="preserve"> estableció la obligación de las Entidades Estatales exceptuadas del Estatuto General de Contratación de la Administración Pública de publicar en el SECOP II –es decir en la plataforma transaccional vigente– su actividad contractual. Así pues, respecto de los documentos que deben publicarse en el SECOP II a efectos de cumplir el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w:t>
            </w:r>
            <w:proofErr w:type="spellStart"/>
            <w:r w:rsidRPr="00AD6B46">
              <w:rPr>
                <w:rFonts w:ascii="Verdana" w:eastAsia="Calibri" w:hAnsi="Verdana" w:cs="Arial"/>
                <w:color w:val="000000"/>
              </w:rPr>
              <w:t>post-contractual</w:t>
            </w:r>
            <w:proofErr w:type="spellEnd"/>
            <w:r w:rsidRPr="00AD6B46">
              <w:rPr>
                <w:rFonts w:ascii="Verdana" w:eastAsia="Calibri" w:hAnsi="Verdana" w:cs="Arial"/>
                <w:color w:val="000000"/>
              </w:rPr>
              <w:t>”.</w:t>
            </w:r>
          </w:p>
          <w:p w14:paraId="5CB3AE87" w14:textId="77777777" w:rsidR="000E07C3" w:rsidRDefault="000E07C3" w:rsidP="00507C8E">
            <w:pPr>
              <w:spacing w:after="120" w:line="276" w:lineRule="auto"/>
              <w:ind w:firstLine="709"/>
              <w:jc w:val="both"/>
              <w:rPr>
                <w:rFonts w:ascii="Verdana" w:eastAsia="Calibri" w:hAnsi="Verdana" w:cs="Arial"/>
                <w:color w:val="000000"/>
              </w:rPr>
            </w:pPr>
            <w:r>
              <w:rPr>
                <w:rFonts w:ascii="Verdana" w:eastAsia="Calibri" w:hAnsi="Verdana" w:cs="Arial"/>
                <w:color w:val="000000"/>
              </w:rPr>
              <w:t xml:space="preserve">Por lo tanto, en relación con las actuaciones derivadas de la imposición de multas y sanciones o declaratoria de incumplimiento pactadas en el contrato celebrado, de conformidad con lo dispuesto en el </w:t>
            </w:r>
            <w:r w:rsidRPr="00AD6B46">
              <w:rPr>
                <w:rFonts w:ascii="Verdana" w:eastAsia="Calibri" w:hAnsi="Verdana" w:cs="Arial"/>
                <w:color w:val="000000"/>
              </w:rPr>
              <w:t>artículo 13 de la Ley 1150 de 2007</w:t>
            </w:r>
            <w:r>
              <w:rPr>
                <w:rFonts w:ascii="Verdana" w:eastAsia="Calibri" w:hAnsi="Verdana" w:cs="Arial"/>
                <w:color w:val="000000"/>
              </w:rPr>
              <w:t xml:space="preserve">, deberá registrarse en el SECOP II lo relativo al acto contractual mediante el cual así se definió. </w:t>
            </w:r>
          </w:p>
          <w:p w14:paraId="743B5BAA" w14:textId="77777777" w:rsidR="000E07C3" w:rsidRPr="003315F2" w:rsidRDefault="000E07C3" w:rsidP="00507C8E">
            <w:pPr>
              <w:spacing w:after="120" w:line="276" w:lineRule="auto"/>
              <w:ind w:firstLine="709"/>
              <w:jc w:val="both"/>
              <w:rPr>
                <w:rFonts w:ascii="Verdana" w:eastAsia="Calibri" w:hAnsi="Verdana" w:cs="Arial"/>
                <w:color w:val="000000" w:themeColor="text1"/>
                <w:lang w:val="es-ES_tradnl"/>
              </w:rPr>
            </w:pPr>
            <w:r w:rsidRPr="00A47393">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w:t>
            </w:r>
            <w:r w:rsidRPr="00A47393">
              <w:rPr>
                <w:rFonts w:ascii="Verdana" w:eastAsia="Calibri" w:hAnsi="Verdana" w:cs="Arial"/>
                <w:bCs/>
                <w:color w:val="000000" w:themeColor="text1"/>
              </w:rPr>
              <w:lastRenderedPageBreak/>
              <w:t>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tbl>
    <w:p w14:paraId="24E5D9FB" w14:textId="77777777" w:rsidR="000E07C3" w:rsidRDefault="000E07C3" w:rsidP="000E07C3">
      <w:pPr>
        <w:tabs>
          <w:tab w:val="left" w:pos="142"/>
          <w:tab w:val="left" w:pos="284"/>
        </w:tabs>
        <w:spacing w:after="0" w:line="276" w:lineRule="auto"/>
        <w:jc w:val="both"/>
        <w:rPr>
          <w:rFonts w:ascii="Verdana" w:eastAsia="Century Gothic" w:hAnsi="Verdana" w:cs="Century Gothic"/>
          <w:b/>
          <w:bCs/>
        </w:rPr>
      </w:pPr>
    </w:p>
    <w:p w14:paraId="20E82F2D" w14:textId="77777777" w:rsidR="000E07C3" w:rsidRDefault="000E07C3" w:rsidP="000E07C3">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0666A5A5" w14:textId="77777777" w:rsidR="000E07C3" w:rsidRDefault="000E07C3" w:rsidP="000E07C3">
      <w:pPr>
        <w:tabs>
          <w:tab w:val="left" w:pos="142"/>
          <w:tab w:val="left" w:pos="284"/>
        </w:tabs>
        <w:spacing w:after="0" w:line="276" w:lineRule="auto"/>
        <w:jc w:val="both"/>
        <w:rPr>
          <w:rFonts w:ascii="Verdana" w:eastAsia="Century Gothic" w:hAnsi="Verdana" w:cs="Century Gothic"/>
          <w:b/>
          <w:bCs/>
        </w:rPr>
      </w:pPr>
    </w:p>
    <w:p w14:paraId="2AED6BAE" w14:textId="77777777" w:rsidR="000E07C3" w:rsidRDefault="000E07C3" w:rsidP="000E07C3">
      <w:pPr>
        <w:tabs>
          <w:tab w:val="left" w:pos="142"/>
          <w:tab w:val="left" w:pos="284"/>
        </w:tabs>
        <w:spacing w:after="0" w:line="276" w:lineRule="auto"/>
        <w:jc w:val="both"/>
        <w:rPr>
          <w:rFonts w:ascii="Verdana" w:eastAsia="Century Gothic" w:hAnsi="Verdana" w:cs="Century Gothic"/>
          <w:b/>
          <w:bCs/>
        </w:rPr>
      </w:pPr>
      <w:r w:rsidRPr="005644FE">
        <w:rPr>
          <w:rFonts w:ascii="Verdana" w:eastAsia="Calibri" w:hAnsi="Verdana" w:cs="Arial"/>
        </w:rPr>
        <w:t>Lo anterior se sustenta en las siguientes consideraciones:</w:t>
      </w:r>
    </w:p>
    <w:p w14:paraId="7148C9A6" w14:textId="77777777" w:rsidR="000E07C3" w:rsidRDefault="000E07C3" w:rsidP="000E07C3">
      <w:pPr>
        <w:spacing w:after="120" w:line="276" w:lineRule="auto"/>
        <w:jc w:val="both"/>
        <w:rPr>
          <w:rFonts w:ascii="Verdana" w:eastAsia="Century Gothic" w:hAnsi="Verdana" w:cs="Century Gothic"/>
          <w:b/>
          <w:bCs/>
        </w:rPr>
      </w:pPr>
    </w:p>
    <w:p w14:paraId="106CE489" w14:textId="77777777" w:rsidR="000E07C3" w:rsidRPr="0081146F" w:rsidRDefault="000E07C3" w:rsidP="000E07C3">
      <w:pPr>
        <w:spacing w:after="120" w:line="276" w:lineRule="auto"/>
        <w:jc w:val="both"/>
        <w:rPr>
          <w:rFonts w:ascii="Verdana" w:hAnsi="Verdana" w:cs="Arial"/>
          <w:bCs/>
          <w:lang w:val="es-ES_tradnl"/>
        </w:rPr>
      </w:pPr>
      <w:r w:rsidRPr="00817382">
        <w:rPr>
          <w:rFonts w:ascii="Verdana" w:eastAsia="Calibri" w:hAnsi="Verdana" w:cs="Arial"/>
          <w:color w:val="000000" w:themeColor="text1"/>
          <w:lang w:val="es-ES_tradnl"/>
        </w:rPr>
        <w:t xml:space="preserve">Las </w:t>
      </w:r>
      <w:r w:rsidRPr="00D50589">
        <w:rPr>
          <w:rFonts w:ascii="Verdana" w:eastAsia="Calibri" w:hAnsi="Verdana" w:cs="Arial"/>
          <w:i/>
          <w:iCs/>
          <w:color w:val="000000" w:themeColor="text1"/>
          <w:lang w:val="es-ES_tradnl"/>
        </w:rPr>
        <w:t>entidades de régimen especia</w:t>
      </w:r>
      <w:r w:rsidRPr="0041019E">
        <w:rPr>
          <w:rFonts w:ascii="Verdana" w:eastAsia="Calibri" w:hAnsi="Verdana" w:cs="Arial"/>
          <w:i/>
          <w:iCs/>
          <w:color w:val="000000" w:themeColor="text1"/>
          <w:lang w:val="es-ES_tradnl"/>
        </w:rPr>
        <w:t>l</w:t>
      </w:r>
      <w:r w:rsidRPr="00817382">
        <w:rPr>
          <w:rFonts w:ascii="Verdana" w:eastAsia="Calibri" w:hAnsi="Verdana" w:cs="Arial"/>
          <w:color w:val="000000" w:themeColor="text1"/>
          <w:lang w:val="es-ES_tradnl"/>
        </w:rPr>
        <w:t xml:space="preserve">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propia para su desarrollo, esto es, el derecho privado, lo cual está determinado en las normas de creación de las entidades de régimen especial y en sus manuales de contratación.</w:t>
      </w:r>
    </w:p>
    <w:p w14:paraId="3C881FBB" w14:textId="77777777" w:rsidR="000E07C3" w:rsidRPr="00817382" w:rsidRDefault="000E07C3" w:rsidP="000E07C3">
      <w:pPr>
        <w:spacing w:after="120" w:line="276" w:lineRule="auto"/>
        <w:jc w:val="both"/>
        <w:rPr>
          <w:rFonts w:ascii="Verdana" w:eastAsia="Calibri" w:hAnsi="Verdana" w:cs="Arial"/>
          <w:color w:val="000000" w:themeColor="text1"/>
          <w:lang w:val="es-ES"/>
        </w:rPr>
      </w:pPr>
      <w:r w:rsidRPr="00817382">
        <w:rPr>
          <w:rFonts w:ascii="Verdana" w:eastAsia="Calibri" w:hAnsi="Verdana" w:cs="Arial"/>
          <w:color w:val="000000" w:themeColor="text1"/>
          <w:lang w:val="es-ES_tradnl"/>
        </w:rPr>
        <w:tab/>
      </w:r>
      <w:r w:rsidRPr="73881B6E">
        <w:rPr>
          <w:rFonts w:ascii="Verdana" w:eastAsia="Calibri" w:hAnsi="Verdana" w:cs="Arial"/>
          <w:color w:val="000000" w:themeColor="text1"/>
          <w:lang w:val="es-ES"/>
        </w:rPr>
        <w:t>Teniendo en cuenta que las entidades de régimen especial están facultadas legalmente para aplicar reglas distintas a las establecidas en la Ley 80 de 1993 y sus normas complementarias, su régimen contractual estará definido en la norma que crea el régimen especial y será desarrollado en el manual de contratación de la respectiva entidad,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73881B6E">
        <w:rPr>
          <w:rStyle w:val="Refdenotaalpie"/>
          <w:rFonts w:ascii="Verdana" w:eastAsia="Calibri" w:hAnsi="Verdana" w:cs="Arial"/>
          <w:color w:val="000000" w:themeColor="text1"/>
          <w:lang w:val="es-ES"/>
        </w:rPr>
        <w:footnoteReference w:id="1"/>
      </w:r>
      <w:r w:rsidRPr="73881B6E">
        <w:rPr>
          <w:rFonts w:ascii="Verdana" w:eastAsia="Calibri" w:hAnsi="Verdana" w:cs="Arial"/>
          <w:color w:val="000000" w:themeColor="text1"/>
          <w:lang w:val="es-ES"/>
        </w:rPr>
        <w:t>.</w:t>
      </w:r>
    </w:p>
    <w:p w14:paraId="4D36191B" w14:textId="77777777" w:rsidR="000E07C3" w:rsidRPr="00817382" w:rsidRDefault="000E07C3" w:rsidP="000E07C3">
      <w:pPr>
        <w:spacing w:after="0" w:line="276" w:lineRule="auto"/>
        <w:jc w:val="both"/>
        <w:rPr>
          <w:rFonts w:ascii="Verdana" w:eastAsia="Calibri" w:hAnsi="Verdana" w:cs="Arial"/>
          <w:color w:val="000000" w:themeColor="text1"/>
          <w:lang w:val="es-ES_tradnl"/>
        </w:rPr>
      </w:pPr>
      <w:r w:rsidRPr="00817382">
        <w:rPr>
          <w:rFonts w:ascii="Verdana" w:eastAsia="Calibri" w:hAnsi="Verdana" w:cs="Arial"/>
          <w:color w:val="000000" w:themeColor="text1"/>
          <w:lang w:val="es-ES_tradnl"/>
        </w:rPr>
        <w:tab/>
        <w:t xml:space="preserve">No obstante, las entidades de régimen especial cumplen una finalidad pública y utilizan recursos públicos para lograrlo, por lo que no son ajenas a los </w:t>
      </w:r>
      <w:r w:rsidRPr="00817382">
        <w:rPr>
          <w:rFonts w:ascii="Verdana" w:eastAsia="Calibri" w:hAnsi="Verdana" w:cs="Arial"/>
          <w:color w:val="000000" w:themeColor="text1"/>
          <w:lang w:val="es-ES_tradnl"/>
        </w:rPr>
        <w:lastRenderedPageBreak/>
        <w:t>principios de la función administrativa y de la gestión fiscal, entre otras reglas dispuestas en la normativa de contratación pública que son transversales a todas las entidades, sin importar su régimen contractual. Lo anterior es reafirmado por el Consejo de Estado, que destaca las reglas que sigue la contratación de las entidades de régimen especial:</w:t>
      </w:r>
    </w:p>
    <w:p w14:paraId="2F6E0849" w14:textId="77777777" w:rsidR="000E07C3" w:rsidRPr="00817382" w:rsidRDefault="000E07C3" w:rsidP="000E07C3">
      <w:pPr>
        <w:spacing w:after="0" w:line="276" w:lineRule="auto"/>
        <w:jc w:val="both"/>
        <w:rPr>
          <w:rFonts w:ascii="Verdana" w:eastAsia="Calibri" w:hAnsi="Verdana" w:cs="Arial"/>
          <w:color w:val="000000" w:themeColor="text1"/>
          <w:lang w:val="es-ES_tradnl"/>
        </w:rPr>
      </w:pPr>
    </w:p>
    <w:p w14:paraId="2B40AC71" w14:textId="77777777" w:rsidR="000E07C3" w:rsidRPr="00DE5519" w:rsidRDefault="000E07C3" w:rsidP="000E07C3">
      <w:pPr>
        <w:spacing w:after="0" w:line="240" w:lineRule="auto"/>
        <w:ind w:left="709" w:right="709"/>
        <w:jc w:val="both"/>
        <w:rPr>
          <w:rFonts w:ascii="Verdana" w:eastAsia="Calibri" w:hAnsi="Verdana" w:cs="Arial"/>
          <w:color w:val="000000" w:themeColor="text1"/>
          <w:sz w:val="20"/>
          <w:szCs w:val="20"/>
          <w:lang w:val="es-ES_tradnl"/>
        </w:rPr>
      </w:pPr>
      <w:r w:rsidRPr="00DE5519">
        <w:rPr>
          <w:rFonts w:ascii="Verdana" w:eastAsia="Calibri" w:hAnsi="Verdana" w:cs="Arial"/>
          <w:color w:val="000000" w:themeColor="text1"/>
          <w:sz w:val="20"/>
          <w:szCs w:val="20"/>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w:t>
      </w:r>
      <w:r>
        <w:rPr>
          <w:rFonts w:ascii="Verdana" w:eastAsia="Calibri" w:hAnsi="Verdana" w:cs="Arial"/>
          <w:color w:val="000000" w:themeColor="text1"/>
          <w:sz w:val="20"/>
          <w:szCs w:val="20"/>
          <w:lang w:val="es-ES_tradnl"/>
        </w:rPr>
        <w:t>-</w:t>
      </w:r>
      <w:r w:rsidRPr="00DE5519">
        <w:rPr>
          <w:rFonts w:ascii="Verdana" w:eastAsia="Calibri" w:hAnsi="Verdana" w:cs="Arial"/>
          <w:color w:val="000000" w:themeColor="text1"/>
          <w:sz w:val="20"/>
          <w:szCs w:val="20"/>
          <w:lang w:val="es-ES_tradnl"/>
        </w:rPr>
        <w:t>, que inspiran al régimen anterior con valores propios del derecho público.</w:t>
      </w:r>
    </w:p>
    <w:p w14:paraId="6B242F4F" w14:textId="77777777" w:rsidR="000E07C3" w:rsidRDefault="000E07C3" w:rsidP="000E07C3">
      <w:pPr>
        <w:spacing w:after="0" w:line="240" w:lineRule="auto"/>
        <w:ind w:left="709" w:right="709"/>
        <w:jc w:val="both"/>
        <w:rPr>
          <w:rFonts w:ascii="Verdana" w:eastAsia="Calibri" w:hAnsi="Verdana" w:cs="Arial"/>
          <w:color w:val="000000" w:themeColor="text1"/>
          <w:sz w:val="20"/>
          <w:szCs w:val="20"/>
          <w:lang w:val="es-ES_tradnl"/>
        </w:rPr>
      </w:pPr>
    </w:p>
    <w:p w14:paraId="6637D5BE" w14:textId="77777777" w:rsidR="000E07C3" w:rsidRDefault="000E07C3" w:rsidP="000E07C3">
      <w:pPr>
        <w:spacing w:after="0" w:line="240" w:lineRule="auto"/>
        <w:ind w:left="709" w:right="709"/>
        <w:jc w:val="both"/>
        <w:rPr>
          <w:rFonts w:ascii="Verdana" w:eastAsia="Calibri" w:hAnsi="Verdana" w:cs="Arial"/>
          <w:color w:val="000000" w:themeColor="text1"/>
          <w:sz w:val="20"/>
          <w:szCs w:val="20"/>
          <w:lang w:val="es-ES"/>
        </w:rPr>
      </w:pPr>
      <w:r w:rsidRPr="5DFC3BC8">
        <w:rPr>
          <w:rFonts w:ascii="Verdana" w:eastAsia="Calibri" w:hAnsi="Verdana" w:cs="Arial"/>
          <w:color w:val="000000" w:themeColor="text1"/>
          <w:sz w:val="20"/>
          <w:szCs w:val="20"/>
          <w:lang w:val="es-ES"/>
        </w:rPr>
        <w:t xml:space="preserve">La Sala entiende que el régimen preponderante domina y aporta el gran volumen de normas contractuales y que el régimen inspirador influye y ayuda a </w:t>
      </w:r>
      <w:proofErr w:type="gramStart"/>
      <w:r w:rsidRPr="5DFC3BC8">
        <w:rPr>
          <w:rFonts w:ascii="Verdana" w:eastAsia="Calibri" w:hAnsi="Verdana" w:cs="Arial"/>
          <w:color w:val="000000" w:themeColor="text1"/>
          <w:sz w:val="20"/>
          <w:szCs w:val="20"/>
          <w:lang w:val="es-ES"/>
        </w:rPr>
        <w:t>interpretar</w:t>
      </w:r>
      <w:proofErr w:type="gramEnd"/>
      <w:r w:rsidRPr="5DFC3BC8">
        <w:rPr>
          <w:rFonts w:ascii="Verdana" w:eastAsia="Calibri" w:hAnsi="Verdana" w:cs="Arial"/>
          <w:color w:val="000000" w:themeColor="text1"/>
          <w:sz w:val="20"/>
          <w:szCs w:val="20"/>
          <w:lang w:val="es-ES"/>
        </w:rPr>
        <w:t xml:space="preserve"> pero también transforma parte de esas instituciones, porque se suma a ellas, lo que no siempre se logra conservando intacta la institución privada sino introduciéndole modificaciones. </w:t>
      </w:r>
    </w:p>
    <w:p w14:paraId="070FD788" w14:textId="77777777" w:rsidR="000E07C3" w:rsidRPr="00DE5519" w:rsidRDefault="000E07C3" w:rsidP="000E07C3">
      <w:pPr>
        <w:spacing w:after="0" w:line="240" w:lineRule="auto"/>
        <w:ind w:left="709" w:right="709"/>
        <w:jc w:val="both"/>
        <w:rPr>
          <w:rFonts w:ascii="Verdana" w:eastAsia="Calibri" w:hAnsi="Verdana" w:cs="Arial"/>
          <w:color w:val="000000" w:themeColor="text1"/>
          <w:sz w:val="20"/>
          <w:szCs w:val="20"/>
          <w:lang w:val="es-ES_tradnl"/>
        </w:rPr>
      </w:pPr>
    </w:p>
    <w:p w14:paraId="05CC3967" w14:textId="77777777" w:rsidR="000E07C3" w:rsidRPr="00DE5519" w:rsidRDefault="000E07C3" w:rsidP="000E07C3">
      <w:pPr>
        <w:spacing w:after="0" w:line="240" w:lineRule="auto"/>
        <w:ind w:left="709" w:right="709"/>
        <w:jc w:val="both"/>
        <w:rPr>
          <w:rFonts w:ascii="Verdana" w:eastAsia="Calibri" w:hAnsi="Verdana" w:cs="Arial"/>
          <w:color w:val="000000" w:themeColor="text1"/>
          <w:sz w:val="20"/>
          <w:szCs w:val="20"/>
          <w:lang w:val="es-ES_tradnl"/>
        </w:rPr>
      </w:pPr>
      <w:r w:rsidRPr="00DE5519">
        <w:rPr>
          <w:rFonts w:ascii="Verdana" w:eastAsia="Calibri" w:hAnsi="Verdana" w:cs="Arial"/>
          <w:color w:val="000000" w:themeColor="text1"/>
          <w:sz w:val="20"/>
          <w:szCs w:val="20"/>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DE5519">
        <w:rPr>
          <w:rStyle w:val="Refdenotaalpie"/>
          <w:rFonts w:ascii="Verdana" w:eastAsia="Calibri" w:hAnsi="Verdana" w:cs="Arial"/>
          <w:color w:val="000000" w:themeColor="text1"/>
          <w:sz w:val="20"/>
          <w:szCs w:val="20"/>
          <w:lang w:val="es-ES_tradnl"/>
        </w:rPr>
        <w:footnoteReference w:id="2"/>
      </w:r>
      <w:r w:rsidRPr="00DE5519">
        <w:rPr>
          <w:rFonts w:ascii="Verdana" w:eastAsia="Calibri" w:hAnsi="Verdana" w:cs="Arial"/>
          <w:color w:val="000000" w:themeColor="text1"/>
          <w:sz w:val="20"/>
          <w:szCs w:val="20"/>
          <w:lang w:val="es-ES_tradnl"/>
        </w:rPr>
        <w:t>.</w:t>
      </w:r>
    </w:p>
    <w:p w14:paraId="06C2D25A" w14:textId="77777777" w:rsidR="000E07C3" w:rsidRPr="00817382" w:rsidRDefault="000E07C3" w:rsidP="000E07C3">
      <w:pPr>
        <w:spacing w:after="0" w:line="276" w:lineRule="auto"/>
        <w:ind w:left="709" w:right="709"/>
        <w:jc w:val="both"/>
        <w:rPr>
          <w:rFonts w:ascii="Verdana" w:eastAsia="Calibri" w:hAnsi="Verdana" w:cs="Arial"/>
          <w:color w:val="000000" w:themeColor="text1"/>
          <w:lang w:val="es-ES_tradnl"/>
        </w:rPr>
      </w:pPr>
    </w:p>
    <w:p w14:paraId="7B0C876E" w14:textId="77777777" w:rsidR="000E07C3" w:rsidRPr="00817382" w:rsidRDefault="000E07C3" w:rsidP="000E07C3">
      <w:pPr>
        <w:spacing w:after="120" w:line="276" w:lineRule="auto"/>
        <w:ind w:firstLine="709"/>
        <w:jc w:val="both"/>
        <w:rPr>
          <w:rFonts w:ascii="Verdana" w:eastAsia="Calibri" w:hAnsi="Verdana" w:cs="Arial"/>
          <w:color w:val="000000" w:themeColor="text1"/>
          <w:lang w:val="es-ES_tradnl"/>
        </w:rPr>
      </w:pPr>
      <w:r w:rsidRPr="00817382">
        <w:rPr>
          <w:rFonts w:ascii="Verdana" w:eastAsia="Calibri" w:hAnsi="Verdana" w:cs="Arial"/>
          <w:color w:val="000000" w:themeColor="text1"/>
          <w:lang w:val="es-ES_tradnl"/>
        </w:rPr>
        <w:t xml:space="preserve">Considerando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y los criterios de evaluación, y todos los criterios necesarios para garantizar la selección objetiva y la protección del interés general. Lo anterior, sin perjuicio </w:t>
      </w:r>
      <w:r w:rsidRPr="00817382">
        <w:rPr>
          <w:rFonts w:ascii="Verdana" w:eastAsia="Calibri" w:hAnsi="Verdana" w:cs="Arial"/>
          <w:color w:val="000000" w:themeColor="text1"/>
          <w:lang w:val="es-ES_tradnl"/>
        </w:rPr>
        <w:lastRenderedPageBreak/>
        <w:t>de que algunas de estas reglas se establezcan, complementen o detallen en los documentos que se expiden en desarrollo de sus procedimientos contractuales.</w:t>
      </w:r>
    </w:p>
    <w:p w14:paraId="2AB484C4" w14:textId="77777777" w:rsidR="000E07C3" w:rsidRPr="00817382" w:rsidRDefault="000E07C3" w:rsidP="000E07C3">
      <w:pPr>
        <w:spacing w:after="120" w:line="276" w:lineRule="auto"/>
        <w:ind w:firstLine="709"/>
        <w:jc w:val="both"/>
        <w:rPr>
          <w:rFonts w:ascii="Verdana" w:eastAsia="Calibri" w:hAnsi="Verdana" w:cs="Arial"/>
          <w:color w:val="000000" w:themeColor="text1"/>
          <w:lang w:val="es-ES_tradnl"/>
        </w:rPr>
      </w:pPr>
      <w:r w:rsidRPr="00817382">
        <w:rPr>
          <w:rFonts w:ascii="Verdana" w:eastAsia="Calibri" w:hAnsi="Verdana" w:cs="Arial"/>
          <w:color w:val="000000" w:themeColor="text1"/>
          <w:lang w:val="es-ES_tradnl"/>
        </w:rPr>
        <w:t>Asimismo,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los proveedores de la entidad y analizar el sector económico de los oferentes, entre otras.</w:t>
      </w:r>
    </w:p>
    <w:p w14:paraId="6A562C24" w14:textId="77777777" w:rsidR="000E07C3" w:rsidRDefault="000E07C3" w:rsidP="000E07C3">
      <w:pPr>
        <w:spacing w:after="120" w:line="276" w:lineRule="auto"/>
        <w:ind w:firstLine="709"/>
        <w:jc w:val="both"/>
        <w:rPr>
          <w:rFonts w:ascii="Verdana" w:eastAsia="Calibri" w:hAnsi="Verdana" w:cs="Arial"/>
          <w:color w:val="000000" w:themeColor="text1"/>
          <w:lang w:val="es-ES_tradnl"/>
        </w:rPr>
      </w:pPr>
      <w:r w:rsidRPr="00817382">
        <w:rPr>
          <w:rFonts w:ascii="Verdana" w:eastAsia="Calibri" w:hAnsi="Verdana" w:cs="Arial"/>
          <w:color w:val="000000" w:themeColor="text1"/>
          <w:lang w:val="es-ES_tradnl"/>
        </w:rPr>
        <w:t>Además, debe tenerse en cuenta que las cláusulas excepcionales no están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De modo que</w:t>
      </w:r>
      <w:r>
        <w:rPr>
          <w:rFonts w:ascii="Verdana" w:eastAsia="Calibri" w:hAnsi="Verdana" w:cs="Arial"/>
          <w:color w:val="000000" w:themeColor="text1"/>
          <w:lang w:val="es-ES_tradnl"/>
        </w:rPr>
        <w:t>,</w:t>
      </w:r>
      <w:r w:rsidRPr="00817382">
        <w:rPr>
          <w:rFonts w:ascii="Verdana" w:eastAsia="Calibri" w:hAnsi="Verdana" w:cs="Arial"/>
          <w:color w:val="000000" w:themeColor="text1"/>
          <w:lang w:val="es-ES_tradnl"/>
        </w:rPr>
        <w:t xml:space="preserve"> si una Entidad sujeta al régimen especial requiere sancionar o dar por terminado el contrato, por regla general, debe acudir al juez competente.</w:t>
      </w:r>
    </w:p>
    <w:p w14:paraId="06E85239" w14:textId="77777777" w:rsidR="000E07C3" w:rsidRPr="00817382" w:rsidRDefault="000E07C3" w:rsidP="000E07C3">
      <w:pPr>
        <w:spacing w:after="120" w:line="276" w:lineRule="auto"/>
        <w:ind w:firstLine="709"/>
        <w:jc w:val="both"/>
        <w:rPr>
          <w:rFonts w:ascii="Verdana" w:eastAsia="Calibri" w:hAnsi="Verdana" w:cs="Arial"/>
          <w:color w:val="000000" w:themeColor="text1"/>
          <w:lang w:val="es-ES_tradnl"/>
        </w:rPr>
      </w:pPr>
      <w:r w:rsidRPr="00817382">
        <w:rPr>
          <w:rFonts w:ascii="Verdana" w:eastAsia="Calibri" w:hAnsi="Verdana" w:cs="Arial"/>
          <w:color w:val="000000" w:themeColor="text1"/>
          <w:lang w:val="es-ES_tradnl"/>
        </w:rPr>
        <w:t>Como se explicó, el hecho de que algunas entidades estatales se rijan por el derecho privado en materia contractual no puede entenderse como una negación de lo que establece el artículo 13 de la Ley 1150 de 2007. Este enunciado normativo significó un “retorno del derecho administrativo” para las entidades excluidas, al reiterar que deben cumplir los principios constitucionales de la función administrativa y de la gestión fiscal, así como el régimen de inhabilidades e incompatibilidades previsto legalmente para la contratación estatal; y ahora también publicar su actividad contractual en el SECOP II, de conformidad con el artículo 53 de la Ley 2195 de 2022</w:t>
      </w:r>
      <w:r w:rsidRPr="00817382">
        <w:rPr>
          <w:rStyle w:val="Refdenotaalpie"/>
          <w:rFonts w:ascii="Verdana" w:eastAsia="Calibri" w:hAnsi="Verdana" w:cs="Arial"/>
          <w:color w:val="000000" w:themeColor="text1"/>
          <w:lang w:val="es-ES_tradnl"/>
        </w:rPr>
        <w:footnoteReference w:id="3"/>
      </w:r>
      <w:r w:rsidRPr="00817382">
        <w:rPr>
          <w:rFonts w:ascii="Verdana" w:eastAsia="Calibri" w:hAnsi="Verdana" w:cs="Arial"/>
          <w:color w:val="000000" w:themeColor="text1"/>
          <w:lang w:val="es-ES_tradnl"/>
        </w:rPr>
        <w:t xml:space="preserve">. </w:t>
      </w:r>
    </w:p>
    <w:p w14:paraId="19A712D3" w14:textId="77777777" w:rsidR="000E07C3" w:rsidRDefault="000E07C3" w:rsidP="000E07C3">
      <w:pPr>
        <w:spacing w:after="120" w:line="276" w:lineRule="auto"/>
        <w:ind w:firstLine="709"/>
        <w:jc w:val="both"/>
        <w:rPr>
          <w:rFonts w:ascii="Verdana" w:eastAsia="Calibri" w:hAnsi="Verdana" w:cs="Arial"/>
          <w:color w:val="000000" w:themeColor="text1"/>
          <w:lang w:val="es-ES_tradnl"/>
        </w:rPr>
      </w:pPr>
      <w:r w:rsidRPr="00817382">
        <w:rPr>
          <w:rFonts w:ascii="Verdana" w:eastAsia="Calibri" w:hAnsi="Verdana" w:cs="Arial"/>
          <w:color w:val="000000" w:themeColor="text1"/>
          <w:lang w:val="es-ES_tradnl"/>
        </w:rPr>
        <w:t>Adicionalmente, las entidades estatales que, por disposición legal, cuentan con un régimen especial</w:t>
      </w:r>
      <w:r w:rsidRPr="00817382">
        <w:rPr>
          <w:rStyle w:val="Refdenotaalpie"/>
          <w:rFonts w:ascii="Verdana" w:eastAsia="Calibri" w:hAnsi="Verdana" w:cs="Arial"/>
          <w:color w:val="000000" w:themeColor="text1"/>
          <w:lang w:val="es-ES_tradnl"/>
        </w:rPr>
        <w:footnoteReference w:id="4"/>
      </w:r>
      <w:r w:rsidRPr="00817382">
        <w:rPr>
          <w:rFonts w:ascii="Verdana" w:eastAsia="Calibri" w:hAnsi="Verdana" w:cs="Arial"/>
          <w:color w:val="000000" w:themeColor="text1"/>
          <w:lang w:val="es-ES_tradnl"/>
        </w:rPr>
        <w:t xml:space="preserve">, exceptuado del Estatuto General de Contratación de la Administración Pública –Leyes 80 de 1993, 1150 de 2007 y </w:t>
      </w:r>
      <w:r w:rsidRPr="00817382">
        <w:rPr>
          <w:rFonts w:ascii="Verdana" w:eastAsia="Calibri" w:hAnsi="Verdana" w:cs="Arial"/>
          <w:color w:val="000000" w:themeColor="text1"/>
          <w:lang w:val="es-ES_tradnl"/>
        </w:rPr>
        <w:lastRenderedPageBreak/>
        <w:t>normas complementarias</w:t>
      </w:r>
      <w:r w:rsidRPr="00817382">
        <w:rPr>
          <w:rStyle w:val="Refdenotaalpie"/>
          <w:rFonts w:ascii="Verdana" w:eastAsia="Calibri" w:hAnsi="Verdana" w:cs="Arial"/>
          <w:color w:val="000000" w:themeColor="text1"/>
          <w:lang w:val="es-ES_tradnl"/>
        </w:rPr>
        <w:footnoteReference w:id="5"/>
      </w:r>
      <w:r w:rsidRPr="00817382">
        <w:rPr>
          <w:rFonts w:ascii="Verdana" w:eastAsia="Calibri" w:hAnsi="Verdana" w:cs="Arial"/>
          <w:color w:val="000000" w:themeColor="text1"/>
          <w:lang w:val="es-ES_tradnl"/>
        </w:rPr>
        <w:t xml:space="preserve">– pueden expedir un reglamento interno de contratación –comúnmente denominado </w:t>
      </w:r>
      <w:r w:rsidRPr="00817382">
        <w:rPr>
          <w:rFonts w:ascii="Verdana" w:eastAsia="Calibri" w:hAnsi="Verdana" w:cs="Arial"/>
          <w:i/>
          <w:color w:val="000000" w:themeColor="text1"/>
          <w:lang w:val="es-ES_tradnl"/>
        </w:rPr>
        <w:t>manual de contratación</w:t>
      </w:r>
      <w:r w:rsidRPr="00817382">
        <w:rPr>
          <w:rFonts w:ascii="Verdana" w:eastAsia="Calibri" w:hAnsi="Verdana" w:cs="Arial"/>
          <w:color w:val="000000" w:themeColor="text1"/>
          <w:lang w:val="es-ES_tradnl"/>
        </w:rPr>
        <w:t>–,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w:t>
      </w:r>
    </w:p>
    <w:p w14:paraId="3989F262" w14:textId="77777777" w:rsidR="000E07C3" w:rsidRDefault="000E07C3" w:rsidP="000E07C3">
      <w:pPr>
        <w:spacing w:after="120" w:line="276" w:lineRule="auto"/>
        <w:ind w:firstLine="709"/>
        <w:jc w:val="both"/>
        <w:rPr>
          <w:rFonts w:ascii="Verdana" w:eastAsia="Calibri" w:hAnsi="Verdana" w:cs="Arial"/>
          <w:color w:val="000000" w:themeColor="text1"/>
          <w:lang w:val="es-ES"/>
        </w:rPr>
      </w:pPr>
      <w:r w:rsidRPr="5DFC3BC8">
        <w:rPr>
          <w:rFonts w:ascii="Verdana" w:eastAsia="Calibri" w:hAnsi="Verdana" w:cs="Arial"/>
          <w:color w:val="000000" w:themeColor="text1"/>
          <w:lang w:val="es-ES"/>
        </w:rPr>
        <w:t xml:space="preserve">Sin embargo, 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w:t>
      </w:r>
      <w:proofErr w:type="spellStart"/>
      <w:r w:rsidRPr="5DFC3BC8">
        <w:rPr>
          <w:rFonts w:ascii="Verdana" w:eastAsia="Calibri" w:hAnsi="Verdana" w:cs="Arial"/>
          <w:color w:val="000000" w:themeColor="text1"/>
          <w:lang w:val="es-ES"/>
        </w:rPr>
        <w:t>ii</w:t>
      </w:r>
      <w:proofErr w:type="spellEnd"/>
      <w:r w:rsidRPr="5DFC3BC8">
        <w:rPr>
          <w:rFonts w:ascii="Verdana" w:eastAsia="Calibri" w:hAnsi="Verdana" w:cs="Arial"/>
          <w:color w:val="000000" w:themeColor="text1"/>
          <w:lang w:val="es-ES"/>
        </w:rPr>
        <w:t xml:space="preserve">) sanciones, sin perjuicio de las que pueden pactar de acuerdo con las normas civiles y comerciales, </w:t>
      </w:r>
      <w:proofErr w:type="spellStart"/>
      <w:r w:rsidRPr="5DFC3BC8">
        <w:rPr>
          <w:rFonts w:ascii="Verdana" w:eastAsia="Calibri" w:hAnsi="Verdana" w:cs="Arial"/>
          <w:color w:val="000000" w:themeColor="text1"/>
          <w:lang w:val="es-ES"/>
        </w:rPr>
        <w:t>iii</w:t>
      </w:r>
      <w:proofErr w:type="spellEnd"/>
      <w:r w:rsidRPr="5DFC3BC8">
        <w:rPr>
          <w:rFonts w:ascii="Verdana" w:eastAsia="Calibri" w:hAnsi="Verdana" w:cs="Arial"/>
          <w:color w:val="000000" w:themeColor="text1"/>
          <w:lang w:val="es-ES"/>
        </w:rPr>
        <w:t xml:space="preserve">) procedimientos para su imposición, </w:t>
      </w:r>
      <w:proofErr w:type="spellStart"/>
      <w:r w:rsidRPr="5DFC3BC8">
        <w:rPr>
          <w:rFonts w:ascii="Verdana" w:eastAsia="Calibri" w:hAnsi="Verdana" w:cs="Arial"/>
          <w:color w:val="000000" w:themeColor="text1"/>
          <w:lang w:val="es-ES"/>
        </w:rPr>
        <w:t>iv</w:t>
      </w:r>
      <w:proofErr w:type="spellEnd"/>
      <w:r w:rsidRPr="5DFC3BC8">
        <w:rPr>
          <w:rFonts w:ascii="Verdana" w:eastAsia="Calibri" w:hAnsi="Verdana" w:cs="Arial"/>
          <w:color w:val="000000" w:themeColor="text1"/>
          <w:lang w:val="es-ES"/>
        </w:rPr>
        <w:t>) causales de inhabilidad e incompatibilidad, v) el principio de anualidad del gasto, y vi) restricciones al acceso a la administración de justicia para discutir las controversias contractuales, son, entre otros, temas cuya regulación está reservada al legislador y que, por tanto, las entidades exceptuadas no pueden reglamentar en su manual de contratación</w:t>
      </w:r>
      <w:r w:rsidRPr="5DFC3BC8">
        <w:rPr>
          <w:rStyle w:val="Refdenotaalpie"/>
          <w:rFonts w:ascii="Verdana" w:eastAsia="Calibri" w:hAnsi="Verdana" w:cs="Arial"/>
          <w:color w:val="000000" w:themeColor="text1"/>
          <w:lang w:val="es-ES"/>
        </w:rPr>
        <w:footnoteReference w:id="6"/>
      </w:r>
      <w:r w:rsidRPr="5DFC3BC8">
        <w:rPr>
          <w:rFonts w:ascii="Verdana" w:eastAsia="Calibri" w:hAnsi="Verdana" w:cs="Arial"/>
          <w:color w:val="000000" w:themeColor="text1"/>
          <w:lang w:val="es-ES"/>
        </w:rPr>
        <w:t>.</w:t>
      </w:r>
    </w:p>
    <w:p w14:paraId="7C24693F" w14:textId="77777777" w:rsidR="000E07C3" w:rsidRPr="0081146F" w:rsidRDefault="000E07C3" w:rsidP="000E07C3">
      <w:pPr>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rPr>
        <w:lastRenderedPageBreak/>
        <w:t>En l</w:t>
      </w:r>
      <w:r w:rsidRPr="009B6C67">
        <w:rPr>
          <w:rFonts w:ascii="Verdana" w:eastAsia="Calibri" w:hAnsi="Verdana" w:cs="Arial"/>
          <w:color w:val="000000" w:themeColor="text1"/>
        </w:rPr>
        <w:t xml:space="preserve">a estructura de la Administración pública se encuentran las entidades descentralizadas por servicios, y dentro de dicha categoría se ubican </w:t>
      </w:r>
      <w:r>
        <w:rPr>
          <w:rFonts w:ascii="Verdana" w:eastAsia="Calibri" w:hAnsi="Verdana" w:cs="Arial"/>
          <w:color w:val="000000" w:themeColor="text1"/>
        </w:rPr>
        <w:t>las empresas industriales y comerciales del Estado</w:t>
      </w:r>
      <w:r w:rsidRPr="009B6C67">
        <w:rPr>
          <w:rFonts w:ascii="Verdana" w:eastAsia="Calibri" w:hAnsi="Verdana" w:cs="Arial"/>
          <w:color w:val="000000" w:themeColor="text1"/>
        </w:rPr>
        <w:t>, las cuales –sin perjuicio del control de tutela– tienen personería jurídica, autonomía administrativa y patrimonio propio.</w:t>
      </w:r>
      <w:r w:rsidRPr="009B6C67">
        <w:rPr>
          <w:rFonts w:ascii="Verdana" w:eastAsia="Calibri" w:hAnsi="Verdana" w:cs="Arial"/>
          <w:b/>
          <w:bCs/>
          <w:color w:val="000000" w:themeColor="text1"/>
        </w:rPr>
        <w:t xml:space="preserve"> </w:t>
      </w:r>
      <w:r>
        <w:rPr>
          <w:rFonts w:ascii="Verdana" w:eastAsia="Calibri" w:hAnsi="Verdana" w:cs="Arial"/>
          <w:color w:val="000000" w:themeColor="text1"/>
        </w:rPr>
        <w:t xml:space="preserve">El inciso primero del artículo 85 de la Ley 489 de 1998 las define como “[…] </w:t>
      </w:r>
      <w:r w:rsidRPr="00EE29F7">
        <w:rPr>
          <w:rFonts w:ascii="Verdana" w:eastAsia="Calibri" w:hAnsi="Verdana" w:cs="Arial"/>
          <w:color w:val="000000" w:themeColor="text1"/>
        </w:rPr>
        <w:t>organismos creados por la ley o autorizados por ésta, que desarrollan actividades de naturaleza industrial o comercial y de gestión económica conforme a las reglas del Derecho Privado, salvo las excepciones que consagra la ley</w:t>
      </w:r>
      <w:r>
        <w:rPr>
          <w:rFonts w:ascii="Verdana" w:eastAsia="Calibri" w:hAnsi="Verdana" w:cs="Arial"/>
          <w:color w:val="000000" w:themeColor="text1"/>
        </w:rPr>
        <w:t xml:space="preserve"> […]”</w:t>
      </w:r>
      <w:r w:rsidRPr="009B6C67">
        <w:rPr>
          <w:rFonts w:ascii="Verdana" w:eastAsia="Calibri" w:hAnsi="Verdana" w:cs="Arial"/>
          <w:color w:val="000000" w:themeColor="text1"/>
        </w:rPr>
        <w:t xml:space="preserve">. </w:t>
      </w:r>
    </w:p>
    <w:p w14:paraId="1BE69950" w14:textId="77777777" w:rsidR="000E07C3" w:rsidRPr="009B6C67" w:rsidRDefault="000E07C3" w:rsidP="000E07C3">
      <w:pPr>
        <w:spacing w:after="120" w:line="276" w:lineRule="auto"/>
        <w:jc w:val="both"/>
        <w:rPr>
          <w:rFonts w:ascii="Verdana" w:eastAsia="Calibri" w:hAnsi="Verdana" w:cs="Arial"/>
          <w:color w:val="000000" w:themeColor="text1"/>
        </w:rPr>
      </w:pPr>
      <w:r w:rsidRPr="009B6C67">
        <w:rPr>
          <w:rFonts w:ascii="Verdana" w:eastAsia="Calibri" w:hAnsi="Verdana" w:cs="Arial"/>
          <w:color w:val="000000" w:themeColor="text1"/>
        </w:rPr>
        <w:tab/>
        <w:t xml:space="preserve">Considerando la actividad desarrollada, se itera, de carácter industrial o comercial, el régimen jurídico aplicable a estas empresas difiere del que corresponde a otras entidades descentralizadas funcionalmente o por servicios, como las superintendencias con personería jurídica, los establecimientos públicos o las unidades administrativas especiales, pues la regla general es el derecho privado, salvo excepciones legales.         </w:t>
      </w:r>
    </w:p>
    <w:p w14:paraId="78945C9D" w14:textId="77777777" w:rsidR="000E07C3" w:rsidRPr="009B6C67" w:rsidRDefault="000E07C3" w:rsidP="000E07C3">
      <w:pPr>
        <w:spacing w:after="120" w:line="276" w:lineRule="auto"/>
        <w:jc w:val="both"/>
        <w:rPr>
          <w:rFonts w:ascii="Verdana" w:eastAsia="Calibri" w:hAnsi="Verdana" w:cs="Arial"/>
          <w:color w:val="000000" w:themeColor="text1"/>
        </w:rPr>
      </w:pPr>
      <w:r w:rsidRPr="009B6C67">
        <w:rPr>
          <w:rFonts w:ascii="Verdana" w:eastAsia="Calibri" w:hAnsi="Verdana" w:cs="Arial"/>
          <w:color w:val="000000" w:themeColor="text1"/>
        </w:rPr>
        <w:tab/>
        <w:t>Sobre el régimen de contratación, el artículo 2 de la Ley 80 de 1993 incorporó</w:t>
      </w:r>
      <w:r>
        <w:rPr>
          <w:rFonts w:ascii="Verdana" w:eastAsia="Calibri" w:hAnsi="Verdana" w:cs="Arial"/>
          <w:color w:val="000000" w:themeColor="text1"/>
        </w:rPr>
        <w:t xml:space="preserve"> a</w:t>
      </w:r>
      <w:r w:rsidRPr="009B6C67">
        <w:rPr>
          <w:rFonts w:ascii="Verdana" w:eastAsia="Calibri" w:hAnsi="Verdana" w:cs="Arial"/>
          <w:color w:val="000000" w:themeColor="text1"/>
        </w:rPr>
        <w:t xml:space="preserve"> </w:t>
      </w:r>
      <w:r w:rsidRPr="00A22A66">
        <w:rPr>
          <w:rFonts w:ascii="Verdana" w:eastAsia="Calibri" w:hAnsi="Verdana" w:cs="Arial"/>
          <w:color w:val="000000" w:themeColor="text1"/>
        </w:rPr>
        <w:t xml:space="preserve">las </w:t>
      </w:r>
      <w:r w:rsidRPr="007B0277">
        <w:rPr>
          <w:rFonts w:ascii="Verdana" w:eastAsia="Calibri" w:hAnsi="Verdana" w:cs="Arial"/>
          <w:color w:val="000000" w:themeColor="text1"/>
        </w:rPr>
        <w:t>empresas industriales y comerciales del Estado</w:t>
      </w:r>
      <w:r w:rsidRPr="009B6C67">
        <w:rPr>
          <w:rFonts w:ascii="Verdana" w:eastAsia="Calibri" w:hAnsi="Verdana" w:cs="Arial"/>
          <w:color w:val="000000" w:themeColor="text1"/>
        </w:rPr>
        <w:t xml:space="preserve"> dentro de la categoría de entidades estatales</w:t>
      </w:r>
      <w:r w:rsidRPr="009B6C67">
        <w:rPr>
          <w:rStyle w:val="Refdenotaalpie"/>
          <w:rFonts w:ascii="Verdana" w:eastAsia="Calibri" w:hAnsi="Verdana" w:cs="Arial"/>
          <w:color w:val="000000" w:themeColor="text1"/>
        </w:rPr>
        <w:footnoteReference w:id="7"/>
      </w:r>
      <w:r w:rsidRPr="009B6C67">
        <w:rPr>
          <w:rFonts w:ascii="Verdana" w:eastAsia="Calibri" w:hAnsi="Verdana" w:cs="Arial"/>
          <w:color w:val="000000" w:themeColor="text1"/>
        </w:rPr>
        <w:t>. Para estos efectos, el numeral 1, literal m), del artículo 24 del Estatuto General –derogado por el artículo 32 de la Ley 1150 de 2007– permitía la contratación directa de los bienes y servicios requeridos para el desarrollo de su objeto social, exceptuado los contratos de obra, consultoría, concesión, encargos fiduciarios y fiducia pública</w:t>
      </w:r>
      <w:r w:rsidRPr="009B6C67">
        <w:rPr>
          <w:rStyle w:val="Refdenotaalpie"/>
          <w:rFonts w:ascii="Verdana" w:eastAsia="Calibri" w:hAnsi="Verdana" w:cs="Arial"/>
          <w:color w:val="000000" w:themeColor="text1"/>
        </w:rPr>
        <w:footnoteReference w:id="8"/>
      </w:r>
      <w:r w:rsidRPr="009B6C67">
        <w:rPr>
          <w:rFonts w:ascii="Verdana" w:eastAsia="Calibri" w:hAnsi="Verdana" w:cs="Arial"/>
          <w:color w:val="000000" w:themeColor="text1"/>
        </w:rPr>
        <w:t xml:space="preserve">. </w:t>
      </w:r>
      <w:r>
        <w:rPr>
          <w:rFonts w:ascii="Verdana" w:eastAsia="Calibri" w:hAnsi="Verdana" w:cs="Arial"/>
          <w:color w:val="000000" w:themeColor="text1"/>
        </w:rPr>
        <w:t xml:space="preserve">Con el literal g) del artículo 2.2 de la Ley 1150 de 2007, dicha circunstancia se convierte en una </w:t>
      </w:r>
      <w:r>
        <w:rPr>
          <w:rFonts w:ascii="Verdana" w:eastAsia="Calibri" w:hAnsi="Verdana" w:cs="Arial"/>
          <w:color w:val="000000" w:themeColor="text1"/>
        </w:rPr>
        <w:lastRenderedPageBreak/>
        <w:t xml:space="preserve">causal de selección abreviada, la cual se regirá por el procedimiento de menor cuantía conforme al artículo </w:t>
      </w:r>
      <w:r w:rsidRPr="00E47542">
        <w:rPr>
          <w:rFonts w:ascii="Verdana" w:eastAsia="Calibri" w:hAnsi="Verdana" w:cs="Arial"/>
          <w:color w:val="000000" w:themeColor="text1"/>
        </w:rPr>
        <w:t>2.2.1.2.1.2.24</w:t>
      </w:r>
      <w:r>
        <w:rPr>
          <w:rFonts w:ascii="Verdana" w:eastAsia="Calibri" w:hAnsi="Verdana" w:cs="Arial"/>
          <w:color w:val="000000" w:themeColor="text1"/>
        </w:rPr>
        <w:t xml:space="preserve"> del Decreto 1082 de 2015</w:t>
      </w:r>
      <w:r>
        <w:rPr>
          <w:rStyle w:val="Refdenotaalpie"/>
          <w:rFonts w:ascii="Verdana" w:eastAsia="Calibri" w:hAnsi="Verdana" w:cs="Arial"/>
          <w:color w:val="000000" w:themeColor="text1"/>
        </w:rPr>
        <w:footnoteReference w:id="9"/>
      </w:r>
      <w:r>
        <w:rPr>
          <w:rFonts w:ascii="Verdana" w:eastAsia="Calibri" w:hAnsi="Verdana" w:cs="Arial"/>
          <w:color w:val="000000" w:themeColor="text1"/>
        </w:rPr>
        <w:t xml:space="preserve">.  </w:t>
      </w:r>
    </w:p>
    <w:p w14:paraId="6EB1E8F8" w14:textId="77777777" w:rsidR="000E07C3" w:rsidRPr="009B6C67" w:rsidRDefault="000E07C3" w:rsidP="000E07C3">
      <w:pPr>
        <w:spacing w:after="0" w:line="276" w:lineRule="auto"/>
        <w:jc w:val="both"/>
        <w:rPr>
          <w:rFonts w:ascii="Verdana" w:eastAsia="Calibri" w:hAnsi="Verdana" w:cs="Arial"/>
          <w:color w:val="000000" w:themeColor="text1"/>
        </w:rPr>
      </w:pPr>
      <w:r w:rsidRPr="009B6C67">
        <w:rPr>
          <w:rFonts w:ascii="Verdana" w:eastAsia="Calibri" w:hAnsi="Verdana" w:cs="Arial"/>
          <w:color w:val="000000" w:themeColor="text1"/>
        </w:rPr>
        <w:tab/>
        <w:t xml:space="preserve">Actualmente, el artículo 14 de Ley 1150 de 2007 distingue entre </w:t>
      </w:r>
      <w:r w:rsidRPr="00A22A66">
        <w:rPr>
          <w:rFonts w:ascii="Verdana" w:eastAsia="Calibri" w:hAnsi="Verdana" w:cs="Arial"/>
          <w:color w:val="000000" w:themeColor="text1"/>
        </w:rPr>
        <w:t xml:space="preserve">las </w:t>
      </w:r>
      <w:r>
        <w:rPr>
          <w:rFonts w:ascii="Verdana" w:eastAsia="Calibri" w:hAnsi="Verdana" w:cs="Arial"/>
          <w:color w:val="000000" w:themeColor="text1"/>
        </w:rPr>
        <w:t>empresas industriales y comerciales del Estado</w:t>
      </w:r>
      <w:r w:rsidRPr="009B6C67">
        <w:rPr>
          <w:rFonts w:ascii="Verdana" w:eastAsia="Calibri" w:hAnsi="Verdana" w:cs="Arial"/>
          <w:color w:val="000000" w:themeColor="text1"/>
        </w:rPr>
        <w:t xml:space="preserve"> que desarrollan sus actividades en competencia con los particulares y las que no: mientras los contratos de estas últimas regresan a las normas de la Ley 80 de 1993, los de aquellas permanecen dentro del Código Civil y de Comercio, lo que –respecto al contenido del artículo </w:t>
      </w:r>
      <w:r>
        <w:rPr>
          <w:rFonts w:ascii="Verdana" w:eastAsia="Calibri" w:hAnsi="Verdana" w:cs="Arial"/>
          <w:color w:val="000000" w:themeColor="text1"/>
        </w:rPr>
        <w:t>85</w:t>
      </w:r>
      <w:r w:rsidRPr="009B6C67">
        <w:rPr>
          <w:rFonts w:ascii="Verdana" w:eastAsia="Calibri" w:hAnsi="Verdana" w:cs="Arial"/>
          <w:color w:val="000000" w:themeColor="text1"/>
        </w:rPr>
        <w:t xml:space="preserve"> de la Ley 489 de 1998– implica un retorno parcial del derecho administrativo. La norma anteriormente citada dispone lo siguiente:</w:t>
      </w:r>
    </w:p>
    <w:p w14:paraId="3A436EB3" w14:textId="77777777" w:rsidR="000E07C3" w:rsidRPr="009B6C67" w:rsidRDefault="000E07C3" w:rsidP="000E07C3">
      <w:pPr>
        <w:spacing w:after="0" w:line="276" w:lineRule="auto"/>
        <w:jc w:val="both"/>
        <w:rPr>
          <w:rFonts w:ascii="Verdana" w:eastAsia="Calibri" w:hAnsi="Verdana" w:cs="Arial"/>
          <w:color w:val="000000" w:themeColor="text1"/>
        </w:rPr>
      </w:pPr>
    </w:p>
    <w:p w14:paraId="47FAA590" w14:textId="77777777" w:rsidR="000E07C3" w:rsidRPr="008606D3" w:rsidRDefault="000E07C3" w:rsidP="000E07C3">
      <w:pPr>
        <w:spacing w:after="0" w:line="240" w:lineRule="auto"/>
        <w:ind w:left="709" w:right="709"/>
        <w:jc w:val="both"/>
        <w:rPr>
          <w:rFonts w:ascii="Verdana" w:eastAsia="Calibri" w:hAnsi="Verdana" w:cs="Arial"/>
          <w:color w:val="000000" w:themeColor="text1"/>
          <w:sz w:val="20"/>
          <w:szCs w:val="20"/>
        </w:rPr>
      </w:pPr>
      <w:r w:rsidRPr="008606D3">
        <w:rPr>
          <w:rFonts w:ascii="Verdana" w:eastAsia="Calibri" w:hAnsi="Verdana" w:cs="Arial"/>
          <w:color w:val="000000" w:themeColor="text1"/>
          <w:sz w:val="20"/>
          <w:szCs w:val="20"/>
        </w:rPr>
        <w:t>“Artículo 14. Modificado por la Ley 1474 de 2011, artículo 93.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p w14:paraId="75AE6BA9" w14:textId="77777777" w:rsidR="000E07C3" w:rsidRPr="009B6C67" w:rsidRDefault="000E07C3" w:rsidP="000E07C3">
      <w:pPr>
        <w:spacing w:after="0" w:line="276" w:lineRule="auto"/>
        <w:ind w:left="709" w:right="709"/>
        <w:jc w:val="both"/>
        <w:rPr>
          <w:rFonts w:ascii="Verdana" w:eastAsia="Calibri" w:hAnsi="Verdana" w:cs="Arial"/>
          <w:color w:val="000000" w:themeColor="text1"/>
        </w:rPr>
      </w:pPr>
    </w:p>
    <w:p w14:paraId="3F65373E" w14:textId="77777777" w:rsidR="000E07C3" w:rsidRDefault="000E07C3" w:rsidP="000E07C3">
      <w:pPr>
        <w:spacing w:after="120" w:line="276" w:lineRule="auto"/>
        <w:jc w:val="both"/>
        <w:rPr>
          <w:rFonts w:ascii="Verdana" w:eastAsia="Calibri" w:hAnsi="Verdana" w:cs="Arial"/>
          <w:color w:val="000000" w:themeColor="text1"/>
        </w:rPr>
      </w:pPr>
      <w:r w:rsidRPr="009B6C67">
        <w:rPr>
          <w:rFonts w:ascii="Verdana" w:eastAsia="Calibri" w:hAnsi="Verdana" w:cs="Arial"/>
          <w:color w:val="000000" w:themeColor="text1"/>
        </w:rPr>
        <w:tab/>
        <w:t xml:space="preserve">En esta medida, las </w:t>
      </w:r>
      <w:r>
        <w:rPr>
          <w:rFonts w:ascii="Verdana" w:eastAsia="Calibri" w:hAnsi="Verdana" w:cs="Arial"/>
          <w:color w:val="000000" w:themeColor="text1"/>
        </w:rPr>
        <w:t>empresas industriales y comerciales del Estado</w:t>
      </w:r>
      <w:r w:rsidRPr="009B6C67">
        <w:rPr>
          <w:rFonts w:ascii="Verdana" w:eastAsia="Calibri" w:hAnsi="Verdana" w:cs="Arial"/>
          <w:color w:val="000000" w:themeColor="text1"/>
        </w:rPr>
        <w:t xml:space="preserve"> que no estén en competencia ni desarrollen su actividad en mercados regulados están sometidas al Estatuto General de Contratación de la Administración Pública y las normas que lo complementan. Conforme al literal g) del artículo 2.2 de la Ley 1150 de 2007, estos contratos siguen las reglas del procedimiento de selección abreviada, exceptuados los del artículo 32 de la Ley 80 de 1993. En contraste, el régimen contractual de </w:t>
      </w:r>
      <w:r w:rsidRPr="00A22A66">
        <w:rPr>
          <w:rFonts w:ascii="Verdana" w:eastAsia="Calibri" w:hAnsi="Verdana" w:cs="Arial"/>
          <w:color w:val="000000" w:themeColor="text1"/>
        </w:rPr>
        <w:t xml:space="preserve">las </w:t>
      </w:r>
      <w:r>
        <w:rPr>
          <w:rFonts w:ascii="Verdana" w:eastAsia="Calibri" w:hAnsi="Verdana" w:cs="Arial"/>
          <w:color w:val="000000" w:themeColor="text1"/>
        </w:rPr>
        <w:t>empresas industriales y comerciales del Estado</w:t>
      </w:r>
      <w:r w:rsidRPr="009B6C67">
        <w:rPr>
          <w:rFonts w:ascii="Verdana" w:eastAsia="Calibri" w:hAnsi="Verdana" w:cs="Arial"/>
          <w:color w:val="000000" w:themeColor="text1"/>
        </w:rPr>
        <w:t xml:space="preserve"> que se encuentren en competencia o en mercados regulados es el propio de tales actividades, esto es, por regla general, el derecho privado. </w:t>
      </w:r>
    </w:p>
    <w:p w14:paraId="29052150" w14:textId="77777777" w:rsidR="000E07C3" w:rsidRPr="009B6C67" w:rsidRDefault="000E07C3" w:rsidP="000E07C3">
      <w:pPr>
        <w:spacing w:after="0" w:line="276" w:lineRule="auto"/>
        <w:ind w:firstLine="708"/>
        <w:jc w:val="both"/>
        <w:rPr>
          <w:rFonts w:ascii="Verdana" w:eastAsia="Calibri" w:hAnsi="Verdana" w:cs="Arial"/>
          <w:color w:val="000000" w:themeColor="text1"/>
        </w:rPr>
      </w:pPr>
      <w:r w:rsidRPr="009B6C67">
        <w:rPr>
          <w:rFonts w:ascii="Verdana" w:eastAsia="Calibri" w:hAnsi="Verdana" w:cs="Arial"/>
          <w:color w:val="000000" w:themeColor="text1"/>
        </w:rPr>
        <w:lastRenderedPageBreak/>
        <w:t>De acuerdo con la jurisprudencia, la exclusión de estas últimas se justifica en el principio de igualdad, ya que, si Estado desarrolla actividades de los particulares, debe actuar no solo desprovisto de poderes exorbitantes sino también con la misma eficacia y eficiencia que los sujetos de derecho privado. No en vano:</w:t>
      </w:r>
    </w:p>
    <w:p w14:paraId="44DBC118" w14:textId="77777777" w:rsidR="000E07C3" w:rsidRPr="009B6C67" w:rsidRDefault="000E07C3" w:rsidP="000E07C3">
      <w:pPr>
        <w:spacing w:after="0" w:line="276" w:lineRule="auto"/>
        <w:jc w:val="both"/>
        <w:rPr>
          <w:rFonts w:ascii="Verdana" w:eastAsia="Calibri" w:hAnsi="Verdana" w:cs="Arial"/>
          <w:color w:val="000000" w:themeColor="text1"/>
        </w:rPr>
      </w:pPr>
    </w:p>
    <w:p w14:paraId="3D8B970D" w14:textId="77777777" w:rsidR="000E07C3" w:rsidRPr="008606D3" w:rsidRDefault="000E07C3" w:rsidP="000E07C3">
      <w:pPr>
        <w:spacing w:after="0" w:line="240" w:lineRule="auto"/>
        <w:ind w:left="709" w:right="709"/>
        <w:jc w:val="both"/>
        <w:rPr>
          <w:rFonts w:ascii="Verdana" w:eastAsia="Calibri" w:hAnsi="Verdana" w:cs="Arial"/>
          <w:color w:val="000000" w:themeColor="text1"/>
          <w:sz w:val="20"/>
          <w:szCs w:val="20"/>
        </w:rPr>
      </w:pPr>
      <w:r w:rsidRPr="008606D3">
        <w:rPr>
          <w:rFonts w:ascii="Verdana" w:eastAsia="Calibri" w:hAnsi="Verdana" w:cs="Arial"/>
          <w:color w:val="000000" w:themeColor="text1"/>
          <w:sz w:val="20"/>
          <w:szCs w:val="20"/>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2F2EA5B1" w14:textId="77777777" w:rsidR="000E07C3" w:rsidRPr="008606D3" w:rsidRDefault="000E07C3" w:rsidP="000E07C3">
      <w:pPr>
        <w:spacing w:after="0" w:line="240" w:lineRule="auto"/>
        <w:ind w:left="709" w:right="709"/>
        <w:jc w:val="both"/>
        <w:rPr>
          <w:rFonts w:ascii="Verdana" w:eastAsia="Calibri" w:hAnsi="Verdana" w:cs="Arial"/>
          <w:color w:val="000000" w:themeColor="text1"/>
          <w:sz w:val="20"/>
          <w:szCs w:val="20"/>
        </w:rPr>
      </w:pPr>
    </w:p>
    <w:p w14:paraId="2B973438" w14:textId="77777777" w:rsidR="000E07C3" w:rsidRPr="008606D3" w:rsidRDefault="000E07C3" w:rsidP="000E07C3">
      <w:pPr>
        <w:spacing w:after="0" w:line="240" w:lineRule="auto"/>
        <w:ind w:left="709" w:right="709"/>
        <w:jc w:val="both"/>
        <w:rPr>
          <w:rFonts w:ascii="Verdana" w:eastAsia="Calibri" w:hAnsi="Verdana" w:cs="Arial"/>
          <w:color w:val="000000" w:themeColor="text1"/>
          <w:sz w:val="20"/>
          <w:szCs w:val="20"/>
        </w:rPr>
      </w:pPr>
      <w:r w:rsidRPr="008606D3">
        <w:rPr>
          <w:rFonts w:ascii="Verdana" w:eastAsia="Calibri" w:hAnsi="Verdana" w:cs="Arial"/>
          <w:color w:val="000000" w:themeColor="text1"/>
          <w:sz w:val="20"/>
          <w:szCs w:val="20"/>
        </w:rPr>
        <w:t xml:space="preserve">Se trata pues, de que sus actividades de explotación industrial o comercial se desarrollen con las </w:t>
      </w:r>
      <w:proofErr w:type="gramStart"/>
      <w:r w:rsidRPr="008606D3">
        <w:rPr>
          <w:rFonts w:ascii="Verdana" w:eastAsia="Calibri" w:hAnsi="Verdana" w:cs="Arial"/>
          <w:color w:val="000000" w:themeColor="text1"/>
          <w:sz w:val="20"/>
          <w:szCs w:val="20"/>
        </w:rPr>
        <w:t>mismas oportunidades y las mismas ventajas</w:t>
      </w:r>
      <w:proofErr w:type="gramEnd"/>
      <w:r w:rsidRPr="008606D3">
        <w:rPr>
          <w:rFonts w:ascii="Verdana" w:eastAsia="Calibri" w:hAnsi="Verdana" w:cs="Arial"/>
          <w:color w:val="000000" w:themeColor="text1"/>
          <w:sz w:val="20"/>
          <w:szCs w:val="20"/>
        </w:rPr>
        <w:t xml:space="preserve"> o desventajas que las adelantadas por aquellos, sin que influya para nada su investidura de entidad estatal; que puedan actuar como particulares, frente a las exigencias de la economía y del mercado.</w:t>
      </w:r>
    </w:p>
    <w:p w14:paraId="62BB15AB" w14:textId="77777777" w:rsidR="000E07C3" w:rsidRPr="008606D3" w:rsidRDefault="000E07C3" w:rsidP="000E07C3">
      <w:pPr>
        <w:spacing w:after="0" w:line="240" w:lineRule="auto"/>
        <w:ind w:left="709" w:right="709"/>
        <w:jc w:val="both"/>
        <w:rPr>
          <w:rFonts w:ascii="Verdana" w:eastAsia="Calibri" w:hAnsi="Verdana" w:cs="Arial"/>
          <w:color w:val="000000" w:themeColor="text1"/>
          <w:sz w:val="20"/>
          <w:szCs w:val="20"/>
        </w:rPr>
      </w:pPr>
    </w:p>
    <w:p w14:paraId="3E3B2C58" w14:textId="77777777" w:rsidR="000E07C3" w:rsidRPr="008606D3" w:rsidRDefault="000E07C3" w:rsidP="000E07C3">
      <w:pPr>
        <w:spacing w:after="0" w:line="240" w:lineRule="auto"/>
        <w:ind w:left="709" w:right="709"/>
        <w:jc w:val="both"/>
        <w:rPr>
          <w:rFonts w:ascii="Verdana" w:eastAsia="Calibri" w:hAnsi="Verdana" w:cs="Arial"/>
          <w:color w:val="000000" w:themeColor="text1"/>
          <w:sz w:val="20"/>
          <w:szCs w:val="20"/>
        </w:rPr>
      </w:pPr>
      <w:r w:rsidRPr="008606D3">
        <w:rPr>
          <w:rFonts w:ascii="Verdana" w:eastAsia="Calibri" w:hAnsi="Verdana" w:cs="Arial"/>
          <w:color w:val="000000" w:themeColor="text1"/>
          <w:sz w:val="20"/>
          <w:szCs w:val="20"/>
        </w:rPr>
        <w:t>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sidRPr="008606D3">
        <w:rPr>
          <w:rStyle w:val="Refdenotaalpie"/>
          <w:rFonts w:ascii="Verdana" w:eastAsia="Calibri" w:hAnsi="Verdana" w:cs="Arial"/>
          <w:color w:val="000000" w:themeColor="text1"/>
          <w:sz w:val="20"/>
          <w:szCs w:val="20"/>
        </w:rPr>
        <w:footnoteReference w:id="10"/>
      </w:r>
      <w:r w:rsidRPr="008606D3">
        <w:rPr>
          <w:rFonts w:ascii="Verdana" w:eastAsia="Calibri" w:hAnsi="Verdana" w:cs="Arial"/>
          <w:color w:val="000000" w:themeColor="text1"/>
          <w:sz w:val="20"/>
          <w:szCs w:val="20"/>
        </w:rPr>
        <w:t>.</w:t>
      </w:r>
    </w:p>
    <w:p w14:paraId="7F210308" w14:textId="77777777" w:rsidR="000E07C3" w:rsidRPr="009B6C67" w:rsidRDefault="000E07C3" w:rsidP="000E07C3">
      <w:pPr>
        <w:spacing w:after="0" w:line="276" w:lineRule="auto"/>
        <w:jc w:val="both"/>
        <w:rPr>
          <w:rFonts w:ascii="Verdana" w:eastAsia="Calibri" w:hAnsi="Verdana" w:cs="Arial"/>
          <w:color w:val="000000" w:themeColor="text1"/>
        </w:rPr>
      </w:pPr>
    </w:p>
    <w:p w14:paraId="307E4CA8" w14:textId="77777777" w:rsidR="000E07C3" w:rsidRDefault="000E07C3" w:rsidP="000E07C3">
      <w:pPr>
        <w:tabs>
          <w:tab w:val="left" w:pos="709"/>
        </w:tabs>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9B6C67">
        <w:rPr>
          <w:rFonts w:ascii="Verdana" w:eastAsia="Calibri" w:hAnsi="Verdana" w:cs="Arial"/>
          <w:color w:val="000000" w:themeColor="text1"/>
        </w:rPr>
        <w:t xml:space="preserve">Por lo tanto, el régimen contractual de </w:t>
      </w:r>
      <w:r w:rsidRPr="00A22A66">
        <w:rPr>
          <w:rFonts w:ascii="Verdana" w:eastAsia="Calibri" w:hAnsi="Verdana" w:cs="Arial"/>
          <w:color w:val="000000" w:themeColor="text1"/>
        </w:rPr>
        <w:t xml:space="preserve">las </w:t>
      </w:r>
      <w:r>
        <w:rPr>
          <w:rFonts w:ascii="Verdana" w:eastAsia="Calibri" w:hAnsi="Verdana" w:cs="Arial"/>
          <w:color w:val="000000" w:themeColor="text1"/>
        </w:rPr>
        <w:t>empresas industriales y comerciales del Estado</w:t>
      </w:r>
      <w:r w:rsidRPr="009B6C67">
        <w:rPr>
          <w:rFonts w:ascii="Verdana" w:eastAsia="Calibri" w:hAnsi="Verdana" w:cs="Arial"/>
          <w:color w:val="000000" w:themeColor="text1"/>
        </w:rPr>
        <w:t xml:space="preserve"> que estén en competencia o desarrollen su actividad en mercados regulados es el propio de tal actividad, esto es, por regla general, el derecho privado, salvo las excepciones legales. Aunque estos contratos están excluidos de la Ley 80 de 1993, no se rigen exclusivamente por el derecho civil y comercial, pues –conforme al artículo 13 de la Ley 1150 de 2007– aplican tanto los principios de la función administrativa y de la gestión fiscal como el régimen de inhabilidades e incompatibilidades. Por el contrario, aquellas </w:t>
      </w:r>
      <w:r>
        <w:rPr>
          <w:rFonts w:ascii="Verdana" w:eastAsia="Calibri" w:hAnsi="Verdana" w:cs="Arial"/>
          <w:color w:val="000000" w:themeColor="text1"/>
        </w:rPr>
        <w:t>empresas industriales y comerciales del Estado</w:t>
      </w:r>
      <w:r w:rsidRPr="009B6C67">
        <w:rPr>
          <w:rFonts w:ascii="Verdana" w:eastAsia="Calibri" w:hAnsi="Verdana" w:cs="Arial"/>
          <w:color w:val="000000" w:themeColor="text1"/>
        </w:rPr>
        <w:t xml:space="preserve"> que no estén en competencia ni desarrollen su actividad en mercados regulados están sometidas al Estatuto General de </w:t>
      </w:r>
      <w:r w:rsidRPr="009B6C67">
        <w:rPr>
          <w:rFonts w:ascii="Verdana" w:eastAsia="Calibri" w:hAnsi="Verdana" w:cs="Arial"/>
          <w:color w:val="000000" w:themeColor="text1"/>
        </w:rPr>
        <w:lastRenderedPageBreak/>
        <w:t>Contratación de la Administración Pública y las normas que lo complementan, como lo dispone el artículo 14 de la Ley 1150 de 2007.</w:t>
      </w:r>
    </w:p>
    <w:p w14:paraId="784FA185" w14:textId="77777777" w:rsidR="000E07C3" w:rsidRPr="006D2D32" w:rsidRDefault="000E07C3" w:rsidP="000E07C3">
      <w:pPr>
        <w:tabs>
          <w:tab w:val="left" w:pos="709"/>
        </w:tabs>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Ahora bien, u</w:t>
      </w:r>
      <w:r>
        <w:rPr>
          <w:rFonts w:ascii="Verdana" w:eastAsia="Verdana" w:hAnsi="Verdana" w:cs="Verdana"/>
          <w:lang w:val="es-MX"/>
        </w:rPr>
        <w:t xml:space="preserve">no de los postulados más importantes de un Estado Social Democrático de Derecho es el principio de publicidad, pues este permite que las actuaciones de las autoridades gocen de visibilidad.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artículo 74, que consagra la garantía de acceso a los documentos públicos que no gocen de reserva -y esta, además, es excepcional pues solo procede si existe causal constitucional o legal expresa-. </w:t>
      </w:r>
    </w:p>
    <w:p w14:paraId="21F45903" w14:textId="77777777" w:rsidR="000E07C3" w:rsidRPr="00813F18" w:rsidRDefault="000E07C3" w:rsidP="000E07C3">
      <w:pPr>
        <w:tabs>
          <w:tab w:val="left" w:pos="709"/>
        </w:tabs>
        <w:spacing w:after="120" w:line="276" w:lineRule="auto"/>
        <w:ind w:firstLine="709"/>
        <w:jc w:val="both"/>
        <w:rPr>
          <w:rFonts w:ascii="Verdana" w:eastAsia="Calibri" w:hAnsi="Verdana" w:cs="Arial"/>
          <w:color w:val="000000" w:themeColor="text1"/>
        </w:rPr>
      </w:pPr>
      <w:r>
        <w:rPr>
          <w:rFonts w:ascii="Verdana" w:eastAsia="Verdana" w:hAnsi="Verdana" w:cs="Verdana"/>
          <w:lang w:val="es-MX"/>
        </w:rPr>
        <w:t>El principio de publicidad impone a las autoridades administrativas el deber de dar a conocer sus actos, contratos y precisiones para que se divulguen y eventualmente se controlen. Por ello, en la contratación estatal, el literal c) del artículo 3 de la Ley 1150 de 2007 establece el Sistema Electrónico para la Contratación Pública, en adelante SECOP, como un mecanismo que “contara con información oficial de la contratación realizada con dineros públicos, para lo cual establecerá los patrones a que haya lugar y se encargará de su difusión a través de canales electrónicos</w:t>
      </w:r>
      <w:r>
        <w:rPr>
          <w:rStyle w:val="Refdenotaalpie"/>
          <w:rFonts w:ascii="Verdana" w:eastAsia="Verdana" w:hAnsi="Verdana" w:cs="Verdana"/>
          <w:lang w:val="es-MX"/>
        </w:rPr>
        <w:footnoteReference w:id="11"/>
      </w:r>
      <w:r>
        <w:rPr>
          <w:rFonts w:ascii="Verdana" w:eastAsia="Verdana" w:hAnsi="Verdana" w:cs="Verdana"/>
          <w:lang w:val="es-MX"/>
        </w:rPr>
        <w:t xml:space="preserve">. </w:t>
      </w:r>
    </w:p>
    <w:p w14:paraId="36079EEF" w14:textId="77777777" w:rsidR="000E07C3" w:rsidRDefault="000E07C3" w:rsidP="000E07C3">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De otra parte, la Ley 1712 de 2014 – ley estatutaria que regula la transparencia y el derecho de acceso a la información y a los documentos púbicos-; identifica como principios que orientan el derecho de acceso a la información pública, el de máxima publicidad, transparencia en la información y buena fe. El principio de máxima publicidad establece que “toda información en posesión, bajo el control o custodia de un sujeto obligado es </w:t>
      </w:r>
      <w:proofErr w:type="spellStart"/>
      <w:r>
        <w:rPr>
          <w:rFonts w:ascii="Verdana" w:eastAsia="Verdana" w:hAnsi="Verdana" w:cs="Verdana"/>
          <w:lang w:val="es-MX"/>
        </w:rPr>
        <w:t>publica</w:t>
      </w:r>
      <w:proofErr w:type="spellEnd"/>
      <w:r>
        <w:rPr>
          <w:rFonts w:ascii="Verdana" w:eastAsia="Verdana" w:hAnsi="Verdana" w:cs="Verdana"/>
          <w:lang w:val="es-MX"/>
        </w:rPr>
        <w:t xml:space="preserve"> y no podrá ser reservada o limitada sino por disposición constitucional o legal”</w:t>
      </w:r>
      <w:r>
        <w:rPr>
          <w:rStyle w:val="Refdenotaalpie"/>
          <w:rFonts w:ascii="Verdana" w:eastAsia="Verdana" w:hAnsi="Verdana" w:cs="Verdana"/>
          <w:lang w:val="es-MX"/>
        </w:rPr>
        <w:footnoteReference w:id="12"/>
      </w:r>
      <w:r>
        <w:rPr>
          <w:rFonts w:ascii="Verdana" w:eastAsia="Verdana" w:hAnsi="Verdana" w:cs="Verdana"/>
          <w:lang w:val="es-MX"/>
        </w:rPr>
        <w:t>.</w:t>
      </w:r>
    </w:p>
    <w:p w14:paraId="5D68FE4E" w14:textId="77777777" w:rsidR="000E07C3" w:rsidRDefault="000E07C3" w:rsidP="000E07C3">
      <w:pPr>
        <w:tabs>
          <w:tab w:val="left" w:pos="709"/>
        </w:tabs>
        <w:spacing w:after="120" w:line="276" w:lineRule="auto"/>
        <w:ind w:firstLine="709"/>
        <w:jc w:val="both"/>
        <w:rPr>
          <w:rFonts w:ascii="Verdana" w:eastAsia="Times New Roman" w:hAnsi="Verdana" w:cs="Arial"/>
          <w:lang w:val="es-ES_tradnl" w:eastAsia="es-ES_tradnl"/>
          <w14:ligatures w14:val="standardContextual"/>
        </w:rPr>
      </w:pPr>
      <w:r>
        <w:rPr>
          <w:rFonts w:ascii="Verdana" w:eastAsia="Verdana" w:hAnsi="Verdana" w:cs="Verdana"/>
          <w:lang w:val="es-MX"/>
        </w:rPr>
        <w:lastRenderedPageBreak/>
        <w:t xml:space="preserve">El principio de transparencia en la información alude al deber de los sujetos de proporcionar y facilitar el acceso a la misma en los términos más amplios posibles, y a través de los medios y procedimientos legales. </w:t>
      </w:r>
      <w:r>
        <w:rPr>
          <w:rFonts w:ascii="Verdana" w:eastAsia="Times New Roman" w:hAnsi="Verdana" w:cs="Arial"/>
          <w:lang w:val="es-ES_tradnl" w:eastAsia="es-ES_tradnl"/>
          <w14:ligatures w14:val="standardContextual"/>
        </w:rPr>
        <w:t>En este sentido, el artículo 5</w:t>
      </w:r>
      <w:r>
        <w:rPr>
          <w:rStyle w:val="Refdenotaalpie"/>
          <w:rFonts w:ascii="Verdana" w:eastAsia="Times New Roman" w:hAnsi="Verdana" w:cs="Arial"/>
          <w:lang w:val="es-ES_tradnl" w:eastAsia="es-ES_tradnl"/>
          <w14:ligatures w14:val="standardContextual"/>
        </w:rPr>
        <w:footnoteReference w:id="13"/>
      </w:r>
      <w:r>
        <w:rPr>
          <w:rFonts w:ascii="Verdana" w:eastAsia="Times New Roman" w:hAnsi="Verdana" w:cs="Arial"/>
          <w:lang w:val="es-ES_tradnl" w:eastAsia="es-ES_tradnl"/>
          <w14:ligatures w14:val="standardContextual"/>
        </w:rPr>
        <w:t xml:space="preserve"> de la Ley 1712 de 2014 establece el ámbito de ampliación, esto es, quienes son los sujetos obligados a publicar su información.</w:t>
      </w:r>
    </w:p>
    <w:p w14:paraId="1FF0DB1E" w14:textId="77777777" w:rsidR="000E07C3" w:rsidRDefault="000E07C3" w:rsidP="000E07C3">
      <w:pPr>
        <w:tabs>
          <w:tab w:val="left" w:pos="709"/>
        </w:tabs>
        <w:spacing w:after="120" w:line="276" w:lineRule="auto"/>
        <w:ind w:firstLine="709"/>
        <w:jc w:val="both"/>
        <w:rPr>
          <w:rFonts w:ascii="Verdana" w:eastAsia="Times New Roman" w:hAnsi="Verdana" w:cs="Arial"/>
          <w:lang w:val="es-ES_tradnl" w:eastAsia="es-ES_tradnl"/>
          <w14:ligatures w14:val="standardContextual"/>
        </w:rPr>
      </w:pPr>
      <w:r>
        <w:rPr>
          <w:rFonts w:ascii="Verdana" w:eastAsia="Times New Roman" w:hAnsi="Verdana" w:cs="Arial"/>
          <w:lang w:val="es-ES_tradnl" w:eastAsia="es-ES_tradnl"/>
          <w14:ligatures w14:val="standardContextual"/>
        </w:rPr>
        <w:t xml:space="preserve">Teniendo en cuenta quienes son los sujetos obligados a publicar la información, es pertinente señalar que el precitado artículo dispone que la Ley 1712 aplica </w:t>
      </w:r>
      <w:r w:rsidRPr="004878FE">
        <w:rPr>
          <w:rFonts w:ascii="Verdana" w:eastAsia="Times New Roman" w:hAnsi="Verdana" w:cs="Arial"/>
          <w:lang w:val="es-ES_tradnl" w:eastAsia="es-ES_tradnl"/>
          <w14:ligatures w14:val="standardContextual"/>
        </w:rPr>
        <w:t>a un amplio conjunto de sujetos obligados, incluyendo todas las entidades públicas de cualquier rama y nivel; órganos autónomos y de control; personas naturales o jurídicas, públicas o privadas, que ejerzan función pública o presten servicios públicos respecto de la información relacionada con dicha función; empresas estatales; partidos y movimientos políticos; y entidades que administren recursos públicos o parafiscales. Además, quienes reciban o intermedien fondos públicos, sin cumplir otros criterios, solo deben cumplir la ley respecto de la información vinculada a esos recursos. Finalmente, aclara que los usuarios privados de información pública no son sujetos obligados</w:t>
      </w:r>
      <w:r>
        <w:rPr>
          <w:rFonts w:ascii="Verdana" w:eastAsia="Times New Roman" w:hAnsi="Verdana" w:cs="Arial"/>
          <w:lang w:val="es-ES_tradnl" w:eastAsia="es-ES_tradnl"/>
          <w14:ligatures w14:val="standardContextual"/>
        </w:rPr>
        <w:t>.</w:t>
      </w:r>
    </w:p>
    <w:p w14:paraId="7612CD23" w14:textId="77777777" w:rsidR="000E07C3" w:rsidRDefault="000E07C3" w:rsidP="000E07C3">
      <w:pPr>
        <w:spacing w:after="120" w:line="276" w:lineRule="auto"/>
        <w:ind w:firstLine="709"/>
        <w:jc w:val="both"/>
        <w:rPr>
          <w:rFonts w:ascii="Verdana" w:eastAsia="Times New Roman" w:hAnsi="Verdana" w:cs="Arial"/>
          <w:lang w:eastAsia="es-ES_tradnl"/>
          <w14:ligatures w14:val="standardContextual"/>
        </w:rPr>
      </w:pPr>
      <w:r>
        <w:rPr>
          <w:rFonts w:ascii="Verdana" w:eastAsia="Times New Roman" w:hAnsi="Verdana" w:cs="Arial"/>
          <w:lang w:eastAsia="es-ES_tradnl"/>
          <w14:ligatures w14:val="standardContextual"/>
        </w:rPr>
        <w:t>Ahora bien, para revisar el alcance de l</w:t>
      </w:r>
      <w:r w:rsidRPr="00FE0D34">
        <w:rPr>
          <w:rFonts w:ascii="Verdana" w:eastAsia="Times New Roman" w:hAnsi="Verdana" w:cs="Arial"/>
          <w:lang w:eastAsia="es-ES_tradnl"/>
          <w14:ligatures w14:val="standardContextual"/>
        </w:rPr>
        <w:t xml:space="preserve">a obligación de publicar la información contractual </w:t>
      </w:r>
      <w:r>
        <w:rPr>
          <w:rFonts w:ascii="Verdana" w:eastAsia="Times New Roman" w:hAnsi="Verdana" w:cs="Arial"/>
          <w:lang w:eastAsia="es-ES_tradnl"/>
          <w14:ligatures w14:val="standardContextual"/>
        </w:rPr>
        <w:t xml:space="preserve">se acude al </w:t>
      </w:r>
      <w:r w:rsidRPr="00FE0D34">
        <w:rPr>
          <w:rFonts w:ascii="Verdana" w:eastAsia="Times New Roman" w:hAnsi="Verdana" w:cs="Arial"/>
          <w:lang w:eastAsia="es-ES_tradnl"/>
          <w14:ligatures w14:val="standardContextual"/>
        </w:rPr>
        <w:t>Decreto Único Reglamentario 1081 de 2015</w:t>
      </w:r>
      <w:r w:rsidRPr="00AD6B46">
        <w:rPr>
          <w:rFonts w:ascii="Verdana" w:eastAsia="Times New Roman" w:hAnsi="Verdana" w:cs="Arial"/>
          <w:vertAlign w:val="superscript"/>
          <w:lang w:val="es-ES_tradnl" w:eastAsia="es-ES_tradnl"/>
          <w14:ligatures w14:val="standardContextual"/>
        </w:rPr>
        <w:footnoteReference w:id="14"/>
      </w:r>
      <w:r w:rsidRPr="00FE0D34">
        <w:rPr>
          <w:rFonts w:ascii="Verdana" w:eastAsia="Times New Roman" w:hAnsi="Verdana" w:cs="Arial"/>
          <w:lang w:eastAsia="es-ES_tradnl"/>
          <w14:ligatures w14:val="standardContextual"/>
        </w:rPr>
        <w:t xml:space="preserve">, el cual precisó que los sujetos obligados que celebren contratos deben divulgar dicha información a través del Sistema Electrónico para la Contratación </w:t>
      </w:r>
      <w:r w:rsidRPr="00FE0D34">
        <w:rPr>
          <w:rFonts w:ascii="Verdana" w:eastAsia="Times New Roman" w:hAnsi="Verdana" w:cs="Arial"/>
          <w:lang w:eastAsia="es-ES_tradnl"/>
          <w14:ligatures w14:val="standardContextual"/>
        </w:rPr>
        <w:lastRenderedPageBreak/>
        <w:t>Pública – SECOP. Esta disposición reglamentaria consolidó el principio de transparencia en la gestión contractual estatal, al establecer un mecanismo uniforme y centralizado para la publicidad, garantizando así la trazabilidad, el control ciudadano y el acceso efectivo a la información pública contractual.</w:t>
      </w:r>
      <w:r>
        <w:rPr>
          <w:rFonts w:ascii="Verdana" w:eastAsia="Times New Roman" w:hAnsi="Verdana" w:cs="Arial"/>
          <w:lang w:eastAsia="es-ES_tradnl"/>
          <w14:ligatures w14:val="standardContextual"/>
        </w:rPr>
        <w:t xml:space="preserve"> </w:t>
      </w:r>
    </w:p>
    <w:p w14:paraId="4A549D3E" w14:textId="77777777" w:rsidR="000E07C3" w:rsidRDefault="000E07C3" w:rsidP="000E07C3">
      <w:pPr>
        <w:spacing w:after="120" w:line="276" w:lineRule="auto"/>
        <w:ind w:firstLine="709"/>
        <w:jc w:val="both"/>
        <w:rPr>
          <w:rFonts w:ascii="Verdana" w:eastAsia="Times New Roman" w:hAnsi="Verdana" w:cs="Arial"/>
          <w:lang w:val="es-ES_tradnl" w:eastAsia="es-ES_tradnl"/>
          <w14:ligatures w14:val="standardContextual"/>
        </w:rPr>
      </w:pPr>
      <w:r w:rsidRPr="00AD6B46">
        <w:rPr>
          <w:rFonts w:ascii="Verdana" w:eastAsia="Times New Roman" w:hAnsi="Verdana" w:cs="Arial"/>
          <w:lang w:val="es-ES_tradnl" w:eastAsia="es-ES_tradnl"/>
          <w14:ligatures w14:val="standardContextual"/>
        </w:rPr>
        <w:t xml:space="preserve">Asimismo, de acuerdo con el literal g) del artículo 11 de la Ley 1712 de 2014, todos los destinatarios de la Ley Estatutaria de Transparencia y Acceso a la Información Pública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2B213229" w14:textId="77777777" w:rsidR="000E07C3" w:rsidRPr="00CA5A8E" w:rsidRDefault="000E07C3" w:rsidP="000E07C3">
      <w:pPr>
        <w:spacing w:after="120" w:line="276" w:lineRule="auto"/>
        <w:ind w:firstLine="709"/>
        <w:jc w:val="both"/>
        <w:rPr>
          <w:rFonts w:ascii="Verdana" w:eastAsia="Times New Roman" w:hAnsi="Verdana" w:cs="Arial"/>
          <w:lang w:val="es-ES_tradnl" w:eastAsia="es-ES_tradnl"/>
          <w14:ligatures w14:val="standardContextual"/>
        </w:rPr>
      </w:pPr>
      <w:r w:rsidRPr="00AD6B46">
        <w:rPr>
          <w:rFonts w:ascii="Verdana" w:eastAsia="Times New Roman" w:hAnsi="Verdana" w:cs="Arial"/>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AD6B46">
        <w:rPr>
          <w:rFonts w:ascii="Verdana" w:eastAsia="Times New Roman" w:hAnsi="Verdana" w:cs="Arial"/>
          <w:vertAlign w:val="superscript"/>
          <w:lang w:val="es-ES_tradnl" w:eastAsia="es-ES_tradnl"/>
          <w14:ligatures w14:val="standardContextual"/>
        </w:rPr>
        <w:footnoteReference w:id="15"/>
      </w:r>
      <w:r w:rsidRPr="00AD6B46">
        <w:rPr>
          <w:rFonts w:ascii="Verdana" w:eastAsia="Times New Roman" w:hAnsi="Verdana" w:cs="Arial"/>
          <w:lang w:val="es-ES_tradnl" w:eastAsia="es-ES_tradnl"/>
          <w14:ligatures w14:val="standardContextual"/>
        </w:rPr>
        <w:t>. 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338E122E" w14:textId="77777777" w:rsidR="000E07C3" w:rsidRDefault="000E07C3" w:rsidP="000E07C3">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La expresión </w:t>
      </w:r>
      <w:r w:rsidRPr="00B069AA">
        <w:rPr>
          <w:rFonts w:ascii="Verdana" w:eastAsia="Verdana" w:hAnsi="Verdana" w:cs="Verdana"/>
          <w:i/>
          <w:iCs/>
          <w:lang w:val="es-MX"/>
        </w:rPr>
        <w:t>Documentos del Proceso</w:t>
      </w:r>
      <w:r>
        <w:rPr>
          <w:rFonts w:ascii="Verdana" w:eastAsia="Verdana" w:hAnsi="Verdana" w:cs="Verdana"/>
          <w:lang w:val="es-MX"/>
        </w:rPr>
        <w:t xml:space="preserve"> está definida en el artículo 2.2.1.1.3.1 del Decreto 1082 de 2015, donde se establece que: “son: (a) los estudios y documentos previos; (b) el aviso de convocatoria; (c) los pliegos de condiciones o la invitación; (d) las adendas; (e) la oferta; (f) el informe de evaluación; (g) el contrato; y </w:t>
      </w:r>
      <w:r w:rsidRPr="000A6CCE">
        <w:rPr>
          <w:rFonts w:ascii="Verdana" w:eastAsia="Verdana" w:hAnsi="Verdana" w:cs="Verdana"/>
          <w:i/>
          <w:iCs/>
          <w:lang w:val="es-MX"/>
        </w:rPr>
        <w:t>cualquier otro documento expedido por la Entidad Estatal durante el proceso de Contratación</w:t>
      </w:r>
      <w:r>
        <w:rPr>
          <w:rFonts w:ascii="Verdana" w:eastAsia="Verdana" w:hAnsi="Verdana" w:cs="Verdana"/>
          <w:lang w:val="es-MX"/>
        </w:rPr>
        <w:t xml:space="preserve">”. </w:t>
      </w:r>
    </w:p>
    <w:p w14:paraId="6C5C4CE5" w14:textId="77777777" w:rsidR="000E07C3" w:rsidRDefault="000E07C3" w:rsidP="000E07C3">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Sin embargo, para identificar los documentos que deben publicarse, es necesario realizar una interpretación sistemática de las disposiciones del Decreto 1082 de 2015, comoquiera que el anterior no es un listado taxativo, sino enunciativo, porque además de los documentos enlistados, el artículo 2.2.1.1.1.3.1 </w:t>
      </w:r>
      <w:r w:rsidRPr="00F111D4">
        <w:rPr>
          <w:rFonts w:ascii="Verdana" w:eastAsia="Verdana" w:hAnsi="Verdana" w:cs="Verdana"/>
          <w:i/>
          <w:iCs/>
          <w:lang w:val="es-MX"/>
        </w:rPr>
        <w:t>Ibidem</w:t>
      </w:r>
      <w:r>
        <w:rPr>
          <w:rFonts w:ascii="Verdana" w:eastAsia="Verdana" w:hAnsi="Verdana" w:cs="Verdana"/>
          <w:lang w:val="es-MX"/>
        </w:rPr>
        <w:t xml:space="preserve">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w:t>
      </w:r>
      <w:r>
        <w:rPr>
          <w:rFonts w:ascii="Verdana" w:eastAsia="Verdana" w:hAnsi="Verdana" w:cs="Verdana"/>
          <w:lang w:val="es-MX"/>
        </w:rPr>
        <w:lastRenderedPageBreak/>
        <w:t xml:space="preserve">recuperación ambiental de las obras o bienes o el vencimiento del plazo, lo que ocurra </w:t>
      </w:r>
      <w:proofErr w:type="spellStart"/>
      <w:r>
        <w:rPr>
          <w:rFonts w:ascii="Verdana" w:eastAsia="Verdana" w:hAnsi="Verdana" w:cs="Verdana"/>
          <w:lang w:val="es-MX"/>
        </w:rPr>
        <w:t>mas</w:t>
      </w:r>
      <w:proofErr w:type="spellEnd"/>
      <w:r>
        <w:rPr>
          <w:rFonts w:ascii="Verdana" w:eastAsia="Verdana" w:hAnsi="Verdana" w:cs="Verdana"/>
          <w:lang w:val="es-MX"/>
        </w:rPr>
        <w:t xml:space="preserve"> tarde”. Nótese que la norma hace referencia a los documentos “expedidos por la entidad estatal” durante el proceso de contratación, excluyendo de la noción de Documentos del Proceso los expedidos por un sujeto distinto a la entidad, salvo la oferta, la cual se incluye expresamente en el referido artículo 2.2.1.1.1.3.1. </w:t>
      </w:r>
    </w:p>
    <w:p w14:paraId="2BFED365" w14:textId="77777777" w:rsidR="000E07C3" w:rsidRDefault="000E07C3" w:rsidP="000E07C3">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w:t>
      </w:r>
      <w:proofErr w:type="spellStart"/>
      <w:r>
        <w:rPr>
          <w:rFonts w:ascii="Verdana" w:eastAsia="Verdana" w:hAnsi="Verdana" w:cs="Verdana"/>
          <w:lang w:val="es-MX"/>
        </w:rPr>
        <w:t>postcontractual</w:t>
      </w:r>
      <w:proofErr w:type="spellEnd"/>
      <w:r>
        <w:rPr>
          <w:rFonts w:ascii="Verdana" w:eastAsia="Verdana" w:hAnsi="Verdana" w:cs="Verdana"/>
          <w:lang w:val="es-MX"/>
        </w:rPr>
        <w:t xml:space="preserve"> deberán ser publicados en SECOP dentro de los tres (3) días siguientes a su expedición, para cumplir el deber de publicidad regulado por el artículo 2.2.1.1.1.7.1 del Decreto 1082 de 2015. </w:t>
      </w:r>
    </w:p>
    <w:p w14:paraId="6A009A3D" w14:textId="77777777" w:rsidR="000E07C3" w:rsidRDefault="000E07C3" w:rsidP="000E07C3">
      <w:pPr>
        <w:spacing w:after="120" w:line="276" w:lineRule="auto"/>
        <w:ind w:firstLine="709"/>
        <w:jc w:val="both"/>
        <w:rPr>
          <w:rFonts w:ascii="Verdana" w:eastAsia="Verdana" w:hAnsi="Verdana" w:cs="Verdana"/>
          <w:lang w:val="es-MX"/>
        </w:rPr>
      </w:pPr>
      <w:r>
        <w:rPr>
          <w:rFonts w:ascii="Verdana" w:eastAsia="Verdana" w:hAnsi="Verdana" w:cs="Verdana"/>
          <w:lang w:val="es-MX"/>
        </w:rPr>
        <w:t>Con el propósito de garantizar el cumplimiento del mencionado deber de publicidad, se le asignó a la Agencia Nacional de Contratación Pública – Colombia Compra Eficiente, la función de administrar el SECOP</w:t>
      </w:r>
      <w:r>
        <w:rPr>
          <w:rStyle w:val="Refdenotaalpie"/>
          <w:rFonts w:ascii="Verdana" w:eastAsia="Verdana" w:hAnsi="Verdana" w:cs="Verdana"/>
          <w:lang w:val="es-MX"/>
        </w:rPr>
        <w:footnoteReference w:id="16"/>
      </w:r>
      <w:r>
        <w:rPr>
          <w:rFonts w:ascii="Verdana" w:eastAsia="Verdana" w:hAnsi="Verdana" w:cs="Verdana"/>
          <w:lang w:val="es-MX"/>
        </w:rPr>
        <w:t xml:space="preserve">. Dicha plataforma ha tenido dos versiones, esto es, el SECOP I y SECOP II. La primera versión de la plataforma - SECOP I-,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 </w:t>
      </w:r>
    </w:p>
    <w:p w14:paraId="3429FA1E" w14:textId="77777777" w:rsidR="000E07C3" w:rsidRDefault="000E07C3" w:rsidP="000E07C3">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En cambio, el SECOP II, es una plataforma transaccional que permite gestionar la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 </w:t>
      </w:r>
    </w:p>
    <w:p w14:paraId="496D1036" w14:textId="77777777" w:rsidR="000E07C3" w:rsidRDefault="000E07C3" w:rsidP="000E07C3">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Sin embargo, pese a que los documentos que deben publicarse en el SECOP II, corresponden a los mismos que deben publicarse en el SECOP I, esto </w:t>
      </w:r>
      <w:r>
        <w:rPr>
          <w:rFonts w:ascii="Verdana" w:eastAsia="Verdana" w:hAnsi="Verdana" w:cs="Verdana"/>
          <w:lang w:val="es-MX"/>
        </w:rPr>
        <w:lastRenderedPageBreak/>
        <w:t xml:space="preserve">es, todos los expedidos con ocasión del Proceso de Contratación con excepción de los expresamente excluidos, la naturaleza transaccional del SECOP II implica que los procesos contractuales no solo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p>
    <w:p w14:paraId="7813D41C" w14:textId="77777777" w:rsidR="000E07C3" w:rsidRDefault="000E07C3" w:rsidP="000E07C3">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Lo anterior significa que, el término de tres (3) días para publicar, en la práctica, no opera en las actuaciones generadas de manera electrónica dentro de los procedimientos gestionados a través de SECOP II, comoquiera que tales documentos son creados o expedidos mediante la propia plataforma, razón por que una vez estos se aprueban quedan inmediatamente publicados, sin que transcurra el referido término. </w:t>
      </w:r>
    </w:p>
    <w:p w14:paraId="2BBD36FA" w14:textId="77777777" w:rsidR="000E07C3" w:rsidRDefault="000E07C3" w:rsidP="000E07C3">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De tal manera que, el carácter transaccional de SECOP II, como herramienta que permite no solo publicar sino también gestionar y crear Documentos del Proceso, de manera electrónica al interior de la plataforma, implica que el deber de publicidad respecto de estas actuaciones se cumpla de manera distinta a como sucede en el SECOP I, donde los documentos contractuales se expiden primero en un medio físico que posteriormente es cargado en la plataforma. </w:t>
      </w:r>
    </w:p>
    <w:p w14:paraId="14F2D197" w14:textId="77777777" w:rsidR="000E07C3" w:rsidRPr="00643E5C" w:rsidRDefault="000E07C3" w:rsidP="000E07C3">
      <w:pPr>
        <w:spacing w:after="120" w:line="276" w:lineRule="auto"/>
        <w:ind w:firstLine="709"/>
        <w:jc w:val="both"/>
        <w:rPr>
          <w:rFonts w:ascii="Verdana" w:eastAsia="Verdana" w:hAnsi="Verdana" w:cs="Verdana"/>
          <w:i/>
          <w:lang w:val="es-MX"/>
        </w:rPr>
      </w:pPr>
      <w:r>
        <w:rPr>
          <w:rFonts w:ascii="Verdana" w:eastAsia="Calibri" w:hAnsi="Verdana" w:cs="Arial"/>
          <w:color w:val="000000"/>
          <w:lang w:val="es-ES_tradnl"/>
        </w:rPr>
        <w:t xml:space="preserve">Ahora bien, como entidades de régimen especial </w:t>
      </w:r>
      <w:r w:rsidRPr="00AD6B46">
        <w:rPr>
          <w:rFonts w:ascii="Verdana" w:hAnsi="Verdana" w:cs="Arial"/>
          <w:shd w:val="clear" w:color="auto" w:fill="FFFFFF"/>
        </w:rPr>
        <w:t>es clara la obligatoriedad de publicar la información de la actividad contractual</w:t>
      </w:r>
      <w:r>
        <w:rPr>
          <w:rFonts w:ascii="Verdana" w:hAnsi="Verdana" w:cs="Arial"/>
          <w:shd w:val="clear" w:color="auto" w:fill="FFFFFF"/>
        </w:rPr>
        <w:t xml:space="preserve"> en el SECOP</w:t>
      </w:r>
      <w:r w:rsidRPr="00AD6B46">
        <w:rPr>
          <w:rFonts w:ascii="Verdana" w:hAnsi="Verdana" w:cs="Arial"/>
          <w:shd w:val="clear" w:color="auto" w:fill="FFFFFF"/>
        </w:rPr>
        <w:t xml:space="preserve">. En tal sentido, </w:t>
      </w:r>
      <w:r w:rsidRPr="00AD6B46">
        <w:rPr>
          <w:rFonts w:ascii="Verdana" w:eastAsia="Calibri" w:hAnsi="Verdana" w:cs="Arial"/>
          <w:color w:val="000000"/>
        </w:rPr>
        <w:t>debe destacarse el artículo 53 de la Ley 2195 de 2022 que modifica el artículo 13 de la Ley 1150 de 2007</w:t>
      </w:r>
      <w:r>
        <w:rPr>
          <w:rFonts w:ascii="Verdana" w:eastAsia="Calibri" w:hAnsi="Verdana" w:cs="Arial"/>
          <w:color w:val="000000"/>
        </w:rPr>
        <w:t>,</w:t>
      </w:r>
      <w:r w:rsidRPr="00AD6B46">
        <w:rPr>
          <w:rFonts w:ascii="Verdana" w:eastAsia="Calibri" w:hAnsi="Verdana" w:cs="Arial"/>
          <w:color w:val="000000"/>
        </w:rPr>
        <w:t xml:space="preserve"> estableció la obligación de las Entidades Estatales exceptuadas del Estatuto General de Contratación de la Administración Pública de publicar en el SECOP II –es decir en la plataforma transaccional vigente– su actividad contractual. Así pues, respecto de los documentos que deben publicarse en el SECOP II a efectos de cumplir el mandato consagrado en el artículo 53 de la Ley 2195 de 2022, es preciso advertir que la disposición hace referencia a los documentos relacionados con su actividad contractual, la cual define como </w:t>
      </w:r>
      <w:r w:rsidRPr="00643E5C">
        <w:rPr>
          <w:rFonts w:ascii="Verdana" w:eastAsia="Calibri" w:hAnsi="Verdana" w:cs="Arial"/>
          <w:i/>
          <w:color w:val="000000"/>
        </w:rPr>
        <w:t xml:space="preserve">“[…] los documentos, contratos, actos e información generada por </w:t>
      </w:r>
      <w:r w:rsidRPr="00643E5C">
        <w:rPr>
          <w:rFonts w:ascii="Verdana" w:eastAsia="Calibri" w:hAnsi="Verdana" w:cs="Arial"/>
          <w:i/>
          <w:color w:val="000000"/>
        </w:rPr>
        <w:lastRenderedPageBreak/>
        <w:t xml:space="preserve">oferentes, contratista, contratante, supervisor o interventor, tanto en la etapa precontractual, como en la contractual y la </w:t>
      </w:r>
      <w:proofErr w:type="spellStart"/>
      <w:r w:rsidRPr="00643E5C">
        <w:rPr>
          <w:rFonts w:ascii="Verdana" w:eastAsia="Calibri" w:hAnsi="Verdana" w:cs="Arial"/>
          <w:i/>
          <w:color w:val="000000"/>
        </w:rPr>
        <w:t>post-contractual</w:t>
      </w:r>
      <w:proofErr w:type="spellEnd"/>
      <w:r w:rsidRPr="00643E5C">
        <w:rPr>
          <w:rFonts w:ascii="Verdana" w:eastAsia="Calibri" w:hAnsi="Verdana" w:cs="Arial"/>
          <w:i/>
          <w:color w:val="000000"/>
        </w:rPr>
        <w:t>”.</w:t>
      </w:r>
    </w:p>
    <w:p w14:paraId="425F4D3F" w14:textId="77777777" w:rsidR="000E07C3" w:rsidRDefault="000E07C3" w:rsidP="000E07C3">
      <w:pPr>
        <w:spacing w:after="120" w:line="276" w:lineRule="auto"/>
        <w:ind w:firstLine="709"/>
        <w:jc w:val="both"/>
        <w:rPr>
          <w:rFonts w:ascii="Verdana" w:eastAsia="Calibri" w:hAnsi="Verdana" w:cs="Arial"/>
          <w:color w:val="000000"/>
        </w:rPr>
      </w:pPr>
      <w:r w:rsidRPr="00AD6B46">
        <w:rPr>
          <w:rFonts w:ascii="Verdana" w:eastAsia="Calibri" w:hAnsi="Verdana" w:cs="Arial"/>
          <w:color w:val="000000"/>
        </w:rPr>
        <w:t>En ese sentido, dicho precepto anteriormente referenciado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que modificó el artículo 13 de la Ley 1150 de 2007</w:t>
      </w:r>
      <w:r w:rsidRPr="00AD6B46">
        <w:rPr>
          <w:rFonts w:ascii="Verdana" w:eastAsia="Calibri" w:hAnsi="Verdana" w:cs="Arial"/>
          <w:color w:val="000000"/>
          <w:vertAlign w:val="superscript"/>
        </w:rPr>
        <w:footnoteReference w:id="17"/>
      </w:r>
      <w:r w:rsidRPr="00AD6B46">
        <w:rPr>
          <w:rFonts w:ascii="Verdana" w:eastAsia="Calibri" w:hAnsi="Verdana" w:cs="Arial"/>
          <w:color w:val="000000"/>
        </w:rPr>
        <w:t xml:space="preserve">,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que estas contienen, si procede restricción de esta por una reserva constitucional o legal. </w:t>
      </w:r>
    </w:p>
    <w:p w14:paraId="5D2336FD" w14:textId="77777777" w:rsidR="000E07C3" w:rsidRDefault="000E07C3" w:rsidP="000E07C3">
      <w:pPr>
        <w:spacing w:after="120" w:line="276" w:lineRule="auto"/>
        <w:ind w:firstLine="709"/>
        <w:jc w:val="both"/>
        <w:rPr>
          <w:rFonts w:ascii="Verdana" w:eastAsia="Calibri" w:hAnsi="Verdana" w:cs="Arial"/>
          <w:color w:val="000000"/>
        </w:rPr>
      </w:pPr>
      <w:r>
        <w:rPr>
          <w:rFonts w:ascii="Verdana" w:eastAsia="Calibri" w:hAnsi="Verdana" w:cs="Arial"/>
          <w:color w:val="000000"/>
        </w:rPr>
        <w:t xml:space="preserve">Por lo tanto, en relación con las actuaciones derivadas de la imposición de multas y sanciones o declaratoria de incumplimiento pactadas en el contrato celebrado, de conformidad con lo dispuesto en el </w:t>
      </w:r>
      <w:r w:rsidRPr="00AD6B46">
        <w:rPr>
          <w:rFonts w:ascii="Verdana" w:eastAsia="Calibri" w:hAnsi="Verdana" w:cs="Arial"/>
          <w:color w:val="000000"/>
        </w:rPr>
        <w:t>artículo 13 de la Ley 1150 de 2007</w:t>
      </w:r>
      <w:r>
        <w:rPr>
          <w:rFonts w:ascii="Verdana" w:eastAsia="Calibri" w:hAnsi="Verdana" w:cs="Arial"/>
          <w:color w:val="000000"/>
        </w:rPr>
        <w:t xml:space="preserve">, deberá registrarse en el SECOP II lo relativo al acto mediante el cual así se definió. </w:t>
      </w:r>
    </w:p>
    <w:p w14:paraId="2B015E3B" w14:textId="77777777" w:rsidR="000E07C3" w:rsidRPr="00375B47" w:rsidRDefault="000E07C3" w:rsidP="000E07C3">
      <w:pPr>
        <w:spacing w:after="120" w:line="276" w:lineRule="auto"/>
        <w:ind w:firstLine="709"/>
        <w:jc w:val="both"/>
        <w:rPr>
          <w:rFonts w:ascii="Verdana" w:eastAsia="Calibri" w:hAnsi="Verdana" w:cs="Arial"/>
          <w:color w:val="000000" w:themeColor="text1"/>
          <w:lang w:val="es-ES_tradnl"/>
        </w:rPr>
      </w:pPr>
      <w:r w:rsidRPr="00A47393">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A47393">
        <w:rPr>
          <w:rFonts w:ascii="Verdana" w:eastAsia="Calibri" w:hAnsi="Verdana" w:cs="Arial"/>
          <w:bCs/>
          <w:color w:val="000000" w:themeColor="text1"/>
        </w:rPr>
        <w:lastRenderedPageBreak/>
        <w:t>correspondiente y, en caso de conflicto, a las autoridades judiciales, fiscales y disciplinarias.</w:t>
      </w:r>
    </w:p>
    <w:p w14:paraId="6E88BA7F" w14:textId="77777777" w:rsidR="000E07C3" w:rsidRPr="00185EE9" w:rsidRDefault="000E07C3" w:rsidP="000E07C3">
      <w:pPr>
        <w:tabs>
          <w:tab w:val="left" w:pos="709"/>
        </w:tabs>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185EE9">
        <w:rPr>
          <w:rFonts w:ascii="Verdana" w:eastAsia="Calibri" w:hAnsi="Verdana" w:cs="Arial"/>
          <w:bCs/>
          <w:color w:val="000000" w:themeColor="text1"/>
        </w:rPr>
        <w:t xml:space="preserve"> </w:t>
      </w:r>
    </w:p>
    <w:p w14:paraId="0E679BC4" w14:textId="77777777" w:rsidR="000E07C3" w:rsidRPr="00EB086A" w:rsidRDefault="000E07C3" w:rsidP="000E07C3">
      <w:pPr>
        <w:spacing w:after="0" w:line="276" w:lineRule="auto"/>
        <w:jc w:val="both"/>
        <w:rPr>
          <w:rFonts w:ascii="Verdana" w:eastAsia="Calibri" w:hAnsi="Verdana" w:cs="Arial"/>
          <w:bCs/>
          <w:color w:val="000000"/>
          <w:kern w:val="2"/>
          <w14:ligatures w14:val="standardContextual"/>
        </w:rPr>
      </w:pPr>
    </w:p>
    <w:p w14:paraId="37CF6AF9" w14:textId="77777777" w:rsidR="000E07C3" w:rsidRPr="009E51D7" w:rsidRDefault="000E07C3" w:rsidP="000E07C3">
      <w:pPr>
        <w:tabs>
          <w:tab w:val="left" w:pos="142"/>
          <w:tab w:val="left" w:pos="284"/>
        </w:tabs>
        <w:spacing w:after="0" w:line="276" w:lineRule="auto"/>
        <w:jc w:val="both"/>
        <w:rPr>
          <w:rFonts w:ascii="Verdana" w:eastAsia="Century Gothic" w:hAnsi="Verdana" w:cs="Century Gothic"/>
          <w:b/>
          <w:bCs/>
        </w:rPr>
      </w:pPr>
      <w:r w:rsidRPr="009E51D7">
        <w:rPr>
          <w:rFonts w:ascii="Verdana" w:eastAsia="Calibri" w:hAnsi="Verdana" w:cs="Arial"/>
          <w:b/>
          <w:color w:val="000000" w:themeColor="text1"/>
        </w:rPr>
        <w:t xml:space="preserve">4. </w:t>
      </w:r>
      <w:r w:rsidRPr="009E51D7">
        <w:rPr>
          <w:rFonts w:ascii="Verdana" w:eastAsia="Century Gothic" w:hAnsi="Verdana" w:cs="Century Gothic"/>
          <w:b/>
          <w:bCs/>
        </w:rPr>
        <w:t>Referencias normativas, jurisprudenciales y otras fuentes:</w:t>
      </w:r>
    </w:p>
    <w:p w14:paraId="2B4791D9" w14:textId="77777777" w:rsidR="000E07C3" w:rsidRPr="00E5656D" w:rsidRDefault="000E07C3" w:rsidP="000E07C3">
      <w:pPr>
        <w:spacing w:after="0" w:line="276" w:lineRule="auto"/>
        <w:jc w:val="both"/>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E07C3" w:rsidRPr="002D2C18" w14:paraId="42040587" w14:textId="77777777" w:rsidTr="00507C8E">
        <w:trPr>
          <w:trHeight w:val="56"/>
          <w:jc w:val="center"/>
        </w:trPr>
        <w:tc>
          <w:tcPr>
            <w:tcW w:w="8647" w:type="dxa"/>
          </w:tcPr>
          <w:p w14:paraId="73B2FEEE" w14:textId="77777777" w:rsidR="000E07C3" w:rsidRDefault="000E07C3" w:rsidP="000E07C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25460E">
              <w:rPr>
                <w:rFonts w:ascii="Verdana" w:hAnsi="Verdana" w:cs="Arial"/>
              </w:rPr>
              <w:t xml:space="preserve">Constitución Política de 1991, artículos </w:t>
            </w:r>
            <w:r>
              <w:rPr>
                <w:rFonts w:ascii="Verdana" w:hAnsi="Verdana" w:cs="Arial"/>
              </w:rPr>
              <w:t>123, 150, 209, 267 y 352.</w:t>
            </w:r>
          </w:p>
          <w:p w14:paraId="34EAED25" w14:textId="77777777" w:rsidR="000E07C3" w:rsidRPr="009651A2" w:rsidRDefault="000E07C3" w:rsidP="000E07C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236164">
              <w:rPr>
                <w:rFonts w:ascii="Verdana" w:hAnsi="Verdana" w:cs="Arial"/>
              </w:rPr>
              <w:t>Decreto 111 de 1996, artículo 110.</w:t>
            </w:r>
          </w:p>
          <w:p w14:paraId="33986182" w14:textId="77777777" w:rsidR="000E07C3" w:rsidRDefault="000E07C3" w:rsidP="000E07C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236164">
              <w:rPr>
                <w:rFonts w:ascii="Verdana" w:hAnsi="Verdana" w:cs="Arial"/>
              </w:rPr>
              <w:t>Ley 80 de 1993</w:t>
            </w:r>
            <w:r>
              <w:rPr>
                <w:rFonts w:ascii="Verdana" w:hAnsi="Verdana" w:cs="Arial"/>
              </w:rPr>
              <w:t>, artículos 2, 23, 24, 13, 32, 31 y 40.</w:t>
            </w:r>
          </w:p>
          <w:p w14:paraId="77E1937C" w14:textId="77777777" w:rsidR="000E07C3" w:rsidRDefault="000E07C3" w:rsidP="000E07C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236164">
              <w:rPr>
                <w:rFonts w:ascii="Verdana" w:hAnsi="Verdana" w:cs="Arial"/>
              </w:rPr>
              <w:t>Ley 489 de 1998,</w:t>
            </w:r>
            <w:r>
              <w:rPr>
                <w:rFonts w:ascii="Verdana" w:hAnsi="Verdana" w:cs="Arial"/>
              </w:rPr>
              <w:t xml:space="preserve"> artículo 85.</w:t>
            </w:r>
          </w:p>
          <w:p w14:paraId="23E40564" w14:textId="77777777" w:rsidR="000E07C3" w:rsidRDefault="000E07C3" w:rsidP="000E07C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236164">
              <w:rPr>
                <w:rFonts w:ascii="Verdana" w:hAnsi="Verdana" w:cs="Arial"/>
              </w:rPr>
              <w:t>Ley 1150 de 2007,</w:t>
            </w:r>
            <w:r>
              <w:rPr>
                <w:rFonts w:ascii="Verdana" w:hAnsi="Verdana" w:cs="Arial"/>
              </w:rPr>
              <w:t xml:space="preserve"> artículos 2, 3, 6, 13 y 14.</w:t>
            </w:r>
          </w:p>
          <w:p w14:paraId="7DAFA537" w14:textId="77777777" w:rsidR="000E07C3" w:rsidRDefault="000E07C3" w:rsidP="000E07C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Pr>
                <w:rFonts w:ascii="Verdana" w:hAnsi="Verdana" w:cs="Arial"/>
              </w:rPr>
              <w:t>Ley 1474 de 2011, artículo 90.</w:t>
            </w:r>
          </w:p>
          <w:p w14:paraId="566231A8" w14:textId="77777777" w:rsidR="000E07C3" w:rsidRPr="009651A2" w:rsidRDefault="000E07C3" w:rsidP="000E07C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Pr>
                <w:rFonts w:ascii="Verdana" w:eastAsia="Verdana" w:hAnsi="Verdana" w:cs="Verdana"/>
                <w:lang w:val="es-MX"/>
              </w:rPr>
              <w:t xml:space="preserve">la Ley 1712 de 2014, artículos 2, 5 y 11. </w:t>
            </w:r>
          </w:p>
          <w:p w14:paraId="1017CB7B" w14:textId="77777777" w:rsidR="000E07C3" w:rsidRDefault="000E07C3" w:rsidP="000E07C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7B428E">
              <w:rPr>
                <w:rFonts w:ascii="Verdana" w:eastAsia="Calibri" w:hAnsi="Verdana" w:cs="Arial"/>
                <w:color w:val="000000"/>
              </w:rPr>
              <w:t>Ley 1952 de 2019</w:t>
            </w:r>
            <w:r>
              <w:rPr>
                <w:rFonts w:ascii="Verdana" w:eastAsia="Calibri" w:hAnsi="Verdana" w:cs="Arial"/>
                <w:color w:val="000000"/>
              </w:rPr>
              <w:t>. Artículo 38, numeral 43.</w:t>
            </w:r>
          </w:p>
          <w:p w14:paraId="7BE5F22A" w14:textId="77777777" w:rsidR="000E07C3" w:rsidRDefault="000E07C3" w:rsidP="000E07C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236164">
              <w:rPr>
                <w:rFonts w:ascii="Verdana" w:hAnsi="Verdana" w:cs="Arial"/>
              </w:rPr>
              <w:t>Ley 2195 de 2022, artículo 53.</w:t>
            </w:r>
          </w:p>
          <w:p w14:paraId="3F883636" w14:textId="77777777" w:rsidR="000E07C3" w:rsidRDefault="000E07C3" w:rsidP="000E07C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9651A2">
              <w:rPr>
                <w:rFonts w:ascii="Verdana" w:hAnsi="Verdana" w:cs="Arial"/>
              </w:rPr>
              <w:t>Consejo de Estado. Sala de lo Contencioso Administrativo. Sección Tercera. Sentencia del 24 de octubre de 2016. Radicado No. 45.607. C.P: Marta Nubia Velásquez Rico</w:t>
            </w:r>
            <w:r>
              <w:rPr>
                <w:rFonts w:ascii="Verdana" w:hAnsi="Verdana" w:cs="Arial"/>
              </w:rPr>
              <w:t>.</w:t>
            </w:r>
          </w:p>
          <w:p w14:paraId="67948052" w14:textId="77777777" w:rsidR="000E07C3" w:rsidRDefault="000E07C3" w:rsidP="000E07C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9651A2">
              <w:rPr>
                <w:rFonts w:ascii="Verdana" w:hAnsi="Verdana" w:cs="Arial"/>
              </w:rPr>
              <w:t xml:space="preserve">Consejo de Estado. Sala de lo Contencioso Administrativo. Sección Tercera. Subsección C. Sentencia del 8 de abril de 2014. </w:t>
            </w:r>
            <w:proofErr w:type="spellStart"/>
            <w:r w:rsidRPr="009651A2">
              <w:rPr>
                <w:rFonts w:ascii="Verdana" w:hAnsi="Verdana" w:cs="Arial"/>
              </w:rPr>
              <w:t>Exp</w:t>
            </w:r>
            <w:proofErr w:type="spellEnd"/>
            <w:r w:rsidRPr="009651A2">
              <w:rPr>
                <w:rFonts w:ascii="Verdana" w:hAnsi="Verdana" w:cs="Arial"/>
              </w:rPr>
              <w:t>. 25.801 C.P. Enrique Gil Botero</w:t>
            </w:r>
            <w:r>
              <w:rPr>
                <w:rFonts w:ascii="Verdana" w:hAnsi="Verdana" w:cs="Arial"/>
              </w:rPr>
              <w:t>.</w:t>
            </w:r>
          </w:p>
          <w:p w14:paraId="470BA74D" w14:textId="77777777" w:rsidR="000E07C3" w:rsidRDefault="000E07C3" w:rsidP="000E07C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9651A2">
              <w:rPr>
                <w:rFonts w:ascii="Verdana" w:hAnsi="Verdana" w:cs="Arial"/>
              </w:rPr>
              <w:t xml:space="preserve">Consejo de Estado. Sala de lo Contencioso Administrativo. Sección Tercera. Sentencia del 19 de agosto de 2004. </w:t>
            </w:r>
            <w:proofErr w:type="spellStart"/>
            <w:r w:rsidRPr="009651A2">
              <w:rPr>
                <w:rFonts w:ascii="Verdana" w:hAnsi="Verdana" w:cs="Arial"/>
              </w:rPr>
              <w:t>Exp</w:t>
            </w:r>
            <w:proofErr w:type="spellEnd"/>
            <w:r w:rsidRPr="009651A2">
              <w:rPr>
                <w:rFonts w:ascii="Verdana" w:hAnsi="Verdana" w:cs="Arial"/>
              </w:rPr>
              <w:t>. 12.342. C.P. Ramiro Saavedra Becerra.</w:t>
            </w:r>
          </w:p>
          <w:p w14:paraId="251E02D3" w14:textId="77777777" w:rsidR="000E07C3" w:rsidRDefault="000E07C3" w:rsidP="000E07C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C9162A">
              <w:rPr>
                <w:rFonts w:ascii="Verdana" w:hAnsi="Verdana" w:cs="Arial"/>
              </w:rPr>
              <w:lastRenderedPageBreak/>
              <w:t>Consejo de Estado. Sala de lo Contencioso Administrativo. Sección Segunda. Subsección B. 26 de julio de 2018. Radicado: 11001-03-25-000-2014-01511-00(4912-14). C.P: Sandra Lisset Ibarra Vélez.</w:t>
            </w:r>
          </w:p>
          <w:p w14:paraId="0B5F27EE" w14:textId="77777777" w:rsidR="000E07C3" w:rsidRPr="009651A2" w:rsidRDefault="000E07C3" w:rsidP="000E07C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9651A2">
              <w:rPr>
                <w:rFonts w:ascii="Verdana" w:hAnsi="Verdana" w:cs="Arial"/>
              </w:rPr>
              <w:t>Corte Constitucional. Sentencia C‒274 de 9 de mayo de 2013. M.P. María Victoria Calle Correa.</w:t>
            </w:r>
          </w:p>
          <w:p w14:paraId="5C8B8FAE" w14:textId="77777777" w:rsidR="000E07C3" w:rsidRDefault="000E07C3" w:rsidP="000E07C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9651A2">
              <w:rPr>
                <w:rFonts w:ascii="Verdana" w:hAnsi="Verdana" w:cs="Arial"/>
              </w:rPr>
              <w:t>DÁVILA VINUEZA, Luis Guillermo. Régimen jurídico de la contratación estatal. Tercera Edición. Bogotá: Legis, 2016</w:t>
            </w:r>
            <w:r>
              <w:rPr>
                <w:rFonts w:ascii="Verdana" w:hAnsi="Verdana" w:cs="Arial"/>
              </w:rPr>
              <w:t>.}</w:t>
            </w:r>
          </w:p>
          <w:p w14:paraId="7113E538" w14:textId="77777777" w:rsidR="000E07C3" w:rsidRDefault="000E07C3" w:rsidP="000E07C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9651A2">
              <w:rPr>
                <w:rFonts w:ascii="Verdana" w:hAnsi="Verdana" w:cs="Arial"/>
              </w:rPr>
              <w:t>JOJOA BOLAÑOS, Alexander. Los regímenes exceptuados en los contratos estatales. Bogotá: Grupo Editorial Ibáñez, 2012.</w:t>
            </w:r>
          </w:p>
          <w:p w14:paraId="234D7B79" w14:textId="77777777" w:rsidR="000E07C3" w:rsidRDefault="000E07C3" w:rsidP="000E07C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9651A2">
              <w:rPr>
                <w:rFonts w:ascii="Verdana" w:hAnsi="Verdana" w:cs="Arial"/>
              </w:rPr>
              <w:t>BARRETO MORENO, Antonio Alejandro. El derecho de la compra pública: estudio jurídico de un mercado imperfecto. Bogotá: Legis, 2019</w:t>
            </w:r>
            <w:r>
              <w:rPr>
                <w:rFonts w:ascii="Verdana" w:hAnsi="Verdana" w:cs="Arial"/>
              </w:rPr>
              <w:t>.</w:t>
            </w:r>
          </w:p>
          <w:p w14:paraId="6E869A9C" w14:textId="77777777" w:rsidR="000E07C3" w:rsidRPr="009651A2" w:rsidRDefault="000E07C3" w:rsidP="000E07C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9651A2">
              <w:rPr>
                <w:rFonts w:ascii="Verdana" w:hAnsi="Verdana" w:cs="Arial"/>
                <w:color w:val="000000" w:themeColor="text1"/>
              </w:rPr>
              <w:t xml:space="preserve">SÁNCHEZ MORÓN, Miguel. El retorno del derecho administrativo. En: Revista de Administración Pública. </w:t>
            </w:r>
            <w:proofErr w:type="spellStart"/>
            <w:r w:rsidRPr="009651A2">
              <w:rPr>
                <w:rFonts w:ascii="Verdana" w:hAnsi="Verdana" w:cs="Arial"/>
                <w:color w:val="000000" w:themeColor="text1"/>
              </w:rPr>
              <w:t>Nº</w:t>
            </w:r>
            <w:proofErr w:type="spellEnd"/>
            <w:r w:rsidRPr="009651A2">
              <w:rPr>
                <w:rFonts w:ascii="Verdana" w:hAnsi="Verdana" w:cs="Arial"/>
                <w:color w:val="000000" w:themeColor="text1"/>
              </w:rPr>
              <w:t xml:space="preserve"> 216 (2018). Disponible en: </w:t>
            </w:r>
            <w:hyperlink r:id="rId12" w:history="1">
              <w:r w:rsidRPr="009651A2">
                <w:rPr>
                  <w:rStyle w:val="Hipervnculo"/>
                  <w:rFonts w:ascii="Verdana" w:hAnsi="Verdana" w:cs="Arial"/>
                </w:rPr>
                <w:t>https://recyt.fecyt.es/index.php/RAP/article/view/67033</w:t>
              </w:r>
            </w:hyperlink>
            <w:r w:rsidRPr="009651A2">
              <w:rPr>
                <w:rFonts w:ascii="Verdana" w:hAnsi="Verdana" w:cs="Arial"/>
                <w:color w:val="000000" w:themeColor="text1"/>
              </w:rPr>
              <w:t>.</w:t>
            </w:r>
          </w:p>
          <w:p w14:paraId="3CE641B7" w14:textId="77777777" w:rsidR="000E07C3" w:rsidRDefault="000E07C3" w:rsidP="000E07C3">
            <w:pPr>
              <w:pStyle w:val="Prrafodelista"/>
              <w:widowControl w:val="0"/>
              <w:numPr>
                <w:ilvl w:val="0"/>
                <w:numId w:val="18"/>
              </w:numPr>
              <w:autoSpaceDE w:val="0"/>
              <w:autoSpaceDN w:val="0"/>
              <w:spacing w:after="120" w:line="276" w:lineRule="auto"/>
              <w:ind w:left="714" w:hanging="357"/>
              <w:contextualSpacing w:val="0"/>
              <w:jc w:val="both"/>
              <w:rPr>
                <w:rFonts w:ascii="Verdana" w:hAnsi="Verdana" w:cs="Arial"/>
              </w:rPr>
            </w:pPr>
            <w:r w:rsidRPr="007D52AC">
              <w:rPr>
                <w:rFonts w:ascii="Verdana" w:hAnsi="Verdana" w:cs="Arial"/>
              </w:rPr>
              <w:t xml:space="preserve">Guía para la Gestión Contractual </w:t>
            </w:r>
            <w:r>
              <w:rPr>
                <w:rFonts w:ascii="Verdana" w:hAnsi="Verdana" w:cs="Arial"/>
              </w:rPr>
              <w:t>d</w:t>
            </w:r>
            <w:r w:rsidRPr="007D52AC">
              <w:rPr>
                <w:rFonts w:ascii="Verdana" w:hAnsi="Verdana" w:cs="Arial"/>
              </w:rPr>
              <w:t xml:space="preserve">e Entidades Estatales </w:t>
            </w:r>
            <w:r>
              <w:rPr>
                <w:rFonts w:ascii="Verdana" w:hAnsi="Verdana" w:cs="Arial"/>
              </w:rPr>
              <w:t>c</w:t>
            </w:r>
            <w:r w:rsidRPr="007D52AC">
              <w:rPr>
                <w:rFonts w:ascii="Verdana" w:hAnsi="Verdana" w:cs="Arial"/>
              </w:rPr>
              <w:t>on Régimen Especial</w:t>
            </w:r>
            <w:r w:rsidRPr="00A47393">
              <w:rPr>
                <w:rFonts w:ascii="Verdana" w:hAnsi="Verdana" w:cs="Arial"/>
              </w:rPr>
              <w:t xml:space="preserve"> expedid</w:t>
            </w:r>
            <w:r>
              <w:rPr>
                <w:rFonts w:ascii="Verdana" w:hAnsi="Verdana" w:cs="Arial"/>
              </w:rPr>
              <w:t>a</w:t>
            </w:r>
            <w:r w:rsidRPr="00A47393">
              <w:rPr>
                <w:rFonts w:ascii="Verdana" w:hAnsi="Verdana" w:cs="Arial"/>
              </w:rPr>
              <w:t xml:space="preserve"> por la </w:t>
            </w:r>
            <w:r>
              <w:rPr>
                <w:rFonts w:ascii="Verdana" w:hAnsi="Verdana" w:cs="Arial"/>
              </w:rPr>
              <w:t xml:space="preserve">ANCP – CCE. </w:t>
            </w:r>
            <w:r w:rsidRPr="00A52461">
              <w:rPr>
                <w:rFonts w:ascii="Verdana" w:hAnsi="Verdana" w:cs="Arial"/>
              </w:rPr>
              <w:t>Disponible en:</w:t>
            </w:r>
            <w:r>
              <w:rPr>
                <w:rFonts w:ascii="Verdana" w:hAnsi="Verdana" w:cs="Arial"/>
              </w:rPr>
              <w:t xml:space="preserve"> </w:t>
            </w:r>
            <w:hyperlink r:id="rId13" w:history="1">
              <w:r w:rsidRPr="00D12F70">
                <w:rPr>
                  <w:rStyle w:val="Hipervnculo"/>
                  <w:rFonts w:ascii="Verdana" w:hAnsi="Verdana"/>
                </w:rPr>
                <w:t>https://www.colombiacompra.gov.co/wp-content/uploads/2025/09/Guia-para-la-gestion-contractual-de-Entidades-Estatales-con-Regimen-Especial-VF-2-1.pdf</w:t>
              </w:r>
            </w:hyperlink>
            <w:r w:rsidRPr="00D12F70">
              <w:rPr>
                <w:rFonts w:ascii="Verdana" w:hAnsi="Verdana"/>
              </w:rPr>
              <w:t xml:space="preserve"> </w:t>
            </w:r>
            <w:r>
              <w:rPr>
                <w:rFonts w:ascii="Verdana" w:hAnsi="Verdana" w:cs="Arial"/>
              </w:rPr>
              <w:t xml:space="preserve"> </w:t>
            </w:r>
          </w:p>
          <w:p w14:paraId="6873EACF" w14:textId="77777777" w:rsidR="000E07C3" w:rsidRPr="00453C30" w:rsidRDefault="000E07C3" w:rsidP="000E07C3">
            <w:pPr>
              <w:pStyle w:val="Prrafodelista"/>
              <w:widowControl w:val="0"/>
              <w:numPr>
                <w:ilvl w:val="0"/>
                <w:numId w:val="17"/>
              </w:numPr>
              <w:autoSpaceDE w:val="0"/>
              <w:autoSpaceDN w:val="0"/>
              <w:spacing w:line="276" w:lineRule="auto"/>
              <w:jc w:val="both"/>
              <w:rPr>
                <w:rFonts w:ascii="Verdana" w:hAnsi="Verdana" w:cs="Arial"/>
                <w:lang w:eastAsia="es-ES"/>
              </w:rPr>
            </w:pPr>
            <w:r w:rsidRPr="00E45D25">
              <w:rPr>
                <w:rFonts w:ascii="Verdana" w:hAnsi="Verdana" w:cs="Arial"/>
              </w:rPr>
              <w:t>Circular Externa 002 del 8 de mayo de 2026</w:t>
            </w:r>
            <w:r>
              <w:rPr>
                <w:rFonts w:ascii="Verdana" w:hAnsi="Verdana" w:cs="Arial"/>
              </w:rPr>
              <w:t xml:space="preserve"> expedida por la ANCP – CCE. </w:t>
            </w:r>
            <w:r w:rsidRPr="00A52461">
              <w:rPr>
                <w:rFonts w:ascii="Verdana" w:hAnsi="Verdana" w:cs="Arial"/>
              </w:rPr>
              <w:t>Disponible en:</w:t>
            </w:r>
            <w:r>
              <w:rPr>
                <w:rFonts w:ascii="Verdana" w:hAnsi="Verdana" w:cs="Arial"/>
              </w:rPr>
              <w:t xml:space="preserve"> </w:t>
            </w:r>
            <w:hyperlink r:id="rId14" w:history="1">
              <w:r w:rsidRPr="00B47073">
                <w:rPr>
                  <w:rStyle w:val="Hipervnculo"/>
                  <w:rFonts w:ascii="Verdana" w:hAnsi="Verdana" w:cs="Arial"/>
                </w:rPr>
                <w:t>https://www.colombiacompra.gov.co/wp-content/uploads/2026/05/CIRCULAR-EXTERNA-002-DE-2026.pdf</w:t>
              </w:r>
            </w:hyperlink>
            <w:r>
              <w:rPr>
                <w:rFonts w:ascii="Verdana" w:hAnsi="Verdana" w:cs="Arial"/>
              </w:rPr>
              <w:t xml:space="preserve">  </w:t>
            </w:r>
          </w:p>
        </w:tc>
      </w:tr>
    </w:tbl>
    <w:p w14:paraId="2F54EF53" w14:textId="77777777" w:rsidR="000E07C3" w:rsidRDefault="000E07C3" w:rsidP="000E07C3">
      <w:pPr>
        <w:tabs>
          <w:tab w:val="left" w:pos="142"/>
          <w:tab w:val="left" w:pos="284"/>
          <w:tab w:val="left" w:pos="3828"/>
        </w:tabs>
        <w:spacing w:after="0" w:line="276" w:lineRule="auto"/>
        <w:jc w:val="both"/>
        <w:rPr>
          <w:rFonts w:ascii="Verdana" w:eastAsia="Century Gothic" w:hAnsi="Verdana" w:cs="Century Gothic"/>
          <w:b/>
          <w:bCs/>
        </w:rPr>
      </w:pPr>
    </w:p>
    <w:p w14:paraId="686E107A" w14:textId="77777777" w:rsidR="000E07C3" w:rsidRPr="0091091D" w:rsidRDefault="000E07C3" w:rsidP="000E07C3">
      <w:pPr>
        <w:tabs>
          <w:tab w:val="left" w:pos="142"/>
          <w:tab w:val="left" w:pos="284"/>
          <w:tab w:val="left" w:pos="3828"/>
        </w:tabs>
        <w:spacing w:after="0" w:line="276" w:lineRule="auto"/>
        <w:jc w:val="both"/>
        <w:rPr>
          <w:rFonts w:ascii="Verdana" w:eastAsia="Century Gothic" w:hAnsi="Verdana" w:cs="Century Gothic"/>
          <w:b/>
          <w:bCs/>
        </w:rPr>
      </w:pPr>
      <w:r w:rsidRPr="0091091D">
        <w:rPr>
          <w:rFonts w:ascii="Verdana" w:eastAsia="Century Gothic" w:hAnsi="Verdana" w:cs="Century Gothic"/>
          <w:b/>
          <w:bCs/>
        </w:rPr>
        <w:t>5. Doctrina de la Agencia Nacional de Contratación Pública:</w:t>
      </w:r>
    </w:p>
    <w:p w14:paraId="617B038A" w14:textId="77777777" w:rsidR="000E07C3" w:rsidRPr="007A3DD4" w:rsidRDefault="000E07C3" w:rsidP="000E07C3">
      <w:pPr>
        <w:widowControl w:val="0"/>
        <w:autoSpaceDE w:val="0"/>
        <w:autoSpaceDN w:val="0"/>
        <w:spacing w:after="0" w:line="276" w:lineRule="auto"/>
        <w:jc w:val="both"/>
        <w:rPr>
          <w:rStyle w:val="normaltextrun"/>
          <w:rFonts w:ascii="Verdana" w:hAnsi="Verdana" w:cs="Arial"/>
          <w:shd w:val="clear" w:color="auto" w:fill="FFFFFF"/>
        </w:rPr>
      </w:pPr>
    </w:p>
    <w:p w14:paraId="4743C290" w14:textId="77777777" w:rsidR="000E07C3" w:rsidRDefault="000E07C3" w:rsidP="000E07C3">
      <w:pPr>
        <w:spacing w:after="0" w:line="276" w:lineRule="auto"/>
        <w:jc w:val="both"/>
        <w:rPr>
          <w:rStyle w:val="normaltextrun"/>
          <w:rFonts w:ascii="Verdana" w:hAnsi="Verdana" w:cs="Arial"/>
          <w:shd w:val="clear" w:color="auto" w:fill="FFFFFF"/>
          <w:lang w:val="es-ES_tradnl"/>
        </w:rPr>
      </w:pPr>
      <w:r w:rsidRPr="00567CE1">
        <w:rPr>
          <w:rFonts w:ascii="Verdana" w:hAnsi="Verdana" w:cs="Arial"/>
          <w:bCs/>
          <w:shd w:val="clear" w:color="auto" w:fill="FFFFFF"/>
        </w:rPr>
        <w:t xml:space="preserve">La Agencia Nacional de Contratación Pública – Colombia Compra Eficiente se ha pronunciado </w:t>
      </w:r>
      <w:r w:rsidRPr="00567CE1">
        <w:rPr>
          <w:rStyle w:val="normaltextrun"/>
          <w:rFonts w:ascii="Verdana" w:hAnsi="Verdana" w:cs="Arial"/>
          <w:shd w:val="clear" w:color="auto" w:fill="FFFFFF"/>
          <w:lang w:val="es-ES_tradnl"/>
        </w:rPr>
        <w:t xml:space="preserve">sobre el alcance de la Circular Externa 002 de 2026 en el concepto 892 del 11 de junio de 2026. </w:t>
      </w:r>
    </w:p>
    <w:p w14:paraId="0D8BEAB4" w14:textId="77777777" w:rsidR="000E07C3" w:rsidRDefault="000E07C3" w:rsidP="000E07C3">
      <w:pPr>
        <w:spacing w:after="0" w:line="276" w:lineRule="auto"/>
        <w:jc w:val="both"/>
        <w:rPr>
          <w:rStyle w:val="normaltextrun"/>
          <w:rFonts w:ascii="Verdana" w:hAnsi="Verdana" w:cs="Arial"/>
          <w:shd w:val="clear" w:color="auto" w:fill="FFFFFF"/>
          <w:lang w:val="es-ES_tradnl"/>
        </w:rPr>
      </w:pPr>
    </w:p>
    <w:p w14:paraId="4BB7AD71" w14:textId="77777777" w:rsidR="000E07C3" w:rsidRPr="00185290" w:rsidRDefault="000E07C3" w:rsidP="000E07C3">
      <w:pPr>
        <w:spacing w:after="0" w:line="276" w:lineRule="auto"/>
        <w:jc w:val="both"/>
        <w:rPr>
          <w:rFonts w:ascii="Verdana" w:eastAsia="Calibri" w:hAnsi="Verdana" w:cs="Arial"/>
          <w:lang w:eastAsia="es-ES_tradnl"/>
        </w:rPr>
      </w:pPr>
      <w:r w:rsidRPr="00567CE1">
        <w:rPr>
          <w:rStyle w:val="normaltextrun"/>
          <w:rFonts w:ascii="Verdana" w:hAnsi="Verdana" w:cs="Arial"/>
          <w:shd w:val="clear" w:color="auto" w:fill="FFFFFF"/>
          <w:lang w:val="es-ES_tradnl"/>
        </w:rPr>
        <w:t xml:space="preserve">Así mismo se ha pronunciado sobre </w:t>
      </w:r>
      <w:r w:rsidRPr="00567CE1">
        <w:rPr>
          <w:rFonts w:ascii="Verdana" w:hAnsi="Verdana" w:cs="Arial"/>
          <w:bCs/>
          <w:shd w:val="clear" w:color="auto" w:fill="FFFFFF"/>
        </w:rPr>
        <w:t xml:space="preserve">pronunciado respecto del deber de publicidad contractual en los conceptos </w:t>
      </w:r>
      <w:r w:rsidRPr="00567CE1">
        <w:rPr>
          <w:rFonts w:ascii="Verdana" w:hAnsi="Verdana" w:cs="Arial"/>
          <w:bCs/>
          <w:shd w:val="clear" w:color="auto" w:fill="FFFFFF"/>
          <w:lang w:val="es-ES_tradnl"/>
        </w:rPr>
        <w:t xml:space="preserve">CU-367 del 23 de julio de 2020, reiterado en los conceptos: C−433 de 24 de julio de 2020, C−468 del 24 de julio de 2020, C−474 de 24 de julio de 2020, C−488 del 28 de julio de 2020, C−544 del 21 de agosto </w:t>
      </w:r>
      <w:r w:rsidRPr="00567CE1">
        <w:rPr>
          <w:rFonts w:ascii="Verdana" w:hAnsi="Verdana" w:cs="Arial"/>
          <w:bCs/>
          <w:shd w:val="clear" w:color="auto" w:fill="FFFFFF"/>
          <w:lang w:val="es-ES_tradnl"/>
        </w:rPr>
        <w:lastRenderedPageBreak/>
        <w:t>de 2020, C−575 del 27 de agosto de 2020, C−643 del 26 de octubre de 2020, C−661 del 17 de noviembre de 2020, C-094 del 13 de abril de 2021, C−068 del 22 de abril de 2021, C-185 del 29 de abril de 2021, C-472 del 6 de septiembre de 2021, C-804 de 2024</w:t>
      </w:r>
      <w:r w:rsidRPr="00567CE1">
        <w:rPr>
          <w:rFonts w:ascii="Verdana" w:hAnsi="Verdana" w:cs="Arial"/>
          <w:bCs/>
          <w:shd w:val="clear" w:color="auto" w:fill="FFFFFF"/>
        </w:rPr>
        <w:t>, C-185 del 24 de marzo de 2025, C-487 del 30 de mayo de 2025, 1177 del 1 de octubre de 2025, C-1784 del 22 de diciembre de 2025, C-659 del 1 de junio de 2026, C-809 del 25 de junio de 2026, C-923</w:t>
      </w:r>
      <w:r>
        <w:rPr>
          <w:rFonts w:ascii="Verdana" w:hAnsi="Verdana" w:cs="Arial"/>
          <w:bCs/>
          <w:shd w:val="clear" w:color="auto" w:fill="FFFFFF"/>
        </w:rPr>
        <w:t xml:space="preserve"> del 6 de julio de 2026,</w:t>
      </w:r>
      <w:r w:rsidRPr="00FA6472">
        <w:rPr>
          <w:rFonts w:ascii="Verdana" w:hAnsi="Verdana" w:cs="Arial"/>
          <w:bCs/>
          <w:shd w:val="clear" w:color="auto" w:fill="FFFFFF"/>
        </w:rPr>
        <w:t xml:space="preserve"> </w:t>
      </w:r>
      <w:r w:rsidRPr="00185290">
        <w:rPr>
          <w:rFonts w:ascii="Verdana" w:hAnsi="Verdana" w:cs="Arial"/>
          <w:shd w:val="clear" w:color="auto" w:fill="FFFFFF"/>
        </w:rPr>
        <w:t>entre otros</w:t>
      </w:r>
      <w:r w:rsidRPr="00185290">
        <w:rPr>
          <w:rFonts w:ascii="Verdana" w:eastAsia="Calibri" w:hAnsi="Verdana" w:cs="Arial"/>
          <w:color w:val="000000" w:themeColor="text1"/>
          <w:lang w:eastAsia="es-ES_tradnl"/>
        </w:rPr>
        <w:t xml:space="preserve">. </w:t>
      </w:r>
      <w:r w:rsidRPr="00185290">
        <w:rPr>
          <w:rFonts w:ascii="Verdana" w:hAnsi="Verdana" w:cs="Arial"/>
        </w:rPr>
        <w:t xml:space="preserve">Estos y otros </w:t>
      </w:r>
      <w:r w:rsidRPr="00185290">
        <w:rPr>
          <w:rFonts w:ascii="Verdana" w:hAnsi="Verdana"/>
        </w:rPr>
        <w:t>conceptos se encuentran disponibles para consulta en el Sistema de relatoría de la Agencia, al cual se puede acceder a través del siguiente enlace:</w:t>
      </w:r>
      <w:r w:rsidRPr="00185290">
        <w:rPr>
          <w:rFonts w:ascii="Verdana" w:hAnsi="Verdana" w:cs="Arial"/>
          <w:shd w:val="clear" w:color="auto" w:fill="FFFFFF"/>
        </w:rPr>
        <w:t xml:space="preserve"> </w:t>
      </w:r>
      <w:hyperlink r:id="rId15" w:history="1">
        <w:r w:rsidRPr="00185290">
          <w:rPr>
            <w:rFonts w:ascii="Verdana" w:hAnsi="Verdana" w:cs="Arial"/>
            <w:color w:val="0563C1" w:themeColor="hyperlink"/>
            <w:u w:val="single"/>
            <w:shd w:val="clear" w:color="auto" w:fill="FFFFFF"/>
          </w:rPr>
          <w:t>https://relatoria.colombiacompra.gov.co/busqueda/conceptos</w:t>
        </w:r>
      </w:hyperlink>
      <w:r w:rsidRPr="00185290">
        <w:rPr>
          <w:rFonts w:ascii="Verdana" w:hAnsi="Verdana" w:cs="Arial"/>
          <w:shd w:val="clear" w:color="auto" w:fill="FFFFFF"/>
        </w:rPr>
        <w:t>.</w:t>
      </w:r>
      <w:r w:rsidRPr="00185290">
        <w:rPr>
          <w:rFonts w:ascii="Verdana" w:hAnsi="Verdana" w:cs="Arial"/>
          <w:color w:val="FF0000"/>
          <w:shd w:val="clear" w:color="auto" w:fill="FFFFFF"/>
        </w:rPr>
        <w:t xml:space="preserve"> </w:t>
      </w:r>
    </w:p>
    <w:p w14:paraId="6085AEC7" w14:textId="77777777" w:rsidR="000E07C3" w:rsidRPr="00185290" w:rsidRDefault="000E07C3" w:rsidP="000E07C3">
      <w:pPr>
        <w:widowControl w:val="0"/>
        <w:autoSpaceDE w:val="0"/>
        <w:autoSpaceDN w:val="0"/>
        <w:spacing w:after="0" w:line="276" w:lineRule="auto"/>
        <w:jc w:val="both"/>
        <w:rPr>
          <w:rFonts w:ascii="Verdana" w:hAnsi="Verdana"/>
        </w:rPr>
      </w:pPr>
    </w:p>
    <w:p w14:paraId="038EE343" w14:textId="77777777" w:rsidR="000E07C3" w:rsidRPr="00643E5C" w:rsidRDefault="000E07C3" w:rsidP="000E07C3">
      <w:pPr>
        <w:widowControl w:val="0"/>
        <w:autoSpaceDE w:val="0"/>
        <w:autoSpaceDN w:val="0"/>
        <w:spacing w:after="0" w:line="276" w:lineRule="auto"/>
        <w:jc w:val="both"/>
        <w:rPr>
          <w:rFonts w:ascii="Verdana" w:hAnsi="Verdana"/>
        </w:rPr>
      </w:pPr>
      <w:r w:rsidRPr="00185290">
        <w:rPr>
          <w:rFonts w:ascii="Verdana" w:hAnsi="Verdana"/>
        </w:rPr>
        <w:t>La sostenibilidad no es una opción, es una obligación. Por ello, la Agencia Nacional de Contratación Pública –Colombia Compra Eficiente</w:t>
      </w:r>
      <w:r w:rsidRPr="009A385A">
        <w:rPr>
          <w:rFonts w:ascii="Verdana" w:hAnsi="Verdana"/>
        </w:rPr>
        <w:t xml:space="preserv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6" w:tgtFrame="_new" w:history="1">
        <w:r w:rsidRPr="008746BD">
          <w:rPr>
            <w:rStyle w:val="Hipervnculo"/>
            <w:rFonts w:ascii="Verdana" w:hAnsi="Verdana"/>
          </w:rPr>
          <w:t>https://formacionvirtual.colombiacompra.gov.co/mod/page/view.php?id=3718</w:t>
        </w:r>
      </w:hyperlink>
    </w:p>
    <w:p w14:paraId="1BB12216" w14:textId="77777777" w:rsidR="000E07C3" w:rsidRPr="00643E5C" w:rsidRDefault="000E07C3" w:rsidP="000E07C3">
      <w:pPr>
        <w:widowControl w:val="0"/>
        <w:autoSpaceDE w:val="0"/>
        <w:autoSpaceDN w:val="0"/>
        <w:spacing w:after="0" w:line="276" w:lineRule="auto"/>
        <w:jc w:val="both"/>
        <w:rPr>
          <w:rFonts w:ascii="Verdana" w:hAnsi="Verdana"/>
        </w:rPr>
      </w:pPr>
    </w:p>
    <w:p w14:paraId="757567ED" w14:textId="77777777" w:rsidR="000E07C3" w:rsidRDefault="000E07C3" w:rsidP="000E07C3">
      <w:pPr>
        <w:widowControl w:val="0"/>
        <w:autoSpaceDE w:val="0"/>
        <w:autoSpaceDN w:val="0"/>
        <w:spacing w:after="0" w:line="276" w:lineRule="auto"/>
        <w:jc w:val="both"/>
        <w:rPr>
          <w:rStyle w:val="Hipervnculo"/>
          <w:rFonts w:ascii="Verdana" w:hAnsi="Verdana" w:cs="Arial"/>
          <w:color w:val="auto"/>
          <w:u w:val="none"/>
          <w:shd w:val="clear" w:color="auto" w:fill="FFFFFF"/>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da</w:t>
      </w:r>
      <w:r>
        <w:rPr>
          <w:rFonts w:ascii="Verdana" w:hAnsi="Verdana"/>
        </w:rPr>
        <w:t>do</w:t>
      </w:r>
      <w:r w:rsidRPr="00635F16">
        <w:rPr>
          <w:rFonts w:ascii="Verdana" w:hAnsi="Verdana"/>
        </w:rPr>
        <w:t xml:space="preserve">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0E1EA7">
        <w:rPr>
          <w:rFonts w:ascii="Verdana" w:hAnsi="Verdana"/>
          <w:b/>
          <w:bCs/>
        </w:rPr>
        <w:t>Resoluciones 539, 540, 541, 952 y 953 de 2025</w:t>
      </w:r>
      <w:r w:rsidRPr="000E1EA7">
        <w:rPr>
          <w:rFonts w:ascii="Verdana" w:hAnsi="Verdana"/>
        </w:rPr>
        <w:t xml:space="preserve">, </w:t>
      </w:r>
      <w:r w:rsidRPr="000E1EA7">
        <w:rPr>
          <w:rFonts w:ascii="Verdana" w:hAnsi="Verdana"/>
          <w:b/>
          <w:bCs/>
        </w:rPr>
        <w:t>mediante las cuales adoptó Documentos Tipo</w:t>
      </w:r>
      <w:r w:rsidRPr="000E1EA7">
        <w:rPr>
          <w:rFonts w:ascii="Verdana" w:hAnsi="Verdana"/>
        </w:rPr>
        <w:t xml:space="preserve"> para las modalidades de selección de</w:t>
      </w:r>
      <w:r w:rsidRPr="000E1EA7">
        <w:rPr>
          <w:rFonts w:ascii="Verdana" w:hAnsi="Verdana"/>
          <w:b/>
          <w:bCs/>
        </w:rPr>
        <w:t xml:space="preserve"> licitación pública (versión 2), selección abreviada de menor cuantía, mínima cuantía, consultoría e interventoría</w:t>
      </w:r>
      <w:r w:rsidRPr="000E1EA7">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7" w:tgtFrame="_new" w:history="1">
        <w:r w:rsidRPr="000E1EA7">
          <w:rPr>
            <w:rStyle w:val="Hipervnculo"/>
            <w:rFonts w:ascii="Verdana" w:hAnsi="Verdana"/>
          </w:rPr>
          <w:t>https://www.colombiacompra.gov.co/normativa-y-relatoria/documentos-tipo</w:t>
        </w:r>
      </w:hyperlink>
    </w:p>
    <w:p w14:paraId="3420E94F" w14:textId="77777777" w:rsidR="000E07C3" w:rsidRDefault="000E07C3" w:rsidP="000E07C3">
      <w:pPr>
        <w:widowControl w:val="0"/>
        <w:autoSpaceDE w:val="0"/>
        <w:autoSpaceDN w:val="0"/>
        <w:spacing w:after="0" w:line="276" w:lineRule="auto"/>
        <w:jc w:val="both"/>
        <w:rPr>
          <w:rStyle w:val="Hipervnculo"/>
          <w:rFonts w:ascii="Verdana" w:hAnsi="Verdana" w:cs="Arial"/>
          <w:color w:val="auto"/>
          <w:u w:val="none"/>
          <w:shd w:val="clear" w:color="auto" w:fill="FFFFFF"/>
        </w:rPr>
      </w:pPr>
    </w:p>
    <w:p w14:paraId="6DA33910" w14:textId="77777777" w:rsidR="000E07C3" w:rsidRDefault="000E07C3" w:rsidP="000E07C3">
      <w:pPr>
        <w:widowControl w:val="0"/>
        <w:autoSpaceDE w:val="0"/>
        <w:autoSpaceDN w:val="0"/>
        <w:spacing w:after="0" w:line="276" w:lineRule="auto"/>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w:t>
      </w:r>
      <w:r w:rsidRPr="00797327">
        <w:rPr>
          <w:rFonts w:ascii="Verdana" w:hAnsi="Verdana"/>
        </w:rPr>
        <w:lastRenderedPageBreak/>
        <w:t>procesos contractuales.</w:t>
      </w:r>
      <w:r w:rsidRPr="009A385A">
        <w:rPr>
          <w:rFonts w:ascii="Verdana" w:hAnsi="Verdana"/>
        </w:rPr>
        <w:t xml:space="preserve"> </w:t>
      </w:r>
      <w:r w:rsidRPr="008746BD">
        <w:rPr>
          <w:rFonts w:ascii="Verdana" w:hAnsi="Verdana"/>
        </w:rPr>
        <w:t>Además se incluyeron lineamientos que orientan la implementación de los criterios ambientales y sociales incluidos en los documentos tipo: Consulta la guía aquí:</w:t>
      </w:r>
      <w:r w:rsidRPr="008746BD">
        <w:rPr>
          <w:rFonts w:ascii="Verdana" w:hAnsi="Verdana"/>
        </w:rPr>
        <w:br/>
      </w:r>
      <w:hyperlink r:id="rId18" w:tgtFrame="_new" w:history="1">
        <w:r w:rsidRPr="008746BD">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29D111F3" w14:textId="77777777" w:rsidR="000E07C3" w:rsidRPr="00B2237B" w:rsidRDefault="000E07C3" w:rsidP="000E07C3">
      <w:pPr>
        <w:widowControl w:val="0"/>
        <w:autoSpaceDE w:val="0"/>
        <w:autoSpaceDN w:val="0"/>
        <w:spacing w:after="0" w:line="276" w:lineRule="auto"/>
        <w:jc w:val="both"/>
        <w:rPr>
          <w:rStyle w:val="Hipervnculo"/>
          <w:rFonts w:ascii="Verdana" w:hAnsi="Verdana" w:cs="Arial"/>
          <w:color w:val="auto"/>
          <w:u w:val="none"/>
          <w:shd w:val="clear" w:color="auto" w:fill="FFFFFF"/>
        </w:rPr>
      </w:pPr>
    </w:p>
    <w:p w14:paraId="54AA69EC" w14:textId="77777777" w:rsidR="000E07C3" w:rsidRDefault="000E07C3" w:rsidP="000E07C3">
      <w:pPr>
        <w:widowControl w:val="0"/>
        <w:autoSpaceDE w:val="0"/>
        <w:autoSpaceDN w:val="0"/>
        <w:spacing w:after="0" w:line="276" w:lineRule="auto"/>
        <w:jc w:val="both"/>
        <w:rPr>
          <w:rFonts w:ascii="Verdana" w:hAnsi="Verdana"/>
        </w:rPr>
      </w:pPr>
      <w:r w:rsidRPr="001A68FB">
        <w:rPr>
          <w:rFonts w:ascii="Verdana" w:hAnsi="Verdana"/>
        </w:rPr>
        <w:t>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w:t>
      </w:r>
      <w:r w:rsidRPr="00116940">
        <w:rPr>
          <w:rFonts w:ascii="Verdana" w:hAnsi="Verdana"/>
        </w:rPr>
        <w:t xml:space="preserve"> </w:t>
      </w:r>
    </w:p>
    <w:p w14:paraId="28AE69FD" w14:textId="77777777" w:rsidR="000E07C3" w:rsidRPr="00B2237B" w:rsidRDefault="000E07C3" w:rsidP="000E07C3">
      <w:pPr>
        <w:widowControl w:val="0"/>
        <w:autoSpaceDE w:val="0"/>
        <w:autoSpaceDN w:val="0"/>
        <w:spacing w:after="0" w:line="276" w:lineRule="auto"/>
        <w:jc w:val="both"/>
        <w:rPr>
          <w:rFonts w:ascii="Verdana" w:hAnsi="Verdana" w:cs="Arial"/>
        </w:rPr>
      </w:pPr>
    </w:p>
    <w:p w14:paraId="4624CDED" w14:textId="77777777" w:rsidR="000E07C3" w:rsidRPr="00116940" w:rsidRDefault="000E07C3" w:rsidP="000E07C3">
      <w:pPr>
        <w:pStyle w:val="Prrafodelista"/>
        <w:numPr>
          <w:ilvl w:val="0"/>
          <w:numId w:val="15"/>
        </w:numPr>
        <w:spacing w:after="0" w:line="276" w:lineRule="auto"/>
        <w:contextualSpacing w:val="0"/>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0CFCCDB9" w14:textId="77777777" w:rsidR="000E07C3" w:rsidRPr="00116940" w:rsidRDefault="000E07C3" w:rsidP="000E07C3">
      <w:pPr>
        <w:pStyle w:val="Prrafodelista"/>
        <w:numPr>
          <w:ilvl w:val="0"/>
          <w:numId w:val="15"/>
        </w:numPr>
        <w:spacing w:after="0" w:line="276" w:lineRule="auto"/>
        <w:contextualSpacing w:val="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596CF6C4" w14:textId="77777777" w:rsidR="000E07C3" w:rsidRPr="00116940" w:rsidRDefault="000E07C3" w:rsidP="000E07C3">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9">
        <w:r w:rsidRPr="00116940">
          <w:rPr>
            <w:rStyle w:val="Hipervnculo"/>
            <w:rFonts w:ascii="Verdana" w:eastAsia="Verdana" w:hAnsi="Verdana" w:cs="Verdana"/>
            <w:lang w:val="es-MX"/>
          </w:rPr>
          <w:t>ventanilladeradicacion@colombiacompra.gov.co</w:t>
        </w:r>
      </w:hyperlink>
    </w:p>
    <w:p w14:paraId="44439EC3" w14:textId="77777777" w:rsidR="000E07C3" w:rsidRPr="00116940" w:rsidRDefault="000E07C3" w:rsidP="000E07C3">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20">
        <w:r w:rsidRPr="00116940">
          <w:rPr>
            <w:rStyle w:val="Hipervnculo"/>
            <w:rFonts w:ascii="Verdana" w:eastAsia="Verdana" w:hAnsi="Verdana" w:cs="Verdana"/>
            <w:lang w:val="es-MX"/>
          </w:rPr>
          <w:t>https://www.colombiacompra.gov.co/pqrsd/informacion-importante-antes-de-formular-una-pqrsd</w:t>
        </w:r>
      </w:hyperlink>
    </w:p>
    <w:p w14:paraId="712E6558" w14:textId="77777777" w:rsidR="000E07C3" w:rsidRDefault="000E07C3" w:rsidP="000E07C3">
      <w:pPr>
        <w:spacing w:after="0" w:line="276" w:lineRule="auto"/>
        <w:jc w:val="both"/>
        <w:rPr>
          <w:rFonts w:ascii="Verdana" w:hAnsi="Verdana"/>
        </w:rPr>
      </w:pPr>
    </w:p>
    <w:p w14:paraId="1BF2DE40" w14:textId="77777777" w:rsidR="000E07C3" w:rsidRDefault="000E07C3" w:rsidP="000E07C3">
      <w:pPr>
        <w:spacing w:after="0" w:line="276" w:lineRule="auto"/>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21" w:history="1">
        <w:r w:rsidRPr="008746BD">
          <w:rPr>
            <w:rStyle w:val="Hipervnculo"/>
            <w:rFonts w:ascii="Verdana" w:eastAsia="Verdana" w:hAnsi="Verdana" w:cs="Verdana"/>
            <w:lang w:val="es-MX"/>
          </w:rPr>
          <w:t>https://forms.office.com/r/pPHyWVs2SZ</w:t>
        </w:r>
      </w:hyperlink>
      <w:r w:rsidRPr="008746BD">
        <w:rPr>
          <w:rStyle w:val="Hipervnculo"/>
          <w:rFonts w:ascii="Verdana" w:eastAsia="Verdana" w:hAnsi="Verdana" w:cs="Verdana"/>
          <w:lang w:val="es-MX"/>
        </w:rPr>
        <w:t>.</w:t>
      </w:r>
      <w:r>
        <w:rPr>
          <w:rFonts w:ascii="Verdana" w:hAnsi="Verdana"/>
        </w:rPr>
        <w:t xml:space="preserve"> </w:t>
      </w:r>
      <w:r w:rsidRPr="00116940">
        <w:rPr>
          <w:rFonts w:ascii="Verdana" w:hAnsi="Verdana"/>
        </w:rPr>
        <w:t>¡Ayúdanos a mejorar porque el compromiso es de todos!</w:t>
      </w:r>
    </w:p>
    <w:p w14:paraId="4F450BB3" w14:textId="77777777" w:rsidR="000E07C3" w:rsidRDefault="000E07C3" w:rsidP="000E07C3">
      <w:pPr>
        <w:spacing w:after="0" w:line="276" w:lineRule="auto"/>
        <w:jc w:val="both"/>
        <w:rPr>
          <w:rFonts w:ascii="Verdana" w:hAnsi="Verdana"/>
        </w:rPr>
      </w:pPr>
    </w:p>
    <w:p w14:paraId="26DEB2B0" w14:textId="77777777" w:rsidR="000E07C3" w:rsidRPr="00116940" w:rsidRDefault="000E07C3" w:rsidP="000E07C3">
      <w:pPr>
        <w:spacing w:after="0" w:line="276"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4879C98D" w14:textId="77777777" w:rsidR="000E07C3" w:rsidRPr="008746BD" w:rsidRDefault="000E07C3" w:rsidP="000E07C3">
      <w:pPr>
        <w:spacing w:after="0" w:line="276" w:lineRule="auto"/>
        <w:jc w:val="both"/>
        <w:rPr>
          <w:rFonts w:ascii="Verdana" w:hAnsi="Verdana"/>
        </w:rPr>
      </w:pPr>
    </w:p>
    <w:p w14:paraId="0336083C" w14:textId="77777777" w:rsidR="000E07C3" w:rsidRPr="00116940" w:rsidRDefault="000E07C3" w:rsidP="000E07C3">
      <w:pPr>
        <w:spacing w:after="0" w:line="276"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4AE68963" w14:textId="77777777" w:rsidR="000E07C3" w:rsidRPr="00116940" w:rsidRDefault="000E07C3" w:rsidP="000E07C3">
      <w:pPr>
        <w:spacing w:after="0" w:line="276"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09317F86" w14:textId="77777777" w:rsidR="000E07C3" w:rsidRPr="00116940" w:rsidRDefault="000E07C3" w:rsidP="000E07C3">
      <w:pPr>
        <w:spacing w:after="0" w:line="276"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4AF5F904" w14:textId="77777777" w:rsidR="000E07C3" w:rsidRPr="00643E5C" w:rsidRDefault="000E07C3" w:rsidP="000E07C3">
      <w:pPr>
        <w:spacing w:after="0" w:line="276" w:lineRule="auto"/>
        <w:jc w:val="both"/>
        <w:rPr>
          <w:rFonts w:ascii="Verdana" w:eastAsia="Century Gothic" w:hAnsi="Verdana" w:cs="Century Gothic"/>
          <w:lang w:val="es-ES" w:eastAsia="es-ES_tradnl"/>
        </w:rPr>
      </w:pPr>
    </w:p>
    <w:p w14:paraId="595EF747" w14:textId="77777777" w:rsidR="000E07C3" w:rsidRPr="00842775" w:rsidRDefault="000E07C3" w:rsidP="000E07C3">
      <w:pPr>
        <w:spacing w:after="0" w:line="276" w:lineRule="auto"/>
        <w:jc w:val="both"/>
        <w:rPr>
          <w:rFonts w:ascii="Verdana" w:hAnsi="Verdana"/>
          <w:lang w:val="es-MX"/>
        </w:rPr>
      </w:pPr>
      <w:r w:rsidRPr="00842775">
        <w:rPr>
          <w:rFonts w:ascii="Verdana" w:eastAsia="Century Gothic" w:hAnsi="Verdana" w:cs="Century Gothic"/>
          <w:lang w:val="es-ES" w:eastAsia="es-ES_tradnl"/>
        </w:rPr>
        <w:t xml:space="preserve">Este concepto tiene el alcance previsto en el artículo 28 del Código de Procedimiento Administrativo y de lo Contencioso Administrativo y las </w:t>
      </w:r>
      <w:r w:rsidRPr="00842775">
        <w:rPr>
          <w:rFonts w:ascii="Verdana" w:eastAsia="Century Gothic" w:hAnsi="Verdana" w:cs="Century Gothic"/>
          <w:lang w:val="es-ES" w:eastAsia="es-ES_tradnl"/>
        </w:rPr>
        <w:lastRenderedPageBreak/>
        <w:t>expresiones aquí utilizadas con mayúscula inicial deben ser entendidas con el significado que les otorga el artículo 2.2.1.1.1.3.1. del Decreto 1082 de 2015</w:t>
      </w:r>
      <w:r>
        <w:rPr>
          <w:rFonts w:ascii="Verdana" w:eastAsia="Century Gothic" w:hAnsi="Verdana" w:cs="Century Gothic"/>
          <w:lang w:val="es-ES" w:eastAsia="es-ES_tradnl"/>
        </w:rPr>
        <w:t>.</w:t>
      </w:r>
    </w:p>
    <w:p w14:paraId="2B413D0E" w14:textId="77777777" w:rsidR="000E07C3" w:rsidRDefault="000E07C3" w:rsidP="000E07C3">
      <w:pPr>
        <w:spacing w:after="0" w:line="276" w:lineRule="auto"/>
        <w:jc w:val="both"/>
        <w:rPr>
          <w:rFonts w:ascii="Verdana" w:hAnsi="Verdana"/>
          <w:lang w:val="es-MX"/>
        </w:rPr>
      </w:pPr>
    </w:p>
    <w:p w14:paraId="00D008E6" w14:textId="58A89A44" w:rsidR="000E07C3" w:rsidRDefault="000E07C3" w:rsidP="000E07C3">
      <w:pPr>
        <w:spacing w:after="0" w:line="276" w:lineRule="auto"/>
        <w:jc w:val="both"/>
        <w:rPr>
          <w:rFonts w:ascii="Verdana" w:hAnsi="Verdana"/>
          <w:lang w:val="es-MX"/>
        </w:rPr>
      </w:pPr>
      <w:r w:rsidRPr="00E02524">
        <w:rPr>
          <w:rFonts w:ascii="Verdana" w:hAnsi="Verdana"/>
          <w:lang w:val="es-MX"/>
        </w:rPr>
        <w:t>Cordialmente</w:t>
      </w:r>
      <w:r>
        <w:rPr>
          <w:rFonts w:ascii="Verdana" w:hAnsi="Verdana"/>
          <w:lang w:val="es-MX"/>
        </w:rPr>
        <w:t>,</w:t>
      </w:r>
    </w:p>
    <w:p w14:paraId="47F2059E" w14:textId="3C96CCCC" w:rsidR="000E07C3" w:rsidRDefault="000E07C3" w:rsidP="000E07C3">
      <w:pPr>
        <w:spacing w:after="0" w:line="276" w:lineRule="auto"/>
        <w:jc w:val="both"/>
        <w:rPr>
          <w:rFonts w:ascii="Verdana" w:eastAsia="Calibri" w:hAnsi="Verdana" w:cs="Times New Roman"/>
          <w:noProof/>
          <w:color w:val="EE0000"/>
          <w14:ligatures w14:val="standardContextual"/>
        </w:rPr>
      </w:pPr>
    </w:p>
    <w:p w14:paraId="1FB992AD" w14:textId="77777777" w:rsidR="000E07C3" w:rsidRDefault="000E07C3" w:rsidP="000E07C3">
      <w:pPr>
        <w:spacing w:after="0" w:line="276" w:lineRule="auto"/>
        <w:jc w:val="both"/>
        <w:rPr>
          <w:rFonts w:ascii="Verdana" w:hAnsi="Verdana"/>
          <w:lang w:val="es-MX"/>
        </w:rPr>
      </w:pPr>
    </w:p>
    <w:p w14:paraId="2D3CC274" w14:textId="66198B7D" w:rsidR="000E07C3" w:rsidRPr="00330029" w:rsidRDefault="002F114A" w:rsidP="002F114A">
      <w:pPr>
        <w:spacing w:after="0" w:line="276" w:lineRule="auto"/>
        <w:jc w:val="center"/>
        <w:rPr>
          <w:rFonts w:ascii="Verdana" w:hAnsi="Verdana"/>
          <w:lang w:val="es-MX"/>
        </w:rPr>
      </w:pPr>
      <w:r>
        <w:rPr>
          <w:rFonts w:ascii="Verdana" w:eastAsia="Calibri" w:hAnsi="Verdana" w:cs="Times New Roman"/>
          <w:noProof/>
        </w:rPr>
        <w:drawing>
          <wp:inline distT="0" distB="0" distL="0" distR="0" wp14:anchorId="7D093883" wp14:editId="65C9EE53">
            <wp:extent cx="3098675" cy="1151864"/>
            <wp:effectExtent l="0" t="0" r="6985" b="0"/>
            <wp:docPr id="2565292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529284" name="Imagen 256529284"/>
                    <pic:cNvPicPr/>
                  </pic:nvPicPr>
                  <pic:blipFill>
                    <a:blip r:embed="rId22">
                      <a:extLst>
                        <a:ext uri="{28A0092B-C50C-407E-A947-70E740481C1C}">
                          <a14:useLocalDpi xmlns:a14="http://schemas.microsoft.com/office/drawing/2010/main" val="0"/>
                        </a:ext>
                      </a:extLst>
                    </a:blip>
                    <a:stretch>
                      <a:fillRect/>
                    </a:stretch>
                  </pic:blipFill>
                  <pic:spPr>
                    <a:xfrm>
                      <a:off x="0" y="0"/>
                      <a:ext cx="3103738" cy="1153746"/>
                    </a:xfrm>
                    <a:prstGeom prst="rect">
                      <a:avLst/>
                    </a:prstGeom>
                  </pic:spPr>
                </pic:pic>
              </a:graphicData>
            </a:graphic>
          </wp:inline>
        </w:drawing>
      </w:r>
    </w:p>
    <w:p w14:paraId="0EFC9A2F" w14:textId="77777777" w:rsidR="000E07C3" w:rsidRDefault="000E07C3" w:rsidP="000E07C3">
      <w:pPr>
        <w:spacing w:after="0" w:line="256" w:lineRule="auto"/>
        <w:jc w:val="center"/>
        <w:rPr>
          <w:rFonts w:ascii="Verdana" w:eastAsia="Calibri" w:hAnsi="Verdana" w:cs="Times New Roman"/>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E07C3" w:rsidRPr="007B46A7" w14:paraId="33A4BFB8" w14:textId="77777777" w:rsidTr="00507C8E">
        <w:trPr>
          <w:trHeight w:val="315"/>
        </w:trPr>
        <w:tc>
          <w:tcPr>
            <w:tcW w:w="893" w:type="dxa"/>
            <w:vAlign w:val="center"/>
            <w:hideMark/>
          </w:tcPr>
          <w:bookmarkEnd w:id="1"/>
          <w:p w14:paraId="0BB3BFD7" w14:textId="77777777" w:rsidR="000E07C3" w:rsidRPr="007B46A7" w:rsidRDefault="000E07C3" w:rsidP="00507C8E">
            <w:pPr>
              <w:contextualSpacing/>
              <w:rPr>
                <w:rFonts w:ascii="Verdana" w:eastAsia="Aptos" w:hAnsi="Verdana" w:cs="Arial"/>
                <w:sz w:val="16"/>
                <w:szCs w:val="16"/>
                <w:lang w:val="es-ES" w:eastAsia="es-ES"/>
              </w:rPr>
            </w:pPr>
            <w:r w:rsidRPr="007B46A7">
              <w:rPr>
                <w:rFonts w:ascii="Verdana" w:eastAsia="Aptos"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09D34884" w14:textId="77777777" w:rsidR="000E07C3" w:rsidRPr="007B46A7" w:rsidRDefault="000E07C3" w:rsidP="00507C8E">
            <w:pPr>
              <w:rPr>
                <w:rFonts w:ascii="Verdana" w:eastAsia="Times New Roman" w:hAnsi="Verdana" w:cs="Arial"/>
                <w:sz w:val="16"/>
                <w:szCs w:val="16"/>
                <w:lang w:eastAsia="es-ES"/>
              </w:rPr>
            </w:pPr>
            <w:r w:rsidRPr="007B46A7">
              <w:rPr>
                <w:rFonts w:ascii="Verdana" w:eastAsia="Times New Roman" w:hAnsi="Verdana" w:cs="Arial"/>
                <w:sz w:val="16"/>
                <w:szCs w:val="16"/>
                <w:lang w:eastAsia="es-ES"/>
              </w:rPr>
              <w:t>Oscar David Morelo Pedrozo</w:t>
            </w:r>
          </w:p>
          <w:p w14:paraId="0991A648" w14:textId="77777777" w:rsidR="000E07C3" w:rsidRPr="007B46A7" w:rsidRDefault="000E07C3" w:rsidP="00507C8E">
            <w:pPr>
              <w:rPr>
                <w:rFonts w:ascii="Verdana" w:eastAsia="Times New Roman" w:hAnsi="Verdana" w:cs="Arial"/>
                <w:sz w:val="16"/>
                <w:szCs w:val="16"/>
                <w:lang w:eastAsia="es-ES"/>
              </w:rPr>
            </w:pPr>
            <w:r w:rsidRPr="007B46A7">
              <w:rPr>
                <w:rFonts w:ascii="Verdana" w:eastAsia="Times New Roman" w:hAnsi="Verdana" w:cs="Arial"/>
                <w:sz w:val="16"/>
                <w:szCs w:val="16"/>
                <w:lang w:eastAsia="es-ES"/>
              </w:rPr>
              <w:t>Analista T2 –02 de la Subdirección de Gestión Contractual</w:t>
            </w:r>
          </w:p>
        </w:tc>
      </w:tr>
      <w:tr w:rsidR="000E07C3" w:rsidRPr="007B46A7" w14:paraId="6F26F848" w14:textId="77777777" w:rsidTr="00507C8E">
        <w:trPr>
          <w:trHeight w:val="330"/>
        </w:trPr>
        <w:tc>
          <w:tcPr>
            <w:tcW w:w="893" w:type="dxa"/>
            <w:vAlign w:val="center"/>
            <w:hideMark/>
          </w:tcPr>
          <w:p w14:paraId="525BCC16" w14:textId="77777777" w:rsidR="000E07C3" w:rsidRPr="007B46A7" w:rsidRDefault="000E07C3" w:rsidP="00507C8E">
            <w:pPr>
              <w:contextualSpacing/>
              <w:rPr>
                <w:rFonts w:ascii="Verdana" w:eastAsia="Aptos" w:hAnsi="Verdana" w:cs="Arial"/>
                <w:color w:val="000000"/>
                <w:sz w:val="16"/>
                <w:szCs w:val="16"/>
                <w:lang w:val="es-ES" w:eastAsia="es-ES"/>
              </w:rPr>
            </w:pPr>
            <w:r w:rsidRPr="007B46A7">
              <w:rPr>
                <w:rFonts w:ascii="Verdana" w:eastAsia="Aptos"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26B14475" w14:textId="77777777" w:rsidR="000E07C3" w:rsidRPr="007B46A7" w:rsidRDefault="000E07C3" w:rsidP="00507C8E">
            <w:pPr>
              <w:rPr>
                <w:rFonts w:ascii="Verdana" w:eastAsia="Times New Roman" w:hAnsi="Verdana" w:cs="Arial"/>
                <w:color w:val="000000"/>
                <w:sz w:val="16"/>
                <w:szCs w:val="16"/>
                <w:lang w:eastAsia="es-ES"/>
              </w:rPr>
            </w:pPr>
            <w:r w:rsidRPr="007B46A7">
              <w:rPr>
                <w:rFonts w:ascii="Verdana" w:eastAsia="Times New Roman" w:hAnsi="Verdana" w:cs="Arial"/>
                <w:color w:val="000000"/>
                <w:sz w:val="16"/>
                <w:szCs w:val="16"/>
                <w:lang w:eastAsia="es-ES"/>
              </w:rPr>
              <w:t xml:space="preserve">Juan David </w:t>
            </w:r>
            <w:proofErr w:type="spellStart"/>
            <w:r w:rsidRPr="007B46A7">
              <w:rPr>
                <w:rFonts w:ascii="Verdana" w:eastAsia="Times New Roman" w:hAnsi="Verdana" w:cs="Arial"/>
                <w:color w:val="000000"/>
                <w:sz w:val="16"/>
                <w:szCs w:val="16"/>
                <w:lang w:eastAsia="es-ES"/>
              </w:rPr>
              <w:t>Cardenas</w:t>
            </w:r>
            <w:proofErr w:type="spellEnd"/>
            <w:r w:rsidRPr="007B46A7">
              <w:rPr>
                <w:rFonts w:ascii="Verdana" w:eastAsia="Times New Roman" w:hAnsi="Verdana" w:cs="Arial"/>
                <w:color w:val="000000"/>
                <w:sz w:val="16"/>
                <w:szCs w:val="16"/>
                <w:lang w:eastAsia="es-ES"/>
              </w:rPr>
              <w:t xml:space="preserve"> Cabeza</w:t>
            </w:r>
          </w:p>
          <w:p w14:paraId="799BF585" w14:textId="77777777" w:rsidR="000E07C3" w:rsidRPr="007B46A7" w:rsidRDefault="000E07C3" w:rsidP="00507C8E">
            <w:pPr>
              <w:contextualSpacing/>
              <w:textAlignment w:val="baseline"/>
              <w:rPr>
                <w:rFonts w:ascii="Verdana" w:eastAsia="Times New Roman" w:hAnsi="Verdana" w:cs="Segoe UI"/>
                <w:color w:val="000000"/>
                <w:sz w:val="16"/>
                <w:szCs w:val="16"/>
                <w:lang w:val="es-ES" w:eastAsia="es-CO"/>
              </w:rPr>
            </w:pPr>
            <w:r w:rsidRPr="007B46A7">
              <w:rPr>
                <w:rFonts w:ascii="Verdana" w:eastAsia="Times New Roman" w:hAnsi="Verdana" w:cs="Arial"/>
                <w:color w:val="000000"/>
                <w:sz w:val="16"/>
                <w:szCs w:val="16"/>
                <w:lang w:eastAsia="es-ES"/>
              </w:rPr>
              <w:t>Contratista de la Subdirección de Gestión Contractual</w:t>
            </w:r>
          </w:p>
        </w:tc>
      </w:tr>
      <w:tr w:rsidR="000E07C3" w:rsidRPr="007B46A7" w14:paraId="2A653558" w14:textId="77777777" w:rsidTr="00507C8E">
        <w:trPr>
          <w:trHeight w:val="300"/>
        </w:trPr>
        <w:tc>
          <w:tcPr>
            <w:tcW w:w="893" w:type="dxa"/>
            <w:vAlign w:val="center"/>
          </w:tcPr>
          <w:p w14:paraId="450FE3DB" w14:textId="77777777" w:rsidR="000E07C3" w:rsidRPr="007B46A7" w:rsidRDefault="000E07C3" w:rsidP="00507C8E">
            <w:pPr>
              <w:contextualSpacing/>
              <w:rPr>
                <w:rFonts w:ascii="Verdana" w:eastAsia="Aptos" w:hAnsi="Verdana" w:cs="Arial"/>
                <w:sz w:val="16"/>
                <w:szCs w:val="16"/>
                <w:lang w:val="es-ES" w:eastAsia="es-ES"/>
              </w:rPr>
            </w:pPr>
            <w:r w:rsidRPr="007B46A7">
              <w:rPr>
                <w:rFonts w:ascii="Verdana" w:eastAsia="Aptos"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0DA53296" w14:textId="77777777" w:rsidR="000E07C3" w:rsidRPr="007B46A7" w:rsidRDefault="000E07C3" w:rsidP="00507C8E">
            <w:pPr>
              <w:contextualSpacing/>
              <w:rPr>
                <w:rFonts w:ascii="Verdana" w:eastAsia="Calibri" w:hAnsi="Verdana" w:cs="Arial"/>
                <w:sz w:val="16"/>
                <w:szCs w:val="16"/>
                <w:lang w:val="es-ES" w:eastAsia="es-ES"/>
              </w:rPr>
            </w:pPr>
            <w:r w:rsidRPr="007B46A7">
              <w:rPr>
                <w:rFonts w:ascii="Verdana" w:eastAsia="Calibri" w:hAnsi="Verdana" w:cs="Arial"/>
                <w:sz w:val="16"/>
                <w:szCs w:val="16"/>
                <w:lang w:val="es-ES" w:eastAsia="es-ES"/>
              </w:rPr>
              <w:t>Carolina Quintero Gacharná</w:t>
            </w:r>
          </w:p>
          <w:p w14:paraId="159258CC" w14:textId="77777777" w:rsidR="000E07C3" w:rsidRPr="007B46A7" w:rsidRDefault="000E07C3" w:rsidP="00507C8E">
            <w:pPr>
              <w:contextualSpacing/>
              <w:rPr>
                <w:rFonts w:ascii="Verdana" w:eastAsia="Calibri" w:hAnsi="Verdana" w:cs="Arial"/>
                <w:sz w:val="16"/>
                <w:szCs w:val="16"/>
                <w:lang w:val="es-ES" w:eastAsia="es-ES"/>
              </w:rPr>
            </w:pPr>
            <w:r w:rsidRPr="007B46A7">
              <w:rPr>
                <w:rFonts w:ascii="Verdana" w:eastAsia="Calibri" w:hAnsi="Verdana" w:cs="Arial"/>
                <w:sz w:val="16"/>
                <w:szCs w:val="16"/>
                <w:lang w:val="es-ES" w:eastAsia="es-ES"/>
              </w:rPr>
              <w:t>Subdirectora de Gestión Contractual ANCP – CCE</w:t>
            </w:r>
          </w:p>
        </w:tc>
      </w:tr>
    </w:tbl>
    <w:p w14:paraId="07BC4365" w14:textId="77777777" w:rsidR="000E07C3" w:rsidRPr="007B46A7" w:rsidRDefault="000E07C3" w:rsidP="000E07C3">
      <w:pPr>
        <w:spacing w:after="0" w:line="240" w:lineRule="auto"/>
        <w:jc w:val="both"/>
        <w:rPr>
          <w:rFonts w:ascii="Verdana" w:eastAsia="Verdana" w:hAnsi="Verdana" w:cs="Verdana"/>
          <w:b/>
          <w:bCs/>
          <w:lang w:val="es-MX"/>
        </w:rPr>
      </w:pPr>
    </w:p>
    <w:p w14:paraId="5C7225AC" w14:textId="6A592BEB" w:rsidR="000E07C3" w:rsidRPr="009667DF" w:rsidRDefault="000E07C3" w:rsidP="000E07C3">
      <w:pPr>
        <w:spacing w:after="0" w:line="240" w:lineRule="auto"/>
        <w:jc w:val="both"/>
        <w:rPr>
          <w:rFonts w:ascii="Verdana" w:eastAsia="Verdana" w:hAnsi="Verdana" w:cs="Verdana"/>
          <w:b/>
          <w:bCs/>
          <w:lang w:val="es-MX"/>
        </w:rPr>
      </w:pPr>
    </w:p>
    <w:p w14:paraId="221C293A" w14:textId="77777777" w:rsidR="000E07C3" w:rsidRPr="007B46A7" w:rsidRDefault="000E07C3" w:rsidP="000E07C3">
      <w:pPr>
        <w:rPr>
          <w:rFonts w:ascii="Aptos" w:eastAsia="Aptos" w:hAnsi="Aptos" w:cs="Times New Roman"/>
        </w:rPr>
      </w:pPr>
    </w:p>
    <w:p w14:paraId="2D666592" w14:textId="77777777" w:rsidR="000E07C3" w:rsidRPr="001C3900" w:rsidRDefault="000E07C3" w:rsidP="000E07C3">
      <w:pPr>
        <w:spacing w:after="0"/>
        <w:rPr>
          <w:rFonts w:ascii="Verdana" w:eastAsia="Verdana" w:hAnsi="Verdana" w:cs="Verdana"/>
          <w:sz w:val="16"/>
          <w:szCs w:val="16"/>
        </w:rPr>
      </w:pPr>
    </w:p>
    <w:p w14:paraId="4C53612A" w14:textId="77777777" w:rsidR="000E07C3" w:rsidRPr="001C3900" w:rsidRDefault="000E07C3" w:rsidP="000E07C3">
      <w:pPr>
        <w:spacing w:after="0"/>
        <w:rPr>
          <w:rFonts w:ascii="Verdana" w:eastAsia="Verdana" w:hAnsi="Verdana" w:cs="Verdana"/>
          <w:sz w:val="16"/>
          <w:szCs w:val="16"/>
        </w:rPr>
      </w:pPr>
    </w:p>
    <w:p w14:paraId="35C35AE8" w14:textId="77777777" w:rsidR="000E07C3" w:rsidRPr="007359B5" w:rsidRDefault="000E07C3" w:rsidP="000E07C3"/>
    <w:bookmarkEnd w:id="0"/>
    <w:p w14:paraId="46BF51FB" w14:textId="77777777" w:rsidR="000E07C3" w:rsidRDefault="000E07C3" w:rsidP="30821638">
      <w:pPr>
        <w:spacing w:after="0"/>
        <w:rPr>
          <w:rFonts w:ascii="Verdana" w:eastAsia="Verdana" w:hAnsi="Verdana" w:cs="Verdana"/>
          <w:lang w:val="es-MX"/>
        </w:rPr>
      </w:pPr>
    </w:p>
    <w:sectPr w:rsidR="000E07C3"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9701F" w14:textId="77777777" w:rsidR="00247E8E" w:rsidRDefault="00247E8E" w:rsidP="004A1847">
      <w:pPr>
        <w:spacing w:after="0" w:line="240" w:lineRule="auto"/>
      </w:pPr>
      <w:r>
        <w:separator/>
      </w:r>
    </w:p>
  </w:endnote>
  <w:endnote w:type="continuationSeparator" w:id="0">
    <w:p w14:paraId="5A76C1D7" w14:textId="77777777" w:rsidR="00247E8E" w:rsidRDefault="00247E8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C06CD1"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PT" w:eastAsia="es-CO"/>
      </w:rPr>
    </w:pPr>
    <w:r w:rsidRPr="00C06CD1">
      <w:rPr>
        <w:rFonts w:ascii="Verdana" w:eastAsia="Verdana" w:hAnsi="Verdana" w:cs="Verdana"/>
        <w:b/>
        <w:bCs/>
        <w:color w:val="000000" w:themeColor="text1"/>
        <w:sz w:val="18"/>
        <w:szCs w:val="18"/>
        <w:lang w:val="pt-PT" w:eastAsia="es-CO"/>
      </w:rPr>
      <w:t xml:space="preserve">Código: </w:t>
    </w:r>
    <w:r w:rsidRPr="00C06CD1">
      <w:rPr>
        <w:rFonts w:ascii="Verdana" w:eastAsia="Verdana" w:hAnsi="Verdana" w:cs="Verdana"/>
        <w:color w:val="000000" w:themeColor="text1"/>
        <w:sz w:val="18"/>
        <w:szCs w:val="18"/>
        <w:lang w:val="pt-PT" w:eastAsia="es-CO"/>
      </w:rPr>
      <w:t xml:space="preserve">CCE-REC-FM-17 </w:t>
    </w:r>
    <w:r w:rsidRPr="00C06CD1">
      <w:rPr>
        <w:rFonts w:ascii="Verdana" w:eastAsia="Verdana" w:hAnsi="Verdana" w:cs="Verdana"/>
        <w:b/>
        <w:bCs/>
        <w:color w:val="000000" w:themeColor="text1"/>
        <w:sz w:val="18"/>
        <w:szCs w:val="18"/>
        <w:lang w:val="pt-PT" w:eastAsia="es-CO"/>
      </w:rPr>
      <w:t xml:space="preserve">V: </w:t>
    </w:r>
    <w:r w:rsidRPr="00C06CD1">
      <w:rPr>
        <w:rFonts w:ascii="Verdana" w:eastAsia="Verdana" w:hAnsi="Verdana" w:cs="Verdana"/>
        <w:sz w:val="18"/>
        <w:szCs w:val="18"/>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8906A" w14:textId="77777777" w:rsidR="00247E8E" w:rsidRDefault="00247E8E" w:rsidP="004A1847">
      <w:pPr>
        <w:spacing w:after="0" w:line="240" w:lineRule="auto"/>
      </w:pPr>
      <w:r>
        <w:separator/>
      </w:r>
    </w:p>
  </w:footnote>
  <w:footnote w:type="continuationSeparator" w:id="0">
    <w:p w14:paraId="51A66600" w14:textId="77777777" w:rsidR="00247E8E" w:rsidRDefault="00247E8E" w:rsidP="004A1847">
      <w:pPr>
        <w:spacing w:after="0" w:line="240" w:lineRule="auto"/>
      </w:pPr>
      <w:r>
        <w:continuationSeparator/>
      </w:r>
    </w:p>
  </w:footnote>
  <w:footnote w:id="1">
    <w:p w14:paraId="7EED0B21" w14:textId="77777777" w:rsidR="000E07C3" w:rsidRPr="005D5C35" w:rsidRDefault="000E07C3" w:rsidP="000E07C3">
      <w:pPr>
        <w:pStyle w:val="Textonotapie"/>
        <w:ind w:firstLine="709"/>
        <w:jc w:val="both"/>
        <w:rPr>
          <w:rFonts w:ascii="Verdana" w:hAnsi="Verdana" w:cs="Arial"/>
          <w:color w:val="000000" w:themeColor="text1"/>
          <w:sz w:val="14"/>
          <w:szCs w:val="14"/>
        </w:rPr>
      </w:pPr>
      <w:r w:rsidRPr="005D5C35">
        <w:rPr>
          <w:rStyle w:val="Refdenotaalpie"/>
          <w:rFonts w:ascii="Verdana" w:hAnsi="Verdana" w:cs="Arial"/>
          <w:color w:val="000000" w:themeColor="text1"/>
          <w:sz w:val="14"/>
          <w:szCs w:val="14"/>
        </w:rPr>
        <w:footnoteRef/>
      </w:r>
      <w:r w:rsidRPr="005D5C35">
        <w:rPr>
          <w:rFonts w:ascii="Verdana" w:hAnsi="Verdana" w:cs="Arial"/>
          <w:color w:val="000000" w:themeColor="text1"/>
          <w:sz w:val="14"/>
          <w:szCs w:val="14"/>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footnote>
  <w:footnote w:id="2">
    <w:p w14:paraId="66D0DDDB" w14:textId="77777777" w:rsidR="000E07C3" w:rsidRPr="00940D18" w:rsidRDefault="000E07C3" w:rsidP="000E07C3">
      <w:pPr>
        <w:pStyle w:val="Textonotapie"/>
        <w:ind w:firstLine="709"/>
        <w:jc w:val="both"/>
        <w:rPr>
          <w:rFonts w:ascii="Verdana" w:hAnsi="Verdana" w:cs="Arial"/>
          <w:color w:val="000000" w:themeColor="text1"/>
          <w:sz w:val="16"/>
          <w:szCs w:val="16"/>
        </w:rPr>
      </w:pPr>
      <w:r w:rsidRPr="00940D18">
        <w:rPr>
          <w:rStyle w:val="Refdenotaalpie"/>
          <w:rFonts w:ascii="Verdana" w:hAnsi="Verdana" w:cs="Arial"/>
          <w:color w:val="000000" w:themeColor="text1"/>
          <w:sz w:val="16"/>
          <w:szCs w:val="16"/>
        </w:rPr>
        <w:footnoteRef/>
      </w:r>
      <w:r w:rsidRPr="00940D18">
        <w:rPr>
          <w:rFonts w:ascii="Verdana" w:hAnsi="Verdana" w:cs="Arial"/>
          <w:color w:val="000000" w:themeColor="text1"/>
          <w:sz w:val="16"/>
          <w:szCs w:val="16"/>
        </w:rPr>
        <w:t xml:space="preserve"> </w:t>
      </w:r>
      <w:r>
        <w:rPr>
          <w:rFonts w:ascii="Verdana" w:hAnsi="Verdana" w:cs="Arial"/>
          <w:color w:val="000000" w:themeColor="text1"/>
          <w:sz w:val="16"/>
          <w:szCs w:val="16"/>
        </w:rPr>
        <w:t>Consejo de Estado. Sala de lo Contencioso Administrativo</w:t>
      </w:r>
      <w:r w:rsidRPr="00940D18">
        <w:rPr>
          <w:rFonts w:ascii="Verdana" w:hAnsi="Verdana" w:cs="Arial"/>
          <w:color w:val="000000" w:themeColor="text1"/>
          <w:sz w:val="16"/>
          <w:szCs w:val="16"/>
        </w:rPr>
        <w:t xml:space="preserve">. Sección Tercera. </w:t>
      </w:r>
      <w:r>
        <w:rPr>
          <w:rFonts w:ascii="Verdana" w:hAnsi="Verdana" w:cs="Arial"/>
          <w:color w:val="000000" w:themeColor="text1"/>
          <w:sz w:val="16"/>
          <w:szCs w:val="16"/>
        </w:rPr>
        <w:t xml:space="preserve">Sentencia del </w:t>
      </w:r>
      <w:r w:rsidRPr="00940D18">
        <w:rPr>
          <w:rFonts w:ascii="Verdana" w:hAnsi="Verdana" w:cs="Arial"/>
          <w:color w:val="000000" w:themeColor="text1"/>
          <w:sz w:val="16"/>
          <w:szCs w:val="16"/>
        </w:rPr>
        <w:t>24 de octubre de 2016. Radicado No. 45.607</w:t>
      </w:r>
      <w:r>
        <w:rPr>
          <w:rFonts w:ascii="Verdana" w:hAnsi="Verdana" w:cs="Arial"/>
          <w:color w:val="000000" w:themeColor="text1"/>
          <w:sz w:val="16"/>
          <w:szCs w:val="16"/>
        </w:rPr>
        <w:t xml:space="preserve">. </w:t>
      </w:r>
      <w:r w:rsidRPr="00940D18">
        <w:rPr>
          <w:rFonts w:ascii="Verdana" w:hAnsi="Verdana" w:cs="Arial"/>
          <w:color w:val="000000" w:themeColor="text1"/>
          <w:sz w:val="16"/>
          <w:szCs w:val="16"/>
        </w:rPr>
        <w:t>C</w:t>
      </w:r>
      <w:r>
        <w:rPr>
          <w:rFonts w:ascii="Verdana" w:hAnsi="Verdana" w:cs="Arial"/>
          <w:color w:val="000000" w:themeColor="text1"/>
          <w:sz w:val="16"/>
          <w:szCs w:val="16"/>
        </w:rPr>
        <w:t>.</w:t>
      </w:r>
      <w:r w:rsidRPr="00940D18">
        <w:rPr>
          <w:rFonts w:ascii="Verdana" w:hAnsi="Verdana" w:cs="Arial"/>
          <w:color w:val="000000" w:themeColor="text1"/>
          <w:sz w:val="16"/>
          <w:szCs w:val="16"/>
        </w:rPr>
        <w:t>P: Mar</w:t>
      </w:r>
      <w:r>
        <w:rPr>
          <w:rFonts w:ascii="Verdana" w:hAnsi="Verdana" w:cs="Arial"/>
          <w:color w:val="000000" w:themeColor="text1"/>
          <w:sz w:val="16"/>
          <w:szCs w:val="16"/>
        </w:rPr>
        <w:t xml:space="preserve">ta </w:t>
      </w:r>
      <w:r w:rsidRPr="00940D18">
        <w:rPr>
          <w:rFonts w:ascii="Verdana" w:hAnsi="Verdana" w:cs="Arial"/>
          <w:color w:val="000000" w:themeColor="text1"/>
          <w:sz w:val="16"/>
          <w:szCs w:val="16"/>
        </w:rPr>
        <w:t>Nubia Velásquez Rico.</w:t>
      </w:r>
    </w:p>
  </w:footnote>
  <w:footnote w:id="3">
    <w:p w14:paraId="75DC17E9" w14:textId="77777777" w:rsidR="000E07C3" w:rsidRPr="005D5C35" w:rsidRDefault="000E07C3" w:rsidP="000E07C3">
      <w:pPr>
        <w:pStyle w:val="Textonotapie"/>
        <w:ind w:firstLine="709"/>
        <w:jc w:val="both"/>
        <w:rPr>
          <w:rFonts w:ascii="Verdana" w:hAnsi="Verdana" w:cs="Arial"/>
          <w:color w:val="000000" w:themeColor="text1"/>
          <w:sz w:val="14"/>
          <w:szCs w:val="14"/>
        </w:rPr>
      </w:pPr>
      <w:r w:rsidRPr="005D5C35">
        <w:rPr>
          <w:rStyle w:val="Refdenotaalpie"/>
          <w:rFonts w:ascii="Verdana" w:hAnsi="Verdana" w:cs="Arial"/>
          <w:color w:val="000000" w:themeColor="text1"/>
          <w:sz w:val="14"/>
          <w:szCs w:val="14"/>
        </w:rPr>
        <w:footnoteRef/>
      </w:r>
      <w:r w:rsidRPr="005D5C35">
        <w:rPr>
          <w:rFonts w:ascii="Verdana" w:hAnsi="Verdana" w:cs="Arial"/>
          <w:color w:val="000000" w:themeColor="text1"/>
          <w:sz w:val="14"/>
          <w:szCs w:val="14"/>
        </w:rPr>
        <w:t xml:space="preserve"> Este fenómeno también se ha presentado, en los últimos años, en España. Al respecto, ver: SÁNCHEZ MORÓN, Miguel. El retorno del derecho administrativo. En: Revista de Administración Pública. </w:t>
      </w:r>
      <w:proofErr w:type="spellStart"/>
      <w:r w:rsidRPr="005D5C35">
        <w:rPr>
          <w:rFonts w:ascii="Verdana" w:hAnsi="Verdana" w:cs="Arial"/>
          <w:color w:val="000000" w:themeColor="text1"/>
          <w:sz w:val="14"/>
          <w:szCs w:val="14"/>
        </w:rPr>
        <w:t>Nº</w:t>
      </w:r>
      <w:proofErr w:type="spellEnd"/>
      <w:r w:rsidRPr="005D5C35">
        <w:rPr>
          <w:rFonts w:ascii="Verdana" w:hAnsi="Verdana" w:cs="Arial"/>
          <w:color w:val="000000" w:themeColor="text1"/>
          <w:sz w:val="14"/>
          <w:szCs w:val="14"/>
        </w:rPr>
        <w:t xml:space="preserve"> 216 (2018). Disponible en: </w:t>
      </w:r>
      <w:hyperlink r:id="rId1" w:history="1">
        <w:r w:rsidRPr="005D5C35">
          <w:rPr>
            <w:rStyle w:val="Hipervnculo"/>
            <w:rFonts w:ascii="Verdana" w:hAnsi="Verdana" w:cs="Arial"/>
            <w:sz w:val="14"/>
            <w:szCs w:val="14"/>
          </w:rPr>
          <w:t>https://recyt.fecyt.es/index.php/RAP/article/view/67033</w:t>
        </w:r>
      </w:hyperlink>
      <w:r w:rsidRPr="005D5C35">
        <w:rPr>
          <w:rFonts w:ascii="Verdana" w:hAnsi="Verdana" w:cs="Arial"/>
          <w:color w:val="000000" w:themeColor="text1"/>
          <w:sz w:val="14"/>
          <w:szCs w:val="14"/>
        </w:rPr>
        <w:t>.</w:t>
      </w:r>
    </w:p>
    <w:p w14:paraId="178E416E" w14:textId="77777777" w:rsidR="000E07C3" w:rsidRPr="005D5C35" w:rsidRDefault="000E07C3" w:rsidP="000E07C3">
      <w:pPr>
        <w:pStyle w:val="Textonotapie"/>
        <w:ind w:firstLine="709"/>
        <w:jc w:val="both"/>
        <w:rPr>
          <w:rFonts w:ascii="Verdana" w:hAnsi="Verdana" w:cs="Arial"/>
          <w:color w:val="000000" w:themeColor="text1"/>
          <w:sz w:val="14"/>
          <w:szCs w:val="14"/>
        </w:rPr>
      </w:pPr>
    </w:p>
  </w:footnote>
  <w:footnote w:id="4">
    <w:p w14:paraId="4770CF22" w14:textId="77777777" w:rsidR="000E07C3" w:rsidRPr="005D5C35" w:rsidRDefault="000E07C3" w:rsidP="000E07C3">
      <w:pPr>
        <w:pStyle w:val="Textonotapie"/>
        <w:ind w:firstLine="708"/>
        <w:jc w:val="both"/>
        <w:rPr>
          <w:rFonts w:ascii="Verdana" w:hAnsi="Verdana" w:cs="Arial"/>
          <w:color w:val="000000" w:themeColor="text1"/>
          <w:sz w:val="14"/>
          <w:szCs w:val="14"/>
          <w:lang w:val="es-ES"/>
        </w:rPr>
      </w:pPr>
      <w:r w:rsidRPr="005D5C35">
        <w:rPr>
          <w:rStyle w:val="Refdenotaalpie"/>
          <w:rFonts w:ascii="Verdana" w:hAnsi="Verdana" w:cs="Arial"/>
          <w:color w:val="000000" w:themeColor="text1"/>
          <w:sz w:val="14"/>
          <w:szCs w:val="14"/>
        </w:rPr>
        <w:footnoteRef/>
      </w:r>
      <w:r w:rsidRPr="005D5C35">
        <w:rPr>
          <w:rFonts w:ascii="Verdana" w:hAnsi="Verdana" w:cs="Arial"/>
          <w:color w:val="000000" w:themeColor="text1"/>
          <w:sz w:val="14"/>
          <w:szCs w:val="14"/>
        </w:rPr>
        <w:t xml:space="preserve"> </w:t>
      </w:r>
      <w:r w:rsidRPr="005D5C35">
        <w:rPr>
          <w:rFonts w:ascii="Verdana" w:hAnsi="Verdana" w:cs="Arial"/>
          <w:color w:val="000000" w:themeColor="text1"/>
          <w:sz w:val="14"/>
          <w:szCs w:val="14"/>
          <w:lang w:val="es-ES"/>
        </w:rPr>
        <w:t xml:space="preserve">Es el caso de: i) las empresas sociales del Estado (art. 195, </w:t>
      </w:r>
      <w:proofErr w:type="spellStart"/>
      <w:r w:rsidRPr="005D5C35">
        <w:rPr>
          <w:rFonts w:ascii="Verdana" w:hAnsi="Verdana" w:cs="Arial"/>
          <w:color w:val="000000" w:themeColor="text1"/>
          <w:sz w:val="14"/>
          <w:szCs w:val="14"/>
          <w:lang w:val="es-ES"/>
        </w:rPr>
        <w:t>num</w:t>
      </w:r>
      <w:proofErr w:type="spellEnd"/>
      <w:r w:rsidRPr="005D5C35">
        <w:rPr>
          <w:rFonts w:ascii="Verdana" w:hAnsi="Verdana" w:cs="Arial"/>
          <w:color w:val="000000" w:themeColor="text1"/>
          <w:sz w:val="14"/>
          <w:szCs w:val="14"/>
          <w:lang w:val="es-ES"/>
        </w:rPr>
        <w:t xml:space="preserve">. 6, Ley 100/1993), </w:t>
      </w:r>
      <w:proofErr w:type="spellStart"/>
      <w:r w:rsidRPr="005D5C35">
        <w:rPr>
          <w:rFonts w:ascii="Verdana" w:hAnsi="Verdana" w:cs="Arial"/>
          <w:color w:val="000000" w:themeColor="text1"/>
          <w:sz w:val="14"/>
          <w:szCs w:val="14"/>
          <w:lang w:val="es-ES"/>
        </w:rPr>
        <w:t>ii</w:t>
      </w:r>
      <w:proofErr w:type="spellEnd"/>
      <w:r w:rsidRPr="005D5C35">
        <w:rPr>
          <w:rFonts w:ascii="Verdana" w:hAnsi="Verdana" w:cs="Arial"/>
          <w:color w:val="000000" w:themeColor="text1"/>
          <w:sz w:val="14"/>
          <w:szCs w:val="14"/>
          <w:lang w:val="es-ES"/>
        </w:rPr>
        <w:t xml:space="preserve">) las empresas prestadoras de servicios públicos domiciliarios (arts. 31 y 32, Ley 142/94); </w:t>
      </w:r>
      <w:proofErr w:type="spellStart"/>
      <w:r w:rsidRPr="005D5C35">
        <w:rPr>
          <w:rFonts w:ascii="Verdana" w:hAnsi="Verdana" w:cs="Arial"/>
          <w:color w:val="000000" w:themeColor="text1"/>
          <w:sz w:val="14"/>
          <w:szCs w:val="14"/>
          <w:lang w:val="es-ES"/>
        </w:rPr>
        <w:t>iii</w:t>
      </w:r>
      <w:proofErr w:type="spellEnd"/>
      <w:r w:rsidRPr="005D5C35">
        <w:rPr>
          <w:rFonts w:ascii="Verdana" w:hAnsi="Verdana" w:cs="Arial"/>
          <w:color w:val="000000" w:themeColor="text1"/>
          <w:sz w:val="14"/>
          <w:szCs w:val="14"/>
          <w:lang w:val="es-ES"/>
        </w:rPr>
        <w:t xml:space="preserve">) las empresas industriales y comerciales del Estado, sociedades públicas y sociedades de economía mixta con capital público mayoritario, siempre que las tres entidades mencionadas anteriormente se encuentren en competencia con el sector público o privado, a nivel nacional o internacional, o ejerzan su actividad en un mercado regulado (art. 14, Ley 1150/07); </w:t>
      </w:r>
      <w:proofErr w:type="spellStart"/>
      <w:r w:rsidRPr="005D5C35">
        <w:rPr>
          <w:rFonts w:ascii="Verdana" w:hAnsi="Verdana" w:cs="Arial"/>
          <w:color w:val="000000" w:themeColor="text1"/>
          <w:sz w:val="14"/>
          <w:szCs w:val="14"/>
          <w:lang w:val="es-ES"/>
        </w:rPr>
        <w:t>iv</w:t>
      </w:r>
      <w:proofErr w:type="spellEnd"/>
      <w:r w:rsidRPr="005D5C35">
        <w:rPr>
          <w:rFonts w:ascii="Verdana" w:hAnsi="Verdana" w:cs="Arial"/>
          <w:color w:val="000000" w:themeColor="text1"/>
          <w:sz w:val="14"/>
          <w:szCs w:val="14"/>
          <w:lang w:val="es-ES"/>
        </w:rPr>
        <w:t>) las universidades públicas (art. 93, Ley 30/92); entre otras.</w:t>
      </w:r>
    </w:p>
    <w:p w14:paraId="4DC731B4" w14:textId="77777777" w:rsidR="000E07C3" w:rsidRPr="005D5C35" w:rsidRDefault="000E07C3" w:rsidP="000E07C3">
      <w:pPr>
        <w:pStyle w:val="Textonotapie"/>
        <w:ind w:firstLine="708"/>
        <w:jc w:val="both"/>
        <w:rPr>
          <w:rFonts w:ascii="Verdana" w:hAnsi="Verdana" w:cs="Arial"/>
          <w:color w:val="000000" w:themeColor="text1"/>
          <w:sz w:val="14"/>
          <w:szCs w:val="14"/>
          <w:lang w:val="es-ES"/>
        </w:rPr>
      </w:pPr>
    </w:p>
  </w:footnote>
  <w:footnote w:id="5">
    <w:p w14:paraId="6DCAA4DF" w14:textId="77777777" w:rsidR="000E07C3" w:rsidRPr="005D5C35" w:rsidRDefault="000E07C3" w:rsidP="000E07C3">
      <w:pPr>
        <w:pStyle w:val="Textonotapie"/>
        <w:ind w:firstLine="709"/>
        <w:jc w:val="both"/>
        <w:rPr>
          <w:rFonts w:ascii="Verdana" w:hAnsi="Verdana" w:cs="Arial"/>
          <w:color w:val="000000" w:themeColor="text1"/>
          <w:sz w:val="14"/>
          <w:szCs w:val="14"/>
          <w:lang w:val="es-ES"/>
        </w:rPr>
      </w:pPr>
      <w:r w:rsidRPr="005D5C35">
        <w:rPr>
          <w:rStyle w:val="Refdenotaalpie"/>
          <w:rFonts w:ascii="Verdana" w:hAnsi="Verdana" w:cs="Arial"/>
          <w:color w:val="000000" w:themeColor="text1"/>
          <w:sz w:val="14"/>
          <w:szCs w:val="14"/>
        </w:rPr>
        <w:footnoteRef/>
      </w:r>
      <w:r w:rsidRPr="005D5C35">
        <w:rPr>
          <w:rFonts w:ascii="Verdana" w:hAnsi="Verdana" w:cs="Arial"/>
          <w:color w:val="000000" w:themeColor="text1"/>
          <w:sz w:val="14"/>
          <w:szCs w:val="14"/>
        </w:rPr>
        <w:t xml:space="preserve"> </w:t>
      </w:r>
      <w:r w:rsidRPr="005D5C35">
        <w:rPr>
          <w:rFonts w:ascii="Verdana" w:hAnsi="Verdana" w:cs="Arial"/>
          <w:color w:val="000000" w:themeColor="text1"/>
          <w:sz w:val="14"/>
          <w:szCs w:val="14"/>
          <w:lang w:val="es-ES"/>
        </w:rPr>
        <w:t>Leyes que, a su vez, han sido modificadas por otras posteriores, como las Leyes 1474 de 2011 y 1882 de 2018, entre otras. Así mismo, se recuerda que el Estatuto General de Contratación de la Administración Pública se encuentra reglamentado actualmente por el Decreto 1082 de 2015.</w:t>
      </w:r>
    </w:p>
    <w:p w14:paraId="12240117" w14:textId="77777777" w:rsidR="000E07C3" w:rsidRPr="005D5C35" w:rsidRDefault="000E07C3" w:rsidP="000E07C3">
      <w:pPr>
        <w:pStyle w:val="Textonotapie"/>
        <w:ind w:firstLine="709"/>
        <w:jc w:val="both"/>
        <w:rPr>
          <w:rFonts w:ascii="Verdana" w:hAnsi="Verdana" w:cs="Arial"/>
          <w:color w:val="000000" w:themeColor="text1"/>
          <w:sz w:val="14"/>
          <w:szCs w:val="14"/>
          <w:lang w:val="es-ES"/>
        </w:rPr>
      </w:pPr>
    </w:p>
  </w:footnote>
  <w:footnote w:id="6">
    <w:p w14:paraId="0A4A8F6C" w14:textId="77777777" w:rsidR="000E07C3" w:rsidRPr="005D5C35" w:rsidRDefault="000E07C3" w:rsidP="000E07C3">
      <w:pPr>
        <w:pStyle w:val="Textonotapie"/>
        <w:ind w:firstLine="709"/>
        <w:jc w:val="both"/>
        <w:rPr>
          <w:rFonts w:ascii="Verdana" w:hAnsi="Verdana" w:cs="Arial"/>
          <w:color w:val="000000" w:themeColor="text1"/>
          <w:sz w:val="14"/>
          <w:szCs w:val="14"/>
        </w:rPr>
      </w:pPr>
      <w:r w:rsidRPr="005D5C35">
        <w:rPr>
          <w:rStyle w:val="Refdenotaalpie"/>
          <w:rFonts w:ascii="Verdana" w:hAnsi="Verdana" w:cs="Arial"/>
          <w:color w:val="000000" w:themeColor="text1"/>
          <w:sz w:val="14"/>
          <w:szCs w:val="14"/>
        </w:rPr>
        <w:footnoteRef/>
      </w:r>
      <w:r w:rsidRPr="005D5C35">
        <w:rPr>
          <w:rFonts w:ascii="Verdana" w:hAnsi="Verdana" w:cs="Arial"/>
          <w:color w:val="000000" w:themeColor="text1"/>
          <w:sz w:val="14"/>
          <w:szCs w:val="14"/>
        </w:rPr>
        <w:t xml:space="preserve"> Así lo sostuvo el Consejo de Estado: “Esta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14:paraId="696CE152" w14:textId="77777777" w:rsidR="000E07C3" w:rsidRPr="005D5C35" w:rsidRDefault="000E07C3" w:rsidP="000E07C3">
      <w:pPr>
        <w:pStyle w:val="Textonotapie"/>
        <w:ind w:firstLine="709"/>
        <w:jc w:val="both"/>
        <w:rPr>
          <w:rFonts w:ascii="Verdana" w:hAnsi="Verdana" w:cs="Arial"/>
          <w:color w:val="000000" w:themeColor="text1"/>
          <w:sz w:val="14"/>
          <w:szCs w:val="14"/>
        </w:rPr>
      </w:pPr>
      <w:r w:rsidRPr="005D5C35">
        <w:rPr>
          <w:rFonts w:ascii="Verdana" w:hAnsi="Verdana" w:cs="Arial"/>
          <w:color w:val="000000" w:themeColor="text1"/>
          <w:sz w:val="14"/>
          <w:szCs w:val="14"/>
        </w:rPr>
        <w:t>Lo anterior explica por qué en el derecho privado las partes no pueden condicionar la existencia de un contrato, que por ley sea consensual, al hecho de que conste por escrito; ni uno que requiere escritura pública al hecho de que el acuerdo verbal sea suficiente. Esto significa que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14:paraId="110D04BF" w14:textId="77777777" w:rsidR="000E07C3" w:rsidRPr="005D5C35" w:rsidRDefault="000E07C3" w:rsidP="000E07C3">
      <w:pPr>
        <w:pStyle w:val="Textonotapie"/>
        <w:ind w:firstLine="709"/>
        <w:jc w:val="both"/>
        <w:rPr>
          <w:rFonts w:ascii="Verdana" w:hAnsi="Verdana" w:cs="Arial"/>
          <w:color w:val="000000" w:themeColor="text1"/>
          <w:sz w:val="14"/>
          <w:szCs w:val="14"/>
        </w:rPr>
      </w:pPr>
      <w:r w:rsidRPr="005D5C35">
        <w:rPr>
          <w:rFonts w:ascii="Verdana" w:hAnsi="Verdana" w:cs="Arial"/>
          <w:color w:val="000000" w:themeColor="text1"/>
          <w:sz w:val="14"/>
          <w:szCs w:val="14"/>
        </w:rPr>
        <w:t>a.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14:paraId="3B7BD3D3" w14:textId="77777777" w:rsidR="000E07C3" w:rsidRPr="005D5C35" w:rsidRDefault="000E07C3" w:rsidP="000E07C3">
      <w:pPr>
        <w:pStyle w:val="Textonotapie"/>
        <w:ind w:firstLine="709"/>
        <w:jc w:val="both"/>
        <w:rPr>
          <w:rFonts w:ascii="Verdana" w:hAnsi="Verdana" w:cs="Arial"/>
          <w:color w:val="000000" w:themeColor="text1"/>
          <w:sz w:val="14"/>
          <w:szCs w:val="14"/>
        </w:rPr>
      </w:pPr>
      <w:r w:rsidRPr="005D5C35">
        <w:rPr>
          <w:rFonts w:ascii="Verdana" w:hAnsi="Verdana" w:cs="Arial"/>
          <w:color w:val="000000" w:themeColor="text1"/>
          <w:sz w:val="14"/>
          <w:szCs w:val="14"/>
        </w:rPr>
        <w:t>b.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14:paraId="187A2796" w14:textId="77777777" w:rsidR="000E07C3" w:rsidRPr="005D5C35" w:rsidRDefault="000E07C3" w:rsidP="000E07C3">
      <w:pPr>
        <w:pStyle w:val="Textonotapie"/>
        <w:ind w:firstLine="709"/>
        <w:jc w:val="both"/>
        <w:rPr>
          <w:rFonts w:ascii="Verdana" w:hAnsi="Verdana" w:cs="Arial"/>
          <w:color w:val="000000" w:themeColor="text1"/>
          <w:sz w:val="14"/>
          <w:szCs w:val="14"/>
        </w:rPr>
      </w:pPr>
      <w:r w:rsidRPr="005D5C35">
        <w:rPr>
          <w:rFonts w:ascii="Verdana" w:hAnsi="Verdana" w:cs="Arial"/>
          <w:color w:val="000000" w:themeColor="text1"/>
          <w:sz w:val="14"/>
          <w:szCs w:val="14"/>
        </w:rPr>
        <w:t xml:space="preserve">c.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 (Consejo de Estado. Sala de lo Contencioso Administrativo. Sección Tercera. Subsección C. Sentencia del 8 de abril de 2014. </w:t>
      </w:r>
      <w:proofErr w:type="spellStart"/>
      <w:r w:rsidRPr="005D5C35">
        <w:rPr>
          <w:rFonts w:ascii="Verdana" w:hAnsi="Verdana" w:cs="Arial"/>
          <w:color w:val="000000" w:themeColor="text1"/>
          <w:sz w:val="14"/>
          <w:szCs w:val="14"/>
        </w:rPr>
        <w:t>Exp</w:t>
      </w:r>
      <w:proofErr w:type="spellEnd"/>
      <w:r w:rsidRPr="005D5C35">
        <w:rPr>
          <w:rFonts w:ascii="Verdana" w:hAnsi="Verdana" w:cs="Arial"/>
          <w:color w:val="000000" w:themeColor="text1"/>
          <w:sz w:val="14"/>
          <w:szCs w:val="14"/>
        </w:rPr>
        <w:t xml:space="preserve">. 25.801 C.P. Enrique Gil Botero). </w:t>
      </w:r>
    </w:p>
    <w:p w14:paraId="214D687B" w14:textId="77777777" w:rsidR="000E07C3" w:rsidRPr="005D5C35" w:rsidRDefault="000E07C3" w:rsidP="000E07C3">
      <w:pPr>
        <w:pStyle w:val="Textonotapie"/>
        <w:ind w:firstLine="709"/>
        <w:jc w:val="both"/>
        <w:rPr>
          <w:rFonts w:ascii="Verdana" w:hAnsi="Verdana" w:cs="Arial"/>
          <w:color w:val="000000" w:themeColor="text1"/>
          <w:sz w:val="14"/>
          <w:szCs w:val="14"/>
        </w:rPr>
      </w:pPr>
    </w:p>
  </w:footnote>
  <w:footnote w:id="7">
    <w:p w14:paraId="31ADF8FF" w14:textId="77777777" w:rsidR="000E07C3" w:rsidRPr="005D5C35" w:rsidRDefault="000E07C3" w:rsidP="000E07C3">
      <w:pPr>
        <w:pStyle w:val="Textonotapie"/>
        <w:ind w:firstLine="708"/>
        <w:jc w:val="both"/>
        <w:rPr>
          <w:rFonts w:ascii="Verdana" w:hAnsi="Verdana" w:cs="Arial"/>
          <w:color w:val="000000" w:themeColor="text1"/>
          <w:sz w:val="14"/>
          <w:szCs w:val="14"/>
        </w:rPr>
      </w:pPr>
      <w:r w:rsidRPr="005D5C35">
        <w:rPr>
          <w:rStyle w:val="Refdenotaalpie"/>
          <w:rFonts w:ascii="Verdana" w:hAnsi="Verdana" w:cs="Arial"/>
          <w:color w:val="000000" w:themeColor="text1"/>
          <w:sz w:val="14"/>
          <w:szCs w:val="14"/>
        </w:rPr>
        <w:footnoteRef/>
      </w:r>
      <w:r w:rsidRPr="005D5C35">
        <w:rPr>
          <w:rFonts w:ascii="Verdana" w:hAnsi="Verdana" w:cs="Arial"/>
          <w:color w:val="000000" w:themeColor="text1"/>
          <w:sz w:val="14"/>
          <w:szCs w:val="14"/>
        </w:rPr>
        <w:t xml:space="preserve"> Al respecto, el artículo 2, literal a) del numeral 1, del Estatuto General de Contratación denomina como entidades estatales a “La Nación, las regiones, los departamentos, las provincias, el distrito capital y los distritos especiales, las áreas metropolitanas, las asociaciones de municipios, los territorios indígenas y los municipios; los establecimientos públicos, </w:t>
      </w:r>
      <w:r w:rsidRPr="005D5C35">
        <w:rPr>
          <w:rFonts w:ascii="Verdana" w:hAnsi="Verdana" w:cs="Arial"/>
          <w:i/>
          <w:iCs/>
          <w:color w:val="000000" w:themeColor="text1"/>
          <w:sz w:val="14"/>
          <w:szCs w:val="14"/>
        </w:rPr>
        <w:t>las empresas industriales y comerciales del Estado</w:t>
      </w:r>
      <w:r w:rsidRPr="005D5C35">
        <w:rPr>
          <w:rFonts w:ascii="Verdana" w:hAnsi="Verdana" w:cs="Arial"/>
          <w:color w:val="000000" w:themeColor="text1"/>
          <w:sz w:val="14"/>
          <w:szCs w:val="14"/>
        </w:rPr>
        <w:t>,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(Énfasis fuera de texto).</w:t>
      </w:r>
    </w:p>
    <w:p w14:paraId="7A361EF5" w14:textId="77777777" w:rsidR="000E07C3" w:rsidRPr="005D5C35" w:rsidRDefault="000E07C3" w:rsidP="000E07C3">
      <w:pPr>
        <w:pStyle w:val="Textonotapie"/>
        <w:ind w:firstLine="708"/>
        <w:jc w:val="both"/>
        <w:rPr>
          <w:rFonts w:ascii="Verdana" w:hAnsi="Verdana" w:cs="Arial"/>
          <w:color w:val="000000" w:themeColor="text1"/>
          <w:sz w:val="14"/>
          <w:szCs w:val="14"/>
        </w:rPr>
      </w:pPr>
    </w:p>
  </w:footnote>
  <w:footnote w:id="8">
    <w:p w14:paraId="094E926C" w14:textId="77777777" w:rsidR="000E07C3" w:rsidRPr="005D5C35" w:rsidRDefault="000E07C3" w:rsidP="000E07C3">
      <w:pPr>
        <w:pStyle w:val="Textonotapie"/>
        <w:ind w:firstLine="708"/>
        <w:jc w:val="both"/>
        <w:rPr>
          <w:rFonts w:ascii="Verdana" w:hAnsi="Verdana" w:cs="Arial"/>
          <w:sz w:val="14"/>
          <w:szCs w:val="14"/>
        </w:rPr>
      </w:pPr>
      <w:r w:rsidRPr="005D5C35">
        <w:rPr>
          <w:rStyle w:val="Refdenotaalpie"/>
          <w:rFonts w:ascii="Verdana" w:hAnsi="Verdana" w:cs="Arial"/>
          <w:sz w:val="14"/>
          <w:szCs w:val="14"/>
        </w:rPr>
        <w:footnoteRef/>
      </w:r>
      <w:r w:rsidRPr="005D5C35">
        <w:rPr>
          <w:rFonts w:ascii="Verdana" w:hAnsi="Verdana" w:cs="Arial"/>
          <w:sz w:val="14"/>
          <w:szCs w:val="14"/>
        </w:rPr>
        <w:t xml:space="preserve"> El numeral derogado disponía que “La escogencia del contratista se efectuará siempre a través de licitación o concurso públicos, salvo en los siguientes casos en los que se podrá contratar directamente: […] m)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esta ley”.</w:t>
      </w:r>
    </w:p>
    <w:p w14:paraId="2653DEA0" w14:textId="77777777" w:rsidR="000E07C3" w:rsidRPr="005D5C35" w:rsidRDefault="000E07C3" w:rsidP="000E07C3">
      <w:pPr>
        <w:pStyle w:val="Textonotapie"/>
        <w:ind w:firstLine="708"/>
        <w:jc w:val="both"/>
        <w:rPr>
          <w:rFonts w:ascii="Verdana" w:hAnsi="Verdana" w:cs="Arial"/>
          <w:sz w:val="14"/>
          <w:szCs w:val="14"/>
        </w:rPr>
      </w:pPr>
    </w:p>
  </w:footnote>
  <w:footnote w:id="9">
    <w:p w14:paraId="7A906C19" w14:textId="77777777" w:rsidR="000E07C3" w:rsidRPr="00940D18" w:rsidRDefault="000E07C3" w:rsidP="000E07C3">
      <w:pPr>
        <w:pStyle w:val="Textonotapie"/>
        <w:ind w:firstLine="708"/>
        <w:jc w:val="both"/>
        <w:rPr>
          <w:rFonts w:ascii="Verdana" w:hAnsi="Verdana"/>
          <w:sz w:val="16"/>
          <w:szCs w:val="16"/>
          <w:lang w:val="es-CO"/>
        </w:rPr>
      </w:pPr>
      <w:r w:rsidRPr="005D5C35">
        <w:rPr>
          <w:rStyle w:val="Refdenotaalpie"/>
          <w:rFonts w:ascii="Verdana" w:hAnsi="Verdana"/>
          <w:sz w:val="14"/>
          <w:szCs w:val="14"/>
        </w:rPr>
        <w:footnoteRef/>
      </w:r>
      <w:r w:rsidRPr="005D5C35">
        <w:rPr>
          <w:rFonts w:ascii="Verdana" w:hAnsi="Verdana"/>
          <w:sz w:val="14"/>
          <w:szCs w:val="14"/>
        </w:rPr>
        <w:t xml:space="preserve"> El artículo 2.2.1.2.1.2.24 del Decreto 1082 de 2015 precisa lo siguiente: “Las empresas industriales y comerciales del Estado y las sociedades de economía mixta, sus filiales y las empresas en las cuales el Estado tenga más del cincuenta por ciento (50%) del capital social que no se encuentren en situación de competencia, deben utilizar el procedimiento de selección abreviada de menor cuantía para los contratos que tengan como objeto su actividad comercial e industrial, salvo para los contratos de obra pública, consultoría, prestación de servicios, concesión, encargo fiduciario y fiducia pública para los cuales se aplicará la modalidad que corresponda”.</w:t>
      </w:r>
    </w:p>
  </w:footnote>
  <w:footnote w:id="10">
    <w:p w14:paraId="11900255" w14:textId="77777777" w:rsidR="000E07C3" w:rsidRPr="005D5C35" w:rsidRDefault="000E07C3" w:rsidP="000E07C3">
      <w:pPr>
        <w:pStyle w:val="Textonotapie"/>
        <w:ind w:firstLine="708"/>
        <w:jc w:val="both"/>
        <w:rPr>
          <w:rFonts w:ascii="Verdana" w:hAnsi="Verdana" w:cs="Arial"/>
          <w:sz w:val="14"/>
          <w:szCs w:val="14"/>
        </w:rPr>
      </w:pPr>
      <w:r w:rsidRPr="005D5C35">
        <w:rPr>
          <w:rStyle w:val="Refdenotaalpie"/>
          <w:rFonts w:ascii="Verdana" w:hAnsi="Verdana" w:cs="Arial"/>
          <w:sz w:val="14"/>
          <w:szCs w:val="14"/>
        </w:rPr>
        <w:footnoteRef/>
      </w:r>
      <w:r w:rsidRPr="005D5C35">
        <w:rPr>
          <w:rFonts w:ascii="Verdana" w:hAnsi="Verdana" w:cs="Arial"/>
          <w:sz w:val="14"/>
          <w:szCs w:val="14"/>
        </w:rPr>
        <w:t xml:space="preserve"> Consejo de Estado. Sala de lo Contencioso Administrativo. Sección Tercera. Sentencia del 19 de agosto de 2004. </w:t>
      </w:r>
      <w:proofErr w:type="spellStart"/>
      <w:r w:rsidRPr="005D5C35">
        <w:rPr>
          <w:rFonts w:ascii="Verdana" w:hAnsi="Verdana" w:cs="Arial"/>
          <w:sz w:val="14"/>
          <w:szCs w:val="14"/>
        </w:rPr>
        <w:t>Exp</w:t>
      </w:r>
      <w:proofErr w:type="spellEnd"/>
      <w:r w:rsidRPr="005D5C35">
        <w:rPr>
          <w:rFonts w:ascii="Verdana" w:hAnsi="Verdana" w:cs="Arial"/>
          <w:sz w:val="14"/>
          <w:szCs w:val="14"/>
        </w:rPr>
        <w:t xml:space="preserve">. 12.342. C.P. Ramiro Saavedra Becerra. </w:t>
      </w:r>
    </w:p>
    <w:p w14:paraId="5CB6251C" w14:textId="77777777" w:rsidR="000E07C3" w:rsidRPr="005D5C35" w:rsidRDefault="000E07C3" w:rsidP="000E07C3">
      <w:pPr>
        <w:pStyle w:val="Textonotapie"/>
        <w:tabs>
          <w:tab w:val="left" w:pos="7513"/>
          <w:tab w:val="left" w:pos="8222"/>
        </w:tabs>
        <w:ind w:right="49" w:firstLine="708"/>
        <w:jc w:val="both"/>
        <w:rPr>
          <w:rFonts w:ascii="Verdana" w:hAnsi="Verdana" w:cs="Arial"/>
          <w:sz w:val="14"/>
          <w:szCs w:val="14"/>
        </w:rPr>
      </w:pPr>
    </w:p>
  </w:footnote>
  <w:footnote w:id="11">
    <w:p w14:paraId="52BA7FC8" w14:textId="77777777" w:rsidR="000E07C3" w:rsidRPr="005D5C35" w:rsidRDefault="000E07C3" w:rsidP="000E07C3">
      <w:pPr>
        <w:pStyle w:val="Textonotapie"/>
        <w:ind w:firstLine="709"/>
        <w:jc w:val="both"/>
        <w:rPr>
          <w:rFonts w:ascii="Verdana" w:hAnsi="Verdana" w:cs="Arial"/>
          <w:color w:val="000000" w:themeColor="text1"/>
          <w:sz w:val="14"/>
          <w:szCs w:val="14"/>
        </w:rPr>
      </w:pPr>
      <w:r w:rsidRPr="005D5C35">
        <w:rPr>
          <w:rStyle w:val="Refdenotaalpie"/>
          <w:rFonts w:ascii="Verdana" w:hAnsi="Verdana"/>
          <w:sz w:val="14"/>
          <w:szCs w:val="14"/>
        </w:rPr>
        <w:footnoteRef/>
      </w:r>
      <w:r w:rsidRPr="005D5C35">
        <w:rPr>
          <w:rFonts w:ascii="Verdana" w:hAnsi="Verdana"/>
          <w:sz w:val="14"/>
          <w:szCs w:val="14"/>
        </w:rPr>
        <w:t xml:space="preserve"> </w:t>
      </w:r>
      <w:r w:rsidRPr="005D5C35">
        <w:rPr>
          <w:rFonts w:ascii="Verdana" w:hAnsi="Verdana" w:cs="Arial"/>
          <w:color w:val="000000" w:themeColor="text1"/>
          <w:sz w:val="14"/>
          <w:szCs w:val="14"/>
        </w:rPr>
        <w:t>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7C508FA" w14:textId="77777777" w:rsidR="000E07C3" w:rsidRPr="005D5C35" w:rsidRDefault="000E07C3" w:rsidP="000E07C3">
      <w:pPr>
        <w:pStyle w:val="Textonotapie"/>
        <w:ind w:firstLine="709"/>
        <w:jc w:val="both"/>
        <w:rPr>
          <w:rFonts w:ascii="Verdana" w:hAnsi="Verdana" w:cs="Arial"/>
          <w:color w:val="000000" w:themeColor="text1"/>
          <w:sz w:val="14"/>
          <w:szCs w:val="14"/>
        </w:rPr>
      </w:pPr>
      <w:r w:rsidRPr="005D5C35">
        <w:rPr>
          <w:rFonts w:ascii="Verdana" w:hAnsi="Verdana" w:cs="Arial"/>
          <w:color w:val="000000" w:themeColor="text1"/>
          <w:sz w:val="14"/>
          <w:szCs w:val="14"/>
        </w:rPr>
        <w:t>Lo anterior, sin perjuicio de las publicaciones previstas en el numeral 3 del artículo 30 de la Ley 80 de 1993.</w:t>
      </w:r>
    </w:p>
    <w:p w14:paraId="3CF6392F" w14:textId="77777777" w:rsidR="000E07C3" w:rsidRPr="005D5C35" w:rsidRDefault="000E07C3" w:rsidP="000E07C3">
      <w:pPr>
        <w:pStyle w:val="Textonotapie"/>
        <w:ind w:firstLine="709"/>
        <w:jc w:val="both"/>
        <w:rPr>
          <w:rFonts w:ascii="Verdana" w:hAnsi="Verdana" w:cs="Arial"/>
          <w:color w:val="000000" w:themeColor="text1"/>
          <w:sz w:val="14"/>
          <w:szCs w:val="14"/>
        </w:rPr>
      </w:pPr>
      <w:r w:rsidRPr="005D5C35">
        <w:rPr>
          <w:rFonts w:ascii="Verdana" w:hAnsi="Verdana" w:cs="Arial"/>
          <w:color w:val="000000" w:themeColor="text1"/>
          <w:sz w:val="14"/>
          <w:szCs w:val="14"/>
        </w:rPr>
        <w:t xml:space="preserve">Con el fin de materializar los objetivos a que se refiere el inciso anterior, el Gobierno Nacional desarrollará el Sistema Electrónico para la Contratación Pública, </w:t>
      </w:r>
      <w:proofErr w:type="spellStart"/>
      <w:r w:rsidRPr="005D5C35">
        <w:rPr>
          <w:rFonts w:ascii="Verdana" w:hAnsi="Verdana" w:cs="Arial"/>
          <w:color w:val="000000" w:themeColor="text1"/>
          <w:sz w:val="14"/>
          <w:szCs w:val="14"/>
        </w:rPr>
        <w:t>Secop</w:t>
      </w:r>
      <w:proofErr w:type="spellEnd"/>
      <w:r w:rsidRPr="005D5C35">
        <w:rPr>
          <w:rFonts w:ascii="Verdana" w:hAnsi="Verdana" w:cs="Arial"/>
          <w:color w:val="000000" w:themeColor="text1"/>
          <w:sz w:val="14"/>
          <w:szCs w:val="14"/>
        </w:rPr>
        <w:t xml:space="preserve">, el cual: </w:t>
      </w:r>
    </w:p>
    <w:p w14:paraId="4CFC9C29" w14:textId="77777777" w:rsidR="000E07C3" w:rsidRPr="005D5C35" w:rsidRDefault="000E07C3" w:rsidP="000E07C3">
      <w:pPr>
        <w:pStyle w:val="Textonotapie"/>
        <w:ind w:firstLine="709"/>
        <w:jc w:val="both"/>
        <w:rPr>
          <w:rFonts w:ascii="Verdana" w:hAnsi="Verdana" w:cs="Arial"/>
          <w:color w:val="000000" w:themeColor="text1"/>
          <w:sz w:val="14"/>
          <w:szCs w:val="14"/>
        </w:rPr>
      </w:pPr>
      <w:r w:rsidRPr="005D5C35">
        <w:rPr>
          <w:rFonts w:ascii="Verdana" w:hAnsi="Verdana" w:cs="Arial"/>
          <w:color w:val="000000" w:themeColor="text1"/>
          <w:sz w:val="14"/>
          <w:szCs w:val="14"/>
        </w:rPr>
        <w:t>[…]</w:t>
      </w:r>
    </w:p>
    <w:p w14:paraId="11FFB3CE" w14:textId="77777777" w:rsidR="000E07C3" w:rsidRPr="005D5C35" w:rsidRDefault="000E07C3" w:rsidP="000E07C3">
      <w:pPr>
        <w:pStyle w:val="Textonotapie"/>
        <w:ind w:firstLine="709"/>
        <w:jc w:val="both"/>
        <w:rPr>
          <w:rFonts w:ascii="Verdana" w:hAnsi="Verdana" w:cs="Arial"/>
          <w:color w:val="000000" w:themeColor="text1"/>
          <w:sz w:val="14"/>
          <w:szCs w:val="14"/>
        </w:rPr>
      </w:pPr>
      <w:r w:rsidRPr="005D5C35">
        <w:rPr>
          <w:rFonts w:ascii="Verdana" w:hAnsi="Verdana" w:cs="Arial"/>
          <w:color w:val="000000" w:themeColor="text1"/>
          <w:sz w:val="14"/>
          <w:szCs w:val="14"/>
        </w:rPr>
        <w:t xml:space="preserve">c) Contará con la información oficial de la contratación realizada con dineros públicos, para lo cual establecerá los patrones a que haya lugar y se encargará de su difusión a través de canales electrónico”. </w:t>
      </w:r>
    </w:p>
    <w:p w14:paraId="19A19053" w14:textId="77777777" w:rsidR="000E07C3" w:rsidRPr="005D5C35" w:rsidRDefault="000E07C3" w:rsidP="000E07C3">
      <w:pPr>
        <w:pStyle w:val="Textonotapie"/>
        <w:rPr>
          <w:rFonts w:ascii="Verdana" w:hAnsi="Verdana"/>
          <w:sz w:val="14"/>
          <w:szCs w:val="14"/>
        </w:rPr>
      </w:pPr>
    </w:p>
  </w:footnote>
  <w:footnote w:id="12">
    <w:p w14:paraId="662A7340" w14:textId="77777777" w:rsidR="000E07C3" w:rsidRPr="005D5C35" w:rsidRDefault="000E07C3" w:rsidP="000E07C3">
      <w:pPr>
        <w:pStyle w:val="Textonotapie"/>
        <w:ind w:firstLine="709"/>
        <w:jc w:val="both"/>
        <w:rPr>
          <w:rFonts w:ascii="Verdana" w:hAnsi="Verdana" w:cs="Arial"/>
          <w:color w:val="000000" w:themeColor="text1"/>
          <w:sz w:val="14"/>
          <w:szCs w:val="14"/>
        </w:rPr>
      </w:pPr>
      <w:r w:rsidRPr="005D5C35">
        <w:rPr>
          <w:rStyle w:val="Refdenotaalpie"/>
          <w:rFonts w:ascii="Verdana" w:hAnsi="Verdana"/>
          <w:sz w:val="14"/>
          <w:szCs w:val="14"/>
        </w:rPr>
        <w:footnoteRef/>
      </w:r>
      <w:r w:rsidRPr="005D5C35">
        <w:rPr>
          <w:rFonts w:ascii="Verdana" w:hAnsi="Verdana"/>
          <w:sz w:val="14"/>
          <w:szCs w:val="14"/>
        </w:rPr>
        <w:t xml:space="preserve"> </w:t>
      </w:r>
      <w:r w:rsidRPr="005D5C35">
        <w:rPr>
          <w:rFonts w:ascii="Verdana" w:hAnsi="Verdana" w:cs="Arial"/>
          <w:color w:val="000000" w:themeColor="text1"/>
          <w:sz w:val="14"/>
          <w:szCs w:val="14"/>
        </w:rPr>
        <w:t>Ley 1712 de 2014: “Artículo 2. Toda información en posesión, bajo control o custodia de un sujeto obligado es pública y no podrá ser reservada o limitada sino por disposición constitucional o legal, de conformidad con la presente ley”.</w:t>
      </w:r>
    </w:p>
    <w:p w14:paraId="059459D0" w14:textId="77777777" w:rsidR="000E07C3" w:rsidRPr="005D5C35" w:rsidRDefault="000E07C3" w:rsidP="000E07C3">
      <w:pPr>
        <w:pStyle w:val="Textonotapie"/>
        <w:ind w:firstLine="709"/>
        <w:jc w:val="both"/>
        <w:rPr>
          <w:rFonts w:ascii="Verdana" w:hAnsi="Verdana" w:cs="Arial"/>
          <w:color w:val="000000" w:themeColor="text1"/>
          <w:sz w:val="14"/>
          <w:szCs w:val="14"/>
        </w:rPr>
      </w:pPr>
    </w:p>
  </w:footnote>
  <w:footnote w:id="13">
    <w:p w14:paraId="274621D5" w14:textId="77777777" w:rsidR="000E07C3" w:rsidRPr="005D5C35" w:rsidRDefault="000E07C3" w:rsidP="000E07C3">
      <w:pPr>
        <w:tabs>
          <w:tab w:val="left" w:pos="7513"/>
          <w:tab w:val="left" w:pos="8222"/>
        </w:tabs>
        <w:spacing w:after="0" w:line="240" w:lineRule="auto"/>
        <w:ind w:right="51"/>
        <w:jc w:val="both"/>
        <w:rPr>
          <w:rFonts w:ascii="Verdana" w:hAnsi="Verdana" w:cs="Arial"/>
          <w:sz w:val="14"/>
          <w:szCs w:val="14"/>
          <w:lang w:val="es-MX"/>
        </w:rPr>
      </w:pPr>
      <w:r w:rsidRPr="005D5C35">
        <w:rPr>
          <w:rFonts w:ascii="Verdana" w:hAnsi="Verdana"/>
          <w:sz w:val="14"/>
          <w:szCs w:val="14"/>
        </w:rPr>
        <w:t xml:space="preserve">            </w:t>
      </w:r>
      <w:r w:rsidRPr="005D5C35">
        <w:rPr>
          <w:rStyle w:val="Refdenotaalpie"/>
          <w:rFonts w:ascii="Verdana" w:hAnsi="Verdana"/>
          <w:sz w:val="14"/>
          <w:szCs w:val="14"/>
        </w:rPr>
        <w:footnoteRef/>
      </w:r>
      <w:r w:rsidRPr="005D5C35">
        <w:rPr>
          <w:rFonts w:ascii="Verdana" w:hAnsi="Verdana"/>
          <w:sz w:val="14"/>
          <w:szCs w:val="14"/>
        </w:rPr>
        <w:t xml:space="preserve"> </w:t>
      </w:r>
      <w:r w:rsidRPr="005D5C35">
        <w:rPr>
          <w:rFonts w:ascii="Verdana" w:hAnsi="Verdana" w:cs="Arial"/>
          <w:sz w:val="14"/>
          <w:szCs w:val="14"/>
          <w:lang w:val="es-MX"/>
        </w:rPr>
        <w:t>“</w:t>
      </w:r>
      <w:bookmarkStart w:id="2" w:name="5"/>
      <w:r w:rsidRPr="005D5C35">
        <w:rPr>
          <w:rFonts w:ascii="Verdana" w:hAnsi="Verdana" w:cs="Arial"/>
          <w:sz w:val="14"/>
          <w:szCs w:val="14"/>
          <w:lang w:val="es-MX"/>
        </w:rPr>
        <w:t>ARTÍCULO 5o. Ámbito de Aplicación.</w:t>
      </w:r>
      <w:bookmarkEnd w:id="2"/>
      <w:r w:rsidRPr="005D5C35">
        <w:rPr>
          <w:rFonts w:ascii="Verdana" w:hAnsi="Verdana" w:cs="Arial"/>
          <w:sz w:val="14"/>
          <w:szCs w:val="14"/>
          <w:lang w:val="es-MX"/>
        </w:rPr>
        <w:t> &lt;Artículo corregido por el artículo </w:t>
      </w:r>
      <w:hyperlink r:id="rId2" w:anchor="1" w:history="1">
        <w:r w:rsidRPr="005D5C35">
          <w:rPr>
            <w:sz w:val="14"/>
            <w:szCs w:val="14"/>
            <w:lang w:val="es-MX"/>
          </w:rPr>
          <w:t>1</w:t>
        </w:r>
      </w:hyperlink>
      <w:r w:rsidRPr="005D5C35">
        <w:rPr>
          <w:rFonts w:ascii="Verdana" w:hAnsi="Verdana" w:cs="Arial"/>
          <w:sz w:val="14"/>
          <w:szCs w:val="14"/>
          <w:lang w:val="es-MX"/>
        </w:rPr>
        <w:t> del Decreto 1494 de 2015. El nuevo texto es el siguiente:&gt; Las disposiciones de esta ley serán aplicables a las siguientes personas en calidad de sujetos obligados:</w:t>
      </w:r>
    </w:p>
    <w:p w14:paraId="488CB4BB" w14:textId="77777777" w:rsidR="000E07C3" w:rsidRPr="005D5C35" w:rsidRDefault="000E07C3" w:rsidP="000E07C3">
      <w:pPr>
        <w:tabs>
          <w:tab w:val="left" w:pos="7513"/>
          <w:tab w:val="left" w:pos="8222"/>
        </w:tabs>
        <w:spacing w:after="0" w:line="240" w:lineRule="auto"/>
        <w:ind w:right="51"/>
        <w:jc w:val="both"/>
        <w:rPr>
          <w:rFonts w:ascii="Verdana" w:eastAsia="Times New Roman" w:hAnsi="Verdana" w:cs="Arial"/>
          <w:sz w:val="14"/>
          <w:szCs w:val="14"/>
          <w:lang w:eastAsia="es-ES_tradnl"/>
          <w14:ligatures w14:val="standardContextual"/>
        </w:rPr>
      </w:pPr>
      <w:r w:rsidRPr="005D5C35">
        <w:rPr>
          <w:rFonts w:ascii="Verdana" w:eastAsia="Times New Roman" w:hAnsi="Verdana" w:cs="Arial"/>
          <w:sz w:val="14"/>
          <w:szCs w:val="14"/>
          <w:lang w:eastAsia="es-ES_tradnl"/>
          <w14:ligatures w14:val="standardContextual"/>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58FE474B" w14:textId="77777777" w:rsidR="000E07C3" w:rsidRPr="005D5C35" w:rsidRDefault="000E07C3" w:rsidP="000E07C3">
      <w:pPr>
        <w:tabs>
          <w:tab w:val="left" w:pos="7513"/>
          <w:tab w:val="left" w:pos="8222"/>
        </w:tabs>
        <w:spacing w:after="0" w:line="240" w:lineRule="auto"/>
        <w:ind w:right="51"/>
        <w:jc w:val="both"/>
        <w:rPr>
          <w:rFonts w:ascii="Verdana" w:eastAsia="Times New Roman" w:hAnsi="Verdana" w:cs="Arial"/>
          <w:sz w:val="14"/>
          <w:szCs w:val="14"/>
          <w:lang w:eastAsia="es-ES_tradnl"/>
          <w14:ligatures w14:val="standardContextual"/>
        </w:rPr>
      </w:pPr>
      <w:r w:rsidRPr="005D5C35">
        <w:rPr>
          <w:rFonts w:ascii="Verdana" w:eastAsia="Times New Roman" w:hAnsi="Verdana" w:cs="Arial"/>
          <w:sz w:val="14"/>
          <w:szCs w:val="14"/>
          <w:lang w:eastAsia="es-ES_tradnl"/>
          <w14:ligatures w14:val="standardContextual"/>
        </w:rPr>
        <w:t>b) Los órganos, organismos y entidades estatales independientes o autónomos y de control.</w:t>
      </w:r>
    </w:p>
    <w:p w14:paraId="2E01EE86" w14:textId="77777777" w:rsidR="000E07C3" w:rsidRPr="005D5C35" w:rsidRDefault="000E07C3" w:rsidP="000E07C3">
      <w:pPr>
        <w:tabs>
          <w:tab w:val="left" w:pos="7513"/>
          <w:tab w:val="left" w:pos="8222"/>
        </w:tabs>
        <w:spacing w:after="0" w:line="240" w:lineRule="auto"/>
        <w:ind w:right="51"/>
        <w:jc w:val="both"/>
        <w:rPr>
          <w:rFonts w:ascii="Verdana" w:eastAsia="Times New Roman" w:hAnsi="Verdana" w:cs="Arial"/>
          <w:sz w:val="14"/>
          <w:szCs w:val="14"/>
          <w:lang w:eastAsia="es-ES_tradnl"/>
          <w14:ligatures w14:val="standardContextual"/>
        </w:rPr>
      </w:pPr>
      <w:r w:rsidRPr="005D5C35">
        <w:rPr>
          <w:rFonts w:ascii="Verdana" w:eastAsia="Times New Roman" w:hAnsi="Verdana" w:cs="Arial"/>
          <w:sz w:val="14"/>
          <w:szCs w:val="14"/>
          <w:lang w:eastAsia="es-ES_tradnl"/>
          <w14:ligatures w14:val="standardContextual"/>
        </w:rPr>
        <w:t>c) Las personas naturales y jurídicas, públicas o privadas, que presten función pública, que presten servicios públicos respecto de la información directamente relacionada con la prestación del servicio público.</w:t>
      </w:r>
    </w:p>
    <w:p w14:paraId="1B286233" w14:textId="77777777" w:rsidR="000E07C3" w:rsidRPr="005D5C35" w:rsidRDefault="000E07C3" w:rsidP="000E07C3">
      <w:pPr>
        <w:tabs>
          <w:tab w:val="left" w:pos="7513"/>
          <w:tab w:val="left" w:pos="8222"/>
        </w:tabs>
        <w:spacing w:after="0" w:line="240" w:lineRule="auto"/>
        <w:ind w:right="51"/>
        <w:jc w:val="both"/>
        <w:rPr>
          <w:rFonts w:ascii="Verdana" w:eastAsia="Times New Roman" w:hAnsi="Verdana" w:cs="Arial"/>
          <w:sz w:val="14"/>
          <w:szCs w:val="14"/>
          <w:lang w:eastAsia="es-ES_tradnl"/>
          <w14:ligatures w14:val="standardContextual"/>
        </w:rPr>
      </w:pPr>
      <w:r w:rsidRPr="005D5C35">
        <w:rPr>
          <w:rFonts w:ascii="Verdana" w:eastAsia="Times New Roman" w:hAnsi="Verdana" w:cs="Arial"/>
          <w:sz w:val="14"/>
          <w:szCs w:val="14"/>
          <w:lang w:eastAsia="es-ES_tradnl"/>
          <w14:ligatures w14:val="standardContextual"/>
        </w:rPr>
        <w:t>d) Cualquier persona natural, jurídica o dependencia de persona jurídica que desempeñe función pública o de autoridad pública, respecto de la información directamente relacionada con el desempeño de su función.</w:t>
      </w:r>
    </w:p>
    <w:p w14:paraId="774BF7FF" w14:textId="77777777" w:rsidR="000E07C3" w:rsidRPr="005D5C35" w:rsidRDefault="000E07C3" w:rsidP="000E07C3">
      <w:pPr>
        <w:tabs>
          <w:tab w:val="left" w:pos="7513"/>
          <w:tab w:val="left" w:pos="8222"/>
        </w:tabs>
        <w:spacing w:after="0" w:line="240" w:lineRule="auto"/>
        <w:ind w:right="51"/>
        <w:jc w:val="both"/>
        <w:rPr>
          <w:rFonts w:ascii="Verdana" w:eastAsia="Times New Roman" w:hAnsi="Verdana" w:cs="Arial"/>
          <w:sz w:val="14"/>
          <w:szCs w:val="14"/>
          <w:lang w:eastAsia="es-ES_tradnl"/>
          <w14:ligatures w14:val="standardContextual"/>
        </w:rPr>
      </w:pPr>
      <w:r w:rsidRPr="005D5C35">
        <w:rPr>
          <w:rFonts w:ascii="Verdana" w:eastAsia="Times New Roman" w:hAnsi="Verdana" w:cs="Arial"/>
          <w:sz w:val="14"/>
          <w:szCs w:val="14"/>
          <w:lang w:eastAsia="es-ES_tradnl"/>
          <w14:ligatures w14:val="standardContextual"/>
        </w:rPr>
        <w:t>e) Las empresas públicas creadas por ley, las empresas del Estado y sociedades en que este tenga participación.</w:t>
      </w:r>
    </w:p>
    <w:p w14:paraId="3875D7B1" w14:textId="77777777" w:rsidR="000E07C3" w:rsidRPr="005D5C35" w:rsidRDefault="000E07C3" w:rsidP="000E07C3">
      <w:pPr>
        <w:tabs>
          <w:tab w:val="left" w:pos="7513"/>
          <w:tab w:val="left" w:pos="8222"/>
        </w:tabs>
        <w:spacing w:after="0" w:line="240" w:lineRule="auto"/>
        <w:ind w:right="51"/>
        <w:jc w:val="both"/>
        <w:rPr>
          <w:rFonts w:ascii="Verdana" w:eastAsia="Times New Roman" w:hAnsi="Verdana" w:cs="Arial"/>
          <w:sz w:val="14"/>
          <w:szCs w:val="14"/>
          <w:lang w:eastAsia="es-ES_tradnl"/>
          <w14:ligatures w14:val="standardContextual"/>
        </w:rPr>
      </w:pPr>
      <w:r w:rsidRPr="005D5C35">
        <w:rPr>
          <w:rFonts w:ascii="Verdana" w:eastAsia="Times New Roman" w:hAnsi="Verdana" w:cs="Arial"/>
          <w:sz w:val="14"/>
          <w:szCs w:val="14"/>
          <w:lang w:eastAsia="es-ES_tradnl"/>
          <w14:ligatures w14:val="standardContextual"/>
        </w:rPr>
        <w:t>f) Los partidos o movimientos políticos y los grupos significativos de ciudadanos.</w:t>
      </w:r>
    </w:p>
    <w:p w14:paraId="1BE06410" w14:textId="77777777" w:rsidR="000E07C3" w:rsidRPr="005D5C35" w:rsidRDefault="000E07C3" w:rsidP="000E07C3">
      <w:pPr>
        <w:tabs>
          <w:tab w:val="left" w:pos="7513"/>
          <w:tab w:val="left" w:pos="8222"/>
        </w:tabs>
        <w:spacing w:after="0" w:line="240" w:lineRule="auto"/>
        <w:ind w:right="51"/>
        <w:jc w:val="both"/>
        <w:rPr>
          <w:rFonts w:ascii="Verdana" w:eastAsia="Times New Roman" w:hAnsi="Verdana" w:cs="Arial"/>
          <w:sz w:val="14"/>
          <w:szCs w:val="14"/>
          <w:lang w:eastAsia="es-ES_tradnl"/>
          <w14:ligatures w14:val="standardContextual"/>
        </w:rPr>
      </w:pPr>
      <w:r w:rsidRPr="005D5C35">
        <w:rPr>
          <w:rFonts w:ascii="Verdana" w:eastAsia="Times New Roman" w:hAnsi="Verdana" w:cs="Arial"/>
          <w:sz w:val="14"/>
          <w:szCs w:val="14"/>
          <w:lang w:eastAsia="es-ES_tradnl"/>
          <w14:ligatures w14:val="standardContextual"/>
        </w:rPr>
        <w:t>g) Las entidades que administren instituciones parafiscales, fondos o recursos de naturaleza u origen público.</w:t>
      </w:r>
    </w:p>
    <w:p w14:paraId="0A6B8D96" w14:textId="77777777" w:rsidR="000E07C3" w:rsidRPr="005D5C35" w:rsidRDefault="000E07C3" w:rsidP="000E07C3">
      <w:pPr>
        <w:tabs>
          <w:tab w:val="left" w:pos="7513"/>
          <w:tab w:val="left" w:pos="8222"/>
        </w:tabs>
        <w:spacing w:after="0" w:line="240" w:lineRule="auto"/>
        <w:ind w:right="51"/>
        <w:jc w:val="both"/>
        <w:rPr>
          <w:rFonts w:ascii="Verdana" w:eastAsia="Times New Roman" w:hAnsi="Verdana" w:cs="Arial"/>
          <w:sz w:val="14"/>
          <w:szCs w:val="14"/>
          <w:lang w:eastAsia="es-ES_tradnl"/>
          <w14:ligatures w14:val="standardContextual"/>
        </w:rPr>
      </w:pPr>
      <w:r w:rsidRPr="005D5C35">
        <w:rPr>
          <w:rFonts w:ascii="Verdana" w:eastAsia="Times New Roman" w:hAnsi="Verdana" w:cs="Arial"/>
          <w:sz w:val="14"/>
          <w:szCs w:val="14"/>
          <w:lang w:eastAsia="es-ES_tradnl"/>
          <w14:ligatures w14:val="standardContextual"/>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5B2369D0" w14:textId="77777777" w:rsidR="000E07C3" w:rsidRPr="005D5C35" w:rsidRDefault="000E07C3" w:rsidP="000E07C3">
      <w:pPr>
        <w:tabs>
          <w:tab w:val="left" w:pos="7513"/>
          <w:tab w:val="left" w:pos="8222"/>
        </w:tabs>
        <w:spacing w:after="0" w:line="240" w:lineRule="auto"/>
        <w:ind w:right="51"/>
        <w:jc w:val="both"/>
        <w:rPr>
          <w:rFonts w:ascii="Verdana" w:eastAsia="Times New Roman" w:hAnsi="Verdana" w:cs="Arial"/>
          <w:sz w:val="14"/>
          <w:szCs w:val="14"/>
          <w:lang w:eastAsia="es-ES_tradnl"/>
          <w14:ligatures w14:val="standardContextual"/>
        </w:rPr>
      </w:pPr>
      <w:r w:rsidRPr="005D5C35">
        <w:rPr>
          <w:rFonts w:ascii="Verdana" w:eastAsia="Times New Roman" w:hAnsi="Verdana" w:cs="Arial"/>
          <w:bCs/>
          <w:sz w:val="14"/>
          <w:szCs w:val="14"/>
          <w:lang w:eastAsia="es-ES_tradnl"/>
          <w14:ligatures w14:val="standardContextual"/>
        </w:rPr>
        <w:t>PARÁGRAFO 1o</w:t>
      </w:r>
      <w:r w:rsidRPr="005D5C35">
        <w:rPr>
          <w:rFonts w:ascii="Verdana" w:eastAsia="Times New Roman" w:hAnsi="Verdana" w:cs="Arial"/>
          <w:b/>
          <w:bCs/>
          <w:sz w:val="14"/>
          <w:szCs w:val="14"/>
          <w:lang w:eastAsia="es-ES_tradnl"/>
          <w14:ligatures w14:val="standardContextual"/>
        </w:rPr>
        <w:t>.</w:t>
      </w:r>
      <w:r w:rsidRPr="005D5C35">
        <w:rPr>
          <w:rFonts w:ascii="Verdana" w:eastAsia="Times New Roman" w:hAnsi="Verdana" w:cs="Arial"/>
          <w:sz w:val="14"/>
          <w:szCs w:val="14"/>
          <w:lang w:eastAsia="es-ES_tradnl"/>
          <w14:ligatures w14:val="standardContextual"/>
        </w:rPr>
        <w:t> No serán sujetos obligados aquellas personas naturales o jurídicas de carácter privado que sean usuarios de información pública”.</w:t>
      </w:r>
    </w:p>
    <w:p w14:paraId="789F44D9" w14:textId="77777777" w:rsidR="000E07C3" w:rsidRPr="005D5C35" w:rsidRDefault="000E07C3" w:rsidP="000E07C3">
      <w:pPr>
        <w:pStyle w:val="Textonotapie"/>
        <w:rPr>
          <w:sz w:val="14"/>
          <w:szCs w:val="14"/>
          <w:lang w:val="es-CO"/>
        </w:rPr>
      </w:pPr>
    </w:p>
  </w:footnote>
  <w:footnote w:id="14">
    <w:p w14:paraId="11213571" w14:textId="77777777" w:rsidR="000E07C3" w:rsidRPr="005D5C35" w:rsidRDefault="000E07C3" w:rsidP="000E07C3">
      <w:pPr>
        <w:pStyle w:val="Textonotapie"/>
        <w:ind w:firstLine="709"/>
        <w:jc w:val="both"/>
        <w:rPr>
          <w:rFonts w:ascii="Verdana" w:hAnsi="Verdana" w:cs="Arial"/>
          <w:color w:val="000000" w:themeColor="text1"/>
          <w:sz w:val="14"/>
          <w:szCs w:val="14"/>
        </w:rPr>
      </w:pPr>
      <w:r w:rsidRPr="005D5C35">
        <w:rPr>
          <w:rFonts w:ascii="Verdana" w:eastAsia="Times New Roman" w:hAnsi="Verdana" w:cs="Arial"/>
          <w:color w:val="000000" w:themeColor="text1"/>
          <w:sz w:val="14"/>
          <w:szCs w:val="14"/>
          <w:vertAlign w:val="superscript"/>
          <w:lang w:val="es-ES" w:eastAsia="es-ES"/>
        </w:rPr>
        <w:footnoteRef/>
      </w:r>
      <w:r w:rsidRPr="005D5C35">
        <w:rPr>
          <w:rFonts w:ascii="Verdana" w:eastAsia="Times New Roman" w:hAnsi="Verdana" w:cs="Arial"/>
          <w:color w:val="000000" w:themeColor="text1"/>
          <w:sz w:val="14"/>
          <w:szCs w:val="14"/>
          <w:vertAlign w:val="superscript"/>
          <w:lang w:val="es-ES" w:eastAsia="es-ES"/>
        </w:rPr>
        <w:t xml:space="preserve"> </w:t>
      </w:r>
      <w:r w:rsidRPr="005D5C35">
        <w:rPr>
          <w:rFonts w:ascii="Verdana" w:hAnsi="Verdana" w:cs="Arial"/>
          <w:color w:val="000000" w:themeColor="text1"/>
          <w:sz w:val="14"/>
          <w:szCs w:val="14"/>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420BE639" w14:textId="77777777" w:rsidR="000E07C3" w:rsidRPr="005D5C35" w:rsidRDefault="000E07C3" w:rsidP="000E07C3">
      <w:pPr>
        <w:pStyle w:val="Textonotapie"/>
        <w:ind w:firstLine="709"/>
        <w:jc w:val="both"/>
        <w:rPr>
          <w:rFonts w:ascii="Verdana" w:eastAsia="Times New Roman" w:hAnsi="Verdana" w:cs="Arial"/>
          <w:color w:val="000000" w:themeColor="text1"/>
          <w:sz w:val="14"/>
          <w:szCs w:val="14"/>
          <w:lang w:val="es-ES" w:eastAsia="es-ES"/>
        </w:rPr>
      </w:pPr>
      <w:r w:rsidRPr="005D5C35">
        <w:rPr>
          <w:rFonts w:ascii="Verdana" w:hAnsi="Verdana" w:cs="Arial"/>
          <w:color w:val="000000" w:themeColor="text1"/>
          <w:sz w:val="14"/>
          <w:szCs w:val="14"/>
        </w:rPr>
        <w:t>[…].</w:t>
      </w:r>
    </w:p>
    <w:p w14:paraId="5D8BFF0F" w14:textId="77777777" w:rsidR="000E07C3" w:rsidRPr="005D5C35" w:rsidRDefault="000E07C3" w:rsidP="000E07C3">
      <w:pPr>
        <w:pStyle w:val="Textonotapie"/>
        <w:ind w:firstLine="709"/>
        <w:jc w:val="both"/>
        <w:rPr>
          <w:rFonts w:ascii="Verdana" w:eastAsia="Times New Roman" w:hAnsi="Verdana" w:cs="Arial"/>
          <w:color w:val="000000" w:themeColor="text1"/>
          <w:sz w:val="14"/>
          <w:szCs w:val="14"/>
          <w:lang w:val="es-ES" w:eastAsia="es-ES"/>
        </w:rPr>
      </w:pPr>
      <w:r w:rsidRPr="005D5C35">
        <w:rPr>
          <w:rFonts w:ascii="Verdana" w:eastAsia="Times New Roman" w:hAnsi="Verdana" w:cs="Arial"/>
          <w:color w:val="000000" w:themeColor="text1"/>
          <w:sz w:val="14"/>
          <w:szCs w:val="14"/>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5EC4C0EF" w14:textId="77777777" w:rsidR="000E07C3" w:rsidRPr="005D5C35" w:rsidRDefault="000E07C3" w:rsidP="000E07C3">
      <w:pPr>
        <w:pStyle w:val="Textonotapie"/>
        <w:ind w:firstLine="709"/>
        <w:jc w:val="both"/>
        <w:rPr>
          <w:rFonts w:ascii="Verdana" w:eastAsia="Times New Roman" w:hAnsi="Verdana" w:cs="Arial"/>
          <w:color w:val="000000" w:themeColor="text1"/>
          <w:sz w:val="14"/>
          <w:szCs w:val="14"/>
          <w:lang w:val="es-ES" w:eastAsia="es-ES"/>
        </w:rPr>
      </w:pPr>
    </w:p>
  </w:footnote>
  <w:footnote w:id="15">
    <w:p w14:paraId="3D2A6C89" w14:textId="77777777" w:rsidR="000E07C3" w:rsidRPr="005D5C35" w:rsidRDefault="000E07C3" w:rsidP="000E07C3">
      <w:pPr>
        <w:pStyle w:val="Textonotapie"/>
        <w:ind w:firstLine="709"/>
        <w:jc w:val="both"/>
        <w:rPr>
          <w:rFonts w:ascii="Verdana" w:hAnsi="Verdana" w:cs="Arial"/>
          <w:color w:val="000000"/>
          <w:sz w:val="14"/>
          <w:szCs w:val="14"/>
          <w:lang w:val="es-ES"/>
        </w:rPr>
      </w:pPr>
      <w:r w:rsidRPr="005D5C35">
        <w:rPr>
          <w:rStyle w:val="Refdenotaalpie"/>
          <w:rFonts w:ascii="Verdana" w:hAnsi="Verdana" w:cs="Arial"/>
          <w:color w:val="000000"/>
          <w:sz w:val="14"/>
          <w:szCs w:val="14"/>
        </w:rPr>
        <w:footnoteRef/>
      </w:r>
      <w:r w:rsidRPr="005D5C35">
        <w:rPr>
          <w:rFonts w:ascii="Verdana" w:hAnsi="Verdana" w:cs="Arial"/>
          <w:color w:val="000000"/>
          <w:sz w:val="14"/>
          <w:szCs w:val="14"/>
        </w:rPr>
        <w:t xml:space="preserve"> C</w:t>
      </w:r>
      <w:proofErr w:type="spellStart"/>
      <w:r w:rsidRPr="005D5C35">
        <w:rPr>
          <w:rFonts w:ascii="Verdana" w:eastAsia="Times New Roman" w:hAnsi="Verdana" w:cs="Arial"/>
          <w:color w:val="000000"/>
          <w:sz w:val="14"/>
          <w:szCs w:val="14"/>
          <w:lang w:val="es-ES" w:eastAsia="es-ES"/>
        </w:rPr>
        <w:t>orte</w:t>
      </w:r>
      <w:proofErr w:type="spellEnd"/>
      <w:r w:rsidRPr="005D5C35">
        <w:rPr>
          <w:rFonts w:ascii="Verdana" w:eastAsia="Times New Roman" w:hAnsi="Verdana" w:cs="Arial"/>
          <w:color w:val="000000"/>
          <w:sz w:val="14"/>
          <w:szCs w:val="14"/>
          <w:lang w:val="es-ES" w:eastAsia="es-ES"/>
        </w:rPr>
        <w:t xml:space="preserve"> Constitucional. Sentencia C‒274 de 9 de mayo de 2013. M.P. Mar</w:t>
      </w:r>
      <w:r w:rsidRPr="005D5C35">
        <w:rPr>
          <w:rFonts w:ascii="Verdana" w:eastAsia="Times New Roman" w:hAnsi="Verdana" w:cs="Century Gothic"/>
          <w:color w:val="000000"/>
          <w:sz w:val="14"/>
          <w:szCs w:val="14"/>
          <w:lang w:val="es-ES" w:eastAsia="es-ES"/>
        </w:rPr>
        <w:t>í</w:t>
      </w:r>
      <w:r w:rsidRPr="005D5C35">
        <w:rPr>
          <w:rFonts w:ascii="Verdana" w:eastAsia="Times New Roman" w:hAnsi="Verdana" w:cs="Arial"/>
          <w:color w:val="000000"/>
          <w:sz w:val="14"/>
          <w:szCs w:val="14"/>
          <w:lang w:val="es-ES" w:eastAsia="es-ES"/>
        </w:rPr>
        <w:t xml:space="preserve">a Victoria Calle Correa. </w:t>
      </w:r>
    </w:p>
  </w:footnote>
  <w:footnote w:id="16">
    <w:p w14:paraId="1F92AA33" w14:textId="77777777" w:rsidR="000E07C3" w:rsidRPr="005D5C35" w:rsidRDefault="000E07C3" w:rsidP="000E07C3">
      <w:pPr>
        <w:pStyle w:val="Textonotapie"/>
        <w:ind w:firstLine="708"/>
        <w:jc w:val="both"/>
        <w:rPr>
          <w:rFonts w:ascii="Verdana" w:hAnsi="Verdana"/>
          <w:sz w:val="14"/>
          <w:szCs w:val="14"/>
          <w:lang w:val="es-CO"/>
        </w:rPr>
      </w:pPr>
      <w:r w:rsidRPr="005D5C35">
        <w:rPr>
          <w:rStyle w:val="Refdenotaalpie"/>
          <w:rFonts w:ascii="Verdana" w:hAnsi="Verdana"/>
          <w:sz w:val="14"/>
          <w:szCs w:val="14"/>
        </w:rPr>
        <w:footnoteRef/>
      </w:r>
      <w:r w:rsidRPr="005D5C35">
        <w:rPr>
          <w:rFonts w:ascii="Verdana" w:hAnsi="Verdana"/>
          <w:sz w:val="14"/>
          <w:szCs w:val="14"/>
        </w:rPr>
        <w:t xml:space="preserve"> </w:t>
      </w:r>
      <w:r w:rsidRPr="005D5C35">
        <w:rPr>
          <w:rFonts w:ascii="Verdana" w:hAnsi="Verdana" w:cs="Arial"/>
          <w:color w:val="000000"/>
          <w:sz w:val="14"/>
          <w:szCs w:val="14"/>
        </w:rPr>
        <w:t>Decreto 4170 de 2011: “Artículo 3. Funciones: La Agencia Nacional de Contratación Pública –Colombia Compra Eficiente– ejercerá las siguientes funciones: [...]</w:t>
      </w:r>
    </w:p>
  </w:footnote>
  <w:footnote w:id="17">
    <w:p w14:paraId="5898259E" w14:textId="77777777" w:rsidR="000E07C3" w:rsidRPr="005D5C35" w:rsidRDefault="000E07C3" w:rsidP="000E07C3">
      <w:pPr>
        <w:pStyle w:val="Textonotapie"/>
        <w:ind w:firstLine="708"/>
        <w:jc w:val="both"/>
        <w:rPr>
          <w:rFonts w:ascii="Verdana" w:hAnsi="Verdana"/>
          <w:sz w:val="14"/>
          <w:szCs w:val="14"/>
          <w:lang w:val="es-CO"/>
        </w:rPr>
      </w:pPr>
      <w:r w:rsidRPr="005D5C35">
        <w:rPr>
          <w:rStyle w:val="Refdenotaalpie"/>
          <w:rFonts w:ascii="Verdana" w:hAnsi="Verdana"/>
          <w:sz w:val="14"/>
          <w:szCs w:val="14"/>
        </w:rPr>
        <w:footnoteRef/>
      </w:r>
      <w:r w:rsidRPr="005D5C35">
        <w:rPr>
          <w:rFonts w:ascii="Verdana" w:hAnsi="Verdana"/>
          <w:sz w:val="14"/>
          <w:szCs w:val="14"/>
        </w:rPr>
        <w:t xml:space="preserve"> </w:t>
      </w:r>
      <w:r w:rsidRPr="005D5C35">
        <w:rPr>
          <w:rFonts w:ascii="Verdana" w:hAnsi="Verdana"/>
          <w:bCs/>
          <w:sz w:val="14"/>
          <w:szCs w:val="14"/>
          <w:lang w:val="es-CO"/>
        </w:rPr>
        <w:t>Artículo 53.</w:t>
      </w:r>
      <w:r w:rsidRPr="005D5C35">
        <w:rPr>
          <w:rFonts w:ascii="Verdana" w:hAnsi="Verdana"/>
          <w:sz w:val="14"/>
          <w:szCs w:val="14"/>
          <w:lang w:val="es-CO"/>
        </w:rPr>
        <w:t> Adiciónese los siguientes incisos al artículo 13 de la Ley 1150 de 2007, el cual quedará así: </w:t>
      </w:r>
    </w:p>
    <w:p w14:paraId="5FE7F5FD" w14:textId="77777777" w:rsidR="000E07C3" w:rsidRPr="005D5C35" w:rsidRDefault="000E07C3" w:rsidP="000E07C3">
      <w:pPr>
        <w:pStyle w:val="Textonotapie"/>
        <w:ind w:firstLine="708"/>
        <w:jc w:val="both"/>
        <w:rPr>
          <w:rFonts w:ascii="Verdana" w:hAnsi="Verdana"/>
          <w:sz w:val="14"/>
          <w:szCs w:val="14"/>
          <w:lang w:val="es-CO"/>
        </w:rPr>
      </w:pPr>
      <w:r w:rsidRPr="005D5C35">
        <w:rPr>
          <w:rFonts w:ascii="Verdana" w:hAnsi="Verdana"/>
          <w:bCs/>
          <w:sz w:val="14"/>
          <w:szCs w:val="14"/>
          <w:lang w:val="es-CO"/>
        </w:rPr>
        <w:t>Artículo 13. Principios generales de la actividad contractual para entidades no sometidas al Estatuto General de Contratación de la Administración Pública.</w:t>
      </w:r>
      <w:r w:rsidRPr="005D5C35">
        <w:rPr>
          <w:rFonts w:ascii="Verdana" w:hAnsi="Verdana"/>
          <w:sz w:val="14"/>
          <w:szCs w:val="14"/>
          <w:lang w:val="es-CO"/>
        </w:rPr>
        <w:t>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 </w:t>
      </w:r>
    </w:p>
    <w:p w14:paraId="60D4D1B6" w14:textId="77777777" w:rsidR="000E07C3" w:rsidRPr="005D5C35" w:rsidRDefault="000E07C3" w:rsidP="000E07C3">
      <w:pPr>
        <w:pStyle w:val="Textonotapie"/>
        <w:ind w:firstLine="708"/>
        <w:jc w:val="both"/>
        <w:rPr>
          <w:rFonts w:ascii="Verdana" w:hAnsi="Verdana"/>
          <w:sz w:val="14"/>
          <w:szCs w:val="14"/>
          <w:lang w:val="es-CO"/>
        </w:rPr>
      </w:pPr>
      <w:r w:rsidRPr="005D5C35">
        <w:rPr>
          <w:rFonts w:ascii="Verdana" w:hAnsi="Verdana"/>
          <w:sz w:val="14"/>
          <w:szCs w:val="14"/>
          <w:lang w:val="es-CO"/>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5D5C35">
        <w:rPr>
          <w:rFonts w:ascii="Verdana" w:hAnsi="Verdana"/>
          <w:sz w:val="14"/>
          <w:szCs w:val="14"/>
          <w:lang w:val="es-CO"/>
        </w:rPr>
        <w:t>postcontractual</w:t>
      </w:r>
      <w:proofErr w:type="spellEnd"/>
      <w:r w:rsidRPr="005D5C35">
        <w:rPr>
          <w:rFonts w:ascii="Verdana" w:hAnsi="Verdana"/>
          <w:sz w:val="14"/>
          <w:szCs w:val="14"/>
          <w:lang w:val="es-CO"/>
        </w:rPr>
        <w:t>. </w:t>
      </w:r>
    </w:p>
    <w:p w14:paraId="5F7E150C" w14:textId="77777777" w:rsidR="000E07C3" w:rsidRPr="00AF0096" w:rsidRDefault="000E07C3" w:rsidP="000E07C3">
      <w:pPr>
        <w:pStyle w:val="Textonotapie"/>
        <w:ind w:firstLine="708"/>
        <w:jc w:val="both"/>
        <w:rPr>
          <w:rFonts w:ascii="Verdana" w:hAnsi="Verdana"/>
          <w:sz w:val="16"/>
          <w:szCs w:val="16"/>
          <w:lang w:val="es-CO"/>
        </w:rPr>
      </w:pPr>
      <w:r w:rsidRPr="005D5C35">
        <w:rPr>
          <w:rFonts w:ascii="Verdana" w:hAnsi="Verdana"/>
          <w:sz w:val="14"/>
          <w:szCs w:val="14"/>
          <w:lang w:val="es-CO"/>
        </w:rPr>
        <w:t>A partir de la entrada en vigencia de la presente Ley, se establecerá un periodo de transición de seis (6) meses, para que las entidades den cumplimiento efectivo a lo aquí establecido.</w:t>
      </w:r>
      <w:r w:rsidRPr="00AF0096">
        <w:rPr>
          <w:rFonts w:ascii="Verdana" w:hAnsi="Verdana"/>
          <w:sz w:val="16"/>
          <w:szCs w:val="16"/>
          <w:lang w:val="es-CO"/>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1FD1C243" w14:textId="6F0D75D4"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5pt;height:11.75pt" o:bullet="t">
        <v:imagedata r:id="rId1" o:title="mso1B13"/>
      </v:shape>
    </w:pict>
  </w:numPicBullet>
  <w:abstractNum w:abstractNumId="0" w15:restartNumberingAfterBreak="0">
    <w:nsid w:val="01C06310"/>
    <w:multiLevelType w:val="multilevel"/>
    <w:tmpl w:val="92EC0BC6"/>
    <w:lvl w:ilvl="0">
      <w:start w:val="1"/>
      <w:numFmt w:val="decimal"/>
      <w:lvlText w:val="%1."/>
      <w:lvlJc w:val="left"/>
      <w:pPr>
        <w:ind w:left="6601" w:hanging="360"/>
      </w:pPr>
      <w:rPr>
        <w:b/>
        <w:color w:val="000000" w:themeColor="text1"/>
        <w:lang w:val="es-C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7642455"/>
    <w:multiLevelType w:val="hybridMultilevel"/>
    <w:tmpl w:val="F9CA70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0"/>
  </w:num>
  <w:num w:numId="16" w16cid:durableId="341274352">
    <w:abstractNumId w:val="0"/>
  </w:num>
  <w:num w:numId="17" w16cid:durableId="103350507">
    <w:abstractNumId w:val="11"/>
  </w:num>
  <w:num w:numId="18"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479C"/>
    <w:rsid w:val="000A683E"/>
    <w:rsid w:val="000B19B9"/>
    <w:rsid w:val="000C113C"/>
    <w:rsid w:val="000D0334"/>
    <w:rsid w:val="000D5DA7"/>
    <w:rsid w:val="000E07C3"/>
    <w:rsid w:val="000F6486"/>
    <w:rsid w:val="00116940"/>
    <w:rsid w:val="00125105"/>
    <w:rsid w:val="00127233"/>
    <w:rsid w:val="0015699B"/>
    <w:rsid w:val="001854FD"/>
    <w:rsid w:val="001A33BF"/>
    <w:rsid w:val="001D24C1"/>
    <w:rsid w:val="001E4177"/>
    <w:rsid w:val="001F0935"/>
    <w:rsid w:val="001F0B24"/>
    <w:rsid w:val="001F7DC6"/>
    <w:rsid w:val="0022400B"/>
    <w:rsid w:val="002421BB"/>
    <w:rsid w:val="00247E8E"/>
    <w:rsid w:val="0025796E"/>
    <w:rsid w:val="002707A2"/>
    <w:rsid w:val="00292900"/>
    <w:rsid w:val="002951A0"/>
    <w:rsid w:val="002962BC"/>
    <w:rsid w:val="002A093D"/>
    <w:rsid w:val="002A0DD0"/>
    <w:rsid w:val="002A49AC"/>
    <w:rsid w:val="002A64FD"/>
    <w:rsid w:val="002C7A84"/>
    <w:rsid w:val="002E2BF8"/>
    <w:rsid w:val="002E4FD9"/>
    <w:rsid w:val="002F114A"/>
    <w:rsid w:val="0030657A"/>
    <w:rsid w:val="00322A85"/>
    <w:rsid w:val="00324168"/>
    <w:rsid w:val="00325A05"/>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B1AC0"/>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D4755"/>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018C9"/>
    <w:rsid w:val="00A122D3"/>
    <w:rsid w:val="00A14468"/>
    <w:rsid w:val="00A14D1A"/>
    <w:rsid w:val="00A17F13"/>
    <w:rsid w:val="00A20739"/>
    <w:rsid w:val="00A23AF9"/>
    <w:rsid w:val="00A33C78"/>
    <w:rsid w:val="00AB0ADB"/>
    <w:rsid w:val="00AD3CEC"/>
    <w:rsid w:val="00B00C0E"/>
    <w:rsid w:val="00B01B1A"/>
    <w:rsid w:val="00B0381D"/>
    <w:rsid w:val="00B44A47"/>
    <w:rsid w:val="00B72CD3"/>
    <w:rsid w:val="00B72FFF"/>
    <w:rsid w:val="00BC3D36"/>
    <w:rsid w:val="00BD54A6"/>
    <w:rsid w:val="00BD7F72"/>
    <w:rsid w:val="00BE66A4"/>
    <w:rsid w:val="00BF7425"/>
    <w:rsid w:val="00C04FB3"/>
    <w:rsid w:val="00C06CD1"/>
    <w:rsid w:val="00C11D8B"/>
    <w:rsid w:val="00C15139"/>
    <w:rsid w:val="00C21A9E"/>
    <w:rsid w:val="00C330EB"/>
    <w:rsid w:val="00C50D69"/>
    <w:rsid w:val="00C5365C"/>
    <w:rsid w:val="00C754BE"/>
    <w:rsid w:val="00C76B1C"/>
    <w:rsid w:val="00C925AC"/>
    <w:rsid w:val="00CB6357"/>
    <w:rsid w:val="00CC1B26"/>
    <w:rsid w:val="00CF7FF5"/>
    <w:rsid w:val="00D361FD"/>
    <w:rsid w:val="00D423A2"/>
    <w:rsid w:val="00D44E26"/>
    <w:rsid w:val="00D520D8"/>
    <w:rsid w:val="00D63AC2"/>
    <w:rsid w:val="00D7383B"/>
    <w:rsid w:val="00D7788A"/>
    <w:rsid w:val="00DA231B"/>
    <w:rsid w:val="00DC39FC"/>
    <w:rsid w:val="00DF5254"/>
    <w:rsid w:val="00E02524"/>
    <w:rsid w:val="00E130A6"/>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3881B6E"/>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E07C3"/>
    <w:rPr>
      <w:rFonts w:ascii="Geomanist Light" w:hAnsi="Geomanist Light"/>
      <w:lang w:val="es-ES"/>
    </w:rPr>
  </w:style>
  <w:style w:type="paragraph" w:customStyle="1" w:styleId="Appelnotedebasde">
    <w:name w:val="Appel note de bas de..."/>
    <w:basedOn w:val="Normal"/>
    <w:link w:val="Refdenotaalpie"/>
    <w:uiPriority w:val="99"/>
    <w:rsid w:val="000E07C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wp-content/uploads/2025/09/Guia-para-la-gestion-contractual-de-Entidades-Estatales-con-Regimen-Especial-VF-2-1.pdf" TargetMode="External"/><Relationship Id="rId18"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orms.office.com/r/pPHyWVs2SZ" TargetMode="External"/><Relationship Id="rId7" Type="http://schemas.openxmlformats.org/officeDocument/2006/relationships/webSettings" Target="webSettings.xml"/><Relationship Id="rId12" Type="http://schemas.openxmlformats.org/officeDocument/2006/relationships/hyperlink" Target="https://recyt.fecyt.es/index.php/RAP/article/view/67033" TargetMode="External"/><Relationship Id="rId17" Type="http://schemas.openxmlformats.org/officeDocument/2006/relationships/hyperlink" Target="https://www.colombiacompra.gov.co/normativa-y-relatoria/documentos-tipo"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formacionvirtual.colombiacompra.gov.co/mod/page/view.php?id=3718" TargetMode="External"/><Relationship Id="rId20" Type="http://schemas.openxmlformats.org/officeDocument/2006/relationships/hyperlink" Target="https://www.colombiacompra.gov.co/pqrsd/informacion-importante-antes-de-formular-una-pqrsd"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ernandog213@hotmail.com"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hyperlink" Target="mailto:ventanilladeradicacion@colombiacompra.gov.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wp-content/uploads/2026/05/CIRCULAR-EXTERNA-002-DE-2026.pdf" TargetMode="External"/><Relationship Id="rId22"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decreto_1494_2015.html" TargetMode="External"/><Relationship Id="rId1" Type="http://schemas.openxmlformats.org/officeDocument/2006/relationships/hyperlink" Target="https://recyt.fecyt.es/index.php/RAP/article/view/6703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584CA58-1F74-456D-BA4B-CE1B77D909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21</TotalTime>
  <Pages>29</Pages>
  <Words>9900</Words>
  <Characters>54454</Characters>
  <Application>Microsoft Office Word</Application>
  <DocSecurity>0</DocSecurity>
  <Lines>453</Lines>
  <Paragraphs>128</Paragraphs>
  <ScaleCrop>false</ScaleCrop>
  <Company/>
  <LinksUpToDate>false</LinksUpToDate>
  <CharactersWithSpaces>64226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9</cp:revision>
  <cp:lastPrinted>2023-01-10T21:18:00Z</cp:lastPrinted>
  <dcterms:created xsi:type="dcterms:W3CDTF">2026-09-24T21:48:00Z</dcterms:created>
  <dcterms:modified xsi:type="dcterms:W3CDTF">2026-10-01T14:26:00Z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