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F4983" w14:textId="77777777" w:rsidR="00D509EA" w:rsidRPr="0051568E" w:rsidRDefault="00D509EA" w:rsidP="00D509EA">
      <w:pPr>
        <w:spacing w:after="0" w:line="240" w:lineRule="auto"/>
        <w:contextualSpacing/>
        <w:jc w:val="both"/>
        <w:rPr>
          <w:rFonts w:ascii="Verdana" w:eastAsia="Arial" w:hAnsi="Verdana"/>
          <w:b/>
          <w:bCs/>
          <w:lang w:val="es-ES" w:eastAsia="es-ES_tradnl"/>
        </w:rPr>
      </w:pPr>
      <w:bookmarkStart w:id="0" w:name="_Hlk143780582"/>
      <w:r w:rsidRPr="0051568E">
        <w:rPr>
          <w:rFonts w:ascii="Verdana" w:eastAsia="Arial" w:hAnsi="Verdana"/>
          <w:b/>
          <w:bCs/>
          <w:lang w:val="es-ES" w:eastAsia="es-ES_tradnl"/>
        </w:rPr>
        <w:t xml:space="preserve">CONTRATO – Definición </w:t>
      </w:r>
    </w:p>
    <w:p w14:paraId="2BF3D952" w14:textId="77777777" w:rsidR="00D509EA" w:rsidRPr="0051568E" w:rsidRDefault="00D509EA" w:rsidP="00D509EA">
      <w:pPr>
        <w:spacing w:after="0" w:line="240" w:lineRule="auto"/>
        <w:contextualSpacing/>
        <w:jc w:val="both"/>
        <w:rPr>
          <w:rFonts w:ascii="Verdana" w:eastAsia="Arial" w:hAnsi="Verdana"/>
          <w:b/>
          <w:bCs/>
          <w:sz w:val="20"/>
          <w:szCs w:val="20"/>
          <w:lang w:val="es-ES" w:eastAsia="es-ES_tradnl"/>
        </w:rPr>
      </w:pPr>
    </w:p>
    <w:p w14:paraId="44E4DF82" w14:textId="77777777" w:rsidR="00D509EA" w:rsidRPr="0051568E" w:rsidRDefault="00D509EA" w:rsidP="00D509EA">
      <w:pPr>
        <w:widowControl w:val="0"/>
        <w:autoSpaceDE w:val="0"/>
        <w:autoSpaceDN w:val="0"/>
        <w:spacing w:after="0" w:line="240" w:lineRule="auto"/>
        <w:contextualSpacing/>
        <w:jc w:val="both"/>
        <w:rPr>
          <w:rFonts w:ascii="Verdana" w:eastAsia="Arial" w:hAnsi="Verdana" w:cs="Arial"/>
          <w:color w:val="000000" w:themeColor="text1"/>
          <w:sz w:val="20"/>
          <w:szCs w:val="20"/>
          <w:lang w:val="es-ES" w:eastAsia="es-ES"/>
        </w:rPr>
      </w:pPr>
      <w:r w:rsidRPr="6DB59E88">
        <w:rPr>
          <w:rFonts w:ascii="Verdana" w:eastAsia="Arial" w:hAnsi="Verdana" w:cs="Arial"/>
          <w:color w:val="000000" w:themeColor="text1"/>
          <w:sz w:val="20"/>
          <w:szCs w:val="20"/>
          <w:lang w:val="es-ES" w:eastAsia="es-ES"/>
        </w:rPr>
        <w:t xml:space="preserve">El contrato es un “acto jurídico voluntario, una declaración de voluntad, que tiene por objeto establecer una relación jurídica entre dos personas, obligando a la una para con otra a determinada prestación”. Se trata de un negocio jurídico en el sentido de que es el resultado de un acto dispositivo o de autorregulación de intereses de dos o más sujetos con efectos jurídicos para crear, modificar o extinguir relaciones jurídicas. </w:t>
      </w:r>
    </w:p>
    <w:p w14:paraId="1B5F5D8A" w14:textId="77777777" w:rsidR="00D509EA" w:rsidRPr="0051568E" w:rsidRDefault="00D509EA" w:rsidP="00D509EA">
      <w:pPr>
        <w:spacing w:after="0" w:line="240" w:lineRule="auto"/>
        <w:contextualSpacing/>
        <w:jc w:val="both"/>
        <w:rPr>
          <w:rFonts w:ascii="Verdana" w:eastAsia="Arial" w:hAnsi="Verdana"/>
          <w:b/>
          <w:bCs/>
          <w:sz w:val="20"/>
          <w:szCs w:val="20"/>
          <w:lang w:val="es-ES" w:eastAsia="es-ES_tradnl"/>
        </w:rPr>
      </w:pPr>
    </w:p>
    <w:p w14:paraId="34942C68" w14:textId="77777777" w:rsidR="00D509EA" w:rsidRPr="0051568E" w:rsidRDefault="00D509EA" w:rsidP="00D509EA">
      <w:pPr>
        <w:spacing w:after="0" w:line="240" w:lineRule="auto"/>
        <w:contextualSpacing/>
        <w:jc w:val="both"/>
        <w:rPr>
          <w:rFonts w:ascii="Verdana" w:eastAsia="Arial" w:hAnsi="Verdana"/>
          <w:b/>
          <w:bCs/>
          <w:lang w:val="es-ES" w:eastAsia="es-ES_tradnl"/>
        </w:rPr>
      </w:pPr>
      <w:r w:rsidRPr="0051568E">
        <w:rPr>
          <w:rFonts w:ascii="Verdana" w:eastAsia="Arial" w:hAnsi="Verdana"/>
          <w:b/>
          <w:bCs/>
          <w:lang w:val="es-ES" w:eastAsia="es-ES_tradnl"/>
        </w:rPr>
        <w:t xml:space="preserve">CONTRATO ESTATAL – Definición </w:t>
      </w:r>
    </w:p>
    <w:p w14:paraId="3378713E" w14:textId="77777777" w:rsidR="00D509EA" w:rsidRPr="0051568E" w:rsidRDefault="00D509EA" w:rsidP="00D509EA">
      <w:pPr>
        <w:spacing w:after="0" w:line="240" w:lineRule="auto"/>
        <w:contextualSpacing/>
        <w:jc w:val="both"/>
        <w:rPr>
          <w:rFonts w:ascii="Verdana" w:eastAsia="Arial" w:hAnsi="Verdana"/>
          <w:b/>
          <w:bCs/>
          <w:sz w:val="20"/>
          <w:szCs w:val="20"/>
          <w:lang w:val="es-ES" w:eastAsia="es-ES_tradnl"/>
        </w:rPr>
      </w:pPr>
    </w:p>
    <w:p w14:paraId="2E9D1ABC" w14:textId="77777777" w:rsidR="00D509EA" w:rsidRDefault="00D509EA" w:rsidP="00D509EA">
      <w:pPr>
        <w:widowControl w:val="0"/>
        <w:autoSpaceDE w:val="0"/>
        <w:autoSpaceDN w:val="0"/>
        <w:spacing w:after="0" w:line="240" w:lineRule="auto"/>
        <w:contextualSpacing/>
        <w:jc w:val="both"/>
        <w:rPr>
          <w:rFonts w:ascii="Verdana" w:eastAsia="Arial" w:hAnsi="Verdana" w:cs="Arial"/>
          <w:color w:val="000000" w:themeColor="text1"/>
          <w:sz w:val="20"/>
          <w:szCs w:val="20"/>
          <w:lang w:val="es-ES_tradnl" w:eastAsia="es-ES_tradnl"/>
        </w:rPr>
      </w:pPr>
      <w:r w:rsidRPr="0051568E">
        <w:rPr>
          <w:rFonts w:ascii="Verdana" w:eastAsia="Arial" w:hAnsi="Verdana" w:cs="Arial"/>
          <w:color w:val="000000" w:themeColor="text1"/>
          <w:sz w:val="20"/>
          <w:szCs w:val="20"/>
          <w:lang w:val="es-ES_tradnl" w:eastAsia="es-ES_tradnl"/>
        </w:rPr>
        <w:t>[…] el contrato estatal es el acto jurídico creador de obligaciones en cuya celebración concurre una de las Entidades Estatales, independientemente de que se trate de contratos previstos o tipificados en el derecho privado, en disposiciones especiales o que sencillamente resulten del ejercicio de la autonomía de la voluntad, como sucede con los que se clasifican como atípicos e innominados –artículo 32 de la Ley 80–. Por lo tanto, la Ley 80 de 1993 adoptó un criterio eminentemente subjetivo u orgánico, esto es, en atención a la naturaleza de los sujetos u órganos que intervienen en la formación del vínculo contractual, para efectos de determinar que los contratos podrán catalogarse como estatales únicamente en cuanto en uno de sus extremos, al menos, se encuentre una Entidad Estatal, con independencia del régimen de derecho aplicable.</w:t>
      </w:r>
    </w:p>
    <w:p w14:paraId="5C177583" w14:textId="77777777" w:rsidR="00D509EA" w:rsidRPr="0051568E" w:rsidRDefault="00D509EA" w:rsidP="00D509EA">
      <w:pPr>
        <w:widowControl w:val="0"/>
        <w:autoSpaceDE w:val="0"/>
        <w:autoSpaceDN w:val="0"/>
        <w:spacing w:after="0" w:line="240" w:lineRule="auto"/>
        <w:contextualSpacing/>
        <w:jc w:val="both"/>
        <w:rPr>
          <w:rFonts w:ascii="Verdana" w:eastAsia="Arial" w:hAnsi="Verdana" w:cs="Arial"/>
          <w:color w:val="000000" w:themeColor="text1"/>
          <w:sz w:val="20"/>
          <w:szCs w:val="20"/>
          <w:lang w:val="es-ES_tradnl" w:eastAsia="es-ES_tradnl"/>
        </w:rPr>
      </w:pPr>
    </w:p>
    <w:p w14:paraId="0B040CEB" w14:textId="77777777" w:rsidR="00D509EA" w:rsidRPr="0051568E" w:rsidRDefault="00D509EA" w:rsidP="00D509EA">
      <w:pPr>
        <w:spacing w:after="0" w:line="240" w:lineRule="auto"/>
        <w:contextualSpacing/>
        <w:jc w:val="both"/>
        <w:rPr>
          <w:rFonts w:ascii="Verdana" w:eastAsia="Arial" w:hAnsi="Verdana"/>
          <w:b/>
          <w:bCs/>
          <w:sz w:val="20"/>
          <w:szCs w:val="20"/>
          <w:lang w:val="es-ES" w:eastAsia="es-ES_tradnl"/>
        </w:rPr>
      </w:pPr>
      <w:r w:rsidRPr="0051568E">
        <w:rPr>
          <w:rFonts w:ascii="Verdana" w:eastAsia="Arial" w:hAnsi="Verdana" w:cs="Arial"/>
          <w:color w:val="000000" w:themeColor="text1"/>
          <w:sz w:val="20"/>
          <w:szCs w:val="20"/>
          <w:lang w:eastAsia="es-ES_tradnl"/>
        </w:rPr>
        <w:t>Este entendimiento encuentra, además, recepción en los artículos 13 y 40 de la Ley 80 de 1993, los cuales integran al derecho contractual estatal “las disposiciones comerciales y civiles pertinentes”, cuando indican que estos se regirán de forma supletiva por ese régimen jurídico, salvo en las materias expresa y particularmente reguladas por el EGCAP, lo que permite concluir que “mediante la Ley 80, se pretendió que la actividad contractual del Estado quedará</w:t>
      </w:r>
      <w:r w:rsidRPr="0051568E">
        <w:rPr>
          <w:rFonts w:ascii="Verdana" w:eastAsia="Arial" w:hAnsi="Verdana" w:cs="Arial"/>
          <w:sz w:val="20"/>
          <w:szCs w:val="20"/>
          <w:lang w:eastAsia="es-ES_tradnl"/>
        </w:rPr>
        <w:t xml:space="preserve"> </w:t>
      </w:r>
      <w:r w:rsidRPr="0051568E">
        <w:rPr>
          <w:rFonts w:ascii="Verdana" w:eastAsia="Arial" w:hAnsi="Verdana" w:cs="Arial"/>
          <w:color w:val="000000" w:themeColor="text1"/>
          <w:sz w:val="20"/>
          <w:szCs w:val="20"/>
          <w:lang w:eastAsia="es-ES_tradnl"/>
        </w:rPr>
        <w:t>bajo la égida del contrato estatal, caracterizado por tener un régimen jurídico mixto, integrado por normas de derecho público y derecho privado”.</w:t>
      </w:r>
    </w:p>
    <w:p w14:paraId="35703D2F" w14:textId="77777777" w:rsidR="00D509EA" w:rsidRDefault="00D509EA" w:rsidP="00D509EA">
      <w:pPr>
        <w:spacing w:after="0" w:line="240" w:lineRule="auto"/>
        <w:rPr>
          <w:rFonts w:ascii="Verdana" w:eastAsia="Aptos" w:hAnsi="Verdana" w:cs="Times New Roman"/>
          <w:sz w:val="20"/>
          <w:szCs w:val="20"/>
        </w:rPr>
      </w:pPr>
    </w:p>
    <w:p w14:paraId="2DE7F530" w14:textId="77777777" w:rsidR="00D509EA" w:rsidRDefault="00D509EA" w:rsidP="00D509EA">
      <w:pPr>
        <w:spacing w:after="0" w:line="240" w:lineRule="auto"/>
        <w:contextualSpacing/>
        <w:jc w:val="both"/>
        <w:rPr>
          <w:rFonts w:ascii="Verdana" w:eastAsia="Arial" w:hAnsi="Verdana"/>
          <w:b/>
          <w:bCs/>
          <w:lang w:val="es-ES" w:eastAsia="es-ES_tradnl"/>
        </w:rPr>
      </w:pPr>
      <w:r>
        <w:rPr>
          <w:rFonts w:ascii="Verdana" w:eastAsia="Arial" w:hAnsi="Verdana"/>
          <w:b/>
          <w:bCs/>
          <w:lang w:val="es-ES" w:eastAsia="es-ES_tradnl"/>
        </w:rPr>
        <w:t>TIPO DE CONTRATO – Factores para determinarlo – Facultad de la entidad – Principio de planeación</w:t>
      </w:r>
    </w:p>
    <w:p w14:paraId="36B6065C" w14:textId="77777777" w:rsidR="00D509EA" w:rsidRDefault="00D509EA" w:rsidP="00D509EA">
      <w:pPr>
        <w:spacing w:after="0" w:line="240" w:lineRule="auto"/>
        <w:contextualSpacing/>
        <w:jc w:val="both"/>
        <w:rPr>
          <w:rFonts w:ascii="Verdana" w:eastAsia="Arial" w:hAnsi="Verdana"/>
          <w:b/>
          <w:bCs/>
          <w:lang w:val="es-ES" w:eastAsia="es-ES_tradnl"/>
        </w:rPr>
      </w:pPr>
    </w:p>
    <w:p w14:paraId="001EBBB0" w14:textId="77777777" w:rsidR="00D509EA" w:rsidRPr="00582B2C" w:rsidRDefault="00D509EA" w:rsidP="00D509EA">
      <w:pPr>
        <w:spacing w:after="0" w:line="240" w:lineRule="auto"/>
        <w:contextualSpacing/>
        <w:jc w:val="both"/>
        <w:rPr>
          <w:rFonts w:ascii="Verdana" w:eastAsia="Arial" w:hAnsi="Verdana"/>
          <w:sz w:val="20"/>
          <w:szCs w:val="20"/>
          <w:lang w:val="es-ES" w:eastAsia="es-ES_tradnl"/>
        </w:rPr>
      </w:pPr>
      <w:r>
        <w:rPr>
          <w:rFonts w:ascii="Verdana" w:eastAsia="Arial" w:hAnsi="Verdana"/>
          <w:sz w:val="20"/>
          <w:szCs w:val="20"/>
          <w:lang w:val="es-ES" w:eastAsia="es-ES_tradnl"/>
        </w:rPr>
        <w:t xml:space="preserve">[…] </w:t>
      </w:r>
      <w:r w:rsidRPr="00582B2C">
        <w:rPr>
          <w:rFonts w:ascii="Verdana" w:eastAsia="Arial" w:hAnsi="Verdana"/>
          <w:sz w:val="20"/>
          <w:szCs w:val="20"/>
          <w:lang w:val="es-ES" w:eastAsia="es-ES_tradnl"/>
        </w:rPr>
        <w:t>como el contrato estatal corresponde al acuerdo de voluntades en que uno de los extremos es una entidad pública, no solo pertenecen a esta categoría los celebrados por las entidades a las que se refiere la Ley 80 de 1993, sino también aquellos en los que interviene como parte cualquier entidad, independiente del régimen jurídico aplicable. En este sentido, la tipología contractual no depende del nombre que la entidad le asigne al negocio jurídico, sino de su contenido material, el objeto a contratar, la obligación principal y de la regulación que resulte aplicable.</w:t>
      </w:r>
    </w:p>
    <w:p w14:paraId="3612EE42" w14:textId="77777777" w:rsidR="00D509EA" w:rsidRDefault="00D509EA" w:rsidP="00D509EA">
      <w:pPr>
        <w:spacing w:after="0" w:line="240" w:lineRule="auto"/>
        <w:contextualSpacing/>
        <w:jc w:val="both"/>
        <w:rPr>
          <w:rFonts w:ascii="Verdana" w:eastAsia="Arial" w:hAnsi="Verdana"/>
          <w:sz w:val="20"/>
          <w:szCs w:val="20"/>
          <w:lang w:val="es-ES" w:eastAsia="es-ES_tradnl"/>
        </w:rPr>
      </w:pPr>
    </w:p>
    <w:p w14:paraId="0F4B30F9" w14:textId="77777777" w:rsidR="00D509EA" w:rsidRPr="00582B2C" w:rsidRDefault="00D509EA" w:rsidP="00D509EA">
      <w:pPr>
        <w:spacing w:after="0" w:line="240" w:lineRule="auto"/>
        <w:contextualSpacing/>
        <w:jc w:val="both"/>
        <w:rPr>
          <w:rFonts w:ascii="Verdana" w:eastAsia="Arial" w:hAnsi="Verdana"/>
          <w:sz w:val="20"/>
          <w:szCs w:val="20"/>
          <w:lang w:val="es-ES" w:eastAsia="es-ES_tradnl"/>
        </w:rPr>
      </w:pPr>
      <w:r w:rsidRPr="00582B2C">
        <w:rPr>
          <w:rFonts w:ascii="Verdana" w:eastAsia="Arial" w:hAnsi="Verdana"/>
          <w:sz w:val="20"/>
          <w:szCs w:val="20"/>
          <w:lang w:val="es-ES" w:eastAsia="es-ES_tradnl"/>
        </w:rPr>
        <w:t xml:space="preserve">En ese sentido, y conforme a lo dispuesto en los artículos 13, 32, y 40 de la Ley 80 de 1993, las Entidades Estatales pueden celebrar contratos que se encuentren o no, referenciados en dicha norma o incluso, en el derecho privado. Esto, siempre y cuando sean compatibles con la Constitución Política, la ley, el orden público y los principios que rigen la contratación estatal. De esta forma, se colige que la definición concreta del tipo </w:t>
      </w:r>
      <w:r w:rsidRPr="00582B2C">
        <w:rPr>
          <w:rFonts w:ascii="Verdana" w:eastAsia="Arial" w:hAnsi="Verdana"/>
          <w:sz w:val="20"/>
          <w:szCs w:val="20"/>
          <w:lang w:val="es-ES" w:eastAsia="es-ES_tradnl"/>
        </w:rPr>
        <w:lastRenderedPageBreak/>
        <w:t>contractual es un asunto que le corresponde propiamente definir a la Entidad Estatal durante la etapa de planeación.</w:t>
      </w:r>
    </w:p>
    <w:p w14:paraId="52A27DE6" w14:textId="77777777" w:rsidR="00D509EA" w:rsidRDefault="00D509EA" w:rsidP="00D509EA">
      <w:pPr>
        <w:spacing w:after="0" w:line="240" w:lineRule="auto"/>
        <w:contextualSpacing/>
        <w:jc w:val="both"/>
        <w:rPr>
          <w:rFonts w:ascii="Verdana" w:eastAsia="Arial" w:hAnsi="Verdana"/>
          <w:sz w:val="20"/>
          <w:szCs w:val="20"/>
          <w:lang w:val="es-ES" w:eastAsia="es-ES_tradnl"/>
        </w:rPr>
      </w:pPr>
      <w:r>
        <w:rPr>
          <w:rFonts w:ascii="Verdana" w:eastAsia="Arial" w:hAnsi="Verdana"/>
          <w:sz w:val="20"/>
          <w:szCs w:val="20"/>
          <w:lang w:val="es-ES" w:eastAsia="es-ES_tradnl"/>
        </w:rPr>
        <w:t>[…]</w:t>
      </w:r>
    </w:p>
    <w:p w14:paraId="3EC4B84C" w14:textId="77777777" w:rsidR="00D509EA" w:rsidRPr="00582B2C" w:rsidRDefault="00D509EA" w:rsidP="00D509EA">
      <w:pPr>
        <w:spacing w:after="0" w:line="240" w:lineRule="auto"/>
        <w:contextualSpacing/>
        <w:jc w:val="both"/>
        <w:rPr>
          <w:rFonts w:ascii="Verdana" w:eastAsia="Arial" w:hAnsi="Verdana"/>
          <w:sz w:val="20"/>
          <w:szCs w:val="20"/>
          <w:lang w:val="es-ES" w:eastAsia="es-ES_tradnl"/>
        </w:rPr>
      </w:pPr>
      <w:r w:rsidRPr="00582B2C">
        <w:rPr>
          <w:rFonts w:ascii="Verdana" w:eastAsia="Arial" w:hAnsi="Verdana"/>
          <w:sz w:val="20"/>
          <w:szCs w:val="20"/>
          <w:lang w:val="es-ES" w:eastAsia="es-ES_tradnl"/>
        </w:rPr>
        <w:t>De esta manera, la entidad deberá determinar, bajo el principio de planeación, la tipología contractual aplicable o pertinente para la adquisición de un bien o servicio, dado que “[…] de acuerdo con el deber de planeación, los contratos del Estado “deben siempre corresponder a negocios debidamente diseñados, pensados, conforme a las necesidades y prioridades que demanda el interés público; en otras palabras, el ordenamiento jurídico busca que el contrato estatal no sea el producto de la improvisación ni de la mediocridad. La ausencia de planeación ataca la esencia misma del interés general, con consecuencias gravosas y muchas veces nefastas, no sólo para la realización efectiva de los objetos pactados, sino también para el patrimonio público, que en últimas es el que siempre está involucrado en todo contrato estatal. Se trata de exigirles perentoriamente a las administraciones públicas una real y efectiva racionalización y organización de sus acciones y actividades con el fin de lograr los fines propuestos por medio de los negocios estatales”</w:t>
      </w:r>
      <w:r>
        <w:rPr>
          <w:rFonts w:ascii="Verdana" w:eastAsia="Arial" w:hAnsi="Verdana"/>
          <w:sz w:val="20"/>
          <w:szCs w:val="20"/>
          <w:lang w:val="es-ES" w:eastAsia="es-ES_tradnl"/>
        </w:rPr>
        <w:t>.</w:t>
      </w:r>
    </w:p>
    <w:p w14:paraId="1BDF09FD" w14:textId="77777777" w:rsidR="00D509EA" w:rsidRDefault="00D509EA" w:rsidP="00D509EA">
      <w:pPr>
        <w:spacing w:after="0" w:line="240" w:lineRule="auto"/>
        <w:contextualSpacing/>
        <w:jc w:val="both"/>
        <w:rPr>
          <w:rFonts w:ascii="Verdana" w:eastAsia="Arial" w:hAnsi="Verdana"/>
          <w:b/>
          <w:bCs/>
          <w:lang w:val="es-ES" w:eastAsia="es-ES_tradnl"/>
        </w:rPr>
      </w:pPr>
    </w:p>
    <w:p w14:paraId="568EE23C" w14:textId="77777777" w:rsidR="00D509EA" w:rsidRDefault="00D509EA" w:rsidP="00D509EA">
      <w:pPr>
        <w:spacing w:after="0" w:line="240" w:lineRule="auto"/>
        <w:rPr>
          <w:rFonts w:ascii="Verdana" w:eastAsia="Aptos" w:hAnsi="Verdana" w:cs="Times New Roman"/>
          <w:sz w:val="20"/>
          <w:szCs w:val="20"/>
        </w:rPr>
      </w:pPr>
    </w:p>
    <w:p w14:paraId="428A01E5" w14:textId="77777777" w:rsidR="00D509EA" w:rsidRDefault="00D509EA" w:rsidP="00D509EA">
      <w:pPr>
        <w:spacing w:after="0" w:line="240" w:lineRule="auto"/>
        <w:rPr>
          <w:rFonts w:ascii="Verdana" w:eastAsia="Aptos" w:hAnsi="Verdana" w:cs="Times New Roman"/>
          <w:sz w:val="20"/>
          <w:szCs w:val="20"/>
        </w:rPr>
      </w:pPr>
    </w:p>
    <w:p w14:paraId="43778FD3" w14:textId="77777777" w:rsidR="00D509EA" w:rsidRDefault="00D509EA" w:rsidP="00D509EA">
      <w:pPr>
        <w:spacing w:after="0" w:line="240" w:lineRule="auto"/>
        <w:rPr>
          <w:rFonts w:ascii="Verdana" w:eastAsia="Aptos" w:hAnsi="Verdana" w:cs="Times New Roman"/>
          <w:sz w:val="20"/>
          <w:szCs w:val="20"/>
        </w:rPr>
      </w:pPr>
    </w:p>
    <w:p w14:paraId="5CD55F20" w14:textId="77777777" w:rsidR="00D509EA" w:rsidRDefault="00D509EA" w:rsidP="00D509EA">
      <w:pPr>
        <w:spacing w:after="0" w:line="240" w:lineRule="auto"/>
        <w:rPr>
          <w:rFonts w:ascii="Verdana" w:eastAsia="Aptos" w:hAnsi="Verdana" w:cs="Times New Roman"/>
          <w:sz w:val="20"/>
          <w:szCs w:val="20"/>
        </w:rPr>
      </w:pPr>
    </w:p>
    <w:p w14:paraId="00AF47CA" w14:textId="77777777" w:rsidR="00D509EA" w:rsidRDefault="00D509EA" w:rsidP="00D509EA">
      <w:pPr>
        <w:spacing w:after="0" w:line="240" w:lineRule="auto"/>
        <w:rPr>
          <w:rFonts w:ascii="Verdana" w:eastAsia="Aptos" w:hAnsi="Verdana" w:cs="Times New Roman"/>
          <w:sz w:val="20"/>
          <w:szCs w:val="20"/>
        </w:rPr>
      </w:pPr>
    </w:p>
    <w:p w14:paraId="5F61B8D8" w14:textId="77777777" w:rsidR="00D509EA" w:rsidRDefault="00D509EA" w:rsidP="00D509EA">
      <w:pPr>
        <w:spacing w:after="0" w:line="240" w:lineRule="auto"/>
        <w:rPr>
          <w:rFonts w:ascii="Verdana" w:eastAsia="Aptos" w:hAnsi="Verdana" w:cs="Times New Roman"/>
          <w:sz w:val="20"/>
          <w:szCs w:val="20"/>
        </w:rPr>
      </w:pPr>
    </w:p>
    <w:p w14:paraId="42FD139B" w14:textId="77777777" w:rsidR="00D509EA" w:rsidRDefault="00D509EA" w:rsidP="00D509EA">
      <w:pPr>
        <w:spacing w:after="0" w:line="240" w:lineRule="auto"/>
        <w:rPr>
          <w:rFonts w:ascii="Verdana" w:eastAsia="Aptos" w:hAnsi="Verdana" w:cs="Times New Roman"/>
          <w:sz w:val="20"/>
          <w:szCs w:val="20"/>
        </w:rPr>
      </w:pPr>
    </w:p>
    <w:p w14:paraId="01E5FE26" w14:textId="77777777" w:rsidR="00D509EA" w:rsidRDefault="00D509EA" w:rsidP="00D509EA">
      <w:pPr>
        <w:spacing w:after="0" w:line="240" w:lineRule="auto"/>
        <w:rPr>
          <w:rFonts w:ascii="Verdana" w:eastAsia="Aptos" w:hAnsi="Verdana" w:cs="Times New Roman"/>
          <w:sz w:val="20"/>
          <w:szCs w:val="20"/>
        </w:rPr>
      </w:pPr>
    </w:p>
    <w:p w14:paraId="6F53AD4D" w14:textId="77777777" w:rsidR="00D509EA" w:rsidRDefault="00D509EA" w:rsidP="00D509EA">
      <w:pPr>
        <w:spacing w:after="0" w:line="240" w:lineRule="auto"/>
        <w:rPr>
          <w:rFonts w:ascii="Verdana" w:eastAsia="Aptos" w:hAnsi="Verdana" w:cs="Times New Roman"/>
          <w:sz w:val="20"/>
          <w:szCs w:val="20"/>
        </w:rPr>
      </w:pPr>
    </w:p>
    <w:p w14:paraId="782C5756" w14:textId="77777777" w:rsidR="00D509EA" w:rsidRDefault="00D509EA" w:rsidP="00D509EA">
      <w:pPr>
        <w:spacing w:after="0" w:line="240" w:lineRule="auto"/>
        <w:rPr>
          <w:rFonts w:ascii="Verdana" w:eastAsia="Aptos" w:hAnsi="Verdana" w:cs="Times New Roman"/>
          <w:sz w:val="20"/>
          <w:szCs w:val="20"/>
        </w:rPr>
      </w:pPr>
    </w:p>
    <w:p w14:paraId="581F7274" w14:textId="77777777" w:rsidR="00D509EA" w:rsidRDefault="00D509EA" w:rsidP="00D509EA">
      <w:pPr>
        <w:spacing w:after="0" w:line="240" w:lineRule="auto"/>
        <w:rPr>
          <w:rFonts w:ascii="Verdana" w:eastAsia="Aptos" w:hAnsi="Verdana" w:cs="Times New Roman"/>
          <w:sz w:val="20"/>
          <w:szCs w:val="20"/>
        </w:rPr>
      </w:pPr>
    </w:p>
    <w:p w14:paraId="4976C1DA" w14:textId="77777777" w:rsidR="00D509EA" w:rsidRDefault="00D509EA" w:rsidP="00D509EA">
      <w:pPr>
        <w:spacing w:after="0" w:line="240" w:lineRule="auto"/>
        <w:rPr>
          <w:rFonts w:ascii="Verdana" w:eastAsia="Aptos" w:hAnsi="Verdana" w:cs="Times New Roman"/>
          <w:sz w:val="20"/>
          <w:szCs w:val="20"/>
        </w:rPr>
      </w:pPr>
    </w:p>
    <w:p w14:paraId="6BF7AFBE" w14:textId="77777777" w:rsidR="00D509EA" w:rsidRDefault="00D509EA" w:rsidP="00D509EA">
      <w:pPr>
        <w:spacing w:after="0" w:line="240" w:lineRule="auto"/>
        <w:rPr>
          <w:rFonts w:ascii="Verdana" w:eastAsia="Aptos" w:hAnsi="Verdana" w:cs="Times New Roman"/>
          <w:sz w:val="20"/>
          <w:szCs w:val="20"/>
        </w:rPr>
      </w:pPr>
    </w:p>
    <w:p w14:paraId="181E0D47" w14:textId="77777777" w:rsidR="00D509EA" w:rsidRDefault="00D509EA" w:rsidP="00D509EA">
      <w:pPr>
        <w:spacing w:after="0" w:line="240" w:lineRule="auto"/>
        <w:rPr>
          <w:rFonts w:ascii="Verdana" w:eastAsia="Aptos" w:hAnsi="Verdana" w:cs="Times New Roman"/>
          <w:sz w:val="20"/>
          <w:szCs w:val="20"/>
        </w:rPr>
      </w:pPr>
    </w:p>
    <w:p w14:paraId="53F01D01" w14:textId="77777777" w:rsidR="00D509EA" w:rsidRDefault="00D509EA" w:rsidP="00D509EA">
      <w:pPr>
        <w:spacing w:after="0" w:line="240" w:lineRule="auto"/>
        <w:rPr>
          <w:rFonts w:ascii="Verdana" w:eastAsia="Aptos" w:hAnsi="Verdana" w:cs="Times New Roman"/>
          <w:sz w:val="20"/>
          <w:szCs w:val="20"/>
        </w:rPr>
      </w:pPr>
    </w:p>
    <w:p w14:paraId="3D95A2C1" w14:textId="77777777" w:rsidR="00D509EA" w:rsidRDefault="00D509EA" w:rsidP="00D509EA">
      <w:pPr>
        <w:spacing w:after="0" w:line="240" w:lineRule="auto"/>
        <w:rPr>
          <w:rFonts w:ascii="Verdana" w:eastAsia="Aptos" w:hAnsi="Verdana" w:cs="Times New Roman"/>
          <w:sz w:val="20"/>
          <w:szCs w:val="20"/>
        </w:rPr>
      </w:pPr>
    </w:p>
    <w:p w14:paraId="30919577" w14:textId="77777777" w:rsidR="00D509EA" w:rsidRDefault="00D509EA" w:rsidP="00D509EA">
      <w:pPr>
        <w:spacing w:after="0" w:line="240" w:lineRule="auto"/>
        <w:rPr>
          <w:rFonts w:ascii="Verdana" w:eastAsia="Aptos" w:hAnsi="Verdana" w:cs="Times New Roman"/>
          <w:sz w:val="20"/>
          <w:szCs w:val="20"/>
        </w:rPr>
      </w:pPr>
    </w:p>
    <w:p w14:paraId="5C1FB76B" w14:textId="77777777" w:rsidR="00D509EA" w:rsidRDefault="00D509EA" w:rsidP="00D509EA">
      <w:pPr>
        <w:spacing w:after="0" w:line="240" w:lineRule="auto"/>
        <w:rPr>
          <w:rFonts w:ascii="Verdana" w:eastAsia="Aptos" w:hAnsi="Verdana" w:cs="Times New Roman"/>
          <w:sz w:val="20"/>
          <w:szCs w:val="20"/>
        </w:rPr>
      </w:pPr>
    </w:p>
    <w:p w14:paraId="47CC5EC2" w14:textId="77777777" w:rsidR="00D509EA" w:rsidRDefault="00D509EA" w:rsidP="00D509EA">
      <w:pPr>
        <w:spacing w:after="0" w:line="240" w:lineRule="auto"/>
        <w:rPr>
          <w:rFonts w:ascii="Verdana" w:eastAsia="Aptos" w:hAnsi="Verdana" w:cs="Times New Roman"/>
          <w:sz w:val="20"/>
          <w:szCs w:val="20"/>
        </w:rPr>
      </w:pPr>
    </w:p>
    <w:p w14:paraId="065C1EFB" w14:textId="77777777" w:rsidR="00D509EA" w:rsidRDefault="00D509EA" w:rsidP="00D509EA">
      <w:pPr>
        <w:spacing w:after="0" w:line="240" w:lineRule="auto"/>
        <w:rPr>
          <w:rFonts w:ascii="Verdana" w:eastAsia="Aptos" w:hAnsi="Verdana" w:cs="Times New Roman"/>
          <w:sz w:val="20"/>
          <w:szCs w:val="20"/>
        </w:rPr>
      </w:pPr>
    </w:p>
    <w:p w14:paraId="171D493F" w14:textId="77777777" w:rsidR="00D509EA" w:rsidRDefault="00D509EA" w:rsidP="00D509EA">
      <w:pPr>
        <w:spacing w:after="0" w:line="240" w:lineRule="auto"/>
        <w:rPr>
          <w:rFonts w:ascii="Verdana" w:eastAsia="Aptos" w:hAnsi="Verdana" w:cs="Times New Roman"/>
          <w:sz w:val="20"/>
          <w:szCs w:val="20"/>
        </w:rPr>
      </w:pPr>
    </w:p>
    <w:p w14:paraId="598FA2FE" w14:textId="77777777" w:rsidR="00D509EA" w:rsidRDefault="00D509EA" w:rsidP="00D509EA">
      <w:pPr>
        <w:spacing w:after="0" w:line="240" w:lineRule="auto"/>
        <w:rPr>
          <w:rFonts w:ascii="Verdana" w:eastAsia="Aptos" w:hAnsi="Verdana" w:cs="Times New Roman"/>
          <w:sz w:val="20"/>
          <w:szCs w:val="20"/>
        </w:rPr>
      </w:pPr>
    </w:p>
    <w:p w14:paraId="766CD172" w14:textId="77777777" w:rsidR="00D509EA" w:rsidRDefault="00D509EA" w:rsidP="00D509EA">
      <w:pPr>
        <w:spacing w:after="0" w:line="240" w:lineRule="auto"/>
        <w:rPr>
          <w:rFonts w:ascii="Verdana" w:eastAsia="Aptos" w:hAnsi="Verdana" w:cs="Times New Roman"/>
          <w:sz w:val="20"/>
          <w:szCs w:val="20"/>
        </w:rPr>
      </w:pPr>
    </w:p>
    <w:p w14:paraId="47AC0730" w14:textId="77777777" w:rsidR="00D509EA" w:rsidRDefault="00D509EA" w:rsidP="00D509EA">
      <w:pPr>
        <w:spacing w:after="0" w:line="240" w:lineRule="auto"/>
        <w:rPr>
          <w:rFonts w:ascii="Verdana" w:eastAsia="Aptos" w:hAnsi="Verdana" w:cs="Times New Roman"/>
          <w:sz w:val="20"/>
          <w:szCs w:val="20"/>
        </w:rPr>
      </w:pPr>
    </w:p>
    <w:p w14:paraId="2D9C912F" w14:textId="77777777" w:rsidR="00D509EA" w:rsidRDefault="00D509EA" w:rsidP="00D509EA">
      <w:pPr>
        <w:spacing w:after="0" w:line="240" w:lineRule="auto"/>
        <w:rPr>
          <w:rFonts w:ascii="Verdana" w:eastAsia="Aptos" w:hAnsi="Verdana" w:cs="Times New Roman"/>
          <w:sz w:val="20"/>
          <w:szCs w:val="20"/>
        </w:rPr>
      </w:pPr>
    </w:p>
    <w:p w14:paraId="6A7A7C42" w14:textId="77777777" w:rsidR="00D509EA" w:rsidRDefault="00D509EA" w:rsidP="00D509EA">
      <w:pPr>
        <w:spacing w:after="0" w:line="240" w:lineRule="auto"/>
        <w:rPr>
          <w:rFonts w:ascii="Verdana" w:eastAsia="Aptos" w:hAnsi="Verdana" w:cs="Times New Roman"/>
          <w:sz w:val="20"/>
          <w:szCs w:val="20"/>
        </w:rPr>
      </w:pPr>
    </w:p>
    <w:p w14:paraId="77FDD50D" w14:textId="77777777" w:rsidR="00D509EA" w:rsidRDefault="00D509EA" w:rsidP="00D509EA">
      <w:pPr>
        <w:spacing w:after="0" w:line="240" w:lineRule="auto"/>
        <w:rPr>
          <w:rFonts w:ascii="Verdana" w:eastAsia="Aptos" w:hAnsi="Verdana" w:cs="Times New Roman"/>
          <w:sz w:val="20"/>
          <w:szCs w:val="20"/>
        </w:rPr>
      </w:pPr>
    </w:p>
    <w:p w14:paraId="5FE35532" w14:textId="77777777" w:rsidR="00D509EA" w:rsidRDefault="00D509EA" w:rsidP="00D509EA">
      <w:pPr>
        <w:spacing w:after="0" w:line="240" w:lineRule="auto"/>
        <w:rPr>
          <w:rFonts w:ascii="Verdana" w:eastAsia="Aptos" w:hAnsi="Verdana" w:cs="Times New Roman"/>
          <w:sz w:val="20"/>
          <w:szCs w:val="20"/>
        </w:rPr>
      </w:pPr>
    </w:p>
    <w:p w14:paraId="2F485A93" w14:textId="77777777" w:rsidR="00D509EA" w:rsidRPr="00B33094" w:rsidRDefault="00D509EA" w:rsidP="00D509EA">
      <w:pPr>
        <w:spacing w:after="0" w:line="240" w:lineRule="auto"/>
        <w:rPr>
          <w:rFonts w:ascii="Verdana" w:eastAsia="Aptos" w:hAnsi="Verdana" w:cs="Times New Roman"/>
          <w:sz w:val="20"/>
          <w:szCs w:val="20"/>
        </w:rPr>
      </w:pPr>
    </w:p>
    <w:p w14:paraId="05C7731A" w14:textId="454E236E" w:rsidR="00D509EA" w:rsidRPr="00B33094" w:rsidRDefault="00D509EA" w:rsidP="00D509EA">
      <w:pPr>
        <w:spacing w:after="0" w:line="240" w:lineRule="auto"/>
        <w:contextualSpacing/>
        <w:rPr>
          <w:rFonts w:ascii="Verdana" w:eastAsia="Calibri" w:hAnsi="Verdana" w:cs="Arial"/>
        </w:rPr>
      </w:pPr>
      <w:r w:rsidRPr="00B33094">
        <w:rPr>
          <w:rFonts w:ascii="Verdana" w:eastAsia="Times New Roman" w:hAnsi="Verdana" w:cs="Arial"/>
          <w:lang w:val="es-ES" w:eastAsia="es-ES"/>
        </w:rPr>
        <w:lastRenderedPageBreak/>
        <w:t>Bogotá,</w:t>
      </w:r>
      <w:r w:rsidR="000334B6">
        <w:rPr>
          <w:rFonts w:ascii="Verdana" w:eastAsia="Times New Roman" w:hAnsi="Verdana" w:cs="Arial"/>
          <w:lang w:val="es-ES" w:eastAsia="es-ES"/>
        </w:rPr>
        <w:t xml:space="preserve"> 09 de octubre de 2026</w:t>
      </w:r>
    </w:p>
    <w:p w14:paraId="4F975AAD" w14:textId="77777777" w:rsidR="00D509EA" w:rsidRPr="00B33094" w:rsidRDefault="00D509EA" w:rsidP="00D509EA">
      <w:pPr>
        <w:spacing w:after="0" w:line="240" w:lineRule="auto"/>
        <w:jc w:val="both"/>
        <w:rPr>
          <w:rFonts w:ascii="Verdana" w:eastAsia="Calibri" w:hAnsi="Verdana" w:cs="Arial"/>
          <w:lang w:val="es-ES"/>
        </w:rPr>
      </w:pPr>
    </w:p>
    <w:p w14:paraId="7C7E7B75" w14:textId="7BEE55A9" w:rsidR="00D509EA" w:rsidRPr="00B33094" w:rsidRDefault="00235BE4" w:rsidP="00D509EA">
      <w:pPr>
        <w:spacing w:after="0" w:line="240" w:lineRule="auto"/>
        <w:jc w:val="right"/>
        <w:rPr>
          <w:rFonts w:ascii="Verdana" w:eastAsia="Calibri" w:hAnsi="Verdana" w:cs="Arial"/>
          <w:lang w:val="es-ES"/>
        </w:rPr>
      </w:pPr>
      <w:r w:rsidRPr="00235BE4">
        <w:rPr>
          <w:rFonts w:ascii="Verdana" w:eastAsia="Calibri" w:hAnsi="Verdana" w:cs="Arial"/>
          <w:lang w:val="es-ES"/>
        </w:rPr>
        <w:drawing>
          <wp:inline distT="0" distB="0" distL="0" distR="0" wp14:anchorId="01593520" wp14:editId="4B4D4797">
            <wp:extent cx="2466975" cy="752475"/>
            <wp:effectExtent l="0" t="0" r="9525" b="9525"/>
            <wp:docPr id="12663265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326597" name=""/>
                    <pic:cNvPicPr/>
                  </pic:nvPicPr>
                  <pic:blipFill>
                    <a:blip r:embed="rId10"/>
                    <a:stretch>
                      <a:fillRect/>
                    </a:stretch>
                  </pic:blipFill>
                  <pic:spPr>
                    <a:xfrm>
                      <a:off x="0" y="0"/>
                      <a:ext cx="2467319" cy="752580"/>
                    </a:xfrm>
                    <a:prstGeom prst="rect">
                      <a:avLst/>
                    </a:prstGeom>
                  </pic:spPr>
                </pic:pic>
              </a:graphicData>
            </a:graphic>
          </wp:inline>
        </w:drawing>
      </w:r>
    </w:p>
    <w:p w14:paraId="1B5324D4" w14:textId="77777777" w:rsidR="00D509EA" w:rsidRPr="00B33094" w:rsidRDefault="00D509EA" w:rsidP="00D509EA">
      <w:pPr>
        <w:spacing w:after="0" w:line="240" w:lineRule="auto"/>
        <w:jc w:val="both"/>
        <w:rPr>
          <w:rFonts w:ascii="Verdana" w:eastAsia="Calibri" w:hAnsi="Verdana" w:cs="Arial"/>
          <w:lang w:val="es-ES" w:eastAsia="es-ES"/>
        </w:rPr>
      </w:pPr>
      <w:r w:rsidRPr="00B33094">
        <w:rPr>
          <w:rFonts w:ascii="Verdana" w:eastAsia="Calibri" w:hAnsi="Verdana" w:cs="Arial"/>
          <w:lang w:val="es-ES" w:eastAsia="es-ES"/>
        </w:rPr>
        <w:t>Señor</w:t>
      </w:r>
    </w:p>
    <w:p w14:paraId="5FB88D17" w14:textId="77777777" w:rsidR="00D509EA" w:rsidRPr="00952BA1" w:rsidRDefault="00D509EA" w:rsidP="00D509EA">
      <w:pPr>
        <w:spacing w:after="0" w:line="240" w:lineRule="auto"/>
        <w:rPr>
          <w:rFonts w:ascii="Verdana" w:eastAsia="Calibri" w:hAnsi="Verdana" w:cs="Arial"/>
          <w:b/>
          <w:lang w:val="es-ES" w:eastAsia="es-ES"/>
        </w:rPr>
      </w:pPr>
      <w:r w:rsidRPr="00952BA1">
        <w:rPr>
          <w:rFonts w:ascii="Verdana" w:eastAsia="Calibri" w:hAnsi="Verdana" w:cs="Arial"/>
          <w:b/>
          <w:lang w:val="es-ES" w:eastAsia="es-ES"/>
        </w:rPr>
        <w:t>Juan Carlos Tique Mendoza</w:t>
      </w:r>
    </w:p>
    <w:p w14:paraId="46098E69" w14:textId="77777777" w:rsidR="00D509EA" w:rsidRDefault="00D509EA" w:rsidP="00D509EA">
      <w:pPr>
        <w:spacing w:after="0" w:line="240" w:lineRule="auto"/>
        <w:rPr>
          <w:rFonts w:ascii="Verdana" w:hAnsi="Verdana"/>
        </w:rPr>
      </w:pPr>
      <w:hyperlink r:id="rId11" w:history="1">
        <w:r w:rsidRPr="00952BA1">
          <w:rPr>
            <w:rStyle w:val="Hipervnculo"/>
            <w:rFonts w:ascii="Verdana" w:hAnsi="Verdana"/>
          </w:rPr>
          <w:t>juankheo@gmail.com</w:t>
        </w:r>
      </w:hyperlink>
    </w:p>
    <w:p w14:paraId="77A930ED" w14:textId="77777777" w:rsidR="00D509EA" w:rsidRPr="00952BA1" w:rsidRDefault="00D509EA" w:rsidP="00D509EA">
      <w:pPr>
        <w:spacing w:after="0" w:line="240" w:lineRule="auto"/>
        <w:rPr>
          <w:rFonts w:ascii="Verdana" w:hAnsi="Verdana"/>
        </w:rPr>
      </w:pPr>
      <w:r>
        <w:rPr>
          <w:rFonts w:ascii="Verdana" w:hAnsi="Verdana"/>
        </w:rPr>
        <w:t>Ciudad</w:t>
      </w:r>
    </w:p>
    <w:p w14:paraId="30C6EBAF" w14:textId="77777777" w:rsidR="00D509EA" w:rsidRPr="00B33094" w:rsidRDefault="00D509EA" w:rsidP="00D509EA">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D509EA" w:rsidRPr="00B33094" w14:paraId="6CEBFD20" w14:textId="77777777" w:rsidTr="008B695B">
        <w:trPr>
          <w:trHeight w:val="308"/>
        </w:trPr>
        <w:tc>
          <w:tcPr>
            <w:tcW w:w="2689" w:type="dxa"/>
          </w:tcPr>
          <w:p w14:paraId="5A4C6E84" w14:textId="77777777" w:rsidR="00D509EA" w:rsidRPr="00B33094" w:rsidRDefault="00D509EA" w:rsidP="008B695B">
            <w:pPr>
              <w:jc w:val="both"/>
              <w:rPr>
                <w:rFonts w:ascii="Verdana" w:eastAsia="Calibri" w:hAnsi="Verdana" w:cs="Arial"/>
                <w:b/>
                <w:bCs/>
                <w:lang w:val="es-ES_tradnl" w:eastAsia="es-ES_tradnl"/>
              </w:rPr>
            </w:pPr>
          </w:p>
        </w:tc>
        <w:tc>
          <w:tcPr>
            <w:tcW w:w="6100" w:type="dxa"/>
          </w:tcPr>
          <w:p w14:paraId="4138A4E8" w14:textId="77777777" w:rsidR="00D509EA" w:rsidRPr="004A08C9" w:rsidRDefault="00D509EA" w:rsidP="008B695B">
            <w:pPr>
              <w:jc w:val="both"/>
              <w:rPr>
                <w:rFonts w:ascii="Verdana" w:eastAsia="Calibri" w:hAnsi="Verdana" w:cs="Arial"/>
                <w:b/>
                <w:bCs/>
                <w:lang w:val="es-ES" w:eastAsia="es-ES"/>
              </w:rPr>
            </w:pPr>
            <w:r w:rsidRPr="004A08C9">
              <w:rPr>
                <w:rFonts w:ascii="Verdana" w:eastAsia="Calibri" w:hAnsi="Verdana" w:cs="Arial"/>
                <w:b/>
                <w:bCs/>
                <w:lang w:val="es-ES" w:eastAsia="es-ES"/>
              </w:rPr>
              <w:t>Concepto C-1375 de 2026</w:t>
            </w:r>
          </w:p>
          <w:p w14:paraId="351B21C9" w14:textId="77777777" w:rsidR="00D509EA" w:rsidRPr="004A08C9" w:rsidRDefault="00D509EA" w:rsidP="008B695B">
            <w:pPr>
              <w:jc w:val="both"/>
              <w:rPr>
                <w:rFonts w:ascii="Verdana" w:eastAsia="Calibri" w:hAnsi="Verdana" w:cs="Arial"/>
                <w:b/>
                <w:bCs/>
                <w:lang w:val="es-ES" w:eastAsia="es-ES"/>
              </w:rPr>
            </w:pPr>
          </w:p>
        </w:tc>
      </w:tr>
      <w:tr w:rsidR="00D509EA" w:rsidRPr="00B33094" w14:paraId="031E2C71" w14:textId="77777777" w:rsidTr="008B695B">
        <w:trPr>
          <w:trHeight w:val="884"/>
        </w:trPr>
        <w:tc>
          <w:tcPr>
            <w:tcW w:w="2689" w:type="dxa"/>
          </w:tcPr>
          <w:p w14:paraId="345A9E0D" w14:textId="77777777" w:rsidR="00D509EA" w:rsidRPr="00B33094" w:rsidRDefault="00D509EA" w:rsidP="008B695B">
            <w:pPr>
              <w:jc w:val="both"/>
              <w:rPr>
                <w:rFonts w:ascii="Verdana" w:eastAsia="Calibri" w:hAnsi="Verdana" w:cs="Arial"/>
                <w:lang w:val="es-ES_tradnl" w:eastAsia="es-ES_tradnl"/>
              </w:rPr>
            </w:pPr>
            <w:r w:rsidRPr="00B33094">
              <w:rPr>
                <w:rFonts w:ascii="Verdana" w:eastAsia="Calibri" w:hAnsi="Verdana" w:cs="Arial"/>
                <w:b/>
                <w:lang w:val="es-ES_tradnl" w:eastAsia="es-ES_tradnl"/>
              </w:rPr>
              <w:t>Temas:</w:t>
            </w:r>
            <w:r w:rsidRPr="00B33094">
              <w:rPr>
                <w:rFonts w:ascii="Verdana" w:eastAsia="Calibri" w:hAnsi="Verdana" w:cs="Arial"/>
                <w:lang w:val="es-ES_tradnl" w:eastAsia="es-ES_tradnl"/>
              </w:rPr>
              <w:t xml:space="preserve">                   </w:t>
            </w:r>
          </w:p>
        </w:tc>
        <w:tc>
          <w:tcPr>
            <w:tcW w:w="6100" w:type="dxa"/>
          </w:tcPr>
          <w:p w14:paraId="136E2215" w14:textId="77777777" w:rsidR="00D509EA" w:rsidRPr="004A08C9" w:rsidRDefault="00D509EA" w:rsidP="008B695B">
            <w:pPr>
              <w:spacing w:line="276" w:lineRule="auto"/>
              <w:jc w:val="both"/>
              <w:rPr>
                <w:rFonts w:ascii="Verdana" w:eastAsia="Calibri" w:hAnsi="Verdana" w:cs="Arial"/>
                <w:lang w:val="es-ES" w:eastAsia="es-ES"/>
              </w:rPr>
            </w:pPr>
            <w:r w:rsidRPr="004A08C9">
              <w:rPr>
                <w:rFonts w:ascii="Verdana" w:eastAsia="Calibri" w:hAnsi="Verdana" w:cs="Arial"/>
                <w:lang w:val="es-ES" w:eastAsia="es-ES"/>
              </w:rPr>
              <w:t>CONTRATO – Definición / CONTRATO ESTATAL – Definición / TIPO DE CONTRATO – Factores para determinarlo – Facultad de la entidad – Principio de planeación</w:t>
            </w:r>
          </w:p>
        </w:tc>
      </w:tr>
    </w:tbl>
    <w:p w14:paraId="379B8FFE" w14:textId="77777777" w:rsidR="00D509EA" w:rsidRPr="00B33094" w:rsidRDefault="00D509EA" w:rsidP="00D509EA">
      <w:pPr>
        <w:spacing w:after="0" w:line="240" w:lineRule="auto"/>
        <w:rPr>
          <w:rFonts w:ascii="Verdana" w:eastAsia="Calibri" w:hAnsi="Verdana" w:cs="Arial"/>
          <w:b/>
          <w:bCs/>
          <w:lang w:val="es-ES_tradnl"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D509EA" w:rsidRPr="00B33094" w14:paraId="00F37D34" w14:textId="77777777" w:rsidTr="008B695B">
        <w:trPr>
          <w:trHeight w:val="465"/>
        </w:trPr>
        <w:tc>
          <w:tcPr>
            <w:tcW w:w="2689" w:type="dxa"/>
          </w:tcPr>
          <w:p w14:paraId="65EFCBCE" w14:textId="77777777" w:rsidR="00D509EA" w:rsidRPr="00B33094" w:rsidRDefault="00D509EA" w:rsidP="008B695B">
            <w:pPr>
              <w:jc w:val="both"/>
              <w:rPr>
                <w:rFonts w:ascii="Verdana" w:eastAsia="Calibri" w:hAnsi="Verdana" w:cs="Arial"/>
                <w:b/>
                <w:lang w:val="es-ES_tradnl" w:eastAsia="es-ES_tradnl"/>
              </w:rPr>
            </w:pPr>
            <w:r w:rsidRPr="00B33094">
              <w:rPr>
                <w:rFonts w:ascii="Verdana" w:eastAsia="Calibri" w:hAnsi="Verdana" w:cs="Arial"/>
                <w:b/>
                <w:lang w:val="es-ES_tradnl" w:eastAsia="es-ES_tradnl"/>
              </w:rPr>
              <w:t>Radicación:</w:t>
            </w:r>
            <w:r w:rsidRPr="00B33094">
              <w:rPr>
                <w:rFonts w:ascii="Verdana" w:eastAsia="Calibri" w:hAnsi="Verdana" w:cs="Arial"/>
                <w:lang w:val="es-ES_tradnl" w:eastAsia="es-ES_tradnl"/>
              </w:rPr>
              <w:t xml:space="preserve">               </w:t>
            </w:r>
          </w:p>
        </w:tc>
        <w:tc>
          <w:tcPr>
            <w:tcW w:w="6100" w:type="dxa"/>
          </w:tcPr>
          <w:p w14:paraId="3B6A8816" w14:textId="77777777" w:rsidR="00D509EA" w:rsidRPr="00B33094" w:rsidRDefault="00D509EA" w:rsidP="008B695B">
            <w:pPr>
              <w:jc w:val="both"/>
              <w:rPr>
                <w:rFonts w:ascii="Verdana" w:eastAsia="Calibri" w:hAnsi="Verdana" w:cs="Arial"/>
                <w:lang w:val="es-ES_tradnl" w:eastAsia="es-ES_tradnl"/>
              </w:rPr>
            </w:pPr>
            <w:r w:rsidRPr="00B33094">
              <w:rPr>
                <w:rFonts w:ascii="Verdana" w:eastAsia="Calibri" w:hAnsi="Verdana" w:cs="Arial"/>
                <w:lang w:val="es-ES_tradnl" w:eastAsia="es-ES_tradnl"/>
              </w:rPr>
              <w:t xml:space="preserve">Respuesta a consulta con radicado No. </w:t>
            </w:r>
            <w:r w:rsidRPr="00B05FDE">
              <w:rPr>
                <w:rFonts w:ascii="Verdana" w:eastAsia="Calibri" w:hAnsi="Verdana" w:cs="Arial"/>
                <w:lang w:val="es-ES_tradnl" w:eastAsia="es-ES_tradnl"/>
              </w:rPr>
              <w:t>1_2026_09_02_011647</w:t>
            </w:r>
          </w:p>
        </w:tc>
      </w:tr>
    </w:tbl>
    <w:p w14:paraId="1816D2C4" w14:textId="77777777" w:rsidR="00D509EA" w:rsidRPr="00B33094" w:rsidRDefault="00D509EA" w:rsidP="00D509EA">
      <w:pPr>
        <w:spacing w:after="0" w:line="240" w:lineRule="auto"/>
        <w:jc w:val="both"/>
        <w:rPr>
          <w:rFonts w:ascii="Verdana" w:eastAsia="Calibri" w:hAnsi="Verdana" w:cs="Arial"/>
          <w:lang w:val="es-ES_tradnl" w:eastAsia="es-ES_tradnl"/>
        </w:rPr>
      </w:pPr>
    </w:p>
    <w:p w14:paraId="3EA05663" w14:textId="77777777" w:rsidR="00D509EA" w:rsidRPr="00B33094" w:rsidRDefault="00D509EA" w:rsidP="00D509EA">
      <w:pPr>
        <w:spacing w:after="0" w:line="276" w:lineRule="auto"/>
        <w:jc w:val="both"/>
        <w:rPr>
          <w:rFonts w:ascii="Verdana" w:eastAsia="Calibri" w:hAnsi="Verdana" w:cs="Arial"/>
          <w:lang w:val="es-ES" w:eastAsia="es-ES"/>
        </w:rPr>
      </w:pPr>
      <w:r w:rsidRPr="00B33094">
        <w:rPr>
          <w:rFonts w:ascii="Verdana" w:eastAsia="Calibri" w:hAnsi="Verdana" w:cs="Arial"/>
          <w:lang w:val="es-ES" w:eastAsia="es-ES"/>
        </w:rPr>
        <w:t>Estimado</w:t>
      </w:r>
      <w:r>
        <w:rPr>
          <w:rFonts w:ascii="Verdana" w:eastAsia="Calibri" w:hAnsi="Verdana" w:cs="Arial"/>
          <w:lang w:val="es-ES" w:eastAsia="es-ES"/>
        </w:rPr>
        <w:t xml:space="preserve"> Señor Tique</w:t>
      </w:r>
      <w:r w:rsidRPr="00B33094">
        <w:rPr>
          <w:rFonts w:ascii="Verdana" w:eastAsia="Calibri" w:hAnsi="Verdana" w:cs="Arial"/>
          <w:lang w:val="es-ES" w:eastAsia="es-ES"/>
        </w:rPr>
        <w:t xml:space="preserve">: </w:t>
      </w:r>
    </w:p>
    <w:p w14:paraId="281EE740" w14:textId="77777777" w:rsidR="00D509EA" w:rsidRPr="00B33094" w:rsidRDefault="00D509EA" w:rsidP="00D509EA">
      <w:pPr>
        <w:tabs>
          <w:tab w:val="left" w:pos="3768"/>
        </w:tabs>
        <w:spacing w:after="0" w:line="276" w:lineRule="auto"/>
        <w:jc w:val="both"/>
        <w:rPr>
          <w:rFonts w:ascii="Verdana" w:eastAsia="Calibri" w:hAnsi="Verdana" w:cs="Arial"/>
          <w:lang w:val="es-ES" w:eastAsia="es-ES"/>
        </w:rPr>
      </w:pPr>
    </w:p>
    <w:p w14:paraId="449A44C9" w14:textId="77777777" w:rsidR="00D509EA" w:rsidRPr="00B33094" w:rsidRDefault="00D509EA" w:rsidP="00D509EA">
      <w:pPr>
        <w:spacing w:after="0" w:line="276" w:lineRule="auto"/>
        <w:jc w:val="both"/>
        <w:rPr>
          <w:rFonts w:ascii="Verdana" w:eastAsia="Calibri" w:hAnsi="Verdana" w:cs="Arial"/>
          <w:lang w:val="es-ES" w:eastAsia="es-ES"/>
        </w:rPr>
      </w:pPr>
      <w:r w:rsidRPr="00B33094">
        <w:rPr>
          <w:rFonts w:ascii="Verdana" w:eastAsia="Calibri" w:hAnsi="Verdana" w:cs="Arial"/>
          <w:lang w:val="es-ES" w:eastAsia="es-ES"/>
        </w:rPr>
        <w:t>En ejercicio de la competencia otorgada por los artículos 3, numeral 5º, y 11, numeral 8º, del Decreto Ley 4170 de 2011,</w:t>
      </w:r>
      <w:r w:rsidRPr="00B33094">
        <w:rPr>
          <w:rFonts w:ascii="Verdana" w:eastAsia="Arial MT" w:hAnsi="Verdana" w:cs="Arial MT"/>
          <w:lang w:val="es-ES" w:eastAsia="es-ES"/>
        </w:rPr>
        <w:t xml:space="preserve"> </w:t>
      </w:r>
      <w:r w:rsidRPr="00B33094">
        <w:rPr>
          <w:rFonts w:ascii="Verdana" w:eastAsia="Aptos" w:hAnsi="Verdana" w:cs="Arial"/>
        </w:rPr>
        <w:t xml:space="preserve">así como lo establecido en el artículo 4 de la Resolución 1707 de 2018 expedida por esta Entidad, </w:t>
      </w:r>
      <w:r w:rsidRPr="00B33094">
        <w:rPr>
          <w:rFonts w:ascii="Verdana" w:eastAsia="Calibri" w:hAnsi="Verdana" w:cs="Arial"/>
          <w:lang w:val="es-ES" w:eastAsia="es-ES"/>
        </w:rPr>
        <w:t xml:space="preserve">la Agencia Nacional de Contratación Pública – Colombia Compra Eficiente– responde su petición del </w:t>
      </w:r>
      <w:r>
        <w:rPr>
          <w:rFonts w:ascii="Verdana" w:eastAsia="Calibri" w:hAnsi="Verdana" w:cs="Arial"/>
          <w:lang w:val="es-ES" w:eastAsia="es-ES"/>
        </w:rPr>
        <w:t>02 de septiembre</w:t>
      </w:r>
      <w:r w:rsidRPr="00B33094">
        <w:rPr>
          <w:rFonts w:ascii="Verdana" w:eastAsia="Calibri" w:hAnsi="Verdana" w:cs="Arial"/>
          <w:lang w:val="es-ES" w:eastAsia="es-ES"/>
        </w:rPr>
        <w:t xml:space="preserve"> de 2026, en las que realiza la siguiente consulta: </w:t>
      </w:r>
    </w:p>
    <w:p w14:paraId="6D4DB83F" w14:textId="77777777" w:rsidR="00D509EA" w:rsidRPr="00B33094" w:rsidRDefault="00D509EA" w:rsidP="00D509EA">
      <w:pPr>
        <w:spacing w:after="0" w:line="276" w:lineRule="auto"/>
        <w:jc w:val="both"/>
        <w:rPr>
          <w:rFonts w:ascii="Verdana" w:eastAsia="Calibri" w:hAnsi="Verdana" w:cs="Arial"/>
          <w:lang w:val="es-ES" w:eastAsia="es-ES"/>
        </w:rPr>
      </w:pPr>
    </w:p>
    <w:p w14:paraId="59A231EF" w14:textId="77777777" w:rsidR="00D509EA" w:rsidRPr="00B33094" w:rsidRDefault="00D509EA" w:rsidP="00D509EA">
      <w:pPr>
        <w:spacing w:after="0" w:line="240" w:lineRule="auto"/>
        <w:ind w:left="709" w:right="709"/>
        <w:jc w:val="both"/>
        <w:rPr>
          <w:rFonts w:ascii="Verdana" w:eastAsia="Calibri" w:hAnsi="Verdana" w:cs="Arial"/>
          <w:sz w:val="20"/>
          <w:szCs w:val="20"/>
          <w:lang w:val="es-MX"/>
        </w:rPr>
      </w:pPr>
      <w:r w:rsidRPr="00B33094">
        <w:rPr>
          <w:rFonts w:ascii="Verdana" w:eastAsia="Calibri" w:hAnsi="Verdana" w:cs="Arial"/>
          <w:sz w:val="20"/>
          <w:szCs w:val="20"/>
          <w:lang w:val="es-MX"/>
        </w:rPr>
        <w:t>“[…]</w:t>
      </w:r>
    </w:p>
    <w:p w14:paraId="3E629124" w14:textId="77777777" w:rsidR="00D509EA" w:rsidRPr="006E7FCE" w:rsidRDefault="00D509EA" w:rsidP="00D509EA">
      <w:pPr>
        <w:pStyle w:val="Prrafodelista"/>
        <w:numPr>
          <w:ilvl w:val="0"/>
          <w:numId w:val="2"/>
        </w:numPr>
        <w:spacing w:before="120" w:after="0" w:line="240" w:lineRule="auto"/>
        <w:ind w:right="709"/>
        <w:jc w:val="both"/>
        <w:rPr>
          <w:rFonts w:ascii="Verdana" w:hAnsi="Verdana"/>
          <w:b/>
          <w:bCs/>
          <w:sz w:val="20"/>
          <w:szCs w:val="20"/>
        </w:rPr>
      </w:pPr>
      <w:r w:rsidRPr="006E7FCE">
        <w:rPr>
          <w:rFonts w:ascii="Verdana" w:hAnsi="Verdana"/>
          <w:b/>
          <w:bCs/>
          <w:sz w:val="20"/>
          <w:szCs w:val="20"/>
        </w:rPr>
        <w:t>Tipología contractual para SOAT y Seguros de Accidentes:</w:t>
      </w:r>
    </w:p>
    <w:p w14:paraId="6666DA75" w14:textId="77777777" w:rsidR="00D509EA" w:rsidRPr="007846A6" w:rsidRDefault="00D509EA" w:rsidP="00D509EA">
      <w:pPr>
        <w:pStyle w:val="Prrafodelista"/>
        <w:spacing w:before="120" w:after="0" w:line="240" w:lineRule="auto"/>
        <w:ind w:left="1069" w:right="709"/>
        <w:jc w:val="both"/>
        <w:rPr>
          <w:rFonts w:ascii="Verdana" w:hAnsi="Verdana"/>
          <w:b/>
          <w:bCs/>
          <w:sz w:val="20"/>
          <w:szCs w:val="20"/>
        </w:rPr>
      </w:pPr>
    </w:p>
    <w:p w14:paraId="12D7A62E" w14:textId="77777777" w:rsidR="00D509EA" w:rsidRPr="00880AB1" w:rsidRDefault="00D509EA" w:rsidP="00D509EA">
      <w:pPr>
        <w:pStyle w:val="Prrafodelista"/>
        <w:numPr>
          <w:ilvl w:val="0"/>
          <w:numId w:val="3"/>
        </w:numPr>
        <w:spacing w:before="120" w:after="0" w:line="240" w:lineRule="auto"/>
        <w:ind w:right="709"/>
        <w:jc w:val="both"/>
        <w:rPr>
          <w:rFonts w:ascii="Verdana" w:hAnsi="Verdana"/>
          <w:b/>
          <w:bCs/>
          <w:sz w:val="20"/>
          <w:szCs w:val="20"/>
        </w:rPr>
      </w:pPr>
      <w:r>
        <w:rPr>
          <w:rFonts w:ascii="Verdana" w:hAnsi="Verdana"/>
          <w:sz w:val="20"/>
          <w:szCs w:val="20"/>
        </w:rPr>
        <w:t xml:space="preserve">¿Cuál es la tipología contractual exacta que debe definirse en la fase de planeación y estudios previos para la adquisición del Seguro Obligatorio de Accidentes de Tránsito (SOAT) y/o pólizas de seguros accidentales (Ej., </w:t>
      </w:r>
      <w:r>
        <w:rPr>
          <w:rFonts w:ascii="Verdana" w:hAnsi="Verdana"/>
          <w:i/>
          <w:iCs/>
          <w:sz w:val="20"/>
          <w:szCs w:val="20"/>
        </w:rPr>
        <w:t xml:space="preserve">Contrato de Seguro, Suministro, Compraventa, </w:t>
      </w:r>
      <w:r>
        <w:rPr>
          <w:rFonts w:ascii="Verdana" w:hAnsi="Verdana"/>
          <w:sz w:val="20"/>
          <w:szCs w:val="20"/>
        </w:rPr>
        <w:t>u otro)?</w:t>
      </w:r>
    </w:p>
    <w:p w14:paraId="760EE6DC" w14:textId="77777777" w:rsidR="00D509EA" w:rsidRPr="00AF4D0E" w:rsidRDefault="00D509EA" w:rsidP="00D509EA">
      <w:pPr>
        <w:pStyle w:val="Prrafodelista"/>
        <w:spacing w:before="120" w:after="0" w:line="240" w:lineRule="auto"/>
        <w:ind w:left="1789" w:right="709"/>
        <w:jc w:val="both"/>
        <w:rPr>
          <w:rFonts w:ascii="Verdana" w:hAnsi="Verdana"/>
          <w:b/>
          <w:bCs/>
          <w:sz w:val="20"/>
          <w:szCs w:val="20"/>
        </w:rPr>
      </w:pPr>
    </w:p>
    <w:p w14:paraId="34BB6FF2" w14:textId="77777777" w:rsidR="00D509EA" w:rsidRPr="00CE1C32" w:rsidRDefault="00D509EA" w:rsidP="00D509EA">
      <w:pPr>
        <w:pStyle w:val="Prrafodelista"/>
        <w:numPr>
          <w:ilvl w:val="0"/>
          <w:numId w:val="3"/>
        </w:numPr>
        <w:spacing w:before="120" w:after="120" w:line="240" w:lineRule="auto"/>
        <w:ind w:left="1786" w:right="709" w:hanging="357"/>
        <w:jc w:val="both"/>
        <w:rPr>
          <w:rFonts w:ascii="Verdana" w:hAnsi="Verdana"/>
          <w:b/>
          <w:bCs/>
          <w:sz w:val="20"/>
          <w:szCs w:val="20"/>
        </w:rPr>
      </w:pPr>
      <w:r>
        <w:rPr>
          <w:rFonts w:ascii="Verdana" w:hAnsi="Verdana"/>
          <w:sz w:val="20"/>
          <w:szCs w:val="20"/>
        </w:rPr>
        <w:t xml:space="preserve">¿Cuál es el sustento jurídico y la línea doctrinal de la ANCP-CCE que delimita si esta adquisición debe tipificarse bajo el contrato </w:t>
      </w:r>
      <w:r>
        <w:rPr>
          <w:rFonts w:ascii="Verdana" w:hAnsi="Verdana"/>
          <w:sz w:val="20"/>
          <w:szCs w:val="20"/>
        </w:rPr>
        <w:lastRenderedPageBreak/>
        <w:t xml:space="preserve">nominado de </w:t>
      </w:r>
      <w:r>
        <w:rPr>
          <w:rFonts w:ascii="Verdana" w:hAnsi="Verdana"/>
          <w:i/>
          <w:iCs/>
          <w:sz w:val="20"/>
          <w:szCs w:val="20"/>
        </w:rPr>
        <w:t xml:space="preserve">Seguro </w:t>
      </w:r>
      <w:r>
        <w:rPr>
          <w:rFonts w:ascii="Verdana" w:hAnsi="Verdana"/>
          <w:sz w:val="20"/>
          <w:szCs w:val="20"/>
        </w:rPr>
        <w:t>(regido por el Código de Comercio y la Ley 80 de 1993) o si se configura un servicio o suministro?</w:t>
      </w:r>
    </w:p>
    <w:p w14:paraId="15C271A8" w14:textId="77777777" w:rsidR="00D509EA" w:rsidRDefault="00D509EA" w:rsidP="00D509EA">
      <w:pPr>
        <w:pStyle w:val="Prrafodelista"/>
        <w:spacing w:before="120" w:after="0" w:line="240" w:lineRule="auto"/>
        <w:ind w:left="1069" w:right="709"/>
        <w:jc w:val="both"/>
        <w:rPr>
          <w:rFonts w:ascii="Verdana" w:hAnsi="Verdana"/>
          <w:sz w:val="20"/>
          <w:szCs w:val="20"/>
        </w:rPr>
      </w:pPr>
    </w:p>
    <w:p w14:paraId="5F8EEC3B" w14:textId="77777777" w:rsidR="00D509EA" w:rsidRPr="00880AB1" w:rsidRDefault="00D509EA" w:rsidP="00D509EA">
      <w:pPr>
        <w:pStyle w:val="Prrafodelista"/>
        <w:numPr>
          <w:ilvl w:val="0"/>
          <w:numId w:val="2"/>
        </w:numPr>
        <w:spacing w:before="120" w:after="0" w:line="240" w:lineRule="auto"/>
        <w:ind w:right="709"/>
        <w:jc w:val="both"/>
        <w:rPr>
          <w:rFonts w:ascii="Verdana" w:hAnsi="Verdana"/>
          <w:sz w:val="20"/>
          <w:szCs w:val="20"/>
        </w:rPr>
      </w:pPr>
      <w:r>
        <w:rPr>
          <w:rFonts w:ascii="Verdana" w:hAnsi="Verdana"/>
          <w:b/>
          <w:bCs/>
          <w:sz w:val="20"/>
          <w:szCs w:val="20"/>
        </w:rPr>
        <w:t>Tipología contractual para la Revisión Técnico-Mecánica y de Gases:</w:t>
      </w:r>
    </w:p>
    <w:p w14:paraId="0909881A" w14:textId="77777777" w:rsidR="00D509EA" w:rsidRDefault="00D509EA" w:rsidP="00D509EA">
      <w:pPr>
        <w:pStyle w:val="Prrafodelista"/>
        <w:spacing w:before="120" w:after="0" w:line="240" w:lineRule="auto"/>
        <w:ind w:left="1069" w:right="709"/>
        <w:jc w:val="both"/>
        <w:rPr>
          <w:rFonts w:ascii="Verdana" w:hAnsi="Verdana"/>
          <w:sz w:val="20"/>
          <w:szCs w:val="20"/>
        </w:rPr>
      </w:pPr>
    </w:p>
    <w:p w14:paraId="4DB6F9CD" w14:textId="77777777" w:rsidR="00D509EA" w:rsidRPr="004C1614" w:rsidRDefault="00D509EA" w:rsidP="00D509EA">
      <w:pPr>
        <w:pStyle w:val="Prrafodelista"/>
        <w:numPr>
          <w:ilvl w:val="0"/>
          <w:numId w:val="4"/>
        </w:numPr>
        <w:spacing w:before="120" w:after="0" w:line="240" w:lineRule="auto"/>
        <w:ind w:right="709"/>
        <w:jc w:val="both"/>
        <w:rPr>
          <w:rFonts w:ascii="Verdana" w:hAnsi="Verdana"/>
          <w:b/>
          <w:bCs/>
          <w:sz w:val="20"/>
          <w:szCs w:val="20"/>
        </w:rPr>
      </w:pPr>
      <w:r>
        <w:rPr>
          <w:rFonts w:ascii="Verdana" w:hAnsi="Verdana"/>
          <w:sz w:val="20"/>
          <w:szCs w:val="20"/>
        </w:rPr>
        <w:t xml:space="preserve">¿Cuál es la tipología contractual aplicable para la contratación del servicio de inspección, diagnóstico y expedición de certificaciones de Revisión Técnico-Mecánica y de Gases por parte de Centros de Diagnóstico de Automotor (CDA) (Ej., </w:t>
      </w:r>
      <w:r>
        <w:rPr>
          <w:rFonts w:ascii="Verdana" w:hAnsi="Verdana"/>
          <w:i/>
          <w:iCs/>
          <w:sz w:val="20"/>
          <w:szCs w:val="20"/>
        </w:rPr>
        <w:t xml:space="preserve">Prestación de Servicios, Suministro, </w:t>
      </w:r>
      <w:r>
        <w:rPr>
          <w:rFonts w:ascii="Verdana" w:hAnsi="Verdana"/>
          <w:sz w:val="20"/>
          <w:szCs w:val="20"/>
        </w:rPr>
        <w:t>¿u otro)?</w:t>
      </w:r>
    </w:p>
    <w:p w14:paraId="7F9A1BB0" w14:textId="77777777" w:rsidR="00D509EA" w:rsidRPr="002847A6" w:rsidRDefault="00D509EA" w:rsidP="00D509EA">
      <w:pPr>
        <w:pStyle w:val="Prrafodelista"/>
        <w:spacing w:before="120" w:after="0" w:line="240" w:lineRule="auto"/>
        <w:ind w:left="1789" w:right="709"/>
        <w:jc w:val="both"/>
        <w:rPr>
          <w:rFonts w:ascii="Verdana" w:hAnsi="Verdana"/>
          <w:b/>
          <w:bCs/>
          <w:sz w:val="20"/>
          <w:szCs w:val="20"/>
        </w:rPr>
      </w:pPr>
    </w:p>
    <w:p w14:paraId="5625368F" w14:textId="77777777" w:rsidR="00D509EA" w:rsidRPr="004C1614" w:rsidRDefault="00D509EA" w:rsidP="00D509EA">
      <w:pPr>
        <w:pStyle w:val="Prrafodelista"/>
        <w:numPr>
          <w:ilvl w:val="0"/>
          <w:numId w:val="4"/>
        </w:numPr>
        <w:spacing w:before="120" w:after="0" w:line="240" w:lineRule="auto"/>
        <w:ind w:right="709"/>
        <w:jc w:val="both"/>
        <w:rPr>
          <w:rFonts w:ascii="Verdana" w:hAnsi="Verdana"/>
          <w:b/>
          <w:bCs/>
          <w:sz w:val="20"/>
          <w:szCs w:val="20"/>
        </w:rPr>
      </w:pPr>
      <w:r>
        <w:rPr>
          <w:rFonts w:ascii="Verdana" w:hAnsi="Verdana"/>
          <w:sz w:val="20"/>
          <w:szCs w:val="20"/>
        </w:rPr>
        <w:t>Cuál es el fundamento normativo que determina si la obligación principal constituye una prestación de hacer (evaluación/diagnóstico) o si el resultado (entrega del certificado físico/digital) muta la naturaleza hacia otra tipología contractual?</w:t>
      </w:r>
    </w:p>
    <w:p w14:paraId="6CAADD18" w14:textId="77777777" w:rsidR="00D509EA" w:rsidRPr="004C1614" w:rsidRDefault="00D509EA" w:rsidP="00D509EA">
      <w:pPr>
        <w:spacing w:before="120" w:after="0" w:line="240" w:lineRule="auto"/>
        <w:ind w:left="709" w:right="709"/>
        <w:jc w:val="both"/>
        <w:rPr>
          <w:rFonts w:ascii="Verdana" w:hAnsi="Verdana"/>
          <w:sz w:val="20"/>
          <w:szCs w:val="20"/>
        </w:rPr>
      </w:pPr>
      <w:r w:rsidRPr="004C1614">
        <w:rPr>
          <w:rFonts w:ascii="Verdana" w:hAnsi="Verdana"/>
          <w:sz w:val="20"/>
          <w:szCs w:val="20"/>
        </w:rPr>
        <w:t>[…]”</w:t>
      </w:r>
      <w:r>
        <w:rPr>
          <w:rFonts w:ascii="Verdana" w:hAnsi="Verdana"/>
          <w:sz w:val="20"/>
          <w:szCs w:val="20"/>
        </w:rPr>
        <w:t xml:space="preserve"> [Negrillas propias]</w:t>
      </w:r>
    </w:p>
    <w:p w14:paraId="71F0D70E" w14:textId="77777777" w:rsidR="00D509EA" w:rsidRPr="00B33094" w:rsidRDefault="00D509EA" w:rsidP="00D509EA">
      <w:pPr>
        <w:spacing w:after="0" w:line="276" w:lineRule="auto"/>
        <w:jc w:val="both"/>
        <w:rPr>
          <w:rFonts w:ascii="Verdana" w:eastAsia="Calibri" w:hAnsi="Verdana" w:cs="Arial"/>
          <w:lang w:val="es-ES" w:eastAsia="es-ES"/>
        </w:rPr>
      </w:pPr>
    </w:p>
    <w:p w14:paraId="3F771F4F" w14:textId="77777777" w:rsidR="00D509EA" w:rsidRPr="00B33094" w:rsidRDefault="00D509EA" w:rsidP="00D509EA">
      <w:pPr>
        <w:spacing w:after="120" w:line="276" w:lineRule="auto"/>
        <w:jc w:val="both"/>
        <w:rPr>
          <w:rFonts w:ascii="Verdana" w:eastAsia="Calibri" w:hAnsi="Verdana" w:cs="Arial"/>
          <w:lang w:val="es-ES" w:eastAsia="es-ES"/>
        </w:rPr>
      </w:pPr>
      <w:r w:rsidRPr="00B33094">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y Contratación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57F8F0D7" w14:textId="77777777" w:rsidR="00D509EA" w:rsidRPr="00B33094" w:rsidRDefault="00D509EA" w:rsidP="00D509EA">
      <w:pPr>
        <w:spacing w:after="0" w:line="276" w:lineRule="auto"/>
        <w:ind w:firstLine="709"/>
        <w:jc w:val="both"/>
        <w:rPr>
          <w:rFonts w:ascii="Verdana" w:eastAsia="Calibri" w:hAnsi="Verdana" w:cs="Arial"/>
          <w:lang w:val="es-ES" w:eastAsia="es-ES"/>
        </w:rPr>
      </w:pPr>
      <w:r w:rsidRPr="00B33094">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043C4B77" w14:textId="77777777" w:rsidR="00D509EA" w:rsidRPr="00B33094" w:rsidRDefault="00D509EA" w:rsidP="00D509EA">
      <w:pPr>
        <w:spacing w:after="0" w:line="276" w:lineRule="auto"/>
        <w:ind w:firstLine="709"/>
        <w:jc w:val="both"/>
        <w:rPr>
          <w:rFonts w:ascii="Verdana" w:eastAsia="Calibri" w:hAnsi="Verdana" w:cs="Arial"/>
          <w:lang w:val="es-ES" w:eastAsia="es-ES"/>
        </w:rPr>
      </w:pPr>
    </w:p>
    <w:p w14:paraId="1827C22A" w14:textId="77777777" w:rsidR="00D509EA" w:rsidRPr="00B33094" w:rsidRDefault="00D509EA" w:rsidP="00D509EA">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B33094">
        <w:rPr>
          <w:rFonts w:ascii="Verdana" w:eastAsia="Arial" w:hAnsi="Verdana" w:cs="Arial"/>
          <w:b/>
          <w:bCs/>
          <w:lang w:val="es-ES"/>
        </w:rPr>
        <w:lastRenderedPageBreak/>
        <w:t>1. Problema planteado:</w:t>
      </w:r>
    </w:p>
    <w:p w14:paraId="485085FF" w14:textId="77777777" w:rsidR="00D509EA" w:rsidRPr="00B33094" w:rsidRDefault="00D509EA" w:rsidP="00D509EA">
      <w:pPr>
        <w:tabs>
          <w:tab w:val="left" w:pos="426"/>
        </w:tabs>
        <w:spacing w:after="0" w:line="276" w:lineRule="auto"/>
        <w:jc w:val="both"/>
        <w:rPr>
          <w:rFonts w:ascii="Verdana" w:eastAsia="Century Gothic" w:hAnsi="Verdana" w:cs="Century Gothic"/>
          <w:lang w:val="es-ES"/>
        </w:rPr>
      </w:pPr>
    </w:p>
    <w:p w14:paraId="54315F14" w14:textId="77777777" w:rsidR="00D509EA" w:rsidRDefault="00D509EA" w:rsidP="00D509EA">
      <w:pPr>
        <w:spacing w:after="0"/>
        <w:jc w:val="both"/>
        <w:rPr>
          <w:rFonts w:ascii="Verdana" w:eastAsia="Aptos" w:hAnsi="Verdana" w:cs="Arial"/>
        </w:rPr>
      </w:pPr>
      <w:r w:rsidRPr="00B33094">
        <w:rPr>
          <w:rFonts w:ascii="Verdana" w:eastAsia="Century Gothic" w:hAnsi="Verdana" w:cs="Century Gothic"/>
        </w:rPr>
        <w:t xml:space="preserve">De acuerdo con el contenido de su solicitud, le informamos que la misma se resolverá </w:t>
      </w:r>
      <w:r w:rsidRPr="0019575D">
        <w:rPr>
          <w:rFonts w:ascii="Verdana" w:eastAsia="Century Gothic" w:hAnsi="Verdana" w:cs="Century Gothic"/>
        </w:rPr>
        <w:t xml:space="preserve">desde </w:t>
      </w:r>
      <w:bookmarkStart w:id="1" w:name="_Hlk171070029"/>
      <w:r>
        <w:rPr>
          <w:rFonts w:ascii="Verdana" w:eastAsia="Century Gothic" w:hAnsi="Verdana" w:cs="Century Gothic"/>
        </w:rPr>
        <w:t>el siguiente interrogante</w:t>
      </w:r>
      <w:r w:rsidRPr="0019575D">
        <w:rPr>
          <w:rFonts w:ascii="Verdana" w:eastAsia="Century Gothic" w:hAnsi="Verdana" w:cs="Century Gothic"/>
        </w:rPr>
        <w:t>:</w:t>
      </w:r>
      <w:r>
        <w:rPr>
          <w:rFonts w:ascii="Verdana" w:eastAsia="Aptos" w:hAnsi="Verdana" w:cs="Arial"/>
        </w:rPr>
        <w:t xml:space="preserve"> ¿Cómo debe determinar la Entidad Estatal la tipología contractual respecto de un bien o servicio que pretenda adquirir?</w:t>
      </w:r>
    </w:p>
    <w:p w14:paraId="05195B22" w14:textId="77777777" w:rsidR="00D509EA" w:rsidRPr="00B33094" w:rsidRDefault="00D509EA" w:rsidP="00D509EA">
      <w:pPr>
        <w:spacing w:after="0"/>
        <w:jc w:val="both"/>
        <w:rPr>
          <w:rFonts w:ascii="Verdana" w:eastAsia="Aptos" w:hAnsi="Verdana" w:cs="Arial"/>
        </w:rPr>
      </w:pPr>
    </w:p>
    <w:bookmarkEnd w:id="1"/>
    <w:p w14:paraId="38C9EB2A" w14:textId="77777777" w:rsidR="00D509EA" w:rsidRPr="00B33094" w:rsidRDefault="00D509EA" w:rsidP="00D509EA">
      <w:pPr>
        <w:widowControl w:val="0"/>
        <w:autoSpaceDE w:val="0"/>
        <w:autoSpaceDN w:val="0"/>
        <w:spacing w:before="1" w:after="0" w:line="240" w:lineRule="auto"/>
        <w:jc w:val="both"/>
        <w:outlineLvl w:val="0"/>
        <w:rPr>
          <w:rFonts w:ascii="Verdana" w:eastAsia="Arial" w:hAnsi="Verdana" w:cs="Arial"/>
          <w:b/>
          <w:bCs/>
          <w:lang w:val="es-ES"/>
        </w:rPr>
      </w:pPr>
      <w:r w:rsidRPr="00B33094">
        <w:rPr>
          <w:rFonts w:ascii="Verdana" w:eastAsia="Arial" w:hAnsi="Verdana" w:cs="Arial"/>
          <w:b/>
          <w:bCs/>
          <w:lang w:val="es-ES"/>
        </w:rPr>
        <w:t>2. Respuesta:</w:t>
      </w:r>
    </w:p>
    <w:p w14:paraId="354F6C7F" w14:textId="77777777" w:rsidR="00D509EA" w:rsidRPr="00B33094" w:rsidRDefault="00D509EA" w:rsidP="00D509EA">
      <w:pPr>
        <w:spacing w:after="0"/>
        <w:rPr>
          <w:rFonts w:ascii="Verdana" w:eastAsia="Aptos" w:hAnsi="Verdana" w:cs="Times New Rom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509EA" w:rsidRPr="00B33094" w14:paraId="2925489F" w14:textId="77777777" w:rsidTr="008B695B">
        <w:tc>
          <w:tcPr>
            <w:tcW w:w="8828" w:type="dxa"/>
          </w:tcPr>
          <w:p w14:paraId="43020D7E" w14:textId="77777777" w:rsidR="00D509EA" w:rsidRDefault="00D509EA" w:rsidP="008B695B">
            <w:pPr>
              <w:widowControl w:val="0"/>
              <w:autoSpaceDE w:val="0"/>
              <w:autoSpaceDN w:val="0"/>
              <w:spacing w:line="276" w:lineRule="auto"/>
              <w:jc w:val="both"/>
              <w:rPr>
                <w:rFonts w:ascii="Verdana" w:eastAsia="Times New Roman" w:hAnsi="Verdana" w:cs="Arial"/>
                <w:color w:val="000000"/>
                <w:lang w:eastAsia="es-ES_tradnl"/>
              </w:rPr>
            </w:pPr>
            <w:bookmarkStart w:id="2" w:name="_Hlk171067516"/>
            <w:r>
              <w:rPr>
                <w:rFonts w:ascii="Verdana" w:eastAsia="Arial" w:hAnsi="Verdana" w:cs="Arial"/>
                <w:color w:val="000000"/>
                <w:lang w:val="es-ES" w:eastAsia="es-ES"/>
              </w:rPr>
              <w:t xml:space="preserve">Sobre el particular se precisa que, la tipología contractual no depende del nombre que la entidad le asigne al negocio jurídico, sino de su contenido material, el objeto a contratar, la obligación principal y de la regulación que resulte aplicable. </w:t>
            </w:r>
            <w:r>
              <w:rPr>
                <w:rFonts w:ascii="Verdana" w:eastAsia="Times New Roman" w:hAnsi="Verdana" w:cs="Arial"/>
                <w:color w:val="000000"/>
                <w:lang w:eastAsia="es-ES_tradnl"/>
              </w:rPr>
              <w:t>En ese sentido, y conforme a lo dispuesto en los artículos 13, 32, y 40 de la Ley 80 de 1993, las Entidades Estatales pueden celebrar contratos que se encuentren o no, referenciados en dicha norma o incluso, en el derecho privado. Esto, siempre y cuando sean compatibles con la Constitución Política, la ley, el orden público y los principios que rigen la contratación estatal. De esta forma, se colige que la definición concreta del tipo contractual es un asunto que le corresponde propiamente definir a la Entidad Estatal durante la etapa de planeación.</w:t>
            </w:r>
          </w:p>
          <w:p w14:paraId="40CC6DF2" w14:textId="77777777" w:rsidR="00D509EA" w:rsidRPr="00A353F8" w:rsidRDefault="00D509EA" w:rsidP="008B695B">
            <w:pPr>
              <w:spacing w:before="120" w:after="120" w:line="276" w:lineRule="auto"/>
              <w:ind w:firstLine="709"/>
              <w:jc w:val="both"/>
              <w:rPr>
                <w:rFonts w:ascii="Verdana" w:eastAsia="Times New Roman" w:hAnsi="Verdana" w:cs="Times New Roman"/>
                <w:lang w:eastAsia="es-ES_tradnl"/>
              </w:rPr>
            </w:pPr>
            <w:r>
              <w:rPr>
                <w:rFonts w:ascii="Verdana" w:eastAsia="Times New Roman" w:hAnsi="Verdana" w:cs="Arial"/>
                <w:color w:val="000000"/>
                <w:lang w:eastAsia="es-ES_tradnl"/>
              </w:rPr>
              <w:t xml:space="preserve">Así pues, al ser la planeación contractual una herramienta de gerencia pública, que exige </w:t>
            </w:r>
            <w:r w:rsidRPr="00A353F8">
              <w:rPr>
                <w:rFonts w:ascii="Verdana" w:eastAsia="Calibri" w:hAnsi="Verdana" w:cs="Arial"/>
                <w:bCs/>
                <w:lang w:val="es-ES_tradnl"/>
              </w:rPr>
              <w:t xml:space="preserve">estructurar el proceso contractual dedicando tiempo y esfuerzos para elaborar estudios previos, </w:t>
            </w:r>
            <w:r>
              <w:rPr>
                <w:rFonts w:ascii="Verdana" w:eastAsia="Calibri" w:hAnsi="Verdana" w:cs="Arial"/>
                <w:bCs/>
                <w:lang w:val="es-ES_tradnl"/>
              </w:rPr>
              <w:t>su finalidad es la</w:t>
            </w:r>
            <w:r w:rsidRPr="00A353F8">
              <w:rPr>
                <w:rFonts w:ascii="Verdana" w:eastAsia="Calibri" w:hAnsi="Verdana" w:cs="Arial"/>
                <w:bCs/>
                <w:lang w:val="es-ES_tradnl"/>
              </w:rPr>
              <w:t xml:space="preserve"> de determinar la necesidad que pretende satisfacer la </w:t>
            </w:r>
            <w:r>
              <w:rPr>
                <w:rFonts w:ascii="Verdana" w:eastAsia="Calibri" w:hAnsi="Verdana" w:cs="Arial"/>
                <w:bCs/>
                <w:lang w:val="es-ES_tradnl"/>
              </w:rPr>
              <w:t>E</w:t>
            </w:r>
            <w:r w:rsidRPr="00A353F8">
              <w:rPr>
                <w:rFonts w:ascii="Verdana" w:eastAsia="Calibri" w:hAnsi="Verdana" w:cs="Arial"/>
                <w:bCs/>
                <w:lang w:val="es-ES_tradnl"/>
              </w:rPr>
              <w:t xml:space="preserve">ntidad </w:t>
            </w:r>
            <w:r>
              <w:rPr>
                <w:rFonts w:ascii="Verdana" w:eastAsia="Calibri" w:hAnsi="Verdana" w:cs="Arial"/>
                <w:bCs/>
                <w:lang w:val="es-ES_tradnl"/>
              </w:rPr>
              <w:t>E</w:t>
            </w:r>
            <w:r w:rsidRPr="00A353F8">
              <w:rPr>
                <w:rFonts w:ascii="Verdana" w:eastAsia="Calibri" w:hAnsi="Verdana" w:cs="Arial"/>
                <w:bCs/>
                <w:lang w:val="es-ES_tradnl"/>
              </w:rPr>
              <w:t xml:space="preserve">statal y cuál es la mejor manera de hacerlo, consultando el tipo de bienes y servicios que ofrece el mercado y sus características, especificaciones, precios, costos, riesgos, garantías, disponibilidad, oferentes, etc. Lo anterior con </w:t>
            </w:r>
            <w:r>
              <w:rPr>
                <w:rFonts w:ascii="Verdana" w:eastAsia="Calibri" w:hAnsi="Verdana" w:cs="Arial"/>
                <w:bCs/>
                <w:lang w:val="es-ES_tradnl"/>
              </w:rPr>
              <w:t>el objetivo</w:t>
            </w:r>
            <w:r w:rsidRPr="00A353F8">
              <w:rPr>
                <w:rFonts w:ascii="Verdana" w:eastAsia="Calibri" w:hAnsi="Verdana" w:cs="Arial"/>
                <w:bCs/>
                <w:lang w:val="es-ES_tradnl"/>
              </w:rPr>
              <w:t xml:space="preserve"> de realizar la escogencia diligente de la mejor oferta, para beneficiar los intereses y fines públicos inmersos en la contratación de las </w:t>
            </w:r>
            <w:r>
              <w:rPr>
                <w:rFonts w:ascii="Verdana" w:eastAsia="Calibri" w:hAnsi="Verdana" w:cs="Arial"/>
                <w:bCs/>
                <w:lang w:val="es-ES_tradnl"/>
              </w:rPr>
              <w:t>E</w:t>
            </w:r>
            <w:r w:rsidRPr="00A353F8">
              <w:rPr>
                <w:rFonts w:ascii="Verdana" w:eastAsia="Calibri" w:hAnsi="Verdana" w:cs="Arial"/>
                <w:bCs/>
                <w:lang w:val="es-ES_tradnl"/>
              </w:rPr>
              <w:t xml:space="preserve">ntidades </w:t>
            </w:r>
            <w:r>
              <w:rPr>
                <w:rFonts w:ascii="Verdana" w:eastAsia="Calibri" w:hAnsi="Verdana" w:cs="Arial"/>
                <w:bCs/>
                <w:lang w:val="es-ES_tradnl"/>
              </w:rPr>
              <w:t>E</w:t>
            </w:r>
            <w:r w:rsidRPr="00A353F8">
              <w:rPr>
                <w:rFonts w:ascii="Verdana" w:eastAsia="Calibri" w:hAnsi="Verdana" w:cs="Arial"/>
                <w:bCs/>
                <w:lang w:val="es-ES_tradnl"/>
              </w:rPr>
              <w:t>statales.</w:t>
            </w:r>
          </w:p>
          <w:p w14:paraId="7DA2A837" w14:textId="77777777" w:rsidR="00D509EA" w:rsidRPr="005A1B1B" w:rsidRDefault="00D509EA" w:rsidP="008B695B">
            <w:pPr>
              <w:spacing w:after="120" w:line="276" w:lineRule="auto"/>
              <w:ind w:firstLine="708"/>
              <w:jc w:val="both"/>
              <w:rPr>
                <w:rFonts w:ascii="Verdana" w:hAnsi="Verdana" w:cs="Arial"/>
                <w:lang w:val="es-MX"/>
              </w:rPr>
            </w:pPr>
            <w:r>
              <w:rPr>
                <w:rFonts w:ascii="Verdana" w:hAnsi="Verdana" w:cs="Arial"/>
                <w:lang w:val="es-MX"/>
              </w:rPr>
              <w:t xml:space="preserve">De esta manera, la entidad deberá determinar, bajo el principio de planeación, la tipología contractual aplicable o pertinente para la adquisición de un bien o servicio, dado que </w:t>
            </w:r>
            <w:r w:rsidRPr="00CC4042">
              <w:rPr>
                <w:rFonts w:ascii="Verdana" w:hAnsi="Verdana" w:cs="Arial"/>
                <w:lang w:val="es-MX"/>
              </w:rPr>
              <w:t>“[…] d</w:t>
            </w:r>
            <w:proofErr w:type="spellStart"/>
            <w:r w:rsidRPr="00CC4042">
              <w:rPr>
                <w:rFonts w:ascii="Verdana" w:hAnsi="Verdana" w:cs="Arial"/>
              </w:rPr>
              <w:t>e</w:t>
            </w:r>
            <w:proofErr w:type="spellEnd"/>
            <w:r w:rsidRPr="00CC4042">
              <w:rPr>
                <w:rFonts w:ascii="Verdana" w:hAnsi="Verdana" w:cs="Arial"/>
              </w:rPr>
              <w:t xml:space="preserve"> acuerdo con el deber de planeación, los contratos del Estado “deben siempre corresponder a negocios debidamente diseñados, pensados, conforme a las necesidades y prioridades que demanda el interés público; en otras palabras, el ordenamiento jurídico busca que el contrato estatal no sea el producto de la improvisación ni de la mediocridad. </w:t>
            </w:r>
            <w:r w:rsidRPr="00CC4042">
              <w:rPr>
                <w:rFonts w:ascii="Verdana" w:hAnsi="Verdana" w:cs="Arial"/>
              </w:rPr>
              <w:lastRenderedPageBreak/>
              <w:t>La ausencia de planeación ataca la esencia misma del interés general, con consecuencias gravosas y muchas veces nefastas, no sólo para la realización efectiva de los objetos pactados, sino también para el patrimonio público, que en últimas es el que siempre está involucrado en todo contrato estatal. Se trata de exigirles perentoriamente a las administraciones públicas una real y efectiva racionalización y organización de sus acciones y actividades con el fin de lograr los fines propuestos por medio de los negocios estatales”.</w:t>
            </w:r>
          </w:p>
          <w:p w14:paraId="641C34DF" w14:textId="77777777" w:rsidR="00D509EA" w:rsidRPr="003B32D4" w:rsidRDefault="00D509EA" w:rsidP="008B695B">
            <w:pPr>
              <w:spacing w:after="120" w:line="276" w:lineRule="auto"/>
              <w:ind w:right="51" w:firstLine="709"/>
              <w:jc w:val="both"/>
              <w:rPr>
                <w:rFonts w:ascii="Verdana" w:eastAsia="Calibri" w:hAnsi="Verdana" w:cs="Arial"/>
                <w:bCs/>
                <w:color w:val="000000" w:themeColor="text1"/>
              </w:rPr>
            </w:pPr>
            <w:r>
              <w:rPr>
                <w:rFonts w:ascii="Verdana" w:eastAsia="Calibri" w:hAnsi="Verdana" w:cs="Arial"/>
                <w:bCs/>
                <w:color w:val="000000" w:themeColor="text1"/>
              </w:rPr>
              <w:t xml:space="preserve">Con base en lo anterior, </w:t>
            </w:r>
            <w:r w:rsidRPr="00B06A20">
              <w:rPr>
                <w:rFonts w:ascii="Verdana" w:eastAsia="Calibri" w:hAnsi="Verdana" w:cs="Arial"/>
                <w:bCs/>
                <w:color w:val="000000" w:themeColor="text1"/>
              </w:rPr>
              <w:t xml:space="preserve">las Entidades Estatales </w:t>
            </w:r>
            <w:r>
              <w:rPr>
                <w:rFonts w:ascii="Verdana" w:eastAsia="Calibri" w:hAnsi="Verdana" w:cs="Arial"/>
                <w:bCs/>
                <w:color w:val="000000" w:themeColor="text1"/>
              </w:rPr>
              <w:t xml:space="preserve">deberán definir en los estudios previos y estudios del sector o de mercado, la modalidad de selección y la tipología del contrato más acorde a las necesidades de la administración, teniendo en cuenta el comportamiento de la oferta y demanda, las variables necesarias para definir el proceso de escogencia del contratista y todas aquellas reglas definidas por la normatividad en materia de contratación estatal. </w:t>
            </w:r>
          </w:p>
        </w:tc>
      </w:tr>
      <w:bookmarkEnd w:id="2"/>
    </w:tbl>
    <w:p w14:paraId="165FCE09" w14:textId="77777777" w:rsidR="00D509EA" w:rsidRPr="00B33094" w:rsidRDefault="00D509EA" w:rsidP="00D509EA">
      <w:pPr>
        <w:widowControl w:val="0"/>
        <w:autoSpaceDE w:val="0"/>
        <w:autoSpaceDN w:val="0"/>
        <w:spacing w:before="1" w:after="0" w:line="240" w:lineRule="auto"/>
        <w:ind w:left="360" w:hanging="360"/>
        <w:outlineLvl w:val="0"/>
        <w:rPr>
          <w:rFonts w:ascii="Verdana" w:eastAsia="Arial" w:hAnsi="Verdana" w:cs="Arial"/>
          <w:b/>
        </w:rPr>
      </w:pPr>
    </w:p>
    <w:p w14:paraId="746FF3AD" w14:textId="77777777" w:rsidR="00D509EA" w:rsidRPr="00B33094" w:rsidRDefault="00D509EA" w:rsidP="00D509EA">
      <w:pPr>
        <w:widowControl w:val="0"/>
        <w:autoSpaceDE w:val="0"/>
        <w:autoSpaceDN w:val="0"/>
        <w:spacing w:before="1" w:after="0" w:line="240" w:lineRule="auto"/>
        <w:ind w:left="360" w:hanging="360"/>
        <w:outlineLvl w:val="0"/>
        <w:rPr>
          <w:rFonts w:ascii="Verdana" w:eastAsia="Arial" w:hAnsi="Verdana" w:cs="Arial"/>
          <w:b/>
          <w:bCs/>
          <w:lang w:val="es-ES"/>
        </w:rPr>
      </w:pPr>
      <w:r w:rsidRPr="00B33094">
        <w:rPr>
          <w:rFonts w:ascii="Verdana" w:eastAsia="Arial" w:hAnsi="Verdana" w:cs="Arial"/>
          <w:b/>
          <w:bCs/>
          <w:lang w:val="es-ES"/>
        </w:rPr>
        <w:t>3. Razones de la respuesta</w:t>
      </w:r>
    </w:p>
    <w:p w14:paraId="05E42DD6" w14:textId="77777777" w:rsidR="00D509EA" w:rsidRPr="00B33094" w:rsidRDefault="00D509EA" w:rsidP="00D509EA">
      <w:pPr>
        <w:spacing w:after="0" w:line="276" w:lineRule="auto"/>
        <w:jc w:val="both"/>
        <w:rPr>
          <w:rFonts w:ascii="Verdana" w:eastAsia="Calibri" w:hAnsi="Verdana" w:cs="Arial"/>
          <w:lang w:val="es-ES"/>
        </w:rPr>
      </w:pPr>
    </w:p>
    <w:p w14:paraId="1DBF1322" w14:textId="77777777" w:rsidR="00D509EA" w:rsidRPr="00B33094" w:rsidRDefault="00D509EA" w:rsidP="00D509EA">
      <w:pPr>
        <w:spacing w:after="0" w:line="276" w:lineRule="auto"/>
        <w:jc w:val="both"/>
        <w:rPr>
          <w:rFonts w:ascii="Verdana" w:eastAsia="Calibri" w:hAnsi="Verdana" w:cs="Arial"/>
          <w:lang w:val="es-ES"/>
        </w:rPr>
      </w:pPr>
      <w:r w:rsidRPr="00B33094">
        <w:rPr>
          <w:rFonts w:ascii="Verdana" w:eastAsia="Calibri" w:hAnsi="Verdana" w:cs="Arial"/>
          <w:lang w:val="es-ES"/>
        </w:rPr>
        <w:t xml:space="preserve">Las respuestas anteriores se sustentan en las siguientes consideraciones: </w:t>
      </w:r>
    </w:p>
    <w:p w14:paraId="464DAF28" w14:textId="77777777" w:rsidR="00D509EA" w:rsidRDefault="00D509EA" w:rsidP="00D509EA">
      <w:pPr>
        <w:spacing w:after="0" w:line="276" w:lineRule="auto"/>
        <w:jc w:val="both"/>
        <w:rPr>
          <w:rFonts w:ascii="Verdana" w:eastAsia="Calibri" w:hAnsi="Verdana" w:cs="Arial"/>
          <w:lang w:val="es-ES"/>
        </w:rPr>
      </w:pPr>
    </w:p>
    <w:p w14:paraId="2D456707" w14:textId="77777777" w:rsidR="00D509EA" w:rsidRPr="00E62110" w:rsidRDefault="00D509EA" w:rsidP="00D509EA">
      <w:pPr>
        <w:widowControl w:val="0"/>
        <w:autoSpaceDE w:val="0"/>
        <w:autoSpaceDN w:val="0"/>
        <w:spacing w:after="120" w:line="276" w:lineRule="auto"/>
        <w:jc w:val="both"/>
        <w:rPr>
          <w:rFonts w:ascii="Verdana" w:eastAsia="Arial" w:hAnsi="Verdana" w:cs="Arial"/>
          <w:color w:val="000000"/>
          <w:lang w:val="es-ES_tradnl" w:eastAsia="es-ES_tradnl"/>
        </w:rPr>
      </w:pPr>
      <w:r w:rsidRPr="00E62110">
        <w:rPr>
          <w:rFonts w:ascii="Verdana" w:eastAsia="Arial" w:hAnsi="Verdana" w:cs="Arial"/>
          <w:color w:val="000000"/>
          <w:lang w:val="es-ES_tradnl" w:eastAsia="es-ES_tradnl"/>
        </w:rPr>
        <w:t>El contrato es un “acto jurídico voluntario, una declaración de voluntad, que tiene por objeto establecer una relación jurídica entre dos personas, obligando a la una para con otra a determinada prestación”</w:t>
      </w:r>
      <w:r w:rsidRPr="00E62110">
        <w:rPr>
          <w:rFonts w:ascii="Verdana" w:eastAsia="Arial" w:hAnsi="Verdana" w:cs="Arial"/>
          <w:color w:val="000000"/>
          <w:vertAlign w:val="superscript"/>
          <w:lang w:val="es-ES_tradnl" w:eastAsia="es-ES_tradnl"/>
        </w:rPr>
        <w:footnoteReference w:id="1"/>
      </w:r>
      <w:r w:rsidRPr="00E62110">
        <w:rPr>
          <w:rFonts w:ascii="Verdana" w:eastAsia="Arial" w:hAnsi="Verdana" w:cs="Arial"/>
          <w:color w:val="000000"/>
          <w:lang w:val="es-ES_tradnl" w:eastAsia="es-ES_tradnl"/>
        </w:rPr>
        <w:t>. Se trata de un negocio jurídico en el sentido de que es el resultado de un acto dispositivo o de autorregulación de intereses de dos o más sujetos con efectos jurídicos para crear, modificar o extinguir relaciones jurídicas</w:t>
      </w:r>
      <w:r w:rsidRPr="00E62110">
        <w:rPr>
          <w:rFonts w:ascii="Verdana" w:eastAsia="Arial" w:hAnsi="Verdana" w:cs="Arial"/>
          <w:color w:val="000000"/>
          <w:vertAlign w:val="superscript"/>
          <w:lang w:val="es-ES_tradnl" w:eastAsia="es-ES_tradnl"/>
        </w:rPr>
        <w:footnoteReference w:id="2"/>
      </w:r>
      <w:r w:rsidRPr="00E62110">
        <w:rPr>
          <w:rFonts w:ascii="Verdana" w:eastAsia="Arial" w:hAnsi="Verdana" w:cs="Arial"/>
          <w:color w:val="000000"/>
          <w:lang w:val="es-ES_tradnl" w:eastAsia="es-ES_tradnl"/>
        </w:rPr>
        <w:t>.</w:t>
      </w:r>
    </w:p>
    <w:p w14:paraId="5A8E34AF" w14:textId="77777777" w:rsidR="00D509EA" w:rsidRPr="00E62110" w:rsidRDefault="00D509EA" w:rsidP="00D509EA">
      <w:pPr>
        <w:widowControl w:val="0"/>
        <w:autoSpaceDE w:val="0"/>
        <w:autoSpaceDN w:val="0"/>
        <w:spacing w:after="120" w:line="276" w:lineRule="auto"/>
        <w:ind w:firstLine="708"/>
        <w:jc w:val="both"/>
        <w:rPr>
          <w:rFonts w:ascii="Verdana" w:eastAsia="Arial" w:hAnsi="Verdana" w:cs="Arial"/>
          <w:color w:val="000000"/>
          <w:lang w:val="es-ES" w:eastAsia="es-ES"/>
        </w:rPr>
      </w:pPr>
      <w:r w:rsidRPr="00E62110">
        <w:rPr>
          <w:rFonts w:ascii="Verdana" w:eastAsia="Arial" w:hAnsi="Verdana" w:cs="Arial"/>
          <w:color w:val="000000"/>
          <w:lang w:val="es-ES" w:eastAsia="es-ES"/>
        </w:rPr>
        <w:t>En efecto, el artículo 1495 del Código Civil establece que el “[c]</w:t>
      </w:r>
      <w:proofErr w:type="spellStart"/>
      <w:r w:rsidRPr="00E62110">
        <w:rPr>
          <w:rFonts w:ascii="Verdana" w:eastAsia="Arial" w:hAnsi="Verdana" w:cs="Arial"/>
          <w:color w:val="000000"/>
          <w:lang w:val="es-ES" w:eastAsia="es-ES"/>
        </w:rPr>
        <w:t>ontrato</w:t>
      </w:r>
      <w:proofErr w:type="spellEnd"/>
      <w:r w:rsidRPr="00E62110">
        <w:rPr>
          <w:rFonts w:ascii="Verdana" w:eastAsia="Arial" w:hAnsi="Verdana" w:cs="Arial"/>
          <w:color w:val="000000"/>
          <w:lang w:val="es-ES" w:eastAsia="es-ES"/>
        </w:rPr>
        <w:t xml:space="preserve"> o </w:t>
      </w:r>
      <w:r w:rsidRPr="00E62110">
        <w:rPr>
          <w:rFonts w:ascii="Verdana" w:eastAsia="Arial" w:hAnsi="Verdana" w:cs="Arial"/>
          <w:color w:val="000000"/>
          <w:lang w:val="es-ES" w:eastAsia="es-ES"/>
        </w:rPr>
        <w:lastRenderedPageBreak/>
        <w:t>convención es un acto por el cual una parte se obliga para con otra a dar, hacer, o no alguna cosa. Cada parte puede ser de una o muchas personas”. A su turno, el Código de Comercio establece en el artículo 864 que “[e]l contrato es un acuerdo de dos o más partes para constituir, regular o extinguir entre ellas una relación jurídica patrimonial”.</w:t>
      </w:r>
    </w:p>
    <w:p w14:paraId="1C87FFCF" w14:textId="77777777" w:rsidR="00D509EA" w:rsidRPr="00E62110" w:rsidRDefault="00D509EA" w:rsidP="00D509EA">
      <w:pPr>
        <w:widowControl w:val="0"/>
        <w:autoSpaceDE w:val="0"/>
        <w:autoSpaceDN w:val="0"/>
        <w:spacing w:after="120" w:line="276" w:lineRule="auto"/>
        <w:ind w:firstLine="708"/>
        <w:jc w:val="both"/>
        <w:rPr>
          <w:rFonts w:ascii="Verdana" w:eastAsia="Arial" w:hAnsi="Verdana" w:cs="Arial"/>
          <w:color w:val="000000"/>
          <w:lang w:val="es-ES_tradnl" w:eastAsia="es-ES_tradnl"/>
        </w:rPr>
      </w:pPr>
      <w:r w:rsidRPr="00E62110">
        <w:rPr>
          <w:rFonts w:ascii="Verdana" w:eastAsia="Arial" w:hAnsi="Verdana" w:cs="Arial"/>
          <w:color w:val="000000"/>
          <w:lang w:val="es-ES_tradnl" w:eastAsia="es-ES_tradnl"/>
        </w:rPr>
        <w:t xml:space="preserve">Por su parte, el artículo 1 de la Ley 80 de 1993 –Estatuto General de Contratación de la Administración Pública, en adelante EGCAP–, determina que su objetivo es disponer de reglas y principios que rigen los contratos de las Entidades Estatales y, en ese sentido, el artículo 32 </w:t>
      </w:r>
      <w:r w:rsidRPr="00E62110">
        <w:rPr>
          <w:rFonts w:ascii="Verdana" w:eastAsia="Arial" w:hAnsi="Verdana" w:cs="Arial"/>
          <w:i/>
          <w:iCs/>
          <w:color w:val="000000"/>
          <w:lang w:val="es-ES_tradnl" w:eastAsia="es-ES_tradnl"/>
        </w:rPr>
        <w:t>ibidem</w:t>
      </w:r>
      <w:r w:rsidRPr="00E62110">
        <w:rPr>
          <w:rFonts w:ascii="Verdana" w:eastAsia="Arial" w:hAnsi="Verdana" w:cs="Arial"/>
          <w:color w:val="000000"/>
          <w:lang w:val="es-ES_tradnl" w:eastAsia="es-ES_tradnl"/>
        </w:rPr>
        <w:t xml:space="preserve"> define los contratos estatales como “todos los actos jurídicos, generadores de obligaciones que celebren las entidades a que se refiere este estatuto [art. 2], previstos en el derecho privado o en disposiciones especiales, o derivados del ejercicio de la autonomía de la voluntad”. </w:t>
      </w:r>
    </w:p>
    <w:p w14:paraId="286D60B2" w14:textId="77777777" w:rsidR="00D509EA" w:rsidRPr="00E62110" w:rsidRDefault="00D509EA" w:rsidP="00D509EA">
      <w:pPr>
        <w:widowControl w:val="0"/>
        <w:autoSpaceDE w:val="0"/>
        <w:autoSpaceDN w:val="0"/>
        <w:spacing w:after="0" w:line="276" w:lineRule="auto"/>
        <w:ind w:firstLine="709"/>
        <w:jc w:val="both"/>
        <w:rPr>
          <w:rFonts w:ascii="Verdana" w:eastAsia="Arial" w:hAnsi="Verdana" w:cs="Arial"/>
          <w:color w:val="000000"/>
          <w:lang w:val="es-ES_tradnl" w:eastAsia="es-ES_tradnl"/>
        </w:rPr>
      </w:pPr>
      <w:r w:rsidRPr="00E62110">
        <w:rPr>
          <w:rFonts w:ascii="Verdana" w:eastAsia="Arial" w:hAnsi="Verdana" w:cs="Arial"/>
          <w:color w:val="000000"/>
          <w:lang w:val="es-ES_tradnl" w:eastAsia="es-ES_tradnl"/>
        </w:rPr>
        <w:t xml:space="preserve">De acuerdo con lo anterior, </w:t>
      </w:r>
      <w:bookmarkStart w:id="3" w:name="_Hlk150759794"/>
      <w:r w:rsidRPr="00E62110">
        <w:rPr>
          <w:rFonts w:ascii="Verdana" w:eastAsia="Arial" w:hAnsi="Verdana" w:cs="Arial"/>
          <w:color w:val="000000"/>
          <w:lang w:val="es-ES_tradnl" w:eastAsia="es-ES_tradnl"/>
        </w:rPr>
        <w:t>para la definición de contrato estatal basta con que una de las entidades que enumera el artículo 2 de la Ley 80 de 1993</w:t>
      </w:r>
      <w:r w:rsidRPr="00E62110">
        <w:rPr>
          <w:rFonts w:ascii="Verdana" w:eastAsia="Arial" w:hAnsi="Verdana" w:cs="Arial"/>
          <w:color w:val="000000"/>
          <w:vertAlign w:val="superscript"/>
          <w:lang w:val="es-ES_tradnl" w:eastAsia="es-ES_tradnl"/>
        </w:rPr>
        <w:footnoteReference w:id="3"/>
      </w:r>
      <w:r w:rsidRPr="00E62110">
        <w:rPr>
          <w:rFonts w:ascii="Verdana" w:eastAsia="Arial" w:hAnsi="Verdana" w:cs="Arial"/>
          <w:color w:val="000000"/>
          <w:lang w:val="es-ES_tradnl" w:eastAsia="es-ES_tradnl"/>
        </w:rPr>
        <w:t xml:space="preserve"> sea una de las partes, sin importar el extremo de la relación jurídico negocial que</w:t>
      </w:r>
      <w:r w:rsidRPr="00E62110">
        <w:rPr>
          <w:rFonts w:ascii="Verdana" w:eastAsia="Arial" w:hAnsi="Verdana" w:cs="Arial"/>
          <w:color w:val="000000"/>
          <w:spacing w:val="-14"/>
          <w:lang w:val="es-ES_tradnl" w:eastAsia="es-ES_tradnl"/>
        </w:rPr>
        <w:t xml:space="preserve"> </w:t>
      </w:r>
      <w:r w:rsidRPr="00E62110">
        <w:rPr>
          <w:rFonts w:ascii="Verdana" w:eastAsia="Arial" w:hAnsi="Verdana" w:cs="Arial"/>
          <w:color w:val="000000"/>
          <w:lang w:val="es-ES_tradnl" w:eastAsia="es-ES_tradnl"/>
        </w:rPr>
        <w:t>asuma. Al respecto, el Consejo de Estado ha sostenido que el criterio definitorio de un contrato estatal es que haya sido celebrado por una Entidad Estatal</w:t>
      </w:r>
      <w:bookmarkEnd w:id="3"/>
      <w:r w:rsidRPr="00E62110">
        <w:rPr>
          <w:rFonts w:ascii="Verdana" w:eastAsia="Arial" w:hAnsi="Verdana" w:cs="Arial"/>
          <w:color w:val="000000"/>
          <w:lang w:val="es-ES_tradnl" w:eastAsia="es-ES_tradnl"/>
        </w:rPr>
        <w:t>:</w:t>
      </w:r>
    </w:p>
    <w:p w14:paraId="072364DC" w14:textId="77777777" w:rsidR="00D509EA" w:rsidRPr="00E62110" w:rsidRDefault="00D509EA" w:rsidP="00D509EA">
      <w:pPr>
        <w:widowControl w:val="0"/>
        <w:autoSpaceDE w:val="0"/>
        <w:autoSpaceDN w:val="0"/>
        <w:spacing w:after="0" w:line="276" w:lineRule="auto"/>
        <w:ind w:firstLine="261"/>
        <w:contextualSpacing/>
        <w:jc w:val="both"/>
        <w:rPr>
          <w:rFonts w:ascii="Verdana" w:eastAsia="Arial" w:hAnsi="Verdana" w:cs="Arial"/>
          <w:color w:val="000000"/>
          <w:lang w:val="es-ES_tradnl" w:eastAsia="es-ES_tradnl"/>
        </w:rPr>
      </w:pPr>
    </w:p>
    <w:p w14:paraId="73E0F761" w14:textId="77777777" w:rsidR="00D509EA" w:rsidRPr="00E62110" w:rsidRDefault="00D509EA" w:rsidP="00D509EA">
      <w:pPr>
        <w:widowControl w:val="0"/>
        <w:tabs>
          <w:tab w:val="left" w:pos="7797"/>
        </w:tabs>
        <w:autoSpaceDE w:val="0"/>
        <w:autoSpaceDN w:val="0"/>
        <w:spacing w:after="0" w:line="240" w:lineRule="auto"/>
        <w:ind w:left="709" w:right="709"/>
        <w:contextualSpacing/>
        <w:jc w:val="both"/>
        <w:rPr>
          <w:rFonts w:ascii="Verdana" w:eastAsia="Arial" w:hAnsi="Verdana" w:cs="Arial"/>
          <w:color w:val="000000"/>
          <w:sz w:val="20"/>
          <w:szCs w:val="20"/>
          <w:lang w:val="es-ES_tradnl" w:eastAsia="es-ES_tradnl"/>
        </w:rPr>
      </w:pPr>
      <w:r w:rsidRPr="00E62110">
        <w:rPr>
          <w:rFonts w:ascii="Verdana" w:eastAsia="Arial" w:hAnsi="Verdana" w:cs="Arial"/>
          <w:color w:val="000000"/>
          <w:sz w:val="20"/>
          <w:szCs w:val="20"/>
          <w:lang w:val="es-ES_tradnl" w:eastAsia="es-ES_tradnl"/>
        </w:rPr>
        <w:t>“Nótese cómo, elemento esencial para calificar de estatal un contrato, es que haya sido celebrado por una entidad estatal, es decir, una entidad pública con capacidad legal para celebrarlo. Dicho de otro modo, no existen contratos estatales celebrados entre particulares, ni siquiera cuando éstos han sido habilitados legalmente para el ejercicio de funciones</w:t>
      </w:r>
      <w:r w:rsidRPr="00E62110">
        <w:rPr>
          <w:rFonts w:ascii="Verdana" w:eastAsia="Arial" w:hAnsi="Verdana" w:cs="Arial"/>
          <w:color w:val="000000"/>
          <w:spacing w:val="-4"/>
          <w:sz w:val="20"/>
          <w:szCs w:val="20"/>
          <w:lang w:val="es-ES_tradnl" w:eastAsia="es-ES_tradnl"/>
        </w:rPr>
        <w:t xml:space="preserve"> </w:t>
      </w:r>
      <w:r w:rsidRPr="00E62110">
        <w:rPr>
          <w:rFonts w:ascii="Verdana" w:eastAsia="Arial" w:hAnsi="Verdana" w:cs="Arial"/>
          <w:color w:val="000000"/>
          <w:sz w:val="20"/>
          <w:szCs w:val="20"/>
          <w:lang w:val="es-ES_tradnl" w:eastAsia="es-ES_tradnl"/>
        </w:rPr>
        <w:lastRenderedPageBreak/>
        <w:t>públicas”</w:t>
      </w:r>
      <w:r w:rsidRPr="00E62110">
        <w:rPr>
          <w:rFonts w:ascii="Verdana" w:eastAsia="Arial" w:hAnsi="Verdana" w:cs="Arial"/>
          <w:color w:val="000000"/>
          <w:sz w:val="20"/>
          <w:szCs w:val="20"/>
          <w:vertAlign w:val="superscript"/>
          <w:lang w:val="es-ES_tradnl" w:eastAsia="es-ES_tradnl"/>
        </w:rPr>
        <w:footnoteReference w:id="4"/>
      </w:r>
      <w:r w:rsidRPr="00E62110">
        <w:rPr>
          <w:rFonts w:ascii="Verdana" w:eastAsia="Arial" w:hAnsi="Verdana" w:cs="Arial"/>
          <w:color w:val="000000"/>
          <w:sz w:val="20"/>
          <w:szCs w:val="20"/>
          <w:lang w:val="es-ES_tradnl" w:eastAsia="es-ES_tradnl"/>
        </w:rPr>
        <w:t>.</w:t>
      </w:r>
    </w:p>
    <w:p w14:paraId="187F2B91" w14:textId="77777777" w:rsidR="00D509EA" w:rsidRPr="00E62110" w:rsidRDefault="00D509EA" w:rsidP="00D509EA">
      <w:pPr>
        <w:widowControl w:val="0"/>
        <w:autoSpaceDE w:val="0"/>
        <w:autoSpaceDN w:val="0"/>
        <w:spacing w:after="0" w:line="276" w:lineRule="auto"/>
        <w:contextualSpacing/>
        <w:jc w:val="both"/>
        <w:rPr>
          <w:rFonts w:ascii="Verdana" w:eastAsia="Arial" w:hAnsi="Verdana" w:cs="Arial"/>
          <w:color w:val="000000"/>
          <w:lang w:val="es-ES_tradnl" w:eastAsia="es-ES_tradnl"/>
        </w:rPr>
      </w:pPr>
    </w:p>
    <w:p w14:paraId="61B71FBB" w14:textId="77777777" w:rsidR="00D509EA" w:rsidRPr="00E62110" w:rsidRDefault="00D509EA" w:rsidP="00D509EA">
      <w:pPr>
        <w:widowControl w:val="0"/>
        <w:autoSpaceDE w:val="0"/>
        <w:autoSpaceDN w:val="0"/>
        <w:spacing w:after="120" w:line="276" w:lineRule="auto"/>
        <w:ind w:firstLine="607"/>
        <w:jc w:val="both"/>
        <w:rPr>
          <w:rFonts w:ascii="Verdana" w:eastAsia="Arial" w:hAnsi="Verdana" w:cs="Arial"/>
          <w:color w:val="000000"/>
          <w:lang w:val="es-ES_tradnl" w:eastAsia="es-ES_tradnl"/>
        </w:rPr>
      </w:pPr>
      <w:r w:rsidRPr="00E62110">
        <w:rPr>
          <w:rFonts w:ascii="Verdana" w:eastAsia="Arial" w:hAnsi="Verdana" w:cs="Arial"/>
          <w:color w:val="000000"/>
          <w:lang w:val="es-ES_tradnl" w:eastAsia="es-ES_tradnl"/>
        </w:rPr>
        <w:t xml:space="preserve">Así pues, el contrato estatal es el acto jurídico creador de obligaciones en cuya celebración concurre una de las Entidades Estatales, independientemente de que se trate de contratos previstos o tipificados en el derecho privado, en disposiciones especiales o que sencillamente resulten del ejercicio de la autonomía de la voluntad, como sucede con los que se clasifican como atípicos e innominados –artículo 32 de la Ley 80–. Por lo tanto, </w:t>
      </w:r>
      <w:bookmarkStart w:id="4" w:name="_Hlk150759930"/>
      <w:r w:rsidRPr="00E62110">
        <w:rPr>
          <w:rFonts w:ascii="Verdana" w:eastAsia="Arial" w:hAnsi="Verdana" w:cs="Arial"/>
          <w:color w:val="000000"/>
          <w:lang w:val="es-ES_tradnl" w:eastAsia="es-ES_tradnl"/>
        </w:rPr>
        <w:t>la Ley 80 de 1993 adoptó un criterio eminentemente subjetivo u orgánico, esto es, en atención a la naturaleza de los sujetos u órganos que intervienen en la formación del vínculo contractual, para efectos de determinar que los contratos podrán catalogarse como estatales únicamente en cuanto en uno de sus extremos, al menos, se encuentre una Entidad Estatal</w:t>
      </w:r>
      <w:r w:rsidRPr="00E62110">
        <w:rPr>
          <w:rFonts w:ascii="Verdana" w:eastAsia="Arial" w:hAnsi="Verdana" w:cs="Arial"/>
          <w:color w:val="000000"/>
          <w:vertAlign w:val="superscript"/>
          <w:lang w:val="es-ES_tradnl" w:eastAsia="es-ES_tradnl"/>
        </w:rPr>
        <w:footnoteReference w:id="5"/>
      </w:r>
      <w:r w:rsidRPr="00E62110">
        <w:rPr>
          <w:rFonts w:ascii="Verdana" w:eastAsia="Arial" w:hAnsi="Verdana" w:cs="Arial"/>
          <w:color w:val="000000"/>
          <w:lang w:val="es-ES_tradnl" w:eastAsia="es-ES_tradnl"/>
        </w:rPr>
        <w:t>, con independencia del régimen de derecho aplicable.</w:t>
      </w:r>
    </w:p>
    <w:bookmarkEnd w:id="4"/>
    <w:p w14:paraId="494942C4" w14:textId="77777777" w:rsidR="00D509EA" w:rsidRPr="00E62110" w:rsidRDefault="00D509EA" w:rsidP="00D509EA">
      <w:pPr>
        <w:widowControl w:val="0"/>
        <w:autoSpaceDE w:val="0"/>
        <w:autoSpaceDN w:val="0"/>
        <w:spacing w:after="0" w:line="276" w:lineRule="auto"/>
        <w:ind w:firstLine="607"/>
        <w:jc w:val="both"/>
        <w:rPr>
          <w:rFonts w:ascii="Verdana" w:eastAsia="Arial" w:hAnsi="Verdana" w:cs="Arial"/>
          <w:color w:val="000000"/>
          <w:lang w:eastAsia="es-ES_tradnl"/>
        </w:rPr>
      </w:pPr>
      <w:r w:rsidRPr="00E62110">
        <w:rPr>
          <w:rFonts w:ascii="Verdana" w:eastAsia="Arial" w:hAnsi="Verdana" w:cs="Arial"/>
          <w:color w:val="000000"/>
          <w:lang w:eastAsia="es-ES_tradnl"/>
        </w:rPr>
        <w:t>Este entendimiento encuentra, además, recepción en los artículos 13 y 40 de la Ley 80 de 1993, los cuales integran al derecho contractual estatal “las disposiciones comerciales y civiles pertinentes”, cuando indican que estos se regirán de forma supletiva por ese régimen jurídico, salvo en las materias expresa y particularmente reguladas por el EGCAP, lo que permite concluir que “mediante la Ley 80, se pretendió que la actividad contractual del Estado quedará</w:t>
      </w:r>
      <w:r w:rsidRPr="00E62110">
        <w:rPr>
          <w:rFonts w:ascii="Verdana" w:eastAsia="Arial" w:hAnsi="Verdana" w:cs="Arial"/>
          <w:lang w:eastAsia="es-ES_tradnl"/>
        </w:rPr>
        <w:t xml:space="preserve"> </w:t>
      </w:r>
      <w:r w:rsidRPr="00E62110">
        <w:rPr>
          <w:rFonts w:ascii="Verdana" w:eastAsia="Arial" w:hAnsi="Verdana" w:cs="Arial"/>
          <w:color w:val="000000"/>
          <w:lang w:eastAsia="es-ES_tradnl"/>
        </w:rPr>
        <w:t>bajo la égida del contrato estatal, caracterizado por tener un régimen jurídico mixto, integrado por normas de derecho público y derecho privado”</w:t>
      </w:r>
      <w:r w:rsidRPr="00E62110">
        <w:rPr>
          <w:rFonts w:ascii="Verdana" w:eastAsia="Arial" w:hAnsi="Verdana" w:cs="Arial"/>
          <w:color w:val="000000"/>
          <w:vertAlign w:val="superscript"/>
          <w:lang w:eastAsia="es-ES_tradnl"/>
        </w:rPr>
        <w:footnoteReference w:id="6"/>
      </w:r>
      <w:r w:rsidRPr="00E62110">
        <w:rPr>
          <w:rFonts w:ascii="Verdana" w:eastAsia="Arial" w:hAnsi="Verdana" w:cs="Arial"/>
          <w:color w:val="000000"/>
          <w:lang w:eastAsia="es-ES_tradnl"/>
        </w:rPr>
        <w:t xml:space="preserve">. En armonía con lo anterior, la Sala de Consulta y Servicio Civil del Consejo de Estado, expresó que, </w:t>
      </w:r>
      <w:r w:rsidRPr="00E62110">
        <w:rPr>
          <w:rFonts w:ascii="Verdana" w:eastAsia="Arial" w:hAnsi="Verdana" w:cs="Arial"/>
          <w:iCs/>
          <w:color w:val="000000"/>
          <w:lang w:eastAsia="es-ES_tradnl"/>
        </w:rPr>
        <w:t>en tal virtud, p</w:t>
      </w:r>
      <w:r w:rsidRPr="00E62110">
        <w:rPr>
          <w:rFonts w:ascii="Verdana" w:eastAsia="Arial" w:hAnsi="Verdana" w:cs="Arial"/>
          <w:color w:val="000000"/>
          <w:lang w:eastAsia="es-ES_tradnl"/>
        </w:rPr>
        <w:t>or regla general:</w:t>
      </w:r>
    </w:p>
    <w:p w14:paraId="1A934062" w14:textId="77777777" w:rsidR="00D509EA" w:rsidRPr="00E62110" w:rsidRDefault="00D509EA" w:rsidP="00D509EA">
      <w:pPr>
        <w:widowControl w:val="0"/>
        <w:autoSpaceDE w:val="0"/>
        <w:autoSpaceDN w:val="0"/>
        <w:spacing w:after="0" w:line="276" w:lineRule="auto"/>
        <w:ind w:firstLine="607"/>
        <w:jc w:val="both"/>
        <w:rPr>
          <w:rFonts w:ascii="Verdana" w:eastAsia="Arial" w:hAnsi="Verdana" w:cs="Arial"/>
          <w:color w:val="000000"/>
          <w:lang w:eastAsia="es-ES_tradnl"/>
        </w:rPr>
      </w:pPr>
    </w:p>
    <w:p w14:paraId="1E19A7A6" w14:textId="77777777" w:rsidR="00D509EA" w:rsidRDefault="00D509EA" w:rsidP="00D509EA">
      <w:pPr>
        <w:widowControl w:val="0"/>
        <w:autoSpaceDE w:val="0"/>
        <w:autoSpaceDN w:val="0"/>
        <w:spacing w:after="0" w:line="240" w:lineRule="auto"/>
        <w:ind w:left="709" w:right="709"/>
        <w:contextualSpacing/>
        <w:jc w:val="both"/>
        <w:rPr>
          <w:rFonts w:ascii="Verdana" w:eastAsia="Arial" w:hAnsi="Verdana" w:cs="Arial"/>
          <w:b/>
          <w:color w:val="000000"/>
          <w:sz w:val="20"/>
          <w:szCs w:val="20"/>
          <w:lang w:eastAsia="es-ES_tradnl"/>
        </w:rPr>
      </w:pPr>
      <w:r w:rsidRPr="00E62110">
        <w:rPr>
          <w:rFonts w:ascii="Verdana" w:eastAsia="Arial" w:hAnsi="Verdana" w:cs="Arial"/>
          <w:color w:val="000000"/>
          <w:sz w:val="20"/>
          <w:szCs w:val="20"/>
          <w:lang w:eastAsia="es-ES_tradnl"/>
        </w:rPr>
        <w:t xml:space="preserve">“[…] las entidades estatales dentro del ámbito de aplicación del Estatuto General de Contratación de la Administración Púbica, cuando celebren contratos deben cumplir las disposiciones del derecho privado (comerciales y civiles) que resulten aplicables, excepto en aquellas materias expresamente reguladas por el citado Estatuto y las normas que lo modifiquen o adicionen, verbigracia, los mecanismos de selección, los </w:t>
      </w:r>
      <w:r w:rsidRPr="00E62110">
        <w:rPr>
          <w:rFonts w:ascii="Verdana" w:eastAsia="Arial" w:hAnsi="Verdana" w:cs="Arial"/>
          <w:color w:val="000000"/>
          <w:sz w:val="20"/>
          <w:szCs w:val="20"/>
          <w:lang w:eastAsia="es-ES_tradnl"/>
        </w:rPr>
        <w:lastRenderedPageBreak/>
        <w:t>principios de transparencia, economía y responsabilidad, el deber de selección objetiva, las inhabilidades e incompatibilidades para contratar, los requisitos de perfeccionamiento y ejecución del contrato, el equilibrio económico y financiero del contrato, las cláusulas excepcionales (interpretación, modificación y terminación  unilaterales, caducidad, reversión y sometimiento de a las leyes nacionales), la imposición y efectividad de las multas y cláusula penal una vez pactadas, las garantías del contrato, las nulidades específicas del contrato estatal, el silencio administrativo positivo, la liquidación del contrato, entre otras”</w:t>
      </w:r>
      <w:r w:rsidRPr="00E62110">
        <w:rPr>
          <w:rFonts w:ascii="Verdana" w:eastAsia="Arial" w:hAnsi="Verdana" w:cs="Arial"/>
          <w:color w:val="000000"/>
          <w:sz w:val="20"/>
          <w:szCs w:val="20"/>
          <w:vertAlign w:val="superscript"/>
          <w:lang w:eastAsia="es-ES_tradnl"/>
        </w:rPr>
        <w:footnoteReference w:id="7"/>
      </w:r>
      <w:r w:rsidRPr="00E62110">
        <w:rPr>
          <w:rFonts w:ascii="Verdana" w:eastAsia="Arial" w:hAnsi="Verdana" w:cs="Arial"/>
          <w:color w:val="000000"/>
          <w:sz w:val="20"/>
          <w:szCs w:val="20"/>
          <w:lang w:eastAsia="es-ES_tradnl"/>
        </w:rPr>
        <w:t>.</w:t>
      </w:r>
      <w:r w:rsidRPr="00E62110">
        <w:rPr>
          <w:rFonts w:ascii="Verdana" w:eastAsia="Arial" w:hAnsi="Verdana" w:cs="Arial"/>
          <w:b/>
          <w:color w:val="000000"/>
          <w:sz w:val="20"/>
          <w:szCs w:val="20"/>
          <w:lang w:eastAsia="es-ES_tradnl"/>
        </w:rPr>
        <w:t xml:space="preserve"> </w:t>
      </w:r>
    </w:p>
    <w:p w14:paraId="5941600C" w14:textId="77777777" w:rsidR="00D509EA" w:rsidRPr="00E62110" w:rsidRDefault="00D509EA" w:rsidP="00D509EA">
      <w:pPr>
        <w:widowControl w:val="0"/>
        <w:autoSpaceDE w:val="0"/>
        <w:autoSpaceDN w:val="0"/>
        <w:spacing w:after="0" w:line="240" w:lineRule="auto"/>
        <w:ind w:left="709" w:right="709"/>
        <w:contextualSpacing/>
        <w:jc w:val="both"/>
        <w:rPr>
          <w:rFonts w:ascii="Verdana" w:eastAsia="Arial" w:hAnsi="Verdana" w:cs="Arial"/>
          <w:b/>
          <w:color w:val="000000"/>
          <w:sz w:val="20"/>
          <w:szCs w:val="20"/>
          <w:lang w:eastAsia="es-ES_tradnl"/>
        </w:rPr>
      </w:pPr>
    </w:p>
    <w:p w14:paraId="3C0E96E8" w14:textId="77777777" w:rsidR="00D509EA" w:rsidRPr="00E62110" w:rsidRDefault="00D509EA" w:rsidP="00D509EA">
      <w:pPr>
        <w:widowControl w:val="0"/>
        <w:autoSpaceDE w:val="0"/>
        <w:autoSpaceDN w:val="0"/>
        <w:spacing w:after="120" w:line="276" w:lineRule="auto"/>
        <w:ind w:firstLine="607"/>
        <w:jc w:val="both"/>
        <w:rPr>
          <w:rFonts w:ascii="Verdana" w:eastAsia="Arial" w:hAnsi="Verdana" w:cs="Arial"/>
          <w:iCs/>
          <w:color w:val="000000"/>
          <w:lang w:eastAsia="es-ES_tradnl"/>
        </w:rPr>
      </w:pPr>
      <w:bookmarkStart w:id="5" w:name="_Hlk170973098"/>
      <w:r w:rsidRPr="00E62110">
        <w:rPr>
          <w:rFonts w:ascii="Verdana" w:eastAsia="Arial" w:hAnsi="Verdana" w:cs="Arial"/>
          <w:iCs/>
          <w:color w:val="000000"/>
          <w:lang w:eastAsia="es-ES_tradnl"/>
        </w:rPr>
        <w:t xml:space="preserve">De otra parte, las Entidades Estatales, sujetas a la Ley 80 de 1993, para seleccionar a sus contratistas y la oferta más favorable para sus intereses no se encuentran en una posición de libertad absoluta, pues están sujetas a los procedimientos preestablecidos en las leyes y reglamentos. </w:t>
      </w:r>
      <w:bookmarkStart w:id="6" w:name="_Hlk170973355"/>
      <w:bookmarkEnd w:id="5"/>
      <w:r w:rsidRPr="00E62110">
        <w:rPr>
          <w:rFonts w:ascii="Verdana" w:eastAsia="Arial" w:hAnsi="Verdana" w:cs="Arial"/>
          <w:iCs/>
          <w:color w:val="000000"/>
          <w:lang w:eastAsia="es-ES_tradnl"/>
        </w:rPr>
        <w:t>La preparación, adjudicación y perfeccionamiento de sus contratos es eminentemente reglado, fijado por el orden jurídico, bajo precisos principios que garantizan el derecho a la igualdad de los oferentes, la libertad de participación y el cumplimiento de los fines estatales perseguidos con esta actividad. Por eso, el ordenamiento establece mecanismos, modalidades o procesos de selección objetiva de la persona más idónea y la oferta más favorable o ventajosa para la celebración del contrato con la administración, que serán más o menos rigurosos en función a ciertos elementos, como la cuantía, el tipo o naturaleza del contrato o el objeto de los bienes y servicios requeridos.</w:t>
      </w:r>
    </w:p>
    <w:bookmarkEnd w:id="6"/>
    <w:p w14:paraId="16C0275D" w14:textId="77777777" w:rsidR="00D509EA" w:rsidRPr="00E62110" w:rsidRDefault="00D509EA" w:rsidP="00D509EA">
      <w:pPr>
        <w:widowControl w:val="0"/>
        <w:autoSpaceDE w:val="0"/>
        <w:autoSpaceDN w:val="0"/>
        <w:spacing w:before="120" w:after="0" w:line="276" w:lineRule="auto"/>
        <w:ind w:firstLine="607"/>
        <w:jc w:val="both"/>
        <w:rPr>
          <w:rFonts w:ascii="Verdana" w:eastAsia="Arial" w:hAnsi="Verdana" w:cs="Arial"/>
          <w:color w:val="000000"/>
          <w:lang w:val="es-ES_tradnl" w:eastAsia="es-ES_tradnl"/>
        </w:rPr>
      </w:pPr>
      <w:r w:rsidRPr="00E62110">
        <w:rPr>
          <w:rFonts w:ascii="Verdana" w:eastAsia="Arial" w:hAnsi="Verdana" w:cs="Arial"/>
          <w:color w:val="000000"/>
          <w:lang w:val="es-ES" w:eastAsia="es-ES"/>
        </w:rPr>
        <w:t xml:space="preserve">Ahora bien, como el contrato estatal corresponde al acuerdo de voluntades en que uno de los extremos es una entidad pública, no solo pertenecen a esta categoría los celebrados por las entidades a las que se refiere la Ley 80 de 1993, sino también aquellos en los que interviene como parte cualquier </w:t>
      </w:r>
      <w:r>
        <w:rPr>
          <w:rFonts w:ascii="Verdana" w:eastAsia="Arial" w:hAnsi="Verdana" w:cs="Arial"/>
          <w:color w:val="000000"/>
          <w:lang w:val="es-ES" w:eastAsia="es-ES"/>
        </w:rPr>
        <w:t>e</w:t>
      </w:r>
      <w:r w:rsidRPr="00E62110">
        <w:rPr>
          <w:rFonts w:ascii="Verdana" w:eastAsia="Arial" w:hAnsi="Verdana" w:cs="Arial"/>
          <w:color w:val="000000"/>
          <w:lang w:val="es-ES" w:eastAsia="es-ES"/>
        </w:rPr>
        <w:t xml:space="preserve">ntidad, independiente del régimen jurídico aplicable. </w:t>
      </w:r>
      <w:r>
        <w:rPr>
          <w:rFonts w:ascii="Verdana" w:eastAsia="Arial" w:hAnsi="Verdana" w:cs="Arial"/>
          <w:color w:val="000000"/>
          <w:lang w:val="es-ES" w:eastAsia="es-ES"/>
        </w:rPr>
        <w:t xml:space="preserve">En este sentido, la tipología contractual no depende del nombre que la entidad le asigne al negocio jurídico, sino de su contenido material, el objeto a contratar, la obligación principal y de la regulación que resulte aplicable. </w:t>
      </w:r>
    </w:p>
    <w:p w14:paraId="64B2CF88" w14:textId="77777777" w:rsidR="00D509EA" w:rsidRDefault="00D509EA" w:rsidP="00D509EA">
      <w:pPr>
        <w:spacing w:before="120" w:after="120" w:line="276" w:lineRule="auto"/>
        <w:ind w:firstLine="709"/>
        <w:jc w:val="both"/>
        <w:rPr>
          <w:rFonts w:ascii="Verdana" w:eastAsia="Times New Roman" w:hAnsi="Verdana" w:cs="Arial"/>
          <w:color w:val="000000"/>
          <w:lang w:eastAsia="es-ES_tradnl"/>
        </w:rPr>
      </w:pPr>
      <w:bookmarkStart w:id="7" w:name="_Hlk121750642"/>
      <w:r>
        <w:rPr>
          <w:rFonts w:ascii="Verdana" w:eastAsia="Times New Roman" w:hAnsi="Verdana" w:cs="Arial"/>
          <w:color w:val="000000"/>
          <w:lang w:eastAsia="es-ES_tradnl"/>
        </w:rPr>
        <w:t xml:space="preserve">En ese sentido, y conforme a lo dispuesto en los artículos 13, 32, y 40 de la Ley 80 de 1993, las Entidades Estatales pueden celebrar contratos que se encuentren o no, referenciados en dicha norma o incluso, en el derecho privado. Esto, siempre y cuando sean compatibles con la Constitución Política, la ley, el </w:t>
      </w:r>
      <w:r>
        <w:rPr>
          <w:rFonts w:ascii="Verdana" w:eastAsia="Times New Roman" w:hAnsi="Verdana" w:cs="Arial"/>
          <w:color w:val="000000"/>
          <w:lang w:eastAsia="es-ES_tradnl"/>
        </w:rPr>
        <w:lastRenderedPageBreak/>
        <w:t>orden público y los principios que rigen la contratación estatal. De esta forma, se colige que la definición concreta del tipo contractual es un asunto que le corresponde propiamente definir a la Entidad Estatal durante la etapa de planeación.</w:t>
      </w:r>
    </w:p>
    <w:p w14:paraId="3AD08FD0" w14:textId="77777777" w:rsidR="00D509EA" w:rsidRDefault="00D509EA" w:rsidP="00D509EA">
      <w:pPr>
        <w:spacing w:after="120" w:line="276" w:lineRule="auto"/>
        <w:ind w:firstLine="709"/>
        <w:jc w:val="both"/>
        <w:rPr>
          <w:rFonts w:ascii="Verdana" w:eastAsia="Times New Roman" w:hAnsi="Verdana" w:cs="Arial"/>
          <w:color w:val="000000"/>
          <w:lang w:eastAsia="es-ES_tradnl"/>
        </w:rPr>
      </w:pPr>
      <w:r>
        <w:rPr>
          <w:rFonts w:ascii="Verdana" w:eastAsia="Times New Roman" w:hAnsi="Verdana" w:cs="Arial"/>
          <w:color w:val="000000"/>
          <w:lang w:eastAsia="es-ES_tradnl"/>
        </w:rPr>
        <w:t xml:space="preserve">Así pues, </w:t>
      </w:r>
      <w:r w:rsidRPr="00616EBC">
        <w:rPr>
          <w:rFonts w:ascii="Verdana" w:eastAsia="Times New Roman" w:hAnsi="Verdana" w:cs="Arial"/>
          <w:color w:val="000000"/>
          <w:lang w:eastAsia="es-ES_tradnl"/>
        </w:rPr>
        <w:t>al ser la planeación contractual una herramienta de gerencia pública, que exige estructurar el proceso contractual dedicando tiempo y esfuerzos para elaborar estudios previos, su finalidad es la de determinar la necesidad que pretende satisfacer la Entidad Estatal y cuál es la mejor manera de hacerlo, consultando el tipo de bienes y servicios que ofrece el mercado y sus características, especificaciones, precios, costos, riesgos, garantías, disponibilidad, oferentes, etc. Lo anterior con el objetivo de realizar la escogencia diligente de la mejor oferta, para beneficiar los intereses y fines públicos inmersos en la contratación de las Entidades Estatales.</w:t>
      </w:r>
    </w:p>
    <w:p w14:paraId="6E29FE9E" w14:textId="77777777" w:rsidR="00D509EA" w:rsidRPr="00A353F8" w:rsidRDefault="00D509EA" w:rsidP="00D509EA">
      <w:pPr>
        <w:spacing w:after="120" w:line="276" w:lineRule="auto"/>
        <w:ind w:firstLine="709"/>
        <w:jc w:val="both"/>
        <w:rPr>
          <w:rFonts w:ascii="Verdana" w:eastAsia="Calibri" w:hAnsi="Verdana" w:cs="Arial"/>
        </w:rPr>
      </w:pPr>
      <w:r w:rsidRPr="00A353F8">
        <w:rPr>
          <w:rFonts w:ascii="Verdana" w:eastAsia="Calibri" w:hAnsi="Verdana" w:cs="Arial"/>
        </w:rPr>
        <w:t>En congruencia con el artículo 25 de la Ley 80 de 1993, el Decreto Único Reglamentario del Sector Administrativo de Planeación Nacional –Decreto 1082 de 2015–, dispone en el artículo 2.2.1.1.2.1.1 el contenido mínimo de los estudios y documentos previos:</w:t>
      </w:r>
    </w:p>
    <w:p w14:paraId="5C19EE5B" w14:textId="77777777" w:rsidR="00D509EA" w:rsidRDefault="00D509EA" w:rsidP="00D509EA">
      <w:pPr>
        <w:spacing w:after="0" w:line="240" w:lineRule="auto"/>
        <w:ind w:leftChars="125" w:left="275" w:right="709"/>
        <w:jc w:val="both"/>
        <w:rPr>
          <w:rFonts w:ascii="Verdana" w:eastAsia="Arial" w:hAnsi="Verdana" w:cs="Arial"/>
          <w:color w:val="000000"/>
          <w:sz w:val="20"/>
          <w:szCs w:val="20"/>
          <w:lang w:val="es-ES_tradnl" w:eastAsia="es-ES_tradnl"/>
        </w:rPr>
      </w:pPr>
    </w:p>
    <w:p w14:paraId="69D9F5BE" w14:textId="77777777" w:rsidR="00D509EA" w:rsidRPr="003971A9" w:rsidRDefault="00D509EA" w:rsidP="00D509EA">
      <w:pPr>
        <w:spacing w:before="120" w:after="0" w:line="240" w:lineRule="auto"/>
        <w:ind w:leftChars="709" w:left="1560" w:right="709"/>
        <w:jc w:val="both"/>
        <w:rPr>
          <w:rFonts w:ascii="Verdana" w:eastAsia="Arial" w:hAnsi="Verdana" w:cs="Arial"/>
          <w:color w:val="000000"/>
          <w:sz w:val="20"/>
          <w:szCs w:val="20"/>
          <w:lang w:eastAsia="es-ES_tradnl"/>
        </w:rPr>
      </w:pPr>
      <w:r w:rsidRPr="003971A9">
        <w:rPr>
          <w:rFonts w:ascii="Verdana" w:eastAsia="Arial" w:hAnsi="Verdana" w:cs="Arial"/>
          <w:color w:val="000000"/>
          <w:sz w:val="20"/>
          <w:szCs w:val="20"/>
          <w:lang w:eastAsia="es-ES_tradnl"/>
        </w:rPr>
        <w:t>“Artículo 2.2.1.1.2.1.1. Los estudios y documentos previos son el soporte para elaborar el proyecto de pliegos, los pliegos de condiciones y el contrato. Estos deben permanecer a disposición del público durante el desarrollo del Proceso de Contratación y contener los siguientes elementos, además de los indicados para cada modalidad de selección:</w:t>
      </w:r>
    </w:p>
    <w:p w14:paraId="69B56E4F" w14:textId="77777777" w:rsidR="00D509EA" w:rsidRPr="003971A9" w:rsidRDefault="00D509EA" w:rsidP="00D509EA">
      <w:pPr>
        <w:spacing w:before="120" w:after="0" w:line="240" w:lineRule="auto"/>
        <w:ind w:leftChars="709" w:left="1560" w:right="709"/>
        <w:jc w:val="both"/>
        <w:rPr>
          <w:rFonts w:ascii="Verdana" w:eastAsia="Arial" w:hAnsi="Verdana" w:cs="Arial"/>
          <w:color w:val="000000"/>
          <w:sz w:val="20"/>
          <w:szCs w:val="20"/>
          <w:lang w:eastAsia="es-ES_tradnl"/>
        </w:rPr>
      </w:pPr>
      <w:r w:rsidRPr="003971A9">
        <w:rPr>
          <w:rFonts w:ascii="Verdana" w:eastAsia="Arial" w:hAnsi="Verdana" w:cs="Arial"/>
          <w:color w:val="000000"/>
          <w:sz w:val="20"/>
          <w:szCs w:val="20"/>
          <w:lang w:eastAsia="es-ES_tradnl"/>
        </w:rPr>
        <w:t xml:space="preserve">1. La descripción de la necesidad que la Entidad Estatal pretende satisfacer con el Proceso de Contratación. </w:t>
      </w:r>
    </w:p>
    <w:p w14:paraId="7055C94D" w14:textId="77777777" w:rsidR="00D509EA" w:rsidRPr="003971A9" w:rsidRDefault="00D509EA" w:rsidP="00D509EA">
      <w:pPr>
        <w:spacing w:before="120" w:after="0" w:line="240" w:lineRule="auto"/>
        <w:ind w:leftChars="709" w:left="1560" w:right="709"/>
        <w:jc w:val="both"/>
        <w:rPr>
          <w:rFonts w:ascii="Verdana" w:eastAsia="Arial" w:hAnsi="Verdana" w:cs="Arial"/>
          <w:color w:val="000000"/>
          <w:sz w:val="20"/>
          <w:szCs w:val="20"/>
          <w:lang w:eastAsia="es-ES_tradnl"/>
        </w:rPr>
      </w:pPr>
      <w:r w:rsidRPr="003971A9">
        <w:rPr>
          <w:rFonts w:ascii="Verdana" w:eastAsia="Arial" w:hAnsi="Verdana" w:cs="Arial"/>
          <w:color w:val="000000"/>
          <w:sz w:val="20"/>
          <w:szCs w:val="20"/>
          <w:lang w:eastAsia="es-ES_tradnl"/>
        </w:rPr>
        <w:t xml:space="preserve">2. El objeto a contratar, con sus especificaciones, las autorizaciones, permisos y licencias requeridos para su ejecución, y cuando el contrato incluye diseño y construcción, los documentos técnicos para el desarrollo del proyecto. </w:t>
      </w:r>
    </w:p>
    <w:p w14:paraId="261891CD" w14:textId="77777777" w:rsidR="00D509EA" w:rsidRPr="003971A9" w:rsidRDefault="00D509EA" w:rsidP="00D509EA">
      <w:pPr>
        <w:spacing w:before="120" w:after="0" w:line="240" w:lineRule="auto"/>
        <w:ind w:leftChars="709" w:left="1560" w:right="709"/>
        <w:jc w:val="both"/>
        <w:rPr>
          <w:rFonts w:ascii="Verdana" w:eastAsia="Arial" w:hAnsi="Verdana" w:cs="Arial"/>
          <w:color w:val="000000"/>
          <w:sz w:val="20"/>
          <w:szCs w:val="20"/>
          <w:lang w:eastAsia="es-ES_tradnl"/>
        </w:rPr>
      </w:pPr>
      <w:r w:rsidRPr="003971A9">
        <w:rPr>
          <w:rFonts w:ascii="Verdana" w:eastAsia="Arial" w:hAnsi="Verdana" w:cs="Arial"/>
          <w:color w:val="000000"/>
          <w:sz w:val="20"/>
          <w:szCs w:val="20"/>
          <w:lang w:eastAsia="es-ES_tradnl"/>
        </w:rPr>
        <w:t xml:space="preserve">3. La modalidad de selección del contratista y su justificación, incluyendo los fundamentos jurídicos. </w:t>
      </w:r>
    </w:p>
    <w:p w14:paraId="179E1EA5" w14:textId="77777777" w:rsidR="00D509EA" w:rsidRPr="003971A9" w:rsidRDefault="00D509EA" w:rsidP="00D509EA">
      <w:pPr>
        <w:spacing w:before="120" w:after="0" w:line="240" w:lineRule="auto"/>
        <w:ind w:leftChars="709" w:left="1560" w:right="709"/>
        <w:jc w:val="both"/>
        <w:rPr>
          <w:rFonts w:ascii="Verdana" w:eastAsia="Arial" w:hAnsi="Verdana" w:cs="Arial"/>
          <w:color w:val="000000"/>
          <w:sz w:val="20"/>
          <w:szCs w:val="20"/>
          <w:lang w:eastAsia="es-ES_tradnl"/>
        </w:rPr>
      </w:pPr>
      <w:r w:rsidRPr="003971A9">
        <w:rPr>
          <w:rFonts w:ascii="Verdana" w:eastAsia="Arial" w:hAnsi="Verdana" w:cs="Arial"/>
          <w:color w:val="000000"/>
          <w:sz w:val="20"/>
          <w:szCs w:val="20"/>
          <w:lang w:eastAsia="es-ES_tradnl"/>
        </w:rPr>
        <w:t xml:space="preserve">4. El valor estimado del contrato y la justificación del mismo. Cuando el valor del contrato esté determinado por precios unitarios, la Entidad Estatal debe incluir la forma como los calculó y soportar sus cálculos presupuestales en la estimación de </w:t>
      </w:r>
      <w:r w:rsidRPr="003971A9">
        <w:rPr>
          <w:rFonts w:ascii="Verdana" w:eastAsia="Arial" w:hAnsi="Verdana" w:cs="Arial"/>
          <w:color w:val="000000"/>
          <w:sz w:val="20"/>
          <w:szCs w:val="20"/>
          <w:lang w:eastAsia="es-ES_tradnl"/>
        </w:rPr>
        <w:lastRenderedPageBreak/>
        <w:t xml:space="preserve">aquellos. Si el contrato es de concesión, la Entidad Estatal no debe publicar el modelo financiero utilizado en su estructuración. </w:t>
      </w:r>
    </w:p>
    <w:p w14:paraId="280A6A1F" w14:textId="77777777" w:rsidR="00D509EA" w:rsidRPr="003971A9" w:rsidRDefault="00D509EA" w:rsidP="00D509EA">
      <w:pPr>
        <w:spacing w:before="120" w:after="0" w:line="240" w:lineRule="auto"/>
        <w:ind w:leftChars="709" w:left="1560" w:right="709"/>
        <w:jc w:val="both"/>
        <w:rPr>
          <w:rFonts w:ascii="Verdana" w:eastAsia="Arial" w:hAnsi="Verdana" w:cs="Arial"/>
          <w:color w:val="000000"/>
          <w:sz w:val="20"/>
          <w:szCs w:val="20"/>
          <w:lang w:eastAsia="es-ES_tradnl"/>
        </w:rPr>
      </w:pPr>
      <w:r w:rsidRPr="003971A9">
        <w:rPr>
          <w:rFonts w:ascii="Verdana" w:eastAsia="Arial" w:hAnsi="Verdana" w:cs="Arial"/>
          <w:color w:val="000000"/>
          <w:sz w:val="20"/>
          <w:szCs w:val="20"/>
          <w:lang w:eastAsia="es-ES_tradnl"/>
        </w:rPr>
        <w:t xml:space="preserve">5. Los criterios para seleccionar la oferta más favorable. </w:t>
      </w:r>
    </w:p>
    <w:p w14:paraId="3295FA5C" w14:textId="77777777" w:rsidR="00D509EA" w:rsidRPr="003971A9" w:rsidRDefault="00D509EA" w:rsidP="00D509EA">
      <w:pPr>
        <w:spacing w:before="120" w:after="0" w:line="240" w:lineRule="auto"/>
        <w:ind w:leftChars="709" w:left="1560" w:right="709"/>
        <w:jc w:val="both"/>
        <w:rPr>
          <w:rFonts w:ascii="Verdana" w:eastAsia="Arial" w:hAnsi="Verdana" w:cs="Arial"/>
          <w:color w:val="000000"/>
          <w:sz w:val="20"/>
          <w:szCs w:val="20"/>
          <w:lang w:eastAsia="es-ES_tradnl"/>
        </w:rPr>
      </w:pPr>
      <w:r w:rsidRPr="003971A9">
        <w:rPr>
          <w:rFonts w:ascii="Verdana" w:eastAsia="Arial" w:hAnsi="Verdana" w:cs="Arial"/>
          <w:color w:val="000000"/>
          <w:sz w:val="20"/>
          <w:szCs w:val="20"/>
          <w:lang w:eastAsia="es-ES_tradnl"/>
        </w:rPr>
        <w:t xml:space="preserve">6. El análisis de Riesgo y la forma de mitigarlo. </w:t>
      </w:r>
    </w:p>
    <w:p w14:paraId="3EB25FC2" w14:textId="77777777" w:rsidR="00D509EA" w:rsidRPr="00A60464" w:rsidRDefault="00D509EA" w:rsidP="00D509EA">
      <w:pPr>
        <w:spacing w:before="120" w:after="0" w:line="240" w:lineRule="auto"/>
        <w:ind w:leftChars="709" w:left="1560" w:right="709"/>
        <w:jc w:val="both"/>
        <w:rPr>
          <w:rFonts w:ascii="Verdana" w:eastAsia="Arial" w:hAnsi="Verdana" w:cs="Arial"/>
          <w:color w:val="000000"/>
          <w:sz w:val="20"/>
          <w:szCs w:val="20"/>
          <w:lang w:val="es-ES_tradnl" w:eastAsia="es-ES_tradnl"/>
        </w:rPr>
      </w:pPr>
      <w:r w:rsidRPr="003971A9">
        <w:rPr>
          <w:rFonts w:ascii="Verdana" w:eastAsia="Arial" w:hAnsi="Verdana" w:cs="Arial"/>
          <w:color w:val="000000"/>
          <w:sz w:val="20"/>
          <w:szCs w:val="20"/>
          <w:lang w:eastAsia="es-ES_tradnl"/>
        </w:rPr>
        <w:t>7. Las garantías que la Entidad Estatal contempla exigir en el proceso de contratación”. [Énfasis fuera de texto]</w:t>
      </w:r>
    </w:p>
    <w:p w14:paraId="5C106220" w14:textId="77777777" w:rsidR="00D509EA" w:rsidRPr="00E20039" w:rsidRDefault="00D509EA" w:rsidP="00D509EA">
      <w:pPr>
        <w:spacing w:after="0" w:line="276" w:lineRule="auto"/>
        <w:ind w:leftChars="709" w:left="1560" w:right="709"/>
        <w:jc w:val="both"/>
        <w:rPr>
          <w:rFonts w:ascii="Verdana" w:eastAsia="Calibri" w:hAnsi="Verdana" w:cs="Arial"/>
          <w:sz w:val="20"/>
          <w:szCs w:val="20"/>
        </w:rPr>
      </w:pPr>
    </w:p>
    <w:p w14:paraId="7B915EDB" w14:textId="77777777" w:rsidR="00D509EA" w:rsidRPr="00A353F8" w:rsidRDefault="00D509EA" w:rsidP="00D509EA">
      <w:pPr>
        <w:spacing w:after="120" w:line="276" w:lineRule="auto"/>
        <w:ind w:firstLine="708"/>
        <w:jc w:val="both"/>
        <w:rPr>
          <w:rFonts w:ascii="Verdana" w:eastAsia="Calibri" w:hAnsi="Verdana" w:cs="Arial"/>
          <w:bCs/>
          <w:lang w:val="es-ES_tradnl"/>
        </w:rPr>
      </w:pPr>
      <w:r w:rsidRPr="00A353F8">
        <w:rPr>
          <w:rFonts w:ascii="Verdana" w:eastAsia="Calibri" w:hAnsi="Verdana" w:cs="Arial"/>
        </w:rPr>
        <w:t xml:space="preserve">Por otra parte, los numerales 2 y 4 del artículo 2.2.1.1.2.1.1 del Decreto 1082 de 2015 exigen que en los estudios previos se determine el objeto a contratar con sus especificaciones, y se señale el valor estimado del contrato y la justificación del mismo. </w:t>
      </w:r>
      <w:r w:rsidRPr="00A353F8">
        <w:rPr>
          <w:rFonts w:ascii="Verdana" w:eastAsia="Calibri" w:hAnsi="Verdana" w:cs="Arial"/>
          <w:bCs/>
          <w:lang w:val="es-ES_tradnl"/>
        </w:rPr>
        <w:t xml:space="preserve">Para cumplir este objetivo es necesario el análisis del sector económico y de los oferentes, actividad de planeación previa que sirve para identificar aspectos concretos del mercado que pueden afectar el proceso de selección o las condiciones del negocio a realizar mediante el proceso de contratación de bienes, obras o servicios. En este sentido, el artículo </w:t>
      </w:r>
      <w:bookmarkStart w:id="8" w:name="_Hlk36117416"/>
      <w:r w:rsidRPr="00A353F8">
        <w:rPr>
          <w:rFonts w:ascii="Verdana" w:eastAsia="Calibri" w:hAnsi="Verdana" w:cs="Arial"/>
          <w:bCs/>
          <w:lang w:val="es-ES_tradnl"/>
        </w:rPr>
        <w:t>2.2.1.1.1.6.1 del Decreto 1082 de 2015</w:t>
      </w:r>
      <w:bookmarkEnd w:id="8"/>
      <w:r w:rsidRPr="00A353F8">
        <w:rPr>
          <w:rFonts w:ascii="Verdana" w:eastAsia="Calibri" w:hAnsi="Verdana" w:cs="Arial"/>
          <w:bCs/>
          <w:lang w:val="es-ES_tradnl"/>
        </w:rPr>
        <w:t xml:space="preserve"> dispone que “</w:t>
      </w:r>
      <w:r>
        <w:rPr>
          <w:rFonts w:ascii="Verdana" w:eastAsia="Calibri" w:hAnsi="Verdana" w:cs="Arial"/>
          <w:bCs/>
          <w:lang w:val="es-ES_tradnl"/>
        </w:rPr>
        <w:t>[l]</w:t>
      </w:r>
      <w:r w:rsidRPr="00A353F8">
        <w:rPr>
          <w:rFonts w:ascii="Verdana" w:eastAsia="Calibri" w:hAnsi="Verdana" w:cs="Arial"/>
          <w:bCs/>
          <w:lang w:val="es-ES_tradnl"/>
        </w:rPr>
        <w:t>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p>
    <w:p w14:paraId="12F0F3B8" w14:textId="77777777" w:rsidR="00D509EA" w:rsidRPr="00A353F8" w:rsidRDefault="00D509EA" w:rsidP="00D509EA">
      <w:pPr>
        <w:spacing w:after="120" w:line="276" w:lineRule="auto"/>
        <w:ind w:firstLine="709"/>
        <w:jc w:val="both"/>
        <w:rPr>
          <w:rFonts w:ascii="Verdana" w:eastAsia="Calibri" w:hAnsi="Verdana" w:cs="Arial"/>
          <w:bCs/>
          <w:lang w:val="es-ES"/>
        </w:rPr>
      </w:pPr>
      <w:r w:rsidRPr="00A353F8">
        <w:rPr>
          <w:rFonts w:ascii="Verdana" w:eastAsia="Calibri" w:hAnsi="Verdana" w:cs="Arial"/>
          <w:bCs/>
          <w:lang w:val="es-ES_tradnl"/>
        </w:rPr>
        <w:t xml:space="preserve">La Agencia Nacional de Contratación Pública - Colombia Compra Eficiente dispone de la “Guía </w:t>
      </w:r>
      <w:r>
        <w:rPr>
          <w:rFonts w:ascii="Verdana" w:eastAsia="Calibri" w:hAnsi="Verdana" w:cs="Arial"/>
          <w:bCs/>
          <w:lang w:val="es-ES_tradnl"/>
        </w:rPr>
        <w:t>para la Elaboración de</w:t>
      </w:r>
      <w:r w:rsidRPr="00A353F8">
        <w:rPr>
          <w:rFonts w:ascii="Verdana" w:eastAsia="Calibri" w:hAnsi="Verdana" w:cs="Arial"/>
          <w:bCs/>
          <w:lang w:val="es-ES_tradnl"/>
        </w:rPr>
        <w:t xml:space="preserve"> Estudio</w:t>
      </w:r>
      <w:r>
        <w:rPr>
          <w:rFonts w:ascii="Verdana" w:eastAsia="Calibri" w:hAnsi="Verdana" w:cs="Arial"/>
          <w:bCs/>
          <w:lang w:val="es-ES_tradnl"/>
        </w:rPr>
        <w:t>s</w:t>
      </w:r>
      <w:r w:rsidRPr="00A353F8">
        <w:rPr>
          <w:rFonts w:ascii="Verdana" w:eastAsia="Calibri" w:hAnsi="Verdana" w:cs="Arial"/>
          <w:bCs/>
          <w:lang w:val="es-ES_tradnl"/>
        </w:rPr>
        <w:t xml:space="preserve"> del Sector”, instrumento que sirve de apoyo para entender el mercado del bien, obra o servicio que la </w:t>
      </w:r>
      <w:r>
        <w:rPr>
          <w:rFonts w:ascii="Verdana" w:eastAsia="Calibri" w:hAnsi="Verdana" w:cs="Arial"/>
          <w:bCs/>
          <w:lang w:val="es-ES_tradnl"/>
        </w:rPr>
        <w:t>E</w:t>
      </w:r>
      <w:r w:rsidRPr="00A353F8">
        <w:rPr>
          <w:rFonts w:ascii="Verdana" w:eastAsia="Calibri" w:hAnsi="Verdana" w:cs="Arial"/>
          <w:bCs/>
          <w:lang w:val="es-ES_tradnl"/>
        </w:rPr>
        <w:t xml:space="preserve">ntidad </w:t>
      </w:r>
      <w:r>
        <w:rPr>
          <w:rFonts w:ascii="Verdana" w:eastAsia="Calibri" w:hAnsi="Verdana" w:cs="Arial"/>
          <w:bCs/>
          <w:lang w:val="es-ES_tradnl"/>
        </w:rPr>
        <w:t>E</w:t>
      </w:r>
      <w:r w:rsidRPr="00A353F8">
        <w:rPr>
          <w:rFonts w:ascii="Verdana" w:eastAsia="Calibri" w:hAnsi="Verdana" w:cs="Arial"/>
          <w:bCs/>
          <w:lang w:val="es-ES_tradnl"/>
        </w:rPr>
        <w:t>statal pretende adquirir y diseñar el proceso de contratación con la información necesaria para alcanzar los objetivos de eficacia, eficiencia, economía, promoción de la competencia y manejo del riesgo</w:t>
      </w:r>
      <w:r w:rsidRPr="00A353F8">
        <w:rPr>
          <w:rFonts w:ascii="Verdana" w:eastAsia="Calibri" w:hAnsi="Verdana" w:cs="Arial"/>
          <w:bCs/>
          <w:vertAlign w:val="superscript"/>
          <w:lang w:val="es-ES_tradnl"/>
        </w:rPr>
        <w:footnoteReference w:id="8"/>
      </w:r>
      <w:r w:rsidRPr="00A353F8">
        <w:rPr>
          <w:rFonts w:ascii="Verdana" w:eastAsia="Calibri" w:hAnsi="Verdana" w:cs="Arial"/>
          <w:bCs/>
          <w:lang w:val="es-ES_tradnl"/>
        </w:rPr>
        <w:t>. Esta Guía es un insumo para realizar el estudio del sector relativo al Proceso de Contratación, ya que comprende pautas sobre los aspectos generales del mercado, el análisis de la demanda y de la oferta y constituye un instrumento de orientación, por lo que –al carecer de fuerza vinculante– su aplicación no exime a las entidades de acatar las normas vigentes. De este modo, la Guía contiene</w:t>
      </w:r>
      <w:r w:rsidRPr="00A353F8">
        <w:rPr>
          <w:rFonts w:ascii="Verdana" w:eastAsia="Calibri" w:hAnsi="Verdana" w:cs="Arial"/>
          <w:bCs/>
          <w:lang w:val="es-ES"/>
        </w:rPr>
        <w:t xml:space="preserve"> recomendaciones generales por lo que no debe aplicarse de manera mecánica, pues la profundidad del estudio del sector depende de la complejidad y particularidades de cada Proceso de Contratación. </w:t>
      </w:r>
    </w:p>
    <w:p w14:paraId="40C28C92" w14:textId="77777777" w:rsidR="00D509EA" w:rsidRDefault="00D509EA" w:rsidP="00D509EA">
      <w:pPr>
        <w:spacing w:after="120" w:line="276" w:lineRule="auto"/>
        <w:ind w:firstLine="709"/>
        <w:jc w:val="both"/>
        <w:rPr>
          <w:rFonts w:ascii="Verdana" w:eastAsia="Calibri" w:hAnsi="Verdana" w:cs="Arial"/>
          <w:lang w:val="es-ES"/>
        </w:rPr>
      </w:pPr>
      <w:r w:rsidRPr="00A353F8">
        <w:rPr>
          <w:rFonts w:ascii="Verdana" w:eastAsia="Calibri" w:hAnsi="Verdana" w:cs="Arial"/>
          <w:lang w:val="es-ES"/>
        </w:rPr>
        <w:lastRenderedPageBreak/>
        <w:t>En este instrumento se recomienda un análisis integral sobre varios aspectos del mercado –económico, técnico, regulatorio, etc.–, lo cual permitirá que la entidad delimite con precisión qué bienes y servicios existen, cuáles son las condiciones de su comercialización, cómo es la oferta y la demanda y cuáles son los factores que inciden en el valor del contrato, tales como el análisis de precios, las cargas tributarias, la tasa de cambio, las garantías, los gastos de transporte, etc.</w:t>
      </w:r>
    </w:p>
    <w:p w14:paraId="029795C2" w14:textId="77777777" w:rsidR="00D509EA" w:rsidRPr="007A2CB0" w:rsidRDefault="00D509EA" w:rsidP="00D509EA">
      <w:pPr>
        <w:spacing w:after="120" w:line="276" w:lineRule="auto"/>
        <w:ind w:firstLine="709"/>
        <w:jc w:val="both"/>
        <w:rPr>
          <w:rFonts w:ascii="Verdana" w:eastAsia="Calibri" w:hAnsi="Verdana" w:cs="Arial"/>
          <w:bCs/>
          <w:lang w:val="es-ES_tradnl"/>
        </w:rPr>
      </w:pPr>
      <w:r w:rsidRPr="007A2CB0">
        <w:rPr>
          <w:rFonts w:ascii="Verdana" w:eastAsia="Calibri" w:hAnsi="Verdana" w:cs="Arial"/>
          <w:bCs/>
          <w:lang w:val="es-ES_tradnl"/>
        </w:rPr>
        <w:t xml:space="preserve">Así mismo, en la Guía se indica que como parte de la estructura del estudio del sector se debe realizar un análisis del comportamiento del gasto histórico, el estudio de la oferta y el estudio del mercado. En </w:t>
      </w:r>
      <w:r w:rsidRPr="007A2CB0">
        <w:rPr>
          <w:rFonts w:ascii="Verdana" w:eastAsia="Calibri" w:hAnsi="Verdana" w:cs="Arial"/>
          <w:bCs/>
          <w:lang w:val="es-ES"/>
        </w:rPr>
        <w:t xml:space="preserve">el marco del comportamiento del gasto histórico se recomienda que la entidad analice el comportamiento de sus adquisiciones anteriores del bien, obra o servicio teniendo en cuenta distintas variables como la modalidad de selección, el objeto del contrato, el presupuesto, entre otros. También es importante que se analice la forma en la cual otras entidades o particulares han adquirido bienes y servicios iguales o comparables similares mediante plataformas de información como datos abiertos o las herramientas de visualización </w:t>
      </w:r>
      <w:r w:rsidRPr="007A2CB0">
        <w:rPr>
          <w:rFonts w:ascii="Verdana" w:eastAsia="Arial MT" w:hAnsi="Verdana" w:cs="Arial"/>
          <w:lang w:val="es-ES"/>
        </w:rPr>
        <w:t>desarrolladas por esta Agencia en el marco del modelo de abastecimiento estratégico</w:t>
      </w:r>
      <w:r w:rsidRPr="007A2CB0">
        <w:rPr>
          <w:rStyle w:val="Refdenotaalpie"/>
          <w:rFonts w:ascii="Verdana" w:eastAsia="Arial MT" w:hAnsi="Verdana" w:cs="Arial"/>
          <w:lang w:val="es-ES"/>
        </w:rPr>
        <w:footnoteReference w:id="9"/>
      </w:r>
      <w:r w:rsidRPr="007A2CB0">
        <w:rPr>
          <w:rFonts w:ascii="Verdana" w:eastAsia="Arial MT" w:hAnsi="Verdana" w:cs="Arial"/>
          <w:lang w:val="es-ES"/>
        </w:rPr>
        <w:t xml:space="preserve">. </w:t>
      </w:r>
    </w:p>
    <w:p w14:paraId="0C58E95A" w14:textId="77777777" w:rsidR="00D509EA" w:rsidRDefault="00D509EA" w:rsidP="00D509EA">
      <w:pPr>
        <w:spacing w:after="120" w:line="276" w:lineRule="auto"/>
        <w:ind w:firstLine="708"/>
        <w:jc w:val="both"/>
        <w:rPr>
          <w:rFonts w:ascii="Verdana" w:hAnsi="Verdana" w:cs="Arial"/>
          <w:lang w:val="es-MX"/>
        </w:rPr>
      </w:pPr>
      <w:r w:rsidRPr="007A2CB0">
        <w:rPr>
          <w:rFonts w:ascii="Verdana" w:hAnsi="Verdana" w:cs="Arial"/>
        </w:rPr>
        <w:t xml:space="preserve">En conclusión, el análisis del sector debe ser visto desde una perspectiva funcional, como una labor enfocada a situar la adquisición de bienes y servicios por parte de entidades estatales dentro de las condiciones del mercado o del sector en el que serán adquiridos, el cual constituye una manifestación de los principios de planeación y economía. Dicha labor debe evidenciarse de manera palpable en los </w:t>
      </w:r>
      <w:r w:rsidRPr="007A2CB0">
        <w:rPr>
          <w:rFonts w:ascii="Verdana" w:hAnsi="Verdana" w:cs="Arial"/>
          <w:i/>
          <w:iCs/>
        </w:rPr>
        <w:t>Documentos del Proceso</w:t>
      </w:r>
      <w:r w:rsidRPr="007A2CB0">
        <w:rPr>
          <w:rFonts w:ascii="Verdana" w:hAnsi="Verdana" w:cs="Arial"/>
        </w:rPr>
        <w:t xml:space="preserve">, ya sea dentro de los estudios previos, como documento autónomo o dentro de alguno de los soportes del proceso de contratación, abarcando los campos legal, comercial, financiero, organizacional, técnico y de riesgos, de conformidad con el artículo </w:t>
      </w:r>
      <w:r w:rsidRPr="007A2CB0">
        <w:rPr>
          <w:rFonts w:ascii="Verdana" w:hAnsi="Verdana" w:cs="Arial"/>
          <w:lang w:val="es-MX"/>
        </w:rPr>
        <w:t>2.2.1.1.1.6.1 del Decreto 1082 del 2015.</w:t>
      </w:r>
    </w:p>
    <w:p w14:paraId="49FCEC2D" w14:textId="77777777" w:rsidR="00D509EA" w:rsidRPr="005A1B1B" w:rsidRDefault="00D509EA" w:rsidP="00D509EA">
      <w:pPr>
        <w:spacing w:after="120" w:line="276" w:lineRule="auto"/>
        <w:ind w:firstLine="708"/>
        <w:jc w:val="both"/>
        <w:rPr>
          <w:rFonts w:ascii="Verdana" w:hAnsi="Verdana" w:cs="Arial"/>
          <w:lang w:val="es-MX"/>
        </w:rPr>
      </w:pPr>
      <w:r>
        <w:rPr>
          <w:rFonts w:ascii="Verdana" w:hAnsi="Verdana" w:cs="Arial"/>
          <w:lang w:val="es-MX"/>
        </w:rPr>
        <w:t xml:space="preserve">De esta manera, la entidad deberá determinar, bajo el principio de planeación, la tipología contractual aplicable o pertinente para la adquisición de un bien o servicio, dado que </w:t>
      </w:r>
      <w:r w:rsidRPr="00CC4042">
        <w:rPr>
          <w:rFonts w:ascii="Verdana" w:hAnsi="Verdana" w:cs="Arial"/>
          <w:lang w:val="es-MX"/>
        </w:rPr>
        <w:t>“[…] d</w:t>
      </w:r>
      <w:proofErr w:type="spellStart"/>
      <w:r w:rsidRPr="00CC4042">
        <w:rPr>
          <w:rFonts w:ascii="Verdana" w:hAnsi="Verdana" w:cs="Arial"/>
        </w:rPr>
        <w:t>e</w:t>
      </w:r>
      <w:proofErr w:type="spellEnd"/>
      <w:r w:rsidRPr="00CC4042">
        <w:rPr>
          <w:rFonts w:ascii="Verdana" w:hAnsi="Verdana" w:cs="Arial"/>
        </w:rPr>
        <w:t xml:space="preserve"> acuerdo con el deber de planeación, los </w:t>
      </w:r>
      <w:r w:rsidRPr="00CC4042">
        <w:rPr>
          <w:rFonts w:ascii="Verdana" w:hAnsi="Verdana" w:cs="Arial"/>
        </w:rPr>
        <w:lastRenderedPageBreak/>
        <w:t>contratos del Estado “deben siempre corresponder a negocios debidamente diseñados, pensados, conforme a las necesidades y prioridades que demanda el interés público; en otras palabras, el ordenamiento jurídico busca que el contrato estatal no sea el producto de la improvisación ni de la mediocridad. La ausencia de planeación ataca la esencia misma del interés general, con consecuencias gravosas y muchas veces nefastas, no sólo para la realización efectiva de los objetos pactados, sino también para el patrimonio público, que en últimas es el que siempre está involucrado en todo contrato estatal. Se trata de exigirles perentoriamente a las administraciones públicas una real y efectiva racionalización y organización de sus acciones y actividades con el fin de lograr los fines propuestos por medio de los negocios estatales”</w:t>
      </w:r>
      <w:r w:rsidRPr="00CC4042">
        <w:rPr>
          <w:rStyle w:val="Refdenotaalpie"/>
          <w:rFonts w:ascii="Verdana" w:hAnsi="Verdana" w:cs="Arial"/>
        </w:rPr>
        <w:footnoteReference w:id="10"/>
      </w:r>
      <w:r w:rsidRPr="00CC4042">
        <w:rPr>
          <w:rFonts w:ascii="Verdana" w:hAnsi="Verdana" w:cs="Arial"/>
        </w:rPr>
        <w:t>.</w:t>
      </w:r>
    </w:p>
    <w:p w14:paraId="06FD59F3" w14:textId="77777777" w:rsidR="00D509EA" w:rsidRPr="00B06A20" w:rsidRDefault="00D509EA" w:rsidP="00D509EA">
      <w:pPr>
        <w:spacing w:after="120" w:line="276" w:lineRule="auto"/>
        <w:ind w:right="51" w:firstLine="709"/>
        <w:jc w:val="both"/>
        <w:rPr>
          <w:rFonts w:ascii="Verdana" w:eastAsia="Calibri" w:hAnsi="Verdana" w:cs="Arial"/>
          <w:bCs/>
          <w:color w:val="000000" w:themeColor="text1"/>
        </w:rPr>
      </w:pPr>
      <w:r>
        <w:rPr>
          <w:rFonts w:ascii="Verdana" w:eastAsia="Calibri" w:hAnsi="Verdana" w:cs="Arial"/>
          <w:bCs/>
          <w:color w:val="000000" w:themeColor="text1"/>
        </w:rPr>
        <w:t xml:space="preserve">Con base en lo anterior, </w:t>
      </w:r>
      <w:r w:rsidRPr="00B06A20">
        <w:rPr>
          <w:rFonts w:ascii="Verdana" w:eastAsia="Calibri" w:hAnsi="Verdana" w:cs="Arial"/>
          <w:bCs/>
          <w:color w:val="000000" w:themeColor="text1"/>
        </w:rPr>
        <w:t xml:space="preserve">las Entidades Estatales </w:t>
      </w:r>
      <w:r>
        <w:rPr>
          <w:rFonts w:ascii="Verdana" w:eastAsia="Calibri" w:hAnsi="Verdana" w:cs="Arial"/>
          <w:bCs/>
          <w:color w:val="000000" w:themeColor="text1"/>
        </w:rPr>
        <w:t xml:space="preserve">deberán definir en los estudios previos y estudios del sector o de mercado la modalidad de selección y la tipología del contrato más acorde a las necesidades de la administración, teniendo en cuenta el comportamiento de la oferta y demanda, las variables necesarias para definir el proceso de escogencia del contratista y todas aquellas reglas definidas por la normatividad en materia de contratación estatal. </w:t>
      </w:r>
    </w:p>
    <w:bookmarkEnd w:id="7"/>
    <w:p w14:paraId="40708124" w14:textId="77777777" w:rsidR="00D509EA" w:rsidRPr="00B33094" w:rsidRDefault="00D509EA" w:rsidP="00D509EA">
      <w:pPr>
        <w:widowControl w:val="0"/>
        <w:autoSpaceDE w:val="0"/>
        <w:autoSpaceDN w:val="0"/>
        <w:spacing w:after="120" w:line="276" w:lineRule="auto"/>
        <w:ind w:firstLine="708"/>
        <w:jc w:val="both"/>
        <w:rPr>
          <w:rFonts w:ascii="Verdana" w:eastAsia="Calibri" w:hAnsi="Verdana" w:cs="Arial"/>
        </w:rPr>
      </w:pPr>
      <w:r w:rsidRPr="00B33094">
        <w:rPr>
          <w:rFonts w:ascii="Verdana" w:eastAsia="Calibri" w:hAnsi="Verdana" w:cs="Arial"/>
          <w:iCs/>
        </w:rPr>
        <w:t xml:space="preserve">Al margen de lo anterior, </w:t>
      </w:r>
      <w:r w:rsidRPr="00B33094">
        <w:rPr>
          <w:rFonts w:ascii="Verdana" w:eastAsia="Calibri" w:hAnsi="Verdana" w:cs="Arial"/>
        </w:rPr>
        <w:t xml:space="preserve">debe advertirse que el análisis sobre la subsanación o el rechazo de las ofertas al interior de los procedimientos de selección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  </w:t>
      </w:r>
    </w:p>
    <w:p w14:paraId="37170EF5" w14:textId="77777777" w:rsidR="00D509EA" w:rsidRPr="00B33094" w:rsidRDefault="00D509EA" w:rsidP="00D509EA">
      <w:pPr>
        <w:widowControl w:val="0"/>
        <w:autoSpaceDE w:val="0"/>
        <w:autoSpaceDN w:val="0"/>
        <w:spacing w:after="0" w:line="276" w:lineRule="auto"/>
        <w:ind w:firstLine="708"/>
        <w:jc w:val="both"/>
        <w:rPr>
          <w:rFonts w:ascii="Verdana" w:eastAsia="Calibri" w:hAnsi="Verdana" w:cs="Arial"/>
        </w:rPr>
      </w:pPr>
      <w:r w:rsidRPr="00B33094">
        <w:rPr>
          <w:rFonts w:ascii="Verdana" w:eastAsia="Calibri" w:hAnsi="Verdana" w:cs="Arial"/>
        </w:rPr>
        <w:t xml:space="preserve">Dentro de este marco, la entidad contratante definirá en cada caso concreto lo relacionado con el tema objeto de consulta. Al tratarse de un análisis que debe realizarse en el procedimiento contractual específico, la Agencia sólo brinda elementos de carácter general para que los partícipes del sistema de compras y contratación pública adopten la decisión que corresponda, lo cual es acorde con el principio de juridicidad. Así, cada entidad definirá la forma de </w:t>
      </w:r>
      <w:r w:rsidRPr="00B33094">
        <w:rPr>
          <w:rFonts w:ascii="Verdana" w:eastAsia="Calibri" w:hAnsi="Verdana" w:cs="Arial"/>
        </w:rPr>
        <w:lastRenderedPageBreak/>
        <w:t>adelantar su gestión contractual, sin que sea atribución de Colombia Compra Eficiente validar sus actuaciones.</w:t>
      </w:r>
    </w:p>
    <w:p w14:paraId="0AA58E6B" w14:textId="77777777" w:rsidR="00D509EA" w:rsidRPr="00B33094" w:rsidRDefault="00D509EA" w:rsidP="00D509EA">
      <w:pPr>
        <w:spacing w:after="0" w:line="276" w:lineRule="auto"/>
        <w:jc w:val="both"/>
        <w:rPr>
          <w:rFonts w:ascii="Verdana" w:eastAsia="Calibri" w:hAnsi="Verdana" w:cs="Arial"/>
          <w:lang w:val="es-ES" w:eastAsia="es-CO"/>
        </w:rPr>
      </w:pPr>
    </w:p>
    <w:p w14:paraId="0C55684E" w14:textId="77777777" w:rsidR="00D509EA" w:rsidRPr="00B33094" w:rsidRDefault="00D509EA" w:rsidP="00D509EA">
      <w:pPr>
        <w:widowControl w:val="0"/>
        <w:autoSpaceDE w:val="0"/>
        <w:autoSpaceDN w:val="0"/>
        <w:spacing w:before="1" w:after="0" w:line="240" w:lineRule="auto"/>
        <w:outlineLvl w:val="0"/>
        <w:rPr>
          <w:rFonts w:ascii="Verdana" w:eastAsia="Arial" w:hAnsi="Verdana" w:cs="Arial"/>
          <w:b/>
          <w:bCs/>
          <w:lang w:val="es-ES"/>
        </w:rPr>
      </w:pPr>
      <w:r w:rsidRPr="00B33094">
        <w:rPr>
          <w:rFonts w:ascii="Verdana" w:eastAsia="Arial" w:hAnsi="Verdana" w:cs="Arial"/>
          <w:b/>
          <w:bCs/>
          <w:lang w:val="es-ES"/>
        </w:rPr>
        <w:t>4.Referencias normativas, jurisprudenciales y otras fuentes:</w:t>
      </w:r>
    </w:p>
    <w:p w14:paraId="438F2C1D" w14:textId="77777777" w:rsidR="00D509EA" w:rsidRPr="00B33094" w:rsidRDefault="00D509EA" w:rsidP="00D509EA">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509EA" w:rsidRPr="00B33094" w14:paraId="1EE5FC27" w14:textId="77777777" w:rsidTr="008B695B">
        <w:trPr>
          <w:trHeight w:val="870"/>
        </w:trPr>
        <w:tc>
          <w:tcPr>
            <w:tcW w:w="8647" w:type="dxa"/>
          </w:tcPr>
          <w:p w14:paraId="669C1BB7" w14:textId="77777777" w:rsidR="00D509EA" w:rsidRPr="00B03104" w:rsidRDefault="00D509EA" w:rsidP="00D509EA">
            <w:pPr>
              <w:pStyle w:val="Prrafodelista"/>
              <w:numPr>
                <w:ilvl w:val="0"/>
                <w:numId w:val="1"/>
              </w:numPr>
              <w:spacing w:line="240" w:lineRule="auto"/>
              <w:jc w:val="both"/>
            </w:pPr>
            <w:r w:rsidRPr="00B03104">
              <w:rPr>
                <w:rFonts w:ascii="Verdana" w:hAnsi="Verdana"/>
              </w:rPr>
              <w:t>Código Civil. Artículo 1495</w:t>
            </w:r>
          </w:p>
          <w:p w14:paraId="0DE02AC1" w14:textId="77777777" w:rsidR="00D509EA" w:rsidRPr="00B03104" w:rsidRDefault="00D509EA" w:rsidP="00D509EA">
            <w:pPr>
              <w:pStyle w:val="Prrafodelista"/>
              <w:numPr>
                <w:ilvl w:val="0"/>
                <w:numId w:val="1"/>
              </w:numPr>
              <w:spacing w:line="240" w:lineRule="auto"/>
              <w:jc w:val="both"/>
            </w:pPr>
            <w:r w:rsidRPr="00B03104">
              <w:rPr>
                <w:rFonts w:ascii="Verdana" w:hAnsi="Verdana"/>
              </w:rPr>
              <w:t xml:space="preserve">Código de comercio. </w:t>
            </w:r>
            <w:proofErr w:type="spellStart"/>
            <w:r w:rsidRPr="00B03104">
              <w:rPr>
                <w:rFonts w:ascii="Verdana" w:hAnsi="Verdana"/>
              </w:rPr>
              <w:t>Artíuclo</w:t>
            </w:r>
            <w:proofErr w:type="spellEnd"/>
            <w:r w:rsidRPr="00B03104">
              <w:rPr>
                <w:rFonts w:ascii="Verdana" w:hAnsi="Verdana"/>
              </w:rPr>
              <w:t xml:space="preserve"> 864</w:t>
            </w:r>
          </w:p>
          <w:p w14:paraId="6BD4D779" w14:textId="77777777" w:rsidR="00D509EA" w:rsidRPr="00B03104" w:rsidRDefault="00D509EA" w:rsidP="00D509EA">
            <w:pPr>
              <w:pStyle w:val="Prrafodelista"/>
              <w:numPr>
                <w:ilvl w:val="0"/>
                <w:numId w:val="1"/>
              </w:numPr>
              <w:spacing w:line="240" w:lineRule="auto"/>
              <w:jc w:val="both"/>
            </w:pPr>
            <w:r w:rsidRPr="00B03104">
              <w:rPr>
                <w:rFonts w:ascii="Verdana" w:hAnsi="Verdana"/>
              </w:rPr>
              <w:t>Ley 80 de 1993. Artículos 1, 2, 13, 25, 32, 40</w:t>
            </w:r>
          </w:p>
          <w:p w14:paraId="5F5B20FC" w14:textId="77777777" w:rsidR="00D509EA" w:rsidRPr="00B03104" w:rsidRDefault="00D509EA" w:rsidP="00D509EA">
            <w:pPr>
              <w:pStyle w:val="Prrafodelista"/>
              <w:numPr>
                <w:ilvl w:val="0"/>
                <w:numId w:val="1"/>
              </w:numPr>
              <w:spacing w:line="240" w:lineRule="auto"/>
              <w:jc w:val="both"/>
            </w:pPr>
            <w:r w:rsidRPr="00B03104">
              <w:rPr>
                <w:rFonts w:ascii="Verdana" w:hAnsi="Verdana"/>
              </w:rPr>
              <w:t xml:space="preserve">Decreto 1082 de 2015. Artículos </w:t>
            </w:r>
            <w:r w:rsidRPr="00B03104">
              <w:rPr>
                <w:rFonts w:ascii="Verdana" w:eastAsia="Calibri" w:hAnsi="Verdana" w:cs="Arial"/>
              </w:rPr>
              <w:t xml:space="preserve">2.2.1.1.2.1.1 y </w:t>
            </w:r>
            <w:r w:rsidRPr="00B03104">
              <w:rPr>
                <w:rFonts w:ascii="Verdana" w:eastAsia="Calibri" w:hAnsi="Verdana" w:cs="Arial"/>
                <w:bCs/>
                <w:lang w:val="es-ES_tradnl"/>
              </w:rPr>
              <w:t>2.2.1.1.1.6.1</w:t>
            </w:r>
          </w:p>
          <w:p w14:paraId="460D5045" w14:textId="77777777" w:rsidR="00D509EA" w:rsidRPr="00B03104" w:rsidRDefault="00D509EA" w:rsidP="00D509EA">
            <w:pPr>
              <w:pStyle w:val="Prrafodelista"/>
              <w:numPr>
                <w:ilvl w:val="0"/>
                <w:numId w:val="1"/>
              </w:numPr>
              <w:spacing w:line="240" w:lineRule="auto"/>
              <w:jc w:val="both"/>
            </w:pPr>
            <w:r>
              <w:rPr>
                <w:rFonts w:ascii="Verdana" w:eastAsia="Calibri" w:hAnsi="Verdana" w:cs="Arial"/>
                <w:bCs/>
                <w:lang w:val="es-ES_tradnl"/>
              </w:rPr>
              <w:t xml:space="preserve">Agencia Nacional de Contratación Pública. Guía para la Elaboración de Estudios del Sector. </w:t>
            </w:r>
          </w:p>
          <w:p w14:paraId="07CD300D" w14:textId="77777777" w:rsidR="00D509EA" w:rsidRPr="00B03104" w:rsidRDefault="00D509EA" w:rsidP="00D509EA">
            <w:pPr>
              <w:pStyle w:val="Textonotapie"/>
              <w:numPr>
                <w:ilvl w:val="0"/>
                <w:numId w:val="1"/>
              </w:numPr>
              <w:contextualSpacing/>
              <w:jc w:val="both"/>
              <w:rPr>
                <w:rFonts w:ascii="Verdana" w:hAnsi="Verdana" w:cs="Arial"/>
                <w:sz w:val="22"/>
                <w:szCs w:val="22"/>
              </w:rPr>
            </w:pPr>
            <w:r w:rsidRPr="00B03104">
              <w:rPr>
                <w:rFonts w:ascii="Verdana" w:hAnsi="Verdana" w:cs="Arial"/>
                <w:sz w:val="22"/>
                <w:szCs w:val="22"/>
              </w:rPr>
              <w:t>Consejo de Estado. Sección Tercera. Sentencia del 4 de abril de 2002, M.P. Alier E. Hernández Enríquez. Rad. 1999-0290-01 (17.244).</w:t>
            </w:r>
          </w:p>
          <w:p w14:paraId="65B9130D" w14:textId="77777777" w:rsidR="00D509EA" w:rsidRPr="00B03104" w:rsidRDefault="00D509EA" w:rsidP="00D509EA">
            <w:pPr>
              <w:pStyle w:val="Prrafodelista"/>
              <w:numPr>
                <w:ilvl w:val="0"/>
                <w:numId w:val="1"/>
              </w:numPr>
              <w:spacing w:line="240" w:lineRule="auto"/>
              <w:jc w:val="both"/>
            </w:pPr>
            <w:r w:rsidRPr="00B03104">
              <w:rPr>
                <w:rFonts w:ascii="Verdana" w:hAnsi="Verdana" w:cs="Arial"/>
              </w:rPr>
              <w:t>CONSEJO DE ESTADO. Sección Tercera, Auto del 30 de enero de 2008. Rad. 32.867, M.P. Mauricio Fajardo Gómez.</w:t>
            </w:r>
          </w:p>
          <w:p w14:paraId="081CB9A2" w14:textId="77777777" w:rsidR="00D509EA" w:rsidRPr="00B03104" w:rsidRDefault="00D509EA" w:rsidP="00D509EA">
            <w:pPr>
              <w:pStyle w:val="Prrafodelista"/>
              <w:numPr>
                <w:ilvl w:val="0"/>
                <w:numId w:val="1"/>
              </w:numPr>
              <w:spacing w:line="240" w:lineRule="auto"/>
              <w:jc w:val="both"/>
            </w:pPr>
            <w:r w:rsidRPr="00B03104">
              <w:rPr>
                <w:rFonts w:ascii="Verdana" w:hAnsi="Verdana" w:cs="Arial"/>
              </w:rPr>
              <w:t>CONSEJO DE ESTADO, Sección Tercera. Sentencia de 23 de septiembre de 1997, Rad. S-701.</w:t>
            </w:r>
          </w:p>
          <w:p w14:paraId="510A4282" w14:textId="77777777" w:rsidR="00D509EA" w:rsidRPr="00B03104" w:rsidRDefault="00D509EA" w:rsidP="00D509EA">
            <w:pPr>
              <w:pStyle w:val="Prrafodelista"/>
              <w:numPr>
                <w:ilvl w:val="0"/>
                <w:numId w:val="1"/>
              </w:numPr>
              <w:spacing w:line="240" w:lineRule="auto"/>
              <w:jc w:val="both"/>
              <w:rPr>
                <w:rFonts w:ascii="Verdana" w:eastAsia="Calibri" w:hAnsi="Verdana" w:cs="Arial"/>
                <w:lang w:eastAsia="es-ES"/>
              </w:rPr>
            </w:pPr>
            <w:r w:rsidRPr="00B03104">
              <w:rPr>
                <w:rFonts w:ascii="Verdana" w:hAnsi="Verdana" w:cs="Arial"/>
              </w:rPr>
              <w:t>CLARO SOLAR, Luis. Explicaciones de derecho civil chileno y comparado. Tomo Décimo – Obligaciones y contratos 1. Santiago de Chile, Nascimiento, 1936.</w:t>
            </w:r>
          </w:p>
          <w:p w14:paraId="11A65A15" w14:textId="77777777" w:rsidR="00D509EA" w:rsidRPr="00B03104" w:rsidRDefault="00D509EA" w:rsidP="00D509EA">
            <w:pPr>
              <w:pStyle w:val="Prrafodelista"/>
              <w:numPr>
                <w:ilvl w:val="0"/>
                <w:numId w:val="1"/>
              </w:numPr>
              <w:spacing w:line="240" w:lineRule="auto"/>
              <w:jc w:val="both"/>
              <w:rPr>
                <w:rFonts w:ascii="Verdana" w:eastAsia="Calibri" w:hAnsi="Verdana" w:cs="Arial"/>
                <w:lang w:eastAsia="es-ES"/>
              </w:rPr>
            </w:pPr>
            <w:r w:rsidRPr="00B03104">
              <w:rPr>
                <w:rFonts w:ascii="Verdana" w:hAnsi="Verdana" w:cs="Arial"/>
              </w:rPr>
              <w:t>CONSEJO DE ESTADO, Sala de Consulta y Servicio Civil. Concepto de 15 de mayo de 2018, Rad. 2335.</w:t>
            </w:r>
          </w:p>
          <w:p w14:paraId="35DA9DD6" w14:textId="77777777" w:rsidR="00D509EA" w:rsidRPr="009C7749" w:rsidRDefault="00D509EA" w:rsidP="00D509EA">
            <w:pPr>
              <w:pStyle w:val="Prrafodelista"/>
              <w:numPr>
                <w:ilvl w:val="0"/>
                <w:numId w:val="1"/>
              </w:numPr>
              <w:spacing w:line="240" w:lineRule="auto"/>
              <w:jc w:val="both"/>
              <w:rPr>
                <w:rFonts w:ascii="Verdana" w:eastAsia="Calibri" w:hAnsi="Verdana" w:cs="Arial"/>
                <w:lang w:eastAsia="es-ES"/>
              </w:rPr>
            </w:pPr>
            <w:r w:rsidRPr="00B03104">
              <w:rPr>
                <w:rFonts w:ascii="Verdana" w:hAnsi="Verdana"/>
              </w:rPr>
              <w:t>Consejo de Estado. Sala de lo Contencioso Administrativo. Sección Tercera. Subsección C. Sentencia del 24 de abril de 2013. Radicado: 68001-23-15-000-1998-01743-01 (27315). C.P: Jaime Orlando Santofimio Gamboa.</w:t>
            </w:r>
          </w:p>
        </w:tc>
      </w:tr>
    </w:tbl>
    <w:p w14:paraId="78071CBC" w14:textId="77777777" w:rsidR="00D509EA" w:rsidRPr="00B33094" w:rsidRDefault="00D509EA" w:rsidP="00D509EA">
      <w:pPr>
        <w:widowControl w:val="0"/>
        <w:autoSpaceDE w:val="0"/>
        <w:autoSpaceDN w:val="0"/>
        <w:spacing w:after="0" w:line="276" w:lineRule="auto"/>
        <w:jc w:val="both"/>
        <w:rPr>
          <w:rFonts w:ascii="Verdana" w:eastAsia="Aptos" w:hAnsi="Verdana" w:cs="Arial"/>
        </w:rPr>
      </w:pPr>
    </w:p>
    <w:p w14:paraId="43E65DD2" w14:textId="77777777" w:rsidR="00D509EA" w:rsidRPr="00B33094" w:rsidRDefault="00D509EA" w:rsidP="00D509EA">
      <w:pPr>
        <w:widowControl w:val="0"/>
        <w:autoSpaceDE w:val="0"/>
        <w:autoSpaceDN w:val="0"/>
        <w:spacing w:before="1" w:after="0" w:line="276" w:lineRule="auto"/>
        <w:outlineLvl w:val="0"/>
        <w:rPr>
          <w:rFonts w:ascii="Verdana" w:eastAsia="Arial" w:hAnsi="Verdana" w:cs="Arial"/>
          <w:b/>
          <w:bCs/>
          <w:lang w:val="es-ES"/>
        </w:rPr>
      </w:pPr>
      <w:r w:rsidRPr="00B33094">
        <w:rPr>
          <w:rFonts w:ascii="Verdana" w:eastAsia="Arial" w:hAnsi="Verdana" w:cs="Arial"/>
          <w:b/>
          <w:bCs/>
          <w:lang w:val="es-ES"/>
        </w:rPr>
        <w:t>5. Doctrina de la Agencia Nacional de Contratación Pública:</w:t>
      </w:r>
    </w:p>
    <w:p w14:paraId="77AA0F23" w14:textId="77777777" w:rsidR="00D509EA" w:rsidRPr="00B33094" w:rsidRDefault="00D509EA" w:rsidP="00D509EA">
      <w:pPr>
        <w:widowControl w:val="0"/>
        <w:autoSpaceDE w:val="0"/>
        <w:autoSpaceDN w:val="0"/>
        <w:spacing w:after="0" w:line="276" w:lineRule="auto"/>
        <w:jc w:val="both"/>
        <w:rPr>
          <w:rFonts w:ascii="Verdana" w:eastAsia="Aptos" w:hAnsi="Verdana" w:cs="Arial"/>
        </w:rPr>
      </w:pPr>
    </w:p>
    <w:p w14:paraId="5213A75A" w14:textId="77777777" w:rsidR="00D509EA" w:rsidRPr="00B33094" w:rsidRDefault="00D509EA" w:rsidP="00D509EA">
      <w:pPr>
        <w:widowControl w:val="0"/>
        <w:autoSpaceDE w:val="0"/>
        <w:autoSpaceDN w:val="0"/>
        <w:spacing w:after="0" w:line="276" w:lineRule="auto"/>
        <w:jc w:val="both"/>
        <w:rPr>
          <w:rFonts w:ascii="Verdana" w:eastAsia="Aptos" w:hAnsi="Verdana" w:cs="Arial"/>
          <w:shd w:val="clear" w:color="auto" w:fill="FFFFFF"/>
          <w:lang w:val="es-ES"/>
        </w:rPr>
      </w:pPr>
      <w:r w:rsidRPr="00B33094">
        <w:rPr>
          <w:rFonts w:ascii="Verdana" w:eastAsia="Aptos" w:hAnsi="Verdana" w:cs="Arial"/>
          <w:shd w:val="clear" w:color="auto" w:fill="FFFFFF"/>
          <w:lang w:val="es-ES"/>
        </w:rPr>
        <w:t xml:space="preserve">Esta Subdirección se ha pronunciado sobre </w:t>
      </w:r>
      <w:r>
        <w:rPr>
          <w:rFonts w:ascii="Verdana" w:eastAsia="Aptos" w:hAnsi="Verdana" w:cs="Arial"/>
          <w:shd w:val="clear" w:color="auto" w:fill="FFFFFF"/>
          <w:lang w:val="es-ES"/>
        </w:rPr>
        <w:t xml:space="preserve">la definición de los contratos estatales, entre otros en los conceptos </w:t>
      </w:r>
      <w:r w:rsidRPr="00A068FC">
        <w:rPr>
          <w:rFonts w:ascii="Verdana" w:eastAsia="Calibri" w:hAnsi="Verdana" w:cs="Arial"/>
          <w:bCs/>
          <w:color w:val="000000" w:themeColor="text1"/>
          <w:lang w:eastAsia="es-ES_tradnl"/>
        </w:rPr>
        <w:t>4201912000006493 del 15 de noviembre de 2019, 4201912000006710 del 19 de noviembre de 2019, C-466 del 21 de julio de 2022, C-604 del 23 de septiembre de 2022 y C-823 del 21 de diciembre de 2022</w:t>
      </w:r>
      <w:r>
        <w:rPr>
          <w:rFonts w:ascii="Verdana" w:eastAsia="Calibri" w:hAnsi="Verdana" w:cs="Arial"/>
          <w:bCs/>
          <w:color w:val="000000" w:themeColor="text1"/>
          <w:lang w:eastAsia="es-ES_tradnl"/>
        </w:rPr>
        <w:t>, C-043 del 04 de julio de 2024</w:t>
      </w:r>
      <w:r>
        <w:rPr>
          <w:rFonts w:ascii="Verdana" w:eastAsia="Aptos" w:hAnsi="Verdana" w:cs="Arial"/>
          <w:shd w:val="clear" w:color="auto" w:fill="FFFFFF"/>
          <w:lang w:val="es-ES"/>
        </w:rPr>
        <w:t xml:space="preserve">. </w:t>
      </w:r>
      <w:r w:rsidRPr="00B33094">
        <w:rPr>
          <w:rFonts w:ascii="Verdana" w:eastAsia="Calibri" w:hAnsi="Verdana" w:cs="Arial"/>
          <w:bCs/>
          <w:shd w:val="clear" w:color="auto" w:fill="FFFFFF"/>
          <w:lang w:val="es-ES"/>
        </w:rPr>
        <w:t xml:space="preserve">En tal sentido, recoge los conceptos expuestos, sin perjuicio de otras consideraciones. </w:t>
      </w:r>
      <w:r w:rsidRPr="00B33094">
        <w:rPr>
          <w:rFonts w:ascii="Verdana" w:eastAsia="Aptos" w:hAnsi="Verdana" w:cs="Arial"/>
          <w:shd w:val="clear" w:color="auto" w:fill="FFFFFF"/>
          <w:lang w:val="es-ES"/>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history="1">
        <w:r w:rsidRPr="00B33094">
          <w:rPr>
            <w:rFonts w:ascii="Verdana" w:eastAsia="Aptos" w:hAnsi="Verdana" w:cs="Arial"/>
            <w:u w:val="single"/>
            <w:shd w:val="clear" w:color="auto" w:fill="FFFFFF"/>
            <w:lang w:val="es-ES"/>
          </w:rPr>
          <w:t>https://relatoria.colombiacompra.gov.co/</w:t>
        </w:r>
      </w:hyperlink>
      <w:r w:rsidRPr="00B33094">
        <w:rPr>
          <w:rFonts w:ascii="Verdana" w:eastAsia="Aptos" w:hAnsi="Verdana" w:cs="Arial"/>
          <w:shd w:val="clear" w:color="auto" w:fill="FFFFFF"/>
          <w:lang w:val="es-ES"/>
        </w:rPr>
        <w:t xml:space="preserve">. </w:t>
      </w:r>
    </w:p>
    <w:p w14:paraId="5708086D" w14:textId="77777777" w:rsidR="00D509EA" w:rsidRPr="00756E1C" w:rsidRDefault="00D509EA" w:rsidP="00D509EA">
      <w:pPr>
        <w:spacing w:before="120" w:after="0" w:line="276" w:lineRule="auto"/>
        <w:ind w:firstLine="708"/>
        <w:jc w:val="both"/>
        <w:rPr>
          <w:rFonts w:ascii="Verdana" w:eastAsia="Aptos" w:hAnsi="Verdana" w:cs="Times New Roman"/>
        </w:rPr>
      </w:pPr>
      <w:r w:rsidRPr="00756E1C">
        <w:rPr>
          <w:rFonts w:ascii="Verdana" w:eastAsia="Aptos" w:hAnsi="Verdana" w:cs="Times New Roman"/>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756E1C">
        <w:rPr>
          <w:rFonts w:ascii="Verdana" w:eastAsia="Aptos" w:hAnsi="Verdana" w:cs="Times New Roman"/>
          <w:b/>
          <w:bCs/>
        </w:rPr>
        <w:t>Guía para la Exigencia y Constitución de Garantías en los Procesos de Contratación</w:t>
      </w:r>
      <w:r w:rsidRPr="00756E1C">
        <w:rPr>
          <w:rFonts w:ascii="Verdana" w:eastAsia="Aptos" w:hAnsi="Verdana" w:cs="Times New Roman"/>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3" w:tgtFrame="_blank" w:history="1">
        <w:r w:rsidRPr="00756E1C">
          <w:rPr>
            <w:rStyle w:val="Hipervnculo"/>
            <w:rFonts w:ascii="Verdana" w:eastAsia="Aptos" w:hAnsi="Verdana" w:cs="Times New Roman"/>
          </w:rPr>
          <w:t>https://www.colombiacompra.gov.co/archivos/manual/guia-de-garantias-en-procesos-de-contratacion</w:t>
        </w:r>
      </w:hyperlink>
      <w:r w:rsidRPr="00756E1C">
        <w:rPr>
          <w:rFonts w:ascii="Verdana" w:eastAsia="Aptos" w:hAnsi="Verdana" w:cs="Times New Roman"/>
        </w:rPr>
        <w:t> </w:t>
      </w:r>
    </w:p>
    <w:p w14:paraId="6A382A8B" w14:textId="77777777" w:rsidR="00D509EA" w:rsidRPr="00756E1C" w:rsidRDefault="00D509EA" w:rsidP="00D509EA">
      <w:pPr>
        <w:spacing w:before="120" w:after="0" w:line="276" w:lineRule="auto"/>
        <w:ind w:firstLine="708"/>
        <w:jc w:val="both"/>
        <w:rPr>
          <w:rFonts w:ascii="Verdana" w:eastAsia="Aptos" w:hAnsi="Verdana" w:cs="Times New Roman"/>
        </w:rPr>
      </w:pPr>
      <w:r w:rsidRPr="00756E1C">
        <w:rPr>
          <w:rFonts w:ascii="Verdana" w:eastAsia="Aptos" w:hAnsi="Verdana" w:cs="Times New Roman"/>
        </w:rPr>
        <w:t>De otro lado, te contamos que el Decreto 287 del 19 de marzo de 2026 sustituyó los artículos 2.2.1.2.4.2.6., 2.2.1.2.4.2.7. y 2.2.1.2.4.2.8. del Decreto 1082 de 2015 y estructuró el </w:t>
      </w:r>
      <w:r w:rsidRPr="00756E1C">
        <w:rPr>
          <w:rFonts w:ascii="Verdana" w:eastAsia="Aptos" w:hAnsi="Verdana" w:cs="Times New Roman"/>
          <w:b/>
          <w:bCs/>
        </w:rPr>
        <w:t>Sistema Integral de Preferencias en favor de las personas con discapacidad</w:t>
      </w:r>
      <w:r w:rsidRPr="00756E1C">
        <w:rPr>
          <w:rFonts w:ascii="Verdana" w:eastAsia="Aptos" w:hAnsi="Verdana" w:cs="Times New Roman"/>
        </w:rPr>
        <w:t>, en cumplimiento del artículo 13 de la Ley Estatutaria 1618 de 2013. Para orientar su aplicación, esta Agencia expidió la </w:t>
      </w:r>
      <w:r w:rsidRPr="00756E1C">
        <w:rPr>
          <w:rFonts w:ascii="Verdana" w:eastAsia="Aptos" w:hAnsi="Verdana" w:cs="Times New Roman"/>
          <w:b/>
          <w:bCs/>
        </w:rPr>
        <w:t>Circular Externa 003 del 12 de mayo de 2026, </w:t>
      </w:r>
      <w:r w:rsidRPr="00756E1C">
        <w:rPr>
          <w:rFonts w:ascii="Verdana" w:eastAsia="Aptos" w:hAnsi="Verdana" w:cs="Times New Roman"/>
        </w:rPr>
        <w:t>en la que precisa quiénes son los beneficiarios, las cinco medidas que integran el sistema y su obligatoriedad según la modalidad de selección, y el régimen de transición aplicable a los procesos en curso. Consúltala aquí: </w:t>
      </w:r>
      <w:hyperlink r:id="rId14" w:tgtFrame="_blank" w:history="1">
        <w:r w:rsidRPr="00756E1C">
          <w:rPr>
            <w:rStyle w:val="Hipervnculo"/>
            <w:rFonts w:ascii="Verdana" w:eastAsia="Aptos" w:hAnsi="Verdana" w:cs="Times New Roman"/>
          </w:rPr>
          <w:t>https://www.colombiacompra.gov.co/archivos/circular/circular-externa-003-de-2026</w:t>
        </w:r>
      </w:hyperlink>
      <w:r w:rsidRPr="00756E1C">
        <w:rPr>
          <w:rFonts w:ascii="Verdana" w:eastAsia="Aptos" w:hAnsi="Verdana" w:cs="Times New Roman"/>
        </w:rPr>
        <w:t> </w:t>
      </w:r>
    </w:p>
    <w:p w14:paraId="07C4F463" w14:textId="77777777" w:rsidR="00D509EA" w:rsidRPr="00756E1C" w:rsidRDefault="00D509EA" w:rsidP="00D509EA">
      <w:pPr>
        <w:spacing w:before="120" w:after="0" w:line="276" w:lineRule="auto"/>
        <w:ind w:firstLine="708"/>
        <w:jc w:val="both"/>
        <w:rPr>
          <w:rFonts w:ascii="Verdana" w:eastAsia="Aptos" w:hAnsi="Verdana" w:cs="Times New Roman"/>
        </w:rPr>
      </w:pPr>
      <w:r w:rsidRPr="00756E1C">
        <w:rPr>
          <w:rFonts w:ascii="Verdana" w:eastAsia="Aptos" w:hAnsi="Verdana" w:cs="Times New Roman"/>
        </w:rPr>
        <w:t>Recuerda también que la</w:t>
      </w:r>
      <w:r w:rsidRPr="00756E1C">
        <w:rPr>
          <w:rFonts w:ascii="Verdana" w:eastAsia="Aptos" w:hAnsi="Verdana" w:cs="Times New Roman"/>
          <w:b/>
          <w:bCs/>
        </w:rPr>
        <w:t> información sobre sanciones e inhabilidades </w:t>
      </w:r>
      <w:r w:rsidRPr="00756E1C">
        <w:rPr>
          <w:rFonts w:ascii="Verdana" w:eastAsia="Aptos" w:hAnsi="Verdana" w:cs="Times New Roman"/>
        </w:rPr>
        <w:t>solo cumple su función preventiva si llega oportunamente a los registros públicos. Sobre este deber, esta Agencia expidió la </w:t>
      </w:r>
      <w:r w:rsidRPr="00756E1C">
        <w:rPr>
          <w:rFonts w:ascii="Verdana" w:eastAsia="Aptos" w:hAnsi="Verdana" w:cs="Times New Roman"/>
          <w:b/>
          <w:bCs/>
        </w:rPr>
        <w:t>Circular Externa 002 del 5 de mayo de 2026,</w:t>
      </w:r>
      <w:r w:rsidRPr="00756E1C">
        <w:rPr>
          <w:rFonts w:ascii="Verdana" w:eastAsia="Aptos" w:hAnsi="Verdana" w:cs="Times New Roman"/>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5" w:tgtFrame="_blank" w:history="1">
        <w:r w:rsidRPr="00756E1C">
          <w:rPr>
            <w:rStyle w:val="Hipervnculo"/>
            <w:rFonts w:ascii="Verdana" w:eastAsia="Aptos" w:hAnsi="Verdana" w:cs="Times New Roman"/>
          </w:rPr>
          <w:t>https://www.colombiacompra.gov.co/archivos/circular/circular-externa-002-de-2026</w:t>
        </w:r>
      </w:hyperlink>
      <w:r w:rsidRPr="00756E1C">
        <w:rPr>
          <w:rFonts w:ascii="Verdana" w:eastAsia="Aptos" w:hAnsi="Verdana" w:cs="Times New Roman"/>
        </w:rPr>
        <w:t> </w:t>
      </w:r>
    </w:p>
    <w:p w14:paraId="29E01DEF" w14:textId="77777777" w:rsidR="00D509EA" w:rsidRPr="00756E1C" w:rsidRDefault="00D509EA" w:rsidP="00D509EA">
      <w:pPr>
        <w:spacing w:before="120" w:after="0" w:line="276" w:lineRule="auto"/>
        <w:ind w:firstLine="708"/>
        <w:jc w:val="both"/>
        <w:rPr>
          <w:rFonts w:ascii="Verdana" w:eastAsia="Aptos" w:hAnsi="Verdana" w:cs="Times New Roman"/>
        </w:rPr>
      </w:pPr>
      <w:r w:rsidRPr="00756E1C">
        <w:rPr>
          <w:rFonts w:ascii="Verdana" w:eastAsia="Aptos" w:hAnsi="Verdana" w:cs="Times New Roman"/>
        </w:rPr>
        <w:lastRenderedPageBreak/>
        <w:t>De otra parte, si quieres seguir de cerca la actividad de la Agencia, la tercera edición de 2026 del</w:t>
      </w:r>
      <w:r w:rsidRPr="00756E1C">
        <w:rPr>
          <w:rFonts w:ascii="Verdana" w:eastAsia="Aptos" w:hAnsi="Verdana" w:cs="Times New Roman"/>
          <w:b/>
          <w:bCs/>
        </w:rPr>
        <w:t> Radar de la Compra Pública</w:t>
      </w:r>
      <w:r w:rsidRPr="00756E1C">
        <w:rPr>
          <w:rFonts w:ascii="Verdana" w:eastAsia="Aptos" w:hAnsi="Verdana" w:cs="Times New Roman"/>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6" w:tgtFrame="_blank" w:history="1">
        <w:r w:rsidRPr="00756E1C">
          <w:rPr>
            <w:rStyle w:val="Hipervnculo"/>
            <w:rFonts w:ascii="Verdana" w:eastAsia="Aptos" w:hAnsi="Verdana" w:cs="Times New Roman"/>
          </w:rPr>
          <w:t>https://www.colombiacompra.gov.co/archivos/boletin/boletin-edicion-n-3-de-2026-radar-de-la-compra-publica</w:t>
        </w:r>
      </w:hyperlink>
      <w:r w:rsidRPr="00756E1C">
        <w:rPr>
          <w:rFonts w:ascii="Verdana" w:eastAsia="Aptos" w:hAnsi="Verdana" w:cs="Times New Roman"/>
        </w:rPr>
        <w:t>" </w:t>
      </w:r>
    </w:p>
    <w:p w14:paraId="15E9147F" w14:textId="77777777" w:rsidR="00D509EA" w:rsidRPr="00B33094" w:rsidRDefault="00D509EA" w:rsidP="00D509EA">
      <w:pPr>
        <w:spacing w:before="120" w:after="0" w:line="276" w:lineRule="auto"/>
        <w:ind w:firstLine="708"/>
        <w:jc w:val="both"/>
        <w:rPr>
          <w:rFonts w:ascii="Verdana" w:eastAsia="Aptos" w:hAnsi="Verdana" w:cs="Times New Roman"/>
        </w:rPr>
      </w:pPr>
      <w:r w:rsidRPr="00B33094">
        <w:rPr>
          <w:rFonts w:ascii="Verdana" w:eastAsia="Aptos" w:hAnsi="Verdana" w:cs="Times New Roman"/>
        </w:rPr>
        <w:t xml:space="preserve">Por último, lo invitamos a seguirnos en las redes sociales en las cuales se difunde información institucional: </w:t>
      </w:r>
    </w:p>
    <w:p w14:paraId="29C4083B" w14:textId="77777777" w:rsidR="00D509EA" w:rsidRPr="00B33094" w:rsidRDefault="00D509EA" w:rsidP="00D509EA">
      <w:pPr>
        <w:spacing w:after="0" w:line="276" w:lineRule="auto"/>
        <w:jc w:val="both"/>
        <w:rPr>
          <w:rFonts w:ascii="Verdana" w:eastAsia="Aptos" w:hAnsi="Verdana" w:cs="Times New Roman"/>
        </w:rPr>
      </w:pPr>
    </w:p>
    <w:p w14:paraId="607C8CD5" w14:textId="77777777" w:rsidR="00D509EA" w:rsidRPr="00B33094" w:rsidRDefault="00D509EA" w:rsidP="00D509EA">
      <w:pPr>
        <w:spacing w:after="0" w:line="276" w:lineRule="auto"/>
        <w:jc w:val="both"/>
        <w:rPr>
          <w:rFonts w:ascii="Verdana" w:eastAsia="Aptos" w:hAnsi="Verdana" w:cs="Times New Roman"/>
        </w:rPr>
      </w:pPr>
      <w:r w:rsidRPr="00B33094">
        <w:rPr>
          <w:rFonts w:ascii="Verdana" w:eastAsia="Aptos" w:hAnsi="Verdana" w:cs="Times New Roman"/>
        </w:rPr>
        <w:t xml:space="preserve">Twitter: </w:t>
      </w:r>
      <w:r w:rsidRPr="00B33094">
        <w:rPr>
          <w:rFonts w:ascii="Verdana" w:eastAsia="Aptos" w:hAnsi="Verdana" w:cs="Arial"/>
          <w:u w:val="single"/>
          <w:shd w:val="clear" w:color="auto" w:fill="FFFFFF"/>
          <w:lang w:val="es-ES"/>
        </w:rPr>
        <w:t>@colombiacompra</w:t>
      </w:r>
      <w:r w:rsidRPr="00B33094">
        <w:rPr>
          <w:rFonts w:ascii="Verdana" w:eastAsia="Aptos" w:hAnsi="Verdana" w:cs="Times New Roman"/>
        </w:rPr>
        <w:t xml:space="preserve"> </w:t>
      </w:r>
    </w:p>
    <w:p w14:paraId="2533B992" w14:textId="77777777" w:rsidR="00D509EA" w:rsidRPr="00B33094" w:rsidRDefault="00D509EA" w:rsidP="00D509EA">
      <w:pPr>
        <w:spacing w:after="0" w:line="276" w:lineRule="auto"/>
        <w:jc w:val="both"/>
        <w:rPr>
          <w:rFonts w:ascii="Verdana" w:eastAsia="Aptos" w:hAnsi="Verdana" w:cs="Times New Roman"/>
        </w:rPr>
      </w:pPr>
      <w:r w:rsidRPr="00B33094">
        <w:rPr>
          <w:rFonts w:ascii="Verdana" w:eastAsia="Aptos" w:hAnsi="Verdana" w:cs="Times New Roman"/>
        </w:rPr>
        <w:t xml:space="preserve">Facebook: </w:t>
      </w:r>
      <w:proofErr w:type="spellStart"/>
      <w:r w:rsidRPr="00B33094">
        <w:rPr>
          <w:rFonts w:ascii="Verdana" w:eastAsia="Aptos" w:hAnsi="Verdana" w:cs="Arial"/>
          <w:u w:val="single"/>
          <w:shd w:val="clear" w:color="auto" w:fill="FFFFFF"/>
          <w:lang w:val="es-ES"/>
        </w:rPr>
        <w:t>ColombiaCompraEficiente</w:t>
      </w:r>
      <w:proofErr w:type="spellEnd"/>
    </w:p>
    <w:p w14:paraId="4C62E8FC" w14:textId="77777777" w:rsidR="00D509EA" w:rsidRPr="00B33094" w:rsidRDefault="00D509EA" w:rsidP="00D509EA">
      <w:pPr>
        <w:spacing w:after="0" w:line="276" w:lineRule="auto"/>
        <w:jc w:val="both"/>
        <w:rPr>
          <w:rFonts w:ascii="Verdana" w:eastAsia="Aptos" w:hAnsi="Verdana" w:cs="Times New Roman"/>
        </w:rPr>
      </w:pPr>
      <w:r w:rsidRPr="00B33094">
        <w:rPr>
          <w:rFonts w:ascii="Verdana" w:eastAsia="Aptos" w:hAnsi="Verdana" w:cs="Times New Roman"/>
        </w:rPr>
        <w:t xml:space="preserve">LinkedIn: </w:t>
      </w:r>
      <w:r w:rsidRPr="00B33094">
        <w:rPr>
          <w:rFonts w:ascii="Verdana" w:eastAsia="Aptos" w:hAnsi="Verdana" w:cs="Arial"/>
          <w:u w:val="single"/>
          <w:shd w:val="clear" w:color="auto" w:fill="FFFFFF"/>
          <w:lang w:val="es-ES"/>
        </w:rPr>
        <w:t>Agencia Nacional de Contratación Pública - Colombia Compra Eficiente</w:t>
      </w:r>
      <w:r w:rsidRPr="00B33094">
        <w:rPr>
          <w:rFonts w:ascii="Verdana" w:eastAsia="Aptos" w:hAnsi="Verdana" w:cs="Times New Roman"/>
        </w:rPr>
        <w:t xml:space="preserve"> Instagram: </w:t>
      </w:r>
      <w:r w:rsidRPr="00B33094">
        <w:rPr>
          <w:rFonts w:ascii="Verdana" w:eastAsia="Aptos" w:hAnsi="Verdana" w:cs="Arial"/>
          <w:u w:val="single"/>
          <w:shd w:val="clear" w:color="auto" w:fill="FFFFFF"/>
          <w:lang w:val="es-ES"/>
        </w:rPr>
        <w:t>@colombiacompraeficiente_cce</w:t>
      </w:r>
    </w:p>
    <w:p w14:paraId="0990E850" w14:textId="77777777" w:rsidR="00D509EA" w:rsidRPr="00B33094" w:rsidRDefault="00D509EA" w:rsidP="00D509EA">
      <w:pPr>
        <w:widowControl w:val="0"/>
        <w:autoSpaceDE w:val="0"/>
        <w:autoSpaceDN w:val="0"/>
        <w:spacing w:after="0" w:line="276" w:lineRule="auto"/>
        <w:jc w:val="both"/>
        <w:rPr>
          <w:rFonts w:ascii="Verdana" w:eastAsia="Aptos" w:hAnsi="Verdana" w:cs="Arial"/>
        </w:rPr>
      </w:pPr>
    </w:p>
    <w:p w14:paraId="172CF399" w14:textId="77777777" w:rsidR="00D509EA" w:rsidRPr="00B33094" w:rsidRDefault="00D509EA" w:rsidP="00D509EA">
      <w:pPr>
        <w:widowControl w:val="0"/>
        <w:autoSpaceDE w:val="0"/>
        <w:autoSpaceDN w:val="0"/>
        <w:spacing w:after="0" w:line="276" w:lineRule="auto"/>
        <w:jc w:val="both"/>
        <w:rPr>
          <w:rFonts w:ascii="Verdana" w:eastAsia="Aptos" w:hAnsi="Verdana" w:cs="Arial"/>
          <w:lang w:val="es-ES_tradnl"/>
        </w:rPr>
      </w:pPr>
      <w:r w:rsidRPr="00B33094">
        <w:rPr>
          <w:rFonts w:ascii="Verdana" w:eastAsia="Aptos" w:hAnsi="Verdana" w:cs="Arial"/>
        </w:rPr>
        <w:t xml:space="preserve">Este concepto tiene el alcance previsto en el artículo 28 del Código de Procedimiento Administrativo y de lo Contencioso Administrativo </w:t>
      </w:r>
      <w:r w:rsidRPr="00B33094">
        <w:rPr>
          <w:rFonts w:ascii="Verdana" w:eastAsia="Aptos" w:hAnsi="Verdana" w:cs="Arial"/>
          <w:lang w:val="es-ES_tradnl"/>
        </w:rPr>
        <w:t>y las expresiones aquí utilizadas con mayúscula inicial deben ser entendidas con el significado que les otorga el artículo 2.2.1.1.1.3.1. del Decreto 1082 de 2015.</w:t>
      </w:r>
    </w:p>
    <w:p w14:paraId="3289E057" w14:textId="77777777" w:rsidR="00D509EA" w:rsidRPr="00B33094" w:rsidRDefault="00D509EA" w:rsidP="00D509EA">
      <w:pPr>
        <w:widowControl w:val="0"/>
        <w:autoSpaceDE w:val="0"/>
        <w:autoSpaceDN w:val="0"/>
        <w:spacing w:after="0" w:line="276" w:lineRule="auto"/>
        <w:jc w:val="both"/>
        <w:rPr>
          <w:rFonts w:ascii="Verdana" w:eastAsia="Aptos" w:hAnsi="Verdana" w:cs="Arial"/>
        </w:rPr>
      </w:pPr>
    </w:p>
    <w:p w14:paraId="6E704670" w14:textId="77777777" w:rsidR="00D509EA" w:rsidRPr="00B33094" w:rsidRDefault="00D509EA" w:rsidP="00D509EA">
      <w:pPr>
        <w:spacing w:after="0" w:line="276" w:lineRule="auto"/>
        <w:rPr>
          <w:rFonts w:ascii="Verdana" w:eastAsia="Aptos" w:hAnsi="Verdana" w:cs="Arial"/>
          <w:lang w:eastAsia="es-CO"/>
        </w:rPr>
      </w:pPr>
      <w:r w:rsidRPr="00B33094">
        <w:rPr>
          <w:rFonts w:ascii="Verdana" w:eastAsia="Times New Roman" w:hAnsi="Verdana" w:cs="Arial"/>
          <w:lang w:eastAsia="es-CO"/>
        </w:rPr>
        <w:t>Atentamente,</w:t>
      </w:r>
      <w:r w:rsidRPr="00B33094">
        <w:rPr>
          <w:rFonts w:ascii="Verdana" w:eastAsia="Aptos" w:hAnsi="Verdana" w:cs="Arial"/>
          <w:lang w:eastAsia="es-CO"/>
        </w:rPr>
        <w:t xml:space="preserve"> </w:t>
      </w:r>
    </w:p>
    <w:p w14:paraId="644B38E9" w14:textId="77777777" w:rsidR="00D509EA" w:rsidRPr="00B33094" w:rsidRDefault="00D509EA" w:rsidP="00D509EA">
      <w:pPr>
        <w:spacing w:after="0" w:line="276" w:lineRule="auto"/>
        <w:jc w:val="center"/>
        <w:rPr>
          <w:rFonts w:ascii="Verdana" w:eastAsia="Aptos" w:hAnsi="Verdana" w:cs="Arial"/>
          <w:lang w:val="es-ES_tradnl" w:eastAsia="es-CO"/>
        </w:rPr>
      </w:pPr>
    </w:p>
    <w:p w14:paraId="34D33729" w14:textId="05C3EE0E" w:rsidR="00D509EA" w:rsidRPr="00B33094" w:rsidRDefault="00DA446F" w:rsidP="00D509EA">
      <w:pPr>
        <w:spacing w:after="0" w:line="276" w:lineRule="auto"/>
        <w:jc w:val="center"/>
        <w:rPr>
          <w:rFonts w:ascii="Verdana" w:eastAsia="Aptos" w:hAnsi="Verdana" w:cs="Arial"/>
          <w:lang w:val="es-ES_tradnl" w:eastAsia="es-CO"/>
        </w:rPr>
      </w:pPr>
      <w:r>
        <w:rPr>
          <w:noProof/>
        </w:rPr>
        <w:drawing>
          <wp:inline distT="0" distB="0" distL="0" distR="0" wp14:anchorId="02F998FA" wp14:editId="365F6C21">
            <wp:extent cx="3776345" cy="1412875"/>
            <wp:effectExtent l="0" t="0" r="0" b="0"/>
            <wp:docPr id="143067686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76345" cy="1412875"/>
                    </a:xfrm>
                    <a:prstGeom prst="rect">
                      <a:avLst/>
                    </a:prstGeom>
                    <a:noFill/>
                    <a:ln>
                      <a:noFill/>
                    </a:ln>
                  </pic:spPr>
                </pic:pic>
              </a:graphicData>
            </a:graphic>
          </wp:inline>
        </w:drawing>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D509EA" w:rsidRPr="00B33094" w14:paraId="564FF34B" w14:textId="77777777" w:rsidTr="008B695B">
        <w:trPr>
          <w:trHeight w:val="286"/>
        </w:trPr>
        <w:tc>
          <w:tcPr>
            <w:tcW w:w="901" w:type="dxa"/>
            <w:vAlign w:val="center"/>
            <w:hideMark/>
          </w:tcPr>
          <w:p w14:paraId="25F7E4AE" w14:textId="77777777" w:rsidR="00D509EA" w:rsidRPr="00B33094" w:rsidRDefault="00D509EA" w:rsidP="008B695B">
            <w:pPr>
              <w:rPr>
                <w:rFonts w:ascii="Verdana" w:eastAsia="Aptos" w:hAnsi="Verdana" w:cs="Arial"/>
                <w:sz w:val="14"/>
                <w:szCs w:val="14"/>
                <w:lang w:eastAsia="es-ES"/>
              </w:rPr>
            </w:pPr>
            <w:r w:rsidRPr="00B33094">
              <w:rPr>
                <w:rFonts w:ascii="Verdana" w:eastAsia="Aptos"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320CB74F" w14:textId="77777777" w:rsidR="00D509EA" w:rsidRPr="00B33094" w:rsidRDefault="00D509EA" w:rsidP="008B695B">
            <w:pPr>
              <w:rPr>
                <w:rFonts w:ascii="Verdana" w:eastAsia="Aptos" w:hAnsi="Verdana" w:cs="Arial"/>
                <w:sz w:val="14"/>
                <w:szCs w:val="14"/>
                <w:lang w:eastAsia="es-ES"/>
              </w:rPr>
            </w:pPr>
            <w:r w:rsidRPr="00B33094">
              <w:rPr>
                <w:rFonts w:ascii="Verdana" w:eastAsia="Aptos" w:hAnsi="Verdana" w:cs="Arial"/>
                <w:sz w:val="14"/>
                <w:szCs w:val="14"/>
                <w:lang w:eastAsia="es-ES"/>
              </w:rPr>
              <w:t>Nasly Yeana Mosquera Rivas</w:t>
            </w:r>
          </w:p>
          <w:p w14:paraId="2CE13235" w14:textId="77777777" w:rsidR="00D509EA" w:rsidRPr="00B33094" w:rsidRDefault="00D509EA" w:rsidP="008B695B">
            <w:pPr>
              <w:rPr>
                <w:rFonts w:ascii="Verdana" w:eastAsia="Aptos" w:hAnsi="Verdana" w:cs="Arial"/>
                <w:sz w:val="14"/>
                <w:szCs w:val="14"/>
                <w:lang w:eastAsia="es-ES"/>
              </w:rPr>
            </w:pPr>
            <w:r w:rsidRPr="00B33094">
              <w:rPr>
                <w:rFonts w:ascii="Verdana" w:eastAsia="Aptos" w:hAnsi="Verdana" w:cs="Arial"/>
                <w:sz w:val="14"/>
                <w:szCs w:val="14"/>
                <w:lang w:eastAsia="es-ES"/>
              </w:rPr>
              <w:t>Analista T2–06 de la Subdirección de Gestión Contractual</w:t>
            </w:r>
          </w:p>
        </w:tc>
      </w:tr>
      <w:tr w:rsidR="00D509EA" w:rsidRPr="00B33094" w14:paraId="1323DE70" w14:textId="77777777" w:rsidTr="008B695B">
        <w:trPr>
          <w:trHeight w:val="299"/>
        </w:trPr>
        <w:tc>
          <w:tcPr>
            <w:tcW w:w="901" w:type="dxa"/>
            <w:vAlign w:val="center"/>
          </w:tcPr>
          <w:p w14:paraId="54356E7E" w14:textId="77777777" w:rsidR="00D509EA" w:rsidRPr="00B33094" w:rsidRDefault="00D509EA" w:rsidP="008B695B">
            <w:pPr>
              <w:rPr>
                <w:rFonts w:ascii="Verdana" w:eastAsia="Aptos" w:hAnsi="Verdana" w:cs="Arial"/>
                <w:sz w:val="14"/>
                <w:szCs w:val="14"/>
                <w:lang w:eastAsia="es-ES"/>
              </w:rPr>
            </w:pPr>
            <w:r w:rsidRPr="00B33094">
              <w:rPr>
                <w:rFonts w:ascii="Verdana" w:eastAsia="Aptos"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20DCC758" w14:textId="77777777" w:rsidR="00D509EA" w:rsidRPr="00B33094" w:rsidRDefault="00D509EA" w:rsidP="008B695B">
            <w:pPr>
              <w:rPr>
                <w:rFonts w:ascii="Verdana" w:eastAsia="Aptos" w:hAnsi="Verdana" w:cs="Arial"/>
                <w:sz w:val="14"/>
                <w:szCs w:val="14"/>
                <w:lang w:eastAsia="es-ES"/>
              </w:rPr>
            </w:pPr>
            <w:r w:rsidRPr="00B33094">
              <w:rPr>
                <w:rFonts w:ascii="Verdana" w:eastAsia="Aptos" w:hAnsi="Verdana" w:cs="Arial"/>
                <w:sz w:val="14"/>
                <w:szCs w:val="14"/>
                <w:lang w:eastAsia="es-ES"/>
              </w:rPr>
              <w:t>Adriana Katerine López Rodríguez</w:t>
            </w:r>
          </w:p>
          <w:p w14:paraId="50D84034" w14:textId="77777777" w:rsidR="00D509EA" w:rsidRPr="00B33094" w:rsidRDefault="00D509EA" w:rsidP="008B695B">
            <w:pPr>
              <w:rPr>
                <w:rFonts w:ascii="Verdana" w:eastAsia="Aptos" w:hAnsi="Verdana" w:cs="Arial"/>
                <w:sz w:val="14"/>
                <w:szCs w:val="14"/>
                <w:lang w:eastAsia="es-ES"/>
              </w:rPr>
            </w:pPr>
            <w:r w:rsidRPr="00B33094">
              <w:rPr>
                <w:rFonts w:ascii="Verdana" w:eastAsia="Aptos" w:hAnsi="Verdana" w:cs="Arial"/>
                <w:sz w:val="14"/>
                <w:szCs w:val="14"/>
                <w:lang w:eastAsia="es-ES"/>
              </w:rPr>
              <w:t>Contratista de la Subdirección de Gestión Contractual</w:t>
            </w:r>
          </w:p>
        </w:tc>
      </w:tr>
      <w:tr w:rsidR="00D509EA" w:rsidRPr="0086202B" w14:paraId="01C29D60" w14:textId="77777777" w:rsidTr="008B695B">
        <w:trPr>
          <w:trHeight w:val="272"/>
        </w:trPr>
        <w:tc>
          <w:tcPr>
            <w:tcW w:w="901" w:type="dxa"/>
            <w:vAlign w:val="center"/>
            <w:hideMark/>
          </w:tcPr>
          <w:p w14:paraId="62193678" w14:textId="77777777" w:rsidR="00D509EA" w:rsidRPr="00B33094" w:rsidRDefault="00D509EA" w:rsidP="008B695B">
            <w:pPr>
              <w:rPr>
                <w:rFonts w:ascii="Verdana" w:eastAsia="Aptos" w:hAnsi="Verdana" w:cs="Arial"/>
                <w:sz w:val="14"/>
                <w:szCs w:val="14"/>
                <w:lang w:eastAsia="es-ES"/>
              </w:rPr>
            </w:pPr>
            <w:r w:rsidRPr="00B33094">
              <w:rPr>
                <w:rFonts w:ascii="Verdana" w:eastAsia="Aptos"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7C4B73E1" w14:textId="77777777" w:rsidR="00D509EA" w:rsidRPr="00B33094" w:rsidRDefault="00D509EA" w:rsidP="008B695B">
            <w:pPr>
              <w:rPr>
                <w:rFonts w:ascii="Verdana" w:eastAsia="Aptos" w:hAnsi="Verdana" w:cs="Arial"/>
                <w:sz w:val="14"/>
                <w:szCs w:val="14"/>
                <w:lang w:eastAsia="es-ES"/>
              </w:rPr>
            </w:pPr>
            <w:r w:rsidRPr="00B33094">
              <w:rPr>
                <w:rFonts w:ascii="Verdana" w:eastAsia="Aptos" w:hAnsi="Verdana" w:cs="Arial"/>
                <w:sz w:val="14"/>
                <w:szCs w:val="14"/>
                <w:lang w:eastAsia="es-ES"/>
              </w:rPr>
              <w:t>Carolina Quintero Gacharná</w:t>
            </w:r>
          </w:p>
          <w:p w14:paraId="75A97A38" w14:textId="77777777" w:rsidR="00D509EA" w:rsidRPr="0086202B" w:rsidRDefault="00D509EA" w:rsidP="008B695B">
            <w:pPr>
              <w:rPr>
                <w:rFonts w:ascii="Verdana" w:eastAsia="Aptos" w:hAnsi="Verdana" w:cs="Arial"/>
                <w:sz w:val="14"/>
                <w:szCs w:val="14"/>
                <w:lang w:eastAsia="es-ES"/>
              </w:rPr>
            </w:pPr>
            <w:r w:rsidRPr="00B33094">
              <w:rPr>
                <w:rFonts w:ascii="Verdana" w:eastAsia="Aptos" w:hAnsi="Verdana" w:cs="Arial"/>
                <w:sz w:val="14"/>
                <w:szCs w:val="14"/>
                <w:lang w:eastAsia="es-ES"/>
              </w:rPr>
              <w:t>Subdirectora de Gestión Contractual ANCP – CCE</w:t>
            </w:r>
          </w:p>
        </w:tc>
      </w:tr>
    </w:tbl>
    <w:p w14:paraId="221C1610" w14:textId="77777777" w:rsidR="00D509EA" w:rsidRPr="0086202B" w:rsidRDefault="00D509EA" w:rsidP="00D509EA">
      <w:pPr>
        <w:spacing w:after="0" w:line="240" w:lineRule="auto"/>
        <w:rPr>
          <w:rFonts w:ascii="Verdana" w:eastAsia="Times New Roman" w:hAnsi="Verdana" w:cs="Arial"/>
          <w:sz w:val="24"/>
          <w:szCs w:val="24"/>
          <w:lang w:eastAsia="es-ES"/>
        </w:rPr>
      </w:pPr>
    </w:p>
    <w:p w14:paraId="2A872168" w14:textId="77777777" w:rsidR="00D509EA" w:rsidRPr="0086202B" w:rsidRDefault="00D509EA" w:rsidP="00D509EA">
      <w:pPr>
        <w:rPr>
          <w:rFonts w:ascii="Verdana" w:eastAsia="Aptos" w:hAnsi="Verdana" w:cs="Times New Roman"/>
        </w:rPr>
      </w:pPr>
    </w:p>
    <w:p w14:paraId="1D19691A" w14:textId="77777777" w:rsidR="00D509EA" w:rsidRPr="0086202B" w:rsidRDefault="00D509EA" w:rsidP="00D509EA">
      <w:pPr>
        <w:rPr>
          <w:rFonts w:ascii="Verdana" w:eastAsia="Aptos" w:hAnsi="Verdana" w:cs="Arial"/>
        </w:rPr>
      </w:pPr>
    </w:p>
    <w:p w14:paraId="5AAFC7DA" w14:textId="144CD18A" w:rsidR="00D509EA" w:rsidRPr="000E2B93" w:rsidRDefault="00D509EA" w:rsidP="00D509EA">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D509EA" w:rsidRPr="000E2B93" w:rsidSect="00D509EA">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4CD90" w14:textId="77777777" w:rsidR="00834E8E" w:rsidRDefault="00834E8E" w:rsidP="00D509EA">
      <w:pPr>
        <w:spacing w:after="0" w:line="240" w:lineRule="auto"/>
      </w:pPr>
      <w:r>
        <w:separator/>
      </w:r>
    </w:p>
  </w:endnote>
  <w:endnote w:type="continuationSeparator" w:id="0">
    <w:p w14:paraId="02C839BE" w14:textId="77777777" w:rsidR="00834E8E" w:rsidRDefault="00834E8E" w:rsidP="00D509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7FFE3" w14:textId="77777777" w:rsidR="00D509EA" w:rsidRDefault="00D509EA">
    <w:pPr>
      <w:pStyle w:val="Piedepgina"/>
    </w:pPr>
  </w:p>
  <w:p w14:paraId="4D80881F" w14:textId="77777777" w:rsidR="00D509EA" w:rsidRPr="00174B77" w:rsidRDefault="00D509EA"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56F2F33D" w14:textId="77777777" w:rsidR="00D509EA" w:rsidRDefault="00D509EA"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416A4D2B" w14:textId="77777777" w:rsidR="00D509EA" w:rsidRPr="00E41027" w:rsidRDefault="00D509EA"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261F3494" w14:textId="77777777" w:rsidR="00D509EA" w:rsidRDefault="00D509EA"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85E1B" w14:textId="77777777" w:rsidR="00834E8E" w:rsidRDefault="00834E8E" w:rsidP="00D509EA">
      <w:pPr>
        <w:spacing w:after="0" w:line="240" w:lineRule="auto"/>
      </w:pPr>
      <w:r>
        <w:separator/>
      </w:r>
    </w:p>
  </w:footnote>
  <w:footnote w:type="continuationSeparator" w:id="0">
    <w:p w14:paraId="42EF01D8" w14:textId="77777777" w:rsidR="00834E8E" w:rsidRDefault="00834E8E" w:rsidP="00D509EA">
      <w:pPr>
        <w:spacing w:after="0" w:line="240" w:lineRule="auto"/>
      </w:pPr>
      <w:r>
        <w:continuationSeparator/>
      </w:r>
    </w:p>
  </w:footnote>
  <w:footnote w:id="1">
    <w:p w14:paraId="216C16CE" w14:textId="77777777" w:rsidR="00D509EA" w:rsidRPr="00F52C9F" w:rsidRDefault="00D509EA" w:rsidP="00D509EA">
      <w:pPr>
        <w:pStyle w:val="Textonotapie"/>
        <w:ind w:firstLine="708"/>
        <w:contextualSpacing/>
        <w:jc w:val="both"/>
        <w:rPr>
          <w:rFonts w:ascii="Verdana" w:hAnsi="Verdana" w:cs="Arial"/>
          <w:sz w:val="18"/>
          <w:szCs w:val="18"/>
          <w:lang w:val="es-CO"/>
        </w:rPr>
      </w:pPr>
      <w:r w:rsidRPr="00F52C9F">
        <w:rPr>
          <w:rStyle w:val="Refdenotaalpie"/>
          <w:rFonts w:ascii="Verdana" w:hAnsi="Verdana" w:cs="Arial"/>
          <w:sz w:val="18"/>
          <w:szCs w:val="18"/>
        </w:rPr>
        <w:footnoteRef/>
      </w:r>
      <w:r w:rsidRPr="00F52C9F">
        <w:rPr>
          <w:rFonts w:ascii="Verdana" w:hAnsi="Verdana" w:cs="Arial"/>
          <w:sz w:val="18"/>
          <w:szCs w:val="18"/>
        </w:rPr>
        <w:t xml:space="preserve"> </w:t>
      </w:r>
      <w:r w:rsidRPr="00F52C9F">
        <w:rPr>
          <w:rFonts w:ascii="Verdana" w:hAnsi="Verdana" w:cs="Arial"/>
          <w:sz w:val="18"/>
          <w:szCs w:val="18"/>
          <w:lang w:val="es-CO"/>
        </w:rPr>
        <w:t xml:space="preserve">CLARO SOLAR, Luis. Explicaciones de derecho civil chileno y comparado. Tomo Décimo – Obligaciones y contratos 1. Santiago de Chile, Nascimiento, 1936. </w:t>
      </w:r>
    </w:p>
  </w:footnote>
  <w:footnote w:id="2">
    <w:p w14:paraId="65EABC46" w14:textId="77777777" w:rsidR="00D509EA" w:rsidRDefault="00D509EA" w:rsidP="00D509EA">
      <w:pPr>
        <w:pStyle w:val="Textoindependiente"/>
        <w:spacing w:after="0" w:line="240" w:lineRule="auto"/>
        <w:ind w:firstLine="708"/>
        <w:contextualSpacing/>
        <w:jc w:val="both"/>
        <w:rPr>
          <w:rFonts w:ascii="Verdana" w:hAnsi="Verdana" w:cs="Arial"/>
          <w:sz w:val="18"/>
          <w:szCs w:val="18"/>
        </w:rPr>
      </w:pPr>
    </w:p>
    <w:p w14:paraId="7945C79B" w14:textId="77777777" w:rsidR="00D509EA" w:rsidRPr="00F52C9F" w:rsidRDefault="00D509EA" w:rsidP="00D509EA">
      <w:pPr>
        <w:pStyle w:val="Textoindependiente"/>
        <w:spacing w:after="0" w:line="240" w:lineRule="auto"/>
        <w:ind w:firstLine="708"/>
        <w:contextualSpacing/>
        <w:jc w:val="both"/>
        <w:rPr>
          <w:rFonts w:ascii="Verdana" w:hAnsi="Verdana" w:cs="Arial"/>
          <w:sz w:val="18"/>
          <w:szCs w:val="18"/>
        </w:rPr>
      </w:pPr>
      <w:r w:rsidRPr="00F52C9F">
        <w:rPr>
          <w:rStyle w:val="Refdenotaalpie"/>
          <w:rFonts w:ascii="Verdana" w:hAnsi="Verdana" w:cs="Arial"/>
          <w:sz w:val="18"/>
          <w:szCs w:val="18"/>
        </w:rPr>
        <w:footnoteRef/>
      </w:r>
      <w:r w:rsidRPr="00F52C9F">
        <w:rPr>
          <w:rFonts w:ascii="Verdana" w:hAnsi="Verdana" w:cs="Arial"/>
          <w:sz w:val="18"/>
          <w:szCs w:val="18"/>
        </w:rPr>
        <w:t xml:space="preserve"> “[...]el negocio jurídico es un acto de autonomía privada jurídicamente relevante; acto de autorregulación de los propios intereses: la ley no delimita totalmente su contenido, señala orientaciones y límites a la actividad dispositiva, indaga sobre su observancia y, no hallando reparo que formular, interpreta el comportamiento, lo ubica dentro del marco de circunstancias en que se realizó y, una vez encasillado dentro de uno de los tipos socialmente reconocidos, le asigna los efectos que mejor correspondan a la determinación particular así alindada y calificada”. (HINESTROSA, Fernando, Tratado de las Obligaciones II De las fuentes de las obligaciones: </w:t>
      </w:r>
      <w:r w:rsidRPr="00F52C9F">
        <w:rPr>
          <w:rFonts w:ascii="Verdana" w:hAnsi="Verdana" w:cs="Arial"/>
          <w:i/>
          <w:sz w:val="18"/>
          <w:szCs w:val="18"/>
        </w:rPr>
        <w:t>El Negocio Jurídico</w:t>
      </w:r>
      <w:r w:rsidRPr="00F52C9F">
        <w:rPr>
          <w:rFonts w:ascii="Verdana" w:hAnsi="Verdana" w:cs="Arial"/>
          <w:sz w:val="18"/>
          <w:szCs w:val="18"/>
        </w:rPr>
        <w:t>, Volumen I, Universidad Externado de Colombia, Bogotá, 2015, pág. 107).</w:t>
      </w:r>
    </w:p>
  </w:footnote>
  <w:footnote w:id="3">
    <w:p w14:paraId="05078105" w14:textId="77777777" w:rsidR="00D509EA" w:rsidRPr="00F52C9F" w:rsidRDefault="00D509EA" w:rsidP="00D509EA">
      <w:pPr>
        <w:pStyle w:val="Textoindependiente"/>
        <w:spacing w:after="0" w:line="240" w:lineRule="auto"/>
        <w:ind w:firstLine="708"/>
        <w:contextualSpacing/>
        <w:jc w:val="both"/>
        <w:rPr>
          <w:rFonts w:ascii="Verdana" w:hAnsi="Verdana" w:cs="Arial"/>
          <w:sz w:val="18"/>
          <w:szCs w:val="18"/>
        </w:rPr>
      </w:pPr>
      <w:r w:rsidRPr="00F52C9F">
        <w:rPr>
          <w:rStyle w:val="Refdenotaalpie"/>
          <w:rFonts w:ascii="Verdana" w:hAnsi="Verdana" w:cs="Arial"/>
          <w:sz w:val="18"/>
          <w:szCs w:val="18"/>
        </w:rPr>
        <w:footnoteRef/>
      </w:r>
      <w:r w:rsidRPr="00F52C9F">
        <w:rPr>
          <w:rFonts w:ascii="Verdana" w:hAnsi="Verdana" w:cs="Arial"/>
          <w:sz w:val="18"/>
          <w:szCs w:val="18"/>
        </w:rPr>
        <w:t xml:space="preserve"> </w:t>
      </w:r>
      <w:r w:rsidRPr="00F52C9F">
        <w:rPr>
          <w:rFonts w:ascii="Verdana" w:hAnsi="Verdana" w:cs="Arial"/>
          <w:sz w:val="18"/>
          <w:szCs w:val="18"/>
          <w:lang w:val="es-ES_tradnl"/>
        </w:rPr>
        <w:t xml:space="preserve">El artículo 2º define, para los efectos del ámbito de sujeción del estatuto, que se denominan entidades estatales: a) </w:t>
      </w:r>
      <w:r w:rsidRPr="00F52C9F">
        <w:rPr>
          <w:rFonts w:ascii="Verdana" w:hAnsi="Verdana" w:cs="Arial"/>
          <w:sz w:val="18"/>
          <w:szCs w:val="18"/>
        </w:rPr>
        <w:t>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footnote>
  <w:footnote w:id="4">
    <w:p w14:paraId="0BED4C1A" w14:textId="77777777" w:rsidR="00D509EA" w:rsidRDefault="00D509EA" w:rsidP="00D509EA">
      <w:pPr>
        <w:pStyle w:val="Textonotapie"/>
        <w:ind w:firstLine="720"/>
        <w:contextualSpacing/>
        <w:jc w:val="both"/>
        <w:rPr>
          <w:rFonts w:ascii="Verdana" w:hAnsi="Verdana" w:cs="Arial"/>
          <w:sz w:val="18"/>
          <w:szCs w:val="18"/>
        </w:rPr>
      </w:pPr>
    </w:p>
    <w:p w14:paraId="298D2629" w14:textId="77777777" w:rsidR="00D509EA" w:rsidRPr="00F52C9F" w:rsidRDefault="00D509EA" w:rsidP="00D509EA">
      <w:pPr>
        <w:pStyle w:val="Textonotapie"/>
        <w:ind w:firstLine="720"/>
        <w:contextualSpacing/>
        <w:jc w:val="both"/>
        <w:rPr>
          <w:rFonts w:ascii="Verdana" w:hAnsi="Verdana" w:cs="Arial"/>
          <w:sz w:val="18"/>
          <w:szCs w:val="18"/>
        </w:rPr>
      </w:pPr>
      <w:r w:rsidRPr="00F52C9F">
        <w:rPr>
          <w:rStyle w:val="Refdenotaalpie"/>
          <w:rFonts w:ascii="Verdana" w:hAnsi="Verdana" w:cs="Arial"/>
          <w:sz w:val="18"/>
          <w:szCs w:val="18"/>
        </w:rPr>
        <w:footnoteRef/>
      </w:r>
      <w:r w:rsidRPr="00F52C9F">
        <w:rPr>
          <w:rFonts w:ascii="Verdana" w:hAnsi="Verdana" w:cs="Arial"/>
          <w:sz w:val="18"/>
          <w:szCs w:val="18"/>
        </w:rPr>
        <w:t xml:space="preserve"> Consejo de Estado. Sección Tercera. Sentencia del 4 de abril de 2002, M.P. Alier E. Hernández Enríquez. Rad. 1999-0290-01 (17.244).</w:t>
      </w:r>
    </w:p>
  </w:footnote>
  <w:footnote w:id="5">
    <w:p w14:paraId="26FDCCE3" w14:textId="77777777" w:rsidR="00D509EA" w:rsidRPr="00F52C9F" w:rsidRDefault="00D509EA" w:rsidP="00D509EA">
      <w:pPr>
        <w:spacing w:after="0" w:line="240" w:lineRule="auto"/>
        <w:ind w:firstLine="707"/>
        <w:contextualSpacing/>
        <w:jc w:val="both"/>
        <w:rPr>
          <w:rFonts w:ascii="Verdana" w:hAnsi="Verdana" w:cs="Arial"/>
          <w:sz w:val="18"/>
          <w:szCs w:val="18"/>
        </w:rPr>
      </w:pPr>
      <w:r w:rsidRPr="00F52C9F">
        <w:rPr>
          <w:rStyle w:val="Refdenotaalpie"/>
          <w:rFonts w:ascii="Verdana" w:hAnsi="Verdana" w:cs="Arial"/>
          <w:sz w:val="18"/>
          <w:szCs w:val="18"/>
        </w:rPr>
        <w:footnoteRef/>
      </w:r>
      <w:r w:rsidRPr="00F52C9F">
        <w:rPr>
          <w:rFonts w:ascii="Verdana" w:hAnsi="Verdana" w:cs="Arial"/>
          <w:sz w:val="18"/>
          <w:szCs w:val="18"/>
        </w:rPr>
        <w:t xml:space="preserve"> CONSEJO DE ESTADO. Sección Tercera, Auto del 30 de enero de 2008. Rad. 32.867, M.P. Mauricio Fajardo Gómez.</w:t>
      </w:r>
    </w:p>
  </w:footnote>
  <w:footnote w:id="6">
    <w:p w14:paraId="71A9D9B5" w14:textId="77777777" w:rsidR="00D509EA" w:rsidRDefault="00D509EA" w:rsidP="00D509EA">
      <w:pPr>
        <w:spacing w:after="0" w:line="240" w:lineRule="auto"/>
        <w:ind w:firstLine="707"/>
        <w:contextualSpacing/>
        <w:jc w:val="both"/>
        <w:rPr>
          <w:rFonts w:ascii="Verdana" w:hAnsi="Verdana" w:cs="Arial"/>
          <w:sz w:val="18"/>
          <w:szCs w:val="18"/>
        </w:rPr>
      </w:pPr>
    </w:p>
    <w:p w14:paraId="1C11EC44" w14:textId="77777777" w:rsidR="00D509EA" w:rsidRPr="00F52C9F" w:rsidRDefault="00D509EA" w:rsidP="00D509EA">
      <w:pPr>
        <w:spacing w:after="0" w:line="240" w:lineRule="auto"/>
        <w:ind w:firstLine="707"/>
        <w:contextualSpacing/>
        <w:jc w:val="both"/>
        <w:rPr>
          <w:rFonts w:ascii="Verdana" w:hAnsi="Verdana" w:cs="Arial"/>
          <w:sz w:val="18"/>
          <w:szCs w:val="18"/>
        </w:rPr>
      </w:pPr>
      <w:r w:rsidRPr="00F52C9F">
        <w:rPr>
          <w:rStyle w:val="Refdenotaalpie"/>
          <w:rFonts w:ascii="Verdana" w:hAnsi="Verdana" w:cs="Arial"/>
          <w:sz w:val="18"/>
          <w:szCs w:val="18"/>
        </w:rPr>
        <w:footnoteRef/>
      </w:r>
      <w:r w:rsidRPr="00F52C9F">
        <w:rPr>
          <w:rFonts w:ascii="Verdana" w:hAnsi="Verdana" w:cs="Arial"/>
          <w:sz w:val="18"/>
          <w:szCs w:val="18"/>
        </w:rPr>
        <w:t xml:space="preserve"> CONSEJO DE ESTADO, Sección Tercera. Sentencia de 23 de septiembre de 1997, Rad. S-701.</w:t>
      </w:r>
    </w:p>
  </w:footnote>
  <w:footnote w:id="7">
    <w:p w14:paraId="76A1BBC0" w14:textId="77777777" w:rsidR="00D509EA" w:rsidRPr="00F52C9F" w:rsidRDefault="00D509EA" w:rsidP="00D509EA">
      <w:pPr>
        <w:spacing w:after="0" w:line="240" w:lineRule="auto"/>
        <w:ind w:firstLine="707"/>
        <w:contextualSpacing/>
        <w:jc w:val="both"/>
        <w:rPr>
          <w:rFonts w:ascii="Verdana" w:hAnsi="Verdana" w:cs="Arial"/>
          <w:sz w:val="18"/>
          <w:szCs w:val="18"/>
        </w:rPr>
      </w:pPr>
      <w:r w:rsidRPr="00F52C9F">
        <w:rPr>
          <w:rStyle w:val="Refdenotaalpie"/>
          <w:rFonts w:ascii="Verdana" w:hAnsi="Verdana" w:cs="Arial"/>
          <w:sz w:val="18"/>
          <w:szCs w:val="18"/>
        </w:rPr>
        <w:footnoteRef/>
      </w:r>
      <w:r w:rsidRPr="00F52C9F">
        <w:rPr>
          <w:rFonts w:ascii="Verdana" w:hAnsi="Verdana" w:cs="Arial"/>
          <w:sz w:val="18"/>
          <w:szCs w:val="18"/>
        </w:rPr>
        <w:t xml:space="preserve"> CONSEJO DE ESTADO, Sala de Consulta y Servicio Civil. Concepto de 15 de mayo de 2018, Rad. 2335.</w:t>
      </w:r>
    </w:p>
  </w:footnote>
  <w:footnote w:id="8">
    <w:p w14:paraId="35ACA6CB" w14:textId="77777777" w:rsidR="00D509EA" w:rsidRPr="00A353F8" w:rsidRDefault="00D509EA" w:rsidP="00D509EA">
      <w:pPr>
        <w:pStyle w:val="Textonotapie"/>
        <w:ind w:firstLine="709"/>
        <w:jc w:val="both"/>
        <w:rPr>
          <w:rFonts w:ascii="Verdana" w:hAnsi="Verdana" w:cs="Arial"/>
          <w:color w:val="000000"/>
          <w:sz w:val="14"/>
          <w:szCs w:val="14"/>
        </w:rPr>
      </w:pPr>
      <w:r w:rsidRPr="00F914AD">
        <w:rPr>
          <w:rStyle w:val="Refdenotaalpie"/>
          <w:rFonts w:ascii="Verdana" w:hAnsi="Verdana" w:cs="Arial"/>
          <w:sz w:val="14"/>
          <w:szCs w:val="14"/>
        </w:rPr>
        <w:footnoteRef/>
      </w:r>
      <w:r w:rsidRPr="00F914AD">
        <w:rPr>
          <w:rFonts w:ascii="Verdana" w:hAnsi="Verdana" w:cs="Arial"/>
          <w:sz w:val="14"/>
          <w:szCs w:val="14"/>
        </w:rPr>
        <w:t xml:space="preserve"> </w:t>
      </w:r>
      <w:r w:rsidRPr="00F914AD">
        <w:rPr>
          <w:rFonts w:ascii="Verdana" w:hAnsi="Verdana" w:cs="Arial"/>
          <w:sz w:val="14"/>
          <w:szCs w:val="14"/>
          <w:lang w:val="es-CO"/>
        </w:rPr>
        <w:t xml:space="preserve">Disponible en </w:t>
      </w:r>
      <w:hyperlink r:id="rId1" w:history="1">
        <w:r w:rsidRPr="00792A99">
          <w:rPr>
            <w:rStyle w:val="Hipervnculo"/>
            <w:rFonts w:ascii="Verdana" w:hAnsi="Verdana" w:cs="Arial"/>
            <w:sz w:val="14"/>
            <w:szCs w:val="14"/>
            <w:lang w:val="es-CO"/>
          </w:rPr>
          <w:t>https://www.colombiacompra.gov.co/archivos/manual/guia-para-la-elaboracion-de-estudios-del-sector</w:t>
        </w:r>
      </w:hyperlink>
      <w:r>
        <w:rPr>
          <w:rFonts w:ascii="Verdana" w:hAnsi="Verdana" w:cs="Arial"/>
          <w:sz w:val="14"/>
          <w:szCs w:val="14"/>
          <w:lang w:val="es-CO"/>
        </w:rPr>
        <w:t xml:space="preserve"> </w:t>
      </w:r>
    </w:p>
  </w:footnote>
  <w:footnote w:id="9">
    <w:p w14:paraId="3B877EE8" w14:textId="77777777" w:rsidR="00D509EA" w:rsidRPr="00F914AD" w:rsidRDefault="00D509EA" w:rsidP="00D509EA">
      <w:pPr>
        <w:pStyle w:val="Textonotapie"/>
        <w:ind w:firstLine="709"/>
        <w:jc w:val="both"/>
        <w:rPr>
          <w:rFonts w:ascii="Verdana" w:hAnsi="Verdana" w:cs="Arial"/>
          <w:sz w:val="14"/>
          <w:szCs w:val="14"/>
          <w:lang w:val="es-ES"/>
        </w:rPr>
      </w:pPr>
      <w:r w:rsidRPr="00F914AD">
        <w:rPr>
          <w:rStyle w:val="Refdenotaalpie"/>
          <w:rFonts w:ascii="Verdana" w:hAnsi="Verdana" w:cs="Arial"/>
          <w:sz w:val="14"/>
          <w:szCs w:val="14"/>
        </w:rPr>
        <w:footnoteRef/>
      </w:r>
      <w:r w:rsidRPr="00F914AD">
        <w:rPr>
          <w:rFonts w:ascii="Verdana" w:hAnsi="Verdana" w:cs="Arial"/>
          <w:sz w:val="14"/>
          <w:szCs w:val="14"/>
        </w:rPr>
        <w:t xml:space="preserve"> De conformidad con lo indicado en la Guía, e</w:t>
      </w:r>
      <w:r w:rsidRPr="00F914AD">
        <w:rPr>
          <w:rFonts w:ascii="Verdana" w:hAnsi="Verdana" w:cs="Arial"/>
          <w:sz w:val="14"/>
          <w:szCs w:val="14"/>
          <w:lang w:val="es-ES"/>
        </w:rPr>
        <w:t>l MAE hace parte de la Política de Compras y Contratación Pública, enmarcada dentro del Modelo Integrado de Planeación y Gestión- MIPG, y se articula con las demás buenas prácticas y herramientas usadas en los procesos de compra y contratación estatal que han sido desarrolladas por la Agencia Nacional de Contratación Pública – Colombia Compra Eficiente, con el fin de generar una mayor eficiencia, transparencia y optimización de los recursos del Estado.</w:t>
      </w:r>
    </w:p>
  </w:footnote>
  <w:footnote w:id="10">
    <w:p w14:paraId="581C56DB" w14:textId="77777777" w:rsidR="00D509EA" w:rsidRPr="00F914AD" w:rsidRDefault="00D509EA" w:rsidP="00D509EA">
      <w:pPr>
        <w:pStyle w:val="Textonotapie"/>
        <w:ind w:firstLine="709"/>
        <w:jc w:val="both"/>
        <w:rPr>
          <w:rFonts w:ascii="Verdana" w:hAnsi="Verdana"/>
          <w:sz w:val="14"/>
          <w:szCs w:val="14"/>
        </w:rPr>
      </w:pPr>
      <w:r w:rsidRPr="00F914AD">
        <w:rPr>
          <w:rStyle w:val="Refdenotaalpie"/>
          <w:rFonts w:ascii="Verdana" w:hAnsi="Verdana"/>
          <w:sz w:val="14"/>
          <w:szCs w:val="14"/>
        </w:rPr>
        <w:footnoteRef/>
      </w:r>
      <w:r w:rsidRPr="00F914AD">
        <w:rPr>
          <w:rFonts w:ascii="Verdana" w:hAnsi="Verdana"/>
          <w:sz w:val="14"/>
          <w:szCs w:val="14"/>
        </w:rPr>
        <w:t xml:space="preserve"> Consejo de Estado. Sala de lo Contencioso Administrativo. Sección Tercera. Subsección C. Sentencia del 24 de abril de 2013. Radicado: </w:t>
      </w:r>
      <w:r w:rsidRPr="00F914AD">
        <w:rPr>
          <w:rFonts w:ascii="Verdana" w:hAnsi="Verdana"/>
          <w:sz w:val="14"/>
          <w:szCs w:val="14"/>
          <w:lang w:val="es-CO"/>
        </w:rPr>
        <w:t xml:space="preserve">68001-23-15-000-1998-01743-01 (27315). C.P: Jaime Orlando Santofimio Gamboa.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D01D3" w14:textId="77777777" w:rsidR="00D509EA" w:rsidRDefault="00D509EA"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0A84A230" wp14:editId="1D4ECE4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734C2E2A" wp14:editId="4C94003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097BD592" w14:textId="77777777" w:rsidR="00D509EA" w:rsidRDefault="00D509EA">
    <w:pPr>
      <w:pStyle w:val="Encabezado"/>
    </w:pPr>
  </w:p>
  <w:p w14:paraId="6EBCF450" w14:textId="77777777" w:rsidR="00D509EA" w:rsidRPr="004A305D" w:rsidRDefault="00D509EA" w:rsidP="00B01B1A">
    <w:pPr>
      <w:spacing w:after="0" w:line="120" w:lineRule="auto"/>
      <w:rPr>
        <w:rFonts w:ascii="Century Gothic" w:eastAsia="Geo" w:hAnsi="Century Gothic" w:cs="Geo"/>
        <w:sz w:val="16"/>
        <w:szCs w:val="16"/>
        <w:lang w:eastAsia="es-CO"/>
      </w:rPr>
    </w:pPr>
  </w:p>
  <w:p w14:paraId="61F59CB1" w14:textId="77777777" w:rsidR="00D509EA" w:rsidRDefault="00D509EA" w:rsidP="00844AE9">
    <w:pPr>
      <w:spacing w:after="0" w:line="240" w:lineRule="auto"/>
      <w:rPr>
        <w:rFonts w:ascii="Verdana" w:hAnsi="Verdana"/>
        <w:sz w:val="24"/>
        <w:szCs w:val="24"/>
      </w:rPr>
    </w:pPr>
  </w:p>
  <w:p w14:paraId="2689276A" w14:textId="77777777" w:rsidR="00D509EA" w:rsidRPr="00C925AC" w:rsidRDefault="00D509EA" w:rsidP="00844AE9">
    <w:pPr>
      <w:spacing w:after="0" w:line="240" w:lineRule="auto"/>
      <w:rPr>
        <w:rFonts w:ascii="Verdana" w:hAnsi="Verdana"/>
        <w:sz w:val="24"/>
        <w:szCs w:val="24"/>
      </w:rPr>
    </w:pPr>
  </w:p>
  <w:p w14:paraId="76B9E3AC" w14:textId="77777777" w:rsidR="00D509EA" w:rsidRPr="00C925AC" w:rsidRDefault="00D509EA"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DA7AC4"/>
    <w:multiLevelType w:val="hybridMultilevel"/>
    <w:tmpl w:val="1E260122"/>
    <w:lvl w:ilvl="0" w:tplc="240A0003">
      <w:start w:val="1"/>
      <w:numFmt w:val="bullet"/>
      <w:lvlText w:val="o"/>
      <w:lvlJc w:val="left"/>
      <w:pPr>
        <w:ind w:left="1789" w:hanging="360"/>
      </w:pPr>
      <w:rPr>
        <w:rFonts w:ascii="Courier New" w:hAnsi="Courier New" w:cs="Courier New" w:hint="default"/>
      </w:rPr>
    </w:lvl>
    <w:lvl w:ilvl="1" w:tplc="240A0003" w:tentative="1">
      <w:start w:val="1"/>
      <w:numFmt w:val="bullet"/>
      <w:lvlText w:val="o"/>
      <w:lvlJc w:val="left"/>
      <w:pPr>
        <w:ind w:left="2509" w:hanging="360"/>
      </w:pPr>
      <w:rPr>
        <w:rFonts w:ascii="Courier New" w:hAnsi="Courier New" w:cs="Courier New" w:hint="default"/>
      </w:rPr>
    </w:lvl>
    <w:lvl w:ilvl="2" w:tplc="240A0005" w:tentative="1">
      <w:start w:val="1"/>
      <w:numFmt w:val="bullet"/>
      <w:lvlText w:val=""/>
      <w:lvlJc w:val="left"/>
      <w:pPr>
        <w:ind w:left="3229" w:hanging="360"/>
      </w:pPr>
      <w:rPr>
        <w:rFonts w:ascii="Wingdings" w:hAnsi="Wingdings" w:hint="default"/>
      </w:rPr>
    </w:lvl>
    <w:lvl w:ilvl="3" w:tplc="240A0001" w:tentative="1">
      <w:start w:val="1"/>
      <w:numFmt w:val="bullet"/>
      <w:lvlText w:val=""/>
      <w:lvlJc w:val="left"/>
      <w:pPr>
        <w:ind w:left="3949" w:hanging="360"/>
      </w:pPr>
      <w:rPr>
        <w:rFonts w:ascii="Symbol" w:hAnsi="Symbol" w:hint="default"/>
      </w:rPr>
    </w:lvl>
    <w:lvl w:ilvl="4" w:tplc="240A0003" w:tentative="1">
      <w:start w:val="1"/>
      <w:numFmt w:val="bullet"/>
      <w:lvlText w:val="o"/>
      <w:lvlJc w:val="left"/>
      <w:pPr>
        <w:ind w:left="4669" w:hanging="360"/>
      </w:pPr>
      <w:rPr>
        <w:rFonts w:ascii="Courier New" w:hAnsi="Courier New" w:cs="Courier New" w:hint="default"/>
      </w:rPr>
    </w:lvl>
    <w:lvl w:ilvl="5" w:tplc="240A0005" w:tentative="1">
      <w:start w:val="1"/>
      <w:numFmt w:val="bullet"/>
      <w:lvlText w:val=""/>
      <w:lvlJc w:val="left"/>
      <w:pPr>
        <w:ind w:left="5389" w:hanging="360"/>
      </w:pPr>
      <w:rPr>
        <w:rFonts w:ascii="Wingdings" w:hAnsi="Wingdings" w:hint="default"/>
      </w:rPr>
    </w:lvl>
    <w:lvl w:ilvl="6" w:tplc="240A0001" w:tentative="1">
      <w:start w:val="1"/>
      <w:numFmt w:val="bullet"/>
      <w:lvlText w:val=""/>
      <w:lvlJc w:val="left"/>
      <w:pPr>
        <w:ind w:left="6109" w:hanging="360"/>
      </w:pPr>
      <w:rPr>
        <w:rFonts w:ascii="Symbol" w:hAnsi="Symbol" w:hint="default"/>
      </w:rPr>
    </w:lvl>
    <w:lvl w:ilvl="7" w:tplc="240A0003" w:tentative="1">
      <w:start w:val="1"/>
      <w:numFmt w:val="bullet"/>
      <w:lvlText w:val="o"/>
      <w:lvlJc w:val="left"/>
      <w:pPr>
        <w:ind w:left="6829" w:hanging="360"/>
      </w:pPr>
      <w:rPr>
        <w:rFonts w:ascii="Courier New" w:hAnsi="Courier New" w:cs="Courier New" w:hint="default"/>
      </w:rPr>
    </w:lvl>
    <w:lvl w:ilvl="8" w:tplc="240A0005" w:tentative="1">
      <w:start w:val="1"/>
      <w:numFmt w:val="bullet"/>
      <w:lvlText w:val=""/>
      <w:lvlJc w:val="left"/>
      <w:pPr>
        <w:ind w:left="7549" w:hanging="360"/>
      </w:pPr>
      <w:rPr>
        <w:rFonts w:ascii="Wingdings" w:hAnsi="Wingdings" w:hint="default"/>
      </w:rPr>
    </w:lvl>
  </w:abstractNum>
  <w:abstractNum w:abstractNumId="1" w15:restartNumberingAfterBreak="0">
    <w:nsid w:val="2EEE132D"/>
    <w:multiLevelType w:val="hybridMultilevel"/>
    <w:tmpl w:val="AABC64D2"/>
    <w:lvl w:ilvl="0" w:tplc="240A0003">
      <w:start w:val="1"/>
      <w:numFmt w:val="bullet"/>
      <w:lvlText w:val="o"/>
      <w:lvlJc w:val="left"/>
      <w:pPr>
        <w:ind w:left="1789" w:hanging="360"/>
      </w:pPr>
      <w:rPr>
        <w:rFonts w:ascii="Courier New" w:hAnsi="Courier New" w:cs="Courier New" w:hint="default"/>
      </w:rPr>
    </w:lvl>
    <w:lvl w:ilvl="1" w:tplc="240A0003" w:tentative="1">
      <w:start w:val="1"/>
      <w:numFmt w:val="bullet"/>
      <w:lvlText w:val="o"/>
      <w:lvlJc w:val="left"/>
      <w:pPr>
        <w:ind w:left="2509" w:hanging="360"/>
      </w:pPr>
      <w:rPr>
        <w:rFonts w:ascii="Courier New" w:hAnsi="Courier New" w:cs="Courier New" w:hint="default"/>
      </w:rPr>
    </w:lvl>
    <w:lvl w:ilvl="2" w:tplc="240A0005" w:tentative="1">
      <w:start w:val="1"/>
      <w:numFmt w:val="bullet"/>
      <w:lvlText w:val=""/>
      <w:lvlJc w:val="left"/>
      <w:pPr>
        <w:ind w:left="3229" w:hanging="360"/>
      </w:pPr>
      <w:rPr>
        <w:rFonts w:ascii="Wingdings" w:hAnsi="Wingdings" w:hint="default"/>
      </w:rPr>
    </w:lvl>
    <w:lvl w:ilvl="3" w:tplc="240A0001" w:tentative="1">
      <w:start w:val="1"/>
      <w:numFmt w:val="bullet"/>
      <w:lvlText w:val=""/>
      <w:lvlJc w:val="left"/>
      <w:pPr>
        <w:ind w:left="3949" w:hanging="360"/>
      </w:pPr>
      <w:rPr>
        <w:rFonts w:ascii="Symbol" w:hAnsi="Symbol" w:hint="default"/>
      </w:rPr>
    </w:lvl>
    <w:lvl w:ilvl="4" w:tplc="240A0003" w:tentative="1">
      <w:start w:val="1"/>
      <w:numFmt w:val="bullet"/>
      <w:lvlText w:val="o"/>
      <w:lvlJc w:val="left"/>
      <w:pPr>
        <w:ind w:left="4669" w:hanging="360"/>
      </w:pPr>
      <w:rPr>
        <w:rFonts w:ascii="Courier New" w:hAnsi="Courier New" w:cs="Courier New" w:hint="default"/>
      </w:rPr>
    </w:lvl>
    <w:lvl w:ilvl="5" w:tplc="240A0005" w:tentative="1">
      <w:start w:val="1"/>
      <w:numFmt w:val="bullet"/>
      <w:lvlText w:val=""/>
      <w:lvlJc w:val="left"/>
      <w:pPr>
        <w:ind w:left="5389" w:hanging="360"/>
      </w:pPr>
      <w:rPr>
        <w:rFonts w:ascii="Wingdings" w:hAnsi="Wingdings" w:hint="default"/>
      </w:rPr>
    </w:lvl>
    <w:lvl w:ilvl="6" w:tplc="240A0001" w:tentative="1">
      <w:start w:val="1"/>
      <w:numFmt w:val="bullet"/>
      <w:lvlText w:val=""/>
      <w:lvlJc w:val="left"/>
      <w:pPr>
        <w:ind w:left="6109" w:hanging="360"/>
      </w:pPr>
      <w:rPr>
        <w:rFonts w:ascii="Symbol" w:hAnsi="Symbol" w:hint="default"/>
      </w:rPr>
    </w:lvl>
    <w:lvl w:ilvl="7" w:tplc="240A0003" w:tentative="1">
      <w:start w:val="1"/>
      <w:numFmt w:val="bullet"/>
      <w:lvlText w:val="o"/>
      <w:lvlJc w:val="left"/>
      <w:pPr>
        <w:ind w:left="6829" w:hanging="360"/>
      </w:pPr>
      <w:rPr>
        <w:rFonts w:ascii="Courier New" w:hAnsi="Courier New" w:cs="Courier New" w:hint="default"/>
      </w:rPr>
    </w:lvl>
    <w:lvl w:ilvl="8" w:tplc="240A0005" w:tentative="1">
      <w:start w:val="1"/>
      <w:numFmt w:val="bullet"/>
      <w:lvlText w:val=""/>
      <w:lvlJc w:val="left"/>
      <w:pPr>
        <w:ind w:left="7549" w:hanging="360"/>
      </w:pPr>
      <w:rPr>
        <w:rFonts w:ascii="Wingdings" w:hAnsi="Wingdings" w:hint="default"/>
      </w:rPr>
    </w:lvl>
  </w:abstractNum>
  <w:abstractNum w:abstractNumId="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47D33387"/>
    <w:multiLevelType w:val="hybridMultilevel"/>
    <w:tmpl w:val="AD86696E"/>
    <w:lvl w:ilvl="0" w:tplc="1F28B09C">
      <w:start w:val="1"/>
      <w:numFmt w:val="decimal"/>
      <w:lvlText w:val="%1."/>
      <w:lvlJc w:val="left"/>
      <w:pPr>
        <w:ind w:left="1069" w:hanging="360"/>
      </w:pPr>
      <w:rPr>
        <w:rFonts w:eastAsia="Calibri" w:cs="Arial" w:hint="default"/>
        <w:b w:val="0"/>
        <w:bCs w:val="0"/>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num w:numId="1" w16cid:durableId="679089576">
    <w:abstractNumId w:val="2"/>
  </w:num>
  <w:num w:numId="2" w16cid:durableId="1990093976">
    <w:abstractNumId w:val="3"/>
  </w:num>
  <w:num w:numId="3" w16cid:durableId="1337801335">
    <w:abstractNumId w:val="1"/>
  </w:num>
  <w:num w:numId="4" w16cid:durableId="17042094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9EA"/>
    <w:rsid w:val="000334B6"/>
    <w:rsid w:val="000D0742"/>
    <w:rsid w:val="00235BE4"/>
    <w:rsid w:val="002447B3"/>
    <w:rsid w:val="004B3C29"/>
    <w:rsid w:val="0082093D"/>
    <w:rsid w:val="00834E8E"/>
    <w:rsid w:val="00940F54"/>
    <w:rsid w:val="00CB2378"/>
    <w:rsid w:val="00D509EA"/>
    <w:rsid w:val="00DA446F"/>
    <w:rsid w:val="00FE5EC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C280C"/>
  <w15:chartTrackingRefBased/>
  <w15:docId w15:val="{66C3D91F-4E1E-4EF8-A4B3-9335CEB74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09EA"/>
    <w:pPr>
      <w:spacing w:line="259" w:lineRule="auto"/>
    </w:pPr>
    <w:rPr>
      <w:kern w:val="0"/>
      <w:sz w:val="22"/>
      <w:szCs w:val="22"/>
      <w14:ligatures w14:val="none"/>
    </w:rPr>
  </w:style>
  <w:style w:type="paragraph" w:styleId="Ttulo1">
    <w:name w:val="heading 1"/>
    <w:basedOn w:val="Normal"/>
    <w:next w:val="Normal"/>
    <w:link w:val="Ttulo1Car"/>
    <w:uiPriority w:val="9"/>
    <w:qFormat/>
    <w:rsid w:val="00D509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509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509E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509E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509E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509E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509E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509E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509E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509E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509E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509E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509E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509E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509E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509E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509E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509EA"/>
    <w:rPr>
      <w:rFonts w:eastAsiaTheme="majorEastAsia" w:cstheme="majorBidi"/>
      <w:color w:val="272727" w:themeColor="text1" w:themeTint="D8"/>
    </w:rPr>
  </w:style>
  <w:style w:type="paragraph" w:styleId="Ttulo">
    <w:name w:val="Title"/>
    <w:basedOn w:val="Normal"/>
    <w:next w:val="Normal"/>
    <w:link w:val="TtuloCar"/>
    <w:uiPriority w:val="10"/>
    <w:qFormat/>
    <w:rsid w:val="00D509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509E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509E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509E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509EA"/>
    <w:pPr>
      <w:spacing w:before="160"/>
      <w:jc w:val="center"/>
    </w:pPr>
    <w:rPr>
      <w:i/>
      <w:iCs/>
      <w:color w:val="404040" w:themeColor="text1" w:themeTint="BF"/>
    </w:rPr>
  </w:style>
  <w:style w:type="character" w:customStyle="1" w:styleId="CitaCar">
    <w:name w:val="Cita Car"/>
    <w:basedOn w:val="Fuentedeprrafopredeter"/>
    <w:link w:val="Cita"/>
    <w:uiPriority w:val="29"/>
    <w:rsid w:val="00D509EA"/>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D509EA"/>
    <w:pPr>
      <w:ind w:left="720"/>
      <w:contextualSpacing/>
    </w:pPr>
  </w:style>
  <w:style w:type="character" w:styleId="nfasisintenso">
    <w:name w:val="Intense Emphasis"/>
    <w:basedOn w:val="Fuentedeprrafopredeter"/>
    <w:uiPriority w:val="21"/>
    <w:qFormat/>
    <w:rsid w:val="00D509EA"/>
    <w:rPr>
      <w:i/>
      <w:iCs/>
      <w:color w:val="0F4761" w:themeColor="accent1" w:themeShade="BF"/>
    </w:rPr>
  </w:style>
  <w:style w:type="paragraph" w:styleId="Citadestacada">
    <w:name w:val="Intense Quote"/>
    <w:basedOn w:val="Normal"/>
    <w:next w:val="Normal"/>
    <w:link w:val="CitadestacadaCar"/>
    <w:uiPriority w:val="30"/>
    <w:qFormat/>
    <w:rsid w:val="00D509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509EA"/>
    <w:rPr>
      <w:i/>
      <w:iCs/>
      <w:color w:val="0F4761" w:themeColor="accent1" w:themeShade="BF"/>
    </w:rPr>
  </w:style>
  <w:style w:type="character" w:styleId="Referenciaintensa">
    <w:name w:val="Intense Reference"/>
    <w:basedOn w:val="Fuentedeprrafopredeter"/>
    <w:uiPriority w:val="32"/>
    <w:qFormat/>
    <w:rsid w:val="00D509EA"/>
    <w:rPr>
      <w:b/>
      <w:bCs/>
      <w:smallCaps/>
      <w:color w:val="0F4761" w:themeColor="accent1" w:themeShade="BF"/>
      <w:spacing w:val="5"/>
    </w:rPr>
  </w:style>
  <w:style w:type="paragraph" w:styleId="Encabezado">
    <w:name w:val="header"/>
    <w:basedOn w:val="Normal"/>
    <w:link w:val="EncabezadoCar"/>
    <w:uiPriority w:val="99"/>
    <w:unhideWhenUsed/>
    <w:rsid w:val="00D509E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509EA"/>
    <w:rPr>
      <w:kern w:val="0"/>
      <w:sz w:val="22"/>
      <w:szCs w:val="22"/>
      <w14:ligatures w14:val="none"/>
    </w:rPr>
  </w:style>
  <w:style w:type="paragraph" w:styleId="Piedepgina">
    <w:name w:val="footer"/>
    <w:basedOn w:val="Normal"/>
    <w:link w:val="PiedepginaCar"/>
    <w:uiPriority w:val="99"/>
    <w:unhideWhenUsed/>
    <w:rsid w:val="00D509E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509EA"/>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D509EA"/>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D509EA"/>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D509EA"/>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D509EA"/>
    <w:rPr>
      <w:vertAlign w:val="superscript"/>
    </w:rPr>
  </w:style>
  <w:style w:type="table" w:styleId="Tablaconcuadrcula">
    <w:name w:val="Table Grid"/>
    <w:basedOn w:val="Tablanormal"/>
    <w:uiPriority w:val="39"/>
    <w:qFormat/>
    <w:rsid w:val="00D509E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D509EA"/>
    <w:rPr>
      <w:color w:val="0000FF"/>
      <w:u w:val="single"/>
    </w:rPr>
  </w:style>
  <w:style w:type="paragraph" w:customStyle="1" w:styleId="Appelnotedebasde">
    <w:name w:val="Appel note de bas de..."/>
    <w:basedOn w:val="Normal"/>
    <w:link w:val="Refdenotaalpie"/>
    <w:uiPriority w:val="99"/>
    <w:rsid w:val="00D509EA"/>
    <w:pPr>
      <w:spacing w:line="240" w:lineRule="exact"/>
    </w:pPr>
    <w:rPr>
      <w:kern w:val="2"/>
      <w:sz w:val="24"/>
      <w:szCs w:val="24"/>
      <w:vertAlign w:val="superscript"/>
      <w14:ligatures w14:val="standardContextual"/>
    </w:rPr>
  </w:style>
  <w:style w:type="table" w:customStyle="1" w:styleId="Tablaconcuadrcula11">
    <w:name w:val="Tabla con cuadrícula11"/>
    <w:basedOn w:val="Tablanormal"/>
    <w:next w:val="Tablaconcuadrcula"/>
    <w:uiPriority w:val="59"/>
    <w:qFormat/>
    <w:rsid w:val="00D509E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semiHidden/>
    <w:unhideWhenUsed/>
    <w:rsid w:val="00D509EA"/>
    <w:pPr>
      <w:spacing w:after="120"/>
    </w:pPr>
  </w:style>
  <w:style w:type="character" w:customStyle="1" w:styleId="TextoindependienteCar">
    <w:name w:val="Texto independiente Car"/>
    <w:basedOn w:val="Fuentedeprrafopredeter"/>
    <w:link w:val="Textoindependiente"/>
    <w:uiPriority w:val="99"/>
    <w:semiHidden/>
    <w:rsid w:val="00D509EA"/>
    <w:rPr>
      <w:kern w:val="0"/>
      <w:sz w:val="22"/>
      <w:szCs w:val="22"/>
      <w14:ligatures w14:val="none"/>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509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nasly.mosquera%40colombiacompra.gov.co%7C7128555136e04fa6887d08dee99e1b50%7C7b09041e245149d08cb179d5e3d8c1be%7C0%7C0%7C639205062451728331%7CUnknown%7CTWFpbGZsb3d8eyJFbXB0eU1hcGkiOnRydWUsIlYiOiIwLjAuMDAwMCIsIlAiOiJXaW4zMiIsIkFOIjoiTWFpbCIsIldUIjoyfQ%3D%3D%7C0%7C%7C%7C&amp;sdata=mpBUgI4TXQKUTiyJ3t%2BZk2bDWYkbeNUXbMTuRbUjxuA%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www.colombiacompra.gov.co/archivos/boletin/boletin-edicion-n-3-de-2026-radar-de-la-compra-public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uankheo@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nasly.mosquera%40colombiacompra.gov.co%7C7128555136e04fa6887d08dee99e1b50%7C7b09041e245149d08cb179d5e3d8c1be%7C0%7C0%7C639205062451781137%7CUnknown%7CTWFpbGZsb3d8eyJFbXB0eU1hcGkiOnRydWUsIlYiOiIwLjAuMDAwMCIsIlAiOiJXaW4zMiIsIkFOIjoiTWFpbCIsIldUIjoyfQ%3D%3D%7C0%7C%7C%7C&amp;sdata=SXRTp2tiejOc5p2GVUwQiVeHZcjBX97o%2BwIhu4ngMCc%3D&amp;reserved=0"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nasly.mosquera%40colombiacompra.gov.co%7C7128555136e04fa6887d08dee99e1b50%7C7b09041e245149d08cb179d5e3d8c1be%7C0%7C0%7C639205062451758910%7CUnknown%7CTWFpbGZsb3d8eyJFbXB0eU1hcGkiOnRydWUsIlYiOiIwLjAuMDAwMCIsIlAiOiJXaW4zMiIsIkFOIjoiTWFpbCIsIldUIjoyfQ%3D%3D%7C0%7C%7C%7C&amp;sdata=OPnXajpdAyoK0A6MfQYru7F7qDuDOdN2UPaU0NJQ1Gk%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archivos/manual/guia-para-la-elaboracion-de-estudios-del-secto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_Flow_SignoffStatus xmlns="9d85dbaf-23eb-4e57-a637-93dcacc8b1a1" xsi:nil="true"/>
    <lcf76f155ced4ddcb4097134ff3c332f xmlns="9d85dbaf-23eb-4e57-a637-93dcacc8b1a1">
      <Terms xmlns="http://schemas.microsoft.com/office/infopath/2007/PartnerControls"/>
    </lcf76f155ced4ddcb4097134ff3c332f>
    <TaxCatchAll xmlns="a6cb9e4b-f1d1-4245-83ec-6cad768d538a" xsi:nil="true"/>
  </documentManagement>
</p:properties>
</file>

<file path=customXml/itemProps1.xml><?xml version="1.0" encoding="utf-8"?>
<ds:datastoreItem xmlns:ds="http://schemas.openxmlformats.org/officeDocument/2006/customXml" ds:itemID="{09F39BC1-A53A-4EFD-96F9-2E4FB0F5E6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B9376B-A3EB-43A9-89D8-D443776E8E9F}">
  <ds:schemaRefs>
    <ds:schemaRef ds:uri="http://schemas.microsoft.com/sharepoint/v3/contenttype/forms"/>
  </ds:schemaRefs>
</ds:datastoreItem>
</file>

<file path=customXml/itemProps3.xml><?xml version="1.0" encoding="utf-8"?>
<ds:datastoreItem xmlns:ds="http://schemas.openxmlformats.org/officeDocument/2006/customXml" ds:itemID="{97310466-A370-4500-BB5E-281F5907B88C}">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5</TotalTime>
  <Pages>16</Pages>
  <Words>5340</Words>
  <Characters>29376</Characters>
  <Application>Microsoft Office Word</Application>
  <DocSecurity>0</DocSecurity>
  <Lines>244</Lines>
  <Paragraphs>69</Paragraphs>
  <ScaleCrop>false</ScaleCrop>
  <Company/>
  <LinksUpToDate>false</LinksUpToDate>
  <CharactersWithSpaces>34647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Nasly Yeana Mosquera Rivas</cp:lastModifiedBy>
  <cp:revision>3</cp:revision>
  <dcterms:created xsi:type="dcterms:W3CDTF">2026-10-13T20:37:00Z</dcterms:created>
  <dcterms:modified xsi:type="dcterms:W3CDTF">2026-10-13T20:38:00Z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