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6D00" w14:textId="77777777" w:rsidR="00957B4B" w:rsidRPr="002011F9" w:rsidRDefault="00957B4B" w:rsidP="00957B4B">
      <w:pPr>
        <w:jc w:val="both"/>
        <w:rPr>
          <w:rFonts w:ascii="Verdana" w:hAnsi="Verdana" w:cs="Arial"/>
          <w:b/>
        </w:rPr>
      </w:pPr>
      <w:bookmarkStart w:id="0" w:name="_Hlk143780582"/>
      <w:r w:rsidRPr="002011F9">
        <w:rPr>
          <w:rFonts w:ascii="Verdana" w:eastAsia="Calibri" w:hAnsi="Verdana" w:cs="Arial"/>
          <w:b/>
        </w:rPr>
        <w:t xml:space="preserve">SOCIEDAD DE ECONOMÍA MIXTA </w:t>
      </w:r>
      <w:r w:rsidRPr="002011F9">
        <w:rPr>
          <w:rFonts w:ascii="Verdana" w:hAnsi="Verdana" w:cs="Arial"/>
          <w:b/>
          <w:lang w:val="es-MX"/>
        </w:rPr>
        <w:t>– Naturaleza Jurídica –</w:t>
      </w:r>
      <w:r w:rsidRPr="002011F9">
        <w:rPr>
          <w:rFonts w:ascii="Verdana" w:hAnsi="Verdana" w:cs="Arial"/>
          <w:b/>
        </w:rPr>
        <w:t xml:space="preserve"> </w:t>
      </w:r>
      <w:r w:rsidRPr="002011F9">
        <w:rPr>
          <w:rFonts w:ascii="Verdana" w:hAnsi="Verdana" w:cs="Arial"/>
          <w:b/>
          <w:lang w:val="es-MX"/>
        </w:rPr>
        <w:t>Régimen de contratación</w:t>
      </w:r>
      <w:r w:rsidRPr="002011F9">
        <w:rPr>
          <w:rFonts w:ascii="Verdana" w:hAnsi="Verdana" w:cs="Arial"/>
          <w:b/>
        </w:rPr>
        <w:t xml:space="preserve"> </w:t>
      </w:r>
    </w:p>
    <w:p w14:paraId="52B17E4D" w14:textId="77777777" w:rsidR="00957B4B" w:rsidRPr="002011F9" w:rsidRDefault="00957B4B" w:rsidP="00957B4B">
      <w:pPr>
        <w:jc w:val="both"/>
        <w:rPr>
          <w:rFonts w:ascii="Verdana" w:hAnsi="Verdana" w:cs="Arial"/>
          <w:b/>
          <w:sz w:val="20"/>
          <w:szCs w:val="20"/>
        </w:rPr>
      </w:pPr>
    </w:p>
    <w:p w14:paraId="7E473FFD" w14:textId="77777777" w:rsidR="00957B4B" w:rsidRPr="00021D5F" w:rsidRDefault="00957B4B" w:rsidP="00957B4B">
      <w:pPr>
        <w:pStyle w:val="NormalWeb"/>
        <w:spacing w:after="0"/>
        <w:jc w:val="both"/>
        <w:rPr>
          <w:rFonts w:ascii="Verdana" w:eastAsiaTheme="minorHAnsi" w:hAnsi="Verdana" w:cs="Arial"/>
          <w:color w:val="000000" w:themeColor="text1"/>
          <w:sz w:val="20"/>
          <w:szCs w:val="20"/>
          <w:lang w:val="es-ES_tradnl" w:eastAsia="en-US"/>
        </w:rPr>
      </w:pPr>
      <w:r w:rsidRPr="00021D5F">
        <w:rPr>
          <w:rFonts w:ascii="Verdana" w:eastAsiaTheme="minorHAnsi" w:hAnsi="Verdana" w:cs="Arial"/>
          <w:color w:val="000000" w:themeColor="text1"/>
          <w:sz w:val="20"/>
          <w:szCs w:val="20"/>
          <w:lang w:val="es-ES_tradnl" w:eastAsia="en-US"/>
        </w:rPr>
        <w:t xml:space="preserve">El artículo 14 de la Ley 1150 de 2007 – modificado por el artículo 93 de la Ley 1474 de 2011 – dispone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w:t>
      </w:r>
    </w:p>
    <w:p w14:paraId="0E6EBBF5" w14:textId="77777777" w:rsidR="00957B4B" w:rsidRPr="00021D5F" w:rsidRDefault="00957B4B" w:rsidP="00957B4B">
      <w:pPr>
        <w:pStyle w:val="NormalWeb"/>
        <w:spacing w:after="0"/>
        <w:jc w:val="both"/>
        <w:rPr>
          <w:rFonts w:ascii="Verdana" w:eastAsiaTheme="minorHAnsi" w:hAnsi="Verdana" w:cs="Arial"/>
          <w:color w:val="000000" w:themeColor="text1"/>
          <w:sz w:val="20"/>
          <w:szCs w:val="20"/>
          <w:lang w:val="es-ES_tradnl" w:eastAsia="en-US"/>
        </w:rPr>
      </w:pPr>
      <w:r w:rsidRPr="00021D5F">
        <w:rPr>
          <w:rFonts w:ascii="Verdana" w:eastAsiaTheme="minorHAnsi" w:hAnsi="Verdana" w:cs="Arial"/>
          <w:color w:val="000000" w:themeColor="text1"/>
          <w:sz w:val="20"/>
          <w:szCs w:val="20"/>
          <w:lang w:val="es-ES_tradnl" w:eastAsia="en-US"/>
        </w:rPr>
        <w:t>Ahora bien, la Ley 489 de 1998, en los artículos 38 y 68, clasifica a las sociedades de economía mixta como entidades descentralizadas por servicios, con personería jurídica, autonomía administrativa y patrimonio propio, que pueden ser del orden nacional, departamental o municipal, según su órgano de creación. Allí no se distingue sobre el aporte del Estado, sino que se habla en general de las sociedades de economía mixta. Sin embargo, esto debe complementarse con el artículo 97 de la misma ley que indica: “(…) Para que una sociedad comercial pueda ser calificada como de economía mixta, es necesario que el aporte estatal, a través de la Nación, de entidades territoriales, de entidades descentralizadas y de empresas industriales y comerciales del Estado o sociedades de economía mixta, no sea inferior al cincuenta por ciento (50%) del total del capital social, efectivamente suscrito y pagado”.</w:t>
      </w:r>
    </w:p>
    <w:p w14:paraId="492D60F9" w14:textId="77777777" w:rsidR="00957B4B" w:rsidRDefault="00957B4B" w:rsidP="00957B4B">
      <w:pPr>
        <w:pStyle w:val="NormalWeb"/>
        <w:spacing w:after="0"/>
        <w:jc w:val="both"/>
        <w:rPr>
          <w:rFonts w:ascii="Verdana" w:eastAsiaTheme="minorHAnsi" w:hAnsi="Verdana" w:cs="Arial"/>
          <w:color w:val="000000" w:themeColor="text1"/>
          <w:sz w:val="20"/>
          <w:szCs w:val="20"/>
          <w:lang w:val="es-ES_tradnl" w:eastAsia="en-US"/>
        </w:rPr>
      </w:pPr>
      <w:r w:rsidRPr="00021D5F">
        <w:rPr>
          <w:rFonts w:ascii="Verdana" w:eastAsiaTheme="minorHAnsi" w:hAnsi="Verdana" w:cs="Arial"/>
          <w:color w:val="000000" w:themeColor="text1"/>
          <w:sz w:val="20"/>
          <w:szCs w:val="20"/>
          <w:lang w:val="es-ES_tradnl" w:eastAsia="en-US"/>
        </w:rPr>
        <w:t>Por otra parte, el artículo 2 de la Ley 80 de 1993 señala cuáles entidades se denominan entidades estatales indicando explícitamente que es “Para los solos efectos de esta Ley”. En ese sentido, para responder su consulta, lo definido allí respecto de las sociedades de economía mixta es solo para los efectos del EGCAP y no de otras normas.</w:t>
      </w:r>
    </w:p>
    <w:p w14:paraId="6CEE086C" w14:textId="77777777" w:rsidR="00957B4B" w:rsidRPr="002011F9" w:rsidRDefault="00957B4B" w:rsidP="00957B4B">
      <w:pPr>
        <w:jc w:val="both"/>
        <w:rPr>
          <w:rFonts w:ascii="Verdana" w:hAnsi="Verdana" w:cs="Arial"/>
          <w:b/>
        </w:rPr>
      </w:pPr>
      <w:r w:rsidRPr="002011F9">
        <w:rPr>
          <w:rFonts w:ascii="Verdana" w:eastAsia="Calibri" w:hAnsi="Verdana" w:cs="Arial"/>
          <w:b/>
        </w:rPr>
        <w:t xml:space="preserve">SOCIEDAD DE ECONOMÍA MIXTA </w:t>
      </w:r>
      <w:r w:rsidRPr="002011F9">
        <w:rPr>
          <w:rFonts w:ascii="Verdana" w:hAnsi="Verdana" w:cs="Arial"/>
          <w:b/>
          <w:lang w:val="es-MX"/>
        </w:rPr>
        <w:t>– Naturaleza Jurídica –</w:t>
      </w:r>
      <w:r w:rsidRPr="002011F9">
        <w:rPr>
          <w:rFonts w:ascii="Verdana" w:hAnsi="Verdana" w:cs="Arial"/>
          <w:b/>
        </w:rPr>
        <w:t xml:space="preserve"> </w:t>
      </w:r>
      <w:r>
        <w:rPr>
          <w:rFonts w:ascii="Verdana" w:hAnsi="Verdana" w:cs="Arial"/>
          <w:b/>
          <w:lang w:val="es-MX"/>
        </w:rPr>
        <w:t xml:space="preserve">Entidad estatal </w:t>
      </w:r>
      <w:r w:rsidRPr="002011F9">
        <w:rPr>
          <w:rFonts w:ascii="Verdana" w:hAnsi="Verdana" w:cs="Arial"/>
          <w:b/>
          <w:lang w:val="es-MX"/>
        </w:rPr>
        <w:t>–</w:t>
      </w:r>
      <w:r>
        <w:rPr>
          <w:rFonts w:ascii="Verdana" w:hAnsi="Verdana" w:cs="Arial"/>
          <w:b/>
          <w:lang w:val="es-MX"/>
        </w:rPr>
        <w:t xml:space="preserve"> Entidad descentralizada</w:t>
      </w:r>
      <w:r w:rsidRPr="002011F9">
        <w:rPr>
          <w:rFonts w:ascii="Verdana" w:hAnsi="Verdana" w:cs="Arial"/>
          <w:b/>
        </w:rPr>
        <w:t xml:space="preserve"> </w:t>
      </w:r>
    </w:p>
    <w:p w14:paraId="02C5FA85" w14:textId="77777777" w:rsidR="00957B4B" w:rsidRPr="00021D5F" w:rsidRDefault="00957B4B" w:rsidP="00957B4B">
      <w:pPr>
        <w:pStyle w:val="NormalWeb"/>
        <w:spacing w:after="0"/>
        <w:jc w:val="both"/>
        <w:rPr>
          <w:rFonts w:ascii="Verdana" w:eastAsiaTheme="minorHAnsi" w:hAnsi="Verdana" w:cs="Arial"/>
          <w:color w:val="000000" w:themeColor="text1"/>
          <w:sz w:val="20"/>
          <w:szCs w:val="20"/>
          <w:lang w:val="es-ES_tradnl" w:eastAsia="en-US"/>
        </w:rPr>
      </w:pPr>
      <w:r w:rsidRPr="00021D5F">
        <w:rPr>
          <w:rFonts w:ascii="Verdana" w:eastAsiaTheme="minorHAnsi" w:hAnsi="Verdana" w:cs="Arial"/>
          <w:color w:val="000000" w:themeColor="text1"/>
          <w:sz w:val="20"/>
          <w:szCs w:val="20"/>
          <w:lang w:val="es-ES_tradnl" w:eastAsia="en-US"/>
        </w:rPr>
        <w:t>De lo expuesto, se concluye que, las sociedades de economía mixta que son entidades estatales y están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no son entidades estatales de conformidad con lo señalado en el artículo 2 del EGCAP.</w:t>
      </w:r>
    </w:p>
    <w:p w14:paraId="0028675C" w14:textId="77777777" w:rsidR="00957B4B" w:rsidRPr="002011F9" w:rsidRDefault="00957B4B" w:rsidP="00957B4B">
      <w:pPr>
        <w:pStyle w:val="NormalWeb"/>
        <w:spacing w:before="0" w:beforeAutospacing="0" w:after="0" w:afterAutospacing="0"/>
        <w:jc w:val="both"/>
        <w:rPr>
          <w:rFonts w:ascii="Verdana" w:hAnsi="Verdana" w:cs="Arial"/>
          <w:sz w:val="20"/>
          <w:szCs w:val="20"/>
          <w:lang w:val="es-ES_tradnl" w:eastAsia="es-MX"/>
        </w:rPr>
      </w:pPr>
      <w:r w:rsidRPr="00021D5F">
        <w:rPr>
          <w:rFonts w:ascii="Verdana" w:eastAsiaTheme="minorHAnsi" w:hAnsi="Verdana" w:cs="Arial"/>
          <w:color w:val="000000" w:themeColor="text1"/>
          <w:sz w:val="20"/>
          <w:szCs w:val="20"/>
          <w:lang w:val="es-ES_tradnl" w:eastAsia="en-US"/>
        </w:rPr>
        <w:t xml:space="preserve">En todo caso, para resolver su pregunta sobre cuándo una sociedad de economía mixta tiene la calidad de entidad estatal y cuándo tiene la naturaleza de entidad descentralizada, se aclara que ambas calidades están determinadas por la participación del Estado superior al cincuenta por ciento (50%), pero el fundamento normativo </w:t>
      </w:r>
      <w:r w:rsidRPr="00021D5F">
        <w:rPr>
          <w:rFonts w:ascii="Verdana" w:eastAsiaTheme="minorHAnsi" w:hAnsi="Verdana" w:cs="Arial"/>
          <w:color w:val="000000" w:themeColor="text1"/>
          <w:sz w:val="20"/>
          <w:szCs w:val="20"/>
          <w:lang w:val="es-ES_tradnl" w:eastAsia="en-US"/>
        </w:rPr>
        <w:lastRenderedPageBreak/>
        <w:t>respecto de la calidad de entidad estatal se encuentra en el artículo 2 de la Ley 80 de 1993, y sobre la calidad de entidad descentralizada, en los artículos 38 y 97 de la Ley 489 de 1998.</w:t>
      </w:r>
    </w:p>
    <w:p w14:paraId="2911D9E4" w14:textId="77777777" w:rsidR="00957B4B" w:rsidRPr="002011F9" w:rsidRDefault="00957B4B" w:rsidP="00957B4B">
      <w:pPr>
        <w:jc w:val="both"/>
        <w:rPr>
          <w:rFonts w:ascii="Verdana" w:hAnsi="Verdana" w:cs="Arial"/>
          <w:b/>
          <w:sz w:val="20"/>
          <w:szCs w:val="20"/>
          <w:lang w:val="es-ES_tradnl"/>
        </w:rPr>
      </w:pPr>
    </w:p>
    <w:p w14:paraId="2CE0C369" w14:textId="77777777" w:rsidR="00957B4B" w:rsidRDefault="00957B4B" w:rsidP="00957B4B">
      <w:pPr>
        <w:rPr>
          <w:rFonts w:ascii="Verdana" w:hAnsi="Verdana"/>
        </w:rPr>
      </w:pPr>
      <w:r>
        <w:rPr>
          <w:rFonts w:ascii="Verdana" w:hAnsi="Verdana"/>
        </w:rPr>
        <w:br w:type="page"/>
      </w:r>
    </w:p>
    <w:p w14:paraId="45B55694" w14:textId="0F1A4CD7" w:rsidR="00957B4B" w:rsidRDefault="00957B4B" w:rsidP="005F762F">
      <w:pPr>
        <w:rPr>
          <w:rFonts w:ascii="Verdana" w:hAnsi="Verdana"/>
          <w:sz w:val="22"/>
          <w:szCs w:val="22"/>
        </w:rPr>
      </w:pPr>
      <w:r w:rsidRPr="00AB2BDF">
        <w:rPr>
          <w:rFonts w:ascii="Verdana" w:hAnsi="Verdana"/>
          <w:sz w:val="22"/>
          <w:szCs w:val="22"/>
        </w:rPr>
        <w:lastRenderedPageBreak/>
        <w:t xml:space="preserve">Bogotá D.C., </w:t>
      </w:r>
      <w:r w:rsidR="00BD5366">
        <w:rPr>
          <w:rFonts w:ascii="Verdana" w:hAnsi="Verdana"/>
          <w:sz w:val="22"/>
          <w:szCs w:val="22"/>
        </w:rPr>
        <w:t>9 de octubre de 2026</w:t>
      </w:r>
    </w:p>
    <w:p w14:paraId="1FDBA802" w14:textId="77777777" w:rsidR="00BD5366" w:rsidRDefault="00BD5366" w:rsidP="005F762F">
      <w:pPr>
        <w:rPr>
          <w:rFonts w:ascii="Verdana" w:hAnsi="Verdana"/>
          <w:sz w:val="22"/>
          <w:szCs w:val="22"/>
        </w:rPr>
      </w:pPr>
    </w:p>
    <w:p w14:paraId="6740570A" w14:textId="789B5D7C" w:rsidR="00BD5366" w:rsidRPr="00AB2BDF" w:rsidRDefault="00BD5366" w:rsidP="00BD5366">
      <w:pPr>
        <w:jc w:val="right"/>
        <w:rPr>
          <w:rFonts w:ascii="Verdana" w:hAnsi="Verdana"/>
          <w:sz w:val="22"/>
          <w:szCs w:val="22"/>
        </w:rPr>
      </w:pPr>
      <w:r w:rsidRPr="00BD5366">
        <w:rPr>
          <w:rFonts w:ascii="Verdana" w:hAnsi="Verdana"/>
          <w:sz w:val="22"/>
          <w:szCs w:val="22"/>
        </w:rPr>
        <w:drawing>
          <wp:inline distT="0" distB="0" distL="0" distR="0" wp14:anchorId="7B5E4645" wp14:editId="6ABAB861">
            <wp:extent cx="3724795" cy="1028844"/>
            <wp:effectExtent l="0" t="0" r="0" b="0"/>
            <wp:docPr id="2166881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688168" name=""/>
                    <pic:cNvPicPr/>
                  </pic:nvPicPr>
                  <pic:blipFill>
                    <a:blip r:embed="rId11"/>
                    <a:stretch>
                      <a:fillRect/>
                    </a:stretch>
                  </pic:blipFill>
                  <pic:spPr>
                    <a:xfrm>
                      <a:off x="0" y="0"/>
                      <a:ext cx="3724795" cy="1028844"/>
                    </a:xfrm>
                    <a:prstGeom prst="rect">
                      <a:avLst/>
                    </a:prstGeom>
                  </pic:spPr>
                </pic:pic>
              </a:graphicData>
            </a:graphic>
          </wp:inline>
        </w:drawing>
      </w:r>
    </w:p>
    <w:p w14:paraId="58C757E3" w14:textId="77777777" w:rsidR="00957B4B" w:rsidRPr="00AB2BDF" w:rsidRDefault="00957B4B" w:rsidP="00EE17FB">
      <w:pPr>
        <w:jc w:val="both"/>
        <w:rPr>
          <w:rFonts w:ascii="Verdana" w:eastAsia="Calibri" w:hAnsi="Verdana" w:cs="Arial"/>
          <w:sz w:val="22"/>
          <w:szCs w:val="22"/>
          <w:lang w:eastAsia="es-ES"/>
        </w:rPr>
      </w:pPr>
    </w:p>
    <w:p w14:paraId="72837D6C" w14:textId="77777777" w:rsidR="00957B4B" w:rsidRPr="00AB2BDF" w:rsidRDefault="00957B4B" w:rsidP="005F762F">
      <w:pPr>
        <w:jc w:val="both"/>
        <w:rPr>
          <w:rFonts w:ascii="Verdana" w:eastAsia="Calibri" w:hAnsi="Verdana" w:cs="Arial"/>
          <w:sz w:val="22"/>
          <w:szCs w:val="22"/>
          <w:lang w:eastAsia="es-ES"/>
        </w:rPr>
      </w:pPr>
    </w:p>
    <w:p w14:paraId="396F8FE5" w14:textId="77777777" w:rsidR="00957B4B" w:rsidRPr="00AB2BDF" w:rsidRDefault="00957B4B" w:rsidP="005F762F">
      <w:pPr>
        <w:jc w:val="both"/>
        <w:rPr>
          <w:rFonts w:ascii="Verdana" w:eastAsia="Calibri" w:hAnsi="Verdana" w:cs="Arial"/>
          <w:sz w:val="22"/>
          <w:szCs w:val="22"/>
          <w:lang w:val="es-ES" w:eastAsia="es-ES"/>
        </w:rPr>
      </w:pPr>
      <w:r w:rsidRPr="00AB2BDF">
        <w:rPr>
          <w:rFonts w:ascii="Verdana" w:eastAsia="Calibri" w:hAnsi="Verdana" w:cs="Arial"/>
          <w:sz w:val="22"/>
          <w:szCs w:val="22"/>
          <w:lang w:val="es-ES" w:eastAsia="es-ES"/>
        </w:rPr>
        <w:t>Señora</w:t>
      </w:r>
    </w:p>
    <w:p w14:paraId="07F0212E" w14:textId="77777777" w:rsidR="00957B4B" w:rsidRPr="00AB2BDF" w:rsidRDefault="00957B4B" w:rsidP="005F762F">
      <w:pPr>
        <w:rPr>
          <w:rFonts w:ascii="Verdana" w:eastAsia="Calibri" w:hAnsi="Verdana" w:cs="Arial"/>
          <w:b/>
          <w:sz w:val="22"/>
          <w:szCs w:val="22"/>
        </w:rPr>
      </w:pPr>
      <w:r w:rsidRPr="00AB2BDF">
        <w:rPr>
          <w:rFonts w:ascii="Verdana" w:eastAsia="Calibri" w:hAnsi="Verdana" w:cs="Arial"/>
          <w:b/>
          <w:sz w:val="22"/>
          <w:szCs w:val="22"/>
        </w:rPr>
        <w:t xml:space="preserve">Deisy Lorena Aponte Cárdenas </w:t>
      </w:r>
    </w:p>
    <w:p w14:paraId="2235A526" w14:textId="77777777" w:rsidR="00957B4B" w:rsidRPr="00AB2BDF" w:rsidRDefault="00957B4B" w:rsidP="005F762F">
      <w:pPr>
        <w:rPr>
          <w:rFonts w:ascii="Verdana" w:eastAsia="Calibri" w:hAnsi="Verdana" w:cs="Arial"/>
          <w:sz w:val="22"/>
          <w:szCs w:val="22"/>
        </w:rPr>
      </w:pPr>
      <w:hyperlink r:id="rId12" w:history="1">
        <w:r w:rsidRPr="00AB2BDF">
          <w:rPr>
            <w:rStyle w:val="Hipervnculo"/>
            <w:rFonts w:ascii="Verdana" w:eastAsia="Calibri" w:hAnsi="Verdana" w:cs="Arial"/>
            <w:bCs/>
            <w:sz w:val="22"/>
            <w:szCs w:val="22"/>
          </w:rPr>
          <w:t>abogadalorenaaponte@gmail.com</w:t>
        </w:r>
      </w:hyperlink>
      <w:r w:rsidRPr="00AB2BDF">
        <w:rPr>
          <w:rFonts w:ascii="Verdana" w:eastAsia="Calibri" w:hAnsi="Verdana" w:cs="Arial"/>
          <w:bCs/>
          <w:sz w:val="22"/>
          <w:szCs w:val="22"/>
        </w:rPr>
        <w:t xml:space="preserve"> </w:t>
      </w:r>
    </w:p>
    <w:p w14:paraId="7F0D688F" w14:textId="77777777" w:rsidR="00957B4B" w:rsidRPr="00AB2BDF" w:rsidRDefault="00957B4B" w:rsidP="000D2AC4">
      <w:pPr>
        <w:rPr>
          <w:rFonts w:ascii="Verdana" w:eastAsia="Calibri" w:hAnsi="Verdana" w:cs="Arial"/>
          <w:sz w:val="22"/>
          <w:szCs w:val="22"/>
        </w:rPr>
      </w:pPr>
      <w:r w:rsidRPr="00AB2BDF">
        <w:rPr>
          <w:rFonts w:ascii="Verdana" w:eastAsia="Calibri" w:hAnsi="Verdana" w:cs="Arial"/>
          <w:sz w:val="22"/>
          <w:szCs w:val="22"/>
        </w:rPr>
        <w:t>Ciudad</w:t>
      </w:r>
    </w:p>
    <w:p w14:paraId="40713A46" w14:textId="77777777" w:rsidR="00957B4B" w:rsidRPr="00AB2BDF" w:rsidRDefault="00957B4B" w:rsidP="000D2AC4">
      <w:pPr>
        <w:rPr>
          <w:rFonts w:ascii="Verdana" w:eastAsia="Calibri" w:hAnsi="Verdana" w:cs="Arial"/>
          <w:sz w:val="22"/>
          <w:szCs w:val="22"/>
        </w:rPr>
      </w:pPr>
    </w:p>
    <w:p w14:paraId="52D560E0" w14:textId="77777777" w:rsidR="00957B4B" w:rsidRPr="00AB2BDF" w:rsidRDefault="00957B4B" w:rsidP="006773A2">
      <w:pPr>
        <w:rPr>
          <w:rFonts w:ascii="Verdana" w:eastAsia="Calibri" w:hAnsi="Verdana" w:cs="Arial"/>
          <w:sz w:val="22"/>
          <w:szCs w:val="22"/>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57B4B" w:rsidRPr="00740A82" w14:paraId="7AABC9B3" w14:textId="77777777" w:rsidTr="00AA1403">
        <w:trPr>
          <w:trHeight w:val="407"/>
        </w:trPr>
        <w:tc>
          <w:tcPr>
            <w:tcW w:w="2689" w:type="dxa"/>
          </w:tcPr>
          <w:p w14:paraId="5EF25C39" w14:textId="77777777" w:rsidR="00957B4B" w:rsidRPr="00AB2BDF" w:rsidRDefault="00957B4B" w:rsidP="00AA1403">
            <w:pPr>
              <w:jc w:val="both"/>
              <w:rPr>
                <w:rFonts w:ascii="Verdana" w:eastAsia="Calibri" w:hAnsi="Verdana" w:cs="Arial"/>
                <w:b/>
                <w:sz w:val="22"/>
                <w:szCs w:val="22"/>
                <w:lang w:val="es-ES_tradnl"/>
              </w:rPr>
            </w:pPr>
          </w:p>
        </w:tc>
        <w:tc>
          <w:tcPr>
            <w:tcW w:w="6100" w:type="dxa"/>
          </w:tcPr>
          <w:p w14:paraId="12C8D14C" w14:textId="77777777" w:rsidR="00957B4B" w:rsidRPr="00AB2BDF" w:rsidRDefault="00957B4B" w:rsidP="00AA1403">
            <w:pPr>
              <w:jc w:val="both"/>
              <w:rPr>
                <w:rFonts w:ascii="Verdana" w:eastAsia="Calibri" w:hAnsi="Verdana" w:cs="Arial"/>
                <w:b/>
                <w:sz w:val="22"/>
                <w:szCs w:val="22"/>
                <w:lang w:val="es-ES" w:eastAsia="es-ES"/>
              </w:rPr>
            </w:pPr>
            <w:r w:rsidRPr="00AB2BDF">
              <w:rPr>
                <w:rFonts w:ascii="Verdana" w:eastAsia="Calibri" w:hAnsi="Verdana" w:cs="Arial"/>
                <w:b/>
                <w:sz w:val="22"/>
                <w:szCs w:val="22"/>
                <w:lang w:val="es-ES" w:eastAsia="es-ES"/>
              </w:rPr>
              <w:t>Concepto C-1376 de 2026</w:t>
            </w:r>
          </w:p>
          <w:p w14:paraId="3D121B3D" w14:textId="77777777" w:rsidR="00957B4B" w:rsidRPr="00AB2BDF" w:rsidRDefault="00957B4B" w:rsidP="00AA1403">
            <w:pPr>
              <w:jc w:val="both"/>
              <w:rPr>
                <w:rFonts w:ascii="Verdana" w:eastAsia="Calibri" w:hAnsi="Verdana" w:cs="Arial"/>
                <w:b/>
                <w:sz w:val="22"/>
                <w:szCs w:val="22"/>
                <w:lang w:val="es-ES" w:eastAsia="es-ES"/>
              </w:rPr>
            </w:pPr>
          </w:p>
        </w:tc>
      </w:tr>
      <w:tr w:rsidR="00957B4B" w:rsidRPr="00740A82" w14:paraId="5998336B" w14:textId="77777777" w:rsidTr="00AA1403">
        <w:trPr>
          <w:trHeight w:val="884"/>
        </w:trPr>
        <w:tc>
          <w:tcPr>
            <w:tcW w:w="2689" w:type="dxa"/>
          </w:tcPr>
          <w:p w14:paraId="2B65D05D" w14:textId="77777777" w:rsidR="00957B4B" w:rsidRPr="00AB2BDF" w:rsidRDefault="00957B4B" w:rsidP="00AA1403">
            <w:pPr>
              <w:jc w:val="both"/>
              <w:rPr>
                <w:rFonts w:ascii="Verdana" w:eastAsia="Calibri" w:hAnsi="Verdana" w:cs="Arial"/>
                <w:sz w:val="22"/>
                <w:szCs w:val="22"/>
                <w:lang w:val="es-ES_tradnl"/>
              </w:rPr>
            </w:pPr>
            <w:r w:rsidRPr="00AB2BDF">
              <w:rPr>
                <w:rFonts w:ascii="Verdana" w:eastAsia="Calibri" w:hAnsi="Verdana" w:cs="Arial"/>
                <w:b/>
                <w:sz w:val="22"/>
                <w:szCs w:val="22"/>
                <w:lang w:val="es-ES_tradnl"/>
              </w:rPr>
              <w:t>Temas:</w:t>
            </w:r>
            <w:r w:rsidRPr="00AB2BDF">
              <w:rPr>
                <w:rFonts w:ascii="Verdana" w:eastAsia="Calibri" w:hAnsi="Verdana" w:cs="Arial"/>
                <w:sz w:val="22"/>
                <w:szCs w:val="22"/>
                <w:lang w:val="es-ES_tradnl"/>
              </w:rPr>
              <w:t xml:space="preserve">                   </w:t>
            </w:r>
          </w:p>
        </w:tc>
        <w:tc>
          <w:tcPr>
            <w:tcW w:w="6100" w:type="dxa"/>
          </w:tcPr>
          <w:p w14:paraId="4110CC31" w14:textId="77777777" w:rsidR="00957B4B" w:rsidRPr="00AB2BDF" w:rsidRDefault="00957B4B" w:rsidP="00EE17FB">
            <w:pPr>
              <w:jc w:val="both"/>
              <w:rPr>
                <w:rFonts w:ascii="Verdana" w:hAnsi="Verdana" w:cs="Arial"/>
                <w:bCs/>
                <w:sz w:val="22"/>
                <w:szCs w:val="22"/>
              </w:rPr>
            </w:pPr>
            <w:r w:rsidRPr="00AB2BDF">
              <w:rPr>
                <w:rFonts w:ascii="Verdana" w:eastAsia="Calibri" w:hAnsi="Verdana" w:cs="Arial"/>
                <w:sz w:val="22"/>
                <w:szCs w:val="22"/>
              </w:rPr>
              <w:t xml:space="preserve">SOCIEDAD DE ECONOMÍA MIXTA </w:t>
            </w:r>
            <w:r w:rsidRPr="00AB2BDF">
              <w:rPr>
                <w:rFonts w:ascii="Verdana" w:hAnsi="Verdana" w:cs="Arial"/>
                <w:sz w:val="22"/>
                <w:szCs w:val="22"/>
                <w:lang w:val="es-MX"/>
              </w:rPr>
              <w:t>– Naturaleza Jurídica –</w:t>
            </w:r>
            <w:r w:rsidRPr="00AB2BDF">
              <w:rPr>
                <w:rFonts w:ascii="Verdana" w:hAnsi="Verdana" w:cs="Arial"/>
                <w:sz w:val="22"/>
                <w:szCs w:val="22"/>
              </w:rPr>
              <w:t xml:space="preserve"> </w:t>
            </w:r>
            <w:r w:rsidRPr="00AB2BDF">
              <w:rPr>
                <w:rFonts w:ascii="Verdana" w:hAnsi="Verdana" w:cs="Arial"/>
                <w:sz w:val="22"/>
                <w:szCs w:val="22"/>
                <w:lang w:val="es-MX"/>
              </w:rPr>
              <w:t>Régimen de contratación</w:t>
            </w:r>
            <w:r w:rsidRPr="00AB2BDF">
              <w:rPr>
                <w:rFonts w:ascii="Verdana" w:hAnsi="Verdana" w:cs="Arial"/>
                <w:sz w:val="22"/>
                <w:szCs w:val="22"/>
              </w:rPr>
              <w:t xml:space="preserve"> / SOCIEDAD DE ECONOMÍA MIXTA – Naturaleza Jurídica – Entidad estatal – Entidad descentralizada</w:t>
            </w:r>
          </w:p>
          <w:p w14:paraId="7BF74ED5" w14:textId="6819CE6B" w:rsidR="00957B4B" w:rsidRPr="00AB2BDF" w:rsidRDefault="00957B4B" w:rsidP="00AA1403">
            <w:pPr>
              <w:jc w:val="both"/>
              <w:rPr>
                <w:rFonts w:ascii="Verdana" w:eastAsia="Calibri" w:hAnsi="Verdana" w:cs="Arial"/>
                <w:sz w:val="22"/>
                <w:szCs w:val="22"/>
                <w:lang w:val="es-ES" w:eastAsia="es-ES"/>
              </w:rPr>
            </w:pPr>
          </w:p>
        </w:tc>
      </w:tr>
      <w:tr w:rsidR="00957B4B" w:rsidRPr="00740A82" w14:paraId="006788F9" w14:textId="77777777" w:rsidTr="00AA1403">
        <w:tc>
          <w:tcPr>
            <w:tcW w:w="2689" w:type="dxa"/>
          </w:tcPr>
          <w:p w14:paraId="3EF97B65" w14:textId="77777777" w:rsidR="00957B4B" w:rsidRPr="00AB2BDF" w:rsidRDefault="00957B4B" w:rsidP="00AA1403">
            <w:pPr>
              <w:jc w:val="both"/>
              <w:rPr>
                <w:rFonts w:ascii="Verdana" w:eastAsia="Calibri" w:hAnsi="Verdana" w:cs="Arial"/>
                <w:b/>
                <w:sz w:val="22"/>
                <w:szCs w:val="22"/>
                <w:lang w:val="es-ES_tradnl"/>
              </w:rPr>
            </w:pPr>
            <w:r w:rsidRPr="00AB2BDF">
              <w:rPr>
                <w:rFonts w:ascii="Verdana" w:eastAsia="Calibri" w:hAnsi="Verdana" w:cs="Arial"/>
                <w:b/>
                <w:sz w:val="22"/>
                <w:szCs w:val="22"/>
                <w:lang w:val="es-ES_tradnl"/>
              </w:rPr>
              <w:t>Radicación:</w:t>
            </w:r>
            <w:r w:rsidRPr="00AB2BDF">
              <w:rPr>
                <w:rFonts w:ascii="Verdana" w:eastAsia="Calibri" w:hAnsi="Verdana" w:cs="Arial"/>
                <w:sz w:val="22"/>
                <w:szCs w:val="22"/>
                <w:lang w:val="es-ES_tradnl"/>
              </w:rPr>
              <w:t xml:space="preserve">               </w:t>
            </w:r>
          </w:p>
        </w:tc>
        <w:tc>
          <w:tcPr>
            <w:tcW w:w="6100" w:type="dxa"/>
          </w:tcPr>
          <w:p w14:paraId="03FF9E46" w14:textId="77777777" w:rsidR="00957B4B" w:rsidRPr="00AB2BDF" w:rsidRDefault="00957B4B" w:rsidP="00AA1403">
            <w:pPr>
              <w:jc w:val="both"/>
              <w:rPr>
                <w:rFonts w:ascii="Verdana" w:eastAsia="Calibri" w:hAnsi="Verdana" w:cs="Arial"/>
                <w:sz w:val="22"/>
                <w:szCs w:val="22"/>
                <w:lang w:val="es-ES_tradnl"/>
              </w:rPr>
            </w:pPr>
            <w:r w:rsidRPr="00AB2BDF">
              <w:rPr>
                <w:rFonts w:ascii="Verdana" w:eastAsia="Calibri" w:hAnsi="Verdana" w:cs="Arial"/>
                <w:sz w:val="22"/>
                <w:szCs w:val="22"/>
                <w:lang w:val="es-ES_tradnl"/>
              </w:rPr>
              <w:t>Respuesta a consulta con radicado No. 1_2026_09_02_011653</w:t>
            </w:r>
          </w:p>
        </w:tc>
      </w:tr>
    </w:tbl>
    <w:p w14:paraId="1EFE6C03" w14:textId="77777777" w:rsidR="00957B4B" w:rsidRPr="00AB2BDF" w:rsidRDefault="00957B4B" w:rsidP="00EE17FB">
      <w:pPr>
        <w:jc w:val="both"/>
        <w:rPr>
          <w:rFonts w:ascii="Verdana" w:eastAsia="Calibri" w:hAnsi="Verdana" w:cs="Arial"/>
          <w:sz w:val="22"/>
          <w:szCs w:val="22"/>
          <w:lang w:val="es-ES_tradnl"/>
        </w:rPr>
      </w:pPr>
    </w:p>
    <w:p w14:paraId="2182615F" w14:textId="77777777" w:rsidR="00957B4B" w:rsidRPr="00AB2BDF" w:rsidRDefault="00957B4B" w:rsidP="00EE17FB">
      <w:pPr>
        <w:jc w:val="both"/>
        <w:rPr>
          <w:rFonts w:ascii="Verdana" w:eastAsia="Calibri" w:hAnsi="Verdana" w:cs="Arial"/>
          <w:sz w:val="22"/>
          <w:szCs w:val="22"/>
          <w:lang w:val="es-ES_tradnl"/>
        </w:rPr>
      </w:pPr>
    </w:p>
    <w:p w14:paraId="21DE36CE" w14:textId="77777777" w:rsidR="00957B4B" w:rsidRPr="00AB2BDF" w:rsidRDefault="00957B4B" w:rsidP="00957B4B">
      <w:pPr>
        <w:spacing w:line="276" w:lineRule="auto"/>
        <w:jc w:val="both"/>
        <w:rPr>
          <w:rFonts w:ascii="Verdana" w:eastAsia="Calibri" w:hAnsi="Verdana" w:cs="Arial"/>
          <w:sz w:val="22"/>
          <w:szCs w:val="22"/>
          <w:lang w:val="es-ES" w:eastAsia="es-ES"/>
        </w:rPr>
      </w:pPr>
      <w:r w:rsidRPr="00AB2BDF">
        <w:rPr>
          <w:rFonts w:ascii="Verdana" w:eastAsia="Calibri" w:hAnsi="Verdana" w:cs="Arial"/>
          <w:sz w:val="22"/>
          <w:szCs w:val="22"/>
          <w:lang w:val="es-ES" w:eastAsia="es-ES"/>
        </w:rPr>
        <w:t xml:space="preserve">Estimada señora Aponte: </w:t>
      </w:r>
    </w:p>
    <w:p w14:paraId="64E946A3" w14:textId="77777777" w:rsidR="00957B4B" w:rsidRPr="00AB2BDF" w:rsidRDefault="00957B4B" w:rsidP="00957B4B">
      <w:pPr>
        <w:tabs>
          <w:tab w:val="left" w:pos="3768"/>
        </w:tabs>
        <w:spacing w:line="276" w:lineRule="auto"/>
        <w:jc w:val="both"/>
        <w:rPr>
          <w:rFonts w:ascii="Verdana" w:eastAsia="Calibri" w:hAnsi="Verdana" w:cs="Arial"/>
          <w:sz w:val="22"/>
          <w:szCs w:val="22"/>
          <w:lang w:val="es-ES" w:eastAsia="es-ES"/>
        </w:rPr>
      </w:pPr>
      <w:r w:rsidRPr="00AB2BDF">
        <w:rPr>
          <w:rFonts w:ascii="Verdana" w:eastAsia="Calibri" w:hAnsi="Verdana" w:cs="Arial"/>
          <w:sz w:val="22"/>
          <w:szCs w:val="22"/>
          <w:lang w:val="es-ES" w:eastAsia="es-ES"/>
        </w:rPr>
        <w:tab/>
      </w:r>
    </w:p>
    <w:p w14:paraId="6447D831" w14:textId="77777777" w:rsidR="00957B4B" w:rsidRPr="00AB2BDF" w:rsidRDefault="00957B4B" w:rsidP="00957B4B">
      <w:pPr>
        <w:spacing w:line="276" w:lineRule="auto"/>
        <w:jc w:val="both"/>
        <w:rPr>
          <w:rFonts w:ascii="Verdana" w:eastAsia="Calibri" w:hAnsi="Verdana"/>
          <w:sz w:val="22"/>
          <w:szCs w:val="22"/>
        </w:rPr>
      </w:pPr>
      <w:r w:rsidRPr="00AB2BDF">
        <w:rPr>
          <w:rFonts w:ascii="Verdana" w:eastAsia="Calibri" w:hAnsi="Verdana"/>
          <w:sz w:val="22"/>
          <w:szCs w:val="22"/>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w:t>
      </w:r>
      <w:proofErr w:type="spellStart"/>
      <w:r w:rsidRPr="00AB2BDF">
        <w:rPr>
          <w:rFonts w:ascii="Verdana" w:eastAsia="Calibri" w:hAnsi="Verdana"/>
          <w:sz w:val="22"/>
          <w:szCs w:val="22"/>
        </w:rPr>
        <w:t>N°</w:t>
      </w:r>
      <w:proofErr w:type="spellEnd"/>
      <w:r w:rsidRPr="00AB2BDF">
        <w:rPr>
          <w:rFonts w:ascii="Verdana" w:eastAsia="Calibri" w:hAnsi="Verdana"/>
          <w:sz w:val="22"/>
          <w:szCs w:val="22"/>
        </w:rPr>
        <w:t xml:space="preserve"> 469 del 2025 expedida por esta Agencia, responde su solicitud de consulta del 2 de septiembre de 2026, en la cual manifiesta lo siguiente: </w:t>
      </w:r>
    </w:p>
    <w:p w14:paraId="333DCF1B" w14:textId="77777777" w:rsidR="00957B4B" w:rsidRPr="00B47315" w:rsidRDefault="00957B4B" w:rsidP="00957B4B">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53F0996" w14:textId="77777777" w:rsidR="00957B4B" w:rsidRDefault="00957B4B" w:rsidP="00957B4B">
      <w:pPr>
        <w:ind w:left="709" w:right="709"/>
        <w:jc w:val="both"/>
        <w:rPr>
          <w:rFonts w:ascii="Verdana" w:eastAsia="Century Gothic" w:hAnsi="Verdana" w:cs="Century Gothic"/>
          <w:sz w:val="20"/>
          <w:szCs w:val="20"/>
          <w:lang w:val="es-ES"/>
        </w:rPr>
      </w:pPr>
      <w:bookmarkStart w:id="1" w:name="_Hlk95313578"/>
      <w:r w:rsidRPr="00740A82">
        <w:rPr>
          <w:rFonts w:ascii="Verdana" w:eastAsia="Century Gothic" w:hAnsi="Verdana" w:cs="Century Gothic"/>
          <w:sz w:val="20"/>
          <w:szCs w:val="20"/>
          <w:lang w:val="es-ES"/>
        </w:rPr>
        <w:t xml:space="preserve">“1. </w:t>
      </w:r>
      <w:r w:rsidRPr="000E2FE5">
        <w:rPr>
          <w:rFonts w:ascii="Verdana" w:eastAsia="Century Gothic" w:hAnsi="Verdana" w:cs="Century Gothic"/>
          <w:sz w:val="20"/>
          <w:szCs w:val="20"/>
          <w:lang w:val="es-ES"/>
        </w:rPr>
        <w:t>Para efectos de la aplicación de la Ley 80 de 1993, ¿una sociedad de economía mixta en la que el Estado tenga una participación superior al cincuenta por ciento (50 %) tiene la calidad de entidad estatal?</w:t>
      </w:r>
    </w:p>
    <w:p w14:paraId="3E5FA3F9" w14:textId="77777777" w:rsidR="00957B4B" w:rsidRDefault="00957B4B" w:rsidP="00957B4B">
      <w:pPr>
        <w:ind w:left="709" w:right="709"/>
        <w:jc w:val="both"/>
        <w:rPr>
          <w:rFonts w:ascii="Verdana" w:eastAsia="Century Gothic" w:hAnsi="Verdana" w:cs="Century Gothic"/>
          <w:sz w:val="20"/>
          <w:szCs w:val="20"/>
          <w:lang w:val="es-ES"/>
        </w:rPr>
      </w:pPr>
    </w:p>
    <w:p w14:paraId="7622512F" w14:textId="77777777" w:rsidR="00957B4B" w:rsidRDefault="00957B4B" w:rsidP="00957B4B">
      <w:pPr>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lastRenderedPageBreak/>
        <w:t xml:space="preserve">2. </w:t>
      </w:r>
      <w:r w:rsidRPr="000E2FE5">
        <w:rPr>
          <w:rFonts w:ascii="Verdana" w:eastAsia="Century Gothic" w:hAnsi="Verdana" w:cs="Century Gothic"/>
          <w:sz w:val="20"/>
          <w:szCs w:val="20"/>
          <w:lang w:val="es-ES"/>
        </w:rPr>
        <w:t>Para efectos de la aplicación de la Ley 80 de 1993, ¿una sociedad de economía mixta en la que el Estado tenga una participación igual o inferior al cincuenta por ciento (50 %) puede ser considerada entidad estatal?</w:t>
      </w:r>
    </w:p>
    <w:p w14:paraId="1D916E17" w14:textId="77777777" w:rsidR="00957B4B" w:rsidRDefault="00957B4B" w:rsidP="00957B4B">
      <w:pPr>
        <w:ind w:left="709" w:right="709"/>
        <w:jc w:val="both"/>
        <w:rPr>
          <w:rFonts w:ascii="Verdana" w:eastAsia="Century Gothic" w:hAnsi="Verdana" w:cs="Century Gothic"/>
          <w:sz w:val="20"/>
          <w:szCs w:val="20"/>
          <w:lang w:val="es-ES"/>
        </w:rPr>
      </w:pPr>
    </w:p>
    <w:p w14:paraId="6F391F20" w14:textId="77777777" w:rsidR="00957B4B" w:rsidRDefault="00957B4B" w:rsidP="00957B4B">
      <w:pPr>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3. </w:t>
      </w:r>
      <w:r w:rsidRPr="000E2FE5">
        <w:rPr>
          <w:rFonts w:ascii="Verdana" w:eastAsia="Century Gothic" w:hAnsi="Verdana" w:cs="Century Gothic"/>
          <w:sz w:val="20"/>
          <w:szCs w:val="20"/>
          <w:lang w:val="es-ES"/>
        </w:rPr>
        <w:t>¿El criterio de participación estatal superior al cincuenta por ciento (50 %) previsto en el artículo 2° de la Ley 80 de 1993 es aplicable exclusivamente para determinar la calidad de entidad estatal para efectos de dicha ley, o puede utilizarse como criterio general para determinar la naturaleza de una sociedad de economía mixta como entidad estatal dentro del ordenamiento jurídico colombiano?</w:t>
      </w:r>
    </w:p>
    <w:p w14:paraId="7D6C065B" w14:textId="77777777" w:rsidR="00957B4B" w:rsidRDefault="00957B4B" w:rsidP="00957B4B">
      <w:pPr>
        <w:ind w:left="709" w:right="709"/>
        <w:jc w:val="both"/>
        <w:rPr>
          <w:rFonts w:ascii="Verdana" w:eastAsia="Century Gothic" w:hAnsi="Verdana" w:cs="Century Gothic"/>
          <w:sz w:val="20"/>
          <w:szCs w:val="20"/>
          <w:lang w:val="es-ES"/>
        </w:rPr>
      </w:pPr>
    </w:p>
    <w:p w14:paraId="343CDB74" w14:textId="77777777" w:rsidR="00957B4B" w:rsidRDefault="00957B4B" w:rsidP="00957B4B">
      <w:pPr>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4. </w:t>
      </w:r>
      <w:r w:rsidRPr="00AA6D5F">
        <w:rPr>
          <w:rFonts w:ascii="Verdana" w:eastAsia="Century Gothic" w:hAnsi="Verdana" w:cs="Century Gothic"/>
          <w:sz w:val="20"/>
          <w:szCs w:val="20"/>
          <w:lang w:val="es-ES"/>
        </w:rPr>
        <w:t>Teniendo en cuenta que los artículos 38 y 68 de la Ley 489 de 1998 clasifican las sociedades de economía mixta como entidades descentralizadas por servicios, ¿dicha condición se encuentra igualmente determinada por una participación estatal superior al cincuenta por ciento (50 %), o una sociedad de economía mixta puede tener la naturaleza de entidad descentralizada aun cuando la participación estatal sea igual o inferior al 50 %?</w:t>
      </w:r>
    </w:p>
    <w:p w14:paraId="1DBBB780" w14:textId="77777777" w:rsidR="00957B4B" w:rsidRDefault="00957B4B" w:rsidP="00957B4B">
      <w:pPr>
        <w:ind w:left="709" w:right="709"/>
        <w:jc w:val="both"/>
        <w:rPr>
          <w:rFonts w:ascii="Verdana" w:eastAsia="Century Gothic" w:hAnsi="Verdana" w:cs="Century Gothic"/>
          <w:sz w:val="20"/>
          <w:szCs w:val="20"/>
          <w:lang w:val="es-ES"/>
        </w:rPr>
      </w:pPr>
    </w:p>
    <w:p w14:paraId="457B727B" w14:textId="77777777" w:rsidR="00957B4B" w:rsidRPr="00740A82" w:rsidRDefault="00957B4B" w:rsidP="00957B4B">
      <w:pPr>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5. </w:t>
      </w:r>
      <w:r w:rsidRPr="00AA6D5F">
        <w:rPr>
          <w:rFonts w:ascii="Verdana" w:eastAsia="Century Gothic" w:hAnsi="Verdana" w:cs="Century Gothic"/>
          <w:sz w:val="20"/>
          <w:szCs w:val="20"/>
          <w:lang w:val="es-ES"/>
        </w:rPr>
        <w:t>De conformidad con la normatividad vigente y para efectos de la contratación pública, ¿cuáles son los criterios que permiten determinar cuándo una sociedad de economía mixta tiene la calidad de entidad</w:t>
      </w:r>
      <w:r w:rsidRPr="009200B0">
        <w:t xml:space="preserve"> </w:t>
      </w:r>
      <w:r w:rsidRPr="009200B0">
        <w:rPr>
          <w:rFonts w:ascii="Verdana" w:eastAsia="Century Gothic" w:hAnsi="Verdana" w:cs="Century Gothic"/>
          <w:sz w:val="20"/>
          <w:szCs w:val="20"/>
          <w:lang w:val="es-ES"/>
        </w:rPr>
        <w:t>estatal y cuándo tiene la naturaleza de entidad descentralizada, precisando el fundamento normativo aplicable a cada categoría?</w:t>
      </w:r>
      <w:r w:rsidRPr="00740A82">
        <w:rPr>
          <w:rFonts w:ascii="Verdana" w:eastAsia="Century Gothic" w:hAnsi="Verdana" w:cs="Century Gothic"/>
          <w:sz w:val="20"/>
          <w:szCs w:val="20"/>
          <w:lang w:val="es-ES"/>
        </w:rPr>
        <w:t>”</w:t>
      </w:r>
      <w:bookmarkEnd w:id="1"/>
      <w:r w:rsidRPr="00740A82">
        <w:rPr>
          <w:rFonts w:ascii="Verdana" w:eastAsia="Century Gothic" w:hAnsi="Verdana" w:cs="Century Gothic"/>
          <w:sz w:val="20"/>
          <w:szCs w:val="20"/>
          <w:lang w:val="es-ES"/>
        </w:rPr>
        <w:t xml:space="preserve"> [SIC].</w:t>
      </w:r>
    </w:p>
    <w:p w14:paraId="2BE3AF61" w14:textId="77777777" w:rsidR="00957B4B" w:rsidRPr="00740A82" w:rsidRDefault="00957B4B" w:rsidP="00957B4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8CBD5C8" w14:textId="77777777" w:rsidR="00957B4B" w:rsidRPr="00AB2BDF" w:rsidRDefault="00957B4B" w:rsidP="00957B4B">
      <w:pPr>
        <w:spacing w:after="120" w:line="276" w:lineRule="auto"/>
        <w:ind w:firstLine="708"/>
        <w:jc w:val="both"/>
        <w:rPr>
          <w:rFonts w:ascii="Verdana" w:eastAsia="Calibri" w:hAnsi="Verdana" w:cs="Arial"/>
          <w:sz w:val="22"/>
          <w:szCs w:val="22"/>
          <w:lang w:val="es-ES_tradnl"/>
        </w:rPr>
      </w:pPr>
      <w:r w:rsidRPr="00AB2BDF">
        <w:rPr>
          <w:rFonts w:ascii="Verdana" w:eastAsia="Calibri" w:hAnsi="Verdana" w:cs="Arial"/>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B2BDF">
        <w:rPr>
          <w:rFonts w:ascii="Verdana" w:eastAsia="Calibri" w:hAnsi="Verdana" w:cs="Arial"/>
          <w:sz w:val="22"/>
          <w:szCs w:val="22"/>
          <w:lang w:val="es-ES_tradnl"/>
        </w:rPr>
        <w:tab/>
      </w:r>
    </w:p>
    <w:p w14:paraId="1ED546AE" w14:textId="77777777" w:rsidR="00957B4B" w:rsidRPr="00AB2BDF" w:rsidRDefault="00957B4B" w:rsidP="00957B4B">
      <w:pPr>
        <w:spacing w:line="276" w:lineRule="auto"/>
        <w:ind w:firstLine="708"/>
        <w:jc w:val="both"/>
        <w:rPr>
          <w:rFonts w:ascii="Verdana" w:eastAsia="Calibri" w:hAnsi="Verdana" w:cs="Arial"/>
          <w:sz w:val="22"/>
          <w:szCs w:val="22"/>
          <w:lang w:val="es-ES" w:eastAsia="es-ES"/>
        </w:rPr>
      </w:pPr>
      <w:r w:rsidRPr="00AB2BDF">
        <w:rPr>
          <w:rFonts w:ascii="Verdana" w:eastAsia="Calibri" w:hAnsi="Verdana" w:cs="Arial"/>
          <w:sz w:val="22"/>
          <w:szCs w:val="22"/>
          <w:lang w:val="es-ES" w:eastAsia="es-ES"/>
        </w:rPr>
        <w:t xml:space="preserve">Conforme lo expuesto, en aras de satisfacer el derecho fundamental de petición se resolverá su consulta dentro de los límites de la referida competencia </w:t>
      </w:r>
      <w:r w:rsidRPr="00AB2BDF">
        <w:rPr>
          <w:rFonts w:ascii="Verdana" w:eastAsia="Calibri" w:hAnsi="Verdana" w:cs="Arial"/>
          <w:sz w:val="22"/>
          <w:szCs w:val="22"/>
          <w:lang w:val="es-ES" w:eastAsia="es-ES"/>
        </w:rPr>
        <w:lastRenderedPageBreak/>
        <w:t xml:space="preserve">consultiva, esto es, haciendo algunas consideraciones sobre las normas generales relacionadas con el problema jurídico de su consulta. </w:t>
      </w:r>
    </w:p>
    <w:p w14:paraId="77053FB3" w14:textId="77777777" w:rsidR="00957B4B" w:rsidRPr="00AB2BDF" w:rsidRDefault="00957B4B" w:rsidP="0013318A">
      <w:pPr>
        <w:spacing w:line="276" w:lineRule="auto"/>
        <w:ind w:firstLine="709"/>
        <w:jc w:val="both"/>
        <w:rPr>
          <w:rFonts w:ascii="Verdana" w:eastAsia="Calibri" w:hAnsi="Verdana" w:cs="Arial"/>
          <w:sz w:val="22"/>
          <w:szCs w:val="22"/>
          <w:lang w:val="es-ES" w:eastAsia="es-ES"/>
        </w:rPr>
      </w:pPr>
    </w:p>
    <w:p w14:paraId="1F69A29A" w14:textId="77777777" w:rsidR="00957B4B" w:rsidRPr="00740A82" w:rsidRDefault="00957B4B" w:rsidP="00957B4B">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Problema planteado:</w:t>
      </w:r>
    </w:p>
    <w:p w14:paraId="328FA911" w14:textId="77777777" w:rsidR="00957B4B" w:rsidRPr="00AB2BDF" w:rsidRDefault="00957B4B" w:rsidP="000D2AC4">
      <w:pPr>
        <w:tabs>
          <w:tab w:val="left" w:pos="426"/>
        </w:tabs>
        <w:spacing w:line="276" w:lineRule="auto"/>
        <w:jc w:val="both"/>
        <w:rPr>
          <w:rFonts w:ascii="Verdana" w:eastAsia="Century Gothic" w:hAnsi="Verdana" w:cs="Century Gothic"/>
          <w:sz w:val="22"/>
          <w:szCs w:val="22"/>
          <w:lang w:val="es-ES"/>
        </w:rPr>
      </w:pPr>
    </w:p>
    <w:p w14:paraId="4C55B0B7" w14:textId="65DCF41B" w:rsidR="00957B4B" w:rsidRPr="00AB2BDF" w:rsidRDefault="00957B4B" w:rsidP="006773A2">
      <w:pPr>
        <w:spacing w:line="276" w:lineRule="auto"/>
        <w:jc w:val="both"/>
        <w:rPr>
          <w:rFonts w:ascii="Verdana" w:eastAsia="Century Gothic" w:hAnsi="Verdana" w:cs="Segoe UI"/>
          <w:sz w:val="22"/>
          <w:szCs w:val="22"/>
        </w:rPr>
      </w:pPr>
      <w:r w:rsidRPr="00AB2BDF">
        <w:rPr>
          <w:rFonts w:ascii="Verdana" w:eastAsia="Century Gothic" w:hAnsi="Verdana" w:cs="Century Gothic"/>
          <w:sz w:val="22"/>
          <w:szCs w:val="22"/>
        </w:rPr>
        <w:t>De acuerdo con el contenido de su solicitud, esta Agencia resolverá el siguiente problema jurídico: ¿Cuál es la naturaleza jurídica de una sociedad de economía mixta cuya participación proveniente del Estado es mayor o inferior al cincuenta por ciento (50</w:t>
      </w:r>
      <w:proofErr w:type="gramStart"/>
      <w:r w:rsidRPr="00AB2BDF">
        <w:rPr>
          <w:rFonts w:ascii="Verdana" w:eastAsia="Century Gothic" w:hAnsi="Verdana" w:cs="Century Gothic"/>
          <w:sz w:val="22"/>
          <w:szCs w:val="22"/>
        </w:rPr>
        <w:t>%)?</w:t>
      </w:r>
      <w:r w:rsidR="005F762F" w:rsidRPr="00AB2BDF">
        <w:rPr>
          <w:rFonts w:ascii="Verdana" w:eastAsia="Century Gothic" w:hAnsi="Verdana" w:cs="Century Gothic"/>
          <w:sz w:val="22"/>
          <w:szCs w:val="22"/>
        </w:rPr>
        <w:t>;</w:t>
      </w:r>
      <w:proofErr w:type="gramEnd"/>
      <w:r w:rsidR="005F762F" w:rsidRPr="00AB2BDF">
        <w:rPr>
          <w:rFonts w:ascii="Verdana" w:eastAsia="Century Gothic" w:hAnsi="Verdana" w:cs="Century Gothic"/>
          <w:sz w:val="22"/>
          <w:szCs w:val="22"/>
        </w:rPr>
        <w:t xml:space="preserve"> ii) </w:t>
      </w:r>
      <w:r w:rsidR="005F762F" w:rsidRPr="00AB2BDF">
        <w:rPr>
          <w:rFonts w:ascii="Verdana" w:hAnsi="Verdana" w:cs="Segoe UI"/>
          <w:sz w:val="22"/>
          <w:szCs w:val="22"/>
        </w:rPr>
        <w:t xml:space="preserve">¿El criterio del </w:t>
      </w:r>
      <w:r w:rsidR="005F762F" w:rsidRPr="006773A2">
        <w:rPr>
          <w:rFonts w:ascii="Verdana" w:hAnsi="Verdana" w:cs="Segoe UI"/>
          <w:sz w:val="22"/>
          <w:szCs w:val="22"/>
        </w:rPr>
        <w:t>cincuenta por ciento (</w:t>
      </w:r>
      <w:r w:rsidR="005F762F" w:rsidRPr="00AB2BDF">
        <w:rPr>
          <w:rFonts w:ascii="Verdana" w:hAnsi="Verdana" w:cs="Segoe UI"/>
          <w:sz w:val="22"/>
          <w:szCs w:val="22"/>
        </w:rPr>
        <w:t>50%</w:t>
      </w:r>
      <w:r w:rsidR="005F762F" w:rsidRPr="006773A2">
        <w:rPr>
          <w:rFonts w:ascii="Verdana" w:hAnsi="Verdana" w:cs="Segoe UI"/>
          <w:sz w:val="22"/>
          <w:szCs w:val="22"/>
        </w:rPr>
        <w:t>)</w:t>
      </w:r>
      <w:r w:rsidR="005F762F" w:rsidRPr="00AB2BDF">
        <w:rPr>
          <w:rFonts w:ascii="Verdana" w:hAnsi="Verdana" w:cs="Segoe UI"/>
          <w:sz w:val="22"/>
          <w:szCs w:val="22"/>
        </w:rPr>
        <w:t xml:space="preserve"> puede utilizarse como criterio general para determinar la naturaleza jurídica de una sociedad de economía mixta en todo el ordenamiento?</w:t>
      </w:r>
    </w:p>
    <w:p w14:paraId="0E693786" w14:textId="77777777" w:rsidR="00957B4B" w:rsidRPr="00AB2BDF" w:rsidRDefault="00957B4B" w:rsidP="00FE6C79">
      <w:pPr>
        <w:spacing w:line="276" w:lineRule="auto"/>
        <w:jc w:val="both"/>
        <w:rPr>
          <w:rFonts w:ascii="Verdana" w:eastAsia="Calibri" w:hAnsi="Verdana" w:cs="Arial"/>
          <w:sz w:val="22"/>
          <w:szCs w:val="22"/>
        </w:rPr>
      </w:pPr>
    </w:p>
    <w:p w14:paraId="7583B764" w14:textId="77777777" w:rsidR="00957B4B" w:rsidRPr="00740A82" w:rsidRDefault="00957B4B" w:rsidP="00957B4B">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Respuesta:</w:t>
      </w:r>
    </w:p>
    <w:p w14:paraId="591F5B82" w14:textId="77777777" w:rsidR="00957B4B" w:rsidRPr="00AB2BDF" w:rsidRDefault="00957B4B" w:rsidP="00D8057C">
      <w:pPr>
        <w:tabs>
          <w:tab w:val="left" w:pos="142"/>
          <w:tab w:val="left" w:pos="284"/>
        </w:tabs>
        <w:spacing w:line="276" w:lineRule="auto"/>
        <w:jc w:val="both"/>
        <w:rPr>
          <w:rFonts w:ascii="Verdana" w:eastAsia="Century Gothic" w:hAnsi="Verdana" w:cs="Century Gothic"/>
          <w:b/>
          <w:sz w:val="22"/>
          <w:szCs w:val="2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7B4B" w:rsidRPr="00740A82" w14:paraId="62C1BDAA" w14:textId="77777777" w:rsidTr="00AB2BDF">
        <w:tc>
          <w:tcPr>
            <w:tcW w:w="8828" w:type="dxa"/>
          </w:tcPr>
          <w:p w14:paraId="23065E86" w14:textId="4529EADE" w:rsidR="00957B4B" w:rsidRPr="00AB2BDF" w:rsidRDefault="00957B4B" w:rsidP="00AA1403">
            <w:pPr>
              <w:spacing w:after="120" w:line="276" w:lineRule="auto"/>
              <w:jc w:val="both"/>
              <w:textAlignment w:val="baseline"/>
              <w:rPr>
                <w:rFonts w:ascii="Verdana" w:hAnsi="Verdana" w:cs="Arial"/>
                <w:sz w:val="22"/>
                <w:szCs w:val="22"/>
                <w:lang w:val="es-ES" w:eastAsia="es-MX"/>
              </w:rPr>
            </w:pPr>
            <w:r w:rsidRPr="00AB2BDF">
              <w:rPr>
                <w:rFonts w:ascii="Verdana" w:hAnsi="Verdana" w:cs="Arial"/>
                <w:sz w:val="22"/>
                <w:szCs w:val="22"/>
                <w:lang w:val="es-ES" w:eastAsia="es-MX"/>
              </w:rPr>
              <w:t xml:space="preserve">El artículo 14 de la Ley 1150 de 2007 – modificado por el artículo 93 de la Ley 1474 de 2011 – dispone que las sociedades de economía mixta en las que el Estado tenga participación superior al cincuenta por ciento (50%) y sus filiales que cuenten con participación mayoritaria del Estado superior al cincuenta por ciento (50%) estarán sometidas al </w:t>
            </w:r>
            <w:r w:rsidR="00BF73F8" w:rsidRPr="00D8057C">
              <w:rPr>
                <w:rFonts w:ascii="Verdana" w:hAnsi="Verdana" w:cs="Arial"/>
                <w:sz w:val="22"/>
                <w:szCs w:val="22"/>
                <w:lang w:val="es-ES" w:eastAsia="es-MX"/>
              </w:rPr>
              <w:t xml:space="preserve">Estatuto General de Contratación de la </w:t>
            </w:r>
            <w:r w:rsidR="00FE6C79" w:rsidRPr="00D8057C">
              <w:rPr>
                <w:rFonts w:ascii="Verdana" w:hAnsi="Verdana" w:cs="Arial"/>
                <w:sz w:val="22"/>
                <w:szCs w:val="22"/>
                <w:lang w:val="es-ES" w:eastAsia="es-MX"/>
              </w:rPr>
              <w:t>Administración</w:t>
            </w:r>
            <w:r w:rsidR="00BF73F8" w:rsidRPr="00D8057C">
              <w:rPr>
                <w:rFonts w:ascii="Verdana" w:hAnsi="Verdana" w:cs="Arial"/>
                <w:sz w:val="22"/>
                <w:szCs w:val="22"/>
                <w:lang w:val="es-ES" w:eastAsia="es-MX"/>
              </w:rPr>
              <w:t xml:space="preserve"> P</w:t>
            </w:r>
            <w:r w:rsidR="00BF73F8" w:rsidRPr="00C37EAA">
              <w:rPr>
                <w:rFonts w:ascii="Verdana" w:hAnsi="Verdana" w:cs="Arial"/>
                <w:sz w:val="22"/>
                <w:szCs w:val="22"/>
                <w:lang w:val="es-ES" w:eastAsia="es-MX"/>
              </w:rPr>
              <w:t xml:space="preserve">ública – </w:t>
            </w:r>
            <w:r w:rsidR="00BF73F8" w:rsidRPr="006C3DD1">
              <w:rPr>
                <w:rFonts w:ascii="Verdana" w:hAnsi="Verdana" w:cs="Arial"/>
                <w:sz w:val="22"/>
                <w:szCs w:val="22"/>
                <w:lang w:val="es-ES" w:eastAsia="es-MX"/>
              </w:rPr>
              <w:t xml:space="preserve">en </w:t>
            </w:r>
            <w:r w:rsidR="00BF73F8" w:rsidRPr="00D8057C">
              <w:rPr>
                <w:rFonts w:ascii="Verdana" w:hAnsi="Verdana" w:cs="Arial"/>
                <w:sz w:val="22"/>
                <w:szCs w:val="22"/>
                <w:lang w:val="es-ES" w:eastAsia="es-MX"/>
              </w:rPr>
              <w:t xml:space="preserve">adelante </w:t>
            </w:r>
            <w:r w:rsidRPr="00AB2BDF">
              <w:rPr>
                <w:rFonts w:ascii="Verdana" w:hAnsi="Verdana" w:cs="Arial"/>
                <w:sz w:val="22"/>
                <w:szCs w:val="22"/>
                <w:lang w:val="es-ES" w:eastAsia="es-MX"/>
              </w:rPr>
              <w:t>EGCAP</w:t>
            </w:r>
            <w:r w:rsidR="00BF73F8" w:rsidRPr="00D8057C">
              <w:rPr>
                <w:rFonts w:ascii="Verdana" w:hAnsi="Verdana" w:cs="Arial"/>
                <w:sz w:val="22"/>
                <w:szCs w:val="22"/>
                <w:lang w:val="es-ES" w:eastAsia="es-MX"/>
              </w:rPr>
              <w:t xml:space="preserve"> -</w:t>
            </w:r>
            <w:r w:rsidRPr="00AB2BDF">
              <w:rPr>
                <w:rFonts w:ascii="Verdana" w:hAnsi="Verdana" w:cs="Arial"/>
                <w:sz w:val="22"/>
                <w:szCs w:val="22"/>
                <w:lang w:val="es-ES" w:eastAsia="es-MX"/>
              </w:rPr>
              <w:t xml:space="preserve">,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w:t>
            </w:r>
          </w:p>
          <w:p w14:paraId="2A95E40E" w14:textId="77777777" w:rsidR="00D8057C" w:rsidRPr="00AB2BDF" w:rsidRDefault="00D8057C" w:rsidP="00AB2BDF">
            <w:pPr>
              <w:pStyle w:val="NormalWeb"/>
              <w:spacing w:before="0" w:beforeAutospacing="0" w:after="120" w:afterAutospacing="0" w:line="276" w:lineRule="auto"/>
              <w:ind w:firstLine="709"/>
              <w:jc w:val="both"/>
              <w:rPr>
                <w:rFonts w:ascii="Verdana" w:hAnsi="Verdana" w:cs="Segoe UI"/>
                <w:sz w:val="22"/>
                <w:szCs w:val="22"/>
              </w:rPr>
            </w:pPr>
            <w:r w:rsidRPr="00AB2BDF">
              <w:rPr>
                <w:rFonts w:ascii="Verdana" w:hAnsi="Verdana" w:cs="Segoe UI"/>
                <w:sz w:val="22"/>
                <w:szCs w:val="22"/>
              </w:rPr>
              <w:t>Por su parte, la Ley 489 de 1998, en sus artículos 38 y 68, clasifica a las sociedades de economía mixta como entidades descentralizadas por servicios, dotadas de personería jurídica, autonomía administrativa y patrimonio propio, que pueden existir en el orden nacional, departamental o municipal, según el órgano competente para su creación o autorización.</w:t>
            </w:r>
          </w:p>
          <w:p w14:paraId="535AB9E3" w14:textId="3EC0270A" w:rsidR="00D8057C" w:rsidRPr="00AB2BDF" w:rsidRDefault="00D8057C" w:rsidP="00AB2BDF">
            <w:pPr>
              <w:pStyle w:val="NormalWeb"/>
              <w:spacing w:before="0" w:beforeAutospacing="0" w:after="120" w:afterAutospacing="0" w:line="276" w:lineRule="auto"/>
              <w:ind w:firstLine="709"/>
              <w:jc w:val="both"/>
              <w:rPr>
                <w:rFonts w:ascii="Verdana" w:hAnsi="Verdana" w:cs="Segoe UI"/>
                <w:sz w:val="22"/>
                <w:szCs w:val="22"/>
              </w:rPr>
            </w:pPr>
            <w:r w:rsidRPr="00AB2BDF">
              <w:rPr>
                <w:rFonts w:ascii="Verdana" w:hAnsi="Verdana" w:cs="Segoe UI"/>
                <w:sz w:val="22"/>
                <w:szCs w:val="22"/>
              </w:rPr>
              <w:t xml:space="preserve">En relación con la naturaleza jurídica de estas entidades, la jurisprudencia constitucional ha señalado que la sociedad de economía mixta se caracteriza por la concurrencia de aportes públicos y privados en su capital social y por su pertenencia a la estructura de la Administración Pública como manifestación de la descentralización por servicios. En ese sentido, la Corte Constitucional ha precisado que la naturaleza jurídica de estas entidades no depende exclusivamente de que la participación estatal sea superior al </w:t>
            </w:r>
            <w:r w:rsidRPr="00AB2BDF">
              <w:rPr>
                <w:rFonts w:ascii="Verdana" w:hAnsi="Verdana" w:cs="Segoe UI"/>
                <w:sz w:val="22"/>
                <w:szCs w:val="22"/>
              </w:rPr>
              <w:lastRenderedPageBreak/>
              <w:t>cincuenta por ciento (50%), sino de la concurrencia de capital público y privado en una entidad creada o autorizada de conformidad con la Constitución y la ley.</w:t>
            </w:r>
          </w:p>
          <w:p w14:paraId="5A9A1A45" w14:textId="08FA9D98" w:rsidR="00D8057C" w:rsidRPr="00AB2BDF" w:rsidRDefault="00D8057C" w:rsidP="00AB2BDF">
            <w:pPr>
              <w:pStyle w:val="NormalWeb"/>
              <w:spacing w:before="0" w:beforeAutospacing="0" w:after="120" w:afterAutospacing="0" w:line="276" w:lineRule="auto"/>
              <w:ind w:firstLine="709"/>
              <w:jc w:val="both"/>
              <w:rPr>
                <w:rFonts w:ascii="Verdana" w:hAnsi="Verdana" w:cs="Segoe UI"/>
                <w:sz w:val="22"/>
                <w:szCs w:val="22"/>
              </w:rPr>
            </w:pPr>
            <w:r w:rsidRPr="00AB2BDF">
              <w:rPr>
                <w:rFonts w:ascii="Verdana" w:hAnsi="Verdana" w:cs="Segoe UI"/>
                <w:sz w:val="22"/>
                <w:szCs w:val="22"/>
              </w:rPr>
              <w:t xml:space="preserve">Por otra parte, el artículo 2 de la Ley 80 de 1993 establece expresamente que la definición de entidad estatal allí prevista opera </w:t>
            </w:r>
            <w:r w:rsidRPr="00AB2BDF">
              <w:rPr>
                <w:rFonts w:ascii="Verdana" w:hAnsi="Verdana" w:cs="Segoe UI"/>
                <w:i/>
                <w:iCs/>
                <w:sz w:val="22"/>
                <w:szCs w:val="22"/>
              </w:rPr>
              <w:t xml:space="preserve">"para los solos efectos de esta ley". </w:t>
            </w:r>
            <w:r w:rsidRPr="00AB2BDF">
              <w:rPr>
                <w:rFonts w:ascii="Verdana" w:hAnsi="Verdana" w:cs="Segoe UI"/>
                <w:sz w:val="22"/>
                <w:szCs w:val="22"/>
              </w:rPr>
              <w:t>En tal virtud, el legislador dispuso que tienen la calidad de entidades estatales las sociedades de economía mixta en las que el Estado tenga participación superior al cincuenta por ciento (50%), con el propósito de definir el ámbito subjetivo de aplicación del Estatuto General de Contratación de la Administración Pública.</w:t>
            </w:r>
          </w:p>
          <w:p w14:paraId="64EEBCFB" w14:textId="2922939C" w:rsidR="00D8057C" w:rsidRPr="00AB2BDF" w:rsidRDefault="00D8057C" w:rsidP="00AB2BDF">
            <w:pPr>
              <w:pStyle w:val="NormalWeb"/>
              <w:spacing w:before="0" w:beforeAutospacing="0" w:after="120" w:afterAutospacing="0" w:line="276" w:lineRule="auto"/>
              <w:ind w:firstLine="709"/>
              <w:jc w:val="both"/>
              <w:rPr>
                <w:rFonts w:ascii="Verdana" w:hAnsi="Verdana" w:cs="Segoe UI"/>
                <w:sz w:val="22"/>
                <w:szCs w:val="22"/>
              </w:rPr>
            </w:pPr>
            <w:r w:rsidRPr="00AB2BDF">
              <w:rPr>
                <w:rFonts w:ascii="Verdana" w:hAnsi="Verdana" w:cs="Segoe UI"/>
                <w:sz w:val="22"/>
                <w:szCs w:val="22"/>
              </w:rPr>
              <w:t xml:space="preserve">De lo anterior se concluye que las sociedades de economía mixta con participación estatal superior al cincuenta por ciento (50%) tienen la calidad de entidades estatales para efectos de la Ley 80 de 1993 y, por tanto, se encuentran sometidas al </w:t>
            </w:r>
            <w:r w:rsidR="006C3DD1">
              <w:rPr>
                <w:rFonts w:ascii="Verdana" w:hAnsi="Verdana" w:cs="Segoe UI"/>
                <w:sz w:val="22"/>
                <w:szCs w:val="22"/>
              </w:rPr>
              <w:t>EGCAP</w:t>
            </w:r>
            <w:r w:rsidRPr="00AB2BDF">
              <w:rPr>
                <w:rFonts w:ascii="Verdana" w:hAnsi="Verdana" w:cs="Segoe UI"/>
                <w:sz w:val="22"/>
                <w:szCs w:val="22"/>
              </w:rPr>
              <w:t>, sin perjuicio de las excepciones previstas en el artículo 14 de la Ley 1150 de 2007. Por el contrario, las sociedades de economía mixta con participación estatal igual o inferior al cincuenta por ciento (50 %) no tienen la calidad de entidades estatales para los efectos previstos en el artículo 2 de la Ley 80 de 1993.</w:t>
            </w:r>
          </w:p>
          <w:p w14:paraId="35D4C2F3" w14:textId="77777777" w:rsidR="00D8057C" w:rsidRPr="00AB2BDF" w:rsidRDefault="00D8057C" w:rsidP="00AB2BDF">
            <w:pPr>
              <w:pStyle w:val="NormalWeb"/>
              <w:spacing w:before="0" w:beforeAutospacing="0" w:after="120" w:afterAutospacing="0" w:line="276" w:lineRule="auto"/>
              <w:ind w:firstLine="709"/>
              <w:jc w:val="both"/>
              <w:rPr>
                <w:rFonts w:ascii="Verdana" w:hAnsi="Verdana" w:cs="Segoe UI"/>
                <w:sz w:val="22"/>
                <w:szCs w:val="22"/>
              </w:rPr>
            </w:pPr>
            <w:r w:rsidRPr="00AB2BDF">
              <w:rPr>
                <w:rFonts w:ascii="Verdana" w:hAnsi="Verdana" w:cs="Segoe UI"/>
                <w:sz w:val="22"/>
                <w:szCs w:val="22"/>
              </w:rPr>
              <w:t>Ahora bien, el criterio de participación estatal superior al cincuenta por ciento (50 %) constituye una regla especial establecida por el legislador para determinar cuándo una sociedad de economía mixta tiene la calidad de entidad estatal para efectos de la contratación pública. En consecuencia, dicho criterio no puede utilizarse de manera automática ni como parámetro general para definir la naturaleza jurídica de las sociedades de economía mixta dentro de todo el ordenamiento jurídico.</w:t>
            </w:r>
          </w:p>
          <w:p w14:paraId="02F09646" w14:textId="6823E578" w:rsidR="00957B4B" w:rsidRPr="00C4684A" w:rsidRDefault="00D8057C" w:rsidP="00AA1403">
            <w:pPr>
              <w:pStyle w:val="NormalWeb"/>
              <w:spacing w:before="0" w:beforeAutospacing="0" w:after="120" w:afterAutospacing="0" w:line="276" w:lineRule="auto"/>
              <w:ind w:firstLine="709"/>
              <w:jc w:val="both"/>
              <w:rPr>
                <w:rFonts w:ascii="Verdana" w:hAnsi="Verdana" w:cs="Arial"/>
                <w:sz w:val="22"/>
                <w:szCs w:val="22"/>
                <w:lang w:val="es-ES_tradnl" w:eastAsia="es-MX"/>
              </w:rPr>
            </w:pPr>
            <w:r w:rsidRPr="00AB2BDF">
              <w:rPr>
                <w:rFonts w:ascii="Verdana" w:hAnsi="Verdana" w:cs="Segoe UI"/>
                <w:sz w:val="22"/>
                <w:szCs w:val="22"/>
              </w:rPr>
              <w:t xml:space="preserve">Por consiguiente, la calidad de entidad estatal para efectos de la Ley 80 de 1993 y la condición de entidad descentralizada prevista en la Ley 489 de 1998 corresponden a categorías jurídicas distintas, con fundamentos normativos y finalidades diferentes. Mientras la primera se determina conforme al artículo 2 de la Ley 80 de 1993 para establecer el ámbito de aplicación del régimen de contratación estatal, la segunda deriva de las disposiciones constitucionales y legales que regulan la organización administrativa del Estado y la ubicación de las sociedades de economía mixta dentro del sector descentralizado por servicios. </w:t>
            </w:r>
          </w:p>
        </w:tc>
      </w:tr>
    </w:tbl>
    <w:p w14:paraId="3D96127B" w14:textId="77777777" w:rsidR="00957B4B" w:rsidRPr="00AB2BDF" w:rsidRDefault="00957B4B" w:rsidP="00B36C42">
      <w:pPr>
        <w:tabs>
          <w:tab w:val="left" w:pos="142"/>
          <w:tab w:val="left" w:pos="284"/>
        </w:tabs>
        <w:spacing w:line="276" w:lineRule="auto"/>
        <w:jc w:val="both"/>
        <w:rPr>
          <w:rFonts w:ascii="Verdana" w:eastAsia="Century Gothic" w:hAnsi="Verdana" w:cs="Century Gothic"/>
          <w:b/>
          <w:sz w:val="22"/>
          <w:szCs w:val="22"/>
        </w:rPr>
      </w:pPr>
    </w:p>
    <w:p w14:paraId="414FBC7E" w14:textId="77777777" w:rsidR="00957B4B" w:rsidRPr="00740A82" w:rsidRDefault="00957B4B" w:rsidP="00957B4B">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lastRenderedPageBreak/>
        <w:t>Razones de la respuesta:</w:t>
      </w:r>
    </w:p>
    <w:p w14:paraId="2AFF1660" w14:textId="77777777" w:rsidR="00957B4B" w:rsidRPr="00AB2BDF" w:rsidRDefault="00957B4B" w:rsidP="000D2AC4">
      <w:pPr>
        <w:spacing w:line="276" w:lineRule="auto"/>
        <w:jc w:val="both"/>
        <w:rPr>
          <w:rFonts w:ascii="Verdana" w:eastAsia="Calibri" w:hAnsi="Verdana" w:cs="Arial"/>
          <w:sz w:val="22"/>
          <w:szCs w:val="22"/>
          <w:lang w:val="es-ES"/>
        </w:rPr>
      </w:pPr>
    </w:p>
    <w:p w14:paraId="170A2A3C" w14:textId="77777777" w:rsidR="00957B4B" w:rsidRPr="00AB2BDF" w:rsidRDefault="00957B4B" w:rsidP="006773A2">
      <w:pPr>
        <w:spacing w:line="276" w:lineRule="auto"/>
        <w:jc w:val="both"/>
        <w:rPr>
          <w:rFonts w:ascii="Verdana" w:eastAsia="Calibri" w:hAnsi="Verdana" w:cs="Arial"/>
          <w:sz w:val="22"/>
          <w:szCs w:val="22"/>
          <w:lang w:val="es-ES"/>
        </w:rPr>
      </w:pPr>
      <w:r w:rsidRPr="00AB2BDF">
        <w:rPr>
          <w:rFonts w:ascii="Verdana" w:eastAsia="Calibri" w:hAnsi="Verdana" w:cs="Arial"/>
          <w:sz w:val="22"/>
          <w:szCs w:val="22"/>
          <w:lang w:val="es-ES"/>
        </w:rPr>
        <w:t xml:space="preserve">Lo anterior se sustenta en las siguientes consideraciones: </w:t>
      </w:r>
    </w:p>
    <w:p w14:paraId="7C02EC9A" w14:textId="77777777" w:rsidR="00957B4B" w:rsidRPr="00AB2BDF" w:rsidRDefault="00957B4B" w:rsidP="00FE6C79">
      <w:pPr>
        <w:spacing w:line="276" w:lineRule="auto"/>
        <w:jc w:val="both"/>
        <w:rPr>
          <w:rFonts w:ascii="Verdana" w:eastAsia="Calibri" w:hAnsi="Verdana" w:cs="Arial"/>
          <w:sz w:val="22"/>
          <w:szCs w:val="22"/>
          <w:lang w:val="es-ES"/>
        </w:rPr>
      </w:pPr>
    </w:p>
    <w:p w14:paraId="173BC19D" w14:textId="44272B86" w:rsidR="00957B4B" w:rsidRPr="00AB2BDF" w:rsidRDefault="00957B4B" w:rsidP="00957B4B">
      <w:pPr>
        <w:autoSpaceDE w:val="0"/>
        <w:autoSpaceDN w:val="0"/>
        <w:adjustRightInd w:val="0"/>
        <w:spacing w:after="120" w:line="276" w:lineRule="auto"/>
        <w:jc w:val="both"/>
        <w:rPr>
          <w:rFonts w:ascii="Verdana" w:hAnsi="Verdana" w:cs="Arial"/>
          <w:sz w:val="22"/>
          <w:szCs w:val="22"/>
          <w:lang w:val="es-ES_tradnl" w:eastAsia="es-MX"/>
        </w:rPr>
      </w:pPr>
      <w:r w:rsidRPr="00AB2BDF">
        <w:rPr>
          <w:rFonts w:ascii="Verdana" w:hAnsi="Verdana" w:cs="Arial"/>
          <w:color w:val="000000" w:themeColor="text1"/>
          <w:sz w:val="22"/>
          <w:szCs w:val="22"/>
          <w:lang w:val="es-ES_tradnl"/>
        </w:rPr>
        <w:t>En nuestro ordenamiento jurídico, el</w:t>
      </w:r>
      <w:r w:rsidRPr="00AB2BDF">
        <w:rPr>
          <w:rFonts w:ascii="Verdana" w:hAnsi="Verdana" w:cs="Arial"/>
          <w:sz w:val="22"/>
          <w:szCs w:val="22"/>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w:t>
      </w:r>
      <w:r w:rsidRPr="00AB2BDF">
        <w:rPr>
          <w:rFonts w:ascii="Verdana" w:hAnsi="Verdana" w:cs="Arial"/>
          <w:sz w:val="22"/>
          <w:szCs w:val="22"/>
          <w:lang w:val="es-ES_tradnl" w:eastAsia="es-MX"/>
        </w:rPr>
        <w:t xml:space="preserve">En </w:t>
      </w:r>
      <w:r w:rsidR="001F321C" w:rsidRPr="00AB2BDF">
        <w:rPr>
          <w:rFonts w:ascii="Verdana" w:hAnsi="Verdana" w:cs="Arial"/>
          <w:sz w:val="22"/>
          <w:szCs w:val="22"/>
          <w:lang w:val="es-ES_tradnl" w:eastAsia="es-MX"/>
        </w:rPr>
        <w:t>concordancia con lo anterior</w:t>
      </w:r>
      <w:r w:rsidRPr="00AB2BDF">
        <w:rPr>
          <w:rFonts w:ascii="Verdana" w:hAnsi="Verdana" w:cs="Arial"/>
          <w:sz w:val="22"/>
          <w:szCs w:val="22"/>
          <w:lang w:val="es-ES_tradnl" w:eastAsia="es-MX"/>
        </w:rPr>
        <w:t>, la misma Ley, en los artículos 38 y 68, clasifica a las sociedades de economía mixta como entidades descentralizadas por servicios, con personería jurídica, autonomía administrativa y patrimonio propio</w:t>
      </w:r>
      <w:r w:rsidRPr="00AB2BDF">
        <w:rPr>
          <w:rStyle w:val="Refdenotaalpie"/>
          <w:rFonts w:ascii="Verdana" w:hAnsi="Verdana" w:cs="Arial"/>
          <w:sz w:val="22"/>
          <w:szCs w:val="22"/>
          <w:lang w:val="es-ES_tradnl" w:eastAsia="es-MX"/>
        </w:rPr>
        <w:footnoteReference w:id="1"/>
      </w:r>
      <w:r w:rsidRPr="00AB2BDF">
        <w:rPr>
          <w:rFonts w:ascii="Verdana" w:hAnsi="Verdana" w:cs="Arial"/>
          <w:sz w:val="22"/>
          <w:szCs w:val="22"/>
          <w:lang w:val="es-ES_tradnl" w:eastAsia="es-MX"/>
        </w:rPr>
        <w:t>, que pueden ser del orden nacional, departamental o municipal, según su órgano de creación</w:t>
      </w:r>
      <w:r w:rsidRPr="00AB2BDF">
        <w:rPr>
          <w:rStyle w:val="Refdenotaalpie"/>
          <w:rFonts w:ascii="Verdana" w:hAnsi="Verdana" w:cs="Arial"/>
          <w:sz w:val="22"/>
          <w:szCs w:val="22"/>
          <w:lang w:val="es-ES_tradnl" w:eastAsia="es-MX"/>
        </w:rPr>
        <w:footnoteReference w:id="2"/>
      </w:r>
      <w:r w:rsidRPr="00AB2BDF">
        <w:rPr>
          <w:rFonts w:ascii="Verdana" w:hAnsi="Verdana" w:cs="Arial"/>
          <w:sz w:val="22"/>
          <w:szCs w:val="22"/>
          <w:lang w:val="es-ES_tradnl" w:eastAsia="es-MX"/>
        </w:rPr>
        <w:t xml:space="preserve">. </w:t>
      </w:r>
    </w:p>
    <w:p w14:paraId="6A7F6CA3" w14:textId="77777777" w:rsidR="00957B4B" w:rsidRPr="00AB2BDF" w:rsidRDefault="00957B4B" w:rsidP="00957B4B">
      <w:pPr>
        <w:autoSpaceDE w:val="0"/>
        <w:autoSpaceDN w:val="0"/>
        <w:adjustRightInd w:val="0"/>
        <w:spacing w:after="120" w:line="276" w:lineRule="auto"/>
        <w:ind w:firstLine="708"/>
        <w:jc w:val="both"/>
        <w:rPr>
          <w:rFonts w:ascii="Verdana" w:hAnsi="Verdana" w:cs="Arial"/>
          <w:sz w:val="22"/>
          <w:szCs w:val="22"/>
          <w:lang w:val="es-ES" w:eastAsia="es-MX"/>
        </w:rPr>
      </w:pPr>
      <w:r w:rsidRPr="00AB2BDF">
        <w:rPr>
          <w:rFonts w:ascii="Verdana" w:hAnsi="Verdana" w:cs="Arial"/>
          <w:sz w:val="22"/>
          <w:szCs w:val="22"/>
          <w:lang w:val="es-ES" w:eastAsia="es-MX"/>
        </w:rPr>
        <w:t xml:space="preserve">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AB2BDF">
        <w:rPr>
          <w:rFonts w:ascii="Verdana" w:hAnsi="Verdana" w:cs="Arial"/>
          <w:sz w:val="22"/>
          <w:szCs w:val="22"/>
          <w:lang w:val="es-ES" w:eastAsia="es-MX"/>
        </w:rPr>
        <w:t>ii</w:t>
      </w:r>
      <w:proofErr w:type="spellEnd"/>
      <w:r w:rsidRPr="00AB2BDF">
        <w:rPr>
          <w:rFonts w:ascii="Verdana" w:hAnsi="Verdana" w:cs="Arial"/>
          <w:sz w:val="22"/>
          <w:szCs w:val="22"/>
          <w:lang w:val="es-ES" w:eastAsia="es-MX"/>
        </w:rPr>
        <w:t xml:space="preserve">) están sujetas al control fiscal, financiero, de gestión y de resultados en cabeza de la Contraloría General de la República. Por otra parte, </w:t>
      </w:r>
      <w:proofErr w:type="spellStart"/>
      <w:r w:rsidRPr="00AB2BDF">
        <w:rPr>
          <w:rFonts w:ascii="Verdana" w:hAnsi="Verdana" w:cs="Arial"/>
          <w:sz w:val="22"/>
          <w:szCs w:val="22"/>
          <w:lang w:val="es-ES" w:eastAsia="es-MX"/>
        </w:rPr>
        <w:t>iii</w:t>
      </w:r>
      <w:proofErr w:type="spellEnd"/>
      <w:r w:rsidRPr="00AB2BDF">
        <w:rPr>
          <w:rFonts w:ascii="Verdana" w:hAnsi="Verdana" w:cs="Arial"/>
          <w:sz w:val="22"/>
          <w:szCs w:val="22"/>
          <w:lang w:val="es-ES" w:eastAsia="es-MX"/>
        </w:rPr>
        <w:t xml:space="preserve">) se someten al control político, que ejerce directamente el Congreso de la República. Además, </w:t>
      </w:r>
      <w:proofErr w:type="spellStart"/>
      <w:r w:rsidRPr="00AB2BDF">
        <w:rPr>
          <w:rFonts w:ascii="Verdana" w:hAnsi="Verdana" w:cs="Arial"/>
          <w:sz w:val="22"/>
          <w:szCs w:val="22"/>
          <w:lang w:val="es-ES" w:eastAsia="es-MX"/>
        </w:rPr>
        <w:t>iv</w:t>
      </w:r>
      <w:proofErr w:type="spellEnd"/>
      <w:r w:rsidRPr="00AB2BDF">
        <w:rPr>
          <w:rFonts w:ascii="Verdana" w:hAnsi="Verdana" w:cs="Arial"/>
          <w:sz w:val="22"/>
          <w:szCs w:val="22"/>
          <w:lang w:val="es-ES"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w:t>
      </w:r>
      <w:r w:rsidRPr="00AB2BDF">
        <w:rPr>
          <w:rFonts w:ascii="Verdana" w:hAnsi="Verdana" w:cs="Arial"/>
          <w:sz w:val="22"/>
          <w:szCs w:val="22"/>
          <w:lang w:val="es-ES" w:eastAsia="es-MX"/>
        </w:rPr>
        <w:lastRenderedPageBreak/>
        <w:t xml:space="preserve">las inhabilidades para la integración de órganos directivos a que aluden los artículos 180- 3, 292 y 323 de la Constitución Política. A lo anterior debe agregarse que, </w:t>
      </w:r>
      <w:proofErr w:type="spellStart"/>
      <w:r w:rsidRPr="00AB2BDF">
        <w:rPr>
          <w:rFonts w:ascii="Verdana" w:hAnsi="Verdana" w:cs="Arial"/>
          <w:sz w:val="22"/>
          <w:szCs w:val="22"/>
          <w:lang w:val="es-ES" w:eastAsia="es-MX"/>
        </w:rPr>
        <w:t>vii</w:t>
      </w:r>
      <w:proofErr w:type="spellEnd"/>
      <w:r w:rsidRPr="00AB2BDF">
        <w:rPr>
          <w:rFonts w:ascii="Verdana" w:hAnsi="Verdana" w:cs="Arial"/>
          <w:sz w:val="22"/>
          <w:szCs w:val="22"/>
          <w:lang w:val="es-ES" w:eastAsia="es-MX"/>
        </w:rPr>
        <w:t xml:space="preserve">) en materia presupuestal, las sociedades de economía mixta quedan sujetas a las reglas de la ley orgánica del presupuesto. De otro lado, </w:t>
      </w:r>
      <w:proofErr w:type="spellStart"/>
      <w:r w:rsidRPr="00AB2BDF">
        <w:rPr>
          <w:rFonts w:ascii="Verdana" w:hAnsi="Verdana" w:cs="Arial"/>
          <w:sz w:val="22"/>
          <w:szCs w:val="22"/>
          <w:lang w:val="es-ES" w:eastAsia="es-MX"/>
        </w:rPr>
        <w:t>viii</w:t>
      </w:r>
      <w:proofErr w:type="spellEnd"/>
      <w:r w:rsidRPr="00AB2BDF">
        <w:rPr>
          <w:rFonts w:ascii="Verdana" w:hAnsi="Verdana" w:cs="Arial"/>
          <w:sz w:val="22"/>
          <w:szCs w:val="22"/>
          <w:lang w:val="es-ES" w:eastAsia="es-MX"/>
        </w:rPr>
        <w:t xml:space="preserve">) en materia contable, quedan vinculadas a las reglas de contabilidad oficial. Finalmente, </w:t>
      </w:r>
      <w:proofErr w:type="spellStart"/>
      <w:r w:rsidRPr="00AB2BDF">
        <w:rPr>
          <w:rFonts w:ascii="Verdana" w:hAnsi="Verdana" w:cs="Arial"/>
          <w:sz w:val="22"/>
          <w:szCs w:val="22"/>
          <w:lang w:val="es-ES" w:eastAsia="es-MX"/>
        </w:rPr>
        <w:t>ix</w:t>
      </w:r>
      <w:proofErr w:type="spellEnd"/>
      <w:r w:rsidRPr="00AB2BDF">
        <w:rPr>
          <w:rFonts w:ascii="Verdana" w:hAnsi="Verdana" w:cs="Arial"/>
          <w:sz w:val="22"/>
          <w:szCs w:val="22"/>
          <w:lang w:val="es-ES" w:eastAsia="es-MX"/>
        </w:rPr>
        <w:t>) se rigen por el derecho privado, en virtud de la naturaleza de las actividades que desarrollan.</w:t>
      </w:r>
    </w:p>
    <w:p w14:paraId="3577A9CB" w14:textId="5CE410D2" w:rsidR="00957B4B" w:rsidRPr="00AB2BDF" w:rsidRDefault="00957B4B" w:rsidP="00957B4B">
      <w:pPr>
        <w:spacing w:after="120" w:line="276" w:lineRule="auto"/>
        <w:ind w:firstLine="709"/>
        <w:jc w:val="both"/>
        <w:textAlignment w:val="baseline"/>
        <w:rPr>
          <w:rFonts w:ascii="Verdana" w:hAnsi="Verdana" w:cs="Arial"/>
          <w:sz w:val="22"/>
          <w:szCs w:val="22"/>
          <w:lang w:val="es-ES_tradnl" w:eastAsia="es-MX"/>
        </w:rPr>
      </w:pPr>
      <w:r w:rsidRPr="00AB2BDF">
        <w:rPr>
          <w:rFonts w:ascii="Verdana" w:hAnsi="Verdana" w:cs="Arial"/>
          <w:sz w:val="22"/>
          <w:szCs w:val="22"/>
          <w:lang w:val="es-ES_tradnl" w:eastAsia="es-MX"/>
        </w:rPr>
        <w:t>Así mismo,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AB2BDF">
        <w:rPr>
          <w:rStyle w:val="Refdenotaalpie"/>
          <w:rFonts w:ascii="Verdana" w:hAnsi="Verdana" w:cs="Arial"/>
          <w:sz w:val="22"/>
          <w:szCs w:val="22"/>
          <w:lang w:val="es-ES_tradnl" w:eastAsia="es-MX"/>
        </w:rPr>
        <w:footnoteReference w:id="3"/>
      </w:r>
      <w:r w:rsidRPr="00AB2BDF">
        <w:rPr>
          <w:rFonts w:ascii="Verdana" w:hAnsi="Verdana" w:cs="Arial"/>
          <w:sz w:val="22"/>
          <w:szCs w:val="22"/>
          <w:lang w:val="es-ES_tradnl" w:eastAsia="es-MX"/>
        </w:rPr>
        <w:t>, más precisamente de la función administrativa</w:t>
      </w:r>
      <w:r w:rsidRPr="00AB2BDF">
        <w:rPr>
          <w:rStyle w:val="Refdenotaalpie"/>
          <w:rFonts w:ascii="Verdana" w:hAnsi="Verdana" w:cs="Arial"/>
          <w:sz w:val="22"/>
          <w:szCs w:val="22"/>
          <w:lang w:val="es-ES_tradnl" w:eastAsia="es-MX"/>
        </w:rPr>
        <w:footnoteReference w:id="4"/>
      </w:r>
      <w:r w:rsidRPr="00AB2BDF">
        <w:rPr>
          <w:rFonts w:ascii="Verdana" w:hAnsi="Verdana" w:cs="Arial"/>
          <w:sz w:val="22"/>
          <w:szCs w:val="22"/>
          <w:lang w:val="es-ES_tradnl" w:eastAsia="es-MX"/>
        </w:rPr>
        <w:t>, en virtud del aporte público en la constitución del capital social y la consiguiente pertenencia a la administración pública, en la condición de entidades descentralizadas.</w:t>
      </w:r>
    </w:p>
    <w:p w14:paraId="32FB87F5" w14:textId="77777777" w:rsidR="00F90D4D" w:rsidRPr="00AB2BDF" w:rsidRDefault="00F90D4D" w:rsidP="00AB2BDF">
      <w:pPr>
        <w:spacing w:after="120" w:line="276" w:lineRule="auto"/>
        <w:ind w:firstLine="709"/>
        <w:jc w:val="both"/>
        <w:rPr>
          <w:rFonts w:ascii="Verdana" w:hAnsi="Verdana" w:cs="Segoe UI"/>
          <w:sz w:val="22"/>
          <w:szCs w:val="22"/>
        </w:rPr>
      </w:pPr>
      <w:r w:rsidRPr="00AB2BDF">
        <w:rPr>
          <w:rFonts w:ascii="Verdana" w:hAnsi="Verdana" w:cs="Segoe UI"/>
          <w:sz w:val="22"/>
          <w:szCs w:val="22"/>
        </w:rPr>
        <w:t>Precisado lo anterior, resulta necesario distinguir entre dos cuestiones jurídicas diferentes que confluyen en la consulta. De una parte, la determinación de la naturaleza jurídica de las sociedades de economía mixta y de su pertenencia al sector descentralizado por servicios de la Rama Ejecutiva. De otra, la definición de las reglas aplicables a su actividad contractual. Aunque ambos asuntos pueden involucrar el análisis de la participación estatal en el capital social, corresponden a categorías jurídicas distintas y se encuentran regulados por disposiciones normativas diferentes.</w:t>
      </w:r>
    </w:p>
    <w:p w14:paraId="053EECFD" w14:textId="49C0CDC5" w:rsidR="000D2AC4" w:rsidRPr="00AB2BDF" w:rsidRDefault="002F5962" w:rsidP="00AB2BDF">
      <w:pPr>
        <w:spacing w:after="120" w:line="276" w:lineRule="auto"/>
        <w:ind w:firstLine="708"/>
        <w:jc w:val="both"/>
        <w:rPr>
          <w:rFonts w:ascii="Verdana" w:hAnsi="Verdana" w:cs="Segoe UI"/>
          <w:sz w:val="22"/>
          <w:szCs w:val="22"/>
        </w:rPr>
      </w:pPr>
      <w:r w:rsidRPr="006773A2">
        <w:rPr>
          <w:rFonts w:ascii="Verdana" w:hAnsi="Verdana" w:cs="Segoe UI"/>
          <w:sz w:val="22"/>
          <w:szCs w:val="22"/>
        </w:rPr>
        <w:t>En este contexto, l</w:t>
      </w:r>
      <w:r w:rsidR="000D2AC4" w:rsidRPr="00AB2BDF">
        <w:rPr>
          <w:rFonts w:ascii="Verdana" w:hAnsi="Verdana" w:cs="Segoe UI"/>
          <w:sz w:val="22"/>
          <w:szCs w:val="22"/>
        </w:rPr>
        <w:t xml:space="preserve">a Corte Constitucional ha construido una línea jurisprudencial uniforme según la cual la naturaleza de sociedad de economía </w:t>
      </w:r>
      <w:r w:rsidR="000D2AC4" w:rsidRPr="00AB2BDF">
        <w:rPr>
          <w:rFonts w:ascii="Verdana" w:hAnsi="Verdana" w:cs="Segoe UI"/>
          <w:sz w:val="22"/>
          <w:szCs w:val="22"/>
        </w:rPr>
        <w:lastRenderedPageBreak/>
        <w:t>mixta surge de la concurrencia de capital público y privado en una sociedad autorizada o creada conforme a la Constitución y la ley.</w:t>
      </w:r>
      <w:r w:rsidR="000D2AC4" w:rsidRPr="006773A2">
        <w:rPr>
          <w:rFonts w:ascii="Verdana" w:hAnsi="Verdana" w:cs="Segoe UI"/>
          <w:sz w:val="22"/>
          <w:szCs w:val="22"/>
        </w:rPr>
        <w:t xml:space="preserve"> </w:t>
      </w:r>
      <w:r w:rsidR="000D2AC4" w:rsidRPr="00AB2BDF">
        <w:rPr>
          <w:rFonts w:ascii="Verdana" w:hAnsi="Verdana" w:cs="Segoe UI"/>
          <w:sz w:val="22"/>
          <w:szCs w:val="22"/>
        </w:rPr>
        <w:t>En la Sentencia C-953 de 1999, la Corte declaró inexequibles las expresiones que exigían una participación estatal mínima para reconocer la existencia de una sociedad de economía mixta y concluyó que esta categoría jurídica se configura por la simple presencia concurrente de aportes públicos y privados.</w:t>
      </w:r>
      <w:r w:rsidR="000D2AC4" w:rsidRPr="006773A2">
        <w:rPr>
          <w:rFonts w:ascii="Verdana" w:hAnsi="Verdana" w:cs="Segoe UI"/>
          <w:sz w:val="22"/>
          <w:szCs w:val="22"/>
        </w:rPr>
        <w:t xml:space="preserve"> </w:t>
      </w:r>
      <w:r w:rsidR="000D2AC4" w:rsidRPr="00AB2BDF">
        <w:rPr>
          <w:rFonts w:ascii="Verdana" w:hAnsi="Verdana" w:cs="Segoe UI"/>
          <w:sz w:val="22"/>
          <w:szCs w:val="22"/>
        </w:rPr>
        <w:t>Posteriormente, en la Sentencia C-736 de 2007, reiteró que:</w:t>
      </w:r>
      <w:r w:rsidR="000D2AC4" w:rsidRPr="006773A2">
        <w:rPr>
          <w:rFonts w:ascii="Verdana" w:hAnsi="Verdana" w:cs="Segoe UI"/>
          <w:sz w:val="22"/>
          <w:szCs w:val="22"/>
        </w:rPr>
        <w:t xml:space="preserve"> </w:t>
      </w:r>
      <w:r w:rsidR="000D2AC4" w:rsidRPr="00AB2BDF">
        <w:rPr>
          <w:rFonts w:ascii="Verdana" w:hAnsi="Verdana" w:cs="Segoe UI"/>
          <w:sz w:val="22"/>
          <w:szCs w:val="22"/>
        </w:rPr>
        <w:t>"La participación conjunta de capital público y privado es el elemento esencial que caracteriza a las sociedades de economía mixta".</w:t>
      </w:r>
    </w:p>
    <w:p w14:paraId="6A8F6647" w14:textId="23E9D61C" w:rsidR="000D2AC4" w:rsidRPr="006773A2" w:rsidRDefault="000D2AC4" w:rsidP="000D2AC4">
      <w:pPr>
        <w:spacing w:after="120" w:line="276" w:lineRule="auto"/>
        <w:ind w:firstLine="708"/>
        <w:jc w:val="both"/>
        <w:rPr>
          <w:rFonts w:ascii="Verdana" w:hAnsi="Verdana" w:cs="Segoe UI"/>
          <w:sz w:val="22"/>
          <w:szCs w:val="22"/>
        </w:rPr>
      </w:pPr>
      <w:r w:rsidRPr="00AB2BDF">
        <w:rPr>
          <w:rFonts w:ascii="Verdana" w:hAnsi="Verdana" w:cs="Segoe UI"/>
          <w:sz w:val="22"/>
          <w:szCs w:val="22"/>
        </w:rPr>
        <w:t xml:space="preserve">De esta forma, la jurisprudencia constitucional ha descartado que exista una exigencia constitucional de participación estatal </w:t>
      </w:r>
      <w:r w:rsidR="002F767F" w:rsidRPr="006773A2">
        <w:rPr>
          <w:rFonts w:ascii="Verdana" w:hAnsi="Verdana" w:cs="Segoe UI"/>
          <w:sz w:val="22"/>
          <w:szCs w:val="22"/>
        </w:rPr>
        <w:t>superior al ci</w:t>
      </w:r>
      <w:r w:rsidR="002F767F" w:rsidRPr="00FE6C79">
        <w:rPr>
          <w:rFonts w:ascii="Verdana" w:hAnsi="Verdana" w:cs="Segoe UI"/>
          <w:sz w:val="22"/>
          <w:szCs w:val="22"/>
        </w:rPr>
        <w:t>ncuenta por ciento (50%)</w:t>
      </w:r>
      <w:r w:rsidRPr="00AB2BDF">
        <w:rPr>
          <w:rFonts w:ascii="Verdana" w:hAnsi="Verdana" w:cs="Segoe UI"/>
          <w:sz w:val="22"/>
          <w:szCs w:val="22"/>
        </w:rPr>
        <w:t xml:space="preserve"> para reconocer la naturaleza jurídica de una sociedad de economía mixta.</w:t>
      </w:r>
      <w:r w:rsidRPr="006773A2">
        <w:rPr>
          <w:rFonts w:ascii="Verdana" w:hAnsi="Verdana" w:cs="Segoe UI"/>
          <w:sz w:val="22"/>
          <w:szCs w:val="22"/>
        </w:rPr>
        <w:t xml:space="preserve"> </w:t>
      </w:r>
      <w:r w:rsidRPr="00AB2BDF">
        <w:rPr>
          <w:rFonts w:ascii="Verdana" w:hAnsi="Verdana" w:cs="Segoe UI"/>
          <w:sz w:val="22"/>
          <w:szCs w:val="22"/>
        </w:rPr>
        <w:t>Por tanto, la pertenencia de estas entidades al sector descentralizado por servicios no depende de que el aporte estatal sea superior al cincuenta por ciento (50%), sino de su condición misma de sociedad de economía mixta creada o autorizada conforme al ordenamiento jurídico.</w:t>
      </w:r>
    </w:p>
    <w:p w14:paraId="76284DB5" w14:textId="11CC15E9" w:rsidR="00824E25" w:rsidRPr="00FE6C79" w:rsidRDefault="000D2AC4" w:rsidP="003976D8">
      <w:pPr>
        <w:spacing w:after="120" w:line="276" w:lineRule="auto"/>
        <w:ind w:firstLine="708"/>
        <w:jc w:val="both"/>
        <w:rPr>
          <w:rFonts w:ascii="Verdana" w:hAnsi="Verdana" w:cs="Segoe UI"/>
          <w:sz w:val="22"/>
          <w:szCs w:val="22"/>
        </w:rPr>
      </w:pPr>
      <w:r w:rsidRPr="00AB2BDF">
        <w:rPr>
          <w:rFonts w:ascii="Verdana" w:hAnsi="Verdana" w:cs="Segoe UI"/>
          <w:sz w:val="22"/>
          <w:szCs w:val="22"/>
        </w:rPr>
        <w:t xml:space="preserve">Ahora bien, </w:t>
      </w:r>
      <w:r w:rsidR="003D1910" w:rsidRPr="006773A2">
        <w:rPr>
          <w:rFonts w:ascii="Verdana" w:hAnsi="Verdana" w:cs="Segoe UI"/>
          <w:sz w:val="22"/>
          <w:szCs w:val="22"/>
        </w:rPr>
        <w:t>una</w:t>
      </w:r>
      <w:r w:rsidR="003D1910" w:rsidRPr="008A0137">
        <w:rPr>
          <w:rFonts w:ascii="Verdana" w:hAnsi="Verdana" w:cs="Segoe UI"/>
          <w:sz w:val="22"/>
          <w:szCs w:val="22"/>
        </w:rPr>
        <w:t xml:space="preserve"> cuesti</w:t>
      </w:r>
      <w:r w:rsidR="003D1910" w:rsidRPr="00FE6C79">
        <w:rPr>
          <w:rFonts w:ascii="Verdana" w:hAnsi="Verdana" w:cs="Segoe UI"/>
          <w:sz w:val="22"/>
          <w:szCs w:val="22"/>
        </w:rPr>
        <w:t>ón diferente es la relacionada con</w:t>
      </w:r>
      <w:r w:rsidR="00957B4B" w:rsidRPr="00AB2BDF">
        <w:rPr>
          <w:rFonts w:ascii="Verdana" w:hAnsi="Verdana" w:cs="Arial"/>
          <w:sz w:val="22"/>
          <w:szCs w:val="22"/>
          <w:lang w:val="es-ES_tradnl" w:eastAsia="es-MX"/>
        </w:rPr>
        <w:t xml:space="preserve"> el régimen</w:t>
      </w:r>
      <w:r w:rsidR="00957B4B" w:rsidRPr="006773A2">
        <w:rPr>
          <w:rFonts w:ascii="Verdana" w:hAnsi="Verdana" w:cs="Arial"/>
          <w:sz w:val="22"/>
          <w:szCs w:val="22"/>
          <w:lang w:val="es-ES_tradnl" w:eastAsia="es-MX"/>
        </w:rPr>
        <w:t xml:space="preserve"> </w:t>
      </w:r>
      <w:r w:rsidR="004D1DA5" w:rsidRPr="006773A2">
        <w:rPr>
          <w:rFonts w:ascii="Verdana" w:hAnsi="Verdana" w:cs="Arial"/>
          <w:sz w:val="22"/>
          <w:szCs w:val="22"/>
          <w:lang w:val="es-ES_tradnl" w:eastAsia="es-MX"/>
        </w:rPr>
        <w:t>jur</w:t>
      </w:r>
      <w:r w:rsidR="004D1DA5" w:rsidRPr="00FE6C79">
        <w:rPr>
          <w:rFonts w:ascii="Verdana" w:hAnsi="Verdana" w:cs="Arial"/>
          <w:sz w:val="22"/>
          <w:szCs w:val="22"/>
          <w:lang w:val="es-ES_tradnl" w:eastAsia="es-MX"/>
        </w:rPr>
        <w:t>ídico</w:t>
      </w:r>
      <w:r w:rsidR="00957B4B" w:rsidRPr="00AB2BDF">
        <w:rPr>
          <w:rFonts w:ascii="Verdana" w:hAnsi="Verdana" w:cs="Arial"/>
          <w:sz w:val="22"/>
          <w:szCs w:val="22"/>
          <w:lang w:val="es-ES_tradnl" w:eastAsia="es-MX"/>
        </w:rPr>
        <w:t xml:space="preserve"> </w:t>
      </w:r>
      <w:proofErr w:type="spellStart"/>
      <w:r w:rsidR="00957B4B" w:rsidRPr="00AB2BDF">
        <w:rPr>
          <w:rFonts w:ascii="Verdana" w:hAnsi="Verdana" w:cs="Arial"/>
          <w:sz w:val="22"/>
          <w:szCs w:val="22"/>
          <w:lang w:val="es-ES_tradnl" w:eastAsia="es-MX"/>
        </w:rPr>
        <w:t>aplicablea</w:t>
      </w:r>
      <w:proofErr w:type="spellEnd"/>
      <w:r w:rsidR="00957B4B" w:rsidRPr="00AB2BDF">
        <w:rPr>
          <w:rFonts w:ascii="Verdana" w:hAnsi="Verdana" w:cs="Arial"/>
          <w:sz w:val="22"/>
          <w:szCs w:val="22"/>
          <w:lang w:val="es-ES_tradnl" w:eastAsia="es-MX"/>
        </w:rPr>
        <w:t xml:space="preserve"> los actos y contratos que celebran estas entidades. </w:t>
      </w:r>
      <w:r w:rsidR="0012419F" w:rsidRPr="006773A2">
        <w:rPr>
          <w:rFonts w:ascii="Verdana" w:hAnsi="Verdana" w:cs="Segoe UI"/>
          <w:sz w:val="22"/>
          <w:szCs w:val="22"/>
        </w:rPr>
        <w:t>Sobre el particular, e</w:t>
      </w:r>
      <w:r w:rsidR="00F75712" w:rsidRPr="00AB2BDF">
        <w:rPr>
          <w:rFonts w:ascii="Verdana" w:hAnsi="Verdana" w:cs="Segoe UI"/>
          <w:sz w:val="22"/>
          <w:szCs w:val="22"/>
        </w:rPr>
        <w:t>l artículo 2 de la Ley 80 de 1993 establece expresamente</w:t>
      </w:r>
      <w:r w:rsidR="0012419F" w:rsidRPr="006773A2">
        <w:rPr>
          <w:rFonts w:ascii="Verdana" w:hAnsi="Verdana" w:cs="Segoe UI"/>
          <w:sz w:val="22"/>
          <w:szCs w:val="22"/>
        </w:rPr>
        <w:t xml:space="preserve"> que la definici</w:t>
      </w:r>
      <w:r w:rsidR="0012419F" w:rsidRPr="00FE6C79">
        <w:rPr>
          <w:rFonts w:ascii="Verdana" w:hAnsi="Verdana" w:cs="Segoe UI"/>
          <w:sz w:val="22"/>
          <w:szCs w:val="22"/>
        </w:rPr>
        <w:t>ón allí contenida opera</w:t>
      </w:r>
      <w:r w:rsidR="00F75712" w:rsidRPr="00FE6C79">
        <w:rPr>
          <w:rFonts w:ascii="Verdana" w:hAnsi="Verdana" w:cs="Segoe UI"/>
          <w:sz w:val="22"/>
          <w:szCs w:val="22"/>
        </w:rPr>
        <w:t xml:space="preserve"> </w:t>
      </w:r>
      <w:r w:rsidR="00F75712" w:rsidRPr="00AB2BDF">
        <w:rPr>
          <w:rFonts w:ascii="Verdana" w:hAnsi="Verdana" w:cs="Segoe UI"/>
          <w:sz w:val="22"/>
          <w:szCs w:val="22"/>
        </w:rPr>
        <w:t>"Para los solos efectos de esta ley".</w:t>
      </w:r>
      <w:r w:rsidR="00F75712" w:rsidRPr="006773A2">
        <w:rPr>
          <w:rFonts w:ascii="Verdana" w:hAnsi="Verdana" w:cs="Segoe UI"/>
          <w:sz w:val="22"/>
          <w:szCs w:val="22"/>
        </w:rPr>
        <w:t xml:space="preserve"> </w:t>
      </w:r>
      <w:r w:rsidR="003976D8" w:rsidRPr="00FE6C79">
        <w:rPr>
          <w:rFonts w:ascii="Verdana" w:hAnsi="Verdana" w:cs="Segoe UI"/>
          <w:sz w:val="22"/>
          <w:szCs w:val="22"/>
        </w:rPr>
        <w:t>Esta previsión permite concluir que el legislador adopt</w:t>
      </w:r>
      <w:r w:rsidR="003976D8" w:rsidRPr="00D8057C">
        <w:rPr>
          <w:rFonts w:ascii="Verdana" w:hAnsi="Verdana" w:cs="Segoe UI"/>
          <w:sz w:val="22"/>
          <w:szCs w:val="22"/>
        </w:rPr>
        <w:t xml:space="preserve">ó una definición funcional y especial de la entidad estatal, destinada exclusivamente </w:t>
      </w:r>
      <w:r w:rsidR="00F75712" w:rsidRPr="00AB2BDF">
        <w:rPr>
          <w:rFonts w:ascii="Verdana" w:hAnsi="Verdana" w:cs="Segoe UI"/>
          <w:sz w:val="22"/>
          <w:szCs w:val="22"/>
        </w:rPr>
        <w:t>a determinar el ámbito subjetivo de aplicación del Estatuto General de Contratación</w:t>
      </w:r>
      <w:r w:rsidR="003976D8" w:rsidRPr="006773A2">
        <w:rPr>
          <w:rFonts w:ascii="Verdana" w:hAnsi="Verdana" w:cs="Segoe UI"/>
          <w:sz w:val="22"/>
          <w:szCs w:val="22"/>
        </w:rPr>
        <w:t xml:space="preserve"> de la </w:t>
      </w:r>
      <w:r w:rsidR="003976D8" w:rsidRPr="00FE6C79">
        <w:rPr>
          <w:rFonts w:ascii="Verdana" w:hAnsi="Verdana" w:cs="Segoe UI"/>
          <w:sz w:val="22"/>
          <w:szCs w:val="22"/>
        </w:rPr>
        <w:t>Administración Pública</w:t>
      </w:r>
      <w:r w:rsidR="00F75712" w:rsidRPr="00AB2BDF">
        <w:rPr>
          <w:rFonts w:ascii="Verdana" w:hAnsi="Verdana" w:cs="Segoe UI"/>
          <w:sz w:val="22"/>
          <w:szCs w:val="22"/>
        </w:rPr>
        <w:t>.</w:t>
      </w:r>
      <w:r w:rsidR="00F75712" w:rsidRPr="006773A2">
        <w:rPr>
          <w:rFonts w:ascii="Verdana" w:hAnsi="Verdana" w:cs="Segoe UI"/>
          <w:sz w:val="22"/>
          <w:szCs w:val="22"/>
        </w:rPr>
        <w:t xml:space="preserve"> </w:t>
      </w:r>
    </w:p>
    <w:p w14:paraId="4E11A257" w14:textId="5D7137ED" w:rsidR="00957B4B" w:rsidRPr="00AB2BDF" w:rsidRDefault="00F75712" w:rsidP="00AB2BDF">
      <w:pPr>
        <w:spacing w:after="120" w:line="276" w:lineRule="auto"/>
        <w:ind w:firstLine="708"/>
        <w:jc w:val="both"/>
        <w:rPr>
          <w:rFonts w:ascii="Verdana" w:hAnsi="Verdana" w:cs="Arial"/>
          <w:sz w:val="22"/>
          <w:szCs w:val="22"/>
          <w:lang w:val="es-ES_tradnl" w:eastAsia="es-MX"/>
        </w:rPr>
      </w:pPr>
      <w:r w:rsidRPr="00AB2BDF">
        <w:rPr>
          <w:rFonts w:ascii="Verdana" w:hAnsi="Verdana" w:cs="Segoe UI"/>
          <w:sz w:val="22"/>
          <w:szCs w:val="22"/>
        </w:rPr>
        <w:t>E</w:t>
      </w:r>
      <w:r w:rsidR="003976D8" w:rsidRPr="006773A2">
        <w:rPr>
          <w:rFonts w:ascii="Verdana" w:hAnsi="Verdana" w:cs="Segoe UI"/>
          <w:sz w:val="22"/>
          <w:szCs w:val="22"/>
        </w:rPr>
        <w:t>n ese sentido, e</w:t>
      </w:r>
      <w:r w:rsidR="00957B4B" w:rsidRPr="00AB2BDF">
        <w:rPr>
          <w:rFonts w:ascii="Verdana" w:hAnsi="Verdana" w:cs="Arial"/>
          <w:sz w:val="22"/>
          <w:szCs w:val="22"/>
          <w:lang w:val="es-ES_tradnl" w:eastAsia="es-MX"/>
        </w:rPr>
        <w:t>l literal a) del artículo 2 de la Ley 80 de 1993, señala que son entidades estatales</w:t>
      </w:r>
      <w:r w:rsidR="00824E25" w:rsidRPr="006773A2">
        <w:rPr>
          <w:rFonts w:ascii="Verdana" w:hAnsi="Verdana" w:cs="Arial"/>
          <w:sz w:val="22"/>
          <w:szCs w:val="22"/>
          <w:lang w:val="es-ES_tradnl" w:eastAsia="es-MX"/>
        </w:rPr>
        <w:t xml:space="preserve">, para efectos de dicha </w:t>
      </w:r>
      <w:r w:rsidR="00824E25" w:rsidRPr="00FE6C79">
        <w:rPr>
          <w:rFonts w:ascii="Verdana" w:hAnsi="Verdana" w:cs="Arial"/>
          <w:sz w:val="22"/>
          <w:szCs w:val="22"/>
          <w:lang w:val="es-ES_tradnl" w:eastAsia="es-MX"/>
        </w:rPr>
        <w:t>Ley</w:t>
      </w:r>
      <w:r w:rsidR="00957B4B" w:rsidRPr="00AB2BDF">
        <w:rPr>
          <w:rFonts w:ascii="Verdana" w:hAnsi="Verdana" w:cs="Arial"/>
          <w:sz w:val="22"/>
          <w:szCs w:val="22"/>
          <w:lang w:val="es-ES_tradnl" w:eastAsia="es-MX"/>
        </w:rPr>
        <w:t xml:space="preserve"> las sociedades de economía mixta en las que el Estado tenga participación superior al cincuenta por ciento (50%)</w:t>
      </w:r>
      <w:r w:rsidR="00957B4B" w:rsidRPr="00AB2BDF">
        <w:rPr>
          <w:rStyle w:val="Refdenotaalpie"/>
          <w:rFonts w:ascii="Verdana" w:hAnsi="Verdana" w:cs="Arial"/>
          <w:sz w:val="22"/>
          <w:szCs w:val="22"/>
          <w:lang w:val="es-ES_tradnl" w:eastAsia="es-MX"/>
        </w:rPr>
        <w:footnoteReference w:id="5"/>
      </w:r>
      <w:r w:rsidR="00957B4B" w:rsidRPr="00AB2BDF">
        <w:rPr>
          <w:rFonts w:ascii="Verdana" w:hAnsi="Verdana" w:cs="Arial"/>
          <w:sz w:val="22"/>
          <w:szCs w:val="22"/>
          <w:lang w:val="es-ES_tradnl" w:eastAsia="es-MX"/>
        </w:rPr>
        <w:t xml:space="preserve">. Esto significa que el legislador, en el año 1993, estableció que las </w:t>
      </w:r>
      <w:r w:rsidR="00957B4B" w:rsidRPr="00AB2BDF">
        <w:rPr>
          <w:rFonts w:ascii="Verdana" w:hAnsi="Verdana" w:cs="Arial"/>
          <w:sz w:val="22"/>
          <w:szCs w:val="22"/>
          <w:lang w:val="es-ES_tradnl" w:eastAsia="es-MX"/>
        </w:rPr>
        <w:lastRenderedPageBreak/>
        <w:t xml:space="preserve">sociedades de economía mixta donde el Estado tenga participación superior al cincuenta por ciento (50%) están sujetos al EGCAP. </w:t>
      </w:r>
    </w:p>
    <w:p w14:paraId="158DB3B5" w14:textId="5B7B6659" w:rsidR="00957B4B" w:rsidRPr="00AB2BDF" w:rsidRDefault="00824E25" w:rsidP="00957B4B">
      <w:pPr>
        <w:spacing w:before="120" w:after="120" w:line="276" w:lineRule="auto"/>
        <w:ind w:firstLine="709"/>
        <w:jc w:val="both"/>
        <w:textAlignment w:val="baseline"/>
        <w:rPr>
          <w:rFonts w:ascii="Verdana" w:hAnsi="Verdana" w:cs="Arial"/>
          <w:sz w:val="22"/>
          <w:szCs w:val="22"/>
          <w:lang w:val="es-ES_tradnl" w:eastAsia="es-MX"/>
        </w:rPr>
      </w:pPr>
      <w:r w:rsidRPr="00AB2BDF">
        <w:rPr>
          <w:rFonts w:ascii="Verdana" w:hAnsi="Verdana" w:cs="Arial"/>
          <w:sz w:val="22"/>
          <w:szCs w:val="22"/>
          <w:lang w:val="es-ES_tradnl" w:eastAsia="es-MX"/>
        </w:rPr>
        <w:t>Bajo esta perspectiva</w:t>
      </w:r>
      <w:r w:rsidR="00957B4B" w:rsidRPr="00AB2BDF">
        <w:rPr>
          <w:rFonts w:ascii="Verdana" w:hAnsi="Verdana" w:cs="Arial"/>
          <w:sz w:val="22"/>
          <w:szCs w:val="22"/>
          <w:lang w:val="es-ES_tradnl" w:eastAsia="es-MX"/>
        </w:rPr>
        <w:t>, el Consejo de Estado, en el concepto 1127 del 10 de 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00957B4B" w:rsidRPr="00AB2BDF">
        <w:rPr>
          <w:rStyle w:val="Refdenotaalpie"/>
          <w:rFonts w:ascii="Verdana" w:hAnsi="Verdana" w:cs="Arial"/>
          <w:sz w:val="22"/>
          <w:szCs w:val="22"/>
          <w:lang w:val="es-ES_tradnl" w:eastAsia="es-MX"/>
        </w:rPr>
        <w:footnoteReference w:id="6"/>
      </w:r>
      <w:r w:rsidR="00957B4B" w:rsidRPr="00AB2BDF">
        <w:rPr>
          <w:rFonts w:ascii="Verdana" w:hAnsi="Verdana" w:cs="Arial"/>
          <w:sz w:val="22"/>
          <w:szCs w:val="22"/>
          <w:lang w:val="es-ES_tradnl" w:eastAsia="es-MX"/>
        </w:rPr>
        <w:t xml:space="preserve">. Es claro, entonces, que las sociedades de economía mixta con participación estatal superior al cincuenta por ciento (50%) se rigen en materia contractual por la Ley 80 de 1993, de acuerdo con la libertad de configuración del legislador en la materia. </w:t>
      </w:r>
    </w:p>
    <w:p w14:paraId="7833E0E5" w14:textId="77777777" w:rsidR="00957B4B" w:rsidRPr="00AB2BDF" w:rsidRDefault="00957B4B" w:rsidP="00957B4B">
      <w:pPr>
        <w:spacing w:before="120" w:line="276" w:lineRule="auto"/>
        <w:ind w:firstLine="709"/>
        <w:jc w:val="both"/>
        <w:textAlignment w:val="baseline"/>
        <w:rPr>
          <w:rFonts w:ascii="Verdana" w:hAnsi="Verdana" w:cs="Arial"/>
          <w:sz w:val="22"/>
          <w:szCs w:val="22"/>
          <w:lang w:val="es-ES" w:eastAsia="es-MX"/>
        </w:rPr>
      </w:pPr>
      <w:r w:rsidRPr="00AB2BDF">
        <w:rPr>
          <w:rFonts w:ascii="Verdana" w:hAnsi="Verdana" w:cs="Arial"/>
          <w:sz w:val="22"/>
          <w:szCs w:val="22"/>
          <w:lang w:val="es-ES" w:eastAsia="es-MX"/>
        </w:rPr>
        <w:t xml:space="preserve">No obstante lo anterior, actualmente, el artículo 14 de la Ley 1150 de 2007 – modificado por el artículo 93 de la Ley 1474 de 2011 – establece el régimen contractual de las sociedades de economía mixta, en las que el Estado tenga participación superior al cincuenta por ciento (50%), señalando que: </w:t>
      </w:r>
    </w:p>
    <w:p w14:paraId="7947AF98" w14:textId="77777777" w:rsidR="00957B4B" w:rsidRPr="00AB2BDF" w:rsidRDefault="00957B4B" w:rsidP="00957B4B">
      <w:pPr>
        <w:spacing w:line="276" w:lineRule="auto"/>
        <w:ind w:firstLine="709"/>
        <w:jc w:val="both"/>
        <w:textAlignment w:val="baseline"/>
        <w:rPr>
          <w:rFonts w:ascii="Verdana" w:hAnsi="Verdana" w:cs="Arial"/>
          <w:sz w:val="22"/>
          <w:szCs w:val="22"/>
          <w:lang w:val="es-ES_tradnl" w:eastAsia="es-MX"/>
        </w:rPr>
      </w:pPr>
    </w:p>
    <w:p w14:paraId="4E28448B" w14:textId="77777777" w:rsidR="00957B4B" w:rsidRPr="00740A82" w:rsidRDefault="00957B4B" w:rsidP="00957B4B">
      <w:pPr>
        <w:ind w:left="709" w:right="709"/>
        <w:jc w:val="both"/>
        <w:textAlignment w:val="baseline"/>
        <w:rPr>
          <w:rFonts w:ascii="Verdana" w:hAnsi="Verdana" w:cs="Arial"/>
          <w:sz w:val="20"/>
          <w:szCs w:val="20"/>
          <w:lang w:val="es-ES_tradnl" w:eastAsia="es-MX"/>
        </w:rPr>
      </w:pPr>
      <w:r w:rsidRPr="0022606C">
        <w:rPr>
          <w:rFonts w:ascii="Verdana" w:hAnsi="Verdana" w:cs="Arial"/>
          <w:sz w:val="20"/>
          <w:szCs w:val="20"/>
          <w:lang w:val="es-ES_tradnl" w:eastAsia="es-MX"/>
        </w:rPr>
        <w:t>“Artículo 14. Del régimen contractual de las empresas industriales y comerciales del estado, las sociedades de economía mixta, sus filiales y empresas con participación mayoritaria del estado.</w:t>
      </w:r>
      <w:r w:rsidRPr="00740A82">
        <w:rPr>
          <w:rFonts w:ascii="Verdana" w:hAnsi="Verdana" w:cs="Arial"/>
          <w:b/>
          <w:sz w:val="20"/>
          <w:szCs w:val="20"/>
          <w:lang w:val="es-ES_tradnl" w:eastAsia="es-MX"/>
        </w:rPr>
        <w:t xml:space="preserve"> </w:t>
      </w:r>
      <w:r w:rsidRPr="00740A82">
        <w:rPr>
          <w:rFonts w:ascii="Verdana" w:hAnsi="Verdana" w:cs="Arial"/>
          <w:sz w:val="20"/>
          <w:szCs w:val="20"/>
          <w:lang w:val="es-ES_tradnl" w:eastAsia="es-MX"/>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79DA58BE" w14:textId="77777777" w:rsidR="00957B4B" w:rsidRPr="00AB2BDF" w:rsidRDefault="00957B4B" w:rsidP="00957B4B">
      <w:pPr>
        <w:spacing w:line="276" w:lineRule="auto"/>
        <w:ind w:firstLine="709"/>
        <w:jc w:val="both"/>
        <w:textAlignment w:val="baseline"/>
        <w:rPr>
          <w:rFonts w:ascii="Verdana" w:hAnsi="Verdana" w:cs="Arial"/>
          <w:sz w:val="22"/>
          <w:szCs w:val="22"/>
          <w:lang w:val="es-ES_tradnl" w:eastAsia="es-MX"/>
        </w:rPr>
      </w:pPr>
    </w:p>
    <w:p w14:paraId="488B5F78" w14:textId="77777777" w:rsidR="00957B4B" w:rsidRPr="00AB2BDF" w:rsidRDefault="00957B4B" w:rsidP="00957B4B">
      <w:pPr>
        <w:spacing w:after="120" w:line="276" w:lineRule="auto"/>
        <w:ind w:firstLine="709"/>
        <w:jc w:val="both"/>
        <w:textAlignment w:val="baseline"/>
        <w:rPr>
          <w:rFonts w:ascii="Verdana" w:hAnsi="Verdana" w:cs="Arial"/>
          <w:sz w:val="22"/>
          <w:szCs w:val="22"/>
          <w:lang w:val="es-ES_tradnl" w:eastAsia="es-MX"/>
        </w:rPr>
      </w:pPr>
      <w:r w:rsidRPr="00AB2BDF">
        <w:rPr>
          <w:rFonts w:ascii="Verdana" w:hAnsi="Verdana" w:cs="Arial"/>
          <w:sz w:val="22"/>
          <w:szCs w:val="22"/>
          <w:lang w:val="es-ES_tradnl" w:eastAsia="es-MX"/>
        </w:rPr>
        <w:t xml:space="preserve">El citado artículo, previó que las sociedades de economía mixta en las que el Estado tenga participación superior al cincuenta por ciento (50%) y sus filiales que cuenten con participación mayoritaria del Estado superior al cincuenta por </w:t>
      </w:r>
      <w:r w:rsidRPr="00AB2BDF">
        <w:rPr>
          <w:rFonts w:ascii="Verdana" w:hAnsi="Verdana" w:cs="Arial"/>
          <w:sz w:val="22"/>
          <w:szCs w:val="22"/>
          <w:lang w:val="es-ES_tradnl" w:eastAsia="es-MX"/>
        </w:rPr>
        <w:lastRenderedPageBreak/>
        <w:t>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AB2BDF">
        <w:rPr>
          <w:rStyle w:val="Refdenotaalpie"/>
          <w:rFonts w:ascii="Verdana" w:hAnsi="Verdana" w:cs="Arial"/>
          <w:sz w:val="22"/>
          <w:szCs w:val="22"/>
          <w:lang w:val="es-ES_tradnl" w:eastAsia="es-MX"/>
        </w:rPr>
        <w:footnoteReference w:id="7"/>
      </w:r>
      <w:r w:rsidRPr="00AB2BDF">
        <w:rPr>
          <w:rFonts w:ascii="Verdana" w:hAnsi="Verdana" w:cs="Arial"/>
          <w:sz w:val="22"/>
          <w:szCs w:val="22"/>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25DA4E8B" w14:textId="60A29BBD" w:rsidR="00957B4B" w:rsidRPr="00740A82" w:rsidRDefault="00824E25" w:rsidP="00957B4B">
      <w:pPr>
        <w:pStyle w:val="NormalWeb"/>
        <w:spacing w:before="0" w:beforeAutospacing="0" w:after="120" w:afterAutospacing="0" w:line="276" w:lineRule="auto"/>
        <w:ind w:firstLine="709"/>
        <w:jc w:val="both"/>
        <w:rPr>
          <w:rFonts w:ascii="Verdana" w:eastAsia="Calibri" w:hAnsi="Verdana" w:cs="Arial"/>
          <w:color w:val="000000"/>
          <w:sz w:val="22"/>
          <w:szCs w:val="22"/>
          <w:lang w:val="es-ES_tradnl" w:eastAsia="es-ES_tradnl"/>
        </w:rPr>
      </w:pPr>
      <w:r w:rsidRPr="008A0137">
        <w:rPr>
          <w:rFonts w:ascii="Verdana" w:eastAsia="Calibri" w:hAnsi="Verdana" w:cs="Arial"/>
          <w:color w:val="000000"/>
          <w:sz w:val="22"/>
          <w:szCs w:val="22"/>
          <w:lang w:val="es-ES_tradnl" w:eastAsia="es-ES_tradnl"/>
        </w:rPr>
        <w:t>Por otr</w:t>
      </w:r>
      <w:r w:rsidRPr="00FE6C79">
        <w:rPr>
          <w:rFonts w:ascii="Verdana" w:eastAsia="Calibri" w:hAnsi="Verdana" w:cs="Arial"/>
          <w:color w:val="000000"/>
          <w:sz w:val="22"/>
          <w:szCs w:val="22"/>
          <w:lang w:val="es-ES_tradnl" w:eastAsia="es-ES_tradnl"/>
        </w:rPr>
        <w:t>a parte</w:t>
      </w:r>
      <w:r w:rsidR="00957B4B" w:rsidRPr="00740A82">
        <w:rPr>
          <w:rFonts w:ascii="Verdana" w:eastAsia="Calibri" w:hAnsi="Verdana" w:cs="Arial"/>
          <w:color w:val="000000"/>
          <w:sz w:val="22"/>
          <w:szCs w:val="22"/>
          <w:lang w:val="es-ES_tradnl" w:eastAsia="es-ES_tradnl"/>
        </w:rPr>
        <w:t>, el parágrafo único del artículo 97 de la Ley 489 de 1998 señala: “</w:t>
      </w:r>
      <w:r w:rsidR="00957B4B" w:rsidRPr="00740A82">
        <w:rPr>
          <w:rFonts w:ascii="Verdana" w:hAnsi="Verdana" w:cs="Arial"/>
          <w:sz w:val="22"/>
          <w:szCs w:val="22"/>
          <w:lang w:eastAsia="es-MX"/>
        </w:rPr>
        <w:t xml:space="preserve">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Sobre </w:t>
      </w:r>
      <w:r w:rsidR="00957B4B" w:rsidRPr="006773A2">
        <w:rPr>
          <w:rFonts w:ascii="Verdana" w:hAnsi="Verdana" w:cs="Arial"/>
          <w:sz w:val="22"/>
          <w:szCs w:val="22"/>
          <w:lang w:eastAsia="es-MX"/>
        </w:rPr>
        <w:t>e</w:t>
      </w:r>
      <w:r w:rsidR="002C4CAB" w:rsidRPr="006773A2">
        <w:rPr>
          <w:rFonts w:ascii="Verdana" w:hAnsi="Verdana" w:cs="Arial"/>
          <w:sz w:val="22"/>
          <w:szCs w:val="22"/>
          <w:lang w:eastAsia="es-MX"/>
        </w:rPr>
        <w:t>l</w:t>
      </w:r>
      <w:r w:rsidR="00957B4B" w:rsidRPr="00740A82">
        <w:rPr>
          <w:rFonts w:ascii="Verdana" w:hAnsi="Verdana" w:cs="Arial"/>
          <w:sz w:val="22"/>
          <w:szCs w:val="22"/>
          <w:lang w:eastAsia="es-MX"/>
        </w:rPr>
        <w:t xml:space="preserve"> particular, debe señalarse que, a juicio de esta Agencia,</w:t>
      </w:r>
      <w:r w:rsidR="00957B4B" w:rsidRPr="00740A82">
        <w:rPr>
          <w:rFonts w:ascii="Verdana" w:eastAsia="Calibri" w:hAnsi="Verdana" w:cs="Arial"/>
          <w:color w:val="000000"/>
          <w:sz w:val="22"/>
          <w:szCs w:val="22"/>
          <w:lang w:val="es-ES_tradnl" w:eastAsia="es-ES_tradnl"/>
        </w:rPr>
        <w:t xml:space="preserve"> el artículo 14 de la Ley 1150 de 2007, en el cual se establece el régimen contractual de las sociedades de economía mixta se complementa, sin entrar en contradicción alguna, con lo dispuesto en el parágrafo del artículo 97 de la Ley 489 de 1998. </w:t>
      </w:r>
    </w:p>
    <w:p w14:paraId="4303FD11" w14:textId="77777777" w:rsidR="00957B4B" w:rsidRPr="00740A82" w:rsidRDefault="00957B4B" w:rsidP="00957B4B">
      <w:pPr>
        <w:pStyle w:val="NormalWeb"/>
        <w:spacing w:before="0" w:beforeAutospacing="0" w:after="120" w:afterAutospacing="0" w:line="276" w:lineRule="auto"/>
        <w:ind w:firstLine="709"/>
        <w:jc w:val="both"/>
        <w:rPr>
          <w:rFonts w:ascii="Verdana" w:hAnsi="Verdana" w:cs="Arial"/>
          <w:sz w:val="22"/>
          <w:szCs w:val="22"/>
          <w:lang w:eastAsia="es-MX"/>
        </w:rPr>
      </w:pPr>
      <w:r w:rsidRPr="00740A82">
        <w:rPr>
          <w:rFonts w:ascii="Verdana" w:eastAsia="Calibri" w:hAnsi="Verdana" w:cs="Arial"/>
          <w:color w:val="000000"/>
          <w:sz w:val="22"/>
          <w:szCs w:val="22"/>
          <w:lang w:val="es-ES_tradnl" w:eastAsia="es-ES_tradnl"/>
        </w:rPr>
        <w:t xml:space="preserve">Lo anterior, en la medida que el parágrafo citado remite al régimen de las actividades y los servidores públicos de las empresas industriales y comerciales en aquellos eventos en los que </w:t>
      </w:r>
      <w:r w:rsidRPr="00740A82">
        <w:rPr>
          <w:rFonts w:ascii="Verdana" w:hAnsi="Verdana" w:cs="Arial"/>
          <w:sz w:val="22"/>
          <w:szCs w:val="22"/>
          <w:lang w:eastAsia="es-MX"/>
        </w:rPr>
        <w:t>las sociedades de economía mixta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empresas industriales y comerciales del Estado como para sociedades de economía mixta en las que el Estado tenga una participación mayor al cincuenta por ciento (50%).</w:t>
      </w:r>
    </w:p>
    <w:p w14:paraId="0B105576" w14:textId="1D1E2A23" w:rsidR="00957B4B" w:rsidRPr="00740A82" w:rsidRDefault="00957B4B" w:rsidP="00957B4B">
      <w:pPr>
        <w:pStyle w:val="NormalWeb"/>
        <w:spacing w:before="0" w:beforeAutospacing="0" w:after="120" w:afterAutospacing="0" w:line="276" w:lineRule="auto"/>
        <w:ind w:firstLine="709"/>
        <w:jc w:val="both"/>
        <w:rPr>
          <w:rFonts w:ascii="Verdana" w:hAnsi="Verdana" w:cs="Arial"/>
          <w:sz w:val="22"/>
          <w:szCs w:val="22"/>
          <w:lang w:val="es-ES_tradnl" w:eastAsia="es-MX"/>
        </w:rPr>
      </w:pPr>
      <w:r w:rsidRPr="00740A82">
        <w:rPr>
          <w:rFonts w:ascii="Verdana" w:hAnsi="Verdana" w:cs="Arial"/>
          <w:sz w:val="22"/>
          <w:szCs w:val="22"/>
          <w:lang w:eastAsia="es-MX"/>
        </w:rPr>
        <w:lastRenderedPageBreak/>
        <w:t xml:space="preserve">De lo expuesto, se concluye que, </w:t>
      </w:r>
      <w:r w:rsidRPr="00740A82">
        <w:rPr>
          <w:rFonts w:ascii="Verdana" w:hAnsi="Verdana" w:cs="Arial"/>
          <w:sz w:val="22"/>
          <w:szCs w:val="22"/>
          <w:lang w:val="es-ES_tradnl"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aquellas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 La misma conclusión se aplica para aquellas en las que el capital estatal sea mayor al noventa por ciento (90%). </w:t>
      </w:r>
    </w:p>
    <w:p w14:paraId="29435071" w14:textId="53F705F6" w:rsidR="005A116C" w:rsidRPr="00AB2BDF" w:rsidRDefault="005A116C" w:rsidP="00AB2BDF">
      <w:pPr>
        <w:spacing w:after="120" w:line="276" w:lineRule="auto"/>
        <w:ind w:firstLine="709"/>
        <w:jc w:val="both"/>
        <w:rPr>
          <w:rFonts w:ascii="Verdana" w:hAnsi="Verdana" w:cs="Segoe UI"/>
          <w:sz w:val="22"/>
          <w:szCs w:val="22"/>
        </w:rPr>
      </w:pPr>
      <w:r w:rsidRPr="00AB2BDF">
        <w:rPr>
          <w:rFonts w:ascii="Verdana" w:hAnsi="Verdana" w:cs="Segoe UI"/>
          <w:sz w:val="22"/>
          <w:szCs w:val="22"/>
        </w:rPr>
        <w:t>No obstante, esta conclusión se refiere exclusivamente al régimen jurídico aplicable a su actividad contractual y económica. En ningún caso implica la pérdida de la naturaleza jurídica de sociedad de economía mixta ni de su condición de entidad descentralizada cuando esta derive de las disposiciones constitucionales y legales que regulan su creación, organización y funcionamiento.</w:t>
      </w:r>
    </w:p>
    <w:p w14:paraId="5A3C8ED1" w14:textId="6C104B1D" w:rsidR="00F75712" w:rsidRPr="00AB2BDF" w:rsidRDefault="00F75712" w:rsidP="00AB2BDF">
      <w:pPr>
        <w:spacing w:line="276" w:lineRule="auto"/>
        <w:ind w:firstLine="708"/>
        <w:jc w:val="both"/>
        <w:rPr>
          <w:rFonts w:ascii="Verdana" w:hAnsi="Verdana" w:cs="Segoe UI"/>
          <w:sz w:val="22"/>
          <w:szCs w:val="22"/>
        </w:rPr>
      </w:pPr>
      <w:r w:rsidRPr="00AB2BDF">
        <w:rPr>
          <w:rFonts w:ascii="Verdana" w:hAnsi="Verdana" w:cs="Segoe UI"/>
          <w:sz w:val="22"/>
          <w:szCs w:val="22"/>
        </w:rPr>
        <w:t>En consecuencia, el criterio de participación estatal superior al cincuenta por ciento (50%) fue establecido por el legislador únicamente para determinar cuándo una sociedad de economía mixta tiene la calidad de entidad estatal para efectos de la Ley 80 de 1993. Por esta razón, no resulta jurídicamente posible trasladar automáticamente dicho criterio al análisis de la naturaleza jurídica de las sociedades de economía mixta dentro de la estructura de la administración pública.</w:t>
      </w:r>
    </w:p>
    <w:p w14:paraId="0CAB5302" w14:textId="77777777" w:rsidR="00957B4B" w:rsidRPr="00AB2BDF" w:rsidRDefault="00957B4B" w:rsidP="005A116C">
      <w:pPr>
        <w:widowControl w:val="0"/>
        <w:autoSpaceDE w:val="0"/>
        <w:autoSpaceDN w:val="0"/>
        <w:spacing w:line="276" w:lineRule="auto"/>
        <w:jc w:val="both"/>
        <w:rPr>
          <w:rFonts w:ascii="Verdana" w:hAnsi="Verdana" w:cs="Arial"/>
          <w:sz w:val="22"/>
          <w:szCs w:val="22"/>
        </w:rPr>
      </w:pPr>
    </w:p>
    <w:p w14:paraId="239C1D9D" w14:textId="77777777" w:rsidR="00957B4B" w:rsidRPr="00740A82" w:rsidRDefault="00957B4B" w:rsidP="00957B4B">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Referencias normativas, jurisprudenciales y otras fuentes:</w:t>
      </w:r>
    </w:p>
    <w:p w14:paraId="3728D81E" w14:textId="77777777" w:rsidR="00957B4B" w:rsidRPr="00AB2BDF" w:rsidRDefault="00957B4B" w:rsidP="006773A2">
      <w:pPr>
        <w:widowControl w:val="0"/>
        <w:autoSpaceDE w:val="0"/>
        <w:autoSpaceDN w:val="0"/>
        <w:spacing w:line="276" w:lineRule="auto"/>
        <w:jc w:val="both"/>
        <w:rPr>
          <w:rFonts w:ascii="Verdana" w:hAnsi="Verdana" w:cs="Arial"/>
          <w:sz w:val="22"/>
          <w:szCs w:val="2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7B4B" w:rsidRPr="00740A82" w14:paraId="0CF50836" w14:textId="77777777" w:rsidTr="00AA1403">
        <w:trPr>
          <w:trHeight w:val="870"/>
        </w:trPr>
        <w:tc>
          <w:tcPr>
            <w:tcW w:w="8647" w:type="dxa"/>
          </w:tcPr>
          <w:p w14:paraId="34F7C6B3" w14:textId="77777777" w:rsidR="00957B4B" w:rsidRDefault="00957B4B" w:rsidP="00AB2BDF">
            <w:pPr>
              <w:pStyle w:val="Prrafodelista"/>
              <w:numPr>
                <w:ilvl w:val="0"/>
                <w:numId w:val="17"/>
              </w:numPr>
              <w:spacing w:line="276" w:lineRule="auto"/>
              <w:ind w:left="360"/>
              <w:contextualSpacing w:val="0"/>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Ley 80 de 1993, artículo 2.</w:t>
            </w:r>
          </w:p>
          <w:p w14:paraId="208E85AA" w14:textId="77777777" w:rsidR="00957B4B" w:rsidRDefault="00957B4B" w:rsidP="00AB2BDF">
            <w:pPr>
              <w:pStyle w:val="Prrafodelista"/>
              <w:spacing w:line="276" w:lineRule="auto"/>
              <w:ind w:left="360"/>
              <w:contextualSpacing w:val="0"/>
              <w:jc w:val="both"/>
              <w:rPr>
                <w:rFonts w:ascii="Verdana" w:eastAsia="Calibri" w:hAnsi="Verdana" w:cs="Arial"/>
                <w:color w:val="000000" w:themeColor="text1"/>
                <w:lang w:val="es-ES_tradnl"/>
              </w:rPr>
            </w:pPr>
          </w:p>
          <w:p w14:paraId="16AA8CEC" w14:textId="77777777" w:rsidR="00957B4B" w:rsidRDefault="00957B4B" w:rsidP="00AB2BDF">
            <w:pPr>
              <w:pStyle w:val="Prrafodelista"/>
              <w:numPr>
                <w:ilvl w:val="0"/>
                <w:numId w:val="17"/>
              </w:numPr>
              <w:spacing w:line="276" w:lineRule="auto"/>
              <w:ind w:left="360"/>
              <w:contextualSpacing w:val="0"/>
              <w:jc w:val="both"/>
              <w:rPr>
                <w:rFonts w:ascii="Verdana" w:eastAsia="Calibri" w:hAnsi="Verdana" w:cs="Arial"/>
                <w:color w:val="000000" w:themeColor="text1"/>
                <w:lang w:val="es-ES_tradnl"/>
              </w:rPr>
            </w:pPr>
            <w:r w:rsidRPr="00A10D77">
              <w:rPr>
                <w:rFonts w:ascii="Verdana" w:eastAsia="Calibri" w:hAnsi="Verdana" w:cs="Arial"/>
                <w:color w:val="000000" w:themeColor="text1"/>
                <w:lang w:val="es-ES_tradnl"/>
              </w:rPr>
              <w:t>Ley 489 de 1998: Artículo 97.</w:t>
            </w:r>
          </w:p>
          <w:p w14:paraId="27ECFC1F" w14:textId="77777777" w:rsidR="00957B4B" w:rsidRPr="00A10D77" w:rsidRDefault="00957B4B" w:rsidP="00AB2BDF">
            <w:pPr>
              <w:pStyle w:val="Prrafodelista"/>
              <w:spacing w:line="276" w:lineRule="auto"/>
              <w:ind w:left="360"/>
              <w:contextualSpacing w:val="0"/>
              <w:jc w:val="both"/>
              <w:rPr>
                <w:rFonts w:ascii="Verdana" w:eastAsia="Calibri" w:hAnsi="Verdana" w:cs="Arial"/>
                <w:color w:val="000000" w:themeColor="text1"/>
                <w:lang w:val="es-ES_tradnl"/>
              </w:rPr>
            </w:pPr>
          </w:p>
          <w:p w14:paraId="4991088E" w14:textId="77777777" w:rsidR="00957B4B" w:rsidRPr="00740A82" w:rsidRDefault="00957B4B" w:rsidP="00AB2BDF">
            <w:pPr>
              <w:pStyle w:val="Prrafodelista"/>
              <w:numPr>
                <w:ilvl w:val="0"/>
                <w:numId w:val="17"/>
              </w:numPr>
              <w:spacing w:line="276" w:lineRule="auto"/>
              <w:ind w:left="360"/>
              <w:contextualSpacing w:val="0"/>
              <w:jc w:val="both"/>
              <w:rPr>
                <w:rFonts w:ascii="Verdana" w:eastAsia="Calibri" w:hAnsi="Verdana" w:cs="Arial"/>
                <w:color w:val="000000" w:themeColor="text1"/>
                <w:lang w:val="es-ES_tradnl"/>
              </w:rPr>
            </w:pPr>
            <w:r w:rsidRPr="00740A82">
              <w:rPr>
                <w:rFonts w:ascii="Verdana" w:eastAsia="Calibri" w:hAnsi="Verdana" w:cs="Arial"/>
                <w:color w:val="000000" w:themeColor="text1"/>
              </w:rPr>
              <w:lastRenderedPageBreak/>
              <w:t xml:space="preserve">Ley 1150 de 2007: Artículo 2, numeral 4, literal c)– modificado por el artículo 92 de la Ley 1474 de 2011. </w:t>
            </w:r>
          </w:p>
          <w:p w14:paraId="5C01FA83" w14:textId="77777777" w:rsidR="00957B4B" w:rsidRPr="00AB2BDF" w:rsidRDefault="00957B4B" w:rsidP="00AA1403">
            <w:pPr>
              <w:spacing w:line="276" w:lineRule="auto"/>
              <w:jc w:val="both"/>
              <w:rPr>
                <w:rFonts w:ascii="Verdana" w:hAnsi="Verdana" w:cs="Arial"/>
                <w:sz w:val="22"/>
                <w:szCs w:val="22"/>
              </w:rPr>
            </w:pPr>
          </w:p>
          <w:p w14:paraId="52F46601" w14:textId="77777777" w:rsidR="00957B4B" w:rsidRDefault="00957B4B" w:rsidP="00AB2BDF">
            <w:pPr>
              <w:pStyle w:val="Prrafodelista"/>
              <w:numPr>
                <w:ilvl w:val="0"/>
                <w:numId w:val="17"/>
              </w:numPr>
              <w:spacing w:line="276" w:lineRule="auto"/>
              <w:ind w:left="360"/>
              <w:contextualSpacing w:val="0"/>
              <w:jc w:val="both"/>
              <w:rPr>
                <w:rFonts w:ascii="Verdana" w:hAnsi="Verdana" w:cs="Arial"/>
              </w:rPr>
            </w:pPr>
            <w:r w:rsidRPr="00740A82">
              <w:rPr>
                <w:rFonts w:ascii="Verdana" w:hAnsi="Verdana" w:cs="Arial"/>
              </w:rPr>
              <w:t>Ley 1150 de 2007: Artículo 14 – modificado por el artículo 93 de la Ley 1474 de 2011.</w:t>
            </w:r>
          </w:p>
          <w:p w14:paraId="04FA1C38" w14:textId="77777777" w:rsidR="00957B4B" w:rsidRPr="00A10D77" w:rsidRDefault="00957B4B" w:rsidP="00AB2BDF">
            <w:pPr>
              <w:pStyle w:val="Prrafodelista"/>
              <w:spacing w:line="276" w:lineRule="auto"/>
              <w:contextualSpacing w:val="0"/>
              <w:jc w:val="both"/>
              <w:rPr>
                <w:rFonts w:ascii="Verdana" w:hAnsi="Verdana" w:cs="Arial"/>
              </w:rPr>
            </w:pPr>
          </w:p>
          <w:p w14:paraId="0A193A62" w14:textId="77777777" w:rsidR="00957B4B" w:rsidRPr="00740A82" w:rsidRDefault="00957B4B" w:rsidP="00AB2BDF">
            <w:pPr>
              <w:pStyle w:val="Prrafodelista"/>
              <w:numPr>
                <w:ilvl w:val="0"/>
                <w:numId w:val="17"/>
              </w:numPr>
              <w:spacing w:line="276" w:lineRule="auto"/>
              <w:ind w:left="360"/>
              <w:contextualSpacing w:val="0"/>
              <w:jc w:val="both"/>
              <w:rPr>
                <w:rFonts w:ascii="Verdana" w:hAnsi="Verdana" w:cs="Arial"/>
              </w:rPr>
            </w:pPr>
            <w:r w:rsidRPr="00740A82">
              <w:rPr>
                <w:rFonts w:ascii="Verdana" w:hAnsi="Verdana" w:cs="Arial"/>
              </w:rPr>
              <w:t xml:space="preserve">Consejo de Estado, Sala de Consulta y Servicio Civil, Concepto 1127 del 10 de diciembre de 2004. M.P. Enrique José Arboleda Perdomo </w:t>
            </w:r>
          </w:p>
          <w:p w14:paraId="04E17143" w14:textId="77777777" w:rsidR="00957B4B" w:rsidRPr="00740A82" w:rsidRDefault="00957B4B" w:rsidP="00AB2BDF">
            <w:pPr>
              <w:pStyle w:val="Prrafodelista"/>
              <w:spacing w:line="276" w:lineRule="auto"/>
              <w:contextualSpacing w:val="0"/>
              <w:jc w:val="both"/>
              <w:rPr>
                <w:rFonts w:ascii="Verdana" w:hAnsi="Verdana" w:cs="Arial"/>
              </w:rPr>
            </w:pPr>
          </w:p>
          <w:p w14:paraId="57C2B888" w14:textId="77777777" w:rsidR="00957B4B" w:rsidRPr="00740A82" w:rsidRDefault="00957B4B" w:rsidP="00AB2BDF">
            <w:pPr>
              <w:pStyle w:val="Prrafodelista"/>
              <w:numPr>
                <w:ilvl w:val="0"/>
                <w:numId w:val="17"/>
              </w:numPr>
              <w:spacing w:line="276" w:lineRule="auto"/>
              <w:ind w:left="360"/>
              <w:contextualSpacing w:val="0"/>
              <w:jc w:val="both"/>
              <w:rPr>
                <w:rFonts w:ascii="Verdana" w:hAnsi="Verdana"/>
              </w:rPr>
            </w:pPr>
            <w:r w:rsidRPr="00740A82">
              <w:rPr>
                <w:rFonts w:ascii="Verdana" w:hAnsi="Verdana" w:cs="Arial"/>
              </w:rPr>
              <w:t xml:space="preserve">RINCÓN CÓRDOBA, Jorge Iván. Teoría de la organización administrativa en Colombia, Bogotá: Universidad Externado de Colombia, 2019. </w:t>
            </w:r>
          </w:p>
          <w:p w14:paraId="642E2527" w14:textId="77777777" w:rsidR="00957B4B" w:rsidRPr="00740A82" w:rsidRDefault="00957B4B" w:rsidP="00AB2BDF">
            <w:pPr>
              <w:pStyle w:val="Prrafodelista"/>
              <w:spacing w:line="276" w:lineRule="auto"/>
              <w:contextualSpacing w:val="0"/>
              <w:jc w:val="both"/>
              <w:rPr>
                <w:rFonts w:ascii="Verdana" w:hAnsi="Verdana" w:cs="Arial"/>
              </w:rPr>
            </w:pPr>
          </w:p>
          <w:p w14:paraId="59542AA6" w14:textId="77777777" w:rsidR="00957B4B" w:rsidRPr="00740A82" w:rsidRDefault="00957B4B" w:rsidP="00AB2BDF">
            <w:pPr>
              <w:pStyle w:val="Prrafodelista"/>
              <w:numPr>
                <w:ilvl w:val="0"/>
                <w:numId w:val="17"/>
              </w:numPr>
              <w:spacing w:line="276" w:lineRule="auto"/>
              <w:ind w:left="360"/>
              <w:contextualSpacing w:val="0"/>
              <w:jc w:val="both"/>
              <w:rPr>
                <w:rFonts w:ascii="Verdana" w:hAnsi="Verdana"/>
                <w:lang w:val="es-CO"/>
              </w:rPr>
            </w:pPr>
            <w:r w:rsidRPr="00740A82">
              <w:rPr>
                <w:rFonts w:ascii="Verdana" w:hAnsi="Verdana" w:cs="Arial"/>
              </w:rPr>
              <w:t>MONTAÑA PLATA, Alberto. Fundamentos de derecho administrativo. Bogotá: Universidad Externado de Colombia, 2010.</w:t>
            </w:r>
          </w:p>
        </w:tc>
      </w:tr>
    </w:tbl>
    <w:p w14:paraId="2F48B44B" w14:textId="77777777" w:rsidR="00957B4B" w:rsidRPr="00AB2BDF" w:rsidRDefault="00957B4B" w:rsidP="005A116C">
      <w:pPr>
        <w:widowControl w:val="0"/>
        <w:autoSpaceDE w:val="0"/>
        <w:autoSpaceDN w:val="0"/>
        <w:spacing w:line="276" w:lineRule="auto"/>
        <w:jc w:val="both"/>
        <w:rPr>
          <w:rFonts w:ascii="Verdana" w:hAnsi="Verdana" w:cs="Arial"/>
          <w:sz w:val="22"/>
          <w:szCs w:val="22"/>
        </w:rPr>
      </w:pPr>
    </w:p>
    <w:p w14:paraId="13396F53" w14:textId="77777777" w:rsidR="00957B4B" w:rsidRPr="00E66E2D" w:rsidRDefault="00957B4B" w:rsidP="00957B4B">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E66E2D">
        <w:rPr>
          <w:rFonts w:ascii="Verdana" w:eastAsia="Century Gothic" w:hAnsi="Verdana" w:cs="Century Gothic"/>
          <w:b/>
          <w:bCs/>
        </w:rPr>
        <w:t>Doctrina de la Agencia Nacional de Contratación Pública:</w:t>
      </w:r>
    </w:p>
    <w:p w14:paraId="1D7080F8" w14:textId="77777777" w:rsidR="00957B4B" w:rsidRPr="00AB2BDF" w:rsidRDefault="00957B4B" w:rsidP="006773A2">
      <w:pPr>
        <w:widowControl w:val="0"/>
        <w:autoSpaceDE w:val="0"/>
        <w:autoSpaceDN w:val="0"/>
        <w:spacing w:line="276" w:lineRule="auto"/>
        <w:jc w:val="both"/>
        <w:rPr>
          <w:rFonts w:ascii="Verdana" w:hAnsi="Verdana" w:cs="Arial"/>
          <w:sz w:val="22"/>
          <w:szCs w:val="22"/>
        </w:rPr>
      </w:pPr>
    </w:p>
    <w:p w14:paraId="00107E51" w14:textId="77777777" w:rsidR="00957B4B" w:rsidRPr="00AB2BDF" w:rsidRDefault="00957B4B" w:rsidP="006773A2">
      <w:pPr>
        <w:widowControl w:val="0"/>
        <w:autoSpaceDE w:val="0"/>
        <w:autoSpaceDN w:val="0"/>
        <w:spacing w:line="276" w:lineRule="auto"/>
        <w:jc w:val="both"/>
        <w:rPr>
          <w:rStyle w:val="normaltextrun"/>
          <w:rFonts w:ascii="Verdana" w:hAnsi="Verdana"/>
          <w:color w:val="FF0000"/>
          <w:sz w:val="22"/>
          <w:szCs w:val="22"/>
          <w:shd w:val="clear" w:color="auto" w:fill="FFFFFF"/>
        </w:rPr>
      </w:pPr>
      <w:r w:rsidRPr="00AB2BDF">
        <w:rPr>
          <w:rFonts w:ascii="Verdana" w:eastAsia="Calibri" w:hAnsi="Verdana" w:cs="Arial"/>
          <w:color w:val="000000" w:themeColor="text1"/>
          <w:sz w:val="22"/>
          <w:szCs w:val="22"/>
        </w:rPr>
        <w:t xml:space="preserve">La Agencia Nacional de Contratación Pública – Colombia Compra Eficiente </w:t>
      </w:r>
      <w:r w:rsidRPr="00AB2BDF">
        <w:rPr>
          <w:rFonts w:ascii="Verdana" w:hAnsi="Verdana" w:cs="Arial"/>
          <w:color w:val="000000"/>
          <w:sz w:val="22"/>
          <w:szCs w:val="22"/>
          <w:shd w:val="clear" w:color="auto" w:fill="FFFFFF"/>
          <w:lang w:val="es-MX"/>
        </w:rPr>
        <w:t xml:space="preserve">se ha referido previamente al régimen contractual </w:t>
      </w:r>
      <w:r w:rsidRPr="00AB2BDF">
        <w:rPr>
          <w:rFonts w:ascii="Verdana" w:hAnsi="Verdana" w:cs="Arial"/>
          <w:sz w:val="22"/>
          <w:szCs w:val="22"/>
          <w:lang w:val="es-ES_tradnl"/>
        </w:rPr>
        <w:t xml:space="preserve">de las sociedades de economía mixta en los conceptos C- 762 del 6 de enero de 2020, C-089 del 22 de marzo de 2022, </w:t>
      </w:r>
      <w:r w:rsidRPr="00AB2BDF">
        <w:rPr>
          <w:rFonts w:ascii="Verdana" w:eastAsia="Calibri" w:hAnsi="Verdana" w:cs="Arial"/>
          <w:sz w:val="22"/>
          <w:szCs w:val="22"/>
        </w:rPr>
        <w:t xml:space="preserve">C-458 del 15 de julio de 2022, C-089 del 10 de marzo de 2025, C-716 del 26 de mayo de 2026, entre otros. </w:t>
      </w:r>
      <w:r w:rsidRPr="00AB2BDF">
        <w:rPr>
          <w:rStyle w:val="normaltextrun"/>
          <w:rFonts w:ascii="Verdana" w:hAnsi="Verdana"/>
          <w:sz w:val="22"/>
          <w:szCs w:val="22"/>
          <w:shd w:val="clear" w:color="auto" w:fill="FFFFFF"/>
        </w:rPr>
        <w:t>Es</w:t>
      </w:r>
      <w:r w:rsidRPr="00AB2BDF">
        <w:rPr>
          <w:rFonts w:ascii="Verdana" w:hAnsi="Verdana"/>
          <w:sz w:val="22"/>
          <w:szCs w:val="22"/>
        </w:rPr>
        <w:t>tos y otros conceptos se encuentran disponibles para consulta en el Sistema de relatoría de la Agencia, al cual se puede acceder a través del siguiente enlace:</w:t>
      </w:r>
      <w:r w:rsidRPr="00AB2BDF">
        <w:rPr>
          <w:rStyle w:val="normaltextrun"/>
          <w:rFonts w:ascii="Verdana" w:hAnsi="Verdana"/>
          <w:sz w:val="22"/>
          <w:szCs w:val="22"/>
          <w:shd w:val="clear" w:color="auto" w:fill="FFFFFF"/>
        </w:rPr>
        <w:t xml:space="preserve"> </w:t>
      </w:r>
      <w:hyperlink r:id="rId13" w:history="1">
        <w:r w:rsidRPr="00AB2BDF">
          <w:rPr>
            <w:rStyle w:val="Hipervnculo"/>
            <w:rFonts w:ascii="Verdana" w:hAnsi="Verdana" w:cs="Arial"/>
            <w:sz w:val="22"/>
            <w:szCs w:val="22"/>
            <w:shd w:val="clear" w:color="auto" w:fill="FFFFFF"/>
            <w:lang w:val="es-ES"/>
          </w:rPr>
          <w:t>https://relatoria.colombiacompra.gov.co/busqueda/conceptos</w:t>
        </w:r>
      </w:hyperlink>
    </w:p>
    <w:p w14:paraId="13CAA333" w14:textId="77777777" w:rsidR="00957B4B" w:rsidRPr="00AB2BDF" w:rsidRDefault="00957B4B" w:rsidP="006773A2">
      <w:pPr>
        <w:widowControl w:val="0"/>
        <w:autoSpaceDE w:val="0"/>
        <w:autoSpaceDN w:val="0"/>
        <w:spacing w:line="276" w:lineRule="auto"/>
        <w:jc w:val="both"/>
        <w:rPr>
          <w:rFonts w:ascii="Verdana" w:hAnsi="Verdana" w:cs="Arial"/>
          <w:sz w:val="22"/>
          <w:szCs w:val="22"/>
        </w:rPr>
      </w:pPr>
    </w:p>
    <w:p w14:paraId="5FE390BA" w14:textId="77777777" w:rsidR="00957B4B" w:rsidRPr="00AB2BDF" w:rsidRDefault="00957B4B" w:rsidP="00FE6C79">
      <w:pPr>
        <w:spacing w:line="276" w:lineRule="auto"/>
        <w:jc w:val="both"/>
        <w:rPr>
          <w:rFonts w:ascii="Verdana" w:hAnsi="Verdana"/>
          <w:color w:val="000000"/>
          <w:sz w:val="22"/>
          <w:szCs w:val="22"/>
          <w:lang w:eastAsia="es-MX"/>
        </w:rPr>
      </w:pPr>
      <w:r w:rsidRPr="00AB2BDF">
        <w:rPr>
          <w:rFonts w:ascii="Verdana" w:hAnsi="Verdana"/>
          <w:color w:val="000000"/>
          <w:sz w:val="22"/>
          <w:szCs w:val="22"/>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B2BDF">
        <w:rPr>
          <w:rFonts w:ascii="Verdana" w:hAnsi="Verdana"/>
          <w:b/>
          <w:color w:val="000000"/>
          <w:sz w:val="22"/>
          <w:szCs w:val="22"/>
          <w:lang w:eastAsia="es-MX"/>
        </w:rPr>
        <w:t>Guía para la Exigencia y Constitución de Garantías en los Procesos de Contratación</w:t>
      </w:r>
      <w:r w:rsidRPr="00AB2BDF">
        <w:rPr>
          <w:rFonts w:ascii="Verdana" w:hAnsi="Verdana"/>
          <w:color w:val="000000"/>
          <w:sz w:val="22"/>
          <w:szCs w:val="22"/>
          <w:lang w:eastAsia="es-MX"/>
        </w:rPr>
        <w:t xml:space="preserve">, dirigida a las entidades sometidas al EGCAP y a las de regímenes exceptuados, así como a proveedores </w:t>
      </w:r>
      <w:r w:rsidRPr="00AB2BDF">
        <w:rPr>
          <w:rFonts w:ascii="Verdana" w:hAnsi="Verdana"/>
          <w:color w:val="000000"/>
          <w:sz w:val="22"/>
          <w:szCs w:val="22"/>
          <w:lang w:eastAsia="es-MX"/>
        </w:rPr>
        <w:lastRenderedPageBreak/>
        <w:t>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 https://www.colombiacompra.gov.co/archivos/manual/guia-de-garantias-en-procesos-de-contratacion  Click to follow link." w:history="1">
        <w:r w:rsidRPr="00AB2BDF">
          <w:rPr>
            <w:rFonts w:ascii="Verdana" w:hAnsi="Verdana"/>
            <w:color w:val="0086F0"/>
            <w:sz w:val="22"/>
            <w:szCs w:val="22"/>
            <w:u w:val="single"/>
            <w:lang w:eastAsia="es-MX"/>
          </w:rPr>
          <w:t>https://www.colombiacompra.gov.co/archivos/manual/guia-de-garantias-en-procesos-de-contratacion</w:t>
        </w:r>
      </w:hyperlink>
    </w:p>
    <w:p w14:paraId="383415B8" w14:textId="77777777" w:rsidR="00957B4B" w:rsidRPr="00AB2BDF" w:rsidRDefault="00957B4B" w:rsidP="00D8057C">
      <w:pPr>
        <w:spacing w:line="276" w:lineRule="auto"/>
        <w:jc w:val="both"/>
        <w:rPr>
          <w:rFonts w:ascii="Verdana" w:hAnsi="Verdana"/>
          <w:color w:val="000000"/>
          <w:sz w:val="22"/>
          <w:szCs w:val="22"/>
          <w:lang w:eastAsia="es-MX"/>
        </w:rPr>
      </w:pPr>
    </w:p>
    <w:p w14:paraId="4131F58E" w14:textId="77777777" w:rsidR="00957B4B" w:rsidRPr="00AB2BDF" w:rsidRDefault="00957B4B">
      <w:pPr>
        <w:spacing w:line="276" w:lineRule="auto"/>
        <w:jc w:val="both"/>
        <w:rPr>
          <w:rFonts w:ascii="Verdana" w:hAnsi="Verdana"/>
          <w:color w:val="000000"/>
          <w:sz w:val="22"/>
          <w:szCs w:val="22"/>
          <w:lang w:eastAsia="es-MX"/>
        </w:rPr>
      </w:pPr>
      <w:r w:rsidRPr="00AB2BDF">
        <w:rPr>
          <w:rFonts w:ascii="Verdana" w:hAnsi="Verdana"/>
          <w:color w:val="000000"/>
          <w:sz w:val="22"/>
          <w:szCs w:val="22"/>
          <w:lang w:eastAsia="es-MX"/>
        </w:rPr>
        <w:t>De otro lado, te contamos que el Decreto 287 del 19 de marzo de 2026 sustituyó los artículos 2.2.1.2.4.2.6., 2.2.1.2.4.2.7. y 2.2.1.2.4.2.8. del Decreto 1082 de 2015 y estructuró el </w:t>
      </w:r>
      <w:r w:rsidRPr="00AB2BDF">
        <w:rPr>
          <w:rFonts w:ascii="Verdana" w:hAnsi="Verdana"/>
          <w:b/>
          <w:color w:val="000000"/>
          <w:sz w:val="22"/>
          <w:szCs w:val="22"/>
          <w:lang w:eastAsia="es-MX"/>
        </w:rPr>
        <w:t>Sistema Integral de Preferencias en favor de las personas con discapacidad</w:t>
      </w:r>
      <w:r w:rsidRPr="00AB2BDF">
        <w:rPr>
          <w:rFonts w:ascii="Verdana" w:hAnsi="Verdana"/>
          <w:color w:val="000000"/>
          <w:sz w:val="22"/>
          <w:szCs w:val="22"/>
          <w:lang w:eastAsia="es-MX"/>
        </w:rPr>
        <w:t>, en cumplimiento del artículo 13 de la Ley Estatutaria 1618 de 2013. Para orientar su aplicación, esta Agencia expidió la </w:t>
      </w:r>
      <w:r w:rsidRPr="00AB2BDF">
        <w:rPr>
          <w:rFonts w:ascii="Verdana" w:hAnsi="Verdana"/>
          <w:b/>
          <w:color w:val="000000"/>
          <w:sz w:val="22"/>
          <w:szCs w:val="22"/>
          <w:lang w:eastAsia="es-MX"/>
        </w:rPr>
        <w:t>Circular Externa 003 del 12 de mayo de 2026, </w:t>
      </w:r>
      <w:r w:rsidRPr="00AB2BDF">
        <w:rPr>
          <w:rFonts w:ascii="Verdana" w:hAnsi="Verdana"/>
          <w:color w:val="000000"/>
          <w:sz w:val="22"/>
          <w:szCs w:val="22"/>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 https://www.colombiacompra.gov.co/archivos/circular/circular-externa-003-de-2026  Click to follow link." w:history="1">
        <w:r w:rsidRPr="00AB2BDF">
          <w:rPr>
            <w:rFonts w:ascii="Verdana" w:hAnsi="Verdana"/>
            <w:color w:val="0086F0"/>
            <w:sz w:val="22"/>
            <w:szCs w:val="22"/>
            <w:u w:val="single"/>
            <w:lang w:eastAsia="es-MX"/>
          </w:rPr>
          <w:t>https://www.colombiacompra.gov.co/archivos/circular/circular-externa-003-de-2026</w:t>
        </w:r>
      </w:hyperlink>
    </w:p>
    <w:p w14:paraId="34A62DE4" w14:textId="77777777" w:rsidR="00957B4B" w:rsidRPr="00AB2BDF" w:rsidRDefault="00957B4B">
      <w:pPr>
        <w:spacing w:line="276" w:lineRule="auto"/>
        <w:jc w:val="both"/>
        <w:rPr>
          <w:rFonts w:ascii="Verdana" w:hAnsi="Verdana"/>
          <w:color w:val="000000"/>
          <w:sz w:val="22"/>
          <w:szCs w:val="22"/>
          <w:lang w:eastAsia="es-MX"/>
        </w:rPr>
      </w:pPr>
    </w:p>
    <w:p w14:paraId="663B4D7B" w14:textId="77777777" w:rsidR="00957B4B" w:rsidRPr="00AB2BDF" w:rsidRDefault="00957B4B">
      <w:pPr>
        <w:spacing w:line="276" w:lineRule="auto"/>
        <w:jc w:val="both"/>
        <w:rPr>
          <w:rFonts w:ascii="Verdana" w:hAnsi="Verdana"/>
          <w:color w:val="000000"/>
          <w:sz w:val="22"/>
          <w:szCs w:val="22"/>
          <w:lang w:eastAsia="es-MX"/>
        </w:rPr>
      </w:pPr>
      <w:r w:rsidRPr="00AB2BDF">
        <w:rPr>
          <w:rFonts w:ascii="Verdana" w:hAnsi="Verdana"/>
          <w:color w:val="000000"/>
          <w:sz w:val="22"/>
          <w:szCs w:val="22"/>
          <w:lang w:eastAsia="es-MX"/>
        </w:rPr>
        <w:t>Recuerda también que la</w:t>
      </w:r>
      <w:r w:rsidRPr="00AB2BDF">
        <w:rPr>
          <w:rFonts w:ascii="Verdana" w:hAnsi="Verdana"/>
          <w:b/>
          <w:color w:val="000000"/>
          <w:sz w:val="22"/>
          <w:szCs w:val="22"/>
          <w:lang w:eastAsia="es-MX"/>
        </w:rPr>
        <w:t> información sobre sanciones e inhabilidades </w:t>
      </w:r>
      <w:r w:rsidRPr="00AB2BDF">
        <w:rPr>
          <w:rFonts w:ascii="Verdana" w:hAnsi="Verdana"/>
          <w:color w:val="000000"/>
          <w:sz w:val="22"/>
          <w:szCs w:val="22"/>
          <w:lang w:eastAsia="es-MX"/>
        </w:rPr>
        <w:t>solo cumple su función preventiva si llega oportunamente a los registros públicos. Sobre este deber, esta Agencia expidió la </w:t>
      </w:r>
      <w:r w:rsidRPr="00AB2BDF">
        <w:rPr>
          <w:rFonts w:ascii="Verdana" w:hAnsi="Verdana"/>
          <w:b/>
          <w:color w:val="000000"/>
          <w:sz w:val="22"/>
          <w:szCs w:val="22"/>
          <w:lang w:eastAsia="es-MX"/>
        </w:rPr>
        <w:t xml:space="preserve">Circular Externa 002 del 5 de mayo de </w:t>
      </w:r>
      <w:proofErr w:type="gramStart"/>
      <w:r w:rsidRPr="00AB2BDF">
        <w:rPr>
          <w:rFonts w:ascii="Verdana" w:hAnsi="Verdana"/>
          <w:b/>
          <w:color w:val="000000"/>
          <w:sz w:val="22"/>
          <w:szCs w:val="22"/>
          <w:lang w:eastAsia="es-MX"/>
        </w:rPr>
        <w:t>2026,</w:t>
      </w:r>
      <w:r w:rsidRPr="00AB2BDF">
        <w:rPr>
          <w:rFonts w:ascii="Verdana" w:hAnsi="Verdana"/>
          <w:color w:val="000000"/>
          <w:sz w:val="22"/>
          <w:szCs w:val="22"/>
          <w:lang w:eastAsia="es-MX"/>
        </w:rPr>
        <w:t>dirigida</w:t>
      </w:r>
      <w:proofErr w:type="gramEnd"/>
      <w:r w:rsidRPr="00AB2BDF">
        <w:rPr>
          <w:rFonts w:ascii="Verdana" w:hAnsi="Verdana"/>
          <w:color w:val="000000"/>
          <w:sz w:val="22"/>
          <w:szCs w:val="22"/>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 https://www.colombiacompra.gov.co/archivos/circular/circular-externa-002-de-2026  Click to follow link." w:history="1">
        <w:r w:rsidRPr="00AB2BDF">
          <w:rPr>
            <w:rFonts w:ascii="Verdana" w:hAnsi="Verdana"/>
            <w:color w:val="0086F0"/>
            <w:sz w:val="22"/>
            <w:szCs w:val="22"/>
            <w:u w:val="single"/>
            <w:lang w:eastAsia="es-MX"/>
          </w:rPr>
          <w:t>https://www.colombiacompra.gov.co/archivos/circular/circular-externa-002-de-2026</w:t>
        </w:r>
      </w:hyperlink>
    </w:p>
    <w:p w14:paraId="0C1856BB" w14:textId="77777777" w:rsidR="00957B4B" w:rsidRPr="00AB2BDF" w:rsidRDefault="00957B4B">
      <w:pPr>
        <w:spacing w:line="276" w:lineRule="auto"/>
        <w:jc w:val="both"/>
        <w:rPr>
          <w:rFonts w:ascii="Verdana" w:hAnsi="Verdana"/>
          <w:color w:val="000000"/>
          <w:sz w:val="22"/>
          <w:szCs w:val="22"/>
          <w:lang w:eastAsia="es-MX"/>
        </w:rPr>
      </w:pPr>
    </w:p>
    <w:p w14:paraId="1CC3FEC1" w14:textId="77777777" w:rsidR="00957B4B" w:rsidRPr="00AB2BDF" w:rsidRDefault="00957B4B">
      <w:pPr>
        <w:spacing w:line="276" w:lineRule="auto"/>
        <w:jc w:val="both"/>
        <w:rPr>
          <w:rFonts w:ascii="Verdana" w:hAnsi="Verdana"/>
          <w:color w:val="000000"/>
          <w:sz w:val="22"/>
          <w:szCs w:val="22"/>
          <w:lang w:eastAsia="es-MX"/>
        </w:rPr>
      </w:pPr>
      <w:r w:rsidRPr="00AB2BDF">
        <w:rPr>
          <w:rFonts w:ascii="Verdana" w:hAnsi="Verdana"/>
          <w:color w:val="000000"/>
          <w:sz w:val="22"/>
          <w:szCs w:val="22"/>
          <w:lang w:eastAsia="es-MX"/>
        </w:rPr>
        <w:t>Finalmente, si quieres seguir de cerca la actividad de la Agencia, la tercera edición de 2026 del</w:t>
      </w:r>
      <w:r w:rsidRPr="00AB2BDF">
        <w:rPr>
          <w:rFonts w:ascii="Verdana" w:hAnsi="Verdana"/>
          <w:b/>
          <w:color w:val="000000"/>
          <w:sz w:val="22"/>
          <w:szCs w:val="22"/>
          <w:lang w:eastAsia="es-MX"/>
        </w:rPr>
        <w:t> Radar de la Compra Pública</w:t>
      </w:r>
      <w:r w:rsidRPr="00AB2BDF">
        <w:rPr>
          <w:rFonts w:ascii="Verdana" w:hAnsi="Verdana"/>
          <w:color w:val="000000"/>
          <w:sz w:val="22"/>
          <w:szCs w:val="22"/>
          <w:lang w:eastAsia="es-MX"/>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AB2BDF">
        <w:rPr>
          <w:rFonts w:ascii="Verdana" w:hAnsi="Verdana"/>
          <w:color w:val="000000"/>
          <w:sz w:val="22"/>
          <w:szCs w:val="22"/>
          <w:lang w:eastAsia="es-MX"/>
        </w:rPr>
        <w:lastRenderedPageBreak/>
        <w:t>aquí: </w:t>
      </w:r>
      <w:hyperlink r:id="rId17" w:tooltip="Original URL: https://www.colombiacompra.gov.co/archivos/boletin/boletin-edicion-n-3-de-2026-radar-de-la-compra-publica  Click to follow link." w:history="1">
        <w:r w:rsidRPr="00AB2BDF">
          <w:rPr>
            <w:rFonts w:ascii="Verdana" w:hAnsi="Verdana"/>
            <w:color w:val="0086F0"/>
            <w:sz w:val="22"/>
            <w:szCs w:val="22"/>
            <w:u w:val="single"/>
            <w:lang w:eastAsia="es-MX"/>
          </w:rPr>
          <w:t>https://www.colombiacompra.gov.co/archivos/boletin/boletin-edicion-n-3-de-2026-radar-de-la-compra-publica</w:t>
        </w:r>
      </w:hyperlink>
    </w:p>
    <w:p w14:paraId="2610FC25" w14:textId="77777777" w:rsidR="00957B4B" w:rsidRPr="00AB2BDF" w:rsidRDefault="00957B4B">
      <w:pPr>
        <w:shd w:val="clear" w:color="auto" w:fill="FFFFFF"/>
        <w:spacing w:line="276" w:lineRule="auto"/>
        <w:jc w:val="both"/>
        <w:rPr>
          <w:rFonts w:ascii="Verdana" w:eastAsia="Calibri" w:hAnsi="Verdana"/>
          <w:color w:val="000000"/>
          <w:sz w:val="22"/>
          <w:szCs w:val="22"/>
          <w:u w:val="single"/>
        </w:rPr>
      </w:pPr>
    </w:p>
    <w:p w14:paraId="74A5DC99" w14:textId="77777777" w:rsidR="00957B4B" w:rsidRPr="00AB2BDF" w:rsidRDefault="00957B4B" w:rsidP="00AB2BDF">
      <w:pPr>
        <w:spacing w:line="276" w:lineRule="auto"/>
        <w:jc w:val="both"/>
        <w:rPr>
          <w:rFonts w:ascii="Verdana" w:eastAsia="Calibri" w:hAnsi="Verdana"/>
          <w:sz w:val="22"/>
          <w:szCs w:val="22"/>
        </w:rPr>
      </w:pPr>
      <w:r w:rsidRPr="00AB2BDF">
        <w:rPr>
          <w:rFonts w:ascii="Verdana" w:eastAsia="Calibri" w:hAnsi="Verdana"/>
          <w:sz w:val="22"/>
          <w:szCs w:val="22"/>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A0CCC86" w14:textId="77777777" w:rsidR="00957B4B" w:rsidRPr="00AB2BDF" w:rsidRDefault="00957B4B" w:rsidP="00AB2BDF">
      <w:pPr>
        <w:spacing w:line="276" w:lineRule="auto"/>
        <w:jc w:val="both"/>
        <w:rPr>
          <w:rFonts w:ascii="Verdana" w:eastAsia="Calibri" w:hAnsi="Verdana"/>
          <w:sz w:val="22"/>
          <w:szCs w:val="22"/>
        </w:rPr>
      </w:pPr>
    </w:p>
    <w:p w14:paraId="780EFCBB" w14:textId="77777777" w:rsidR="00957B4B" w:rsidRPr="00AB2BDF" w:rsidRDefault="00957B4B" w:rsidP="00AB2BDF">
      <w:pPr>
        <w:numPr>
          <w:ilvl w:val="0"/>
          <w:numId w:val="18"/>
        </w:numPr>
        <w:spacing w:line="276" w:lineRule="auto"/>
        <w:jc w:val="both"/>
        <w:rPr>
          <w:rFonts w:ascii="Verdana" w:eastAsia="Verdana" w:hAnsi="Verdana" w:cs="Verdana"/>
          <w:color w:val="4472C4" w:themeColor="accent1"/>
          <w:sz w:val="22"/>
          <w:szCs w:val="22"/>
          <w:u w:val="single"/>
          <w:lang w:val="es-MX"/>
        </w:rPr>
      </w:pPr>
      <w:r w:rsidRPr="00AB2BDF">
        <w:rPr>
          <w:rFonts w:ascii="Verdana" w:eastAsia="Verdana" w:hAnsi="Verdana" w:cs="Verdana"/>
          <w:sz w:val="22"/>
          <w:szCs w:val="22"/>
          <w:lang w:val="es-MX"/>
        </w:rPr>
        <w:t xml:space="preserve">Línea nacional gratuita o servicio a la ciudadanía (Mesa de servicio): </w:t>
      </w:r>
      <w:r w:rsidRPr="00AB2BDF">
        <w:rPr>
          <w:rFonts w:ascii="Verdana" w:eastAsia="Calibri" w:hAnsi="Verdana"/>
          <w:color w:val="0000FF"/>
          <w:sz w:val="22"/>
          <w:szCs w:val="22"/>
          <w:u w:val="single"/>
          <w:lang w:val="es-ES"/>
        </w:rPr>
        <w:t>01800 0520808</w:t>
      </w:r>
    </w:p>
    <w:p w14:paraId="720279C8" w14:textId="77777777" w:rsidR="00957B4B" w:rsidRPr="00AB2BDF" w:rsidRDefault="00957B4B" w:rsidP="00AB2BDF">
      <w:pPr>
        <w:numPr>
          <w:ilvl w:val="0"/>
          <w:numId w:val="18"/>
        </w:numPr>
        <w:spacing w:line="276" w:lineRule="auto"/>
        <w:jc w:val="both"/>
        <w:rPr>
          <w:rFonts w:ascii="Verdana" w:eastAsia="Verdana" w:hAnsi="Verdana" w:cs="Verdana"/>
          <w:color w:val="4472C4" w:themeColor="accent1"/>
          <w:sz w:val="22"/>
          <w:szCs w:val="22"/>
          <w:u w:val="single"/>
          <w:lang w:val="es-MX"/>
        </w:rPr>
      </w:pPr>
      <w:r w:rsidRPr="00AB2BDF">
        <w:rPr>
          <w:rFonts w:ascii="Verdana" w:eastAsia="Verdana" w:hAnsi="Verdana" w:cs="Verdana"/>
          <w:sz w:val="22"/>
          <w:szCs w:val="22"/>
          <w:lang w:val="es-MX"/>
        </w:rPr>
        <w:t>Línea en Bogotá (Mesa de servicio</w:t>
      </w:r>
      <w:proofErr w:type="gramStart"/>
      <w:r w:rsidRPr="00AB2BDF">
        <w:rPr>
          <w:rFonts w:ascii="Verdana" w:eastAsia="Verdana" w:hAnsi="Verdana" w:cs="Verdana"/>
          <w:sz w:val="22"/>
          <w:szCs w:val="22"/>
          <w:lang w:val="es-MX"/>
        </w:rPr>
        <w:t>):</w:t>
      </w:r>
      <w:r w:rsidRPr="00AB2BDF">
        <w:rPr>
          <w:rFonts w:ascii="Verdana" w:eastAsia="Calibri" w:hAnsi="Verdana"/>
          <w:color w:val="0000FF"/>
          <w:sz w:val="22"/>
          <w:szCs w:val="22"/>
          <w:u w:val="single"/>
          <w:lang w:val="es-ES"/>
        </w:rPr>
        <w:t>+</w:t>
      </w:r>
      <w:proofErr w:type="gramEnd"/>
      <w:r w:rsidRPr="00AB2BDF">
        <w:rPr>
          <w:rFonts w:ascii="Verdana" w:eastAsia="Calibri" w:hAnsi="Verdana"/>
          <w:color w:val="0000FF"/>
          <w:sz w:val="22"/>
          <w:szCs w:val="22"/>
          <w:u w:val="single"/>
          <w:lang w:val="es-ES"/>
        </w:rPr>
        <w:t>57 601 7456788</w:t>
      </w:r>
    </w:p>
    <w:p w14:paraId="6406E491" w14:textId="77777777" w:rsidR="00957B4B" w:rsidRPr="00AB2BDF" w:rsidRDefault="00957B4B" w:rsidP="00AB2BDF">
      <w:pPr>
        <w:numPr>
          <w:ilvl w:val="0"/>
          <w:numId w:val="18"/>
        </w:numPr>
        <w:spacing w:line="276" w:lineRule="auto"/>
        <w:jc w:val="both"/>
        <w:rPr>
          <w:rFonts w:ascii="Verdana" w:eastAsia="Verdana" w:hAnsi="Verdana" w:cs="Verdana"/>
          <w:color w:val="0000FF"/>
          <w:sz w:val="22"/>
          <w:szCs w:val="22"/>
          <w:u w:val="single"/>
          <w:lang w:val="es-MX"/>
        </w:rPr>
      </w:pPr>
      <w:r w:rsidRPr="00AB2BDF">
        <w:rPr>
          <w:rFonts w:ascii="Verdana" w:eastAsia="Verdana" w:hAnsi="Verdana" w:cs="Verdana"/>
          <w:sz w:val="22"/>
          <w:szCs w:val="22"/>
          <w:lang w:val="es-MX"/>
        </w:rPr>
        <w:t xml:space="preserve">Correo de radicación de correspondencia: </w:t>
      </w:r>
      <w:hyperlink r:id="rId18" w:history="1">
        <w:r w:rsidRPr="00AB2BDF">
          <w:rPr>
            <w:rFonts w:ascii="Verdana" w:eastAsia="Verdana" w:hAnsi="Verdana" w:cs="Verdana"/>
            <w:color w:val="0000FF"/>
            <w:sz w:val="22"/>
            <w:szCs w:val="22"/>
            <w:u w:val="single"/>
            <w:lang w:val="es-MX"/>
          </w:rPr>
          <w:t>ventanilladeradicacion@colombiacompra.gov.co</w:t>
        </w:r>
      </w:hyperlink>
    </w:p>
    <w:p w14:paraId="777B72B4" w14:textId="77777777" w:rsidR="00957B4B" w:rsidRPr="00AB2BDF" w:rsidRDefault="00957B4B" w:rsidP="00AB2BDF">
      <w:pPr>
        <w:numPr>
          <w:ilvl w:val="0"/>
          <w:numId w:val="18"/>
        </w:numPr>
        <w:spacing w:line="276" w:lineRule="auto"/>
        <w:jc w:val="both"/>
        <w:rPr>
          <w:rFonts w:ascii="Verdana" w:eastAsia="Verdana" w:hAnsi="Verdana" w:cs="Verdana"/>
          <w:color w:val="0000FF"/>
          <w:sz w:val="22"/>
          <w:szCs w:val="22"/>
          <w:u w:val="single"/>
          <w:lang w:val="es-MX"/>
        </w:rPr>
      </w:pPr>
      <w:r w:rsidRPr="00AB2BDF">
        <w:rPr>
          <w:rFonts w:ascii="Verdana" w:eastAsia="Verdana" w:hAnsi="Verdana" w:cs="Verdana"/>
          <w:sz w:val="22"/>
          <w:szCs w:val="22"/>
          <w:lang w:val="es-ES"/>
        </w:rPr>
        <w:t xml:space="preserve">Formulario web para PQRSD: </w:t>
      </w:r>
      <w:hyperlink r:id="rId19" w:history="1">
        <w:r w:rsidRPr="00AB2BDF">
          <w:rPr>
            <w:rFonts w:ascii="Verdana" w:eastAsia="Verdana" w:hAnsi="Verdana" w:cs="Verdana"/>
            <w:color w:val="0000FF"/>
            <w:sz w:val="22"/>
            <w:szCs w:val="22"/>
            <w:u w:val="single"/>
            <w:lang w:val="es-MX"/>
          </w:rPr>
          <w:t>https://www.colombiacompra.gov.co/pqrsd/informacion-importante-antes-de-formular-una-pqrsd</w:t>
        </w:r>
      </w:hyperlink>
    </w:p>
    <w:p w14:paraId="55EC5009" w14:textId="77777777" w:rsidR="00957B4B" w:rsidRPr="00AB2BDF" w:rsidRDefault="00957B4B" w:rsidP="00AB2BDF">
      <w:pPr>
        <w:spacing w:line="276" w:lineRule="auto"/>
        <w:ind w:left="720"/>
        <w:jc w:val="both"/>
        <w:rPr>
          <w:rFonts w:ascii="Verdana" w:eastAsia="Calibri" w:hAnsi="Verdana"/>
          <w:sz w:val="22"/>
          <w:szCs w:val="22"/>
        </w:rPr>
      </w:pPr>
    </w:p>
    <w:p w14:paraId="65C751CB" w14:textId="77777777" w:rsidR="00957B4B" w:rsidRPr="00AB2BDF" w:rsidRDefault="00957B4B" w:rsidP="00AB2BDF">
      <w:pPr>
        <w:spacing w:line="276" w:lineRule="auto"/>
        <w:jc w:val="both"/>
        <w:rPr>
          <w:rFonts w:ascii="Verdana" w:eastAsia="Calibri" w:hAnsi="Verdana"/>
          <w:sz w:val="22"/>
          <w:szCs w:val="22"/>
        </w:rPr>
      </w:pPr>
      <w:r w:rsidRPr="00AB2BDF">
        <w:rPr>
          <w:rFonts w:ascii="Verdana" w:eastAsia="Calibri" w:hAnsi="Verdana"/>
          <w:sz w:val="22"/>
          <w:szCs w:val="22"/>
        </w:rPr>
        <w:t xml:space="preserve">Evalúa el servicio que ofrece la Agencia por el canal de atención de PQRSD en el siguiente </w:t>
      </w:r>
      <w:proofErr w:type="gramStart"/>
      <w:r w:rsidRPr="00AB2BDF">
        <w:rPr>
          <w:rFonts w:ascii="Verdana" w:eastAsia="Calibri" w:hAnsi="Verdana"/>
          <w:sz w:val="22"/>
          <w:szCs w:val="22"/>
        </w:rPr>
        <w:t>enlace :</w:t>
      </w:r>
      <w:proofErr w:type="gramEnd"/>
      <w:hyperlink r:id="rId20" w:tgtFrame="_blank" w:tooltip="https://forms.office.com/r/pphywvs2sz" w:history="1">
        <w:r w:rsidRPr="00AB2BDF">
          <w:rPr>
            <w:rFonts w:ascii="Verdana" w:eastAsia="Calibri" w:hAnsi="Verdana"/>
            <w:color w:val="0000FF"/>
            <w:sz w:val="22"/>
            <w:szCs w:val="22"/>
            <w:u w:val="single"/>
          </w:rPr>
          <w:t>https://forms.office.com/r/pPHyWVs2SZ</w:t>
        </w:r>
      </w:hyperlink>
      <w:r w:rsidRPr="00AB2BDF">
        <w:rPr>
          <w:rFonts w:ascii="Verdana" w:eastAsia="Calibri" w:hAnsi="Verdana"/>
          <w:sz w:val="22"/>
          <w:szCs w:val="22"/>
        </w:rPr>
        <w:t xml:space="preserve"> .¡Ayúdanos a mejorar porque el compromiso es de todos!</w:t>
      </w:r>
    </w:p>
    <w:p w14:paraId="2A99C17F" w14:textId="77777777" w:rsidR="00957B4B" w:rsidRPr="00AB2BDF" w:rsidRDefault="00957B4B" w:rsidP="00AB2BDF">
      <w:pPr>
        <w:spacing w:line="276" w:lineRule="auto"/>
        <w:jc w:val="both"/>
        <w:rPr>
          <w:rFonts w:ascii="Verdana" w:eastAsia="Calibri" w:hAnsi="Verdana"/>
          <w:sz w:val="22"/>
          <w:szCs w:val="22"/>
        </w:rPr>
      </w:pPr>
    </w:p>
    <w:p w14:paraId="67A0FC6D" w14:textId="77777777" w:rsidR="00957B4B" w:rsidRPr="00AB2BDF" w:rsidRDefault="00957B4B" w:rsidP="00AB2BDF">
      <w:pPr>
        <w:spacing w:line="276" w:lineRule="auto"/>
        <w:jc w:val="both"/>
        <w:rPr>
          <w:rFonts w:ascii="Verdana" w:eastAsia="Calibri" w:hAnsi="Verdana"/>
          <w:sz w:val="22"/>
          <w:szCs w:val="22"/>
        </w:rPr>
      </w:pPr>
      <w:r w:rsidRPr="00AB2BDF">
        <w:rPr>
          <w:rFonts w:ascii="Verdana" w:eastAsia="Calibri" w:hAnsi="Verdana"/>
          <w:sz w:val="22"/>
          <w:szCs w:val="22"/>
        </w:rPr>
        <w:t xml:space="preserve">Por último, lo invitamos a seguirnos en las redes sociales en las cuales se difunde información institucional: </w:t>
      </w:r>
    </w:p>
    <w:p w14:paraId="2600D2E4" w14:textId="77777777" w:rsidR="00957B4B" w:rsidRPr="00AB2BDF" w:rsidRDefault="00957B4B" w:rsidP="00AB2BDF">
      <w:pPr>
        <w:spacing w:line="276" w:lineRule="auto"/>
        <w:jc w:val="both"/>
        <w:rPr>
          <w:rFonts w:ascii="Verdana" w:eastAsia="Calibri" w:hAnsi="Verdana"/>
          <w:sz w:val="22"/>
          <w:szCs w:val="22"/>
        </w:rPr>
      </w:pPr>
    </w:p>
    <w:p w14:paraId="08A740E2" w14:textId="77777777" w:rsidR="00957B4B" w:rsidRPr="00AB2BDF" w:rsidRDefault="00957B4B" w:rsidP="00AB2BDF">
      <w:pPr>
        <w:spacing w:line="276" w:lineRule="auto"/>
        <w:jc w:val="both"/>
        <w:rPr>
          <w:rFonts w:ascii="Verdana" w:eastAsia="Calibri" w:hAnsi="Verdana"/>
          <w:sz w:val="22"/>
          <w:szCs w:val="22"/>
        </w:rPr>
      </w:pPr>
      <w:r w:rsidRPr="00AB2BDF">
        <w:rPr>
          <w:rFonts w:ascii="Verdana" w:eastAsia="Calibri" w:hAnsi="Verdana"/>
          <w:sz w:val="22"/>
          <w:szCs w:val="22"/>
        </w:rPr>
        <w:t xml:space="preserve">Twitter: </w:t>
      </w:r>
      <w:r w:rsidRPr="00AB2BDF">
        <w:rPr>
          <w:rFonts w:ascii="Verdana" w:eastAsia="Calibri" w:hAnsi="Verdana"/>
          <w:color w:val="0000FF"/>
          <w:sz w:val="22"/>
          <w:szCs w:val="22"/>
          <w:u w:val="single"/>
        </w:rPr>
        <w:t>@colombiacompra</w:t>
      </w:r>
      <w:r w:rsidRPr="00AB2BDF">
        <w:rPr>
          <w:rFonts w:ascii="Verdana" w:eastAsia="Calibri" w:hAnsi="Verdana"/>
          <w:sz w:val="22"/>
          <w:szCs w:val="22"/>
        </w:rPr>
        <w:t xml:space="preserve"> </w:t>
      </w:r>
    </w:p>
    <w:p w14:paraId="1370DF98" w14:textId="77777777" w:rsidR="00957B4B" w:rsidRPr="00AB2BDF" w:rsidRDefault="00957B4B" w:rsidP="00AB2BDF">
      <w:pPr>
        <w:spacing w:line="276" w:lineRule="auto"/>
        <w:jc w:val="both"/>
        <w:rPr>
          <w:rFonts w:ascii="Verdana" w:eastAsia="Calibri" w:hAnsi="Verdana"/>
          <w:sz w:val="22"/>
          <w:szCs w:val="22"/>
        </w:rPr>
      </w:pPr>
      <w:r w:rsidRPr="00AB2BDF">
        <w:rPr>
          <w:rFonts w:ascii="Verdana" w:eastAsia="Calibri" w:hAnsi="Verdana"/>
          <w:sz w:val="22"/>
          <w:szCs w:val="22"/>
        </w:rPr>
        <w:t xml:space="preserve">Facebook: </w:t>
      </w:r>
      <w:proofErr w:type="spellStart"/>
      <w:r w:rsidRPr="00AB2BDF">
        <w:rPr>
          <w:rFonts w:ascii="Verdana" w:eastAsia="Calibri" w:hAnsi="Verdana"/>
          <w:color w:val="0000FF"/>
          <w:sz w:val="22"/>
          <w:szCs w:val="22"/>
          <w:u w:val="single"/>
        </w:rPr>
        <w:t>ColombiaCompraEficiente</w:t>
      </w:r>
      <w:proofErr w:type="spellEnd"/>
    </w:p>
    <w:p w14:paraId="6C3E7440" w14:textId="77777777" w:rsidR="00957B4B" w:rsidRPr="00AB2BDF" w:rsidRDefault="00957B4B" w:rsidP="00AB2BDF">
      <w:pPr>
        <w:spacing w:line="276" w:lineRule="auto"/>
        <w:jc w:val="both"/>
        <w:rPr>
          <w:rFonts w:ascii="Verdana" w:eastAsia="Calibri" w:hAnsi="Verdana"/>
          <w:sz w:val="22"/>
          <w:szCs w:val="22"/>
        </w:rPr>
      </w:pPr>
      <w:r w:rsidRPr="00AB2BDF">
        <w:rPr>
          <w:rFonts w:ascii="Verdana" w:eastAsia="Calibri" w:hAnsi="Verdana"/>
          <w:sz w:val="22"/>
          <w:szCs w:val="22"/>
        </w:rPr>
        <w:t xml:space="preserve">LinkedIn: </w:t>
      </w:r>
      <w:r w:rsidRPr="00AB2BDF">
        <w:rPr>
          <w:rFonts w:ascii="Verdana" w:eastAsia="Calibri" w:hAnsi="Verdana"/>
          <w:color w:val="0000FF"/>
          <w:sz w:val="22"/>
          <w:szCs w:val="22"/>
          <w:u w:val="single"/>
        </w:rPr>
        <w:t>Agencia Nacional de Contratación Pública - Colombia Compra Eficiente</w:t>
      </w:r>
      <w:r w:rsidRPr="00AB2BDF">
        <w:rPr>
          <w:rFonts w:ascii="Verdana" w:eastAsia="Calibri" w:hAnsi="Verdana"/>
          <w:sz w:val="22"/>
          <w:szCs w:val="22"/>
        </w:rPr>
        <w:t xml:space="preserve"> Instagram: </w:t>
      </w:r>
      <w:r w:rsidRPr="00AB2BDF">
        <w:rPr>
          <w:rFonts w:ascii="Verdana" w:eastAsia="Calibri" w:hAnsi="Verdana"/>
          <w:color w:val="0000FF"/>
          <w:sz w:val="22"/>
          <w:szCs w:val="22"/>
          <w:u w:val="single"/>
        </w:rPr>
        <w:t>@colombiacompraeficiente_cce</w:t>
      </w:r>
    </w:p>
    <w:p w14:paraId="32FEB7A2" w14:textId="77777777" w:rsidR="00957B4B" w:rsidRPr="00AB2BDF" w:rsidRDefault="00957B4B" w:rsidP="00AB2BDF">
      <w:pPr>
        <w:widowControl w:val="0"/>
        <w:autoSpaceDE w:val="0"/>
        <w:autoSpaceDN w:val="0"/>
        <w:spacing w:line="276" w:lineRule="auto"/>
        <w:jc w:val="both"/>
        <w:rPr>
          <w:rFonts w:ascii="Verdana" w:eastAsia="Calibri" w:hAnsi="Verdana" w:cs="Arial"/>
          <w:color w:val="FF0000"/>
          <w:sz w:val="22"/>
          <w:szCs w:val="22"/>
          <w:shd w:val="clear" w:color="auto" w:fill="FFFFFF"/>
          <w:lang w:val="es-ES_tradnl"/>
        </w:rPr>
      </w:pPr>
      <w:r w:rsidRPr="00AB2BDF">
        <w:rPr>
          <w:rFonts w:ascii="Verdana" w:eastAsia="Calibri" w:hAnsi="Verdana" w:cs="Arial"/>
          <w:color w:val="FF0000"/>
          <w:sz w:val="22"/>
          <w:szCs w:val="22"/>
          <w:shd w:val="clear" w:color="auto" w:fill="FFFFFF"/>
          <w:lang w:val="es-ES_tradnl"/>
        </w:rPr>
        <w:t xml:space="preserve">        </w:t>
      </w:r>
    </w:p>
    <w:p w14:paraId="70D78968" w14:textId="77777777" w:rsidR="00957B4B" w:rsidRPr="00AB2BDF" w:rsidRDefault="00957B4B" w:rsidP="005A116C">
      <w:pPr>
        <w:widowControl w:val="0"/>
        <w:autoSpaceDE w:val="0"/>
        <w:autoSpaceDN w:val="0"/>
        <w:spacing w:line="276" w:lineRule="auto"/>
        <w:jc w:val="both"/>
        <w:rPr>
          <w:rFonts w:ascii="Verdana" w:eastAsia="Calibri" w:hAnsi="Verdana" w:cs="Arial"/>
          <w:sz w:val="22"/>
          <w:szCs w:val="22"/>
          <w:lang w:val="es-ES_tradnl"/>
        </w:rPr>
      </w:pPr>
      <w:r w:rsidRPr="00AB2BDF">
        <w:rPr>
          <w:rFonts w:ascii="Verdana" w:eastAsia="Calibri" w:hAnsi="Verdana" w:cs="Arial"/>
          <w:sz w:val="22"/>
          <w:szCs w:val="22"/>
        </w:rPr>
        <w:t xml:space="preserve">Este concepto tiene el alcance previsto en el artículo 28 del Código de Procedimiento Administrativo y de lo Contencioso Administrativo </w:t>
      </w:r>
      <w:r w:rsidRPr="00AB2BDF">
        <w:rPr>
          <w:rFonts w:ascii="Verdana" w:eastAsia="Calibri" w:hAnsi="Verdana" w:cs="Arial"/>
          <w:sz w:val="22"/>
          <w:szCs w:val="22"/>
          <w:lang w:val="es-ES_tradnl"/>
        </w:rPr>
        <w:t>y las expresiones aquí utilizadas con mayúscula inicial deben ser entendidas con el significado que les otorga el artículo 2.2.1.1.1.3.1. del Decreto 1082 de 2015.</w:t>
      </w:r>
    </w:p>
    <w:p w14:paraId="17BF4688" w14:textId="77777777" w:rsidR="00957B4B" w:rsidRPr="00AB2BDF" w:rsidRDefault="00957B4B" w:rsidP="006773A2">
      <w:pPr>
        <w:widowControl w:val="0"/>
        <w:autoSpaceDE w:val="0"/>
        <w:autoSpaceDN w:val="0"/>
        <w:spacing w:line="276" w:lineRule="auto"/>
        <w:jc w:val="both"/>
        <w:rPr>
          <w:rFonts w:ascii="Verdana" w:eastAsia="Calibri" w:hAnsi="Verdana" w:cs="Arial"/>
          <w:sz w:val="22"/>
          <w:szCs w:val="22"/>
        </w:rPr>
      </w:pPr>
    </w:p>
    <w:p w14:paraId="7631DC52" w14:textId="267E5372" w:rsidR="00957B4B" w:rsidRPr="00AB2BDF" w:rsidRDefault="00957B4B" w:rsidP="00AB2BDF">
      <w:pPr>
        <w:spacing w:line="276" w:lineRule="auto"/>
        <w:jc w:val="both"/>
        <w:rPr>
          <w:rFonts w:ascii="Verdana" w:eastAsia="Calibri" w:hAnsi="Verdana" w:cs="Arial"/>
          <w:sz w:val="22"/>
          <w:szCs w:val="22"/>
        </w:rPr>
      </w:pPr>
      <w:r w:rsidRPr="00AB2BDF">
        <w:rPr>
          <w:rFonts w:ascii="Verdana" w:hAnsi="Verdana" w:cs="Arial"/>
          <w:sz w:val="22"/>
          <w:szCs w:val="22"/>
          <w:lang w:val="es-ES" w:eastAsia="es-CO"/>
        </w:rPr>
        <w:t>Atentamente,</w:t>
      </w:r>
      <w:r w:rsidRPr="00AB2BDF">
        <w:rPr>
          <w:rFonts w:ascii="Verdana" w:eastAsia="Calibri" w:hAnsi="Verdana" w:cs="Arial"/>
          <w:sz w:val="22"/>
          <w:szCs w:val="22"/>
          <w:lang w:val="es-ES" w:eastAsia="es-CO"/>
        </w:rPr>
        <w:t xml:space="preserve"> </w:t>
      </w:r>
    </w:p>
    <w:p w14:paraId="73BBEF2D" w14:textId="53FCB016" w:rsidR="00957B4B" w:rsidRPr="007E25E4" w:rsidRDefault="00585B7C" w:rsidP="00AB2BDF">
      <w:pPr>
        <w:spacing w:line="252" w:lineRule="auto"/>
        <w:jc w:val="center"/>
        <w:rPr>
          <w:rFonts w:ascii="Verdana" w:hAnsi="Verdana" w:cs="Arial"/>
          <w:lang w:eastAsia="es-ES"/>
        </w:rPr>
      </w:pPr>
      <w:r>
        <w:rPr>
          <w:noProof/>
        </w:rPr>
        <w:lastRenderedPageBreak/>
        <w:drawing>
          <wp:inline distT="0" distB="0" distL="0" distR="0" wp14:anchorId="1FFC2C89" wp14:editId="284556D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957B4B" w:rsidRPr="007E25E4" w14:paraId="0B05796A" w14:textId="77777777" w:rsidTr="00AA1403">
        <w:trPr>
          <w:trHeight w:val="322"/>
        </w:trPr>
        <w:tc>
          <w:tcPr>
            <w:tcW w:w="733" w:type="dxa"/>
            <w:tcBorders>
              <w:top w:val="nil"/>
              <w:left w:val="nil"/>
              <w:bottom w:val="nil"/>
              <w:right w:val="nil"/>
            </w:tcBorders>
            <w:vAlign w:val="center"/>
            <w:hideMark/>
          </w:tcPr>
          <w:p w14:paraId="0BD37588" w14:textId="77777777" w:rsidR="00957B4B" w:rsidRPr="007E25E4" w:rsidRDefault="00957B4B" w:rsidP="00AA1403">
            <w:pPr>
              <w:textAlignment w:val="baseline"/>
              <w:rPr>
                <w:rFonts w:ascii="Verdana" w:hAnsi="Verdana"/>
                <w:sz w:val="16"/>
                <w:szCs w:val="16"/>
                <w:lang w:eastAsia="es-CO"/>
              </w:rPr>
            </w:pPr>
            <w:r w:rsidRPr="007E25E4">
              <w:rPr>
                <w:rFonts w:ascii="Verdana" w:hAnsi="Verdana"/>
                <w:sz w:val="16"/>
                <w:szCs w:val="16"/>
                <w:lang w:val="es-MX" w:eastAsia="es-CO"/>
              </w:rPr>
              <w:t>Elaboró:         </w:t>
            </w:r>
            <w:r w:rsidRPr="007E25E4">
              <w:rPr>
                <w:rFonts w:ascii="Verdana" w:hAnsi="Verdana"/>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A509056" w14:textId="77777777" w:rsidR="00957B4B" w:rsidRPr="007E25E4" w:rsidRDefault="00957B4B" w:rsidP="00AA1403">
            <w:pPr>
              <w:spacing w:line="252" w:lineRule="auto"/>
              <w:rPr>
                <w:rFonts w:ascii="Verdana" w:hAnsi="Verdana" w:cs="Arial"/>
                <w:sz w:val="16"/>
                <w:szCs w:val="16"/>
                <w:lang w:val="es-ES_tradnl" w:eastAsia="es-ES"/>
              </w:rPr>
            </w:pPr>
            <w:r w:rsidRPr="007E25E4">
              <w:rPr>
                <w:rFonts w:ascii="Verdana" w:hAnsi="Verdana" w:cs="Arial"/>
                <w:sz w:val="16"/>
                <w:szCs w:val="16"/>
                <w:lang w:val="es-ES_tradnl" w:eastAsia="es-ES"/>
              </w:rPr>
              <w:t>Ximena Ríos López</w:t>
            </w:r>
          </w:p>
          <w:p w14:paraId="0FBE1A59" w14:textId="77777777" w:rsidR="00957B4B" w:rsidRPr="007E25E4" w:rsidRDefault="00957B4B" w:rsidP="00AA1403">
            <w:pPr>
              <w:autoSpaceDE w:val="0"/>
              <w:autoSpaceDN w:val="0"/>
              <w:adjustRightInd w:val="0"/>
              <w:spacing w:line="276" w:lineRule="auto"/>
              <w:rPr>
                <w:rFonts w:ascii="Verdana" w:eastAsia="Calibri" w:hAnsi="Verdana" w:cs="Arial"/>
              </w:rPr>
            </w:pPr>
            <w:r w:rsidRPr="007E25E4">
              <w:rPr>
                <w:rFonts w:ascii="Verdana" w:hAnsi="Verdana" w:cs="Arial"/>
                <w:sz w:val="16"/>
                <w:szCs w:val="16"/>
                <w:lang w:eastAsia="es-ES"/>
              </w:rPr>
              <w:t>Gestor T1-11 de la Subdirección de Gestión Contractual</w:t>
            </w:r>
          </w:p>
        </w:tc>
      </w:tr>
      <w:tr w:rsidR="00957B4B" w:rsidRPr="007E25E4" w14:paraId="49E69FC2" w14:textId="77777777" w:rsidTr="00AA1403">
        <w:trPr>
          <w:trHeight w:val="322"/>
        </w:trPr>
        <w:tc>
          <w:tcPr>
            <w:tcW w:w="733" w:type="dxa"/>
            <w:tcBorders>
              <w:top w:val="nil"/>
              <w:left w:val="nil"/>
              <w:bottom w:val="nil"/>
              <w:right w:val="nil"/>
            </w:tcBorders>
            <w:vAlign w:val="center"/>
            <w:hideMark/>
          </w:tcPr>
          <w:p w14:paraId="6C0F8A02" w14:textId="77777777" w:rsidR="00957B4B" w:rsidRPr="007E25E4" w:rsidRDefault="00957B4B" w:rsidP="00AA1403">
            <w:pPr>
              <w:textAlignment w:val="baseline"/>
              <w:rPr>
                <w:rFonts w:ascii="Verdana" w:hAnsi="Verdana"/>
                <w:sz w:val="16"/>
                <w:szCs w:val="16"/>
                <w:lang w:eastAsia="es-CO"/>
              </w:rPr>
            </w:pPr>
            <w:r w:rsidRPr="007E25E4">
              <w:rPr>
                <w:rFonts w:ascii="Verdana" w:hAnsi="Verdana"/>
                <w:sz w:val="16"/>
                <w:szCs w:val="16"/>
                <w:lang w:val="es-MX" w:eastAsia="es-CO"/>
              </w:rPr>
              <w:t>Revisó:</w:t>
            </w:r>
            <w:r w:rsidRPr="007E25E4">
              <w:rPr>
                <w:rFonts w:ascii="Verdana" w:hAnsi="Verdana"/>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B2E58E7" w14:textId="1F273AF7" w:rsidR="00957B4B" w:rsidRPr="007E25E4" w:rsidRDefault="00957B4B" w:rsidP="00AA1403">
            <w:pPr>
              <w:spacing w:line="252" w:lineRule="auto"/>
              <w:rPr>
                <w:rFonts w:ascii="Verdana" w:hAnsi="Verdana" w:cs="Arial"/>
                <w:sz w:val="16"/>
                <w:szCs w:val="16"/>
                <w:lang w:val="es-ES_tradnl" w:eastAsia="es-ES"/>
              </w:rPr>
            </w:pPr>
            <w:r w:rsidRPr="007E25E4">
              <w:rPr>
                <w:rFonts w:ascii="Verdana" w:hAnsi="Verdana" w:cs="Arial"/>
                <w:sz w:val="16"/>
                <w:szCs w:val="16"/>
                <w:lang w:val="es-ES_tradnl" w:eastAsia="es-ES"/>
              </w:rPr>
              <w:t>Diana</w:t>
            </w:r>
            <w:r>
              <w:rPr>
                <w:rFonts w:ascii="Verdana" w:hAnsi="Verdana" w:cs="Arial"/>
                <w:sz w:val="16"/>
                <w:szCs w:val="16"/>
                <w:lang w:val="es-ES_tradnl" w:eastAsia="es-ES"/>
              </w:rPr>
              <w:t xml:space="preserve"> </w:t>
            </w:r>
            <w:r w:rsidR="005A116C">
              <w:rPr>
                <w:rFonts w:ascii="Verdana" w:hAnsi="Verdana" w:cs="Arial"/>
                <w:sz w:val="16"/>
                <w:szCs w:val="16"/>
                <w:lang w:val="es-ES_tradnl" w:eastAsia="es-ES"/>
              </w:rPr>
              <w:t xml:space="preserve">Lucia </w:t>
            </w:r>
            <w:r w:rsidRPr="007E25E4">
              <w:rPr>
                <w:rFonts w:ascii="Verdana" w:hAnsi="Verdana" w:cs="Arial"/>
                <w:sz w:val="16"/>
                <w:szCs w:val="16"/>
                <w:lang w:val="es-ES_tradnl" w:eastAsia="es-ES"/>
              </w:rPr>
              <w:t>Saavedra</w:t>
            </w:r>
            <w:r w:rsidR="005A116C">
              <w:rPr>
                <w:rFonts w:ascii="Verdana" w:hAnsi="Verdana" w:cs="Arial"/>
                <w:sz w:val="16"/>
                <w:szCs w:val="16"/>
                <w:lang w:val="es-ES_tradnl" w:eastAsia="es-ES"/>
              </w:rPr>
              <w:t xml:space="preserve"> </w:t>
            </w:r>
            <w:r w:rsidR="006773A2">
              <w:rPr>
                <w:rFonts w:ascii="Verdana" w:hAnsi="Verdana" w:cs="Arial"/>
                <w:sz w:val="16"/>
                <w:szCs w:val="16"/>
                <w:lang w:val="es-ES_tradnl" w:eastAsia="es-ES"/>
              </w:rPr>
              <w:t>C</w:t>
            </w:r>
            <w:r w:rsidR="005A116C">
              <w:rPr>
                <w:rFonts w:ascii="Verdana" w:hAnsi="Verdana" w:cs="Arial"/>
                <w:sz w:val="16"/>
                <w:szCs w:val="16"/>
                <w:lang w:val="es-ES_tradnl" w:eastAsia="es-ES"/>
              </w:rPr>
              <w:t>astañeda</w:t>
            </w:r>
          </w:p>
          <w:p w14:paraId="2C15583B" w14:textId="77777777" w:rsidR="00957B4B" w:rsidRPr="007E25E4" w:rsidRDefault="00957B4B" w:rsidP="00AA1403">
            <w:pPr>
              <w:autoSpaceDE w:val="0"/>
              <w:autoSpaceDN w:val="0"/>
              <w:adjustRightInd w:val="0"/>
              <w:spacing w:line="276" w:lineRule="auto"/>
              <w:rPr>
                <w:rFonts w:ascii="Verdana" w:eastAsia="Calibri" w:hAnsi="Verdana" w:cs="Arial"/>
              </w:rPr>
            </w:pPr>
            <w:r w:rsidRPr="007E25E4">
              <w:rPr>
                <w:rFonts w:ascii="Verdana" w:hAnsi="Verdana" w:cs="Arial"/>
                <w:sz w:val="16"/>
                <w:szCs w:val="16"/>
                <w:lang w:eastAsia="es-ES"/>
              </w:rPr>
              <w:t>Contratista de la Subdirección de Gestión Contractual</w:t>
            </w:r>
          </w:p>
        </w:tc>
      </w:tr>
      <w:tr w:rsidR="00957B4B" w:rsidRPr="007E25E4" w14:paraId="55B4D2FC" w14:textId="77777777" w:rsidTr="00AA1403">
        <w:trPr>
          <w:trHeight w:val="307"/>
        </w:trPr>
        <w:tc>
          <w:tcPr>
            <w:tcW w:w="733" w:type="dxa"/>
            <w:tcBorders>
              <w:top w:val="nil"/>
              <w:left w:val="nil"/>
              <w:bottom w:val="nil"/>
              <w:right w:val="nil"/>
            </w:tcBorders>
            <w:vAlign w:val="center"/>
            <w:hideMark/>
          </w:tcPr>
          <w:p w14:paraId="2F8BA487" w14:textId="77777777" w:rsidR="00957B4B" w:rsidRPr="007E25E4" w:rsidRDefault="00957B4B" w:rsidP="00AA1403">
            <w:pPr>
              <w:textAlignment w:val="baseline"/>
              <w:rPr>
                <w:rFonts w:ascii="Verdana" w:hAnsi="Verdana"/>
                <w:sz w:val="16"/>
                <w:szCs w:val="16"/>
                <w:lang w:eastAsia="es-CO"/>
              </w:rPr>
            </w:pPr>
            <w:r w:rsidRPr="007E25E4">
              <w:rPr>
                <w:rFonts w:ascii="Verdana" w:hAnsi="Verdana"/>
                <w:sz w:val="16"/>
                <w:szCs w:val="16"/>
                <w:lang w:val="es-MX" w:eastAsia="es-CO"/>
              </w:rPr>
              <w:t>Aprobó:</w:t>
            </w:r>
            <w:r w:rsidRPr="007E25E4">
              <w:rPr>
                <w:rFonts w:ascii="Verdana" w:hAnsi="Verdana"/>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B339AB9" w14:textId="77777777" w:rsidR="00957B4B" w:rsidRPr="007E25E4" w:rsidRDefault="00957B4B" w:rsidP="00AA1403">
            <w:pPr>
              <w:spacing w:line="252" w:lineRule="auto"/>
              <w:rPr>
                <w:rFonts w:ascii="Verdana" w:hAnsi="Verdana" w:cs="Arial"/>
                <w:sz w:val="16"/>
                <w:szCs w:val="16"/>
                <w:lang w:eastAsia="es-ES"/>
              </w:rPr>
            </w:pPr>
            <w:r w:rsidRPr="007E25E4">
              <w:rPr>
                <w:rFonts w:ascii="Verdana" w:hAnsi="Verdana" w:cs="Arial"/>
                <w:sz w:val="16"/>
                <w:szCs w:val="16"/>
                <w:lang w:eastAsia="es-ES"/>
              </w:rPr>
              <w:t>Carolina Quintero Gacharná</w:t>
            </w:r>
          </w:p>
          <w:p w14:paraId="25C37038" w14:textId="77777777" w:rsidR="00957B4B" w:rsidRPr="007E25E4" w:rsidRDefault="00957B4B" w:rsidP="00AA1403">
            <w:pPr>
              <w:spacing w:line="252" w:lineRule="auto"/>
              <w:rPr>
                <w:rFonts w:ascii="Verdana" w:hAnsi="Verdana" w:cs="Arial"/>
                <w:sz w:val="16"/>
                <w:szCs w:val="16"/>
                <w:lang w:eastAsia="es-ES"/>
              </w:rPr>
            </w:pPr>
            <w:r w:rsidRPr="007E25E4">
              <w:rPr>
                <w:rFonts w:ascii="Verdana" w:hAnsi="Verdana" w:cs="Arial"/>
                <w:sz w:val="16"/>
                <w:szCs w:val="16"/>
                <w:lang w:eastAsia="es-ES"/>
              </w:rPr>
              <w:t>Subdirectora de Gestión Contractual ANCP – CCE</w:t>
            </w:r>
          </w:p>
        </w:tc>
      </w:tr>
      <w:bookmarkEnd w:id="0"/>
    </w:tbl>
    <w:p w14:paraId="0F293BF4" w14:textId="764C1BB9" w:rsidR="00127233" w:rsidRPr="00957B4B" w:rsidRDefault="00127233" w:rsidP="00957B4B"/>
    <w:sectPr w:rsidR="00127233" w:rsidRPr="00957B4B"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C24B4" w14:textId="77777777" w:rsidR="00053E56" w:rsidRDefault="00053E56" w:rsidP="004A1847">
      <w:r>
        <w:separator/>
      </w:r>
    </w:p>
  </w:endnote>
  <w:endnote w:type="continuationSeparator" w:id="0">
    <w:p w14:paraId="51144445" w14:textId="77777777" w:rsidR="00053E56" w:rsidRDefault="00053E56"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AAB5" w14:textId="77777777" w:rsidR="00053E56" w:rsidRDefault="00053E56" w:rsidP="004A1847">
      <w:r>
        <w:separator/>
      </w:r>
    </w:p>
  </w:footnote>
  <w:footnote w:type="continuationSeparator" w:id="0">
    <w:p w14:paraId="33F0C70F" w14:textId="77777777" w:rsidR="00053E56" w:rsidRDefault="00053E56" w:rsidP="004A1847">
      <w:r>
        <w:continuationSeparator/>
      </w:r>
    </w:p>
  </w:footnote>
  <w:footnote w:id="1">
    <w:p w14:paraId="69DA5560" w14:textId="77777777" w:rsidR="00957B4B" w:rsidRDefault="00957B4B" w:rsidP="00957B4B">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rPr>
        <w:t xml:space="preserve"> </w:t>
      </w:r>
      <w:r w:rsidRPr="009F301B">
        <w:rPr>
          <w:rFonts w:ascii="Verdana" w:hAnsi="Verdana" w:cs="Arial"/>
          <w:color w:val="000000" w:themeColor="text1"/>
          <w:sz w:val="16"/>
          <w:szCs w:val="16"/>
          <w:lang w:val="es-ES"/>
        </w:rPr>
        <w:t xml:space="preserve">Ley 489 de 1998, artículo 38, numeral 2, literal f, y artículo 68, numeral 2: </w:t>
      </w:r>
      <w:r>
        <w:rPr>
          <w:rFonts w:ascii="Verdana" w:hAnsi="Verdana" w:cs="Arial"/>
          <w:color w:val="000000" w:themeColor="text1"/>
          <w:sz w:val="16"/>
          <w:szCs w:val="16"/>
          <w:lang w:val="es-ES"/>
        </w:rPr>
        <w:t>“</w:t>
      </w:r>
      <w:r w:rsidRPr="009F301B">
        <w:rPr>
          <w:rFonts w:ascii="Verdana" w:hAnsi="Verdana" w:cs="Arial"/>
          <w:color w:val="000000" w:themeColor="text1"/>
          <w:sz w:val="16"/>
          <w:szCs w:val="16"/>
          <w:lang w:val="es-ES"/>
        </w:rPr>
        <w:t>Son entidades descentralizadas del orden nacional, los establecimientos públicos, las empresas industriales y comerciales del Estado, las sociedades públicas y las sociedades de economía mixta, las superintendencias y las unidades administrativas especiales</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con</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adscritas</w:t>
      </w:r>
      <w:r>
        <w:rPr>
          <w:rFonts w:ascii="Verdana" w:hAnsi="Verdana" w:cs="Arial"/>
          <w:color w:val="000000" w:themeColor="text1"/>
          <w:sz w:val="16"/>
          <w:szCs w:val="16"/>
          <w:lang w:val="es-ES"/>
        </w:rPr>
        <w:t>”</w:t>
      </w:r>
      <w:r w:rsidRPr="009F301B">
        <w:rPr>
          <w:rFonts w:ascii="Verdana" w:hAnsi="Verdana" w:cs="Arial"/>
          <w:color w:val="000000" w:themeColor="text1"/>
          <w:sz w:val="16"/>
          <w:szCs w:val="16"/>
          <w:lang w:val="es-ES"/>
        </w:rPr>
        <w:t>.</w:t>
      </w:r>
    </w:p>
    <w:p w14:paraId="780A36BD" w14:textId="77777777" w:rsidR="00957B4B" w:rsidRPr="009F301B" w:rsidRDefault="00957B4B" w:rsidP="00957B4B">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p>
  </w:footnote>
  <w:footnote w:id="2">
    <w:p w14:paraId="3AE2DBF5" w14:textId="77777777" w:rsidR="00957B4B" w:rsidRPr="009F301B" w:rsidRDefault="00957B4B" w:rsidP="00957B4B">
      <w:pPr>
        <w:ind w:firstLine="709"/>
        <w:contextualSpacing/>
        <w:jc w:val="both"/>
        <w:rPr>
          <w:rFonts w:ascii="Verdana" w:hAnsi="Verdana" w:cs="Arial"/>
          <w:color w:val="000000" w:themeColor="text1"/>
          <w:sz w:val="16"/>
          <w:szCs w:val="16"/>
          <w:lang w:eastAsia="es-MX"/>
        </w:rPr>
      </w:pPr>
      <w:r w:rsidRPr="009F301B">
        <w:rPr>
          <w:rFonts w:ascii="Verdana" w:hAnsi="Verdana" w:cs="Arial"/>
          <w:color w:val="000000" w:themeColor="text1"/>
          <w:sz w:val="16"/>
          <w:szCs w:val="16"/>
          <w:lang w:val="es-ES" w:eastAsia="es-MX"/>
        </w:rPr>
        <w:t xml:space="preserve"> </w:t>
      </w: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lang w:val="es-ES" w:eastAsia="es-MX"/>
        </w:rPr>
        <w:t xml:space="preserve"> Así lo establece la Constitución</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Política, en el 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150,</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7, así como en el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300,</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7</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y</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en el 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313,</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6.</w:t>
      </w:r>
    </w:p>
    <w:p w14:paraId="2C1D240A" w14:textId="77777777" w:rsidR="00957B4B" w:rsidRPr="009F301B" w:rsidRDefault="00957B4B" w:rsidP="00957B4B">
      <w:pPr>
        <w:pStyle w:val="Textonotapie"/>
        <w:ind w:firstLine="709"/>
        <w:contextualSpacing/>
        <w:jc w:val="both"/>
        <w:rPr>
          <w:rFonts w:ascii="Verdana" w:hAnsi="Verdana" w:cs="Arial"/>
          <w:sz w:val="16"/>
          <w:szCs w:val="16"/>
          <w:lang w:val="es-ES"/>
        </w:rPr>
      </w:pPr>
    </w:p>
  </w:footnote>
  <w:footnote w:id="3">
    <w:p w14:paraId="74FC6BE5" w14:textId="77777777" w:rsidR="00957B4B" w:rsidRPr="009F301B" w:rsidRDefault="00957B4B" w:rsidP="00957B4B">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Las sociedades de economía mixta son una clara manifestación organizacional de la función administrativa. Al respecto, la doctrina colombiana ha considerado que </w:t>
      </w:r>
      <w:r>
        <w:rPr>
          <w:rFonts w:ascii="Verdana" w:hAnsi="Verdana" w:cs="Arial"/>
          <w:sz w:val="16"/>
          <w:szCs w:val="16"/>
        </w:rPr>
        <w:t>“</w:t>
      </w:r>
      <w:r w:rsidRPr="009F301B">
        <w:rPr>
          <w:rFonts w:ascii="Verdana" w:hAnsi="Verdana" w:cs="Arial"/>
          <w:sz w:val="16"/>
          <w:szCs w:val="16"/>
        </w:rPr>
        <w:t>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w:t>
      </w:r>
      <w:r>
        <w:rPr>
          <w:rFonts w:ascii="Verdana" w:hAnsi="Verdana" w:cs="Arial"/>
          <w:sz w:val="16"/>
          <w:szCs w:val="16"/>
        </w:rPr>
        <w:t>”</w:t>
      </w:r>
      <w:r w:rsidRPr="009F301B">
        <w:rPr>
          <w:rFonts w:ascii="Verdana" w:hAnsi="Verdana" w:cs="Arial"/>
          <w:sz w:val="16"/>
          <w:szCs w:val="16"/>
        </w:rPr>
        <w:t xml:space="preserve"> (RINCÓN CÓRDOBA, Jorge Iván. Teoría de la organización administrativa en Colombia, Bogotá: Universidad Externado de Colombia, 2019, pp. 31-32). </w:t>
      </w:r>
    </w:p>
    <w:p w14:paraId="12C42F59" w14:textId="77777777" w:rsidR="00957B4B" w:rsidRPr="009F301B" w:rsidRDefault="00957B4B" w:rsidP="00957B4B">
      <w:pPr>
        <w:pStyle w:val="Textonotapie"/>
        <w:ind w:firstLine="709"/>
        <w:contextualSpacing/>
        <w:jc w:val="both"/>
        <w:rPr>
          <w:rFonts w:ascii="Verdana" w:hAnsi="Verdana" w:cs="Arial"/>
          <w:sz w:val="16"/>
          <w:szCs w:val="16"/>
        </w:rPr>
      </w:pPr>
    </w:p>
  </w:footnote>
  <w:footnote w:id="4">
    <w:p w14:paraId="0B592641" w14:textId="77777777" w:rsidR="00957B4B" w:rsidRPr="009F301B" w:rsidRDefault="00957B4B" w:rsidP="00957B4B">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w:t>
      </w:r>
      <w:r>
        <w:rPr>
          <w:rFonts w:ascii="Verdana" w:hAnsi="Verdana" w:cs="Arial"/>
          <w:sz w:val="16"/>
          <w:szCs w:val="16"/>
        </w:rPr>
        <w:t>“</w:t>
      </w:r>
      <w:r w:rsidRPr="009F301B">
        <w:rPr>
          <w:rFonts w:ascii="Verdana" w:hAnsi="Verdana" w:cs="Arial"/>
          <w:sz w:val="16"/>
          <w:szCs w:val="16"/>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w:t>
      </w:r>
      <w:r>
        <w:rPr>
          <w:rFonts w:ascii="Verdana" w:hAnsi="Verdana" w:cs="Arial"/>
          <w:sz w:val="16"/>
          <w:szCs w:val="16"/>
        </w:rPr>
        <w:t>”</w:t>
      </w:r>
      <w:r w:rsidRPr="009F301B">
        <w:rPr>
          <w:rFonts w:ascii="Verdana" w:hAnsi="Verdana" w:cs="Arial"/>
          <w:sz w:val="16"/>
          <w:szCs w:val="16"/>
        </w:rPr>
        <w:t xml:space="preserve"> (MONTAÑA PLATA, Alberto. Fundamentos de derecho administrativo. Bogotá: Universidad Externado de Colombia, 2010, p. 124).</w:t>
      </w:r>
    </w:p>
    <w:p w14:paraId="761D3293" w14:textId="77777777" w:rsidR="00957B4B" w:rsidRPr="009F301B" w:rsidRDefault="00957B4B" w:rsidP="00957B4B">
      <w:pPr>
        <w:pStyle w:val="Textonotapie"/>
        <w:ind w:firstLine="709"/>
        <w:contextualSpacing/>
        <w:jc w:val="both"/>
        <w:rPr>
          <w:rFonts w:ascii="Verdana" w:hAnsi="Verdana" w:cs="Arial"/>
          <w:sz w:val="16"/>
          <w:szCs w:val="16"/>
          <w:lang w:val="es-CO"/>
        </w:rPr>
      </w:pPr>
    </w:p>
  </w:footnote>
  <w:footnote w:id="5">
    <w:p w14:paraId="592A1CA0" w14:textId="77777777" w:rsidR="00957B4B" w:rsidRPr="009F301B" w:rsidRDefault="00957B4B" w:rsidP="00957B4B">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Ley 80 de 1993, artículo 2, literal a):</w:t>
      </w:r>
      <w:bookmarkStart w:id="2" w:name="2"/>
      <w:r w:rsidRPr="009F301B">
        <w:rPr>
          <w:rFonts w:ascii="Verdana" w:hAnsi="Verdana" w:cs="Arial"/>
          <w:sz w:val="16"/>
          <w:szCs w:val="16"/>
        </w:rPr>
        <w:t xml:space="preserve"> </w:t>
      </w:r>
      <w:r>
        <w:rPr>
          <w:rFonts w:ascii="Verdana" w:hAnsi="Verdana" w:cs="Arial"/>
          <w:sz w:val="16"/>
          <w:szCs w:val="16"/>
        </w:rPr>
        <w:t>“</w:t>
      </w:r>
      <w:r w:rsidRPr="009F301B">
        <w:rPr>
          <w:rFonts w:ascii="Verdana" w:hAnsi="Verdana" w:cs="Arial"/>
          <w:sz w:val="16"/>
          <w:szCs w:val="16"/>
        </w:rPr>
        <w:t>Artículo 2o. de la definición de entidades, servidores y servicios públicos.</w:t>
      </w:r>
      <w:bookmarkEnd w:id="2"/>
      <w:r>
        <w:rPr>
          <w:rFonts w:ascii="Verdana" w:hAnsi="Verdana" w:cs="Arial"/>
          <w:sz w:val="16"/>
          <w:szCs w:val="16"/>
        </w:rPr>
        <w:t xml:space="preserve"> </w:t>
      </w:r>
      <w:r w:rsidRPr="009F301B">
        <w:rPr>
          <w:rFonts w:ascii="Verdana" w:hAnsi="Verdana" w:cs="Arial"/>
          <w:sz w:val="16"/>
          <w:szCs w:val="16"/>
        </w:rPr>
        <w:t>Para los solos efectos de esta ley:</w:t>
      </w:r>
    </w:p>
    <w:p w14:paraId="3F98FD44" w14:textId="77777777" w:rsidR="00957B4B" w:rsidRPr="009F301B" w:rsidRDefault="00957B4B" w:rsidP="00957B4B">
      <w:pPr>
        <w:pStyle w:val="Textonotapie"/>
        <w:ind w:firstLine="708"/>
        <w:contextualSpacing/>
        <w:jc w:val="both"/>
        <w:rPr>
          <w:rFonts w:ascii="Verdana" w:hAnsi="Verdana" w:cs="Arial"/>
          <w:sz w:val="16"/>
          <w:szCs w:val="16"/>
        </w:rPr>
      </w:pPr>
      <w:r w:rsidRPr="009F301B">
        <w:rPr>
          <w:rFonts w:ascii="Verdana" w:hAnsi="Verdana" w:cs="Arial"/>
          <w:sz w:val="16"/>
          <w:szCs w:val="16"/>
        </w:rPr>
        <w:t>1o. Se denominan entidades estatales:</w:t>
      </w:r>
    </w:p>
    <w:p w14:paraId="6B38FD0E" w14:textId="77777777" w:rsidR="00957B4B" w:rsidRPr="009F301B" w:rsidRDefault="00957B4B" w:rsidP="00957B4B">
      <w:pPr>
        <w:pStyle w:val="Textonotapie"/>
        <w:ind w:firstLine="708"/>
        <w:contextualSpacing/>
        <w:jc w:val="both"/>
        <w:rPr>
          <w:rFonts w:ascii="Verdana" w:hAnsi="Verdana" w:cs="Arial"/>
          <w:sz w:val="16"/>
          <w:szCs w:val="16"/>
        </w:rPr>
      </w:pPr>
      <w:r w:rsidRPr="009F301B">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w:t>
      </w:r>
      <w:r>
        <w:rPr>
          <w:rFonts w:ascii="Verdana" w:hAnsi="Verdana" w:cs="Arial"/>
          <w:sz w:val="16"/>
          <w:szCs w:val="16"/>
        </w:rPr>
        <w:t xml:space="preserve"> </w:t>
      </w:r>
      <w:r w:rsidRPr="009F301B">
        <w:rPr>
          <w:rFonts w:ascii="Verdana" w:hAnsi="Verdana" w:cs="Arial"/>
          <w:sz w:val="16"/>
          <w:szCs w:val="16"/>
        </w:rPr>
        <w:t>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450FCBF" w14:textId="77777777" w:rsidR="00957B4B" w:rsidRDefault="00957B4B" w:rsidP="00957B4B">
      <w:pPr>
        <w:pStyle w:val="Textonotapie"/>
        <w:ind w:firstLine="708"/>
        <w:contextualSpacing/>
        <w:jc w:val="both"/>
        <w:rPr>
          <w:rFonts w:ascii="Verdana" w:hAnsi="Verdana" w:cs="Arial"/>
          <w:sz w:val="16"/>
          <w:szCs w:val="16"/>
        </w:rPr>
      </w:pPr>
      <w:r w:rsidRPr="009F301B">
        <w:rPr>
          <w:rFonts w:ascii="Verdana" w:hAnsi="Verdana" w:cs="Arial"/>
          <w:sz w:val="16"/>
          <w:szCs w:val="16"/>
        </w:rPr>
        <w:t>[…]</w:t>
      </w:r>
      <w:r>
        <w:rPr>
          <w:rFonts w:ascii="Verdana" w:hAnsi="Verdana" w:cs="Arial"/>
          <w:sz w:val="16"/>
          <w:szCs w:val="16"/>
        </w:rPr>
        <w:t>”</w:t>
      </w:r>
      <w:r w:rsidRPr="009F301B">
        <w:rPr>
          <w:rFonts w:ascii="Verdana" w:hAnsi="Verdana" w:cs="Arial"/>
          <w:sz w:val="16"/>
          <w:szCs w:val="16"/>
        </w:rPr>
        <w:t>.</w:t>
      </w:r>
    </w:p>
    <w:p w14:paraId="31FCEC33" w14:textId="77777777" w:rsidR="00957B4B" w:rsidRPr="009F301B" w:rsidRDefault="00957B4B" w:rsidP="00957B4B">
      <w:pPr>
        <w:pStyle w:val="Textonotapie"/>
        <w:ind w:firstLine="708"/>
        <w:contextualSpacing/>
        <w:jc w:val="both"/>
        <w:rPr>
          <w:rFonts w:ascii="Verdana" w:hAnsi="Verdana" w:cs="Arial"/>
          <w:sz w:val="16"/>
          <w:szCs w:val="16"/>
        </w:rPr>
      </w:pPr>
    </w:p>
  </w:footnote>
  <w:footnote w:id="6">
    <w:p w14:paraId="4EFE3EF0" w14:textId="77777777" w:rsidR="00957B4B" w:rsidRDefault="00957B4B" w:rsidP="00957B4B">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Consejo de Estado, Sala de Consulta y Servicio Civil, Concepto 1127 del 10 de diciembre de 2004. M.P. Enrique José Arboleda Perdomo </w:t>
      </w:r>
    </w:p>
    <w:p w14:paraId="0AC151EF" w14:textId="77777777" w:rsidR="00957B4B" w:rsidRPr="009F301B" w:rsidRDefault="00957B4B" w:rsidP="00957B4B">
      <w:pPr>
        <w:pStyle w:val="Textonotapie"/>
        <w:ind w:firstLine="708"/>
        <w:contextualSpacing/>
        <w:jc w:val="both"/>
        <w:rPr>
          <w:rFonts w:ascii="Verdana" w:hAnsi="Verdana" w:cs="Arial"/>
          <w:sz w:val="16"/>
          <w:szCs w:val="16"/>
        </w:rPr>
      </w:pPr>
    </w:p>
  </w:footnote>
  <w:footnote w:id="7">
    <w:p w14:paraId="35710203" w14:textId="77777777" w:rsidR="00957B4B" w:rsidRDefault="00957B4B" w:rsidP="00957B4B">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Ley 1150 de 2007, artículo 14: </w:t>
      </w:r>
      <w:r>
        <w:rPr>
          <w:rFonts w:ascii="Verdana" w:hAnsi="Verdana" w:cs="Arial"/>
          <w:sz w:val="16"/>
          <w:szCs w:val="16"/>
        </w:rPr>
        <w:t>“</w:t>
      </w:r>
      <w:r w:rsidRPr="009F301B">
        <w:rPr>
          <w:rFonts w:ascii="Verdana" w:hAnsi="Verdana" w:cs="Arial"/>
          <w:sz w:val="16"/>
          <w:szCs w:val="16"/>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hAnsi="Verdana" w:cs="Arial"/>
          <w:sz w:val="16"/>
          <w:szCs w:val="16"/>
        </w:rPr>
        <w:t>”</w:t>
      </w:r>
      <w:r w:rsidRPr="009F301B">
        <w:rPr>
          <w:rFonts w:ascii="Verdana" w:hAnsi="Verdana" w:cs="Arial"/>
          <w:sz w:val="16"/>
          <w:szCs w:val="16"/>
        </w:rPr>
        <w:t>.</w:t>
      </w:r>
    </w:p>
    <w:p w14:paraId="4B66EBCE" w14:textId="77777777" w:rsidR="00957B4B" w:rsidRPr="009F301B" w:rsidRDefault="00957B4B" w:rsidP="00957B4B">
      <w:pPr>
        <w:pStyle w:val="Textonotapie"/>
        <w:ind w:firstLine="708"/>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rPr>
    </w:pPr>
    <w:r w:rsidRPr="00C925AC">
      <w:rPr>
        <w:rFonts w:ascii="Verdana" w:hAnsi="Verdana"/>
        <w:b/>
      </w:rPr>
      <w:t>FORMATO</w:t>
    </w:r>
    <w:r w:rsidR="00BF7425">
      <w:rPr>
        <w:rFonts w:ascii="Verdana" w:hAnsi="Verdana"/>
        <w:b/>
      </w:rPr>
      <w:t xml:space="preserve"> DE RESPUESTA </w:t>
    </w:r>
    <w:r w:rsidRPr="00C925AC">
      <w:rPr>
        <w:rFonts w:ascii="Verdana" w:hAnsi="Verdana"/>
        <w:b/>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5pt;height:11.9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748528177">
    <w:abstractNumId w:val="9"/>
  </w:num>
  <w:num w:numId="17" w16cid:durableId="1246694673">
    <w:abstractNumId w:val="1"/>
  </w:num>
  <w:num w:numId="18" w16cid:durableId="10278019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EC7"/>
    <w:rsid w:val="00046945"/>
    <w:rsid w:val="00053E56"/>
    <w:rsid w:val="00061B2A"/>
    <w:rsid w:val="00082362"/>
    <w:rsid w:val="000A683E"/>
    <w:rsid w:val="000B19B9"/>
    <w:rsid w:val="000D0334"/>
    <w:rsid w:val="000D2AC4"/>
    <w:rsid w:val="000D5DA7"/>
    <w:rsid w:val="000F6486"/>
    <w:rsid w:val="00116940"/>
    <w:rsid w:val="0012419F"/>
    <w:rsid w:val="00125105"/>
    <w:rsid w:val="00127233"/>
    <w:rsid w:val="0013318A"/>
    <w:rsid w:val="0015699B"/>
    <w:rsid w:val="001A33BF"/>
    <w:rsid w:val="001E4177"/>
    <w:rsid w:val="001F0B24"/>
    <w:rsid w:val="001F321C"/>
    <w:rsid w:val="001F7DC6"/>
    <w:rsid w:val="00207D9D"/>
    <w:rsid w:val="0022400B"/>
    <w:rsid w:val="002421BB"/>
    <w:rsid w:val="0025796E"/>
    <w:rsid w:val="002707A2"/>
    <w:rsid w:val="002951A0"/>
    <w:rsid w:val="002962BC"/>
    <w:rsid w:val="002A093D"/>
    <w:rsid w:val="002A0DD0"/>
    <w:rsid w:val="002A49AC"/>
    <w:rsid w:val="002A64FD"/>
    <w:rsid w:val="002C4CAB"/>
    <w:rsid w:val="002C7A84"/>
    <w:rsid w:val="002E2BF8"/>
    <w:rsid w:val="002E4FD9"/>
    <w:rsid w:val="002F32C9"/>
    <w:rsid w:val="002F5962"/>
    <w:rsid w:val="002F767F"/>
    <w:rsid w:val="0030657A"/>
    <w:rsid w:val="00322A85"/>
    <w:rsid w:val="00324168"/>
    <w:rsid w:val="00330834"/>
    <w:rsid w:val="003448F4"/>
    <w:rsid w:val="00374F5E"/>
    <w:rsid w:val="00377E3E"/>
    <w:rsid w:val="003822F5"/>
    <w:rsid w:val="003976D8"/>
    <w:rsid w:val="003A779E"/>
    <w:rsid w:val="003D0F4D"/>
    <w:rsid w:val="003D1910"/>
    <w:rsid w:val="003D5B0D"/>
    <w:rsid w:val="003E0499"/>
    <w:rsid w:val="003E4F80"/>
    <w:rsid w:val="003E6439"/>
    <w:rsid w:val="003F3941"/>
    <w:rsid w:val="00406575"/>
    <w:rsid w:val="00414C74"/>
    <w:rsid w:val="0042722E"/>
    <w:rsid w:val="0044528D"/>
    <w:rsid w:val="00466E39"/>
    <w:rsid w:val="004A1847"/>
    <w:rsid w:val="004A305D"/>
    <w:rsid w:val="004D1DA5"/>
    <w:rsid w:val="004F21C4"/>
    <w:rsid w:val="004F685F"/>
    <w:rsid w:val="00522136"/>
    <w:rsid w:val="005566E8"/>
    <w:rsid w:val="00574867"/>
    <w:rsid w:val="00585B7C"/>
    <w:rsid w:val="00591460"/>
    <w:rsid w:val="005A116C"/>
    <w:rsid w:val="005A65E0"/>
    <w:rsid w:val="005C3777"/>
    <w:rsid w:val="005C5CDC"/>
    <w:rsid w:val="005D476C"/>
    <w:rsid w:val="005F762F"/>
    <w:rsid w:val="006200BF"/>
    <w:rsid w:val="006219F8"/>
    <w:rsid w:val="006302F7"/>
    <w:rsid w:val="00646B9F"/>
    <w:rsid w:val="00665D70"/>
    <w:rsid w:val="006773A2"/>
    <w:rsid w:val="006900D9"/>
    <w:rsid w:val="006C3DD1"/>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4E25"/>
    <w:rsid w:val="008258C9"/>
    <w:rsid w:val="00844AE9"/>
    <w:rsid w:val="00867F95"/>
    <w:rsid w:val="008843B6"/>
    <w:rsid w:val="00891928"/>
    <w:rsid w:val="008A0137"/>
    <w:rsid w:val="008A446D"/>
    <w:rsid w:val="008B25F1"/>
    <w:rsid w:val="008D180B"/>
    <w:rsid w:val="008F0EA7"/>
    <w:rsid w:val="00923EEF"/>
    <w:rsid w:val="009419F9"/>
    <w:rsid w:val="0095685E"/>
    <w:rsid w:val="00957B4B"/>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B2BDF"/>
    <w:rsid w:val="00B00C0E"/>
    <w:rsid w:val="00B01B1A"/>
    <w:rsid w:val="00B0381D"/>
    <w:rsid w:val="00B360FF"/>
    <w:rsid w:val="00B36C42"/>
    <w:rsid w:val="00B44A47"/>
    <w:rsid w:val="00B72CD3"/>
    <w:rsid w:val="00B72FFF"/>
    <w:rsid w:val="00BC3D36"/>
    <w:rsid w:val="00BD5366"/>
    <w:rsid w:val="00BD54A6"/>
    <w:rsid w:val="00BD7F72"/>
    <w:rsid w:val="00BF73F8"/>
    <w:rsid w:val="00BF7425"/>
    <w:rsid w:val="00C04FB3"/>
    <w:rsid w:val="00C11D8B"/>
    <w:rsid w:val="00C15139"/>
    <w:rsid w:val="00C330EB"/>
    <w:rsid w:val="00C37EAA"/>
    <w:rsid w:val="00C50D69"/>
    <w:rsid w:val="00C5365C"/>
    <w:rsid w:val="00C754BE"/>
    <w:rsid w:val="00C76B1C"/>
    <w:rsid w:val="00C925AC"/>
    <w:rsid w:val="00CB6357"/>
    <w:rsid w:val="00CC1B26"/>
    <w:rsid w:val="00D361FD"/>
    <w:rsid w:val="00D423A2"/>
    <w:rsid w:val="00D44E26"/>
    <w:rsid w:val="00D520D8"/>
    <w:rsid w:val="00D52355"/>
    <w:rsid w:val="00D63AC2"/>
    <w:rsid w:val="00D7383B"/>
    <w:rsid w:val="00D7788A"/>
    <w:rsid w:val="00D8057C"/>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2DC8"/>
    <w:rsid w:val="00EE17FB"/>
    <w:rsid w:val="00EE1AA8"/>
    <w:rsid w:val="00EF07FB"/>
    <w:rsid w:val="00F23FEA"/>
    <w:rsid w:val="00F31EDC"/>
    <w:rsid w:val="00F462B3"/>
    <w:rsid w:val="00F5664F"/>
    <w:rsid w:val="00F64A46"/>
    <w:rsid w:val="00F666C4"/>
    <w:rsid w:val="00F75712"/>
    <w:rsid w:val="00F76AFC"/>
    <w:rsid w:val="00F90D4D"/>
    <w:rsid w:val="00FA47C0"/>
    <w:rsid w:val="00FB5DD1"/>
    <w:rsid w:val="00FB65BD"/>
    <w:rsid w:val="00FC2B5D"/>
    <w:rsid w:val="00FE6C79"/>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62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57B4B"/>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7B4B"/>
    <w:rPr>
      <w:rFonts w:ascii="Geomanist Light" w:hAnsi="Geomanist Light"/>
      <w:lang w:val="es-ES"/>
    </w:rPr>
  </w:style>
  <w:style w:type="character" w:customStyle="1" w:styleId="NormalWebCar">
    <w:name w:val="Normal (Web) Car"/>
    <w:link w:val="NormalWeb"/>
    <w:uiPriority w:val="99"/>
    <w:rsid w:val="00957B4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88663">
      <w:bodyDiv w:val="1"/>
      <w:marLeft w:val="0"/>
      <w:marRight w:val="0"/>
      <w:marTop w:val="0"/>
      <w:marBottom w:val="0"/>
      <w:divBdr>
        <w:top w:val="none" w:sz="0" w:space="0" w:color="auto"/>
        <w:left w:val="none" w:sz="0" w:space="0" w:color="auto"/>
        <w:bottom w:val="none" w:sz="0" w:space="0" w:color="auto"/>
        <w:right w:val="none" w:sz="0" w:space="0" w:color="auto"/>
      </w:divBdr>
      <w:divsChild>
        <w:div w:id="1352606860">
          <w:marLeft w:val="0"/>
          <w:marRight w:val="0"/>
          <w:marTop w:val="0"/>
          <w:marBottom w:val="0"/>
          <w:divBdr>
            <w:top w:val="none" w:sz="0" w:space="0" w:color="auto"/>
            <w:left w:val="none" w:sz="0" w:space="0" w:color="auto"/>
            <w:bottom w:val="none" w:sz="0" w:space="0" w:color="auto"/>
            <w:right w:val="none" w:sz="0" w:space="0" w:color="auto"/>
          </w:divBdr>
          <w:divsChild>
            <w:div w:id="255331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04072905">
      <w:bodyDiv w:val="1"/>
      <w:marLeft w:val="0"/>
      <w:marRight w:val="0"/>
      <w:marTop w:val="0"/>
      <w:marBottom w:val="0"/>
      <w:divBdr>
        <w:top w:val="none" w:sz="0" w:space="0" w:color="auto"/>
        <w:left w:val="none" w:sz="0" w:space="0" w:color="auto"/>
        <w:bottom w:val="none" w:sz="0" w:space="0" w:color="auto"/>
        <w:right w:val="none" w:sz="0" w:space="0" w:color="auto"/>
      </w:divBdr>
      <w:divsChild>
        <w:div w:id="332883242">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6467808">
      <w:bodyDiv w:val="1"/>
      <w:marLeft w:val="0"/>
      <w:marRight w:val="0"/>
      <w:marTop w:val="0"/>
      <w:marBottom w:val="0"/>
      <w:divBdr>
        <w:top w:val="none" w:sz="0" w:space="0" w:color="auto"/>
        <w:left w:val="none" w:sz="0" w:space="0" w:color="auto"/>
        <w:bottom w:val="none" w:sz="0" w:space="0" w:color="auto"/>
        <w:right w:val="none" w:sz="0" w:space="0" w:color="auto"/>
      </w:divBdr>
      <w:divsChild>
        <w:div w:id="1791119740">
          <w:marLeft w:val="0"/>
          <w:marRight w:val="0"/>
          <w:marTop w:val="0"/>
          <w:marBottom w:val="0"/>
          <w:divBdr>
            <w:top w:val="none" w:sz="0" w:space="0" w:color="auto"/>
            <w:left w:val="none" w:sz="0" w:space="0" w:color="auto"/>
            <w:bottom w:val="none" w:sz="0" w:space="0" w:color="auto"/>
            <w:right w:val="none" w:sz="0" w:space="0" w:color="auto"/>
          </w:divBdr>
        </w:div>
      </w:divsChild>
    </w:div>
    <w:div w:id="688336864">
      <w:bodyDiv w:val="1"/>
      <w:marLeft w:val="0"/>
      <w:marRight w:val="0"/>
      <w:marTop w:val="0"/>
      <w:marBottom w:val="0"/>
      <w:divBdr>
        <w:top w:val="none" w:sz="0" w:space="0" w:color="auto"/>
        <w:left w:val="none" w:sz="0" w:space="0" w:color="auto"/>
        <w:bottom w:val="none" w:sz="0" w:space="0" w:color="auto"/>
        <w:right w:val="none" w:sz="0" w:space="0" w:color="auto"/>
      </w:divBdr>
      <w:divsChild>
        <w:div w:id="106853662">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0708870">
      <w:bodyDiv w:val="1"/>
      <w:marLeft w:val="0"/>
      <w:marRight w:val="0"/>
      <w:marTop w:val="0"/>
      <w:marBottom w:val="0"/>
      <w:divBdr>
        <w:top w:val="none" w:sz="0" w:space="0" w:color="auto"/>
        <w:left w:val="none" w:sz="0" w:space="0" w:color="auto"/>
        <w:bottom w:val="none" w:sz="0" w:space="0" w:color="auto"/>
        <w:right w:val="none" w:sz="0" w:space="0" w:color="auto"/>
      </w:divBdr>
      <w:divsChild>
        <w:div w:id="1427656340">
          <w:marLeft w:val="0"/>
          <w:marRight w:val="0"/>
          <w:marTop w:val="0"/>
          <w:marBottom w:val="0"/>
          <w:divBdr>
            <w:top w:val="none" w:sz="0" w:space="0" w:color="auto"/>
            <w:left w:val="none" w:sz="0" w:space="0" w:color="auto"/>
            <w:bottom w:val="none" w:sz="0" w:space="0" w:color="auto"/>
            <w:right w:val="none" w:sz="0" w:space="0" w:color="auto"/>
          </w:divBdr>
        </w:div>
      </w:divsChild>
    </w:div>
    <w:div w:id="867644132">
      <w:bodyDiv w:val="1"/>
      <w:marLeft w:val="0"/>
      <w:marRight w:val="0"/>
      <w:marTop w:val="0"/>
      <w:marBottom w:val="0"/>
      <w:divBdr>
        <w:top w:val="none" w:sz="0" w:space="0" w:color="auto"/>
        <w:left w:val="none" w:sz="0" w:space="0" w:color="auto"/>
        <w:bottom w:val="none" w:sz="0" w:space="0" w:color="auto"/>
        <w:right w:val="none" w:sz="0" w:space="0" w:color="auto"/>
      </w:divBdr>
      <w:divsChild>
        <w:div w:id="1344630920">
          <w:marLeft w:val="0"/>
          <w:marRight w:val="0"/>
          <w:marTop w:val="0"/>
          <w:marBottom w:val="0"/>
          <w:divBdr>
            <w:top w:val="none" w:sz="0" w:space="0" w:color="auto"/>
            <w:left w:val="none" w:sz="0" w:space="0" w:color="auto"/>
            <w:bottom w:val="none" w:sz="0" w:space="0" w:color="auto"/>
            <w:right w:val="none" w:sz="0" w:space="0" w:color="auto"/>
          </w:divBdr>
          <w:divsChild>
            <w:div w:id="48145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657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2763727">
      <w:bodyDiv w:val="1"/>
      <w:marLeft w:val="0"/>
      <w:marRight w:val="0"/>
      <w:marTop w:val="0"/>
      <w:marBottom w:val="0"/>
      <w:divBdr>
        <w:top w:val="none" w:sz="0" w:space="0" w:color="auto"/>
        <w:left w:val="none" w:sz="0" w:space="0" w:color="auto"/>
        <w:bottom w:val="none" w:sz="0" w:space="0" w:color="auto"/>
        <w:right w:val="none" w:sz="0" w:space="0" w:color="auto"/>
      </w:divBdr>
      <w:divsChild>
        <w:div w:id="1359500207">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abogadalorenaaponte@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F63593-9084-4EC8-ACCE-B0D81604183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1962B6D-0417-4C0F-A775-F65E3923C2AF}">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4937</Words>
  <Characters>27155</Characters>
  <Application>Microsoft Office Word</Application>
  <DocSecurity>0</DocSecurity>
  <Lines>226</Lines>
  <Paragraphs>64</Paragraphs>
  <ScaleCrop>false</ScaleCrop>
  <Company/>
  <LinksUpToDate>false</LinksUpToDate>
  <CharactersWithSpaces>32028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2026-10-09T20:40:00Z</dcterms:created>
  <dcterms:modified xsi:type="dcterms:W3CDTF">2026-10-13T20:57:00Z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