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F47D55" w14:textId="77777777" w:rsidR="008F07A1" w:rsidRPr="00531056" w:rsidRDefault="008F07A1" w:rsidP="008F07A1">
      <w:pPr>
        <w:pStyle w:val="Textoindependiente"/>
        <w:ind w:right="102"/>
        <w:jc w:val="both"/>
        <w:rPr>
          <w:rFonts w:cs="Arial"/>
          <w:b/>
          <w:color w:val="000000" w:themeColor="text1"/>
          <w:lang w:val="es-ES_tradnl"/>
        </w:rPr>
      </w:pPr>
      <w:bookmarkStart w:id="0" w:name="_Hlk143780582"/>
      <w:r w:rsidRPr="00531056">
        <w:rPr>
          <w:rFonts w:cs="Arial"/>
          <w:b/>
          <w:color w:val="000000" w:themeColor="text1"/>
          <w:lang w:val="es-ES_tradnl"/>
        </w:rPr>
        <w:t xml:space="preserve">DECRETO 092 DE 2017 – Finalidad – Clases de contratos </w:t>
      </w:r>
    </w:p>
    <w:p w14:paraId="1E791048" w14:textId="77777777" w:rsidR="008F07A1" w:rsidRPr="00531056" w:rsidRDefault="008F07A1" w:rsidP="008F07A1">
      <w:pPr>
        <w:pStyle w:val="Textoindependiente"/>
        <w:ind w:right="102"/>
        <w:jc w:val="both"/>
        <w:rPr>
          <w:rFonts w:cs="Arial"/>
          <w:color w:val="000000" w:themeColor="text1"/>
          <w:sz w:val="20"/>
          <w:szCs w:val="20"/>
          <w:lang w:val="es-ES_tradnl"/>
        </w:rPr>
      </w:pPr>
    </w:p>
    <w:p w14:paraId="25724AF0" w14:textId="77777777" w:rsidR="008F07A1" w:rsidRPr="00531056" w:rsidRDefault="008F07A1" w:rsidP="008F07A1">
      <w:pPr>
        <w:spacing w:after="0" w:line="240" w:lineRule="auto"/>
        <w:jc w:val="both"/>
        <w:rPr>
          <w:rFonts w:ascii="Verdana" w:eastAsia="Arial" w:hAnsi="Verdana" w:cs="Arial"/>
          <w:color w:val="000000" w:themeColor="text1"/>
          <w:sz w:val="20"/>
          <w:szCs w:val="20"/>
          <w:lang w:val="es-ES"/>
        </w:rPr>
      </w:pPr>
      <w:r w:rsidRPr="00531056">
        <w:rPr>
          <w:rFonts w:ascii="Verdana" w:eastAsia="Arial" w:hAnsi="Verdana" w:cs="Arial"/>
          <w:color w:val="000000" w:themeColor="text1"/>
          <w:sz w:val="20"/>
          <w:szCs w:val="20"/>
          <w:lang w:val="es-ES"/>
        </w:rPr>
        <w:t xml:space="preserve">El Decreto 092 de 2017 dispone reglas para las contrataciones que realicen las entidades estatales con las ESAL. El Decreto regula dos (2) eventos: i) los contratos del artículo 355 de la Constitución Política con el fin impulsar programas y actividades de interés público de acuerdo con el Plan Nacional o los planes seccionales de desarrollo; y </w:t>
      </w:r>
      <w:proofErr w:type="spellStart"/>
      <w:r w:rsidRPr="00531056">
        <w:rPr>
          <w:rFonts w:ascii="Verdana" w:eastAsia="Arial" w:hAnsi="Verdana" w:cs="Arial"/>
          <w:color w:val="000000" w:themeColor="text1"/>
          <w:sz w:val="20"/>
          <w:szCs w:val="20"/>
          <w:lang w:val="es-ES"/>
        </w:rPr>
        <w:t>ii</w:t>
      </w:r>
      <w:proofErr w:type="spellEnd"/>
      <w:r w:rsidRPr="00531056">
        <w:rPr>
          <w:rFonts w:ascii="Verdana" w:eastAsia="Arial" w:hAnsi="Verdana" w:cs="Arial"/>
          <w:color w:val="000000" w:themeColor="text1"/>
          <w:sz w:val="20"/>
          <w:szCs w:val="20"/>
          <w:lang w:val="es-ES"/>
        </w:rPr>
        <w:t>) los convenios de asociación, para el desarrollo conjunto de actividades relacionadas con las funciones de las entidades estatales, en desarrollo del artículo 96 de la Ley 489 de 1998.</w:t>
      </w:r>
    </w:p>
    <w:p w14:paraId="2CB1962E" w14:textId="77777777" w:rsidR="008F07A1" w:rsidRPr="00531056" w:rsidRDefault="008F07A1" w:rsidP="008F07A1">
      <w:pPr>
        <w:spacing w:after="0" w:line="240" w:lineRule="auto"/>
        <w:jc w:val="both"/>
        <w:rPr>
          <w:rFonts w:ascii="Verdana" w:eastAsia="Calibri" w:hAnsi="Verdana" w:cs="Arial"/>
          <w:b/>
          <w:color w:val="000000" w:themeColor="text1"/>
          <w:lang w:val="es-ES_tradnl"/>
        </w:rPr>
      </w:pPr>
    </w:p>
    <w:p w14:paraId="33DB3702" w14:textId="77777777" w:rsidR="008F07A1" w:rsidRPr="00531056" w:rsidRDefault="008F07A1" w:rsidP="008F07A1">
      <w:pPr>
        <w:spacing w:after="0" w:line="240" w:lineRule="auto"/>
        <w:jc w:val="both"/>
        <w:rPr>
          <w:rFonts w:ascii="Verdana" w:eastAsia="Calibri" w:hAnsi="Verdana" w:cs="Arial"/>
          <w:b/>
          <w:color w:val="000000" w:themeColor="text1"/>
          <w:lang w:val="es-ES_tradnl"/>
        </w:rPr>
      </w:pPr>
      <w:r w:rsidRPr="00531056">
        <w:rPr>
          <w:rFonts w:ascii="Verdana" w:eastAsia="Calibri" w:hAnsi="Verdana" w:cs="Arial"/>
          <w:b/>
          <w:color w:val="000000" w:themeColor="text1"/>
          <w:lang w:val="es-ES_tradnl"/>
        </w:rPr>
        <w:t xml:space="preserve">CONTRATACIÓN CON ESAL – Contrato de colaboración – Objeto – Alcance </w:t>
      </w:r>
    </w:p>
    <w:p w14:paraId="7BDA0876" w14:textId="77777777" w:rsidR="008F07A1" w:rsidRPr="00531056" w:rsidRDefault="008F07A1" w:rsidP="008F07A1">
      <w:pPr>
        <w:spacing w:after="0" w:line="240" w:lineRule="auto"/>
        <w:jc w:val="both"/>
        <w:rPr>
          <w:rFonts w:ascii="Verdana" w:eastAsia="Calibri" w:hAnsi="Verdana" w:cs="Arial"/>
          <w:bCs/>
          <w:color w:val="000000" w:themeColor="text1"/>
          <w:sz w:val="20"/>
          <w:szCs w:val="20"/>
          <w:lang w:val="es-ES_tradnl"/>
        </w:rPr>
      </w:pPr>
    </w:p>
    <w:p w14:paraId="768394AB" w14:textId="77777777" w:rsidR="008F07A1" w:rsidRPr="00531056" w:rsidRDefault="008F07A1" w:rsidP="008F07A1">
      <w:pPr>
        <w:spacing w:after="0" w:line="240" w:lineRule="auto"/>
        <w:jc w:val="both"/>
        <w:rPr>
          <w:rFonts w:ascii="Verdana" w:hAnsi="Verdana" w:cs="Arial"/>
          <w:color w:val="000000" w:themeColor="text1"/>
          <w:sz w:val="20"/>
          <w:szCs w:val="20"/>
          <w:lang w:val="es-ES_tradnl"/>
        </w:rPr>
      </w:pPr>
      <w:r w:rsidRPr="00531056">
        <w:rPr>
          <w:rFonts w:ascii="Verdana" w:hAnsi="Verdana" w:cs="Arial"/>
          <w:color w:val="000000" w:themeColor="text1"/>
          <w:sz w:val="20"/>
          <w:szCs w:val="20"/>
          <w:lang w:val="es-ES_tradnl"/>
        </w:rPr>
        <w:t>Los contratos del artículo 355 de la Constitución Política tienen como objeto promover acciones de fomento social en beneficio de los sectores más desprotegidos de la población, siempre que estén previstas en los planes de desarrollo, motivo por el cual no dan lugar a una contraprestación directa a favor de la entidad y tampoco a una relación conmutativa entre ésta y la ESAL, toda vez que el beneficio directo lo recibirán, en últimas, los sectores de este tipo de acciones de fomento. Para celebrar estos contratos, según lo establece el artículo 3 del Decreto 092 de 2017, por regla general, la entidad debe adelantar un proceso competitivo para seleccionar la entidad sin ánimo de lucro contratista.</w:t>
      </w:r>
    </w:p>
    <w:p w14:paraId="30EB636D" w14:textId="77777777" w:rsidR="008F07A1" w:rsidRPr="00531056" w:rsidRDefault="008F07A1" w:rsidP="008F07A1">
      <w:pPr>
        <w:spacing w:after="0" w:line="240" w:lineRule="auto"/>
        <w:jc w:val="both"/>
        <w:rPr>
          <w:rFonts w:ascii="Verdana" w:hAnsi="Verdana" w:cs="Arial"/>
          <w:color w:val="000000" w:themeColor="text1"/>
          <w:sz w:val="21"/>
          <w:szCs w:val="21"/>
          <w:lang w:val="es-ES_tradnl"/>
        </w:rPr>
      </w:pPr>
    </w:p>
    <w:p w14:paraId="51521773" w14:textId="77777777" w:rsidR="008F07A1" w:rsidRPr="00531056" w:rsidRDefault="008F07A1" w:rsidP="008F07A1">
      <w:pPr>
        <w:spacing w:after="0" w:line="240" w:lineRule="auto"/>
        <w:jc w:val="both"/>
        <w:rPr>
          <w:rFonts w:ascii="Verdana" w:eastAsia="Calibri" w:hAnsi="Verdana" w:cs="Arial"/>
          <w:b/>
          <w:color w:val="000000" w:themeColor="text1"/>
          <w:lang w:val="es-ES_tradnl"/>
        </w:rPr>
      </w:pPr>
      <w:bookmarkStart w:id="1" w:name="_Hlk109118876"/>
      <w:r w:rsidRPr="00531056">
        <w:rPr>
          <w:rFonts w:ascii="Verdana" w:eastAsia="Calibri" w:hAnsi="Verdana" w:cs="Arial"/>
          <w:b/>
          <w:color w:val="000000" w:themeColor="text1"/>
          <w:lang w:val="es-ES_tradnl"/>
        </w:rPr>
        <w:t>CONTRATACIÓN CON ESAL –</w:t>
      </w:r>
      <w:bookmarkEnd w:id="1"/>
      <w:r w:rsidRPr="00531056">
        <w:rPr>
          <w:rFonts w:ascii="Verdana" w:eastAsia="Calibri" w:hAnsi="Verdana" w:cs="Arial"/>
          <w:b/>
          <w:color w:val="000000" w:themeColor="text1"/>
          <w:lang w:val="es-ES_tradnl"/>
        </w:rPr>
        <w:t xml:space="preserve"> Convenios de asociación – Objeto – Alcance </w:t>
      </w:r>
    </w:p>
    <w:p w14:paraId="555A8239" w14:textId="77777777" w:rsidR="008F07A1" w:rsidRPr="00531056" w:rsidRDefault="008F07A1" w:rsidP="008F07A1">
      <w:pPr>
        <w:spacing w:after="0" w:line="240" w:lineRule="auto"/>
        <w:jc w:val="both"/>
        <w:rPr>
          <w:rFonts w:ascii="Verdana" w:eastAsia="Calibri" w:hAnsi="Verdana" w:cs="Arial"/>
          <w:b/>
          <w:color w:val="000000" w:themeColor="text1"/>
          <w:lang w:val="es-ES_tradnl"/>
        </w:rPr>
      </w:pPr>
    </w:p>
    <w:p w14:paraId="0C42B0AF" w14:textId="77777777" w:rsidR="008F07A1" w:rsidRPr="00531056" w:rsidRDefault="008F07A1" w:rsidP="008F07A1">
      <w:pPr>
        <w:spacing w:after="0" w:line="240" w:lineRule="auto"/>
        <w:jc w:val="both"/>
        <w:rPr>
          <w:rFonts w:ascii="Verdana" w:hAnsi="Verdana" w:cs="Arial"/>
          <w:color w:val="000000" w:themeColor="text1"/>
          <w:sz w:val="20"/>
          <w:szCs w:val="20"/>
          <w:lang w:val="es-ES"/>
        </w:rPr>
      </w:pPr>
      <w:r w:rsidRPr="00531056">
        <w:rPr>
          <w:rFonts w:ascii="Verdana" w:hAnsi="Verdana" w:cs="Arial"/>
          <w:color w:val="000000" w:themeColor="text1"/>
          <w:sz w:val="20"/>
          <w:szCs w:val="20"/>
          <w:lang w:val="es-ES"/>
        </w:rPr>
        <w:t>De otro lado, los convenios de asociación “[t]</w:t>
      </w:r>
      <w:proofErr w:type="spellStart"/>
      <w:r w:rsidRPr="00531056">
        <w:rPr>
          <w:rFonts w:ascii="Verdana" w:hAnsi="Verdana" w:cs="Arial"/>
          <w:color w:val="000000" w:themeColor="text1"/>
          <w:sz w:val="20"/>
          <w:szCs w:val="20"/>
          <w:lang w:val="es-ES"/>
        </w:rPr>
        <w:t>ienen</w:t>
      </w:r>
      <w:proofErr w:type="spellEnd"/>
      <w:r w:rsidRPr="00531056">
        <w:rPr>
          <w:rFonts w:ascii="Verdana" w:hAnsi="Verdana" w:cs="Arial"/>
          <w:color w:val="000000" w:themeColor="text1"/>
          <w:sz w:val="20"/>
          <w:szCs w:val="20"/>
          <w:lang w:val="es-ES"/>
        </w:rPr>
        <w:t xml:space="preserve">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 En estos convenios existen aportes dirigidos, especialmente, a lograr la ejecución del convenio. De todos modos, la entidad deberá adelantar un proceso competitivo, salvo cuando la ESAL comprometa recursos en dinero para la ejecución de estas actividades, en una proporción no inferior al 30% del valor total del convenio. El convenio de asociación no es conmutativo, y por tanto, la entidad no instruye al contratista para desarrollar los programas o actividades previstas, sino que se asocia con él para el cumplimiento de objetivos comunes.</w:t>
      </w:r>
    </w:p>
    <w:p w14:paraId="7580D33B" w14:textId="77777777" w:rsidR="008F07A1" w:rsidRPr="00531056" w:rsidRDefault="008F07A1" w:rsidP="008F07A1">
      <w:pPr>
        <w:spacing w:after="0"/>
        <w:rPr>
          <w:rFonts w:ascii="Verdana" w:eastAsia="Verdana" w:hAnsi="Verdana" w:cs="Verdana"/>
          <w:lang w:val="es-ES"/>
        </w:rPr>
      </w:pPr>
    </w:p>
    <w:p w14:paraId="6A347E55" w14:textId="77777777" w:rsidR="008F07A1" w:rsidRPr="00531056" w:rsidRDefault="008F07A1" w:rsidP="008F07A1">
      <w:pPr>
        <w:spacing w:after="0" w:line="240" w:lineRule="auto"/>
        <w:jc w:val="both"/>
        <w:rPr>
          <w:rFonts w:ascii="Verdana" w:eastAsia="Calibri" w:hAnsi="Verdana" w:cs="Arial"/>
          <w:b/>
          <w:color w:val="000000" w:themeColor="text1"/>
          <w:lang w:val="es-ES_tradnl"/>
        </w:rPr>
      </w:pPr>
      <w:r w:rsidRPr="00531056">
        <w:rPr>
          <w:rFonts w:ascii="Verdana" w:eastAsia="Calibri" w:hAnsi="Verdana" w:cs="Arial"/>
          <w:b/>
          <w:color w:val="000000" w:themeColor="text1"/>
          <w:lang w:val="es-ES_tradnl"/>
        </w:rPr>
        <w:t xml:space="preserve">DECRETO 092 DE 2017 – Criterios – Aplicación </w:t>
      </w:r>
    </w:p>
    <w:p w14:paraId="7ADF857A" w14:textId="77777777" w:rsidR="008F07A1" w:rsidRPr="00531056" w:rsidRDefault="008F07A1" w:rsidP="008F07A1">
      <w:pPr>
        <w:spacing w:after="0" w:line="240" w:lineRule="auto"/>
        <w:jc w:val="both"/>
        <w:rPr>
          <w:rFonts w:ascii="Verdana" w:hAnsi="Verdana" w:cs="Arial"/>
          <w:color w:val="000000" w:themeColor="text1"/>
          <w:sz w:val="21"/>
          <w:szCs w:val="21"/>
          <w:lang w:val="es-ES_tradnl"/>
        </w:rPr>
      </w:pPr>
    </w:p>
    <w:p w14:paraId="6C108A29" w14:textId="77777777" w:rsidR="008F07A1" w:rsidRPr="00531056" w:rsidRDefault="008F07A1" w:rsidP="008F07A1">
      <w:pPr>
        <w:spacing w:after="0" w:line="240" w:lineRule="auto"/>
        <w:jc w:val="both"/>
        <w:rPr>
          <w:rFonts w:ascii="Verdana" w:hAnsi="Verdana" w:cs="Arial"/>
          <w:color w:val="000000" w:themeColor="text1"/>
          <w:sz w:val="20"/>
          <w:szCs w:val="20"/>
          <w:lang w:val="es-ES"/>
        </w:rPr>
      </w:pPr>
      <w:r w:rsidRPr="00531056">
        <w:rPr>
          <w:rFonts w:ascii="Verdana" w:hAnsi="Verdana" w:cs="Arial"/>
          <w:color w:val="000000" w:themeColor="text1"/>
          <w:sz w:val="20"/>
          <w:szCs w:val="20"/>
          <w:lang w:val="es-ES"/>
        </w:rPr>
        <w:t xml:space="preserve">[…] De acuerdo con lo anterior, no todas las actividades que las entidades estatales deben desarrollar para alcanzar sus objetivos misionales deben ejecutarse a través de la celebración de contratos del artículo 355 superior o convenios de asociación. Debe tenerse en cuenta que lo que determina la aplicación del Decreto 092 de 2017 no es únicamente el carácter de las ESAL sino el objeto del contrato o convenio que la entidad pretende adelantar. Por tanto, el hecho de que se trate de una entidad sin ánimo de </w:t>
      </w:r>
      <w:r w:rsidRPr="00531056">
        <w:rPr>
          <w:rFonts w:ascii="Verdana" w:hAnsi="Verdana" w:cs="Arial"/>
          <w:color w:val="000000" w:themeColor="text1"/>
          <w:sz w:val="20"/>
          <w:szCs w:val="20"/>
          <w:lang w:val="es-ES"/>
        </w:rPr>
        <w:lastRenderedPageBreak/>
        <w:t>lucro no implica que necesariamente deba celebrarse un contrato de colaboración o un convenio de asociación.</w:t>
      </w:r>
    </w:p>
    <w:p w14:paraId="51913603" w14:textId="77777777" w:rsidR="008F07A1" w:rsidRPr="00531056" w:rsidRDefault="008F07A1" w:rsidP="008F07A1">
      <w:pPr>
        <w:spacing w:after="0" w:line="240" w:lineRule="auto"/>
        <w:jc w:val="both"/>
        <w:rPr>
          <w:rFonts w:ascii="Verdana" w:hAnsi="Verdana" w:cs="Arial"/>
          <w:color w:val="000000" w:themeColor="text1"/>
          <w:sz w:val="20"/>
          <w:szCs w:val="20"/>
          <w:lang w:val="es-ES_tradnl"/>
        </w:rPr>
      </w:pPr>
    </w:p>
    <w:p w14:paraId="4AD1F951" w14:textId="77777777" w:rsidR="008F07A1" w:rsidRPr="00531056" w:rsidRDefault="008F07A1" w:rsidP="008F07A1">
      <w:pPr>
        <w:spacing w:after="0" w:line="240" w:lineRule="auto"/>
        <w:jc w:val="both"/>
        <w:rPr>
          <w:rFonts w:ascii="Verdana" w:eastAsia="Arial" w:hAnsi="Verdana" w:cs="Arial"/>
          <w:b/>
          <w:bCs/>
          <w:color w:val="000000" w:themeColor="text1"/>
          <w:lang w:val="es-ES_tradnl"/>
        </w:rPr>
      </w:pPr>
      <w:r w:rsidRPr="00531056">
        <w:rPr>
          <w:rFonts w:ascii="Verdana" w:eastAsia="Arial" w:hAnsi="Verdana" w:cs="Arial"/>
          <w:b/>
          <w:bCs/>
          <w:color w:val="000000" w:themeColor="text1"/>
          <w:lang w:val="es-ES_tradnl"/>
        </w:rPr>
        <w:t xml:space="preserve">DECRETO 092 DE 2017 – Normativa vigente </w:t>
      </w:r>
    </w:p>
    <w:p w14:paraId="7456654D" w14:textId="77777777" w:rsidR="008F07A1" w:rsidRPr="00531056" w:rsidRDefault="008F07A1" w:rsidP="008F07A1">
      <w:pPr>
        <w:spacing w:after="0" w:line="240" w:lineRule="auto"/>
        <w:jc w:val="both"/>
        <w:rPr>
          <w:rFonts w:ascii="Verdana" w:eastAsia="Arial" w:hAnsi="Verdana" w:cs="Arial"/>
          <w:b/>
          <w:bCs/>
          <w:color w:val="000000" w:themeColor="text1"/>
          <w:lang w:val="es-ES_tradnl"/>
        </w:rPr>
      </w:pPr>
    </w:p>
    <w:p w14:paraId="317922C0" w14:textId="77777777" w:rsidR="008F07A1" w:rsidRPr="00531056" w:rsidRDefault="008F07A1" w:rsidP="008F07A1">
      <w:pPr>
        <w:spacing w:after="0" w:line="240" w:lineRule="auto"/>
        <w:jc w:val="both"/>
        <w:rPr>
          <w:rFonts w:ascii="Verdana" w:hAnsi="Verdana" w:cs="Arial"/>
          <w:color w:val="000000" w:themeColor="text1"/>
          <w:sz w:val="20"/>
          <w:szCs w:val="20"/>
          <w:lang w:val="es-ES"/>
        </w:rPr>
      </w:pPr>
      <w:r w:rsidRPr="00531056">
        <w:rPr>
          <w:rFonts w:ascii="Verdana" w:hAnsi="Verdana" w:cs="Arial"/>
          <w:color w:val="000000" w:themeColor="text1"/>
          <w:sz w:val="20"/>
          <w:szCs w:val="20"/>
          <w:lang w:val="es-ES"/>
        </w:rPr>
        <w:t xml:space="preserve">Es importante tener en cuenta que la contratación con entidades sin ánimo de lucro se rige por el Decreto 092 de 2017, salvo lo que ha sido objeto de suspensión provisional por parte del Consejo de Estado. Por lo tanto, las entidades públicas que desean celebrar contratos del artículo 355 de la Constitución Política deberán contratar con ESAL de reconocida idoneidad realizando un proceso competitivo, y teniendo en cuenta lo siguiente: i) no debe condicionarse el proceso de contratación a la inexistencia de oferta en el mercado de bienes y servicios; </w:t>
      </w:r>
      <w:proofErr w:type="spellStart"/>
      <w:r w:rsidRPr="00531056">
        <w:rPr>
          <w:rFonts w:ascii="Verdana" w:hAnsi="Verdana" w:cs="Arial"/>
          <w:color w:val="000000" w:themeColor="text1"/>
          <w:sz w:val="20"/>
          <w:szCs w:val="20"/>
          <w:lang w:val="es-ES"/>
        </w:rPr>
        <w:t>ii</w:t>
      </w:r>
      <w:proofErr w:type="spellEnd"/>
      <w:r w:rsidRPr="00531056">
        <w:rPr>
          <w:rFonts w:ascii="Verdana" w:hAnsi="Verdana" w:cs="Arial"/>
          <w:color w:val="000000" w:themeColor="text1"/>
          <w:sz w:val="20"/>
          <w:szCs w:val="20"/>
          <w:lang w:val="es-ES"/>
        </w:rPr>
        <w:t xml:space="preserve">) tampoco debe condicionarse a que la contratación con las ESAL garantice la optimización de los recursos públicos en términos de eficiencia, eficacia, economía y manejo del riesgo; </w:t>
      </w:r>
      <w:proofErr w:type="spellStart"/>
      <w:r w:rsidRPr="00531056">
        <w:rPr>
          <w:rFonts w:ascii="Verdana" w:hAnsi="Verdana" w:cs="Arial"/>
          <w:color w:val="000000" w:themeColor="text1"/>
          <w:sz w:val="20"/>
          <w:szCs w:val="20"/>
          <w:lang w:val="es-ES"/>
        </w:rPr>
        <w:t>iii</w:t>
      </w:r>
      <w:proofErr w:type="spellEnd"/>
      <w:r w:rsidRPr="00531056">
        <w:rPr>
          <w:rFonts w:ascii="Verdana" w:hAnsi="Verdana" w:cs="Arial"/>
          <w:color w:val="000000" w:themeColor="text1"/>
          <w:sz w:val="20"/>
          <w:szCs w:val="20"/>
          <w:lang w:val="es-ES"/>
        </w:rPr>
        <w:t xml:space="preserve">) el objeto del contrato debe estar acorde con el plan nacional o seccional de desarrollo; </w:t>
      </w:r>
      <w:proofErr w:type="spellStart"/>
      <w:r w:rsidRPr="00531056">
        <w:rPr>
          <w:rFonts w:ascii="Verdana" w:hAnsi="Verdana" w:cs="Arial"/>
          <w:color w:val="000000" w:themeColor="text1"/>
          <w:sz w:val="20"/>
          <w:szCs w:val="20"/>
          <w:lang w:val="es-ES"/>
        </w:rPr>
        <w:t>iv</w:t>
      </w:r>
      <w:proofErr w:type="spellEnd"/>
      <w:r w:rsidRPr="00531056">
        <w:rPr>
          <w:rFonts w:ascii="Verdana" w:hAnsi="Verdana" w:cs="Arial"/>
          <w:color w:val="000000" w:themeColor="text1"/>
          <w:sz w:val="20"/>
          <w:szCs w:val="20"/>
          <w:lang w:val="es-ES"/>
        </w:rPr>
        <w:t xml:space="preserve">) no puede condicionarse únicamente a que las actividades o programas correspondan exclusivamente a promover los derechos de personas en situación de debilidad manifiesta o indefensión, los derechos de las minorías, el derecho a la educación, el derecho a la paz, las manifestaciones artísticas, culturales, deportivas y de promoción de la diversidad étnica colombiana, por lo que basta con cumplir el anterior numeral </w:t>
      </w:r>
      <w:proofErr w:type="spellStart"/>
      <w:r w:rsidRPr="00531056">
        <w:rPr>
          <w:rFonts w:ascii="Verdana" w:hAnsi="Verdana" w:cs="Arial"/>
          <w:color w:val="000000" w:themeColor="text1"/>
          <w:sz w:val="20"/>
          <w:szCs w:val="20"/>
          <w:lang w:val="es-ES"/>
        </w:rPr>
        <w:t>iii</w:t>
      </w:r>
      <w:proofErr w:type="spellEnd"/>
      <w:r w:rsidRPr="00531056">
        <w:rPr>
          <w:rFonts w:ascii="Verdana" w:hAnsi="Verdana" w:cs="Arial"/>
          <w:color w:val="000000" w:themeColor="text1"/>
          <w:sz w:val="20"/>
          <w:szCs w:val="20"/>
          <w:lang w:val="es-ES"/>
        </w:rPr>
        <w:t>); y v) el contrato no debe establecer una relación conmutativa en el cual haya una contraprestación directa a favor de la entidad, ni instrucciones precisas dadas por esta al contratista para cumplir con el objeto del contrato.</w:t>
      </w:r>
    </w:p>
    <w:p w14:paraId="3EA1D1A5" w14:textId="77777777" w:rsidR="008F07A1" w:rsidRPr="00531056" w:rsidRDefault="008F07A1" w:rsidP="00411B60">
      <w:pPr>
        <w:spacing w:after="0"/>
        <w:rPr>
          <w:rFonts w:ascii="Verdana" w:eastAsia="Verdana" w:hAnsi="Verdana" w:cs="Verdana"/>
          <w:lang w:val="es-ES"/>
        </w:rPr>
      </w:pPr>
    </w:p>
    <w:p w14:paraId="55E4E69D" w14:textId="477C2764" w:rsidR="00531056" w:rsidRDefault="00531056" w:rsidP="00531056">
      <w:pPr>
        <w:spacing w:after="0" w:line="240" w:lineRule="auto"/>
        <w:rPr>
          <w:rFonts w:ascii="Verdana" w:eastAsia="Geomanist Light" w:hAnsi="Verdana" w:cs="Arial"/>
          <w:b/>
          <w:bCs/>
          <w:lang w:val="es-MX"/>
        </w:rPr>
      </w:pPr>
      <w:r w:rsidRPr="00531056">
        <w:rPr>
          <w:rFonts w:ascii="Verdana" w:eastAsia="Geomanist Light" w:hAnsi="Verdana" w:cs="Arial"/>
          <w:b/>
          <w:bCs/>
          <w:lang w:val="es-MX"/>
        </w:rPr>
        <w:t>LEY 2069 DE 2020 – Criterios diferenciales – No aplicabilidad – Decreto 092 de 2017</w:t>
      </w:r>
    </w:p>
    <w:p w14:paraId="7622F858" w14:textId="77777777" w:rsidR="00531056" w:rsidRPr="00531056" w:rsidRDefault="00531056" w:rsidP="00531056">
      <w:pPr>
        <w:spacing w:after="0" w:line="240" w:lineRule="auto"/>
        <w:rPr>
          <w:rFonts w:ascii="Verdana" w:eastAsia="Geomanist Light" w:hAnsi="Verdana" w:cs="Arial"/>
          <w:b/>
          <w:bCs/>
          <w:lang w:val="es-MX"/>
        </w:rPr>
      </w:pPr>
    </w:p>
    <w:p w14:paraId="496FEE6D" w14:textId="77777777" w:rsidR="00531056" w:rsidRPr="00531056" w:rsidRDefault="00531056" w:rsidP="008106AB">
      <w:pPr>
        <w:spacing w:after="0" w:line="240" w:lineRule="auto"/>
        <w:jc w:val="both"/>
        <w:rPr>
          <w:rFonts w:ascii="Verdana" w:eastAsia="Arial" w:hAnsi="Verdana" w:cs="Arial"/>
          <w:sz w:val="20"/>
          <w:szCs w:val="20"/>
        </w:rPr>
      </w:pPr>
      <w:r w:rsidRPr="00531056">
        <w:rPr>
          <w:rFonts w:ascii="Verdana" w:eastAsia="Arial" w:hAnsi="Verdana" w:cs="Arial"/>
          <w:sz w:val="20"/>
          <w:szCs w:val="20"/>
        </w:rPr>
        <w:t xml:space="preserve">[…] pese a que el artículo 31 de la Ley 2069 de 2020 introdujo criterios diferenciales para el acceso a </w:t>
      </w:r>
      <w:proofErr w:type="spellStart"/>
      <w:r w:rsidRPr="00531056">
        <w:rPr>
          <w:rFonts w:ascii="Verdana" w:eastAsia="Arial" w:hAnsi="Verdana" w:cs="Arial"/>
          <w:sz w:val="20"/>
          <w:szCs w:val="20"/>
        </w:rPr>
        <w:t>Mipymes</w:t>
      </w:r>
      <w:proofErr w:type="spellEnd"/>
      <w:r w:rsidRPr="00531056">
        <w:rPr>
          <w:rFonts w:ascii="Verdana" w:eastAsia="Arial" w:hAnsi="Verdana" w:cs="Arial"/>
          <w:sz w:val="20"/>
          <w:szCs w:val="20"/>
        </w:rPr>
        <w:t xml:space="preserve"> al sistema de compras públicas, esto es, para los procesos de selección que adelanten las Entidades Estatales, lo cierto es que, como se indicó previamente, los procesos que se adelantan a través del Decreto 092 de 2017 no se consideran como tal, parte de dicho sistema. Por ello, sería contrario a la ley, que se procurara incentivar la participación de </w:t>
      </w:r>
      <w:proofErr w:type="spellStart"/>
      <w:r w:rsidRPr="00531056">
        <w:rPr>
          <w:rFonts w:ascii="Verdana" w:eastAsia="Arial" w:hAnsi="Verdana" w:cs="Arial"/>
          <w:sz w:val="20"/>
          <w:szCs w:val="20"/>
        </w:rPr>
        <w:t>Mipymes</w:t>
      </w:r>
      <w:proofErr w:type="spellEnd"/>
      <w:r w:rsidRPr="00531056">
        <w:rPr>
          <w:rFonts w:ascii="Verdana" w:eastAsia="Arial" w:hAnsi="Verdana" w:cs="Arial"/>
          <w:sz w:val="20"/>
          <w:szCs w:val="20"/>
        </w:rPr>
        <w:t xml:space="preserve"> en un procedimiento que no integra el sistema de compras públicas.</w:t>
      </w:r>
    </w:p>
    <w:p w14:paraId="661A99D2" w14:textId="77777777" w:rsidR="00531056" w:rsidRPr="00531056" w:rsidRDefault="00531056" w:rsidP="008106AB">
      <w:pPr>
        <w:spacing w:after="0" w:line="240" w:lineRule="auto"/>
        <w:rPr>
          <w:rFonts w:ascii="Verdana" w:hAnsi="Verdana" w:cs="Arial"/>
          <w:sz w:val="20"/>
          <w:szCs w:val="20"/>
          <w:shd w:val="clear" w:color="auto" w:fill="FFFFFF"/>
          <w:lang w:val="es-MX"/>
        </w:rPr>
      </w:pPr>
    </w:p>
    <w:p w14:paraId="258BFF68" w14:textId="77777777" w:rsidR="00531056" w:rsidRPr="00531056" w:rsidRDefault="00531056" w:rsidP="008106AB">
      <w:pPr>
        <w:spacing w:after="0" w:line="240" w:lineRule="auto"/>
        <w:jc w:val="both"/>
        <w:rPr>
          <w:rFonts w:ascii="Verdana" w:eastAsia="Arial" w:hAnsi="Verdana" w:cs="Arial"/>
          <w:sz w:val="20"/>
          <w:szCs w:val="20"/>
        </w:rPr>
      </w:pPr>
      <w:r w:rsidRPr="00531056">
        <w:rPr>
          <w:rFonts w:ascii="Verdana" w:eastAsia="Arial" w:hAnsi="Verdana" w:cs="Arial"/>
          <w:sz w:val="20"/>
          <w:szCs w:val="20"/>
        </w:rPr>
        <w:t xml:space="preserve">A lo anterior, se le suma que, los negocios jurídicos que adelantan las Entidades Estatales en aplicación del Decreto 092 de 2017, se suscriben con ESAL, quienes, por regla general, no cumplen la condición de </w:t>
      </w:r>
      <w:proofErr w:type="spellStart"/>
      <w:r w:rsidRPr="00531056">
        <w:rPr>
          <w:rFonts w:ascii="Verdana" w:eastAsia="Arial" w:hAnsi="Verdana" w:cs="Arial"/>
          <w:sz w:val="20"/>
          <w:szCs w:val="20"/>
        </w:rPr>
        <w:t>Mipymes</w:t>
      </w:r>
      <w:proofErr w:type="spellEnd"/>
      <w:r w:rsidRPr="00531056">
        <w:rPr>
          <w:rFonts w:ascii="Verdana" w:eastAsia="Arial" w:hAnsi="Verdana" w:cs="Arial"/>
          <w:sz w:val="20"/>
          <w:szCs w:val="20"/>
        </w:rPr>
        <w:t xml:space="preserve">. Esto, en razón a que, según el artículo 43 de la Ley 1450 de 2011 sólo podrán ser </w:t>
      </w:r>
      <w:proofErr w:type="spellStart"/>
      <w:r w:rsidRPr="00531056">
        <w:rPr>
          <w:rFonts w:ascii="Verdana" w:eastAsia="Arial" w:hAnsi="Verdana" w:cs="Arial"/>
          <w:sz w:val="20"/>
          <w:szCs w:val="20"/>
        </w:rPr>
        <w:t>Mipymes</w:t>
      </w:r>
      <w:proofErr w:type="spellEnd"/>
      <w:r w:rsidRPr="00531056">
        <w:rPr>
          <w:rFonts w:ascii="Verdana" w:eastAsia="Arial" w:hAnsi="Verdana" w:cs="Arial"/>
          <w:sz w:val="20"/>
          <w:szCs w:val="20"/>
        </w:rPr>
        <w:t xml:space="preserve"> las empresas entendidas éstas como unidades de explotación económica que buscan el reparto de utilidades entre los miembros de la empresa. Caso contrario para las ESAL, pues estas están destinadas a realizar una actividad de interés general sin esperar la repartición de utilidades, por lo que no podrían considerarse </w:t>
      </w:r>
      <w:proofErr w:type="spellStart"/>
      <w:r w:rsidRPr="00531056">
        <w:rPr>
          <w:rFonts w:ascii="Verdana" w:eastAsia="Arial" w:hAnsi="Verdana" w:cs="Arial"/>
          <w:sz w:val="20"/>
          <w:szCs w:val="20"/>
        </w:rPr>
        <w:t>Mipymes</w:t>
      </w:r>
      <w:proofErr w:type="spellEnd"/>
      <w:r w:rsidRPr="00531056">
        <w:rPr>
          <w:rFonts w:ascii="Verdana" w:eastAsia="Arial" w:hAnsi="Verdana" w:cs="Arial"/>
          <w:sz w:val="20"/>
          <w:szCs w:val="20"/>
        </w:rPr>
        <w:t xml:space="preserve"> para ningún efecto en procesos de contratación; salvo, en los eventos en que sean consideradas como entidades de economía solidaria y </w:t>
      </w:r>
      <w:r w:rsidRPr="00531056">
        <w:rPr>
          <w:rFonts w:ascii="Verdana" w:eastAsia="Arial" w:hAnsi="Verdana" w:cs="Arial"/>
          <w:sz w:val="20"/>
          <w:szCs w:val="20"/>
        </w:rPr>
        <w:lastRenderedPageBreak/>
        <w:t>participen en los procedimientos contractuales que se adelanten en aplicación del EGCAP.</w:t>
      </w:r>
    </w:p>
    <w:p w14:paraId="06D204C3" w14:textId="77777777" w:rsidR="00531056" w:rsidRPr="00531056" w:rsidRDefault="00531056" w:rsidP="008106AB">
      <w:pPr>
        <w:spacing w:after="0" w:line="240" w:lineRule="auto"/>
        <w:jc w:val="both"/>
        <w:rPr>
          <w:rFonts w:ascii="Verdana" w:eastAsia="Arial" w:hAnsi="Verdana" w:cs="Arial"/>
          <w:sz w:val="20"/>
          <w:szCs w:val="20"/>
        </w:rPr>
      </w:pPr>
    </w:p>
    <w:p w14:paraId="18AE60D9" w14:textId="77777777" w:rsidR="00021A53" w:rsidRDefault="00531056" w:rsidP="00021A53">
      <w:pPr>
        <w:spacing w:after="0" w:line="240" w:lineRule="auto"/>
        <w:jc w:val="both"/>
        <w:rPr>
          <w:rFonts w:ascii="Verdana" w:eastAsia="Arial" w:hAnsi="Verdana" w:cs="Arial"/>
          <w:sz w:val="20"/>
          <w:szCs w:val="20"/>
        </w:rPr>
      </w:pPr>
      <w:r w:rsidRPr="00531056">
        <w:rPr>
          <w:rFonts w:ascii="Verdana" w:eastAsia="Arial" w:hAnsi="Verdana" w:cs="Arial"/>
          <w:sz w:val="20"/>
          <w:szCs w:val="20"/>
        </w:rPr>
        <w:t>Por otra parte, es importante aclarar que los artículos 32 de la Ley 2069 de 2020 y el artículo 2.2.1.2.4.2.15 del Decreto 1082 del 2015 –adicionado por el artículo 3 del Decreto 1860 de 2021– definieron el ámbito de aplicación de los requisitos habilitantes diferenciales y puntajes adicionales para los emprendimientos y empresa de mujeres, estableciendo que estos se aplicarán en los procesos contractuales en que resulte aplicable los procedimientos de licitación pública, selección abreviada de menor cuantía y concurso de méritos, así como los procesos competitivos que adelanten las entidades exceptuadas del EGCAP. En tal sentido, las demás modalidades de selección del artículo 2 de la Ley 1150 de 2007 que no se encuentren relacionadas en ese listado están excluidas, lo que descarta su aplicación, entre otros, en la selección abreviada por subasta inversa, en la mínima cuantía y en los procesos competitivos de que trata el Decreto 092 de 2017.</w:t>
      </w:r>
      <w:r w:rsidR="00021A53">
        <w:rPr>
          <w:rFonts w:ascii="Verdana" w:eastAsia="Arial" w:hAnsi="Verdana" w:cs="Arial"/>
          <w:sz w:val="20"/>
          <w:szCs w:val="20"/>
        </w:rPr>
        <w:t xml:space="preserve"> </w:t>
      </w:r>
      <w:r w:rsidR="00021A53" w:rsidRPr="00531056">
        <w:rPr>
          <w:rFonts w:ascii="Verdana" w:eastAsia="Arial" w:hAnsi="Verdana" w:cs="Arial"/>
          <w:sz w:val="20"/>
          <w:szCs w:val="20"/>
        </w:rPr>
        <w:t>[…]</w:t>
      </w:r>
    </w:p>
    <w:p w14:paraId="420D675C" w14:textId="74C633F4" w:rsidR="00531056" w:rsidRDefault="00531056" w:rsidP="008106AB">
      <w:pPr>
        <w:spacing w:after="0" w:line="240" w:lineRule="auto"/>
        <w:jc w:val="both"/>
        <w:rPr>
          <w:rFonts w:ascii="Verdana" w:eastAsia="Arial" w:hAnsi="Verdana" w:cs="Arial"/>
          <w:sz w:val="20"/>
          <w:szCs w:val="20"/>
        </w:rPr>
      </w:pPr>
    </w:p>
    <w:p w14:paraId="5ACE36D0" w14:textId="77777777" w:rsidR="008106AB" w:rsidRDefault="008106AB" w:rsidP="008106AB">
      <w:pPr>
        <w:spacing w:after="0" w:line="240" w:lineRule="auto"/>
        <w:jc w:val="both"/>
        <w:rPr>
          <w:rFonts w:ascii="Verdana" w:eastAsia="Arial" w:hAnsi="Verdana" w:cs="Arial"/>
          <w:sz w:val="20"/>
          <w:szCs w:val="20"/>
        </w:rPr>
      </w:pPr>
    </w:p>
    <w:p w14:paraId="458A6BC1" w14:textId="77777777" w:rsidR="008106AB" w:rsidRDefault="008106AB" w:rsidP="008106AB">
      <w:pPr>
        <w:spacing w:after="0" w:line="240" w:lineRule="auto"/>
        <w:jc w:val="both"/>
        <w:rPr>
          <w:rFonts w:ascii="Verdana" w:eastAsia="Arial" w:hAnsi="Verdana" w:cs="Arial"/>
          <w:sz w:val="20"/>
          <w:szCs w:val="20"/>
        </w:rPr>
      </w:pPr>
    </w:p>
    <w:p w14:paraId="4AFB8550" w14:textId="77777777" w:rsidR="008106AB" w:rsidRPr="00531056" w:rsidRDefault="008106AB" w:rsidP="008106AB">
      <w:pPr>
        <w:spacing w:after="0" w:line="240" w:lineRule="auto"/>
        <w:jc w:val="both"/>
        <w:rPr>
          <w:rFonts w:ascii="Verdana" w:eastAsia="Arial" w:hAnsi="Verdana" w:cs="Arial"/>
          <w:sz w:val="20"/>
          <w:szCs w:val="20"/>
        </w:rPr>
      </w:pPr>
    </w:p>
    <w:p w14:paraId="5497FC26" w14:textId="77777777" w:rsidR="00531056" w:rsidRPr="00531056" w:rsidRDefault="00531056" w:rsidP="008106AB">
      <w:pPr>
        <w:spacing w:after="0" w:line="240" w:lineRule="auto"/>
        <w:rPr>
          <w:rFonts w:ascii="Verdana" w:eastAsia="Verdana" w:hAnsi="Verdana" w:cs="Verdana"/>
        </w:rPr>
      </w:pPr>
    </w:p>
    <w:p w14:paraId="2DF8F2E3" w14:textId="77777777" w:rsidR="008F07A1" w:rsidRPr="00AB0420" w:rsidRDefault="008F07A1" w:rsidP="00411B60">
      <w:pPr>
        <w:spacing w:after="0"/>
        <w:rPr>
          <w:rFonts w:ascii="Verdana" w:eastAsia="Verdana" w:hAnsi="Verdana" w:cs="Verdana"/>
        </w:rPr>
      </w:pPr>
    </w:p>
    <w:p w14:paraId="60AEEFF5" w14:textId="77777777" w:rsidR="008F07A1" w:rsidRPr="00AB0420" w:rsidRDefault="008F07A1" w:rsidP="00411B60">
      <w:pPr>
        <w:spacing w:after="0"/>
        <w:rPr>
          <w:rFonts w:ascii="Verdana" w:eastAsia="Verdana" w:hAnsi="Verdana" w:cs="Verdana"/>
        </w:rPr>
      </w:pPr>
    </w:p>
    <w:p w14:paraId="37F3ABCC" w14:textId="77777777" w:rsidR="008F07A1" w:rsidRPr="00AB0420" w:rsidRDefault="008F07A1" w:rsidP="00411B60">
      <w:pPr>
        <w:spacing w:after="0"/>
        <w:rPr>
          <w:rFonts w:ascii="Verdana" w:eastAsia="Verdana" w:hAnsi="Verdana" w:cs="Verdana"/>
        </w:rPr>
      </w:pPr>
    </w:p>
    <w:p w14:paraId="5394A785" w14:textId="77777777" w:rsidR="008F07A1" w:rsidRPr="00AB0420" w:rsidRDefault="008F07A1" w:rsidP="00411B60">
      <w:pPr>
        <w:spacing w:after="0"/>
        <w:rPr>
          <w:rFonts w:ascii="Verdana" w:eastAsia="Verdana" w:hAnsi="Verdana" w:cs="Verdana"/>
        </w:rPr>
      </w:pPr>
    </w:p>
    <w:p w14:paraId="4B519B57" w14:textId="77777777" w:rsidR="008F07A1" w:rsidRPr="00AB0420" w:rsidRDefault="008F07A1" w:rsidP="00411B60">
      <w:pPr>
        <w:spacing w:after="0"/>
        <w:rPr>
          <w:rFonts w:ascii="Verdana" w:eastAsia="Verdana" w:hAnsi="Verdana" w:cs="Verdana"/>
        </w:rPr>
      </w:pPr>
    </w:p>
    <w:p w14:paraId="552BB4E4" w14:textId="77777777" w:rsidR="008F07A1" w:rsidRPr="00AB0420" w:rsidRDefault="008F07A1" w:rsidP="00411B60">
      <w:pPr>
        <w:spacing w:after="0"/>
        <w:rPr>
          <w:rFonts w:ascii="Verdana" w:eastAsia="Verdana" w:hAnsi="Verdana" w:cs="Verdana"/>
        </w:rPr>
      </w:pPr>
    </w:p>
    <w:p w14:paraId="684E9407" w14:textId="77777777" w:rsidR="008F07A1" w:rsidRPr="00AB0420" w:rsidRDefault="008F07A1" w:rsidP="00411B60">
      <w:pPr>
        <w:spacing w:after="0"/>
        <w:rPr>
          <w:rFonts w:ascii="Verdana" w:eastAsia="Verdana" w:hAnsi="Verdana" w:cs="Verdana"/>
        </w:rPr>
      </w:pPr>
    </w:p>
    <w:p w14:paraId="57D45A26" w14:textId="77777777" w:rsidR="008F07A1" w:rsidRPr="00AB0420" w:rsidRDefault="008F07A1" w:rsidP="00411B60">
      <w:pPr>
        <w:spacing w:after="0"/>
        <w:rPr>
          <w:rFonts w:ascii="Verdana" w:eastAsia="Verdana" w:hAnsi="Verdana" w:cs="Verdana"/>
        </w:rPr>
      </w:pPr>
    </w:p>
    <w:p w14:paraId="12B3BFFF" w14:textId="77777777" w:rsidR="008F07A1" w:rsidRPr="00AB0420" w:rsidRDefault="008F07A1" w:rsidP="00411B60">
      <w:pPr>
        <w:spacing w:after="0"/>
        <w:rPr>
          <w:rFonts w:ascii="Verdana" w:eastAsia="Verdana" w:hAnsi="Verdana" w:cs="Verdana"/>
        </w:rPr>
      </w:pPr>
    </w:p>
    <w:p w14:paraId="71F9C5FA" w14:textId="77777777" w:rsidR="008F07A1" w:rsidRPr="00AB0420" w:rsidRDefault="008F07A1" w:rsidP="00411B60">
      <w:pPr>
        <w:spacing w:after="0"/>
        <w:rPr>
          <w:rFonts w:ascii="Verdana" w:eastAsia="Verdana" w:hAnsi="Verdana" w:cs="Verdana"/>
        </w:rPr>
      </w:pPr>
    </w:p>
    <w:p w14:paraId="56F03311" w14:textId="77777777" w:rsidR="008F07A1" w:rsidRPr="00AB0420" w:rsidRDefault="008F07A1" w:rsidP="00411B60">
      <w:pPr>
        <w:spacing w:after="0"/>
        <w:rPr>
          <w:rFonts w:ascii="Verdana" w:eastAsia="Verdana" w:hAnsi="Verdana" w:cs="Verdana"/>
        </w:rPr>
      </w:pPr>
    </w:p>
    <w:p w14:paraId="5E6D1F99" w14:textId="77777777" w:rsidR="008F07A1" w:rsidRPr="00AB0420" w:rsidRDefault="008F07A1" w:rsidP="00411B60">
      <w:pPr>
        <w:spacing w:after="0"/>
        <w:rPr>
          <w:rFonts w:ascii="Verdana" w:eastAsia="Verdana" w:hAnsi="Verdana" w:cs="Verdana"/>
        </w:rPr>
      </w:pPr>
    </w:p>
    <w:p w14:paraId="1C86F3C7" w14:textId="77777777" w:rsidR="008F07A1" w:rsidRPr="00AB0420" w:rsidRDefault="008F07A1" w:rsidP="00411B60">
      <w:pPr>
        <w:spacing w:after="0"/>
        <w:rPr>
          <w:rFonts w:ascii="Verdana" w:eastAsia="Verdana" w:hAnsi="Verdana" w:cs="Verdana"/>
        </w:rPr>
      </w:pPr>
    </w:p>
    <w:p w14:paraId="2020776F" w14:textId="77777777" w:rsidR="008F07A1" w:rsidRDefault="008F07A1" w:rsidP="00411B60">
      <w:pPr>
        <w:spacing w:after="0"/>
        <w:rPr>
          <w:rFonts w:ascii="Verdana" w:eastAsia="Verdana" w:hAnsi="Verdana" w:cs="Verdana"/>
        </w:rPr>
      </w:pPr>
    </w:p>
    <w:p w14:paraId="658EA11F" w14:textId="77777777" w:rsidR="00531056" w:rsidRDefault="00531056" w:rsidP="00411B60">
      <w:pPr>
        <w:spacing w:after="0"/>
        <w:rPr>
          <w:rFonts w:ascii="Verdana" w:eastAsia="Verdana" w:hAnsi="Verdana" w:cs="Verdana"/>
        </w:rPr>
      </w:pPr>
    </w:p>
    <w:p w14:paraId="373E0825" w14:textId="77777777" w:rsidR="00531056" w:rsidRDefault="00531056" w:rsidP="00411B60">
      <w:pPr>
        <w:spacing w:after="0"/>
        <w:rPr>
          <w:rFonts w:ascii="Verdana" w:eastAsia="Verdana" w:hAnsi="Verdana" w:cs="Verdana"/>
        </w:rPr>
      </w:pPr>
    </w:p>
    <w:p w14:paraId="4F665492" w14:textId="77777777" w:rsidR="00531056" w:rsidRDefault="00531056" w:rsidP="00411B60">
      <w:pPr>
        <w:spacing w:after="0"/>
        <w:rPr>
          <w:rFonts w:ascii="Verdana" w:eastAsia="Verdana" w:hAnsi="Verdana" w:cs="Verdana"/>
        </w:rPr>
      </w:pPr>
    </w:p>
    <w:p w14:paraId="2C769E6A" w14:textId="77777777" w:rsidR="00531056" w:rsidRDefault="00531056" w:rsidP="00411B60">
      <w:pPr>
        <w:spacing w:after="0"/>
        <w:rPr>
          <w:rFonts w:ascii="Verdana" w:eastAsia="Verdana" w:hAnsi="Verdana" w:cs="Verdana"/>
        </w:rPr>
      </w:pPr>
    </w:p>
    <w:p w14:paraId="53CEB7F4" w14:textId="77777777" w:rsidR="005554C7" w:rsidRDefault="005554C7" w:rsidP="00411B60">
      <w:pPr>
        <w:spacing w:after="0"/>
        <w:rPr>
          <w:rFonts w:ascii="Verdana" w:eastAsia="Verdana" w:hAnsi="Verdana" w:cs="Verdana"/>
        </w:rPr>
      </w:pPr>
    </w:p>
    <w:p w14:paraId="0BFBDA91" w14:textId="77777777" w:rsidR="005B6CDE" w:rsidRPr="00AB0420" w:rsidRDefault="005B6CDE" w:rsidP="00411B60">
      <w:pPr>
        <w:spacing w:after="0"/>
        <w:rPr>
          <w:rFonts w:ascii="Verdana" w:eastAsia="Verdana" w:hAnsi="Verdana" w:cs="Verdana"/>
        </w:rPr>
      </w:pPr>
    </w:p>
    <w:p w14:paraId="6EE785E1" w14:textId="77777777" w:rsidR="008F07A1" w:rsidRPr="00AB0420" w:rsidRDefault="008F07A1" w:rsidP="00411B60">
      <w:pPr>
        <w:spacing w:after="0"/>
        <w:rPr>
          <w:rFonts w:ascii="Verdana" w:eastAsia="Verdana" w:hAnsi="Verdana" w:cs="Verdana"/>
        </w:rPr>
      </w:pPr>
    </w:p>
    <w:p w14:paraId="0DE8F3A8" w14:textId="2AD977D1" w:rsidR="00411B60" w:rsidRDefault="00C15139" w:rsidP="00411B60">
      <w:pPr>
        <w:spacing w:after="0"/>
        <w:rPr>
          <w:rFonts w:ascii="Verdana" w:eastAsia="Verdana" w:hAnsi="Verdana" w:cs="Verdana"/>
        </w:rPr>
      </w:pPr>
      <w:r w:rsidRPr="00AB0420">
        <w:rPr>
          <w:rFonts w:ascii="Verdana" w:eastAsia="Verdana" w:hAnsi="Verdana" w:cs="Verdana"/>
        </w:rPr>
        <w:lastRenderedPageBreak/>
        <w:t xml:space="preserve">Bogotá D.C., </w:t>
      </w:r>
      <w:r w:rsidR="00917298">
        <w:rPr>
          <w:rFonts w:ascii="Verdana" w:eastAsia="Verdana" w:hAnsi="Verdana" w:cs="Verdana"/>
        </w:rPr>
        <w:t>06 de octubre del 2026</w:t>
      </w:r>
      <w:r w:rsidRPr="00AB0420">
        <w:rPr>
          <w:rFonts w:ascii="Verdana" w:hAnsi="Verdana"/>
        </w:rPr>
        <w:br/>
      </w:r>
    </w:p>
    <w:p w14:paraId="7EF2AFC2" w14:textId="73F5B904" w:rsidR="00917298" w:rsidRPr="00AB0420" w:rsidRDefault="00917298" w:rsidP="00917298">
      <w:pPr>
        <w:spacing w:after="0"/>
        <w:jc w:val="right"/>
        <w:rPr>
          <w:rFonts w:ascii="Verdana" w:eastAsia="Verdana" w:hAnsi="Verdana" w:cs="Verdana"/>
        </w:rPr>
      </w:pPr>
      <w:r w:rsidRPr="00917298">
        <w:rPr>
          <w:rFonts w:ascii="Verdana" w:eastAsia="Verdana" w:hAnsi="Verdana" w:cs="Verdana"/>
        </w:rPr>
        <w:drawing>
          <wp:inline distT="0" distB="0" distL="0" distR="0" wp14:anchorId="34C7B6FB" wp14:editId="6CC37DA5">
            <wp:extent cx="2514951" cy="714475"/>
            <wp:effectExtent l="0" t="0" r="0" b="9525"/>
            <wp:docPr id="69336644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366444" name=""/>
                    <pic:cNvPicPr/>
                  </pic:nvPicPr>
                  <pic:blipFill>
                    <a:blip r:embed="rId10"/>
                    <a:stretch>
                      <a:fillRect/>
                    </a:stretch>
                  </pic:blipFill>
                  <pic:spPr>
                    <a:xfrm>
                      <a:off x="0" y="0"/>
                      <a:ext cx="2514951" cy="714475"/>
                    </a:xfrm>
                    <a:prstGeom prst="rect">
                      <a:avLst/>
                    </a:prstGeom>
                  </pic:spPr>
                </pic:pic>
              </a:graphicData>
            </a:graphic>
          </wp:inline>
        </w:drawing>
      </w:r>
    </w:p>
    <w:p w14:paraId="07BEEB69" w14:textId="177C6AFE" w:rsidR="00411B60" w:rsidRPr="00AB0420" w:rsidRDefault="00411B60" w:rsidP="00411B60">
      <w:pPr>
        <w:spacing w:after="0"/>
        <w:rPr>
          <w:rFonts w:ascii="Verdana" w:eastAsia="Verdana" w:hAnsi="Verdana" w:cs="Verdana"/>
        </w:rPr>
      </w:pPr>
      <w:r w:rsidRPr="00AB0420">
        <w:rPr>
          <w:rFonts w:ascii="Verdana" w:eastAsia="Calibri" w:hAnsi="Verdana" w:cs="Arial"/>
          <w:lang w:val="es-ES" w:eastAsia="es-ES"/>
        </w:rPr>
        <w:t>Señor:</w:t>
      </w:r>
    </w:p>
    <w:p w14:paraId="4259CD0C" w14:textId="153441BA" w:rsidR="00411B60" w:rsidRPr="00AB0420" w:rsidRDefault="00BE5CCB" w:rsidP="00411B60">
      <w:pPr>
        <w:spacing w:after="0" w:line="240" w:lineRule="auto"/>
        <w:rPr>
          <w:rFonts w:ascii="Verdana" w:eastAsia="Calibri" w:hAnsi="Verdana" w:cs="Arial"/>
          <w:b/>
          <w:bCs/>
          <w:lang w:eastAsia="es-ES"/>
        </w:rPr>
      </w:pPr>
      <w:r w:rsidRPr="00AB0420">
        <w:rPr>
          <w:rFonts w:ascii="Verdana" w:eastAsia="Calibri" w:hAnsi="Verdana" w:cs="Arial"/>
          <w:b/>
          <w:bCs/>
          <w:lang w:eastAsia="es-ES"/>
        </w:rPr>
        <w:t>Juan Sebastián Olaya Perdomo</w:t>
      </w:r>
    </w:p>
    <w:p w14:paraId="6ACBEF22" w14:textId="5FAAD926" w:rsidR="00D95BDD" w:rsidRPr="00AB0420" w:rsidRDefault="00D95BDD" w:rsidP="00411B60">
      <w:pPr>
        <w:spacing w:after="0" w:line="240" w:lineRule="auto"/>
        <w:rPr>
          <w:rFonts w:ascii="Verdana" w:hAnsi="Verdana"/>
        </w:rPr>
      </w:pPr>
      <w:hyperlink r:id="rId11" w:history="1">
        <w:r w:rsidRPr="00AB0420">
          <w:rPr>
            <w:rStyle w:val="Hipervnculo"/>
            <w:rFonts w:ascii="Verdana" w:hAnsi="Verdana"/>
          </w:rPr>
          <w:t>juanseolaya@gmail.com</w:t>
        </w:r>
      </w:hyperlink>
    </w:p>
    <w:p w14:paraId="73BD7B02" w14:textId="77777777" w:rsidR="00411B60" w:rsidRPr="00AB0420" w:rsidRDefault="00411B60" w:rsidP="00411B60">
      <w:pPr>
        <w:spacing w:after="0" w:line="240" w:lineRule="auto"/>
        <w:rPr>
          <w:rFonts w:ascii="Verdana" w:eastAsia="Calibri" w:hAnsi="Verdana" w:cs="Arial"/>
          <w:lang w:val="es-ES_tradnl" w:eastAsia="es-ES"/>
        </w:rPr>
      </w:pPr>
      <w:r w:rsidRPr="00AB0420">
        <w:rPr>
          <w:rFonts w:ascii="Verdana" w:eastAsia="Calibri" w:hAnsi="Verdana" w:cs="Arial"/>
          <w:lang w:val="es-ES_tradnl" w:eastAsia="es-ES"/>
        </w:rPr>
        <w:t>Bogotá D.C.</w:t>
      </w:r>
    </w:p>
    <w:p w14:paraId="4724E873" w14:textId="77777777" w:rsidR="00411B60" w:rsidRPr="00AB0420" w:rsidRDefault="00411B60" w:rsidP="00411B60">
      <w:pPr>
        <w:spacing w:after="0" w:line="240" w:lineRule="auto"/>
        <w:rPr>
          <w:rFonts w:ascii="Verdana" w:eastAsia="Calibri" w:hAnsi="Verdana" w:cs="Arial"/>
          <w:b/>
          <w:bCs/>
          <w:highlight w:val="cyan"/>
          <w:lang w:val="es-ES_tradnl" w:eastAsia="es-ES_tradnl"/>
        </w:rPr>
      </w:pPr>
    </w:p>
    <w:p w14:paraId="6DF64CD4" w14:textId="216D78CC" w:rsidR="00411B60" w:rsidRPr="00AB0420" w:rsidRDefault="00411B60" w:rsidP="00411B60">
      <w:pPr>
        <w:spacing w:after="0" w:line="240" w:lineRule="auto"/>
        <w:rPr>
          <w:rFonts w:ascii="Verdana" w:eastAsia="Calibri" w:hAnsi="Verdana" w:cs="Arial"/>
          <w:b/>
          <w:bCs/>
          <w:lang w:val="es-ES_tradnl" w:eastAsia="es-ES_tradnl"/>
        </w:rPr>
      </w:pPr>
      <w:r w:rsidRPr="00AB0420">
        <w:rPr>
          <w:rFonts w:ascii="Verdana" w:eastAsia="Calibri" w:hAnsi="Verdana" w:cs="Arial"/>
          <w:b/>
          <w:bCs/>
          <w:lang w:val="es-ES_tradnl" w:eastAsia="es-ES_tradnl"/>
        </w:rPr>
        <w:t xml:space="preserve">                                   Concepto </w:t>
      </w:r>
      <w:r w:rsidR="007B118E" w:rsidRPr="00AB0420">
        <w:rPr>
          <w:rFonts w:ascii="Verdana" w:eastAsia="Calibri" w:hAnsi="Verdana" w:cs="Arial"/>
          <w:b/>
          <w:bCs/>
          <w:lang w:val="es-ES_tradnl" w:eastAsia="es-ES_tradnl"/>
        </w:rPr>
        <w:t>C-1377</w:t>
      </w:r>
      <w:r w:rsidRPr="00AB0420">
        <w:rPr>
          <w:rFonts w:ascii="Verdana" w:eastAsia="Calibri" w:hAnsi="Verdana" w:cs="Arial"/>
          <w:b/>
          <w:bCs/>
          <w:lang w:val="es-ES_tradnl" w:eastAsia="es-ES_tradnl"/>
        </w:rPr>
        <w:t xml:space="preserve"> del 2026</w:t>
      </w:r>
    </w:p>
    <w:p w14:paraId="1CEE650B" w14:textId="77777777" w:rsidR="00411B60" w:rsidRPr="00AB0420" w:rsidRDefault="00411B60" w:rsidP="00411B60">
      <w:pPr>
        <w:spacing w:after="0" w:line="240" w:lineRule="auto"/>
        <w:rPr>
          <w:rFonts w:ascii="Verdana" w:eastAsia="Calibri" w:hAnsi="Verdana" w:cs="Arial"/>
          <w:b/>
          <w:bCs/>
          <w:highlight w:val="cyan"/>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411B60" w:rsidRPr="00AB0420" w14:paraId="03B2C925" w14:textId="77777777" w:rsidTr="00544921">
        <w:trPr>
          <w:trHeight w:val="884"/>
        </w:trPr>
        <w:tc>
          <w:tcPr>
            <w:tcW w:w="2689" w:type="dxa"/>
          </w:tcPr>
          <w:p w14:paraId="00A70C93" w14:textId="77777777" w:rsidR="00411B60" w:rsidRPr="00AB0420" w:rsidRDefault="00411B60" w:rsidP="00544921">
            <w:pPr>
              <w:jc w:val="both"/>
              <w:rPr>
                <w:rFonts w:ascii="Verdana" w:eastAsia="Calibri" w:hAnsi="Verdana" w:cs="Arial"/>
                <w:lang w:val="es-ES_tradnl" w:eastAsia="es-ES_tradnl"/>
              </w:rPr>
            </w:pPr>
            <w:r w:rsidRPr="00AB0420">
              <w:rPr>
                <w:rFonts w:ascii="Verdana" w:eastAsia="Calibri" w:hAnsi="Verdana" w:cs="Arial"/>
                <w:b/>
                <w:lang w:val="es-ES_tradnl" w:eastAsia="es-ES_tradnl"/>
              </w:rPr>
              <w:t>Temas:</w:t>
            </w:r>
            <w:r w:rsidRPr="00AB0420">
              <w:rPr>
                <w:rFonts w:ascii="Verdana" w:eastAsia="Calibri" w:hAnsi="Verdana" w:cs="Arial"/>
                <w:lang w:val="es-ES_tradnl" w:eastAsia="es-ES_tradnl"/>
              </w:rPr>
              <w:t xml:space="preserve">                   </w:t>
            </w:r>
          </w:p>
        </w:tc>
        <w:tc>
          <w:tcPr>
            <w:tcW w:w="6100" w:type="dxa"/>
          </w:tcPr>
          <w:p w14:paraId="00461E16" w14:textId="60330B05" w:rsidR="00411B60" w:rsidRPr="00AB0420" w:rsidRDefault="008F07A1" w:rsidP="00544921">
            <w:pPr>
              <w:jc w:val="both"/>
              <w:rPr>
                <w:rFonts w:ascii="Verdana" w:eastAsia="Geomanist Light" w:hAnsi="Verdana" w:cs="Arial"/>
                <w:bCs/>
                <w:color w:val="000000" w:themeColor="text1"/>
                <w:lang w:val="es-MX"/>
              </w:rPr>
            </w:pPr>
            <w:r w:rsidRPr="00AB0420">
              <w:rPr>
                <w:rFonts w:ascii="Verdana" w:eastAsia="Geomanist Light" w:hAnsi="Verdana" w:cs="Arial"/>
                <w:bCs/>
                <w:color w:val="000000" w:themeColor="text1"/>
                <w:lang w:val="es-MX"/>
              </w:rPr>
              <w:t>DECRETO 092 DE 2017 – Finalidad – Clases de contratos / CONTRATACIÓN CON ESAL – Contrato de colaboración – Objeto – Alcance / CONTRATACIÓN CON ESAL – Convenios de asociación – Objeto – Alcance / DECRETO 092 DE 2017 – Criterios – Aplicación / DECRETO 092 DE 2017 – Normativa vigente</w:t>
            </w:r>
            <w:r w:rsidR="00030F8F">
              <w:rPr>
                <w:rFonts w:ascii="Verdana" w:eastAsia="Geomanist Light" w:hAnsi="Verdana" w:cs="Arial"/>
                <w:bCs/>
                <w:color w:val="000000" w:themeColor="text1"/>
                <w:lang w:val="es-MX"/>
              </w:rPr>
              <w:t xml:space="preserve"> / </w:t>
            </w:r>
            <w:r w:rsidR="00030F8F" w:rsidRPr="00030F8F">
              <w:rPr>
                <w:rFonts w:ascii="Verdana" w:eastAsia="Geomanist Light" w:hAnsi="Verdana" w:cs="Arial"/>
                <w:bCs/>
                <w:color w:val="000000" w:themeColor="text1"/>
                <w:lang w:val="es-MX"/>
              </w:rPr>
              <w:t>LEY 2069 DE 2020 – Criterios diferenciales – No aplicabilidad – Decreto 092 de 2017</w:t>
            </w:r>
          </w:p>
          <w:p w14:paraId="68B1AFD1" w14:textId="5A6BC548" w:rsidR="008F07A1" w:rsidRPr="00AB0420" w:rsidRDefault="008F07A1" w:rsidP="00544921">
            <w:pPr>
              <w:jc w:val="both"/>
              <w:rPr>
                <w:rFonts w:ascii="Verdana" w:eastAsia="Aptos" w:hAnsi="Verdana" w:cs="Times New Roman"/>
                <w:lang w:val="es-ES_tradnl"/>
              </w:rPr>
            </w:pPr>
          </w:p>
        </w:tc>
      </w:tr>
      <w:tr w:rsidR="00411B60" w:rsidRPr="00AB0420" w14:paraId="4AE644A4" w14:textId="77777777" w:rsidTr="00544921">
        <w:trPr>
          <w:trHeight w:val="342"/>
        </w:trPr>
        <w:tc>
          <w:tcPr>
            <w:tcW w:w="2689" w:type="dxa"/>
          </w:tcPr>
          <w:p w14:paraId="7CDB54EC" w14:textId="77777777" w:rsidR="00411B60" w:rsidRPr="00AB0420" w:rsidRDefault="00411B60" w:rsidP="00544921">
            <w:pPr>
              <w:jc w:val="both"/>
              <w:rPr>
                <w:rFonts w:ascii="Verdana" w:eastAsia="Calibri" w:hAnsi="Verdana" w:cs="Arial"/>
                <w:b/>
                <w:lang w:val="es-ES_tradnl" w:eastAsia="es-ES_tradnl"/>
              </w:rPr>
            </w:pPr>
            <w:r w:rsidRPr="00AB0420">
              <w:rPr>
                <w:rFonts w:ascii="Verdana" w:eastAsia="Calibri" w:hAnsi="Verdana" w:cs="Arial"/>
                <w:b/>
                <w:lang w:val="es-ES_tradnl" w:eastAsia="es-ES_tradnl"/>
              </w:rPr>
              <w:t>Radicación:</w:t>
            </w:r>
            <w:r w:rsidRPr="00AB0420">
              <w:rPr>
                <w:rFonts w:ascii="Verdana" w:eastAsia="Calibri" w:hAnsi="Verdana" w:cs="Arial"/>
                <w:lang w:val="es-ES_tradnl" w:eastAsia="es-ES_tradnl"/>
              </w:rPr>
              <w:t xml:space="preserve">               </w:t>
            </w:r>
          </w:p>
        </w:tc>
        <w:tc>
          <w:tcPr>
            <w:tcW w:w="6100" w:type="dxa"/>
          </w:tcPr>
          <w:p w14:paraId="0555E2B1" w14:textId="16CF615D" w:rsidR="00411B60" w:rsidRPr="00AB0420" w:rsidRDefault="00411B60" w:rsidP="00544921">
            <w:pPr>
              <w:jc w:val="both"/>
              <w:rPr>
                <w:rFonts w:ascii="Verdana" w:eastAsia="Calibri" w:hAnsi="Verdana" w:cs="Arial"/>
                <w:lang w:eastAsia="es-ES_tradnl"/>
              </w:rPr>
            </w:pPr>
            <w:r w:rsidRPr="00AB0420">
              <w:rPr>
                <w:rFonts w:ascii="Verdana" w:eastAsia="Calibri" w:hAnsi="Verdana" w:cs="Arial"/>
                <w:lang w:val="es-ES_tradnl" w:eastAsia="es-ES_tradnl"/>
              </w:rPr>
              <w:t>Respuesta a la consulta con radicado No.</w:t>
            </w:r>
            <w:r w:rsidRPr="00AB0420">
              <w:rPr>
                <w:rFonts w:ascii="Verdana" w:hAnsi="Verdana"/>
              </w:rPr>
              <w:t xml:space="preserve"> </w:t>
            </w:r>
            <w:r w:rsidR="0015675F" w:rsidRPr="00AB0420">
              <w:rPr>
                <w:rFonts w:ascii="Verdana" w:hAnsi="Verdana"/>
              </w:rPr>
              <w:t>1_2026_09_02_011669</w:t>
            </w:r>
          </w:p>
        </w:tc>
      </w:tr>
    </w:tbl>
    <w:p w14:paraId="7EE42516" w14:textId="77777777" w:rsidR="00411B60" w:rsidRPr="00AB0420" w:rsidRDefault="00411B60" w:rsidP="00411B60">
      <w:pPr>
        <w:spacing w:after="0" w:line="240" w:lineRule="auto"/>
        <w:jc w:val="both"/>
        <w:rPr>
          <w:rFonts w:ascii="Verdana" w:eastAsia="Calibri" w:hAnsi="Verdana" w:cs="Arial"/>
          <w:highlight w:val="cyan"/>
          <w:lang w:val="es-ES" w:eastAsia="es-ES"/>
        </w:rPr>
      </w:pPr>
    </w:p>
    <w:p w14:paraId="116FB136" w14:textId="182C9274" w:rsidR="00411B60" w:rsidRPr="00AB0420" w:rsidRDefault="00411B60" w:rsidP="00411B60">
      <w:pPr>
        <w:spacing w:after="0" w:line="276" w:lineRule="auto"/>
        <w:jc w:val="both"/>
        <w:rPr>
          <w:rFonts w:ascii="Verdana" w:eastAsia="Calibri" w:hAnsi="Verdana" w:cs="Arial"/>
          <w:lang w:val="es-ES" w:eastAsia="es-ES"/>
        </w:rPr>
      </w:pPr>
      <w:r w:rsidRPr="00AB0420">
        <w:rPr>
          <w:rFonts w:ascii="Verdana" w:eastAsia="Calibri" w:hAnsi="Verdana" w:cs="Arial"/>
          <w:lang w:val="es-ES" w:eastAsia="es-ES"/>
        </w:rPr>
        <w:t>Estimad</w:t>
      </w:r>
      <w:r w:rsidR="00D709E5" w:rsidRPr="00AB0420">
        <w:rPr>
          <w:rFonts w:ascii="Verdana" w:eastAsia="Calibri" w:hAnsi="Verdana" w:cs="Arial"/>
          <w:lang w:val="es-ES" w:eastAsia="es-ES"/>
        </w:rPr>
        <w:t>o</w:t>
      </w:r>
      <w:r w:rsidRPr="00AB0420">
        <w:rPr>
          <w:rFonts w:ascii="Verdana" w:eastAsia="Calibri" w:hAnsi="Verdana" w:cs="Arial"/>
          <w:lang w:val="es-ES" w:eastAsia="es-ES"/>
        </w:rPr>
        <w:t xml:space="preserve"> señor </w:t>
      </w:r>
      <w:r w:rsidR="00D709E5" w:rsidRPr="00AB0420">
        <w:rPr>
          <w:rFonts w:ascii="Verdana" w:eastAsia="Calibri" w:hAnsi="Verdana" w:cs="Arial"/>
          <w:lang w:eastAsia="es-ES"/>
        </w:rPr>
        <w:t>Olaya Perdomo</w:t>
      </w:r>
      <w:r w:rsidRPr="00AB0420">
        <w:rPr>
          <w:rFonts w:ascii="Verdana" w:eastAsia="Calibri" w:hAnsi="Verdana" w:cs="Arial"/>
          <w:lang w:val="es-ES" w:eastAsia="es-ES"/>
        </w:rPr>
        <w:t xml:space="preserve">: </w:t>
      </w:r>
    </w:p>
    <w:p w14:paraId="04EE0D9B" w14:textId="77777777" w:rsidR="00411B60" w:rsidRPr="00AB0420" w:rsidRDefault="00411B60" w:rsidP="00411B60">
      <w:pPr>
        <w:spacing w:after="0" w:line="276" w:lineRule="auto"/>
        <w:rPr>
          <w:rFonts w:ascii="Verdana" w:eastAsia="Times New Roman" w:hAnsi="Verdana" w:cs="Segoe UI"/>
          <w:highlight w:val="cyan"/>
          <w:lang w:eastAsia="es-CO"/>
        </w:rPr>
      </w:pPr>
    </w:p>
    <w:p w14:paraId="3B8CB47F" w14:textId="43E7755E" w:rsidR="00411B60" w:rsidRPr="00AB0420" w:rsidRDefault="00411B60" w:rsidP="00411B60">
      <w:pPr>
        <w:spacing w:after="0" w:line="276" w:lineRule="auto"/>
        <w:jc w:val="both"/>
        <w:rPr>
          <w:rFonts w:ascii="Verdana" w:eastAsia="Calibri" w:hAnsi="Verdana" w:cs="Arial"/>
          <w:lang w:val="es-ES" w:eastAsia="es-ES"/>
        </w:rPr>
      </w:pPr>
      <w:r w:rsidRPr="00AB0420">
        <w:rPr>
          <w:rFonts w:ascii="Verdana" w:eastAsia="Calibri" w:hAnsi="Verdana" w:cs="Arial"/>
          <w:lang w:val="es-ES" w:eastAsia="es-ES"/>
        </w:rPr>
        <w:t>En ejercicio de la competencia otorgada por los artículos 3, numeral 5º, y 11, numeral 8º, del Decreto Ley 4170 de 2011,</w:t>
      </w:r>
      <w:r w:rsidRPr="00AB0420">
        <w:rPr>
          <w:rFonts w:ascii="Verdana" w:eastAsia="Arial MT" w:hAnsi="Verdana" w:cs="Arial"/>
          <w:lang w:val="es-ES" w:eastAsia="es-ES"/>
        </w:rPr>
        <w:t xml:space="preserve"> </w:t>
      </w:r>
      <w:r w:rsidRPr="00AB0420">
        <w:rPr>
          <w:rFonts w:ascii="Verdana" w:hAnsi="Verdana" w:cs="Arial"/>
        </w:rPr>
        <w:t xml:space="preserve">así como lo establecido en el artículo 4 de la Resolución 1707 de 2018 expedida por esta Entidad, </w:t>
      </w:r>
      <w:r w:rsidRPr="00AB0420">
        <w:rPr>
          <w:rFonts w:ascii="Verdana" w:eastAsia="Calibri" w:hAnsi="Verdana" w:cs="Arial"/>
          <w:lang w:val="es-ES" w:eastAsia="es-ES"/>
        </w:rPr>
        <w:t xml:space="preserve">la Agencia Nacional de Contratación Pública – Colombia Compra Eficiente– responde su solicitud radicada el </w:t>
      </w:r>
      <w:r w:rsidR="006E0BE5" w:rsidRPr="00AB0420">
        <w:rPr>
          <w:rFonts w:ascii="Verdana" w:eastAsia="Calibri" w:hAnsi="Verdana" w:cs="Arial"/>
          <w:lang w:val="es-ES" w:eastAsia="es-ES"/>
        </w:rPr>
        <w:t>02 de septiembre del 2026</w:t>
      </w:r>
      <w:r w:rsidRPr="00AB0420">
        <w:rPr>
          <w:rFonts w:ascii="Verdana" w:eastAsia="Calibri" w:hAnsi="Verdana" w:cs="Arial"/>
          <w:lang w:val="es-ES" w:eastAsia="es-ES"/>
        </w:rPr>
        <w:t xml:space="preserve">, en la cual manifiesta lo siguiente: </w:t>
      </w:r>
    </w:p>
    <w:p w14:paraId="1FF54707" w14:textId="77777777" w:rsidR="00411B60" w:rsidRPr="00AB0420" w:rsidRDefault="00411B60" w:rsidP="00411B60">
      <w:pPr>
        <w:spacing w:after="0" w:line="276" w:lineRule="auto"/>
        <w:jc w:val="both"/>
        <w:rPr>
          <w:rFonts w:ascii="Verdana" w:eastAsia="Calibri" w:hAnsi="Verdana" w:cs="Arial"/>
          <w:highlight w:val="cyan"/>
          <w:lang w:val="es-ES" w:eastAsia="es-ES"/>
        </w:rPr>
      </w:pPr>
    </w:p>
    <w:p w14:paraId="55FC3657" w14:textId="77777777" w:rsidR="004F69A9" w:rsidRPr="00AB0420" w:rsidRDefault="00411B60" w:rsidP="00F61BE3">
      <w:pPr>
        <w:spacing w:after="0" w:line="240" w:lineRule="auto"/>
        <w:ind w:left="709" w:right="709"/>
        <w:jc w:val="both"/>
        <w:rPr>
          <w:rFonts w:ascii="Verdana" w:eastAsia="Century Gothic" w:hAnsi="Verdana" w:cs="Arial"/>
          <w:sz w:val="20"/>
          <w:szCs w:val="20"/>
          <w:lang w:val="es-ES"/>
        </w:rPr>
      </w:pPr>
      <w:r w:rsidRPr="00AB0420">
        <w:rPr>
          <w:rFonts w:ascii="Verdana" w:eastAsia="Century Gothic" w:hAnsi="Verdana" w:cs="Arial"/>
          <w:sz w:val="20"/>
          <w:szCs w:val="20"/>
          <w:lang w:val="es-ES"/>
        </w:rPr>
        <w:t xml:space="preserve">“[…] </w:t>
      </w:r>
      <w:r w:rsidR="00F61BE3" w:rsidRPr="00AB0420">
        <w:rPr>
          <w:rFonts w:ascii="Verdana" w:eastAsia="Century Gothic" w:hAnsi="Verdana" w:cs="Arial"/>
          <w:sz w:val="20"/>
          <w:szCs w:val="20"/>
        </w:rPr>
        <w:t>El artículo 4 del Decreto 092 de 2017 dispone que, cuando exista más de una entidad privada sin ánimo de lucro que pueda ejecutar el proyecto, la Entidad Estatal debe seleccionar mediante un proceso competitivo, definiendo los indicadores y los criterios de ponderación de las ofertas. A su vez, los artículos 2.2.1.2.4.2.7.3 y 2.2.1.2.4.2.15 del Decreto 1082 de 2015, adicionados por el Decreto 1860 de 2021 en desarrollo de la Ley 2069 de 2020, consagran criterios diferenciales en favor de los emprendimientos y empresas de personas con discapacidad y de mujeres.</w:t>
      </w:r>
      <w:r w:rsidR="00F61BE3" w:rsidRPr="00AB0420">
        <w:rPr>
          <w:rFonts w:ascii="Verdana" w:eastAsia="Century Gothic" w:hAnsi="Verdana" w:cs="Arial"/>
          <w:sz w:val="20"/>
          <w:szCs w:val="20"/>
          <w:lang w:val="es-ES"/>
        </w:rPr>
        <w:t xml:space="preserve"> </w:t>
      </w:r>
    </w:p>
    <w:p w14:paraId="4F352064" w14:textId="77777777" w:rsidR="004F69A9" w:rsidRPr="00AB0420" w:rsidRDefault="004F69A9" w:rsidP="00F61BE3">
      <w:pPr>
        <w:spacing w:after="0" w:line="240" w:lineRule="auto"/>
        <w:ind w:left="709" w:right="709"/>
        <w:jc w:val="both"/>
        <w:rPr>
          <w:rFonts w:ascii="Verdana" w:eastAsia="Century Gothic" w:hAnsi="Verdana" w:cs="Arial"/>
          <w:sz w:val="20"/>
          <w:szCs w:val="20"/>
          <w:lang w:val="es-ES"/>
        </w:rPr>
      </w:pPr>
    </w:p>
    <w:p w14:paraId="1254FE25" w14:textId="0E9F61BE" w:rsidR="00411B60" w:rsidRPr="00AB0420" w:rsidRDefault="004F69A9" w:rsidP="00F61BE3">
      <w:pPr>
        <w:spacing w:after="0" w:line="240" w:lineRule="auto"/>
        <w:ind w:left="709" w:right="709"/>
        <w:jc w:val="both"/>
        <w:rPr>
          <w:rFonts w:ascii="Verdana" w:eastAsia="Century Gothic" w:hAnsi="Verdana" w:cs="Arial"/>
          <w:sz w:val="20"/>
          <w:szCs w:val="20"/>
        </w:rPr>
      </w:pPr>
      <w:r w:rsidRPr="00AB0420">
        <w:rPr>
          <w:rFonts w:ascii="Verdana" w:eastAsia="Century Gothic" w:hAnsi="Verdana" w:cs="Arial"/>
          <w:sz w:val="20"/>
          <w:szCs w:val="20"/>
        </w:rPr>
        <w:t>Se consulta: 1. ¿Son de aplicación obligatoria estos criterios diferenciales en el proceso competitivo del Decreto 092 de 2017? 2. De no serlo, ¿puede la Entidad Estatal incorporarlos facultativamente como criterios habilitantes o de ponderación? 3. ¿Incide en la respuesta que la Ley 2069 de 2020 aluda al sistema de compras públicas y no solo al EGCAP?:</w:t>
      </w:r>
      <w:r w:rsidRPr="00AB0420">
        <w:rPr>
          <w:rFonts w:ascii="Verdana" w:eastAsia="Century Gothic" w:hAnsi="Verdana" w:cs="Arial"/>
          <w:sz w:val="20"/>
          <w:szCs w:val="20"/>
          <w:lang w:val="es-ES"/>
        </w:rPr>
        <w:t xml:space="preserve"> </w:t>
      </w:r>
      <w:r w:rsidR="00411B60" w:rsidRPr="00AB0420">
        <w:rPr>
          <w:rFonts w:ascii="Verdana" w:eastAsia="Century Gothic" w:hAnsi="Verdana" w:cs="Arial"/>
          <w:sz w:val="20"/>
          <w:szCs w:val="20"/>
          <w:lang w:val="es-ES"/>
        </w:rPr>
        <w:t>[…]”</w:t>
      </w:r>
    </w:p>
    <w:p w14:paraId="61A67FD2" w14:textId="77777777" w:rsidR="00411B60" w:rsidRPr="00AB0420" w:rsidRDefault="00411B60" w:rsidP="00411B60">
      <w:pPr>
        <w:spacing w:after="0" w:line="240" w:lineRule="auto"/>
        <w:ind w:left="709" w:right="709"/>
        <w:jc w:val="both"/>
        <w:rPr>
          <w:rFonts w:ascii="Verdana" w:eastAsia="Century Gothic" w:hAnsi="Verdana" w:cs="Arial"/>
          <w:sz w:val="20"/>
          <w:szCs w:val="20"/>
          <w:highlight w:val="cyan"/>
        </w:rPr>
      </w:pPr>
    </w:p>
    <w:p w14:paraId="4B8285D6" w14:textId="77777777" w:rsidR="00411B60" w:rsidRPr="00AB0420" w:rsidRDefault="00411B60" w:rsidP="00411B60">
      <w:pPr>
        <w:spacing w:after="120" w:line="276" w:lineRule="auto"/>
        <w:ind w:firstLine="709"/>
        <w:jc w:val="both"/>
        <w:rPr>
          <w:rFonts w:ascii="Verdana" w:eastAsia="Calibri" w:hAnsi="Verdana" w:cs="Arial"/>
          <w:lang w:val="es-ES_tradnl" w:eastAsia="es-ES_tradnl"/>
        </w:rPr>
      </w:pPr>
      <w:r w:rsidRPr="00AB0420">
        <w:rPr>
          <w:rFonts w:ascii="Verdana" w:eastAsia="Calibri" w:hAnsi="Verdana" w:cs="Arial"/>
          <w:lang w:val="es-ES" w:eastAsia="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w:t>
      </w:r>
    </w:p>
    <w:p w14:paraId="695547D1" w14:textId="77777777" w:rsidR="00411B60" w:rsidRPr="00AB0420" w:rsidRDefault="00411B60" w:rsidP="00411B60">
      <w:pPr>
        <w:spacing w:after="0" w:line="276" w:lineRule="auto"/>
        <w:ind w:firstLine="709"/>
        <w:jc w:val="both"/>
        <w:rPr>
          <w:rFonts w:ascii="Verdana" w:eastAsia="Calibri" w:hAnsi="Verdana" w:cs="Arial"/>
          <w:lang w:val="es-ES" w:eastAsia="es-ES"/>
        </w:rPr>
      </w:pPr>
      <w:r w:rsidRPr="00AB0420">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0173879B" w14:textId="77777777" w:rsidR="003C7A90" w:rsidRPr="00AB0420" w:rsidRDefault="003C7A90" w:rsidP="00411B60">
      <w:pPr>
        <w:spacing w:after="0" w:line="276" w:lineRule="auto"/>
        <w:jc w:val="both"/>
        <w:rPr>
          <w:rStyle w:val="Hipervnculo"/>
          <w:rFonts w:ascii="Verdana" w:hAnsi="Verdana"/>
          <w:color w:val="auto"/>
          <w:u w:val="none"/>
          <w:lang w:val="es-ES"/>
        </w:rPr>
      </w:pPr>
    </w:p>
    <w:p w14:paraId="30E82A76" w14:textId="77777777" w:rsidR="00411B60" w:rsidRPr="00AB0420" w:rsidRDefault="00411B60" w:rsidP="00411B60">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Arial"/>
          <w:b/>
          <w:bCs/>
        </w:rPr>
      </w:pPr>
      <w:r w:rsidRPr="00AB0420">
        <w:rPr>
          <w:rFonts w:ascii="Verdana" w:eastAsia="Century Gothic" w:hAnsi="Verdana" w:cs="Arial"/>
          <w:b/>
          <w:bCs/>
        </w:rPr>
        <w:t>Problemas planteados:</w:t>
      </w:r>
    </w:p>
    <w:p w14:paraId="55B1D0ED" w14:textId="77777777" w:rsidR="00411B60" w:rsidRPr="00AB0420" w:rsidRDefault="00411B60" w:rsidP="00411B60">
      <w:pPr>
        <w:spacing w:after="0" w:line="276" w:lineRule="auto"/>
        <w:jc w:val="both"/>
        <w:rPr>
          <w:rStyle w:val="Hipervnculo"/>
          <w:rFonts w:ascii="Verdana" w:hAnsi="Verdana" w:cs="Arial"/>
          <w:color w:val="auto"/>
          <w:highlight w:val="cyan"/>
        </w:rPr>
      </w:pPr>
    </w:p>
    <w:p w14:paraId="2948321F" w14:textId="19473BE7" w:rsidR="00736267" w:rsidRPr="00AB0420" w:rsidRDefault="00736267" w:rsidP="00411B60">
      <w:pPr>
        <w:spacing w:line="276" w:lineRule="auto"/>
        <w:jc w:val="both"/>
        <w:rPr>
          <w:rStyle w:val="Hipervnculo"/>
          <w:rFonts w:ascii="Verdana" w:hAnsi="Verdana" w:cs="Arial"/>
          <w:color w:val="auto"/>
          <w:u w:val="none"/>
        </w:rPr>
      </w:pPr>
      <w:r w:rsidRPr="00AB0420">
        <w:rPr>
          <w:rFonts w:ascii="Verdana" w:eastAsia="Calibri" w:hAnsi="Verdana" w:cs="Times New Roman"/>
        </w:rPr>
        <w:t xml:space="preserve">De acuerdo con el contenido de su solicitud, la Agencia procede a resolver los siguientes problemas jurídicos: i) ¿Resultan obligatorios, en los procesos competitivos regulados por el artículo 4 del Decreto 092 de 2017, los criterios diferenciales previstos, por una parte, para emprendimientos y empresas de mujeres y, por otra, para emprendimientos y empresas de personas con discapacidad?; </w:t>
      </w:r>
      <w:proofErr w:type="spellStart"/>
      <w:r w:rsidRPr="00AB0420">
        <w:rPr>
          <w:rFonts w:ascii="Verdana" w:eastAsia="Calibri" w:hAnsi="Verdana" w:cs="Times New Roman"/>
        </w:rPr>
        <w:t>ii</w:t>
      </w:r>
      <w:proofErr w:type="spellEnd"/>
      <w:r w:rsidRPr="00AB0420">
        <w:rPr>
          <w:rFonts w:ascii="Verdana" w:eastAsia="Calibri" w:hAnsi="Verdana" w:cs="Times New Roman"/>
        </w:rPr>
        <w:t xml:space="preserve">) En caso de no resultar obligatorios, ¿puede la entidad incorporar criterios relacionados con estas poblaciones dentro de los indicadores o criterios de ponderación propios del proceso competitivo, atendiendo a su </w:t>
      </w:r>
      <w:r w:rsidRPr="00AB0420">
        <w:rPr>
          <w:rFonts w:ascii="Verdana" w:eastAsia="Calibri" w:hAnsi="Verdana" w:cs="Times New Roman"/>
        </w:rPr>
        <w:lastRenderedPageBreak/>
        <w:t xml:space="preserve">objeto y a la idoneidad de la ESAL?; y </w:t>
      </w:r>
      <w:proofErr w:type="spellStart"/>
      <w:r w:rsidRPr="00AB0420">
        <w:rPr>
          <w:rFonts w:ascii="Verdana" w:eastAsia="Calibri" w:hAnsi="Verdana" w:cs="Times New Roman"/>
        </w:rPr>
        <w:t>iii</w:t>
      </w:r>
      <w:proofErr w:type="spellEnd"/>
      <w:r w:rsidRPr="00AB0420">
        <w:rPr>
          <w:rFonts w:ascii="Verdana" w:eastAsia="Calibri" w:hAnsi="Verdana" w:cs="Times New Roman"/>
        </w:rPr>
        <w:t>) ¿La referencia que hace la Ley 2069 de 2020 al "Sistema de Compras Públicas", y no únicamente al Estatuto General de Contratación de la Administración Pública (EGCAP), modifica el ámbito de aplicación de dichas medidas?</w:t>
      </w:r>
    </w:p>
    <w:p w14:paraId="67F3AAE9" w14:textId="77777777" w:rsidR="00411B60" w:rsidRPr="00AB0420" w:rsidRDefault="00411B60" w:rsidP="00411B60">
      <w:pPr>
        <w:pStyle w:val="Prrafodelista"/>
        <w:widowControl w:val="0"/>
        <w:numPr>
          <w:ilvl w:val="0"/>
          <w:numId w:val="16"/>
        </w:numPr>
        <w:autoSpaceDE w:val="0"/>
        <w:autoSpaceDN w:val="0"/>
        <w:spacing w:after="0" w:line="276" w:lineRule="auto"/>
        <w:ind w:left="360"/>
        <w:contextualSpacing w:val="0"/>
        <w:jc w:val="both"/>
        <w:outlineLvl w:val="0"/>
        <w:rPr>
          <w:rFonts w:ascii="Verdana" w:eastAsia="Arial" w:hAnsi="Verdana" w:cs="Arial"/>
          <w:b/>
          <w:bCs/>
        </w:rPr>
      </w:pPr>
      <w:r w:rsidRPr="00AB0420">
        <w:rPr>
          <w:rFonts w:ascii="Verdana" w:eastAsia="Arial" w:hAnsi="Verdana" w:cs="Arial"/>
          <w:b/>
          <w:bCs/>
        </w:rPr>
        <w:t>Respuesta:</w:t>
      </w:r>
    </w:p>
    <w:p w14:paraId="09F099F8" w14:textId="77777777" w:rsidR="00411B60" w:rsidRPr="00AB0420" w:rsidRDefault="00411B60" w:rsidP="00411B60">
      <w:pPr>
        <w:spacing w:after="0" w:line="240" w:lineRule="auto"/>
        <w:jc w:val="both"/>
        <w:rPr>
          <w:rFonts w:ascii="Verdana" w:eastAsia="Verdana" w:hAnsi="Verdana" w:cs="Verdana"/>
          <w:highlight w:val="cyan"/>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411B60" w:rsidRPr="00AB0420" w14:paraId="54D9A179" w14:textId="77777777" w:rsidTr="00544921">
        <w:tc>
          <w:tcPr>
            <w:tcW w:w="8828" w:type="dxa"/>
          </w:tcPr>
          <w:p w14:paraId="6E4F7317" w14:textId="77777777" w:rsidR="00411B60" w:rsidRPr="00AB0420" w:rsidRDefault="00411B60" w:rsidP="00544921">
            <w:pPr>
              <w:spacing w:after="120" w:line="276" w:lineRule="auto"/>
              <w:jc w:val="both"/>
              <w:rPr>
                <w:rFonts w:ascii="Verdana" w:hAnsi="Verdana" w:cs="Arial"/>
              </w:rPr>
            </w:pPr>
            <w:bookmarkStart w:id="2" w:name="_Hlk171067516"/>
            <w:r w:rsidRPr="00AB0420">
              <w:rPr>
                <w:rFonts w:ascii="Verdana" w:hAnsi="Verdana" w:cs="Arial"/>
              </w:rPr>
              <w:t>En respuesta a los problemas antes planteados esta Subdirección manifiesta lo siguiente:</w:t>
            </w:r>
          </w:p>
          <w:p w14:paraId="5FA09400" w14:textId="14279476" w:rsidR="008D70D2" w:rsidRPr="00AB0420" w:rsidRDefault="00AF5433" w:rsidP="008D70D2">
            <w:pPr>
              <w:spacing w:after="120" w:line="276" w:lineRule="auto"/>
              <w:jc w:val="both"/>
              <w:rPr>
                <w:rFonts w:ascii="Verdana" w:hAnsi="Verdana" w:cs="Arial"/>
                <w:bCs/>
              </w:rPr>
            </w:pPr>
            <w:r w:rsidRPr="00AB0420">
              <w:rPr>
                <w:rFonts w:ascii="Verdana" w:hAnsi="Verdana" w:cs="Arial"/>
                <w:bCs/>
              </w:rPr>
              <w:t xml:space="preserve">i) </w:t>
            </w:r>
            <w:r w:rsidR="00D456A3" w:rsidRPr="00AB0420">
              <w:rPr>
                <w:rFonts w:ascii="Verdana" w:hAnsi="Verdana" w:cs="Arial"/>
                <w:bCs/>
              </w:rPr>
              <w:t xml:space="preserve">En </w:t>
            </w:r>
            <w:r w:rsidR="00D456A3" w:rsidRPr="00AB0420">
              <w:rPr>
                <w:rFonts w:ascii="Verdana" w:hAnsi="Verdana" w:cs="Arial"/>
                <w:bCs/>
                <w:i/>
                <w:iCs/>
              </w:rPr>
              <w:t>primer lugar</w:t>
            </w:r>
            <w:r w:rsidR="001C499B" w:rsidRPr="00AB0420">
              <w:rPr>
                <w:rFonts w:ascii="Verdana" w:hAnsi="Verdana" w:cs="Arial"/>
                <w:bCs/>
              </w:rPr>
              <w:t xml:space="preserve">, conviene precisar que el Decreto 092 de 2017 </w:t>
            </w:r>
            <w:r w:rsidR="00D80833" w:rsidRPr="00AB0420">
              <w:rPr>
                <w:rFonts w:ascii="Verdana" w:hAnsi="Verdana" w:cs="Arial"/>
                <w:bCs/>
              </w:rPr>
              <w:t>no remite a las modalidades de selección del EGCAP. Establece un mecanismo propio de escogencia: el proceso competitivo regulado en su artículo 4. El reglamento dio a las Entidades Estatales un alto grado de discrecionalidad para diseñar ese proceso, con sujeción a los principios de libre concurrencia, pluralidad de interesados y comparación objetiva de las propuestas. Que no exista una regulación detallada no significa que haya un vacío normativo que deba llenarse automáticamente con las reglas del EGCAP. Significa que el reglamento quiso que cada Entidad estructurara el proceso.</w:t>
            </w:r>
          </w:p>
          <w:p w14:paraId="129978B4" w14:textId="77777777" w:rsidR="00FA16A8" w:rsidRPr="00AB0420" w:rsidRDefault="00FA16A8" w:rsidP="00FA16A8">
            <w:pPr>
              <w:spacing w:after="120" w:line="276" w:lineRule="auto"/>
              <w:ind w:firstLine="737"/>
              <w:jc w:val="both"/>
              <w:rPr>
                <w:rFonts w:ascii="Verdana" w:hAnsi="Verdana" w:cs="Arial"/>
                <w:bCs/>
              </w:rPr>
            </w:pPr>
            <w:r w:rsidRPr="00AB0420">
              <w:rPr>
                <w:rFonts w:ascii="Verdana" w:hAnsi="Verdana" w:cs="Arial"/>
                <w:bCs/>
              </w:rPr>
              <w:t>Para resolver la consulta hay que considerar la naturaleza de los negocios jurídicos que regula el Decreto 092 de 2017. Los contratos de colaboración del artículo 355 de la Constitución buscan impulsar programas y actividades de interés público acordes con los planes de desarrollo. No generan una contraprestación directa para la Entidad ni una relación conmutativa con la ESAL. Los convenios de asociación del artículo 96 de la Ley 489 de 1998 buscan desarrollar de forma conjunta actividades relacionadas con las funciones de la Entidad. Como lo ha señalado esta Agencia, estos negocios son esencialmente distintos a los contratos para adquirir bienes, obras o servicios regulados por el EGCAP y, por lo tanto, no hacen parte del sistema de compra pública. Por eso, cuando la Entidad adquiere un bien, obra o servicio en un contrato conmutativo con una ESAL, debe aplicar las Leyes 80 de 1993 y 1150 de 2007, y no el Decreto 092 de 2017.</w:t>
            </w:r>
          </w:p>
          <w:p w14:paraId="719A1AB3" w14:textId="77777777" w:rsidR="00FA16A8" w:rsidRPr="00AB0420" w:rsidRDefault="00FA16A8" w:rsidP="00FA16A8">
            <w:pPr>
              <w:spacing w:after="120" w:line="276" w:lineRule="auto"/>
              <w:ind w:firstLine="737"/>
              <w:jc w:val="both"/>
              <w:rPr>
                <w:rFonts w:ascii="Verdana" w:hAnsi="Verdana" w:cs="Arial"/>
                <w:bCs/>
              </w:rPr>
            </w:pPr>
            <w:r w:rsidRPr="00AB0420">
              <w:rPr>
                <w:rFonts w:ascii="Verdana" w:hAnsi="Verdana" w:cs="Arial"/>
                <w:bCs/>
              </w:rPr>
              <w:t>A partir de esta premisa, se analiza cada régimen diferencial por separado:</w:t>
            </w:r>
          </w:p>
          <w:p w14:paraId="68DBC512" w14:textId="23E223BF" w:rsidR="002401C5" w:rsidRPr="00AB0420" w:rsidRDefault="00C2023B" w:rsidP="002401C5">
            <w:pPr>
              <w:spacing w:after="120" w:line="276" w:lineRule="auto"/>
              <w:ind w:firstLine="737"/>
              <w:jc w:val="both"/>
              <w:rPr>
                <w:rFonts w:ascii="Verdana" w:hAnsi="Verdana"/>
              </w:rPr>
            </w:pPr>
            <w:r w:rsidRPr="00AB0420">
              <w:rPr>
                <w:rFonts w:ascii="Verdana" w:hAnsi="Verdana"/>
              </w:rPr>
              <w:t xml:space="preserve">a) </w:t>
            </w:r>
            <w:r w:rsidR="002401C5" w:rsidRPr="00997603">
              <w:rPr>
                <w:rFonts w:ascii="Verdana" w:hAnsi="Verdana"/>
                <w:b/>
                <w:bCs/>
              </w:rPr>
              <w:t>Emprendimientos y empresas de mujeres</w:t>
            </w:r>
            <w:r w:rsidR="00181743" w:rsidRPr="00997603">
              <w:rPr>
                <w:rFonts w:ascii="Verdana" w:hAnsi="Verdana"/>
                <w:b/>
                <w:bCs/>
              </w:rPr>
              <w:t>:</w:t>
            </w:r>
            <w:r w:rsidR="002401C5" w:rsidRPr="00AB0420">
              <w:rPr>
                <w:rFonts w:ascii="Verdana" w:hAnsi="Verdana"/>
              </w:rPr>
              <w:t xml:space="preserve"> El artículo 32 de la Ley 2069 de 2020 y el artículo 2.2.1.2.4.2.15 del Decreto 1082 de 2015, </w:t>
            </w:r>
            <w:r w:rsidR="002401C5" w:rsidRPr="00AB0420">
              <w:rPr>
                <w:rFonts w:ascii="Verdana" w:hAnsi="Verdana"/>
              </w:rPr>
              <w:lastRenderedPageBreak/>
              <w:t>adicionado por el artículo 3 del Decreto 1860 de 2021, definen dónde se aplican los requisitos habilitantes diferenciales y los puntajes adicionales para estos emprendimientos y empresas. Según esas normas, se aplican en:</w:t>
            </w:r>
          </w:p>
          <w:p w14:paraId="52242086" w14:textId="77777777" w:rsidR="002401C5" w:rsidRPr="00AB0420" w:rsidRDefault="002401C5" w:rsidP="002401C5">
            <w:pPr>
              <w:numPr>
                <w:ilvl w:val="0"/>
                <w:numId w:val="21"/>
              </w:numPr>
              <w:spacing w:after="120" w:line="276" w:lineRule="auto"/>
              <w:jc w:val="both"/>
              <w:rPr>
                <w:rFonts w:ascii="Verdana" w:hAnsi="Verdana"/>
              </w:rPr>
            </w:pPr>
            <w:r w:rsidRPr="00AB0420">
              <w:rPr>
                <w:rFonts w:ascii="Verdana" w:hAnsi="Verdana"/>
              </w:rPr>
              <w:t>la licitación pública;</w:t>
            </w:r>
          </w:p>
          <w:p w14:paraId="4F009E7A" w14:textId="77777777" w:rsidR="002401C5" w:rsidRPr="00AB0420" w:rsidRDefault="002401C5" w:rsidP="002401C5">
            <w:pPr>
              <w:numPr>
                <w:ilvl w:val="0"/>
                <w:numId w:val="21"/>
              </w:numPr>
              <w:spacing w:after="120" w:line="276" w:lineRule="auto"/>
              <w:jc w:val="both"/>
              <w:rPr>
                <w:rFonts w:ascii="Verdana" w:hAnsi="Verdana"/>
              </w:rPr>
            </w:pPr>
            <w:r w:rsidRPr="00AB0420">
              <w:rPr>
                <w:rFonts w:ascii="Verdana" w:hAnsi="Verdana"/>
              </w:rPr>
              <w:t>la selección abreviada de menor cuantía;</w:t>
            </w:r>
          </w:p>
          <w:p w14:paraId="65CC9A71" w14:textId="77777777" w:rsidR="002401C5" w:rsidRPr="00AB0420" w:rsidRDefault="002401C5" w:rsidP="002401C5">
            <w:pPr>
              <w:numPr>
                <w:ilvl w:val="0"/>
                <w:numId w:val="21"/>
              </w:numPr>
              <w:spacing w:after="120" w:line="276" w:lineRule="auto"/>
              <w:jc w:val="both"/>
              <w:rPr>
                <w:rFonts w:ascii="Verdana" w:hAnsi="Verdana"/>
              </w:rPr>
            </w:pPr>
            <w:r w:rsidRPr="00AB0420">
              <w:rPr>
                <w:rFonts w:ascii="Verdana" w:hAnsi="Verdana"/>
              </w:rPr>
              <w:t>el concurso de méritos;</w:t>
            </w:r>
          </w:p>
          <w:p w14:paraId="754DBF02" w14:textId="77777777" w:rsidR="002401C5" w:rsidRPr="00AB0420" w:rsidRDefault="002401C5" w:rsidP="002401C5">
            <w:pPr>
              <w:numPr>
                <w:ilvl w:val="0"/>
                <w:numId w:val="21"/>
              </w:numPr>
              <w:spacing w:after="120" w:line="276" w:lineRule="auto"/>
              <w:jc w:val="both"/>
              <w:rPr>
                <w:rFonts w:ascii="Verdana" w:hAnsi="Verdana"/>
              </w:rPr>
            </w:pPr>
            <w:r w:rsidRPr="00AB0420">
              <w:rPr>
                <w:rFonts w:ascii="Verdana" w:hAnsi="Verdana"/>
              </w:rPr>
              <w:t>los procesos competitivos que adelanten las entidades exceptuadas del EGCAP.</w:t>
            </w:r>
          </w:p>
          <w:p w14:paraId="42A5A763" w14:textId="73501D6A" w:rsidR="00FF4D5E" w:rsidRPr="00AB0420" w:rsidRDefault="002401C5" w:rsidP="00FF4D5E">
            <w:pPr>
              <w:spacing w:after="120" w:line="276" w:lineRule="auto"/>
              <w:ind w:firstLine="737"/>
              <w:jc w:val="both"/>
              <w:rPr>
                <w:rFonts w:ascii="Verdana" w:hAnsi="Verdana"/>
              </w:rPr>
            </w:pPr>
            <w:r w:rsidRPr="00AB0420">
              <w:rPr>
                <w:rFonts w:ascii="Verdana" w:hAnsi="Verdana"/>
              </w:rPr>
              <w:t>Las demás modalidades quedan excluidas. Entre ellas están la selección abreviada por subasta inversa, la mínima cuantía y los procesos competitivos del Decreto 092 de 2017. Como lo concluyó esta Agencia en el Concepto C-003 de 2024, no procede aplicar estos criterios diferenciales en los procesos que se adelanten bajo el Decreto 092 de 2017. No debe confundirse el proceso competitivo del artículo 4 de ese Decreto con los procesos competitivos de las entidades con régimen especial. El primero es un mecanismo propio para escoger a una ESAL en negocios que no hacen parte del sistema de compra pública. Los segundos son procedimientos de adquisición de bienes, obras o servicios por parte de entidades exceptuadas</w:t>
            </w:r>
            <w:r w:rsidR="000A7A0D" w:rsidRPr="00AB0420">
              <w:rPr>
                <w:rFonts w:ascii="Verdana" w:hAnsi="Verdana"/>
              </w:rPr>
              <w:t xml:space="preserve"> parcialmente</w:t>
            </w:r>
            <w:r w:rsidRPr="00AB0420">
              <w:rPr>
                <w:rFonts w:ascii="Verdana" w:hAnsi="Verdana"/>
              </w:rPr>
              <w:t xml:space="preserve"> del EGCAP.</w:t>
            </w:r>
          </w:p>
          <w:p w14:paraId="11E974C5" w14:textId="2524B0F3" w:rsidR="003F74E0" w:rsidRPr="00AB0420" w:rsidRDefault="00C2023B" w:rsidP="003F74E0">
            <w:pPr>
              <w:spacing w:after="120" w:line="276" w:lineRule="auto"/>
              <w:ind w:firstLine="737"/>
              <w:jc w:val="both"/>
              <w:rPr>
                <w:rFonts w:ascii="Verdana" w:hAnsi="Verdana"/>
              </w:rPr>
            </w:pPr>
            <w:r w:rsidRPr="00AB0420">
              <w:rPr>
                <w:rFonts w:ascii="Verdana" w:hAnsi="Verdana"/>
              </w:rPr>
              <w:t xml:space="preserve">b) </w:t>
            </w:r>
            <w:r w:rsidRPr="00AB0420">
              <w:rPr>
                <w:rFonts w:ascii="Verdana" w:hAnsi="Verdana"/>
                <w:b/>
                <w:bCs/>
              </w:rPr>
              <w:t>Emprendimientos y empresas de personas con discapacidad.</w:t>
            </w:r>
            <w:r w:rsidRPr="00AB0420">
              <w:rPr>
                <w:rFonts w:ascii="Verdana" w:hAnsi="Verdana"/>
              </w:rPr>
              <w:t xml:space="preserve"> Las medidas previstas en el Decreto 0287 de 2026, si bien desarrolla el Sistema de preferencias para las personas con discapacidad en la contratación estatal, siguen la misma finalidad de fomento empresarial. </w:t>
            </w:r>
            <w:r w:rsidR="00A32A1C" w:rsidRPr="00AB0420">
              <w:rPr>
                <w:rFonts w:ascii="Verdana" w:hAnsi="Verdana"/>
              </w:rPr>
              <w:t>Buscan facilitar el acceso de estos emprendimientos y empresas a la contratación estatal de bienes, obras o servicios. En la medida en que su ámbito de aplicación se limite a procesos de contratación que hacen parte del sistema de compra pública tampoco proceden en los procesos competitivos del Decreto 092 de 2017.</w:t>
            </w:r>
          </w:p>
          <w:p w14:paraId="5622D695" w14:textId="66B7D24D" w:rsidR="000D5181" w:rsidRPr="00AB0420" w:rsidRDefault="000D5181" w:rsidP="000D5181">
            <w:pPr>
              <w:spacing w:after="120" w:line="276" w:lineRule="auto"/>
              <w:ind w:firstLine="737"/>
              <w:jc w:val="both"/>
              <w:rPr>
                <w:rFonts w:ascii="Verdana" w:hAnsi="Verdana"/>
              </w:rPr>
            </w:pPr>
            <w:r w:rsidRPr="00AB0420">
              <w:rPr>
                <w:rFonts w:ascii="Verdana" w:hAnsi="Verdana"/>
              </w:rPr>
              <w:t xml:space="preserve">En consecuencia, los criterios diferenciales previstos para ambas poblaciones no se aplican en los procesos competitivos regulados por el artículo 4 del Decreto 092 de 2017. Esta conclusión se basa en el ámbito de aplicación de las normas y en la naturaleza del negocio jurídico, no solo en la condición del contratista. Por eso no impide que una ESAL que participe en un proceso regido por el EGCAP acceda a estas medidas, si cumple los requisitos del reglamento. Tampoco cambia la conclusión que la Entidad, en ejercicio de </w:t>
            </w:r>
            <w:r w:rsidRPr="00AB0420">
              <w:rPr>
                <w:rFonts w:ascii="Verdana" w:hAnsi="Verdana"/>
              </w:rPr>
              <w:lastRenderedPageBreak/>
              <w:t>su facultad de configuración, estructure el proceso competitivo de forma parecida a alguna modalidad del Estatuto General. Esa semejanza es una opción de diseño y no altera la naturaleza del negocio ni el ámbito de aplicación de las normas mencionadas.</w:t>
            </w:r>
          </w:p>
          <w:p w14:paraId="6F41964B" w14:textId="67BC5EA9" w:rsidR="003E27CF" w:rsidRPr="00AB0420" w:rsidRDefault="003E27CF" w:rsidP="003E27CF">
            <w:pPr>
              <w:spacing w:after="120" w:line="276" w:lineRule="auto"/>
              <w:jc w:val="both"/>
              <w:rPr>
                <w:rFonts w:ascii="Verdana" w:hAnsi="Verdana" w:cs="Arial"/>
                <w:bCs/>
              </w:rPr>
            </w:pPr>
            <w:proofErr w:type="spellStart"/>
            <w:r w:rsidRPr="00AB0420">
              <w:rPr>
                <w:rFonts w:ascii="Verdana" w:hAnsi="Verdana" w:cs="Arial"/>
                <w:bCs/>
              </w:rPr>
              <w:t>ii</w:t>
            </w:r>
            <w:proofErr w:type="spellEnd"/>
            <w:r w:rsidRPr="00AB0420">
              <w:rPr>
                <w:rFonts w:ascii="Verdana" w:hAnsi="Verdana" w:cs="Arial"/>
                <w:bCs/>
              </w:rPr>
              <w:t xml:space="preserve">) </w:t>
            </w:r>
            <w:r w:rsidR="008F07D2" w:rsidRPr="008F07D2">
              <w:rPr>
                <w:rFonts w:ascii="Verdana" w:hAnsi="Verdana" w:cs="Arial"/>
                <w:bCs/>
              </w:rPr>
              <w:t xml:space="preserve">En segundo lugar, conviene señalar que, al definir los indicadores y criterios de ponderación contemplados en el artículo 4 del Decreto 092 de 2017, la Entidad Estatal </w:t>
            </w:r>
            <w:r w:rsidR="008F07D2" w:rsidRPr="0084793C">
              <w:rPr>
                <w:rFonts w:ascii="Verdana" w:hAnsi="Verdana" w:cs="Arial"/>
                <w:bCs/>
                <w:i/>
                <w:iCs/>
              </w:rPr>
              <w:t>sí puede valorar aspectos vinculados con determinadas poblaciones, siempre que guarden relación con el objeto del programa o actividad de interés público y con la idoneidad de la ESAL para ejecutarlo</w:t>
            </w:r>
            <w:r w:rsidR="008F07D2" w:rsidRPr="008F07D2">
              <w:rPr>
                <w:rFonts w:ascii="Verdana" w:hAnsi="Verdana" w:cs="Arial"/>
                <w:bCs/>
              </w:rPr>
              <w:t xml:space="preserve">; </w:t>
            </w:r>
            <w:r w:rsidR="008F07D2" w:rsidRPr="0084793C">
              <w:rPr>
                <w:rFonts w:ascii="Verdana" w:hAnsi="Verdana" w:cs="Arial"/>
                <w:bCs/>
                <w:i/>
                <w:iCs/>
              </w:rPr>
              <w:t>por ejemplo, su experiencia en programas con enfoque de género o en la atención e inclusión de personas con discapacidad, cuando el programa esté dirigido a dichas poblaciones</w:t>
            </w:r>
            <w:r w:rsidR="008F07D2" w:rsidRPr="008F07D2">
              <w:rPr>
                <w:rFonts w:ascii="Verdana" w:hAnsi="Verdana" w:cs="Arial"/>
                <w:bCs/>
              </w:rPr>
              <w:t>. En ese escenario no se aplican los criterios diferenciales previstos en la Ley de Emprendimiento ni los derivados de la regulación sobre discapacidad, sino criterios propios del proceso competitivo, los cuales deben estar justificados en los estudios previos, fijarse de manera objetiva y anticipada en los documentos del proceso, relacionarse directamente con la capacidad de la ESAL para ejecutar el programa y respetar los principios de libre concurrencia, pluralidad de interesados y comparación objetiva de las propuestas.</w:t>
            </w:r>
          </w:p>
          <w:p w14:paraId="56FCB746" w14:textId="77777777" w:rsidR="00F06BD0" w:rsidRPr="00AB0420" w:rsidRDefault="00F06BD0" w:rsidP="00F06BD0">
            <w:pPr>
              <w:spacing w:after="160" w:line="259" w:lineRule="auto"/>
              <w:jc w:val="both"/>
              <w:rPr>
                <w:rFonts w:ascii="Verdana" w:hAnsi="Verdana"/>
              </w:rPr>
            </w:pPr>
            <w:proofErr w:type="spellStart"/>
            <w:r w:rsidRPr="00AB0420">
              <w:rPr>
                <w:rFonts w:ascii="Verdana" w:hAnsi="Verdana"/>
              </w:rPr>
              <w:t>iii</w:t>
            </w:r>
            <w:proofErr w:type="spellEnd"/>
            <w:r w:rsidRPr="00AB0420">
              <w:rPr>
                <w:rFonts w:ascii="Verdana" w:hAnsi="Verdana"/>
              </w:rPr>
              <w:t>) Finalmente, la referencia de la Ley 2069 de 2020 al "Sistema de Compras Públicas", y no únicamente al EGCAP, no modifica las conclusiones anteriores. Esa referencia explica que las medidas puedan extenderse a entidades que no aplican el Estatuto General, como las de régimen especial. Sin embargo, lo que determina su aplicación no es el régimen de contratación de la entidad, sino el tipo de negocio jurídico: medidas orientadas a facilitar el acceso de emprendimientos y empresas a la contratación estatal en la que se adquieren bienes, obras o servicios. Los contratos y convenios del Decreto 092 de 2017 no corresponden a negocios de esa naturaleza. Por eso, la mención al "Sistema de Compras Públicas" no extiende los criterios diferenciales de mujeres ni de personas con discapacidad al proceso competitivo regulado en esa norma. Por el contrario, confirma que la finalidad de la Ley es distinta.</w:t>
            </w:r>
          </w:p>
          <w:p w14:paraId="79F205E8" w14:textId="1920ACB2" w:rsidR="00CB02FC" w:rsidRPr="00AB0420" w:rsidRDefault="00CB02FC" w:rsidP="00CB02FC">
            <w:pPr>
              <w:spacing w:after="120" w:line="276" w:lineRule="auto"/>
              <w:jc w:val="both"/>
              <w:rPr>
                <w:rFonts w:ascii="Verdana" w:hAnsi="Verdana" w:cs="Arial"/>
                <w:bCs/>
              </w:rPr>
            </w:pPr>
            <w:r w:rsidRPr="00AB0420">
              <w:rPr>
                <w:rFonts w:ascii="Verdana" w:eastAsia="Calibri" w:hAnsi="Verdana" w:cs="Arial"/>
                <w:bCs/>
                <w:color w:val="000000" w:themeColor="text1"/>
              </w:rPr>
              <w:t xml:space="preserve">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w:t>
            </w:r>
            <w:r w:rsidRPr="00AB0420">
              <w:rPr>
                <w:rFonts w:ascii="Verdana" w:eastAsia="Calibri" w:hAnsi="Verdana" w:cs="Arial"/>
                <w:bCs/>
                <w:color w:val="000000" w:themeColor="text1"/>
              </w:rPr>
              <w:lastRenderedPageBreak/>
              <w:t>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tc>
      </w:tr>
      <w:bookmarkEnd w:id="2"/>
    </w:tbl>
    <w:p w14:paraId="3C14731A" w14:textId="77777777" w:rsidR="00411B60" w:rsidRPr="00AB0420" w:rsidRDefault="00411B60" w:rsidP="00411B60">
      <w:pPr>
        <w:widowControl w:val="0"/>
        <w:autoSpaceDE w:val="0"/>
        <w:autoSpaceDN w:val="0"/>
        <w:spacing w:after="0" w:line="276" w:lineRule="auto"/>
        <w:outlineLvl w:val="0"/>
        <w:rPr>
          <w:rFonts w:ascii="Verdana" w:eastAsia="Arial" w:hAnsi="Verdana" w:cs="Arial"/>
          <w:b/>
          <w:bCs/>
          <w:highlight w:val="cyan"/>
        </w:rPr>
      </w:pPr>
    </w:p>
    <w:p w14:paraId="7790859B" w14:textId="77777777" w:rsidR="00411B60" w:rsidRPr="00AB0420" w:rsidRDefault="00411B60" w:rsidP="00411B60">
      <w:pPr>
        <w:widowControl w:val="0"/>
        <w:autoSpaceDE w:val="0"/>
        <w:autoSpaceDN w:val="0"/>
        <w:spacing w:after="0" w:line="276" w:lineRule="auto"/>
        <w:ind w:left="360" w:hanging="360"/>
        <w:outlineLvl w:val="0"/>
        <w:rPr>
          <w:rFonts w:ascii="Verdana" w:eastAsia="Arial" w:hAnsi="Verdana" w:cs="Arial"/>
          <w:b/>
          <w:bCs/>
          <w:lang w:val="es-ES"/>
        </w:rPr>
      </w:pPr>
      <w:r w:rsidRPr="00AB0420">
        <w:rPr>
          <w:rFonts w:ascii="Verdana" w:eastAsia="Arial" w:hAnsi="Verdana" w:cs="Arial"/>
          <w:b/>
          <w:bCs/>
          <w:lang w:val="es-ES"/>
        </w:rPr>
        <w:t>3. Razones de la respuesta:</w:t>
      </w:r>
    </w:p>
    <w:p w14:paraId="7E62915A" w14:textId="77777777" w:rsidR="00411B60" w:rsidRPr="00AB0420" w:rsidRDefault="00411B60" w:rsidP="00411B60">
      <w:pPr>
        <w:spacing w:after="0" w:line="276" w:lineRule="auto"/>
        <w:jc w:val="both"/>
        <w:rPr>
          <w:rFonts w:ascii="Verdana" w:eastAsia="Calibri" w:hAnsi="Verdana" w:cs="Arial"/>
          <w:highlight w:val="cyan"/>
          <w:lang w:val="es-ES"/>
        </w:rPr>
      </w:pPr>
    </w:p>
    <w:p w14:paraId="266F2840" w14:textId="77777777" w:rsidR="00411B60" w:rsidRPr="00AB0420" w:rsidRDefault="00411B60" w:rsidP="00411B60">
      <w:pPr>
        <w:spacing w:after="0" w:line="240" w:lineRule="auto"/>
        <w:jc w:val="both"/>
        <w:rPr>
          <w:rFonts w:ascii="Verdana" w:eastAsia="Calibri" w:hAnsi="Verdana" w:cs="Arial"/>
          <w:lang w:val="es-ES"/>
        </w:rPr>
      </w:pPr>
      <w:r w:rsidRPr="00AB0420">
        <w:rPr>
          <w:rFonts w:ascii="Verdana" w:eastAsia="Calibri" w:hAnsi="Verdana" w:cs="Arial"/>
          <w:lang w:val="es-ES"/>
        </w:rPr>
        <w:t>La respuesta anterior se sustenta en las siguientes consideraciones:</w:t>
      </w:r>
    </w:p>
    <w:p w14:paraId="70D74E5F" w14:textId="77777777" w:rsidR="002A0DD0" w:rsidRPr="00AB0420" w:rsidRDefault="002A0DD0" w:rsidP="30821638">
      <w:pPr>
        <w:spacing w:after="0" w:line="240" w:lineRule="auto"/>
        <w:jc w:val="both"/>
        <w:rPr>
          <w:rFonts w:ascii="Verdana" w:eastAsia="Verdana" w:hAnsi="Verdana" w:cs="Verdana"/>
          <w:lang w:val="es-ES"/>
        </w:rPr>
      </w:pPr>
    </w:p>
    <w:p w14:paraId="6D194B11" w14:textId="44038CD1" w:rsidR="000E1219" w:rsidRPr="00AB0420" w:rsidRDefault="002D5FC4" w:rsidP="000E1219">
      <w:pPr>
        <w:spacing w:after="120" w:line="276" w:lineRule="auto"/>
        <w:jc w:val="both"/>
        <w:rPr>
          <w:rFonts w:ascii="Verdana" w:eastAsia="Verdana" w:hAnsi="Verdana" w:cs="Verdana"/>
        </w:rPr>
      </w:pPr>
      <w:r w:rsidRPr="00AB0420">
        <w:rPr>
          <w:rFonts w:ascii="Verdana" w:hAnsi="Verdana" w:cs="Arial"/>
          <w:lang w:eastAsia="x-none"/>
        </w:rPr>
        <w:t xml:space="preserve">i) </w:t>
      </w:r>
      <w:r w:rsidR="000E1219" w:rsidRPr="00AB0420">
        <w:rPr>
          <w:rFonts w:ascii="Verdana" w:hAnsi="Verdana" w:cs="Arial"/>
          <w:lang w:eastAsia="x-none"/>
        </w:rPr>
        <w:t>Una vez precisadas las competencias de la Agencia, resulta pertinente abordar algunos aspectos relativos al régimen de contratación dispuesto en el Decreto 092 del 2017. En primer lugar, debe destacarse</w:t>
      </w:r>
      <w:r w:rsidR="000E1219" w:rsidRPr="00AB0420">
        <w:rPr>
          <w:rFonts w:ascii="Verdana" w:eastAsia="Verdana" w:hAnsi="Verdana" w:cs="Verdana"/>
        </w:rPr>
        <w:t xml:space="preserve"> </w:t>
      </w:r>
      <w:r w:rsidR="000E1219" w:rsidRPr="00AB0420">
        <w:rPr>
          <w:rFonts w:ascii="Verdana" w:eastAsia="Calibri" w:hAnsi="Verdana" w:cs="Arial"/>
          <w:bCs/>
          <w:lang w:val="es-ES_tradnl"/>
        </w:rPr>
        <w:t>el artículo 355 de la Constitución Política prohíbe a las ramas y órganos del poder público decretar auxilios o donaciones en favor de personas naturales o jurídicas. Igualmente, establece que las entidades del orden nacional, departamental, distrital y municipal podrán, con sus propios recursos, contratar con ESAL con el fin de impulsar programas y actividades de interés público acordes con el plan nacional y los planes seccionales de desarrollo</w:t>
      </w:r>
      <w:r w:rsidR="000E1219" w:rsidRPr="00AB0420">
        <w:rPr>
          <w:rStyle w:val="Refdenotaalpie"/>
          <w:rFonts w:ascii="Verdana" w:hAnsi="Verdana" w:cs="Arial"/>
        </w:rPr>
        <w:footnoteReference w:id="1"/>
      </w:r>
      <w:r w:rsidR="000E1219" w:rsidRPr="00AB0420">
        <w:rPr>
          <w:rFonts w:ascii="Verdana" w:eastAsia="Calibri" w:hAnsi="Verdana" w:cs="Arial"/>
          <w:bCs/>
          <w:lang w:val="es-ES_tradnl"/>
        </w:rPr>
        <w:t>. Por otra parte, el artículo 96 de la Ley 489 de 1998 permite a las entidades públicas en general, es decir, cualquiera sea su naturaleza y orden administrativo, asociarse con personas jurídicas particulares, mediante la celebración de convenios de asociación o la creación de personas jurídicas</w:t>
      </w:r>
      <w:r w:rsidR="000E1219" w:rsidRPr="00AB0420">
        <w:rPr>
          <w:rStyle w:val="Refdenotaalpie"/>
          <w:rFonts w:ascii="Verdana" w:eastAsia="Calibri" w:hAnsi="Verdana" w:cs="Arial"/>
          <w:bCs/>
          <w:lang w:val="es-ES_tradnl"/>
        </w:rPr>
        <w:footnoteReference w:id="2"/>
      </w:r>
      <w:r w:rsidR="000E1219" w:rsidRPr="00AB0420">
        <w:rPr>
          <w:rFonts w:ascii="Verdana" w:eastAsia="Calibri" w:hAnsi="Verdana" w:cs="Arial"/>
          <w:bCs/>
          <w:lang w:val="es-ES_tradnl"/>
        </w:rPr>
        <w:t xml:space="preserve">. Ambas figuras tienen como fin desarrollar conjuntamente actividades relacionadas con los cometidos y funciones legales asignadas a la entidad. Por </w:t>
      </w:r>
      <w:r w:rsidR="000E1219" w:rsidRPr="00AB0420">
        <w:rPr>
          <w:rFonts w:ascii="Verdana" w:eastAsia="Calibri" w:hAnsi="Verdana" w:cs="Arial"/>
          <w:bCs/>
          <w:lang w:val="es-ES_tradnl"/>
        </w:rPr>
        <w:lastRenderedPageBreak/>
        <w:t>lo demás, al utilizar el verbo “podrán”, el ordenamiento deja claro su naturaleza potestativa, ya que no existe norma que obligue a su celebración.</w:t>
      </w:r>
    </w:p>
    <w:p w14:paraId="7E61BC3D" w14:textId="77777777" w:rsidR="000E1219" w:rsidRPr="00AB0420" w:rsidRDefault="000E1219" w:rsidP="000E1219">
      <w:pPr>
        <w:spacing w:before="120" w:after="120" w:line="276" w:lineRule="auto"/>
        <w:ind w:firstLine="709"/>
        <w:jc w:val="both"/>
        <w:rPr>
          <w:rFonts w:ascii="Verdana" w:eastAsia="Calibri" w:hAnsi="Verdana" w:cs="Arial"/>
          <w:lang w:val="es-ES"/>
        </w:rPr>
      </w:pPr>
      <w:bookmarkStart w:id="4" w:name="_Hlk38819155"/>
      <w:r w:rsidRPr="00AB0420">
        <w:rPr>
          <w:rFonts w:ascii="Verdana" w:eastAsia="Calibri" w:hAnsi="Verdana" w:cs="Arial"/>
          <w:lang w:val="es-ES"/>
        </w:rPr>
        <w:t xml:space="preserve">Cuando las entidades definan suscribirlos, el Decreto 092 de 2017 dispone reglas para las contrataciones que realicen las entidades estatales con las ESAL. El Decreto regula dos (2) eventos: i) los contratos del artículo 355 de la Constitución Política con el fin impulsar programas y actividades de interés público de acuerdo con el Plan Nacional o los planes seccionales de desarrollo; y </w:t>
      </w:r>
      <w:proofErr w:type="spellStart"/>
      <w:r w:rsidRPr="00AB0420">
        <w:rPr>
          <w:rFonts w:ascii="Verdana" w:eastAsia="Calibri" w:hAnsi="Verdana" w:cs="Arial"/>
          <w:lang w:val="es-ES"/>
        </w:rPr>
        <w:t>ii</w:t>
      </w:r>
      <w:proofErr w:type="spellEnd"/>
      <w:r w:rsidRPr="00AB0420">
        <w:rPr>
          <w:rFonts w:ascii="Verdana" w:eastAsia="Calibri" w:hAnsi="Verdana" w:cs="Arial"/>
          <w:lang w:val="es-ES"/>
        </w:rPr>
        <w:t xml:space="preserve">) los convenios de asociación, para el desarrollo conjunto de actividades relacionadas con las funciones de las entidades estatales, en desarrollo del artículo 96 de la Ley 489 de 1998. </w:t>
      </w:r>
      <w:bookmarkEnd w:id="4"/>
    </w:p>
    <w:p w14:paraId="067F741D" w14:textId="77777777" w:rsidR="000E1219" w:rsidRPr="00AB0420" w:rsidRDefault="000E1219" w:rsidP="000E1219">
      <w:pPr>
        <w:spacing w:before="120" w:after="120" w:line="276" w:lineRule="auto"/>
        <w:ind w:firstLine="709"/>
        <w:jc w:val="both"/>
        <w:rPr>
          <w:rFonts w:ascii="Verdana" w:eastAsia="Calibri" w:hAnsi="Verdana" w:cs="Arial"/>
          <w:lang w:val="es-ES"/>
        </w:rPr>
      </w:pPr>
      <w:bookmarkStart w:id="5" w:name="_Hlk95756032"/>
      <w:r w:rsidRPr="00AB0420">
        <w:rPr>
          <w:rFonts w:ascii="Verdana" w:eastAsia="Calibri" w:hAnsi="Verdana" w:cs="Arial"/>
          <w:lang w:val="es-ES"/>
        </w:rPr>
        <w:t xml:space="preserve">Los </w:t>
      </w:r>
      <w:r w:rsidRPr="00AB0420">
        <w:rPr>
          <w:rFonts w:ascii="Verdana" w:eastAsia="Calibri" w:hAnsi="Verdana" w:cs="Arial"/>
          <w:i/>
          <w:iCs/>
          <w:lang w:val="es-ES"/>
        </w:rPr>
        <w:t>contratos del artículo 355 de la Constitución Política</w:t>
      </w:r>
      <w:r w:rsidRPr="00AB0420">
        <w:rPr>
          <w:rFonts w:ascii="Verdana" w:eastAsia="Calibri" w:hAnsi="Verdana" w:cs="Arial"/>
          <w:lang w:val="es-ES"/>
        </w:rPr>
        <w:t xml:space="preserve"> tienen como objeto promover acciones de fomento social en beneficio de los sectores más desprotegidos de la población, siempre que estén previstas en los planes de desarrollo, motivo por el cual no dan lugar a una contraprestación directa a favor de la entidad y tampoco a una relación conmutativa entre ésta y la ESAL, toda vez que el beneficio directo lo recibirán, en últimas, los sectores de este tipo de acciones de fomento. Para celebrar estos contratos, según lo establece el artículo 3 del Decreto 092 de 2017, por regla general, la entidad debe adelantar un proceso competitivo para seleccionar la entidad sin ánimo de lucro contratista. En particular, debe verificar el cumplimiento de los siguientes requisitos: i) que el objeto del contrato corresponda a programas y actividades de interés público acordes con el Plan Nacional o Seccional de Desarrollo; y </w:t>
      </w:r>
      <w:proofErr w:type="spellStart"/>
      <w:r w:rsidRPr="00AB0420">
        <w:rPr>
          <w:rFonts w:ascii="Verdana" w:eastAsia="Calibri" w:hAnsi="Verdana" w:cs="Arial"/>
          <w:lang w:val="es-ES"/>
        </w:rPr>
        <w:t>ii</w:t>
      </w:r>
      <w:proofErr w:type="spellEnd"/>
      <w:r w:rsidRPr="00AB0420">
        <w:rPr>
          <w:rFonts w:ascii="Verdana" w:eastAsia="Calibri" w:hAnsi="Verdana" w:cs="Arial"/>
          <w:lang w:val="es-ES"/>
        </w:rPr>
        <w:t>) que no haya una contraprestación directa a favor de la Entidad Estatal, es decir, que el programa o actividad a desarrollar este dirigida al beneficio de la población en general, ya que cuando se adquieren bienes o servicios o se ejecutan obras en una relación conmutativa, las normas aplicables son las del Estatuto General de Contratación. Solo cuando se reúnan estas condiciones es procedente celebrar contratos del artículo 355 de la Constitución Política; de lo contrario, se aplicarán las normas del Estatuto General de Contratación de la Administración Pública.</w:t>
      </w:r>
    </w:p>
    <w:bookmarkEnd w:id="5"/>
    <w:p w14:paraId="62962B10" w14:textId="77777777" w:rsidR="000E1219" w:rsidRPr="00AB0420" w:rsidRDefault="000E1219" w:rsidP="000E1219">
      <w:pPr>
        <w:spacing w:before="120" w:after="120" w:line="276" w:lineRule="auto"/>
        <w:ind w:firstLine="709"/>
        <w:jc w:val="both"/>
        <w:rPr>
          <w:rFonts w:ascii="Verdana" w:eastAsia="Calibri" w:hAnsi="Verdana" w:cs="Arial"/>
          <w:bCs/>
          <w:lang w:val="es-ES_tradnl"/>
        </w:rPr>
      </w:pPr>
      <w:r w:rsidRPr="00AB0420">
        <w:rPr>
          <w:rFonts w:ascii="Verdana" w:eastAsia="Calibri" w:hAnsi="Verdana" w:cs="Arial"/>
          <w:bCs/>
          <w:lang w:val="es-ES_tradnl"/>
        </w:rPr>
        <w:t xml:space="preserve">De otro lado, los </w:t>
      </w:r>
      <w:r w:rsidRPr="00AB0420">
        <w:rPr>
          <w:rFonts w:ascii="Verdana" w:eastAsia="Calibri" w:hAnsi="Verdana" w:cs="Arial"/>
          <w:bCs/>
          <w:i/>
          <w:lang w:val="es-ES_tradnl"/>
        </w:rPr>
        <w:t>convenios de asociación</w:t>
      </w:r>
      <w:r w:rsidRPr="00AB0420">
        <w:rPr>
          <w:rFonts w:ascii="Verdana" w:eastAsia="Calibri" w:hAnsi="Verdana" w:cs="Arial"/>
          <w:bCs/>
          <w:lang w:val="es-ES_tradnl"/>
        </w:rPr>
        <w:t xml:space="preserve"> “[t]</w:t>
      </w:r>
      <w:proofErr w:type="spellStart"/>
      <w:r w:rsidRPr="00AB0420">
        <w:rPr>
          <w:rFonts w:ascii="Verdana" w:eastAsia="Calibri" w:hAnsi="Verdana" w:cs="Arial"/>
          <w:bCs/>
          <w:lang w:val="es-ES_tradnl"/>
        </w:rPr>
        <w:t>ienen</w:t>
      </w:r>
      <w:proofErr w:type="spellEnd"/>
      <w:r w:rsidRPr="00AB0420">
        <w:rPr>
          <w:rFonts w:ascii="Verdana" w:eastAsia="Calibri" w:hAnsi="Verdana" w:cs="Arial"/>
          <w:bCs/>
          <w:lang w:val="es-ES_tradnl"/>
        </w:rPr>
        <w:t xml:space="preserve"> como finalidad que la Entidad Estatal, cualquiera que sea su naturaleza y orden administrativo, se asocien con personas jurídicas particulares para el desarrollo conjunto de actividades relacionadas con los cometidos y funciones asignadas a aquellas </w:t>
      </w:r>
      <w:r w:rsidRPr="00AB0420">
        <w:rPr>
          <w:rFonts w:ascii="Verdana" w:eastAsia="Calibri" w:hAnsi="Verdana" w:cs="Arial"/>
          <w:bCs/>
          <w:lang w:val="es-ES_tradnl"/>
        </w:rPr>
        <w:lastRenderedPageBreak/>
        <w:t>conforme a la Constitución y a la Ley”</w:t>
      </w:r>
      <w:r w:rsidRPr="00AB0420">
        <w:rPr>
          <w:rStyle w:val="Refdenotaalpie"/>
          <w:rFonts w:ascii="Verdana" w:hAnsi="Verdana" w:cs="Arial"/>
        </w:rPr>
        <w:footnoteReference w:id="3"/>
      </w:r>
      <w:r w:rsidRPr="00AB0420">
        <w:rPr>
          <w:rFonts w:ascii="Verdana" w:eastAsia="Calibri" w:hAnsi="Verdana" w:cs="Arial"/>
          <w:bCs/>
          <w:lang w:val="es-ES_tradnl"/>
        </w:rPr>
        <w:t>. En estos convenios existen aportes dirigidos, especialmente, a lograr la ejecución del convenio. De todos modos, la entidad deberá adelantar un proceso competitivo, salvo cuando la ESAL comprometa recursos en dinero para la ejecución de estas actividades, en una proporción no inferior al 30% del valor total del convenio. El convenio de asociación no es conmutativo y, por tanto, la entidad no instruye al contratista para desarrollar los programas o actividades previstas, sino que se asocia con él para el cumplimiento de objetivos comunes</w:t>
      </w:r>
      <w:r w:rsidRPr="00AB0420">
        <w:rPr>
          <w:rStyle w:val="Refdenotaalpie"/>
          <w:rFonts w:ascii="Verdana" w:hAnsi="Verdana" w:cs="Arial"/>
        </w:rPr>
        <w:footnoteReference w:id="4"/>
      </w:r>
      <w:r w:rsidRPr="00AB0420">
        <w:rPr>
          <w:rFonts w:ascii="Verdana" w:eastAsia="Calibri" w:hAnsi="Verdana" w:cs="Arial"/>
          <w:bCs/>
          <w:lang w:val="es-ES_tradnl"/>
        </w:rPr>
        <w:t>.</w:t>
      </w:r>
    </w:p>
    <w:p w14:paraId="35FEFD4C" w14:textId="77777777" w:rsidR="000E1219" w:rsidRPr="00AB0420" w:rsidRDefault="000E1219" w:rsidP="000E1219">
      <w:pPr>
        <w:spacing w:before="120" w:after="120" w:line="276" w:lineRule="auto"/>
        <w:ind w:firstLine="709"/>
        <w:jc w:val="both"/>
        <w:rPr>
          <w:rFonts w:ascii="Verdana" w:eastAsia="Calibri" w:hAnsi="Verdana" w:cs="Arial"/>
          <w:bCs/>
        </w:rPr>
      </w:pPr>
      <w:r w:rsidRPr="00AB0420">
        <w:rPr>
          <w:rFonts w:ascii="Verdana" w:eastAsia="Calibri" w:hAnsi="Verdana" w:cs="Arial"/>
          <w:bCs/>
          <w:lang w:val="es-ES_tradnl"/>
        </w:rPr>
        <w:t>La normativa vigente no impide que varias entidades suscriban conjuntamente el convenio de asociación y tampoco que dos o más ESAL pueden hacerlo, a través de las figuras asociativas autorizadas por la ley, por ejemplo, como unión temporal o como consorcio</w:t>
      </w:r>
      <w:r w:rsidRPr="00AB0420">
        <w:rPr>
          <w:rFonts w:ascii="Verdana" w:eastAsia="Calibri" w:hAnsi="Verdana" w:cs="Arial"/>
          <w:bCs/>
        </w:rPr>
        <w:t xml:space="preserve">. Por un lado, al enfocarse en sujetos determinados, es necesario que todos los integrantes de la estructura plural sean entidades sin ánimo de lucro, ya que este régimen no fue diseñado para contratar con sociedades comerciales u otras entidades públicas. Por otra parte, como el artículo 96 de la Ley 489 de 1998 determina que el convenio busca el desarrollo conjunto de actividades en relación con los cometidos y funciones que la ley les asigna a las entidades estatales, lo cierto es que las funciones legales de las entidades estatales que suscriben conjuntamente el convenio deben coincidir. </w:t>
      </w:r>
    </w:p>
    <w:p w14:paraId="12482973" w14:textId="77777777" w:rsidR="000E1219" w:rsidRPr="00AB0420" w:rsidRDefault="000E1219" w:rsidP="000E1219">
      <w:pPr>
        <w:spacing w:before="120" w:after="120" w:line="276" w:lineRule="auto"/>
        <w:ind w:firstLine="709"/>
        <w:jc w:val="both"/>
        <w:rPr>
          <w:rFonts w:ascii="Verdana" w:eastAsia="Calibri" w:hAnsi="Verdana" w:cs="Arial"/>
          <w:bCs/>
        </w:rPr>
      </w:pPr>
      <w:r w:rsidRPr="00AB0420">
        <w:rPr>
          <w:rFonts w:ascii="Verdana" w:eastAsia="Calibri" w:hAnsi="Verdana" w:cs="Arial"/>
          <w:bCs/>
        </w:rPr>
        <w:t xml:space="preserve">Igualmente, atendiendo a que los convenios de asociación “no estarán sujetos a competencia cuando la entidad sin ánimo de lucro comprometa recursos en dinero para la ejecución de esas actividades en una proporción no inferior al 30% del valor total del convenio”, las entidades deben asegurarse de que su contratista, es decir, las ESAL, aporte al menos el treinta por ciento del valor del convenio para celebrarlo directamente. Además, en atención al inciso 2 del artículo 5 del Decreto 092 de 2017, deben asegurarse de que no haya otras ESAL que ofrezcan su compromiso de recursos en dinero en una proporción no inferior al 30% del valor total del convenio. En caso de que la entidad encuentre que más de una ESAL le ofrece al menos el 30% de recursos en dinero para el convenio de asociación, debe seleccionar objetivamente con cual asociarse. Ello </w:t>
      </w:r>
      <w:r w:rsidRPr="00AB0420">
        <w:rPr>
          <w:rFonts w:ascii="Verdana" w:eastAsia="Calibri" w:hAnsi="Verdana" w:cs="Arial"/>
          <w:bCs/>
        </w:rPr>
        <w:lastRenderedPageBreak/>
        <w:t>no obsta para que puedan realizarse aportes en especie bajo la consideración de que éstos no inciden en la modalidad de selección aplicable.</w:t>
      </w:r>
    </w:p>
    <w:p w14:paraId="756AD646" w14:textId="77777777" w:rsidR="000E1219" w:rsidRPr="00AB0420" w:rsidRDefault="000E1219" w:rsidP="000E1219">
      <w:pPr>
        <w:spacing w:before="120" w:after="120" w:line="276" w:lineRule="auto"/>
        <w:ind w:firstLine="709"/>
        <w:jc w:val="both"/>
        <w:rPr>
          <w:rFonts w:ascii="Verdana" w:hAnsi="Verdana"/>
        </w:rPr>
      </w:pPr>
      <w:r w:rsidRPr="00AB0420">
        <w:rPr>
          <w:rFonts w:ascii="Verdana" w:hAnsi="Verdana" w:cs="Arial"/>
          <w:color w:val="000000" w:themeColor="text1"/>
        </w:rPr>
        <w:t xml:space="preserve">La noción “seleccionar de forma objetiva”, contenida en la disposición </w:t>
      </w:r>
      <w:r w:rsidRPr="00AB0420">
        <w:rPr>
          <w:rFonts w:ascii="Verdana" w:hAnsi="Verdana" w:cs="Arial"/>
          <w:i/>
          <w:iCs/>
          <w:color w:val="000000" w:themeColor="text1"/>
        </w:rPr>
        <w:t xml:space="preserve">sub examine </w:t>
      </w:r>
      <w:r w:rsidRPr="00AB0420">
        <w:rPr>
          <w:rFonts w:ascii="Verdana" w:hAnsi="Verdana" w:cs="Arial"/>
          <w:color w:val="000000" w:themeColor="text1"/>
        </w:rPr>
        <w:t>no puede ser entendida como una remisión total a las Leyes 80 de 1993 y 1150 de 2007. A lo que se refiere la norma es a que la Entidad Estatal debe diseñar herramientas que permitan una comparación objetiva de las entidades sin ánimo de lucro para seleccionar objetivamente a aquella que tenga las mejores condiciones para alcanzar el resultado esperado con el proyecto de cooperación. Por ello, la entidad puede tomar la decisión de acudir a los procesos de selección de contratistas que establece el Estatuto General de Contratación de la Administración Pública o, incluso, al trámite que regula el inciso 2 del artículo 2 del Decreto 092 de 2017.</w:t>
      </w:r>
    </w:p>
    <w:p w14:paraId="1EAB2FCC" w14:textId="77777777" w:rsidR="000E1219" w:rsidRPr="00AB0420" w:rsidRDefault="000E1219" w:rsidP="000E1219">
      <w:pPr>
        <w:pStyle w:val="Sinespaciado"/>
        <w:spacing w:line="276" w:lineRule="auto"/>
        <w:ind w:firstLine="708"/>
        <w:jc w:val="both"/>
        <w:rPr>
          <w:rFonts w:ascii="Verdana" w:hAnsi="Verdana" w:cs="Arial"/>
          <w:color w:val="000000" w:themeColor="text1"/>
          <w:sz w:val="22"/>
        </w:rPr>
      </w:pPr>
      <w:r w:rsidRPr="00AB0420">
        <w:rPr>
          <w:rFonts w:ascii="Verdana" w:hAnsi="Verdana" w:cs="Arial"/>
          <w:color w:val="000000" w:themeColor="text1"/>
          <w:sz w:val="22"/>
        </w:rPr>
        <w:t xml:space="preserve">Es importante aclarar que los negocios jurídicos que regula el Decreto 092 de 2017 “[…] son esencialmente distintos a los contratos para la adquisición y aprovisionamiento de bienes, obras o servicios regulados por el estatuto de contratación </w:t>
      </w:r>
      <w:proofErr w:type="gramStart"/>
      <w:r w:rsidRPr="00AB0420">
        <w:rPr>
          <w:rFonts w:ascii="Verdana" w:hAnsi="Verdana" w:cs="Arial"/>
          <w:color w:val="000000" w:themeColor="text1"/>
          <w:sz w:val="22"/>
        </w:rPr>
        <w:t>y[</w:t>
      </w:r>
      <w:proofErr w:type="gramEnd"/>
      <w:r w:rsidRPr="00AB0420">
        <w:rPr>
          <w:rFonts w:ascii="Verdana" w:hAnsi="Verdana" w:cs="Arial"/>
          <w:color w:val="000000" w:themeColor="text1"/>
          <w:sz w:val="22"/>
        </w:rPr>
        <w:t>, como tal,] no hacen parte del sistema de compra pública. […] De acuerdo con lo anterior, si la Entidad Estatal adquiere o se abastece de un bien, obra o servicio en un contrato conmutativo en el cual el proveedor es una [ESAL], debe aplicar el régimen contenido en las Leyes 80 de 1993 y 1150 de 2007, y no el Decreto 092 de 2017”</w:t>
      </w:r>
      <w:r w:rsidRPr="00AB0420">
        <w:rPr>
          <w:rStyle w:val="Refdenotaalpie"/>
          <w:rFonts w:ascii="Verdana" w:hAnsi="Verdana" w:cs="Arial"/>
          <w:color w:val="000000" w:themeColor="text1"/>
          <w:sz w:val="22"/>
        </w:rPr>
        <w:footnoteReference w:id="5"/>
      </w:r>
      <w:r w:rsidRPr="00AB0420">
        <w:rPr>
          <w:rFonts w:ascii="Verdana" w:hAnsi="Verdana" w:cs="Arial"/>
          <w:color w:val="000000" w:themeColor="text1"/>
          <w:sz w:val="22"/>
        </w:rPr>
        <w:t>. Así lo consideró la Sala de Consulta y Servicio Civil del Consejo de Estado:</w:t>
      </w:r>
    </w:p>
    <w:p w14:paraId="28555C09" w14:textId="77777777" w:rsidR="000E1219" w:rsidRPr="00AB0420" w:rsidRDefault="000E1219" w:rsidP="000E1219">
      <w:pPr>
        <w:pStyle w:val="Sinespaciado"/>
        <w:spacing w:line="276" w:lineRule="auto"/>
        <w:jc w:val="both"/>
        <w:rPr>
          <w:rFonts w:ascii="Verdana" w:hAnsi="Verdana" w:cs="Arial"/>
          <w:color w:val="000000" w:themeColor="text1"/>
          <w:sz w:val="22"/>
        </w:rPr>
      </w:pPr>
    </w:p>
    <w:p w14:paraId="6DB87E36" w14:textId="77777777" w:rsidR="000E1219" w:rsidRPr="00AB0420" w:rsidRDefault="000E1219" w:rsidP="000E1219">
      <w:pPr>
        <w:spacing w:line="240" w:lineRule="auto"/>
        <w:ind w:left="709" w:right="709"/>
        <w:jc w:val="both"/>
        <w:rPr>
          <w:rFonts w:ascii="Verdana" w:eastAsia="Calibri" w:hAnsi="Verdana" w:cs="Arial"/>
          <w:color w:val="000000" w:themeColor="text1"/>
          <w:sz w:val="20"/>
          <w:szCs w:val="20"/>
        </w:rPr>
      </w:pPr>
      <w:r w:rsidRPr="00AB0420">
        <w:rPr>
          <w:rFonts w:ascii="Verdana" w:eastAsia="Calibri" w:hAnsi="Verdana" w:cs="Arial"/>
          <w:color w:val="000000" w:themeColor="text1"/>
          <w:sz w:val="20"/>
          <w:szCs w:val="20"/>
        </w:rPr>
        <w:t>“Como ya se indicó, el objeto de los contratos que autoriza el inciso segundo del artículo 355 Superior, se limita a la realización de actividades o programas de interés público que, conforme a los planes de desarrollo, adelanten instituciones privadas sin ánimo de lucro. Aquellos que generan una contraprestación directa a favor de la entidad contratante y los que tienen por objeto desarrollar proyectos específicos, corresponden al giro normal de las funciones propias de la entidad estatal, y por lo tanto, se tipifican dentro de cualquiera de las modalidades de contratación de la ley 80 de 1.993, debiendo sujetarse a los procedimientos allí previstos, en especial los de escogencia del contratista.</w:t>
      </w:r>
    </w:p>
    <w:p w14:paraId="59CEDF9E" w14:textId="77777777" w:rsidR="000E1219" w:rsidRPr="00AB0420" w:rsidRDefault="000E1219" w:rsidP="000E1219">
      <w:pPr>
        <w:spacing w:after="0" w:line="240" w:lineRule="auto"/>
        <w:ind w:left="708" w:right="709"/>
        <w:jc w:val="both"/>
        <w:rPr>
          <w:rFonts w:ascii="Verdana" w:eastAsia="Calibri" w:hAnsi="Verdana" w:cs="Arial"/>
          <w:color w:val="000000" w:themeColor="text1"/>
          <w:sz w:val="20"/>
          <w:szCs w:val="20"/>
        </w:rPr>
      </w:pPr>
      <w:r w:rsidRPr="00AB0420">
        <w:rPr>
          <w:rFonts w:ascii="Verdana" w:eastAsia="Calibri" w:hAnsi="Verdana" w:cs="Arial"/>
          <w:color w:val="000000" w:themeColor="text1"/>
          <w:sz w:val="20"/>
          <w:szCs w:val="20"/>
        </w:rPr>
        <w:t xml:space="preserve">Cuando el artículo 355 autoriza a las entidades estatales a celebrar contratos para “impulsar” programas y actividades de interés público, se refiere a los del ente privado y no a los del Estado, pues respecto de éste el deber constitucional es no sólo impulsarlos sino cumplirlos, conforme </w:t>
      </w:r>
      <w:r w:rsidRPr="00AB0420">
        <w:rPr>
          <w:rFonts w:ascii="Verdana" w:eastAsia="Calibri" w:hAnsi="Verdana" w:cs="Arial"/>
          <w:color w:val="000000" w:themeColor="text1"/>
          <w:sz w:val="20"/>
          <w:szCs w:val="20"/>
        </w:rPr>
        <w:lastRenderedPageBreak/>
        <w:t>las disposiciones contractuales vigentes, como sería por ejemplo, contratos de prestación de servicios o de obra pública”</w:t>
      </w:r>
      <w:r w:rsidRPr="00AB0420">
        <w:rPr>
          <w:rStyle w:val="Refdenotaalpie"/>
          <w:rFonts w:ascii="Verdana" w:hAnsi="Verdana" w:cs="Arial"/>
          <w:color w:val="000000" w:themeColor="text1"/>
          <w:sz w:val="20"/>
          <w:szCs w:val="20"/>
        </w:rPr>
        <w:t xml:space="preserve"> </w:t>
      </w:r>
      <w:r w:rsidRPr="00AB0420">
        <w:rPr>
          <w:rStyle w:val="Refdenotaalpie"/>
          <w:rFonts w:ascii="Verdana" w:hAnsi="Verdana" w:cs="Arial"/>
          <w:color w:val="000000" w:themeColor="text1"/>
          <w:sz w:val="20"/>
          <w:szCs w:val="20"/>
        </w:rPr>
        <w:footnoteReference w:id="6"/>
      </w:r>
      <w:r w:rsidRPr="00AB0420">
        <w:rPr>
          <w:rFonts w:ascii="Verdana" w:eastAsia="Calibri" w:hAnsi="Verdana" w:cs="Arial"/>
          <w:color w:val="000000" w:themeColor="text1"/>
          <w:sz w:val="20"/>
          <w:szCs w:val="20"/>
        </w:rPr>
        <w:t>.</w:t>
      </w:r>
    </w:p>
    <w:p w14:paraId="70658FEE" w14:textId="77777777" w:rsidR="000E1219" w:rsidRPr="00AB0420" w:rsidRDefault="000E1219" w:rsidP="000E1219">
      <w:pPr>
        <w:spacing w:after="0" w:line="276" w:lineRule="auto"/>
        <w:ind w:firstLine="708"/>
        <w:jc w:val="both"/>
        <w:rPr>
          <w:rFonts w:ascii="Verdana" w:eastAsia="Calibri" w:hAnsi="Verdana" w:cs="Arial"/>
          <w:color w:val="000000" w:themeColor="text1"/>
        </w:rPr>
      </w:pPr>
      <w:bookmarkStart w:id="6" w:name="_Hlk95756200"/>
    </w:p>
    <w:p w14:paraId="034F8E02" w14:textId="77777777" w:rsidR="000E1219" w:rsidRPr="00AB0420" w:rsidRDefault="000E1219" w:rsidP="000E1219">
      <w:pPr>
        <w:spacing w:after="0" w:line="276" w:lineRule="auto"/>
        <w:ind w:firstLine="708"/>
        <w:jc w:val="both"/>
        <w:rPr>
          <w:rFonts w:ascii="Verdana" w:eastAsia="Calibri" w:hAnsi="Verdana" w:cs="Arial"/>
          <w:color w:val="000000" w:themeColor="text1"/>
        </w:rPr>
      </w:pPr>
      <w:r w:rsidRPr="00AB0420">
        <w:rPr>
          <w:rFonts w:ascii="Verdana" w:eastAsia="Calibri" w:hAnsi="Verdana" w:cs="Arial"/>
          <w:color w:val="000000" w:themeColor="text1"/>
        </w:rPr>
        <w:t xml:space="preserve">De acuerdo con lo anterior, no todas las actividades que las Entidades Estatales deben desarrollar para alcanzar sus objetivos misionales deben ejecutarse a través de la celebración de contratos del artículo 355 superior o convenios de asociación. Debe tenerse en cuenta que lo que determina la aplicación del Decreto 092 de 2017 no es únicamente el carácter de las ESAL sino el objeto del contrato o convenio que la entidad pretende adelantar. Por tanto, el hecho de que se trate de una entidad sin ánimo de lucro no implica que necesariamente deba celebrarse un contrato de colaboración o un convenio de asociación. </w:t>
      </w:r>
      <w:bookmarkEnd w:id="6"/>
      <w:r w:rsidRPr="00AB0420">
        <w:rPr>
          <w:rFonts w:ascii="Verdana" w:eastAsia="Calibri" w:hAnsi="Verdana" w:cs="Arial"/>
          <w:color w:val="000000" w:themeColor="text1"/>
        </w:rPr>
        <w:t>Así lo reconoció la Corte Constitucional en la sentencia C-287 del 18 de abril de 2012, en la que sostuvo lo siguiente:</w:t>
      </w:r>
    </w:p>
    <w:p w14:paraId="1E078F9C" w14:textId="77777777" w:rsidR="000E1219" w:rsidRPr="00AB0420" w:rsidRDefault="000E1219" w:rsidP="000E1219">
      <w:pPr>
        <w:spacing w:after="0" w:line="276" w:lineRule="auto"/>
        <w:ind w:firstLine="708"/>
        <w:jc w:val="both"/>
        <w:rPr>
          <w:rFonts w:ascii="Verdana" w:eastAsia="Calibri" w:hAnsi="Verdana" w:cs="Arial"/>
          <w:color w:val="000000" w:themeColor="text1"/>
        </w:rPr>
      </w:pPr>
    </w:p>
    <w:p w14:paraId="231D25F3" w14:textId="77777777" w:rsidR="000E1219" w:rsidRPr="00AB0420" w:rsidRDefault="000E1219" w:rsidP="000E1219">
      <w:pPr>
        <w:spacing w:line="240" w:lineRule="auto"/>
        <w:ind w:left="709" w:right="709"/>
        <w:jc w:val="both"/>
        <w:rPr>
          <w:rFonts w:ascii="Verdana" w:eastAsia="Calibri" w:hAnsi="Verdana" w:cs="Arial"/>
          <w:color w:val="000000" w:themeColor="text1"/>
          <w:sz w:val="20"/>
          <w:szCs w:val="20"/>
        </w:rPr>
      </w:pPr>
      <w:r w:rsidRPr="00AB0420">
        <w:rPr>
          <w:rFonts w:ascii="Verdana" w:eastAsia="Calibri" w:hAnsi="Verdana" w:cs="Arial"/>
          <w:color w:val="000000" w:themeColor="text1"/>
          <w:sz w:val="20"/>
          <w:szCs w:val="20"/>
        </w:rPr>
        <w:t>“Las corporaciones o asociaciones sin ánimo de lucro han sido definas por la doctrina como personas jurídicas que surgen de la voluntad de un grupo de individuos que vinculan un capital a la obtención de un fin de interés general o de bienestar común no lucrativo, de manera que tienen como finalidad propia la satisfacción de intereses públicos y sociales.</w:t>
      </w:r>
    </w:p>
    <w:p w14:paraId="30459054" w14:textId="77777777" w:rsidR="000E1219" w:rsidRPr="00AB0420" w:rsidRDefault="000E1219" w:rsidP="000E1219">
      <w:pPr>
        <w:spacing w:after="0" w:line="240" w:lineRule="auto"/>
        <w:ind w:left="709" w:right="709"/>
        <w:jc w:val="both"/>
        <w:rPr>
          <w:rFonts w:ascii="Verdana" w:eastAsia="Calibri" w:hAnsi="Verdana" w:cs="Arial"/>
          <w:color w:val="000000" w:themeColor="text1"/>
          <w:sz w:val="21"/>
          <w:szCs w:val="21"/>
        </w:rPr>
      </w:pPr>
      <w:r w:rsidRPr="00AB0420">
        <w:rPr>
          <w:rFonts w:ascii="Verdana" w:eastAsia="Calibri" w:hAnsi="Verdana" w:cs="Arial"/>
          <w:i/>
          <w:iCs/>
          <w:color w:val="000000" w:themeColor="text1"/>
          <w:sz w:val="20"/>
          <w:szCs w:val="20"/>
        </w:rPr>
        <w:t xml:space="preserve">Sin embargo, el hecho que no persigan una finalidad </w:t>
      </w:r>
      <w:proofErr w:type="gramStart"/>
      <w:r w:rsidRPr="00AB0420">
        <w:rPr>
          <w:rFonts w:ascii="Verdana" w:eastAsia="Calibri" w:hAnsi="Verdana" w:cs="Arial"/>
          <w:i/>
          <w:iCs/>
          <w:color w:val="000000" w:themeColor="text1"/>
          <w:sz w:val="20"/>
          <w:szCs w:val="20"/>
        </w:rPr>
        <w:t>lucrativa,</w:t>
      </w:r>
      <w:proofErr w:type="gramEnd"/>
      <w:r w:rsidRPr="00AB0420">
        <w:rPr>
          <w:rFonts w:ascii="Verdana" w:eastAsia="Calibri" w:hAnsi="Verdana" w:cs="Arial"/>
          <w:i/>
          <w:iCs/>
          <w:color w:val="000000" w:themeColor="text1"/>
          <w:sz w:val="20"/>
          <w:szCs w:val="20"/>
        </w:rPr>
        <w:t xml:space="preserve"> no significa que no desarrollen actividades que generen utilidades, lo que pasa es que a diferencia de las sociedades, el lucro o ganancia obtenida no se reparte entre sus miembros sino que se integra al patrimonio de la asociación para la obtención del fin deseado</w:t>
      </w:r>
      <w:r w:rsidRPr="00AB0420">
        <w:rPr>
          <w:rFonts w:ascii="Verdana" w:eastAsia="Calibri" w:hAnsi="Verdana" w:cs="Arial"/>
          <w:color w:val="000000" w:themeColor="text1"/>
          <w:sz w:val="20"/>
          <w:szCs w:val="20"/>
        </w:rPr>
        <w:t xml:space="preserve">. Así, el elemento característico de las corporaciones o asociaciones sin ánimo de lucro radica, precisamente, en la determinación de sus miembros de desarrollar una actividad de interés general sin esperar a cambio repartición de utilidades en proporción a su aporte, ni la recuperación </w:t>
      </w:r>
      <w:proofErr w:type="gramStart"/>
      <w:r w:rsidRPr="00AB0420">
        <w:rPr>
          <w:rFonts w:ascii="Verdana" w:eastAsia="Calibri" w:hAnsi="Verdana" w:cs="Arial"/>
          <w:color w:val="000000" w:themeColor="text1"/>
          <w:sz w:val="20"/>
          <w:szCs w:val="20"/>
        </w:rPr>
        <w:t>del mismo</w:t>
      </w:r>
      <w:proofErr w:type="gramEnd"/>
      <w:r w:rsidRPr="00AB0420">
        <w:rPr>
          <w:rFonts w:ascii="Verdana" w:eastAsia="Calibri" w:hAnsi="Verdana" w:cs="Arial"/>
          <w:color w:val="000000" w:themeColor="text1"/>
          <w:sz w:val="20"/>
          <w:szCs w:val="20"/>
        </w:rPr>
        <w:t xml:space="preserve"> en el momento de su disolución o liquidación”. (Cursivas propias)</w:t>
      </w:r>
    </w:p>
    <w:p w14:paraId="77BEB111" w14:textId="77777777" w:rsidR="000E1219" w:rsidRPr="00AB0420" w:rsidRDefault="000E1219" w:rsidP="000E1219">
      <w:pPr>
        <w:spacing w:after="0" w:line="276" w:lineRule="auto"/>
        <w:ind w:firstLine="709"/>
        <w:jc w:val="both"/>
        <w:rPr>
          <w:rFonts w:ascii="Verdana" w:eastAsia="Calibri" w:hAnsi="Verdana" w:cs="Arial"/>
          <w:color w:val="000000" w:themeColor="text1"/>
        </w:rPr>
      </w:pPr>
    </w:p>
    <w:p w14:paraId="699BCF1C" w14:textId="77777777" w:rsidR="000E1219" w:rsidRPr="00AB0420" w:rsidRDefault="000E1219" w:rsidP="000E1219">
      <w:pPr>
        <w:spacing w:after="120" w:line="276" w:lineRule="auto"/>
        <w:ind w:firstLine="709"/>
        <w:jc w:val="both"/>
        <w:rPr>
          <w:rFonts w:ascii="Verdana" w:eastAsia="Calibri" w:hAnsi="Verdana" w:cs="Arial"/>
          <w:color w:val="000000" w:themeColor="text1"/>
        </w:rPr>
      </w:pPr>
      <w:r w:rsidRPr="00AB0420">
        <w:rPr>
          <w:rFonts w:ascii="Verdana" w:eastAsia="Calibri" w:hAnsi="Verdana" w:cs="Arial"/>
          <w:color w:val="000000" w:themeColor="text1"/>
        </w:rPr>
        <w:t xml:space="preserve">Lo anterior se justifica en que la principal característica de las ESAL es la ausencia de lucro, es decir, las ganancias o beneficios económicos no están destinados a repartirse en favor de los miembros ni de terceros, sino que permanecen dentro de la entidad incrementando su patrimonio. Con todo, las ESAL pueden participar en igualdad de condiciones en procesos de contratación regidos por la Ley 80 de 1993, la Ley 1150 de 2007 y el Decreto 1082 de 2015, siempre y cuando cumplan con los requisitos exigidos en los documentos del </w:t>
      </w:r>
      <w:r w:rsidRPr="00AB0420">
        <w:rPr>
          <w:rFonts w:ascii="Verdana" w:eastAsia="Calibri" w:hAnsi="Verdana" w:cs="Arial"/>
          <w:color w:val="000000" w:themeColor="text1"/>
        </w:rPr>
        <w:lastRenderedPageBreak/>
        <w:t>proceso. De esta manera, ni los contratos del artículo 355 de la Constitución Política ni los convenios de asociación del artículo 96 de la Ley 489 de 1998 generan utilidades para la ESAL, pues en dicho caso se trataría de un contrato en el que se debe remunerar al contratista por los servicios prestados, el cual, por eso mismo, tiene un régimen legal distinto.</w:t>
      </w:r>
    </w:p>
    <w:p w14:paraId="196561C8" w14:textId="77777777" w:rsidR="000E1219" w:rsidRPr="00AB0420" w:rsidRDefault="000E1219" w:rsidP="000E1219">
      <w:pPr>
        <w:spacing w:after="0" w:line="276" w:lineRule="auto"/>
        <w:ind w:firstLine="709"/>
        <w:jc w:val="both"/>
        <w:rPr>
          <w:rFonts w:ascii="Verdana" w:eastAsia="Calibri" w:hAnsi="Verdana" w:cs="Arial"/>
          <w:color w:val="000000" w:themeColor="text1"/>
        </w:rPr>
      </w:pPr>
      <w:r w:rsidRPr="00AB0420">
        <w:rPr>
          <w:rFonts w:ascii="Verdana" w:eastAsia="Calibri" w:hAnsi="Verdana" w:cs="Arial"/>
          <w:color w:val="000000" w:themeColor="text1"/>
        </w:rPr>
        <w:t>El Consejo de Estado, en el Auto del 6 de agosto de 2019 de la Sección Tercera, Subsección A, radicado No. 11001-03-26-000-2018-00113-00 (62.003), Consejero Ponente Carlos Alberto Zambrano Barrera, estudió la solicitud de suspensión provisional del inciso 2 del artículo 1, literales a y c del artículo 2, inciso 5 del artículo 2, inciso 2 del artículo 3, inciso final del artículo 4 y artículo 5 del Decreto 092 de 2017</w:t>
      </w:r>
      <w:r w:rsidRPr="00AB0420">
        <w:rPr>
          <w:rStyle w:val="Refdenotaalpie"/>
          <w:rFonts w:ascii="Verdana" w:eastAsia="Calibri" w:hAnsi="Verdana" w:cs="Arial"/>
          <w:color w:val="000000" w:themeColor="text1"/>
        </w:rPr>
        <w:footnoteReference w:id="7"/>
      </w:r>
      <w:r w:rsidRPr="00AB0420">
        <w:rPr>
          <w:rFonts w:ascii="Verdana" w:eastAsia="Calibri" w:hAnsi="Verdana" w:cs="Arial"/>
          <w:color w:val="000000" w:themeColor="text1"/>
        </w:rPr>
        <w:t>. Cabe precisar que las decisiones adoptadas en el auto indicado fueron mantenidas en su mayoría en el Auto del 15 de marzo de 2022 de la Sala Plena del Consejo de Estado</w:t>
      </w:r>
      <w:r w:rsidRPr="00AB0420">
        <w:rPr>
          <w:rFonts w:ascii="Verdana" w:eastAsia="Calibri" w:hAnsi="Verdana" w:cs="Arial"/>
          <w:color w:val="000000" w:themeColor="text1"/>
          <w:vertAlign w:val="superscript"/>
        </w:rPr>
        <w:footnoteReference w:id="8"/>
      </w:r>
      <w:r w:rsidRPr="00AB0420">
        <w:rPr>
          <w:rFonts w:ascii="Verdana" w:eastAsia="Calibri" w:hAnsi="Verdana" w:cs="Arial"/>
          <w:color w:val="000000" w:themeColor="text1"/>
        </w:rPr>
        <w:t xml:space="preserve">, mediante el cual se resuelve el recurso de súplica frente al anterior auto que, como se explicará, suspendió provisionalmente varios apartes del Decreto 092 de 2017. En este sentido, en el último auto se levantó la suspensión provisional del inciso segundo del artículo 1 y del inciso segundo del artículo 3, manteniendo en lo demás la suspensión provisional, como se precisará a continuación. </w:t>
      </w:r>
    </w:p>
    <w:p w14:paraId="6164EBC1" w14:textId="77777777" w:rsidR="000E1219" w:rsidRPr="00AB0420" w:rsidRDefault="000E1219" w:rsidP="000E1219">
      <w:pPr>
        <w:spacing w:before="120" w:after="0" w:line="276" w:lineRule="auto"/>
        <w:ind w:firstLine="708"/>
        <w:jc w:val="both"/>
        <w:rPr>
          <w:rFonts w:ascii="Verdana" w:eastAsia="Calibri" w:hAnsi="Verdana" w:cs="Arial"/>
          <w:color w:val="000000" w:themeColor="text1"/>
        </w:rPr>
      </w:pPr>
      <w:r w:rsidRPr="00AB0420">
        <w:rPr>
          <w:rFonts w:ascii="Verdana" w:eastAsia="Calibri" w:hAnsi="Verdana" w:cs="Arial"/>
          <w:color w:val="000000" w:themeColor="text1"/>
        </w:rPr>
        <w:t xml:space="preserve">La </w:t>
      </w:r>
      <w:r w:rsidRPr="00AB0420">
        <w:rPr>
          <w:rFonts w:ascii="Verdana" w:eastAsia="Calibri" w:hAnsi="Verdana" w:cs="Arial"/>
          <w:i/>
          <w:iCs/>
          <w:color w:val="000000" w:themeColor="text1"/>
        </w:rPr>
        <w:t>primera</w:t>
      </w:r>
      <w:r w:rsidRPr="00AB0420">
        <w:rPr>
          <w:rFonts w:ascii="Verdana" w:eastAsia="Calibri" w:hAnsi="Verdana" w:cs="Arial"/>
          <w:color w:val="000000" w:themeColor="text1"/>
        </w:rPr>
        <w:t xml:space="preserve"> norma que estudió el Consejo de Estado en el auto del 6 de agosto de 2019 fue el inciso 2 del artículo 1 del Decreto 092 de 2017, el cual establece que la interpretación de las expresiones que se encuentran en mayúsculas en el Decreto 092 de 2017 se harían de conformidad con la guía que expida la Agencia Nacional de Contratación Pública</w:t>
      </w:r>
      <w:r w:rsidRPr="00AB0420">
        <w:rPr>
          <w:rStyle w:val="Refdenotaalpie"/>
          <w:rFonts w:ascii="Verdana" w:eastAsia="Calibri" w:hAnsi="Verdana" w:cs="Arial"/>
          <w:color w:val="000000" w:themeColor="text1"/>
        </w:rPr>
        <w:footnoteReference w:id="9"/>
      </w:r>
      <w:r w:rsidRPr="00AB0420">
        <w:rPr>
          <w:rFonts w:ascii="Verdana" w:eastAsia="Calibri" w:hAnsi="Verdana" w:cs="Arial"/>
          <w:color w:val="000000" w:themeColor="text1"/>
        </w:rPr>
        <w:t xml:space="preserve">. Señaló que esta disposición, </w:t>
      </w:r>
      <w:r w:rsidRPr="00AB0420">
        <w:rPr>
          <w:rFonts w:ascii="Verdana" w:eastAsia="Calibri" w:hAnsi="Verdana" w:cs="Arial"/>
          <w:color w:val="000000" w:themeColor="text1"/>
        </w:rPr>
        <w:lastRenderedPageBreak/>
        <w:t>así como el inciso segundo del artículo 3 del Decreto 092 de 2017</w:t>
      </w:r>
      <w:r w:rsidRPr="00AB0420">
        <w:rPr>
          <w:rStyle w:val="Refdenotaalpie"/>
          <w:rFonts w:ascii="Verdana" w:eastAsia="Calibri" w:hAnsi="Verdana" w:cs="Arial"/>
          <w:color w:val="000000" w:themeColor="text1"/>
        </w:rPr>
        <w:footnoteReference w:id="10"/>
      </w:r>
      <w:r w:rsidRPr="00AB0420">
        <w:rPr>
          <w:rFonts w:ascii="Verdana" w:eastAsia="Calibri" w:hAnsi="Verdana" w:cs="Arial"/>
          <w:color w:val="000000" w:themeColor="text1"/>
        </w:rPr>
        <w:t xml:space="preserve">, excedían la potestad reglamentaria, que estaba exclusivamente asignada al Presidente de la República, toda vez que la esencia de la facultad reglamentaria es de carácter permanente, inalienable, intransferible e irrenunciable, y el Presidente no la podía delegar en una entidad como la Agencia Nacional de Contratación Pública – Colombia Compra Eficiente, para que a través de una guía reglamentara los vacíos de un Decreto. Al respecto señaló: </w:t>
      </w:r>
    </w:p>
    <w:p w14:paraId="77B52A7E" w14:textId="77777777" w:rsidR="000E1219" w:rsidRPr="00AB0420" w:rsidRDefault="000E1219" w:rsidP="000E1219">
      <w:pPr>
        <w:spacing w:after="0" w:line="276" w:lineRule="auto"/>
        <w:jc w:val="both"/>
        <w:rPr>
          <w:rFonts w:ascii="Verdana" w:eastAsia="Calibri" w:hAnsi="Verdana" w:cs="Arial"/>
          <w:color w:val="000000" w:themeColor="text1"/>
        </w:rPr>
      </w:pPr>
    </w:p>
    <w:p w14:paraId="7C2C2CBD" w14:textId="77777777" w:rsidR="000E1219" w:rsidRPr="00AB0420" w:rsidRDefault="000E1219" w:rsidP="000E1219">
      <w:pPr>
        <w:tabs>
          <w:tab w:val="left" w:pos="8789"/>
        </w:tabs>
        <w:spacing w:after="0" w:line="240" w:lineRule="auto"/>
        <w:ind w:left="708" w:right="709"/>
        <w:jc w:val="both"/>
        <w:rPr>
          <w:rFonts w:ascii="Verdana" w:eastAsia="Calibri" w:hAnsi="Verdana" w:cs="Arial"/>
          <w:color w:val="000000" w:themeColor="text1"/>
          <w:sz w:val="20"/>
          <w:szCs w:val="20"/>
        </w:rPr>
      </w:pPr>
      <w:r w:rsidRPr="00AB0420">
        <w:rPr>
          <w:rFonts w:ascii="Verdana" w:eastAsia="Calibri" w:hAnsi="Verdana" w:cs="Arial"/>
          <w:color w:val="000000" w:themeColor="text1"/>
          <w:sz w:val="20"/>
          <w:szCs w:val="20"/>
        </w:rPr>
        <w:t>“En efecto, dejar espacios ‘vacíos’ para que Colombia Compra Eficiente defina el alcance y la interpretación de ciertas expresiones y dicte las ‘pautas’ y ‘criterios’ para desarrollar la materia reglamentada no es otra cosa que delegar la reglamentación, pues materialmente se le encomienda a otra autoridad administrativa la labor de completar el ejercicio reglamentario que hizo el Gobierno Nacional o, cuando menos, se le encomienda la tarea de complementar una reglamentación insuficiente que hizo la autoridad competente, tarea que no puede ser asignada por el Presidente de la República a ningún otro organismo o entidad de la administración (distinto del Gobierno Nacional), puesto que, sin duda, quien estaría concurriendo materialmente en tal caso a reglamentar la norma constitucional sería la autoridad delegataria y no el competente para ello, según lo dispuesto por el constituyente”.</w:t>
      </w:r>
    </w:p>
    <w:p w14:paraId="45BD505C" w14:textId="77777777" w:rsidR="000E1219" w:rsidRPr="00AB0420" w:rsidRDefault="000E1219" w:rsidP="000E1219">
      <w:pPr>
        <w:tabs>
          <w:tab w:val="left" w:pos="8789"/>
        </w:tabs>
        <w:spacing w:after="0" w:line="276" w:lineRule="auto"/>
        <w:ind w:left="708" w:right="709"/>
        <w:jc w:val="both"/>
        <w:rPr>
          <w:rFonts w:ascii="Verdana" w:eastAsia="Calibri" w:hAnsi="Verdana" w:cs="Arial"/>
          <w:color w:val="000000" w:themeColor="text1"/>
        </w:rPr>
      </w:pPr>
    </w:p>
    <w:p w14:paraId="0AC0C373" w14:textId="77777777" w:rsidR="000E1219" w:rsidRPr="00AB0420" w:rsidRDefault="000E1219" w:rsidP="000E1219">
      <w:pPr>
        <w:spacing w:after="0" w:line="276" w:lineRule="auto"/>
        <w:ind w:firstLine="709"/>
        <w:jc w:val="both"/>
        <w:rPr>
          <w:rFonts w:ascii="Verdana" w:eastAsia="Calibri" w:hAnsi="Verdana" w:cs="Arial"/>
          <w:color w:val="000000" w:themeColor="text1"/>
        </w:rPr>
      </w:pPr>
      <w:r w:rsidRPr="00AB0420">
        <w:rPr>
          <w:rFonts w:ascii="Verdana" w:eastAsia="Calibri" w:hAnsi="Verdana" w:cs="Arial"/>
          <w:color w:val="000000" w:themeColor="text1"/>
        </w:rPr>
        <w:t>En virtud de este análisis, el Consejo de Estado, en el auto del 9 de agosto de 2019 suspendió provisionalmente el inciso 2 del artículo primero y el inciso 2 del artículo 3, lo que significaba que los contratos celebrados con entidades sin ánimo de lucro no tenían que aplicar la “Guía para la contratación con entidades privadas sin ánimo de lucro y de reconocida idoneidad”, expedida por la Agencia Nacional de Contratación Pública–Colombia Compra Eficiente. Sin embargo, mediante el auto del 15 de marzo de 2022 de la Sala Plena del Consejo de Estado, al que se hizo referencia en inicio de este acápite, se ordenó levantar la suspensión provisional del inciso segundo del artículo 1 y del inciso segundo del artículo 3, al considerar la Alta Corporación que:</w:t>
      </w:r>
    </w:p>
    <w:p w14:paraId="2016C714" w14:textId="77777777" w:rsidR="000E1219" w:rsidRPr="00AB0420" w:rsidRDefault="000E1219" w:rsidP="000E1219">
      <w:pPr>
        <w:spacing w:after="0" w:line="276" w:lineRule="auto"/>
        <w:ind w:firstLine="709"/>
        <w:jc w:val="both"/>
        <w:rPr>
          <w:rFonts w:ascii="Verdana" w:eastAsia="Calibri" w:hAnsi="Verdana" w:cs="Arial"/>
          <w:color w:val="000000" w:themeColor="text1"/>
        </w:rPr>
      </w:pPr>
    </w:p>
    <w:p w14:paraId="24E01BDD" w14:textId="77777777" w:rsidR="000E1219" w:rsidRPr="00AB0420" w:rsidRDefault="000E1219" w:rsidP="000E1219">
      <w:pPr>
        <w:spacing w:after="0" w:line="240" w:lineRule="auto"/>
        <w:ind w:left="708" w:right="709"/>
        <w:jc w:val="both"/>
        <w:rPr>
          <w:rFonts w:ascii="Verdana" w:eastAsia="Calibri" w:hAnsi="Verdana" w:cs="Arial"/>
          <w:color w:val="000000" w:themeColor="text1"/>
          <w:sz w:val="20"/>
          <w:szCs w:val="20"/>
        </w:rPr>
      </w:pPr>
      <w:r w:rsidRPr="00AB0420">
        <w:rPr>
          <w:rFonts w:ascii="Verdana" w:eastAsia="Calibri" w:hAnsi="Verdana" w:cs="Arial"/>
          <w:color w:val="000000" w:themeColor="text1"/>
          <w:sz w:val="20"/>
          <w:szCs w:val="20"/>
        </w:rPr>
        <w:lastRenderedPageBreak/>
        <w:t>“28. Contrario a la conclusión a la que se arribó en el auto suplicado, la Sala observa que de la simple confrontación de la norma no se advierte, prima facie, que lo ordenado en el inciso segundo del artículo 1, así como en el inciso segundo del artículo 3 del Decreto 092 de 2017, conlleve, per se, la delegación de la facultad reglamentaria directa de la Constitución, atribuida al Gobierno nacional en el artículo 355 superior”.</w:t>
      </w:r>
    </w:p>
    <w:p w14:paraId="4499BFB5" w14:textId="77777777" w:rsidR="000E1219" w:rsidRPr="00AB0420" w:rsidRDefault="000E1219" w:rsidP="000E1219">
      <w:pPr>
        <w:spacing w:after="0" w:line="276" w:lineRule="auto"/>
        <w:ind w:left="708" w:right="709"/>
        <w:jc w:val="both"/>
        <w:rPr>
          <w:rFonts w:ascii="Verdana" w:eastAsia="Calibri" w:hAnsi="Verdana" w:cs="Arial"/>
          <w:color w:val="000000" w:themeColor="text1"/>
        </w:rPr>
      </w:pPr>
    </w:p>
    <w:p w14:paraId="595C5519" w14:textId="77777777" w:rsidR="000E1219" w:rsidRPr="00AB0420" w:rsidRDefault="000E1219" w:rsidP="000E1219">
      <w:pPr>
        <w:spacing w:after="0" w:line="276" w:lineRule="auto"/>
        <w:ind w:firstLine="709"/>
        <w:jc w:val="both"/>
        <w:rPr>
          <w:rFonts w:ascii="Verdana" w:eastAsia="Calibri" w:hAnsi="Verdana" w:cs="Arial"/>
          <w:color w:val="000000" w:themeColor="text1"/>
        </w:rPr>
      </w:pPr>
      <w:r w:rsidRPr="00AB0420">
        <w:rPr>
          <w:rFonts w:ascii="Verdana" w:eastAsia="Calibri" w:hAnsi="Verdana" w:cs="Arial"/>
          <w:color w:val="000000" w:themeColor="text1"/>
        </w:rPr>
        <w:t xml:space="preserve">En armonía con lo anterior, en relación con el inciso segundo del artículo primero del Decreto 092 de 2017, que establece que las expresiones utilizadas en el decreto con mayúscula inicial deben ser entendidas con el significado indicado en la guía que expida la Agencia Nacional de Contratación Pública – Colombia Compra Eficiente, el Consejo de Estado consideró procedente levantar la suspensión provisional, al considerar que: </w:t>
      </w:r>
    </w:p>
    <w:p w14:paraId="463991D3" w14:textId="77777777" w:rsidR="000E1219" w:rsidRPr="00AB0420" w:rsidRDefault="000E1219" w:rsidP="000E1219">
      <w:pPr>
        <w:spacing w:after="0" w:line="276" w:lineRule="auto"/>
        <w:ind w:firstLine="709"/>
        <w:jc w:val="both"/>
        <w:rPr>
          <w:rFonts w:ascii="Verdana" w:eastAsia="Calibri" w:hAnsi="Verdana" w:cs="Arial"/>
          <w:color w:val="000000" w:themeColor="text1"/>
        </w:rPr>
      </w:pPr>
    </w:p>
    <w:p w14:paraId="299C1B27" w14:textId="77777777" w:rsidR="000E1219" w:rsidRPr="00AB0420" w:rsidRDefault="000E1219" w:rsidP="000E1219">
      <w:pPr>
        <w:spacing w:after="0" w:line="240" w:lineRule="auto"/>
        <w:ind w:left="708" w:right="709"/>
        <w:jc w:val="both"/>
        <w:rPr>
          <w:rFonts w:ascii="Verdana" w:eastAsia="Calibri" w:hAnsi="Verdana" w:cs="Arial"/>
          <w:color w:val="000000" w:themeColor="text1"/>
          <w:sz w:val="20"/>
          <w:szCs w:val="20"/>
        </w:rPr>
      </w:pPr>
      <w:r w:rsidRPr="00AB0420">
        <w:rPr>
          <w:rFonts w:ascii="Verdana" w:eastAsia="Calibri" w:hAnsi="Verdana" w:cs="Arial"/>
          <w:color w:val="000000" w:themeColor="text1"/>
          <w:sz w:val="20"/>
          <w:szCs w:val="20"/>
        </w:rPr>
        <w:t>“35. En esa medida determinó el Gobierno nacional que para la interpretación del decreto que nos ocupa, las expresiones utilizadas con mayúscula inicial deben ser entendidas con el significado indicado en la guía que expida la Agencia Nacional de Contratación Pública –Colombia Compra Eficiente– para su correspondiente aplicación, lo que implica una orientación tendiente a propiciar una integración normativa con definiciones que ya existen en el ordenamiento jurídico y que fundamentará la interpretación de dichas expresiones. En este orden de ideas, no existe habilitación a Colombia Compra Eficiente para crear definiciones normativas de estas expresiones, sino que de las que ya cuenta el ordenamiento jurídico realiza la guía. Por ello, no hay delegación de la competencia para crear el decreto constitucional que le compete al Gobierno nacional”.</w:t>
      </w:r>
    </w:p>
    <w:p w14:paraId="64CA764A" w14:textId="77777777" w:rsidR="000E1219" w:rsidRPr="00AB0420" w:rsidRDefault="000E1219" w:rsidP="000E1219">
      <w:pPr>
        <w:spacing w:after="0" w:line="276" w:lineRule="auto"/>
        <w:ind w:firstLine="709"/>
        <w:jc w:val="both"/>
        <w:rPr>
          <w:rFonts w:ascii="Verdana" w:eastAsia="Calibri" w:hAnsi="Verdana" w:cs="Arial"/>
          <w:color w:val="000000" w:themeColor="text1"/>
        </w:rPr>
      </w:pPr>
    </w:p>
    <w:p w14:paraId="4628EDE4" w14:textId="77777777" w:rsidR="000E1219" w:rsidRPr="00AB0420" w:rsidRDefault="000E1219" w:rsidP="000E1219">
      <w:pPr>
        <w:spacing w:line="276" w:lineRule="auto"/>
        <w:ind w:firstLine="709"/>
        <w:jc w:val="both"/>
        <w:rPr>
          <w:rFonts w:ascii="Verdana" w:eastAsia="Calibri" w:hAnsi="Verdana" w:cs="Arial"/>
          <w:color w:val="000000" w:themeColor="text1"/>
        </w:rPr>
      </w:pPr>
      <w:r w:rsidRPr="00AB0420">
        <w:rPr>
          <w:rFonts w:ascii="Verdana" w:eastAsia="Calibri" w:hAnsi="Verdana" w:cs="Arial"/>
          <w:color w:val="000000" w:themeColor="text1"/>
        </w:rPr>
        <w:t>Además, en relación con el inciso segundo del artículo 3, que establece que la Entidad Estatal debe definir en los documentos del proceso las características que debe acreditar la entidad sin ánimo de lucro, para lo que deberá tener en consideración los criterios establecidos en la guía que expida Colombia Compra Eficiente, el Consejo de Estado también resolvió levantar la suspensión provisional, al considerar que el análisis sobre su validez se debe reservar para el momento en que se profiera la sentencia respectiva, pues, a su juicio, no resulta evidente que se haya delegado indebidamente el ejercicio de la potestad reglamentaria</w:t>
      </w:r>
      <w:r w:rsidRPr="00AB0420">
        <w:rPr>
          <w:rStyle w:val="Refdenotaalpie"/>
          <w:rFonts w:ascii="Verdana" w:eastAsia="Calibri" w:hAnsi="Verdana" w:cs="Arial"/>
          <w:color w:val="000000" w:themeColor="text1"/>
        </w:rPr>
        <w:footnoteReference w:id="11"/>
      </w:r>
      <w:r w:rsidRPr="00AB0420">
        <w:rPr>
          <w:rFonts w:ascii="Verdana" w:eastAsia="Calibri" w:hAnsi="Verdana" w:cs="Arial"/>
          <w:color w:val="000000" w:themeColor="text1"/>
        </w:rPr>
        <w:t>.</w:t>
      </w:r>
    </w:p>
    <w:p w14:paraId="2B3B2B15" w14:textId="77777777" w:rsidR="000E1219" w:rsidRPr="00AB0420" w:rsidRDefault="000E1219" w:rsidP="000E1219">
      <w:pPr>
        <w:spacing w:before="120" w:line="276" w:lineRule="auto"/>
        <w:ind w:firstLine="709"/>
        <w:jc w:val="both"/>
        <w:rPr>
          <w:rFonts w:ascii="Verdana" w:eastAsia="Calibri" w:hAnsi="Verdana" w:cs="Arial"/>
          <w:color w:val="000000" w:themeColor="text1"/>
        </w:rPr>
      </w:pPr>
      <w:r w:rsidRPr="00AB0420">
        <w:rPr>
          <w:rFonts w:ascii="Verdana" w:eastAsia="Calibri" w:hAnsi="Verdana" w:cs="Arial"/>
          <w:color w:val="000000" w:themeColor="text1"/>
        </w:rPr>
        <w:lastRenderedPageBreak/>
        <w:t>Ahora bien, cabe precisar que mediante el auto del 15 de marzo de 2022 de la Sala Plena del Consejo de Estado únicamente se levantó la suspensión provisional de las normas desarrolladas hasta este lugar, por lo que, en lo demás, se confirmó la decisión de suspensión provisional de los demás apartes del Decreto 019 de 2017 dictada en el auto del 6 de agosto de 2019, como se procede a explicar.</w:t>
      </w:r>
    </w:p>
    <w:p w14:paraId="17F083A5" w14:textId="77777777" w:rsidR="000E1219" w:rsidRPr="00AB0420" w:rsidRDefault="000E1219" w:rsidP="000E1219">
      <w:pPr>
        <w:spacing w:before="120" w:after="0" w:line="276" w:lineRule="auto"/>
        <w:ind w:firstLine="709"/>
        <w:jc w:val="both"/>
        <w:rPr>
          <w:rFonts w:ascii="Verdana" w:eastAsia="Calibri" w:hAnsi="Verdana" w:cs="Arial"/>
          <w:color w:val="000000" w:themeColor="text1"/>
        </w:rPr>
      </w:pPr>
      <w:r w:rsidRPr="00AB0420">
        <w:rPr>
          <w:rFonts w:ascii="Verdana" w:eastAsia="Calibri" w:hAnsi="Verdana" w:cs="Arial"/>
          <w:color w:val="000000" w:themeColor="text1"/>
        </w:rPr>
        <w:t xml:space="preserve">La </w:t>
      </w:r>
      <w:r w:rsidRPr="00AB0420">
        <w:rPr>
          <w:rFonts w:ascii="Verdana" w:eastAsia="Calibri" w:hAnsi="Verdana" w:cs="Arial"/>
          <w:i/>
          <w:iCs/>
          <w:color w:val="000000" w:themeColor="text1"/>
        </w:rPr>
        <w:t>segunda</w:t>
      </w:r>
      <w:r w:rsidRPr="00AB0420">
        <w:rPr>
          <w:rFonts w:ascii="Verdana" w:eastAsia="Calibri" w:hAnsi="Verdana" w:cs="Arial"/>
          <w:color w:val="000000" w:themeColor="text1"/>
        </w:rPr>
        <w:t xml:space="preserve"> norma que analizó el Consejo de Estado en el auto del 6 de agosto de 2019, fue el literal a), del artículo 2, del Decreto 092, que establece que únicamente se podrá contratar con entidades privadas sin ánimo de lucro cuando el objeto corresponda directamente con los planes de desarrollo y busque exclusivamente promover los derechos de personas en situación de debilidad manifiesta o indefensión, los derechos de las minorías, el derecho a la educación, el derecho a la paz, las manifestaciones artísticas, culturales, deportivas y de promoción de la diversidad étnica colombiana</w:t>
      </w:r>
      <w:r w:rsidRPr="00AB0420">
        <w:rPr>
          <w:rStyle w:val="Refdenotaalpie"/>
          <w:rFonts w:ascii="Verdana" w:hAnsi="Verdana" w:cs="Arial"/>
          <w:color w:val="000000" w:themeColor="text1"/>
        </w:rPr>
        <w:footnoteReference w:id="12"/>
      </w:r>
      <w:r w:rsidRPr="00AB0420">
        <w:rPr>
          <w:rFonts w:ascii="Verdana" w:eastAsia="Calibri" w:hAnsi="Verdana" w:cs="Arial"/>
          <w:color w:val="000000" w:themeColor="text1"/>
        </w:rPr>
        <w:t xml:space="preserve">. </w:t>
      </w:r>
      <w:bookmarkStart w:id="7" w:name="_Hlk95756502"/>
      <w:r w:rsidRPr="00AB0420">
        <w:rPr>
          <w:rFonts w:ascii="Verdana" w:eastAsia="Calibri" w:hAnsi="Verdana" w:cs="Arial"/>
          <w:color w:val="000000" w:themeColor="text1"/>
        </w:rPr>
        <w:t xml:space="preserve">En relación con esta norma, encontró que el literal a) del artículo 2 establece dos condiciones contrarias al artículo 355 de la Constitución Política: primero, que el objeto tenga que estar “directamente” en los planes de desarrollo –nacional o territorial– cuando la norma constitucional establece que el objeto debe ser “acorde” con el plan nacional o seccional de desarrollo, lo que implica que el objeto del contrato no debe estar explícitamente en el plan de desarrollo sino que se encuentre en </w:t>
      </w:r>
      <w:r w:rsidRPr="00AB0420">
        <w:rPr>
          <w:rFonts w:ascii="Verdana" w:eastAsia="Calibri" w:hAnsi="Verdana" w:cs="Arial"/>
          <w:color w:val="000000" w:themeColor="text1"/>
        </w:rPr>
        <w:lastRenderedPageBreak/>
        <w:t xml:space="preserve">armonía con este. </w:t>
      </w:r>
      <w:bookmarkEnd w:id="7"/>
      <w:r w:rsidRPr="00AB0420">
        <w:rPr>
          <w:rFonts w:ascii="Verdana" w:eastAsia="Calibri" w:hAnsi="Verdana" w:cs="Arial"/>
          <w:color w:val="000000" w:themeColor="text1"/>
        </w:rPr>
        <w:t xml:space="preserve">En relación con lo anterior, el auto del Consejo de Estado explica que: </w:t>
      </w:r>
    </w:p>
    <w:p w14:paraId="00F72192" w14:textId="77777777" w:rsidR="000E1219" w:rsidRPr="00AB0420" w:rsidRDefault="000E1219" w:rsidP="000E1219">
      <w:pPr>
        <w:spacing w:after="0" w:line="276" w:lineRule="auto"/>
        <w:jc w:val="both"/>
        <w:rPr>
          <w:rFonts w:ascii="Verdana" w:eastAsia="Calibri" w:hAnsi="Verdana" w:cs="Arial"/>
          <w:color w:val="000000" w:themeColor="text1"/>
        </w:rPr>
      </w:pPr>
    </w:p>
    <w:p w14:paraId="23CF7C3D" w14:textId="77777777" w:rsidR="000E1219" w:rsidRPr="00AB0420" w:rsidRDefault="000E1219" w:rsidP="000E1219">
      <w:pPr>
        <w:spacing w:after="0" w:line="240" w:lineRule="auto"/>
        <w:ind w:left="708" w:right="709"/>
        <w:jc w:val="both"/>
        <w:rPr>
          <w:rFonts w:ascii="Verdana" w:eastAsia="Calibri" w:hAnsi="Verdana" w:cs="Arial"/>
          <w:color w:val="000000" w:themeColor="text1"/>
          <w:sz w:val="20"/>
          <w:szCs w:val="20"/>
        </w:rPr>
      </w:pPr>
      <w:r w:rsidRPr="00AB0420">
        <w:rPr>
          <w:rFonts w:ascii="Verdana" w:eastAsia="Calibri" w:hAnsi="Verdana" w:cs="Arial"/>
          <w:color w:val="000000" w:themeColor="text1"/>
          <w:sz w:val="20"/>
          <w:szCs w:val="20"/>
        </w:rPr>
        <w:t xml:space="preserve">“El aparte acusado exige que el objeto del contrato corresponda directamente a los programas contenidos en los diferentes planes de desarrollo, pero ello, así concebido, es propio de los procesos de selección a los que deben someterse los contratos ordinarios de la administración pública; al respecto, recuérdese que los contratos referidos en el mencionado artículo 355 no están sometidos a la lógica de los contratos ordinarios, pues tienen como finalidad impulsar los programas y actividades de interés público que desarrollen las entidades sin ánimo de lucro, para lo cual únicamente se exige que sean acordes con los que, a su vez, estén contemplados en los correspondientes planes de desarrollo”. </w:t>
      </w:r>
    </w:p>
    <w:p w14:paraId="69DDEB5A" w14:textId="77777777" w:rsidR="000E1219" w:rsidRPr="00AB0420" w:rsidRDefault="000E1219" w:rsidP="000E1219">
      <w:pPr>
        <w:spacing w:after="0" w:line="276" w:lineRule="auto"/>
        <w:jc w:val="both"/>
        <w:rPr>
          <w:rFonts w:ascii="Verdana" w:eastAsia="Calibri" w:hAnsi="Verdana" w:cs="Arial"/>
          <w:color w:val="000000" w:themeColor="text1"/>
        </w:rPr>
      </w:pPr>
    </w:p>
    <w:p w14:paraId="019AD412" w14:textId="77777777" w:rsidR="000E1219" w:rsidRPr="00AB0420" w:rsidRDefault="000E1219" w:rsidP="000E1219">
      <w:pPr>
        <w:spacing w:after="0" w:line="276" w:lineRule="auto"/>
        <w:ind w:firstLine="708"/>
        <w:jc w:val="both"/>
        <w:rPr>
          <w:rFonts w:ascii="Verdana" w:eastAsia="Calibri" w:hAnsi="Verdana" w:cs="Arial"/>
          <w:color w:val="000000" w:themeColor="text1"/>
        </w:rPr>
      </w:pPr>
      <w:r w:rsidRPr="00AB0420">
        <w:rPr>
          <w:rFonts w:ascii="Verdana" w:eastAsia="Calibri" w:hAnsi="Verdana" w:cs="Arial"/>
          <w:color w:val="000000" w:themeColor="text1"/>
        </w:rPr>
        <w:t xml:space="preserve">Asimismo, el Consejo de Estado consideró que el literal a) del artículo 2, al establecer que los programas y actividades de interés público deben buscar la promoción de los derechos de personas en situaciones de debilidad manifiesta o de indefensión, los derechos de las minorías, el derecho a la educación, el derecho a la paz, las manifestaciones artísticas, culturales, deportivas y de promoción de la diversidad étnica colombiana, limita el ámbito de aplicación que establece el artículo 355 de la Constitución Política. Al respecto expresa: </w:t>
      </w:r>
    </w:p>
    <w:p w14:paraId="2BC675C8" w14:textId="77777777" w:rsidR="000E1219" w:rsidRPr="00AB0420" w:rsidRDefault="000E1219" w:rsidP="000E1219">
      <w:pPr>
        <w:spacing w:after="0" w:line="276" w:lineRule="auto"/>
        <w:jc w:val="both"/>
        <w:rPr>
          <w:rFonts w:ascii="Verdana" w:eastAsia="Calibri" w:hAnsi="Verdana" w:cs="Arial"/>
          <w:color w:val="000000" w:themeColor="text1"/>
        </w:rPr>
      </w:pPr>
    </w:p>
    <w:p w14:paraId="77A138D2" w14:textId="77777777" w:rsidR="000E1219" w:rsidRPr="00AB0420" w:rsidRDefault="000E1219" w:rsidP="000E1219">
      <w:pPr>
        <w:tabs>
          <w:tab w:val="left" w:pos="8080"/>
        </w:tabs>
        <w:spacing w:after="0" w:line="240" w:lineRule="auto"/>
        <w:ind w:left="708" w:right="709"/>
        <w:jc w:val="both"/>
        <w:rPr>
          <w:rFonts w:ascii="Verdana" w:eastAsia="Calibri" w:hAnsi="Verdana" w:cs="Arial"/>
          <w:color w:val="000000" w:themeColor="text1"/>
          <w:sz w:val="20"/>
          <w:szCs w:val="20"/>
        </w:rPr>
      </w:pPr>
      <w:r w:rsidRPr="00AB0420">
        <w:rPr>
          <w:rFonts w:ascii="Verdana" w:eastAsia="Calibri" w:hAnsi="Verdana" w:cs="Arial"/>
          <w:color w:val="000000" w:themeColor="text1"/>
          <w:sz w:val="20"/>
          <w:szCs w:val="20"/>
        </w:rPr>
        <w:t xml:space="preserve">“Una limitación del anterior calado implica, sin duda, establecer una condición no prevista en la norma constitucional reglamentada. Esta última solo establece una restricción y es que la ‘causa’ del contrato tenga como finalidad ‘… impulsar programas y actividades de interés público acordes con el plan de desarrollo’, mientras que, por su parte, la norma acusada limita la celebración de tales contratos a que tengan como objeto la promoción de las actividades enunciadas anteriormente [letra a, art. 2 ibidem]. Si la norma constitucional restringe sólo la causa o la finalidad del contrato, quiere decir ello que, independientemente de su objeto, puede celebrarse en cualquier modalidad, siempre y cuando –claro está– su causa sea “acorde” con los planes de desarrollo, que es, en últimas, el propósito de la norma constitucional”. </w:t>
      </w:r>
    </w:p>
    <w:p w14:paraId="7F0DBA59" w14:textId="77777777" w:rsidR="000E1219" w:rsidRPr="00AB0420" w:rsidRDefault="000E1219" w:rsidP="000E1219">
      <w:pPr>
        <w:spacing w:after="0" w:line="276" w:lineRule="auto"/>
        <w:jc w:val="both"/>
        <w:rPr>
          <w:rFonts w:ascii="Verdana" w:eastAsia="Calibri" w:hAnsi="Verdana" w:cs="Arial"/>
          <w:color w:val="000000" w:themeColor="text1"/>
        </w:rPr>
      </w:pPr>
      <w:r w:rsidRPr="00AB0420">
        <w:rPr>
          <w:rFonts w:ascii="Verdana" w:eastAsia="Calibri" w:hAnsi="Verdana" w:cs="Arial"/>
          <w:color w:val="000000" w:themeColor="text1"/>
        </w:rPr>
        <w:t xml:space="preserve"> </w:t>
      </w:r>
    </w:p>
    <w:p w14:paraId="4CB2D9B3" w14:textId="77777777" w:rsidR="000E1219" w:rsidRPr="00AB0420" w:rsidRDefault="000E1219" w:rsidP="000E1219">
      <w:pPr>
        <w:spacing w:line="276" w:lineRule="auto"/>
        <w:ind w:firstLine="709"/>
        <w:jc w:val="both"/>
        <w:rPr>
          <w:rFonts w:ascii="Verdana" w:eastAsia="Calibri" w:hAnsi="Verdana" w:cs="Arial"/>
          <w:color w:val="000000" w:themeColor="text1"/>
        </w:rPr>
      </w:pPr>
      <w:bookmarkStart w:id="8" w:name="_Hlk95756534"/>
      <w:r w:rsidRPr="00AB0420">
        <w:rPr>
          <w:rFonts w:ascii="Verdana" w:eastAsia="Calibri" w:hAnsi="Verdana" w:cs="Arial"/>
          <w:color w:val="000000" w:themeColor="text1"/>
        </w:rPr>
        <w:t>Así las cosas, el Consejo de Estado suspendió provisionalmente el literal a), por lo cual el objeto de los contratos debe ser acorde con los planes nacionales o seccionales de desarrollo; y no necesariamente estar previstos directamente en ellos. Por lo demás, no solo se pueden celebrar contratos para los objetos específicos señalados en el Decreto 092 de 2017.</w:t>
      </w:r>
    </w:p>
    <w:bookmarkEnd w:id="8"/>
    <w:p w14:paraId="04567B20" w14:textId="77777777" w:rsidR="000E1219" w:rsidRPr="00AB0420" w:rsidRDefault="000E1219" w:rsidP="000E1219">
      <w:pPr>
        <w:spacing w:after="0" w:line="276" w:lineRule="auto"/>
        <w:ind w:firstLine="709"/>
        <w:jc w:val="both"/>
        <w:rPr>
          <w:rFonts w:ascii="Verdana" w:eastAsia="Calibri" w:hAnsi="Verdana" w:cs="Arial"/>
          <w:color w:val="000000" w:themeColor="text1"/>
        </w:rPr>
      </w:pPr>
      <w:r w:rsidRPr="00AB0420">
        <w:rPr>
          <w:rFonts w:ascii="Verdana" w:eastAsia="Calibri" w:hAnsi="Verdana" w:cs="Arial"/>
          <w:color w:val="000000" w:themeColor="text1"/>
        </w:rPr>
        <w:lastRenderedPageBreak/>
        <w:t xml:space="preserve">El Consejo de Estado, en el auto del 6 de agosto de 2019, en </w:t>
      </w:r>
      <w:r w:rsidRPr="00AB0420">
        <w:rPr>
          <w:rFonts w:ascii="Verdana" w:eastAsia="Calibri" w:hAnsi="Verdana" w:cs="Arial"/>
          <w:i/>
          <w:iCs/>
          <w:color w:val="000000" w:themeColor="text1"/>
        </w:rPr>
        <w:t>tercer</w:t>
      </w:r>
      <w:r w:rsidRPr="00AB0420">
        <w:rPr>
          <w:rFonts w:ascii="Verdana" w:eastAsia="Calibri" w:hAnsi="Verdana" w:cs="Arial"/>
          <w:color w:val="000000" w:themeColor="text1"/>
        </w:rPr>
        <w:t xml:space="preserve"> lugar, examinó el literal c) y el inciso 5 del artículo 2 del Decreto</w:t>
      </w:r>
      <w:r w:rsidRPr="00AB0420">
        <w:rPr>
          <w:rStyle w:val="Refdenotaalpie"/>
          <w:rFonts w:ascii="Verdana" w:eastAsia="Calibri" w:hAnsi="Verdana" w:cs="Arial"/>
          <w:color w:val="000000" w:themeColor="text1"/>
        </w:rPr>
        <w:footnoteReference w:id="13"/>
      </w:r>
      <w:r w:rsidRPr="00AB0420">
        <w:rPr>
          <w:rFonts w:ascii="Verdana" w:eastAsia="Calibri" w:hAnsi="Verdana" w:cs="Arial"/>
          <w:color w:val="000000" w:themeColor="text1"/>
        </w:rPr>
        <w:t xml:space="preserve">, señalando que contraría la norma constitucional al condicionar que los contratos solo se pueden celebrar cuando no exista oferta en el mercado, sometiendo su celebración a que, de existir oferta, la contratación con las entidades sin ánimo de lucro represente la optimización de los recursos públicos en términos de eficiencia, eficacia, economía y manejo del riesgo, toda vez que se desconocería la naturaleza de las entidades sin ánimo de lucro que implica que ellas no participan en el mercado de bienes y servicios de la misma forma que las demás sociedades. En este sentido, el Consejo de Estado manifestó: </w:t>
      </w:r>
    </w:p>
    <w:p w14:paraId="04BE3EF7" w14:textId="77777777" w:rsidR="000E1219" w:rsidRPr="00AB0420" w:rsidRDefault="000E1219" w:rsidP="000E1219">
      <w:pPr>
        <w:spacing w:after="0" w:line="276" w:lineRule="auto"/>
        <w:jc w:val="both"/>
        <w:rPr>
          <w:rFonts w:ascii="Verdana" w:eastAsia="Calibri" w:hAnsi="Verdana" w:cs="Arial"/>
          <w:color w:val="000000" w:themeColor="text1"/>
        </w:rPr>
      </w:pPr>
    </w:p>
    <w:p w14:paraId="11823006" w14:textId="77777777" w:rsidR="000E1219" w:rsidRPr="00AB0420" w:rsidRDefault="000E1219" w:rsidP="000E1219">
      <w:pPr>
        <w:spacing w:after="0" w:line="240" w:lineRule="auto"/>
        <w:ind w:left="708" w:right="709"/>
        <w:jc w:val="both"/>
        <w:rPr>
          <w:rFonts w:ascii="Verdana" w:eastAsia="Calibri" w:hAnsi="Verdana" w:cs="Arial"/>
          <w:color w:val="000000" w:themeColor="text1"/>
          <w:sz w:val="20"/>
          <w:szCs w:val="20"/>
        </w:rPr>
      </w:pPr>
      <w:r w:rsidRPr="00AB0420">
        <w:rPr>
          <w:rFonts w:ascii="Verdana" w:eastAsia="Calibri" w:hAnsi="Verdana" w:cs="Arial"/>
          <w:color w:val="000000" w:themeColor="text1"/>
          <w:sz w:val="20"/>
          <w:szCs w:val="20"/>
        </w:rPr>
        <w:t>“El propósito de garantizar la libre competencia en el mercado –como se advierte de la lectura del acto acusado– no se ajusta a la finalidad de la norma constitucional en cita, pues desconoce que las entidades sin ánimo de lucro no participan en el mercado de bienes y servicios como lo hacen las demás y, por la misma razón, no se les pueden aplicar las reglas de selección contenidas en el Estatuto General de la Contratación Pública. Las entidades a las cuales la norma constitucional busca apoyar son entidades que (i) no tienen ánimo de lucro y (</w:t>
      </w:r>
      <w:proofErr w:type="spellStart"/>
      <w:r w:rsidRPr="00AB0420">
        <w:rPr>
          <w:rFonts w:ascii="Verdana" w:eastAsia="Calibri" w:hAnsi="Verdana" w:cs="Arial"/>
          <w:color w:val="000000" w:themeColor="text1"/>
          <w:sz w:val="20"/>
          <w:szCs w:val="20"/>
        </w:rPr>
        <w:t>ii</w:t>
      </w:r>
      <w:proofErr w:type="spellEnd"/>
      <w:r w:rsidRPr="00AB0420">
        <w:rPr>
          <w:rFonts w:ascii="Verdana" w:eastAsia="Calibri" w:hAnsi="Verdana" w:cs="Arial"/>
          <w:color w:val="000000" w:themeColor="text1"/>
          <w:sz w:val="20"/>
          <w:szCs w:val="20"/>
        </w:rPr>
        <w:t>) desarrollan programas y actividades de interés público con reconocida idoneidad. No son, entonces, entidades creadas para competir en el mercado”.</w:t>
      </w:r>
    </w:p>
    <w:p w14:paraId="4A7902B0" w14:textId="77777777" w:rsidR="000E1219" w:rsidRPr="00AB0420" w:rsidRDefault="000E1219" w:rsidP="000E1219">
      <w:pPr>
        <w:spacing w:after="0" w:line="276" w:lineRule="auto"/>
        <w:jc w:val="both"/>
        <w:rPr>
          <w:rFonts w:ascii="Verdana" w:eastAsia="Calibri" w:hAnsi="Verdana" w:cs="Arial"/>
          <w:color w:val="000000" w:themeColor="text1"/>
        </w:rPr>
      </w:pPr>
    </w:p>
    <w:p w14:paraId="1F68EFBC" w14:textId="77777777" w:rsidR="000E1219" w:rsidRPr="00AB0420" w:rsidRDefault="000E1219" w:rsidP="000E1219">
      <w:pPr>
        <w:spacing w:line="276" w:lineRule="auto"/>
        <w:ind w:firstLine="709"/>
        <w:jc w:val="both"/>
        <w:rPr>
          <w:rFonts w:ascii="Verdana" w:eastAsia="Calibri" w:hAnsi="Verdana" w:cs="Arial"/>
          <w:color w:val="000000" w:themeColor="text1"/>
        </w:rPr>
      </w:pPr>
      <w:r w:rsidRPr="00AB0420">
        <w:rPr>
          <w:rFonts w:ascii="Verdana" w:eastAsia="Calibri" w:hAnsi="Verdana" w:cs="Arial"/>
          <w:color w:val="000000" w:themeColor="text1"/>
        </w:rPr>
        <w:t>Por tanto, suspendió provisionalmente el literal c) y el inciso 5º del artículo 2 del Decreto 092 de 2017, razón por la cual los procesos de contratación con entidades privadas sin ánimo de lucro no quedan condicionados a la inexistencia de oferta en el mercado de bienes y servicios, ni a que la ESAL garantice la mejor oferta y la optimización de los recursos públicos. Lo anterior, en la medida que estas condiciones son propias de la contratación del Estatuto General de Contratación de la Administración Pública, no del régimen jurídico especial que establece el artículo 355 de la Constitución Política.</w:t>
      </w:r>
    </w:p>
    <w:p w14:paraId="17C1B1F4" w14:textId="77777777" w:rsidR="000E1219" w:rsidRPr="00AB0420" w:rsidRDefault="000E1219" w:rsidP="000E1219">
      <w:pPr>
        <w:spacing w:after="0" w:line="276" w:lineRule="auto"/>
        <w:ind w:firstLine="709"/>
        <w:jc w:val="both"/>
        <w:rPr>
          <w:rFonts w:ascii="Verdana" w:eastAsia="Calibri" w:hAnsi="Verdana" w:cs="Arial"/>
          <w:color w:val="000000" w:themeColor="text1"/>
        </w:rPr>
      </w:pPr>
      <w:r w:rsidRPr="00AB0420">
        <w:rPr>
          <w:rFonts w:ascii="Verdana" w:eastAsia="Calibri" w:hAnsi="Verdana" w:cs="Arial"/>
          <w:color w:val="000000" w:themeColor="text1"/>
        </w:rPr>
        <w:t xml:space="preserve">La </w:t>
      </w:r>
      <w:r w:rsidRPr="00AB0420">
        <w:rPr>
          <w:rFonts w:ascii="Verdana" w:eastAsia="Calibri" w:hAnsi="Verdana" w:cs="Arial"/>
          <w:i/>
          <w:iCs/>
          <w:color w:val="000000" w:themeColor="text1"/>
        </w:rPr>
        <w:t>cuarta</w:t>
      </w:r>
      <w:r w:rsidRPr="00AB0420">
        <w:rPr>
          <w:rFonts w:ascii="Verdana" w:eastAsia="Calibri" w:hAnsi="Verdana" w:cs="Arial"/>
          <w:color w:val="000000" w:themeColor="text1"/>
        </w:rPr>
        <w:t xml:space="preserve"> norma que estudió el Consejo de Estado en el auto del 6 de agosto de 2019 fue el inciso final del artículo 4 del Decreto 092 de 2017, el cual </w:t>
      </w:r>
      <w:r w:rsidRPr="00AB0420">
        <w:rPr>
          <w:rFonts w:ascii="Verdana" w:eastAsia="Calibri" w:hAnsi="Verdana" w:cs="Arial"/>
          <w:color w:val="000000" w:themeColor="text1"/>
        </w:rPr>
        <w:lastRenderedPageBreak/>
        <w:t>hace referencia a la posibilidad de contratar directamente cuando el objeto del contrato esté relacionado con actividades artísticas, culturales, deportivas y de promoción de la diversidad étnica colombiana, que únicamente pueden ejecutar determinadas personas jurídicas o naturales</w:t>
      </w:r>
      <w:r w:rsidRPr="00AB0420">
        <w:rPr>
          <w:rStyle w:val="Refdenotaalpie"/>
          <w:rFonts w:ascii="Verdana" w:eastAsia="Calibri" w:hAnsi="Verdana" w:cs="Arial"/>
          <w:color w:val="000000" w:themeColor="text1"/>
        </w:rPr>
        <w:footnoteReference w:id="14"/>
      </w:r>
      <w:r w:rsidRPr="00AB0420">
        <w:rPr>
          <w:rFonts w:ascii="Verdana" w:eastAsia="Calibri" w:hAnsi="Verdana" w:cs="Arial"/>
          <w:color w:val="000000" w:themeColor="text1"/>
        </w:rPr>
        <w:t xml:space="preserve">. Para la Sala, esta norma vulnera el principio de igualdad, por establecer un privilegio para determinadas personas jurídicas o naturales que ejecutaran únicamente las actividades allí previstas, contratándolas sin realizar un proceso competitivo. El Consejo de Estado se pronunció en los siguientes términos: </w:t>
      </w:r>
    </w:p>
    <w:p w14:paraId="7CD48905" w14:textId="77777777" w:rsidR="000E1219" w:rsidRPr="00AB0420" w:rsidRDefault="000E1219" w:rsidP="000E1219">
      <w:pPr>
        <w:spacing w:after="0" w:line="276" w:lineRule="auto"/>
        <w:jc w:val="both"/>
        <w:rPr>
          <w:rFonts w:ascii="Verdana" w:eastAsia="Calibri" w:hAnsi="Verdana" w:cs="Arial"/>
          <w:color w:val="000000" w:themeColor="text1"/>
        </w:rPr>
      </w:pPr>
    </w:p>
    <w:p w14:paraId="00998B8B" w14:textId="77777777" w:rsidR="000E1219" w:rsidRPr="00AB0420" w:rsidRDefault="000E1219" w:rsidP="000E1219">
      <w:pPr>
        <w:spacing w:after="0" w:line="240" w:lineRule="auto"/>
        <w:ind w:left="708" w:right="709"/>
        <w:jc w:val="both"/>
        <w:rPr>
          <w:rFonts w:ascii="Verdana" w:eastAsia="Calibri" w:hAnsi="Verdana" w:cs="Arial"/>
          <w:color w:val="000000" w:themeColor="text1"/>
          <w:sz w:val="20"/>
          <w:szCs w:val="20"/>
        </w:rPr>
      </w:pPr>
      <w:r w:rsidRPr="00AB0420">
        <w:rPr>
          <w:rFonts w:ascii="Verdana" w:eastAsia="Calibri" w:hAnsi="Verdana" w:cs="Arial"/>
          <w:color w:val="000000" w:themeColor="text1"/>
          <w:sz w:val="20"/>
          <w:szCs w:val="20"/>
        </w:rPr>
        <w:t xml:space="preserve">“Puestas así las cosas, el despacho no encuentra motivo alguno para que se prescinda del proceso de selección cuando se identifique que el programa o actividad de interés público es ofrecido por más de una persona –natural o jurídica– simple y llanamente porque el objeto del proceso de contratación corresponda a actividades artísticas, culturales, deportivas y de promoción de la diversidad étnica. Esta razón, por tanto, es suficiente para concluir que el Gobierno Nacional le otorgó un tratamiento privilegiado a quienes desarrollen tales actividades (artísticas, culturales, deportivas y de promoción de la diversidad étnica) lo cual resulta claramente violatorio de la igualdad que debe gobernar este tipo de procedimientos contractuales. No se entiende, entonces, cuál es la razón para que se le asigne un tratamiento distinto a la contratación con este tipo de actividades (artísticas, culturales, deportivas y de promoción a la diversidad étnica) frente a las actividades de interés público de otra naturaleza”. </w:t>
      </w:r>
    </w:p>
    <w:p w14:paraId="1D8AF764" w14:textId="77777777" w:rsidR="000E1219" w:rsidRPr="00AB0420" w:rsidRDefault="000E1219" w:rsidP="000E1219">
      <w:pPr>
        <w:spacing w:after="0" w:line="276" w:lineRule="auto"/>
        <w:ind w:firstLine="709"/>
        <w:jc w:val="both"/>
        <w:rPr>
          <w:rFonts w:ascii="Verdana" w:eastAsia="Calibri" w:hAnsi="Verdana" w:cs="Arial"/>
          <w:color w:val="000000" w:themeColor="text1"/>
        </w:rPr>
      </w:pPr>
      <w:bookmarkStart w:id="9" w:name="_Hlk95756891"/>
    </w:p>
    <w:p w14:paraId="77416B07" w14:textId="77777777" w:rsidR="000E1219" w:rsidRPr="00AB0420" w:rsidRDefault="000E1219" w:rsidP="000E1219">
      <w:pPr>
        <w:spacing w:line="276" w:lineRule="auto"/>
        <w:ind w:firstLine="709"/>
        <w:jc w:val="both"/>
        <w:rPr>
          <w:rFonts w:ascii="Verdana" w:eastAsia="Calibri" w:hAnsi="Verdana" w:cs="Arial"/>
          <w:color w:val="000000" w:themeColor="text1"/>
        </w:rPr>
      </w:pPr>
      <w:r w:rsidRPr="00AB0420">
        <w:rPr>
          <w:rFonts w:ascii="Verdana" w:eastAsia="Calibri" w:hAnsi="Verdana" w:cs="Arial"/>
          <w:color w:val="000000" w:themeColor="text1"/>
        </w:rPr>
        <w:t xml:space="preserve">Por consiguiente, se suspendió provisionalmente el inciso final del artículo 4 por violar el principio de igualdad, de manera que la contratación de actividades y programas de interés público debe realizarse a través de un proceso competitivo para escoger a la entidad sin ánimo de lucro. </w:t>
      </w:r>
      <w:bookmarkEnd w:id="9"/>
      <w:r w:rsidRPr="00AB0420">
        <w:rPr>
          <w:rFonts w:ascii="Verdana" w:eastAsia="Calibri" w:hAnsi="Verdana" w:cs="Arial"/>
          <w:color w:val="000000" w:themeColor="text1"/>
        </w:rPr>
        <w:t xml:space="preserve">En estos procesos, entonces, se debe acudir a los criterios aplicables a los otros negocios jurídicos que regula el Decreto 092 de 2017, particularmente las exigencias del artículo 2 </w:t>
      </w:r>
      <w:r w:rsidRPr="00AB0420">
        <w:rPr>
          <w:rFonts w:ascii="Verdana" w:eastAsia="Calibri" w:hAnsi="Verdana" w:cs="Arial"/>
          <w:i/>
          <w:iCs/>
          <w:color w:val="000000" w:themeColor="text1"/>
        </w:rPr>
        <w:t>ibidem</w:t>
      </w:r>
      <w:r w:rsidRPr="00AB0420">
        <w:rPr>
          <w:rFonts w:ascii="Verdana" w:eastAsia="Calibri" w:hAnsi="Verdana" w:cs="Arial"/>
          <w:color w:val="000000" w:themeColor="text1"/>
        </w:rPr>
        <w:t xml:space="preserve">. Incluso, habría que tener en cuenta las exigencias del inciso 2 del artículo 4 </w:t>
      </w:r>
      <w:r w:rsidRPr="00AB0420">
        <w:rPr>
          <w:rFonts w:ascii="Verdana" w:eastAsia="Calibri" w:hAnsi="Verdana" w:cs="Arial"/>
          <w:i/>
          <w:iCs/>
          <w:color w:val="000000" w:themeColor="text1"/>
        </w:rPr>
        <w:t>ibidem</w:t>
      </w:r>
      <w:r w:rsidRPr="00AB0420">
        <w:rPr>
          <w:rFonts w:ascii="Verdana" w:eastAsia="Calibri" w:hAnsi="Verdana" w:cs="Arial"/>
          <w:color w:val="000000" w:themeColor="text1"/>
        </w:rPr>
        <w:t xml:space="preserve">, siempre que se configuren los supuestos de aplicación de </w:t>
      </w:r>
      <w:r w:rsidRPr="00AB0420">
        <w:rPr>
          <w:rFonts w:ascii="Verdana" w:eastAsia="Calibri" w:hAnsi="Verdana" w:cs="Arial"/>
          <w:color w:val="000000" w:themeColor="text1"/>
        </w:rPr>
        <w:lastRenderedPageBreak/>
        <w:t>dicha normativa, esto es, siempre que exista más de una entidad sin ánimo de lucro de reconocida idoneidad.</w:t>
      </w:r>
    </w:p>
    <w:p w14:paraId="23B3DDA0" w14:textId="77777777" w:rsidR="000E1219" w:rsidRPr="00AB0420" w:rsidRDefault="000E1219" w:rsidP="000E1219">
      <w:pPr>
        <w:spacing w:before="120" w:line="276" w:lineRule="auto"/>
        <w:ind w:firstLine="709"/>
        <w:jc w:val="both"/>
        <w:rPr>
          <w:rFonts w:ascii="Verdana" w:eastAsia="Calibri" w:hAnsi="Verdana" w:cs="Arial"/>
          <w:color w:val="000000" w:themeColor="text1"/>
        </w:rPr>
      </w:pPr>
      <w:bookmarkStart w:id="10" w:name="_Hlk95757095"/>
      <w:r w:rsidRPr="00AB0420">
        <w:rPr>
          <w:rFonts w:ascii="Verdana" w:eastAsia="Calibri" w:hAnsi="Verdana" w:cs="Arial"/>
          <w:color w:val="000000" w:themeColor="text1"/>
        </w:rPr>
        <w:t xml:space="preserve">Por último, en </w:t>
      </w:r>
      <w:r w:rsidRPr="00AB0420">
        <w:rPr>
          <w:rFonts w:ascii="Verdana" w:eastAsia="Calibri" w:hAnsi="Verdana" w:cs="Arial"/>
          <w:i/>
          <w:iCs/>
          <w:color w:val="000000" w:themeColor="text1"/>
        </w:rPr>
        <w:t xml:space="preserve">quinto </w:t>
      </w:r>
      <w:r w:rsidRPr="00AB0420">
        <w:rPr>
          <w:rFonts w:ascii="Verdana" w:eastAsia="Calibri" w:hAnsi="Verdana" w:cs="Arial"/>
          <w:color w:val="000000" w:themeColor="text1"/>
        </w:rPr>
        <w:t xml:space="preserve">lugar, el Consejo de Estado en el auto del 6 de agosto de 2019 analizó la solicitud de suspensión del artículo 5 del Decreto 092 de 2017, que reglamenta los convenios de asociación que prevé el artículo 96 de la Ley 489 de 1998. Concluyó que el análisis de esta norma debe realizarse a profundidad para establecer si efectivamente existe una contradicción normativa que implique que se afectó la competencia del legislador. En consecuencia negó la solicitud de suspensión provisional, reservando el análisis sobre la legalidad de dicho artículo a la sentencia. </w:t>
      </w:r>
    </w:p>
    <w:p w14:paraId="4649F88C" w14:textId="77777777" w:rsidR="000E1219" w:rsidRPr="00AB0420" w:rsidRDefault="000E1219" w:rsidP="000E1219">
      <w:pPr>
        <w:spacing w:before="120" w:after="0" w:line="276" w:lineRule="auto"/>
        <w:ind w:firstLine="709"/>
        <w:jc w:val="both"/>
        <w:rPr>
          <w:rFonts w:ascii="Verdana" w:eastAsia="Calibri" w:hAnsi="Verdana" w:cs="Arial"/>
          <w:color w:val="000000" w:themeColor="text1"/>
        </w:rPr>
      </w:pPr>
      <w:r w:rsidRPr="00AB0420">
        <w:rPr>
          <w:rFonts w:ascii="Verdana" w:eastAsia="Calibri" w:hAnsi="Verdana" w:cs="Arial"/>
          <w:color w:val="000000" w:themeColor="text1"/>
        </w:rPr>
        <w:t>La Sala Plena del Consejo de Estado en Auto del 15 de marzo de 2022 estima que debe mantenerse la suspensión provisional del literal a) del artículo 2 del Decreto 092 de 2017. Lo anterior en la medida que esta restringe y contraria la finalidad de apoyo y fomento prevista en el artículo 355 de la Constitución Política, pues –pese a que la norma superior no hizo diferenciación alguna al respecto– el decreto limita su órbita de aplicación a un catálogo de actividades y programas de interés público susceptibles de este mecanismo</w:t>
      </w:r>
      <w:r w:rsidRPr="00AB0420">
        <w:rPr>
          <w:rStyle w:val="Refdenotaalpie"/>
          <w:rFonts w:ascii="Verdana" w:eastAsia="Calibri" w:hAnsi="Verdana" w:cs="Arial"/>
          <w:color w:val="000000" w:themeColor="text1"/>
        </w:rPr>
        <w:footnoteReference w:id="15"/>
      </w:r>
      <w:r w:rsidRPr="00AB0420">
        <w:rPr>
          <w:rFonts w:ascii="Verdana" w:eastAsia="Calibri" w:hAnsi="Verdana" w:cs="Arial"/>
          <w:color w:val="000000" w:themeColor="text1"/>
        </w:rPr>
        <w:t xml:space="preserve">. Por lo demás, respecto al inciso final del artículo 4 </w:t>
      </w:r>
      <w:r w:rsidRPr="00AB0420">
        <w:rPr>
          <w:rFonts w:ascii="Verdana" w:eastAsia="Calibri" w:hAnsi="Verdana" w:cs="Arial"/>
          <w:i/>
          <w:iCs/>
          <w:color w:val="000000" w:themeColor="text1"/>
        </w:rPr>
        <w:t>ibidem</w:t>
      </w:r>
      <w:r w:rsidRPr="00AB0420">
        <w:rPr>
          <w:rFonts w:ascii="Verdana" w:eastAsia="Calibri" w:hAnsi="Verdana" w:cs="Arial"/>
          <w:color w:val="000000" w:themeColor="text1"/>
        </w:rPr>
        <w:t>, el Consejo de Estado mantiene la medida cautelar al configurarse el cargo de violación del principio de igualdad. Para estos efectos, considera que:</w:t>
      </w:r>
    </w:p>
    <w:p w14:paraId="1ED10042" w14:textId="77777777" w:rsidR="000E1219" w:rsidRPr="00AB0420" w:rsidRDefault="000E1219" w:rsidP="000E1219">
      <w:pPr>
        <w:spacing w:after="0" w:line="276" w:lineRule="auto"/>
        <w:ind w:firstLine="709"/>
        <w:jc w:val="both"/>
        <w:rPr>
          <w:rFonts w:ascii="Verdana" w:eastAsia="Calibri" w:hAnsi="Verdana" w:cs="Arial"/>
          <w:color w:val="000000" w:themeColor="text1"/>
        </w:rPr>
      </w:pPr>
    </w:p>
    <w:p w14:paraId="53039EF2" w14:textId="77777777" w:rsidR="000E1219" w:rsidRPr="00AB0420" w:rsidRDefault="000E1219" w:rsidP="000E1219">
      <w:pPr>
        <w:spacing w:after="120" w:line="240" w:lineRule="auto"/>
        <w:ind w:left="709" w:right="709"/>
        <w:jc w:val="both"/>
        <w:rPr>
          <w:rFonts w:ascii="Verdana" w:eastAsia="Calibri" w:hAnsi="Verdana" w:cs="Arial"/>
          <w:color w:val="000000" w:themeColor="text1"/>
          <w:sz w:val="20"/>
          <w:szCs w:val="20"/>
        </w:rPr>
      </w:pPr>
      <w:r w:rsidRPr="00AB0420">
        <w:rPr>
          <w:rFonts w:ascii="Verdana" w:eastAsia="Calibri" w:hAnsi="Verdana" w:cs="Arial"/>
          <w:color w:val="000000" w:themeColor="text1"/>
          <w:sz w:val="20"/>
          <w:szCs w:val="20"/>
        </w:rPr>
        <w:t xml:space="preserve">“73. […] la simple afirmación referida a que existe una relación inherente entre el producto del contrato y el contratista en las actividades exceptuadas del proceso competitivo de selección no permite concluir, razonablemente, que en las demás actividades de interés general aquello no se presente, o que, por ese simple hecho, merezcan un trato diferente. </w:t>
      </w:r>
    </w:p>
    <w:p w14:paraId="4CF581E1" w14:textId="77777777" w:rsidR="000E1219" w:rsidRPr="00AB0420" w:rsidRDefault="000E1219" w:rsidP="000E1219">
      <w:pPr>
        <w:spacing w:after="0" w:line="240" w:lineRule="auto"/>
        <w:ind w:left="709" w:right="709"/>
        <w:jc w:val="both"/>
        <w:rPr>
          <w:rFonts w:ascii="Verdana" w:eastAsia="Calibri" w:hAnsi="Verdana" w:cs="Arial"/>
          <w:color w:val="000000" w:themeColor="text1"/>
          <w:sz w:val="21"/>
          <w:szCs w:val="21"/>
        </w:rPr>
      </w:pPr>
      <w:r w:rsidRPr="00AB0420">
        <w:rPr>
          <w:rFonts w:ascii="Verdana" w:eastAsia="Calibri" w:hAnsi="Verdana" w:cs="Arial"/>
          <w:color w:val="000000" w:themeColor="text1"/>
          <w:sz w:val="20"/>
          <w:szCs w:val="20"/>
        </w:rPr>
        <w:t>74. En efecto, si en otros ámbitos de actividad de interés público que pueden adelantar entidades privadas sin ánimo de lucro se llega a presentar la situación de que sólo una de ellas esté en capacidad de realizarla, no será factible contratar directamente con ella, puesto que no hace parte de las actividades enunciadas en la norma: de índole artística, cultural, deportiva o de promoción de la diversidad étnica”</w:t>
      </w:r>
      <w:r w:rsidRPr="00AB0420">
        <w:rPr>
          <w:rStyle w:val="Refdenotaalpie"/>
          <w:rFonts w:ascii="Verdana" w:eastAsia="Calibri" w:hAnsi="Verdana" w:cs="Arial"/>
          <w:color w:val="000000" w:themeColor="text1"/>
          <w:sz w:val="20"/>
          <w:szCs w:val="20"/>
        </w:rPr>
        <w:footnoteReference w:id="16"/>
      </w:r>
      <w:r w:rsidRPr="00AB0420">
        <w:rPr>
          <w:rFonts w:ascii="Verdana" w:eastAsia="Calibri" w:hAnsi="Verdana" w:cs="Arial"/>
          <w:color w:val="000000" w:themeColor="text1"/>
          <w:sz w:val="20"/>
          <w:szCs w:val="20"/>
        </w:rPr>
        <w:t>.</w:t>
      </w:r>
      <w:r w:rsidRPr="00AB0420">
        <w:rPr>
          <w:rFonts w:ascii="Verdana" w:eastAsia="Calibri" w:hAnsi="Verdana" w:cs="Arial"/>
          <w:color w:val="000000" w:themeColor="text1"/>
          <w:sz w:val="21"/>
          <w:szCs w:val="21"/>
        </w:rPr>
        <w:t xml:space="preserve">  </w:t>
      </w:r>
      <w:bookmarkEnd w:id="10"/>
    </w:p>
    <w:p w14:paraId="01847806" w14:textId="77777777" w:rsidR="000E1219" w:rsidRPr="00AB0420" w:rsidRDefault="000E1219" w:rsidP="000E1219">
      <w:pPr>
        <w:spacing w:after="0" w:line="240" w:lineRule="auto"/>
        <w:ind w:left="709" w:right="709"/>
        <w:jc w:val="both"/>
        <w:rPr>
          <w:rFonts w:ascii="Verdana" w:eastAsia="Calibri" w:hAnsi="Verdana" w:cs="Arial"/>
          <w:color w:val="000000" w:themeColor="text1"/>
          <w:sz w:val="21"/>
          <w:szCs w:val="21"/>
        </w:rPr>
      </w:pPr>
    </w:p>
    <w:p w14:paraId="2007CF23" w14:textId="77777777" w:rsidR="007F4FF3" w:rsidRPr="00AB0420" w:rsidRDefault="000E1219" w:rsidP="007F4FF3">
      <w:pPr>
        <w:spacing w:line="276" w:lineRule="auto"/>
        <w:ind w:firstLine="709"/>
        <w:jc w:val="both"/>
        <w:rPr>
          <w:rFonts w:ascii="Verdana" w:hAnsi="Verdana" w:cs="Arial"/>
          <w:color w:val="000000" w:themeColor="text1"/>
        </w:rPr>
      </w:pPr>
      <w:r w:rsidRPr="00AB0420">
        <w:rPr>
          <w:rFonts w:ascii="Verdana" w:hAnsi="Verdana" w:cs="Arial"/>
          <w:color w:val="000000" w:themeColor="text1"/>
        </w:rPr>
        <w:t xml:space="preserve">De lo anterior se desprende que la contratación con entidades sin ánimo de lucro se sigue rigiendo por el Decreto 092 de 2017, salvo lo que fue objeto de suspensión provisional. Por lo tanto, las entidades públicas que desean celebrar contratos de interés público, en los términos del artículo 355 de la Constitución Política, deberán contratar con ESAL de reconocida idoneidad, como ya se dijo, realizando un proceso competitivo, y teniendo en cuenta lo siguiente: i) no debe condicionarse el proceso de contratación a la inexistencia de oferta en el mercado de bienes y servicios; </w:t>
      </w:r>
      <w:proofErr w:type="spellStart"/>
      <w:r w:rsidRPr="00AB0420">
        <w:rPr>
          <w:rFonts w:ascii="Verdana" w:hAnsi="Verdana" w:cs="Arial"/>
          <w:color w:val="000000" w:themeColor="text1"/>
        </w:rPr>
        <w:t>ii</w:t>
      </w:r>
      <w:proofErr w:type="spellEnd"/>
      <w:r w:rsidRPr="00AB0420">
        <w:rPr>
          <w:rFonts w:ascii="Verdana" w:hAnsi="Verdana" w:cs="Arial"/>
          <w:color w:val="000000" w:themeColor="text1"/>
        </w:rPr>
        <w:t xml:space="preserve">) tampoco debe condicionarse a que la contratación con las ESAL garantice la optimización de los recursos públicos en términos de eficiencia, eficacia, economía y manejo del riesgo; </w:t>
      </w:r>
      <w:proofErr w:type="spellStart"/>
      <w:r w:rsidRPr="00AB0420">
        <w:rPr>
          <w:rFonts w:ascii="Verdana" w:hAnsi="Verdana" w:cs="Arial"/>
          <w:color w:val="000000" w:themeColor="text1"/>
        </w:rPr>
        <w:t>iii</w:t>
      </w:r>
      <w:proofErr w:type="spellEnd"/>
      <w:r w:rsidRPr="00AB0420">
        <w:rPr>
          <w:rFonts w:ascii="Verdana" w:hAnsi="Verdana" w:cs="Arial"/>
          <w:color w:val="000000" w:themeColor="text1"/>
        </w:rPr>
        <w:t xml:space="preserve">) el objeto del contrato debe estar acorde con el plan nacional o seccional de desarrollo; </w:t>
      </w:r>
      <w:proofErr w:type="spellStart"/>
      <w:r w:rsidRPr="00AB0420">
        <w:rPr>
          <w:rFonts w:ascii="Verdana" w:hAnsi="Verdana" w:cs="Arial"/>
          <w:color w:val="000000" w:themeColor="text1"/>
        </w:rPr>
        <w:t>iv</w:t>
      </w:r>
      <w:proofErr w:type="spellEnd"/>
      <w:r w:rsidRPr="00AB0420">
        <w:rPr>
          <w:rFonts w:ascii="Verdana" w:hAnsi="Verdana" w:cs="Arial"/>
          <w:color w:val="000000" w:themeColor="text1"/>
        </w:rPr>
        <w:t xml:space="preserve">) no puede condicionarse únicamente a que las actividades o programas correspondan exclusivamente a promover los derechos de personas en situación de debilidad manifiesta o indefensión, los derechos de las minorías, el derecho a la educación, el derecho a la paz, las manifestaciones artísticas, culturales, deportivas y de promoción de la diversidad étnica colombiana, por lo que basta con cumplir el anterior numeral </w:t>
      </w:r>
      <w:proofErr w:type="spellStart"/>
      <w:r w:rsidRPr="00AB0420">
        <w:rPr>
          <w:rFonts w:ascii="Verdana" w:hAnsi="Verdana" w:cs="Arial"/>
          <w:color w:val="000000" w:themeColor="text1"/>
        </w:rPr>
        <w:t>iii</w:t>
      </w:r>
      <w:proofErr w:type="spellEnd"/>
      <w:r w:rsidRPr="00AB0420">
        <w:rPr>
          <w:rFonts w:ascii="Verdana" w:hAnsi="Verdana" w:cs="Arial"/>
          <w:color w:val="000000" w:themeColor="text1"/>
        </w:rPr>
        <w:t>); y v) el contrato no debe establecer una relación conmutativa en el cual haya una contraprestación directa a favor de la entidad, ni instrucciones precisas dadas por esta al contratista para cumplir con el objeto del contrato.</w:t>
      </w:r>
    </w:p>
    <w:p w14:paraId="14D865A7" w14:textId="7801F172" w:rsidR="007F4FF3" w:rsidRPr="00AB0420" w:rsidRDefault="000E1219" w:rsidP="007F4FF3">
      <w:pPr>
        <w:spacing w:line="276" w:lineRule="auto"/>
        <w:ind w:firstLine="709"/>
        <w:jc w:val="both"/>
        <w:rPr>
          <w:rFonts w:ascii="Verdana" w:hAnsi="Verdana" w:cs="Arial"/>
          <w:color w:val="000000" w:themeColor="text1"/>
        </w:rPr>
      </w:pPr>
      <w:r w:rsidRPr="00AB0420">
        <w:rPr>
          <w:rFonts w:ascii="Verdana" w:hAnsi="Verdana" w:cs="Arial"/>
          <w:color w:val="000000" w:themeColor="text1"/>
        </w:rPr>
        <w:t>De acuerdo con lo expuesto, y para dar respuesta a la consulta elevada, debe tenerse de presente</w:t>
      </w:r>
      <w:r w:rsidR="008420C7" w:rsidRPr="00AB0420">
        <w:rPr>
          <w:rFonts w:ascii="Verdana" w:hAnsi="Verdana" w:cs="Arial"/>
          <w:bCs/>
        </w:rPr>
        <w:t xml:space="preserve"> </w:t>
      </w:r>
      <w:r w:rsidR="007F4FF3" w:rsidRPr="00AB0420">
        <w:rPr>
          <w:rFonts w:ascii="Verdana" w:hAnsi="Verdana" w:cs="Arial"/>
          <w:bCs/>
        </w:rPr>
        <w:t>que el Decreto 092 de 2017 no remite a las modalidades de selección del EGCAP. Establece un mecanismo propio de escogencia: el proceso competitivo regulado en su artículo 4. El reglamento dio a las Entidades Estatales un alto grado de discrecionalidad para diseñar ese proceso, con sujeción a los principios de libre concurrencia, pluralidad de interesados y comparación objetiva de las propuestas. Que no exista una regulación detallada no significa que haya un vacío normativo que deba llenarse automáticamente con las reglas del EGCAP. Significa que el reglamento quiso que cada Entidad estructurara el proceso.</w:t>
      </w:r>
    </w:p>
    <w:p w14:paraId="4CC0733C" w14:textId="77777777" w:rsidR="007F4FF3" w:rsidRPr="00AB0420" w:rsidRDefault="007F4FF3" w:rsidP="007F4FF3">
      <w:pPr>
        <w:spacing w:after="120" w:line="276" w:lineRule="auto"/>
        <w:ind w:firstLine="737"/>
        <w:jc w:val="both"/>
        <w:rPr>
          <w:rFonts w:ascii="Verdana" w:hAnsi="Verdana" w:cs="Arial"/>
          <w:bCs/>
        </w:rPr>
      </w:pPr>
      <w:r w:rsidRPr="00AB0420">
        <w:rPr>
          <w:rFonts w:ascii="Verdana" w:hAnsi="Verdana" w:cs="Arial"/>
          <w:bCs/>
        </w:rPr>
        <w:t xml:space="preserve">Para resolver la consulta hay que considerar la naturaleza de los negocios jurídicos que regula el Decreto 092 de 2017. Los contratos de colaboración del artículo 355 de la Constitución buscan impulsar programas y actividades de interés público acordes con los planes de desarrollo. No generan una </w:t>
      </w:r>
      <w:r w:rsidRPr="00AB0420">
        <w:rPr>
          <w:rFonts w:ascii="Verdana" w:hAnsi="Verdana" w:cs="Arial"/>
          <w:bCs/>
        </w:rPr>
        <w:lastRenderedPageBreak/>
        <w:t>contraprestación directa para la Entidad ni una relación conmutativa con la ESAL. Los convenios de asociación del artículo 96 de la Ley 489 de 1998 buscan desarrollar de forma conjunta actividades relacionadas con las funciones de la Entidad. Como lo ha señalado esta Agencia, estos negocios son esencialmente distintos a los contratos para adquirir bienes, obras o servicios regulados por el EGCAP y, por lo tanto, no hacen parte del sistema de compra pública. Por eso, cuando la Entidad adquiere un bien, obra o servicio en un contrato conmutativo con una ESAL, debe aplicar las Leyes 80 de 1993 y 1150 de 2007, y no el Decreto 092 de 2017.</w:t>
      </w:r>
    </w:p>
    <w:p w14:paraId="0E11AE26" w14:textId="77777777" w:rsidR="007F4FF3" w:rsidRPr="00AB0420" w:rsidRDefault="007F4FF3" w:rsidP="007F4FF3">
      <w:pPr>
        <w:spacing w:after="120" w:line="276" w:lineRule="auto"/>
        <w:ind w:firstLine="737"/>
        <w:jc w:val="both"/>
        <w:rPr>
          <w:rFonts w:ascii="Verdana" w:hAnsi="Verdana" w:cs="Arial"/>
          <w:bCs/>
        </w:rPr>
      </w:pPr>
      <w:r w:rsidRPr="00AB0420">
        <w:rPr>
          <w:rFonts w:ascii="Verdana" w:hAnsi="Verdana" w:cs="Arial"/>
          <w:bCs/>
        </w:rPr>
        <w:t>A partir de esta premisa, se analiza cada régimen diferencial por separado:</w:t>
      </w:r>
    </w:p>
    <w:p w14:paraId="5752AA1D" w14:textId="77777777" w:rsidR="007F4FF3" w:rsidRPr="00AB0420" w:rsidRDefault="007F4FF3" w:rsidP="007F4FF3">
      <w:pPr>
        <w:spacing w:after="120" w:line="276" w:lineRule="auto"/>
        <w:ind w:firstLine="737"/>
        <w:jc w:val="both"/>
        <w:rPr>
          <w:rFonts w:ascii="Verdana" w:hAnsi="Verdana"/>
        </w:rPr>
      </w:pPr>
      <w:r w:rsidRPr="00AB0420">
        <w:rPr>
          <w:rFonts w:ascii="Verdana" w:hAnsi="Verdana"/>
        </w:rPr>
        <w:t>a) Emprendimientos y empresas de mujeres. El artículo 32 de la Ley 2069 de 2020 y el artículo 2.2.1.2.4.2.15 del Decreto 1082 de 2015, adicionado por el artículo 3 del Decreto 1860 de 2021, definen dónde se aplican los requisitos habilitantes diferenciales y los puntajes adicionales para estos emprendimientos y empresas. Según esas normas, se aplican en:</w:t>
      </w:r>
    </w:p>
    <w:p w14:paraId="19551139" w14:textId="77777777" w:rsidR="007F4FF3" w:rsidRPr="00AB0420" w:rsidRDefault="007F4FF3" w:rsidP="007F4FF3">
      <w:pPr>
        <w:numPr>
          <w:ilvl w:val="0"/>
          <w:numId w:val="21"/>
        </w:numPr>
        <w:spacing w:after="120" w:line="276" w:lineRule="auto"/>
        <w:jc w:val="both"/>
        <w:rPr>
          <w:rFonts w:ascii="Verdana" w:hAnsi="Verdana"/>
        </w:rPr>
      </w:pPr>
      <w:r w:rsidRPr="00AB0420">
        <w:rPr>
          <w:rFonts w:ascii="Verdana" w:hAnsi="Verdana"/>
        </w:rPr>
        <w:t>la licitación pública;</w:t>
      </w:r>
    </w:p>
    <w:p w14:paraId="6F8286C1" w14:textId="77777777" w:rsidR="007F4FF3" w:rsidRPr="00AB0420" w:rsidRDefault="007F4FF3" w:rsidP="007F4FF3">
      <w:pPr>
        <w:numPr>
          <w:ilvl w:val="0"/>
          <w:numId w:val="21"/>
        </w:numPr>
        <w:spacing w:after="120" w:line="276" w:lineRule="auto"/>
        <w:jc w:val="both"/>
        <w:rPr>
          <w:rFonts w:ascii="Verdana" w:hAnsi="Verdana"/>
        </w:rPr>
      </w:pPr>
      <w:r w:rsidRPr="00AB0420">
        <w:rPr>
          <w:rFonts w:ascii="Verdana" w:hAnsi="Verdana"/>
        </w:rPr>
        <w:t>la selección abreviada de menor cuantía;</w:t>
      </w:r>
    </w:p>
    <w:p w14:paraId="7D788C27" w14:textId="77777777" w:rsidR="007F4FF3" w:rsidRPr="00AB0420" w:rsidRDefault="007F4FF3" w:rsidP="007F4FF3">
      <w:pPr>
        <w:numPr>
          <w:ilvl w:val="0"/>
          <w:numId w:val="21"/>
        </w:numPr>
        <w:spacing w:after="120" w:line="276" w:lineRule="auto"/>
        <w:jc w:val="both"/>
        <w:rPr>
          <w:rFonts w:ascii="Verdana" w:hAnsi="Verdana"/>
        </w:rPr>
      </w:pPr>
      <w:r w:rsidRPr="00AB0420">
        <w:rPr>
          <w:rFonts w:ascii="Verdana" w:hAnsi="Verdana"/>
        </w:rPr>
        <w:t>el concurso de méritos;</w:t>
      </w:r>
    </w:p>
    <w:p w14:paraId="14A59FB1" w14:textId="77777777" w:rsidR="007F4FF3" w:rsidRPr="00AB0420" w:rsidRDefault="007F4FF3" w:rsidP="007F4FF3">
      <w:pPr>
        <w:numPr>
          <w:ilvl w:val="0"/>
          <w:numId w:val="21"/>
        </w:numPr>
        <w:spacing w:after="120" w:line="276" w:lineRule="auto"/>
        <w:jc w:val="both"/>
        <w:rPr>
          <w:rFonts w:ascii="Verdana" w:hAnsi="Verdana"/>
        </w:rPr>
      </w:pPr>
      <w:r w:rsidRPr="00AB0420">
        <w:rPr>
          <w:rFonts w:ascii="Verdana" w:hAnsi="Verdana"/>
        </w:rPr>
        <w:t>los procesos competitivos que adelanten las entidades exceptuadas del EGCAP.</w:t>
      </w:r>
    </w:p>
    <w:p w14:paraId="30EC15F4" w14:textId="77777777" w:rsidR="007F4FF3" w:rsidRPr="00AB0420" w:rsidRDefault="007F4FF3" w:rsidP="007F4FF3">
      <w:pPr>
        <w:spacing w:after="120" w:line="276" w:lineRule="auto"/>
        <w:ind w:firstLine="737"/>
        <w:jc w:val="both"/>
        <w:rPr>
          <w:rFonts w:ascii="Verdana" w:hAnsi="Verdana"/>
        </w:rPr>
      </w:pPr>
      <w:r w:rsidRPr="00AB0420">
        <w:rPr>
          <w:rFonts w:ascii="Verdana" w:hAnsi="Verdana"/>
        </w:rPr>
        <w:t>Las demás modalidades quedan excluidas. Entre ellas están la selección abreviada por subasta inversa, la mínima cuantía y los procesos competitivos del Decreto 092 de 2017. Como lo concluyó esta Agencia en el Concepto C-003 de 2024, no procede aplicar estos criterios diferenciales en los procesos que se adelanten bajo el Decreto 092 de 2017. No debe confundirse el proceso competitivo del artículo 4 de ese Decreto con los procesos competitivos de las entidades con régimen especial. El primero es un mecanismo propio para escoger a una ESAL en negocios que no hacen parte del sistema de compra pública. Los segundos son procedimientos de adquisición de bienes, obras o servicios por parte de entidades exceptuadas del EGCAP.</w:t>
      </w:r>
    </w:p>
    <w:p w14:paraId="6C130482" w14:textId="77777777" w:rsidR="007F4FF3" w:rsidRPr="00AB0420" w:rsidRDefault="007F4FF3" w:rsidP="007F4FF3">
      <w:pPr>
        <w:spacing w:after="120" w:line="276" w:lineRule="auto"/>
        <w:ind w:firstLine="737"/>
        <w:jc w:val="both"/>
        <w:rPr>
          <w:rFonts w:ascii="Verdana" w:hAnsi="Verdana"/>
        </w:rPr>
      </w:pPr>
      <w:r w:rsidRPr="00AB0420">
        <w:rPr>
          <w:rFonts w:ascii="Verdana" w:hAnsi="Verdana"/>
        </w:rPr>
        <w:t xml:space="preserve">b) </w:t>
      </w:r>
      <w:r w:rsidRPr="00AB0420">
        <w:rPr>
          <w:rFonts w:ascii="Verdana" w:hAnsi="Verdana"/>
          <w:b/>
          <w:bCs/>
        </w:rPr>
        <w:t>Emprendimientos y empresas de personas con discapacidad.</w:t>
      </w:r>
      <w:r w:rsidRPr="00AB0420">
        <w:rPr>
          <w:rFonts w:ascii="Verdana" w:hAnsi="Verdana"/>
        </w:rPr>
        <w:t xml:space="preserve"> Las medidas previstas en el Decreto 0287 de 2026, si bien desarrolla el Sistema </w:t>
      </w:r>
      <w:r w:rsidRPr="00AB0420">
        <w:rPr>
          <w:rFonts w:ascii="Verdana" w:hAnsi="Verdana"/>
        </w:rPr>
        <w:lastRenderedPageBreak/>
        <w:t>de preferencias para las personas con discapacidad en la contratación estatal, siguen la misma finalidad de fomento empresarial. Buscan facilitar el acceso de estos emprendimientos y empresas a la contratación estatal de bienes, obras o servicios. En la medida en que su ámbito de aplicación se limite a procesos de contratación que hacen parte del sistema de compra pública tampoco proceden en los procesos competitivos del Decreto 092 de 2017.</w:t>
      </w:r>
    </w:p>
    <w:p w14:paraId="30A0EB62" w14:textId="77777777" w:rsidR="007F4FF3" w:rsidRPr="00AB0420" w:rsidRDefault="007F4FF3" w:rsidP="007F4FF3">
      <w:pPr>
        <w:spacing w:after="120" w:line="276" w:lineRule="auto"/>
        <w:ind w:firstLine="737"/>
        <w:jc w:val="both"/>
        <w:rPr>
          <w:rFonts w:ascii="Verdana" w:hAnsi="Verdana"/>
        </w:rPr>
      </w:pPr>
      <w:r w:rsidRPr="00AB0420">
        <w:rPr>
          <w:rFonts w:ascii="Verdana" w:hAnsi="Verdana"/>
        </w:rPr>
        <w:t>En consecuencia, los criterios diferenciales previstos para ambas poblaciones no se aplican en los procesos competitivos regulados por el artículo 4 del Decreto 092 de 2017. Esta conclusión se basa en el ámbito de aplicación de las normas y en la naturaleza del negocio jurídico, no solo en la condición del contratista. Por eso no impide que una ESAL que participe en un proceso regido por el EGCAP acceda a estas medidas, si cumple los requisitos del reglamento. Tampoco cambia la conclusión que la Entidad, en ejercicio de su facultad de configuración, estructure el proceso competitivo de forma parecida a alguna modalidad del Estatuto General. Esa semejanza es una opción de diseño y no altera la naturaleza del negocio ni el ámbito de aplicación de las normas mencionadas.</w:t>
      </w:r>
    </w:p>
    <w:p w14:paraId="5C10F8F0" w14:textId="122AE68F" w:rsidR="00547E0B" w:rsidRDefault="001E0CA5" w:rsidP="00547E0B">
      <w:pPr>
        <w:spacing w:line="276" w:lineRule="auto"/>
        <w:ind w:firstLine="709"/>
        <w:jc w:val="both"/>
        <w:rPr>
          <w:rFonts w:ascii="Verdana" w:hAnsi="Verdana" w:cs="Arial"/>
          <w:bCs/>
        </w:rPr>
      </w:pPr>
      <w:r w:rsidRPr="00AB0420">
        <w:rPr>
          <w:rFonts w:ascii="Verdana" w:hAnsi="Verdana" w:cs="Arial"/>
          <w:bCs/>
        </w:rPr>
        <w:t>Ahora bien</w:t>
      </w:r>
      <w:r w:rsidR="008420C7" w:rsidRPr="00AB0420">
        <w:rPr>
          <w:rFonts w:ascii="Verdana" w:hAnsi="Verdana" w:cs="Arial"/>
          <w:bCs/>
        </w:rPr>
        <w:t xml:space="preserve">, </w:t>
      </w:r>
      <w:r w:rsidR="00547E0B" w:rsidRPr="008F07D2">
        <w:rPr>
          <w:rFonts w:ascii="Verdana" w:hAnsi="Verdana" w:cs="Arial"/>
          <w:bCs/>
        </w:rPr>
        <w:t xml:space="preserve">conviene señalar que, al definir los indicadores y criterios de ponderación contemplados en el artículo 4 del Decreto 092 de 2017, la Entidad Estatal </w:t>
      </w:r>
      <w:r w:rsidR="00547E0B" w:rsidRPr="0084793C">
        <w:rPr>
          <w:rFonts w:ascii="Verdana" w:hAnsi="Verdana" w:cs="Arial"/>
          <w:bCs/>
          <w:i/>
          <w:iCs/>
        </w:rPr>
        <w:t>sí puede valorar aspectos vinculados con determinadas poblaciones, siempre que guarden relación con el objeto del programa o actividad de interés público y con la idoneidad de la ESAL para ejecutarlo</w:t>
      </w:r>
      <w:r w:rsidR="00547E0B" w:rsidRPr="008F07D2">
        <w:rPr>
          <w:rFonts w:ascii="Verdana" w:hAnsi="Verdana" w:cs="Arial"/>
          <w:bCs/>
        </w:rPr>
        <w:t xml:space="preserve">; </w:t>
      </w:r>
      <w:r w:rsidR="00547E0B" w:rsidRPr="0084793C">
        <w:rPr>
          <w:rFonts w:ascii="Verdana" w:hAnsi="Verdana" w:cs="Arial"/>
          <w:bCs/>
          <w:i/>
          <w:iCs/>
        </w:rPr>
        <w:t>por ejemplo, su experiencia en programas con enfoque de género o en la atención e inclusión de personas con discapacidad, cuando el programa esté dirigido a dichas poblaciones</w:t>
      </w:r>
      <w:r w:rsidR="00547E0B" w:rsidRPr="008F07D2">
        <w:rPr>
          <w:rFonts w:ascii="Verdana" w:hAnsi="Verdana" w:cs="Arial"/>
          <w:bCs/>
        </w:rPr>
        <w:t>. En ese escenario no se aplican los criterios diferenciales previstos en la Ley de Emprendimiento ni los derivados de la regulación sobre discapacidad, sino criterios propios del proceso competitivo, los cuales deben estar justificados en los estudios previos, fijarse de manera objetiva y anticipada en los documentos del proceso, relacionarse directamente con la capacidad de la ESAL para ejecutar el programa y respetar los principios de libre concurrencia, pluralidad de interesados y comparación objetiva de las propuestas.</w:t>
      </w:r>
    </w:p>
    <w:p w14:paraId="4C6506A2" w14:textId="2836DEE0" w:rsidR="008420C7" w:rsidRPr="00AB0420" w:rsidRDefault="008420C7" w:rsidP="00547E0B">
      <w:pPr>
        <w:spacing w:line="276" w:lineRule="auto"/>
        <w:ind w:firstLine="709"/>
        <w:jc w:val="both"/>
        <w:rPr>
          <w:rFonts w:ascii="Verdana" w:hAnsi="Verdana" w:cs="Arial"/>
          <w:bCs/>
        </w:rPr>
      </w:pPr>
      <w:r w:rsidRPr="00AB0420">
        <w:rPr>
          <w:rFonts w:ascii="Verdana" w:hAnsi="Verdana"/>
        </w:rPr>
        <w:t xml:space="preserve">Finalmente, la referencia de la Ley 2069 de 2020 al "Sistema de Compras Públicas", y no únicamente al EGCAP, no modifica las conclusiones anteriores. Esa referencia explica que las medidas puedan extenderse a entidades que no aplican el Estatuto General, como las de régimen especial. Sin embargo, lo que </w:t>
      </w:r>
      <w:r w:rsidRPr="00AB0420">
        <w:rPr>
          <w:rFonts w:ascii="Verdana" w:hAnsi="Verdana"/>
        </w:rPr>
        <w:lastRenderedPageBreak/>
        <w:t>determina su aplicación no es el régimen de contratación de la entidad, sino el tipo de negocio jurídico: medidas orientadas a facilitar el acceso de emprendimientos y empresas a la contratación estatal en la que se adquieren bienes, obras o servicios. Los contratos y convenios del Decreto 092 de 2017 no corresponden a negocios de esa naturaleza. Por eso, la mención al "Sistema de Compras Públicas" no extiende los criterios diferenciales de mujeres ni de personas con discapacidad al proceso competitivo regulado en esa norma. Por el contrario, confirma que la finalidad de la Ley es distinta.</w:t>
      </w:r>
    </w:p>
    <w:p w14:paraId="4F787635" w14:textId="66B0BEA1" w:rsidR="000E1219" w:rsidRPr="00AB0420" w:rsidRDefault="008420C7" w:rsidP="008420C7">
      <w:pPr>
        <w:spacing w:line="276" w:lineRule="auto"/>
        <w:ind w:firstLine="709"/>
        <w:jc w:val="both"/>
        <w:rPr>
          <w:rFonts w:ascii="Verdana" w:hAnsi="Verdana" w:cs="Arial"/>
          <w:bCs/>
        </w:rPr>
      </w:pPr>
      <w:r w:rsidRPr="00AB0420">
        <w:rPr>
          <w:rFonts w:ascii="Verdana" w:eastAsia="Calibri" w:hAnsi="Verdana" w:cs="Arial"/>
          <w:bCs/>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r w:rsidR="005169C5">
        <w:rPr>
          <w:rFonts w:ascii="Verdana" w:eastAsia="Calibri" w:hAnsi="Verdana" w:cs="Arial"/>
          <w:bCs/>
          <w:color w:val="000000" w:themeColor="text1"/>
        </w:rPr>
        <w:t xml:space="preserve"> </w:t>
      </w:r>
      <w:r w:rsidR="000E1219" w:rsidRPr="00AB0420">
        <w:rPr>
          <w:rFonts w:ascii="Verdana" w:eastAsia="Calibri" w:hAnsi="Verdana" w:cs="Arial"/>
          <w:bCs/>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5B5BC171" w14:textId="77777777" w:rsidR="000E1219" w:rsidRPr="00AB0420" w:rsidRDefault="000E1219" w:rsidP="000E1219">
      <w:pPr>
        <w:spacing w:after="0" w:line="276" w:lineRule="auto"/>
        <w:ind w:firstLine="708"/>
        <w:jc w:val="both"/>
        <w:rPr>
          <w:rFonts w:ascii="Verdana" w:hAnsi="Verdana" w:cs="Arial"/>
          <w:color w:val="000000" w:themeColor="text1"/>
        </w:rPr>
      </w:pPr>
      <w:r w:rsidRPr="00AB0420">
        <w:rPr>
          <w:rFonts w:ascii="Verdana" w:eastAsia="Calibri" w:hAnsi="Verdana" w:cs="Arial"/>
          <w:bCs/>
          <w:color w:val="000000" w:themeColor="text1"/>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w:t>
      </w:r>
      <w:r w:rsidRPr="00AB0420">
        <w:rPr>
          <w:rFonts w:ascii="Verdana" w:eastAsia="Calibri" w:hAnsi="Verdana" w:cs="Arial"/>
          <w:bCs/>
          <w:color w:val="000000" w:themeColor="text1"/>
        </w:rPr>
        <w:lastRenderedPageBreak/>
        <w:t>gestión contractual, sin que sea atribución de Colombia Compra Eficiente validar sus actuaciones.</w:t>
      </w:r>
    </w:p>
    <w:p w14:paraId="574F553E" w14:textId="77777777" w:rsidR="003025DA" w:rsidRPr="00AB0420" w:rsidRDefault="003025DA" w:rsidP="003025DA">
      <w:pPr>
        <w:widowControl w:val="0"/>
        <w:autoSpaceDE w:val="0"/>
        <w:autoSpaceDN w:val="0"/>
        <w:spacing w:after="0" w:line="276" w:lineRule="auto"/>
        <w:jc w:val="both"/>
        <w:rPr>
          <w:rFonts w:ascii="Verdana" w:hAnsi="Verdana" w:cs="Arial"/>
          <w:lang w:eastAsia="es-ES"/>
        </w:rPr>
      </w:pPr>
    </w:p>
    <w:p w14:paraId="19861ACB" w14:textId="77777777" w:rsidR="003025DA" w:rsidRPr="00AB0420" w:rsidRDefault="003025DA" w:rsidP="003025DA">
      <w:pPr>
        <w:pStyle w:val="Prrafodelista"/>
        <w:numPr>
          <w:ilvl w:val="0"/>
          <w:numId w:val="19"/>
        </w:numPr>
        <w:tabs>
          <w:tab w:val="left" w:pos="142"/>
          <w:tab w:val="left" w:pos="284"/>
        </w:tabs>
        <w:spacing w:after="0" w:line="276" w:lineRule="auto"/>
        <w:ind w:left="360"/>
        <w:contextualSpacing w:val="0"/>
        <w:jc w:val="both"/>
        <w:rPr>
          <w:rFonts w:ascii="Verdana" w:eastAsia="Century Gothic" w:hAnsi="Verdana" w:cs="Century Gothic"/>
          <w:b/>
          <w:bCs/>
        </w:rPr>
      </w:pPr>
      <w:r w:rsidRPr="00AB0420">
        <w:rPr>
          <w:rFonts w:ascii="Verdana" w:eastAsia="Century Gothic" w:hAnsi="Verdana" w:cs="Century Gothic"/>
          <w:b/>
          <w:bCs/>
        </w:rPr>
        <w:t>Referencias normativas, jurisprudenciales y otras fuentes:</w:t>
      </w:r>
    </w:p>
    <w:p w14:paraId="48BEAD78" w14:textId="77777777" w:rsidR="003025DA" w:rsidRPr="00AB0420" w:rsidRDefault="003025DA" w:rsidP="003025DA">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3025DA" w:rsidRPr="00AB0420" w14:paraId="46AE2B33" w14:textId="77777777" w:rsidTr="00544921">
        <w:trPr>
          <w:trHeight w:val="870"/>
        </w:trPr>
        <w:tc>
          <w:tcPr>
            <w:tcW w:w="8647" w:type="dxa"/>
          </w:tcPr>
          <w:p w14:paraId="5611B89F" w14:textId="77777777" w:rsidR="003025DA" w:rsidRPr="00AB0420" w:rsidRDefault="003025DA" w:rsidP="003025DA">
            <w:pPr>
              <w:pStyle w:val="Prrafodelista"/>
              <w:numPr>
                <w:ilvl w:val="0"/>
                <w:numId w:val="18"/>
              </w:numPr>
              <w:spacing w:before="120" w:after="120" w:line="276" w:lineRule="auto"/>
              <w:jc w:val="both"/>
              <w:rPr>
                <w:rFonts w:ascii="Verdana" w:hAnsi="Verdana" w:cs="Arial"/>
              </w:rPr>
            </w:pPr>
            <w:r w:rsidRPr="00AB0420">
              <w:rPr>
                <w:rFonts w:ascii="Verdana" w:hAnsi="Verdana" w:cs="Arial"/>
              </w:rPr>
              <w:t>Constitución Política de 1991, artículo 355.</w:t>
            </w:r>
          </w:p>
          <w:p w14:paraId="00E49869" w14:textId="77777777" w:rsidR="003025DA" w:rsidRPr="00AB0420" w:rsidRDefault="003025DA" w:rsidP="003025DA">
            <w:pPr>
              <w:pStyle w:val="Prrafodelista"/>
              <w:numPr>
                <w:ilvl w:val="0"/>
                <w:numId w:val="18"/>
              </w:numPr>
              <w:spacing w:before="120" w:after="120" w:line="276" w:lineRule="auto"/>
              <w:jc w:val="both"/>
              <w:rPr>
                <w:rFonts w:ascii="Verdana" w:hAnsi="Verdana" w:cs="Arial"/>
              </w:rPr>
            </w:pPr>
            <w:r w:rsidRPr="00AB0420">
              <w:rPr>
                <w:rFonts w:ascii="Verdana" w:hAnsi="Verdana" w:cs="Arial"/>
              </w:rPr>
              <w:t>Ley 80 de 1993, artículo 6.</w:t>
            </w:r>
          </w:p>
          <w:p w14:paraId="5CB7B628" w14:textId="77777777" w:rsidR="003025DA" w:rsidRPr="00AB0420" w:rsidRDefault="003025DA" w:rsidP="003025DA">
            <w:pPr>
              <w:pStyle w:val="Prrafodelista"/>
              <w:numPr>
                <w:ilvl w:val="0"/>
                <w:numId w:val="18"/>
              </w:numPr>
              <w:spacing w:before="120" w:after="120" w:line="276" w:lineRule="auto"/>
              <w:jc w:val="both"/>
              <w:rPr>
                <w:rFonts w:ascii="Verdana" w:hAnsi="Verdana" w:cs="Arial"/>
              </w:rPr>
            </w:pPr>
            <w:r w:rsidRPr="00AB0420">
              <w:rPr>
                <w:rFonts w:ascii="Verdana" w:hAnsi="Verdana" w:cs="Arial"/>
              </w:rPr>
              <w:t xml:space="preserve">Ley 489 de 1998, artículo 96. </w:t>
            </w:r>
          </w:p>
          <w:p w14:paraId="0ED3F759" w14:textId="77777777" w:rsidR="003025DA" w:rsidRPr="00AB0420" w:rsidRDefault="003025DA" w:rsidP="003025DA">
            <w:pPr>
              <w:pStyle w:val="Prrafodelista"/>
              <w:numPr>
                <w:ilvl w:val="0"/>
                <w:numId w:val="18"/>
              </w:numPr>
              <w:spacing w:before="120" w:after="120" w:line="276" w:lineRule="auto"/>
              <w:jc w:val="both"/>
              <w:rPr>
                <w:rFonts w:ascii="Verdana" w:hAnsi="Verdana" w:cs="Arial"/>
              </w:rPr>
            </w:pPr>
            <w:r w:rsidRPr="00AB0420">
              <w:rPr>
                <w:rFonts w:ascii="Verdana" w:hAnsi="Verdana" w:cs="Arial"/>
              </w:rPr>
              <w:t xml:space="preserve">Decreto 092 de 2017, artículos 2, 3, 4, 5, 6, 7, 8 y 9. </w:t>
            </w:r>
          </w:p>
          <w:p w14:paraId="74C4D5F7" w14:textId="77777777" w:rsidR="003025DA" w:rsidRPr="00AB0420" w:rsidRDefault="003025DA" w:rsidP="003025DA">
            <w:pPr>
              <w:pStyle w:val="Prrafodelista"/>
              <w:numPr>
                <w:ilvl w:val="0"/>
                <w:numId w:val="18"/>
              </w:numPr>
              <w:spacing w:before="120" w:after="120" w:line="276" w:lineRule="auto"/>
              <w:jc w:val="both"/>
              <w:rPr>
                <w:rFonts w:ascii="Verdana" w:hAnsi="Verdana" w:cs="Arial"/>
              </w:rPr>
            </w:pPr>
            <w:r w:rsidRPr="00AB0420">
              <w:rPr>
                <w:rFonts w:ascii="Verdana" w:hAnsi="Verdana" w:cs="Arial"/>
              </w:rPr>
              <w:t xml:space="preserve">CONSEJO DE ESTADO, Sección Tercera, Subsección A. Auto del 6 de agosto de 2019, C.P. Carlos Alberto Zambrano Barrera, </w:t>
            </w:r>
            <w:proofErr w:type="spellStart"/>
            <w:r w:rsidRPr="00AB0420">
              <w:rPr>
                <w:rFonts w:ascii="Verdana" w:hAnsi="Verdana" w:cs="Arial"/>
              </w:rPr>
              <w:t>Exp</w:t>
            </w:r>
            <w:proofErr w:type="spellEnd"/>
            <w:r w:rsidRPr="00AB0420">
              <w:rPr>
                <w:rFonts w:ascii="Verdana" w:hAnsi="Verdana" w:cs="Arial"/>
              </w:rPr>
              <w:t>. No. 62.003.</w:t>
            </w:r>
          </w:p>
          <w:p w14:paraId="3E514D42" w14:textId="77777777" w:rsidR="003025DA" w:rsidRPr="00AB0420" w:rsidRDefault="003025DA" w:rsidP="003025DA">
            <w:pPr>
              <w:pStyle w:val="Prrafodelista"/>
              <w:numPr>
                <w:ilvl w:val="0"/>
                <w:numId w:val="18"/>
              </w:numPr>
              <w:spacing w:before="120" w:after="120" w:line="276" w:lineRule="auto"/>
              <w:jc w:val="both"/>
              <w:rPr>
                <w:rFonts w:ascii="Verdana" w:hAnsi="Verdana" w:cs="Arial"/>
              </w:rPr>
            </w:pPr>
            <w:r w:rsidRPr="00AB0420">
              <w:rPr>
                <w:rFonts w:ascii="Verdana" w:hAnsi="Verdana" w:cs="Arial"/>
              </w:rPr>
              <w:t xml:space="preserve">CONSEJO DE ESTADO. Sala Plena. Auto del 15 de marzo de 2022. C.P. Rocío Araujo Oñate. </w:t>
            </w:r>
            <w:proofErr w:type="spellStart"/>
            <w:r w:rsidRPr="00AB0420">
              <w:rPr>
                <w:rFonts w:ascii="Verdana" w:hAnsi="Verdana" w:cs="Arial"/>
              </w:rPr>
              <w:t>Exp</w:t>
            </w:r>
            <w:proofErr w:type="spellEnd"/>
            <w:r w:rsidRPr="00AB0420">
              <w:rPr>
                <w:rFonts w:ascii="Verdana" w:hAnsi="Verdana" w:cs="Arial"/>
              </w:rPr>
              <w:t>. No. 62.003.</w:t>
            </w:r>
          </w:p>
          <w:p w14:paraId="500D9F70" w14:textId="77777777" w:rsidR="003025DA" w:rsidRPr="00AB0420" w:rsidRDefault="003025DA" w:rsidP="003025DA">
            <w:pPr>
              <w:pStyle w:val="Prrafodelista"/>
              <w:numPr>
                <w:ilvl w:val="0"/>
                <w:numId w:val="18"/>
              </w:numPr>
              <w:spacing w:before="120" w:after="120" w:line="276" w:lineRule="auto"/>
              <w:jc w:val="both"/>
              <w:rPr>
                <w:rFonts w:ascii="Verdana" w:hAnsi="Verdana" w:cs="Arial"/>
              </w:rPr>
            </w:pPr>
            <w:r w:rsidRPr="00AB0420">
              <w:rPr>
                <w:rFonts w:ascii="Verdana" w:hAnsi="Verdana" w:cs="Arial"/>
              </w:rPr>
              <w:t xml:space="preserve">CONSEJO DE ESTADO. Sección Tercera. Subsección A. Sentencia de 13 de marzo de 2024, C.P. Jaime Enrique Rodríguez Navas, </w:t>
            </w:r>
            <w:proofErr w:type="spellStart"/>
            <w:r w:rsidRPr="00AB0420">
              <w:rPr>
                <w:rFonts w:ascii="Verdana" w:hAnsi="Verdana" w:cs="Arial"/>
              </w:rPr>
              <w:t>Exp</w:t>
            </w:r>
            <w:proofErr w:type="spellEnd"/>
            <w:r w:rsidRPr="00AB0420">
              <w:rPr>
                <w:rFonts w:ascii="Verdana" w:hAnsi="Verdana" w:cs="Arial"/>
              </w:rPr>
              <w:t xml:space="preserve">. No. 55.596. </w:t>
            </w:r>
          </w:p>
          <w:p w14:paraId="35AA69F3" w14:textId="77777777" w:rsidR="003025DA" w:rsidRPr="00AB0420" w:rsidRDefault="003025DA" w:rsidP="003025DA">
            <w:pPr>
              <w:pStyle w:val="Prrafodelista"/>
              <w:numPr>
                <w:ilvl w:val="0"/>
                <w:numId w:val="18"/>
              </w:numPr>
              <w:spacing w:before="120" w:after="120" w:line="276" w:lineRule="auto"/>
              <w:jc w:val="both"/>
              <w:rPr>
                <w:rFonts w:ascii="Verdana" w:hAnsi="Verdana" w:cs="Arial"/>
              </w:rPr>
            </w:pPr>
            <w:r w:rsidRPr="00AB0420">
              <w:rPr>
                <w:rFonts w:ascii="Verdana" w:hAnsi="Verdana" w:cs="Arial"/>
              </w:rPr>
              <w:t xml:space="preserve">CONSEJO DE ESTADO. Sección Tercera. Subsección A. Sentencia de 22 de mayo de 2024, C.P. Nicolás Yepes Corrales, </w:t>
            </w:r>
            <w:proofErr w:type="spellStart"/>
            <w:r w:rsidRPr="00AB0420">
              <w:rPr>
                <w:rFonts w:ascii="Verdana" w:hAnsi="Verdana" w:cs="Arial"/>
              </w:rPr>
              <w:t>Exp</w:t>
            </w:r>
            <w:proofErr w:type="spellEnd"/>
            <w:r w:rsidRPr="00AB0420">
              <w:rPr>
                <w:rFonts w:ascii="Verdana" w:hAnsi="Verdana" w:cs="Arial"/>
              </w:rPr>
              <w:t xml:space="preserve">. No. 66.391. </w:t>
            </w:r>
          </w:p>
          <w:p w14:paraId="65AF5615" w14:textId="77777777" w:rsidR="003025DA" w:rsidRPr="00AB0420" w:rsidRDefault="003025DA" w:rsidP="003025DA">
            <w:pPr>
              <w:pStyle w:val="Prrafodelista"/>
              <w:numPr>
                <w:ilvl w:val="0"/>
                <w:numId w:val="18"/>
              </w:numPr>
              <w:spacing w:before="120" w:after="120" w:line="276" w:lineRule="auto"/>
              <w:jc w:val="both"/>
              <w:rPr>
                <w:rFonts w:ascii="Verdana" w:hAnsi="Verdana" w:cs="Arial"/>
              </w:rPr>
            </w:pPr>
            <w:r w:rsidRPr="00AB0420">
              <w:rPr>
                <w:rFonts w:ascii="Verdana" w:hAnsi="Verdana" w:cs="Arial"/>
              </w:rPr>
              <w:t xml:space="preserve">CONSEJO DE ESTADO. Sección Tercera. Subsección A. Sentencia de 13 de agosto de 2024, C.P. Fernando Alexei Pardo Flórez, </w:t>
            </w:r>
            <w:proofErr w:type="spellStart"/>
            <w:r w:rsidRPr="00AB0420">
              <w:rPr>
                <w:rFonts w:ascii="Verdana" w:hAnsi="Verdana" w:cs="Arial"/>
              </w:rPr>
              <w:t>Exp</w:t>
            </w:r>
            <w:proofErr w:type="spellEnd"/>
            <w:r w:rsidRPr="00AB0420">
              <w:rPr>
                <w:rFonts w:ascii="Verdana" w:hAnsi="Verdana" w:cs="Arial"/>
              </w:rPr>
              <w:t xml:space="preserve">. No. 70.470. </w:t>
            </w:r>
          </w:p>
          <w:p w14:paraId="1286566C" w14:textId="77777777" w:rsidR="003025DA" w:rsidRPr="00AB0420" w:rsidRDefault="003025DA" w:rsidP="003025DA">
            <w:pPr>
              <w:pStyle w:val="Prrafodelista"/>
              <w:numPr>
                <w:ilvl w:val="0"/>
                <w:numId w:val="18"/>
              </w:numPr>
              <w:spacing w:before="120" w:after="120" w:line="276" w:lineRule="auto"/>
              <w:jc w:val="both"/>
              <w:rPr>
                <w:rFonts w:ascii="Verdana" w:hAnsi="Verdana" w:cs="Arial"/>
              </w:rPr>
            </w:pPr>
            <w:r w:rsidRPr="00AB0420">
              <w:rPr>
                <w:rFonts w:ascii="Verdana" w:hAnsi="Verdana" w:cs="Arial"/>
              </w:rPr>
              <w:t xml:space="preserve">Agencia Nacional de Contratación Pública –Colombia Compra Eficiente–. Guía para la contratación con entidades privadas sin ánimo de lucro y de reconocida idoneidad. Disponible en: </w:t>
            </w:r>
            <w:hyperlink r:id="rId12" w:history="1">
              <w:r w:rsidRPr="00AB0420">
                <w:rPr>
                  <w:rStyle w:val="Hipervnculo"/>
                  <w:rFonts w:ascii="Verdana" w:hAnsi="Verdana" w:cs="Arial"/>
                </w:rPr>
                <w:t>Guía para la contratación con entidades privadas sin ánimo de lucro y de reconocida idoneidad</w:t>
              </w:r>
            </w:hyperlink>
            <w:r w:rsidRPr="00AB0420">
              <w:rPr>
                <w:rFonts w:ascii="Verdana" w:hAnsi="Verdana" w:cs="Arial"/>
              </w:rPr>
              <w:t xml:space="preserve"> </w:t>
            </w:r>
          </w:p>
        </w:tc>
      </w:tr>
    </w:tbl>
    <w:p w14:paraId="22BC25AF" w14:textId="77777777" w:rsidR="003025DA" w:rsidRPr="00AB0420" w:rsidRDefault="003025DA" w:rsidP="003025DA">
      <w:pPr>
        <w:widowControl w:val="0"/>
        <w:autoSpaceDE w:val="0"/>
        <w:autoSpaceDN w:val="0"/>
        <w:spacing w:after="0" w:line="276" w:lineRule="auto"/>
        <w:jc w:val="both"/>
        <w:rPr>
          <w:rFonts w:ascii="Verdana" w:hAnsi="Verdana" w:cs="Arial"/>
          <w:highlight w:val="cyan"/>
        </w:rPr>
      </w:pPr>
    </w:p>
    <w:p w14:paraId="26FE8278" w14:textId="77777777" w:rsidR="003025DA" w:rsidRPr="00AB0420" w:rsidRDefault="003025DA" w:rsidP="003025DA">
      <w:pPr>
        <w:pStyle w:val="Prrafodelista"/>
        <w:numPr>
          <w:ilvl w:val="0"/>
          <w:numId w:val="19"/>
        </w:numPr>
        <w:tabs>
          <w:tab w:val="left" w:pos="142"/>
          <w:tab w:val="left" w:pos="284"/>
        </w:tabs>
        <w:spacing w:after="0" w:line="276" w:lineRule="auto"/>
        <w:ind w:left="0" w:firstLine="0"/>
        <w:contextualSpacing w:val="0"/>
        <w:jc w:val="both"/>
        <w:rPr>
          <w:rFonts w:ascii="Verdana" w:eastAsia="Century Gothic" w:hAnsi="Verdana" w:cs="Arial"/>
          <w:b/>
          <w:bCs/>
        </w:rPr>
      </w:pPr>
      <w:r w:rsidRPr="00AB0420">
        <w:rPr>
          <w:rFonts w:ascii="Verdana" w:eastAsia="Century Gothic" w:hAnsi="Verdana" w:cs="Arial"/>
          <w:b/>
          <w:bCs/>
        </w:rPr>
        <w:t>Doctrina de la Agencia Nacional de Contratación Pública:</w:t>
      </w:r>
    </w:p>
    <w:p w14:paraId="0CDFEB8C" w14:textId="77777777" w:rsidR="003025DA" w:rsidRPr="00AB0420" w:rsidRDefault="003025DA" w:rsidP="003025DA">
      <w:pPr>
        <w:widowControl w:val="0"/>
        <w:autoSpaceDE w:val="0"/>
        <w:autoSpaceDN w:val="0"/>
        <w:spacing w:after="0" w:line="276" w:lineRule="auto"/>
        <w:jc w:val="both"/>
        <w:rPr>
          <w:rFonts w:ascii="Verdana" w:hAnsi="Verdana" w:cs="Arial"/>
          <w:highlight w:val="cyan"/>
        </w:rPr>
      </w:pPr>
    </w:p>
    <w:p w14:paraId="055C04F2" w14:textId="0DA4D645" w:rsidR="003025DA" w:rsidRPr="00AB0420" w:rsidRDefault="003025DA" w:rsidP="003025DA">
      <w:pPr>
        <w:jc w:val="both"/>
        <w:rPr>
          <w:rFonts w:ascii="Verdana" w:eastAsia="Calibri" w:hAnsi="Verdana" w:cs="Arial"/>
          <w:b/>
          <w:bCs/>
          <w:lang w:val="es-ES" w:eastAsia="es-ES"/>
        </w:rPr>
      </w:pPr>
      <w:r w:rsidRPr="00AB0420">
        <w:rPr>
          <w:rStyle w:val="normaltextrun"/>
          <w:rFonts w:ascii="Verdana" w:hAnsi="Verdana" w:cs="Arial"/>
          <w:color w:val="000000" w:themeColor="text1"/>
          <w:shd w:val="clear" w:color="auto" w:fill="FFFFFF"/>
          <w:lang w:val="es-ES"/>
        </w:rPr>
        <w:t xml:space="preserve">La Agencia Nacional de Contratación Pública – Colombia Compra Eficiente se ha referido al </w:t>
      </w:r>
      <w:r w:rsidRPr="00AB0420">
        <w:rPr>
          <w:rFonts w:ascii="Verdana" w:hAnsi="Verdana" w:cs="Arial"/>
          <w:shd w:val="clear" w:color="auto" w:fill="FFFFFF"/>
          <w:lang w:val="es-ES"/>
        </w:rPr>
        <w:t>régimen contractual de las ESAL con fundamento en el Decreto 092 de 2017 en los conceptos 4201912000008310 del 26 de diciembre de 2019, 4201912000007899 del 27 de diciembre de 2019, 4201912000007901 del 27 de diciembre de 2019, C-070 04 de marzo de 2020, C-094 del 04 de marzo de 2020, C-086 del 16 de marzo de 2020, C-594 del 7 de septiembre de 2020, C-</w:t>
      </w:r>
      <w:r w:rsidRPr="00AB0420">
        <w:rPr>
          <w:rFonts w:ascii="Verdana" w:hAnsi="Verdana" w:cs="Arial"/>
          <w:shd w:val="clear" w:color="auto" w:fill="FFFFFF"/>
          <w:lang w:val="es-ES"/>
        </w:rPr>
        <w:lastRenderedPageBreak/>
        <w:t>670 del 22 de noviembre de 2020, C-689 del 1 de diciembre de 2020, C-724 de 14 de diciembre de 2020, C-364 de 26 de julio de 2021, C-379 de 20 de julio de 2021, C-537 del 27 de septiembre de 2021,  C-021 del 22 de febrero de 2022, C-236 del 27 de abril de 2022, C-273 del 6 de mayo de 2022, C-274 del 6 de mayo de 2022, C-291 del 18 de mayo de 2022, C-550 del 31 de agosto de 2022, C-560 del 7 de septiembre de 2022, C-853 del 9 de diciembre de 2022, C-351 del 6 de octubre de 2023, , C-064 del 24 de abril de 2024, C-080 del 7 de mayo de 2024, C-281 del 29 de octubre de 2024, C-957 del 17 de diciembre de 2024,</w:t>
      </w:r>
      <w:r w:rsidRPr="00AB0420">
        <w:rPr>
          <w:rFonts w:ascii="Verdana" w:eastAsia="Calibri" w:hAnsi="Verdana" w:cs="Arial"/>
          <w:b/>
          <w:bCs/>
          <w:lang w:val="es-ES" w:eastAsia="es-ES"/>
        </w:rPr>
        <w:t xml:space="preserve"> </w:t>
      </w:r>
      <w:r w:rsidRPr="00AB0420">
        <w:rPr>
          <w:rFonts w:ascii="Verdana" w:eastAsia="Calibri" w:hAnsi="Verdana" w:cs="Arial"/>
          <w:lang w:val="es-ES" w:eastAsia="es-ES"/>
        </w:rPr>
        <w:t xml:space="preserve">C-875 del 13 de agosto de 2025, </w:t>
      </w:r>
      <w:r w:rsidRPr="00AB0420">
        <w:rPr>
          <w:rFonts w:ascii="Verdana" w:hAnsi="Verdana" w:cs="Arial"/>
          <w:shd w:val="clear" w:color="auto" w:fill="FFFFFF"/>
          <w:lang w:val="es-ES"/>
        </w:rPr>
        <w:t>C-1384 del 5 de noviembre de 2025</w:t>
      </w:r>
      <w:r w:rsidR="005D5C1E" w:rsidRPr="00AB0420">
        <w:rPr>
          <w:rFonts w:ascii="Verdana" w:hAnsi="Verdana" w:cs="Arial"/>
          <w:shd w:val="clear" w:color="auto" w:fill="FFFFFF"/>
          <w:lang w:val="es-ES"/>
        </w:rPr>
        <w:t xml:space="preserve">, </w:t>
      </w:r>
      <w:r w:rsidRPr="00AB0420">
        <w:rPr>
          <w:rFonts w:ascii="Verdana" w:hAnsi="Verdana" w:cs="Arial"/>
          <w:shd w:val="clear" w:color="auto" w:fill="FFFFFF"/>
          <w:lang w:val="es-ES"/>
        </w:rPr>
        <w:t>C-337 del 12 de marzo del 2026</w:t>
      </w:r>
      <w:r w:rsidR="005D5C1E" w:rsidRPr="00AB0420">
        <w:rPr>
          <w:rFonts w:ascii="Verdana" w:hAnsi="Verdana" w:cs="Arial"/>
          <w:shd w:val="clear" w:color="auto" w:fill="FFFFFF"/>
          <w:lang w:val="es-ES"/>
        </w:rPr>
        <w:t xml:space="preserve"> y </w:t>
      </w:r>
      <w:r w:rsidR="004C3868" w:rsidRPr="00AB0420">
        <w:rPr>
          <w:rFonts w:ascii="Verdana" w:hAnsi="Verdana" w:cs="Arial"/>
          <w:shd w:val="clear" w:color="auto" w:fill="FFFFFF"/>
          <w:lang w:val="es-ES"/>
        </w:rPr>
        <w:t xml:space="preserve">C-830 del </w:t>
      </w:r>
      <w:r w:rsidR="00FF38AD" w:rsidRPr="00AB0420">
        <w:rPr>
          <w:rFonts w:ascii="Verdana" w:hAnsi="Verdana" w:cs="Arial"/>
          <w:shd w:val="clear" w:color="auto" w:fill="FFFFFF"/>
          <w:lang w:val="es-ES"/>
        </w:rPr>
        <w:t>18 de junio del 2026</w:t>
      </w:r>
      <w:r w:rsidRPr="00AB0420">
        <w:rPr>
          <w:rFonts w:ascii="Verdana" w:hAnsi="Verdana" w:cs="Arial"/>
          <w:shd w:val="clear" w:color="auto" w:fill="FFFFFF"/>
          <w:lang w:val="es-ES"/>
        </w:rPr>
        <w:t>, entre otros</w:t>
      </w:r>
      <w:r w:rsidRPr="00AB0420">
        <w:rPr>
          <w:rFonts w:ascii="Verdana" w:hAnsi="Verdana"/>
          <w:lang w:val="es-ES"/>
        </w:rPr>
        <w:t xml:space="preserve">.  </w:t>
      </w:r>
      <w:r w:rsidRPr="00AB0420">
        <w:rPr>
          <w:rStyle w:val="normaltextrun"/>
          <w:rFonts w:ascii="Verdana" w:hAnsi="Verdana" w:cs="Arial"/>
          <w:shd w:val="clear" w:color="auto" w:fill="FFFFFF"/>
          <w:lang w:val="es-ES"/>
        </w:rPr>
        <w:t>Estos y otros conceptos se encuentran disponibles para consulta en el Sistema de relatoría de la Agencia</w:t>
      </w:r>
      <w:r w:rsidRPr="00AB0420">
        <w:rPr>
          <w:rFonts w:ascii="Verdana" w:hAnsi="Verdana"/>
          <w:lang w:val="es-ES"/>
        </w:rPr>
        <w:t>, al cual puede accederse a través del siguiente enlace:</w:t>
      </w:r>
      <w:r w:rsidRPr="00AB0420">
        <w:rPr>
          <w:rStyle w:val="normaltextrun"/>
          <w:rFonts w:ascii="Verdana" w:hAnsi="Verdana" w:cs="Arial"/>
          <w:shd w:val="clear" w:color="auto" w:fill="FFFFFF"/>
          <w:lang w:val="es-ES"/>
        </w:rPr>
        <w:t xml:space="preserve"> </w:t>
      </w:r>
      <w:hyperlink r:id="rId13" w:history="1">
        <w:r w:rsidRPr="00AB0420">
          <w:rPr>
            <w:rStyle w:val="Hipervnculo"/>
            <w:rFonts w:ascii="Verdana" w:hAnsi="Verdana" w:cs="Arial"/>
            <w:shd w:val="clear" w:color="auto" w:fill="FFFFFF"/>
            <w:lang w:val="es-ES"/>
          </w:rPr>
          <w:t>https://relatoria.colombiacompra.gov.co/busqueda/conceptos</w:t>
        </w:r>
      </w:hyperlink>
      <w:r w:rsidRPr="00AB0420">
        <w:rPr>
          <w:rStyle w:val="normaltextrun"/>
          <w:rFonts w:ascii="Verdana" w:hAnsi="Verdana" w:cs="Arial"/>
          <w:shd w:val="clear" w:color="auto" w:fill="FFFFFF"/>
          <w:lang w:val="es-ES"/>
        </w:rPr>
        <w:t>.</w:t>
      </w:r>
    </w:p>
    <w:p w14:paraId="36367C66" w14:textId="77777777" w:rsidR="003025DA" w:rsidRPr="00AB0420" w:rsidRDefault="003025DA" w:rsidP="003025DA">
      <w:pPr>
        <w:widowControl w:val="0"/>
        <w:autoSpaceDE w:val="0"/>
        <w:autoSpaceDN w:val="0"/>
        <w:spacing w:after="0" w:line="276" w:lineRule="auto"/>
        <w:jc w:val="both"/>
        <w:rPr>
          <w:rStyle w:val="normaltextrun"/>
          <w:rFonts w:ascii="Verdana" w:hAnsi="Verdana" w:cs="Arial"/>
          <w:shd w:val="clear" w:color="auto" w:fill="FFFFFF"/>
          <w:lang w:val="es-ES"/>
        </w:rPr>
      </w:pPr>
    </w:p>
    <w:p w14:paraId="634F2FA4" w14:textId="77777777" w:rsidR="003025DA" w:rsidRPr="00AB0420" w:rsidRDefault="003025DA" w:rsidP="003025DA">
      <w:pPr>
        <w:widowControl w:val="0"/>
        <w:autoSpaceDE w:val="0"/>
        <w:autoSpaceDN w:val="0"/>
        <w:spacing w:after="0" w:line="276" w:lineRule="auto"/>
        <w:jc w:val="both"/>
        <w:rPr>
          <w:rFonts w:ascii="Verdana" w:hAnsi="Verdana"/>
        </w:rPr>
      </w:pPr>
      <w:r w:rsidRPr="00AB0420">
        <w:rPr>
          <w:rFonts w:ascii="Verdana" w:hAnsi="Verdana" w:cs="Arial"/>
        </w:rPr>
        <w:t xml:space="preserve">La sostenibilidad no es una opción, es una obligación. Por ello, la Agencia Nacional de Contratación Pública –Colombia Compra Eficiente– te invita a realizar el </w:t>
      </w:r>
      <w:r w:rsidRPr="00AB0420">
        <w:rPr>
          <w:rFonts w:ascii="Verdana" w:hAnsi="Verdana" w:cs="Arial"/>
          <w:b/>
          <w:bCs/>
        </w:rPr>
        <w:t>Curso de Contratación Pública Sostenible y Socialmente Responsable</w:t>
      </w:r>
      <w:r w:rsidRPr="00AB0420">
        <w:rPr>
          <w:rFonts w:ascii="Verdana" w:hAnsi="Verdana" w:cs="Arial"/>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AB0420">
        <w:rPr>
          <w:rFonts w:ascii="Verdana" w:hAnsi="Verdana" w:cs="Arial"/>
        </w:rPr>
        <w:br/>
      </w:r>
      <w:hyperlink r:id="rId14" w:tgtFrame="_new" w:history="1">
        <w:r w:rsidRPr="00AB0420">
          <w:rPr>
            <w:rStyle w:val="Hipervnculo"/>
            <w:rFonts w:ascii="Verdana" w:hAnsi="Verdana" w:cs="Arial"/>
          </w:rPr>
          <w:t>https://formacionvirtual.colombiacompra.gov.co/mod/page/view.php?id=3718</w:t>
        </w:r>
      </w:hyperlink>
    </w:p>
    <w:p w14:paraId="6FE39791" w14:textId="77777777" w:rsidR="003025DA" w:rsidRPr="00AB0420" w:rsidRDefault="003025DA" w:rsidP="003025DA">
      <w:pPr>
        <w:widowControl w:val="0"/>
        <w:autoSpaceDE w:val="0"/>
        <w:autoSpaceDN w:val="0"/>
        <w:spacing w:after="0" w:line="276" w:lineRule="auto"/>
        <w:jc w:val="both"/>
        <w:rPr>
          <w:rFonts w:ascii="Verdana" w:hAnsi="Verdana"/>
        </w:rPr>
      </w:pPr>
    </w:p>
    <w:p w14:paraId="093A9296" w14:textId="77777777" w:rsidR="003025DA" w:rsidRPr="00AB0420" w:rsidRDefault="003025DA" w:rsidP="003025DA">
      <w:pPr>
        <w:widowControl w:val="0"/>
        <w:autoSpaceDE w:val="0"/>
        <w:autoSpaceDN w:val="0"/>
        <w:spacing w:after="0" w:line="276" w:lineRule="auto"/>
        <w:jc w:val="both"/>
        <w:rPr>
          <w:rFonts w:ascii="Verdana" w:hAnsi="Verdana"/>
        </w:rPr>
      </w:pPr>
      <w:r w:rsidRPr="00AB0420">
        <w:rPr>
          <w:rFonts w:ascii="Verdana" w:hAnsi="Verdana" w:cs="Arial"/>
        </w:rPr>
        <w:t xml:space="preserve">De otro lado, te contamos que esta Agencia ha da un paso decisivo en la estandarización y modernización del </w:t>
      </w:r>
      <w:r w:rsidRPr="00AB0420">
        <w:rPr>
          <w:rFonts w:ascii="Verdana" w:hAnsi="Verdana" w:cs="Arial"/>
          <w:b/>
          <w:bCs/>
        </w:rPr>
        <w:t>sector  social</w:t>
      </w:r>
      <w:r w:rsidRPr="00AB0420">
        <w:rPr>
          <w:rFonts w:ascii="Verdana" w:hAnsi="Verdana" w:cs="Arial"/>
        </w:rPr>
        <w:t xml:space="preserve"> con la expedición de las </w:t>
      </w:r>
      <w:r w:rsidRPr="00AB0420">
        <w:rPr>
          <w:rFonts w:ascii="Verdana" w:hAnsi="Verdana" w:cs="Arial"/>
          <w:b/>
          <w:bCs/>
        </w:rPr>
        <w:t>Resoluciones 539, 540, 541, 952 y 953 de 2025</w:t>
      </w:r>
      <w:r w:rsidRPr="00AB0420">
        <w:rPr>
          <w:rFonts w:ascii="Verdana" w:hAnsi="Verdana" w:cs="Arial"/>
        </w:rPr>
        <w:t xml:space="preserve">, </w:t>
      </w:r>
      <w:r w:rsidRPr="00AB0420">
        <w:rPr>
          <w:rFonts w:ascii="Verdana" w:hAnsi="Verdana" w:cs="Arial"/>
          <w:b/>
          <w:bCs/>
        </w:rPr>
        <w:t>mediante las cuales adoptó Documentos Tipo</w:t>
      </w:r>
      <w:r w:rsidRPr="00AB0420">
        <w:rPr>
          <w:rFonts w:ascii="Verdana" w:hAnsi="Verdana" w:cs="Arial"/>
        </w:rPr>
        <w:t xml:space="preserve"> para las modalidades de selección de</w:t>
      </w:r>
      <w:r w:rsidRPr="00AB0420">
        <w:rPr>
          <w:rFonts w:ascii="Verdana" w:hAnsi="Verdana" w:cs="Arial"/>
          <w:b/>
          <w:bCs/>
        </w:rPr>
        <w:t xml:space="preserve"> licitación pública (versión 2), selección abreviada de menor cuantía, mínima cuantía, consultoría e interventoría</w:t>
      </w:r>
      <w:r w:rsidRPr="00AB0420">
        <w:rPr>
          <w:rFonts w:ascii="Verdana" w:hAnsi="Verdana" w:cs="Arial"/>
        </w:rPr>
        <w:t xml:space="preserve">, promoviendo procesos más transparentes, eficientes  competitivos y sostenibles en sectores estratégicos como educación, salud, cultura, recreación, deporte, institucional y vivienda. Consulta y descarga los documentos aquí: </w:t>
      </w:r>
      <w:hyperlink r:id="rId15" w:tgtFrame="_new" w:history="1">
        <w:r w:rsidRPr="00AB0420">
          <w:rPr>
            <w:rStyle w:val="Hipervnculo"/>
            <w:rFonts w:ascii="Verdana" w:hAnsi="Verdana" w:cs="Arial"/>
          </w:rPr>
          <w:t>https://www.colombiacompra.gov.co/normativa-y-relatoria/documentos-tipo</w:t>
        </w:r>
      </w:hyperlink>
    </w:p>
    <w:p w14:paraId="2716302D" w14:textId="77777777" w:rsidR="003025DA" w:rsidRPr="00AB0420" w:rsidRDefault="003025DA" w:rsidP="003025DA">
      <w:pPr>
        <w:widowControl w:val="0"/>
        <w:autoSpaceDE w:val="0"/>
        <w:autoSpaceDN w:val="0"/>
        <w:spacing w:after="0" w:line="276" w:lineRule="auto"/>
        <w:jc w:val="both"/>
        <w:rPr>
          <w:rFonts w:ascii="Verdana" w:hAnsi="Verdana" w:cs="Arial"/>
          <w:shd w:val="clear" w:color="auto" w:fill="FFFFFF"/>
        </w:rPr>
      </w:pPr>
    </w:p>
    <w:p w14:paraId="19430438" w14:textId="77777777" w:rsidR="003025DA" w:rsidRPr="00AB0420" w:rsidRDefault="003025DA" w:rsidP="003025DA">
      <w:pPr>
        <w:spacing w:after="120" w:line="276" w:lineRule="auto"/>
        <w:jc w:val="both"/>
        <w:rPr>
          <w:rFonts w:ascii="Verdana" w:hAnsi="Verdana" w:cs="Arial"/>
        </w:rPr>
      </w:pPr>
      <w:r w:rsidRPr="00AB0420">
        <w:rPr>
          <w:rFonts w:ascii="Verdana" w:hAnsi="Verdana" w:cs="Arial"/>
        </w:rPr>
        <w:t xml:space="preserve">Si quieres conocer más sobre la aplicación de Documentos Tipo puedes consultar la última versión de la </w:t>
      </w:r>
      <w:r w:rsidRPr="00AB0420">
        <w:rPr>
          <w:rFonts w:ascii="Verdana" w:hAnsi="Verdana" w:cs="Arial"/>
          <w:b/>
          <w:bCs/>
        </w:rPr>
        <w:t>Guía para la comprensión e implementación de los Documentos Tipo de obra pública de infraestructura de transporte</w:t>
      </w:r>
      <w:r w:rsidRPr="00AB0420">
        <w:rPr>
          <w:rFonts w:ascii="Verdana" w:hAnsi="Verdana" w:cs="Arial"/>
        </w:rPr>
        <w:t xml:space="preserve">. En </w:t>
      </w:r>
      <w:r w:rsidRPr="00AB0420">
        <w:rPr>
          <w:rFonts w:ascii="Verdana" w:hAnsi="Verdana" w:cs="Arial"/>
        </w:rPr>
        <w:lastRenderedPageBreak/>
        <w:t>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AB0420">
        <w:rPr>
          <w:rFonts w:ascii="Verdana" w:hAnsi="Verdana" w:cs="Arial"/>
        </w:rPr>
        <w:br/>
      </w:r>
      <w:hyperlink r:id="rId16" w:tgtFrame="_new" w:history="1">
        <w:r w:rsidRPr="00AB0420">
          <w:rPr>
            <w:rStyle w:val="Hipervnculo"/>
            <w:rFonts w:ascii="Verdana" w:hAnsi="Verdana" w:cs="Arial"/>
          </w:rPr>
          <w:t>https://www.colombiacompra.gov.co/archivos/manual/guia-para-la-comprension-e-implementacion-de-los-documentos-tipo-de-obra-publica-de-infraestructura-de-transporte-bajo-las-diferentes-modalidades-de-contratacion-vigentes</w:t>
        </w:r>
      </w:hyperlink>
    </w:p>
    <w:p w14:paraId="3B0591F7" w14:textId="77777777" w:rsidR="003025DA" w:rsidRPr="00AB0420" w:rsidRDefault="003025DA" w:rsidP="003025DA">
      <w:pPr>
        <w:spacing w:after="0" w:line="276" w:lineRule="auto"/>
        <w:jc w:val="both"/>
        <w:rPr>
          <w:rFonts w:ascii="Verdana" w:hAnsi="Verdana" w:cs="Arial"/>
        </w:rPr>
      </w:pPr>
      <w:r w:rsidRPr="00AB0420">
        <w:rPr>
          <w:rFonts w:ascii="Verdana" w:hAnsi="Verdana" w:cs="Arial"/>
        </w:rPr>
        <w:t xml:space="preserve">Por último, lo invitamos a seguirnos en las redes sociales en las cuales se difunde información institucional: </w:t>
      </w:r>
    </w:p>
    <w:p w14:paraId="5FBD7E5B" w14:textId="77777777" w:rsidR="003025DA" w:rsidRPr="00AB0420" w:rsidRDefault="003025DA" w:rsidP="003025DA">
      <w:pPr>
        <w:spacing w:after="0" w:line="276" w:lineRule="auto"/>
        <w:jc w:val="both"/>
        <w:rPr>
          <w:rFonts w:ascii="Verdana" w:hAnsi="Verdana" w:cs="Arial"/>
        </w:rPr>
      </w:pPr>
    </w:p>
    <w:p w14:paraId="03A549CC" w14:textId="77777777" w:rsidR="003025DA" w:rsidRPr="00AB0420" w:rsidRDefault="003025DA" w:rsidP="003025DA">
      <w:pPr>
        <w:spacing w:after="0" w:line="276" w:lineRule="auto"/>
        <w:jc w:val="both"/>
        <w:rPr>
          <w:rFonts w:ascii="Verdana" w:hAnsi="Verdana" w:cs="Arial"/>
        </w:rPr>
      </w:pPr>
      <w:r w:rsidRPr="00AB0420">
        <w:rPr>
          <w:rFonts w:ascii="Verdana" w:hAnsi="Verdana" w:cs="Arial"/>
        </w:rPr>
        <w:t xml:space="preserve">Twitter: </w:t>
      </w:r>
      <w:r w:rsidRPr="00AB0420">
        <w:rPr>
          <w:rStyle w:val="Hipervnculo"/>
          <w:rFonts w:ascii="Verdana" w:hAnsi="Verdana" w:cs="Arial"/>
          <w:color w:val="4472C4" w:themeColor="accent1"/>
        </w:rPr>
        <w:t>@colombiacompra</w:t>
      </w:r>
      <w:r w:rsidRPr="00AB0420">
        <w:rPr>
          <w:rFonts w:ascii="Verdana" w:hAnsi="Verdana" w:cs="Arial"/>
          <w:color w:val="4472C4" w:themeColor="accent1"/>
        </w:rPr>
        <w:t xml:space="preserve"> </w:t>
      </w:r>
    </w:p>
    <w:p w14:paraId="770CB753" w14:textId="77777777" w:rsidR="003025DA" w:rsidRPr="00AB0420" w:rsidRDefault="003025DA" w:rsidP="003025DA">
      <w:pPr>
        <w:spacing w:after="0" w:line="276" w:lineRule="auto"/>
        <w:jc w:val="both"/>
        <w:rPr>
          <w:rFonts w:ascii="Verdana" w:hAnsi="Verdana" w:cs="Arial"/>
        </w:rPr>
      </w:pPr>
      <w:r w:rsidRPr="00AB0420">
        <w:rPr>
          <w:rFonts w:ascii="Verdana" w:hAnsi="Verdana" w:cs="Arial"/>
        </w:rPr>
        <w:t xml:space="preserve">Facebook: </w:t>
      </w:r>
      <w:proofErr w:type="spellStart"/>
      <w:r w:rsidRPr="00AB0420">
        <w:rPr>
          <w:rStyle w:val="Hipervnculo"/>
          <w:rFonts w:ascii="Verdana" w:hAnsi="Verdana" w:cs="Arial"/>
          <w:color w:val="4472C4" w:themeColor="accent1"/>
        </w:rPr>
        <w:t>ColombiaCompraEficiente</w:t>
      </w:r>
      <w:proofErr w:type="spellEnd"/>
    </w:p>
    <w:p w14:paraId="3DE1EF67" w14:textId="77777777" w:rsidR="003025DA" w:rsidRPr="00AB0420" w:rsidRDefault="003025DA" w:rsidP="003025DA">
      <w:pPr>
        <w:spacing w:after="0" w:line="276" w:lineRule="auto"/>
        <w:jc w:val="both"/>
        <w:rPr>
          <w:rStyle w:val="Hipervnculo"/>
          <w:rFonts w:ascii="Verdana" w:hAnsi="Verdana" w:cs="Arial"/>
          <w:color w:val="4472C4" w:themeColor="accent1"/>
        </w:rPr>
      </w:pPr>
      <w:r w:rsidRPr="00AB0420">
        <w:rPr>
          <w:rFonts w:ascii="Verdana" w:hAnsi="Verdana" w:cs="Arial"/>
        </w:rPr>
        <w:t xml:space="preserve">LinkedIn: </w:t>
      </w:r>
      <w:r w:rsidRPr="00AB0420">
        <w:rPr>
          <w:rStyle w:val="Hipervnculo"/>
          <w:rFonts w:ascii="Verdana" w:hAnsi="Verdana" w:cs="Arial"/>
          <w:color w:val="4472C4" w:themeColor="accent1"/>
        </w:rPr>
        <w:t>Agencia Nacional de Contratación Pública - Colombia Compra Eficiente</w:t>
      </w:r>
      <w:r w:rsidRPr="00AB0420">
        <w:rPr>
          <w:rFonts w:ascii="Verdana" w:hAnsi="Verdana" w:cs="Arial"/>
          <w:color w:val="4472C4" w:themeColor="accent1"/>
        </w:rPr>
        <w:t xml:space="preserve"> </w:t>
      </w:r>
      <w:r w:rsidRPr="00AB0420">
        <w:rPr>
          <w:rFonts w:ascii="Verdana" w:hAnsi="Verdana" w:cs="Arial"/>
        </w:rPr>
        <w:t xml:space="preserve">Instagram: </w:t>
      </w:r>
      <w:r w:rsidRPr="00AB0420">
        <w:rPr>
          <w:rStyle w:val="Hipervnculo"/>
          <w:rFonts w:ascii="Verdana" w:hAnsi="Verdana" w:cs="Arial"/>
          <w:color w:val="4472C4" w:themeColor="accent1"/>
        </w:rPr>
        <w:t>@colombiacompraeficiente_cce</w:t>
      </w:r>
    </w:p>
    <w:p w14:paraId="1FAA0CD3" w14:textId="77777777" w:rsidR="003025DA" w:rsidRPr="00AB0420" w:rsidRDefault="003025DA" w:rsidP="003025DA">
      <w:pPr>
        <w:spacing w:after="0" w:line="276" w:lineRule="auto"/>
        <w:jc w:val="both"/>
        <w:rPr>
          <w:rStyle w:val="Hipervnculo"/>
          <w:rFonts w:ascii="Verdana" w:hAnsi="Verdana" w:cs="Arial"/>
          <w:color w:val="4472C4" w:themeColor="accent1"/>
        </w:rPr>
      </w:pPr>
    </w:p>
    <w:p w14:paraId="59BABC4A" w14:textId="77777777" w:rsidR="003025DA" w:rsidRPr="00AB0420" w:rsidRDefault="003025DA" w:rsidP="003025DA">
      <w:pPr>
        <w:widowControl w:val="0"/>
        <w:autoSpaceDE w:val="0"/>
        <w:autoSpaceDN w:val="0"/>
        <w:spacing w:after="0" w:line="276" w:lineRule="auto"/>
        <w:jc w:val="both"/>
        <w:rPr>
          <w:rFonts w:ascii="Verdana" w:hAnsi="Verdana" w:cs="Arial"/>
          <w:lang w:val="es-ES_tradnl"/>
        </w:rPr>
      </w:pPr>
      <w:r w:rsidRPr="00AB0420">
        <w:rPr>
          <w:rFonts w:ascii="Verdana" w:hAnsi="Verdana" w:cs="Arial"/>
        </w:rPr>
        <w:t xml:space="preserve">Este concepto tiene el alcance previsto en el artículo 28 del Código de Procedimiento Administrativo y de lo Contencioso Administrativo </w:t>
      </w:r>
      <w:r w:rsidRPr="00AB0420">
        <w:rPr>
          <w:rFonts w:ascii="Verdana" w:hAnsi="Verdana" w:cs="Arial"/>
          <w:lang w:val="es-ES_tradnl"/>
        </w:rPr>
        <w:t>y las expresiones aquí utilizadas con mayúscula inicial deben ser entendidas con el significado que les otorga el artículo 2.2.1.1.1.3.1. del Decreto 1082 de 2015.</w:t>
      </w:r>
    </w:p>
    <w:p w14:paraId="6BD64137" w14:textId="77777777" w:rsidR="003025DA" w:rsidRPr="00AB0420" w:rsidRDefault="003025DA" w:rsidP="003025DA">
      <w:pPr>
        <w:widowControl w:val="0"/>
        <w:autoSpaceDE w:val="0"/>
        <w:autoSpaceDN w:val="0"/>
        <w:spacing w:after="0" w:line="276" w:lineRule="auto"/>
        <w:jc w:val="both"/>
        <w:rPr>
          <w:rFonts w:ascii="Verdana" w:hAnsi="Verdana" w:cs="Arial"/>
        </w:rPr>
      </w:pPr>
    </w:p>
    <w:p w14:paraId="1590CF1F" w14:textId="77777777" w:rsidR="003025DA" w:rsidRPr="00AB0420" w:rsidRDefault="003025DA" w:rsidP="003025DA">
      <w:pPr>
        <w:spacing w:after="0" w:line="276" w:lineRule="auto"/>
        <w:jc w:val="both"/>
        <w:rPr>
          <w:rFonts w:ascii="Verdana" w:hAnsi="Verdana" w:cs="Arial"/>
          <w:lang w:eastAsia="es-CO"/>
        </w:rPr>
      </w:pPr>
      <w:r w:rsidRPr="00AB0420">
        <w:rPr>
          <w:rFonts w:ascii="Verdana" w:eastAsia="Times New Roman" w:hAnsi="Verdana" w:cs="Arial"/>
          <w:lang w:eastAsia="es-CO"/>
        </w:rPr>
        <w:t>Atentamente,</w:t>
      </w:r>
      <w:r w:rsidRPr="00AB0420">
        <w:rPr>
          <w:rFonts w:ascii="Verdana" w:hAnsi="Verdana" w:cs="Arial"/>
          <w:lang w:eastAsia="es-CO"/>
        </w:rPr>
        <w:t xml:space="preserve"> </w:t>
      </w:r>
    </w:p>
    <w:p w14:paraId="6F66A0B7" w14:textId="105EA6EA" w:rsidR="003025DA" w:rsidRPr="00AB0420" w:rsidRDefault="00595FD1" w:rsidP="00463CE2">
      <w:pPr>
        <w:spacing w:after="0" w:line="276" w:lineRule="auto"/>
        <w:jc w:val="center"/>
        <w:rPr>
          <w:rFonts w:ascii="Verdana" w:hAnsi="Verdana" w:cs="Arial"/>
          <w:lang w:eastAsia="es-CO"/>
        </w:rPr>
      </w:pPr>
      <w:r w:rsidRPr="004D5C25">
        <w:rPr>
          <w:rFonts w:ascii="Century Gothic" w:hAnsi="Century Gothic"/>
          <w:noProof/>
        </w:rPr>
        <w:drawing>
          <wp:inline distT="0" distB="0" distL="0" distR="0" wp14:anchorId="1A3628D1" wp14:editId="2AC88A2E">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7"/>
                    <a:stretch>
                      <a:fillRect/>
                    </a:stretch>
                  </pic:blipFill>
                  <pic:spPr>
                    <a:xfrm>
                      <a:off x="0" y="0"/>
                      <a:ext cx="3705742" cy="1590897"/>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3025DA" w:rsidRPr="00AB0420" w14:paraId="7FDDD218" w14:textId="77777777" w:rsidTr="00544921">
        <w:trPr>
          <w:trHeight w:val="315"/>
        </w:trPr>
        <w:tc>
          <w:tcPr>
            <w:tcW w:w="893" w:type="dxa"/>
            <w:vAlign w:val="center"/>
            <w:hideMark/>
          </w:tcPr>
          <w:p w14:paraId="4F307F1F" w14:textId="77777777" w:rsidR="003025DA" w:rsidRPr="00AB0420" w:rsidRDefault="003025DA" w:rsidP="00544921">
            <w:pPr>
              <w:contextualSpacing/>
              <w:rPr>
                <w:rFonts w:ascii="Verdana" w:hAnsi="Verdana" w:cs="Arial"/>
                <w:sz w:val="16"/>
                <w:szCs w:val="16"/>
                <w:lang w:val="es-ES" w:eastAsia="es-ES"/>
              </w:rPr>
            </w:pPr>
            <w:r w:rsidRPr="00AB0420">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12899ECF" w14:textId="77777777" w:rsidR="003025DA" w:rsidRPr="00AB0420" w:rsidRDefault="003025DA" w:rsidP="00544921">
            <w:pPr>
              <w:contextualSpacing/>
              <w:rPr>
                <w:rFonts w:ascii="Verdana" w:eastAsia="Arial" w:hAnsi="Verdana" w:cs="Arial"/>
                <w:sz w:val="16"/>
                <w:szCs w:val="16"/>
              </w:rPr>
            </w:pPr>
            <w:r w:rsidRPr="00AB0420">
              <w:rPr>
                <w:rFonts w:ascii="Verdana" w:eastAsia="Arial" w:hAnsi="Verdana" w:cs="Arial"/>
                <w:sz w:val="16"/>
                <w:szCs w:val="16"/>
              </w:rPr>
              <w:t>Ana María Ortiz Ballesteros</w:t>
            </w:r>
          </w:p>
          <w:p w14:paraId="449E16CF" w14:textId="77777777" w:rsidR="003025DA" w:rsidRPr="00AB0420" w:rsidRDefault="003025DA" w:rsidP="00544921">
            <w:pPr>
              <w:contextualSpacing/>
              <w:rPr>
                <w:rFonts w:ascii="Verdana" w:eastAsia="Arial" w:hAnsi="Verdana" w:cs="Arial"/>
                <w:sz w:val="16"/>
                <w:szCs w:val="16"/>
              </w:rPr>
            </w:pPr>
            <w:r w:rsidRPr="00AB0420">
              <w:rPr>
                <w:rStyle w:val="normaltextrun"/>
                <w:rFonts w:ascii="Verdana" w:eastAsia="Arial" w:hAnsi="Verdana" w:cs="Arial"/>
                <w:sz w:val="16"/>
                <w:szCs w:val="16"/>
              </w:rPr>
              <w:t>C</w:t>
            </w:r>
            <w:r w:rsidRPr="00AB0420">
              <w:rPr>
                <w:rStyle w:val="normaltextrun"/>
                <w:rFonts w:ascii="Verdana" w:hAnsi="Verdana"/>
                <w:sz w:val="16"/>
                <w:szCs w:val="16"/>
              </w:rPr>
              <w:t>ontratista</w:t>
            </w:r>
            <w:r w:rsidRPr="00AB0420">
              <w:rPr>
                <w:rStyle w:val="normaltextrun"/>
                <w:rFonts w:ascii="Verdana" w:eastAsia="Arial" w:hAnsi="Verdana" w:cs="Arial"/>
                <w:sz w:val="16"/>
                <w:szCs w:val="16"/>
              </w:rPr>
              <w:t xml:space="preserve"> de la Subdirección de Gestión Contractual</w:t>
            </w:r>
          </w:p>
        </w:tc>
      </w:tr>
      <w:tr w:rsidR="003025DA" w:rsidRPr="00AB0420" w14:paraId="16ECD5DD" w14:textId="77777777" w:rsidTr="00544921">
        <w:trPr>
          <w:trHeight w:val="330"/>
        </w:trPr>
        <w:tc>
          <w:tcPr>
            <w:tcW w:w="893" w:type="dxa"/>
            <w:vAlign w:val="center"/>
            <w:hideMark/>
          </w:tcPr>
          <w:p w14:paraId="7BD1ED2F" w14:textId="77777777" w:rsidR="003025DA" w:rsidRPr="00AB0420" w:rsidRDefault="003025DA" w:rsidP="00544921">
            <w:pPr>
              <w:contextualSpacing/>
              <w:rPr>
                <w:rFonts w:ascii="Verdana" w:hAnsi="Verdana" w:cs="Arial"/>
                <w:sz w:val="16"/>
                <w:szCs w:val="16"/>
                <w:lang w:val="es-ES" w:eastAsia="es-ES"/>
              </w:rPr>
            </w:pPr>
            <w:r w:rsidRPr="00AB0420">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656031D" w14:textId="094D7C61" w:rsidR="001E4201" w:rsidRPr="00AB0420" w:rsidRDefault="001E4201" w:rsidP="00544921">
            <w:pPr>
              <w:pStyle w:val="paragraph"/>
              <w:spacing w:before="0" w:beforeAutospacing="0" w:after="0" w:afterAutospacing="0"/>
              <w:contextualSpacing/>
              <w:jc w:val="both"/>
              <w:textAlignment w:val="baseline"/>
              <w:rPr>
                <w:rStyle w:val="normaltextrun"/>
                <w:rFonts w:ascii="Verdana" w:hAnsi="Verdana" w:cs="Arial"/>
                <w:sz w:val="16"/>
                <w:szCs w:val="16"/>
              </w:rPr>
            </w:pPr>
            <w:r w:rsidRPr="00AB0420">
              <w:rPr>
                <w:rFonts w:ascii="Verdana" w:hAnsi="Verdana" w:cs="Arial"/>
                <w:sz w:val="16"/>
                <w:szCs w:val="16"/>
              </w:rPr>
              <w:t xml:space="preserve">Adriana </w:t>
            </w:r>
            <w:proofErr w:type="spellStart"/>
            <w:r w:rsidRPr="00AB0420">
              <w:rPr>
                <w:rFonts w:ascii="Verdana" w:hAnsi="Verdana" w:cs="Arial"/>
                <w:sz w:val="16"/>
                <w:szCs w:val="16"/>
              </w:rPr>
              <w:t>Katerine</w:t>
            </w:r>
            <w:proofErr w:type="spellEnd"/>
            <w:r w:rsidRPr="00AB0420">
              <w:rPr>
                <w:rFonts w:ascii="Verdana" w:hAnsi="Verdana" w:cs="Arial"/>
                <w:sz w:val="16"/>
                <w:szCs w:val="16"/>
              </w:rPr>
              <w:t xml:space="preserve"> López Rodríguez</w:t>
            </w:r>
            <w:r w:rsidRPr="00AB0420">
              <w:rPr>
                <w:rStyle w:val="normaltextrun"/>
                <w:rFonts w:ascii="Verdana" w:hAnsi="Verdana" w:cs="Arial"/>
                <w:sz w:val="16"/>
                <w:szCs w:val="16"/>
              </w:rPr>
              <w:t xml:space="preserve"> </w:t>
            </w:r>
          </w:p>
          <w:p w14:paraId="6FEA9F44" w14:textId="4B466323" w:rsidR="003025DA" w:rsidRPr="00AB0420" w:rsidRDefault="00FB7EBA" w:rsidP="00544921">
            <w:pPr>
              <w:pStyle w:val="paragraph"/>
              <w:spacing w:before="0" w:beforeAutospacing="0" w:after="0" w:afterAutospacing="0"/>
              <w:contextualSpacing/>
              <w:jc w:val="both"/>
              <w:textAlignment w:val="baseline"/>
              <w:rPr>
                <w:rFonts w:ascii="Verdana" w:hAnsi="Verdana" w:cs="Arial"/>
                <w:sz w:val="16"/>
                <w:szCs w:val="16"/>
              </w:rPr>
            </w:pPr>
            <w:r w:rsidRPr="00AB0420">
              <w:rPr>
                <w:rStyle w:val="normaltextrun"/>
                <w:rFonts w:ascii="Verdana" w:eastAsia="Arial" w:hAnsi="Verdana" w:cs="Arial"/>
                <w:sz w:val="16"/>
                <w:szCs w:val="16"/>
              </w:rPr>
              <w:t>C</w:t>
            </w:r>
            <w:r w:rsidRPr="00AB0420">
              <w:rPr>
                <w:rStyle w:val="normaltextrun"/>
                <w:rFonts w:ascii="Verdana" w:hAnsi="Verdana"/>
                <w:sz w:val="16"/>
                <w:szCs w:val="16"/>
              </w:rPr>
              <w:t>ontratista</w:t>
            </w:r>
            <w:r w:rsidRPr="00AB0420">
              <w:rPr>
                <w:rStyle w:val="normaltextrun"/>
                <w:rFonts w:ascii="Verdana" w:eastAsia="Arial" w:hAnsi="Verdana" w:cs="Arial"/>
                <w:sz w:val="16"/>
                <w:szCs w:val="16"/>
              </w:rPr>
              <w:t xml:space="preserve"> de la Subdirección de Gestión Contractual</w:t>
            </w:r>
          </w:p>
        </w:tc>
      </w:tr>
      <w:tr w:rsidR="003025DA" w:rsidRPr="00AB0420" w14:paraId="03910C8C" w14:textId="77777777" w:rsidTr="00544921">
        <w:trPr>
          <w:trHeight w:val="300"/>
        </w:trPr>
        <w:tc>
          <w:tcPr>
            <w:tcW w:w="893" w:type="dxa"/>
            <w:vAlign w:val="center"/>
          </w:tcPr>
          <w:p w14:paraId="16D530F7" w14:textId="77777777" w:rsidR="003025DA" w:rsidRPr="00AB0420" w:rsidRDefault="003025DA" w:rsidP="00544921">
            <w:pPr>
              <w:contextualSpacing/>
              <w:rPr>
                <w:rFonts w:ascii="Verdana" w:hAnsi="Verdana" w:cs="Arial"/>
                <w:sz w:val="16"/>
                <w:szCs w:val="16"/>
                <w:lang w:val="es-ES" w:eastAsia="es-ES"/>
              </w:rPr>
            </w:pPr>
            <w:r w:rsidRPr="00AB0420">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0BC4379E" w14:textId="77777777" w:rsidR="003025DA" w:rsidRPr="00AB0420" w:rsidRDefault="003025DA" w:rsidP="00544921">
            <w:pPr>
              <w:contextualSpacing/>
              <w:rPr>
                <w:rFonts w:ascii="Verdana" w:eastAsia="Calibri" w:hAnsi="Verdana" w:cs="Arial"/>
                <w:sz w:val="16"/>
                <w:szCs w:val="16"/>
                <w:lang w:val="pt-BR" w:eastAsia="es-ES"/>
              </w:rPr>
            </w:pPr>
            <w:r w:rsidRPr="00AB0420">
              <w:rPr>
                <w:rFonts w:ascii="Verdana" w:eastAsia="Calibri" w:hAnsi="Verdana" w:cs="Arial"/>
                <w:sz w:val="16"/>
                <w:szCs w:val="16"/>
                <w:lang w:val="pt-BR" w:eastAsia="es-ES"/>
              </w:rPr>
              <w:t xml:space="preserve">Carolina Quintero </w:t>
            </w:r>
            <w:proofErr w:type="spellStart"/>
            <w:r w:rsidRPr="00AB0420">
              <w:rPr>
                <w:rFonts w:ascii="Verdana" w:eastAsia="Calibri" w:hAnsi="Verdana" w:cs="Arial"/>
                <w:sz w:val="16"/>
                <w:szCs w:val="16"/>
                <w:lang w:val="pt-BR" w:eastAsia="es-ES"/>
              </w:rPr>
              <w:t>Gacharná</w:t>
            </w:r>
            <w:proofErr w:type="spellEnd"/>
          </w:p>
          <w:p w14:paraId="0196719C" w14:textId="77777777" w:rsidR="003025DA" w:rsidRPr="00AB0420" w:rsidRDefault="003025DA" w:rsidP="00544921">
            <w:pPr>
              <w:contextualSpacing/>
              <w:rPr>
                <w:rFonts w:ascii="Verdana" w:eastAsia="Calibri" w:hAnsi="Verdana" w:cs="Arial"/>
                <w:sz w:val="16"/>
                <w:szCs w:val="16"/>
                <w:lang w:val="pt-BR" w:eastAsia="es-ES"/>
              </w:rPr>
            </w:pPr>
            <w:r w:rsidRPr="00AB0420">
              <w:rPr>
                <w:rFonts w:ascii="Verdana" w:eastAsia="Calibri" w:hAnsi="Verdana" w:cs="Arial"/>
                <w:sz w:val="16"/>
                <w:szCs w:val="16"/>
                <w:lang w:eastAsia="es-ES"/>
              </w:rPr>
              <w:t>Subdirectora</w:t>
            </w:r>
            <w:r w:rsidRPr="00AB0420">
              <w:rPr>
                <w:rFonts w:ascii="Verdana" w:eastAsia="Calibri" w:hAnsi="Verdana" w:cs="Arial"/>
                <w:sz w:val="16"/>
                <w:szCs w:val="16"/>
                <w:lang w:val="pt-BR" w:eastAsia="es-ES"/>
              </w:rPr>
              <w:t xml:space="preserve"> de Gestión Contractual ANCP – CCE</w:t>
            </w:r>
          </w:p>
        </w:tc>
      </w:tr>
      <w:bookmarkEnd w:id="0"/>
    </w:tbl>
    <w:p w14:paraId="69BC4D14" w14:textId="7F5D7046" w:rsidR="00C15139" w:rsidRPr="00AB0420" w:rsidRDefault="00C15139" w:rsidP="30821638">
      <w:pPr>
        <w:spacing w:after="0" w:line="240" w:lineRule="auto"/>
        <w:textAlignment w:val="baseline"/>
        <w:rPr>
          <w:rFonts w:ascii="Verdana" w:eastAsia="Verdana" w:hAnsi="Verdana" w:cs="Verdana"/>
          <w:lang w:eastAsia="es-CO"/>
        </w:rPr>
      </w:pPr>
    </w:p>
    <w:sectPr w:rsidR="00C15139" w:rsidRPr="00AB0420"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C961AC" w14:textId="77777777" w:rsidR="00765AEB" w:rsidRDefault="00765AEB" w:rsidP="004A1847">
      <w:pPr>
        <w:spacing w:after="0" w:line="240" w:lineRule="auto"/>
      </w:pPr>
      <w:r>
        <w:separator/>
      </w:r>
    </w:p>
  </w:endnote>
  <w:endnote w:type="continuationSeparator" w:id="0">
    <w:p w14:paraId="0EC72B6B" w14:textId="77777777" w:rsidR="00765AEB" w:rsidRDefault="00765AEB"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Yu Gothic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B27B89" w14:textId="77777777" w:rsidR="00765AEB" w:rsidRDefault="00765AEB" w:rsidP="004A1847">
      <w:pPr>
        <w:spacing w:after="0" w:line="240" w:lineRule="auto"/>
      </w:pPr>
      <w:r>
        <w:separator/>
      </w:r>
    </w:p>
  </w:footnote>
  <w:footnote w:type="continuationSeparator" w:id="0">
    <w:p w14:paraId="68E40A9E" w14:textId="77777777" w:rsidR="00765AEB" w:rsidRDefault="00765AEB" w:rsidP="004A1847">
      <w:pPr>
        <w:spacing w:after="0" w:line="240" w:lineRule="auto"/>
      </w:pPr>
      <w:r>
        <w:continuationSeparator/>
      </w:r>
    </w:p>
  </w:footnote>
  <w:footnote w:id="1">
    <w:p w14:paraId="5CEF772F" w14:textId="77777777" w:rsidR="000E1219" w:rsidRPr="0090484B" w:rsidRDefault="000E1219" w:rsidP="000E1219">
      <w:pPr>
        <w:pStyle w:val="Textonotapie"/>
        <w:ind w:firstLine="708"/>
        <w:jc w:val="both"/>
        <w:rPr>
          <w:rFonts w:ascii="Verdana" w:hAnsi="Verdana" w:cs="Arial"/>
          <w:sz w:val="18"/>
          <w:szCs w:val="18"/>
        </w:rPr>
      </w:pPr>
      <w:r w:rsidRPr="0090484B">
        <w:rPr>
          <w:rStyle w:val="Refdenotaalpie"/>
          <w:rFonts w:ascii="Verdana" w:hAnsi="Verdana" w:cs="Arial"/>
          <w:sz w:val="18"/>
          <w:szCs w:val="18"/>
        </w:rPr>
        <w:footnoteRef/>
      </w:r>
      <w:r w:rsidRPr="0090484B">
        <w:rPr>
          <w:rFonts w:ascii="Verdana" w:hAnsi="Verdana" w:cs="Arial"/>
          <w:sz w:val="18"/>
          <w:szCs w:val="18"/>
        </w:rPr>
        <w:t xml:space="preserve"> Sobre esta norma, consultar los conceptos del 8 de octubre de 2019, con radicado No. 2201913000007532, y del 20 de diciembre de 2019, con radicado No. 4201913000008240.</w:t>
      </w:r>
    </w:p>
    <w:p w14:paraId="69BC1AF7" w14:textId="77777777" w:rsidR="000E1219" w:rsidRPr="0090484B" w:rsidRDefault="000E1219" w:rsidP="000E1219">
      <w:pPr>
        <w:pStyle w:val="Textonotapie"/>
        <w:ind w:firstLine="708"/>
        <w:jc w:val="both"/>
        <w:rPr>
          <w:rFonts w:ascii="Verdana" w:hAnsi="Verdana" w:cs="Arial"/>
          <w:sz w:val="18"/>
          <w:szCs w:val="18"/>
        </w:rPr>
      </w:pPr>
    </w:p>
  </w:footnote>
  <w:footnote w:id="2">
    <w:p w14:paraId="318810D1" w14:textId="77777777" w:rsidR="000E1219" w:rsidRPr="0090484B" w:rsidRDefault="000E1219" w:rsidP="000E1219">
      <w:pPr>
        <w:pStyle w:val="Textonotapie"/>
        <w:ind w:firstLine="708"/>
        <w:jc w:val="both"/>
        <w:rPr>
          <w:rFonts w:ascii="Verdana" w:hAnsi="Verdana" w:cs="Arial"/>
          <w:sz w:val="18"/>
          <w:szCs w:val="18"/>
        </w:rPr>
      </w:pPr>
      <w:r w:rsidRPr="0090484B">
        <w:rPr>
          <w:rStyle w:val="Refdenotaalpie"/>
          <w:rFonts w:ascii="Verdana" w:hAnsi="Verdana"/>
          <w:sz w:val="18"/>
          <w:szCs w:val="18"/>
        </w:rPr>
        <w:footnoteRef/>
      </w:r>
      <w:r w:rsidRPr="0090484B">
        <w:rPr>
          <w:rFonts w:ascii="Verdana" w:hAnsi="Verdana"/>
          <w:sz w:val="18"/>
          <w:szCs w:val="18"/>
        </w:rPr>
        <w:t xml:space="preserve"> </w:t>
      </w:r>
      <w:r w:rsidRPr="0090484B">
        <w:rPr>
          <w:rFonts w:ascii="Verdana" w:hAnsi="Verdana" w:cs="Arial"/>
          <w:sz w:val="18"/>
          <w:szCs w:val="18"/>
        </w:rPr>
        <w:t>Al respecto, la Ley 489 de 1998 dispone que “Art. 96. 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 ley.</w:t>
      </w:r>
    </w:p>
    <w:p w14:paraId="4BF9FDDD" w14:textId="77777777" w:rsidR="000E1219" w:rsidRPr="0090484B" w:rsidRDefault="000E1219" w:rsidP="000E1219">
      <w:pPr>
        <w:pStyle w:val="Textonotapie"/>
        <w:ind w:firstLine="708"/>
        <w:jc w:val="both"/>
        <w:rPr>
          <w:rFonts w:ascii="Verdana" w:hAnsi="Verdana" w:cs="Arial"/>
          <w:sz w:val="18"/>
          <w:szCs w:val="18"/>
        </w:rPr>
      </w:pPr>
      <w:r w:rsidRPr="0090484B">
        <w:rPr>
          <w:rFonts w:ascii="Verdana" w:hAnsi="Verdana" w:cs="Arial"/>
          <w:sz w:val="18"/>
          <w:szCs w:val="18"/>
        </w:rPr>
        <w:t xml:space="preserve">Los convenios de asociación a que se refiere el presente artículo </w:t>
      </w:r>
      <w:bookmarkStart w:id="3" w:name="_Hlk36023315"/>
      <w:r w:rsidRPr="0090484B">
        <w:rPr>
          <w:rFonts w:ascii="Verdana" w:hAnsi="Verdana" w:cs="Arial"/>
          <w:sz w:val="18"/>
          <w:szCs w:val="18"/>
        </w:rPr>
        <w:t>se celebrarán de conformidad con lo dispuesto en el artículo 355 de la Constitución Política</w:t>
      </w:r>
      <w:bookmarkEnd w:id="3"/>
      <w:r w:rsidRPr="0090484B">
        <w:rPr>
          <w:rFonts w:ascii="Verdana" w:hAnsi="Verdana" w:cs="Arial"/>
          <w:sz w:val="18"/>
          <w:szCs w:val="18"/>
        </w:rPr>
        <w:t>, en ellos se determinará con precisión su objeto, término, obligaciones de las partes, aportes, coordinación y todos aquellos aspectos que se consideren pertinentes”.</w:t>
      </w:r>
    </w:p>
    <w:p w14:paraId="508CDC41" w14:textId="77777777" w:rsidR="000E1219" w:rsidRPr="0090484B" w:rsidRDefault="000E1219" w:rsidP="000E1219">
      <w:pPr>
        <w:pStyle w:val="Textonotapie"/>
        <w:ind w:firstLine="708"/>
        <w:jc w:val="both"/>
        <w:rPr>
          <w:rFonts w:ascii="Verdana" w:hAnsi="Verdana" w:cs="Arial"/>
          <w:sz w:val="18"/>
          <w:szCs w:val="18"/>
        </w:rPr>
      </w:pPr>
    </w:p>
  </w:footnote>
  <w:footnote w:id="3">
    <w:p w14:paraId="46EA82B4" w14:textId="77777777" w:rsidR="000E1219" w:rsidRDefault="000E1219" w:rsidP="000E1219">
      <w:pPr>
        <w:pStyle w:val="Textonotapie"/>
        <w:ind w:firstLine="708"/>
        <w:jc w:val="both"/>
        <w:rPr>
          <w:rFonts w:ascii="Verdana" w:hAnsi="Verdana" w:cs="Arial"/>
          <w:sz w:val="18"/>
          <w:szCs w:val="18"/>
        </w:rPr>
      </w:pPr>
      <w:r w:rsidRPr="0090484B">
        <w:rPr>
          <w:rStyle w:val="Refdenotaalpie"/>
          <w:rFonts w:ascii="Verdana" w:hAnsi="Verdana" w:cs="Arial"/>
          <w:sz w:val="18"/>
          <w:szCs w:val="18"/>
        </w:rPr>
        <w:footnoteRef/>
      </w:r>
      <w:r w:rsidRPr="0090484B">
        <w:rPr>
          <w:rFonts w:ascii="Verdana" w:hAnsi="Verdana" w:cs="Arial"/>
          <w:sz w:val="18"/>
          <w:szCs w:val="18"/>
        </w:rPr>
        <w:t xml:space="preserve"> Concepto del 3 de septiembre de 2019, con radicado No. 2201913000006512.</w:t>
      </w:r>
    </w:p>
    <w:p w14:paraId="2DA50C1B" w14:textId="77777777" w:rsidR="000E1219" w:rsidRPr="0090484B" w:rsidRDefault="000E1219" w:rsidP="000E1219">
      <w:pPr>
        <w:pStyle w:val="Textonotapie"/>
        <w:ind w:firstLine="708"/>
        <w:jc w:val="both"/>
        <w:rPr>
          <w:rFonts w:ascii="Verdana" w:hAnsi="Verdana" w:cs="Arial"/>
          <w:sz w:val="18"/>
          <w:szCs w:val="18"/>
        </w:rPr>
      </w:pPr>
    </w:p>
  </w:footnote>
  <w:footnote w:id="4">
    <w:p w14:paraId="2FCE440C" w14:textId="77777777" w:rsidR="000E1219" w:rsidRPr="0090484B" w:rsidRDefault="000E1219" w:rsidP="000E1219">
      <w:pPr>
        <w:pStyle w:val="Textonotapie"/>
        <w:ind w:firstLine="708"/>
        <w:jc w:val="both"/>
        <w:rPr>
          <w:rFonts w:ascii="Verdana" w:hAnsi="Verdana" w:cs="Arial"/>
          <w:sz w:val="18"/>
          <w:szCs w:val="18"/>
        </w:rPr>
      </w:pPr>
      <w:r w:rsidRPr="0090484B">
        <w:rPr>
          <w:rStyle w:val="Refdenotaalpie"/>
          <w:rFonts w:ascii="Verdana" w:hAnsi="Verdana" w:cs="Arial"/>
          <w:sz w:val="18"/>
          <w:szCs w:val="18"/>
        </w:rPr>
        <w:footnoteRef/>
      </w:r>
      <w:r w:rsidRPr="0090484B">
        <w:rPr>
          <w:rFonts w:ascii="Verdana" w:hAnsi="Verdana" w:cs="Arial"/>
          <w:sz w:val="18"/>
          <w:szCs w:val="18"/>
        </w:rPr>
        <w:t xml:space="preserve"> Sobre la naturaleza de los convenios de asociación, se reitera lo expuesto en el concepto del 19 de noviembre de 2019, con radicado No. 2201913000008611.</w:t>
      </w:r>
    </w:p>
  </w:footnote>
  <w:footnote w:id="5">
    <w:p w14:paraId="17154AD7" w14:textId="77777777" w:rsidR="000E1219" w:rsidRPr="0090484B" w:rsidRDefault="000E1219" w:rsidP="000E1219">
      <w:pPr>
        <w:pStyle w:val="Textonotapie"/>
        <w:ind w:firstLine="708"/>
        <w:jc w:val="both"/>
        <w:rPr>
          <w:rFonts w:ascii="Verdana" w:hAnsi="Verdana" w:cs="Arial"/>
          <w:color w:val="000000" w:themeColor="text1"/>
          <w:sz w:val="18"/>
          <w:szCs w:val="18"/>
        </w:rPr>
      </w:pPr>
      <w:r w:rsidRPr="0090484B">
        <w:rPr>
          <w:rStyle w:val="Refdenotaalpie"/>
          <w:rFonts w:ascii="Verdana" w:hAnsi="Verdana" w:cs="Arial"/>
          <w:color w:val="000000" w:themeColor="text1"/>
          <w:sz w:val="18"/>
          <w:szCs w:val="18"/>
        </w:rPr>
        <w:footnoteRef/>
      </w:r>
      <w:r w:rsidRPr="0090484B">
        <w:rPr>
          <w:rFonts w:ascii="Verdana" w:hAnsi="Verdana" w:cs="Arial"/>
          <w:color w:val="000000" w:themeColor="text1"/>
          <w:sz w:val="18"/>
          <w:szCs w:val="18"/>
        </w:rPr>
        <w:t xml:space="preserve"> Cfr. Concepto del 21 de agosto de 2019, dictado dentro del radicado No. 2201913000006047.</w:t>
      </w:r>
    </w:p>
  </w:footnote>
  <w:footnote w:id="6">
    <w:p w14:paraId="26E4E2B6" w14:textId="77777777" w:rsidR="000E1219" w:rsidRPr="0057460E" w:rsidRDefault="000E1219" w:rsidP="000E1219">
      <w:pPr>
        <w:pStyle w:val="Textonotapie"/>
        <w:ind w:firstLine="708"/>
        <w:jc w:val="both"/>
        <w:rPr>
          <w:rFonts w:ascii="Verdana" w:hAnsi="Verdana" w:cs="Arial"/>
          <w:color w:val="000000" w:themeColor="text1"/>
          <w:sz w:val="18"/>
          <w:szCs w:val="18"/>
        </w:rPr>
      </w:pPr>
      <w:r w:rsidRPr="0090484B">
        <w:rPr>
          <w:rStyle w:val="Refdenotaalpie"/>
          <w:rFonts w:ascii="Verdana" w:hAnsi="Verdana" w:cs="Arial"/>
          <w:color w:val="000000" w:themeColor="text1"/>
          <w:sz w:val="18"/>
          <w:szCs w:val="18"/>
        </w:rPr>
        <w:footnoteRef/>
      </w:r>
      <w:r w:rsidRPr="0090484B">
        <w:rPr>
          <w:rFonts w:ascii="Verdana" w:hAnsi="Verdana" w:cs="Arial"/>
          <w:color w:val="000000" w:themeColor="text1"/>
          <w:sz w:val="18"/>
          <w:szCs w:val="18"/>
        </w:rPr>
        <w:t xml:space="preserve"> Concepto del 24 de febrero de 2005, con radicado No. 1626, C.P. Dra. Gloria Duque Hernández. </w:t>
      </w:r>
    </w:p>
  </w:footnote>
  <w:footnote w:id="7">
    <w:p w14:paraId="35DA3A55" w14:textId="77777777" w:rsidR="000E1219" w:rsidRPr="0090484B" w:rsidRDefault="000E1219" w:rsidP="000E1219">
      <w:pPr>
        <w:pStyle w:val="Textonotapie"/>
        <w:ind w:firstLine="708"/>
        <w:jc w:val="both"/>
        <w:rPr>
          <w:rFonts w:ascii="Verdana" w:hAnsi="Verdana" w:cs="Arial"/>
          <w:color w:val="000000" w:themeColor="text1"/>
          <w:sz w:val="18"/>
          <w:szCs w:val="18"/>
        </w:rPr>
      </w:pPr>
      <w:r w:rsidRPr="0090484B">
        <w:rPr>
          <w:rStyle w:val="Refdenotaalpie"/>
          <w:rFonts w:ascii="Verdana" w:hAnsi="Verdana" w:cs="Arial"/>
          <w:color w:val="000000" w:themeColor="text1"/>
          <w:sz w:val="18"/>
          <w:szCs w:val="18"/>
        </w:rPr>
        <w:footnoteRef/>
      </w:r>
      <w:r w:rsidRPr="0090484B">
        <w:rPr>
          <w:rFonts w:ascii="Verdana" w:hAnsi="Verdana" w:cs="Arial"/>
          <w:color w:val="000000" w:themeColor="text1"/>
          <w:sz w:val="18"/>
          <w:szCs w:val="18"/>
        </w:rPr>
        <w:t xml:space="preserve"> Se precisa que la suspensión provisional, de acuerdo con el artículo 231 de la Ley 1437 de 2011, es una medida cautelar que busca proteger y garantizar, de forma provisional, que la norma demandada no genere actos contrarios al ordenamiento jurídico, razón por la cual, para decretarla es necesario que la transgresión de las normas superiores invocadas surja de la comparación entre estas y los actos acusados o del estudio de las pruebas aportadas con la solicitud.</w:t>
      </w:r>
    </w:p>
    <w:p w14:paraId="0FFC9D08" w14:textId="77777777" w:rsidR="000E1219" w:rsidRPr="0090484B" w:rsidRDefault="000E1219" w:rsidP="000E1219">
      <w:pPr>
        <w:pStyle w:val="Textonotapie"/>
        <w:ind w:firstLine="708"/>
        <w:jc w:val="both"/>
        <w:rPr>
          <w:rFonts w:ascii="Verdana" w:hAnsi="Verdana" w:cs="Arial"/>
          <w:color w:val="000000" w:themeColor="text1"/>
          <w:sz w:val="18"/>
          <w:szCs w:val="18"/>
        </w:rPr>
      </w:pPr>
    </w:p>
  </w:footnote>
  <w:footnote w:id="8">
    <w:p w14:paraId="692100B0" w14:textId="77777777" w:rsidR="000E1219" w:rsidRPr="0090484B" w:rsidRDefault="000E1219" w:rsidP="000E1219">
      <w:pPr>
        <w:pStyle w:val="Textonotapie"/>
        <w:ind w:firstLine="708"/>
        <w:rPr>
          <w:rFonts w:ascii="Verdana" w:hAnsi="Verdana" w:cs="Arial"/>
          <w:color w:val="000000" w:themeColor="text1"/>
          <w:sz w:val="18"/>
          <w:szCs w:val="18"/>
        </w:rPr>
      </w:pPr>
      <w:r w:rsidRPr="0090484B">
        <w:rPr>
          <w:rStyle w:val="Refdenotaalpie"/>
          <w:rFonts w:ascii="Verdana" w:hAnsi="Verdana"/>
          <w:sz w:val="18"/>
          <w:szCs w:val="18"/>
        </w:rPr>
        <w:footnoteRef/>
      </w:r>
      <w:r w:rsidRPr="0090484B">
        <w:rPr>
          <w:rFonts w:ascii="Verdana" w:hAnsi="Verdana"/>
          <w:sz w:val="18"/>
          <w:szCs w:val="18"/>
        </w:rPr>
        <w:t xml:space="preserve"> </w:t>
      </w:r>
      <w:r w:rsidRPr="0090484B">
        <w:rPr>
          <w:rFonts w:ascii="Verdana" w:hAnsi="Verdana" w:cs="Arial"/>
          <w:color w:val="000000" w:themeColor="text1"/>
          <w:sz w:val="18"/>
          <w:szCs w:val="18"/>
        </w:rPr>
        <w:t xml:space="preserve">CONSEJO DE ESTADO. Sala Plena. Auto del 15 de marzo de 2022. </w:t>
      </w:r>
      <w:proofErr w:type="spellStart"/>
      <w:r w:rsidRPr="0090484B">
        <w:rPr>
          <w:rFonts w:ascii="Verdana" w:hAnsi="Verdana" w:cs="Arial"/>
          <w:color w:val="000000" w:themeColor="text1"/>
          <w:sz w:val="18"/>
          <w:szCs w:val="18"/>
        </w:rPr>
        <w:t>Exp</w:t>
      </w:r>
      <w:proofErr w:type="spellEnd"/>
      <w:r w:rsidRPr="0090484B">
        <w:rPr>
          <w:rFonts w:ascii="Verdana" w:hAnsi="Verdana" w:cs="Arial"/>
          <w:color w:val="000000" w:themeColor="text1"/>
          <w:sz w:val="18"/>
          <w:szCs w:val="18"/>
        </w:rPr>
        <w:t>. 11001-03-26-000-2018-00113-01 (62.003). C.P. Rocío Araújo Oñate.</w:t>
      </w:r>
    </w:p>
  </w:footnote>
  <w:footnote w:id="9">
    <w:p w14:paraId="32245666" w14:textId="77777777" w:rsidR="000E1219" w:rsidRPr="0090484B" w:rsidRDefault="000E1219" w:rsidP="000E1219">
      <w:pPr>
        <w:pStyle w:val="Textonotapie"/>
        <w:ind w:firstLine="708"/>
        <w:jc w:val="both"/>
        <w:rPr>
          <w:rFonts w:ascii="Verdana" w:eastAsia="Calibri" w:hAnsi="Verdana" w:cs="Arial"/>
          <w:color w:val="000000" w:themeColor="text1"/>
          <w:sz w:val="18"/>
          <w:szCs w:val="18"/>
        </w:rPr>
      </w:pPr>
      <w:r w:rsidRPr="0090484B">
        <w:rPr>
          <w:rStyle w:val="Refdenotaalpie"/>
          <w:rFonts w:ascii="Verdana" w:hAnsi="Verdana" w:cs="Arial"/>
          <w:color w:val="000000" w:themeColor="text1"/>
          <w:sz w:val="18"/>
          <w:szCs w:val="18"/>
        </w:rPr>
        <w:footnoteRef/>
      </w:r>
      <w:r w:rsidRPr="0090484B">
        <w:rPr>
          <w:rFonts w:ascii="Verdana" w:hAnsi="Verdana" w:cs="Arial"/>
          <w:color w:val="000000" w:themeColor="text1"/>
          <w:sz w:val="18"/>
          <w:szCs w:val="18"/>
        </w:rPr>
        <w:t xml:space="preserve"> </w:t>
      </w:r>
      <w:r w:rsidRPr="0090484B">
        <w:rPr>
          <w:rFonts w:ascii="Verdana" w:eastAsia="Calibri" w:hAnsi="Verdana" w:cs="Arial"/>
          <w:color w:val="000000" w:themeColor="text1"/>
          <w:sz w:val="18"/>
          <w:szCs w:val="18"/>
        </w:rPr>
        <w:t>Decreto 092 de 2017, artículo 1, inciso 2: “Para la interpretación del presente decreto, las expresiones aquí utilizadas con mayúscula inicial deben ser entendidas con el significado indicado en la guía que expida la Agencia Nacional de Contratación Pública –Colombia Compra Eficiente– para la aplicación del presente decreto”.</w:t>
      </w:r>
    </w:p>
    <w:p w14:paraId="37136790" w14:textId="77777777" w:rsidR="000E1219" w:rsidRPr="0090484B" w:rsidRDefault="000E1219" w:rsidP="000E1219">
      <w:pPr>
        <w:pStyle w:val="Textonotapie"/>
        <w:ind w:firstLine="708"/>
        <w:jc w:val="both"/>
        <w:rPr>
          <w:rFonts w:ascii="Verdana" w:eastAsia="Calibri" w:hAnsi="Verdana" w:cs="Arial"/>
          <w:color w:val="000000" w:themeColor="text1"/>
          <w:sz w:val="18"/>
          <w:szCs w:val="18"/>
        </w:rPr>
      </w:pPr>
    </w:p>
  </w:footnote>
  <w:footnote w:id="10">
    <w:p w14:paraId="7E78D75A" w14:textId="77777777" w:rsidR="000E1219" w:rsidRPr="0090484B" w:rsidRDefault="000E1219" w:rsidP="000E1219">
      <w:pPr>
        <w:pStyle w:val="Textonotapie"/>
        <w:ind w:firstLine="708"/>
        <w:jc w:val="both"/>
        <w:rPr>
          <w:rFonts w:ascii="Verdana" w:hAnsi="Verdana" w:cs="Arial"/>
          <w:color w:val="000000" w:themeColor="text1"/>
          <w:sz w:val="18"/>
          <w:szCs w:val="18"/>
        </w:rPr>
      </w:pPr>
      <w:r w:rsidRPr="0090484B">
        <w:rPr>
          <w:rStyle w:val="Refdenotaalpie"/>
          <w:rFonts w:ascii="Verdana" w:hAnsi="Verdana" w:cs="Arial"/>
          <w:color w:val="000000" w:themeColor="text1"/>
          <w:sz w:val="18"/>
          <w:szCs w:val="18"/>
        </w:rPr>
        <w:footnoteRef/>
      </w:r>
      <w:r w:rsidRPr="0090484B">
        <w:rPr>
          <w:rFonts w:ascii="Verdana" w:hAnsi="Verdana" w:cs="Arial"/>
          <w:color w:val="000000" w:themeColor="text1"/>
          <w:sz w:val="18"/>
          <w:szCs w:val="18"/>
        </w:rPr>
        <w:t xml:space="preserve"> </w:t>
      </w:r>
      <w:r w:rsidRPr="0090484B">
        <w:rPr>
          <w:rFonts w:ascii="Verdana" w:eastAsia="Calibri" w:hAnsi="Verdana" w:cs="Arial"/>
          <w:color w:val="000000" w:themeColor="text1"/>
          <w:sz w:val="18"/>
          <w:szCs w:val="18"/>
        </w:rPr>
        <w:t>Decreto 092 de 2017, artículo 3, inciso 2: “</w:t>
      </w:r>
      <w:r w:rsidRPr="0090484B">
        <w:rPr>
          <w:rFonts w:ascii="Verdana" w:hAnsi="Verdana" w:cs="Arial"/>
          <w:color w:val="000000" w:themeColor="text1"/>
          <w:sz w:val="18"/>
          <w:szCs w:val="18"/>
        </w:rPr>
        <w:t>La Entidad Estatal debe definir en los Documentos del Proceso las características que debe acreditar la entidad sin ánimo de lucro. Para el efecto, deberá tomar en consideración las pautas y criterios establecidos en la guía que expida la Agencia Nacional de Contratación Pública –Colombia Compra Eficiente, la cual deberá tener en cuenta las normas de trasparencia y acceso a la información aplicable a las entidades privadas sin ánimo de lucro que contratan con cargo a recursos de origen público y las mejores prácticas en materia de prohibiciones, inhabilidades, incompatibilidades y conflictos de interés”.</w:t>
      </w:r>
    </w:p>
  </w:footnote>
  <w:footnote w:id="11">
    <w:p w14:paraId="7CEA81F1" w14:textId="77777777" w:rsidR="000E1219" w:rsidRPr="0090484B" w:rsidRDefault="000E1219" w:rsidP="000E1219">
      <w:pPr>
        <w:spacing w:after="0" w:line="240" w:lineRule="auto"/>
        <w:ind w:firstLine="708"/>
        <w:jc w:val="both"/>
        <w:rPr>
          <w:rFonts w:ascii="Verdana" w:hAnsi="Verdana" w:cs="Arial"/>
          <w:color w:val="000000" w:themeColor="text1"/>
          <w:sz w:val="18"/>
          <w:szCs w:val="18"/>
        </w:rPr>
      </w:pPr>
      <w:r w:rsidRPr="0090484B">
        <w:rPr>
          <w:rFonts w:ascii="Verdana" w:hAnsi="Verdana" w:cs="Arial"/>
          <w:color w:val="000000" w:themeColor="text1"/>
          <w:sz w:val="18"/>
          <w:szCs w:val="18"/>
          <w:vertAlign w:val="superscript"/>
        </w:rPr>
        <w:footnoteRef/>
      </w:r>
      <w:r w:rsidRPr="0090484B">
        <w:rPr>
          <w:rFonts w:ascii="Verdana" w:hAnsi="Verdana" w:cs="Arial"/>
          <w:color w:val="000000" w:themeColor="text1"/>
          <w:sz w:val="18"/>
          <w:szCs w:val="18"/>
        </w:rPr>
        <w:t xml:space="preserve"> En el auto del 15 de marzo de 2022 se señalaron los siguientes argumentos para levantar la suspensión provisional del inciso segundo del artículo 3 del Decreto 092 de 2017: “43. En suma, lo que advierte la Sala es que para establecer si el Gobierno nacional delegó indebidamente el ejercicio de la potestad reglamentaria directa de la Constitución, es necesario realizar un estudio de fondo, que es propio de la sentencia, pues de la literalidad de las normas confrontadas no surge que la expedición de la guía, con el alcance orientador y de interpretación señalado en las disposiciones demandadas, corresponda al ejercicio incompleto y trasladado de esa potestad, como lo razona el demandante, o si se trata de la asignación de una función o tarea, dentro de la amplia esfera de configuración normativa que confieren los reglamentos constitucionales autónomos, como lo entiende el Departamento Nacional de Planeación. </w:t>
      </w:r>
    </w:p>
    <w:p w14:paraId="4B87EA45" w14:textId="77777777" w:rsidR="000E1219" w:rsidRPr="0090484B" w:rsidRDefault="000E1219" w:rsidP="000E1219">
      <w:pPr>
        <w:spacing w:after="0" w:line="240" w:lineRule="auto"/>
        <w:ind w:firstLine="708"/>
        <w:jc w:val="both"/>
        <w:rPr>
          <w:rFonts w:ascii="Verdana" w:hAnsi="Verdana" w:cs="Arial"/>
          <w:color w:val="000000" w:themeColor="text1"/>
          <w:sz w:val="18"/>
          <w:szCs w:val="18"/>
        </w:rPr>
      </w:pPr>
      <w:r w:rsidRPr="0090484B">
        <w:rPr>
          <w:rFonts w:ascii="Verdana" w:hAnsi="Verdana" w:cs="Arial"/>
          <w:color w:val="000000" w:themeColor="text1"/>
          <w:sz w:val="18"/>
          <w:szCs w:val="18"/>
        </w:rPr>
        <w:t xml:space="preserve"> 44. Así pues, al no evidenciarse ab initio la infracción constitucional aducida en los términos del artículo 231 de la Ley 1437 de 2011, no existe fundamento jurídico para suspender provisionalmente los efectos del inciso segundo del artículo 1 y del inciso segundo del artículo 3 del Decreto 092 de 2017. En consecuencia, la Sala revocará dicha medida cautelar y la negará en relación con esas disposiciones”. (CONSEJO DE ESTADO. Sala Plena. Auto del 15 de marzo de 2022. </w:t>
      </w:r>
      <w:proofErr w:type="spellStart"/>
      <w:r w:rsidRPr="0090484B">
        <w:rPr>
          <w:rFonts w:ascii="Verdana" w:hAnsi="Verdana" w:cs="Arial"/>
          <w:color w:val="000000" w:themeColor="text1"/>
          <w:sz w:val="18"/>
          <w:szCs w:val="18"/>
        </w:rPr>
        <w:t>Exp</w:t>
      </w:r>
      <w:proofErr w:type="spellEnd"/>
      <w:r w:rsidRPr="0090484B">
        <w:rPr>
          <w:rFonts w:ascii="Verdana" w:hAnsi="Verdana" w:cs="Arial"/>
          <w:color w:val="000000" w:themeColor="text1"/>
          <w:sz w:val="18"/>
          <w:szCs w:val="18"/>
        </w:rPr>
        <w:t>. 11001-03-26-000-2018-00113-01 (62.003). C.P. Rocío Araújo Oñate).</w:t>
      </w:r>
    </w:p>
    <w:p w14:paraId="38332C50" w14:textId="77777777" w:rsidR="000E1219" w:rsidRPr="0090484B" w:rsidRDefault="000E1219" w:rsidP="000E1219">
      <w:pPr>
        <w:spacing w:after="0" w:line="240" w:lineRule="auto"/>
        <w:ind w:firstLine="708"/>
        <w:jc w:val="both"/>
        <w:rPr>
          <w:rFonts w:ascii="Verdana" w:hAnsi="Verdana" w:cs="Arial"/>
          <w:color w:val="000000" w:themeColor="text1"/>
          <w:sz w:val="18"/>
          <w:szCs w:val="18"/>
        </w:rPr>
      </w:pPr>
    </w:p>
  </w:footnote>
  <w:footnote w:id="12">
    <w:p w14:paraId="1E37CB56" w14:textId="77777777" w:rsidR="000E1219" w:rsidRPr="0090484B" w:rsidRDefault="000E1219" w:rsidP="000E1219">
      <w:pPr>
        <w:spacing w:after="0" w:line="240" w:lineRule="auto"/>
        <w:ind w:firstLine="708"/>
        <w:jc w:val="both"/>
        <w:rPr>
          <w:rFonts w:ascii="Verdana" w:hAnsi="Verdana" w:cs="Arial"/>
          <w:color w:val="000000" w:themeColor="text1"/>
          <w:sz w:val="18"/>
          <w:szCs w:val="18"/>
        </w:rPr>
      </w:pPr>
      <w:r w:rsidRPr="0090484B">
        <w:rPr>
          <w:rStyle w:val="Refdenotaalpie"/>
          <w:rFonts w:ascii="Verdana" w:hAnsi="Verdana" w:cs="Arial"/>
          <w:color w:val="000000" w:themeColor="text1"/>
          <w:sz w:val="18"/>
          <w:szCs w:val="18"/>
        </w:rPr>
        <w:footnoteRef/>
      </w:r>
      <w:r w:rsidRPr="0090484B">
        <w:rPr>
          <w:rFonts w:ascii="Verdana" w:hAnsi="Verdana" w:cs="Arial"/>
          <w:color w:val="000000" w:themeColor="text1"/>
          <w:sz w:val="18"/>
          <w:szCs w:val="18"/>
        </w:rPr>
        <w:t xml:space="preserve"> Decreto 092 de 2017, Artículo 2, literal a: “Que el objeto del contrato corresponda directamente a programas y actividades de interés público previsto en el Plan Nacional o Seccional de Desarrollo, de acuerdo con el nivel de la Entidad Estatal, con los cuales esta busque exclusivamente promover los derechos de personas en situaciones de debilidad manifiesta o indefensión, los derechos de las minorías, el derecho a la educación, el derecho a la paz, las manifestaciones artísticas, culturales, deportivas y de promoción de la diversidad étnica colombiana”.</w:t>
      </w:r>
    </w:p>
  </w:footnote>
  <w:footnote w:id="13">
    <w:p w14:paraId="5D8066A6" w14:textId="77777777" w:rsidR="000E1219" w:rsidRPr="0090484B" w:rsidRDefault="000E1219" w:rsidP="000E1219">
      <w:pPr>
        <w:pStyle w:val="Textonotapie"/>
        <w:ind w:firstLine="708"/>
        <w:jc w:val="both"/>
        <w:rPr>
          <w:rFonts w:ascii="Verdana" w:hAnsi="Verdana" w:cs="Arial"/>
          <w:color w:val="000000" w:themeColor="text1"/>
          <w:sz w:val="18"/>
          <w:szCs w:val="18"/>
        </w:rPr>
      </w:pPr>
      <w:r w:rsidRPr="0090484B">
        <w:rPr>
          <w:rStyle w:val="Refdenotaalpie"/>
          <w:rFonts w:ascii="Verdana" w:hAnsi="Verdana" w:cs="Arial"/>
          <w:color w:val="000000" w:themeColor="text1"/>
          <w:sz w:val="18"/>
          <w:szCs w:val="18"/>
        </w:rPr>
        <w:footnoteRef/>
      </w:r>
      <w:r w:rsidRPr="0090484B">
        <w:rPr>
          <w:rFonts w:ascii="Verdana" w:hAnsi="Verdana" w:cs="Arial"/>
          <w:color w:val="000000" w:themeColor="text1"/>
          <w:sz w:val="18"/>
          <w:szCs w:val="18"/>
        </w:rPr>
        <w:t xml:space="preserve"> Decreto 092 de 2017, Artículo 2, literal a: “Que no exista oferta en el mercado de los bienes, obras y servicios requeridos para la estrategia y política del plan de desarrollo objeto de la contratación, distinta de la oferta que hacen las entidades privadas sin ánimo de lucro; o que, si existe, la contratación con entidades privadas sin ánimo de lucro represente la optimización de los recursos públicos en términos de eficiencia, eficacia, economía y manejo del Riesgo. En los demás eventos, la Entidad Estatal deberá aplicar la Ley 80 de 1993, sus modificaciones y reglamentos”.</w:t>
      </w:r>
    </w:p>
  </w:footnote>
  <w:footnote w:id="14">
    <w:p w14:paraId="21EEE84A" w14:textId="77777777" w:rsidR="000E1219" w:rsidRPr="0090484B" w:rsidRDefault="000E1219" w:rsidP="000E1219">
      <w:pPr>
        <w:pStyle w:val="Textonotapie"/>
        <w:ind w:firstLine="708"/>
        <w:jc w:val="both"/>
        <w:rPr>
          <w:rFonts w:ascii="Verdana" w:hAnsi="Verdana" w:cs="Arial"/>
          <w:color w:val="000000" w:themeColor="text1"/>
          <w:sz w:val="16"/>
          <w:szCs w:val="16"/>
        </w:rPr>
      </w:pPr>
      <w:r w:rsidRPr="0090484B">
        <w:rPr>
          <w:rStyle w:val="Refdenotaalpie"/>
          <w:rFonts w:ascii="Verdana" w:hAnsi="Verdana" w:cs="Arial"/>
          <w:color w:val="000000" w:themeColor="text1"/>
          <w:sz w:val="18"/>
          <w:szCs w:val="18"/>
        </w:rPr>
        <w:footnoteRef/>
      </w:r>
      <w:r w:rsidRPr="0090484B">
        <w:rPr>
          <w:rFonts w:ascii="Verdana" w:hAnsi="Verdana" w:cs="Arial"/>
          <w:color w:val="000000" w:themeColor="text1"/>
          <w:sz w:val="18"/>
          <w:szCs w:val="18"/>
        </w:rPr>
        <w:t xml:space="preserve"> Decreto 092 de 2017, artículo 4: “(…) Las Entidades Estatales no están obligadas a adelantar el proceso competitivo previsto en este artículo cuando el objeto del Proceso de Contratación corresponde a actividades artísticas, culturales, deportivas y de promoción de la diversidad étnica colombiana, que solo pueden desarrollar determinadas personas naturales o jurídicas, condición que debe justificarse en los estudios y documentos previos”.</w:t>
      </w:r>
    </w:p>
  </w:footnote>
  <w:footnote w:id="15">
    <w:p w14:paraId="65522DA1" w14:textId="77777777" w:rsidR="000E1219" w:rsidRPr="00006A46" w:rsidRDefault="000E1219" w:rsidP="000E1219">
      <w:pPr>
        <w:pStyle w:val="Textonotapie"/>
        <w:ind w:firstLine="708"/>
        <w:jc w:val="both"/>
        <w:rPr>
          <w:rFonts w:ascii="Verdana" w:hAnsi="Verdana" w:cs="Arial"/>
          <w:sz w:val="16"/>
          <w:szCs w:val="16"/>
        </w:rPr>
      </w:pPr>
      <w:r w:rsidRPr="00006A46">
        <w:rPr>
          <w:rStyle w:val="Refdenotaalpie"/>
          <w:rFonts w:ascii="Verdana" w:hAnsi="Verdana" w:cs="Arial"/>
          <w:sz w:val="16"/>
          <w:szCs w:val="16"/>
        </w:rPr>
        <w:footnoteRef/>
      </w:r>
      <w:r w:rsidRPr="00006A46">
        <w:rPr>
          <w:rFonts w:ascii="Verdana" w:hAnsi="Verdana" w:cs="Arial"/>
          <w:sz w:val="16"/>
          <w:szCs w:val="16"/>
        </w:rPr>
        <w:t xml:space="preserve"> De esta manera, agrega que “[…] cuando el reglamento exige correspondencia directa entre los objetos de los contratos y las actividades y programas contenidos específicamente en los planes de desarrollo, excluye aquellos programas y actividades de interés público que desarrollan entidades sin ánimo de lucro y de reconocida idoneidad, que aun cuando acordes con los planes de desarrollo no encajan de manera precisa en alguna de las actividades o programas particulares contemplados en dichos planes” (Cfr. Consejo de Estado. Sala Plena. </w:t>
      </w:r>
      <w:bookmarkStart w:id="11" w:name="_Hlk102655636"/>
      <w:r w:rsidRPr="00006A46">
        <w:rPr>
          <w:rFonts w:ascii="Verdana" w:hAnsi="Verdana" w:cs="Arial"/>
          <w:sz w:val="16"/>
          <w:szCs w:val="16"/>
        </w:rPr>
        <w:t>Auto del 15 de marzo de 2022</w:t>
      </w:r>
      <w:bookmarkEnd w:id="11"/>
      <w:r w:rsidRPr="00006A46">
        <w:rPr>
          <w:rFonts w:ascii="Verdana" w:hAnsi="Verdana" w:cs="Arial"/>
          <w:sz w:val="16"/>
          <w:szCs w:val="16"/>
        </w:rPr>
        <w:t xml:space="preserve">. </w:t>
      </w:r>
      <w:proofErr w:type="spellStart"/>
      <w:r w:rsidRPr="00006A46">
        <w:rPr>
          <w:rFonts w:ascii="Verdana" w:hAnsi="Verdana" w:cs="Arial"/>
          <w:sz w:val="16"/>
          <w:szCs w:val="16"/>
        </w:rPr>
        <w:t>Exp</w:t>
      </w:r>
      <w:proofErr w:type="spellEnd"/>
      <w:r w:rsidRPr="00006A46">
        <w:rPr>
          <w:rFonts w:ascii="Verdana" w:hAnsi="Verdana" w:cs="Arial"/>
          <w:sz w:val="16"/>
          <w:szCs w:val="16"/>
        </w:rPr>
        <w:t>. 62.003. C.P. Rocío Araújo Oñate).</w:t>
      </w:r>
    </w:p>
  </w:footnote>
  <w:footnote w:id="16">
    <w:p w14:paraId="1CAD7606" w14:textId="77777777" w:rsidR="000E1219" w:rsidRPr="00006A46" w:rsidRDefault="000E1219" w:rsidP="000E1219">
      <w:pPr>
        <w:pStyle w:val="Textonotapie"/>
        <w:ind w:firstLine="708"/>
        <w:rPr>
          <w:rFonts w:ascii="Verdana" w:hAnsi="Verdana" w:cs="Arial"/>
          <w:sz w:val="16"/>
          <w:szCs w:val="16"/>
        </w:rPr>
      </w:pPr>
      <w:r w:rsidRPr="00006A46">
        <w:rPr>
          <w:rStyle w:val="Refdenotaalpie"/>
          <w:rFonts w:ascii="Verdana" w:hAnsi="Verdana" w:cs="Arial"/>
          <w:sz w:val="16"/>
          <w:szCs w:val="16"/>
        </w:rPr>
        <w:footnoteRef/>
      </w:r>
      <w:r w:rsidRPr="00006A46">
        <w:rPr>
          <w:rFonts w:ascii="Verdana" w:hAnsi="Verdana" w:cs="Arial"/>
          <w:sz w:val="16"/>
          <w:szCs w:val="16"/>
        </w:rPr>
        <w:t xml:space="preserve"> </w:t>
      </w:r>
      <w:r w:rsidRPr="00006A46">
        <w:rPr>
          <w:rFonts w:ascii="Verdana" w:hAnsi="Verdana" w:cs="Arial"/>
          <w:i/>
          <w:iCs/>
          <w:sz w:val="16"/>
          <w:szCs w:val="16"/>
        </w:rPr>
        <w:t>Ibidem</w:t>
      </w:r>
      <w:r w:rsidRPr="00006A46">
        <w:rPr>
          <w:rFonts w:ascii="Verdana" w:hAnsi="Verdana" w:cs="Arial"/>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2061" w:hanging="360"/>
      </w:pPr>
      <w:rPr>
        <w:b/>
        <w:color w:val="000000" w:themeColor="text1"/>
      </w:rPr>
    </w:lvl>
    <w:lvl w:ilvl="1">
      <w:start w:val="2"/>
      <w:numFmt w:val="decimal"/>
      <w:isLgl/>
      <w:lvlText w:val="%1.%2"/>
      <w:lvlJc w:val="left"/>
      <w:pPr>
        <w:ind w:left="1701" w:hanging="360"/>
      </w:pPr>
    </w:lvl>
    <w:lvl w:ilvl="2">
      <w:start w:val="1"/>
      <w:numFmt w:val="decimal"/>
      <w:isLgl/>
      <w:lvlText w:val="%1.%2.%3"/>
      <w:lvlJc w:val="left"/>
      <w:pPr>
        <w:ind w:left="2421" w:hanging="720"/>
      </w:pPr>
    </w:lvl>
    <w:lvl w:ilvl="3">
      <w:start w:val="1"/>
      <w:numFmt w:val="decimal"/>
      <w:isLgl/>
      <w:lvlText w:val="%1.%2.%3.%4"/>
      <w:lvlJc w:val="left"/>
      <w:pPr>
        <w:ind w:left="2421" w:hanging="720"/>
      </w:pPr>
    </w:lvl>
    <w:lvl w:ilvl="4">
      <w:start w:val="1"/>
      <w:numFmt w:val="decimal"/>
      <w:isLgl/>
      <w:lvlText w:val="%1.%2.%3.%4.%5"/>
      <w:lvlJc w:val="left"/>
      <w:pPr>
        <w:ind w:left="2781" w:hanging="1080"/>
      </w:pPr>
    </w:lvl>
    <w:lvl w:ilvl="5">
      <w:start w:val="1"/>
      <w:numFmt w:val="decimal"/>
      <w:isLgl/>
      <w:lvlText w:val="%1.%2.%3.%4.%5.%6"/>
      <w:lvlJc w:val="left"/>
      <w:pPr>
        <w:ind w:left="2781" w:hanging="1080"/>
      </w:pPr>
    </w:lvl>
    <w:lvl w:ilvl="6">
      <w:start w:val="1"/>
      <w:numFmt w:val="decimal"/>
      <w:isLgl/>
      <w:lvlText w:val="%1.%2.%3.%4.%5.%6.%7"/>
      <w:lvlJc w:val="left"/>
      <w:pPr>
        <w:ind w:left="3141" w:hanging="1440"/>
      </w:pPr>
    </w:lvl>
    <w:lvl w:ilvl="7">
      <w:start w:val="1"/>
      <w:numFmt w:val="decimal"/>
      <w:isLgl/>
      <w:lvlText w:val="%1.%2.%3.%4.%5.%6.%7.%8"/>
      <w:lvlJc w:val="left"/>
      <w:pPr>
        <w:ind w:left="3141" w:hanging="1440"/>
      </w:pPr>
    </w:lvl>
    <w:lvl w:ilvl="8">
      <w:start w:val="1"/>
      <w:numFmt w:val="decimal"/>
      <w:isLgl/>
      <w:lvlText w:val="%1.%2.%3.%4.%5.%6.%7.%8.%9"/>
      <w:lvlJc w:val="left"/>
      <w:pPr>
        <w:ind w:left="350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04E08A1"/>
    <w:multiLevelType w:val="multilevel"/>
    <w:tmpl w:val="95F21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092138"/>
    <w:multiLevelType w:val="multilevel"/>
    <w:tmpl w:val="56DCA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53244075"/>
    <w:multiLevelType w:val="hybridMultilevel"/>
    <w:tmpl w:val="99FC0930"/>
    <w:lvl w:ilvl="0" w:tplc="6DD292B4">
      <w:start w:val="4"/>
      <w:numFmt w:val="decimal"/>
      <w:lvlText w:val="%1."/>
      <w:lvlJc w:val="left"/>
      <w:pPr>
        <w:ind w:left="502" w:hanging="360"/>
      </w:pPr>
      <w:rPr>
        <w:rFonts w:hint="default"/>
      </w:rPr>
    </w:lvl>
    <w:lvl w:ilvl="1" w:tplc="240A0019" w:tentative="1">
      <w:start w:val="1"/>
      <w:numFmt w:val="lowerLetter"/>
      <w:lvlText w:val="%2."/>
      <w:lvlJc w:val="left"/>
      <w:pPr>
        <w:ind w:left="1222" w:hanging="360"/>
      </w:pPr>
    </w:lvl>
    <w:lvl w:ilvl="2" w:tplc="240A001B" w:tentative="1">
      <w:start w:val="1"/>
      <w:numFmt w:val="lowerRoman"/>
      <w:lvlText w:val="%3."/>
      <w:lvlJc w:val="right"/>
      <w:pPr>
        <w:ind w:left="1942" w:hanging="180"/>
      </w:pPr>
    </w:lvl>
    <w:lvl w:ilvl="3" w:tplc="240A000F" w:tentative="1">
      <w:start w:val="1"/>
      <w:numFmt w:val="decimal"/>
      <w:lvlText w:val="%4."/>
      <w:lvlJc w:val="left"/>
      <w:pPr>
        <w:ind w:left="2662" w:hanging="360"/>
      </w:pPr>
    </w:lvl>
    <w:lvl w:ilvl="4" w:tplc="240A0019" w:tentative="1">
      <w:start w:val="1"/>
      <w:numFmt w:val="lowerLetter"/>
      <w:lvlText w:val="%5."/>
      <w:lvlJc w:val="left"/>
      <w:pPr>
        <w:ind w:left="3382" w:hanging="360"/>
      </w:pPr>
    </w:lvl>
    <w:lvl w:ilvl="5" w:tplc="240A001B" w:tentative="1">
      <w:start w:val="1"/>
      <w:numFmt w:val="lowerRoman"/>
      <w:lvlText w:val="%6."/>
      <w:lvlJc w:val="right"/>
      <w:pPr>
        <w:ind w:left="4102" w:hanging="180"/>
      </w:pPr>
    </w:lvl>
    <w:lvl w:ilvl="6" w:tplc="240A000F" w:tentative="1">
      <w:start w:val="1"/>
      <w:numFmt w:val="decimal"/>
      <w:lvlText w:val="%7."/>
      <w:lvlJc w:val="left"/>
      <w:pPr>
        <w:ind w:left="4822" w:hanging="360"/>
      </w:pPr>
    </w:lvl>
    <w:lvl w:ilvl="7" w:tplc="240A0019" w:tentative="1">
      <w:start w:val="1"/>
      <w:numFmt w:val="lowerLetter"/>
      <w:lvlText w:val="%8."/>
      <w:lvlJc w:val="left"/>
      <w:pPr>
        <w:ind w:left="5542" w:hanging="360"/>
      </w:pPr>
    </w:lvl>
    <w:lvl w:ilvl="8" w:tplc="240A001B" w:tentative="1">
      <w:start w:val="1"/>
      <w:numFmt w:val="lowerRoman"/>
      <w:lvlText w:val="%9."/>
      <w:lvlJc w:val="right"/>
      <w:pPr>
        <w:ind w:left="6262" w:hanging="180"/>
      </w:pPr>
    </w:lvl>
  </w:abstractNum>
  <w:abstractNum w:abstractNumId="13"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67E234B"/>
    <w:multiLevelType w:val="hybridMultilevel"/>
    <w:tmpl w:val="D6B69572"/>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num w:numId="1" w16cid:durableId="948779781">
    <w:abstractNumId w:val="8"/>
  </w:num>
  <w:num w:numId="2" w16cid:durableId="19822139">
    <w:abstractNumId w:val="2"/>
  </w:num>
  <w:num w:numId="3" w16cid:durableId="876742304">
    <w:abstractNumId w:val="6"/>
  </w:num>
  <w:num w:numId="4" w16cid:durableId="2451864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6"/>
  </w:num>
  <w:num w:numId="7" w16cid:durableId="1946422806">
    <w:abstractNumId w:val="7"/>
  </w:num>
  <w:num w:numId="8" w16cid:durableId="152644682">
    <w:abstractNumId w:val="15"/>
  </w:num>
  <w:num w:numId="9" w16cid:durableId="1317221377">
    <w:abstractNumId w:val="9"/>
  </w:num>
  <w:num w:numId="10" w16cid:durableId="1471245386">
    <w:abstractNumId w:val="14"/>
  </w:num>
  <w:num w:numId="11" w16cid:durableId="289172385">
    <w:abstractNumId w:val="10"/>
  </w:num>
  <w:num w:numId="12" w16cid:durableId="1470781324">
    <w:abstractNumId w:val="1"/>
  </w:num>
  <w:num w:numId="13" w16cid:durableId="1512908409">
    <w:abstractNumId w:val="5"/>
  </w:num>
  <w:num w:numId="14" w16cid:durableId="895897244">
    <w:abstractNumId w:val="17"/>
  </w:num>
  <w:num w:numId="15" w16cid:durableId="390349800">
    <w:abstractNumId w:val="13"/>
  </w:num>
  <w:num w:numId="16" w16cid:durableId="1489201040">
    <w:abstractNumId w:val="0"/>
  </w:num>
  <w:num w:numId="17" w16cid:durableId="1751654304">
    <w:abstractNumId w:val="18"/>
  </w:num>
  <w:num w:numId="18" w16cid:durableId="1542086715">
    <w:abstractNumId w:val="11"/>
  </w:num>
  <w:num w:numId="19" w16cid:durableId="1723482334">
    <w:abstractNumId w:val="12"/>
  </w:num>
  <w:num w:numId="20" w16cid:durableId="1814716485">
    <w:abstractNumId w:val="4"/>
  </w:num>
  <w:num w:numId="21" w16cid:durableId="179536425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0EF5"/>
    <w:rsid w:val="00016F78"/>
    <w:rsid w:val="00021A53"/>
    <w:rsid w:val="00026759"/>
    <w:rsid w:val="00030F8F"/>
    <w:rsid w:val="00046945"/>
    <w:rsid w:val="00052477"/>
    <w:rsid w:val="00052813"/>
    <w:rsid w:val="00052A1E"/>
    <w:rsid w:val="000613AB"/>
    <w:rsid w:val="00061B2A"/>
    <w:rsid w:val="00082362"/>
    <w:rsid w:val="000827CA"/>
    <w:rsid w:val="000841FC"/>
    <w:rsid w:val="00087C6E"/>
    <w:rsid w:val="00090BFE"/>
    <w:rsid w:val="00096CE7"/>
    <w:rsid w:val="000A1667"/>
    <w:rsid w:val="000A16B3"/>
    <w:rsid w:val="000A20ED"/>
    <w:rsid w:val="000A28EB"/>
    <w:rsid w:val="000A4817"/>
    <w:rsid w:val="000A683E"/>
    <w:rsid w:val="000A7905"/>
    <w:rsid w:val="000A7A0D"/>
    <w:rsid w:val="000B19B9"/>
    <w:rsid w:val="000D0334"/>
    <w:rsid w:val="000D5181"/>
    <w:rsid w:val="000D5B7F"/>
    <w:rsid w:val="000D5DA7"/>
    <w:rsid w:val="000E1219"/>
    <w:rsid w:val="000F5376"/>
    <w:rsid w:val="000F58F5"/>
    <w:rsid w:val="000F6486"/>
    <w:rsid w:val="00107825"/>
    <w:rsid w:val="00115D1A"/>
    <w:rsid w:val="00116940"/>
    <w:rsid w:val="00124B7A"/>
    <w:rsid w:val="00125105"/>
    <w:rsid w:val="00127233"/>
    <w:rsid w:val="00127A11"/>
    <w:rsid w:val="00130444"/>
    <w:rsid w:val="00136A20"/>
    <w:rsid w:val="001413A3"/>
    <w:rsid w:val="0015303A"/>
    <w:rsid w:val="0015317F"/>
    <w:rsid w:val="0015675F"/>
    <w:rsid w:val="0015699B"/>
    <w:rsid w:val="00156C50"/>
    <w:rsid w:val="0016198F"/>
    <w:rsid w:val="001658FE"/>
    <w:rsid w:val="00175343"/>
    <w:rsid w:val="00181743"/>
    <w:rsid w:val="00193FC5"/>
    <w:rsid w:val="001A33BF"/>
    <w:rsid w:val="001C29BA"/>
    <w:rsid w:val="001C499B"/>
    <w:rsid w:val="001E0CA5"/>
    <w:rsid w:val="001E218C"/>
    <w:rsid w:val="001E4177"/>
    <w:rsid w:val="001E4201"/>
    <w:rsid w:val="001F0B24"/>
    <w:rsid w:val="001F21DA"/>
    <w:rsid w:val="001F4D74"/>
    <w:rsid w:val="001F7ADF"/>
    <w:rsid w:val="001F7DC6"/>
    <w:rsid w:val="002057C1"/>
    <w:rsid w:val="0022400B"/>
    <w:rsid w:val="002316DF"/>
    <w:rsid w:val="002335F4"/>
    <w:rsid w:val="002401C5"/>
    <w:rsid w:val="002421BB"/>
    <w:rsid w:val="0025796E"/>
    <w:rsid w:val="00261BED"/>
    <w:rsid w:val="002707A2"/>
    <w:rsid w:val="00291804"/>
    <w:rsid w:val="00294531"/>
    <w:rsid w:val="00294F16"/>
    <w:rsid w:val="002951A0"/>
    <w:rsid w:val="002962BC"/>
    <w:rsid w:val="002A093D"/>
    <w:rsid w:val="002A0DD0"/>
    <w:rsid w:val="002A23E1"/>
    <w:rsid w:val="002A49AC"/>
    <w:rsid w:val="002A5621"/>
    <w:rsid w:val="002A64FD"/>
    <w:rsid w:val="002B1AAB"/>
    <w:rsid w:val="002C7A84"/>
    <w:rsid w:val="002D5FC4"/>
    <w:rsid w:val="002D7C7A"/>
    <w:rsid w:val="002E2BF8"/>
    <w:rsid w:val="002E4FD9"/>
    <w:rsid w:val="002F25CB"/>
    <w:rsid w:val="002F2BCF"/>
    <w:rsid w:val="002F7D7E"/>
    <w:rsid w:val="003025DA"/>
    <w:rsid w:val="0030657A"/>
    <w:rsid w:val="0030705A"/>
    <w:rsid w:val="00322A85"/>
    <w:rsid w:val="00324168"/>
    <w:rsid w:val="00330834"/>
    <w:rsid w:val="003348E8"/>
    <w:rsid w:val="003448F4"/>
    <w:rsid w:val="0035292C"/>
    <w:rsid w:val="0035621F"/>
    <w:rsid w:val="00371B2F"/>
    <w:rsid w:val="00374F5E"/>
    <w:rsid w:val="0037760B"/>
    <w:rsid w:val="00377E3E"/>
    <w:rsid w:val="0038052B"/>
    <w:rsid w:val="00381E25"/>
    <w:rsid w:val="003A0DE6"/>
    <w:rsid w:val="003A4124"/>
    <w:rsid w:val="003A779E"/>
    <w:rsid w:val="003B0156"/>
    <w:rsid w:val="003B3E9B"/>
    <w:rsid w:val="003C7A90"/>
    <w:rsid w:val="003D0F4D"/>
    <w:rsid w:val="003D54D9"/>
    <w:rsid w:val="003D5B0D"/>
    <w:rsid w:val="003E0499"/>
    <w:rsid w:val="003E27CF"/>
    <w:rsid w:val="003E4B7B"/>
    <w:rsid w:val="003E4F80"/>
    <w:rsid w:val="003E6439"/>
    <w:rsid w:val="003E7C48"/>
    <w:rsid w:val="003F3941"/>
    <w:rsid w:val="003F74E0"/>
    <w:rsid w:val="003F77D4"/>
    <w:rsid w:val="00406575"/>
    <w:rsid w:val="00411B60"/>
    <w:rsid w:val="00414C74"/>
    <w:rsid w:val="00425FC6"/>
    <w:rsid w:val="0042722E"/>
    <w:rsid w:val="00427970"/>
    <w:rsid w:val="0044528D"/>
    <w:rsid w:val="00460E81"/>
    <w:rsid w:val="00463CE2"/>
    <w:rsid w:val="00466E39"/>
    <w:rsid w:val="00475026"/>
    <w:rsid w:val="00491AE1"/>
    <w:rsid w:val="0049281A"/>
    <w:rsid w:val="004A1847"/>
    <w:rsid w:val="004A2B00"/>
    <w:rsid w:val="004A305D"/>
    <w:rsid w:val="004A6498"/>
    <w:rsid w:val="004A6AEE"/>
    <w:rsid w:val="004B082C"/>
    <w:rsid w:val="004C3868"/>
    <w:rsid w:val="004D029E"/>
    <w:rsid w:val="004D2283"/>
    <w:rsid w:val="004F21C4"/>
    <w:rsid w:val="004F522C"/>
    <w:rsid w:val="004F685F"/>
    <w:rsid w:val="004F69A9"/>
    <w:rsid w:val="005169C5"/>
    <w:rsid w:val="0052117B"/>
    <w:rsid w:val="00531056"/>
    <w:rsid w:val="0054289F"/>
    <w:rsid w:val="00544921"/>
    <w:rsid w:val="00547E0B"/>
    <w:rsid w:val="005554C7"/>
    <w:rsid w:val="005566E8"/>
    <w:rsid w:val="00565F0C"/>
    <w:rsid w:val="005727DD"/>
    <w:rsid w:val="00574867"/>
    <w:rsid w:val="00591460"/>
    <w:rsid w:val="00595FD1"/>
    <w:rsid w:val="00596BB3"/>
    <w:rsid w:val="005A65E0"/>
    <w:rsid w:val="005B0616"/>
    <w:rsid w:val="005B120C"/>
    <w:rsid w:val="005B2D38"/>
    <w:rsid w:val="005B6CDE"/>
    <w:rsid w:val="005C2F2E"/>
    <w:rsid w:val="005C3777"/>
    <w:rsid w:val="005C5CDC"/>
    <w:rsid w:val="005C7E5F"/>
    <w:rsid w:val="005D3D0D"/>
    <w:rsid w:val="005D476C"/>
    <w:rsid w:val="005D5C1E"/>
    <w:rsid w:val="005E73F6"/>
    <w:rsid w:val="005F11DD"/>
    <w:rsid w:val="00602F53"/>
    <w:rsid w:val="00607EA9"/>
    <w:rsid w:val="00613660"/>
    <w:rsid w:val="0061546A"/>
    <w:rsid w:val="006200BF"/>
    <w:rsid w:val="006219F8"/>
    <w:rsid w:val="00622E31"/>
    <w:rsid w:val="00623C53"/>
    <w:rsid w:val="00625899"/>
    <w:rsid w:val="006262A2"/>
    <w:rsid w:val="006272F1"/>
    <w:rsid w:val="006302F7"/>
    <w:rsid w:val="00646B9F"/>
    <w:rsid w:val="00651F01"/>
    <w:rsid w:val="0066369D"/>
    <w:rsid w:val="00665D70"/>
    <w:rsid w:val="0068311B"/>
    <w:rsid w:val="006900D9"/>
    <w:rsid w:val="006A7865"/>
    <w:rsid w:val="006B13DD"/>
    <w:rsid w:val="006D2F82"/>
    <w:rsid w:val="006D4CE4"/>
    <w:rsid w:val="006E0BE5"/>
    <w:rsid w:val="00706C16"/>
    <w:rsid w:val="007340C3"/>
    <w:rsid w:val="00736267"/>
    <w:rsid w:val="00750B2F"/>
    <w:rsid w:val="0075235A"/>
    <w:rsid w:val="00756841"/>
    <w:rsid w:val="007649AB"/>
    <w:rsid w:val="00765AEB"/>
    <w:rsid w:val="00771D0C"/>
    <w:rsid w:val="00781F25"/>
    <w:rsid w:val="007833AC"/>
    <w:rsid w:val="00794E4D"/>
    <w:rsid w:val="007B118E"/>
    <w:rsid w:val="007B268C"/>
    <w:rsid w:val="007B393D"/>
    <w:rsid w:val="007B6B2B"/>
    <w:rsid w:val="007B7171"/>
    <w:rsid w:val="007C0C0F"/>
    <w:rsid w:val="007C3DC2"/>
    <w:rsid w:val="007C3F63"/>
    <w:rsid w:val="007D0384"/>
    <w:rsid w:val="007D0D68"/>
    <w:rsid w:val="007D376E"/>
    <w:rsid w:val="007D6C65"/>
    <w:rsid w:val="007E5497"/>
    <w:rsid w:val="007E688F"/>
    <w:rsid w:val="007F3DFE"/>
    <w:rsid w:val="007F4FF3"/>
    <w:rsid w:val="007F5DE0"/>
    <w:rsid w:val="00805135"/>
    <w:rsid w:val="008065AE"/>
    <w:rsid w:val="00806F5F"/>
    <w:rsid w:val="008106AB"/>
    <w:rsid w:val="00820278"/>
    <w:rsid w:val="008258C9"/>
    <w:rsid w:val="008420C7"/>
    <w:rsid w:val="00844AE9"/>
    <w:rsid w:val="0084793C"/>
    <w:rsid w:val="008603E8"/>
    <w:rsid w:val="00867F95"/>
    <w:rsid w:val="00874A70"/>
    <w:rsid w:val="00880B38"/>
    <w:rsid w:val="008843B6"/>
    <w:rsid w:val="00891928"/>
    <w:rsid w:val="00897213"/>
    <w:rsid w:val="008A186E"/>
    <w:rsid w:val="008A446D"/>
    <w:rsid w:val="008B0DB7"/>
    <w:rsid w:val="008B25F1"/>
    <w:rsid w:val="008D180B"/>
    <w:rsid w:val="008D70D2"/>
    <w:rsid w:val="008F07A1"/>
    <w:rsid w:val="008F07D2"/>
    <w:rsid w:val="008F0EA7"/>
    <w:rsid w:val="00917298"/>
    <w:rsid w:val="00922EDE"/>
    <w:rsid w:val="00923EEF"/>
    <w:rsid w:val="00927B08"/>
    <w:rsid w:val="00927F0E"/>
    <w:rsid w:val="0094043C"/>
    <w:rsid w:val="009406AE"/>
    <w:rsid w:val="009419F9"/>
    <w:rsid w:val="00945567"/>
    <w:rsid w:val="0094726D"/>
    <w:rsid w:val="00956430"/>
    <w:rsid w:val="0095685E"/>
    <w:rsid w:val="00961B09"/>
    <w:rsid w:val="00965023"/>
    <w:rsid w:val="00965334"/>
    <w:rsid w:val="0097093E"/>
    <w:rsid w:val="00971033"/>
    <w:rsid w:val="009750D8"/>
    <w:rsid w:val="00994B57"/>
    <w:rsid w:val="009974E3"/>
    <w:rsid w:val="00997603"/>
    <w:rsid w:val="009A0DFA"/>
    <w:rsid w:val="009A1C6F"/>
    <w:rsid w:val="009B2D26"/>
    <w:rsid w:val="009B3CC6"/>
    <w:rsid w:val="009C71FA"/>
    <w:rsid w:val="009C72E7"/>
    <w:rsid w:val="009C7B68"/>
    <w:rsid w:val="009C7F7E"/>
    <w:rsid w:val="009D3058"/>
    <w:rsid w:val="009E67DA"/>
    <w:rsid w:val="009F3A13"/>
    <w:rsid w:val="009F55DE"/>
    <w:rsid w:val="00A00604"/>
    <w:rsid w:val="00A122D3"/>
    <w:rsid w:val="00A14468"/>
    <w:rsid w:val="00A15C71"/>
    <w:rsid w:val="00A17F13"/>
    <w:rsid w:val="00A20739"/>
    <w:rsid w:val="00A23AF9"/>
    <w:rsid w:val="00A27283"/>
    <w:rsid w:val="00A32A1C"/>
    <w:rsid w:val="00A33C78"/>
    <w:rsid w:val="00A53E17"/>
    <w:rsid w:val="00A64AA1"/>
    <w:rsid w:val="00A75EAD"/>
    <w:rsid w:val="00AA489E"/>
    <w:rsid w:val="00AB0420"/>
    <w:rsid w:val="00AB0ADB"/>
    <w:rsid w:val="00AC59E6"/>
    <w:rsid w:val="00AD27C6"/>
    <w:rsid w:val="00AE0AA0"/>
    <w:rsid w:val="00AF14E9"/>
    <w:rsid w:val="00AF5433"/>
    <w:rsid w:val="00B00C0E"/>
    <w:rsid w:val="00B01B1A"/>
    <w:rsid w:val="00B0381D"/>
    <w:rsid w:val="00B2687F"/>
    <w:rsid w:val="00B414C1"/>
    <w:rsid w:val="00B44A47"/>
    <w:rsid w:val="00B62C83"/>
    <w:rsid w:val="00B72CD3"/>
    <w:rsid w:val="00B72FFF"/>
    <w:rsid w:val="00BB1916"/>
    <w:rsid w:val="00BB4FAE"/>
    <w:rsid w:val="00BC3D36"/>
    <w:rsid w:val="00BD54A6"/>
    <w:rsid w:val="00BD7F72"/>
    <w:rsid w:val="00BE2F1D"/>
    <w:rsid w:val="00BE5CCB"/>
    <w:rsid w:val="00BF6013"/>
    <w:rsid w:val="00BF7425"/>
    <w:rsid w:val="00C01192"/>
    <w:rsid w:val="00C04FB3"/>
    <w:rsid w:val="00C11D8B"/>
    <w:rsid w:val="00C15139"/>
    <w:rsid w:val="00C15E6E"/>
    <w:rsid w:val="00C2023B"/>
    <w:rsid w:val="00C27334"/>
    <w:rsid w:val="00C330EB"/>
    <w:rsid w:val="00C40F9E"/>
    <w:rsid w:val="00C50D69"/>
    <w:rsid w:val="00C5365C"/>
    <w:rsid w:val="00C70979"/>
    <w:rsid w:val="00C74C9C"/>
    <w:rsid w:val="00C754BE"/>
    <w:rsid w:val="00C76B1C"/>
    <w:rsid w:val="00C92481"/>
    <w:rsid w:val="00C925AC"/>
    <w:rsid w:val="00C92DC3"/>
    <w:rsid w:val="00CB02FC"/>
    <w:rsid w:val="00CB52F8"/>
    <w:rsid w:val="00CB6357"/>
    <w:rsid w:val="00CC1B26"/>
    <w:rsid w:val="00CC6ECC"/>
    <w:rsid w:val="00CC79D8"/>
    <w:rsid w:val="00CD34DE"/>
    <w:rsid w:val="00CD618E"/>
    <w:rsid w:val="00CF5B4C"/>
    <w:rsid w:val="00CF6239"/>
    <w:rsid w:val="00CF7444"/>
    <w:rsid w:val="00D0259B"/>
    <w:rsid w:val="00D03CFA"/>
    <w:rsid w:val="00D136B4"/>
    <w:rsid w:val="00D361FD"/>
    <w:rsid w:val="00D423A2"/>
    <w:rsid w:val="00D44E26"/>
    <w:rsid w:val="00D456A3"/>
    <w:rsid w:val="00D520D8"/>
    <w:rsid w:val="00D54CD7"/>
    <w:rsid w:val="00D63AC2"/>
    <w:rsid w:val="00D709E5"/>
    <w:rsid w:val="00D70FB3"/>
    <w:rsid w:val="00D7383B"/>
    <w:rsid w:val="00D7788A"/>
    <w:rsid w:val="00D80833"/>
    <w:rsid w:val="00D933E2"/>
    <w:rsid w:val="00D95BDD"/>
    <w:rsid w:val="00DA231B"/>
    <w:rsid w:val="00DB2D71"/>
    <w:rsid w:val="00DC39FC"/>
    <w:rsid w:val="00DD284C"/>
    <w:rsid w:val="00DD36CD"/>
    <w:rsid w:val="00DF5254"/>
    <w:rsid w:val="00DF753E"/>
    <w:rsid w:val="00E02524"/>
    <w:rsid w:val="00E0637E"/>
    <w:rsid w:val="00E16408"/>
    <w:rsid w:val="00E20894"/>
    <w:rsid w:val="00E243F8"/>
    <w:rsid w:val="00E245AB"/>
    <w:rsid w:val="00E2764C"/>
    <w:rsid w:val="00E27F2E"/>
    <w:rsid w:val="00E35946"/>
    <w:rsid w:val="00E4153E"/>
    <w:rsid w:val="00E50AFE"/>
    <w:rsid w:val="00E626B3"/>
    <w:rsid w:val="00E64C8E"/>
    <w:rsid w:val="00E75C92"/>
    <w:rsid w:val="00E771DC"/>
    <w:rsid w:val="00E8472A"/>
    <w:rsid w:val="00E8772A"/>
    <w:rsid w:val="00E90F6B"/>
    <w:rsid w:val="00E92C27"/>
    <w:rsid w:val="00EA0E3D"/>
    <w:rsid w:val="00EC38A7"/>
    <w:rsid w:val="00EC7B62"/>
    <w:rsid w:val="00EE0096"/>
    <w:rsid w:val="00EE048B"/>
    <w:rsid w:val="00EE1AA8"/>
    <w:rsid w:val="00EE354C"/>
    <w:rsid w:val="00EE4181"/>
    <w:rsid w:val="00EF0AF1"/>
    <w:rsid w:val="00EF4B13"/>
    <w:rsid w:val="00F030BB"/>
    <w:rsid w:val="00F059D9"/>
    <w:rsid w:val="00F06BD0"/>
    <w:rsid w:val="00F23FEA"/>
    <w:rsid w:val="00F31EDC"/>
    <w:rsid w:val="00F355E4"/>
    <w:rsid w:val="00F462B3"/>
    <w:rsid w:val="00F5664F"/>
    <w:rsid w:val="00F61BE3"/>
    <w:rsid w:val="00F666C4"/>
    <w:rsid w:val="00F67A20"/>
    <w:rsid w:val="00F70B7B"/>
    <w:rsid w:val="00F76AFC"/>
    <w:rsid w:val="00F93D0D"/>
    <w:rsid w:val="00FA16A8"/>
    <w:rsid w:val="00FA47C0"/>
    <w:rsid w:val="00FB5DD1"/>
    <w:rsid w:val="00FB7EBA"/>
    <w:rsid w:val="00FC07E8"/>
    <w:rsid w:val="00FC2B5D"/>
    <w:rsid w:val="00FC5E06"/>
    <w:rsid w:val="00FD3504"/>
    <w:rsid w:val="00FD7145"/>
    <w:rsid w:val="00FF1449"/>
    <w:rsid w:val="00FF1E19"/>
    <w:rsid w:val="00FF38AD"/>
    <w:rsid w:val="00FF3F2E"/>
    <w:rsid w:val="00FF4D5E"/>
    <w:rsid w:val="00FF5E3F"/>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E0B3C86B-2A75-4E07-A50B-A76370D5A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411B60"/>
    <w:rPr>
      <w:rFonts w:ascii="Geomanist Light" w:hAnsi="Geomanist Light"/>
      <w:lang w:val="es-ES"/>
    </w:rPr>
  </w:style>
  <w:style w:type="character" w:styleId="nfasis">
    <w:name w:val="Emphasis"/>
    <w:basedOn w:val="Fuentedeprrafopredeter"/>
    <w:uiPriority w:val="20"/>
    <w:qFormat/>
    <w:rsid w:val="00411B60"/>
    <w:rPr>
      <w:i/>
      <w:iCs/>
    </w:rPr>
  </w:style>
  <w:style w:type="paragraph" w:styleId="Textoindependiente">
    <w:name w:val="Body Text"/>
    <w:basedOn w:val="Normal"/>
    <w:link w:val="TextoindependienteCar"/>
    <w:uiPriority w:val="1"/>
    <w:qFormat/>
    <w:rsid w:val="008F07A1"/>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8F07A1"/>
    <w:rPr>
      <w:rFonts w:ascii="Verdana" w:eastAsia="Verdana" w:hAnsi="Verdana" w:cs="Verdana"/>
      <w:lang w:val="es-ES"/>
    </w:rPr>
  </w:style>
  <w:style w:type="paragraph" w:customStyle="1" w:styleId="Appelnotedebasde">
    <w:name w:val="Appel note de bas de..."/>
    <w:basedOn w:val="Normal"/>
    <w:link w:val="Refdenotaalpie"/>
    <w:uiPriority w:val="99"/>
    <w:rsid w:val="000E1219"/>
    <w:pPr>
      <w:spacing w:line="240" w:lineRule="exact"/>
    </w:pPr>
    <w:rPr>
      <w:vertAlign w:val="superscript"/>
    </w:rPr>
  </w:style>
  <w:style w:type="paragraph" w:styleId="Sinespaciado">
    <w:name w:val="No Spacing"/>
    <w:aliases w:val="No Indent"/>
    <w:uiPriority w:val="3"/>
    <w:qFormat/>
    <w:rsid w:val="000E1219"/>
    <w:pPr>
      <w:spacing w:after="0" w:line="240" w:lineRule="auto"/>
    </w:pPr>
    <w:rPr>
      <w:sz w:val="24"/>
      <w:lang w:val="es-MX"/>
    </w:rPr>
  </w:style>
  <w:style w:type="character" w:styleId="Refdecomentario">
    <w:name w:val="annotation reference"/>
    <w:basedOn w:val="Fuentedeprrafopredeter"/>
    <w:uiPriority w:val="99"/>
    <w:semiHidden/>
    <w:unhideWhenUsed/>
    <w:rsid w:val="004D2283"/>
    <w:rPr>
      <w:sz w:val="16"/>
      <w:szCs w:val="16"/>
    </w:rPr>
  </w:style>
  <w:style w:type="paragraph" w:styleId="Textocomentario">
    <w:name w:val="annotation text"/>
    <w:basedOn w:val="Normal"/>
    <w:link w:val="TextocomentarioCar"/>
    <w:uiPriority w:val="99"/>
    <w:unhideWhenUsed/>
    <w:rsid w:val="004D2283"/>
    <w:pPr>
      <w:spacing w:line="240" w:lineRule="auto"/>
    </w:pPr>
    <w:rPr>
      <w:sz w:val="20"/>
      <w:szCs w:val="20"/>
    </w:rPr>
  </w:style>
  <w:style w:type="character" w:customStyle="1" w:styleId="TextocomentarioCar">
    <w:name w:val="Texto comentario Car"/>
    <w:basedOn w:val="Fuentedeprrafopredeter"/>
    <w:link w:val="Textocomentario"/>
    <w:uiPriority w:val="99"/>
    <w:rsid w:val="004D2283"/>
    <w:rPr>
      <w:sz w:val="20"/>
      <w:szCs w:val="20"/>
    </w:rPr>
  </w:style>
  <w:style w:type="paragraph" w:styleId="Asuntodelcomentario">
    <w:name w:val="annotation subject"/>
    <w:basedOn w:val="Textocomentario"/>
    <w:next w:val="Textocomentario"/>
    <w:link w:val="AsuntodelcomentarioCar"/>
    <w:uiPriority w:val="99"/>
    <w:semiHidden/>
    <w:unhideWhenUsed/>
    <w:rsid w:val="004D2283"/>
    <w:rPr>
      <w:b/>
      <w:bCs/>
    </w:rPr>
  </w:style>
  <w:style w:type="character" w:customStyle="1" w:styleId="AsuntodelcomentarioCar">
    <w:name w:val="Asunto del comentario Car"/>
    <w:basedOn w:val="TextocomentarioCar"/>
    <w:link w:val="Asuntodelcomentario"/>
    <w:uiPriority w:val="99"/>
    <w:semiHidden/>
    <w:rsid w:val="004D228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colombiacompra.gov.co/archivos/manual/guia-para-la-contratacion-con-entidades-sin-animo-de-lucro-y-de-reconocida-idoneidad"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uanseolaya@gmail.com" TargetMode="External"/><Relationship Id="rId5" Type="http://schemas.openxmlformats.org/officeDocument/2006/relationships/styles" Target="styles.xml"/><Relationship Id="rId15" Type="http://schemas.openxmlformats.org/officeDocument/2006/relationships/hyperlink" Target="https://www.colombiacompra.gov.co/normativa-y-relatoria/documentos-tipo" TargetMode="Externa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formacionvirtual.colombiacompra.gov.co/mod/page/view.php?id=3718"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552F237-54D2-443C-BF6E-5FFBE4A4ABA6}"/>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2</TotalTime>
  <Pages>29</Pages>
  <Words>9642</Words>
  <Characters>53034</Characters>
  <Application>Microsoft Office Word</Application>
  <DocSecurity>0</DocSecurity>
  <Lines>441</Lines>
  <Paragraphs>125</Paragraphs>
  <ScaleCrop>false</ScaleCrop>
  <Company/>
  <LinksUpToDate>false</LinksUpToDate>
  <CharactersWithSpaces>62551</CharactersWithSpaces>
  <SharedDoc>false</SharedDoc>
  <HLinks>
    <vt:vector size="36" baseType="variant">
      <vt:variant>
        <vt:i4>5505101</vt:i4>
      </vt:variant>
      <vt:variant>
        <vt:i4>15</vt:i4>
      </vt:variant>
      <vt:variant>
        <vt:i4>0</vt:i4>
      </vt:variant>
      <vt:variant>
        <vt:i4>5</vt:i4>
      </vt:variant>
      <vt:variant>
        <vt:lpwstr>https://www.colombiacompra.gov.co/archivos/manual/guia-para-la-comprension-e-implementacion-de-los-documentos-tipo-de-obra-publica-de-infraestructura-de-transporte-bajo-las-diferentes-modalidades-de-contratacion-vigentes</vt:lpwstr>
      </vt:variant>
      <vt:variant>
        <vt:lpwstr/>
      </vt:variant>
      <vt:variant>
        <vt:i4>3735661</vt:i4>
      </vt:variant>
      <vt:variant>
        <vt:i4>12</vt:i4>
      </vt:variant>
      <vt:variant>
        <vt:i4>0</vt:i4>
      </vt:variant>
      <vt:variant>
        <vt:i4>5</vt:i4>
      </vt:variant>
      <vt:variant>
        <vt:lpwstr>https://www.colombiacompra.gov.co/normativa-y-relatoria/documentos-tipo</vt:lpwstr>
      </vt:variant>
      <vt:variant>
        <vt:lpwstr/>
      </vt:variant>
      <vt:variant>
        <vt:i4>65544</vt:i4>
      </vt:variant>
      <vt:variant>
        <vt:i4>9</vt:i4>
      </vt:variant>
      <vt:variant>
        <vt:i4>0</vt:i4>
      </vt:variant>
      <vt:variant>
        <vt:i4>5</vt:i4>
      </vt:variant>
      <vt:variant>
        <vt:lpwstr>https://formacionvirtual.colombiacompra.gov.co/mod/page/view.php?id=3718</vt:lpwstr>
      </vt:variant>
      <vt:variant>
        <vt:lpwstr/>
      </vt:variant>
      <vt:variant>
        <vt:i4>7471218</vt:i4>
      </vt:variant>
      <vt:variant>
        <vt:i4>6</vt:i4>
      </vt:variant>
      <vt:variant>
        <vt:i4>0</vt:i4>
      </vt:variant>
      <vt:variant>
        <vt:i4>5</vt:i4>
      </vt:variant>
      <vt:variant>
        <vt:lpwstr>https://relatoria.colombiacompra.gov.co/busqueda/conceptos</vt:lpwstr>
      </vt:variant>
      <vt:variant>
        <vt:lpwstr/>
      </vt:variant>
      <vt:variant>
        <vt:i4>7798899</vt:i4>
      </vt:variant>
      <vt:variant>
        <vt:i4>3</vt:i4>
      </vt:variant>
      <vt:variant>
        <vt:i4>0</vt:i4>
      </vt:variant>
      <vt:variant>
        <vt:i4>5</vt:i4>
      </vt:variant>
      <vt:variant>
        <vt:lpwstr>https://www.colombiacompra.gov.co/archivos/manual/guia-para-la-contratacion-con-entidades-sin-animo-de-lucro-y-de-reconocida-idoneidad</vt:lpwstr>
      </vt:variant>
      <vt:variant>
        <vt:lpwstr/>
      </vt:variant>
      <vt:variant>
        <vt:i4>1114148</vt:i4>
      </vt:variant>
      <vt:variant>
        <vt:i4>0</vt:i4>
      </vt:variant>
      <vt:variant>
        <vt:i4>0</vt:i4>
      </vt:variant>
      <vt:variant>
        <vt:i4>5</vt:i4>
      </vt:variant>
      <vt:variant>
        <vt:lpwstr>mailto:juanseolaya@gmail.com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Ana María Ortiz Ballesteros</cp:lastModifiedBy>
  <cp:revision>25</cp:revision>
  <cp:lastPrinted>2023-01-10T18:18:00Z</cp:lastPrinted>
  <dcterms:created xsi:type="dcterms:W3CDTF">2026-10-06T16:22:00Z</dcterms:created>
  <dcterms:modified xsi:type="dcterms:W3CDTF">2026-10-06T21:05:00Z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