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5D7A8" w14:textId="77777777" w:rsidR="00D168A2" w:rsidRDefault="00D168A2" w:rsidP="00D168A2">
      <w:pPr>
        <w:jc w:val="both"/>
        <w:rPr>
          <w:rFonts w:ascii="Verdana" w:hAnsi="Verdana" w:cs="Arial"/>
          <w:b/>
          <w:bCs/>
          <w:lang w:eastAsia="es-ES"/>
        </w:rPr>
      </w:pPr>
      <w:r w:rsidRPr="00D168A2">
        <w:rPr>
          <w:rFonts w:ascii="Verdana" w:hAnsi="Verdana" w:cs="Arial"/>
          <w:b/>
          <w:bCs/>
          <w:lang w:eastAsia="es-ES"/>
        </w:rPr>
        <w:t>CONVENIOS DE ASOCIACIÓN – Artículo 5 del Decreto 092 de 2017 – Artículo 96 de la Ley 489 de 1998 – Requisitos</w:t>
      </w:r>
    </w:p>
    <w:p w14:paraId="415880DF" w14:textId="77777777" w:rsidR="00D168A2" w:rsidRPr="00D168A2" w:rsidRDefault="00D168A2" w:rsidP="00D168A2">
      <w:pPr>
        <w:spacing w:after="120" w:line="240" w:lineRule="auto"/>
        <w:jc w:val="both"/>
        <w:rPr>
          <w:rFonts w:ascii="Verdana" w:eastAsia="Calibri" w:hAnsi="Verdana" w:cs="Arial"/>
          <w:sz w:val="20"/>
          <w:szCs w:val="20"/>
          <w:lang w:val="es-MX"/>
        </w:rPr>
      </w:pPr>
      <w:r w:rsidRPr="00D168A2">
        <w:rPr>
          <w:rFonts w:ascii="Verdana" w:eastAsia="Calibri" w:hAnsi="Verdana" w:cs="Arial"/>
          <w:sz w:val="20"/>
          <w:szCs w:val="20"/>
          <w:lang w:val="es-MX"/>
        </w:rPr>
        <w:t xml:space="preserve">Los </w:t>
      </w:r>
      <w:r w:rsidRPr="00D168A2">
        <w:rPr>
          <w:rFonts w:ascii="Verdana" w:eastAsia="Calibri" w:hAnsi="Verdana" w:cs="Arial"/>
          <w:i/>
          <w:iCs/>
          <w:sz w:val="20"/>
          <w:szCs w:val="20"/>
          <w:lang w:val="es-MX"/>
        </w:rPr>
        <w:t>convenios de asociación</w:t>
      </w:r>
      <w:r w:rsidRPr="00D168A2">
        <w:rPr>
          <w:rFonts w:ascii="Verdana" w:eastAsia="Calibri" w:hAnsi="Verdana" w:cs="Arial"/>
          <w:sz w:val="20"/>
          <w:szCs w:val="20"/>
          <w:lang w:val="es-MX"/>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Autónomo. </w:t>
      </w:r>
    </w:p>
    <w:p w14:paraId="7B54C7FF" w14:textId="77777777" w:rsidR="00D168A2" w:rsidRPr="00D168A2" w:rsidRDefault="00D168A2" w:rsidP="00D168A2">
      <w:pPr>
        <w:spacing w:after="120" w:line="240" w:lineRule="auto"/>
        <w:jc w:val="both"/>
        <w:rPr>
          <w:rFonts w:ascii="Verdana" w:eastAsia="Calibri" w:hAnsi="Verdana" w:cs="Arial"/>
          <w:sz w:val="20"/>
          <w:szCs w:val="20"/>
          <w:lang w:val="es-MX"/>
        </w:rPr>
      </w:pPr>
      <w:r w:rsidRPr="00D168A2">
        <w:rPr>
          <w:rFonts w:ascii="Verdana" w:eastAsia="Calibri" w:hAnsi="Verdana" w:cs="Arial"/>
          <w:sz w:val="20"/>
          <w:szCs w:val="20"/>
          <w:lang w:val="es-MX"/>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195DDF9E" w14:textId="7E896B6F" w:rsidR="00D168A2" w:rsidRPr="00D168A2" w:rsidRDefault="00D168A2" w:rsidP="00D168A2">
      <w:pPr>
        <w:spacing w:line="240" w:lineRule="auto"/>
        <w:jc w:val="both"/>
        <w:rPr>
          <w:rFonts w:ascii="Verdana" w:hAnsi="Verdana" w:cs="Arial"/>
          <w:b/>
          <w:bCs/>
          <w:sz w:val="20"/>
          <w:szCs w:val="20"/>
          <w:lang w:eastAsia="es-ES"/>
        </w:rPr>
      </w:pPr>
      <w:r w:rsidRPr="00D168A2">
        <w:rPr>
          <w:rFonts w:ascii="Verdana" w:eastAsia="Calibri" w:hAnsi="Verdana" w:cs="Arial"/>
          <w:sz w:val="20"/>
          <w:szCs w:val="20"/>
          <w:lang w:val="es-MX"/>
        </w:rPr>
        <w:t>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w:t>
      </w:r>
    </w:p>
    <w:p w14:paraId="690FAD21" w14:textId="77777777" w:rsidR="00D168A2" w:rsidRDefault="00D168A2" w:rsidP="00D168A2">
      <w:pPr>
        <w:jc w:val="both"/>
        <w:rPr>
          <w:rFonts w:ascii="Verdana" w:hAnsi="Verdana" w:cs="Arial"/>
          <w:b/>
          <w:bCs/>
          <w:lang w:val="es-ES" w:eastAsia="es-ES"/>
        </w:rPr>
      </w:pPr>
      <w:r w:rsidRPr="00D168A2">
        <w:rPr>
          <w:rFonts w:ascii="Verdana" w:hAnsi="Verdana" w:cs="Arial"/>
          <w:b/>
          <w:bCs/>
          <w:lang w:val="es-ES" w:eastAsia="es-ES"/>
        </w:rPr>
        <w:t xml:space="preserve">CONVENIOS DE ASOCIACIÓN – Requisitos – Nueva Guía para la contratación con Entidades Sin Ánimo de Lucro y reconocida idoneidad </w:t>
      </w:r>
    </w:p>
    <w:p w14:paraId="3959D8D7" w14:textId="307836AF" w:rsidR="00D168A2" w:rsidRPr="004F4CAC" w:rsidRDefault="00E123CF" w:rsidP="00D168A2">
      <w:pPr>
        <w:jc w:val="both"/>
        <w:rPr>
          <w:rFonts w:ascii="Verdana" w:hAnsi="Verdana" w:cs="Arial"/>
          <w:sz w:val="20"/>
          <w:szCs w:val="20"/>
          <w:lang w:val="es-ES" w:eastAsia="es-ES"/>
        </w:rPr>
      </w:pPr>
      <w:r w:rsidRPr="004F4CAC">
        <w:rPr>
          <w:rFonts w:ascii="Verdana" w:hAnsi="Verdana" w:cs="Arial"/>
          <w:sz w:val="20"/>
          <w:szCs w:val="20"/>
          <w:lang w:val="es-ES" w:eastAsia="es-ES"/>
        </w:rPr>
        <w:t>A partir de lo expuesto, se encuentra que en la Nueva “Guía para la contratación con entidades privadas sin ánimo de lucro y de reconocida idoneidad” se establece tres condiciones para contratar mediante convenios de asociación: en primer lugar, el convenio de asociación debe suscribirse mediante un proceso competitivo con Entidades Privadas Sin Ánimo de Lucro de reconocida idoneidad, con la condición de que el aporte de la Entidad Privada Sin Ánimo de Lucro sea inferior al 30% en dinero propio o de cooperación internacional. En segundo lugar, la suscripción del convenio de asociación del convenio de asociación no está sujeto a un proceso competitivo cuando la Entidad Privada Sin Ánimo de Lucro comprometa recursos en dinero propio o de cooperación internacional para la ejecución de las actividades en un porcentaje no inferior al 30% del valor total del convenio. Por último, si más de una Entidad Privada Sin Ánimo de Lucro promete recursos en dinero para el desarrollo de las actividades del convenio de asociación en un porcentaje no inferior al 30% del valor total del convenio, la Entidad debe seleccionar de forma objetiva y con justificación las razones para dicha selección.</w:t>
      </w:r>
    </w:p>
    <w:p w14:paraId="300A4FB9" w14:textId="77777777" w:rsidR="00D168A2" w:rsidRDefault="00D168A2" w:rsidP="00D168A2">
      <w:pPr>
        <w:jc w:val="both"/>
        <w:rPr>
          <w:rFonts w:ascii="Verdana" w:hAnsi="Verdana" w:cs="Arial"/>
          <w:b/>
          <w:bCs/>
          <w:lang w:val="es-ES" w:eastAsia="es-ES"/>
        </w:rPr>
      </w:pPr>
    </w:p>
    <w:p w14:paraId="65771BC5" w14:textId="46E0903D" w:rsidR="00D168A2" w:rsidRDefault="00D168A2" w:rsidP="00D168A2">
      <w:pPr>
        <w:jc w:val="both"/>
        <w:rPr>
          <w:rFonts w:ascii="Verdana" w:hAnsi="Verdana" w:cs="Arial"/>
          <w:b/>
          <w:bCs/>
          <w:lang w:val="es-ES" w:eastAsia="es-ES"/>
        </w:rPr>
      </w:pPr>
      <w:r w:rsidRPr="00D168A2">
        <w:rPr>
          <w:rFonts w:ascii="Verdana" w:hAnsi="Verdana" w:cs="Arial"/>
          <w:b/>
          <w:bCs/>
          <w:lang w:val="es-ES" w:eastAsia="es-ES"/>
        </w:rPr>
        <w:lastRenderedPageBreak/>
        <w:t xml:space="preserve"> INTEGRACIÓN NORMATIVA – Convenios de asociación – Reglas</w:t>
      </w:r>
    </w:p>
    <w:p w14:paraId="6C1FA64B" w14:textId="77777777" w:rsidR="002E7E60" w:rsidRPr="002E7E60" w:rsidRDefault="002E7E60" w:rsidP="002E7E60">
      <w:pPr>
        <w:spacing w:after="120" w:line="240" w:lineRule="auto"/>
        <w:jc w:val="both"/>
        <w:rPr>
          <w:rFonts w:ascii="Verdana" w:eastAsia="Aptos" w:hAnsi="Verdana" w:cs="Arial"/>
          <w:sz w:val="20"/>
          <w:szCs w:val="20"/>
          <w:lang w:val="es-ES" w:eastAsia="es-MX"/>
        </w:rPr>
      </w:pPr>
      <w:r w:rsidRPr="002E7E60">
        <w:rPr>
          <w:rFonts w:ascii="Verdana" w:eastAsia="Aptos" w:hAnsi="Verdana" w:cs="Arial"/>
          <w:sz w:val="20"/>
          <w:szCs w:val="20"/>
          <w:lang w:val="es-ES" w:eastAsia="es-MX"/>
        </w:rPr>
        <w:t>Así, la manifestación del aporte no confiere a la ESAL que la presenta una posición preferente frente a otras entidades interesadas, ni restringe por sí misma la facultad de la Entidad Estatal de determinar el mecanismo de selección aplicable, de conformidad con las circunstancias verificadas y las exigencias normativas. En otras palabras, la manifestación del aporte constituye un elemento relevante para determinar el mecanismo de selección, pero no constituye, por sí misma, un acto de selección ni una decisión de celebrar directamente el convenio.</w:t>
      </w:r>
    </w:p>
    <w:p w14:paraId="153B70B4" w14:textId="77777777" w:rsidR="002E7E60" w:rsidRPr="002E7E60" w:rsidRDefault="002E7E60" w:rsidP="002E7E60">
      <w:pPr>
        <w:spacing w:after="120" w:line="240" w:lineRule="auto"/>
        <w:jc w:val="both"/>
        <w:rPr>
          <w:rFonts w:ascii="Verdana" w:eastAsia="Aptos" w:hAnsi="Verdana" w:cs="Arial"/>
          <w:sz w:val="20"/>
          <w:szCs w:val="20"/>
          <w:lang w:val="es-ES" w:eastAsia="es-MX"/>
        </w:rPr>
      </w:pPr>
      <w:r w:rsidRPr="002E7E60">
        <w:rPr>
          <w:rFonts w:ascii="Verdana" w:eastAsia="Aptos" w:hAnsi="Verdana" w:cs="Arial"/>
          <w:sz w:val="20"/>
          <w:szCs w:val="20"/>
          <w:lang w:val="es-ES" w:eastAsia="es-MX"/>
        </w:rPr>
        <w:t xml:space="preserve">Esta conclusión debe armonizarse con el principio de buena fe y la protección de la confianza legítima. Al respecto, el Consejo de Estado, en sentencia del 19 de agosto de 2025, expediente 25000233600020180060001, precisó que la participación en una invitación a presentar ofertas puede generar en los interesados la expectativa legítima de que el procedimiento se desarrollará conforme a las reglas previamente establecidas. La providencia destaca, por tanto, la relevancia de la conducta de la Administración y de las condiciones concretas en las que se desarrolla la etapa precontractual. </w:t>
      </w:r>
    </w:p>
    <w:p w14:paraId="245F5A9F" w14:textId="77777777" w:rsidR="002E7E60" w:rsidRPr="002E7E60" w:rsidRDefault="002E7E60" w:rsidP="002E7E60">
      <w:pPr>
        <w:spacing w:after="120" w:line="240" w:lineRule="auto"/>
        <w:jc w:val="both"/>
        <w:rPr>
          <w:rFonts w:ascii="Verdana" w:eastAsia="Aptos" w:hAnsi="Verdana" w:cs="Arial"/>
          <w:sz w:val="20"/>
          <w:szCs w:val="20"/>
          <w:lang w:val="es-ES" w:eastAsia="es-MX"/>
        </w:rPr>
      </w:pPr>
      <w:r w:rsidRPr="002E7E60">
        <w:rPr>
          <w:rFonts w:ascii="Verdana" w:eastAsia="Aptos" w:hAnsi="Verdana" w:cs="Arial"/>
          <w:sz w:val="20"/>
          <w:szCs w:val="20"/>
          <w:lang w:val="es-ES" w:eastAsia="es-MX"/>
        </w:rPr>
        <w:t>Sin embargo, dicho entendimiento no significa que toda interacción con una entidad pública genere automáticamente una expectativa jurídicamente protegible de obtener un contrato. Para establecer si existe una situación susceptible de protección, es necesario examinar las actuaciones efectivamente desplegadas por la Administración, su grado de concreción y la confianza que razonablemente pudieron generar en el interesado. En particular, debe distinguirse entre la participación en una actuación preliminar de planeación y la intervención en un procedimiento de selección cuyas reglas hayan sido formalmente establecidas.</w:t>
      </w:r>
    </w:p>
    <w:p w14:paraId="5C45A2F4" w14:textId="77777777" w:rsidR="00987173" w:rsidRDefault="00987173" w:rsidP="001C3C9B">
      <w:pPr>
        <w:spacing w:after="0"/>
        <w:rPr>
          <w:rFonts w:ascii="Verdana" w:eastAsia="Calibri" w:hAnsi="Verdana" w:cs="Times New Roman"/>
          <w:color w:val="00B0F0"/>
          <w:kern w:val="2"/>
          <w:sz w:val="20"/>
          <w:szCs w:val="20"/>
          <w:lang w:val="es-ES"/>
          <w14:ligatures w14:val="standardContextual"/>
        </w:rPr>
      </w:pPr>
    </w:p>
    <w:p w14:paraId="6F2F6115"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79614DAE"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5A25BE46"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54662391"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655FAE34"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13EB97B0"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03978786"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3E74AA03"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69969010"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341D797E"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20D7BDD9"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438EA7B3"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50F8B67E"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28B5DAD4"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7491E144"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7DB5DFC4"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1B2182F3" w14:textId="77777777" w:rsidR="002E7E60" w:rsidRDefault="002E7E60" w:rsidP="001C3C9B">
      <w:pPr>
        <w:spacing w:after="0"/>
        <w:rPr>
          <w:rFonts w:ascii="Verdana" w:eastAsia="Calibri" w:hAnsi="Verdana" w:cs="Times New Roman"/>
          <w:color w:val="00B0F0"/>
          <w:kern w:val="2"/>
          <w:sz w:val="20"/>
          <w:szCs w:val="20"/>
          <w:lang w:val="es-ES"/>
          <w14:ligatures w14:val="standardContextual"/>
        </w:rPr>
      </w:pPr>
    </w:p>
    <w:p w14:paraId="5341431D" w14:textId="77777777" w:rsidR="002E7E60" w:rsidRPr="002E7E60" w:rsidRDefault="002E7E60" w:rsidP="001C3C9B">
      <w:pPr>
        <w:spacing w:after="0"/>
        <w:rPr>
          <w:rFonts w:ascii="Verdana" w:eastAsia="Calibri" w:hAnsi="Verdana" w:cs="Times New Roman"/>
          <w:color w:val="00B0F0"/>
          <w:kern w:val="2"/>
          <w:sz w:val="20"/>
          <w:szCs w:val="20"/>
          <w:lang w:val="es-ES"/>
          <w14:ligatures w14:val="standardContextual"/>
        </w:rPr>
      </w:pPr>
    </w:p>
    <w:p w14:paraId="705EB16F" w14:textId="3C24DD96" w:rsidR="001C3C9B" w:rsidRDefault="007532A1" w:rsidP="001C3C9B">
      <w:pPr>
        <w:spacing w:after="0"/>
        <w:rPr>
          <w:rFonts w:ascii="Verdana" w:hAnsi="Verdana"/>
          <w:color w:val="000000" w:themeColor="text1"/>
        </w:rPr>
      </w:pPr>
      <w:r w:rsidRPr="007532A1">
        <w:rPr>
          <w:rFonts w:ascii="Verdana" w:hAnsi="Verdana"/>
          <w:color w:val="000000" w:themeColor="text1"/>
        </w:rPr>
        <w:lastRenderedPageBreak/>
        <w:t>Bogotá D.C., 14 Octubre 2026</w:t>
      </w:r>
    </w:p>
    <w:p w14:paraId="7D06E50B" w14:textId="6D55A951" w:rsidR="007532A1" w:rsidRPr="00C96899" w:rsidRDefault="002F69F7" w:rsidP="001C3C9B">
      <w:pPr>
        <w:spacing w:after="0"/>
        <w:rPr>
          <w:rFonts w:ascii="Verdana" w:hAnsi="Verdana"/>
        </w:rPr>
      </w:pPr>
      <w:r>
        <w:rPr>
          <w:rFonts w:ascii="Verdana" w:hAnsi="Verdana"/>
          <w:noProof/>
        </w:rPr>
        <w:drawing>
          <wp:anchor distT="0" distB="0" distL="114300" distR="114300" simplePos="0" relativeHeight="251660288" behindDoc="0" locked="0" layoutInCell="1" allowOverlap="1" wp14:anchorId="6506B7CB" wp14:editId="4B839056">
            <wp:simplePos x="0" y="0"/>
            <wp:positionH relativeFrom="margin">
              <wp:posOffset>3304544</wp:posOffset>
            </wp:positionH>
            <wp:positionV relativeFrom="margin">
              <wp:posOffset>291710</wp:posOffset>
            </wp:positionV>
            <wp:extent cx="2341607" cy="661574"/>
            <wp:effectExtent l="0" t="0" r="0" b="0"/>
            <wp:wrapSquare wrapText="bothSides"/>
            <wp:docPr id="15717896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89680" name="Imagen 15717896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1607" cy="661574"/>
                    </a:xfrm>
                    <a:prstGeom prst="rect">
                      <a:avLst/>
                    </a:prstGeom>
                  </pic:spPr>
                </pic:pic>
              </a:graphicData>
            </a:graphic>
          </wp:anchor>
        </w:drawing>
      </w:r>
    </w:p>
    <w:p w14:paraId="0362AF0F" w14:textId="77777777" w:rsidR="005E6A7D" w:rsidRPr="00CC147F" w:rsidRDefault="001C3C9B" w:rsidP="001C3C9B">
      <w:pPr>
        <w:spacing w:after="0" w:line="276" w:lineRule="auto"/>
        <w:rPr>
          <w:rFonts w:ascii="Verdana" w:eastAsia="Calibri" w:hAnsi="Verdana" w:cs="Arial"/>
          <w:lang w:val="es-ES" w:eastAsia="es-ES"/>
        </w:rPr>
      </w:pPr>
      <w:r w:rsidRPr="00CC147F">
        <w:rPr>
          <w:rFonts w:ascii="Verdana" w:eastAsia="Calibri" w:hAnsi="Verdana" w:cs="Arial"/>
          <w:lang w:val="es-ES" w:eastAsia="es-ES"/>
        </w:rPr>
        <w:t>Señor</w:t>
      </w:r>
      <w:r w:rsidR="00A422A1" w:rsidRPr="00CC147F">
        <w:rPr>
          <w:rFonts w:ascii="Verdana" w:eastAsia="Calibri" w:hAnsi="Verdana" w:cs="Arial"/>
          <w:lang w:val="es-ES" w:eastAsia="es-ES"/>
        </w:rPr>
        <w:t xml:space="preserve"> </w:t>
      </w:r>
    </w:p>
    <w:p w14:paraId="0B307AAF" w14:textId="7666FCF4" w:rsidR="001C3C9B" w:rsidRPr="00C96899" w:rsidRDefault="00706001" w:rsidP="001C3C9B">
      <w:pPr>
        <w:spacing w:after="0" w:line="276" w:lineRule="auto"/>
        <w:rPr>
          <w:rFonts w:ascii="Verdana" w:eastAsia="Calibri" w:hAnsi="Verdana" w:cs="Arial"/>
          <w:b/>
          <w:bCs/>
          <w:lang w:val="es-ES" w:eastAsia="es-ES"/>
        </w:rPr>
      </w:pPr>
      <w:r w:rsidRPr="00C96899">
        <w:rPr>
          <w:rFonts w:ascii="Verdana" w:eastAsia="Calibri" w:hAnsi="Verdana" w:cs="Arial"/>
          <w:b/>
          <w:bCs/>
          <w:lang w:val="es-ES" w:eastAsia="es-ES"/>
        </w:rPr>
        <w:t>Juan Sebastián Olaya Perdomo</w:t>
      </w:r>
    </w:p>
    <w:p w14:paraId="37C21B1B" w14:textId="1216B167" w:rsidR="00911A20" w:rsidRPr="00C96899" w:rsidRDefault="00DD68C3" w:rsidP="001C3C9B">
      <w:pPr>
        <w:spacing w:after="0" w:line="276" w:lineRule="auto"/>
        <w:rPr>
          <w:rFonts w:ascii="Verdana" w:hAnsi="Verdana"/>
        </w:rPr>
      </w:pPr>
      <w:hyperlink r:id="rId12" w:history="1">
        <w:r w:rsidRPr="00C96899">
          <w:rPr>
            <w:rStyle w:val="Hipervnculo"/>
            <w:rFonts w:ascii="Verdana" w:hAnsi="Verdana"/>
          </w:rPr>
          <w:t>juanseolaya@gmail.com</w:t>
        </w:r>
      </w:hyperlink>
    </w:p>
    <w:p w14:paraId="414D5EFB" w14:textId="2A75209A" w:rsidR="001C3C9B" w:rsidRPr="00C96899" w:rsidRDefault="00DD68C3" w:rsidP="001C3C9B">
      <w:pPr>
        <w:spacing w:after="0" w:line="276" w:lineRule="auto"/>
        <w:rPr>
          <w:rFonts w:ascii="Verdana" w:eastAsia="Calibri" w:hAnsi="Verdana" w:cs="Arial"/>
          <w:b/>
          <w:bCs/>
          <w:color w:val="66CCFF"/>
          <w:lang w:val="es-ES_tradnl" w:eastAsia="es-ES_tradnl"/>
        </w:rPr>
      </w:pPr>
      <w:r w:rsidRPr="00C96899">
        <w:rPr>
          <w:rFonts w:ascii="Verdana" w:hAnsi="Verdana"/>
          <w:lang w:val="es-ES"/>
        </w:rPr>
        <w:t>Cali, Valle del Cauca</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1C3C9B" w:rsidRPr="00C96899" w14:paraId="66794F11" w14:textId="77777777" w:rsidTr="00E03CAE">
        <w:trPr>
          <w:trHeight w:val="463"/>
        </w:trPr>
        <w:tc>
          <w:tcPr>
            <w:tcW w:w="3261" w:type="dxa"/>
          </w:tcPr>
          <w:p w14:paraId="504199F3" w14:textId="77777777" w:rsidR="001C3C9B" w:rsidRPr="00C96899" w:rsidRDefault="001C3C9B" w:rsidP="00E03CAE">
            <w:pPr>
              <w:spacing w:line="276" w:lineRule="auto"/>
              <w:jc w:val="both"/>
              <w:rPr>
                <w:rFonts w:ascii="Verdana" w:eastAsia="Calibri" w:hAnsi="Verdana" w:cs="Arial"/>
                <w:b/>
                <w:bCs/>
                <w:color w:val="66CCFF"/>
                <w:lang w:val="es-ES_tradnl" w:eastAsia="es-ES_tradnl"/>
              </w:rPr>
            </w:pPr>
          </w:p>
        </w:tc>
        <w:tc>
          <w:tcPr>
            <w:tcW w:w="5972" w:type="dxa"/>
            <w:hideMark/>
          </w:tcPr>
          <w:p w14:paraId="7FBBE626" w14:textId="005A2112" w:rsidR="001C3C9B" w:rsidRPr="00C96899" w:rsidRDefault="001C3C9B" w:rsidP="00E03CAE">
            <w:pPr>
              <w:spacing w:line="276" w:lineRule="auto"/>
              <w:jc w:val="both"/>
              <w:rPr>
                <w:rFonts w:ascii="Verdana" w:eastAsia="Calibri" w:hAnsi="Verdana" w:cs="Arial"/>
                <w:b/>
                <w:bCs/>
                <w:lang w:val="es-ES" w:eastAsia="es-ES"/>
              </w:rPr>
            </w:pPr>
            <w:r w:rsidRPr="00C96899">
              <w:rPr>
                <w:rFonts w:ascii="Verdana" w:eastAsia="Calibri" w:hAnsi="Verdana" w:cs="Arial"/>
                <w:b/>
                <w:bCs/>
                <w:lang w:val="es-ES" w:eastAsia="es-ES"/>
              </w:rPr>
              <w:t xml:space="preserve">Concepto C – </w:t>
            </w:r>
            <w:r w:rsidR="001C5FDC" w:rsidRPr="00C96899">
              <w:rPr>
                <w:rFonts w:ascii="Verdana" w:eastAsia="Calibri" w:hAnsi="Verdana" w:cs="Arial"/>
                <w:b/>
                <w:bCs/>
                <w:lang w:val="es-ES" w:eastAsia="es-ES"/>
              </w:rPr>
              <w:t>1</w:t>
            </w:r>
            <w:r w:rsidR="001636BB" w:rsidRPr="00C96899">
              <w:rPr>
                <w:rFonts w:ascii="Verdana" w:eastAsia="Calibri" w:hAnsi="Verdana" w:cs="Arial"/>
                <w:b/>
                <w:bCs/>
                <w:lang w:val="es-ES" w:eastAsia="es-ES"/>
              </w:rPr>
              <w:t>378</w:t>
            </w:r>
            <w:r w:rsidRPr="00C96899">
              <w:rPr>
                <w:rFonts w:ascii="Verdana" w:eastAsia="Calibri" w:hAnsi="Verdana" w:cs="Arial"/>
                <w:b/>
                <w:bCs/>
                <w:lang w:val="es-ES" w:eastAsia="es-ES"/>
              </w:rPr>
              <w:t xml:space="preserve"> de 2026</w:t>
            </w:r>
          </w:p>
        </w:tc>
      </w:tr>
      <w:tr w:rsidR="001C3C9B" w:rsidRPr="00C96899" w14:paraId="2244370E" w14:textId="77777777" w:rsidTr="00E03CAE">
        <w:trPr>
          <w:trHeight w:val="2385"/>
        </w:trPr>
        <w:tc>
          <w:tcPr>
            <w:tcW w:w="3261" w:type="dxa"/>
            <w:hideMark/>
          </w:tcPr>
          <w:p w14:paraId="56DB2467" w14:textId="77777777" w:rsidR="001C3C9B" w:rsidRPr="00C96899" w:rsidRDefault="001C3C9B" w:rsidP="00E03CAE">
            <w:pPr>
              <w:spacing w:line="276" w:lineRule="auto"/>
              <w:jc w:val="both"/>
              <w:rPr>
                <w:rFonts w:ascii="Verdana" w:eastAsia="Calibri" w:hAnsi="Verdana" w:cs="Arial"/>
                <w:lang w:val="es-ES_tradnl" w:eastAsia="es-ES_tradnl"/>
              </w:rPr>
            </w:pPr>
            <w:r w:rsidRPr="00C96899">
              <w:rPr>
                <w:rFonts w:ascii="Verdana" w:eastAsia="Calibri" w:hAnsi="Verdana" w:cs="Arial"/>
                <w:b/>
                <w:lang w:val="es-ES_tradnl" w:eastAsia="es-ES_tradnl"/>
              </w:rPr>
              <w:t>Temas:</w:t>
            </w:r>
            <w:r w:rsidRPr="00C96899">
              <w:rPr>
                <w:rFonts w:ascii="Verdana" w:eastAsia="Calibri" w:hAnsi="Verdana" w:cs="Arial"/>
                <w:lang w:val="es-ES_tradnl" w:eastAsia="es-ES_tradnl"/>
              </w:rPr>
              <w:t xml:space="preserve">                  </w:t>
            </w:r>
          </w:p>
        </w:tc>
        <w:tc>
          <w:tcPr>
            <w:tcW w:w="5972" w:type="dxa"/>
          </w:tcPr>
          <w:p w14:paraId="242A9440" w14:textId="77777777" w:rsidR="001C3C9B" w:rsidRDefault="00F736CD" w:rsidP="001636BB">
            <w:pPr>
              <w:jc w:val="both"/>
              <w:rPr>
                <w:rFonts w:ascii="Verdana" w:hAnsi="Verdana" w:cs="Arial"/>
                <w:lang w:val="es-ES" w:eastAsia="es-ES"/>
              </w:rPr>
            </w:pPr>
            <w:r w:rsidRPr="00C96899">
              <w:rPr>
                <w:rFonts w:ascii="Verdana" w:hAnsi="Verdana" w:cs="Arial"/>
                <w:lang w:eastAsia="es-ES"/>
              </w:rPr>
              <w:t xml:space="preserve">CONVENIOS DE ASOCIACIÓN – Artículo 5 del Decreto 092 de 2017 – Artículo 96 de la Ley 489 de 1998 – Requisitos </w:t>
            </w:r>
            <w:r w:rsidRPr="00C96899">
              <w:rPr>
                <w:rFonts w:ascii="Verdana" w:hAnsi="Verdana" w:cs="Arial"/>
                <w:lang w:val="es-ES" w:eastAsia="es-ES"/>
              </w:rPr>
              <w:t>/ CONVENIOS DE ASOCIACIÓN – Requisitos – Nueva Guía para la contratación con Entidades Sin Ánimo de Lucro y reconocida idoneidad / INTEGRACIÓN NORMATIVA – Convenios de asociación – Reglas</w:t>
            </w:r>
          </w:p>
          <w:p w14:paraId="03FDCF94" w14:textId="77777777" w:rsidR="002E7E60" w:rsidRDefault="002E7E60" w:rsidP="001636BB">
            <w:pPr>
              <w:jc w:val="both"/>
              <w:rPr>
                <w:rFonts w:ascii="Verdana" w:eastAsia="Calibri" w:hAnsi="Verdana" w:cs="Times New Roman"/>
                <w:lang w:eastAsia="es-MX"/>
              </w:rPr>
            </w:pPr>
          </w:p>
          <w:p w14:paraId="779B777F" w14:textId="46DF3681" w:rsidR="002E7E60" w:rsidRPr="00C96899" w:rsidRDefault="002E7E60" w:rsidP="001636BB">
            <w:pPr>
              <w:jc w:val="both"/>
              <w:rPr>
                <w:rFonts w:ascii="Verdana" w:eastAsia="Calibri" w:hAnsi="Verdana" w:cs="Times New Roman"/>
                <w:lang w:eastAsia="es-MX"/>
              </w:rPr>
            </w:pPr>
          </w:p>
        </w:tc>
      </w:tr>
      <w:tr w:rsidR="001C3C9B" w:rsidRPr="00C96899" w14:paraId="0FB1E0B8" w14:textId="77777777" w:rsidTr="00E03CAE">
        <w:trPr>
          <w:trHeight w:val="597"/>
        </w:trPr>
        <w:tc>
          <w:tcPr>
            <w:tcW w:w="3261" w:type="dxa"/>
            <w:hideMark/>
          </w:tcPr>
          <w:p w14:paraId="2E00D31A" w14:textId="77777777" w:rsidR="001C3C9B" w:rsidRPr="00C96899" w:rsidRDefault="001C3C9B" w:rsidP="00E03CAE">
            <w:pPr>
              <w:spacing w:line="276" w:lineRule="auto"/>
              <w:jc w:val="both"/>
              <w:rPr>
                <w:rFonts w:ascii="Verdana" w:eastAsia="Calibri" w:hAnsi="Verdana" w:cs="Arial"/>
                <w:b/>
                <w:lang w:val="es-ES_tradnl" w:eastAsia="es-ES_tradnl"/>
              </w:rPr>
            </w:pPr>
            <w:r w:rsidRPr="00C96899">
              <w:rPr>
                <w:rFonts w:ascii="Verdana" w:eastAsia="Calibri" w:hAnsi="Verdana" w:cs="Arial"/>
                <w:b/>
                <w:lang w:val="es-ES_tradnl" w:eastAsia="es-ES_tradnl"/>
              </w:rPr>
              <w:t xml:space="preserve">Radicación:               </w:t>
            </w:r>
          </w:p>
        </w:tc>
        <w:tc>
          <w:tcPr>
            <w:tcW w:w="5972" w:type="dxa"/>
          </w:tcPr>
          <w:p w14:paraId="1292401A" w14:textId="6131F36B" w:rsidR="001C3C9B" w:rsidRPr="00C96899" w:rsidRDefault="001C3C9B" w:rsidP="00E03CAE">
            <w:pPr>
              <w:spacing w:line="276" w:lineRule="auto"/>
              <w:jc w:val="both"/>
              <w:rPr>
                <w:rFonts w:ascii="Verdana" w:eastAsia="Calibri" w:hAnsi="Verdana" w:cs="Arial"/>
                <w:bCs/>
                <w:lang w:eastAsia="es-ES_tradnl"/>
              </w:rPr>
            </w:pPr>
            <w:r w:rsidRPr="00C96899">
              <w:rPr>
                <w:rFonts w:ascii="Verdana" w:eastAsia="Calibri" w:hAnsi="Verdana" w:cs="Arial"/>
                <w:bCs/>
                <w:lang w:val="es-ES_tradnl" w:eastAsia="es-ES_tradnl"/>
              </w:rPr>
              <w:t>Respuesta a</w:t>
            </w:r>
            <w:r w:rsidR="00A07EA1" w:rsidRPr="00C96899">
              <w:rPr>
                <w:rFonts w:ascii="Verdana" w:eastAsia="Calibri" w:hAnsi="Verdana" w:cs="Arial"/>
                <w:bCs/>
                <w:lang w:val="es-ES_tradnl" w:eastAsia="es-ES_tradnl"/>
              </w:rPr>
              <w:t xml:space="preserve"> las consultas</w:t>
            </w:r>
            <w:r w:rsidRPr="00C96899">
              <w:rPr>
                <w:rFonts w:ascii="Verdana" w:eastAsia="Calibri" w:hAnsi="Verdana" w:cs="Arial"/>
                <w:bCs/>
                <w:lang w:val="es-ES_tradnl" w:eastAsia="es-ES_tradnl"/>
              </w:rPr>
              <w:t xml:space="preserve"> con radicado </w:t>
            </w:r>
            <w:r w:rsidRPr="00C96899">
              <w:rPr>
                <w:rFonts w:ascii="Verdana" w:eastAsia="Calibri" w:hAnsi="Verdana" w:cs="Arial"/>
                <w:bCs/>
                <w:lang w:eastAsia="es-ES_tradnl"/>
              </w:rPr>
              <w:t xml:space="preserve">No. </w:t>
            </w:r>
            <w:r w:rsidR="00BF4EB9" w:rsidRPr="00C96899">
              <w:rPr>
                <w:rFonts w:ascii="Verdana" w:eastAsia="Calibri" w:hAnsi="Verdana" w:cs="Arial"/>
                <w:b/>
                <w:bCs/>
                <w:lang w:eastAsia="es-ES_tradnl"/>
              </w:rPr>
              <w:t>1_2026_09_02_011671</w:t>
            </w:r>
          </w:p>
        </w:tc>
      </w:tr>
    </w:tbl>
    <w:p w14:paraId="360699F5" w14:textId="77777777" w:rsidR="001C3C9B" w:rsidRPr="00C96899" w:rsidRDefault="001C3C9B" w:rsidP="001C3C9B">
      <w:pPr>
        <w:spacing w:after="0" w:line="276" w:lineRule="auto"/>
        <w:jc w:val="both"/>
        <w:rPr>
          <w:rFonts w:ascii="Verdana" w:eastAsia="Calibri" w:hAnsi="Verdana" w:cs="Arial"/>
          <w:bCs/>
          <w:lang w:val="es-ES_tradnl" w:eastAsia="es-ES_tradnl"/>
        </w:rPr>
      </w:pPr>
    </w:p>
    <w:p w14:paraId="364D1ECD" w14:textId="24789469" w:rsidR="001C3C9B" w:rsidRPr="00C96899" w:rsidRDefault="001C3C9B" w:rsidP="001C3C9B">
      <w:pPr>
        <w:spacing w:after="0" w:line="276" w:lineRule="auto"/>
        <w:jc w:val="both"/>
        <w:rPr>
          <w:rFonts w:ascii="Verdana" w:eastAsia="Calibri" w:hAnsi="Verdana" w:cs="Arial"/>
          <w:bCs/>
          <w:lang w:val="es-ES" w:eastAsia="es-ES"/>
        </w:rPr>
      </w:pPr>
      <w:r w:rsidRPr="00C96899">
        <w:rPr>
          <w:rFonts w:ascii="Verdana" w:eastAsia="Calibri" w:hAnsi="Verdana" w:cs="Arial"/>
          <w:bCs/>
          <w:lang w:val="es-ES" w:eastAsia="es-ES"/>
        </w:rPr>
        <w:t>Estimad</w:t>
      </w:r>
      <w:r w:rsidR="00911A20" w:rsidRPr="00C96899">
        <w:rPr>
          <w:rFonts w:ascii="Verdana" w:eastAsia="Calibri" w:hAnsi="Verdana" w:cs="Arial"/>
          <w:bCs/>
          <w:lang w:val="es-ES" w:eastAsia="es-ES"/>
        </w:rPr>
        <w:t xml:space="preserve">o señor </w:t>
      </w:r>
      <w:r w:rsidR="00BF4EB9" w:rsidRPr="00C96899">
        <w:rPr>
          <w:rFonts w:ascii="Verdana" w:eastAsia="Calibri" w:hAnsi="Verdana" w:cs="Arial"/>
          <w:bCs/>
          <w:lang w:val="es-ES" w:eastAsia="es-ES"/>
        </w:rPr>
        <w:t>Juan Sebastián</w:t>
      </w:r>
      <w:r w:rsidR="00F736CD" w:rsidRPr="00C96899">
        <w:rPr>
          <w:rFonts w:ascii="Verdana" w:eastAsia="Calibri" w:hAnsi="Verdana" w:cs="Arial"/>
          <w:bCs/>
          <w:lang w:val="es-ES" w:eastAsia="es-ES"/>
        </w:rPr>
        <w:t>, cordial saludo</w:t>
      </w:r>
      <w:r w:rsidRPr="00C96899">
        <w:rPr>
          <w:rFonts w:ascii="Verdana" w:eastAsia="Calibri" w:hAnsi="Verdana" w:cs="Arial"/>
          <w:bCs/>
          <w:lang w:val="es-ES" w:eastAsia="es-ES"/>
        </w:rPr>
        <w:t xml:space="preserve">:  </w:t>
      </w:r>
    </w:p>
    <w:p w14:paraId="47A36D4C" w14:textId="77777777" w:rsidR="001C3C9B" w:rsidRPr="00C96899" w:rsidRDefault="001C3C9B" w:rsidP="001C3C9B">
      <w:pPr>
        <w:tabs>
          <w:tab w:val="left" w:pos="3768"/>
        </w:tabs>
        <w:spacing w:after="0" w:line="276" w:lineRule="auto"/>
        <w:jc w:val="both"/>
        <w:rPr>
          <w:rFonts w:ascii="Verdana" w:eastAsia="Calibri" w:hAnsi="Verdana" w:cs="Arial"/>
          <w:bCs/>
          <w:lang w:val="es-ES" w:eastAsia="es-ES"/>
        </w:rPr>
      </w:pPr>
      <w:r w:rsidRPr="00C96899">
        <w:rPr>
          <w:rFonts w:ascii="Verdana" w:eastAsia="Calibri" w:hAnsi="Verdana" w:cs="Arial"/>
          <w:bCs/>
          <w:lang w:val="es-ES" w:eastAsia="es-ES"/>
        </w:rPr>
        <w:tab/>
      </w:r>
    </w:p>
    <w:p w14:paraId="63A4D9BE" w14:textId="5BC31447" w:rsidR="001C3C9B" w:rsidRPr="00C96899" w:rsidRDefault="001C3C9B" w:rsidP="001C3C9B">
      <w:pPr>
        <w:spacing w:after="0" w:line="276" w:lineRule="auto"/>
        <w:jc w:val="both"/>
        <w:rPr>
          <w:rFonts w:ascii="Verdana" w:eastAsia="Calibri" w:hAnsi="Verdana" w:cs="Arial"/>
          <w:lang w:val="es-ES" w:eastAsia="es-ES"/>
        </w:rPr>
      </w:pPr>
      <w:r w:rsidRPr="00C96899">
        <w:rPr>
          <w:rFonts w:ascii="Verdana" w:eastAsia="Calibri" w:hAnsi="Verdana" w:cs="Arial"/>
          <w:lang w:val="es-ES" w:eastAsia="es-ES"/>
        </w:rPr>
        <w:t>En ejercicio de la competencia otorgada por los artículos 3, numeral 5º, y 11, numeral 8º, del Decreto Ley 4170 de 2011,</w:t>
      </w:r>
      <w:r w:rsidRPr="00C96899">
        <w:rPr>
          <w:rFonts w:ascii="Verdana" w:eastAsia="Arial MT" w:hAnsi="Verdana" w:cs="Arial MT"/>
          <w:lang w:val="es-ES" w:eastAsia="es-ES"/>
        </w:rPr>
        <w:t xml:space="preserve"> </w:t>
      </w:r>
      <w:r w:rsidRPr="00C96899">
        <w:rPr>
          <w:rFonts w:ascii="Verdana" w:eastAsia="Calibri" w:hAnsi="Verdana" w:cs="Arial"/>
        </w:rPr>
        <w:t xml:space="preserve">así como lo establecido en el artículo 4 de la Resolución 1707 de 2018 expedida por esta Entidad, </w:t>
      </w:r>
      <w:r w:rsidRPr="00C96899">
        <w:rPr>
          <w:rFonts w:ascii="Verdana" w:eastAsia="Calibri" w:hAnsi="Verdana" w:cs="Arial"/>
          <w:lang w:val="es-ES" w:eastAsia="es-ES"/>
        </w:rPr>
        <w:t xml:space="preserve">la Agencia Nacional de Contratación Pública –Colombia Compra Eficiente– responde su solicitud de consulta de fecha </w:t>
      </w:r>
      <w:r w:rsidR="00BF4EB9" w:rsidRPr="00C96899">
        <w:rPr>
          <w:rFonts w:ascii="Verdana" w:eastAsia="Calibri" w:hAnsi="Verdana" w:cs="Arial"/>
          <w:lang w:val="es-ES" w:eastAsia="es-ES"/>
        </w:rPr>
        <w:t>02</w:t>
      </w:r>
      <w:r w:rsidR="00E4588F" w:rsidRPr="00C96899">
        <w:rPr>
          <w:rFonts w:ascii="Verdana" w:eastAsia="Calibri" w:hAnsi="Verdana" w:cs="Arial"/>
          <w:lang w:val="es-ES" w:eastAsia="es-ES"/>
        </w:rPr>
        <w:t xml:space="preserve"> de </w:t>
      </w:r>
      <w:r w:rsidR="00BF4EB9" w:rsidRPr="00C96899">
        <w:rPr>
          <w:rFonts w:ascii="Verdana" w:eastAsia="Calibri" w:hAnsi="Verdana" w:cs="Arial"/>
          <w:lang w:val="es-ES" w:eastAsia="es-ES"/>
        </w:rPr>
        <w:t>septiembre</w:t>
      </w:r>
      <w:r w:rsidRPr="00C96899">
        <w:rPr>
          <w:rFonts w:ascii="Verdana" w:eastAsia="Calibri" w:hAnsi="Verdana" w:cs="Arial"/>
          <w:lang w:val="es-ES" w:eastAsia="es-ES"/>
        </w:rPr>
        <w:t xml:space="preserve"> de 2026, en la cual manifiesta lo siguiente: </w:t>
      </w:r>
      <w:bookmarkStart w:id="0" w:name="_Hlk95313578"/>
    </w:p>
    <w:p w14:paraId="464245C2" w14:textId="77777777" w:rsidR="001C3C9B" w:rsidRPr="00C96899" w:rsidRDefault="001C3C9B" w:rsidP="001C3C9B">
      <w:pPr>
        <w:spacing w:after="0" w:line="276" w:lineRule="auto"/>
        <w:jc w:val="both"/>
        <w:rPr>
          <w:rFonts w:ascii="Verdana" w:eastAsia="Calibri" w:hAnsi="Verdana" w:cs="Arial"/>
          <w:bCs/>
          <w:lang w:val="es-ES" w:eastAsia="es-ES"/>
        </w:rPr>
      </w:pPr>
    </w:p>
    <w:bookmarkEnd w:id="0"/>
    <w:p w14:paraId="777B075A" w14:textId="77777777" w:rsidR="001C3C9B" w:rsidRPr="00C96899" w:rsidRDefault="001C3C9B" w:rsidP="001C3C9B">
      <w:pPr>
        <w:spacing w:after="0" w:line="240" w:lineRule="auto"/>
        <w:ind w:left="709" w:right="709"/>
        <w:jc w:val="both"/>
        <w:rPr>
          <w:rFonts w:ascii="Verdana" w:eastAsia="Calibri" w:hAnsi="Verdana" w:cs="Arial"/>
          <w:i/>
          <w:iCs/>
          <w:sz w:val="20"/>
          <w:szCs w:val="20"/>
          <w:lang w:val="es-ES" w:eastAsia="es-ES"/>
        </w:rPr>
      </w:pPr>
      <w:r w:rsidRPr="00C96899">
        <w:rPr>
          <w:rFonts w:ascii="Verdana" w:eastAsia="Calibri" w:hAnsi="Verdana" w:cs="Arial"/>
          <w:i/>
          <w:iCs/>
          <w:sz w:val="20"/>
          <w:szCs w:val="20"/>
          <w:lang w:val="es-ES" w:eastAsia="es-ES"/>
        </w:rPr>
        <w:t>“(…)</w:t>
      </w:r>
    </w:p>
    <w:p w14:paraId="45D60CC5" w14:textId="77777777" w:rsidR="001C3C9B" w:rsidRPr="00C96899" w:rsidRDefault="001C3C9B" w:rsidP="00E4588F">
      <w:pPr>
        <w:spacing w:after="0" w:line="240" w:lineRule="auto"/>
        <w:ind w:left="709" w:right="709"/>
        <w:jc w:val="both"/>
        <w:rPr>
          <w:rFonts w:ascii="Verdana" w:eastAsia="Calibri" w:hAnsi="Verdana" w:cs="Arial"/>
          <w:i/>
          <w:iCs/>
          <w:sz w:val="20"/>
          <w:szCs w:val="20"/>
          <w:lang w:val="es-ES" w:eastAsia="es-ES"/>
        </w:rPr>
      </w:pPr>
    </w:p>
    <w:p w14:paraId="467E3AF9" w14:textId="77777777" w:rsidR="00737AEE" w:rsidRPr="00C96899" w:rsidRDefault="00737AEE" w:rsidP="00E4588F">
      <w:pPr>
        <w:spacing w:after="0" w:line="240" w:lineRule="auto"/>
        <w:ind w:left="709" w:right="709"/>
        <w:jc w:val="both"/>
        <w:rPr>
          <w:rFonts w:ascii="Verdana" w:eastAsia="Calibri" w:hAnsi="Verdana" w:cs="Arial"/>
          <w:i/>
          <w:iCs/>
          <w:sz w:val="20"/>
          <w:szCs w:val="20"/>
          <w:lang w:val="es-ES" w:eastAsia="es-ES"/>
        </w:rPr>
      </w:pPr>
    </w:p>
    <w:p w14:paraId="663A1B27" w14:textId="77777777" w:rsidR="00ED1E0F" w:rsidRPr="00C96899" w:rsidRDefault="00ED1E0F" w:rsidP="00E4588F">
      <w:pPr>
        <w:spacing w:after="0" w:line="240" w:lineRule="auto"/>
        <w:ind w:left="709" w:right="709"/>
        <w:jc w:val="both"/>
        <w:rPr>
          <w:rFonts w:ascii="Verdana" w:eastAsia="Calibri" w:hAnsi="Verdana" w:cs="Arial"/>
          <w:i/>
          <w:iCs/>
          <w:sz w:val="20"/>
          <w:szCs w:val="20"/>
          <w:lang w:eastAsia="es-ES"/>
        </w:rPr>
      </w:pPr>
      <w:r w:rsidRPr="00C96899">
        <w:rPr>
          <w:rFonts w:ascii="Verdana" w:eastAsia="Calibri" w:hAnsi="Verdana" w:cs="Arial"/>
          <w:i/>
          <w:iCs/>
          <w:sz w:val="20"/>
          <w:szCs w:val="20"/>
          <w:lang w:eastAsia="es-ES"/>
        </w:rPr>
        <w:t xml:space="preserve">El artículo 5 del Decreto 092 de 2017 permite celebrar el convenio de asociación sin proceso competitivo cuando la entidad privada sin ánimo de lucro compromete recursos en dinero en proporción no inferior al 30% del valor total, y exige selección objetiva si más de una ofrece ese compromiso. Para identificar interesadas, las Entidades Estatales suelen publicar en el SECOP II una solicitud de información a proveedores, que constituye una fase de planeación y no un proceso de contratación. Se consulta: </w:t>
      </w:r>
    </w:p>
    <w:p w14:paraId="09921035" w14:textId="77777777" w:rsidR="00ED1E0F" w:rsidRPr="00C96899" w:rsidRDefault="00ED1E0F" w:rsidP="00E4588F">
      <w:pPr>
        <w:spacing w:after="0" w:line="240" w:lineRule="auto"/>
        <w:ind w:left="709" w:right="709"/>
        <w:jc w:val="both"/>
        <w:rPr>
          <w:rFonts w:ascii="Verdana" w:eastAsia="Calibri" w:hAnsi="Verdana" w:cs="Arial"/>
          <w:i/>
          <w:iCs/>
          <w:sz w:val="20"/>
          <w:szCs w:val="20"/>
          <w:lang w:eastAsia="es-ES"/>
        </w:rPr>
      </w:pPr>
    </w:p>
    <w:p w14:paraId="4C1FF45D" w14:textId="77777777" w:rsidR="00ED1E0F" w:rsidRPr="00C96899" w:rsidRDefault="00ED1E0F" w:rsidP="00E4588F">
      <w:pPr>
        <w:spacing w:after="0" w:line="240" w:lineRule="auto"/>
        <w:ind w:left="709" w:right="709"/>
        <w:jc w:val="both"/>
        <w:rPr>
          <w:rFonts w:ascii="Verdana" w:eastAsia="Calibri" w:hAnsi="Verdana" w:cs="Arial"/>
          <w:i/>
          <w:iCs/>
          <w:sz w:val="20"/>
          <w:szCs w:val="20"/>
          <w:lang w:eastAsia="es-ES"/>
        </w:rPr>
      </w:pPr>
      <w:r w:rsidRPr="00C96899">
        <w:rPr>
          <w:rFonts w:ascii="Verdana" w:eastAsia="Calibri" w:hAnsi="Verdana" w:cs="Arial"/>
          <w:i/>
          <w:iCs/>
          <w:sz w:val="20"/>
          <w:szCs w:val="20"/>
          <w:lang w:eastAsia="es-ES"/>
        </w:rPr>
        <w:lastRenderedPageBreak/>
        <w:t xml:space="preserve">1. ¿La manifestación de una ESAL, formulada al responder esa solicitud de información, de comprometer recursos en dinero por el 30%, es vinculante para la Entidad Estatal? </w:t>
      </w:r>
    </w:p>
    <w:p w14:paraId="55C8269B" w14:textId="77777777" w:rsidR="00ED1E0F" w:rsidRPr="00C96899" w:rsidRDefault="00ED1E0F" w:rsidP="00E4588F">
      <w:pPr>
        <w:spacing w:after="0" w:line="240" w:lineRule="auto"/>
        <w:ind w:left="709" w:right="709"/>
        <w:jc w:val="both"/>
        <w:rPr>
          <w:rFonts w:ascii="Verdana" w:eastAsia="Calibri" w:hAnsi="Verdana" w:cs="Arial"/>
          <w:i/>
          <w:iCs/>
          <w:sz w:val="20"/>
          <w:szCs w:val="20"/>
          <w:lang w:eastAsia="es-ES"/>
        </w:rPr>
      </w:pPr>
    </w:p>
    <w:p w14:paraId="4D2E085A" w14:textId="77777777" w:rsidR="00ED1E0F" w:rsidRPr="00C96899" w:rsidRDefault="00ED1E0F" w:rsidP="00E4588F">
      <w:pPr>
        <w:spacing w:after="0" w:line="240" w:lineRule="auto"/>
        <w:ind w:left="709" w:right="709"/>
        <w:jc w:val="both"/>
        <w:rPr>
          <w:rFonts w:ascii="Verdana" w:eastAsia="Calibri" w:hAnsi="Verdana" w:cs="Arial"/>
          <w:i/>
          <w:iCs/>
          <w:sz w:val="20"/>
          <w:szCs w:val="20"/>
          <w:lang w:eastAsia="es-ES"/>
        </w:rPr>
      </w:pPr>
      <w:r w:rsidRPr="00C96899">
        <w:rPr>
          <w:rFonts w:ascii="Verdana" w:eastAsia="Calibri" w:hAnsi="Verdana" w:cs="Arial"/>
          <w:i/>
          <w:iCs/>
          <w:sz w:val="20"/>
          <w:szCs w:val="20"/>
          <w:lang w:eastAsia="es-ES"/>
        </w:rPr>
        <w:t xml:space="preserve">2. ¿Obliga a celebrar el convenio sin proceso competitivo o puede la Entidad Estatal, pese a ella, adelantar un proceso competitivo de selección? </w:t>
      </w:r>
    </w:p>
    <w:p w14:paraId="67D97294" w14:textId="77777777" w:rsidR="00ED1E0F" w:rsidRPr="00C96899" w:rsidRDefault="00ED1E0F" w:rsidP="00E4588F">
      <w:pPr>
        <w:spacing w:after="0" w:line="240" w:lineRule="auto"/>
        <w:ind w:left="709" w:right="709"/>
        <w:jc w:val="both"/>
        <w:rPr>
          <w:rFonts w:ascii="Verdana" w:eastAsia="Calibri" w:hAnsi="Verdana" w:cs="Arial"/>
          <w:i/>
          <w:iCs/>
          <w:sz w:val="20"/>
          <w:szCs w:val="20"/>
          <w:lang w:eastAsia="es-ES"/>
        </w:rPr>
      </w:pPr>
    </w:p>
    <w:p w14:paraId="79FD7BE6" w14:textId="2348C7AF" w:rsidR="001C3C9B" w:rsidRPr="00C96899" w:rsidRDefault="00ED1E0F" w:rsidP="00ED1E0F">
      <w:pPr>
        <w:spacing w:after="0" w:line="240" w:lineRule="auto"/>
        <w:ind w:left="709" w:right="709"/>
        <w:jc w:val="both"/>
        <w:rPr>
          <w:rFonts w:ascii="Verdana" w:eastAsia="Calibri" w:hAnsi="Verdana" w:cs="Arial"/>
          <w:i/>
          <w:iCs/>
          <w:sz w:val="20"/>
          <w:szCs w:val="20"/>
          <w:lang w:val="es-ES" w:eastAsia="es-ES"/>
        </w:rPr>
      </w:pPr>
      <w:r w:rsidRPr="00C96899">
        <w:rPr>
          <w:rFonts w:ascii="Verdana" w:eastAsia="Calibri" w:hAnsi="Verdana" w:cs="Arial"/>
          <w:i/>
          <w:iCs/>
          <w:sz w:val="20"/>
          <w:szCs w:val="20"/>
          <w:lang w:eastAsia="es-ES"/>
        </w:rPr>
        <w:t>3. ¿Genera esa manifestación algún derecho o expectativa legítima en favor de la ESAL que la formula?:</w:t>
      </w:r>
      <w:r w:rsidRPr="00C96899">
        <w:rPr>
          <w:rFonts w:ascii="Verdana" w:eastAsia="Calibri" w:hAnsi="Verdana" w:cs="Arial"/>
          <w:i/>
          <w:iCs/>
          <w:sz w:val="20"/>
          <w:szCs w:val="20"/>
          <w:lang w:val="es-ES" w:eastAsia="es-ES"/>
        </w:rPr>
        <w:t xml:space="preserve"> </w:t>
      </w:r>
      <w:r w:rsidR="001C3C9B" w:rsidRPr="00C96899">
        <w:rPr>
          <w:rFonts w:ascii="Verdana" w:eastAsia="Calibri" w:hAnsi="Verdana" w:cs="Arial"/>
          <w:i/>
          <w:iCs/>
          <w:sz w:val="20"/>
          <w:szCs w:val="20"/>
          <w:lang w:val="es-ES" w:eastAsia="es-ES"/>
        </w:rPr>
        <w:t>(…)</w:t>
      </w:r>
      <w:r w:rsidR="001C3C9B" w:rsidRPr="00C96899">
        <w:rPr>
          <w:rFonts w:ascii="Verdana" w:eastAsia="Calibri" w:hAnsi="Verdana" w:cs="Arial"/>
          <w:i/>
          <w:iCs/>
          <w:sz w:val="20"/>
          <w:szCs w:val="20"/>
          <w:lang w:eastAsia="es-ES"/>
        </w:rPr>
        <w:t>”</w:t>
      </w:r>
    </w:p>
    <w:p w14:paraId="0C872FD4" w14:textId="77777777" w:rsidR="001C3C9B" w:rsidRPr="00C96899" w:rsidRDefault="001C3C9B" w:rsidP="001C3C9B">
      <w:pPr>
        <w:spacing w:after="0" w:line="276" w:lineRule="auto"/>
        <w:ind w:left="709" w:right="709"/>
        <w:jc w:val="both"/>
        <w:rPr>
          <w:rFonts w:ascii="Verdana" w:eastAsia="Times New Roman" w:hAnsi="Verdana" w:cs="Times New Roman"/>
          <w:sz w:val="20"/>
          <w:szCs w:val="20"/>
          <w:lang w:eastAsia="es-CO"/>
        </w:rPr>
      </w:pPr>
    </w:p>
    <w:p w14:paraId="39428280" w14:textId="77777777" w:rsidR="001C3C9B" w:rsidRPr="00C96899" w:rsidRDefault="001C3C9B" w:rsidP="001C3C9B">
      <w:pPr>
        <w:spacing w:after="120" w:line="276" w:lineRule="auto"/>
        <w:ind w:firstLine="709"/>
        <w:jc w:val="both"/>
        <w:rPr>
          <w:rFonts w:ascii="Verdana" w:eastAsia="Calibri" w:hAnsi="Verdana" w:cs="Arial"/>
          <w:lang w:val="es-ES_tradnl" w:eastAsia="es-ES_tradnl"/>
        </w:rPr>
      </w:pPr>
      <w:r w:rsidRPr="00C96899">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6899">
        <w:rPr>
          <w:rFonts w:ascii="Verdana" w:eastAsia="Calibri" w:hAnsi="Verdana" w:cs="Arial"/>
          <w:lang w:val="es-ES_tradnl" w:eastAsia="es-ES_tradnl"/>
        </w:rPr>
        <w:tab/>
      </w:r>
    </w:p>
    <w:p w14:paraId="479541F7" w14:textId="77777777" w:rsidR="001C3C9B" w:rsidRPr="00C96899" w:rsidRDefault="001C3C9B" w:rsidP="001C3C9B">
      <w:pPr>
        <w:spacing w:after="0" w:line="276" w:lineRule="auto"/>
        <w:ind w:firstLine="708"/>
        <w:jc w:val="both"/>
        <w:rPr>
          <w:rFonts w:ascii="Verdana" w:eastAsia="Calibri" w:hAnsi="Verdana" w:cs="Arial"/>
          <w:lang w:val="es-ES" w:eastAsia="es-ES"/>
        </w:rPr>
      </w:pPr>
      <w:r w:rsidRPr="00C96899">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41075ED" w14:textId="77777777" w:rsidR="001C3C9B" w:rsidRPr="00C96899" w:rsidRDefault="001C3C9B" w:rsidP="001C3C9B">
      <w:pPr>
        <w:spacing w:after="0" w:line="276" w:lineRule="auto"/>
        <w:ind w:firstLine="709"/>
        <w:jc w:val="both"/>
        <w:rPr>
          <w:rFonts w:ascii="Verdana" w:eastAsia="Calibri" w:hAnsi="Verdana" w:cs="Arial"/>
          <w:lang w:val="es-ES" w:eastAsia="es-ES"/>
        </w:rPr>
      </w:pPr>
    </w:p>
    <w:p w14:paraId="4688CCBB" w14:textId="77777777" w:rsidR="001C3C9B" w:rsidRPr="00C96899" w:rsidRDefault="001C3C9B" w:rsidP="001C3C9B">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96899">
        <w:rPr>
          <w:rFonts w:ascii="Verdana" w:eastAsia="Century Gothic" w:hAnsi="Verdana" w:cs="Century Gothic"/>
          <w:b/>
          <w:bCs/>
          <w:lang w:val="es-ES"/>
        </w:rPr>
        <w:t>Problema planteado:</w:t>
      </w:r>
    </w:p>
    <w:p w14:paraId="0922EE4A" w14:textId="77777777" w:rsidR="001C3C9B" w:rsidRPr="00C96899" w:rsidRDefault="001C3C9B" w:rsidP="001C3C9B">
      <w:pPr>
        <w:tabs>
          <w:tab w:val="left" w:pos="426"/>
        </w:tabs>
        <w:spacing w:after="0" w:line="276" w:lineRule="auto"/>
        <w:jc w:val="both"/>
        <w:rPr>
          <w:rFonts w:ascii="Verdana" w:eastAsia="Century Gothic" w:hAnsi="Verdana" w:cs="Century Gothic"/>
          <w:lang w:val="es-ES"/>
        </w:rPr>
      </w:pPr>
    </w:p>
    <w:p w14:paraId="04FDAC40" w14:textId="1E00DE0C" w:rsidR="006823DC" w:rsidRPr="00C96899" w:rsidRDefault="001C3C9B" w:rsidP="006823DC">
      <w:pPr>
        <w:spacing w:line="276" w:lineRule="auto"/>
        <w:jc w:val="both"/>
        <w:rPr>
          <w:rFonts w:ascii="Verdana" w:eastAsia="Century Gothic" w:hAnsi="Verdana" w:cs="Century Gothic"/>
        </w:rPr>
      </w:pPr>
      <w:r w:rsidRPr="00C96899">
        <w:rPr>
          <w:rFonts w:ascii="Verdana" w:eastAsia="Century Gothic" w:hAnsi="Verdana" w:cs="Century Gothic"/>
        </w:rPr>
        <w:t xml:space="preserve">De acuerdo con el contenido de su solicitud, esta Agencia resolverá el siguiente problema jurídico: I). </w:t>
      </w:r>
      <w:r w:rsidR="00CA474D" w:rsidRPr="00C96899">
        <w:rPr>
          <w:rFonts w:ascii="Verdana" w:eastAsia="Century Gothic" w:hAnsi="Verdana" w:cs="Century Gothic"/>
        </w:rPr>
        <w:t xml:space="preserve">¿La manifestación de una ESAL, realizada en respuesta a una solicitud de información publicada durante la etapa de planeación, mediante la cual señala su disposición de comprometer recursos en dinero en una proporción no inferior al 30% del valor total de un convenio de asociación, obliga a la Entidad Estatal a celebrar directamente el convenio con dicha ESAL o </w:t>
      </w:r>
      <w:r w:rsidR="00CA474D" w:rsidRPr="00C96899">
        <w:rPr>
          <w:rFonts w:ascii="Verdana" w:eastAsia="Century Gothic" w:hAnsi="Verdana" w:cs="Century Gothic"/>
        </w:rPr>
        <w:lastRenderedPageBreak/>
        <w:t>permite que esta adelante un proceso competitivo para seleccionar objetivamente a la entidad con la cual celebrará el convenio?</w:t>
      </w:r>
    </w:p>
    <w:p w14:paraId="0364F505" w14:textId="62FC871E" w:rsidR="001C3C9B" w:rsidRPr="00C96899" w:rsidRDefault="001C3C9B" w:rsidP="00ED1E0F">
      <w:pPr>
        <w:pStyle w:val="Prrafodelista"/>
        <w:numPr>
          <w:ilvl w:val="0"/>
          <w:numId w:val="16"/>
        </w:numPr>
        <w:spacing w:line="276" w:lineRule="auto"/>
        <w:jc w:val="both"/>
        <w:rPr>
          <w:rFonts w:ascii="Verdana" w:eastAsia="Century Gothic" w:hAnsi="Verdana" w:cs="Century Gothic"/>
          <w:b/>
          <w:bCs/>
        </w:rPr>
      </w:pPr>
      <w:r w:rsidRPr="00C96899">
        <w:rPr>
          <w:rFonts w:ascii="Verdana" w:eastAsia="Century Gothic" w:hAnsi="Verdana" w:cs="Century Gothic"/>
          <w:b/>
          <w:bCs/>
        </w:rPr>
        <w:t>Respuesta:</w:t>
      </w:r>
    </w:p>
    <w:p w14:paraId="531871F8" w14:textId="77777777" w:rsidR="001C3C9B" w:rsidRPr="00C96899" w:rsidRDefault="001C3C9B" w:rsidP="001C3C9B">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C3C9B" w:rsidRPr="00C96899" w14:paraId="5A621E65" w14:textId="77777777" w:rsidTr="00C96899">
        <w:trPr>
          <w:trHeight w:val="169"/>
        </w:trPr>
        <w:tc>
          <w:tcPr>
            <w:tcW w:w="8828" w:type="dxa"/>
            <w:tcBorders>
              <w:top w:val="dotted" w:sz="4" w:space="0" w:color="auto"/>
              <w:left w:val="dotted" w:sz="4" w:space="0" w:color="auto"/>
              <w:bottom w:val="dotted" w:sz="4" w:space="0" w:color="auto"/>
              <w:right w:val="dotted" w:sz="4" w:space="0" w:color="auto"/>
            </w:tcBorders>
          </w:tcPr>
          <w:p w14:paraId="5830AD56" w14:textId="77777777" w:rsidR="00366F50" w:rsidRPr="00C96899" w:rsidRDefault="00366F50" w:rsidP="00366F50">
            <w:pPr>
              <w:tabs>
                <w:tab w:val="left" w:pos="2657"/>
              </w:tabs>
              <w:spacing w:after="120" w:line="276" w:lineRule="auto"/>
              <w:jc w:val="both"/>
              <w:rPr>
                <w:rFonts w:ascii="Verdana" w:eastAsia="Calibri" w:hAnsi="Verdana" w:cs="Arial"/>
                <w:shd w:val="clear" w:color="auto" w:fill="FFFFFF"/>
                <w:lang w:val="es-ES"/>
              </w:rPr>
            </w:pPr>
            <w:r w:rsidRPr="00366F50">
              <w:rPr>
                <w:rFonts w:ascii="Verdana" w:eastAsia="Calibri" w:hAnsi="Verdana" w:cs="Arial"/>
                <w:shd w:val="clear" w:color="auto" w:fill="FFFFFF"/>
                <w:lang w:val="es-ES"/>
              </w:rPr>
              <w:t>La manifestación de una Entidad Sin Ánimo de Lucro (ESAL), realizada en respuesta a una solicitud de información publicada en SECOP II, mediante la cual expresa su compromiso de aportar recursos en dinero en una proporción no inferior al treinta por ciento (30 %) del valor total del convenio de asociación, no obliga, por sí sola, a la Entidad Estatal a celebrar directamente el convenio con dicha entidad, ni le confiere un derecho adquirido o una expectativa legítima a su celebración.</w:t>
            </w:r>
          </w:p>
          <w:p w14:paraId="76A84007" w14:textId="7BF74576" w:rsidR="00366F50" w:rsidRPr="00366F50" w:rsidRDefault="00366F50" w:rsidP="00366F50">
            <w:pPr>
              <w:tabs>
                <w:tab w:val="left" w:pos="2657"/>
              </w:tabs>
              <w:spacing w:after="120" w:line="276" w:lineRule="auto"/>
              <w:ind w:firstLine="709"/>
              <w:jc w:val="both"/>
              <w:rPr>
                <w:rFonts w:ascii="Verdana" w:eastAsia="Calibri" w:hAnsi="Verdana" w:cs="Arial"/>
                <w:shd w:val="clear" w:color="auto" w:fill="FFFFFF"/>
                <w:lang w:val="es-ES"/>
              </w:rPr>
            </w:pPr>
            <w:r w:rsidRPr="00366F50">
              <w:rPr>
                <w:rFonts w:ascii="Verdana" w:eastAsia="Calibri" w:hAnsi="Verdana" w:cs="Arial"/>
                <w:shd w:val="clear" w:color="auto" w:fill="FFFFFF"/>
                <w:lang w:val="es-ES"/>
              </w:rPr>
              <w:t>Lo anterior, por cuanto la solicitud de información corresponde a una actuación propia de la etapa de planeación contractual, cuya finalidad es obtener información relevante para estructurar una eventual contratación, y no constituye, por sí misma, un procedimiento de selección ni una decisión de contratar. Por tanto, la manifestación de la ESAL constituye un elemento que la Entidad Estatal debe considerar al determinar el mecanismo de selección aplicable, de conformidad con el artículo 5 del Decreto 092 de 2017, pero no equivale a su selección ni genera una obligación automática de celebrar el convenio.</w:t>
            </w:r>
          </w:p>
          <w:p w14:paraId="2FAD47A7" w14:textId="77777777" w:rsidR="00366F50" w:rsidRPr="00366F50" w:rsidRDefault="00366F50" w:rsidP="00366F50">
            <w:pPr>
              <w:spacing w:after="120" w:line="276" w:lineRule="auto"/>
              <w:ind w:firstLine="709"/>
              <w:jc w:val="both"/>
              <w:rPr>
                <w:rFonts w:ascii="Verdana" w:eastAsia="Calibri" w:hAnsi="Verdana" w:cs="Arial"/>
                <w:shd w:val="clear" w:color="auto" w:fill="FFFFFF"/>
                <w:lang w:val="es-ES"/>
              </w:rPr>
            </w:pPr>
            <w:r w:rsidRPr="00366F50">
              <w:rPr>
                <w:rFonts w:ascii="Verdana" w:eastAsia="Calibri" w:hAnsi="Verdana" w:cs="Arial"/>
                <w:shd w:val="clear" w:color="auto" w:fill="FFFFFF"/>
                <w:lang w:val="es-ES"/>
              </w:rPr>
              <w:t>En consecuencia, la Entidad Estatal deberá verificar si existen otras ESAL que ofrezcan comprometer recursos en dinero en una proporción igual o superior al treinta por ciento (30 %) del valor total del convenio. Si encuentra que más de una ESAL realiza dicho ofrecimiento, deberá adelantar un proceso competitivo que garantice la selección objetiva; si se cumplen los presupuestos establecidos en la norma para aplicar la excepción, podrá prescindir de dicho proceso.</w:t>
            </w:r>
          </w:p>
          <w:p w14:paraId="4832A7F4" w14:textId="4FDD5001" w:rsidR="001C3C9B" w:rsidRPr="00C96899" w:rsidRDefault="00366F50" w:rsidP="00C96899">
            <w:pPr>
              <w:spacing w:after="120" w:line="276" w:lineRule="auto"/>
              <w:ind w:firstLine="709"/>
              <w:jc w:val="both"/>
              <w:rPr>
                <w:rFonts w:ascii="Verdana" w:eastAsia="Calibri" w:hAnsi="Verdana" w:cs="Arial"/>
                <w:shd w:val="clear" w:color="auto" w:fill="FFFFFF"/>
                <w:lang w:val="es-ES"/>
              </w:rPr>
            </w:pPr>
            <w:r w:rsidRPr="00366F50">
              <w:rPr>
                <w:rFonts w:ascii="Verdana" w:eastAsia="Calibri" w:hAnsi="Verdana" w:cs="Arial"/>
                <w:shd w:val="clear" w:color="auto" w:fill="FFFFFF"/>
                <w:lang w:val="es-ES"/>
              </w:rPr>
              <w:t xml:space="preserve">Finalmente, lo anterior se entiende sin perjuicio de que las actuaciones posteriores, concretas e inequívocas de la Entidad Estatal puedan generar, excepcionalmente y según las circunstancias del caso, una confianza legítima jurídicamente protegible, cuya configuración deberá analizarse a la luz de los principios de buena fe y transparencia. En todo caso, la sola manifestación de aportar el porcentaje señalado no garantiza a la ESAL la celebración del </w:t>
            </w:r>
            <w:r w:rsidRPr="00366F50">
              <w:rPr>
                <w:rFonts w:ascii="Verdana" w:eastAsia="Calibri" w:hAnsi="Verdana" w:cs="Arial"/>
                <w:shd w:val="clear" w:color="auto" w:fill="FFFFFF"/>
                <w:lang w:val="es-ES"/>
              </w:rPr>
              <w:lastRenderedPageBreak/>
              <w:t xml:space="preserve">convenio ni </w:t>
            </w:r>
            <w:proofErr w:type="gramStart"/>
            <w:r w:rsidRPr="00366F50">
              <w:rPr>
                <w:rFonts w:ascii="Verdana" w:eastAsia="Calibri" w:hAnsi="Verdana" w:cs="Arial"/>
                <w:shd w:val="clear" w:color="auto" w:fill="FFFFFF"/>
                <w:lang w:val="es-ES"/>
              </w:rPr>
              <w:t>le</w:t>
            </w:r>
            <w:proofErr w:type="gramEnd"/>
            <w:r w:rsidRPr="00366F50">
              <w:rPr>
                <w:rFonts w:ascii="Verdana" w:eastAsia="Calibri" w:hAnsi="Verdana" w:cs="Arial"/>
                <w:shd w:val="clear" w:color="auto" w:fill="FFFFFF"/>
                <w:lang w:val="es-ES"/>
              </w:rPr>
              <w:t xml:space="preserve"> otorga una posición preferente frente a otras entidades interesadas.</w:t>
            </w:r>
          </w:p>
        </w:tc>
      </w:tr>
    </w:tbl>
    <w:p w14:paraId="0134F1F8" w14:textId="77777777" w:rsidR="001C3C9B" w:rsidRPr="00C96899" w:rsidRDefault="001C3C9B" w:rsidP="001C3C9B">
      <w:pPr>
        <w:tabs>
          <w:tab w:val="left" w:pos="142"/>
          <w:tab w:val="left" w:pos="284"/>
        </w:tabs>
        <w:spacing w:after="0" w:line="276" w:lineRule="auto"/>
        <w:ind w:left="142" w:hanging="142"/>
        <w:jc w:val="both"/>
        <w:rPr>
          <w:rFonts w:ascii="Verdana" w:eastAsia="Century Gothic" w:hAnsi="Verdana" w:cs="Century Gothic"/>
          <w:b/>
          <w:bCs/>
          <w:lang w:val="es-ES"/>
        </w:rPr>
      </w:pPr>
    </w:p>
    <w:p w14:paraId="6733726F" w14:textId="77777777" w:rsidR="001C3C9B" w:rsidRPr="00C96899" w:rsidRDefault="001C3C9B" w:rsidP="001C3C9B">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entury Gothic" w:hAnsi="Verdana" w:cs="Century Gothic"/>
          <w:b/>
          <w:bCs/>
          <w:lang w:val="es-ES"/>
        </w:rPr>
        <w:t>Razones de la respuesta:</w:t>
      </w:r>
    </w:p>
    <w:p w14:paraId="3BBA0722" w14:textId="77777777" w:rsidR="001C3C9B" w:rsidRPr="00C96899" w:rsidRDefault="001C3C9B" w:rsidP="001C3C9B">
      <w:pPr>
        <w:tabs>
          <w:tab w:val="left" w:pos="142"/>
          <w:tab w:val="left" w:pos="284"/>
        </w:tabs>
        <w:spacing w:after="0" w:line="276" w:lineRule="auto"/>
        <w:contextualSpacing/>
        <w:jc w:val="both"/>
        <w:rPr>
          <w:rFonts w:ascii="Verdana" w:eastAsia="Century Gothic" w:hAnsi="Verdana" w:cs="Century Gothic"/>
          <w:b/>
          <w:bCs/>
          <w:lang w:val="es-ES"/>
        </w:rPr>
      </w:pPr>
    </w:p>
    <w:p w14:paraId="6AB07D7D" w14:textId="77777777" w:rsidR="001C3C9B" w:rsidRPr="00C96899" w:rsidRDefault="001C3C9B" w:rsidP="001C3C9B">
      <w:p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alibri" w:hAnsi="Verdana" w:cs="Arial"/>
          <w:lang w:val="es-ES" w:eastAsia="es-MX"/>
        </w:rPr>
        <w:t xml:space="preserve">Lo anterior se sustenta en las siguientes consideraciones: </w:t>
      </w:r>
    </w:p>
    <w:p w14:paraId="0FCB11F5" w14:textId="77777777" w:rsidR="001C3C9B" w:rsidRPr="00C96899" w:rsidRDefault="001C3C9B" w:rsidP="001C3C9B">
      <w:pPr>
        <w:tabs>
          <w:tab w:val="left" w:pos="142"/>
          <w:tab w:val="left" w:pos="284"/>
        </w:tabs>
        <w:spacing w:after="0" w:line="276" w:lineRule="auto"/>
        <w:contextualSpacing/>
        <w:jc w:val="both"/>
        <w:rPr>
          <w:rFonts w:ascii="Verdana" w:eastAsia="Calibri" w:hAnsi="Verdana" w:cs="Arial"/>
          <w:lang w:val="es-ES" w:eastAsia="es-MX"/>
        </w:rPr>
      </w:pPr>
    </w:p>
    <w:p w14:paraId="77C46B8D" w14:textId="77777777" w:rsidR="00F45CF9" w:rsidRPr="00C96899" w:rsidRDefault="001C3C9B" w:rsidP="00F45CF9">
      <w:pPr>
        <w:spacing w:after="120" w:line="276" w:lineRule="auto"/>
        <w:jc w:val="both"/>
        <w:rPr>
          <w:rFonts w:ascii="Verdana" w:eastAsia="Calibri" w:hAnsi="Verdana" w:cs="Arial"/>
          <w:color w:val="000000"/>
          <w:lang w:val="es-MX"/>
        </w:rPr>
      </w:pPr>
      <w:r w:rsidRPr="00C96899">
        <w:rPr>
          <w:rFonts w:ascii="Verdana" w:eastAsia="Aptos" w:hAnsi="Verdana" w:cs="Arial"/>
          <w:lang w:eastAsia="es-MX"/>
        </w:rPr>
        <w:t xml:space="preserve">I). </w:t>
      </w:r>
      <w:r w:rsidR="00F45CF9" w:rsidRPr="00C96899">
        <w:rPr>
          <w:rFonts w:ascii="Verdana" w:eastAsia="Calibri" w:hAnsi="Verdana" w:cs="Arial"/>
          <w:color w:val="000000"/>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00F45CF9" w:rsidRPr="00C96899">
        <w:rPr>
          <w:rFonts w:ascii="Verdana" w:eastAsia="Calibri" w:hAnsi="Verdana" w:cs="Arial"/>
          <w:color w:val="000000"/>
          <w:vertAlign w:val="superscript"/>
          <w:lang w:val="es-MX"/>
        </w:rPr>
        <w:footnoteReference w:id="1"/>
      </w:r>
      <w:r w:rsidR="00F45CF9" w:rsidRPr="00C96899">
        <w:rPr>
          <w:rFonts w:ascii="Verdana" w:eastAsia="Calibri" w:hAnsi="Verdana" w:cs="Arial"/>
          <w:color w:val="000000"/>
          <w:lang w:val="es-MX"/>
        </w:rPr>
        <w:t>.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00F45CF9" w:rsidRPr="00C96899">
        <w:rPr>
          <w:rFonts w:ascii="Verdana" w:eastAsia="Calibri" w:hAnsi="Verdana" w:cs="Arial"/>
          <w:color w:val="000000"/>
          <w:vertAlign w:val="superscript"/>
          <w:lang w:val="es-MX"/>
        </w:rPr>
        <w:footnoteReference w:id="2"/>
      </w:r>
      <w:r w:rsidR="00F45CF9" w:rsidRPr="00C96899">
        <w:rPr>
          <w:rFonts w:ascii="Verdana" w:eastAsia="Calibri" w:hAnsi="Verdana" w:cs="Arial"/>
          <w:color w:val="000000"/>
          <w:lang w:val="es-MX"/>
        </w:rPr>
        <w:t>. Ambas figuras tienen como fin desarrollar conjuntamente actividades relacionadas con los cometidos y funciones legales asignadas a la entidad.</w:t>
      </w:r>
    </w:p>
    <w:p w14:paraId="455EF6D6" w14:textId="77777777" w:rsidR="00F45CF9" w:rsidRPr="00C96899" w:rsidRDefault="00F45CF9" w:rsidP="00F45CF9">
      <w:pPr>
        <w:spacing w:after="120" w:line="276" w:lineRule="auto"/>
        <w:ind w:firstLine="709"/>
        <w:jc w:val="both"/>
        <w:rPr>
          <w:rFonts w:ascii="Verdana" w:eastAsia="Calibri" w:hAnsi="Verdana" w:cs="Arial"/>
          <w:color w:val="000000"/>
          <w:lang w:val="es-MX"/>
        </w:rPr>
      </w:pPr>
      <w:r w:rsidRPr="00C96899">
        <w:rPr>
          <w:rFonts w:ascii="Verdana" w:eastAsia="Calibri" w:hAnsi="Verdana" w:cs="Arial"/>
          <w:color w:val="000000"/>
          <w:lang w:val="es-MX"/>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C96899">
        <w:rPr>
          <w:rFonts w:ascii="Verdana" w:eastAsia="Calibri" w:hAnsi="Verdana" w:cs="Arial"/>
          <w:i/>
          <w:iCs/>
          <w:color w:val="000000"/>
          <w:lang w:val="es-MX"/>
        </w:rPr>
        <w:t>contratos de colaboración</w:t>
      </w:r>
      <w:r w:rsidRPr="00C96899">
        <w:rPr>
          <w:rFonts w:ascii="Verdana" w:eastAsia="Calibri" w:hAnsi="Verdana" w:cs="Arial"/>
          <w:color w:val="000000"/>
          <w:lang w:val="es-MX"/>
        </w:rPr>
        <w:t xml:space="preserve"> o de interés público, con el fin impulsar programas y actividades de interés público de acuerdo con el Plan Nacional o los planes seccionales de desarrollo, en los términos del artículo 355 de la Constitución Política; y ii) los </w:t>
      </w:r>
      <w:r w:rsidRPr="00C96899">
        <w:rPr>
          <w:rFonts w:ascii="Verdana" w:eastAsia="Calibri" w:hAnsi="Verdana" w:cs="Arial"/>
          <w:i/>
          <w:iCs/>
          <w:color w:val="000000"/>
          <w:lang w:val="es-MX"/>
        </w:rPr>
        <w:t>convenios de asociación</w:t>
      </w:r>
      <w:r w:rsidRPr="00C96899">
        <w:rPr>
          <w:rFonts w:ascii="Verdana" w:eastAsia="Calibri" w:hAnsi="Verdana" w:cs="Arial"/>
          <w:color w:val="000000"/>
          <w:lang w:val="es-MX"/>
        </w:rPr>
        <w:t xml:space="preserve">, para el desarrollo conjunto de actividades relacionadas con las funciones de las entidades </w:t>
      </w:r>
      <w:r w:rsidRPr="00C96899">
        <w:rPr>
          <w:rFonts w:ascii="Verdana" w:eastAsia="Calibri" w:hAnsi="Verdana" w:cs="Arial"/>
          <w:color w:val="000000"/>
          <w:lang w:val="es-MX"/>
        </w:rPr>
        <w:lastRenderedPageBreak/>
        <w:t xml:space="preserve">estatales, en desarrollo del artículo 96 de la Ley 489 de 1998. Los primeros están regulados en el artículo 2 del Decreto 92 de 2017, mientras que los segundos en los artículos 5, 6, 7 y 8 </w:t>
      </w:r>
      <w:r w:rsidRPr="00C96899">
        <w:rPr>
          <w:rFonts w:ascii="Verdana" w:eastAsia="Calibri" w:hAnsi="Verdana" w:cs="Arial"/>
          <w:i/>
          <w:iCs/>
          <w:color w:val="000000"/>
          <w:lang w:val="es-MX"/>
        </w:rPr>
        <w:t>ibidem</w:t>
      </w:r>
      <w:r w:rsidRPr="00C96899">
        <w:rPr>
          <w:rFonts w:ascii="Verdana" w:eastAsia="Calibri" w:hAnsi="Verdana" w:cs="Arial"/>
          <w:color w:val="000000"/>
          <w:lang w:val="es-MX"/>
        </w:rPr>
        <w:t xml:space="preserve">. Es posible diferenciar, pues, los </w:t>
      </w:r>
      <w:r w:rsidRPr="00C96899">
        <w:rPr>
          <w:rFonts w:ascii="Verdana" w:eastAsia="Calibri" w:hAnsi="Verdana" w:cs="Arial"/>
          <w:i/>
          <w:iCs/>
          <w:color w:val="000000"/>
          <w:lang w:val="es-MX"/>
        </w:rPr>
        <w:t>convenios de asociación</w:t>
      </w:r>
      <w:r w:rsidRPr="00C96899">
        <w:rPr>
          <w:rFonts w:ascii="Verdana" w:eastAsia="Calibri" w:hAnsi="Verdana" w:cs="Arial"/>
          <w:color w:val="000000"/>
          <w:lang w:val="es-MX"/>
        </w:rPr>
        <w:t xml:space="preserve">, regulados en el artículo 5, de los </w:t>
      </w:r>
      <w:r w:rsidRPr="00C96899">
        <w:rPr>
          <w:rFonts w:ascii="Verdana" w:eastAsia="Calibri" w:hAnsi="Verdana" w:cs="Arial"/>
          <w:i/>
          <w:iCs/>
          <w:color w:val="000000"/>
          <w:lang w:val="es-MX"/>
        </w:rPr>
        <w:t>contratos de colaboración</w:t>
      </w:r>
      <w:r w:rsidRPr="00C96899">
        <w:rPr>
          <w:rFonts w:ascii="Verdana" w:eastAsia="Calibri" w:hAnsi="Verdana" w:cs="Arial"/>
          <w:color w:val="000000"/>
          <w:lang w:val="es-MX"/>
        </w:rPr>
        <w:t>, establecidos en el artículo 2 del Decreto 092 de 2017</w:t>
      </w:r>
      <w:r w:rsidRPr="00C96899">
        <w:rPr>
          <w:rFonts w:ascii="Verdana" w:eastAsia="Calibri" w:hAnsi="Verdana" w:cs="Arial"/>
          <w:color w:val="000000"/>
          <w:vertAlign w:val="superscript"/>
          <w:lang w:val="es-MX"/>
        </w:rPr>
        <w:footnoteReference w:id="3"/>
      </w:r>
      <w:r w:rsidRPr="00C96899">
        <w:rPr>
          <w:rFonts w:ascii="Verdana" w:eastAsia="Calibri" w:hAnsi="Verdana" w:cs="Arial"/>
          <w:color w:val="000000"/>
          <w:lang w:val="es-MX"/>
        </w:rPr>
        <w:t xml:space="preserve">. </w:t>
      </w:r>
      <w:r w:rsidRPr="00C96899">
        <w:rPr>
          <w:rFonts w:ascii="Verdana" w:eastAsia="Calibri" w:hAnsi="Verdana" w:cs="Arial"/>
          <w:color w:val="000000"/>
        </w:rPr>
        <w:t xml:space="preserve">Al respecto, La Sala de Consulta y Servicio Civil del Consejo de Estado haciendo un análisis del Decreto 777 de 1992 y asimilándolo en el Decreto 092 de 2017, estableció diferencias entre los contratos de apoyo y los convenios de asociación, expresando: </w:t>
      </w:r>
    </w:p>
    <w:p w14:paraId="673037E5" w14:textId="77777777" w:rsidR="00F45CF9" w:rsidRPr="00C96899" w:rsidRDefault="00F45CF9" w:rsidP="00F45CF9">
      <w:pPr>
        <w:spacing w:after="0" w:line="276" w:lineRule="auto"/>
        <w:ind w:firstLine="708"/>
        <w:jc w:val="both"/>
        <w:rPr>
          <w:rFonts w:ascii="Verdana" w:eastAsia="Calibri" w:hAnsi="Verdana"/>
          <w:bCs/>
          <w:iCs/>
          <w:color w:val="000000"/>
        </w:rPr>
      </w:pPr>
    </w:p>
    <w:p w14:paraId="3FDD4952" w14:textId="77777777" w:rsidR="00F45CF9" w:rsidRPr="00C96899" w:rsidRDefault="00F45CF9" w:rsidP="00F45CF9">
      <w:pPr>
        <w:spacing w:after="0" w:line="240" w:lineRule="auto"/>
        <w:ind w:left="709" w:right="709"/>
        <w:jc w:val="both"/>
        <w:rPr>
          <w:rFonts w:ascii="Verdana" w:eastAsia="Calibri" w:hAnsi="Verdana"/>
          <w:bCs/>
          <w:iCs/>
          <w:color w:val="000000"/>
          <w:sz w:val="20"/>
          <w:szCs w:val="20"/>
        </w:rPr>
      </w:pPr>
      <w:r w:rsidRPr="00C96899">
        <w:rPr>
          <w:rFonts w:ascii="Verdana" w:eastAsia="Calibri" w:hAnsi="Verdana"/>
          <w:color w:val="000000"/>
          <w:sz w:val="20"/>
          <w:szCs w:val="20"/>
          <w:lang w:val="es-ES"/>
        </w:rPr>
        <w:t>“</w:t>
      </w:r>
      <w:r w:rsidRPr="00C96899">
        <w:rPr>
          <w:rFonts w:ascii="Verdana" w:eastAsia="Calibri" w:hAnsi="Verdana"/>
          <w:bCs/>
          <w:iCs/>
          <w:color w:val="000000"/>
          <w:sz w:val="20"/>
          <w:szCs w:val="20"/>
        </w:rPr>
        <w:t>1ª) Los contratos de apoyo se celebran con personas jurídicas privadas sin ánimo de lucro. Los contratos de asociación se celebran con personas jurídicas privadas con o sin ánimo de lucro.</w:t>
      </w:r>
    </w:p>
    <w:p w14:paraId="2752B5AB" w14:textId="77777777" w:rsidR="00F45CF9" w:rsidRPr="00C96899" w:rsidRDefault="00F45CF9" w:rsidP="00F45CF9">
      <w:pPr>
        <w:spacing w:after="0" w:line="240" w:lineRule="auto"/>
        <w:ind w:left="709" w:right="709"/>
        <w:jc w:val="both"/>
        <w:rPr>
          <w:rFonts w:ascii="Verdana" w:eastAsia="Calibri" w:hAnsi="Verdana"/>
          <w:bCs/>
          <w:iCs/>
          <w:color w:val="000000"/>
          <w:sz w:val="20"/>
          <w:szCs w:val="20"/>
        </w:rPr>
      </w:pPr>
    </w:p>
    <w:p w14:paraId="2B1023A9" w14:textId="77777777" w:rsidR="00F45CF9" w:rsidRPr="00C96899" w:rsidRDefault="00F45CF9" w:rsidP="00F45CF9">
      <w:pPr>
        <w:spacing w:after="0" w:line="240" w:lineRule="auto"/>
        <w:ind w:left="709" w:right="709"/>
        <w:jc w:val="both"/>
        <w:rPr>
          <w:rFonts w:ascii="Verdana" w:eastAsia="Calibri" w:hAnsi="Verdana"/>
          <w:bCs/>
          <w:iCs/>
          <w:color w:val="000000"/>
          <w:sz w:val="20"/>
          <w:szCs w:val="20"/>
        </w:rPr>
      </w:pPr>
      <w:r w:rsidRPr="00C96899">
        <w:rPr>
          <w:rFonts w:ascii="Verdana" w:eastAsia="Calibri" w:hAnsi="Verdana"/>
          <w:bCs/>
          <w:iCs/>
          <w:color w:val="000000"/>
          <w:sz w:val="20"/>
          <w:szCs w:val="20"/>
        </w:rPr>
        <w:t>2ª) Los contratos de apoyo se celebran para impulsar programas y actividades de interés público acordes con los planes de desarrollo. Los contratos de asociación se pueden celebrar con esa finalidad, pero también para el desarrollo conjunto de actividades en relación con los cometidos y funciones asignadas legalmente a las entidades estatales.</w:t>
      </w:r>
    </w:p>
    <w:p w14:paraId="2534C943" w14:textId="77777777" w:rsidR="00F45CF9" w:rsidRPr="00C96899" w:rsidRDefault="00F45CF9" w:rsidP="00F45CF9">
      <w:pPr>
        <w:spacing w:after="0" w:line="240" w:lineRule="auto"/>
        <w:ind w:left="709" w:right="709"/>
        <w:jc w:val="both"/>
        <w:rPr>
          <w:rFonts w:ascii="Verdana" w:eastAsia="Calibri" w:hAnsi="Verdana"/>
          <w:bCs/>
          <w:iCs/>
          <w:color w:val="000000"/>
          <w:sz w:val="20"/>
          <w:szCs w:val="20"/>
        </w:rPr>
      </w:pPr>
    </w:p>
    <w:p w14:paraId="7519D206" w14:textId="77777777" w:rsidR="00F45CF9" w:rsidRPr="00C96899" w:rsidRDefault="00F45CF9" w:rsidP="00F45CF9">
      <w:pPr>
        <w:spacing w:after="0" w:line="240" w:lineRule="auto"/>
        <w:ind w:left="709" w:right="709"/>
        <w:jc w:val="both"/>
        <w:rPr>
          <w:rFonts w:ascii="Verdana" w:eastAsia="Calibri" w:hAnsi="Verdana"/>
          <w:bCs/>
          <w:iCs/>
          <w:color w:val="000000"/>
          <w:sz w:val="20"/>
          <w:szCs w:val="20"/>
        </w:rPr>
      </w:pPr>
      <w:r w:rsidRPr="00C96899">
        <w:rPr>
          <w:rFonts w:ascii="Verdana" w:eastAsia="Calibri" w:hAnsi="Verdana" w:cs="Arial"/>
          <w:bCs/>
          <w:iCs/>
          <w:color w:val="000000"/>
          <w:sz w:val="20"/>
          <w:szCs w:val="20"/>
        </w:rPr>
        <w:t xml:space="preserve">3ª) Los contratos de apoyo se celebran con cargo al respectivo presupuesto de la entidad pública. En los contratos de asociación se deben determinar, como señala el inciso segundo del citado artículo 96, los </w:t>
      </w:r>
      <w:r w:rsidRPr="00C96899">
        <w:rPr>
          <w:rFonts w:ascii="Verdana" w:eastAsia="Calibri" w:hAnsi="Verdana" w:cs="Arial"/>
          <w:bCs/>
          <w:i/>
          <w:iCs/>
          <w:color w:val="000000"/>
          <w:sz w:val="20"/>
          <w:szCs w:val="20"/>
        </w:rPr>
        <w:t>“aportes”</w:t>
      </w:r>
      <w:r w:rsidRPr="00C96899">
        <w:rPr>
          <w:rFonts w:ascii="Verdana" w:eastAsia="Calibri" w:hAnsi="Verdana" w:cs="Arial"/>
          <w:bCs/>
          <w:iCs/>
          <w:color w:val="000000"/>
          <w:sz w:val="20"/>
          <w:szCs w:val="20"/>
        </w:rPr>
        <w:t xml:space="preserve"> tanto de la entidad pública como de la persona jurídica particular</w:t>
      </w:r>
      <w:r w:rsidRPr="00C96899">
        <w:rPr>
          <w:rFonts w:ascii="Verdana" w:eastAsia="Calibri" w:hAnsi="Verdana" w:cs="Arial"/>
          <w:color w:val="000000"/>
          <w:sz w:val="20"/>
          <w:szCs w:val="20"/>
        </w:rPr>
        <w:t>”</w:t>
      </w:r>
      <w:r w:rsidRPr="00C96899">
        <w:rPr>
          <w:rFonts w:ascii="Verdana" w:eastAsia="Calibri" w:hAnsi="Verdana" w:cs="Arial"/>
          <w:bCs/>
          <w:iCs/>
          <w:color w:val="000000"/>
          <w:sz w:val="20"/>
          <w:szCs w:val="20"/>
          <w:vertAlign w:val="superscript"/>
        </w:rPr>
        <w:footnoteReference w:id="4"/>
      </w:r>
      <w:r w:rsidRPr="00C96899">
        <w:rPr>
          <w:rFonts w:ascii="Verdana" w:eastAsia="Calibri" w:hAnsi="Verdana" w:cs="Arial"/>
          <w:bCs/>
          <w:iCs/>
          <w:color w:val="000000"/>
          <w:sz w:val="20"/>
          <w:szCs w:val="20"/>
        </w:rPr>
        <w:t>.</w:t>
      </w:r>
    </w:p>
    <w:p w14:paraId="7A9B2357" w14:textId="77777777" w:rsidR="00F45CF9" w:rsidRPr="00C96899" w:rsidRDefault="00F45CF9" w:rsidP="00F45CF9">
      <w:pPr>
        <w:spacing w:after="0" w:line="276" w:lineRule="auto"/>
        <w:ind w:firstLine="708"/>
        <w:jc w:val="both"/>
        <w:rPr>
          <w:rFonts w:ascii="Verdana" w:eastAsia="Calibri" w:hAnsi="Verdana" w:cs="Arial"/>
          <w:color w:val="000000"/>
          <w:lang w:val="es-MX"/>
        </w:rPr>
      </w:pPr>
    </w:p>
    <w:p w14:paraId="2CA7C7DA" w14:textId="77777777" w:rsidR="00F45CF9" w:rsidRPr="00C96899" w:rsidRDefault="00F45CF9" w:rsidP="00F45CF9">
      <w:pPr>
        <w:spacing w:after="120" w:line="276" w:lineRule="auto"/>
        <w:ind w:firstLine="708"/>
        <w:jc w:val="both"/>
        <w:rPr>
          <w:rFonts w:ascii="Verdana" w:eastAsia="Calibri" w:hAnsi="Verdana" w:cs="Arial"/>
          <w:color w:val="000000"/>
          <w:lang w:val="es-MX"/>
        </w:rPr>
      </w:pPr>
      <w:r w:rsidRPr="00C96899">
        <w:rPr>
          <w:rFonts w:ascii="Verdana" w:eastAsia="Calibri" w:hAnsi="Verdana" w:cs="Arial"/>
          <w:color w:val="000000"/>
          <w:lang w:val="es-MX"/>
        </w:rPr>
        <w:t xml:space="preserve">Los </w:t>
      </w:r>
      <w:r w:rsidRPr="00C96899">
        <w:rPr>
          <w:rFonts w:ascii="Verdana" w:eastAsia="Calibri" w:hAnsi="Verdana" w:cs="Arial"/>
          <w:i/>
          <w:iCs/>
          <w:color w:val="000000"/>
          <w:lang w:val="es-MX"/>
        </w:rPr>
        <w:t xml:space="preserve">contratos o convenios de colaboración </w:t>
      </w:r>
      <w:r w:rsidRPr="00C96899">
        <w:rPr>
          <w:rFonts w:ascii="Verdana" w:eastAsia="Calibri" w:hAnsi="Verdana"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p>
    <w:p w14:paraId="3BAACACA" w14:textId="77777777" w:rsidR="00F45CF9" w:rsidRPr="00C96899" w:rsidRDefault="00F45CF9" w:rsidP="00F45CF9">
      <w:pPr>
        <w:shd w:val="clear" w:color="auto" w:fill="FFFFFF"/>
        <w:spacing w:after="120" w:line="276" w:lineRule="auto"/>
        <w:ind w:firstLine="708"/>
        <w:jc w:val="both"/>
        <w:textAlignment w:val="baseline"/>
        <w:rPr>
          <w:rFonts w:ascii="Verdana" w:eastAsia="Calibri" w:hAnsi="Verdana" w:cs="Arial"/>
          <w:color w:val="000000" w:themeColor="text1"/>
        </w:rPr>
      </w:pPr>
      <w:r w:rsidRPr="00C96899">
        <w:rPr>
          <w:rFonts w:ascii="Verdana" w:eastAsia="Calibri" w:hAnsi="Verdana" w:cs="Arial"/>
          <w:color w:val="000000" w:themeColor="text1"/>
        </w:rPr>
        <w:t xml:space="preserve">De otro lado, los </w:t>
      </w:r>
      <w:r w:rsidRPr="00C96899">
        <w:rPr>
          <w:rFonts w:ascii="Verdana" w:eastAsia="Calibri" w:hAnsi="Verdana" w:cs="Arial"/>
          <w:i/>
          <w:iCs/>
          <w:color w:val="000000" w:themeColor="text1"/>
        </w:rPr>
        <w:t xml:space="preserve">convenios de asociación </w:t>
      </w:r>
      <w:r w:rsidRPr="00C96899">
        <w:rPr>
          <w:rFonts w:ascii="Verdana" w:eastAsia="Calibri" w:hAnsi="Verdana" w:cs="Arial"/>
          <w:color w:val="000000" w:themeColor="text1"/>
        </w:rPr>
        <w:t>– a los cuales hace referencia en su consulta – “[…] [t]</w:t>
      </w:r>
      <w:proofErr w:type="spellStart"/>
      <w:r w:rsidRPr="00C96899">
        <w:rPr>
          <w:rFonts w:ascii="Verdana" w:eastAsia="Calibri" w:hAnsi="Verdana" w:cs="Arial"/>
          <w:color w:val="000000" w:themeColor="text1"/>
        </w:rPr>
        <w:t>ienen</w:t>
      </w:r>
      <w:proofErr w:type="spellEnd"/>
      <w:r w:rsidRPr="00C96899">
        <w:rPr>
          <w:rFonts w:ascii="Verdana" w:eastAsia="Calibri" w:hAnsi="Verdana" w:cs="Arial"/>
          <w:color w:val="000000" w:themeColor="text1"/>
        </w:rPr>
        <w:t xml:space="preserve"> como finalidad que la entidad estatal, cualquiera </w:t>
      </w:r>
      <w:r w:rsidRPr="00C96899">
        <w:rPr>
          <w:rFonts w:ascii="Verdana" w:eastAsia="Calibri" w:hAnsi="Verdana" w:cs="Arial"/>
          <w:color w:val="000000" w:themeColor="text1"/>
        </w:rPr>
        <w:lastRenderedPageBreak/>
        <w:t>que sea su naturaleza y orden administrativo, se asocien con personas jurídicas particulares para el desarrollo conjunto de actividades relacionadas con los cometidos y funciones asignadas a aquellas conforme a la Constitución y a la Ley”</w:t>
      </w:r>
      <w:r w:rsidRPr="00C96899">
        <w:rPr>
          <w:rFonts w:ascii="Verdana" w:hAnsi="Verdana"/>
          <w:vertAlign w:val="superscript"/>
        </w:rPr>
        <w:footnoteReference w:id="5"/>
      </w:r>
      <w:r w:rsidRPr="00C96899">
        <w:rPr>
          <w:rFonts w:ascii="Verdana" w:eastAsia="Calibri"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Para analizar un poco sobre este tipo de convenios se desarrollará el siguiente apartado. </w:t>
      </w:r>
    </w:p>
    <w:p w14:paraId="223283FF" w14:textId="77777777" w:rsidR="00F45CF9" w:rsidRPr="00C96899" w:rsidRDefault="00F45CF9" w:rsidP="00F45CF9">
      <w:pPr>
        <w:shd w:val="clear" w:color="auto" w:fill="FFFFFF"/>
        <w:spacing w:after="0" w:line="276" w:lineRule="auto"/>
        <w:jc w:val="both"/>
        <w:textAlignment w:val="baseline"/>
        <w:rPr>
          <w:rFonts w:ascii="Verdana" w:eastAsia="Calibri" w:hAnsi="Verdana" w:cs="Arial"/>
          <w:color w:val="000000" w:themeColor="text1"/>
        </w:rPr>
      </w:pPr>
    </w:p>
    <w:p w14:paraId="06FE9499" w14:textId="77777777" w:rsidR="00F45CF9" w:rsidRPr="00C96899" w:rsidRDefault="00F45CF9" w:rsidP="00F45CF9">
      <w:pPr>
        <w:spacing w:after="120" w:line="276" w:lineRule="auto"/>
        <w:jc w:val="both"/>
        <w:rPr>
          <w:rFonts w:ascii="Verdana" w:eastAsia="Calibri" w:hAnsi="Verdana" w:cs="Arial"/>
          <w:lang w:val="es-MX"/>
        </w:rPr>
      </w:pPr>
      <w:proofErr w:type="spellStart"/>
      <w:r w:rsidRPr="00C96899">
        <w:rPr>
          <w:rFonts w:ascii="Verdana" w:eastAsia="Calibri" w:hAnsi="Verdana" w:cs="Arial"/>
          <w:bCs/>
          <w:color w:val="000000"/>
        </w:rPr>
        <w:t>ii</w:t>
      </w:r>
      <w:proofErr w:type="spellEnd"/>
      <w:r w:rsidRPr="00C96899">
        <w:rPr>
          <w:rFonts w:ascii="Verdana" w:eastAsia="Calibri" w:hAnsi="Verdana" w:cs="Arial"/>
          <w:bCs/>
          <w:color w:val="000000"/>
        </w:rPr>
        <w:t xml:space="preserve">. </w:t>
      </w:r>
      <w:r w:rsidRPr="00C96899">
        <w:rPr>
          <w:rFonts w:ascii="Verdana" w:eastAsia="Calibri" w:hAnsi="Verdana" w:cs="Arial"/>
          <w:lang w:val="es-MX"/>
        </w:rPr>
        <w:t xml:space="preserve">Los </w:t>
      </w:r>
      <w:r w:rsidRPr="00C96899">
        <w:rPr>
          <w:rFonts w:ascii="Verdana" w:eastAsia="Calibri" w:hAnsi="Verdana" w:cs="Arial"/>
          <w:i/>
          <w:iCs/>
          <w:lang w:val="es-MX"/>
        </w:rPr>
        <w:t>convenios de asociación</w:t>
      </w:r>
      <w:r w:rsidRPr="00C96899">
        <w:rPr>
          <w:rFonts w:ascii="Verdana" w:eastAsia="Calibri" w:hAnsi="Verdana" w:cs="Arial"/>
          <w:lang w:val="es-MX"/>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Autónomo. </w:t>
      </w:r>
    </w:p>
    <w:p w14:paraId="6F976594" w14:textId="77777777" w:rsidR="00F45CF9" w:rsidRPr="00C96899" w:rsidRDefault="00F45CF9" w:rsidP="00F45CF9">
      <w:pPr>
        <w:spacing w:after="120" w:line="276" w:lineRule="auto"/>
        <w:ind w:firstLine="708"/>
        <w:jc w:val="both"/>
        <w:rPr>
          <w:rFonts w:ascii="Verdana" w:eastAsia="Calibri" w:hAnsi="Verdana" w:cs="Arial"/>
          <w:lang w:val="es-MX"/>
        </w:rPr>
      </w:pPr>
      <w:r w:rsidRPr="00C96899">
        <w:rPr>
          <w:rFonts w:ascii="Verdana" w:eastAsia="Calibri" w:hAnsi="Verdana" w:cs="Arial"/>
          <w:lang w:val="es-MX"/>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1E20E138" w14:textId="77777777" w:rsidR="00F45CF9" w:rsidRPr="00C96899" w:rsidRDefault="00F45CF9" w:rsidP="00F45CF9">
      <w:pPr>
        <w:spacing w:after="120" w:line="276" w:lineRule="auto"/>
        <w:ind w:firstLine="708"/>
        <w:jc w:val="both"/>
        <w:rPr>
          <w:rFonts w:ascii="Verdana" w:eastAsia="Calibri" w:hAnsi="Verdana" w:cs="Arial"/>
          <w:lang w:val="es-MX"/>
        </w:rPr>
      </w:pPr>
      <w:r w:rsidRPr="00C96899">
        <w:rPr>
          <w:rFonts w:ascii="Verdana" w:eastAsia="Calibri" w:hAnsi="Verdana" w:cs="Arial"/>
          <w:lang w:val="es-MX"/>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6E6CDDF5" w14:textId="77777777" w:rsidR="00F45CF9" w:rsidRPr="00C96899" w:rsidRDefault="00F45CF9" w:rsidP="00F45CF9">
      <w:pPr>
        <w:spacing w:after="120" w:line="276" w:lineRule="auto"/>
        <w:ind w:firstLine="708"/>
        <w:jc w:val="both"/>
        <w:rPr>
          <w:rFonts w:ascii="Verdana" w:eastAsia="Calibri" w:hAnsi="Verdana" w:cs="Arial"/>
          <w:lang w:val="es-MX"/>
        </w:rPr>
      </w:pPr>
      <w:r w:rsidRPr="00C96899">
        <w:rPr>
          <w:rFonts w:ascii="Verdana" w:eastAsia="Calibri" w:hAnsi="Verdana" w:cs="Arial"/>
          <w:lang w:val="es-MX"/>
        </w:rPr>
        <w:lastRenderedPageBreak/>
        <w:t xml:space="preserve">La normativa vigente no impide que varias entidades suscriban conjuntamente el convenio de asociación ni tampoco que dos o más ESAL pueden hacerlo a través de las figuras asociativas autorizadas por la ley, por ejemplo, la unión temporal o el consorcio. 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618BFE2E" w14:textId="77777777" w:rsidR="00F45CF9" w:rsidRPr="00C96899" w:rsidRDefault="00F45CF9" w:rsidP="00F45CF9">
      <w:pPr>
        <w:spacing w:after="120" w:line="276" w:lineRule="auto"/>
        <w:ind w:firstLine="708"/>
        <w:jc w:val="both"/>
        <w:rPr>
          <w:rFonts w:ascii="Verdana" w:eastAsia="Calibri" w:hAnsi="Verdana" w:cs="Arial"/>
          <w:lang w:val="es-MX"/>
        </w:rPr>
      </w:pPr>
      <w:r w:rsidRPr="00C96899">
        <w:rPr>
          <w:rFonts w:ascii="Verdana" w:eastAsia="Calibri" w:hAnsi="Verdana" w:cs="Arial"/>
          <w:lang w:val="es-MX"/>
        </w:rPr>
        <w:t>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C96899">
        <w:rPr>
          <w:rFonts w:ascii="Verdana" w:eastAsia="Calibri" w:hAnsi="Verdana" w:cs="Arial"/>
          <w:vertAlign w:val="superscript"/>
          <w:lang w:val="es-MX"/>
        </w:rPr>
        <w:footnoteReference w:id="6"/>
      </w:r>
      <w:r w:rsidRPr="00C96899">
        <w:rPr>
          <w:rFonts w:ascii="Verdana" w:eastAsia="Calibri" w:hAnsi="Verdana" w:cs="Arial"/>
          <w:lang w:val="es-MX"/>
        </w:rPr>
        <w:t>.</w:t>
      </w:r>
    </w:p>
    <w:p w14:paraId="52A3266B" w14:textId="77777777" w:rsidR="00F45CF9" w:rsidRPr="00C96899" w:rsidRDefault="00F45CF9" w:rsidP="00F45CF9">
      <w:pPr>
        <w:spacing w:after="120" w:line="276" w:lineRule="auto"/>
        <w:ind w:firstLine="708"/>
        <w:jc w:val="both"/>
        <w:rPr>
          <w:rFonts w:ascii="Verdana" w:eastAsia="Calibri" w:hAnsi="Verdana" w:cs="Arial"/>
          <w:lang w:val="es-MX"/>
        </w:rPr>
      </w:pPr>
      <w:r w:rsidRPr="00C96899">
        <w:rPr>
          <w:rFonts w:ascii="Verdana" w:eastAsia="Calibri" w:hAnsi="Verdana" w:cs="Arial"/>
          <w:lang w:val="es-MX"/>
        </w:rPr>
        <w:t xml:space="preserve">La noción “seleccionar de forma objetiva”, contenida en la disposición </w:t>
      </w:r>
      <w:r w:rsidRPr="00C96899">
        <w:rPr>
          <w:rFonts w:ascii="Verdana" w:eastAsia="Calibri" w:hAnsi="Verdana" w:cs="Arial"/>
          <w:i/>
          <w:iCs/>
          <w:lang w:val="es-MX"/>
        </w:rPr>
        <w:t xml:space="preserve">sub examine </w:t>
      </w:r>
      <w:r w:rsidRPr="00C96899">
        <w:rPr>
          <w:rFonts w:ascii="Verdana" w:eastAsia="Calibri" w:hAnsi="Verdana" w:cs="Arial"/>
          <w:lang w:val="es-MX"/>
        </w:rPr>
        <w:t xml:space="preserve">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w:t>
      </w:r>
      <w:r w:rsidRPr="00C96899">
        <w:rPr>
          <w:rFonts w:ascii="Verdana" w:eastAsia="Calibri" w:hAnsi="Verdana" w:cs="Arial"/>
          <w:lang w:val="es-MX"/>
        </w:rPr>
        <w:lastRenderedPageBreak/>
        <w:t>selección de contratistas que establece el EGCAP o, incluso, al trámite que regula el inciso 2 del artículo 2 del Decreto 92 de 2017.</w:t>
      </w:r>
    </w:p>
    <w:p w14:paraId="5805AC70" w14:textId="77777777" w:rsidR="00F45CF9" w:rsidRPr="00C96899" w:rsidRDefault="00F45CF9" w:rsidP="00F45CF9">
      <w:pPr>
        <w:spacing w:after="120" w:line="276" w:lineRule="auto"/>
        <w:ind w:firstLine="708"/>
        <w:jc w:val="both"/>
        <w:textAlignment w:val="baseline"/>
        <w:rPr>
          <w:rFonts w:ascii="Verdana" w:eastAsia="Calibri" w:hAnsi="Verdana" w:cs="Arial"/>
          <w:lang w:val="es-MX"/>
        </w:rPr>
      </w:pPr>
      <w:r w:rsidRPr="00C96899">
        <w:rPr>
          <w:rFonts w:ascii="Verdana" w:eastAsia="Arial" w:hAnsi="Verdana" w:cs="Arial"/>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que esté relacionado con las funciones de la entidad, la libre concurrencia y la pluralidad de interesados y la comparación objetiva de las ofertas. Este procedimiento puede ser análogo a otros donde existe competencia, como la licitación pública</w:t>
      </w:r>
      <w:r w:rsidRPr="00C96899">
        <w:rPr>
          <w:rFonts w:ascii="Verdana" w:eastAsia="Calibri" w:hAnsi="Verdana" w:cs="Arial"/>
          <w:lang w:val="es-MX"/>
        </w:rPr>
        <w:t>.</w:t>
      </w:r>
    </w:p>
    <w:p w14:paraId="6CB52F28" w14:textId="77777777" w:rsidR="00F45CF9" w:rsidRPr="00C96899" w:rsidRDefault="00F45CF9" w:rsidP="00F45CF9">
      <w:pPr>
        <w:spacing w:after="120" w:line="276" w:lineRule="auto"/>
        <w:ind w:firstLine="708"/>
        <w:jc w:val="both"/>
        <w:textAlignment w:val="baseline"/>
        <w:rPr>
          <w:rFonts w:ascii="Verdana" w:eastAsia="Calibri" w:hAnsi="Verdana" w:cs="Arial"/>
        </w:rPr>
      </w:pPr>
      <w:r w:rsidRPr="00C96899">
        <w:rPr>
          <w:rFonts w:ascii="Verdana" w:eastAsia="Calibri" w:hAnsi="Verdana" w:cs="Arial"/>
          <w:lang w:val="es-MX"/>
        </w:rPr>
        <w:t xml:space="preserve">A partir de lo expuesto, se encuentra que en la Nueva </w:t>
      </w:r>
      <w:r w:rsidRPr="00C96899">
        <w:rPr>
          <w:rFonts w:ascii="Verdana" w:eastAsia="Calibri" w:hAnsi="Verdana" w:cs="Arial"/>
          <w:bCs/>
        </w:rPr>
        <w:t>“</w:t>
      </w:r>
      <w:r w:rsidRPr="00C96899">
        <w:rPr>
          <w:rFonts w:ascii="Verdana" w:eastAsia="Calibri" w:hAnsi="Verdana" w:cs="Arial"/>
          <w:bCs/>
          <w:i/>
          <w:iCs/>
        </w:rPr>
        <w:t xml:space="preserve">Guía para la contratación con entidades privadas sin ánimo de lucro y de reconocida idoneidad” </w:t>
      </w:r>
      <w:r w:rsidRPr="00C96899">
        <w:rPr>
          <w:rFonts w:ascii="Verdana" w:eastAsia="Calibri" w:hAnsi="Verdana" w:cs="Arial"/>
          <w:lang w:val="es-MX"/>
        </w:rPr>
        <w:t>se establece tres condiciones para contratar mediante convenios de asociación: en primer lugar, e</w:t>
      </w:r>
      <w:r w:rsidRPr="00C96899">
        <w:rPr>
          <w:rFonts w:ascii="Verdana" w:eastAsia="Calibri" w:hAnsi="Verdana" w:cs="Arial"/>
        </w:rPr>
        <w:t>l convenio de asociación debe suscribirse mediante un proceso competitivo con Entidades Privadas Sin Ánimo de Lucro de reconocida idoneidad, con la condición de que el aporte de la Entidad Privada Sin Ánimo de Lucro sea inferior al 30% en dinero propio o de cooperación internacional. En segundo lugar, la suscripción del convenio de asociación del convenio de asociación no está sujeto a un proceso competitivo cuando la Entidad Privada Sin Ánimo de Lucro comprometa recursos en dinero propio o de cooperación internacional para la ejecución de las actividades en un porcentaje no inferior al 30% del valor total del convenio. Por último, si más de una Entidad Privada Sin Ánimo de Lucro promete recursos en dinero para el desarrollo de las actividades del convenio de asociación en un porcentaje no inferior al 30% del valor total del convenio, la Entidad debe seleccionar de forma objetiva y con justificación las razones para dicha selección</w:t>
      </w:r>
      <w:r w:rsidRPr="00C96899">
        <w:rPr>
          <w:rFonts w:ascii="Verdana" w:eastAsia="Calibri" w:hAnsi="Verdana" w:cs="Arial"/>
          <w:bCs/>
          <w:i/>
          <w:iCs/>
          <w:vertAlign w:val="superscript"/>
        </w:rPr>
        <w:footnoteReference w:id="7"/>
      </w:r>
      <w:r w:rsidRPr="00C96899">
        <w:rPr>
          <w:rFonts w:ascii="Verdana" w:eastAsia="Calibri" w:hAnsi="Verdana" w:cs="Arial"/>
        </w:rPr>
        <w:t>.</w:t>
      </w:r>
    </w:p>
    <w:p w14:paraId="7DDF1600" w14:textId="77777777" w:rsidR="00F45CF9" w:rsidRPr="00E9090B" w:rsidRDefault="00F45CF9" w:rsidP="00F45CF9">
      <w:pPr>
        <w:spacing w:after="120" w:line="276" w:lineRule="auto"/>
        <w:ind w:firstLine="709"/>
        <w:jc w:val="both"/>
        <w:rPr>
          <w:rFonts w:ascii="Verdana" w:eastAsia="Calibri" w:hAnsi="Verdana" w:cs="Arial"/>
          <w:lang w:val="es-MX"/>
        </w:rPr>
      </w:pPr>
      <w:r w:rsidRPr="00C96899">
        <w:rPr>
          <w:rFonts w:ascii="Verdana" w:eastAsia="Calibri" w:hAnsi="Verdana" w:cs="Arial"/>
          <w:lang w:val="es-MX"/>
        </w:rPr>
        <w:t>Ahora bien, el Consejo de Estado, en el Auto del 6 de agosto de 2019 de la Sección Tercera, Subsección A –Exp. 62.003–, estudió la solicitud de suspensión provisional</w:t>
      </w:r>
      <w:r w:rsidRPr="00C96899">
        <w:rPr>
          <w:rFonts w:ascii="Verdana" w:eastAsia="Calibri" w:hAnsi="Verdana" w:cs="Arial"/>
          <w:vertAlign w:val="superscript"/>
          <w:lang w:val="es-MX"/>
        </w:rPr>
        <w:footnoteReference w:id="8"/>
      </w:r>
      <w:r w:rsidRPr="00C96899">
        <w:rPr>
          <w:rFonts w:ascii="Verdana" w:eastAsia="Calibri" w:hAnsi="Verdana" w:cs="Arial"/>
          <w:lang w:val="es-MX"/>
        </w:rPr>
        <w:t xml:space="preserve"> del inciso 2 del artículo 1, literales a y c del artículo 2, inciso 5 del artículo 2, incis</w:t>
      </w:r>
      <w:r w:rsidRPr="00E9090B">
        <w:rPr>
          <w:rFonts w:ascii="Verdana" w:eastAsia="Calibri" w:hAnsi="Verdana" w:cs="Arial"/>
          <w:lang w:val="es-MX"/>
        </w:rPr>
        <w:t xml:space="preserve">o 2 del artículo 3, inciso final del artículo 4 y artículo </w:t>
      </w:r>
      <w:r w:rsidRPr="00E9090B">
        <w:rPr>
          <w:rFonts w:ascii="Verdana" w:eastAsia="Calibri" w:hAnsi="Verdana" w:cs="Arial"/>
          <w:lang w:val="es-MX"/>
        </w:rPr>
        <w:lastRenderedPageBreak/>
        <w:t xml:space="preserve">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E9090B">
        <w:rPr>
          <w:rFonts w:ascii="Verdana" w:eastAsia="Calibri" w:hAnsi="Verdana" w:cs="Arial"/>
          <w:i/>
          <w:iCs/>
          <w:lang w:val="es-MX"/>
        </w:rPr>
        <w:t>convenio de asociación</w:t>
      </w:r>
      <w:r w:rsidRPr="00E9090B">
        <w:rPr>
          <w:rFonts w:ascii="Verdana" w:eastAsia="Calibri" w:hAnsi="Verdana" w:cs="Arial"/>
          <w:lang w:val="es-MX"/>
        </w:rPr>
        <w:t xml:space="preserve"> con ESAL de reconocida idoneidad para el cumplimiento de las funciones que la ley les asigna a las entidades públicas, debe aplicarse lo dispuesto en el artículo 5 del Decreto 092 de 2017. </w:t>
      </w:r>
      <w:r w:rsidRPr="00E9090B">
        <w:rPr>
          <w:rFonts w:ascii="Verdana" w:eastAsia="Calibri" w:hAnsi="Verdana" w:cs="Arial"/>
          <w:lang w:val="es-ES_tradnl"/>
        </w:rPr>
        <w:t>En todo caso, conviene precisar que mediante Auto del 15 de marzo de 2022</w:t>
      </w:r>
      <w:r w:rsidRPr="00E9090B">
        <w:rPr>
          <w:rFonts w:ascii="Verdana" w:eastAsia="Calibri" w:hAnsi="Verdana" w:cs="Arial"/>
          <w:vertAlign w:val="superscript"/>
          <w:lang w:val="es-ES_tradnl"/>
        </w:rPr>
        <w:footnoteReference w:id="9"/>
      </w:r>
      <w:r w:rsidRPr="00E9090B">
        <w:rPr>
          <w:rFonts w:ascii="Verdana" w:eastAsia="Calibri" w:hAnsi="Verdana" w:cs="Arial"/>
          <w:lang w:val="es-ES_tradnl"/>
        </w:rPr>
        <w:t>, el Consejo de Estado levantó la medida cautelar de suspensión provisional respecto del inciso 2 del artículo 1 y el inciso 2 del artículo 3, del Decreto 092 de 2007, por lo que surten en la actualidad efectos jurídicos</w:t>
      </w:r>
      <w:r w:rsidRPr="00E9090B">
        <w:rPr>
          <w:rFonts w:ascii="Verdana" w:eastAsia="Calibri" w:hAnsi="Verdana" w:cs="Arial"/>
          <w:vertAlign w:val="superscript"/>
          <w:lang w:val="es-ES_tradnl"/>
        </w:rPr>
        <w:footnoteReference w:id="10"/>
      </w:r>
      <w:r w:rsidRPr="00E9090B">
        <w:rPr>
          <w:rFonts w:ascii="Verdana" w:eastAsia="Calibri" w:hAnsi="Verdana" w:cs="Arial"/>
          <w:lang w:val="es-ES_tradnl"/>
        </w:rPr>
        <w:t>.</w:t>
      </w:r>
    </w:p>
    <w:p w14:paraId="725C0398" w14:textId="77777777" w:rsidR="00F45CF9" w:rsidRPr="00E9090B" w:rsidRDefault="00F45CF9" w:rsidP="00F45CF9">
      <w:pPr>
        <w:spacing w:before="120" w:after="0" w:line="276" w:lineRule="auto"/>
        <w:ind w:firstLine="708"/>
        <w:jc w:val="both"/>
        <w:textAlignment w:val="baseline"/>
        <w:rPr>
          <w:rFonts w:ascii="Verdana" w:eastAsia="Calibri" w:hAnsi="Verdana" w:cs="Arial"/>
          <w:lang w:val="es-ES_tradnl" w:eastAsia="es-ES_tradnl"/>
        </w:rPr>
      </w:pPr>
      <w:r w:rsidRPr="00E9090B">
        <w:rPr>
          <w:rFonts w:ascii="Verdana" w:eastAsia="Calibri" w:hAnsi="Verdana" w:cs="Arial"/>
          <w:lang w:val="es-MX"/>
        </w:rPr>
        <w:t xml:space="preserve">Como se explicó, en relación con los convenios de asociación, el artículo 5 del citado Decreto establece que el proceso para la selección de la ESAL, por regla general, debe estar sujeto a competencia; salvo en aquellos casos en que </w:t>
      </w:r>
      <w:r w:rsidRPr="00E9090B">
        <w:rPr>
          <w:rFonts w:ascii="Verdana" w:eastAsia="Calibri" w:hAnsi="Verdana" w:cs="Arial"/>
          <w:i/>
          <w:iCs/>
          <w:lang w:val="es-MX"/>
        </w:rPr>
        <w:t>una</w:t>
      </w:r>
      <w:r w:rsidRPr="00E9090B">
        <w:rPr>
          <w:rFonts w:ascii="Verdana" w:eastAsia="Calibri" w:hAnsi="Verdana" w:cs="Arial"/>
          <w:lang w:val="es-MX"/>
        </w:rPr>
        <w:t xml:space="preserve"> entidad sin ánimo de lucro comprometa recursos en dinero por un valor igual o superior al 30% del valor total del convenio</w:t>
      </w:r>
      <w:r w:rsidRPr="00E9090B">
        <w:rPr>
          <w:rFonts w:ascii="Verdana" w:eastAsia="Calibri" w:hAnsi="Verdana" w:cs="Arial"/>
          <w:vertAlign w:val="superscript"/>
          <w:lang w:val="es-MX"/>
        </w:rPr>
        <w:footnoteReference w:id="11"/>
      </w:r>
      <w:r w:rsidRPr="00E9090B">
        <w:rPr>
          <w:rFonts w:ascii="Verdana" w:eastAsia="Calibri" w:hAnsi="Verdana" w:cs="Arial"/>
          <w:lang w:val="es-MX"/>
        </w:rPr>
        <w:t xml:space="preserve">, y siempre que la entidad </w:t>
      </w:r>
      <w:r w:rsidRPr="00E9090B">
        <w:rPr>
          <w:rFonts w:ascii="Verdana" w:eastAsia="Calibri" w:hAnsi="Verdana" w:cs="Arial"/>
          <w:lang w:val="es-MX"/>
        </w:rPr>
        <w:lastRenderedPageBreak/>
        <w:t>estatal verifique previamente que no existe ninguna otra entidad sin ánimo de lucro que ofrezca aportes en dinero iguales o superiores al 30%, ya que en este último evento también deberá adelantar un proceso competitivo. De hecho, en relación con la naturaleza y cuantía de los convenios, la norma anteriormente citada no prohíbe la celebración de convenios en que la ESAL aporte menos del 30% o cuando aporten recursos en especie. En efecto, solo indica que en esos casos la entidad estatal debe acudir al proceso competitivo para seleccionar a la entidad sin ánimo de lucro con la cual celebrará el respectivo convenio.</w:t>
      </w:r>
    </w:p>
    <w:p w14:paraId="4F02D953" w14:textId="77777777" w:rsidR="00F45CF9" w:rsidRPr="00E9090B" w:rsidRDefault="00F45CF9" w:rsidP="00F45CF9">
      <w:pPr>
        <w:spacing w:before="120" w:after="120" w:line="276" w:lineRule="auto"/>
        <w:ind w:firstLine="709"/>
        <w:jc w:val="both"/>
        <w:rPr>
          <w:rFonts w:ascii="Verdana" w:eastAsia="Calibri" w:hAnsi="Verdana" w:cs="Arial"/>
          <w:lang w:val="es-ES_tradnl"/>
        </w:rPr>
      </w:pPr>
      <w:r w:rsidRPr="00E9090B">
        <w:rPr>
          <w:rFonts w:ascii="Verdana" w:eastAsia="Calibri" w:hAnsi="Verdana" w:cs="Arial"/>
          <w:lang w:val="es-ES_tradnl" w:eastAsia="es-ES_tradnl"/>
        </w:rPr>
        <w:t xml:space="preserve">Finalmente, sintetizando lo expresado en relación con los </w:t>
      </w:r>
      <w:r w:rsidRPr="00E9090B">
        <w:rPr>
          <w:rFonts w:ascii="Verdana" w:eastAsia="Calibri" w:hAnsi="Verdana" w:cs="Arial"/>
          <w:i/>
          <w:iCs/>
          <w:lang w:val="es-ES_tradnl" w:eastAsia="es-ES_tradnl"/>
        </w:rPr>
        <w:t xml:space="preserve">convenios de </w:t>
      </w:r>
      <w:r w:rsidRPr="00E9090B">
        <w:rPr>
          <w:rFonts w:ascii="Verdana" w:eastAsia="Calibri" w:hAnsi="Verdana" w:cs="Arial"/>
          <w:lang w:val="es-ES_tradnl" w:eastAsia="es-ES_tradnl"/>
        </w:rPr>
        <w:t xml:space="preserve">asociación, la finalidad de los aportes está dirigido concretamente a lograr la ejecución del convenio. De todos modos, la entidad deberá adelantar un proceso competitivo, salvo cuando la ESAL comprometa recursos en dinero para la ejecución de estas actividades, en una proporción no inferior al 30% del valor total del convenio. Así, </w:t>
      </w:r>
      <w:r w:rsidRPr="00E9090B">
        <w:rPr>
          <w:rFonts w:ascii="Verdana" w:eastAsia="Calibri" w:hAnsi="Verdana" w:cs="Arial"/>
          <w:lang w:val="es-ES_tradnl"/>
        </w:rPr>
        <w:t xml:space="preserve">si se pretende suscribir un </w:t>
      </w:r>
      <w:r w:rsidRPr="00E9090B">
        <w:rPr>
          <w:rFonts w:ascii="Verdana" w:eastAsia="Calibri" w:hAnsi="Verdana" w:cs="Arial"/>
          <w:i/>
          <w:iCs/>
          <w:lang w:val="es-ES_tradnl"/>
        </w:rPr>
        <w:t>convenio de asociación</w:t>
      </w:r>
      <w:r w:rsidRPr="00E9090B">
        <w:rPr>
          <w:rFonts w:ascii="Verdana" w:eastAsia="Calibri" w:hAnsi="Verdana" w:cs="Arial"/>
          <w:lang w:val="es-ES_tradnl"/>
        </w:rPr>
        <w:t xml:space="preserve"> con una ESAL de reconocida idoneidad para el cumplimiento de las funciones que la ley les asigna a las entidades públicas, deben aplicar lo dispuesto en el artículo 5 del Decreto 92 de 2017. Como se estableció </w:t>
      </w:r>
      <w:r w:rsidRPr="00E9090B">
        <w:rPr>
          <w:rFonts w:ascii="Verdana" w:eastAsia="Calibri" w:hAnsi="Verdana" w:cs="Arial"/>
          <w:i/>
          <w:iCs/>
          <w:lang w:val="es-ES_tradnl"/>
        </w:rPr>
        <w:t>supra</w:t>
      </w:r>
      <w:r w:rsidRPr="00E9090B">
        <w:rPr>
          <w:rFonts w:ascii="Verdana" w:eastAsia="Calibri" w:hAnsi="Verdana" w:cs="Arial"/>
          <w:lang w:val="es-ES_tradnl"/>
        </w:rPr>
        <w:t xml:space="preserve">, este artículo dispone que el proceso para la escogencia de la ESAL, por regla general, debe estar sujeto a competencia. </w:t>
      </w:r>
    </w:p>
    <w:p w14:paraId="3B582FC7" w14:textId="77777777" w:rsidR="00F45CF9" w:rsidRPr="00E9090B" w:rsidRDefault="00F45CF9" w:rsidP="00F45CF9">
      <w:pPr>
        <w:spacing w:before="120" w:after="120" w:line="276" w:lineRule="auto"/>
        <w:ind w:firstLine="709"/>
        <w:jc w:val="both"/>
        <w:rPr>
          <w:rFonts w:ascii="Verdana" w:eastAsia="Calibri" w:hAnsi="Verdana" w:cs="Arial"/>
          <w:lang w:val="es-ES"/>
        </w:rPr>
      </w:pPr>
      <w:r w:rsidRPr="00E9090B">
        <w:rPr>
          <w:rFonts w:ascii="Verdana" w:eastAsia="Calibri" w:hAnsi="Verdana" w:cs="Arial"/>
          <w:lang w:val="es-ES"/>
        </w:rPr>
        <w:t xml:space="preserve">Esto, salvo en aquellos casos en los que una ESAL manifieste su compromiso de aportar recursos en dinero por un valor igual o superior al 30% del valor total del convenio, con la condición de que no existan otras ESAL que ofrezca aportes en monto igual o superior a dicho porcentaje, pues en este evento también se tendría que realizar un proceso competitivo. Finalmente, dada la regla concreta y específica establecida en la norma, si los aportes no son en dinero, sino únicamente en especie, esto es, bienes diferentes o no equivalente al dinero, no se dará aplicación a dicha regla y el proceso de selección será competitivo. </w:t>
      </w:r>
    </w:p>
    <w:p w14:paraId="6A6A9472" w14:textId="77777777" w:rsidR="007F136D" w:rsidRPr="003356E7" w:rsidRDefault="007F136D" w:rsidP="007F136D">
      <w:pPr>
        <w:spacing w:after="0" w:line="276" w:lineRule="auto"/>
        <w:ind w:firstLine="709"/>
        <w:jc w:val="both"/>
        <w:textAlignment w:val="baseline"/>
        <w:rPr>
          <w:rFonts w:ascii="Verdana" w:eastAsia="Calibri" w:hAnsi="Verdana" w:cs="Arial"/>
          <w:lang w:val="es-ES"/>
        </w:rPr>
      </w:pPr>
      <w:r w:rsidRPr="00E9090B">
        <w:rPr>
          <w:rFonts w:ascii="Verdana" w:eastAsia="Calibri" w:hAnsi="Verdana" w:cs="Arial"/>
          <w:lang w:val="es-ES"/>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E9090B">
        <w:rPr>
          <w:rFonts w:ascii="Verdana" w:eastAsia="Calibri" w:hAnsi="Verdana" w:cs="Arial"/>
          <w:i/>
          <w:iCs/>
          <w:lang w:val="es-ES"/>
        </w:rPr>
        <w:t>no</w:t>
      </w:r>
      <w:r w:rsidRPr="00E9090B">
        <w:rPr>
          <w:rFonts w:ascii="Verdana" w:eastAsia="Calibri" w:hAnsi="Verdana" w:cs="Arial"/>
          <w:lang w:val="es-ES"/>
        </w:rPr>
        <w:t xml:space="preserve"> se aplicará la regla que </w:t>
      </w:r>
      <w:r w:rsidRPr="00E9090B">
        <w:rPr>
          <w:rFonts w:ascii="Verdana" w:eastAsia="Calibri" w:hAnsi="Verdana" w:cs="Arial"/>
          <w:lang w:val="es-ES"/>
        </w:rPr>
        <w:lastRenderedPageBreak/>
        <w:t>determina que si el aporte de recursos en dinero es igual o superior a un 30% del valor del convenio, este se podrá celebrar de forma directa, por lo que deberá adelantarse un proceso competitivo. No obstante, se precisa que no significa que no puedan hacerse aportes en especie, sino que como mínimo debe realizarse un aporte en dinero del 30% del valor del convenio de asociación para que pueda aplicar la selección directa de la ESAL, siempre que no haya otra entidad privada sin ánimo de lucro que realice el mismo ofrecimiento.</w:t>
      </w:r>
      <w:r>
        <w:rPr>
          <w:rFonts w:ascii="Verdana" w:eastAsia="Calibri" w:hAnsi="Verdana" w:cs="Arial"/>
          <w:lang w:val="es-ES"/>
        </w:rPr>
        <w:t xml:space="preserve"> </w:t>
      </w:r>
      <w:r w:rsidRPr="00E9090B">
        <w:rPr>
          <w:rFonts w:ascii="Verdana" w:eastAsia="Calibri" w:hAnsi="Verdana" w:cs="Arial"/>
          <w:bCs/>
          <w:lang w:val="es-MX"/>
        </w:rPr>
        <w:t xml:space="preserve">Ahora bien, </w:t>
      </w:r>
      <w:r w:rsidRPr="00E9090B">
        <w:rPr>
          <w:rFonts w:ascii="Verdana" w:eastAsia="Calibri" w:hAnsi="Verdana" w:cs="Arial"/>
          <w:bCs/>
          <w:lang w:val="es-ES_tradnl"/>
        </w:rPr>
        <w:t>frente a la regulación sumaria de los contratos del artículo 355 de la Constitución y los convenios de asociación, los artículos 6, 7 y 8 del Decreto 092 de 2017 disponen:</w:t>
      </w:r>
    </w:p>
    <w:p w14:paraId="15CDBF3F" w14:textId="77777777" w:rsidR="007F136D" w:rsidRPr="003356E7" w:rsidRDefault="007F136D" w:rsidP="007F136D">
      <w:pPr>
        <w:spacing w:after="0" w:line="276" w:lineRule="auto"/>
        <w:ind w:firstLine="709"/>
        <w:jc w:val="both"/>
        <w:rPr>
          <w:rFonts w:ascii="Verdana" w:eastAsia="Calibri" w:hAnsi="Verdana" w:cs="Arial"/>
          <w:bCs/>
          <w:lang w:val="es-ES"/>
        </w:rPr>
      </w:pPr>
    </w:p>
    <w:p w14:paraId="112E8199" w14:textId="77777777" w:rsidR="007F136D" w:rsidRPr="00B74143" w:rsidRDefault="007F136D" w:rsidP="007F136D">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402E766A" w14:textId="77777777" w:rsidR="007F136D" w:rsidRPr="00B74143" w:rsidRDefault="007F136D" w:rsidP="007F136D">
      <w:pPr>
        <w:spacing w:after="0" w:line="240" w:lineRule="auto"/>
        <w:ind w:left="709" w:right="709"/>
        <w:jc w:val="both"/>
        <w:rPr>
          <w:rFonts w:ascii="Verdana" w:eastAsia="Calibri" w:hAnsi="Verdana" w:cs="Arial"/>
          <w:sz w:val="20"/>
          <w:szCs w:val="20"/>
          <w:lang w:val="es-ES_tradnl"/>
        </w:rPr>
      </w:pPr>
    </w:p>
    <w:p w14:paraId="5181A450" w14:textId="77777777" w:rsidR="007F136D" w:rsidRPr="00B74143" w:rsidRDefault="007F136D" w:rsidP="007F136D">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758968CD" w14:textId="77777777" w:rsidR="007F136D" w:rsidRPr="00B74143" w:rsidRDefault="007F136D" w:rsidP="007F136D">
      <w:pPr>
        <w:spacing w:after="0" w:line="240" w:lineRule="auto"/>
        <w:ind w:left="709" w:right="709"/>
        <w:jc w:val="both"/>
        <w:rPr>
          <w:rFonts w:ascii="Verdana" w:eastAsia="Calibri" w:hAnsi="Verdana" w:cs="Arial"/>
          <w:sz w:val="20"/>
          <w:szCs w:val="20"/>
          <w:lang w:val="es-ES_tradnl"/>
        </w:rPr>
      </w:pPr>
    </w:p>
    <w:p w14:paraId="33867536" w14:textId="77777777" w:rsidR="007F136D" w:rsidRPr="00B74143" w:rsidRDefault="007F136D" w:rsidP="007F136D">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 xml:space="preserve">Artículo 8°. Aplicación de normas generales del sistema de contratación pública. La contratación a la que hace referencia el presente decreto está sujeta a las normas generales aplicables a la contratación pública excepto en lo reglamentado en el presente decreto”. </w:t>
      </w:r>
    </w:p>
    <w:p w14:paraId="484B724E" w14:textId="77777777" w:rsidR="007F136D" w:rsidRPr="00E9090B" w:rsidRDefault="007F136D" w:rsidP="007F136D">
      <w:pPr>
        <w:spacing w:after="0" w:line="276" w:lineRule="auto"/>
        <w:ind w:firstLine="709"/>
        <w:jc w:val="both"/>
        <w:rPr>
          <w:rFonts w:ascii="Arial" w:eastAsia="Calibri" w:hAnsi="Arial" w:cs="Arial"/>
          <w:bCs/>
          <w:lang w:val="es-MX"/>
        </w:rPr>
      </w:pPr>
    </w:p>
    <w:p w14:paraId="116D0470" w14:textId="77777777" w:rsidR="007F136D" w:rsidRPr="00E9090B" w:rsidRDefault="007F136D" w:rsidP="007F136D">
      <w:pPr>
        <w:spacing w:after="120" w:line="276" w:lineRule="auto"/>
        <w:ind w:firstLine="709"/>
        <w:jc w:val="both"/>
        <w:rPr>
          <w:rFonts w:ascii="Verdana" w:eastAsia="Calibri" w:hAnsi="Verdana" w:cs="Arial"/>
          <w:bCs/>
        </w:rPr>
      </w:pPr>
      <w:r w:rsidRPr="00E9090B">
        <w:rPr>
          <w:rFonts w:ascii="Verdana" w:eastAsia="Calibri" w:hAnsi="Verdana" w:cs="Arial"/>
          <w:bCs/>
        </w:rPr>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contratos del artículo 355 de la Constitución y la </w:t>
      </w:r>
      <w:proofErr w:type="spellStart"/>
      <w:r w:rsidRPr="00E9090B">
        <w:rPr>
          <w:rFonts w:ascii="Verdana" w:eastAsia="Calibri" w:hAnsi="Verdana" w:cs="Arial"/>
          <w:bCs/>
        </w:rPr>
        <w:t>indelegabilidad</w:t>
      </w:r>
      <w:proofErr w:type="spellEnd"/>
      <w:r w:rsidRPr="00E9090B">
        <w:rPr>
          <w:rFonts w:ascii="Verdana" w:eastAsia="Calibri" w:hAnsi="Verdana" w:cs="Arial"/>
          <w:bCs/>
        </w:rPr>
        <w:t xml:space="preserve"> de la autorización –art. 2–, la idoneidad de las ESAL –art. 3–, su registro en el SECOP –art. 9– y la inaplicación del registro único de proponentes –art. 10–. </w:t>
      </w:r>
    </w:p>
    <w:p w14:paraId="1E4FF7F5" w14:textId="77777777" w:rsidR="007F136D" w:rsidRPr="00E9090B" w:rsidRDefault="007F136D" w:rsidP="007F136D">
      <w:pPr>
        <w:spacing w:before="120" w:after="120" w:line="276" w:lineRule="auto"/>
        <w:ind w:firstLine="708"/>
        <w:jc w:val="both"/>
        <w:rPr>
          <w:rFonts w:ascii="Verdana" w:eastAsia="Calibri" w:hAnsi="Verdana" w:cs="Arial"/>
        </w:rPr>
      </w:pPr>
      <w:r w:rsidRPr="00E9090B">
        <w:rPr>
          <w:rFonts w:ascii="Verdana" w:eastAsia="Rockwell" w:hAnsi="Verdana" w:cs="Arial"/>
          <w:lang w:eastAsia="es-CO"/>
        </w:rPr>
        <w:t xml:space="preserve">Sobre la interpretación de estos artículos del </w:t>
      </w:r>
      <w:r w:rsidRPr="00E9090B">
        <w:rPr>
          <w:rFonts w:ascii="Verdana" w:eastAsia="Calibri" w:hAnsi="Verdana" w:cs="Arial"/>
        </w:rPr>
        <w:t xml:space="preserve">Decreto 092 de 2017, </w:t>
      </w:r>
      <w:r w:rsidRPr="00E9090B">
        <w:rPr>
          <w:rFonts w:ascii="Verdana" w:eastAsia="Rockwell" w:hAnsi="Verdana" w:cs="Arial"/>
          <w:lang w:eastAsia="es-CO"/>
        </w:rPr>
        <w:t>esta Agencia en el</w:t>
      </w:r>
      <w:r w:rsidRPr="00E9090B">
        <w:rPr>
          <w:rFonts w:ascii="Verdana" w:eastAsia="Calibri" w:hAnsi="Verdana" w:cs="Arial"/>
        </w:rPr>
        <w:t xml:space="preserve"> Concepto C-223 del 29 de abril de 2020 señaló que cuando el artículo 8 menciona a las “[…] normas generales aplicables a la contratación pública […]”, bien podrían referirse a las disposiciones comunes del Estatuto General –</w:t>
      </w:r>
      <w:r w:rsidRPr="00E9090B">
        <w:rPr>
          <w:rFonts w:ascii="Verdana" w:eastAsia="Calibri" w:hAnsi="Verdana" w:cs="Arial"/>
          <w:i/>
          <w:iCs/>
        </w:rPr>
        <w:t xml:space="preserve">remisión parcial </w:t>
      </w:r>
      <w:proofErr w:type="spellStart"/>
      <w:r w:rsidRPr="00E9090B">
        <w:rPr>
          <w:rFonts w:ascii="Verdana" w:eastAsia="Calibri" w:hAnsi="Verdana" w:cs="Arial"/>
          <w:i/>
          <w:iCs/>
        </w:rPr>
        <w:t>latu</w:t>
      </w:r>
      <w:proofErr w:type="spellEnd"/>
      <w:r w:rsidRPr="00E9090B">
        <w:rPr>
          <w:rFonts w:ascii="Verdana" w:eastAsia="Calibri" w:hAnsi="Verdana" w:cs="Arial"/>
          <w:i/>
          <w:iCs/>
        </w:rPr>
        <w:t xml:space="preserve"> sensu</w:t>
      </w:r>
      <w:r w:rsidRPr="00E9090B">
        <w:rPr>
          <w:rFonts w:ascii="Verdana" w:eastAsia="Calibri" w:hAnsi="Verdana" w:cs="Arial"/>
        </w:rPr>
        <w:t>– o a la totalidad de la Ley 80 de 1993 –</w:t>
      </w:r>
      <w:r w:rsidRPr="00E9090B">
        <w:rPr>
          <w:rFonts w:ascii="Verdana" w:eastAsia="Calibri" w:hAnsi="Verdana" w:cs="Arial"/>
          <w:i/>
          <w:iCs/>
        </w:rPr>
        <w:lastRenderedPageBreak/>
        <w:t>remisión integral</w:t>
      </w:r>
      <w:r w:rsidRPr="00E9090B">
        <w:rPr>
          <w:rFonts w:ascii="Verdana" w:eastAsia="Calibri" w:hAnsi="Verdana" w:cs="Arial"/>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7CE83F7A" w14:textId="77777777" w:rsidR="007F136D" w:rsidRDefault="007F136D" w:rsidP="007F136D">
      <w:pPr>
        <w:spacing w:before="120" w:after="120" w:line="276" w:lineRule="auto"/>
        <w:ind w:firstLine="708"/>
        <w:jc w:val="both"/>
        <w:rPr>
          <w:rFonts w:ascii="Verdana" w:eastAsia="Calibri" w:hAnsi="Verdana" w:cs="Arial"/>
          <w:lang w:val="es-ES"/>
        </w:rPr>
      </w:pPr>
      <w:r w:rsidRPr="00E9090B">
        <w:rPr>
          <w:rFonts w:ascii="Verdana" w:eastAsia="Calibri" w:hAnsi="Verdana" w:cs="Arial"/>
          <w:lang w:val="es-ES"/>
        </w:rPr>
        <w:t xml:space="preserve">Por ello, considerando que la Ley 80 de 1993 tiene el mismo grado de generalidad, se concluyó que el artículo 8 del Decreto 092 de 2017 remite integralmente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74D8247A" w14:textId="77777777" w:rsidR="007F136D" w:rsidRPr="00E16080" w:rsidRDefault="007F136D" w:rsidP="007F136D">
      <w:pPr>
        <w:spacing w:after="0" w:line="276" w:lineRule="auto"/>
        <w:ind w:firstLine="708"/>
        <w:jc w:val="both"/>
        <w:rPr>
          <w:rFonts w:ascii="Verdana" w:eastAsia="Calibri" w:hAnsi="Verdana" w:cs="Arial"/>
          <w:lang w:val="es-ES_tradnl"/>
        </w:rPr>
      </w:pPr>
      <w:r w:rsidRPr="000A33B7">
        <w:rPr>
          <w:rFonts w:ascii="Verdana" w:eastAsia="Calibri" w:hAnsi="Verdana" w:cs="Arial"/>
          <w:lang w:val="es-ES_tradnl"/>
        </w:rPr>
        <w:t xml:space="preserve">En esta medida, los </w:t>
      </w:r>
      <w:bookmarkStart w:id="1" w:name="_Hlk38213744"/>
      <w:r w:rsidRPr="000A33B7">
        <w:rPr>
          <w:rFonts w:ascii="Verdana" w:eastAsia="Calibri" w:hAnsi="Verdana" w:cs="Arial"/>
          <w:i/>
          <w:iCs/>
          <w:lang w:val="es-ES_tradnl"/>
        </w:rPr>
        <w:t xml:space="preserve">contratos del artículo 355 de la Constitución </w:t>
      </w:r>
      <w:r w:rsidRPr="000A33B7">
        <w:rPr>
          <w:rFonts w:ascii="Verdana" w:eastAsia="Calibri" w:hAnsi="Verdana" w:cs="Arial"/>
          <w:lang w:val="es-ES_tradnl"/>
        </w:rPr>
        <w:t xml:space="preserve">y los </w:t>
      </w:r>
      <w:r w:rsidRPr="000A33B7">
        <w:rPr>
          <w:rFonts w:ascii="Verdana" w:eastAsia="Calibri" w:hAnsi="Verdana" w:cs="Arial"/>
          <w:i/>
          <w:iCs/>
          <w:lang w:val="es-ES_tradnl"/>
        </w:rPr>
        <w:t>convenios de asociación</w:t>
      </w:r>
      <w:bookmarkEnd w:id="1"/>
      <w:r w:rsidRPr="000A33B7">
        <w:rPr>
          <w:rFonts w:ascii="Verdana" w:eastAsia="Calibri" w:hAnsi="Verdana" w:cs="Arial"/>
          <w:lang w:val="es-ES_tradnl"/>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y la prohibición de adicionarlo en más del cincuenta por ciento –art. 40–, el régimen de perfeccionamiento –art. 41–, las causales de nulidad –art. 44 y ss.–, el régimen de responsabilidad contractual –art. 50 y ss.– y de liquidación de los contratos –art. 60–. </w:t>
      </w:r>
      <w:r w:rsidRPr="00E9090B">
        <w:rPr>
          <w:rFonts w:ascii="Verdana" w:eastAsia="Calibri" w:hAnsi="Verdana" w:cs="Arial"/>
          <w:lang w:val="es-ES"/>
        </w:rPr>
        <w:t xml:space="preserve">Ahora bien, esta remisión del artículo 8 del Decreto 092 de 2017 no puede integrarse de plano con las normas del Estatuto General de Contratación de la Administración Pública, sin tener en cuenta las características y condiciones especiales de los diferentes tipos de convenios que se suscribe bajo el amparo del artículo 355 de la Constitución Política y cuya reglamentación está dispuesta en el Decreto 092 de 2017.  </w:t>
      </w:r>
    </w:p>
    <w:p w14:paraId="6639445E" w14:textId="77777777" w:rsidR="00F45CF9" w:rsidRDefault="00F45CF9" w:rsidP="00C02323">
      <w:pPr>
        <w:spacing w:after="120" w:line="276" w:lineRule="auto"/>
        <w:jc w:val="both"/>
        <w:rPr>
          <w:rFonts w:ascii="Verdana" w:eastAsia="Aptos" w:hAnsi="Verdana" w:cs="Arial"/>
          <w:lang w:val="es-ES_tradnl" w:eastAsia="es-MX"/>
        </w:rPr>
      </w:pPr>
    </w:p>
    <w:p w14:paraId="20A41F57" w14:textId="6DFE4523" w:rsidR="00F41075" w:rsidRPr="00F41075" w:rsidRDefault="007F136D" w:rsidP="00F41075">
      <w:pPr>
        <w:spacing w:after="120" w:line="276" w:lineRule="auto"/>
        <w:jc w:val="both"/>
        <w:rPr>
          <w:rFonts w:ascii="Verdana" w:eastAsia="Aptos" w:hAnsi="Verdana" w:cs="Arial"/>
          <w:lang w:val="es-ES" w:eastAsia="es-MX"/>
        </w:rPr>
      </w:pPr>
      <w:r>
        <w:rPr>
          <w:rFonts w:ascii="Verdana" w:eastAsia="Aptos" w:hAnsi="Verdana" w:cs="Arial"/>
          <w:lang w:val="es-ES_tradnl" w:eastAsia="es-MX"/>
        </w:rPr>
        <w:t>II)</w:t>
      </w:r>
      <w:r w:rsidR="00F41075" w:rsidRPr="00F41075">
        <w:rPr>
          <w:rFonts w:ascii="Times New Roman" w:eastAsia="Times New Roman" w:hAnsi="Times New Roman" w:cs="Times New Roman"/>
          <w:sz w:val="24"/>
          <w:szCs w:val="24"/>
          <w:lang w:val="es-ES" w:eastAsia="es-ES_tradnl"/>
        </w:rPr>
        <w:t xml:space="preserve"> </w:t>
      </w:r>
      <w:r w:rsidR="00F41075" w:rsidRPr="00F41075">
        <w:rPr>
          <w:rFonts w:ascii="Verdana" w:eastAsia="Aptos" w:hAnsi="Verdana" w:cs="Arial"/>
          <w:lang w:val="es-ES" w:eastAsia="es-MX"/>
        </w:rPr>
        <w:t xml:space="preserve">La sola manifestación efectuada por una Entidad Sin Ánimo de Lucro (ESAL), en respuesta a una solicitud de información publicada en SECOP II, en el sentido de comprometer recursos en dinero en una proporción igual o superior al treinta por ciento (30 %) del valor total del convenio de asociación, no genera, por sí </w:t>
      </w:r>
      <w:r w:rsidR="00F41075" w:rsidRPr="00F41075">
        <w:rPr>
          <w:rFonts w:ascii="Verdana" w:eastAsia="Aptos" w:hAnsi="Verdana" w:cs="Arial"/>
          <w:lang w:val="es-ES" w:eastAsia="es-MX"/>
        </w:rPr>
        <w:lastRenderedPageBreak/>
        <w:t>misma, un derecho adquirido ni una expectativa legítima a la celebración del convenio con dicha entidad.</w:t>
      </w:r>
    </w:p>
    <w:p w14:paraId="535315BC" w14:textId="77777777" w:rsidR="00F41075" w:rsidRPr="00F41075" w:rsidRDefault="00F41075" w:rsidP="00854EC2">
      <w:pPr>
        <w:spacing w:after="120" w:line="276" w:lineRule="auto"/>
        <w:ind w:firstLine="708"/>
        <w:jc w:val="both"/>
        <w:rPr>
          <w:rFonts w:ascii="Verdana" w:eastAsia="Aptos" w:hAnsi="Verdana" w:cs="Arial"/>
          <w:lang w:val="es-ES" w:eastAsia="es-MX"/>
        </w:rPr>
      </w:pPr>
      <w:r w:rsidRPr="00F41075">
        <w:rPr>
          <w:rFonts w:ascii="Verdana" w:eastAsia="Aptos" w:hAnsi="Verdana" w:cs="Arial"/>
          <w:lang w:val="es-ES" w:eastAsia="es-MX"/>
        </w:rPr>
        <w:t>Lo anterior obedece a que la solicitud de información se desarrolla durante la etapa de planeación y tiene como finalidad obtener elementos que permitan conocer el mercado, identificar posibles interesados y determinar las condiciones bajo las cuales podría adelantarse una eventual contratación. Por consiguiente, la respuesta presentada por una ESAL constituye un insumo para el análisis de la Entidad Estatal, pero no equivale a su selección ni supone que esta haya manifestado su voluntad definitiva de celebrar el convenio con quien responde.</w:t>
      </w:r>
    </w:p>
    <w:p w14:paraId="3575B1ED" w14:textId="77777777" w:rsidR="00F41075" w:rsidRPr="00F41075" w:rsidRDefault="00F41075" w:rsidP="00854EC2">
      <w:pPr>
        <w:spacing w:after="120" w:line="276" w:lineRule="auto"/>
        <w:ind w:firstLine="708"/>
        <w:jc w:val="both"/>
        <w:rPr>
          <w:rFonts w:ascii="Verdana" w:eastAsia="Aptos" w:hAnsi="Verdana" w:cs="Arial"/>
          <w:lang w:val="es-ES" w:eastAsia="es-MX"/>
        </w:rPr>
      </w:pPr>
      <w:r w:rsidRPr="00F41075">
        <w:rPr>
          <w:rFonts w:ascii="Verdana" w:eastAsia="Aptos" w:hAnsi="Verdana" w:cs="Arial"/>
          <w:lang w:val="es-ES" w:eastAsia="es-MX"/>
        </w:rPr>
        <w:t>En ese sentido, el compromiso de aportar recursos en dinero en una proporción no inferior al treinta por ciento (30 %) debe analizarse en el marco del artículo 5 del Decreto 092 de 2017. Esta disposición contempla la posibilidad de prescindir de un proceso competitivo cuando una ESAL comprometa dicho aporte, siempre que se verifique que no existen otras entidades sin ánimo de lucro que ofrezcan un compromiso equivalente o superior. Si varias ESAL ofrecen ese porcentaje, la Entidad Estatal debe adelantar el proceso competitivo correspondiente para seleccionar objetivamente con cuál celebrará el convenio.</w:t>
      </w:r>
    </w:p>
    <w:p w14:paraId="7F37A8C3" w14:textId="77777777" w:rsidR="00F41075" w:rsidRPr="00F41075" w:rsidRDefault="00F41075" w:rsidP="00854EC2">
      <w:pPr>
        <w:spacing w:after="120" w:line="276" w:lineRule="auto"/>
        <w:ind w:firstLine="708"/>
        <w:jc w:val="both"/>
        <w:rPr>
          <w:rFonts w:ascii="Verdana" w:eastAsia="Aptos" w:hAnsi="Verdana" w:cs="Arial"/>
          <w:lang w:val="es-ES" w:eastAsia="es-MX"/>
        </w:rPr>
      </w:pPr>
      <w:r w:rsidRPr="00F41075">
        <w:rPr>
          <w:rFonts w:ascii="Verdana" w:eastAsia="Aptos" w:hAnsi="Verdana" w:cs="Arial"/>
          <w:lang w:val="es-ES" w:eastAsia="es-MX"/>
        </w:rPr>
        <w:t>Así, la manifestación del aporte no confiere a la ESAL que la presenta una posición preferente frente a otras entidades interesadas, ni restringe por sí misma la facultad de la Entidad Estatal de determinar el mecanismo de selección aplicable, de conformidad con las circunstancias verificadas y las exigencias normativas. En otras palabras, la manifestación del aporte constituye un elemento relevante para determinar el mecanismo de selección, pero no constituye, por sí misma, un acto de selección ni una decisión de celebrar directamente el convenio.</w:t>
      </w:r>
    </w:p>
    <w:p w14:paraId="15522E9D" w14:textId="77777777" w:rsidR="00F41075" w:rsidRPr="00F41075" w:rsidRDefault="00F41075" w:rsidP="00854EC2">
      <w:pPr>
        <w:spacing w:after="120" w:line="276" w:lineRule="auto"/>
        <w:ind w:firstLine="708"/>
        <w:jc w:val="both"/>
        <w:rPr>
          <w:rFonts w:ascii="Verdana" w:eastAsia="Aptos" w:hAnsi="Verdana" w:cs="Arial"/>
          <w:lang w:val="es-ES" w:eastAsia="es-MX"/>
        </w:rPr>
      </w:pPr>
      <w:r w:rsidRPr="00F41075">
        <w:rPr>
          <w:rFonts w:ascii="Verdana" w:eastAsia="Aptos" w:hAnsi="Verdana" w:cs="Arial"/>
          <w:lang w:val="es-ES" w:eastAsia="es-MX"/>
        </w:rPr>
        <w:t xml:space="preserve">Esta conclusión debe armonizarse con el principio de buena fe y la protección de la confianza legítima. Al respecto, el Consejo de Estado, en sentencia del 19 de agosto de 2025, expediente 25000233600020180060001, precisó que la participación en una invitación a presentar ofertas puede generar en los interesados la expectativa legítima de que el procedimiento se desarrollará conforme a las reglas previamente establecidas. La providencia destaca, por tanto, la relevancia de la conducta de la Administración y de las condiciones concretas en las que se desarrolla la etapa precontractual. </w:t>
      </w:r>
    </w:p>
    <w:p w14:paraId="669B70D3" w14:textId="77777777" w:rsidR="00F41075" w:rsidRPr="00F41075" w:rsidRDefault="00F41075" w:rsidP="00854EC2">
      <w:pPr>
        <w:spacing w:after="120" w:line="276" w:lineRule="auto"/>
        <w:ind w:firstLine="708"/>
        <w:jc w:val="both"/>
        <w:rPr>
          <w:rFonts w:ascii="Verdana" w:eastAsia="Aptos" w:hAnsi="Verdana" w:cs="Arial"/>
          <w:lang w:val="es-ES" w:eastAsia="es-MX"/>
        </w:rPr>
      </w:pPr>
      <w:r w:rsidRPr="00F41075">
        <w:rPr>
          <w:rFonts w:ascii="Verdana" w:eastAsia="Aptos" w:hAnsi="Verdana" w:cs="Arial"/>
          <w:lang w:val="es-ES" w:eastAsia="es-MX"/>
        </w:rPr>
        <w:lastRenderedPageBreak/>
        <w:t>Sin embargo, dicho entendimiento no significa que toda interacción con una entidad pública genere automáticamente una expectativa jurídicamente protegible de obtener un contrato. Para establecer si existe una situación susceptible de protección, es necesario examinar las actuaciones efectivamente desplegadas por la Administración, su grado de concreción y la confianza que razonablemente pudieron generar en el interesado. En particular, debe distinguirse entre la participación en una actuación preliminar de planeación y la intervención en un procedimiento de selección cuyas reglas hayan sido formalmente establecidas.</w:t>
      </w:r>
    </w:p>
    <w:p w14:paraId="174D4487" w14:textId="2780793B" w:rsidR="00B507EF" w:rsidRPr="00854EC2" w:rsidRDefault="00F41075" w:rsidP="00854EC2">
      <w:pPr>
        <w:spacing w:after="120" w:line="276" w:lineRule="auto"/>
        <w:ind w:firstLine="708"/>
        <w:jc w:val="both"/>
        <w:rPr>
          <w:rFonts w:ascii="Verdana" w:eastAsia="Aptos" w:hAnsi="Verdana" w:cs="Arial"/>
          <w:lang w:val="es-ES" w:eastAsia="es-MX"/>
        </w:rPr>
      </w:pPr>
      <w:r w:rsidRPr="00F41075">
        <w:rPr>
          <w:rFonts w:ascii="Verdana" w:eastAsia="Aptos" w:hAnsi="Verdana" w:cs="Arial"/>
          <w:lang w:val="es-ES" w:eastAsia="es-MX"/>
        </w:rPr>
        <w:t>En consecuencia, la respuesta de una ESAL a una solicitud de información en SECOP II, considerada aisladamente, no basta para acreditar una expectativa legítima de que el convenio será celebrado directamente con ella. No obstante, ello se entiende sin perjuicio de que actuaciones posteriores, concretas e inequívocas de la Entidad Estatal puedan ser relevantes para evaluar una eventual afectación de la confianza legítima, de acuerdo con las circunstancias particulares del caso. Esta posibilidad no implica que la entidad esté obligada a celebrar el convenio, sino que su conducta debe examinarse a la luz de los principios de buena fe, transparencia y sujeción a las reglas aplicables.</w:t>
      </w:r>
    </w:p>
    <w:p w14:paraId="1628F462" w14:textId="7E7EA21C" w:rsidR="001C3C9B" w:rsidRPr="00FE66BB" w:rsidRDefault="00E82E66" w:rsidP="001C3C9B">
      <w:pPr>
        <w:spacing w:after="120" w:line="276" w:lineRule="auto"/>
        <w:jc w:val="both"/>
        <w:rPr>
          <w:rFonts w:ascii="Verdana" w:eastAsia="Times New Roman" w:hAnsi="Verdana" w:cs="Times New Roman"/>
          <w:lang w:eastAsia="es-MX"/>
        </w:rPr>
      </w:pPr>
      <w:r>
        <w:rPr>
          <w:rFonts w:ascii="Verdana" w:eastAsia="Calibri" w:hAnsi="Verdana" w:cs="Times New Roman"/>
          <w:lang w:eastAsia="es-MX"/>
        </w:rPr>
        <w:t>I</w:t>
      </w:r>
      <w:r w:rsidR="00854EC2">
        <w:rPr>
          <w:rFonts w:ascii="Verdana" w:eastAsia="Calibri" w:hAnsi="Verdana" w:cs="Times New Roman"/>
          <w:lang w:eastAsia="es-MX"/>
        </w:rPr>
        <w:t>II</w:t>
      </w:r>
      <w:r w:rsidR="001C3C9B">
        <w:rPr>
          <w:rFonts w:ascii="Verdana" w:eastAsia="Calibri" w:hAnsi="Verdana" w:cs="Times New Roman"/>
          <w:lang w:eastAsia="es-MX"/>
        </w:rPr>
        <w:t xml:space="preserve">). </w:t>
      </w:r>
      <w:r w:rsidR="001C3C9B" w:rsidRPr="00FE66BB">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C340B20" w14:textId="77777777" w:rsidR="001C3C9B" w:rsidRPr="002C01B4" w:rsidRDefault="001C3C9B" w:rsidP="001C3C9B">
      <w:pPr>
        <w:spacing w:after="120"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FE66BB">
        <w:rPr>
          <w:rFonts w:ascii="Verdana" w:eastAsia="Calibri" w:hAnsi="Verdana" w:cs="Arial"/>
          <w:bCs/>
          <w:color w:val="000000"/>
          <w:lang w:eastAsia="es-MX"/>
        </w:rPr>
        <w:lastRenderedPageBreak/>
        <w:t xml:space="preserve">gestión contractual, sin que sea atribución de Colombia Compra Eficiente validar sus actuaciones. </w:t>
      </w:r>
    </w:p>
    <w:p w14:paraId="339B94F4" w14:textId="77777777" w:rsidR="001C3C9B" w:rsidRPr="004D7523" w:rsidRDefault="001C3C9B" w:rsidP="001C3C9B">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72AE35AC" w14:textId="77777777" w:rsidR="001C3C9B" w:rsidRPr="004D7523" w:rsidRDefault="001C3C9B" w:rsidP="001C3C9B">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C3C9B" w:rsidRPr="00D56B2A" w14:paraId="6679ED96" w14:textId="77777777" w:rsidTr="00E03CAE">
        <w:trPr>
          <w:trHeight w:val="242"/>
        </w:trPr>
        <w:tc>
          <w:tcPr>
            <w:tcW w:w="8647" w:type="dxa"/>
            <w:tcBorders>
              <w:top w:val="dotted" w:sz="4" w:space="0" w:color="auto"/>
              <w:left w:val="dotted" w:sz="4" w:space="0" w:color="auto"/>
              <w:bottom w:val="dotted" w:sz="4" w:space="0" w:color="auto"/>
              <w:right w:val="dotted" w:sz="4" w:space="0" w:color="auto"/>
            </w:tcBorders>
          </w:tcPr>
          <w:p w14:paraId="000581D6" w14:textId="77777777" w:rsidR="00A33F1A" w:rsidRDefault="00A33F1A" w:rsidP="00A33F1A">
            <w:pPr>
              <w:pStyle w:val="Prrafodelista"/>
              <w:numPr>
                <w:ilvl w:val="0"/>
                <w:numId w:val="21"/>
              </w:numPr>
              <w:spacing w:before="120" w:after="120"/>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Constitución Política, artículo 355.</w:t>
            </w:r>
          </w:p>
          <w:p w14:paraId="6E52AE81" w14:textId="77777777" w:rsidR="00A33F1A" w:rsidRDefault="00A33F1A" w:rsidP="00A33F1A">
            <w:pPr>
              <w:pStyle w:val="Prrafodelista"/>
              <w:numPr>
                <w:ilvl w:val="0"/>
                <w:numId w:val="21"/>
              </w:numPr>
              <w:spacing w:before="120" w:after="120"/>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 xml:space="preserve">Ley 80 de 1993, artículos </w:t>
            </w:r>
            <w:r w:rsidRPr="00122CAD">
              <w:rPr>
                <w:rFonts w:ascii="Verdana" w:hAnsi="Verdana" w:cs="Arial"/>
                <w:bCs/>
                <w:lang w:eastAsia="es-ES"/>
              </w:rPr>
              <w:t xml:space="preserve">4, 5, </w:t>
            </w:r>
            <w:r>
              <w:rPr>
                <w:rFonts w:ascii="Verdana" w:eastAsia="Arial MT" w:hAnsi="Verdana" w:cs="Arial"/>
                <w:lang w:eastAsia="es-ES" w:bidi="es-ES"/>
              </w:rPr>
              <w:t xml:space="preserve">8 y 9. </w:t>
            </w:r>
            <w:r w:rsidRPr="00122CAD">
              <w:rPr>
                <w:rFonts w:ascii="Verdana" w:eastAsia="Arial MT" w:hAnsi="Verdana" w:cs="Arial"/>
                <w:bCs/>
                <w:lang w:val="es-CO" w:eastAsia="es-ES" w:bidi="es-ES"/>
              </w:rPr>
              <w:t>12, 14 y 26</w:t>
            </w:r>
          </w:p>
          <w:p w14:paraId="74FD7ACE" w14:textId="77777777" w:rsidR="00A33F1A" w:rsidRDefault="00A33F1A" w:rsidP="00A33F1A">
            <w:pPr>
              <w:pStyle w:val="Prrafodelista"/>
              <w:numPr>
                <w:ilvl w:val="0"/>
                <w:numId w:val="21"/>
              </w:numPr>
              <w:spacing w:before="120" w:after="120"/>
              <w:ind w:left="714" w:hanging="357"/>
              <w:contextualSpacing w:val="0"/>
              <w:jc w:val="both"/>
              <w:rPr>
                <w:rFonts w:ascii="Verdana" w:eastAsia="Arial MT" w:hAnsi="Verdana" w:cs="Arial"/>
                <w:lang w:eastAsia="es-ES" w:bidi="es-ES"/>
              </w:rPr>
            </w:pPr>
            <w:r w:rsidRPr="008A5497">
              <w:rPr>
                <w:rFonts w:ascii="Verdana" w:eastAsia="Arial MT" w:hAnsi="Verdana" w:cs="Arial"/>
                <w:lang w:eastAsia="es-ES" w:bidi="es-ES"/>
              </w:rPr>
              <w:t xml:space="preserve">Ley 489 de 1998, artículo 96. </w:t>
            </w:r>
          </w:p>
          <w:p w14:paraId="3B5D26B3" w14:textId="77777777" w:rsidR="00A33F1A" w:rsidRPr="006650F0" w:rsidRDefault="00A33F1A" w:rsidP="00A33F1A">
            <w:pPr>
              <w:pStyle w:val="Prrafodelista"/>
              <w:numPr>
                <w:ilvl w:val="0"/>
                <w:numId w:val="21"/>
              </w:numPr>
              <w:spacing w:before="120" w:after="120"/>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 xml:space="preserve">Ley 1474 de 2011, artículos 83 a 85. </w:t>
            </w:r>
          </w:p>
          <w:p w14:paraId="24779F8B" w14:textId="77777777" w:rsidR="00A33F1A" w:rsidRDefault="00A33F1A" w:rsidP="00A33F1A">
            <w:pPr>
              <w:pStyle w:val="Prrafodelista"/>
              <w:numPr>
                <w:ilvl w:val="0"/>
                <w:numId w:val="21"/>
              </w:numPr>
              <w:spacing w:before="120" w:after="120"/>
              <w:ind w:left="714" w:hanging="357"/>
              <w:contextualSpacing w:val="0"/>
              <w:jc w:val="both"/>
              <w:rPr>
                <w:rFonts w:ascii="Verdana" w:eastAsia="Arial MT" w:hAnsi="Verdana" w:cs="Arial"/>
                <w:lang w:eastAsia="es-ES" w:bidi="es-ES"/>
              </w:rPr>
            </w:pPr>
            <w:r w:rsidRPr="008A5497">
              <w:rPr>
                <w:rFonts w:ascii="Verdana" w:eastAsia="Arial MT" w:hAnsi="Verdana" w:cs="Arial"/>
                <w:lang w:eastAsia="es-ES" w:bidi="es-ES"/>
              </w:rPr>
              <w:t>Decreto 092 de 2017</w:t>
            </w:r>
            <w:r>
              <w:rPr>
                <w:rFonts w:ascii="Verdana" w:eastAsia="Arial MT" w:hAnsi="Verdana" w:cs="Arial"/>
                <w:lang w:eastAsia="es-ES" w:bidi="es-ES"/>
              </w:rPr>
              <w:t>, artículos 5, 6, 7 y 8</w:t>
            </w:r>
            <w:r w:rsidRPr="008A5497">
              <w:rPr>
                <w:rFonts w:ascii="Verdana" w:eastAsia="Arial MT" w:hAnsi="Verdana" w:cs="Arial"/>
                <w:lang w:eastAsia="es-ES" w:bidi="es-ES"/>
              </w:rPr>
              <w:t xml:space="preserve">. </w:t>
            </w:r>
          </w:p>
          <w:p w14:paraId="2EDCC4E2" w14:textId="14F16263" w:rsidR="001C3C9B" w:rsidRPr="00A33F1A" w:rsidRDefault="00A33F1A" w:rsidP="00A33F1A">
            <w:pPr>
              <w:pStyle w:val="Prrafodelista"/>
              <w:numPr>
                <w:ilvl w:val="0"/>
                <w:numId w:val="21"/>
              </w:numPr>
              <w:spacing w:before="120" w:after="120"/>
              <w:ind w:left="714" w:hanging="357"/>
              <w:contextualSpacing w:val="0"/>
              <w:jc w:val="both"/>
              <w:rPr>
                <w:rFonts w:ascii="Verdana" w:eastAsia="Arial MT" w:hAnsi="Verdana" w:cs="Arial"/>
                <w:lang w:eastAsia="es-ES" w:bidi="es-ES"/>
              </w:rPr>
            </w:pPr>
            <w:r w:rsidRPr="00A33F1A">
              <w:rPr>
                <w:rFonts w:ascii="Verdana" w:eastAsia="Arial MT" w:hAnsi="Verdana" w:cs="Arial"/>
                <w:lang w:eastAsia="es-ES" w:bidi="es-ES"/>
              </w:rPr>
              <w:t>Agencia Nacional de Contratación Pública –Colombia Compra Eficiente. Guía para la contratación con entidades privadas sin ánimo de lucro y de reconocida idoneidad, 2025. Disponible en línea:</w:t>
            </w:r>
            <w:r>
              <w:t xml:space="preserve"> </w:t>
            </w:r>
            <w:hyperlink r:id="rId13" w:history="1">
              <w:r w:rsidRPr="00A33F1A">
                <w:rPr>
                  <w:rStyle w:val="Hipervnculo"/>
                  <w:rFonts w:ascii="Verdana" w:eastAsia="Arial MT" w:hAnsi="Verdana" w:cs="Arial"/>
                  <w:lang w:eastAsia="es-ES" w:bidi="es-ES"/>
                </w:rPr>
                <w:t>https://www.colombiacompra.gov.co/archivos/manual/guia-para-la-contratacion-con-entidades-sin-animo-de-lucro-y-de-reconocida-idoneidad</w:t>
              </w:r>
            </w:hyperlink>
            <w:r w:rsidRPr="00A33F1A">
              <w:rPr>
                <w:rFonts w:ascii="Verdana" w:eastAsia="Arial MT" w:hAnsi="Verdana" w:cs="Arial"/>
                <w:lang w:eastAsia="es-ES" w:bidi="es-ES"/>
              </w:rPr>
              <w:t xml:space="preserve">  </w:t>
            </w:r>
          </w:p>
        </w:tc>
      </w:tr>
    </w:tbl>
    <w:p w14:paraId="6E9C8B60" w14:textId="77777777" w:rsidR="001C3C9B" w:rsidRPr="00155CC1" w:rsidRDefault="001C3C9B" w:rsidP="001C3C9B">
      <w:pPr>
        <w:tabs>
          <w:tab w:val="left" w:pos="142"/>
          <w:tab w:val="left" w:pos="284"/>
        </w:tabs>
        <w:spacing w:after="0" w:line="276" w:lineRule="auto"/>
        <w:jc w:val="both"/>
        <w:rPr>
          <w:rFonts w:ascii="Verdana" w:eastAsia="Calibri" w:hAnsi="Verdana" w:cs="Arial"/>
          <w:color w:val="6699FF"/>
        </w:rPr>
      </w:pPr>
    </w:p>
    <w:p w14:paraId="069BD3B2" w14:textId="77777777" w:rsidR="001C3C9B" w:rsidRPr="0026211F" w:rsidRDefault="001C3C9B" w:rsidP="001C3C9B">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231503D8" w14:textId="77777777" w:rsidR="001C3C9B" w:rsidRPr="00DA2A79" w:rsidRDefault="001C3C9B" w:rsidP="001C3C9B">
      <w:pPr>
        <w:widowControl w:val="0"/>
        <w:autoSpaceDE w:val="0"/>
        <w:autoSpaceDN w:val="0"/>
        <w:spacing w:after="0" w:line="276" w:lineRule="auto"/>
        <w:jc w:val="both"/>
        <w:rPr>
          <w:rFonts w:ascii="Verdana" w:eastAsia="Calibri" w:hAnsi="Verdana" w:cs="Arial"/>
          <w:lang w:eastAsia="es-MX"/>
        </w:rPr>
      </w:pPr>
    </w:p>
    <w:p w14:paraId="7B9F0C8B" w14:textId="77777777" w:rsidR="00492321" w:rsidRPr="00B57A1B" w:rsidRDefault="00492321" w:rsidP="00492321">
      <w:pPr>
        <w:widowControl w:val="0"/>
        <w:autoSpaceDE w:val="0"/>
        <w:autoSpaceDN w:val="0"/>
        <w:spacing w:after="0" w:line="276" w:lineRule="auto"/>
        <w:jc w:val="both"/>
        <w:rPr>
          <w:rFonts w:ascii="Verdana" w:hAnsi="Verdana" w:cs="Arial"/>
        </w:rPr>
      </w:pPr>
    </w:p>
    <w:p w14:paraId="1FB127A2" w14:textId="00CC8715" w:rsidR="00492321" w:rsidRPr="006745D3" w:rsidRDefault="00492321" w:rsidP="00492321">
      <w:pPr>
        <w:widowControl w:val="0"/>
        <w:autoSpaceDE w:val="0"/>
        <w:autoSpaceDN w:val="0"/>
        <w:spacing w:after="0" w:line="276" w:lineRule="auto"/>
        <w:jc w:val="both"/>
        <w:rPr>
          <w:rFonts w:ascii="Verdana" w:eastAsia="Calibri" w:hAnsi="Verdana" w:cs="Arial"/>
          <w:b/>
          <w:bCs/>
          <w:lang w:val="es-ES" w:eastAsia="es-ES"/>
        </w:rPr>
      </w:pPr>
      <w:r w:rsidRPr="00B57A1B">
        <w:rPr>
          <w:rFonts w:ascii="Verdana" w:hAnsi="Verdana" w:cs="Arial"/>
          <w:shd w:val="clear" w:color="auto" w:fill="FFFFFF"/>
        </w:rPr>
        <w:t>Esta Subdirección se ha pronunciado sobre</w:t>
      </w:r>
      <w:r>
        <w:rPr>
          <w:rFonts w:ascii="Verdana" w:hAnsi="Verdana" w:cs="Arial"/>
          <w:shd w:val="clear" w:color="auto" w:fill="FFFFFF"/>
        </w:rPr>
        <w:t xml:space="preserve"> el </w:t>
      </w:r>
      <w:r w:rsidRPr="0017378C">
        <w:rPr>
          <w:rFonts w:ascii="Verdana" w:hAnsi="Verdana" w:cs="Arial"/>
          <w:shd w:val="clear" w:color="auto" w:fill="FFFFFF"/>
          <w:lang w:val="es-ES"/>
        </w:rPr>
        <w:t>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C-594 del 7 de septiembre de 2020, C-670 del 22 de noviembre de 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9 de diciembre de 2022, C-351 del 6 de octubre de 2023, , C-064 del 24 de abril de 2024, C-080 del 7 de mayo de 2024, C-281 del 29 de octubre de 2024, C-957 del 17 de diciembre de 2024,</w:t>
      </w:r>
      <w:r w:rsidRPr="0017378C">
        <w:rPr>
          <w:rFonts w:ascii="Verdana" w:eastAsia="Calibri" w:hAnsi="Verdana" w:cs="Arial"/>
          <w:b/>
          <w:bCs/>
          <w:lang w:val="es-ES" w:eastAsia="es-ES"/>
        </w:rPr>
        <w:t xml:space="preserve"> </w:t>
      </w:r>
      <w:r>
        <w:rPr>
          <w:rFonts w:ascii="Verdana" w:eastAsia="Calibri" w:hAnsi="Verdana" w:cs="Arial"/>
          <w:lang w:val="es-ES" w:eastAsia="es-ES"/>
        </w:rPr>
        <w:t>C-875 del 13 de agosto de 2025, C-138 del 14 de marzo de 2025, C-373 del 6 de mayo de 2025,</w:t>
      </w:r>
      <w:r w:rsidRPr="0017378C">
        <w:rPr>
          <w:rFonts w:ascii="Verdana" w:eastAsia="Calibri" w:hAnsi="Verdana" w:cs="Arial"/>
          <w:b/>
          <w:bCs/>
          <w:lang w:val="es-ES" w:eastAsia="es-ES"/>
        </w:rPr>
        <w:t xml:space="preserve"> </w:t>
      </w:r>
      <w:r w:rsidRPr="0017378C">
        <w:rPr>
          <w:rFonts w:ascii="Verdana" w:hAnsi="Verdana" w:cs="Arial"/>
          <w:shd w:val="clear" w:color="auto" w:fill="FFFFFF"/>
          <w:lang w:val="es-ES"/>
        </w:rPr>
        <w:t xml:space="preserve">C-1384 del 5 de noviembre de 2025, </w:t>
      </w:r>
      <w:r>
        <w:rPr>
          <w:rFonts w:ascii="Verdana" w:hAnsi="Verdana" w:cs="Arial"/>
          <w:shd w:val="clear" w:color="auto" w:fill="FFFFFF"/>
          <w:lang w:val="es-ES"/>
        </w:rPr>
        <w:t>C-1498 del 26 de noviembre de 2025, C-</w:t>
      </w:r>
      <w:r>
        <w:rPr>
          <w:rFonts w:ascii="Verdana" w:hAnsi="Verdana" w:cs="Arial"/>
          <w:shd w:val="clear" w:color="auto" w:fill="FFFFFF"/>
          <w:lang w:val="es-ES"/>
        </w:rPr>
        <w:lastRenderedPageBreak/>
        <w:t>1709 del 22 de diciembre de 2025, C- 1802 del 22 de diciembre de 2025, C-295 del 25 de marzo de 2026,entre</w:t>
      </w:r>
      <w:r w:rsidRPr="0017378C">
        <w:rPr>
          <w:rFonts w:ascii="Verdana" w:hAnsi="Verdana" w:cs="Arial"/>
          <w:shd w:val="clear" w:color="auto" w:fill="FFFFFF"/>
          <w:lang w:val="es-ES"/>
        </w:rPr>
        <w:t xml:space="preserve"> otros</w:t>
      </w:r>
      <w:r>
        <w:rPr>
          <w:rFonts w:ascii="Verdana" w:hAnsi="Verdana" w:cs="Arial"/>
          <w:shd w:val="clear" w:color="auto" w:fill="FFFFFF"/>
        </w:rPr>
        <w:t>.</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B5E88F2" w14:textId="676CEF8B" w:rsidR="001C3C9B" w:rsidRDefault="00492321" w:rsidP="00A33F1A">
      <w:pPr>
        <w:spacing w:after="0" w:line="256" w:lineRule="auto"/>
        <w:jc w:val="both"/>
        <w:rPr>
          <w:rFonts w:ascii="Verdana" w:eastAsia="Calibri" w:hAnsi="Verdana" w:cs="Times New Roman"/>
        </w:rPr>
      </w:pPr>
      <w:hyperlink r:id="rId14"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6D3C7ACC" w14:textId="77777777" w:rsidR="001C3C9B" w:rsidRPr="00EF54B1" w:rsidRDefault="001C3C9B" w:rsidP="001C3C9B">
      <w:pPr>
        <w:spacing w:after="0" w:line="240" w:lineRule="auto"/>
        <w:jc w:val="both"/>
        <w:rPr>
          <w:rFonts w:ascii="Verdana" w:eastAsia="Calibri" w:hAnsi="Verdana" w:cs="Arial"/>
          <w:color w:val="000000" w:themeColor="text1"/>
          <w:shd w:val="clear" w:color="auto" w:fill="FFFFFF"/>
        </w:rPr>
      </w:pPr>
    </w:p>
    <w:p w14:paraId="104A2794" w14:textId="77777777" w:rsidR="008D0C05" w:rsidRPr="00E15FD8" w:rsidRDefault="008D0C05" w:rsidP="008D0C05">
      <w:pPr>
        <w:spacing w:after="120" w:line="276" w:lineRule="auto"/>
        <w:jc w:val="both"/>
        <w:rPr>
          <w:rFonts w:ascii="Aptos" w:eastAsia="Aptos" w:hAnsi="Aptos" w:cs="Times New Roman"/>
          <w:kern w:val="2"/>
          <w:sz w:val="24"/>
          <w:szCs w:val="24"/>
          <w14:ligatures w14:val="standardContextual"/>
        </w:rPr>
      </w:pPr>
      <w:r w:rsidRPr="00E15FD8">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15FD8">
        <w:rPr>
          <w:rFonts w:ascii="Verdana" w:eastAsia="Aptos" w:hAnsi="Verdana" w:cs="Times New Roman"/>
          <w:b/>
          <w:bCs/>
          <w:color w:val="000000"/>
          <w:kern w:val="2"/>
          <w14:ligatures w14:val="standardContextual"/>
        </w:rPr>
        <w:t>Guía para la Exigencia y Constitución de Garantías en los Procesos de Contratación</w:t>
      </w:r>
      <w:r w:rsidRPr="00E15FD8">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ooltip="https://nam02.safelinks.protection.outlook.com/?url=https%3A%2F%2Fwww.colombiacompra.gov.co%2Farchivos%2Fmanual%2Fguia-de-garantias-en-procesos-de-contratacion&amp;data=05%7C02%7Ccarlos.castrillon%40colombiacompra.gov.co%7C7128555136e04fa6887d08dee99e1b50%7C7b0904" w:history="1">
        <w:r w:rsidRPr="00B91265">
          <w:rPr>
            <w:rFonts w:ascii="Verdana" w:eastAsia="Aptos" w:hAnsi="Verdana" w:cs="Times New Roman"/>
            <w:color w:val="0000FF"/>
            <w:kern w:val="2"/>
            <w:u w:val="single"/>
            <w14:ligatures w14:val="standardContextual"/>
          </w:rPr>
          <w:t>https://www.colombiacompra.gov.co/archivos/manual/guia-de-garantias-en-procesos-de-contratacion</w:t>
        </w:r>
      </w:hyperlink>
    </w:p>
    <w:p w14:paraId="07DD0ABF" w14:textId="77777777" w:rsidR="008D0C05" w:rsidRPr="00E15FD8" w:rsidRDefault="008D0C05" w:rsidP="008D0C05">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E15FD8">
        <w:rPr>
          <w:rFonts w:ascii="Verdana" w:eastAsia="Aptos" w:hAnsi="Verdana" w:cs="Times New Roman"/>
          <w:b/>
          <w:bCs/>
          <w:color w:val="000000"/>
          <w:kern w:val="2"/>
          <w14:ligatures w14:val="standardContextual"/>
        </w:rPr>
        <w:t>Sistema Integral de Preferencias en favor de las personas con discapacidad</w:t>
      </w:r>
      <w:r w:rsidRPr="00E15FD8">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E15FD8">
        <w:rPr>
          <w:rFonts w:ascii="Verdana" w:eastAsia="Aptos" w:hAnsi="Verdana" w:cs="Times New Roman"/>
          <w:b/>
          <w:bCs/>
          <w:color w:val="000000"/>
          <w:kern w:val="2"/>
          <w14:ligatures w14:val="standardContextual"/>
        </w:rPr>
        <w:t>Circular Externa 003 del 12 de mayo de 2026, </w:t>
      </w:r>
      <w:r w:rsidRPr="00E15FD8">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6" w:tooltip="https://nam02.safelinks.protection.outlook.com/?url=https%3A%2F%2Fwww.colombiacompra.gov.co%2Farchivos%2Fcircular%2Fcircular-externa-003-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https://www.colombiacompra.gov.co/archivos/circular/circular-externa-003-de-2026</w:t>
        </w:r>
      </w:hyperlink>
    </w:p>
    <w:p w14:paraId="45F1FAC8" w14:textId="6CE6072D" w:rsidR="008D0C05" w:rsidRPr="00E15FD8" w:rsidRDefault="008D0C05" w:rsidP="008D0C05">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Recuerda también que la</w:t>
      </w:r>
      <w:r w:rsidRPr="00E15FD8">
        <w:rPr>
          <w:rFonts w:ascii="Verdana" w:eastAsia="Aptos" w:hAnsi="Verdana" w:cs="Times New Roman"/>
          <w:b/>
          <w:bCs/>
          <w:color w:val="000000"/>
          <w:kern w:val="2"/>
          <w14:ligatures w14:val="standardContextual"/>
        </w:rPr>
        <w:t> información sobre sanciones e inhabilidades </w:t>
      </w:r>
      <w:r w:rsidRPr="00E15FD8">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E15FD8">
        <w:rPr>
          <w:rFonts w:ascii="Verdana" w:eastAsia="Aptos" w:hAnsi="Verdana" w:cs="Times New Roman"/>
          <w:b/>
          <w:bCs/>
          <w:color w:val="000000"/>
          <w:kern w:val="2"/>
          <w14:ligatures w14:val="standardContextual"/>
        </w:rPr>
        <w:t>Circular Externa 002 del 5 de mayo de 2026,</w:t>
      </w:r>
      <w:r w:rsidRPr="00E15FD8">
        <w:rPr>
          <w:rFonts w:ascii="Verdana" w:eastAsia="Aptos" w:hAnsi="Verdana" w:cs="Times New Roman"/>
          <w:color w:val="000000"/>
          <w:kern w:val="2"/>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w:t>
      </w:r>
      <w:r w:rsidRPr="00E15FD8">
        <w:rPr>
          <w:rFonts w:ascii="Verdana" w:eastAsia="Aptos" w:hAnsi="Verdana" w:cs="Times New Roman"/>
          <w:color w:val="000000"/>
          <w:kern w:val="2"/>
          <w14:ligatures w14:val="standardContextual"/>
        </w:rPr>
        <w:lastRenderedPageBreak/>
        <w:t>Comercio, la Procuraduría General de la Nación y el SECOP, e indica los responsables, los portales dispuestos para el efecto y las consecuencias disciplinarias de omitir este deber. Consúltala aquí: </w:t>
      </w:r>
      <w:hyperlink r:id="rId17" w:tooltip="https://nam02.safelinks.protection.outlook.com/?url=https%3A%2F%2Fwww.colombiacompra.gov.co%2Farchivos%2Fcircular%2Fcircular-externa-002-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https://www.colombiacompra.gov.co/archivos/circular/circular-externa-002-de-2026</w:t>
        </w:r>
      </w:hyperlink>
    </w:p>
    <w:p w14:paraId="6F2EA9BD" w14:textId="612D5A0E" w:rsidR="008D0C05" w:rsidRPr="00B91265" w:rsidRDefault="008D0C05" w:rsidP="008D0C05">
      <w:pPr>
        <w:spacing w:after="120" w:line="276" w:lineRule="auto"/>
        <w:jc w:val="both"/>
        <w:rPr>
          <w:rFonts w:ascii="Verdana" w:eastAsia="Aptos" w:hAnsi="Verdana" w:cs="Times New Roman"/>
          <w:color w:val="0000FF"/>
          <w:kern w:val="2"/>
          <w14:ligatures w14:val="standardContextual"/>
        </w:rPr>
      </w:pPr>
      <w:r w:rsidRPr="00E15FD8">
        <w:rPr>
          <w:rFonts w:ascii="Verdana" w:eastAsia="Aptos" w:hAnsi="Verdana" w:cs="Times New Roman"/>
          <w:color w:val="000000"/>
          <w:kern w:val="2"/>
          <w14:ligatures w14:val="standardContextual"/>
        </w:rPr>
        <w:t>Finalmente, si quieres seguir de cerca la actividad de la Agencia, la tercera edición de 2026 del</w:t>
      </w:r>
      <w:r w:rsidRPr="00E15FD8">
        <w:rPr>
          <w:rFonts w:ascii="Verdana" w:eastAsia="Aptos" w:hAnsi="Verdana" w:cs="Times New Roman"/>
          <w:b/>
          <w:bCs/>
          <w:color w:val="000000"/>
          <w:kern w:val="2"/>
          <w14:ligatures w14:val="standardContextual"/>
        </w:rPr>
        <w:t> Radar de la Compra Pública</w:t>
      </w:r>
      <w:r w:rsidRPr="00E15FD8">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ooltip="https://nam02.safelinks.protection.outlook.com/?url=https%3A%2F%2Fwww.colombiacompra.gov.co%2Farchivos%2Fboletin%2Fboletin-edicion-n-3-de-2026-radar-de-la-compra-publica&amp;data=05%7C02%7Ccarlos.castrillon%40colombiacompra.gov.co%7C7128555136e04fa6887d08dee99e1b5" w:history="1">
        <w:r w:rsidRPr="00B91265">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5488B72F" w14:textId="47F35CC7" w:rsidR="001C3C9B" w:rsidRPr="009552C8" w:rsidRDefault="001C3C9B" w:rsidP="001C3C9B">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1BE86EC0" w14:textId="77777777" w:rsidR="001C3C9B" w:rsidRPr="009552C8" w:rsidRDefault="001C3C9B" w:rsidP="001C3C9B">
      <w:pPr>
        <w:spacing w:after="0" w:line="240" w:lineRule="auto"/>
        <w:jc w:val="both"/>
        <w:rPr>
          <w:rFonts w:ascii="Verdana" w:eastAsia="Aptos" w:hAnsi="Verdana" w:cs="Times New Roman"/>
          <w:kern w:val="2"/>
          <w14:ligatures w14:val="standardContextual"/>
        </w:rPr>
      </w:pPr>
    </w:p>
    <w:p w14:paraId="3EED8C13" w14:textId="773340DD" w:rsidR="001C3C9B" w:rsidRPr="009552C8" w:rsidRDefault="001C3C9B" w:rsidP="001C3C9B">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3A2383F4" w14:textId="169F1656" w:rsidR="001C3C9B" w:rsidRPr="009552C8" w:rsidRDefault="001C3C9B" w:rsidP="001C3C9B">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7F89F351" w14:textId="141C3498" w:rsidR="001C3C9B" w:rsidRPr="009552C8" w:rsidRDefault="001C3C9B" w:rsidP="001C3C9B">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6A4855CC" w14:textId="77777777" w:rsidR="001C3C9B" w:rsidRPr="005D21BF" w:rsidRDefault="001C3C9B" w:rsidP="001C3C9B">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7410582F" w14:textId="49C1552D" w:rsidR="001C3C9B" w:rsidRDefault="001C3C9B" w:rsidP="001C3C9B">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214048D" w14:textId="059A0083" w:rsidR="001C3C9B" w:rsidRPr="00EF54B1" w:rsidRDefault="001C3C9B" w:rsidP="001C3C9B">
      <w:pPr>
        <w:widowControl w:val="0"/>
        <w:autoSpaceDE w:val="0"/>
        <w:autoSpaceDN w:val="0"/>
        <w:spacing w:after="0" w:line="276" w:lineRule="auto"/>
        <w:jc w:val="both"/>
        <w:rPr>
          <w:rFonts w:ascii="Verdana" w:eastAsia="Calibri" w:hAnsi="Verdana" w:cs="Arial"/>
          <w:color w:val="000000" w:themeColor="text1"/>
        </w:rPr>
      </w:pPr>
    </w:p>
    <w:p w14:paraId="44FF6A44" w14:textId="621445E9" w:rsidR="001C3C9B" w:rsidRPr="00EF54B1" w:rsidRDefault="001C3C9B" w:rsidP="001C3C9B">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159C92C4" w14:textId="3ECAD82E" w:rsidR="001C3C9B" w:rsidRDefault="0039153F" w:rsidP="001C3C9B">
      <w:pPr>
        <w:tabs>
          <w:tab w:val="left" w:pos="1320"/>
        </w:tabs>
        <w:rPr>
          <w:noProof/>
        </w:rPr>
      </w:pPr>
      <w:r w:rsidRPr="002C3AD6">
        <w:rPr>
          <w:rFonts w:ascii="Century Gothic" w:hAnsi="Century Gothic"/>
          <w:noProof/>
        </w:rPr>
        <w:drawing>
          <wp:anchor distT="0" distB="0" distL="114300" distR="114300" simplePos="0" relativeHeight="251661312" behindDoc="0" locked="0" layoutInCell="1" allowOverlap="1" wp14:anchorId="688815B1" wp14:editId="506814BA">
            <wp:simplePos x="0" y="0"/>
            <wp:positionH relativeFrom="margin">
              <wp:posOffset>1696665</wp:posOffset>
            </wp:positionH>
            <wp:positionV relativeFrom="margin">
              <wp:posOffset>5280719</wp:posOffset>
            </wp:positionV>
            <wp:extent cx="2530246" cy="939257"/>
            <wp:effectExtent l="0" t="0" r="0" b="635"/>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2530246" cy="939257"/>
                    </a:xfrm>
                    <a:prstGeom prst="rect">
                      <a:avLst/>
                    </a:prstGeom>
                  </pic:spPr>
                </pic:pic>
              </a:graphicData>
            </a:graphic>
          </wp:anchor>
        </w:drawing>
      </w:r>
    </w:p>
    <w:p w14:paraId="7C579324" w14:textId="71EA289B" w:rsidR="001C3C9B" w:rsidRDefault="001C3C9B" w:rsidP="001C3C9B">
      <w:pPr>
        <w:tabs>
          <w:tab w:val="left" w:pos="1320"/>
        </w:tabs>
        <w:rPr>
          <w:noProof/>
        </w:rPr>
      </w:pPr>
    </w:p>
    <w:p w14:paraId="6D4BF01D" w14:textId="214F61DC" w:rsidR="00C05406" w:rsidRDefault="00C05406" w:rsidP="001C3C9B">
      <w:pPr>
        <w:tabs>
          <w:tab w:val="left" w:pos="1320"/>
        </w:tabs>
        <w:rPr>
          <w:rFonts w:ascii="Verdana" w:eastAsia="Verdana" w:hAnsi="Verdana" w:cs="Verdana"/>
          <w:noProof/>
          <w:color w:val="000000" w:themeColor="text1"/>
        </w:rPr>
      </w:pPr>
    </w:p>
    <w:p w14:paraId="46B4CCCE" w14:textId="2BC7D415" w:rsidR="001C3C9B" w:rsidRDefault="001C3C9B" w:rsidP="001C3C9B">
      <w:pPr>
        <w:tabs>
          <w:tab w:val="left" w:pos="1320"/>
        </w:tabs>
        <w:rPr>
          <w:rFonts w:ascii="Verdana" w:eastAsia="Verdana" w:hAnsi="Verdana" w:cs="Verdana"/>
          <w:noProof/>
          <w:color w:val="000000" w:themeColor="text1"/>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1C3C9B" w14:paraId="693B422B" w14:textId="77777777" w:rsidTr="00E03CAE">
        <w:trPr>
          <w:trHeight w:val="315"/>
        </w:trPr>
        <w:tc>
          <w:tcPr>
            <w:tcW w:w="1185" w:type="dxa"/>
            <w:tcBorders>
              <w:top w:val="nil"/>
              <w:left w:val="nil"/>
              <w:bottom w:val="nil"/>
              <w:right w:val="nil"/>
            </w:tcBorders>
            <w:tcMar>
              <w:left w:w="105" w:type="dxa"/>
              <w:right w:w="105" w:type="dxa"/>
            </w:tcMar>
            <w:vAlign w:val="center"/>
          </w:tcPr>
          <w:p w14:paraId="2121D713" w14:textId="77777777" w:rsidR="001C3C9B" w:rsidRDefault="001C3C9B" w:rsidP="00E03CAE">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o</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2A44BE62" w14:textId="778ABA1A" w:rsidR="001C3C9B" w:rsidRDefault="001C3C9B" w:rsidP="00E03CAE">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41BF76BF" w14:textId="5748227A" w:rsidR="001C3C9B" w:rsidRPr="005F5CE0" w:rsidRDefault="001C3C9B" w:rsidP="00E03CAE">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1C3C9B" w14:paraId="17927470" w14:textId="77777777" w:rsidTr="00E03CAE">
        <w:trPr>
          <w:trHeight w:val="315"/>
        </w:trPr>
        <w:tc>
          <w:tcPr>
            <w:tcW w:w="1185" w:type="dxa"/>
            <w:tcBorders>
              <w:top w:val="nil"/>
              <w:left w:val="nil"/>
              <w:bottom w:val="nil"/>
              <w:right w:val="nil"/>
            </w:tcBorders>
            <w:tcMar>
              <w:left w:w="105" w:type="dxa"/>
              <w:right w:w="105" w:type="dxa"/>
            </w:tcMar>
            <w:vAlign w:val="center"/>
          </w:tcPr>
          <w:p w14:paraId="21666216" w14:textId="77777777" w:rsidR="001C3C9B" w:rsidRDefault="001C3C9B" w:rsidP="00E03CAE">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6FCDA022" w14:textId="4BD0A120" w:rsidR="001C3C9B" w:rsidRDefault="008D0C05" w:rsidP="00E03CAE">
            <w:pPr>
              <w:rPr>
                <w:rFonts w:ascii="Verdana" w:eastAsia="Verdana" w:hAnsi="Verdana" w:cs="Verdana"/>
                <w:sz w:val="16"/>
                <w:szCs w:val="16"/>
              </w:rPr>
            </w:pPr>
            <w:r>
              <w:rPr>
                <w:rFonts w:ascii="Verdana" w:eastAsia="Verdana" w:hAnsi="Verdana" w:cs="Verdana"/>
                <w:sz w:val="16"/>
                <w:szCs w:val="16"/>
              </w:rPr>
              <w:t>Juan David Cárdenas Cabezas</w:t>
            </w:r>
          </w:p>
          <w:p w14:paraId="3E8536C2" w14:textId="77777777" w:rsidR="001C3C9B" w:rsidRDefault="001C3C9B" w:rsidP="00E03CAE">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1C3C9B" w14:paraId="4FC82A14" w14:textId="77777777" w:rsidTr="00E03CAE">
        <w:trPr>
          <w:trHeight w:val="300"/>
        </w:trPr>
        <w:tc>
          <w:tcPr>
            <w:tcW w:w="1185" w:type="dxa"/>
            <w:tcBorders>
              <w:top w:val="nil"/>
              <w:left w:val="nil"/>
              <w:bottom w:val="nil"/>
              <w:right w:val="nil"/>
            </w:tcBorders>
            <w:tcMar>
              <w:left w:w="105" w:type="dxa"/>
              <w:right w:w="105" w:type="dxa"/>
            </w:tcMar>
            <w:vAlign w:val="center"/>
          </w:tcPr>
          <w:p w14:paraId="6889BCDC" w14:textId="77777777" w:rsidR="001C3C9B" w:rsidRDefault="001C3C9B" w:rsidP="00E03CAE">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71F2B67" w14:textId="71C12E50" w:rsidR="001C3C9B" w:rsidRDefault="001C3C9B" w:rsidP="00E03CAE">
            <w:pPr>
              <w:rPr>
                <w:rFonts w:ascii="Verdana" w:eastAsia="Verdana" w:hAnsi="Verdana" w:cs="Verdana"/>
                <w:sz w:val="16"/>
                <w:szCs w:val="16"/>
              </w:rPr>
            </w:pPr>
            <w:r w:rsidRPr="3F869DD7">
              <w:rPr>
                <w:rFonts w:ascii="Verdana" w:eastAsia="Verdana" w:hAnsi="Verdana" w:cs="Verdana"/>
                <w:sz w:val="16"/>
                <w:szCs w:val="16"/>
              </w:rPr>
              <w:t xml:space="preserve">Carolina Quintero </w:t>
            </w:r>
            <w:proofErr w:type="spellStart"/>
            <w:r w:rsidRPr="3F869DD7">
              <w:rPr>
                <w:rFonts w:ascii="Verdana" w:eastAsia="Verdana" w:hAnsi="Verdana" w:cs="Verdana"/>
                <w:sz w:val="16"/>
                <w:szCs w:val="16"/>
              </w:rPr>
              <w:t>Gacharná</w:t>
            </w:r>
            <w:proofErr w:type="spellEnd"/>
          </w:p>
          <w:p w14:paraId="51D0BBF9" w14:textId="77777777" w:rsidR="001C3C9B" w:rsidRDefault="001C3C9B" w:rsidP="00E03CAE">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4D032D50" w14:textId="6C580BE6" w:rsidR="001C3C9B" w:rsidRPr="000E2B93" w:rsidRDefault="001C3C9B" w:rsidP="001C3C9B">
      <w:pPr>
        <w:spacing w:after="0" w:line="240" w:lineRule="auto"/>
        <w:jc w:val="both"/>
        <w:textAlignment w:val="baseline"/>
        <w:rPr>
          <w:rFonts w:ascii="Verdana" w:eastAsia="Verdana" w:hAnsi="Verdana" w:cs="Verdana"/>
          <w:lang w:eastAsia="es-CO"/>
        </w:rPr>
      </w:pPr>
    </w:p>
    <w:p w14:paraId="0DEE2D0F" w14:textId="15476D3E" w:rsidR="001C3C9B" w:rsidRPr="000E2B93" w:rsidRDefault="001C3C9B" w:rsidP="001C3C9B">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05434782" w14:textId="69513A1A" w:rsidR="001C3C9B" w:rsidRDefault="001C3C9B" w:rsidP="001C3C9B"/>
    <w:p w14:paraId="0F293BF4" w14:textId="3E8490ED" w:rsidR="00127233" w:rsidRPr="0015699B" w:rsidRDefault="00127233" w:rsidP="180EA12C">
      <w:pPr>
        <w:spacing w:after="0" w:line="240" w:lineRule="auto"/>
        <w:jc w:val="both"/>
        <w:textAlignment w:val="baseline"/>
        <w:rPr>
          <w:rFonts w:ascii="Verdana" w:eastAsia="Verdana" w:hAnsi="Verdana" w:cs="Verdana"/>
          <w:color w:val="4E4D4D"/>
          <w:lang w:val="es-ES" w:eastAsia="es-CO"/>
        </w:rPr>
      </w:pPr>
    </w:p>
    <w:sectPr w:rsidR="00127233" w:rsidRPr="0015699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3E14" w14:textId="77777777" w:rsidR="009F31C1" w:rsidRDefault="009F31C1" w:rsidP="004A1847">
      <w:pPr>
        <w:spacing w:after="0" w:line="240" w:lineRule="auto"/>
      </w:pPr>
      <w:r>
        <w:separator/>
      </w:r>
    </w:p>
  </w:endnote>
  <w:endnote w:type="continuationSeparator" w:id="0">
    <w:p w14:paraId="79C87A75" w14:textId="77777777" w:rsidR="009F31C1" w:rsidRDefault="009F31C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Rockwell">
    <w:panose1 w:val="02060603020205020403"/>
    <w:charset w:val="4D"/>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81D06" w14:textId="77777777" w:rsidR="009F31C1" w:rsidRDefault="009F31C1" w:rsidP="004A1847">
      <w:pPr>
        <w:spacing w:after="0" w:line="240" w:lineRule="auto"/>
      </w:pPr>
      <w:r>
        <w:separator/>
      </w:r>
    </w:p>
  </w:footnote>
  <w:footnote w:type="continuationSeparator" w:id="0">
    <w:p w14:paraId="37A1CDF4" w14:textId="77777777" w:rsidR="009F31C1" w:rsidRDefault="009F31C1" w:rsidP="004A1847">
      <w:pPr>
        <w:spacing w:after="0" w:line="240" w:lineRule="auto"/>
      </w:pPr>
      <w:r>
        <w:continuationSeparator/>
      </w:r>
    </w:p>
  </w:footnote>
  <w:footnote w:id="1">
    <w:p w14:paraId="10050FD1" w14:textId="77777777" w:rsidR="00F45CF9" w:rsidRPr="0086345B" w:rsidRDefault="00F45CF9" w:rsidP="00F45C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Sobre esta norma consultar los conceptos del 8 de octubre de 2019, con radicado 2201913000007532, y del 20 de diciembre de 2019, cuyo radicado es el No. 4201913000008240.</w:t>
      </w:r>
    </w:p>
  </w:footnote>
  <w:footnote w:id="2">
    <w:p w14:paraId="2D3C73FB" w14:textId="77777777" w:rsidR="00F45CF9" w:rsidRPr="0086345B" w:rsidRDefault="00F45CF9" w:rsidP="00F45C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33A40B9" w14:textId="77777777" w:rsidR="00F45CF9" w:rsidRPr="0086345B" w:rsidRDefault="00F45CF9" w:rsidP="00F45CF9">
      <w:pPr>
        <w:pStyle w:val="Textonotapie"/>
        <w:ind w:firstLine="708"/>
        <w:jc w:val="both"/>
        <w:rPr>
          <w:rFonts w:ascii="Verdana" w:hAnsi="Verdana" w:cs="Arial"/>
          <w:color w:val="000000"/>
          <w:sz w:val="16"/>
          <w:szCs w:val="16"/>
        </w:rPr>
      </w:pPr>
      <w:r w:rsidRPr="0086345B">
        <w:rPr>
          <w:rFonts w:ascii="Verdana" w:hAnsi="Verdana" w:cs="Arial"/>
          <w:color w:val="000000"/>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
    <w:p w14:paraId="6CD1B932" w14:textId="77777777" w:rsidR="00F45CF9" w:rsidRPr="0086345B" w:rsidRDefault="00F45CF9" w:rsidP="00F45C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4">
    <w:p w14:paraId="44BA91A7" w14:textId="77777777" w:rsidR="00F45CF9" w:rsidRPr="0086345B" w:rsidRDefault="00F45CF9" w:rsidP="00F45CF9">
      <w:pPr>
        <w:pStyle w:val="Textonotapie"/>
        <w:ind w:firstLine="708"/>
        <w:jc w:val="both"/>
        <w:rPr>
          <w:rFonts w:ascii="Verdana" w:hAnsi="Verdana"/>
          <w:sz w:val="16"/>
          <w:szCs w:val="16"/>
        </w:rPr>
      </w:pPr>
      <w:r w:rsidRPr="0086345B">
        <w:rPr>
          <w:rStyle w:val="Refdenotaalpie"/>
          <w:rFonts w:ascii="Verdana" w:hAnsi="Verdana"/>
          <w:sz w:val="16"/>
          <w:szCs w:val="16"/>
        </w:rPr>
        <w:footnoteRef/>
      </w:r>
      <w:r w:rsidRPr="0086345B">
        <w:rPr>
          <w:rFonts w:ascii="Verdana" w:hAnsi="Verdana"/>
          <w:sz w:val="16"/>
          <w:szCs w:val="16"/>
        </w:rPr>
        <w:t xml:space="preserve"> Consejo De Estado. Sala de Consulta y Servicio Civil. Concepto del 30 de mayo de 2017. C.P. Edgar González López. Rad. 2.319. </w:t>
      </w:r>
    </w:p>
  </w:footnote>
  <w:footnote w:id="5">
    <w:p w14:paraId="44728005" w14:textId="77777777" w:rsidR="00F45CF9" w:rsidRPr="0086345B" w:rsidRDefault="00F45CF9" w:rsidP="00F45CF9">
      <w:pPr>
        <w:pStyle w:val="Textonotapie"/>
        <w:ind w:firstLine="709"/>
        <w:jc w:val="both"/>
        <w:rPr>
          <w:rFonts w:ascii="Verdana" w:hAnsi="Verdana" w:cs="Arial"/>
          <w:color w:val="000000" w:themeColor="text1"/>
          <w:sz w:val="16"/>
          <w:szCs w:val="16"/>
        </w:rPr>
      </w:pPr>
      <w:r w:rsidRPr="0086345B">
        <w:rPr>
          <w:rStyle w:val="Refdenotaalpie"/>
          <w:rFonts w:ascii="Verdana" w:hAnsi="Verdana" w:cs="Arial"/>
          <w:color w:val="000000" w:themeColor="text1"/>
          <w:sz w:val="16"/>
          <w:szCs w:val="16"/>
        </w:rPr>
        <w:footnoteRef/>
      </w:r>
      <w:r w:rsidRPr="0086345B">
        <w:rPr>
          <w:rFonts w:ascii="Verdana" w:hAnsi="Verdana" w:cs="Arial"/>
          <w:color w:val="000000" w:themeColor="text1"/>
          <w:sz w:val="16"/>
          <w:szCs w:val="16"/>
        </w:rPr>
        <w:t xml:space="preserve"> Agencia Nacional de Contratación Pública – Colombia Compra Eficiente. Concepto del 3 de septiembre de 2019, con radicado No. 2201913000006512.</w:t>
      </w:r>
    </w:p>
    <w:p w14:paraId="77A61D2D" w14:textId="77777777" w:rsidR="00F45CF9" w:rsidRPr="0086345B" w:rsidRDefault="00F45CF9" w:rsidP="00F45CF9">
      <w:pPr>
        <w:pStyle w:val="Textonotapie"/>
        <w:ind w:firstLine="709"/>
        <w:jc w:val="both"/>
        <w:rPr>
          <w:rFonts w:ascii="Verdana" w:hAnsi="Verdana" w:cs="Arial"/>
          <w:color w:val="000000" w:themeColor="text1"/>
          <w:sz w:val="16"/>
          <w:szCs w:val="16"/>
        </w:rPr>
      </w:pPr>
    </w:p>
  </w:footnote>
  <w:footnote w:id="6">
    <w:p w14:paraId="3ABA2DA0" w14:textId="77777777" w:rsidR="00F45CF9" w:rsidRPr="0086345B" w:rsidRDefault="00F45CF9" w:rsidP="00F45CF9">
      <w:pPr>
        <w:pStyle w:val="Textonotapie"/>
        <w:ind w:firstLine="708"/>
        <w:jc w:val="both"/>
        <w:rPr>
          <w:rFonts w:ascii="Verdana" w:hAnsi="Verdana" w:cs="Arial"/>
          <w:color w:val="000000"/>
          <w:sz w:val="16"/>
          <w:szCs w:val="16"/>
          <w:lang w:val="es-ES"/>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Concepto del 19 de noviembre de 2019, emitido en el radicado No. 2201913000008611.</w:t>
      </w:r>
    </w:p>
  </w:footnote>
  <w:footnote w:id="7">
    <w:p w14:paraId="13752AB8" w14:textId="77777777" w:rsidR="00F45CF9" w:rsidRPr="0086345B" w:rsidRDefault="00F45CF9" w:rsidP="00F45CF9">
      <w:pPr>
        <w:pStyle w:val="Textonotapie"/>
        <w:ind w:firstLine="708"/>
        <w:rPr>
          <w:rFonts w:ascii="Verdana" w:hAnsi="Verdana"/>
          <w:sz w:val="16"/>
          <w:szCs w:val="16"/>
          <w:lang w:val="es-ES"/>
        </w:rPr>
      </w:pPr>
      <w:r w:rsidRPr="0086345B">
        <w:rPr>
          <w:rStyle w:val="Refdenotaalpie"/>
          <w:rFonts w:ascii="Verdana" w:hAnsi="Verdana"/>
          <w:sz w:val="16"/>
          <w:szCs w:val="16"/>
        </w:rPr>
        <w:footnoteRef/>
      </w:r>
      <w:r w:rsidRPr="0086345B">
        <w:rPr>
          <w:rFonts w:ascii="Verdana" w:hAnsi="Verdana"/>
          <w:sz w:val="16"/>
          <w:szCs w:val="16"/>
        </w:rPr>
        <w:t xml:space="preserve"> Agencia Nacional de Contratación Pública –Colombia Compra Eficiente. </w:t>
      </w:r>
      <w:r w:rsidRPr="0086345B">
        <w:rPr>
          <w:rFonts w:ascii="Verdana" w:hAnsi="Verdana"/>
          <w:bCs/>
          <w:iCs/>
          <w:sz w:val="16"/>
          <w:szCs w:val="16"/>
          <w:lang w:val="es-CO"/>
        </w:rPr>
        <w:t>Guía para la contratación con entidades privadas sin ánimo de lucro y de reconocida idoneidad, 2025. p. 14.</w:t>
      </w:r>
      <w:r w:rsidRPr="0086345B">
        <w:rPr>
          <w:rFonts w:ascii="Verdana" w:hAnsi="Verdana"/>
          <w:bCs/>
          <w:i/>
          <w:iCs/>
          <w:sz w:val="16"/>
          <w:szCs w:val="16"/>
          <w:lang w:val="es-CO"/>
        </w:rPr>
        <w:t xml:space="preserve"> </w:t>
      </w:r>
    </w:p>
  </w:footnote>
  <w:footnote w:id="8">
    <w:p w14:paraId="10F49549" w14:textId="77777777" w:rsidR="00F45CF9" w:rsidRPr="0086345B" w:rsidRDefault="00F45CF9" w:rsidP="00F45C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120FCD17" w14:textId="77777777" w:rsidR="00F45CF9" w:rsidRPr="0086345B" w:rsidRDefault="00F45CF9" w:rsidP="00F45CF9">
      <w:pPr>
        <w:pStyle w:val="Textonotapie"/>
        <w:ind w:firstLine="708"/>
        <w:jc w:val="both"/>
        <w:rPr>
          <w:rFonts w:ascii="Verdana" w:hAnsi="Verdana" w:cs="Arial"/>
          <w:color w:val="000000"/>
          <w:sz w:val="16"/>
          <w:szCs w:val="16"/>
        </w:rPr>
      </w:pPr>
    </w:p>
  </w:footnote>
  <w:footnote w:id="9">
    <w:p w14:paraId="033BAE58" w14:textId="77777777" w:rsidR="00F45CF9" w:rsidRPr="0086345B" w:rsidRDefault="00F45CF9" w:rsidP="00F45CF9">
      <w:pPr>
        <w:pStyle w:val="Textonotapie"/>
        <w:ind w:firstLine="708"/>
        <w:jc w:val="both"/>
        <w:rPr>
          <w:rFonts w:ascii="Verdana" w:hAnsi="Verdana" w:cs="Arial"/>
          <w:sz w:val="16"/>
          <w:szCs w:val="16"/>
          <w:lang w:val="es-ES"/>
        </w:rPr>
      </w:pPr>
      <w:r w:rsidRPr="0086345B">
        <w:rPr>
          <w:rStyle w:val="Refdenotaalpie"/>
          <w:rFonts w:ascii="Verdana" w:hAnsi="Verdana" w:cs="Arial"/>
          <w:sz w:val="16"/>
          <w:szCs w:val="16"/>
        </w:rPr>
        <w:footnoteRef/>
      </w:r>
      <w:r w:rsidRPr="0086345B">
        <w:rPr>
          <w:rFonts w:ascii="Verdana" w:hAnsi="Verdana" w:cs="Arial"/>
          <w:sz w:val="16"/>
          <w:szCs w:val="16"/>
        </w:rPr>
        <w:t xml:space="preserve"> </w:t>
      </w:r>
      <w:r w:rsidRPr="0086345B">
        <w:rPr>
          <w:rFonts w:ascii="Verdana" w:hAnsi="Verdana" w:cs="Arial"/>
          <w:sz w:val="16"/>
          <w:szCs w:val="16"/>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p w14:paraId="239C2848" w14:textId="77777777" w:rsidR="00F45CF9" w:rsidRPr="0086345B" w:rsidRDefault="00F45CF9" w:rsidP="00F45CF9">
      <w:pPr>
        <w:pStyle w:val="Textonotapie"/>
        <w:ind w:firstLine="708"/>
        <w:jc w:val="both"/>
        <w:rPr>
          <w:rFonts w:ascii="Verdana" w:hAnsi="Verdana" w:cs="Arial"/>
          <w:sz w:val="16"/>
          <w:szCs w:val="16"/>
          <w:lang w:val="es-ES"/>
        </w:rPr>
      </w:pPr>
    </w:p>
  </w:footnote>
  <w:footnote w:id="10">
    <w:p w14:paraId="38C2227C" w14:textId="77777777" w:rsidR="00F45CF9" w:rsidRPr="0086345B" w:rsidRDefault="00F45CF9" w:rsidP="00F45CF9">
      <w:pPr>
        <w:spacing w:after="0" w:line="240" w:lineRule="auto"/>
        <w:ind w:firstLine="708"/>
        <w:jc w:val="both"/>
        <w:textAlignment w:val="baseline"/>
        <w:rPr>
          <w:rFonts w:ascii="Verdana" w:hAnsi="Verdana" w:cs="Arial"/>
          <w:sz w:val="16"/>
          <w:szCs w:val="16"/>
        </w:rPr>
      </w:pPr>
      <w:r w:rsidRPr="0086345B">
        <w:rPr>
          <w:rStyle w:val="Refdenotaalpie"/>
          <w:rFonts w:ascii="Verdana" w:hAnsi="Verdana" w:cs="Arial"/>
          <w:sz w:val="16"/>
          <w:szCs w:val="16"/>
        </w:rPr>
        <w:footnoteRef/>
      </w:r>
      <w:r w:rsidRPr="0086345B">
        <w:rPr>
          <w:rFonts w:ascii="Verdana" w:hAnsi="Verdana" w:cs="Arial"/>
          <w:sz w:val="16"/>
          <w:szCs w:val="16"/>
        </w:rPr>
        <w:t xml:space="preserve"> </w:t>
      </w:r>
      <w:r w:rsidRPr="0086345B">
        <w:rPr>
          <w:rFonts w:ascii="Verdana" w:eastAsia="Calibri" w:hAnsi="Verdana" w:cs="Arial"/>
          <w:color w:val="000000"/>
          <w:sz w:val="16"/>
          <w:szCs w:val="16"/>
          <w:lang w:val="es-MX"/>
        </w:rPr>
        <w:t>E</w:t>
      </w:r>
      <w:r w:rsidRPr="0086345B">
        <w:rPr>
          <w:rFonts w:ascii="Verdana" w:eastAsia="Calibri" w:hAnsi="Verdana" w:cs="Arial"/>
          <w:sz w:val="16"/>
          <w:szCs w:val="16"/>
          <w:lang w:val="es-ES_tradnl" w:eastAsia="es-ES_tradnl"/>
        </w:rPr>
        <w:t xml:space="preserve">n armonía con lo anterior, las siguientes son las conclusiones que dedujo esta Agencia en relación con los </w:t>
      </w:r>
      <w:r w:rsidRPr="0086345B">
        <w:rPr>
          <w:rFonts w:ascii="Verdana" w:eastAsia="Calibri" w:hAnsi="Verdana" w:cs="Arial"/>
          <w:i/>
          <w:iCs/>
          <w:sz w:val="16"/>
          <w:szCs w:val="16"/>
          <w:lang w:val="es-ES_tradnl" w:eastAsia="es-ES_tradnl"/>
        </w:rPr>
        <w:t>contratos de colaboración</w:t>
      </w:r>
      <w:r w:rsidRPr="0086345B">
        <w:rPr>
          <w:rFonts w:ascii="Verdana" w:eastAsia="Calibri" w:hAnsi="Verdana" w:cs="Arial"/>
          <w:sz w:val="16"/>
          <w:szCs w:val="16"/>
          <w:lang w:val="es-ES_tradnl" w:eastAsia="es-ES_tradnl"/>
        </w:rPr>
        <w:t>, tal como se expresa, por ejemplo, en el concepto C-529 del 11 de agosto de 2020: “</w:t>
      </w:r>
      <w:r w:rsidRPr="0086345B">
        <w:rPr>
          <w:rFonts w:ascii="Verdana" w:eastAsia="Calibri" w:hAnsi="Verdana" w:cs="Arial"/>
          <w:color w:val="000000"/>
          <w:sz w:val="16"/>
          <w:szCs w:val="16"/>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footnote>
  <w:footnote w:id="11">
    <w:p w14:paraId="0AB1AEBD" w14:textId="77777777" w:rsidR="00F45CF9" w:rsidRPr="0086345B" w:rsidRDefault="00F45CF9" w:rsidP="00F45C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Decreto 092,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82" type="#_x0000_t75" style="width:11.05pt;height:11.0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574248D4"/>
    <w:multiLevelType w:val="hybridMultilevel"/>
    <w:tmpl w:val="7FD240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8B10986"/>
    <w:multiLevelType w:val="hybridMultilevel"/>
    <w:tmpl w:val="34B6ACBE"/>
    <w:lvl w:ilvl="0" w:tplc="240A0001">
      <w:start w:val="1"/>
      <w:numFmt w:val="bullet"/>
      <w:lvlText w:val=""/>
      <w:lvlJc w:val="left"/>
      <w:pPr>
        <w:ind w:left="1996" w:hanging="360"/>
      </w:pPr>
      <w:rPr>
        <w:rFonts w:ascii="Symbol" w:hAnsi="Symbol" w:hint="default"/>
      </w:rPr>
    </w:lvl>
    <w:lvl w:ilvl="1" w:tplc="240A0003" w:tentative="1">
      <w:start w:val="1"/>
      <w:numFmt w:val="bullet"/>
      <w:lvlText w:val="o"/>
      <w:lvlJc w:val="left"/>
      <w:pPr>
        <w:ind w:left="2716" w:hanging="360"/>
      </w:pPr>
      <w:rPr>
        <w:rFonts w:ascii="Courier New" w:hAnsi="Courier New" w:cs="Courier New" w:hint="default"/>
      </w:rPr>
    </w:lvl>
    <w:lvl w:ilvl="2" w:tplc="240A0005" w:tentative="1">
      <w:start w:val="1"/>
      <w:numFmt w:val="bullet"/>
      <w:lvlText w:val=""/>
      <w:lvlJc w:val="left"/>
      <w:pPr>
        <w:ind w:left="3436" w:hanging="360"/>
      </w:pPr>
      <w:rPr>
        <w:rFonts w:ascii="Wingdings" w:hAnsi="Wingdings" w:hint="default"/>
      </w:rPr>
    </w:lvl>
    <w:lvl w:ilvl="3" w:tplc="240A0001" w:tentative="1">
      <w:start w:val="1"/>
      <w:numFmt w:val="bullet"/>
      <w:lvlText w:val=""/>
      <w:lvlJc w:val="left"/>
      <w:pPr>
        <w:ind w:left="4156" w:hanging="360"/>
      </w:pPr>
      <w:rPr>
        <w:rFonts w:ascii="Symbol" w:hAnsi="Symbol" w:hint="default"/>
      </w:rPr>
    </w:lvl>
    <w:lvl w:ilvl="4" w:tplc="240A0003" w:tentative="1">
      <w:start w:val="1"/>
      <w:numFmt w:val="bullet"/>
      <w:lvlText w:val="o"/>
      <w:lvlJc w:val="left"/>
      <w:pPr>
        <w:ind w:left="4876" w:hanging="360"/>
      </w:pPr>
      <w:rPr>
        <w:rFonts w:ascii="Courier New" w:hAnsi="Courier New" w:cs="Courier New" w:hint="default"/>
      </w:rPr>
    </w:lvl>
    <w:lvl w:ilvl="5" w:tplc="240A0005" w:tentative="1">
      <w:start w:val="1"/>
      <w:numFmt w:val="bullet"/>
      <w:lvlText w:val=""/>
      <w:lvlJc w:val="left"/>
      <w:pPr>
        <w:ind w:left="5596" w:hanging="360"/>
      </w:pPr>
      <w:rPr>
        <w:rFonts w:ascii="Wingdings" w:hAnsi="Wingdings" w:hint="default"/>
      </w:rPr>
    </w:lvl>
    <w:lvl w:ilvl="6" w:tplc="240A0001" w:tentative="1">
      <w:start w:val="1"/>
      <w:numFmt w:val="bullet"/>
      <w:lvlText w:val=""/>
      <w:lvlJc w:val="left"/>
      <w:pPr>
        <w:ind w:left="6316" w:hanging="360"/>
      </w:pPr>
      <w:rPr>
        <w:rFonts w:ascii="Symbol" w:hAnsi="Symbol" w:hint="default"/>
      </w:rPr>
    </w:lvl>
    <w:lvl w:ilvl="7" w:tplc="240A0003" w:tentative="1">
      <w:start w:val="1"/>
      <w:numFmt w:val="bullet"/>
      <w:lvlText w:val="o"/>
      <w:lvlJc w:val="left"/>
      <w:pPr>
        <w:ind w:left="7036" w:hanging="360"/>
      </w:pPr>
      <w:rPr>
        <w:rFonts w:ascii="Courier New" w:hAnsi="Courier New" w:cs="Courier New" w:hint="default"/>
      </w:rPr>
    </w:lvl>
    <w:lvl w:ilvl="8" w:tplc="240A0005" w:tentative="1">
      <w:start w:val="1"/>
      <w:numFmt w:val="bullet"/>
      <w:lvlText w:val=""/>
      <w:lvlJc w:val="left"/>
      <w:pPr>
        <w:ind w:left="7756"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1959145927">
    <w:abstractNumId w:val="12"/>
  </w:num>
  <w:num w:numId="20" w16cid:durableId="735512611">
    <w:abstractNumId w:val="10"/>
  </w:num>
  <w:num w:numId="21" w16cid:durableId="6347953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3976"/>
    <w:rsid w:val="000D0334"/>
    <w:rsid w:val="000D5DA7"/>
    <w:rsid w:val="000F6486"/>
    <w:rsid w:val="00116940"/>
    <w:rsid w:val="00125105"/>
    <w:rsid w:val="00127233"/>
    <w:rsid w:val="0014091E"/>
    <w:rsid w:val="001452AF"/>
    <w:rsid w:val="0015699B"/>
    <w:rsid w:val="001636BB"/>
    <w:rsid w:val="001640A5"/>
    <w:rsid w:val="001809F3"/>
    <w:rsid w:val="001A33BF"/>
    <w:rsid w:val="001C127D"/>
    <w:rsid w:val="001C3361"/>
    <w:rsid w:val="001C3C9B"/>
    <w:rsid w:val="001C5FDC"/>
    <w:rsid w:val="001C79C0"/>
    <w:rsid w:val="001E4177"/>
    <w:rsid w:val="001F0B24"/>
    <w:rsid w:val="001F7DC6"/>
    <w:rsid w:val="0022400B"/>
    <w:rsid w:val="002421BB"/>
    <w:rsid w:val="002545AA"/>
    <w:rsid w:val="0025796E"/>
    <w:rsid w:val="002707A2"/>
    <w:rsid w:val="002738F0"/>
    <w:rsid w:val="002951A0"/>
    <w:rsid w:val="002962BC"/>
    <w:rsid w:val="002A093D"/>
    <w:rsid w:val="002A0DD0"/>
    <w:rsid w:val="002A49AC"/>
    <w:rsid w:val="002A64FD"/>
    <w:rsid w:val="002B1743"/>
    <w:rsid w:val="002C7A84"/>
    <w:rsid w:val="002E2BF8"/>
    <w:rsid w:val="002E4FD9"/>
    <w:rsid w:val="002E7E60"/>
    <w:rsid w:val="002F3C58"/>
    <w:rsid w:val="002F69F7"/>
    <w:rsid w:val="0030657A"/>
    <w:rsid w:val="00322A85"/>
    <w:rsid w:val="00324168"/>
    <w:rsid w:val="00330834"/>
    <w:rsid w:val="003448F4"/>
    <w:rsid w:val="00356376"/>
    <w:rsid w:val="00366F50"/>
    <w:rsid w:val="00374F5E"/>
    <w:rsid w:val="00377E3E"/>
    <w:rsid w:val="0039153F"/>
    <w:rsid w:val="00393C36"/>
    <w:rsid w:val="003A779E"/>
    <w:rsid w:val="003D0F4D"/>
    <w:rsid w:val="003D5B0D"/>
    <w:rsid w:val="003E0499"/>
    <w:rsid w:val="003E4F80"/>
    <w:rsid w:val="003E6439"/>
    <w:rsid w:val="003F3941"/>
    <w:rsid w:val="00406575"/>
    <w:rsid w:val="00414C74"/>
    <w:rsid w:val="0042722E"/>
    <w:rsid w:val="0044528D"/>
    <w:rsid w:val="00466E39"/>
    <w:rsid w:val="00492321"/>
    <w:rsid w:val="004A1847"/>
    <w:rsid w:val="004A305D"/>
    <w:rsid w:val="004C272D"/>
    <w:rsid w:val="004F21C4"/>
    <w:rsid w:val="004F4CAC"/>
    <w:rsid w:val="004F685F"/>
    <w:rsid w:val="005566E8"/>
    <w:rsid w:val="00574867"/>
    <w:rsid w:val="00591460"/>
    <w:rsid w:val="005A2BD5"/>
    <w:rsid w:val="005A65E0"/>
    <w:rsid w:val="005C3777"/>
    <w:rsid w:val="005C5CDC"/>
    <w:rsid w:val="005D476C"/>
    <w:rsid w:val="005E6A7D"/>
    <w:rsid w:val="005F5CE0"/>
    <w:rsid w:val="006153AE"/>
    <w:rsid w:val="006200BF"/>
    <w:rsid w:val="006219F8"/>
    <w:rsid w:val="00624895"/>
    <w:rsid w:val="006302F7"/>
    <w:rsid w:val="006320E2"/>
    <w:rsid w:val="00646B9F"/>
    <w:rsid w:val="00665D70"/>
    <w:rsid w:val="006823DC"/>
    <w:rsid w:val="006900D9"/>
    <w:rsid w:val="00706001"/>
    <w:rsid w:val="00706C16"/>
    <w:rsid w:val="00711878"/>
    <w:rsid w:val="007340C3"/>
    <w:rsid w:val="00737654"/>
    <w:rsid w:val="00737AEE"/>
    <w:rsid w:val="0074561E"/>
    <w:rsid w:val="0075235A"/>
    <w:rsid w:val="007532A1"/>
    <w:rsid w:val="00756841"/>
    <w:rsid w:val="00761DEA"/>
    <w:rsid w:val="007649AB"/>
    <w:rsid w:val="00771D0C"/>
    <w:rsid w:val="007833AC"/>
    <w:rsid w:val="007B268C"/>
    <w:rsid w:val="007B7171"/>
    <w:rsid w:val="007C0C0F"/>
    <w:rsid w:val="007C3DC2"/>
    <w:rsid w:val="007E5497"/>
    <w:rsid w:val="007E75E4"/>
    <w:rsid w:val="007F136D"/>
    <w:rsid w:val="007F7B46"/>
    <w:rsid w:val="00806F5F"/>
    <w:rsid w:val="00820278"/>
    <w:rsid w:val="008258C9"/>
    <w:rsid w:val="00844AE9"/>
    <w:rsid w:val="00854EC2"/>
    <w:rsid w:val="0086287B"/>
    <w:rsid w:val="00867F95"/>
    <w:rsid w:val="008843B6"/>
    <w:rsid w:val="00891928"/>
    <w:rsid w:val="008A446D"/>
    <w:rsid w:val="008B25F1"/>
    <w:rsid w:val="008D0C05"/>
    <w:rsid w:val="008D180B"/>
    <w:rsid w:val="008D3A4C"/>
    <w:rsid w:val="008F0882"/>
    <w:rsid w:val="008F0EA7"/>
    <w:rsid w:val="00911A20"/>
    <w:rsid w:val="00912003"/>
    <w:rsid w:val="00923EEF"/>
    <w:rsid w:val="009419F9"/>
    <w:rsid w:val="009533C3"/>
    <w:rsid w:val="0095685E"/>
    <w:rsid w:val="00961B09"/>
    <w:rsid w:val="00965334"/>
    <w:rsid w:val="0097093E"/>
    <w:rsid w:val="00982D81"/>
    <w:rsid w:val="00987173"/>
    <w:rsid w:val="009A0DFA"/>
    <w:rsid w:val="009A1C6F"/>
    <w:rsid w:val="009B2D26"/>
    <w:rsid w:val="009C7104"/>
    <w:rsid w:val="009C71FA"/>
    <w:rsid w:val="009C72E7"/>
    <w:rsid w:val="009C7F7E"/>
    <w:rsid w:val="009D3058"/>
    <w:rsid w:val="009F31C1"/>
    <w:rsid w:val="009F3A13"/>
    <w:rsid w:val="00A0009E"/>
    <w:rsid w:val="00A06B71"/>
    <w:rsid w:val="00A07EA1"/>
    <w:rsid w:val="00A07F66"/>
    <w:rsid w:val="00A122D3"/>
    <w:rsid w:val="00A14468"/>
    <w:rsid w:val="00A17F13"/>
    <w:rsid w:val="00A20739"/>
    <w:rsid w:val="00A23AF9"/>
    <w:rsid w:val="00A33C78"/>
    <w:rsid w:val="00A33F1A"/>
    <w:rsid w:val="00A422A1"/>
    <w:rsid w:val="00A54465"/>
    <w:rsid w:val="00A70217"/>
    <w:rsid w:val="00AB0ADB"/>
    <w:rsid w:val="00AC1AEF"/>
    <w:rsid w:val="00AD3354"/>
    <w:rsid w:val="00AD6821"/>
    <w:rsid w:val="00AF5D43"/>
    <w:rsid w:val="00B00C0E"/>
    <w:rsid w:val="00B01B1A"/>
    <w:rsid w:val="00B0381D"/>
    <w:rsid w:val="00B44A47"/>
    <w:rsid w:val="00B507EF"/>
    <w:rsid w:val="00B72CD3"/>
    <w:rsid w:val="00B72FFF"/>
    <w:rsid w:val="00BA2097"/>
    <w:rsid w:val="00BA7FBA"/>
    <w:rsid w:val="00BC3D36"/>
    <w:rsid w:val="00BD54A6"/>
    <w:rsid w:val="00BD7F72"/>
    <w:rsid w:val="00BF125C"/>
    <w:rsid w:val="00BF4EB9"/>
    <w:rsid w:val="00BF7425"/>
    <w:rsid w:val="00C02323"/>
    <w:rsid w:val="00C04FB3"/>
    <w:rsid w:val="00C05406"/>
    <w:rsid w:val="00C11D8B"/>
    <w:rsid w:val="00C13267"/>
    <w:rsid w:val="00C15139"/>
    <w:rsid w:val="00C330EB"/>
    <w:rsid w:val="00C50D69"/>
    <w:rsid w:val="00C5365C"/>
    <w:rsid w:val="00C754BE"/>
    <w:rsid w:val="00C76B1C"/>
    <w:rsid w:val="00C925AC"/>
    <w:rsid w:val="00C96899"/>
    <w:rsid w:val="00CA0C4B"/>
    <w:rsid w:val="00CA474D"/>
    <w:rsid w:val="00CA48BB"/>
    <w:rsid w:val="00CB6357"/>
    <w:rsid w:val="00CC147F"/>
    <w:rsid w:val="00CC1B26"/>
    <w:rsid w:val="00CF5DDE"/>
    <w:rsid w:val="00D168A2"/>
    <w:rsid w:val="00D20B16"/>
    <w:rsid w:val="00D361FD"/>
    <w:rsid w:val="00D423A2"/>
    <w:rsid w:val="00D44E26"/>
    <w:rsid w:val="00D47799"/>
    <w:rsid w:val="00D520D8"/>
    <w:rsid w:val="00D63AC2"/>
    <w:rsid w:val="00D7383B"/>
    <w:rsid w:val="00D7788A"/>
    <w:rsid w:val="00D94926"/>
    <w:rsid w:val="00DA231B"/>
    <w:rsid w:val="00DC39FC"/>
    <w:rsid w:val="00DD5639"/>
    <w:rsid w:val="00DD68C3"/>
    <w:rsid w:val="00DF5254"/>
    <w:rsid w:val="00E02524"/>
    <w:rsid w:val="00E123CF"/>
    <w:rsid w:val="00E14871"/>
    <w:rsid w:val="00E16408"/>
    <w:rsid w:val="00E20894"/>
    <w:rsid w:val="00E245AB"/>
    <w:rsid w:val="00E2764C"/>
    <w:rsid w:val="00E27F2E"/>
    <w:rsid w:val="00E4588F"/>
    <w:rsid w:val="00E50AFE"/>
    <w:rsid w:val="00E75C92"/>
    <w:rsid w:val="00E771DC"/>
    <w:rsid w:val="00E821FA"/>
    <w:rsid w:val="00E82E66"/>
    <w:rsid w:val="00E8772A"/>
    <w:rsid w:val="00E90F6B"/>
    <w:rsid w:val="00E92C27"/>
    <w:rsid w:val="00EA0E3D"/>
    <w:rsid w:val="00EC38A7"/>
    <w:rsid w:val="00ED1E0F"/>
    <w:rsid w:val="00EE1AA8"/>
    <w:rsid w:val="00F07FC4"/>
    <w:rsid w:val="00F23FEA"/>
    <w:rsid w:val="00F31EDC"/>
    <w:rsid w:val="00F41075"/>
    <w:rsid w:val="00F45CF9"/>
    <w:rsid w:val="00F462B3"/>
    <w:rsid w:val="00F5664F"/>
    <w:rsid w:val="00F666C4"/>
    <w:rsid w:val="00F736CD"/>
    <w:rsid w:val="00F76AFC"/>
    <w:rsid w:val="00FA47C0"/>
    <w:rsid w:val="00FB5DD1"/>
    <w:rsid w:val="00FC2B5D"/>
    <w:rsid w:val="00FE011C"/>
    <w:rsid w:val="00FE0461"/>
    <w:rsid w:val="00FF1449"/>
    <w:rsid w:val="00FF7669"/>
    <w:rsid w:val="00FF7963"/>
    <w:rsid w:val="071B8F93"/>
    <w:rsid w:val="07C73DD1"/>
    <w:rsid w:val="09908A09"/>
    <w:rsid w:val="0E0AF0F4"/>
    <w:rsid w:val="0EFE6349"/>
    <w:rsid w:val="0FF4CCA8"/>
    <w:rsid w:val="13CFC91B"/>
    <w:rsid w:val="180EA12C"/>
    <w:rsid w:val="19A2EC2C"/>
    <w:rsid w:val="21779BE6"/>
    <w:rsid w:val="2859CA1B"/>
    <w:rsid w:val="2C4D2425"/>
    <w:rsid w:val="2EE1E026"/>
    <w:rsid w:val="2F44F38F"/>
    <w:rsid w:val="30821638"/>
    <w:rsid w:val="32A4F9CF"/>
    <w:rsid w:val="33A1FF93"/>
    <w:rsid w:val="356CEDFD"/>
    <w:rsid w:val="3C591AFD"/>
    <w:rsid w:val="42183F0A"/>
    <w:rsid w:val="545B112A"/>
    <w:rsid w:val="567B145F"/>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C3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C3C9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3F1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280361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9154018">
      <w:bodyDiv w:val="1"/>
      <w:marLeft w:val="0"/>
      <w:marRight w:val="0"/>
      <w:marTop w:val="0"/>
      <w:marBottom w:val="0"/>
      <w:divBdr>
        <w:top w:val="none" w:sz="0" w:space="0" w:color="auto"/>
        <w:left w:val="none" w:sz="0" w:space="0" w:color="auto"/>
        <w:bottom w:val="none" w:sz="0" w:space="0" w:color="auto"/>
        <w:right w:val="none" w:sz="0" w:space="0" w:color="auto"/>
      </w:divBdr>
      <w:divsChild>
        <w:div w:id="664168660">
          <w:marLeft w:val="0"/>
          <w:marRight w:val="0"/>
          <w:marTop w:val="0"/>
          <w:marBottom w:val="0"/>
          <w:divBdr>
            <w:top w:val="none" w:sz="0" w:space="0" w:color="auto"/>
            <w:left w:val="none" w:sz="0" w:space="0" w:color="auto"/>
            <w:bottom w:val="none" w:sz="0" w:space="0" w:color="auto"/>
            <w:right w:val="none" w:sz="0" w:space="0" w:color="auto"/>
          </w:divBdr>
          <w:divsChild>
            <w:div w:id="2033217497">
              <w:marLeft w:val="0"/>
              <w:marRight w:val="0"/>
              <w:marTop w:val="0"/>
              <w:marBottom w:val="0"/>
              <w:divBdr>
                <w:top w:val="none" w:sz="0" w:space="0" w:color="auto"/>
                <w:left w:val="none" w:sz="0" w:space="0" w:color="auto"/>
                <w:bottom w:val="none" w:sz="0" w:space="0" w:color="auto"/>
                <w:right w:val="none" w:sz="0" w:space="0" w:color="auto"/>
              </w:divBdr>
              <w:divsChild>
                <w:div w:id="1238248297">
                  <w:marLeft w:val="0"/>
                  <w:marRight w:val="0"/>
                  <w:marTop w:val="0"/>
                  <w:marBottom w:val="0"/>
                  <w:divBdr>
                    <w:top w:val="none" w:sz="0" w:space="0" w:color="auto"/>
                    <w:left w:val="none" w:sz="0" w:space="0" w:color="auto"/>
                    <w:bottom w:val="none" w:sz="0" w:space="0" w:color="auto"/>
                    <w:right w:val="none" w:sz="0" w:space="0" w:color="auto"/>
                  </w:divBdr>
                </w:div>
              </w:divsChild>
            </w:div>
            <w:div w:id="1142504600">
              <w:marLeft w:val="0"/>
              <w:marRight w:val="0"/>
              <w:marTop w:val="0"/>
              <w:marBottom w:val="0"/>
              <w:divBdr>
                <w:top w:val="none" w:sz="0" w:space="0" w:color="auto"/>
                <w:left w:val="none" w:sz="0" w:space="0" w:color="auto"/>
                <w:bottom w:val="none" w:sz="0" w:space="0" w:color="auto"/>
                <w:right w:val="none" w:sz="0" w:space="0" w:color="auto"/>
              </w:divBdr>
              <w:divsChild>
                <w:div w:id="203333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10461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29302752">
      <w:bodyDiv w:val="1"/>
      <w:marLeft w:val="0"/>
      <w:marRight w:val="0"/>
      <w:marTop w:val="0"/>
      <w:marBottom w:val="0"/>
      <w:divBdr>
        <w:top w:val="none" w:sz="0" w:space="0" w:color="auto"/>
        <w:left w:val="none" w:sz="0" w:space="0" w:color="auto"/>
        <w:bottom w:val="none" w:sz="0" w:space="0" w:color="auto"/>
        <w:right w:val="none" w:sz="0" w:space="0" w:color="auto"/>
      </w:divBdr>
      <w:divsChild>
        <w:div w:id="1204832950">
          <w:marLeft w:val="0"/>
          <w:marRight w:val="0"/>
          <w:marTop w:val="0"/>
          <w:marBottom w:val="0"/>
          <w:divBdr>
            <w:top w:val="none" w:sz="0" w:space="0" w:color="auto"/>
            <w:left w:val="none" w:sz="0" w:space="0" w:color="auto"/>
            <w:bottom w:val="none" w:sz="0" w:space="0" w:color="auto"/>
            <w:right w:val="none" w:sz="0" w:space="0" w:color="auto"/>
          </w:divBdr>
          <w:divsChild>
            <w:div w:id="879898900">
              <w:marLeft w:val="0"/>
              <w:marRight w:val="0"/>
              <w:marTop w:val="0"/>
              <w:marBottom w:val="0"/>
              <w:divBdr>
                <w:top w:val="none" w:sz="0" w:space="0" w:color="auto"/>
                <w:left w:val="none" w:sz="0" w:space="0" w:color="auto"/>
                <w:bottom w:val="none" w:sz="0" w:space="0" w:color="auto"/>
                <w:right w:val="none" w:sz="0" w:space="0" w:color="auto"/>
              </w:divBdr>
              <w:divsChild>
                <w:div w:id="412818592">
                  <w:marLeft w:val="0"/>
                  <w:marRight w:val="0"/>
                  <w:marTop w:val="0"/>
                  <w:marBottom w:val="0"/>
                  <w:divBdr>
                    <w:top w:val="none" w:sz="0" w:space="0" w:color="auto"/>
                    <w:left w:val="none" w:sz="0" w:space="0" w:color="auto"/>
                    <w:bottom w:val="none" w:sz="0" w:space="0" w:color="auto"/>
                    <w:right w:val="none" w:sz="0" w:space="0" w:color="auto"/>
                  </w:divBdr>
                </w:div>
              </w:divsChild>
            </w:div>
            <w:div w:id="193007248">
              <w:marLeft w:val="0"/>
              <w:marRight w:val="0"/>
              <w:marTop w:val="0"/>
              <w:marBottom w:val="0"/>
              <w:divBdr>
                <w:top w:val="none" w:sz="0" w:space="0" w:color="auto"/>
                <w:left w:val="none" w:sz="0" w:space="0" w:color="auto"/>
                <w:bottom w:val="none" w:sz="0" w:space="0" w:color="auto"/>
                <w:right w:val="none" w:sz="0" w:space="0" w:color="auto"/>
              </w:divBdr>
              <w:divsChild>
                <w:div w:id="155262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la-contratacion-con-entidades-sin-animo-de-lucro-y-de-reconocida-idoneidad" TargetMode="External"/><Relationship Id="rId18"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uanseolaya@gmail.com" TargetMode="External"/><Relationship Id="rId17"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07EB88-7E63-47C7-86C7-07501E7CE48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16B210-9BCB-4020-AE04-6A109474838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20</Pages>
  <Words>6916</Words>
  <Characters>38042</Characters>
  <Application>Microsoft Office Word</Application>
  <DocSecurity>0</DocSecurity>
  <Lines>317</Lines>
  <Paragraphs>89</Paragraphs>
  <ScaleCrop>false</ScaleCrop>
  <Company/>
  <LinksUpToDate>false</LinksUpToDate>
  <CharactersWithSpaces>44869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12</cp:revision>
  <cp:lastPrinted>2023-01-10T21:18:00Z</cp:lastPrinted>
  <dcterms:created xsi:type="dcterms:W3CDTF">2026-10-26T20:34:00Z</dcterms:created>
  <dcterms:modified xsi:type="dcterms:W3CDTF">2026-10-26T20:55:00Z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