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AF0DE" w14:textId="7CEECC43" w:rsidR="00654E0A" w:rsidRPr="00CA4347" w:rsidRDefault="00654E0A" w:rsidP="00CA4347">
      <w:pPr>
        <w:tabs>
          <w:tab w:val="left" w:pos="0"/>
        </w:tabs>
        <w:spacing w:before="120" w:after="120" w:line="240" w:lineRule="auto"/>
        <w:jc w:val="both"/>
        <w:rPr>
          <w:rFonts w:ascii="Verdana" w:eastAsia="Calibri" w:hAnsi="Verdana" w:cs="Arial"/>
          <w:b/>
          <w:bCs/>
          <w:sz w:val="20"/>
          <w:szCs w:val="20"/>
          <w:lang w:val="es-ES_tradnl"/>
        </w:rPr>
      </w:pPr>
      <w:bookmarkStart w:id="0" w:name="_Hlk143780582"/>
      <w:r w:rsidRPr="00CA4347">
        <w:rPr>
          <w:rFonts w:ascii="Verdana" w:eastAsia="Calibri" w:hAnsi="Verdana" w:cs="Arial"/>
          <w:b/>
          <w:bCs/>
          <w:sz w:val="20"/>
          <w:szCs w:val="20"/>
          <w:lang w:val="es-ES_tradnl"/>
        </w:rPr>
        <w:t xml:space="preserve">PLAN ANUAL DE ADQUISICIONES - Noción – Contenido </w:t>
      </w:r>
    </w:p>
    <w:p w14:paraId="6071D920" w14:textId="77777777" w:rsidR="00CA4347" w:rsidRDefault="00FE4B85" w:rsidP="00CA4347">
      <w:pPr>
        <w:tabs>
          <w:tab w:val="left" w:pos="0"/>
        </w:tabs>
        <w:spacing w:before="120" w:after="120" w:line="240" w:lineRule="auto"/>
        <w:jc w:val="both"/>
        <w:rPr>
          <w:rFonts w:ascii="Verdana" w:eastAsia="Calibri" w:hAnsi="Verdana" w:cs="Arial"/>
          <w:sz w:val="20"/>
          <w:szCs w:val="20"/>
        </w:rPr>
      </w:pPr>
      <w:r w:rsidRPr="00CA4347">
        <w:rPr>
          <w:rFonts w:ascii="Verdana" w:eastAsia="Calibri" w:hAnsi="Verdana" w:cs="Arial"/>
          <w:sz w:val="20"/>
          <w:szCs w:val="20"/>
          <w:lang w:val="es-ES_tradnl"/>
        </w:rPr>
        <w:t>La Guía para elaborar el Plan Anual de Adquisicione</w:t>
      </w:r>
      <w:r w:rsidR="00CA4347" w:rsidRPr="00CA4347">
        <w:rPr>
          <w:rFonts w:ascii="Verdana" w:eastAsia="Calibri" w:hAnsi="Verdana" w:cs="Arial"/>
          <w:sz w:val="20"/>
          <w:szCs w:val="20"/>
          <w:lang w:val="es-ES_tradnl"/>
        </w:rPr>
        <w:t>s</w:t>
      </w:r>
      <w:r w:rsidRPr="00CA4347">
        <w:rPr>
          <w:rFonts w:ascii="Verdana" w:eastAsia="Calibri" w:hAnsi="Verdana" w:cs="Arial"/>
          <w:sz w:val="20"/>
          <w:szCs w:val="20"/>
          <w:lang w:val="es-ES_tradnl"/>
        </w:rPr>
        <w:t xml:space="preserve"> de esta Agencia, define al Plan Anual de Adquisiciones, en adelante PAA como “un instrumento de planificación y</w:t>
      </w:r>
      <w:r w:rsidRPr="00CA4347">
        <w:rPr>
          <w:rFonts w:ascii="Verdana" w:eastAsia="Calibri" w:hAnsi="Verdana" w:cs="Arial"/>
          <w:sz w:val="20"/>
          <w:szCs w:val="20"/>
        </w:rPr>
        <w:t xml:space="preserve">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w:t>
      </w:r>
      <w:r w:rsidR="00CA4347" w:rsidRPr="00CA4347">
        <w:rPr>
          <w:rFonts w:ascii="Verdana" w:eastAsia="Calibri" w:hAnsi="Verdana" w:cs="Arial"/>
          <w:sz w:val="20"/>
          <w:szCs w:val="20"/>
        </w:rPr>
        <w:t>n”.</w:t>
      </w:r>
    </w:p>
    <w:p w14:paraId="4792469F" w14:textId="1CF79091" w:rsidR="00FE4B85" w:rsidRPr="00CA4347" w:rsidRDefault="00FE4B85" w:rsidP="00CA4347">
      <w:pPr>
        <w:tabs>
          <w:tab w:val="left" w:pos="0"/>
        </w:tabs>
        <w:spacing w:before="120" w:after="120" w:line="240" w:lineRule="auto"/>
        <w:jc w:val="both"/>
        <w:rPr>
          <w:rFonts w:ascii="Verdana" w:eastAsia="Calibri" w:hAnsi="Verdana" w:cs="Arial"/>
          <w:sz w:val="20"/>
          <w:szCs w:val="20"/>
          <w:lang w:val="es-ES"/>
        </w:rPr>
      </w:pPr>
      <w:r w:rsidRPr="00CA4347">
        <w:rPr>
          <w:rFonts w:ascii="Verdana" w:eastAsia="Calibri" w:hAnsi="Verdana" w:cs="Arial"/>
          <w:sz w:val="20"/>
          <w:szCs w:val="20"/>
          <w:lang w:val="es-ES"/>
        </w:rPr>
        <w:t xml:space="preserve">De acuerdo con el artículo </w:t>
      </w:r>
      <w:r w:rsidRPr="00CA4347">
        <w:rPr>
          <w:rFonts w:ascii="Verdana" w:eastAsia="Calibri" w:hAnsi="Verdana" w:cs="Arial"/>
          <w:kern w:val="2"/>
          <w:sz w:val="20"/>
          <w:szCs w:val="20"/>
          <w14:ligatures w14:val="standardContextual"/>
        </w:rPr>
        <w:t>2.2.1.1.1.3.1 del Decreto 1082 de 2015, el PAA es el plan general de compras al que se refiere el artículo 74 de la Ley 1474 de 2011 y el plan de compras al que se refiere la Ley Anual de Presupuesto. Asimismo, el artículo 2.1.1.1.3.1 del Decreto 1082 de 2015 lo define como un instrumento de planeación contractual que las Entidades Estatales debe diligenciar, publicar y actualizar.</w:t>
      </w:r>
      <w:r w:rsidRPr="00CA4347">
        <w:rPr>
          <w:rFonts w:ascii="Verdana" w:eastAsia="Calibri" w:hAnsi="Verdana" w:cs="Arial"/>
          <w:sz w:val="20"/>
          <w:szCs w:val="20"/>
          <w:lang w:val="es-ES"/>
        </w:rPr>
        <w:t xml:space="preserve"> En particular, el artículo 74 de la Ley 1474 de 2011 dispone que “todas las entidades del Estado” deben publicar, a más tardar el 31</w:t>
      </w:r>
      <w:r w:rsidRPr="00CA4347">
        <w:rPr>
          <w:rFonts w:ascii="Verdana" w:eastAsia="Calibri" w:hAnsi="Verdana" w:cs="Arial"/>
          <w:sz w:val="20"/>
          <w:szCs w:val="20"/>
          <w:lang w:val="es-ES_tradnl"/>
        </w:rPr>
        <w:t xml:space="preserve"> de enero de cada año, en su respectiva página web, el plan de acción, en el cual se incluye el plan general de compras. Como ya se indicó, el plan general de compras para el ordenamiento vigente corresponde con el concepto de Plan Anual de Adquisiciones como lo establece el artículo 2.2.1.1.1.3.1. del Decreto 1082 de 2015.</w:t>
      </w:r>
    </w:p>
    <w:p w14:paraId="1533CCFB" w14:textId="218DD82D" w:rsidR="00654E0A" w:rsidRDefault="00654E0A" w:rsidP="00654E0A">
      <w:pPr>
        <w:jc w:val="both"/>
        <w:rPr>
          <w:rFonts w:ascii="Verdana" w:eastAsia="Calibri" w:hAnsi="Verdana" w:cs="Arial"/>
          <w:b/>
          <w:bCs/>
          <w:lang w:val="es-ES" w:eastAsia="es-ES"/>
        </w:rPr>
      </w:pPr>
      <w:r w:rsidRPr="00654E0A">
        <w:rPr>
          <w:rFonts w:ascii="Verdana" w:eastAsia="Calibri" w:hAnsi="Verdana" w:cs="Arial"/>
          <w:b/>
          <w:bCs/>
          <w:lang w:val="es-ES" w:eastAsia="es-ES"/>
        </w:rPr>
        <w:t>PLAN ANUAL DE ADQUISICIONES – Carácter estimativo</w:t>
      </w:r>
    </w:p>
    <w:p w14:paraId="2C27D198" w14:textId="2C380440" w:rsidR="00243182" w:rsidRPr="00243182" w:rsidRDefault="00243182" w:rsidP="00243182">
      <w:pPr>
        <w:spacing w:before="120" w:after="120" w:line="240" w:lineRule="auto"/>
        <w:jc w:val="both"/>
        <w:rPr>
          <w:rFonts w:ascii="Verdana" w:eastAsia="Calibri" w:hAnsi="Verdana" w:cs="Arial"/>
          <w:sz w:val="20"/>
          <w:szCs w:val="20"/>
        </w:rPr>
      </w:pPr>
      <w:r w:rsidRPr="00243182">
        <w:rPr>
          <w:rFonts w:ascii="Verdana" w:eastAsia="Calibri" w:hAnsi="Verdana" w:cs="Arial"/>
          <w:sz w:val="20"/>
          <w:szCs w:val="20"/>
        </w:rPr>
        <w:t xml:space="preserve">[…] se considera que el PAA es un instrumento de planificación y orientación de las Entidades Estatales,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0EA08CA3" w14:textId="77777777" w:rsidR="00243182" w:rsidRPr="00243182" w:rsidRDefault="00243182" w:rsidP="00243182">
      <w:pPr>
        <w:spacing w:before="120" w:after="120" w:line="240" w:lineRule="auto"/>
        <w:jc w:val="both"/>
        <w:rPr>
          <w:rFonts w:ascii="Verdana" w:eastAsia="Calibri" w:hAnsi="Verdana" w:cs="Arial"/>
          <w:sz w:val="20"/>
          <w:szCs w:val="20"/>
        </w:rPr>
      </w:pPr>
      <w:r w:rsidRPr="00243182">
        <w:rPr>
          <w:rFonts w:ascii="Verdana" w:eastAsia="Calibri" w:hAnsi="Verdana" w:cs="Arial"/>
          <w:sz w:val="20"/>
          <w:szCs w:val="20"/>
        </w:rPr>
        <w:t>Lo anterior, explica por qué no tiene que existir necesariamente identidad entre el valor del contrato previsto en el plan y el de cada procedimiento de contratación, porque la norma señaló que el valor del contrato, señalado en el plan, es “estimado”. Al respecto, es preciso indicar que el Consejo de Estado, en el Concepto No. 1.920 del 2008, asimila el “valor inicial” del contrato, como aquel aproximado o estimado</w:t>
      </w:r>
      <w:r w:rsidRPr="00243182">
        <w:rPr>
          <w:rFonts w:ascii="Verdana" w:eastAsia="Calibri" w:hAnsi="Verdana" w:cs="Arial"/>
          <w:i/>
          <w:iCs/>
          <w:sz w:val="20"/>
          <w:szCs w:val="20"/>
        </w:rPr>
        <w:t xml:space="preserve"> </w:t>
      </w:r>
      <w:r w:rsidRPr="00243182">
        <w:rPr>
          <w:rFonts w:ascii="Verdana" w:eastAsia="Calibri" w:hAnsi="Verdana" w:cs="Arial"/>
          <w:sz w:val="20"/>
          <w:szCs w:val="20"/>
        </w:rPr>
        <w:t xml:space="preserve">por el que se firmó el contrato. Esto significa que el valor estimado debe entenderse como la estimación inicial de todos los compromisos económicos que puedan derivar del contrato, sin importar si es una entidad la que realiza el aporte o varias. En conclusión, el valor estimado del contrato que las entidades incluyen en el </w:t>
      </w:r>
      <w:proofErr w:type="gramStart"/>
      <w:r w:rsidRPr="00243182">
        <w:rPr>
          <w:rFonts w:ascii="Verdana" w:eastAsia="Calibri" w:hAnsi="Verdana" w:cs="Arial"/>
          <w:sz w:val="20"/>
          <w:szCs w:val="20"/>
        </w:rPr>
        <w:t>PAA,</w:t>
      </w:r>
      <w:proofErr w:type="gramEnd"/>
      <w:r w:rsidRPr="00243182">
        <w:rPr>
          <w:rFonts w:ascii="Verdana" w:eastAsia="Calibri" w:hAnsi="Verdana" w:cs="Arial"/>
          <w:sz w:val="20"/>
          <w:szCs w:val="20"/>
        </w:rPr>
        <w:t xml:space="preserve"> es el valor total del proceso contractual.</w:t>
      </w:r>
    </w:p>
    <w:p w14:paraId="57106CB9" w14:textId="77777777" w:rsidR="00243182" w:rsidRDefault="00243182" w:rsidP="00654E0A">
      <w:pPr>
        <w:jc w:val="both"/>
        <w:rPr>
          <w:rFonts w:ascii="Verdana" w:eastAsia="Calibri" w:hAnsi="Verdana" w:cs="Arial"/>
          <w:b/>
          <w:bCs/>
          <w:lang w:val="es-ES" w:eastAsia="es-ES"/>
        </w:rPr>
      </w:pPr>
    </w:p>
    <w:p w14:paraId="3DA38D22" w14:textId="77777777" w:rsidR="00CA4347" w:rsidRPr="00654E0A" w:rsidRDefault="00CA4347" w:rsidP="00654E0A">
      <w:pPr>
        <w:jc w:val="both"/>
        <w:rPr>
          <w:rFonts w:ascii="Arial" w:eastAsia="Calibri" w:hAnsi="Arial" w:cs="Arial"/>
          <w:b/>
          <w:bCs/>
          <w:color w:val="000000" w:themeColor="text1"/>
        </w:rPr>
      </w:pPr>
    </w:p>
    <w:p w14:paraId="26ADC06C" w14:textId="77777777" w:rsidR="00060020" w:rsidRDefault="00060020">
      <w:pPr>
        <w:rPr>
          <w:rFonts w:ascii="Verdana" w:eastAsia="Verdana" w:hAnsi="Verdana" w:cs="Verdana"/>
        </w:rPr>
      </w:pPr>
      <w:r>
        <w:rPr>
          <w:rFonts w:ascii="Verdana" w:eastAsia="Verdana" w:hAnsi="Verdana" w:cs="Verdana"/>
        </w:rPr>
        <w:br w:type="page"/>
      </w:r>
    </w:p>
    <w:p w14:paraId="1468C46D" w14:textId="508CC490" w:rsidR="00C15139" w:rsidRPr="0024624F" w:rsidRDefault="00161633" w:rsidP="30821638">
      <w:pPr>
        <w:spacing w:after="0"/>
        <w:rPr>
          <w:rFonts w:ascii="Verdana" w:eastAsia="Verdana" w:hAnsi="Verdana" w:cs="Verdana"/>
        </w:rPr>
      </w:pPr>
      <w:r w:rsidRPr="00161633">
        <w:rPr>
          <w:rFonts w:ascii="Verdana" w:eastAsia="Verdana" w:hAnsi="Verdana" w:cs="Verdana"/>
          <w:noProof/>
        </w:rPr>
        <w:lastRenderedPageBreak/>
        <w:drawing>
          <wp:anchor distT="0" distB="0" distL="114300" distR="114300" simplePos="0" relativeHeight="251658240" behindDoc="1" locked="0" layoutInCell="1" allowOverlap="1" wp14:anchorId="3CAA058A" wp14:editId="13C2ED8A">
            <wp:simplePos x="0" y="0"/>
            <wp:positionH relativeFrom="margin">
              <wp:posOffset>3411398</wp:posOffset>
            </wp:positionH>
            <wp:positionV relativeFrom="paragraph">
              <wp:posOffset>4851</wp:posOffset>
            </wp:positionV>
            <wp:extent cx="2197011" cy="607298"/>
            <wp:effectExtent l="0" t="0" r="0" b="2540"/>
            <wp:wrapNone/>
            <wp:docPr id="4754948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9149" cy="6106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 xml:space="preserve">28 Septiembre 2026 </w:t>
      </w:r>
      <w:r w:rsidR="00C15139">
        <w:br/>
      </w:r>
      <w:r w:rsidR="00C15139">
        <w:tab/>
      </w:r>
    </w:p>
    <w:p w14:paraId="6D243ABE" w14:textId="77777777" w:rsidR="005A35E1" w:rsidRPr="00A77871" w:rsidRDefault="005A35E1" w:rsidP="005A35E1">
      <w:pPr>
        <w:pStyle w:val="Sinespaciado"/>
        <w:jc w:val="both"/>
        <w:rPr>
          <w:rFonts w:ascii="Verdana" w:hAnsi="Verdana"/>
          <w:lang w:eastAsia="es-ES"/>
        </w:rPr>
      </w:pPr>
      <w:bookmarkStart w:id="1" w:name="_Hlk186494164"/>
      <w:r w:rsidRPr="00A77871">
        <w:rPr>
          <w:rFonts w:ascii="Verdana" w:hAnsi="Verdana"/>
          <w:lang w:eastAsia="es-ES"/>
        </w:rPr>
        <w:t>Señor</w:t>
      </w:r>
    </w:p>
    <w:p w14:paraId="06C105B2" w14:textId="45F58A23" w:rsidR="00336674" w:rsidRDefault="00336674" w:rsidP="005A35E1">
      <w:pPr>
        <w:pStyle w:val="Sinespaciado"/>
        <w:jc w:val="both"/>
        <w:rPr>
          <w:rFonts w:ascii="Verdana" w:hAnsi="Verdana" w:cs="Times New Roman"/>
          <w:b/>
          <w:bCs/>
        </w:rPr>
      </w:pPr>
      <w:r w:rsidRPr="00336674">
        <w:rPr>
          <w:rFonts w:ascii="Verdana" w:hAnsi="Verdana" w:cs="Times New Roman"/>
          <w:b/>
          <w:bCs/>
        </w:rPr>
        <w:t>Oscar Dario</w:t>
      </w:r>
      <w:r>
        <w:rPr>
          <w:rFonts w:ascii="Verdana" w:hAnsi="Verdana" w:cs="Times New Roman"/>
          <w:b/>
          <w:bCs/>
        </w:rPr>
        <w:t xml:space="preserve"> </w:t>
      </w:r>
      <w:r w:rsidRPr="00336674">
        <w:rPr>
          <w:rFonts w:ascii="Verdana" w:hAnsi="Verdana" w:cs="Times New Roman"/>
          <w:b/>
          <w:bCs/>
        </w:rPr>
        <w:t xml:space="preserve">Mallama </w:t>
      </w:r>
      <w:proofErr w:type="spellStart"/>
      <w:r w:rsidRPr="00336674">
        <w:rPr>
          <w:rFonts w:ascii="Verdana" w:hAnsi="Verdana" w:cs="Times New Roman"/>
          <w:b/>
          <w:bCs/>
        </w:rPr>
        <w:t>Quetama</w:t>
      </w:r>
      <w:proofErr w:type="spellEnd"/>
    </w:p>
    <w:p w14:paraId="08F31CE8" w14:textId="7BD52D09" w:rsidR="00F008B4" w:rsidRPr="00F008B4" w:rsidRDefault="00F008B4" w:rsidP="005A35E1">
      <w:pPr>
        <w:pStyle w:val="Sinespaciado"/>
        <w:jc w:val="both"/>
        <w:rPr>
          <w:rFonts w:ascii="Verdana" w:hAnsi="Verdana"/>
        </w:rPr>
      </w:pPr>
      <w:hyperlink r:id="rId12" w:history="1">
        <w:r w:rsidRPr="00F008B4">
          <w:rPr>
            <w:rStyle w:val="Hipervnculo"/>
            <w:rFonts w:ascii="Verdana" w:hAnsi="Verdana"/>
          </w:rPr>
          <w:t>paa@putumayo.gov.co</w:t>
        </w:r>
      </w:hyperlink>
    </w:p>
    <w:p w14:paraId="6C592BFB" w14:textId="5F8B957F" w:rsidR="005A35E1" w:rsidRPr="00700F79" w:rsidRDefault="005A35E1" w:rsidP="005A35E1">
      <w:pPr>
        <w:pStyle w:val="Sinespaciado"/>
        <w:jc w:val="both"/>
        <w:rPr>
          <w:rFonts w:ascii="Verdana" w:hAnsi="Verdana" w:cs="Times New Roman"/>
        </w:rPr>
      </w:pPr>
      <w:r>
        <w:rPr>
          <w:rFonts w:ascii="Verdana" w:hAnsi="Verdana" w:cs="Times New Roman"/>
        </w:rPr>
        <w:t>Ciudad</w:t>
      </w:r>
    </w:p>
    <w:p w14:paraId="33F92276" w14:textId="77777777" w:rsidR="005A35E1" w:rsidRDefault="005A35E1" w:rsidP="005A35E1">
      <w:pPr>
        <w:pStyle w:val="Sinespaciado"/>
        <w:jc w:val="both"/>
        <w:rPr>
          <w:rFonts w:ascii="Verdana" w:hAnsi="Verdana" w:cs="Times New Roman"/>
          <w:b/>
          <w:bCs/>
        </w:rPr>
      </w:pPr>
    </w:p>
    <w:p w14:paraId="77ABE075" w14:textId="1B69E0CE" w:rsidR="005A35E1" w:rsidRPr="00A77871" w:rsidRDefault="005A35E1" w:rsidP="005A35E1">
      <w:pPr>
        <w:spacing w:line="276" w:lineRule="auto"/>
        <w:jc w:val="both"/>
        <w:rPr>
          <w:rFonts w:ascii="Verdana" w:eastAsia="Calibri" w:hAnsi="Verdana" w:cs="Arial"/>
          <w:b/>
          <w:bCs/>
          <w:lang w:eastAsia="es-ES"/>
        </w:rPr>
      </w:pPr>
      <w:r w:rsidRPr="00A77871">
        <w:rPr>
          <w:rFonts w:ascii="Verdana" w:eastAsia="Calibri" w:hAnsi="Verdana" w:cs="Arial"/>
          <w:b/>
          <w:bCs/>
          <w:lang w:eastAsia="es-ES"/>
        </w:rPr>
        <w:t xml:space="preserve">                                    Concepto </w:t>
      </w:r>
      <w:r w:rsidR="00F008B4" w:rsidRPr="00F008B4">
        <w:rPr>
          <w:rFonts w:ascii="Verdana" w:eastAsia="Calibri" w:hAnsi="Verdana" w:cs="Arial"/>
          <w:b/>
          <w:bCs/>
          <w:lang w:eastAsia="es-ES"/>
        </w:rPr>
        <w:t>C-1379</w:t>
      </w:r>
      <w:r>
        <w:rPr>
          <w:rFonts w:ascii="Verdana" w:eastAsia="Calibri" w:hAnsi="Verdana" w:cs="Arial"/>
          <w:b/>
          <w:bCs/>
          <w:lang w:eastAsia="es-ES"/>
        </w:rPr>
        <w:t xml:space="preserve"> </w:t>
      </w:r>
      <w:r w:rsidRPr="00A77871">
        <w:rPr>
          <w:rFonts w:ascii="Verdana" w:eastAsia="Calibri" w:hAnsi="Verdana" w:cs="Arial"/>
          <w:b/>
          <w:bCs/>
          <w:lang w:eastAsia="es-ES"/>
        </w:rPr>
        <w:t>de 2026</w:t>
      </w: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A35E1" w:rsidRPr="00A77871" w14:paraId="5E25FA8C" w14:textId="77777777">
        <w:trPr>
          <w:trHeight w:val="884"/>
        </w:trPr>
        <w:tc>
          <w:tcPr>
            <w:tcW w:w="2689" w:type="dxa"/>
          </w:tcPr>
          <w:p w14:paraId="17CECF4F" w14:textId="77777777" w:rsidR="005A35E1" w:rsidRPr="00A77871" w:rsidRDefault="005A35E1">
            <w:pPr>
              <w:spacing w:line="276" w:lineRule="auto"/>
              <w:jc w:val="both"/>
              <w:rPr>
                <w:rFonts w:ascii="Verdana" w:eastAsia="Calibri" w:hAnsi="Verdana" w:cs="Arial"/>
                <w:color w:val="000000"/>
                <w:lang w:eastAsia="es-ES_tradnl"/>
              </w:rPr>
            </w:pPr>
            <w:r w:rsidRPr="00A77871">
              <w:rPr>
                <w:rFonts w:ascii="Verdana" w:eastAsia="Calibri" w:hAnsi="Verdana" w:cs="Arial"/>
                <w:b/>
                <w:color w:val="000000"/>
                <w:lang w:eastAsia="es-ES_tradnl"/>
              </w:rPr>
              <w:t>Temas:</w:t>
            </w:r>
            <w:r w:rsidRPr="00A77871">
              <w:rPr>
                <w:rFonts w:ascii="Verdana" w:eastAsia="Calibri" w:hAnsi="Verdana" w:cs="Arial"/>
                <w:color w:val="000000"/>
                <w:lang w:eastAsia="es-ES_tradnl"/>
              </w:rPr>
              <w:t xml:space="preserve">                   </w:t>
            </w:r>
          </w:p>
        </w:tc>
        <w:tc>
          <w:tcPr>
            <w:tcW w:w="6100" w:type="dxa"/>
          </w:tcPr>
          <w:p w14:paraId="73F3C544" w14:textId="4528AB07" w:rsidR="005A35E1" w:rsidRDefault="00D8065F">
            <w:pPr>
              <w:jc w:val="both"/>
              <w:rPr>
                <w:rFonts w:ascii="Arial" w:eastAsia="Calibri" w:hAnsi="Arial" w:cs="Arial"/>
                <w:bCs/>
                <w:color w:val="000000" w:themeColor="text1"/>
              </w:rPr>
            </w:pPr>
            <w:r>
              <w:rPr>
                <w:rFonts w:ascii="Verdana" w:eastAsia="Calibri" w:hAnsi="Verdana" w:cs="Arial"/>
                <w:lang w:eastAsia="es-ES"/>
              </w:rPr>
              <w:t>PLAN ANUAL DE ADQUIS</w:t>
            </w:r>
            <w:r w:rsidR="002510C7">
              <w:rPr>
                <w:rFonts w:ascii="Verdana" w:eastAsia="Calibri" w:hAnsi="Verdana" w:cs="Arial"/>
                <w:lang w:eastAsia="es-ES"/>
              </w:rPr>
              <w:t xml:space="preserve">ICIONES / </w:t>
            </w:r>
            <w:r w:rsidR="002F797C" w:rsidRPr="002D3F6C">
              <w:rPr>
                <w:rFonts w:ascii="Verdana" w:eastAsia="Calibri" w:hAnsi="Verdana" w:cs="Arial"/>
                <w:lang w:val="es-ES" w:eastAsia="es-ES"/>
              </w:rPr>
              <w:t xml:space="preserve">Noción – </w:t>
            </w:r>
            <w:r w:rsidR="00826CBA">
              <w:rPr>
                <w:rFonts w:ascii="Verdana" w:eastAsia="Calibri" w:hAnsi="Verdana" w:cs="Arial"/>
                <w:lang w:val="es-ES" w:eastAsia="es-ES"/>
              </w:rPr>
              <w:t>Contenido</w:t>
            </w:r>
            <w:r w:rsidR="002F797C">
              <w:rPr>
                <w:rFonts w:ascii="Verdana" w:eastAsia="Calibri" w:hAnsi="Verdana" w:cs="Arial"/>
                <w:lang w:val="es-ES" w:eastAsia="es-ES"/>
              </w:rPr>
              <w:t xml:space="preserve"> / PLAN ANUAL DE ADQUISICIONES</w:t>
            </w:r>
            <w:r w:rsidR="00E037DE">
              <w:rPr>
                <w:rFonts w:ascii="Verdana" w:eastAsia="Calibri" w:hAnsi="Verdana" w:cs="Arial"/>
                <w:lang w:val="es-ES" w:eastAsia="es-ES"/>
              </w:rPr>
              <w:t xml:space="preserve"> </w:t>
            </w:r>
            <w:r w:rsidR="00E36F36">
              <w:rPr>
                <w:rFonts w:ascii="Verdana" w:eastAsia="Calibri" w:hAnsi="Verdana" w:cs="Arial"/>
                <w:lang w:val="es-ES" w:eastAsia="es-ES"/>
              </w:rPr>
              <w:t>–</w:t>
            </w:r>
            <w:r w:rsidR="00E037DE">
              <w:rPr>
                <w:rFonts w:ascii="Verdana" w:eastAsia="Calibri" w:hAnsi="Verdana" w:cs="Arial"/>
                <w:lang w:val="es-ES" w:eastAsia="es-ES"/>
              </w:rPr>
              <w:t xml:space="preserve"> </w:t>
            </w:r>
            <w:r w:rsidR="00826CBA">
              <w:rPr>
                <w:rFonts w:ascii="Verdana" w:eastAsia="Calibri" w:hAnsi="Verdana" w:cs="Arial"/>
                <w:lang w:val="es-ES" w:eastAsia="es-ES"/>
              </w:rPr>
              <w:t>Ca</w:t>
            </w:r>
            <w:r w:rsidR="00E36F36">
              <w:rPr>
                <w:rFonts w:ascii="Verdana" w:eastAsia="Calibri" w:hAnsi="Verdana" w:cs="Arial"/>
                <w:lang w:val="es-ES" w:eastAsia="es-ES"/>
              </w:rPr>
              <w:t>rácter estimativo</w:t>
            </w:r>
          </w:p>
          <w:p w14:paraId="69E3AB0D" w14:textId="77777777" w:rsidR="005A35E1" w:rsidRPr="00EB7DC9" w:rsidRDefault="005A35E1">
            <w:pPr>
              <w:jc w:val="both"/>
              <w:rPr>
                <w:rFonts w:ascii="Verdana" w:eastAsia="Calibri" w:hAnsi="Verdana" w:cs="Arial"/>
                <w:lang w:eastAsia="es-ES"/>
              </w:rPr>
            </w:pPr>
          </w:p>
        </w:tc>
      </w:tr>
      <w:tr w:rsidR="005A35E1" w:rsidRPr="00A77871" w14:paraId="4841FE0A" w14:textId="77777777">
        <w:tc>
          <w:tcPr>
            <w:tcW w:w="2689" w:type="dxa"/>
          </w:tcPr>
          <w:p w14:paraId="7209AB1E" w14:textId="77777777" w:rsidR="005A35E1" w:rsidRPr="00A77871" w:rsidRDefault="005A35E1">
            <w:pPr>
              <w:spacing w:line="276" w:lineRule="auto"/>
              <w:jc w:val="both"/>
              <w:rPr>
                <w:rFonts w:ascii="Verdana" w:eastAsia="Calibri" w:hAnsi="Verdana" w:cs="Arial"/>
                <w:b/>
                <w:lang w:eastAsia="es-ES_tradnl"/>
              </w:rPr>
            </w:pPr>
            <w:r w:rsidRPr="00A77871">
              <w:rPr>
                <w:rFonts w:ascii="Verdana" w:eastAsia="Calibri" w:hAnsi="Verdana" w:cs="Arial"/>
                <w:b/>
                <w:lang w:eastAsia="es-ES_tradnl"/>
              </w:rPr>
              <w:t>Radicación:</w:t>
            </w:r>
            <w:r w:rsidRPr="00A77871">
              <w:rPr>
                <w:rFonts w:ascii="Verdana" w:eastAsia="Calibri" w:hAnsi="Verdana" w:cs="Arial"/>
                <w:lang w:eastAsia="es-ES_tradnl"/>
              </w:rPr>
              <w:t xml:space="preserve">               </w:t>
            </w:r>
          </w:p>
        </w:tc>
        <w:tc>
          <w:tcPr>
            <w:tcW w:w="6100" w:type="dxa"/>
          </w:tcPr>
          <w:p w14:paraId="77F68B11" w14:textId="309B6CE9" w:rsidR="005A35E1" w:rsidRPr="00A77871" w:rsidRDefault="005A35E1">
            <w:pPr>
              <w:spacing w:line="276" w:lineRule="auto"/>
              <w:jc w:val="both"/>
              <w:rPr>
                <w:rFonts w:ascii="Verdana" w:eastAsia="Calibri" w:hAnsi="Verdana" w:cs="Arial"/>
                <w:lang w:eastAsia="es-ES_tradnl"/>
              </w:rPr>
            </w:pPr>
            <w:r w:rsidRPr="00A77871">
              <w:rPr>
                <w:rFonts w:ascii="Verdana" w:eastAsia="Calibri" w:hAnsi="Verdana" w:cs="Arial"/>
                <w:lang w:eastAsia="es-ES_tradnl"/>
              </w:rPr>
              <w:t xml:space="preserve">Respuesta a consultas con radicado No. </w:t>
            </w:r>
            <w:r w:rsidR="008B5100" w:rsidRPr="008B5100">
              <w:rPr>
                <w:rFonts w:ascii="Verdana" w:eastAsia="Calibri" w:hAnsi="Verdana" w:cs="Arial"/>
                <w:lang w:eastAsia="es-ES_tradnl"/>
              </w:rPr>
              <w:t>1_2026_09_01_011586</w:t>
            </w:r>
            <w:r w:rsidR="00203C74">
              <w:rPr>
                <w:rFonts w:ascii="Verdana" w:eastAsia="Calibri" w:hAnsi="Verdana" w:cs="Arial"/>
                <w:lang w:eastAsia="es-ES_tradnl"/>
              </w:rPr>
              <w:t xml:space="preserve"> acumulada con el radicado No.</w:t>
            </w:r>
            <w:r w:rsidR="00D92A96">
              <w:rPr>
                <w:rFonts w:ascii="Verdana" w:eastAsia="Calibri" w:hAnsi="Verdana" w:cs="Arial"/>
                <w:lang w:eastAsia="es-ES_tradnl"/>
              </w:rPr>
              <w:t xml:space="preserve"> </w:t>
            </w:r>
            <w:r w:rsidR="00D92A96" w:rsidRPr="00D92A96">
              <w:rPr>
                <w:rFonts w:ascii="Verdana" w:eastAsia="Calibri" w:hAnsi="Verdana" w:cs="Arial"/>
                <w:lang w:eastAsia="es-ES_tradnl"/>
              </w:rPr>
              <w:t>1_2026_09_01_011584</w:t>
            </w:r>
            <w:r w:rsidR="00203C74">
              <w:rPr>
                <w:rFonts w:ascii="Verdana" w:eastAsia="Calibri" w:hAnsi="Verdana" w:cs="Arial"/>
                <w:lang w:eastAsia="es-ES_tradnl"/>
              </w:rPr>
              <w:t xml:space="preserve"> </w:t>
            </w:r>
          </w:p>
        </w:tc>
      </w:tr>
    </w:tbl>
    <w:p w14:paraId="26BBB102" w14:textId="77777777" w:rsidR="005A35E1" w:rsidRPr="00A77871" w:rsidRDefault="005A35E1" w:rsidP="005A35E1">
      <w:pPr>
        <w:spacing w:after="0" w:line="276" w:lineRule="auto"/>
        <w:jc w:val="both"/>
        <w:rPr>
          <w:rFonts w:ascii="Verdana" w:eastAsia="Calibri" w:hAnsi="Verdana" w:cs="Arial"/>
          <w:color w:val="000000"/>
          <w:lang w:eastAsia="es-ES_tradnl"/>
        </w:rPr>
      </w:pPr>
    </w:p>
    <w:p w14:paraId="0982585F" w14:textId="3F68E424" w:rsidR="005A35E1" w:rsidRPr="00A77871" w:rsidRDefault="005A35E1" w:rsidP="005A35E1">
      <w:pPr>
        <w:spacing w:line="276" w:lineRule="auto"/>
        <w:jc w:val="both"/>
        <w:rPr>
          <w:rFonts w:ascii="Verdana" w:eastAsia="Calibri" w:hAnsi="Verdana" w:cs="Arial"/>
          <w:color w:val="000000"/>
          <w:lang w:eastAsia="es-ES"/>
        </w:rPr>
      </w:pPr>
      <w:r w:rsidRPr="00A77871">
        <w:rPr>
          <w:rFonts w:ascii="Verdana" w:eastAsia="Calibri" w:hAnsi="Verdana" w:cs="Arial"/>
          <w:lang w:eastAsia="es-ES"/>
        </w:rPr>
        <w:t xml:space="preserve">Estimado </w:t>
      </w:r>
      <w:r>
        <w:rPr>
          <w:rFonts w:ascii="Verdana" w:eastAsia="Calibri" w:hAnsi="Verdana" w:cs="Arial"/>
          <w:lang w:eastAsia="es-ES"/>
        </w:rPr>
        <w:t xml:space="preserve">señor </w:t>
      </w:r>
      <w:r w:rsidR="008B5100">
        <w:rPr>
          <w:rFonts w:ascii="Verdana" w:eastAsia="Calibri" w:hAnsi="Verdana" w:cs="Arial"/>
          <w:lang w:eastAsia="es-ES"/>
        </w:rPr>
        <w:t>Mallama</w:t>
      </w:r>
      <w:r w:rsidRPr="00A77871">
        <w:rPr>
          <w:rFonts w:ascii="Verdana" w:eastAsia="Calibri" w:hAnsi="Verdana" w:cs="Arial"/>
          <w:lang w:eastAsia="es-ES"/>
        </w:rPr>
        <w:t>, cordial saludo</w:t>
      </w:r>
      <w:r>
        <w:rPr>
          <w:rFonts w:ascii="Verdana" w:eastAsia="Calibri" w:hAnsi="Verdana" w:cs="Arial"/>
          <w:lang w:eastAsia="es-ES"/>
        </w:rPr>
        <w:t>:</w:t>
      </w:r>
      <w:r w:rsidRPr="00A77871">
        <w:rPr>
          <w:rFonts w:ascii="Verdana" w:eastAsia="Calibri" w:hAnsi="Verdana" w:cs="Arial"/>
          <w:color w:val="000000"/>
          <w:lang w:eastAsia="es-ES"/>
        </w:rPr>
        <w:tab/>
      </w:r>
    </w:p>
    <w:p w14:paraId="6884E24A" w14:textId="3501398C" w:rsidR="005A35E1" w:rsidRDefault="005A35E1" w:rsidP="005A35E1">
      <w:pPr>
        <w:spacing w:line="276" w:lineRule="auto"/>
        <w:jc w:val="both"/>
        <w:rPr>
          <w:rFonts w:ascii="Verdana" w:eastAsia="Calibri" w:hAnsi="Verdana" w:cs="Arial"/>
          <w:i/>
          <w:iCs/>
          <w:lang w:eastAsia="es-ES"/>
        </w:rPr>
      </w:pPr>
      <w:r w:rsidRPr="00A77871">
        <w:rPr>
          <w:rFonts w:ascii="Verdana" w:eastAsia="Calibri" w:hAnsi="Verdana" w:cs="Arial"/>
          <w:color w:val="000000"/>
          <w:lang w:eastAsia="es-ES"/>
        </w:rPr>
        <w:t>En ejercicio de la competencia otorgada por los artículos 3, numeral 5º, y 11, numeral 8º, del Decreto Ley 4170 de 2011,</w:t>
      </w:r>
      <w:r w:rsidRPr="00A77871">
        <w:rPr>
          <w:rFonts w:ascii="Verdana" w:eastAsia="Arial MT" w:hAnsi="Verdana" w:cs="Arial MT"/>
          <w:lang w:eastAsia="es-ES"/>
        </w:rPr>
        <w:t xml:space="preserve"> </w:t>
      </w:r>
      <w:r w:rsidRPr="00A77871">
        <w:rPr>
          <w:rFonts w:ascii="Verdana" w:eastAsia="Calibri" w:hAnsi="Verdana" w:cs="Arial"/>
        </w:rPr>
        <w:t xml:space="preserve">así como lo establecido en el artículo 4 de la Resolución 1707 de 2018 expedida por esta Entidad, </w:t>
      </w:r>
      <w:r w:rsidRPr="00A77871">
        <w:rPr>
          <w:rFonts w:ascii="Verdana" w:eastAsia="Calibri" w:hAnsi="Verdana" w:cs="Arial"/>
          <w:color w:val="000000"/>
          <w:lang w:eastAsia="es-ES"/>
        </w:rPr>
        <w:t xml:space="preserve">la Agencia Nacional de Contratación Pública – Colombia Compra Eficiente responde su solicitud de concepto del </w:t>
      </w:r>
      <w:r w:rsidR="008B5100">
        <w:rPr>
          <w:rFonts w:ascii="Verdana" w:eastAsia="Calibri" w:hAnsi="Verdana" w:cs="Arial"/>
          <w:color w:val="000000"/>
          <w:lang w:eastAsia="es-ES"/>
        </w:rPr>
        <w:t>01</w:t>
      </w:r>
      <w:r>
        <w:rPr>
          <w:rFonts w:ascii="Verdana" w:eastAsia="Calibri" w:hAnsi="Verdana" w:cs="Arial"/>
          <w:color w:val="000000"/>
          <w:lang w:eastAsia="es-ES"/>
        </w:rPr>
        <w:t xml:space="preserve"> </w:t>
      </w:r>
      <w:r w:rsidRPr="00A77871">
        <w:rPr>
          <w:rFonts w:ascii="Verdana" w:eastAsia="Calibri" w:hAnsi="Verdana" w:cs="Arial"/>
          <w:color w:val="000000"/>
          <w:lang w:eastAsia="es-ES"/>
        </w:rPr>
        <w:t xml:space="preserve">de </w:t>
      </w:r>
      <w:r w:rsidR="008B5100">
        <w:rPr>
          <w:rFonts w:ascii="Verdana" w:eastAsia="Calibri" w:hAnsi="Verdana" w:cs="Arial"/>
          <w:color w:val="000000"/>
          <w:lang w:eastAsia="es-ES"/>
        </w:rPr>
        <w:t>septiembre</w:t>
      </w:r>
      <w:r w:rsidRPr="00A77871">
        <w:rPr>
          <w:rFonts w:ascii="Verdana" w:eastAsia="Calibri" w:hAnsi="Verdana" w:cs="Arial"/>
          <w:color w:val="000000"/>
          <w:lang w:eastAsia="es-ES"/>
        </w:rPr>
        <w:t xml:space="preserve"> de 2026,</w:t>
      </w:r>
      <w:r w:rsidRPr="00A77871">
        <w:rPr>
          <w:rFonts w:ascii="Verdana" w:eastAsia="Calibri" w:hAnsi="Verdana" w:cs="Arial"/>
          <w:lang w:eastAsia="es-ES"/>
        </w:rPr>
        <w:t xml:space="preserve"> en la que manifiesta lo siguiente:</w:t>
      </w:r>
      <w:r w:rsidRPr="00A77871">
        <w:rPr>
          <w:rFonts w:ascii="Verdana" w:eastAsia="Calibri" w:hAnsi="Verdana" w:cs="Arial"/>
          <w:i/>
          <w:iCs/>
          <w:lang w:eastAsia="es-ES"/>
        </w:rPr>
        <w:t xml:space="preserve"> </w:t>
      </w:r>
      <w:bookmarkStart w:id="2" w:name="_Hlk95313578"/>
    </w:p>
    <w:p w14:paraId="4CEA3069" w14:textId="77777777" w:rsidR="005A35E1" w:rsidRDefault="005A35E1" w:rsidP="005A35E1">
      <w:pPr>
        <w:spacing w:after="0" w:line="240" w:lineRule="auto"/>
        <w:ind w:left="709" w:right="709"/>
        <w:jc w:val="both"/>
        <w:rPr>
          <w:rFonts w:ascii="Verdana" w:hAnsi="Verdana" w:cs="Arial"/>
          <w:i/>
          <w:iCs/>
          <w:sz w:val="20"/>
          <w:szCs w:val="20"/>
          <w:shd w:val="clear" w:color="auto" w:fill="FFFFFF"/>
          <w:lang w:val="es-ES"/>
        </w:rPr>
      </w:pPr>
      <w:r w:rsidRPr="00ED70E4">
        <w:rPr>
          <w:rFonts w:ascii="Verdana" w:hAnsi="Verdana" w:cs="Arial"/>
          <w:i/>
          <w:iCs/>
          <w:sz w:val="20"/>
          <w:szCs w:val="20"/>
          <w:shd w:val="clear" w:color="auto" w:fill="FFFFFF"/>
          <w:lang w:val="es-ES"/>
        </w:rPr>
        <w:t>“(…)</w:t>
      </w:r>
      <w:bookmarkEnd w:id="2"/>
    </w:p>
    <w:p w14:paraId="4F500BD4" w14:textId="77777777" w:rsidR="005A35E1" w:rsidRDefault="005A35E1" w:rsidP="005A35E1">
      <w:pPr>
        <w:spacing w:after="0" w:line="240" w:lineRule="auto"/>
        <w:ind w:left="709" w:right="709"/>
        <w:jc w:val="both"/>
        <w:rPr>
          <w:rFonts w:ascii="Verdana" w:hAnsi="Verdana" w:cs="Arial"/>
          <w:i/>
          <w:iCs/>
          <w:sz w:val="20"/>
          <w:szCs w:val="20"/>
          <w:shd w:val="clear" w:color="auto" w:fill="FFFFFF"/>
          <w:lang w:val="es-ES"/>
        </w:rPr>
      </w:pPr>
    </w:p>
    <w:p w14:paraId="64849DB4" w14:textId="77777777" w:rsidR="00570D12" w:rsidRPr="00570D12" w:rsidRDefault="00570D12" w:rsidP="00570D12">
      <w:pPr>
        <w:spacing w:after="0" w:line="240" w:lineRule="auto"/>
        <w:ind w:left="709" w:right="709"/>
        <w:jc w:val="both"/>
        <w:rPr>
          <w:rFonts w:ascii="Verdana" w:hAnsi="Verdana" w:cs="Arial"/>
          <w:i/>
          <w:iCs/>
          <w:sz w:val="20"/>
          <w:szCs w:val="20"/>
          <w:shd w:val="clear" w:color="auto" w:fill="FFFFFF"/>
        </w:rPr>
      </w:pPr>
      <w:r w:rsidRPr="00570D12">
        <w:rPr>
          <w:rFonts w:ascii="Verdana" w:hAnsi="Verdana" w:cs="Arial"/>
          <w:i/>
          <w:iCs/>
          <w:sz w:val="20"/>
          <w:szCs w:val="20"/>
          <w:shd w:val="clear" w:color="auto" w:fill="FFFFFF"/>
        </w:rPr>
        <w:t>En el marco del Decreto 1082 de 2015- “</w:t>
      </w:r>
      <w:r w:rsidRPr="00570D12">
        <w:rPr>
          <w:rFonts w:ascii="Verdana" w:hAnsi="Verdana" w:cs="Arial"/>
          <w:b/>
          <w:bCs/>
          <w:i/>
          <w:iCs/>
          <w:sz w:val="20"/>
          <w:szCs w:val="20"/>
          <w:shd w:val="clear" w:color="auto" w:fill="FFFFFF"/>
        </w:rPr>
        <w:t>ARTÍCULO </w:t>
      </w:r>
      <w:bookmarkStart w:id="3" w:name="2.2.1.1.1.4.4"/>
      <w:bookmarkEnd w:id="3"/>
      <w:r w:rsidRPr="00570D12">
        <w:rPr>
          <w:rFonts w:ascii="Verdana" w:hAnsi="Verdana" w:cs="Arial"/>
          <w:b/>
          <w:bCs/>
          <w:i/>
          <w:iCs/>
          <w:sz w:val="20"/>
          <w:szCs w:val="20"/>
          <w:shd w:val="clear" w:color="auto" w:fill="FFFFFF"/>
        </w:rPr>
        <w:t>2.2.1.1.1.4.4. Actualización del Plan Anual de Adquisiciones.</w:t>
      </w:r>
      <w:r w:rsidRPr="00570D12">
        <w:rPr>
          <w:rFonts w:ascii="Verdana" w:hAnsi="Verdana" w:cs="Arial"/>
          <w:i/>
          <w:iCs/>
          <w:sz w:val="20"/>
          <w:szCs w:val="20"/>
          <w:shd w:val="clear" w:color="auto" w:fill="FFFFFF"/>
        </w:rPr>
        <w:t> </w:t>
      </w:r>
      <w:r w:rsidRPr="00570D12">
        <w:rPr>
          <w:rFonts w:ascii="Verdana" w:hAnsi="Verdana" w:cs="Arial"/>
          <w:i/>
          <w:iCs/>
          <w:sz w:val="20"/>
          <w:szCs w:val="20"/>
          <w:u w:val="single"/>
          <w:shd w:val="clear" w:color="auto" w:fill="FFFFFF"/>
        </w:rPr>
        <w:t>La Entidad Estatal debe actualizar el Plan Anual de Adquisiciones por lo menos una vez durante su vigencia</w:t>
      </w:r>
      <w:r w:rsidRPr="00570D12">
        <w:rPr>
          <w:rFonts w:ascii="Verdana" w:hAnsi="Verdana" w:cs="Arial"/>
          <w:i/>
          <w:iCs/>
          <w:sz w:val="20"/>
          <w:szCs w:val="20"/>
          <w:shd w:val="clear" w:color="auto" w:fill="FFFFFF"/>
        </w:rPr>
        <w:t>, en la forma y la oportunidad que para el efecto disponga Colombia Compra Eficiente.</w:t>
      </w:r>
    </w:p>
    <w:p w14:paraId="4EA2E3A6" w14:textId="77777777" w:rsidR="00570D12" w:rsidRPr="00570D12" w:rsidRDefault="00570D12" w:rsidP="00570D12">
      <w:pPr>
        <w:spacing w:after="0" w:line="240" w:lineRule="auto"/>
        <w:ind w:left="709" w:right="709"/>
        <w:jc w:val="both"/>
        <w:rPr>
          <w:rFonts w:ascii="Verdana" w:hAnsi="Verdana" w:cs="Arial"/>
          <w:i/>
          <w:iCs/>
          <w:sz w:val="20"/>
          <w:szCs w:val="20"/>
          <w:shd w:val="clear" w:color="auto" w:fill="FFFFFF"/>
        </w:rPr>
      </w:pPr>
    </w:p>
    <w:p w14:paraId="5A04284D" w14:textId="77777777" w:rsidR="00570D12" w:rsidRPr="00570D12" w:rsidRDefault="00570D12" w:rsidP="00570D12">
      <w:pPr>
        <w:spacing w:after="0" w:line="240" w:lineRule="auto"/>
        <w:ind w:left="709" w:right="709"/>
        <w:jc w:val="both"/>
        <w:rPr>
          <w:rFonts w:ascii="Verdana" w:hAnsi="Verdana" w:cs="Arial"/>
          <w:i/>
          <w:iCs/>
          <w:sz w:val="20"/>
          <w:szCs w:val="20"/>
          <w:shd w:val="clear" w:color="auto" w:fill="FFFFFF"/>
        </w:rPr>
      </w:pPr>
      <w:r w:rsidRPr="00570D12">
        <w:rPr>
          <w:rFonts w:ascii="Verdana" w:hAnsi="Verdana" w:cs="Arial"/>
          <w:i/>
          <w:iCs/>
          <w:sz w:val="20"/>
          <w:szCs w:val="20"/>
          <w:shd w:val="clear" w:color="auto" w:fill="FFFFFF"/>
        </w:rPr>
        <w:t>Respetuosamente me permito solicitar se emita un concepto técnico a la siguiente pregunta.</w:t>
      </w:r>
    </w:p>
    <w:p w14:paraId="6C8AF95F" w14:textId="77777777" w:rsidR="00570D12" w:rsidRPr="00570D12" w:rsidRDefault="00570D12" w:rsidP="00570D12">
      <w:pPr>
        <w:spacing w:after="0" w:line="240" w:lineRule="auto"/>
        <w:ind w:left="709" w:right="709"/>
        <w:jc w:val="both"/>
        <w:rPr>
          <w:rFonts w:ascii="Verdana" w:hAnsi="Verdana" w:cs="Arial"/>
          <w:i/>
          <w:iCs/>
          <w:sz w:val="20"/>
          <w:szCs w:val="20"/>
          <w:shd w:val="clear" w:color="auto" w:fill="FFFFFF"/>
        </w:rPr>
      </w:pPr>
    </w:p>
    <w:p w14:paraId="2A8DA4D4" w14:textId="77777777" w:rsidR="00570D12" w:rsidRPr="00570D12" w:rsidRDefault="00570D12" w:rsidP="00570D12">
      <w:pPr>
        <w:spacing w:after="0" w:line="240" w:lineRule="auto"/>
        <w:ind w:left="709" w:right="709"/>
        <w:jc w:val="both"/>
        <w:rPr>
          <w:rFonts w:ascii="Verdana" w:hAnsi="Verdana" w:cs="Arial"/>
          <w:i/>
          <w:iCs/>
          <w:sz w:val="20"/>
          <w:szCs w:val="20"/>
          <w:shd w:val="clear" w:color="auto" w:fill="FFFFFF"/>
        </w:rPr>
      </w:pPr>
      <w:r w:rsidRPr="00570D12">
        <w:rPr>
          <w:rFonts w:ascii="Verdana" w:hAnsi="Verdana" w:cs="Arial"/>
          <w:i/>
          <w:iCs/>
          <w:sz w:val="20"/>
          <w:szCs w:val="20"/>
          <w:shd w:val="clear" w:color="auto" w:fill="FFFFFF"/>
        </w:rPr>
        <w:t>Pregunta: </w:t>
      </w:r>
    </w:p>
    <w:p w14:paraId="16F92179" w14:textId="77777777" w:rsidR="00570D12" w:rsidRPr="00570D12" w:rsidRDefault="00570D12" w:rsidP="00570D12">
      <w:pPr>
        <w:spacing w:after="0" w:line="240" w:lineRule="auto"/>
        <w:ind w:left="709" w:right="709"/>
        <w:jc w:val="both"/>
        <w:rPr>
          <w:rFonts w:ascii="Verdana" w:hAnsi="Verdana" w:cs="Arial"/>
          <w:i/>
          <w:iCs/>
          <w:sz w:val="20"/>
          <w:szCs w:val="20"/>
          <w:shd w:val="clear" w:color="auto" w:fill="FFFFFF"/>
        </w:rPr>
      </w:pPr>
    </w:p>
    <w:p w14:paraId="6E85EB3B" w14:textId="77777777" w:rsidR="00570D12" w:rsidRPr="00570D12" w:rsidRDefault="00570D12" w:rsidP="00570D12">
      <w:pPr>
        <w:spacing w:after="0" w:line="240" w:lineRule="auto"/>
        <w:ind w:left="709" w:right="709"/>
        <w:jc w:val="both"/>
        <w:rPr>
          <w:rFonts w:ascii="Verdana" w:hAnsi="Verdana" w:cs="Arial"/>
          <w:i/>
          <w:iCs/>
          <w:sz w:val="20"/>
          <w:szCs w:val="20"/>
          <w:shd w:val="clear" w:color="auto" w:fill="FFFFFF"/>
        </w:rPr>
      </w:pPr>
      <w:proofErr w:type="gramStart"/>
      <w:r w:rsidRPr="00570D12">
        <w:rPr>
          <w:rFonts w:ascii="Verdana" w:hAnsi="Verdana" w:cs="Arial"/>
          <w:i/>
          <w:iCs/>
          <w:sz w:val="20"/>
          <w:szCs w:val="20"/>
          <w:shd w:val="clear" w:color="auto" w:fill="FFFFFF"/>
        </w:rPr>
        <w:t>El objeto del Plan Anual de Adquisiciones que se publica en SECOP II, debe ser igual al nombre del certificado de disponibilidad presupuestal-CDP y al nombre del proceso de contratación pre y post contractual?</w:t>
      </w:r>
      <w:proofErr w:type="gramEnd"/>
      <w:r w:rsidRPr="00570D12">
        <w:rPr>
          <w:rFonts w:ascii="Verdana" w:hAnsi="Verdana" w:cs="Arial"/>
          <w:i/>
          <w:iCs/>
          <w:sz w:val="20"/>
          <w:szCs w:val="20"/>
          <w:shd w:val="clear" w:color="auto" w:fill="FFFFFF"/>
        </w:rPr>
        <w:t xml:space="preserve">, o en su defecto, ¿es la oficina de contratación quien en los estudios previos </w:t>
      </w:r>
      <w:proofErr w:type="gramStart"/>
      <w:r w:rsidRPr="00570D12">
        <w:rPr>
          <w:rFonts w:ascii="Verdana" w:hAnsi="Verdana" w:cs="Arial"/>
          <w:i/>
          <w:iCs/>
          <w:sz w:val="20"/>
          <w:szCs w:val="20"/>
          <w:shd w:val="clear" w:color="auto" w:fill="FFFFFF"/>
        </w:rPr>
        <w:t xml:space="preserve">de </w:t>
      </w:r>
      <w:r w:rsidRPr="00570D12">
        <w:rPr>
          <w:rFonts w:ascii="Verdana" w:hAnsi="Verdana" w:cs="Arial"/>
          <w:i/>
          <w:iCs/>
          <w:sz w:val="20"/>
          <w:szCs w:val="20"/>
          <w:shd w:val="clear" w:color="auto" w:fill="FFFFFF"/>
        </w:rPr>
        <w:lastRenderedPageBreak/>
        <w:t>acuerdo al</w:t>
      </w:r>
      <w:proofErr w:type="gramEnd"/>
      <w:r w:rsidRPr="00570D12">
        <w:rPr>
          <w:rFonts w:ascii="Verdana" w:hAnsi="Verdana" w:cs="Arial"/>
          <w:i/>
          <w:iCs/>
          <w:sz w:val="20"/>
          <w:szCs w:val="20"/>
          <w:shd w:val="clear" w:color="auto" w:fill="FFFFFF"/>
        </w:rPr>
        <w:t xml:space="preserve"> objeto del PAA publicado, ajusta el nombre para iniciar el proceso pre y post </w:t>
      </w:r>
      <w:proofErr w:type="gramStart"/>
      <w:r w:rsidRPr="00570D12">
        <w:rPr>
          <w:rFonts w:ascii="Verdana" w:hAnsi="Verdana" w:cs="Arial"/>
          <w:i/>
          <w:iCs/>
          <w:sz w:val="20"/>
          <w:szCs w:val="20"/>
          <w:shd w:val="clear" w:color="auto" w:fill="FFFFFF"/>
        </w:rPr>
        <w:t>contractual?.</w:t>
      </w:r>
      <w:proofErr w:type="gramEnd"/>
    </w:p>
    <w:p w14:paraId="2C8C8F35" w14:textId="36BFCFE2" w:rsidR="005A35E1" w:rsidRPr="00ED70E4" w:rsidRDefault="00570D12" w:rsidP="005A35E1">
      <w:pPr>
        <w:spacing w:after="0" w:line="240" w:lineRule="auto"/>
        <w:ind w:left="709" w:right="709"/>
        <w:jc w:val="both"/>
        <w:rPr>
          <w:rFonts w:ascii="Verdana" w:hAnsi="Verdana" w:cs="Arial"/>
          <w:i/>
          <w:iCs/>
          <w:sz w:val="20"/>
          <w:szCs w:val="20"/>
          <w:shd w:val="clear" w:color="auto" w:fill="FFFFFF"/>
          <w:lang w:val="es-ES"/>
        </w:rPr>
      </w:pPr>
      <w:r>
        <w:rPr>
          <w:rFonts w:ascii="Verdana" w:hAnsi="Verdana" w:cs="Arial"/>
          <w:i/>
          <w:iCs/>
          <w:sz w:val="20"/>
          <w:szCs w:val="20"/>
          <w:shd w:val="clear" w:color="auto" w:fill="FFFFFF"/>
          <w:lang w:val="es-ES"/>
        </w:rPr>
        <w:t>(…)</w:t>
      </w:r>
      <w:r w:rsidR="005A35E1" w:rsidRPr="00ED70E4">
        <w:rPr>
          <w:rFonts w:ascii="Verdana" w:hAnsi="Verdana" w:cs="Arial"/>
          <w:i/>
          <w:iCs/>
          <w:sz w:val="20"/>
          <w:szCs w:val="20"/>
          <w:shd w:val="clear" w:color="auto" w:fill="FFFFFF"/>
          <w:lang w:val="es-ES"/>
        </w:rPr>
        <w:t>”</w:t>
      </w:r>
    </w:p>
    <w:p w14:paraId="275EA957" w14:textId="77777777" w:rsidR="005A35E1" w:rsidRPr="00A77871" w:rsidRDefault="005A35E1" w:rsidP="005A35E1">
      <w:pPr>
        <w:spacing w:before="240" w:after="120" w:line="276" w:lineRule="auto"/>
        <w:jc w:val="both"/>
        <w:rPr>
          <w:rFonts w:ascii="Verdana" w:eastAsia="Calibri" w:hAnsi="Verdana" w:cs="Arial"/>
          <w:color w:val="000000"/>
          <w:lang w:eastAsia="es-ES"/>
        </w:rPr>
      </w:pPr>
      <w:r w:rsidRPr="005101AB">
        <w:rPr>
          <w:rFonts w:ascii="Verdana" w:eastAsia="Calibri" w:hAnsi="Verdana" w:cs="Arial"/>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w:t>
      </w:r>
      <w:r w:rsidRPr="00A77871">
        <w:rPr>
          <w:rFonts w:ascii="Verdana" w:eastAsia="Calibri" w:hAnsi="Verdana" w:cs="Arial"/>
          <w:color w:val="000000"/>
          <w:lang w:eastAsia="es-ES"/>
        </w:rPr>
        <w:t xml:space="preserve">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77871">
        <w:rPr>
          <w:rFonts w:ascii="Verdana" w:eastAsia="Calibri" w:hAnsi="Verdana" w:cs="Arial"/>
          <w:color w:val="000000"/>
          <w:lang w:eastAsia="es-ES_tradnl"/>
        </w:rPr>
        <w:tab/>
      </w:r>
    </w:p>
    <w:p w14:paraId="75933436" w14:textId="77777777" w:rsidR="005A35E1" w:rsidRPr="00A77871" w:rsidRDefault="005A35E1" w:rsidP="005A35E1">
      <w:pPr>
        <w:spacing w:line="276" w:lineRule="auto"/>
        <w:jc w:val="both"/>
        <w:rPr>
          <w:rFonts w:ascii="Verdana" w:eastAsia="Calibri" w:hAnsi="Verdana" w:cs="Arial"/>
          <w:b/>
          <w:bCs/>
          <w:color w:val="000000"/>
          <w:lang w:eastAsia="es-ES"/>
        </w:rPr>
      </w:pPr>
      <w:r w:rsidRPr="00A7787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problemas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jurídicos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de su consulta.</w:t>
      </w:r>
      <w:r w:rsidRPr="00A77871">
        <w:rPr>
          <w:rFonts w:ascii="Verdana" w:eastAsia="Calibri" w:hAnsi="Verdana" w:cs="Arial"/>
          <w:b/>
          <w:bCs/>
          <w:color w:val="000000"/>
          <w:lang w:eastAsia="es-ES"/>
        </w:rPr>
        <w:t xml:space="preserve"> </w:t>
      </w:r>
    </w:p>
    <w:p w14:paraId="2B46F201" w14:textId="77777777" w:rsidR="005A35E1" w:rsidRPr="001B415F" w:rsidRDefault="005A35E1" w:rsidP="005A35E1">
      <w:pPr>
        <w:numPr>
          <w:ilvl w:val="0"/>
          <w:numId w:val="16"/>
        </w:numPr>
        <w:tabs>
          <w:tab w:val="left" w:pos="142"/>
          <w:tab w:val="left" w:pos="284"/>
        </w:tabs>
        <w:spacing w:line="276" w:lineRule="auto"/>
        <w:ind w:left="0" w:firstLine="357"/>
        <w:contextualSpacing/>
        <w:jc w:val="both"/>
        <w:rPr>
          <w:rFonts w:ascii="Verdana" w:eastAsia="Century Gothic" w:hAnsi="Verdana" w:cs="Century Gothic"/>
        </w:rPr>
      </w:pPr>
      <w:r w:rsidRPr="001B415F">
        <w:rPr>
          <w:rFonts w:ascii="Verdana" w:eastAsia="Century Gothic" w:hAnsi="Verdana" w:cs="Century Gothic"/>
          <w:b/>
          <w:bCs/>
        </w:rPr>
        <w:t>Problema planteado:</w:t>
      </w:r>
    </w:p>
    <w:p w14:paraId="6B5291BF" w14:textId="148EFE75" w:rsidR="00F76786" w:rsidRDefault="005A35E1" w:rsidP="00F76786">
      <w:pPr>
        <w:spacing w:before="240" w:line="276" w:lineRule="auto"/>
        <w:jc w:val="both"/>
        <w:rPr>
          <w:rFonts w:ascii="Verdana" w:eastAsia="Aptos" w:hAnsi="Verdana" w:cs="Times New Roman"/>
        </w:rPr>
      </w:pPr>
      <w:r w:rsidRPr="00A77871">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A77871">
        <w:rPr>
          <w:rFonts w:ascii="Verdana" w:eastAsia="Century Gothic" w:hAnsi="Verdana" w:cs="Century Gothic"/>
        </w:rPr>
        <w:t xml:space="preserve"> siguiente problema jurídico</w:t>
      </w:r>
      <w:r w:rsidRPr="00C853DB">
        <w:rPr>
          <w:rFonts w:ascii="Verdana" w:eastAsia="Century Gothic" w:hAnsi="Verdana" w:cs="Century Gothic"/>
        </w:rPr>
        <w:t>:</w:t>
      </w:r>
      <w:r w:rsidRPr="008D15EE">
        <w:rPr>
          <w:rFonts w:ascii="Verdana" w:eastAsia="Century Gothic" w:hAnsi="Verdana" w:cs="Century Gothic"/>
        </w:rPr>
        <w:t xml:space="preserve"> </w:t>
      </w:r>
      <w:r w:rsidR="00104EB4" w:rsidRPr="00104EB4">
        <w:rPr>
          <w:rFonts w:ascii="Verdana" w:eastAsia="Aptos" w:hAnsi="Verdana" w:cs="Times New Roman"/>
        </w:rPr>
        <w:t>¿</w:t>
      </w:r>
      <w:r w:rsidR="001F1458" w:rsidRPr="001F1458">
        <w:t xml:space="preserve"> </w:t>
      </w:r>
      <w:r w:rsidR="001F1458" w:rsidRPr="001F1458">
        <w:rPr>
          <w:rFonts w:ascii="Verdana" w:eastAsia="Aptos" w:hAnsi="Verdana" w:cs="Times New Roman"/>
        </w:rPr>
        <w:t>Existe una obligación de identidad literal entre la descripción de la adquisición incluida en el Plan Anual de Adquisiciones, la denominación consignada en el certificado de disponibilidad presupuestal y el objeto definido en los documentos del proceso de contratación, o puede la entidad precisar este último durante la estructuración del proceso, conservando la correspondencia material con la necesidad y adquisición previamente planeadas?</w:t>
      </w:r>
    </w:p>
    <w:p w14:paraId="46201F14" w14:textId="41AA1AC8" w:rsidR="005A35E1" w:rsidRPr="00F76786" w:rsidRDefault="005A35E1" w:rsidP="00F76786">
      <w:pPr>
        <w:numPr>
          <w:ilvl w:val="0"/>
          <w:numId w:val="16"/>
        </w:numPr>
        <w:tabs>
          <w:tab w:val="left" w:pos="142"/>
          <w:tab w:val="left" w:pos="284"/>
        </w:tabs>
        <w:spacing w:line="276" w:lineRule="auto"/>
        <w:ind w:left="0" w:firstLine="357"/>
        <w:contextualSpacing/>
        <w:jc w:val="both"/>
        <w:rPr>
          <w:rFonts w:ascii="Verdana" w:eastAsia="Century Gothic" w:hAnsi="Verdana" w:cs="Century Gothic"/>
          <w:b/>
          <w:bCs/>
        </w:rPr>
      </w:pPr>
      <w:r w:rsidRPr="00F76786">
        <w:rPr>
          <w:rFonts w:ascii="Verdana" w:eastAsia="Century Gothic" w:hAnsi="Verdana" w:cs="Century Gothic"/>
          <w:b/>
          <w:bCs/>
        </w:rPr>
        <w:t xml:space="preserve"> Respuesta:</w:t>
      </w:r>
    </w:p>
    <w:p w14:paraId="59552C23" w14:textId="77777777" w:rsidR="005A35E1" w:rsidRPr="001B63C6" w:rsidRDefault="005A35E1" w:rsidP="005A35E1">
      <w:pPr>
        <w:tabs>
          <w:tab w:val="left" w:pos="142"/>
          <w:tab w:val="left" w:pos="284"/>
        </w:tabs>
        <w:spacing w:line="276" w:lineRule="auto"/>
        <w:ind w:left="357"/>
        <w:contextualSpacing/>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A35E1" w:rsidRPr="00A77871" w14:paraId="582C548B" w14:textId="77777777">
        <w:trPr>
          <w:jc w:val="center"/>
        </w:trPr>
        <w:tc>
          <w:tcPr>
            <w:tcW w:w="8828" w:type="dxa"/>
          </w:tcPr>
          <w:p w14:paraId="5B61D089" w14:textId="77777777" w:rsidR="00664E5C" w:rsidRPr="00664E5C" w:rsidRDefault="00664E5C" w:rsidP="00664E5C">
            <w:pPr>
              <w:snapToGrid w:val="0"/>
              <w:spacing w:before="120" w:line="276" w:lineRule="auto"/>
              <w:jc w:val="both"/>
              <w:rPr>
                <w:rFonts w:ascii="Verdana" w:eastAsia="Calibri" w:hAnsi="Verdana" w:cs="Arial"/>
              </w:rPr>
            </w:pPr>
            <w:bookmarkStart w:id="4" w:name="_Hlk171694685"/>
            <w:r w:rsidRPr="00664E5C">
              <w:rPr>
                <w:rFonts w:ascii="Verdana" w:eastAsia="Calibri" w:hAnsi="Verdana" w:cs="Arial"/>
              </w:rPr>
              <w:t xml:space="preserve">El Plan Anual de Adquisiciones –PAA– constituye un instrumento de planeación de carácter estimativo, mediante el cual las Entidades Estatales identifican las necesidades de bienes, obras y servicios que pretenden adquirir durante una </w:t>
            </w:r>
            <w:r w:rsidRPr="00664E5C">
              <w:rPr>
                <w:rFonts w:ascii="Verdana" w:eastAsia="Calibri" w:hAnsi="Verdana" w:cs="Arial"/>
              </w:rPr>
              <w:lastRenderedPageBreak/>
              <w:t>determinada vigencia, así como algunos elementos asociados a su futura contratación. En este sentido, el artículo 2.2.1.1.1.4.1 del Decreto 1082 de 2015 dispone que el PAA debe contener la lista de bienes, obras y servicios que la entidad pretende adquirir durante el año y, adicionalmente, establece que en este instrumento debe señalarse la necesidad, identificar el bien, obra o servicio mediante el Clasificador de Bienes y Servicios cuando ello sea posible, e indicar el valor estimado del contrato, el tipo de recursos, la modalidad de selección y la fecha aproximada de inicio del proceso de contratación.</w:t>
            </w:r>
          </w:p>
          <w:p w14:paraId="0F87929B" w14:textId="3E949544" w:rsidR="003058A0" w:rsidRPr="003058A0" w:rsidRDefault="00664E5C" w:rsidP="003058A0">
            <w:pPr>
              <w:snapToGrid w:val="0"/>
              <w:spacing w:before="120" w:line="276" w:lineRule="auto"/>
              <w:jc w:val="both"/>
              <w:rPr>
                <w:rFonts w:ascii="Verdana" w:eastAsia="Calibri" w:hAnsi="Verdana" w:cs="Arial"/>
              </w:rPr>
            </w:pPr>
            <w:r w:rsidRPr="00664E5C">
              <w:rPr>
                <w:rFonts w:ascii="Verdana" w:eastAsia="Calibri" w:hAnsi="Verdana" w:cs="Arial"/>
              </w:rPr>
              <w:t xml:space="preserve">A partir de </w:t>
            </w:r>
            <w:r w:rsidR="002775BF">
              <w:rPr>
                <w:rFonts w:ascii="Verdana" w:eastAsia="Calibri" w:hAnsi="Verdana" w:cs="Arial"/>
              </w:rPr>
              <w:t xml:space="preserve">la </w:t>
            </w:r>
            <w:r w:rsidR="00217B0D">
              <w:rPr>
                <w:rFonts w:ascii="Verdana" w:eastAsia="Calibri" w:hAnsi="Verdana" w:cs="Arial"/>
              </w:rPr>
              <w:t>mencionada</w:t>
            </w:r>
            <w:r w:rsidRPr="00664E5C">
              <w:rPr>
                <w:rFonts w:ascii="Verdana" w:eastAsia="Calibri" w:hAnsi="Verdana" w:cs="Arial"/>
              </w:rPr>
              <w:t xml:space="preserve"> disposición, </w:t>
            </w:r>
            <w:r w:rsidR="002775BF">
              <w:rPr>
                <w:rFonts w:ascii="Verdana" w:eastAsia="Calibri" w:hAnsi="Verdana" w:cs="Arial"/>
              </w:rPr>
              <w:t>esta</w:t>
            </w:r>
            <w:r w:rsidRPr="00664E5C">
              <w:rPr>
                <w:rFonts w:ascii="Verdana" w:eastAsia="Calibri" w:hAnsi="Verdana" w:cs="Arial"/>
              </w:rPr>
              <w:t xml:space="preserve"> Agencia ha señalado que el PAA tiene un contenido esencialísimo</w:t>
            </w:r>
            <w:r w:rsidR="00CB351D">
              <w:rPr>
                <w:rStyle w:val="Refdenotaalpie"/>
                <w:rFonts w:ascii="Verdana" w:eastAsia="Calibri" w:hAnsi="Verdana" w:cs="Arial"/>
              </w:rPr>
              <w:footnoteReference w:id="1"/>
            </w:r>
            <w:r w:rsidRPr="00664E5C">
              <w:rPr>
                <w:rFonts w:ascii="Verdana" w:eastAsia="Calibri" w:hAnsi="Verdana" w:cs="Arial"/>
              </w:rPr>
              <w:t xml:space="preserve">, constituido por la lista de bienes, obras y servicios que la entidad pretende adquirir, y otro contenido que, aunque es de inclusión obligatoria, tiene un carácter complementario y descriptivo respecto de aquel, conformado, entre otros aspectos, por el valor estimado del contrato, la modalidad de selección, el tipo de recursos y la fecha aproximada de inicio del proceso. </w:t>
            </w:r>
            <w:r w:rsidR="003058A0">
              <w:rPr>
                <w:rFonts w:ascii="Verdana" w:eastAsia="Calibri" w:hAnsi="Verdana" w:cs="Arial"/>
              </w:rPr>
              <w:t>E</w:t>
            </w:r>
            <w:r w:rsidR="003058A0" w:rsidRPr="003058A0">
              <w:rPr>
                <w:rFonts w:ascii="Verdana" w:eastAsia="Calibri" w:hAnsi="Verdana" w:cs="Arial"/>
              </w:rPr>
              <w:t>n este sentido, la sola precisión de la denominación del objeto durante la estructuración del proceso no implica necesariamente una modificación del PAA, siempre que se mantenga la correspondencia sustancial entre la necesidad y la adquisición previamente planeadas y no se configure alguno de los eventos de actualización previstos en el artículo 2.2.1.1.1.4.4 del Decreto 1082 de 2015. Esta conclusión corresponde a una interpretación derivada de la finalidad y alcance del PAA y no a una regla expresamente establecida en dicha disposición.</w:t>
            </w:r>
          </w:p>
          <w:p w14:paraId="5F0FEABF" w14:textId="77777777" w:rsidR="003058A0" w:rsidRPr="003058A0" w:rsidRDefault="003058A0" w:rsidP="003058A0">
            <w:pPr>
              <w:snapToGrid w:val="0"/>
              <w:spacing w:before="120" w:line="276" w:lineRule="auto"/>
              <w:jc w:val="both"/>
              <w:rPr>
                <w:rFonts w:ascii="Verdana" w:eastAsia="Calibri" w:hAnsi="Verdana" w:cs="Arial"/>
              </w:rPr>
            </w:pPr>
            <w:r w:rsidRPr="003058A0">
              <w:rPr>
                <w:rFonts w:ascii="Verdana" w:eastAsia="Calibri" w:hAnsi="Verdana" w:cs="Arial"/>
              </w:rPr>
              <w:t>En consecuencia, no se exige identidad literal entre la descripción de la adquisición contenida en el PAA, la denominación consignada en el CDP y el objeto definido en los documentos del proceso. Respecto del CDP, tampoco se advierte una exigencia normativa de coincidencia literal en su denominación, sin perjuicio de que exista correspondencia material entre el gasto respaldado presupuestalmente y la contratación que se pretende adelantar. Lo jurídicamente relevante es que exista coherencia sustancial entre la necesidad planeada, la apropiación presupuestal y el objeto del proceso contractual.</w:t>
            </w:r>
          </w:p>
          <w:p w14:paraId="10E16107" w14:textId="00AD8233" w:rsidR="00664E5C" w:rsidRPr="00664E5C" w:rsidRDefault="00664E5C" w:rsidP="00664E5C">
            <w:pPr>
              <w:snapToGrid w:val="0"/>
              <w:spacing w:before="120" w:line="276" w:lineRule="auto"/>
              <w:jc w:val="both"/>
              <w:rPr>
                <w:rFonts w:ascii="Verdana" w:eastAsia="Calibri" w:hAnsi="Verdana" w:cs="Arial"/>
              </w:rPr>
            </w:pPr>
            <w:r w:rsidRPr="00664E5C">
              <w:rPr>
                <w:rFonts w:ascii="Verdana" w:eastAsia="Calibri" w:hAnsi="Verdana" w:cs="Arial"/>
              </w:rPr>
              <w:t xml:space="preserve">En consecuencia, el PAA no constituye el instrumento en el que se define de manera definitiva el objeto contractual. Esta concreción corresponde a la etapa </w:t>
            </w:r>
            <w:r w:rsidRPr="00664E5C">
              <w:rPr>
                <w:rFonts w:ascii="Verdana" w:eastAsia="Calibri" w:hAnsi="Verdana" w:cs="Arial"/>
              </w:rPr>
              <w:lastRenderedPageBreak/>
              <w:t>de estructuración del proceso de contratación, para lo cual los estudios y documentos previos sirven de soporte y deben contener, entre otros elementos, la descripción de la necesidad que la entidad pretende satisfacer y el objeto a contratar, con sus respectivas especificaciones.</w:t>
            </w:r>
          </w:p>
          <w:p w14:paraId="31540BC8" w14:textId="77777777" w:rsidR="00664E5C" w:rsidRPr="00664E5C" w:rsidRDefault="00664E5C" w:rsidP="00664E5C">
            <w:pPr>
              <w:snapToGrid w:val="0"/>
              <w:spacing w:before="120" w:line="276" w:lineRule="auto"/>
              <w:jc w:val="both"/>
              <w:rPr>
                <w:rFonts w:ascii="Verdana" w:eastAsia="Calibri" w:hAnsi="Verdana" w:cs="Arial"/>
              </w:rPr>
            </w:pPr>
            <w:r w:rsidRPr="00664E5C">
              <w:rPr>
                <w:rFonts w:ascii="Verdana" w:eastAsia="Calibri" w:hAnsi="Verdana" w:cs="Arial"/>
              </w:rPr>
              <w:t xml:space="preserve">Por ello, durante la estructuración del proceso, la Entidad Estatal puede precisar la denominación y el alcance del objeto contractual, atendiendo a la necesidad que pretende satisfacer y a los análisis que sustentan la contratación, sin que exista, por ese solo hecho, una obligación de reproducir </w:t>
            </w:r>
            <w:r w:rsidRPr="00B225F0">
              <w:rPr>
                <w:rFonts w:ascii="Verdana" w:eastAsia="Calibri" w:hAnsi="Verdana" w:cs="Arial"/>
                <w:i/>
                <w:iCs/>
              </w:rPr>
              <w:t>literalmente</w:t>
            </w:r>
            <w:r w:rsidRPr="00664E5C">
              <w:rPr>
                <w:rFonts w:ascii="Verdana" w:eastAsia="Calibri" w:hAnsi="Verdana" w:cs="Arial"/>
              </w:rPr>
              <w:t xml:space="preserve"> la denominación empleada en el PAA.</w:t>
            </w:r>
          </w:p>
          <w:p w14:paraId="0054C104" w14:textId="77777777" w:rsidR="00664E5C" w:rsidRDefault="00664E5C" w:rsidP="00664E5C">
            <w:pPr>
              <w:snapToGrid w:val="0"/>
              <w:spacing w:before="120" w:line="276" w:lineRule="auto"/>
              <w:jc w:val="both"/>
              <w:rPr>
                <w:rFonts w:ascii="Verdana" w:eastAsia="Calibri" w:hAnsi="Verdana" w:cs="Arial"/>
              </w:rPr>
            </w:pPr>
            <w:r w:rsidRPr="00664E5C">
              <w:rPr>
                <w:rFonts w:ascii="Verdana" w:eastAsia="Calibri" w:hAnsi="Verdana" w:cs="Arial"/>
              </w:rPr>
              <w:t>No obstante, esta posibilidad de precisar el objeto contractual no significa que la Entidad Estatal pueda apartarse libremente de lo previsto en el PAA. Debe existir correspondencia entre la adquisición identificada en el instrumento de planeación y aquella que finalmente se pretende contratar, de manera que la contratación conserve coherencia con la necesidad que justificó su inclusión en el PAA. En este sentido, debe diferenciarse entre la simple precisión o concreción de la denominación del objeto y una modificación de la adquisición inicialmente planeada.</w:t>
            </w:r>
          </w:p>
          <w:p w14:paraId="0605DF31" w14:textId="21461835" w:rsidR="00704E93" w:rsidRPr="00704E93" w:rsidRDefault="00704E93" w:rsidP="00704E93">
            <w:pPr>
              <w:snapToGrid w:val="0"/>
              <w:spacing w:before="120" w:line="276" w:lineRule="auto"/>
              <w:jc w:val="both"/>
              <w:rPr>
                <w:rFonts w:ascii="Verdana" w:eastAsia="Calibri" w:hAnsi="Verdana" w:cs="Arial"/>
              </w:rPr>
            </w:pPr>
            <w:r w:rsidRPr="00704E93">
              <w:rPr>
                <w:rFonts w:ascii="Verdana" w:eastAsia="Calibri" w:hAnsi="Verdana" w:cs="Arial"/>
              </w:rPr>
              <w:t>En este sentido, la ausencia de identidad literal entre la denominación contenida en el</w:t>
            </w:r>
            <w:r w:rsidR="00820576">
              <w:rPr>
                <w:rFonts w:ascii="Verdana" w:eastAsia="Calibri" w:hAnsi="Verdana" w:cs="Arial"/>
              </w:rPr>
              <w:t xml:space="preserve"> </w:t>
            </w:r>
            <w:r w:rsidRPr="00704E93">
              <w:rPr>
                <w:rFonts w:ascii="Verdana" w:eastAsia="Calibri" w:hAnsi="Verdana" w:cs="Arial"/>
              </w:rPr>
              <w:t>PAA, el CDP y el objeto contractual no desvirtúa, por sí misma, la necesidad de que exista correspondencia material entre la adquisición inicialmente planeada, el respectivo respaldo presupuestal y el proceso de contratación finalmente estructurado. Así, lo relevante no es que las denominaciones empleadas en estos instrumentos sean necesariamente idénticas, sino que permitan establecer una relación coherente entre la necesidad identificada y planeada por la entidad, la apropiación presupuestal que respalda su atención y el objeto del proceso contractual que finalmente se adelanta. Bajo esta interpretación, la sola precisión o ajuste en la denominación del objeto contractual no comportaría, por sí misma, la necesidad de modificar o actualizar el PAA, siempre que dicha precisión no implique una modificación sustancial de la adquisición inicialmente prevista y no se configure alguno de los supuestos que, de conformidad con el artículo 2.2.1.1.1.4.4 del Decreto 1082 de 2015, hacen procedente su actualización. Esta consideración corresponde a una conclusión interpretativa derivada de la finalidad y alcance de la planeación contractual y de la regulación del PAA, y no a una regla expresamente establecida en el citado artículo.</w:t>
            </w:r>
          </w:p>
          <w:p w14:paraId="3B55CCA5" w14:textId="28F214E9" w:rsidR="00664E5C" w:rsidRPr="00664E5C" w:rsidRDefault="00664E5C" w:rsidP="00664E5C">
            <w:pPr>
              <w:snapToGrid w:val="0"/>
              <w:spacing w:before="120" w:line="276" w:lineRule="auto"/>
              <w:jc w:val="both"/>
              <w:rPr>
                <w:rFonts w:ascii="Verdana" w:eastAsia="Calibri" w:hAnsi="Verdana" w:cs="Arial"/>
              </w:rPr>
            </w:pPr>
            <w:r w:rsidRPr="00664E5C">
              <w:rPr>
                <w:rFonts w:ascii="Verdana" w:eastAsia="Calibri" w:hAnsi="Verdana" w:cs="Arial"/>
              </w:rPr>
              <w:lastRenderedPageBreak/>
              <w:t xml:space="preserve">Esta distinción también encuentra respaldo en el artículo 2.2.1.1.1.4.4 del Decreto 1082 de 2015, que establece el deber de actualizar el PAA, entre otros eventos, cuando se produzcan ajustes en los cronogramas de adquisición, valores, modalidad de selección u origen de los recursos; cuando se incluyan o excluyan bienes, obras o servicios, o cuando se modifique el presupuesto anual de adquisiciones. De esta manera, </w:t>
            </w:r>
            <w:r w:rsidR="00071AD4" w:rsidRPr="00071AD4">
              <w:rPr>
                <w:rFonts w:ascii="Verdana" w:eastAsia="Calibri" w:hAnsi="Verdana" w:cs="Arial"/>
              </w:rPr>
              <w:t>En ese sentido, la sola precisión de la denominación del objeto durante la estructuración del proceso no implica necesariamente una modificación del PAA, siempre que se mantenga la identidad sustancial de la necesidad y de la adquisición previamente planeada y no se configure alguno de los eventos de actualización previstos en el artículo 2.2.1.1.1.4.4 del Decreto 1082 de 2015.</w:t>
            </w:r>
            <w:r w:rsidRPr="00664E5C">
              <w:rPr>
                <w:rFonts w:ascii="Verdana" w:eastAsia="Calibri" w:hAnsi="Verdana" w:cs="Arial"/>
              </w:rPr>
              <w:t xml:space="preserve">En consecuencia, </w:t>
            </w:r>
            <w:r w:rsidRPr="00D807CF">
              <w:rPr>
                <w:rFonts w:ascii="Verdana" w:eastAsia="Calibri" w:hAnsi="Verdana" w:cs="Arial"/>
              </w:rPr>
              <w:t>no se exige identidad literal</w:t>
            </w:r>
            <w:r w:rsidRPr="00664E5C">
              <w:rPr>
                <w:rFonts w:ascii="Verdana" w:eastAsia="Calibri" w:hAnsi="Verdana" w:cs="Arial"/>
              </w:rPr>
              <w:t xml:space="preserve"> entre el objeto registrado en el PAA, </w:t>
            </w:r>
            <w:r w:rsidR="001731E3">
              <w:rPr>
                <w:rFonts w:ascii="Verdana" w:eastAsia="Calibri" w:hAnsi="Verdana" w:cs="Arial"/>
              </w:rPr>
              <w:t>r</w:t>
            </w:r>
            <w:r w:rsidR="00B61EFE" w:rsidRPr="00B61EFE">
              <w:rPr>
                <w:rFonts w:ascii="Verdana" w:eastAsia="Calibri" w:hAnsi="Verdana" w:cs="Arial"/>
              </w:rPr>
              <w:t>especto del CDP, tampoco se advierte una exigencia normativa de identidad literal en la denominación, sin perjuicio de que exista correspondencia material entre el gasto respaldado presupuestalmente y la contratación que se pretende adelantar.</w:t>
            </w:r>
            <w:r w:rsidR="00CA5F5D">
              <w:rPr>
                <w:rFonts w:ascii="Verdana" w:eastAsia="Calibri" w:hAnsi="Verdana" w:cs="Arial"/>
              </w:rPr>
              <w:t xml:space="preserve"> l</w:t>
            </w:r>
            <w:r w:rsidRPr="00664E5C">
              <w:rPr>
                <w:rFonts w:ascii="Verdana" w:eastAsia="Calibri" w:hAnsi="Verdana" w:cs="Arial"/>
              </w:rPr>
              <w:t xml:space="preserve">o jurídicamente relevante es que </w:t>
            </w:r>
            <w:r w:rsidRPr="00D807CF">
              <w:rPr>
                <w:rFonts w:ascii="Verdana" w:eastAsia="Calibri" w:hAnsi="Verdana" w:cs="Arial"/>
              </w:rPr>
              <w:t>exista coherencia sustancial entre estos instrumentos respecto de la necesidad que se pretende satisfacer y de la adquisición que se proyecta realizar</w:t>
            </w:r>
            <w:r w:rsidRPr="00664E5C">
              <w:rPr>
                <w:rFonts w:ascii="Verdana" w:eastAsia="Calibri" w:hAnsi="Verdana" w:cs="Arial"/>
              </w:rPr>
              <w:t>, sin perjuicio de que la denominación y el alcance concreto del objeto puedan precisarse durante la estructuración del proceso contractual.</w:t>
            </w:r>
          </w:p>
          <w:p w14:paraId="646A2C24" w14:textId="77777777" w:rsidR="005A35E1" w:rsidRPr="00A54773" w:rsidRDefault="005A35E1" w:rsidP="00B16CBC">
            <w:pPr>
              <w:tabs>
                <w:tab w:val="left" w:pos="426"/>
              </w:tabs>
              <w:spacing w:before="240" w:after="120" w:line="276" w:lineRule="auto"/>
              <w:jc w:val="both"/>
              <w:rPr>
                <w:rFonts w:ascii="Verdana" w:hAnsi="Verdana" w:cs="Arial"/>
                <w:lang w:val="es-ES"/>
              </w:rPr>
            </w:pPr>
            <w:r>
              <w:rPr>
                <w:rFonts w:ascii="Verdana" w:hAnsi="Verdana" w:cs="Arial"/>
              </w:rPr>
              <w:t>Finalmente,</w:t>
            </w:r>
            <w:r w:rsidRPr="00A54773">
              <w:rPr>
                <w:rFonts w:ascii="Verdana" w:hAnsi="Verdana" w:cs="Arial"/>
                <w:lang w:val="es-ES"/>
              </w:rPr>
              <w:t xml:space="preserve"> es pertinente señalar que Colombia Compra Eficiente, en ejercicio de su función consultiva, no está llamada a definir criterios universales y absolutos, sino a suministrar elementos hermenéuticos de carácter general que orienten a los partícipes del Sistema de Compras y Contratación Pública en la adopción de sus decisiones, en consonancia con el principio de juridicidad. En consecuencia, corresponde a las entidades estatales, en cada caso concreto, determinar los criterios aplicables, con sujeción a los principios y normas que rigen el Estatuto General de Contratación de la Administración Pública (EGCAP).</w:t>
            </w:r>
          </w:p>
        </w:tc>
      </w:tr>
      <w:bookmarkEnd w:id="4"/>
    </w:tbl>
    <w:p w14:paraId="55796008" w14:textId="77777777" w:rsidR="00271484" w:rsidRDefault="00271484" w:rsidP="00271484">
      <w:pPr>
        <w:tabs>
          <w:tab w:val="left" w:pos="142"/>
          <w:tab w:val="left" w:pos="284"/>
        </w:tabs>
        <w:spacing w:before="240" w:line="276" w:lineRule="auto"/>
        <w:ind w:left="357"/>
        <w:contextualSpacing/>
        <w:jc w:val="both"/>
        <w:rPr>
          <w:rFonts w:ascii="Verdana" w:eastAsia="Century Gothic" w:hAnsi="Verdana" w:cs="Century Gothic"/>
          <w:b/>
          <w:bCs/>
        </w:rPr>
      </w:pPr>
    </w:p>
    <w:p w14:paraId="37B42ED0" w14:textId="47885D8A" w:rsidR="005A35E1" w:rsidRPr="00A77871" w:rsidRDefault="005A35E1" w:rsidP="00271484">
      <w:pPr>
        <w:numPr>
          <w:ilvl w:val="0"/>
          <w:numId w:val="16"/>
        </w:numPr>
        <w:tabs>
          <w:tab w:val="left" w:pos="142"/>
          <w:tab w:val="left" w:pos="284"/>
        </w:tabs>
        <w:spacing w:before="240" w:line="276" w:lineRule="auto"/>
        <w:ind w:left="0" w:firstLine="357"/>
        <w:contextualSpacing/>
        <w:jc w:val="both"/>
        <w:rPr>
          <w:rFonts w:ascii="Verdana" w:eastAsia="Century Gothic" w:hAnsi="Verdana" w:cs="Century Gothic"/>
          <w:b/>
          <w:bCs/>
        </w:rPr>
      </w:pPr>
      <w:r w:rsidRPr="00A77871">
        <w:rPr>
          <w:rFonts w:ascii="Verdana" w:eastAsia="Century Gothic" w:hAnsi="Verdana" w:cs="Century Gothic"/>
          <w:b/>
          <w:bCs/>
        </w:rPr>
        <w:t>Razones de la respuesta:</w:t>
      </w:r>
    </w:p>
    <w:p w14:paraId="1674C4FF" w14:textId="77777777" w:rsidR="005A35E1" w:rsidRDefault="005A35E1" w:rsidP="00271484">
      <w:pPr>
        <w:spacing w:before="240" w:line="276" w:lineRule="auto"/>
        <w:jc w:val="both"/>
        <w:rPr>
          <w:rFonts w:ascii="Verdana" w:eastAsia="Calibri" w:hAnsi="Verdana" w:cs="Arial"/>
        </w:rPr>
      </w:pPr>
      <w:r w:rsidRPr="00454A35">
        <w:rPr>
          <w:rFonts w:ascii="Verdana" w:eastAsia="Calibri" w:hAnsi="Verdana" w:cs="Arial"/>
        </w:rPr>
        <w:t>Lo anterior se sustenta en las siguientes consideraciones:</w:t>
      </w:r>
    </w:p>
    <w:p w14:paraId="05C75906" w14:textId="77777777" w:rsidR="00676D4D" w:rsidRPr="00F50E68" w:rsidRDefault="00676D4D" w:rsidP="00676D4D">
      <w:pPr>
        <w:spacing w:after="0" w:line="276" w:lineRule="auto"/>
        <w:contextualSpacing/>
        <w:jc w:val="both"/>
        <w:rPr>
          <w:rFonts w:ascii="Verdana" w:eastAsia="Calibri" w:hAnsi="Verdana" w:cs="Arial"/>
        </w:rPr>
      </w:pPr>
      <w:r w:rsidRPr="00F50E68">
        <w:rPr>
          <w:rFonts w:ascii="Verdana" w:eastAsia="Calibri" w:hAnsi="Verdana" w:cs="Arial"/>
        </w:rPr>
        <w:lastRenderedPageBreak/>
        <w:t>La Guía para elaborar el Plan Anual de Adquisiciones</w:t>
      </w:r>
      <w:r w:rsidRPr="00F50E68">
        <w:rPr>
          <w:rFonts w:ascii="Verdana" w:eastAsia="Calibri" w:hAnsi="Verdana" w:cs="Arial"/>
          <w:vertAlign w:val="superscript"/>
        </w:rPr>
        <w:footnoteReference w:id="2"/>
      </w:r>
      <w:r w:rsidRPr="00F50E68">
        <w:rPr>
          <w:rFonts w:ascii="Verdana" w:eastAsia="Calibri" w:hAnsi="Verdana" w:cs="Arial"/>
        </w:rPr>
        <w:t xml:space="preserve">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F50E68">
        <w:rPr>
          <w:rFonts w:ascii="Verdana" w:eastAsia="Aptos" w:hAnsi="Verdana" w:cs="Times New Roman"/>
          <w:color w:val="000000"/>
          <w:vertAlign w:val="superscript"/>
        </w:rPr>
        <w:footnoteReference w:id="3"/>
      </w:r>
      <w:r w:rsidRPr="00F50E68">
        <w:rPr>
          <w:rFonts w:ascii="Verdana" w:eastAsia="Calibri" w:hAnsi="Verdana" w:cs="Arial"/>
        </w:rPr>
        <w:t>.</w:t>
      </w:r>
    </w:p>
    <w:p w14:paraId="4BAEE211" w14:textId="77777777" w:rsidR="00676D4D" w:rsidRPr="00F50E68" w:rsidRDefault="00676D4D" w:rsidP="00676D4D">
      <w:pPr>
        <w:tabs>
          <w:tab w:val="left" w:pos="0"/>
        </w:tabs>
        <w:spacing w:before="120" w:after="120" w:line="276" w:lineRule="auto"/>
        <w:jc w:val="both"/>
        <w:rPr>
          <w:rFonts w:ascii="Verdana" w:eastAsia="Calibri" w:hAnsi="Verdana" w:cs="Arial"/>
          <w:lang w:val="es-ES"/>
        </w:rPr>
      </w:pPr>
      <w:r w:rsidRPr="00F50E68">
        <w:rPr>
          <w:rFonts w:ascii="Verdana" w:eastAsia="Calibri" w:hAnsi="Verdana" w:cs="Arial"/>
          <w:lang w:val="es-ES"/>
        </w:rPr>
        <w:tab/>
        <w:t xml:space="preserve">De acuerdo con el artículo </w:t>
      </w:r>
      <w:r w:rsidRPr="00F50E68">
        <w:rPr>
          <w:rFonts w:ascii="Verdana" w:eastAsia="Calibri" w:hAnsi="Verdana" w:cs="Arial"/>
          <w:kern w:val="2"/>
          <w14:ligatures w14:val="standardContextual"/>
        </w:rPr>
        <w:t>2.2.1.1.1.3.1 del Decreto 1082 de 2015, el PAA es el plan general de compras al que se refiere el artículo 74 de la Ley 1474 de 2011 y el plan de compras al que se refiere la Ley Anual de Presupuesto. Asimismo, el artículo 2.1.1.1.3.1 del Decreto 1082 de 2015 lo define como un instrumento de planeación contractual que las Entidades Estatales debe diligenciar, publicar y actualizar.</w:t>
      </w:r>
      <w:r w:rsidRPr="00F50E68">
        <w:rPr>
          <w:rFonts w:ascii="Verdana" w:eastAsia="Calibri" w:hAnsi="Verdana" w:cs="Arial"/>
          <w:lang w:val="es-ES"/>
        </w:rPr>
        <w:t xml:space="preserve"> En particular, el artículo 74 de la Ley 1474 de 2011 dispone que “todas las entidades del Estado” deben publicar, a más tardar el 31</w:t>
      </w:r>
      <w:r w:rsidRPr="00F50E68">
        <w:rPr>
          <w:rFonts w:ascii="Verdana" w:eastAsia="Calibri" w:hAnsi="Verdana" w:cs="Arial"/>
          <w:lang w:val="es-ES_tradnl"/>
        </w:rPr>
        <w:t xml:space="preserve"> de enero de cada año, en su respectiva página web, el plan de acción, en el cual se incluye el plan general de compras</w:t>
      </w:r>
      <w:r w:rsidRPr="00F50E68">
        <w:rPr>
          <w:rFonts w:ascii="Verdana" w:eastAsia="Calibri" w:hAnsi="Verdana" w:cs="Arial"/>
          <w:vertAlign w:val="superscript"/>
          <w:lang w:val="es-ES_tradnl"/>
        </w:rPr>
        <w:footnoteReference w:id="4"/>
      </w:r>
      <w:r w:rsidRPr="00F50E68">
        <w:rPr>
          <w:rFonts w:ascii="Verdana" w:eastAsia="Calibri" w:hAnsi="Verdana" w:cs="Arial"/>
          <w:lang w:val="es-ES_tradnl"/>
        </w:rPr>
        <w:t>. Como ya se indicó, el plan general de compras para el ordenamiento vigente corresponde con el concepto de Plan Anual de Adquisiciones como lo establece el artículo 2.2.1.1.1.3.1. del Decreto 1082 de 2015</w:t>
      </w:r>
      <w:r w:rsidRPr="00F50E68">
        <w:rPr>
          <w:rFonts w:ascii="Verdana" w:eastAsia="Calibri" w:hAnsi="Verdana" w:cs="Arial"/>
          <w:vertAlign w:val="superscript"/>
          <w:lang w:val="es-ES_tradnl"/>
        </w:rPr>
        <w:footnoteReference w:id="5"/>
      </w:r>
      <w:r w:rsidRPr="00F50E68">
        <w:rPr>
          <w:rFonts w:ascii="Verdana" w:eastAsia="Calibri" w:hAnsi="Verdana" w:cs="Arial"/>
          <w:lang w:val="es-ES_tradnl"/>
        </w:rPr>
        <w:t xml:space="preserve">.  </w:t>
      </w:r>
    </w:p>
    <w:p w14:paraId="0F238A6F" w14:textId="77777777" w:rsidR="00676D4D" w:rsidRPr="00F50E68" w:rsidRDefault="00676D4D" w:rsidP="00676D4D">
      <w:pPr>
        <w:tabs>
          <w:tab w:val="left" w:pos="0"/>
        </w:tabs>
        <w:spacing w:line="276" w:lineRule="auto"/>
        <w:jc w:val="both"/>
        <w:rPr>
          <w:rFonts w:ascii="Verdana" w:eastAsia="Calibri" w:hAnsi="Verdana" w:cs="Arial"/>
          <w:lang w:val="es-ES"/>
        </w:rPr>
      </w:pPr>
      <w:r w:rsidRPr="00F50E68">
        <w:rPr>
          <w:rFonts w:ascii="Verdana" w:eastAsia="Calibri" w:hAnsi="Verdana" w:cs="Arial"/>
          <w:lang w:val="es-ES"/>
        </w:rPr>
        <w:lastRenderedPageBreak/>
        <w:tab/>
        <w:t xml:space="preserve">Además, de acuerdo con el artículo </w:t>
      </w:r>
      <w:r w:rsidRPr="00F50E68">
        <w:rPr>
          <w:rFonts w:ascii="Verdana" w:eastAsia="Calibri" w:hAnsi="Verdana" w:cs="Arial"/>
          <w:lang w:val="es-ES_tradnl"/>
        </w:rPr>
        <w:t>2.2.1.1.1.4.3 ibidem</w:t>
      </w:r>
      <w:r w:rsidRPr="00F50E68">
        <w:rPr>
          <w:rFonts w:ascii="Verdana" w:eastAsia="Calibri" w:hAnsi="Verdana" w:cs="Arial"/>
          <w:i/>
          <w:iCs/>
          <w:lang w:val="es-ES_tradnl"/>
        </w:rPr>
        <w:t xml:space="preserve">, </w:t>
      </w:r>
      <w:r w:rsidRPr="00F50E68">
        <w:rPr>
          <w:rFonts w:ascii="Verdana" w:eastAsia="Calibri" w:hAnsi="Verdana" w:cs="Arial"/>
          <w:lang w:val="es-ES_tradnl"/>
        </w:rPr>
        <w:t>el PAA también debe publicarse en el SECOP</w:t>
      </w:r>
      <w:r w:rsidRPr="00F50E68">
        <w:rPr>
          <w:rFonts w:ascii="Verdana" w:eastAsia="Calibri" w:hAnsi="Verdana" w:cs="Arial"/>
          <w:vertAlign w:val="superscript"/>
        </w:rPr>
        <w:footnoteReference w:id="6"/>
      </w:r>
      <w:r w:rsidRPr="00F50E68">
        <w:rPr>
          <w:rFonts w:ascii="Verdana" w:eastAsia="Calibri" w:hAnsi="Verdana" w:cs="Arial"/>
          <w:lang w:val="es-ES"/>
        </w:rPr>
        <w:t>. Se trata de una obligación que involucra a todas las Entidades del Estado sin importar la rama a la cual pertenecen, o si se trata de entidades descentralizadas territorialmente o por servicios; las empresas del Estado y las sociedades en las que el Estado tenga participación, sin que importe su monto.</w:t>
      </w:r>
    </w:p>
    <w:p w14:paraId="61827926" w14:textId="77777777" w:rsidR="00676D4D" w:rsidRPr="00F50E68" w:rsidRDefault="00676D4D" w:rsidP="00676D4D">
      <w:pPr>
        <w:tabs>
          <w:tab w:val="left" w:pos="0"/>
        </w:tabs>
        <w:spacing w:line="276" w:lineRule="auto"/>
        <w:jc w:val="both"/>
        <w:rPr>
          <w:rStyle w:val="normaltextrun"/>
          <w:rFonts w:ascii="Verdana" w:hAnsi="Verdana" w:cs="Arial"/>
          <w:lang w:val="es-ES"/>
        </w:rPr>
      </w:pPr>
      <w:r w:rsidRPr="00F50E68">
        <w:rPr>
          <w:rFonts w:ascii="Verdana" w:eastAsia="Calibri" w:hAnsi="Verdana" w:cs="Arial"/>
          <w:kern w:val="2"/>
          <w14:ligatures w14:val="standardContextual"/>
        </w:rPr>
        <w:tab/>
        <w:t xml:space="preserve">Ahora bien, teniendo en cuenta que </w:t>
      </w:r>
      <w:r w:rsidRPr="00F50E68">
        <w:rPr>
          <w:rStyle w:val="normaltextrun"/>
          <w:rFonts w:ascii="Verdana" w:hAnsi="Verdana" w:cs="Arial"/>
          <w:lang w:val="es-ES"/>
        </w:rPr>
        <w:t xml:space="preserve">el artículo 2.1.1.2.1.10 del Decreto 1082 de 2015 dispone que los sujetos obligados que contraten con cargo a recursos públicos tienen la obligación de publicar el PAA en el SECOP, se sugiere consultar los lineamientos dispuestos por esta Agencia en el documento denominado “Plan Anual de Adquisiciones en SECOP II – Creación y publicación del PAA” disponible </w:t>
      </w:r>
      <w:hyperlink r:id="rId13" w:history="1">
        <w:r w:rsidRPr="00F50E68">
          <w:rPr>
            <w:rStyle w:val="Hipervnculo"/>
            <w:rFonts w:ascii="Verdana" w:hAnsi="Verdana" w:cs="Arial"/>
            <w:lang w:val="es-ES"/>
          </w:rPr>
          <w:t>aquí</w:t>
        </w:r>
      </w:hyperlink>
    </w:p>
    <w:p w14:paraId="656E82D1" w14:textId="77777777" w:rsidR="00676D4D" w:rsidRPr="00F50E68" w:rsidRDefault="00676D4D" w:rsidP="00676D4D">
      <w:pPr>
        <w:spacing w:before="120" w:after="0" w:line="276" w:lineRule="auto"/>
        <w:ind w:firstLine="708"/>
        <w:jc w:val="both"/>
        <w:rPr>
          <w:rFonts w:ascii="Verdana" w:hAnsi="Verdana" w:cs="Arial"/>
          <w:lang w:val="es-ES"/>
        </w:rPr>
      </w:pPr>
      <w:r w:rsidRPr="00F50E68">
        <w:rPr>
          <w:rFonts w:ascii="Verdana" w:hAnsi="Verdana" w:cs="Arial"/>
          <w:lang w:val="es-ES"/>
        </w:rPr>
        <w:t>Adicionalmente se aclara, que los sujetos que no contratan con cargo a recursos públicos no están obligados a publicarlo, mientras que aquellos que contratan tanto con cargo a recursos públicos como con aquellos que no tienen esta naturaleza, solamente están obligados a publicar el PAA para los recursos de carácter público que se ejecutarán duranta la vigencia fiscal.</w:t>
      </w:r>
    </w:p>
    <w:p w14:paraId="5B9D67DD" w14:textId="77777777" w:rsidR="00676D4D" w:rsidRPr="00F50E68" w:rsidRDefault="00676D4D" w:rsidP="00676D4D">
      <w:pPr>
        <w:spacing w:before="120" w:after="120" w:line="276" w:lineRule="auto"/>
        <w:jc w:val="both"/>
        <w:rPr>
          <w:rFonts w:ascii="Verdana" w:eastAsia="Calibri" w:hAnsi="Verdana" w:cs="Arial"/>
          <w:sz w:val="24"/>
          <w:szCs w:val="24"/>
          <w:lang w:val="es-ES" w:eastAsia="es-ES_tradnl"/>
        </w:rPr>
      </w:pPr>
      <w:r w:rsidRPr="00F50E68">
        <w:rPr>
          <w:rFonts w:ascii="Verdana" w:eastAsia="Calibri" w:hAnsi="Verdana" w:cs="Arial"/>
          <w:lang w:val="es-ES"/>
        </w:rPr>
        <w:tab/>
      </w:r>
      <w:r w:rsidRPr="00F50E68">
        <w:rPr>
          <w:rStyle w:val="normaltextrun"/>
          <w:rFonts w:ascii="Verdana" w:hAnsi="Verdana" w:cs="Arial"/>
          <w:lang w:val="es-ES"/>
        </w:rPr>
        <w:t>Teniendo en claro lo anterior, el artículo 2.2.1.1.1.4.1 del Decreto 1082 de 2015 establece el deber de elaborar el PAA, que debe contener un listado de lo que la entidad adquirirá durante el año, para satisfacer su necesidad de bienes, obras o servicios, y que debe tener la información desagregada, principalmente en los siguientes aspectos</w:t>
      </w:r>
      <w:r w:rsidRPr="00F50E68">
        <w:rPr>
          <w:rFonts w:ascii="Verdana" w:eastAsia="Calibri" w:hAnsi="Verdana" w:cs="Arial"/>
          <w:lang w:val="es-ES" w:eastAsia="es-ES_tradnl"/>
        </w:rPr>
        <w:t xml:space="preserve">: i) identificación con el clasificador de bienes y servicios, </w:t>
      </w:r>
      <w:proofErr w:type="spellStart"/>
      <w:r w:rsidRPr="00F50E68">
        <w:rPr>
          <w:rFonts w:ascii="Verdana" w:eastAsia="Calibri" w:hAnsi="Verdana" w:cs="Arial"/>
          <w:lang w:val="es-ES" w:eastAsia="es-ES_tradnl"/>
        </w:rPr>
        <w:t>ii</w:t>
      </w:r>
      <w:proofErr w:type="spellEnd"/>
      <w:r w:rsidRPr="00F50E68">
        <w:rPr>
          <w:rFonts w:ascii="Verdana" w:eastAsia="Calibri" w:hAnsi="Verdana" w:cs="Arial"/>
          <w:lang w:val="es-ES" w:eastAsia="es-ES_tradnl"/>
        </w:rPr>
        <w:t xml:space="preserve">) valor estimado del contrato, </w:t>
      </w:r>
      <w:proofErr w:type="spellStart"/>
      <w:r w:rsidRPr="00F50E68">
        <w:rPr>
          <w:rFonts w:ascii="Verdana" w:eastAsia="Calibri" w:hAnsi="Verdana" w:cs="Arial"/>
          <w:lang w:val="es-ES" w:eastAsia="es-ES_tradnl"/>
        </w:rPr>
        <w:t>iii</w:t>
      </w:r>
      <w:proofErr w:type="spellEnd"/>
      <w:r w:rsidRPr="00F50E68">
        <w:rPr>
          <w:rFonts w:ascii="Verdana" w:eastAsia="Calibri" w:hAnsi="Verdana" w:cs="Arial"/>
          <w:lang w:val="es-ES" w:eastAsia="es-ES_tradnl"/>
        </w:rPr>
        <w:t xml:space="preserve">) tipo de recursos, </w:t>
      </w:r>
      <w:proofErr w:type="spellStart"/>
      <w:r w:rsidRPr="00F50E68">
        <w:rPr>
          <w:rFonts w:ascii="Verdana" w:eastAsia="Calibri" w:hAnsi="Verdana" w:cs="Arial"/>
          <w:lang w:val="es-ES" w:eastAsia="es-ES_tradnl"/>
        </w:rPr>
        <w:t>iv</w:t>
      </w:r>
      <w:proofErr w:type="spellEnd"/>
      <w:r w:rsidRPr="00F50E68">
        <w:rPr>
          <w:rFonts w:ascii="Verdana" w:eastAsia="Calibri" w:hAnsi="Verdana" w:cs="Arial"/>
          <w:lang w:val="es-ES" w:eastAsia="es-ES_tradnl"/>
        </w:rPr>
        <w:t>) modalidad de selección y v) fecha de inicio del proceso contractual</w:t>
      </w:r>
      <w:r w:rsidRPr="00F50E68">
        <w:rPr>
          <w:rFonts w:ascii="Verdana" w:eastAsia="Calibri" w:hAnsi="Verdana" w:cs="Arial"/>
          <w:vertAlign w:val="superscript"/>
          <w:lang w:eastAsia="es-ES_tradnl"/>
        </w:rPr>
        <w:footnoteReference w:id="7"/>
      </w:r>
      <w:r w:rsidRPr="00F50E68">
        <w:rPr>
          <w:rFonts w:ascii="Verdana" w:eastAsia="Calibri" w:hAnsi="Verdana" w:cs="Arial"/>
          <w:lang w:val="es-ES" w:eastAsia="es-ES_tradnl"/>
        </w:rPr>
        <w:t>.</w:t>
      </w:r>
    </w:p>
    <w:p w14:paraId="40A65E41" w14:textId="77777777" w:rsidR="00676D4D" w:rsidRPr="00F50E68" w:rsidRDefault="00676D4D" w:rsidP="00676D4D">
      <w:pPr>
        <w:tabs>
          <w:tab w:val="left" w:pos="0"/>
        </w:tabs>
        <w:spacing w:line="276" w:lineRule="auto"/>
        <w:jc w:val="both"/>
        <w:rPr>
          <w:rFonts w:ascii="Verdana" w:eastAsia="Calibri" w:hAnsi="Verdana" w:cs="Arial"/>
          <w:lang w:val="es-ES"/>
        </w:rPr>
      </w:pPr>
      <w:r w:rsidRPr="00F50E68">
        <w:rPr>
          <w:rFonts w:ascii="Verdana" w:eastAsia="Calibri" w:hAnsi="Verdana" w:cs="Arial"/>
          <w:lang w:val="es-ES"/>
        </w:rPr>
        <w:lastRenderedPageBreak/>
        <w:tab/>
        <w:t>Con relación a la configuración de dicho listado, en primer lugar, es necesario resaltar que el objetivo del PAA es indicar los bienes, obras y servicios que la entidad pretende adquirir, sin consideración a la forma en que estos se obtendrán,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w:t>
      </w:r>
    </w:p>
    <w:p w14:paraId="497ABCB4" w14:textId="77777777" w:rsidR="00676D4D" w:rsidRPr="00F50E68" w:rsidRDefault="00676D4D" w:rsidP="00676D4D">
      <w:pPr>
        <w:spacing w:after="120" w:line="276" w:lineRule="auto"/>
        <w:ind w:firstLine="703"/>
        <w:jc w:val="both"/>
        <w:textAlignment w:val="baseline"/>
        <w:rPr>
          <w:rFonts w:ascii="Verdana" w:eastAsia="Times New Roman" w:hAnsi="Verdana" w:cs="Segoe UI"/>
          <w:lang w:eastAsia="es-CO"/>
        </w:rPr>
      </w:pPr>
      <w:r w:rsidRPr="00F50E68">
        <w:rPr>
          <w:rFonts w:ascii="Verdana" w:eastAsia="Times New Roman" w:hAnsi="Verdana" w:cs="Arial"/>
          <w:lang w:val="es-ES" w:eastAsia="es-CO"/>
        </w:rPr>
        <w:t>Un interrogante surge de lo anterior: ¿cómo puede la entidad definir si debe o no incluir un bien, obra o servicio en el plan? Basta consultar el artículo 2.2.1.1.1.4.1. del Decreto 1082 de 2015, donde señala que “[…]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r w:rsidRPr="00F50E68">
        <w:rPr>
          <w:rFonts w:ascii="Verdana" w:eastAsia="Times New Roman" w:hAnsi="Verdana" w:cs="Arial"/>
          <w:lang w:eastAsia="es-CO"/>
        </w:rPr>
        <w:t> </w:t>
      </w:r>
    </w:p>
    <w:p w14:paraId="04A61E1C" w14:textId="77777777" w:rsidR="00676D4D" w:rsidRPr="00F50E68" w:rsidRDefault="00676D4D" w:rsidP="00676D4D">
      <w:pPr>
        <w:spacing w:after="120" w:line="276" w:lineRule="auto"/>
        <w:ind w:firstLine="703"/>
        <w:jc w:val="both"/>
        <w:textAlignment w:val="baseline"/>
        <w:rPr>
          <w:rFonts w:ascii="Verdana" w:eastAsia="Times New Roman" w:hAnsi="Verdana" w:cs="Segoe UI"/>
          <w:lang w:eastAsia="es-CO"/>
        </w:rPr>
      </w:pPr>
      <w:r w:rsidRPr="00F50E68">
        <w:rPr>
          <w:rFonts w:ascii="Verdana" w:eastAsia="Times New Roman" w:hAnsi="Verdana" w:cs="Arial"/>
          <w:lang w:val="es-ES" w:eastAsia="es-CO"/>
        </w:rPr>
        <w:t xml:space="preserve">La norma citada en el párrafo precedente dispone que el PAA tiene un contenido esencial –la lista de bienes, obras y servicios que la entidad pretenda adquirir– y otro que es obligatorio incluirlo pero que es complementario y </w:t>
      </w:r>
      <w:r w:rsidRPr="00F50E68">
        <w:rPr>
          <w:rFonts w:ascii="Verdana" w:eastAsia="Times New Roman" w:hAnsi="Verdana" w:cs="Arial"/>
          <w:lang w:val="es-ES" w:eastAsia="es-CO"/>
        </w:rPr>
        <w:lastRenderedPageBreak/>
        <w:t>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sidRPr="00F50E68">
        <w:rPr>
          <w:rFonts w:ascii="Verdana" w:eastAsia="Times New Roman" w:hAnsi="Verdana" w:cs="Arial"/>
          <w:lang w:eastAsia="es-CO"/>
        </w:rPr>
        <w:t> </w:t>
      </w:r>
    </w:p>
    <w:p w14:paraId="73DDCE0B" w14:textId="77777777" w:rsidR="00676D4D" w:rsidRPr="00F50E68" w:rsidRDefault="00676D4D" w:rsidP="00676D4D">
      <w:pPr>
        <w:spacing w:after="120" w:line="276" w:lineRule="auto"/>
        <w:ind w:firstLine="703"/>
        <w:jc w:val="both"/>
        <w:rPr>
          <w:rFonts w:ascii="Verdana" w:eastAsia="Times New Roman" w:hAnsi="Verdana" w:cs="Arial"/>
          <w:lang w:val="es-ES" w:eastAsia="es-CO"/>
        </w:rPr>
      </w:pPr>
      <w:r w:rsidRPr="00F50E68">
        <w:rPr>
          <w:rFonts w:ascii="Verdana" w:eastAsia="Times New Roman" w:hAnsi="Verdana" w:cs="Arial"/>
          <w:lang w:val="es-ES" w:eastAsia="es-ES_tradnl"/>
        </w:rPr>
        <w:t xml:space="preserve">Del primer aparte de la norma, se observa que su finalidad es clara: todos los bienes, obras o servicios que la entidad tenga intención de adquirir deben incluirse en el plan. Es decir, la obligación de incluir un contenido específico en el </w:t>
      </w:r>
      <w:proofErr w:type="gramStart"/>
      <w:r w:rsidRPr="00F50E68">
        <w:rPr>
          <w:rFonts w:ascii="Verdana" w:eastAsia="Times New Roman" w:hAnsi="Verdana" w:cs="Arial"/>
          <w:lang w:val="es-ES" w:eastAsia="es-ES_tradnl"/>
        </w:rPr>
        <w:t>plan,</w:t>
      </w:r>
      <w:proofErr w:type="gramEnd"/>
      <w:r w:rsidRPr="00F50E68">
        <w:rPr>
          <w:rFonts w:ascii="Verdana" w:eastAsia="Times New Roman" w:hAnsi="Verdana" w:cs="Arial"/>
          <w:lang w:val="es-ES" w:eastAsia="es-ES_tradnl"/>
        </w:rPr>
        <w:t xml:space="preserve"> se fundamenta únicamente en que se trate de un bien, obra o servicio que la entidad pretenda adquirir</w:t>
      </w:r>
      <w:r w:rsidRPr="00F50E68">
        <w:rPr>
          <w:rFonts w:ascii="Verdana" w:eastAsia="Times New Roman" w:hAnsi="Verdana" w:cs="Arial"/>
          <w:i/>
          <w:iCs/>
          <w:lang w:val="es-ES" w:eastAsia="es-ES_tradnl"/>
        </w:rPr>
        <w:t>.</w:t>
      </w:r>
      <w:r w:rsidRPr="00F50E68">
        <w:rPr>
          <w:rFonts w:ascii="Verdana" w:eastAsia="Times New Roman" w:hAnsi="Verdana" w:cs="Arial"/>
          <w:lang w:val="es-ES" w:eastAsia="es-CO"/>
        </w:rPr>
        <w:t xml:space="preserve">  Adicionalmente, cuando el primer aparte señala que el plan “[…] deberá contener la lista de bienes, obras y servicios que pretenden adquirir durante un año”, es claro que adquirir es el elemento determinante para concluir que se debe enlistar un bien, obra o servicio en el plan. Esto, a pesar de que la misma disposición establezca otra información adicional que debe incluir este documento –modalidad, valor estimado–, pero que resulta ser complementaria o descriptiva a la señalada como información mínima o esencialísima del plan. </w:t>
      </w:r>
    </w:p>
    <w:p w14:paraId="1F366CD7" w14:textId="77777777" w:rsidR="00676D4D" w:rsidRPr="00F50E68" w:rsidRDefault="00676D4D" w:rsidP="00676D4D">
      <w:pPr>
        <w:spacing w:before="120" w:after="0" w:line="276" w:lineRule="auto"/>
        <w:ind w:firstLine="709"/>
        <w:jc w:val="both"/>
        <w:rPr>
          <w:rFonts w:ascii="Verdana" w:eastAsia="Calibri" w:hAnsi="Verdana" w:cs="Arial"/>
          <w:lang w:val="es-ES"/>
        </w:rPr>
      </w:pPr>
      <w:r w:rsidRPr="00F50E68">
        <w:rPr>
          <w:rFonts w:ascii="Verdana" w:eastAsia="Calibri" w:hAnsi="Verdana" w:cs="Arial"/>
          <w:lang w:val="es-ES"/>
        </w:rPr>
        <w:t xml:space="preserve">Esta Agencia, con el fin de orientar a las Entidades Estatales en la elaboración y actualización del PAA, incorporó en la guía sobre el tema, el “Anexo 2 – Adquisiciones Planeadas” en el que de manera ilustrativa se relaciona la información mínima y obligatoria que debe contener dicho plan. Parte de este anexo se inserta a continuación: </w:t>
      </w:r>
    </w:p>
    <w:p w14:paraId="05FA3CDD" w14:textId="77777777" w:rsidR="00676D4D" w:rsidRPr="00F50E68" w:rsidRDefault="00676D4D" w:rsidP="00676D4D">
      <w:pPr>
        <w:spacing w:before="120" w:after="0" w:line="276" w:lineRule="auto"/>
        <w:ind w:firstLine="709"/>
        <w:jc w:val="both"/>
        <w:rPr>
          <w:rFonts w:ascii="Verdana" w:eastAsia="Calibri" w:hAnsi="Verdana" w:cs="Arial"/>
          <w:lang w:val="es-ES"/>
        </w:rPr>
      </w:pPr>
      <w:r w:rsidRPr="00F50E68">
        <w:rPr>
          <w:rFonts w:ascii="Verdana" w:eastAsia="Calibri" w:hAnsi="Verdana" w:cs="Arial"/>
          <w:noProof/>
          <w:lang w:val="es-ES"/>
        </w:rPr>
        <w:drawing>
          <wp:inline distT="0" distB="0" distL="0" distR="0" wp14:anchorId="19A4DFED" wp14:editId="14EF3380">
            <wp:extent cx="4584300" cy="1556629"/>
            <wp:effectExtent l="0" t="0" r="6985" b="5715"/>
            <wp:docPr id="3386663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66340" name=""/>
                    <pic:cNvPicPr/>
                  </pic:nvPicPr>
                  <pic:blipFill>
                    <a:blip r:embed="rId14"/>
                    <a:stretch>
                      <a:fillRect/>
                    </a:stretch>
                  </pic:blipFill>
                  <pic:spPr>
                    <a:xfrm>
                      <a:off x="0" y="0"/>
                      <a:ext cx="4615151" cy="1567105"/>
                    </a:xfrm>
                    <a:prstGeom prst="rect">
                      <a:avLst/>
                    </a:prstGeom>
                  </pic:spPr>
                </pic:pic>
              </a:graphicData>
            </a:graphic>
          </wp:inline>
        </w:drawing>
      </w:r>
    </w:p>
    <w:p w14:paraId="7DBF1ACF" w14:textId="607E67E7" w:rsidR="00676D4D" w:rsidRPr="00F50E68" w:rsidRDefault="00676D4D" w:rsidP="00676D4D">
      <w:pPr>
        <w:spacing w:after="0" w:line="276" w:lineRule="auto"/>
        <w:ind w:firstLine="703"/>
        <w:jc w:val="both"/>
        <w:rPr>
          <w:rFonts w:ascii="Verdana" w:eastAsia="Calibri" w:hAnsi="Verdana" w:cs="Arial"/>
          <w:lang w:val="es-ES" w:eastAsia="es-ES_tradnl"/>
        </w:rPr>
      </w:pPr>
      <w:r w:rsidRPr="00F50E68">
        <w:rPr>
          <w:rFonts w:ascii="Verdana" w:eastAsia="Calibri" w:hAnsi="Verdana" w:cs="Arial"/>
          <w:lang w:eastAsia="es-ES_tradnl"/>
        </w:rPr>
        <w:t xml:space="preserve">Por otra parte, debe precisarse que el inciso primero (1) del artículo </w:t>
      </w:r>
      <w:r w:rsidRPr="00F50E68">
        <w:rPr>
          <w:rFonts w:ascii="Verdana" w:eastAsia="Calibri" w:hAnsi="Verdana" w:cs="Arial"/>
          <w:lang w:val="es-ES" w:eastAsia="es-ES_tradnl"/>
        </w:rPr>
        <w:t>2.2.1.1.1.4.4 del Decreto 1082 de 2015</w:t>
      </w:r>
      <w:r w:rsidRPr="00F50E68">
        <w:rPr>
          <w:rFonts w:ascii="Verdana" w:eastAsia="Calibri" w:hAnsi="Verdana" w:cs="Arial"/>
          <w:vertAlign w:val="superscript"/>
          <w:lang w:eastAsia="es-ES_tradnl"/>
        </w:rPr>
        <w:footnoteReference w:id="8"/>
      </w:r>
      <w:r w:rsidRPr="00F50E68">
        <w:rPr>
          <w:rFonts w:ascii="Verdana" w:eastAsia="Calibri" w:hAnsi="Verdana" w:cs="Arial"/>
          <w:lang w:val="es-ES" w:eastAsia="es-ES_tradnl"/>
        </w:rPr>
        <w:t xml:space="preserve">, fijó el alcance de la facultad otorgada </w:t>
      </w:r>
      <w:r w:rsidRPr="00F50E68">
        <w:rPr>
          <w:rFonts w:ascii="Verdana" w:eastAsia="Calibri" w:hAnsi="Verdana" w:cs="Arial"/>
          <w:lang w:val="es-ES" w:eastAsia="es-ES_tradnl"/>
        </w:rPr>
        <w:lastRenderedPageBreak/>
        <w:t xml:space="preserve">a las Entidades Estatales para actualizar el PAA. Por ello es pertinente consultar el significado natural del verbo rector de la disposición y luego establecer los límites establecidos en la norma. </w:t>
      </w:r>
    </w:p>
    <w:p w14:paraId="2774632C" w14:textId="77777777" w:rsidR="00676D4D" w:rsidRPr="00F50E68" w:rsidRDefault="00676D4D" w:rsidP="00676D4D">
      <w:pPr>
        <w:spacing w:before="120" w:after="120" w:line="276" w:lineRule="auto"/>
        <w:ind w:firstLine="709"/>
        <w:jc w:val="both"/>
        <w:rPr>
          <w:rFonts w:ascii="Verdana" w:eastAsia="Calibri" w:hAnsi="Verdana" w:cs="Arial"/>
          <w:lang w:val="es-ES" w:eastAsia="es-ES_tradnl"/>
        </w:rPr>
      </w:pPr>
      <w:r w:rsidRPr="00F50E68">
        <w:rPr>
          <w:rFonts w:ascii="Verdana" w:eastAsia="Calibri" w:hAnsi="Verdana" w:cs="Arial"/>
          <w:lang w:val="es-ES" w:eastAsia="es-ES_tradnl"/>
        </w:rPr>
        <w:t>En ese sentido, se tiene que 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Estatales para poner al día la información contenida en el documento del PAA.</w:t>
      </w:r>
    </w:p>
    <w:p w14:paraId="370D5F15" w14:textId="77777777" w:rsidR="00676D4D" w:rsidRPr="00F50E68" w:rsidRDefault="00676D4D" w:rsidP="00676D4D">
      <w:pPr>
        <w:spacing w:after="120" w:line="276" w:lineRule="auto"/>
        <w:ind w:firstLine="709"/>
        <w:jc w:val="both"/>
        <w:rPr>
          <w:rFonts w:ascii="Verdana" w:eastAsia="Calibri" w:hAnsi="Verdana" w:cs="Arial"/>
          <w:lang w:val="es-ES" w:eastAsia="es-ES_tradnl"/>
        </w:rPr>
      </w:pPr>
      <w:r w:rsidRPr="00F50E68">
        <w:rPr>
          <w:rFonts w:ascii="Verdana" w:eastAsia="Calibri" w:hAnsi="Verdana" w:cs="Arial"/>
          <w:lang w:val="es-ES" w:eastAsia="es-ES_tradnl"/>
        </w:rPr>
        <w:t xml:space="preserve">Así pues, y con el deber de actualizar el PAA,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17058924" w14:textId="77777777" w:rsidR="00676D4D" w:rsidRPr="00F50E68" w:rsidRDefault="00676D4D" w:rsidP="00676D4D">
      <w:pPr>
        <w:spacing w:after="120" w:line="276" w:lineRule="auto"/>
        <w:ind w:firstLine="709"/>
        <w:jc w:val="both"/>
        <w:rPr>
          <w:rFonts w:ascii="Verdana" w:eastAsia="Calibri" w:hAnsi="Verdana" w:cs="Arial"/>
          <w:lang w:val="es-ES" w:eastAsia="es-ES_tradnl"/>
        </w:rPr>
      </w:pPr>
      <w:r w:rsidRPr="00F50E68">
        <w:rPr>
          <w:rFonts w:ascii="Verdana" w:eastAsia="Calibri" w:hAnsi="Verdana" w:cs="Arial"/>
          <w:lang w:val="es-ES" w:eastAsia="es-ES_tradnl"/>
        </w:rPr>
        <w:t xml:space="preserve">El inciso 2 del artículo citado estableció cuatro (4) eventos en los que es factible actualizar el PAA, estos son: i) ajustes en los cronogramas de adquisición, valores, modalidad de selección y origen de los recursos; </w:t>
      </w:r>
      <w:proofErr w:type="spellStart"/>
      <w:r w:rsidRPr="00F50E68">
        <w:rPr>
          <w:rFonts w:ascii="Verdana" w:eastAsia="Calibri" w:hAnsi="Verdana" w:cs="Arial"/>
          <w:lang w:val="es-ES" w:eastAsia="es-ES_tradnl"/>
        </w:rPr>
        <w:t>ii</w:t>
      </w:r>
      <w:proofErr w:type="spellEnd"/>
      <w:r w:rsidRPr="00F50E68">
        <w:rPr>
          <w:rFonts w:ascii="Verdana" w:eastAsia="Calibri" w:hAnsi="Verdana" w:cs="Arial"/>
          <w:lang w:val="es-ES" w:eastAsia="es-ES_tradnl"/>
        </w:rPr>
        <w:t xml:space="preserve">) para incluir nuevas obras, bienes o servicios; </w:t>
      </w:r>
      <w:proofErr w:type="spellStart"/>
      <w:r w:rsidRPr="00F50E68">
        <w:rPr>
          <w:rFonts w:ascii="Verdana" w:eastAsia="Calibri" w:hAnsi="Verdana" w:cs="Arial"/>
          <w:lang w:val="es-ES" w:eastAsia="es-ES_tradnl"/>
        </w:rPr>
        <w:t>iii</w:t>
      </w:r>
      <w:proofErr w:type="spellEnd"/>
      <w:r w:rsidRPr="00F50E68">
        <w:rPr>
          <w:rFonts w:ascii="Verdana" w:eastAsia="Calibri" w:hAnsi="Verdana" w:cs="Arial"/>
          <w:lang w:val="es-ES" w:eastAsia="es-ES_tradnl"/>
        </w:rPr>
        <w:t xml:space="preserve">) excluir obras, bienes o servicios y </w:t>
      </w:r>
      <w:proofErr w:type="spellStart"/>
      <w:r w:rsidRPr="00F50E68">
        <w:rPr>
          <w:rFonts w:ascii="Verdana" w:eastAsia="Calibri" w:hAnsi="Verdana" w:cs="Arial"/>
          <w:lang w:val="es-ES" w:eastAsia="es-ES_tradnl"/>
        </w:rPr>
        <w:t>iv</w:t>
      </w:r>
      <w:proofErr w:type="spellEnd"/>
      <w:r w:rsidRPr="00F50E68">
        <w:rPr>
          <w:rFonts w:ascii="Verdana" w:eastAsia="Calibri" w:hAnsi="Verdana" w:cs="Arial"/>
          <w:lang w:val="es-ES" w:eastAsia="es-ES_tradnl"/>
        </w:rPr>
        <w:t xml:space="preserve">) modificar el presupuesto anual de adquisiciones. El inciso de la referencia solo estableció los eventos en los que tiene que actualizarse, sin limitar la modificación a ciertos topes, como, por ejemplo, aumentar o disminuir valores. La norma no enfatizó en este punto, por lo cual, en principio, podrá modificarse. </w:t>
      </w:r>
    </w:p>
    <w:p w14:paraId="4A6ADBC1" w14:textId="77777777" w:rsidR="00676D4D" w:rsidRPr="00F50E68" w:rsidRDefault="00676D4D" w:rsidP="00676D4D">
      <w:pPr>
        <w:spacing w:before="120" w:after="120" w:line="276" w:lineRule="auto"/>
        <w:jc w:val="both"/>
        <w:rPr>
          <w:rFonts w:ascii="Verdana" w:eastAsia="Calibri" w:hAnsi="Verdana" w:cs="Arial"/>
        </w:rPr>
      </w:pPr>
      <w:r w:rsidRPr="00F50E68">
        <w:rPr>
          <w:rFonts w:ascii="Verdana" w:eastAsia="Calibri" w:hAnsi="Verdana" w:cs="Arial"/>
        </w:rPr>
        <w:tab/>
        <w:t xml:space="preserve">En ese orden, se considera que el PAA es un instrumento de planificación y orientación de las Entidades Estatales,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007D655E" w14:textId="77777777" w:rsidR="00676D4D" w:rsidRPr="00F50E68" w:rsidRDefault="00676D4D" w:rsidP="00676D4D">
      <w:pPr>
        <w:spacing w:before="120" w:after="120" w:line="276" w:lineRule="auto"/>
        <w:ind w:firstLine="708"/>
        <w:jc w:val="both"/>
        <w:rPr>
          <w:rFonts w:ascii="Verdana" w:eastAsia="Calibri" w:hAnsi="Verdana" w:cs="Arial"/>
        </w:rPr>
      </w:pPr>
      <w:r w:rsidRPr="00F50E68">
        <w:rPr>
          <w:rFonts w:ascii="Verdana" w:eastAsia="Calibri" w:hAnsi="Verdana" w:cs="Arial"/>
        </w:rPr>
        <w:lastRenderedPageBreak/>
        <w:t>Lo anterior, explica por qué no tiene que existir necesariamente identidad entre el valor del contrato previsto en el plan y el de cada procedimiento de contratación, porque la norma señaló que el valor del contrato, señalado en el plan, es “estimado”. Al respecto, es preciso indicar que el Consejo de Estado, en el Concepto No. 1.920 del 2008, asimila el “valor inicial” del contrato, como aquel aproximado o estimado</w:t>
      </w:r>
      <w:r w:rsidRPr="00F50E68">
        <w:rPr>
          <w:rFonts w:ascii="Verdana" w:eastAsia="Calibri" w:hAnsi="Verdana" w:cs="Arial"/>
          <w:i/>
          <w:iCs/>
        </w:rPr>
        <w:t xml:space="preserve"> </w:t>
      </w:r>
      <w:r w:rsidRPr="00F50E68">
        <w:rPr>
          <w:rFonts w:ascii="Verdana" w:eastAsia="Calibri" w:hAnsi="Verdana" w:cs="Arial"/>
        </w:rPr>
        <w:t xml:space="preserve">por el que se firmó el contrato. Esto significa que el valor estimado debe entenderse como la estimación inicial de todos los compromisos económicos que puedan derivar del contrato, sin importar si es una entidad la que realiza el aporte o varias. En conclusión, el valor estimado del contrato que las entidades incluyen en el </w:t>
      </w:r>
      <w:proofErr w:type="gramStart"/>
      <w:r w:rsidRPr="00F50E68">
        <w:rPr>
          <w:rFonts w:ascii="Verdana" w:eastAsia="Calibri" w:hAnsi="Verdana" w:cs="Arial"/>
        </w:rPr>
        <w:t>PAA,</w:t>
      </w:r>
      <w:proofErr w:type="gramEnd"/>
      <w:r w:rsidRPr="00F50E68">
        <w:rPr>
          <w:rFonts w:ascii="Verdana" w:eastAsia="Calibri" w:hAnsi="Verdana" w:cs="Arial"/>
        </w:rPr>
        <w:t xml:space="preserve"> es el valor total del proceso contractual.</w:t>
      </w:r>
    </w:p>
    <w:p w14:paraId="65A669FD" w14:textId="77777777" w:rsidR="00676D4D" w:rsidRPr="00F50E68" w:rsidRDefault="00676D4D" w:rsidP="00676D4D">
      <w:pPr>
        <w:spacing w:after="120" w:line="276" w:lineRule="auto"/>
        <w:ind w:firstLine="709"/>
        <w:jc w:val="both"/>
        <w:rPr>
          <w:rFonts w:ascii="Verdana" w:eastAsia="Calibri" w:hAnsi="Verdana" w:cs="Arial"/>
          <w:lang w:eastAsia="es-ES_tradnl"/>
        </w:rPr>
      </w:pPr>
      <w:r w:rsidRPr="00F50E68">
        <w:rPr>
          <w:rFonts w:ascii="Verdana" w:eastAsia="Times New Roman" w:hAnsi="Verdana" w:cs="Arial"/>
          <w:lang w:eastAsia="es-ES_tradnl"/>
        </w:rPr>
        <w:t xml:space="preserve">Adicionalmente, vale la pena aclarar que pese a que </w:t>
      </w:r>
      <w:r w:rsidRPr="00F50E68">
        <w:rPr>
          <w:rFonts w:ascii="Verdana" w:eastAsia="Calibri" w:hAnsi="Verdana" w:cs="Arial"/>
          <w:lang w:eastAsia="es-ES_tradnl"/>
        </w:rPr>
        <w:t>el PAA es un instrumento de planeación, no es el único documento a través del cual se materializa la planeación en un proceso de contratación, el cual también debe atender a los demás instrumentos generales de planeación que obligan a la entidad contratante –por ejemplo, planes de desarrollo nacionales, presupuestos plurianuales, planes territoriales, etc.–, además de requerir la expedición de los estudios técnicos, jurídicos y/o financieros necesarios, según el caso, para determinar la conveniencia y la legalidad de la contratación–art. 25 de la Ley 80 de 1993– , los estudios previos y el análisis del sector relativo a la contratación que se pretende adelantar –2.2.1.1.2.1.1 y 2.2.1.1.1.6.1 del Decreto 1082 de 2015–.</w:t>
      </w:r>
    </w:p>
    <w:p w14:paraId="3C3CFA82" w14:textId="77777777" w:rsidR="00676D4D" w:rsidRPr="00F50E68" w:rsidRDefault="00676D4D" w:rsidP="00676D4D">
      <w:pPr>
        <w:spacing w:after="120" w:line="276" w:lineRule="auto"/>
        <w:ind w:firstLine="708"/>
        <w:jc w:val="both"/>
        <w:rPr>
          <w:rFonts w:ascii="Verdana" w:eastAsia="Calibri" w:hAnsi="Verdana" w:cs="Arial"/>
        </w:rPr>
      </w:pPr>
      <w:r w:rsidRPr="00F50E68">
        <w:rPr>
          <w:rFonts w:ascii="Verdana" w:eastAsia="Calibri" w:hAnsi="Verdana" w:cs="Arial"/>
        </w:rPr>
        <w:t xml:space="preserve">Finalmente, debe advertirse que el análisis requerido para resolver problemas específicos en torno a la elaboración del PAA,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1CEFA969" w14:textId="6BA4D4C2" w:rsidR="005A35E1" w:rsidRDefault="005A35E1" w:rsidP="005A35E1">
      <w:pPr>
        <w:spacing w:before="240" w:after="120" w:line="276" w:lineRule="auto"/>
        <w:ind w:firstLine="708"/>
        <w:jc w:val="both"/>
        <w:rPr>
          <w:rFonts w:ascii="Verdana" w:eastAsia="Calibri" w:hAnsi="Verdana" w:cs="Arial"/>
          <w:bCs/>
          <w:color w:val="000000" w:themeColor="text1"/>
        </w:rPr>
      </w:pPr>
      <w:r w:rsidRPr="00AB619C">
        <w:rPr>
          <w:rFonts w:ascii="Verdana" w:eastAsia="Calibri" w:hAnsi="Verdana" w:cs="Arial"/>
          <w:color w:val="000000" w:themeColor="text1"/>
          <w:lang w:val="es-ES"/>
        </w:rPr>
        <w:t>Dentro de este marco, la entidad contratante definirá en cada caso concreto lo relacionado con el tema objeto de consulta. Al tratarse de un análisis que debe</w:t>
      </w:r>
      <w:r w:rsidRPr="00E853DE">
        <w:rPr>
          <w:rFonts w:ascii="Verdana" w:eastAsia="Calibri" w:hAnsi="Verdana" w:cs="Arial"/>
          <w:bCs/>
          <w:color w:val="000000" w:themeColor="text1"/>
        </w:rPr>
        <w:t xml:space="preserve"> realizarse en el procedimiento contractual específico, la Agencia no puede definir un criterio universal y absoluto por vía consultiva, sino que brinda elementos de carácter general para que los partícipes del sistema de compras y </w:t>
      </w:r>
      <w:r w:rsidRPr="00E853DE">
        <w:rPr>
          <w:rFonts w:ascii="Verdana" w:eastAsia="Calibri" w:hAnsi="Verdana" w:cs="Arial"/>
          <w:bCs/>
          <w:color w:val="000000" w:themeColor="text1"/>
        </w:rPr>
        <w:lastRenderedPageBreak/>
        <w:t>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r>
        <w:rPr>
          <w:rStyle w:val="s15"/>
          <w:rFonts w:ascii="Verdana" w:hAnsi="Verdana"/>
          <w:color w:val="000000"/>
        </w:rPr>
        <w:t>Esto significa que</w:t>
      </w:r>
      <w:r w:rsidRPr="00925D18">
        <w:rPr>
          <w:rStyle w:val="s15"/>
          <w:rFonts w:ascii="Verdana" w:hAnsi="Verdana"/>
          <w:color w:val="000000"/>
        </w:rPr>
        <w:t>,</w:t>
      </w:r>
      <w:r>
        <w:rPr>
          <w:rFonts w:ascii="Verdana" w:eastAsia="Calibri" w:hAnsi="Verdana" w:cs="Arial"/>
          <w:bCs/>
          <w:color w:val="000000" w:themeColor="text1"/>
        </w:rPr>
        <w:t xml:space="preserve"> fuera de la orientación del presente oficio, la ANCP – CCE carece de atribuciones normativas para desarrollar las actuaciones contractuales objeto de la solicitud</w:t>
      </w:r>
      <w:r>
        <w:rPr>
          <w:rStyle w:val="Refdenotaalpie"/>
          <w:rFonts w:ascii="Verdana" w:eastAsia="Calibri" w:hAnsi="Verdana" w:cs="Arial"/>
          <w:bCs/>
          <w:color w:val="000000" w:themeColor="text1"/>
        </w:rPr>
        <w:footnoteReference w:id="9"/>
      </w:r>
      <w:r>
        <w:rPr>
          <w:rFonts w:ascii="Verdana" w:eastAsia="Calibri" w:hAnsi="Verdana" w:cs="Arial"/>
          <w:bCs/>
          <w:color w:val="000000" w:themeColor="text1"/>
        </w:rPr>
        <w:t xml:space="preserve">. </w:t>
      </w:r>
    </w:p>
    <w:p w14:paraId="3142F1FE" w14:textId="77777777" w:rsidR="005A35E1" w:rsidRPr="00A77871" w:rsidRDefault="005A35E1" w:rsidP="00271484">
      <w:pPr>
        <w:numPr>
          <w:ilvl w:val="0"/>
          <w:numId w:val="16"/>
        </w:numPr>
        <w:tabs>
          <w:tab w:val="left" w:pos="142"/>
          <w:tab w:val="left" w:pos="284"/>
        </w:tabs>
        <w:spacing w:before="240" w:line="276" w:lineRule="auto"/>
        <w:ind w:left="0" w:firstLine="357"/>
        <w:contextualSpacing/>
        <w:jc w:val="both"/>
        <w:rPr>
          <w:rFonts w:ascii="Verdana" w:eastAsia="Century Gothic" w:hAnsi="Verdana" w:cs="Century Gothic"/>
          <w:b/>
          <w:bCs/>
        </w:rPr>
      </w:pPr>
      <w:r w:rsidRPr="00A77871">
        <w:rPr>
          <w:rFonts w:ascii="Verdana" w:eastAsia="Century Gothic" w:hAnsi="Verdana" w:cs="Century Gothic"/>
          <w:b/>
          <w:bCs/>
        </w:rPr>
        <w:t>Referencias normativas y jurisprudenciales:</w:t>
      </w:r>
    </w:p>
    <w:p w14:paraId="704A76BC" w14:textId="77777777" w:rsidR="005A35E1" w:rsidRPr="00A77871" w:rsidRDefault="005A35E1" w:rsidP="005A35E1">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A35E1" w:rsidRPr="00A77871" w14:paraId="4476A0E1" w14:textId="77777777">
        <w:trPr>
          <w:trHeight w:val="410"/>
          <w:jc w:val="center"/>
        </w:trPr>
        <w:tc>
          <w:tcPr>
            <w:tcW w:w="8647" w:type="dxa"/>
          </w:tcPr>
          <w:p w14:paraId="7F7E162F" w14:textId="77777777" w:rsidR="00935589" w:rsidRPr="00935589" w:rsidRDefault="00935589" w:rsidP="00935589">
            <w:pPr>
              <w:numPr>
                <w:ilvl w:val="0"/>
                <w:numId w:val="17"/>
              </w:numPr>
              <w:spacing w:line="360" w:lineRule="auto"/>
              <w:rPr>
                <w:rFonts w:ascii="Verdana" w:hAnsi="Verdana" w:cs="Arial"/>
              </w:rPr>
            </w:pPr>
            <w:r w:rsidRPr="00935589">
              <w:rPr>
                <w:rFonts w:ascii="Verdana" w:hAnsi="Verdana" w:cs="Arial"/>
              </w:rPr>
              <w:t>Ley 80 de 1993, artículo 25.</w:t>
            </w:r>
          </w:p>
          <w:p w14:paraId="17C4CF15" w14:textId="77777777" w:rsidR="00935589" w:rsidRPr="00935589" w:rsidRDefault="00935589" w:rsidP="00935589">
            <w:pPr>
              <w:numPr>
                <w:ilvl w:val="0"/>
                <w:numId w:val="17"/>
              </w:numPr>
              <w:spacing w:line="360" w:lineRule="auto"/>
              <w:rPr>
                <w:rFonts w:ascii="Verdana" w:hAnsi="Verdana" w:cs="Arial"/>
              </w:rPr>
            </w:pPr>
            <w:r w:rsidRPr="00935589">
              <w:rPr>
                <w:rFonts w:ascii="Verdana" w:hAnsi="Verdana" w:cs="Arial"/>
              </w:rPr>
              <w:t>Ley 1474 de 2011, artículo 74.</w:t>
            </w:r>
          </w:p>
          <w:p w14:paraId="0531AE74" w14:textId="77777777" w:rsidR="00276D29" w:rsidRPr="00276D29" w:rsidRDefault="00276D29" w:rsidP="00276D29">
            <w:pPr>
              <w:numPr>
                <w:ilvl w:val="0"/>
                <w:numId w:val="17"/>
              </w:numPr>
              <w:spacing w:line="360" w:lineRule="auto"/>
              <w:rPr>
                <w:rFonts w:ascii="Verdana" w:hAnsi="Verdana" w:cs="Arial"/>
              </w:rPr>
            </w:pPr>
            <w:r w:rsidRPr="00276D29">
              <w:rPr>
                <w:rFonts w:ascii="Verdana" w:hAnsi="Verdana" w:cs="Arial"/>
              </w:rPr>
              <w:t>Decreto 1082 de 2015, artículos 2.2.1.1.1.3.1, 2.2.1.1.1.4.1, 2.2.1.1.1.4.3, 2.2.1.1.1.4.4, 2.2.1.1.1.6.1 y 2.2.1.2.1.10.</w:t>
            </w:r>
          </w:p>
          <w:p w14:paraId="18FE72BD" w14:textId="77777777" w:rsidR="006D48F4" w:rsidRDefault="006D48F4" w:rsidP="009C2C40">
            <w:pPr>
              <w:numPr>
                <w:ilvl w:val="0"/>
                <w:numId w:val="17"/>
              </w:numPr>
              <w:spacing w:line="360" w:lineRule="auto"/>
              <w:rPr>
                <w:rFonts w:ascii="Verdana" w:hAnsi="Verdana" w:cs="Arial"/>
              </w:rPr>
            </w:pPr>
            <w:r w:rsidRPr="006D48F4">
              <w:rPr>
                <w:rFonts w:ascii="Verdana" w:hAnsi="Verdana" w:cs="Arial"/>
              </w:rPr>
              <w:t xml:space="preserve">Consejo </w:t>
            </w:r>
            <w:r>
              <w:rPr>
                <w:rFonts w:ascii="Verdana" w:hAnsi="Verdana" w:cs="Arial"/>
              </w:rPr>
              <w:t>d</w:t>
            </w:r>
            <w:r w:rsidRPr="006D48F4">
              <w:rPr>
                <w:rFonts w:ascii="Verdana" w:hAnsi="Verdana" w:cs="Arial"/>
              </w:rPr>
              <w:t>e Estado. Sala de Consulta y Servicio Civil. C.P.: Enrique José Arboleda Perdomo. Concepto del 9 de septiembre de 2008. Rad. 1.920 (11001-03-06-000-2008-00060-00).</w:t>
            </w:r>
          </w:p>
          <w:p w14:paraId="5C0EF26A" w14:textId="425536D0" w:rsidR="009C2C40" w:rsidRPr="00631009" w:rsidRDefault="009C2C40" w:rsidP="00631009">
            <w:pPr>
              <w:numPr>
                <w:ilvl w:val="0"/>
                <w:numId w:val="17"/>
              </w:numPr>
              <w:spacing w:line="360" w:lineRule="auto"/>
              <w:rPr>
                <w:rFonts w:ascii="Verdana" w:hAnsi="Verdana" w:cs="Arial"/>
              </w:rPr>
            </w:pPr>
            <w:r w:rsidRPr="009C2C40">
              <w:rPr>
                <w:rFonts w:ascii="Verdana" w:hAnsi="Verdana" w:cs="Arial"/>
              </w:rPr>
              <w:t xml:space="preserve">Agencia Nacional de Contratación Pública – Colombia Compra </w:t>
            </w:r>
            <w:r w:rsidRPr="0043402F">
              <w:rPr>
                <w:rFonts w:ascii="Verdana" w:hAnsi="Verdana" w:cs="Arial"/>
              </w:rPr>
              <w:t>Eficiente, Guía para elaborar el Plan Anual de Adquisiciones, p. 4.</w:t>
            </w:r>
            <w:r w:rsidR="0043402F" w:rsidRPr="0043402F">
              <w:rPr>
                <w:rFonts w:ascii="Verdana" w:hAnsi="Verdana" w:cs="Arial"/>
              </w:rPr>
              <w:t xml:space="preserve">: </w:t>
            </w:r>
            <w:hyperlink r:id="rId15" w:history="1">
              <w:r w:rsidR="0043402F" w:rsidRPr="0043402F">
                <w:rPr>
                  <w:rStyle w:val="Hipervnculo"/>
                  <w:rFonts w:ascii="Verdana" w:hAnsi="Verdana"/>
                </w:rPr>
                <w:t>https://www.colombiacompra.gov.co/sites/cce_public/files/cce_documents/guia_para_elaborar_el_plan_anual_de_adquisiciones_0.pdf</w:t>
              </w:r>
            </w:hyperlink>
          </w:p>
        </w:tc>
      </w:tr>
    </w:tbl>
    <w:p w14:paraId="0452C5BA" w14:textId="77777777" w:rsidR="00271484" w:rsidRDefault="00271484" w:rsidP="00271484">
      <w:pPr>
        <w:tabs>
          <w:tab w:val="left" w:pos="142"/>
          <w:tab w:val="left" w:pos="284"/>
        </w:tabs>
        <w:spacing w:before="240" w:line="276" w:lineRule="auto"/>
        <w:ind w:left="357"/>
        <w:contextualSpacing/>
        <w:jc w:val="both"/>
        <w:rPr>
          <w:rFonts w:ascii="Verdana" w:eastAsia="Century Gothic" w:hAnsi="Verdana" w:cs="Century Gothic"/>
          <w:b/>
          <w:bCs/>
        </w:rPr>
      </w:pPr>
    </w:p>
    <w:p w14:paraId="16069F73" w14:textId="0B52D8C5" w:rsidR="005A35E1" w:rsidRPr="00271484" w:rsidRDefault="005A35E1" w:rsidP="00271484">
      <w:pPr>
        <w:numPr>
          <w:ilvl w:val="0"/>
          <w:numId w:val="16"/>
        </w:numPr>
        <w:tabs>
          <w:tab w:val="left" w:pos="142"/>
          <w:tab w:val="left" w:pos="284"/>
        </w:tabs>
        <w:spacing w:before="240" w:line="276" w:lineRule="auto"/>
        <w:ind w:left="0" w:firstLine="357"/>
        <w:contextualSpacing/>
        <w:jc w:val="both"/>
        <w:rPr>
          <w:rFonts w:ascii="Verdana" w:eastAsia="Century Gothic" w:hAnsi="Verdana" w:cs="Century Gothic"/>
          <w:b/>
          <w:bCs/>
        </w:rPr>
      </w:pPr>
      <w:r w:rsidRPr="00A77871">
        <w:rPr>
          <w:rFonts w:ascii="Verdana" w:eastAsia="Century Gothic" w:hAnsi="Verdana" w:cs="Century Gothic"/>
          <w:b/>
          <w:bCs/>
        </w:rPr>
        <w:t>Doctrina de la Agencia Nacional de Contratación Pública:</w:t>
      </w:r>
    </w:p>
    <w:p w14:paraId="4532C09C" w14:textId="77777777" w:rsidR="00C509E0" w:rsidRDefault="00EE21FC" w:rsidP="00271484">
      <w:pPr>
        <w:widowControl w:val="0"/>
        <w:autoSpaceDE w:val="0"/>
        <w:autoSpaceDN w:val="0"/>
        <w:spacing w:before="240" w:after="120" w:line="276" w:lineRule="auto"/>
        <w:jc w:val="both"/>
        <w:rPr>
          <w:rFonts w:ascii="Verdana" w:hAnsi="Verdana" w:cs="Arial"/>
          <w:shd w:val="clear" w:color="auto" w:fill="FFFFFF"/>
        </w:rPr>
      </w:pPr>
      <w:r w:rsidRPr="00EE21FC">
        <w:rPr>
          <w:rFonts w:ascii="Verdana" w:hAnsi="Verdana" w:cs="Arial"/>
          <w:shd w:val="clear" w:color="auto" w:fill="FFFFFF"/>
          <w:lang w:val="es-ES_tradnl"/>
        </w:rPr>
        <w:t xml:space="preserve">La Agencia Nacional de Contratación Pública – Colombia Compra Eficiente se ha pronunciado sobre </w:t>
      </w:r>
      <w:r w:rsidRPr="00EE21FC">
        <w:rPr>
          <w:rFonts w:ascii="Verdana" w:eastAsia="Aptos" w:hAnsi="Verdana" w:cs="Arial"/>
          <w:shd w:val="clear" w:color="auto" w:fill="FFFFFF"/>
          <w:lang w:val="es-ES"/>
        </w:rPr>
        <w:t xml:space="preserve">el marco jurídico y el alcance del PAA en los conceptos </w:t>
      </w:r>
      <w:r w:rsidRPr="00EE21FC">
        <w:rPr>
          <w:rFonts w:ascii="Verdana" w:eastAsia="Calibri" w:hAnsi="Verdana" w:cs="Arial"/>
          <w:lang w:val="es-ES_tradnl" w:eastAsia="es-MX"/>
        </w:rPr>
        <w:t xml:space="preserve">C-257 de 3 de junio de 2021, C-258 de 3 de junio de 2021, C-345 de 13 de julio de </w:t>
      </w:r>
      <w:r w:rsidRPr="00EE21FC">
        <w:rPr>
          <w:rFonts w:ascii="Verdana" w:eastAsia="Calibri" w:hAnsi="Verdana" w:cs="Arial"/>
          <w:lang w:val="es-ES_tradnl" w:eastAsia="es-MX"/>
        </w:rPr>
        <w:lastRenderedPageBreak/>
        <w:t>2021, C-376 de 26 de julio de 2021, C-489 de 13 de septiembre de 2021, C-637 del 7 de diciembre de 2021, C-733 del 13 de enero de 2022,  C-026 del 18 de febrero de 2022, C-027 del 25 de febrero de 2022, C-047 del 2 de marzo de 2022, C-087 del 17 de marzo de 2022, C-408 del 23 de junio de 2022, C-622 de 28 de septiembre de 2022, C-754 de 9 de noviembre de 2022 , C-763 de 15 de noviembre de 2022, C-889 de 26 de diciembre de 2022, C-062 del 18 de abril de 2023, C-142 de 30 de mayo de 2023, C-196 de 15 de junio de 2023, C-122 de 21 de junio de 2023, C-364 de 6 de septiembre de 2023, C-438 del 24 de octubre 2023</w:t>
      </w:r>
      <w:r w:rsidRPr="00EE21FC">
        <w:rPr>
          <w:rFonts w:ascii="Verdana" w:eastAsia="Aptos" w:hAnsi="Verdana" w:cs="Arial"/>
          <w:shd w:val="clear" w:color="auto" w:fill="FFFFFF"/>
          <w:lang w:val="es-ES"/>
        </w:rPr>
        <w:t>, C-887 del 20 de diciembre de 2024, C-934 del 30 de diciembre de 2024, C-1015 del 30 de diciembre de 2024, C-023 del 29 de enero de 2025, C-327 del 10 de abril de 2026, C-424 del 22 de mayo de 2026, entre otros.</w:t>
      </w:r>
      <w:r w:rsidRPr="00EE21FC">
        <w:rPr>
          <w:rFonts w:ascii="Verdana" w:hAnsi="Verdana" w:cs="Arial"/>
          <w:shd w:val="clear" w:color="auto" w:fill="FFFFFF"/>
          <w:lang w:val="es-ES_tradnl"/>
        </w:rPr>
        <w:t xml:space="preserve"> </w:t>
      </w:r>
      <w:r w:rsidR="005A35E1" w:rsidRPr="004014AA">
        <w:rPr>
          <w:rFonts w:ascii="Verdana" w:hAnsi="Verdana" w:cs="Arial"/>
          <w:shd w:val="clear" w:color="auto" w:fill="FFFFFF"/>
        </w:rPr>
        <w:t>Estos</w:t>
      </w:r>
      <w:r w:rsidR="005A35E1" w:rsidRPr="004014AA">
        <w:rPr>
          <w:rFonts w:ascii="Verdana" w:hAnsi="Verdana"/>
        </w:rPr>
        <w:t xml:space="preserve"> y otros se encuentran disponibles para consulta en el Sistema de relatoría de la Agencia, al cual se puede acceder a través del siguiente enlace:</w:t>
      </w:r>
      <w:r w:rsidR="005A35E1" w:rsidRPr="00102547">
        <w:rPr>
          <w:rFonts w:ascii="Verdana" w:hAnsi="Verdana" w:cs="Arial"/>
          <w:shd w:val="clear" w:color="auto" w:fill="FFFFFF"/>
        </w:rPr>
        <w:t xml:space="preserve"> </w:t>
      </w:r>
      <w:hyperlink r:id="rId16" w:history="1">
        <w:r w:rsidR="005A35E1" w:rsidRPr="004214CE">
          <w:rPr>
            <w:rStyle w:val="Hipervnculo"/>
            <w:rFonts w:ascii="Verdana" w:hAnsi="Verdana" w:cs="Arial"/>
            <w:shd w:val="clear" w:color="auto" w:fill="FFFFFF"/>
          </w:rPr>
          <w:t>https://relatoria.colombiacompra.gov.co/busqueda/conceptos</w:t>
        </w:r>
      </w:hyperlink>
      <w:r w:rsidR="005A35E1" w:rsidRPr="001973DD">
        <w:rPr>
          <w:rFonts w:ascii="Verdana" w:hAnsi="Verdana"/>
        </w:rPr>
        <w:t>.   </w:t>
      </w:r>
    </w:p>
    <w:p w14:paraId="350C248A" w14:textId="14CADAA6" w:rsidR="005A35E1" w:rsidRPr="00C509E0" w:rsidRDefault="005A35E1" w:rsidP="00C509E0">
      <w:pPr>
        <w:widowControl w:val="0"/>
        <w:autoSpaceDE w:val="0"/>
        <w:autoSpaceDN w:val="0"/>
        <w:spacing w:after="120" w:line="276" w:lineRule="auto"/>
        <w:jc w:val="both"/>
        <w:rPr>
          <w:rFonts w:ascii="Verdana" w:hAnsi="Verdana" w:cs="Arial"/>
          <w:shd w:val="clear" w:color="auto" w:fill="FFFFFF"/>
        </w:rPr>
      </w:pPr>
      <w:r w:rsidRPr="008725C9">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8725C9">
        <w:rPr>
          <w:rFonts w:ascii="Verdana" w:hAnsi="Verdana"/>
          <w:b/>
          <w:bCs/>
        </w:rPr>
        <w:t>Guía para la Exigencia y Constitución de Garantías en los Procesos de Contratación</w:t>
      </w:r>
      <w:r w:rsidRPr="008725C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7" w:tooltip="Dirección URL original: https://www.colombiacompra.gov.co/archivos/manual/guia-de-garantias-en-procesos-de-contratacion. Haga clic o pulse si confía en este vínculo." w:history="1">
        <w:r w:rsidRPr="008725C9">
          <w:rPr>
            <w:rStyle w:val="Hipervnculo"/>
            <w:rFonts w:ascii="Verdana" w:hAnsi="Verdana"/>
          </w:rPr>
          <w:t>https://www.colombiacompra.gov.co/archivos/manual/guia-de-garantias-en-procesos-de-contratacion</w:t>
        </w:r>
      </w:hyperlink>
    </w:p>
    <w:p w14:paraId="2DE2826C" w14:textId="77777777" w:rsidR="005A35E1" w:rsidRPr="008725C9" w:rsidRDefault="005A35E1" w:rsidP="005A35E1">
      <w:pPr>
        <w:spacing w:line="276" w:lineRule="auto"/>
        <w:jc w:val="both"/>
        <w:rPr>
          <w:rFonts w:ascii="Verdana" w:hAnsi="Verdana"/>
        </w:rPr>
      </w:pPr>
      <w:r w:rsidRPr="008725C9">
        <w:rPr>
          <w:rFonts w:ascii="Verdana" w:hAnsi="Verdana"/>
        </w:rPr>
        <w:t>De otro lado, te contamos que el Decreto 287 del 19 de marzo de 2026 sustituyó los artículos 2.2.1.2.4.2.6., 2.2.1.2.4.2.7. y 2.2.1.2.4.2.8. del Decreto 1082 de 2015 y estructuró el </w:t>
      </w:r>
      <w:r w:rsidRPr="008725C9">
        <w:rPr>
          <w:rFonts w:ascii="Verdana" w:hAnsi="Verdana"/>
          <w:b/>
          <w:bCs/>
        </w:rPr>
        <w:t>Sistema Integral de Preferencias en favor de las personas con discapacidad</w:t>
      </w:r>
      <w:r w:rsidRPr="008725C9">
        <w:rPr>
          <w:rFonts w:ascii="Verdana" w:hAnsi="Verdana"/>
        </w:rPr>
        <w:t>, en cumplimiento del artículo 13 de la Ley Estatutaria 1618 de 2013. Para orientar su aplicación, esta Agencia expidió la </w:t>
      </w:r>
      <w:r w:rsidRPr="008725C9">
        <w:rPr>
          <w:rFonts w:ascii="Verdana" w:hAnsi="Verdana"/>
          <w:b/>
          <w:bCs/>
        </w:rPr>
        <w:t>Circular Externa 003 del 12 de mayo de 2026, </w:t>
      </w:r>
      <w:r w:rsidRPr="008725C9">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8" w:tooltip="Dirección URL original: https://www.colombiacompra.gov.co/archivos/circular/circular-externa-003-de-2026. Haga clic o pulse si confía en este vínculo." w:history="1">
        <w:r w:rsidRPr="008725C9">
          <w:rPr>
            <w:rStyle w:val="Hipervnculo"/>
            <w:rFonts w:ascii="Verdana" w:hAnsi="Verdana"/>
          </w:rPr>
          <w:t>https://www.colombiacompra.gov.co/archivos/circular/circular-externa-003-de-2026</w:t>
        </w:r>
      </w:hyperlink>
    </w:p>
    <w:p w14:paraId="65B23D3A" w14:textId="77777777" w:rsidR="005A35E1" w:rsidRPr="008725C9" w:rsidRDefault="005A35E1" w:rsidP="005A35E1">
      <w:pPr>
        <w:spacing w:line="276" w:lineRule="auto"/>
        <w:jc w:val="both"/>
        <w:rPr>
          <w:rFonts w:ascii="Verdana" w:hAnsi="Verdana"/>
        </w:rPr>
      </w:pPr>
      <w:r w:rsidRPr="008725C9">
        <w:rPr>
          <w:rFonts w:ascii="Verdana" w:hAnsi="Verdana"/>
        </w:rPr>
        <w:lastRenderedPageBreak/>
        <w:t>Recuerda también que la</w:t>
      </w:r>
      <w:r w:rsidRPr="008725C9">
        <w:rPr>
          <w:rFonts w:ascii="Verdana" w:hAnsi="Verdana"/>
          <w:b/>
          <w:bCs/>
        </w:rPr>
        <w:t> información sobre sanciones e inhabilidades </w:t>
      </w:r>
      <w:r w:rsidRPr="008725C9">
        <w:rPr>
          <w:rFonts w:ascii="Verdana" w:hAnsi="Verdana"/>
        </w:rPr>
        <w:t>solo cumple su función preventiva si llega oportunamente a los registros públicos. Sobre este deber, esta Agencia expidió la </w:t>
      </w:r>
      <w:r w:rsidRPr="008725C9">
        <w:rPr>
          <w:rFonts w:ascii="Verdana" w:hAnsi="Verdana"/>
          <w:b/>
          <w:bCs/>
        </w:rPr>
        <w:t>Circular Externa 002 del 5 de mayo de 2026,</w:t>
      </w:r>
      <w:r w:rsidRPr="008725C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9" w:tooltip="Dirección URL original: https://www.colombiacompra.gov.co/archivos/circular/circular-externa-002-de-2026. Haga clic o pulse si confía en este vínculo." w:history="1">
        <w:r w:rsidRPr="008725C9">
          <w:rPr>
            <w:rStyle w:val="Hipervnculo"/>
            <w:rFonts w:ascii="Verdana" w:hAnsi="Verdana"/>
          </w:rPr>
          <w:t>https://www.colombiacompra.gov.co/archivos/circular/circular-externa-002-de-2026</w:t>
        </w:r>
      </w:hyperlink>
    </w:p>
    <w:p w14:paraId="01E3CBAA" w14:textId="77777777" w:rsidR="005A35E1" w:rsidRPr="008725C9" w:rsidRDefault="005A35E1" w:rsidP="005A35E1">
      <w:pPr>
        <w:spacing w:line="276" w:lineRule="auto"/>
        <w:jc w:val="both"/>
        <w:rPr>
          <w:rFonts w:ascii="Verdana" w:hAnsi="Verdana"/>
        </w:rPr>
      </w:pPr>
      <w:r w:rsidRPr="008725C9">
        <w:rPr>
          <w:rFonts w:ascii="Verdana" w:hAnsi="Verdana"/>
        </w:rPr>
        <w:t>Finalmente, si quieres seguir de cerca la actividad de la Agencia, la tercera edición de 2026 del</w:t>
      </w:r>
      <w:r w:rsidRPr="008725C9">
        <w:rPr>
          <w:rFonts w:ascii="Verdana" w:hAnsi="Verdana"/>
          <w:b/>
          <w:bCs/>
        </w:rPr>
        <w:t> Radar de la Compra Pública</w:t>
      </w:r>
      <w:r w:rsidRPr="008725C9">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0" w:tooltip="Dirección URL original: https://www.colombiacompra.gov.co/archivos/boletin/boletin-edicion-n-3-de-2026-radar-de-la-compra-publica. Haga clic o pulse si confía en este vínculo." w:history="1">
        <w:r w:rsidRPr="008725C9">
          <w:rPr>
            <w:rStyle w:val="Hipervnculo"/>
            <w:rFonts w:ascii="Verdana" w:hAnsi="Verdana"/>
          </w:rPr>
          <w:t>https://www.colombiacompra.gov.co/archivos/boletin/boletin-edicion-n-3-de-2026-radar-de-la-compra-publica</w:t>
        </w:r>
      </w:hyperlink>
      <w:r w:rsidRPr="008725C9">
        <w:rPr>
          <w:rFonts w:ascii="Verdana" w:hAnsi="Verdana"/>
        </w:rPr>
        <w:t>"</w:t>
      </w:r>
    </w:p>
    <w:p w14:paraId="1B08FA53" w14:textId="77777777" w:rsidR="005A35E1" w:rsidRPr="00047700" w:rsidRDefault="005A35E1" w:rsidP="005A35E1">
      <w:pPr>
        <w:spacing w:line="276" w:lineRule="auto"/>
        <w:jc w:val="both"/>
        <w:rPr>
          <w:rFonts w:ascii="Verdana" w:hAnsi="Verdana"/>
        </w:rPr>
      </w:pPr>
      <w:r w:rsidRPr="00A77871">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047700">
        <w:rPr>
          <w:rFonts w:ascii="Verdana" w:hAnsi="Verdana"/>
        </w:rPr>
        <w:t xml:space="preserve">atención: </w:t>
      </w:r>
    </w:p>
    <w:p w14:paraId="4277F328" w14:textId="77777777" w:rsidR="005A35E1" w:rsidRPr="00047700" w:rsidRDefault="005A35E1" w:rsidP="005A35E1">
      <w:pPr>
        <w:pStyle w:val="Prrafodelista"/>
        <w:numPr>
          <w:ilvl w:val="0"/>
          <w:numId w:val="18"/>
        </w:numPr>
        <w:spacing w:after="0" w:line="276" w:lineRule="auto"/>
        <w:jc w:val="both"/>
        <w:rPr>
          <w:rFonts w:ascii="Verdana" w:eastAsia="Verdana" w:hAnsi="Verdana" w:cs="Verdana"/>
          <w:color w:val="4472C4" w:themeColor="accent1"/>
          <w:u w:val="single"/>
        </w:rPr>
      </w:pPr>
      <w:r w:rsidRPr="00047700">
        <w:rPr>
          <w:rFonts w:ascii="Verdana" w:eastAsia="Verdana" w:hAnsi="Verdana" w:cs="Verdana"/>
        </w:rPr>
        <w:t xml:space="preserve">Línea nacional gratuita o servicio a la ciudadanía (Mesa de servicio): </w:t>
      </w:r>
      <w:r w:rsidRPr="00047700">
        <w:rPr>
          <w:rStyle w:val="Hipervnculo"/>
          <w:rFonts w:ascii="Verdana" w:hAnsi="Verdana"/>
          <w:lang w:val="es-CO"/>
        </w:rPr>
        <w:t>01800 0520808</w:t>
      </w:r>
    </w:p>
    <w:p w14:paraId="0EB82E6F" w14:textId="77777777" w:rsidR="005A35E1" w:rsidRPr="00047700" w:rsidRDefault="005A35E1" w:rsidP="005A35E1">
      <w:pPr>
        <w:pStyle w:val="Prrafodelista"/>
        <w:numPr>
          <w:ilvl w:val="0"/>
          <w:numId w:val="18"/>
        </w:numPr>
        <w:spacing w:after="0" w:line="276" w:lineRule="auto"/>
        <w:jc w:val="both"/>
        <w:rPr>
          <w:rFonts w:ascii="Verdana" w:eastAsia="Verdana" w:hAnsi="Verdana" w:cs="Verdana"/>
          <w:color w:val="4472C4" w:themeColor="accent1"/>
          <w:u w:val="single"/>
          <w:lang w:val="es-CO"/>
        </w:rPr>
      </w:pPr>
      <w:r w:rsidRPr="00047700">
        <w:rPr>
          <w:rFonts w:ascii="Verdana" w:eastAsia="Verdana" w:hAnsi="Verdana" w:cs="Verdana"/>
          <w:lang w:val="es-CO"/>
        </w:rPr>
        <w:t>Línea en Bogotá (Mesa de servicio):</w:t>
      </w:r>
      <w:r>
        <w:rPr>
          <w:rFonts w:ascii="Verdana" w:eastAsia="Verdana" w:hAnsi="Verdana" w:cs="Verdana"/>
          <w:lang w:val="es-CO"/>
        </w:rPr>
        <w:t xml:space="preserve"> </w:t>
      </w:r>
      <w:r w:rsidRPr="00047700">
        <w:rPr>
          <w:rStyle w:val="Hipervnculo"/>
          <w:rFonts w:ascii="Verdana" w:hAnsi="Verdana"/>
          <w:lang w:val="es-CO"/>
        </w:rPr>
        <w:t>+57 601 7456788</w:t>
      </w:r>
    </w:p>
    <w:p w14:paraId="4ADA1730" w14:textId="77777777" w:rsidR="005A35E1" w:rsidRPr="00047700" w:rsidRDefault="005A35E1" w:rsidP="005A35E1">
      <w:pPr>
        <w:pStyle w:val="Prrafodelista"/>
        <w:numPr>
          <w:ilvl w:val="0"/>
          <w:numId w:val="18"/>
        </w:numPr>
        <w:spacing w:after="0" w:line="276" w:lineRule="auto"/>
        <w:jc w:val="both"/>
        <w:rPr>
          <w:rFonts w:ascii="Verdana" w:eastAsia="Verdana" w:hAnsi="Verdana" w:cs="Verdana"/>
          <w:color w:val="0000FF"/>
          <w:u w:val="single"/>
          <w:lang w:val="es-CO"/>
        </w:rPr>
      </w:pPr>
      <w:r w:rsidRPr="00047700">
        <w:rPr>
          <w:rFonts w:ascii="Verdana" w:eastAsia="Verdana" w:hAnsi="Verdana" w:cs="Verdana"/>
          <w:lang w:val="es-CO"/>
        </w:rPr>
        <w:t xml:space="preserve">Correo de radicación de correspondencia: </w:t>
      </w:r>
      <w:hyperlink r:id="rId21" w:history="1">
        <w:r w:rsidRPr="00047700">
          <w:rPr>
            <w:rStyle w:val="Hipervnculo"/>
            <w:rFonts w:ascii="Verdana" w:eastAsia="Verdana" w:hAnsi="Verdana" w:cs="Verdana"/>
            <w:lang w:val="es-CO"/>
          </w:rPr>
          <w:t>ventanilladeradicacion@colombiacompra.gov.co</w:t>
        </w:r>
      </w:hyperlink>
    </w:p>
    <w:p w14:paraId="2BB8757D" w14:textId="77777777" w:rsidR="005A35E1" w:rsidRPr="00047700" w:rsidRDefault="005A35E1" w:rsidP="005A35E1">
      <w:pPr>
        <w:pStyle w:val="Prrafodelista"/>
        <w:numPr>
          <w:ilvl w:val="0"/>
          <w:numId w:val="18"/>
        </w:numPr>
        <w:spacing w:line="276" w:lineRule="auto"/>
        <w:jc w:val="both"/>
        <w:rPr>
          <w:rFonts w:ascii="Verdana" w:hAnsi="Verdana"/>
        </w:rPr>
      </w:pPr>
      <w:r w:rsidRPr="00047700">
        <w:rPr>
          <w:rFonts w:ascii="Verdana" w:eastAsia="Verdana" w:hAnsi="Verdana" w:cs="Verdana"/>
          <w:lang w:val="es-CO"/>
        </w:rPr>
        <w:t xml:space="preserve">Formulario web para PQRSD: </w:t>
      </w:r>
      <w:hyperlink r:id="rId22" w:history="1">
        <w:r w:rsidRPr="00047700">
          <w:rPr>
            <w:rStyle w:val="Hipervnculo"/>
            <w:rFonts w:ascii="Verdana" w:eastAsia="Verdana" w:hAnsi="Verdana" w:cs="Verdana"/>
            <w:lang w:val="es-CO"/>
          </w:rPr>
          <w:t>https://www.colombiacompra.gov.co/pqrsd/informacion-importante-antes-de-formular-una-pqrsd</w:t>
        </w:r>
      </w:hyperlink>
    </w:p>
    <w:p w14:paraId="5E800936" w14:textId="77777777" w:rsidR="005A35E1" w:rsidRPr="00047700" w:rsidRDefault="005A35E1" w:rsidP="005A35E1">
      <w:pPr>
        <w:spacing w:line="276" w:lineRule="auto"/>
        <w:jc w:val="both"/>
        <w:rPr>
          <w:rFonts w:ascii="Verdana" w:hAnsi="Verdana"/>
        </w:rPr>
      </w:pPr>
      <w:r w:rsidRPr="00047700">
        <w:rPr>
          <w:rFonts w:ascii="Verdana" w:hAnsi="Verdana"/>
        </w:rPr>
        <w:lastRenderedPageBreak/>
        <w:t xml:space="preserve">Evalúa el servicio que ofrece la Agencia por el canal de atención de PQRSD en el siguiente enlace: </w:t>
      </w:r>
      <w:hyperlink r:id="rId23" w:history="1">
        <w:r w:rsidRPr="00047700">
          <w:rPr>
            <w:rStyle w:val="Hipervnculo"/>
            <w:rFonts w:ascii="Verdana" w:hAnsi="Verdana"/>
          </w:rPr>
          <w:t>https://forms.office.com/r/pPHyWVs2SZ</w:t>
        </w:r>
      </w:hyperlink>
      <w:r w:rsidRPr="00047700">
        <w:rPr>
          <w:rFonts w:ascii="Verdana" w:hAnsi="Verdana"/>
        </w:rPr>
        <w:t>. ¡Ayúdanos a mejorar porque el compromiso es de todos!</w:t>
      </w:r>
    </w:p>
    <w:p w14:paraId="70EE3D6C" w14:textId="77777777" w:rsidR="005A35E1" w:rsidRPr="00047700" w:rsidRDefault="005A35E1" w:rsidP="005A35E1">
      <w:pPr>
        <w:spacing w:line="276" w:lineRule="auto"/>
        <w:jc w:val="both"/>
        <w:rPr>
          <w:rFonts w:ascii="Verdana" w:hAnsi="Verdana"/>
        </w:rPr>
      </w:pPr>
      <w:r w:rsidRPr="00047700">
        <w:rPr>
          <w:rFonts w:ascii="Verdana" w:hAnsi="Verdana"/>
        </w:rPr>
        <w:t xml:space="preserve">Por último, lo invitamos a seguirnos en las redes sociales en las cuales se difunde información institucional: </w:t>
      </w:r>
    </w:p>
    <w:p w14:paraId="7EB74C25" w14:textId="77777777" w:rsidR="005A35E1" w:rsidRPr="00047700" w:rsidRDefault="005A35E1" w:rsidP="005A35E1">
      <w:pPr>
        <w:spacing w:after="0" w:line="276" w:lineRule="auto"/>
        <w:jc w:val="both"/>
        <w:rPr>
          <w:rFonts w:ascii="Verdana" w:hAnsi="Verdana"/>
        </w:rPr>
      </w:pPr>
      <w:r w:rsidRPr="00047700">
        <w:rPr>
          <w:rFonts w:ascii="Verdana" w:hAnsi="Verdana"/>
        </w:rPr>
        <w:t xml:space="preserve">Twitter: </w:t>
      </w:r>
      <w:r w:rsidRPr="00047700">
        <w:rPr>
          <w:rStyle w:val="Hipervnculo"/>
          <w:rFonts w:ascii="Verdana" w:hAnsi="Verdana"/>
        </w:rPr>
        <w:t>@colombiacompra</w:t>
      </w:r>
      <w:r w:rsidRPr="00047700">
        <w:rPr>
          <w:rFonts w:ascii="Verdana" w:hAnsi="Verdana"/>
        </w:rPr>
        <w:t xml:space="preserve"> </w:t>
      </w:r>
    </w:p>
    <w:p w14:paraId="58F127A4" w14:textId="77777777" w:rsidR="005A35E1" w:rsidRPr="00047700" w:rsidRDefault="005A35E1" w:rsidP="005A35E1">
      <w:pPr>
        <w:spacing w:after="0" w:line="276" w:lineRule="auto"/>
        <w:jc w:val="both"/>
        <w:rPr>
          <w:rFonts w:ascii="Verdana" w:hAnsi="Verdana"/>
        </w:rPr>
      </w:pPr>
      <w:r w:rsidRPr="00047700">
        <w:rPr>
          <w:rFonts w:ascii="Verdana" w:hAnsi="Verdana"/>
        </w:rPr>
        <w:t xml:space="preserve">Facebook: </w:t>
      </w:r>
      <w:proofErr w:type="spellStart"/>
      <w:r w:rsidRPr="00047700">
        <w:rPr>
          <w:rStyle w:val="Hipervnculo"/>
          <w:rFonts w:ascii="Verdana" w:hAnsi="Verdana"/>
        </w:rPr>
        <w:t>ColombiaCompraEficiente</w:t>
      </w:r>
      <w:proofErr w:type="spellEnd"/>
    </w:p>
    <w:p w14:paraId="368AB6B0" w14:textId="77777777" w:rsidR="005A35E1" w:rsidRPr="00047700" w:rsidRDefault="005A35E1" w:rsidP="005A35E1">
      <w:pPr>
        <w:spacing w:after="0" w:line="276" w:lineRule="auto"/>
        <w:jc w:val="both"/>
        <w:rPr>
          <w:rFonts w:ascii="Verdana" w:hAnsi="Verdana"/>
        </w:rPr>
      </w:pPr>
      <w:r w:rsidRPr="00047700">
        <w:rPr>
          <w:rFonts w:ascii="Verdana" w:hAnsi="Verdana"/>
        </w:rPr>
        <w:t xml:space="preserve">LinkedIn: </w:t>
      </w:r>
      <w:r w:rsidRPr="00047700">
        <w:rPr>
          <w:rStyle w:val="Hipervnculo"/>
          <w:rFonts w:ascii="Verdana" w:hAnsi="Verdana"/>
        </w:rPr>
        <w:t>Agencia Nacional de Contratación Pública - Colombia Compra Eficiente</w:t>
      </w:r>
      <w:r w:rsidRPr="00047700">
        <w:rPr>
          <w:rFonts w:ascii="Verdana" w:hAnsi="Verdana"/>
        </w:rPr>
        <w:t xml:space="preserve"> </w:t>
      </w:r>
    </w:p>
    <w:p w14:paraId="028F5E4D" w14:textId="77777777" w:rsidR="005A35E1" w:rsidRPr="00047700" w:rsidRDefault="005A35E1" w:rsidP="005A35E1">
      <w:pPr>
        <w:spacing w:line="276" w:lineRule="auto"/>
        <w:jc w:val="both"/>
        <w:rPr>
          <w:rFonts w:ascii="Verdana" w:hAnsi="Verdana"/>
        </w:rPr>
      </w:pPr>
      <w:r w:rsidRPr="00047700">
        <w:rPr>
          <w:rFonts w:ascii="Verdana" w:hAnsi="Verdana"/>
        </w:rPr>
        <w:t xml:space="preserve">Instagram: </w:t>
      </w:r>
      <w:r w:rsidRPr="00047700">
        <w:rPr>
          <w:rStyle w:val="Hipervnculo"/>
          <w:rFonts w:ascii="Verdana" w:hAnsi="Verdana"/>
        </w:rPr>
        <w:t>@colombiacompraeficiente_cce</w:t>
      </w:r>
    </w:p>
    <w:p w14:paraId="512153B6" w14:textId="77777777" w:rsidR="005A35E1" w:rsidRPr="00A77871" w:rsidRDefault="005A35E1" w:rsidP="005A35E1">
      <w:pPr>
        <w:spacing w:after="0" w:line="276" w:lineRule="auto"/>
        <w:jc w:val="both"/>
        <w:rPr>
          <w:rFonts w:ascii="Verdana" w:eastAsia="Calibri" w:hAnsi="Verdana" w:cs="Times New Roman"/>
          <w:bCs/>
        </w:rPr>
      </w:pPr>
      <w:r w:rsidRPr="00A77871">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6955F9D" w14:textId="77777777" w:rsidR="005A35E1" w:rsidRPr="00A77871" w:rsidRDefault="005A35E1" w:rsidP="005A35E1">
      <w:pPr>
        <w:spacing w:after="0" w:line="276" w:lineRule="auto"/>
        <w:jc w:val="both"/>
        <w:rPr>
          <w:rFonts w:ascii="Verdana" w:hAnsi="Verdana"/>
        </w:rPr>
      </w:pPr>
    </w:p>
    <w:p w14:paraId="2B81C322" w14:textId="77777777" w:rsidR="005A35E1" w:rsidRPr="00A77871" w:rsidRDefault="005A35E1" w:rsidP="005A35E1">
      <w:pPr>
        <w:spacing w:after="0" w:line="276" w:lineRule="auto"/>
        <w:jc w:val="both"/>
        <w:rPr>
          <w:rFonts w:ascii="Verdana" w:eastAsia="Times New Roman" w:hAnsi="Verdana" w:cs="Arial"/>
          <w:lang w:eastAsia="es-CO"/>
        </w:rPr>
      </w:pPr>
      <w:bookmarkStart w:id="5" w:name="_Hlk117695077"/>
    </w:p>
    <w:p w14:paraId="2C27B290" w14:textId="77777777" w:rsidR="005A35E1" w:rsidRPr="00AC44C7" w:rsidRDefault="005A35E1" w:rsidP="005A35E1">
      <w:pPr>
        <w:spacing w:line="276" w:lineRule="auto"/>
        <w:jc w:val="both"/>
        <w:rPr>
          <w:rFonts w:ascii="Verdana" w:eastAsia="Times New Roman" w:hAnsi="Verdana" w:cs="Arial"/>
          <w:lang w:eastAsia="es-CO"/>
        </w:rPr>
      </w:pPr>
      <w:r w:rsidRPr="00A77871">
        <w:rPr>
          <w:rFonts w:ascii="Verdana" w:eastAsia="Times New Roman" w:hAnsi="Verdana" w:cs="Arial"/>
          <w:lang w:eastAsia="es-CO"/>
        </w:rPr>
        <w:t xml:space="preserve">Atentamente, </w:t>
      </w:r>
    </w:p>
    <w:p w14:paraId="3C3475BF" w14:textId="5AFE0E19" w:rsidR="00060020" w:rsidRPr="00060020" w:rsidRDefault="00060020" w:rsidP="00060020">
      <w:pPr>
        <w:spacing w:line="276" w:lineRule="auto"/>
        <w:jc w:val="center"/>
        <w:rPr>
          <w:rFonts w:ascii="Verdana" w:eastAsia="Times New Roman" w:hAnsi="Verdana" w:cs="Arial"/>
          <w:lang w:eastAsia="es-CO"/>
        </w:rPr>
      </w:pPr>
      <w:r w:rsidRPr="00060020">
        <w:rPr>
          <w:rFonts w:ascii="Verdana" w:eastAsia="Times New Roman" w:hAnsi="Verdana" w:cs="Arial"/>
          <w:noProof/>
          <w:lang w:eastAsia="es-CO"/>
        </w:rPr>
        <w:drawing>
          <wp:inline distT="0" distB="0" distL="0" distR="0" wp14:anchorId="5F4A3086" wp14:editId="64062674">
            <wp:extent cx="3771900" cy="1400175"/>
            <wp:effectExtent l="0" t="0" r="0" b="9525"/>
            <wp:docPr id="1454792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A35E1" w:rsidRPr="0029279E" w14:paraId="7A735313" w14:textId="77777777">
        <w:trPr>
          <w:trHeight w:val="315"/>
        </w:trPr>
        <w:tc>
          <w:tcPr>
            <w:tcW w:w="893" w:type="dxa"/>
            <w:vAlign w:val="center"/>
            <w:hideMark/>
          </w:tcPr>
          <w:bookmarkEnd w:id="5"/>
          <w:p w14:paraId="254BCEA6" w14:textId="77777777" w:rsidR="005A35E1" w:rsidRPr="0029279E" w:rsidRDefault="005A35E1">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68438D4B" w14:textId="77777777" w:rsidR="005A35E1" w:rsidRPr="0029279E" w:rsidRDefault="005A35E1">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Ángela María Olmos Andrade</w:t>
            </w:r>
          </w:p>
          <w:p w14:paraId="02907208" w14:textId="77777777" w:rsidR="005A35E1" w:rsidRPr="0029279E" w:rsidRDefault="005A35E1">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Analista T2 - 02 de la Subdirección de Gestión Contractual</w:t>
            </w:r>
          </w:p>
        </w:tc>
      </w:tr>
      <w:tr w:rsidR="005A35E1" w:rsidRPr="0029279E" w14:paraId="06660C52" w14:textId="77777777">
        <w:trPr>
          <w:trHeight w:val="330"/>
        </w:trPr>
        <w:tc>
          <w:tcPr>
            <w:tcW w:w="893" w:type="dxa"/>
            <w:vAlign w:val="center"/>
            <w:hideMark/>
          </w:tcPr>
          <w:p w14:paraId="35470C9F" w14:textId="77777777" w:rsidR="005A35E1" w:rsidRPr="0029279E" w:rsidRDefault="005A35E1">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01BBFEF7" w14:textId="77777777" w:rsidR="005A35E1" w:rsidRPr="0029279E" w:rsidRDefault="005A35E1">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Adriana Katherine López</w:t>
            </w:r>
            <w:r>
              <w:rPr>
                <w:rFonts w:ascii="Verdana" w:eastAsia="Times New Roman" w:hAnsi="Verdana" w:cs="Arial"/>
                <w:color w:val="000000"/>
                <w:sz w:val="16"/>
                <w:szCs w:val="16"/>
              </w:rPr>
              <w:t xml:space="preserve"> Rodríguez</w:t>
            </w:r>
          </w:p>
          <w:p w14:paraId="2430FCFC" w14:textId="77777777" w:rsidR="005A35E1" w:rsidRPr="0029279E" w:rsidRDefault="005A35E1">
            <w:pPr>
              <w:spacing w:line="276" w:lineRule="auto"/>
              <w:jc w:val="both"/>
              <w:textAlignment w:val="baseline"/>
              <w:rPr>
                <w:rFonts w:ascii="Verdana" w:eastAsia="Times New Roman" w:hAnsi="Verdana" w:cs="Arial"/>
                <w:color w:val="000000"/>
                <w:sz w:val="16"/>
                <w:szCs w:val="16"/>
              </w:rPr>
            </w:pPr>
            <w:r w:rsidRPr="0029279E">
              <w:rPr>
                <w:rFonts w:ascii="Verdana" w:eastAsia="Times New Roman" w:hAnsi="Verdana" w:cs="Arial"/>
                <w:color w:val="000000"/>
                <w:sz w:val="16"/>
                <w:szCs w:val="16"/>
              </w:rPr>
              <w:t>Contratista de la Subdirección de Gestión Contractual</w:t>
            </w:r>
          </w:p>
        </w:tc>
      </w:tr>
      <w:tr w:rsidR="005A35E1" w:rsidRPr="0029279E" w14:paraId="0300B0AE" w14:textId="77777777">
        <w:trPr>
          <w:trHeight w:val="300"/>
        </w:trPr>
        <w:tc>
          <w:tcPr>
            <w:tcW w:w="893" w:type="dxa"/>
            <w:vAlign w:val="center"/>
            <w:hideMark/>
          </w:tcPr>
          <w:p w14:paraId="13F355D2" w14:textId="77777777" w:rsidR="005A35E1" w:rsidRPr="0029279E" w:rsidRDefault="005A35E1">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79301D52" w14:textId="77777777" w:rsidR="005A35E1" w:rsidRPr="0029279E" w:rsidRDefault="005A35E1">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Carolina Quintero Gacharná</w:t>
            </w:r>
          </w:p>
          <w:p w14:paraId="45E1D04B" w14:textId="77777777" w:rsidR="005A35E1" w:rsidRPr="0029279E" w:rsidRDefault="005A35E1">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Subdirectora de Gestión Contractual ANCP – CCE</w:t>
            </w:r>
          </w:p>
        </w:tc>
      </w:tr>
    </w:tbl>
    <w:p w14:paraId="4C86B81C" w14:textId="77777777" w:rsidR="005A35E1" w:rsidRPr="000E2B93" w:rsidRDefault="005A35E1" w:rsidP="005A35E1">
      <w:pPr>
        <w:spacing w:after="0" w:line="240" w:lineRule="auto"/>
        <w:jc w:val="both"/>
        <w:textAlignment w:val="baseline"/>
        <w:rPr>
          <w:rFonts w:ascii="Verdana" w:eastAsia="Verdana" w:hAnsi="Verdana" w:cs="Verdana"/>
          <w:lang w:eastAsia="es-CO"/>
        </w:rPr>
      </w:pPr>
    </w:p>
    <w:p w14:paraId="69BC4D14" w14:textId="6BCA928B" w:rsidR="00C15139" w:rsidRPr="000E2B93" w:rsidRDefault="005A35E1" w:rsidP="004C6014">
      <w:pPr>
        <w:spacing w:after="0" w:line="240" w:lineRule="auto"/>
        <w:ind w:left="708" w:hanging="708"/>
        <w:textAlignment w:val="baseline"/>
        <w:rPr>
          <w:rFonts w:ascii="Verdana" w:eastAsia="Verdana" w:hAnsi="Verdana" w:cs="Verdana"/>
          <w:lang w:eastAsia="es-CO"/>
        </w:rPr>
      </w:pPr>
      <w:r w:rsidRPr="30821638">
        <w:rPr>
          <w:rFonts w:ascii="Verdana" w:eastAsia="Verdana" w:hAnsi="Verdana" w:cs="Verdana"/>
          <w:lang w:eastAsia="es-CO"/>
        </w:rPr>
        <w:t> </w:t>
      </w:r>
      <w:bookmarkEnd w:id="1"/>
      <w:r w:rsidR="00C15139" w:rsidRPr="30821638">
        <w:rPr>
          <w:rFonts w:ascii="Verdana" w:eastAsia="Verdana" w:hAnsi="Verdana" w:cs="Verdana"/>
          <w:lang w:eastAsia="es-CO"/>
        </w:rPr>
        <w:t> </w:t>
      </w:r>
      <w:bookmarkEnd w:id="0"/>
    </w:p>
    <w:sectPr w:rsidR="00C15139" w:rsidRPr="000E2B93"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0683B" w14:textId="77777777" w:rsidR="00965D27" w:rsidRDefault="00965D27" w:rsidP="004A1847">
      <w:pPr>
        <w:spacing w:after="0" w:line="240" w:lineRule="auto"/>
      </w:pPr>
      <w:r>
        <w:separator/>
      </w:r>
    </w:p>
  </w:endnote>
  <w:endnote w:type="continuationSeparator" w:id="0">
    <w:p w14:paraId="27934B75" w14:textId="77777777" w:rsidR="00965D27" w:rsidRDefault="00965D2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4E6DC" w14:textId="77777777" w:rsidR="00965D27" w:rsidRDefault="00965D27" w:rsidP="004A1847">
      <w:pPr>
        <w:spacing w:after="0" w:line="240" w:lineRule="auto"/>
      </w:pPr>
      <w:r>
        <w:separator/>
      </w:r>
    </w:p>
  </w:footnote>
  <w:footnote w:type="continuationSeparator" w:id="0">
    <w:p w14:paraId="621B40E4" w14:textId="77777777" w:rsidR="00965D27" w:rsidRDefault="00965D27" w:rsidP="004A1847">
      <w:pPr>
        <w:spacing w:after="0" w:line="240" w:lineRule="auto"/>
      </w:pPr>
      <w:r>
        <w:continuationSeparator/>
      </w:r>
    </w:p>
  </w:footnote>
  <w:footnote w:id="1">
    <w:p w14:paraId="7D2DD943" w14:textId="4A7F0BAA" w:rsidR="00CB351D" w:rsidRPr="0025252C" w:rsidRDefault="00CB351D">
      <w:pPr>
        <w:pStyle w:val="Textonotapie"/>
        <w:rPr>
          <w:rFonts w:ascii="Verdana" w:hAnsi="Verdana"/>
          <w:sz w:val="16"/>
          <w:szCs w:val="16"/>
        </w:rPr>
      </w:pPr>
      <w:r w:rsidRPr="0025252C">
        <w:rPr>
          <w:rStyle w:val="Refdenotaalpie"/>
          <w:rFonts w:ascii="Verdana" w:hAnsi="Verdana"/>
          <w:sz w:val="16"/>
          <w:szCs w:val="16"/>
        </w:rPr>
        <w:footnoteRef/>
      </w:r>
      <w:r w:rsidRPr="0025252C">
        <w:rPr>
          <w:rFonts w:ascii="Verdana" w:hAnsi="Verdana"/>
          <w:sz w:val="16"/>
          <w:szCs w:val="16"/>
        </w:rPr>
        <w:t xml:space="preserve"> </w:t>
      </w:r>
      <w:r w:rsidRPr="0025252C">
        <w:rPr>
          <w:rFonts w:ascii="Verdana" w:hAnsi="Verdana"/>
          <w:sz w:val="16"/>
          <w:szCs w:val="16"/>
          <w:lang w:val="es-CO"/>
        </w:rPr>
        <w:t>Agencia Nacional de Contratación Pública – Colombia Compra Eficiente. Concepto C-403 de 2024, 16 de octubre de 2024</w:t>
      </w:r>
      <w:r w:rsidR="0025252C" w:rsidRPr="0025252C">
        <w:rPr>
          <w:rFonts w:ascii="Verdana" w:hAnsi="Verdana"/>
          <w:sz w:val="16"/>
          <w:szCs w:val="16"/>
          <w:lang w:val="es-CO"/>
        </w:rPr>
        <w:t>.</w:t>
      </w:r>
    </w:p>
  </w:footnote>
  <w:footnote w:id="2">
    <w:p w14:paraId="6336E4EC" w14:textId="77777777" w:rsidR="00676D4D" w:rsidRPr="00D23D27" w:rsidRDefault="00676D4D" w:rsidP="00676D4D">
      <w:pPr>
        <w:pStyle w:val="Textonotapie"/>
        <w:ind w:firstLine="708"/>
        <w:jc w:val="both"/>
        <w:rPr>
          <w:rFonts w:ascii="Verdana" w:hAnsi="Verdana"/>
          <w:sz w:val="16"/>
          <w:szCs w:val="16"/>
        </w:rPr>
      </w:pPr>
      <w:r w:rsidRPr="00F50E68">
        <w:rPr>
          <w:rStyle w:val="Refdenotaalpie"/>
          <w:rFonts w:ascii="Verdana" w:hAnsi="Verdana"/>
          <w:sz w:val="18"/>
          <w:szCs w:val="18"/>
        </w:rPr>
        <w:footnoteRef/>
      </w:r>
      <w:r w:rsidRPr="00D23D27">
        <w:rPr>
          <w:rFonts w:ascii="Verdana" w:hAnsi="Verdana"/>
          <w:sz w:val="16"/>
          <w:szCs w:val="16"/>
        </w:rPr>
        <w:t>Disponible en este enlace:</w:t>
      </w:r>
    </w:p>
    <w:p w14:paraId="4BF91709" w14:textId="77777777" w:rsidR="00676D4D" w:rsidRPr="00D23D27" w:rsidRDefault="00676D4D" w:rsidP="00676D4D">
      <w:pPr>
        <w:pStyle w:val="Textonotapie"/>
        <w:ind w:firstLine="708"/>
        <w:jc w:val="both"/>
        <w:rPr>
          <w:rFonts w:ascii="Verdana" w:hAnsi="Verdana"/>
          <w:sz w:val="16"/>
          <w:szCs w:val="16"/>
          <w:lang w:val="es-CO"/>
        </w:rPr>
      </w:pPr>
      <w:hyperlink r:id="rId1" w:history="1">
        <w:r w:rsidRPr="00D23D27">
          <w:rPr>
            <w:rStyle w:val="Hipervnculo"/>
            <w:rFonts w:ascii="Verdana" w:hAnsi="Verdana"/>
            <w:sz w:val="16"/>
            <w:szCs w:val="16"/>
          </w:rPr>
          <w:t>https://www.colombiacompra.gov.co/sites/cce_public/files/cce_documents/guia_para_elaborar_el_plan_anual_de_adquisiciones_0.pdf</w:t>
        </w:r>
      </w:hyperlink>
      <w:r w:rsidRPr="00D23D27">
        <w:rPr>
          <w:rFonts w:ascii="Verdana" w:hAnsi="Verdana"/>
          <w:sz w:val="16"/>
          <w:szCs w:val="16"/>
        </w:rPr>
        <w:t xml:space="preserve"> </w:t>
      </w:r>
    </w:p>
  </w:footnote>
  <w:footnote w:id="3">
    <w:p w14:paraId="2DF5A44A" w14:textId="77777777" w:rsidR="00676D4D" w:rsidRPr="00D23D27" w:rsidRDefault="00676D4D" w:rsidP="00676D4D">
      <w:pPr>
        <w:pStyle w:val="Textonotapie"/>
        <w:ind w:firstLine="708"/>
        <w:jc w:val="both"/>
        <w:rPr>
          <w:rFonts w:ascii="Verdana" w:hAnsi="Verdana" w:cs="Arial"/>
          <w:sz w:val="16"/>
          <w:szCs w:val="16"/>
          <w:lang w:val="es-CO"/>
        </w:rPr>
      </w:pPr>
      <w:r w:rsidRPr="00D23D27">
        <w:rPr>
          <w:rStyle w:val="Refdenotaalpie"/>
          <w:rFonts w:ascii="Verdana" w:hAnsi="Verdana" w:cs="Arial"/>
          <w:sz w:val="16"/>
          <w:szCs w:val="16"/>
        </w:rPr>
        <w:footnoteRef/>
      </w:r>
      <w:r w:rsidRPr="00D23D27">
        <w:rPr>
          <w:rFonts w:ascii="Verdana" w:eastAsia="Calibri" w:hAnsi="Verdana" w:cs="Arial"/>
          <w:sz w:val="16"/>
          <w:szCs w:val="16"/>
        </w:rPr>
        <w:t xml:space="preserve"> Agencia Nacional de Contratación Pública </w:t>
      </w:r>
      <w:r w:rsidRPr="00D23D27">
        <w:rPr>
          <w:rFonts w:ascii="Verdana" w:eastAsia="Calibri" w:hAnsi="Verdana" w:cs="Arial"/>
          <w:bCs/>
          <w:sz w:val="16"/>
          <w:szCs w:val="16"/>
        </w:rPr>
        <w:t xml:space="preserve">– </w:t>
      </w:r>
      <w:r w:rsidRPr="00D23D27">
        <w:rPr>
          <w:rFonts w:ascii="Verdana" w:eastAsia="Calibri" w:hAnsi="Verdana" w:cs="Arial"/>
          <w:sz w:val="16"/>
          <w:szCs w:val="16"/>
        </w:rPr>
        <w:t>Colombia Compra Eficiente</w:t>
      </w:r>
      <w:r w:rsidRPr="00D23D27">
        <w:rPr>
          <w:rFonts w:ascii="Verdana" w:hAnsi="Verdana" w:cs="Arial"/>
          <w:sz w:val="16"/>
          <w:szCs w:val="16"/>
          <w:lang w:val="es-CO"/>
        </w:rPr>
        <w:t xml:space="preserve"> Guía para elaborar el Plan Anual de Adquisiciones. Página 4. </w:t>
      </w:r>
    </w:p>
  </w:footnote>
  <w:footnote w:id="4">
    <w:p w14:paraId="49DA3C7F" w14:textId="77777777" w:rsidR="00676D4D" w:rsidRPr="00D23D27" w:rsidRDefault="00676D4D" w:rsidP="00676D4D">
      <w:pPr>
        <w:pStyle w:val="Textonotapie"/>
        <w:ind w:firstLine="708"/>
        <w:jc w:val="both"/>
        <w:rPr>
          <w:rFonts w:ascii="Verdana" w:hAnsi="Verdana" w:cs="Arial"/>
          <w:sz w:val="16"/>
          <w:szCs w:val="16"/>
          <w:lang w:val="es-ES"/>
        </w:rPr>
      </w:pPr>
      <w:r w:rsidRPr="00D23D27">
        <w:rPr>
          <w:rStyle w:val="Refdenotaalpie"/>
          <w:rFonts w:ascii="Verdana" w:hAnsi="Verdana" w:cs="Arial"/>
          <w:sz w:val="16"/>
          <w:szCs w:val="16"/>
        </w:rPr>
        <w:footnoteRef/>
      </w:r>
      <w:r w:rsidRPr="00D23D27">
        <w:rPr>
          <w:rFonts w:ascii="Verdana" w:hAnsi="Verdana" w:cs="Arial"/>
          <w:sz w:val="16"/>
          <w:szCs w:val="16"/>
        </w:rPr>
        <w:t xml:space="preserve"> El artículo 74 de la Ley 1474 prescribe: “</w:t>
      </w:r>
      <w:r w:rsidRPr="00D23D27">
        <w:rPr>
          <w:rFonts w:ascii="Verdana" w:hAnsi="Verdana" w:cs="Arial"/>
          <w:sz w:val="16"/>
          <w:szCs w:val="16"/>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544F9E2A" w14:textId="77777777" w:rsidR="00676D4D" w:rsidRPr="00D23D27" w:rsidRDefault="00676D4D" w:rsidP="00676D4D">
      <w:pPr>
        <w:pStyle w:val="Textonotapie"/>
        <w:ind w:firstLine="708"/>
        <w:jc w:val="both"/>
        <w:rPr>
          <w:rFonts w:ascii="Verdana" w:hAnsi="Verdana" w:cs="Arial"/>
          <w:sz w:val="16"/>
          <w:szCs w:val="16"/>
          <w:lang w:val="es-ES"/>
        </w:rPr>
      </w:pPr>
      <w:r w:rsidRPr="00D23D27">
        <w:rPr>
          <w:rFonts w:ascii="Verdana" w:hAnsi="Verdana" w:cs="Arial"/>
          <w:sz w:val="16"/>
          <w:szCs w:val="16"/>
          <w:lang w:val="es-ES"/>
        </w:rPr>
        <w:t>A partir del año siguiente, el Plan de Acción deberá estar acompañado del informe de gestión del año inmediatamente anterior.</w:t>
      </w:r>
    </w:p>
    <w:p w14:paraId="0D739CC9" w14:textId="77777777" w:rsidR="00676D4D" w:rsidRPr="00D23D27" w:rsidRDefault="00676D4D" w:rsidP="00676D4D">
      <w:pPr>
        <w:pStyle w:val="Textonotapie"/>
        <w:ind w:firstLine="708"/>
        <w:jc w:val="both"/>
        <w:rPr>
          <w:rFonts w:ascii="Verdana" w:hAnsi="Verdana" w:cs="Arial"/>
          <w:sz w:val="16"/>
          <w:szCs w:val="16"/>
          <w:lang w:val="es-ES"/>
        </w:rPr>
      </w:pPr>
      <w:r w:rsidRPr="00D23D27">
        <w:rPr>
          <w:rFonts w:ascii="Verdana" w:hAnsi="Verdana" w:cs="Arial"/>
          <w:sz w:val="16"/>
          <w:szCs w:val="16"/>
          <w:lang w:val="es-ES"/>
        </w:rPr>
        <w:t>Igualmente publicarán por dicho medio su presupuesto debidamente desagregado, así como las modificaciones a este o a su desagregación.</w:t>
      </w:r>
      <w:r w:rsidRPr="00D23D27">
        <w:rPr>
          <w:rFonts w:ascii="Verdana" w:hAnsi="Verdana" w:cs="Arial"/>
          <w:sz w:val="16"/>
          <w:szCs w:val="16"/>
          <w:lang w:val="es-ES"/>
        </w:rPr>
        <w:tab/>
      </w:r>
    </w:p>
    <w:p w14:paraId="20CED6B4" w14:textId="0AE5A160" w:rsidR="00676D4D" w:rsidRPr="00C64CBA" w:rsidRDefault="00676D4D" w:rsidP="00000D79">
      <w:pPr>
        <w:pStyle w:val="Textonotapie"/>
        <w:ind w:firstLine="708"/>
        <w:jc w:val="both"/>
        <w:rPr>
          <w:rFonts w:ascii="Verdana" w:hAnsi="Verdana" w:cs="Arial"/>
          <w:sz w:val="16"/>
          <w:szCs w:val="16"/>
          <w:lang w:val="es-ES"/>
        </w:rPr>
      </w:pPr>
      <w:r w:rsidRPr="00C64CBA">
        <w:rPr>
          <w:rFonts w:ascii="Verdana" w:hAnsi="Verdana" w:cs="Arial"/>
          <w:sz w:val="16"/>
          <w:szCs w:val="16"/>
          <w:lang w:val="es-ES"/>
        </w:rPr>
        <w:t>Parágrafo. Las empresas industriales y comerciales del Estado y las Sociedades de Economía Mixta estarán exentas de publicar la información relacionada con sus proyectos de inversión”.</w:t>
      </w:r>
    </w:p>
  </w:footnote>
  <w:footnote w:id="5">
    <w:p w14:paraId="3A0F6AF1" w14:textId="77777777" w:rsidR="00676D4D" w:rsidRPr="00C64CBA" w:rsidRDefault="00676D4D" w:rsidP="00676D4D">
      <w:pPr>
        <w:pStyle w:val="Textonotapie"/>
        <w:ind w:firstLine="709"/>
        <w:jc w:val="both"/>
        <w:rPr>
          <w:rFonts w:ascii="Verdana" w:hAnsi="Verdana" w:cs="Arial"/>
          <w:color w:val="000000"/>
          <w:sz w:val="16"/>
          <w:szCs w:val="16"/>
          <w:shd w:val="clear" w:color="auto" w:fill="FFFFFF"/>
        </w:rPr>
      </w:pPr>
      <w:r w:rsidRPr="00C64CBA">
        <w:rPr>
          <w:rStyle w:val="Refdenotaalpie"/>
          <w:rFonts w:ascii="Verdana" w:hAnsi="Verdana" w:cs="Arial"/>
          <w:color w:val="000000"/>
          <w:sz w:val="16"/>
          <w:szCs w:val="16"/>
        </w:rPr>
        <w:footnoteRef/>
      </w:r>
      <w:r w:rsidRPr="00C64CBA">
        <w:rPr>
          <w:rFonts w:ascii="Verdana" w:hAnsi="Verdana" w:cs="Arial"/>
          <w:color w:val="000000"/>
          <w:sz w:val="16"/>
          <w:szCs w:val="16"/>
        </w:rPr>
        <w:t xml:space="preserve"> “</w:t>
      </w:r>
      <w:r w:rsidRPr="00C64CBA">
        <w:rPr>
          <w:rStyle w:val="Fuerte"/>
          <w:rFonts w:ascii="Verdana" w:hAnsi="Verdana" w:cs="Arial"/>
          <w:color w:val="000000"/>
          <w:sz w:val="16"/>
          <w:szCs w:val="16"/>
          <w:shd w:val="clear" w:color="auto" w:fill="FFFFFF"/>
        </w:rPr>
        <w:t>Artículo 2.2.1.1.1.3.1. </w:t>
      </w:r>
      <w:r w:rsidRPr="00C64CBA">
        <w:rPr>
          <w:rStyle w:val="nfasis"/>
          <w:rFonts w:ascii="Verdana" w:hAnsi="Verdana" w:cs="Arial"/>
          <w:color w:val="000000"/>
          <w:sz w:val="16"/>
          <w:szCs w:val="16"/>
          <w:shd w:val="clear" w:color="auto" w:fill="FFFFFF"/>
        </w:rPr>
        <w:t>Definiciones. </w:t>
      </w:r>
      <w:r w:rsidRPr="00C64CBA">
        <w:rPr>
          <w:rFonts w:ascii="Verdana" w:hAnsi="Verdana" w:cs="Arial"/>
          <w:color w:val="000000"/>
          <w:sz w:val="16"/>
          <w:szCs w:val="16"/>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7C867830" w14:textId="77777777" w:rsidR="00676D4D" w:rsidRPr="00C64CBA" w:rsidRDefault="00676D4D" w:rsidP="00676D4D">
      <w:pPr>
        <w:pStyle w:val="Textonotapie"/>
        <w:ind w:firstLine="709"/>
        <w:jc w:val="both"/>
        <w:rPr>
          <w:rFonts w:ascii="Verdana" w:hAnsi="Verdana" w:cs="Arial"/>
          <w:color w:val="000000"/>
          <w:sz w:val="16"/>
          <w:szCs w:val="16"/>
          <w:shd w:val="clear" w:color="auto" w:fill="FFFFFF"/>
        </w:rPr>
      </w:pPr>
      <w:r w:rsidRPr="00C64CBA">
        <w:rPr>
          <w:rFonts w:ascii="Verdana" w:hAnsi="Verdana" w:cs="Arial"/>
          <w:color w:val="000000"/>
          <w:sz w:val="16"/>
          <w:szCs w:val="16"/>
          <w:shd w:val="clear" w:color="auto" w:fill="FFFFFF"/>
        </w:rPr>
        <w:t>[…]</w:t>
      </w:r>
    </w:p>
    <w:p w14:paraId="4DBDC512" w14:textId="77777777" w:rsidR="00676D4D" w:rsidRPr="00C64CBA" w:rsidRDefault="00676D4D" w:rsidP="00676D4D">
      <w:pPr>
        <w:pStyle w:val="Textonotapie"/>
        <w:ind w:firstLine="709"/>
        <w:jc w:val="both"/>
        <w:rPr>
          <w:rFonts w:ascii="Verdana" w:hAnsi="Verdana" w:cs="Arial"/>
          <w:color w:val="000000"/>
          <w:sz w:val="16"/>
          <w:szCs w:val="16"/>
        </w:rPr>
      </w:pPr>
      <w:r w:rsidRPr="00C64CBA">
        <w:rPr>
          <w:rStyle w:val="nfasis"/>
          <w:rFonts w:ascii="Verdana" w:hAnsi="Verdana" w:cs="Arial"/>
          <w:color w:val="000000"/>
          <w:sz w:val="16"/>
          <w:szCs w:val="16"/>
        </w:rPr>
        <w:t>Plan Anual de Adquisiciones: </w:t>
      </w:r>
      <w:r w:rsidRPr="00C64CBA">
        <w:rPr>
          <w:rFonts w:ascii="Verdana" w:hAnsi="Verdana" w:cs="Arial"/>
          <w:color w:val="000000"/>
          <w:sz w:val="16"/>
          <w:szCs w:val="16"/>
        </w:rPr>
        <w:t>Plan general de compras al que se refiere el </w:t>
      </w:r>
      <w:hyperlink r:id="rId2" w:history="1">
        <w:r w:rsidRPr="00C64CBA">
          <w:rPr>
            <w:rStyle w:val="Hipervnculo1"/>
            <w:rFonts w:ascii="Verdana" w:hAnsi="Verdana" w:cs="Arial"/>
            <w:color w:val="000000"/>
            <w:sz w:val="16"/>
            <w:szCs w:val="16"/>
          </w:rPr>
          <w:t>artículo 74 de la Ley 1474 de 2011</w:t>
        </w:r>
      </w:hyperlink>
      <w:r w:rsidRPr="00C64CBA">
        <w:rPr>
          <w:rFonts w:ascii="Verdana" w:hAnsi="Verdana" w:cs="Arial"/>
          <w:color w:val="000000"/>
          <w:sz w:val="16"/>
          <w:szCs w:val="16"/>
        </w:rPr>
        <w:t> y el plan de compras al que se refiere la Ley Anual de Presupuesto. Es un instrumento de planeación contractual que las Entidades Estatales deben diligenciar, publicar y actualizar en los términos del presente título”.</w:t>
      </w:r>
    </w:p>
  </w:footnote>
  <w:footnote w:id="6">
    <w:p w14:paraId="043E124B" w14:textId="77777777" w:rsidR="00676D4D" w:rsidRPr="00C64CBA" w:rsidRDefault="00676D4D" w:rsidP="00676D4D">
      <w:pPr>
        <w:pStyle w:val="Textonotapie"/>
        <w:ind w:firstLine="708"/>
        <w:jc w:val="both"/>
        <w:rPr>
          <w:rFonts w:ascii="Verdana" w:hAnsi="Verdana" w:cs="Arial"/>
          <w:sz w:val="16"/>
          <w:szCs w:val="16"/>
        </w:rPr>
      </w:pPr>
      <w:r w:rsidRPr="00C64CBA">
        <w:rPr>
          <w:rStyle w:val="Refdenotaalpie"/>
          <w:rFonts w:ascii="Verdana" w:hAnsi="Verdana" w:cs="Arial"/>
          <w:sz w:val="16"/>
          <w:szCs w:val="16"/>
        </w:rPr>
        <w:footnoteRef/>
      </w:r>
      <w:r w:rsidRPr="00C64CBA">
        <w:rPr>
          <w:rFonts w:ascii="Verdana" w:hAnsi="Verdana" w:cs="Arial"/>
          <w:sz w:val="16"/>
          <w:szCs w:val="16"/>
        </w:rPr>
        <w:t xml:space="preserve"> Decreto 1082 de 2015: “Artículo 2.2.1.1.1.4.3. Publicación del Plan Anual de Adquisiciones.</w:t>
      </w:r>
      <w:r w:rsidRPr="00C64CBA">
        <w:rPr>
          <w:rFonts w:ascii="Verdana" w:hAnsi="Verdana" w:cs="Arial"/>
          <w:i/>
          <w:sz w:val="16"/>
          <w:szCs w:val="16"/>
        </w:rPr>
        <w:t> </w:t>
      </w:r>
      <w:r w:rsidRPr="00C64CBA">
        <w:rPr>
          <w:rFonts w:ascii="Verdana" w:hAnsi="Verdana" w:cs="Arial"/>
          <w:sz w:val="16"/>
          <w:szCs w:val="16"/>
        </w:rPr>
        <w:t xml:space="preserve">La Entidad Estatal debe publicar su Plan Anual de Adquisiciones y las actualizaciones </w:t>
      </w:r>
      <w:r w:rsidRPr="00C64CBA">
        <w:rPr>
          <w:rFonts w:ascii="Verdana" w:hAnsi="Verdana" w:cs="Arial"/>
          <w:sz w:val="16"/>
          <w:szCs w:val="16"/>
        </w:rPr>
        <w:t>del mismo en su página web y en el SECOP, en la forma que para el efecto disponga Colombia Compra Eficiente”.</w:t>
      </w:r>
    </w:p>
    <w:p w14:paraId="5C50770D" w14:textId="77777777" w:rsidR="00676D4D" w:rsidRPr="00F50E68" w:rsidRDefault="00676D4D" w:rsidP="00676D4D">
      <w:pPr>
        <w:pStyle w:val="Textonotapie"/>
        <w:ind w:firstLine="708"/>
        <w:jc w:val="both"/>
        <w:rPr>
          <w:rFonts w:ascii="Verdana" w:hAnsi="Verdana" w:cs="Arial"/>
          <w:sz w:val="18"/>
          <w:szCs w:val="18"/>
        </w:rPr>
      </w:pPr>
    </w:p>
  </w:footnote>
  <w:footnote w:id="7">
    <w:p w14:paraId="15F40338" w14:textId="77777777" w:rsidR="00676D4D" w:rsidRPr="00C64CBA" w:rsidRDefault="00676D4D" w:rsidP="00676D4D">
      <w:pPr>
        <w:pStyle w:val="Textonotapie"/>
        <w:ind w:firstLine="708"/>
        <w:jc w:val="both"/>
        <w:rPr>
          <w:rFonts w:ascii="Verdana" w:hAnsi="Verdana" w:cs="Arial"/>
          <w:sz w:val="16"/>
          <w:szCs w:val="16"/>
        </w:rPr>
      </w:pPr>
      <w:r w:rsidRPr="00C64CBA">
        <w:rPr>
          <w:rStyle w:val="Refdenotaalpie"/>
          <w:rFonts w:ascii="Verdana" w:hAnsi="Verdana" w:cs="Arial"/>
          <w:sz w:val="16"/>
          <w:szCs w:val="16"/>
        </w:rPr>
        <w:footnoteRef/>
      </w:r>
      <w:r w:rsidRPr="00C64CBA">
        <w:rPr>
          <w:rFonts w:ascii="Verdana" w:hAnsi="Verdana" w:cs="Arial"/>
          <w:sz w:val="16"/>
          <w:szCs w:val="16"/>
        </w:rPr>
        <w:t xml:space="preserve"> Decreto 1082 de 2015, modificado por artículo 2 del Decreto 142 de 2023: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4D2C387C" w14:textId="77777777" w:rsidR="00676D4D" w:rsidRPr="00C64CBA" w:rsidRDefault="00676D4D" w:rsidP="00676D4D">
      <w:pPr>
        <w:pStyle w:val="Textonotapie"/>
        <w:ind w:firstLine="708"/>
        <w:jc w:val="both"/>
        <w:rPr>
          <w:rFonts w:ascii="Verdana" w:hAnsi="Verdana" w:cs="Arial"/>
          <w:sz w:val="16"/>
          <w:szCs w:val="16"/>
        </w:rPr>
      </w:pPr>
      <w:r w:rsidRPr="00C64CBA">
        <w:rPr>
          <w:rFonts w:ascii="Verdana" w:hAnsi="Verdana" w:cs="Arial"/>
          <w:sz w:val="16"/>
          <w:szCs w:val="16"/>
        </w:rPr>
        <w:t xml:space="preserve">Las entidades estatales deberán planear su contratación de manera que se promueva la división de Procesos de Contratación en lotes o segmentos en los que se facilite la participación de las </w:t>
      </w:r>
      <w:r w:rsidRPr="00C64CBA">
        <w:rPr>
          <w:rFonts w:ascii="Verdana" w:hAnsi="Verdana" w:cs="Arial"/>
          <w:sz w:val="16"/>
          <w:szCs w:val="16"/>
        </w:rPr>
        <w:t>Mipymes.</w:t>
      </w:r>
    </w:p>
    <w:p w14:paraId="347FCF47" w14:textId="77777777" w:rsidR="00676D4D" w:rsidRPr="00C64CBA" w:rsidRDefault="00676D4D" w:rsidP="00676D4D">
      <w:pPr>
        <w:pStyle w:val="Textonotapie"/>
        <w:ind w:firstLine="708"/>
        <w:jc w:val="both"/>
        <w:rPr>
          <w:rFonts w:ascii="Verdana" w:hAnsi="Verdana" w:cs="Arial"/>
          <w:sz w:val="16"/>
          <w:szCs w:val="16"/>
        </w:rPr>
      </w:pPr>
      <w:r w:rsidRPr="00C64CBA">
        <w:rPr>
          <w:rFonts w:ascii="Verdana" w:hAnsi="Verdana" w:cs="Arial"/>
          <w:sz w:val="16"/>
          <w:szCs w:val="16"/>
        </w:rPr>
        <w:t xml:space="preserve">Dentro de estas Mipymes se encuentran entre otras, las cooperativas de acuerdo con los requisitos del artículo 23 de la Ley 2069 de 2020 o las que se constituyan como entidades de economía solidaria de acuerdo con los requisitos del artículo 6 de la Ley 454 de 1998 o la norma que las modifique o sustituya. </w:t>
      </w:r>
    </w:p>
    <w:p w14:paraId="263FB5A7" w14:textId="77777777" w:rsidR="00676D4D" w:rsidRPr="00C64CBA" w:rsidRDefault="00676D4D" w:rsidP="00676D4D">
      <w:pPr>
        <w:pStyle w:val="Textonotapie"/>
        <w:ind w:firstLine="708"/>
        <w:jc w:val="both"/>
        <w:rPr>
          <w:rFonts w:ascii="Verdana" w:hAnsi="Verdana" w:cs="Arial"/>
          <w:sz w:val="16"/>
          <w:szCs w:val="16"/>
        </w:rPr>
      </w:pPr>
      <w:r w:rsidRPr="00C64CBA">
        <w:rPr>
          <w:rFonts w:ascii="Verdana" w:hAnsi="Verdana" w:cs="Arial"/>
          <w:sz w:val="16"/>
          <w:szCs w:val="16"/>
        </w:rPr>
        <w:t>Las asociaciones conformadas por sujetos de especial protección constitucional, asociaciones de pequeños productores locales y productores locales agropecuarios cuyos sistemas productivos pertenezcan a la Agricultura Campesina, Familiar y Comunitaria podrán ser clasificadas como Mipymes en los términos previstos en el artículo 23 de la Ley 2069 de 2020, el artículo 2 de la Ley 590 de 2000 y por el Decreto 957 de 2019 o las normas que los modifiquen”.</w:t>
      </w:r>
    </w:p>
  </w:footnote>
  <w:footnote w:id="8">
    <w:p w14:paraId="75289FDB" w14:textId="77777777" w:rsidR="00676D4D" w:rsidRPr="00000D79" w:rsidRDefault="00676D4D" w:rsidP="00676D4D">
      <w:pPr>
        <w:pStyle w:val="NormalWeb"/>
        <w:shd w:val="clear" w:color="auto" w:fill="FFFFFF"/>
        <w:spacing w:before="0" w:beforeAutospacing="0" w:after="0" w:afterAutospacing="0"/>
        <w:ind w:firstLine="708"/>
        <w:jc w:val="both"/>
        <w:rPr>
          <w:rFonts w:ascii="Verdana" w:eastAsiaTheme="minorHAnsi" w:hAnsi="Verdana" w:cs="Arial"/>
          <w:sz w:val="16"/>
          <w:szCs w:val="16"/>
          <w:lang w:val="es-MX" w:eastAsia="en-US"/>
        </w:rPr>
      </w:pPr>
      <w:r w:rsidRPr="00000D79">
        <w:rPr>
          <w:rStyle w:val="Refdenotaalpie"/>
          <w:rFonts w:ascii="Verdana" w:eastAsiaTheme="majorEastAsia" w:hAnsi="Verdana" w:cs="Arial"/>
          <w:sz w:val="16"/>
          <w:szCs w:val="16"/>
        </w:rPr>
        <w:footnoteRef/>
      </w:r>
      <w:r w:rsidRPr="00000D79">
        <w:rPr>
          <w:rFonts w:ascii="Verdana" w:hAnsi="Verdana" w:cs="Arial"/>
          <w:sz w:val="16"/>
          <w:szCs w:val="16"/>
        </w:rPr>
        <w:t xml:space="preserve"> Decreto 1082 de 2015:”</w:t>
      </w:r>
      <w:r w:rsidRPr="00000D79">
        <w:rPr>
          <w:rFonts w:ascii="Verdana" w:eastAsiaTheme="minorHAnsi" w:hAnsi="Verdana" w:cs="Arial"/>
          <w:sz w:val="16"/>
          <w:szCs w:val="16"/>
          <w:lang w:val="es-MX" w:eastAsia="en-US"/>
        </w:rPr>
        <w:t xml:space="preserve"> Artículo 2.2.1.1.1.4.4. Actualización del Plan Anual de Adquisiciones. La Entidad Estatal debe actualizar el Plan Anual de Adquisiciones por lo menos una vez durante su vigencia, en la forma y la oportunidad que para el efecto disponga Colombia Compra Eficiente.</w:t>
      </w:r>
    </w:p>
    <w:p w14:paraId="32898CBF" w14:textId="77777777" w:rsidR="00676D4D" w:rsidRPr="00000D79" w:rsidRDefault="00676D4D" w:rsidP="00676D4D">
      <w:pPr>
        <w:pStyle w:val="NormalWeb"/>
        <w:shd w:val="clear" w:color="auto" w:fill="FFFFFF"/>
        <w:spacing w:before="0" w:beforeAutospacing="0" w:after="0" w:afterAutospacing="0"/>
        <w:ind w:firstLine="708"/>
        <w:jc w:val="both"/>
        <w:rPr>
          <w:rFonts w:ascii="Verdana" w:eastAsiaTheme="minorHAnsi" w:hAnsi="Verdana" w:cs="Arial"/>
          <w:sz w:val="16"/>
          <w:szCs w:val="16"/>
          <w:lang w:val="es-MX" w:eastAsia="en-US"/>
        </w:rPr>
      </w:pPr>
      <w:r w:rsidRPr="00000D79">
        <w:rPr>
          <w:rFonts w:ascii="Verdana" w:eastAsiaTheme="minorHAnsi" w:hAnsi="Verdana" w:cs="Arial"/>
          <w:sz w:val="16"/>
          <w:szCs w:val="16"/>
          <w:lang w:val="es-MX" w:eastAsia="en-US"/>
        </w:rPr>
        <w:t>“La Entidad Estatal debe actualizar el Plan Anual de Adquisiciones cuando: (i) haya ajustes en los cronogramas de adquisición, valores, modalidad de selección, origen de los recursos; (</w:t>
      </w:r>
      <w:r w:rsidRPr="00000D79">
        <w:rPr>
          <w:rFonts w:ascii="Verdana" w:eastAsiaTheme="minorHAnsi" w:hAnsi="Verdana" w:cs="Arial"/>
          <w:sz w:val="16"/>
          <w:szCs w:val="16"/>
          <w:lang w:val="es-MX" w:eastAsia="en-US"/>
        </w:rPr>
        <w:t>ii) para incluir nuevas obras, bienes y/o servicios; (iii) excluir obras, bienes y/o servicios; o (iv) modificar el presupuesto anual de adquisiciones”.</w:t>
      </w:r>
    </w:p>
    <w:p w14:paraId="61E93C59" w14:textId="77777777" w:rsidR="00676D4D" w:rsidRPr="00F50E68" w:rsidRDefault="00676D4D" w:rsidP="00676D4D">
      <w:pPr>
        <w:pStyle w:val="NormalWeb"/>
        <w:shd w:val="clear" w:color="auto" w:fill="FFFFFF"/>
        <w:spacing w:before="0" w:beforeAutospacing="0" w:after="0" w:afterAutospacing="0"/>
        <w:ind w:firstLine="708"/>
        <w:jc w:val="both"/>
        <w:rPr>
          <w:rFonts w:ascii="Verdana" w:eastAsiaTheme="minorHAnsi" w:hAnsi="Verdana" w:cs="Arial"/>
          <w:sz w:val="18"/>
          <w:szCs w:val="18"/>
          <w:lang w:val="es-MX" w:eastAsia="en-US"/>
        </w:rPr>
      </w:pPr>
    </w:p>
  </w:footnote>
  <w:footnote w:id="9">
    <w:p w14:paraId="584668A6" w14:textId="77777777" w:rsidR="005A35E1" w:rsidRPr="00F26E5F" w:rsidRDefault="005A35E1" w:rsidP="005A35E1">
      <w:pPr>
        <w:pStyle w:val="Textonotapie"/>
        <w:ind w:firstLine="708"/>
        <w:jc w:val="both"/>
        <w:rPr>
          <w:rFonts w:ascii="Verdana" w:hAnsi="Verdana"/>
          <w:sz w:val="16"/>
          <w:szCs w:val="16"/>
        </w:rPr>
      </w:pPr>
      <w:r w:rsidRPr="00F26E5F">
        <w:rPr>
          <w:rStyle w:val="Refdenotaalpie"/>
          <w:rFonts w:ascii="Verdana" w:hAnsi="Verdana"/>
          <w:sz w:val="16"/>
          <w:szCs w:val="16"/>
        </w:rPr>
        <w:footnoteRef/>
      </w:r>
      <w:r w:rsidRPr="00F26E5F">
        <w:rPr>
          <w:rFonts w:ascii="Verdana" w:hAnsi="Verdana"/>
          <w:sz w:val="16"/>
          <w:szCs w:val="16"/>
        </w:rPr>
        <w:t xml:space="preserve"> </w:t>
      </w:r>
      <w:r>
        <w:rPr>
          <w:rFonts w:ascii="Verdana" w:hAnsi="Verdana"/>
          <w:sz w:val="16"/>
          <w:szCs w:val="16"/>
        </w:rPr>
        <w:t xml:space="preserve">Para la doctrina, “[…] </w:t>
      </w:r>
      <w:r w:rsidRPr="00F26E5F">
        <w:rPr>
          <w:rFonts w:ascii="Verdana" w:hAnsi="Verdana"/>
          <w:sz w:val="16"/>
          <w:szCs w:val="16"/>
        </w:rPr>
        <w:t>ni el objeto (art. 2.º) ni las funciones (art. 3.º) que</w:t>
      </w:r>
      <w:r>
        <w:rPr>
          <w:rFonts w:ascii="Verdana" w:hAnsi="Verdana"/>
          <w:sz w:val="16"/>
          <w:szCs w:val="16"/>
        </w:rPr>
        <w:t xml:space="preserve"> </w:t>
      </w:r>
      <w:r w:rsidRPr="00F26E5F">
        <w:rPr>
          <w:rFonts w:ascii="Verdana" w:hAnsi="Verdana"/>
          <w:sz w:val="16"/>
          <w:szCs w:val="16"/>
        </w:rPr>
        <w:t>la ley de creación confió a la Agencia (</w:t>
      </w:r>
      <w:r w:rsidRPr="00F26E5F">
        <w:rPr>
          <w:rFonts w:ascii="Verdana" w:hAnsi="Verdana"/>
          <w:sz w:val="16"/>
          <w:szCs w:val="16"/>
        </w:rPr>
        <w:t>Dcto.-Ley 4170/11)</w:t>
      </w:r>
      <w:r>
        <w:rPr>
          <w:rFonts w:ascii="Verdana" w:hAnsi="Verdana"/>
          <w:sz w:val="16"/>
          <w:szCs w:val="16"/>
        </w:rPr>
        <w:t xml:space="preserve"> </w:t>
      </w:r>
      <w:r w:rsidRPr="00F26E5F">
        <w:rPr>
          <w:rFonts w:ascii="Verdana" w:hAnsi="Verdana"/>
          <w:sz w:val="16"/>
          <w:szCs w:val="16"/>
        </w:rPr>
        <w:t>comprenden competencias normativas sobre la contratación.</w:t>
      </w:r>
      <w:r>
        <w:rPr>
          <w:rFonts w:ascii="Verdana" w:hAnsi="Verdana"/>
          <w:sz w:val="16"/>
          <w:szCs w:val="16"/>
        </w:rPr>
        <w:t xml:space="preserve"> </w:t>
      </w:r>
      <w:r w:rsidRPr="00F26E5F">
        <w:rPr>
          <w:rFonts w:ascii="Verdana" w:hAnsi="Verdana"/>
          <w:sz w:val="16"/>
          <w:szCs w:val="16"/>
        </w:rPr>
        <w:t>Aunque el numeral 2.º del artículo 3.º le confiere las funciones</w:t>
      </w:r>
      <w:r>
        <w:rPr>
          <w:rFonts w:ascii="Verdana" w:hAnsi="Verdana"/>
          <w:sz w:val="16"/>
          <w:szCs w:val="16"/>
        </w:rPr>
        <w:t xml:space="preserve"> </w:t>
      </w:r>
      <w:r w:rsidRPr="00F26E5F">
        <w:rPr>
          <w:rFonts w:ascii="Verdana" w:hAnsi="Verdana"/>
          <w:sz w:val="16"/>
          <w:szCs w:val="16"/>
        </w:rPr>
        <w:t xml:space="preserve">de </w:t>
      </w:r>
      <w:r>
        <w:rPr>
          <w:rFonts w:ascii="Verdana" w:hAnsi="Verdana"/>
          <w:sz w:val="16"/>
          <w:szCs w:val="16"/>
        </w:rPr>
        <w:t>‘</w:t>
      </w:r>
      <w:r w:rsidRPr="00F26E5F">
        <w:rPr>
          <w:rFonts w:ascii="Verdana" w:hAnsi="Verdana"/>
          <w:sz w:val="16"/>
          <w:szCs w:val="16"/>
        </w:rPr>
        <w:t>desarrollar, implementar […] normas […] que faciliten</w:t>
      </w:r>
      <w:r>
        <w:rPr>
          <w:rFonts w:ascii="Verdana" w:hAnsi="Verdana"/>
          <w:sz w:val="16"/>
          <w:szCs w:val="16"/>
        </w:rPr>
        <w:t xml:space="preserve"> </w:t>
      </w:r>
      <w:r w:rsidRPr="00F26E5F">
        <w:rPr>
          <w:rFonts w:ascii="Verdana" w:hAnsi="Verdana"/>
          <w:sz w:val="16"/>
          <w:szCs w:val="16"/>
        </w:rPr>
        <w:t>las compras y contratación pública del Estado y promuevan las mejores prácticas</w:t>
      </w:r>
      <w:r>
        <w:rPr>
          <w:rFonts w:ascii="Verdana" w:hAnsi="Verdana"/>
          <w:sz w:val="16"/>
          <w:szCs w:val="16"/>
        </w:rPr>
        <w:t>’</w:t>
      </w:r>
      <w:r w:rsidRPr="00F26E5F">
        <w:rPr>
          <w:rFonts w:ascii="Verdana" w:hAnsi="Verdana"/>
          <w:sz w:val="16"/>
          <w:szCs w:val="16"/>
        </w:rPr>
        <w:t>, ello no puede concebirse como</w:t>
      </w:r>
      <w:r>
        <w:rPr>
          <w:rFonts w:ascii="Verdana" w:hAnsi="Verdana"/>
          <w:sz w:val="16"/>
          <w:szCs w:val="16"/>
        </w:rPr>
        <w:t xml:space="preserve"> </w:t>
      </w:r>
      <w:r w:rsidRPr="00F26E5F">
        <w:rPr>
          <w:rFonts w:ascii="Verdana" w:hAnsi="Verdana"/>
          <w:sz w:val="16"/>
          <w:szCs w:val="16"/>
        </w:rPr>
        <w:t>una competencia específicamente normativa. Su misión de</w:t>
      </w:r>
      <w:r>
        <w:rPr>
          <w:rFonts w:ascii="Verdana" w:hAnsi="Verdana"/>
          <w:sz w:val="16"/>
          <w:szCs w:val="16"/>
        </w:rPr>
        <w:t xml:space="preserve"> </w:t>
      </w:r>
      <w:r w:rsidRPr="00F26E5F">
        <w:rPr>
          <w:rFonts w:ascii="Verdana" w:hAnsi="Verdana"/>
          <w:sz w:val="16"/>
          <w:szCs w:val="16"/>
        </w:rPr>
        <w:t>carácter técnico es promover las mejores condiciones de</w:t>
      </w:r>
      <w:r>
        <w:rPr>
          <w:rFonts w:ascii="Verdana" w:hAnsi="Verdana"/>
          <w:sz w:val="16"/>
          <w:szCs w:val="16"/>
        </w:rPr>
        <w:t xml:space="preserve"> </w:t>
      </w:r>
      <w:r w:rsidRPr="00F26E5F">
        <w:rPr>
          <w:rFonts w:ascii="Verdana" w:hAnsi="Verdana"/>
          <w:sz w:val="16"/>
          <w:szCs w:val="16"/>
        </w:rPr>
        <w:t>contratación, lo que comprende la realización de estudios</w:t>
      </w:r>
      <w:r>
        <w:rPr>
          <w:rFonts w:ascii="Verdana" w:hAnsi="Verdana"/>
          <w:sz w:val="16"/>
          <w:szCs w:val="16"/>
        </w:rPr>
        <w:t xml:space="preserve"> </w:t>
      </w:r>
      <w:r w:rsidRPr="00F26E5F">
        <w:rPr>
          <w:rFonts w:ascii="Verdana" w:hAnsi="Verdana"/>
          <w:sz w:val="16"/>
          <w:szCs w:val="16"/>
        </w:rPr>
        <w:t>y diagnósticos (num. 4.º), la difusión de normas, reglas y</w:t>
      </w:r>
      <w:r>
        <w:rPr>
          <w:rFonts w:ascii="Verdana" w:hAnsi="Verdana"/>
          <w:sz w:val="16"/>
          <w:szCs w:val="16"/>
        </w:rPr>
        <w:t xml:space="preserve"> </w:t>
      </w:r>
      <w:r w:rsidRPr="00F26E5F">
        <w:rPr>
          <w:rFonts w:ascii="Verdana" w:hAnsi="Verdana"/>
          <w:sz w:val="16"/>
          <w:szCs w:val="16"/>
        </w:rPr>
        <w:t>procedimientos (num. 10), el brindar apoyo a entidades</w:t>
      </w:r>
      <w:r>
        <w:rPr>
          <w:rFonts w:ascii="Verdana" w:hAnsi="Verdana"/>
          <w:sz w:val="16"/>
          <w:szCs w:val="16"/>
        </w:rPr>
        <w:t xml:space="preserve"> </w:t>
      </w:r>
      <w:r w:rsidRPr="00F26E5F">
        <w:rPr>
          <w:rFonts w:ascii="Verdana" w:hAnsi="Verdana"/>
          <w:sz w:val="16"/>
          <w:szCs w:val="16"/>
        </w:rPr>
        <w:t>territoriales (num. 11) y la promoción de políticas y normas ante el Gobierno Nacional (num. 1.º). Estas labores de</w:t>
      </w:r>
      <w:r>
        <w:rPr>
          <w:rFonts w:ascii="Verdana" w:hAnsi="Verdana"/>
          <w:sz w:val="16"/>
          <w:szCs w:val="16"/>
        </w:rPr>
        <w:t xml:space="preserve"> </w:t>
      </w:r>
      <w:r w:rsidRPr="00F26E5F">
        <w:rPr>
          <w:rFonts w:ascii="Verdana" w:hAnsi="Verdana"/>
          <w:sz w:val="16"/>
          <w:szCs w:val="16"/>
        </w:rPr>
        <w:t>apoyo, tanto a las entidades contratantes como al Gobierno</w:t>
      </w:r>
      <w:r>
        <w:rPr>
          <w:rFonts w:ascii="Verdana" w:hAnsi="Verdana"/>
          <w:sz w:val="16"/>
          <w:szCs w:val="16"/>
        </w:rPr>
        <w:t xml:space="preserve"> </w:t>
      </w:r>
      <w:r w:rsidRPr="00F26E5F">
        <w:rPr>
          <w:rFonts w:ascii="Verdana" w:hAnsi="Verdana"/>
          <w:sz w:val="16"/>
          <w:szCs w:val="16"/>
        </w:rPr>
        <w:t>Nacional, no comportan una función normativa propia</w:t>
      </w:r>
      <w:r>
        <w:rPr>
          <w:rFonts w:ascii="Verdana" w:hAnsi="Verdana"/>
          <w:sz w:val="16"/>
          <w:szCs w:val="16"/>
        </w:rPr>
        <w:t xml:space="preserve"> […]” (Cfr. BENAVIDES, José Luis</w:t>
      </w:r>
      <w:r w:rsidRPr="00F26E5F">
        <w:rPr>
          <w:rFonts w:ascii="Verdana" w:hAnsi="Verdana"/>
          <w:sz w:val="16"/>
          <w:szCs w:val="16"/>
        </w:rPr>
        <w:t>.</w:t>
      </w:r>
      <w:r>
        <w:rPr>
          <w:rFonts w:ascii="Verdana" w:hAnsi="Verdana"/>
          <w:sz w:val="16"/>
          <w:szCs w:val="16"/>
        </w:rPr>
        <w:t xml:space="preserve"> Contratos públicos. Estudios. Bogotá: Universidad Externado de Colombia, 2014. p. 166).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F750770"/>
    <w:multiLevelType w:val="multilevel"/>
    <w:tmpl w:val="1A26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3D7406"/>
    <w:multiLevelType w:val="hybridMultilevel"/>
    <w:tmpl w:val="158294BA"/>
    <w:lvl w:ilvl="0" w:tplc="E9BA029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9AE221C"/>
    <w:multiLevelType w:val="hybridMultilevel"/>
    <w:tmpl w:val="F44834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F371B4A"/>
    <w:multiLevelType w:val="hybridMultilevel"/>
    <w:tmpl w:val="F79E1380"/>
    <w:lvl w:ilvl="0" w:tplc="240A000F">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574460"/>
    <w:multiLevelType w:val="hybridMultilevel"/>
    <w:tmpl w:val="124C544A"/>
    <w:lvl w:ilvl="0" w:tplc="0842244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A0607C3"/>
    <w:multiLevelType w:val="multilevel"/>
    <w:tmpl w:val="E53C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7"/>
  </w:num>
  <w:num w:numId="2" w16cid:durableId="19822139">
    <w:abstractNumId w:val="1"/>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5"/>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0"/>
  </w:num>
  <w:num w:numId="13" w16cid:durableId="1512908409">
    <w:abstractNumId w:val="3"/>
  </w:num>
  <w:num w:numId="14" w16cid:durableId="895897244">
    <w:abstractNumId w:val="17"/>
  </w:num>
  <w:num w:numId="15" w16cid:durableId="390349800">
    <w:abstractNumId w:val="13"/>
  </w:num>
  <w:num w:numId="16" w16cid:durableId="2040160837">
    <w:abstractNumId w:val="12"/>
  </w:num>
  <w:num w:numId="17" w16cid:durableId="903610564">
    <w:abstractNumId w:val="11"/>
  </w:num>
  <w:num w:numId="18" w16cid:durableId="136338707">
    <w:abstractNumId w:val="10"/>
  </w:num>
  <w:num w:numId="19" w16cid:durableId="1368602900">
    <w:abstractNumId w:val="19"/>
  </w:num>
  <w:num w:numId="20" w16cid:durableId="331303822">
    <w:abstractNumId w:val="2"/>
  </w:num>
  <w:num w:numId="21" w16cid:durableId="2006199918">
    <w:abstractNumId w:val="6"/>
  </w:num>
  <w:num w:numId="22" w16cid:durableId="39119705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D79"/>
    <w:rsid w:val="00002B33"/>
    <w:rsid w:val="00016F78"/>
    <w:rsid w:val="00017C81"/>
    <w:rsid w:val="000318EA"/>
    <w:rsid w:val="00046945"/>
    <w:rsid w:val="00060020"/>
    <w:rsid w:val="00061B2A"/>
    <w:rsid w:val="000673A8"/>
    <w:rsid w:val="00071AD4"/>
    <w:rsid w:val="00082362"/>
    <w:rsid w:val="000A683E"/>
    <w:rsid w:val="000B19B9"/>
    <w:rsid w:val="000D0334"/>
    <w:rsid w:val="000D5DA7"/>
    <w:rsid w:val="000E030F"/>
    <w:rsid w:val="000F6486"/>
    <w:rsid w:val="00104EB4"/>
    <w:rsid w:val="00116940"/>
    <w:rsid w:val="00125105"/>
    <w:rsid w:val="00127233"/>
    <w:rsid w:val="001543C2"/>
    <w:rsid w:val="0015699B"/>
    <w:rsid w:val="00157E6B"/>
    <w:rsid w:val="00161633"/>
    <w:rsid w:val="00172146"/>
    <w:rsid w:val="001731E3"/>
    <w:rsid w:val="001A33BF"/>
    <w:rsid w:val="001E4177"/>
    <w:rsid w:val="001F0B24"/>
    <w:rsid w:val="001F1458"/>
    <w:rsid w:val="001F6190"/>
    <w:rsid w:val="001F7DC6"/>
    <w:rsid w:val="00203C74"/>
    <w:rsid w:val="00217B0D"/>
    <w:rsid w:val="0022400B"/>
    <w:rsid w:val="002421BB"/>
    <w:rsid w:val="00243182"/>
    <w:rsid w:val="002510C7"/>
    <w:rsid w:val="0025252C"/>
    <w:rsid w:val="0025796E"/>
    <w:rsid w:val="002707A2"/>
    <w:rsid w:val="00271484"/>
    <w:rsid w:val="00276D29"/>
    <w:rsid w:val="002775BF"/>
    <w:rsid w:val="002951A0"/>
    <w:rsid w:val="002962BC"/>
    <w:rsid w:val="002A093D"/>
    <w:rsid w:val="002A0DD0"/>
    <w:rsid w:val="002A49AC"/>
    <w:rsid w:val="002A64FD"/>
    <w:rsid w:val="002C7A84"/>
    <w:rsid w:val="002E2BF8"/>
    <w:rsid w:val="002E4FD9"/>
    <w:rsid w:val="002F797C"/>
    <w:rsid w:val="003058A0"/>
    <w:rsid w:val="0030657A"/>
    <w:rsid w:val="00322A85"/>
    <w:rsid w:val="00324168"/>
    <w:rsid w:val="00330834"/>
    <w:rsid w:val="00336674"/>
    <w:rsid w:val="00342715"/>
    <w:rsid w:val="003448F4"/>
    <w:rsid w:val="00347279"/>
    <w:rsid w:val="003565AA"/>
    <w:rsid w:val="00366F7D"/>
    <w:rsid w:val="00374F5E"/>
    <w:rsid w:val="00377E3E"/>
    <w:rsid w:val="00390BAB"/>
    <w:rsid w:val="003A779E"/>
    <w:rsid w:val="003D0F4D"/>
    <w:rsid w:val="003D5B0D"/>
    <w:rsid w:val="003E0499"/>
    <w:rsid w:val="003E04C8"/>
    <w:rsid w:val="003E4F80"/>
    <w:rsid w:val="003E6439"/>
    <w:rsid w:val="003F3941"/>
    <w:rsid w:val="00406575"/>
    <w:rsid w:val="00414C74"/>
    <w:rsid w:val="0042722E"/>
    <w:rsid w:val="0043402F"/>
    <w:rsid w:val="0044528D"/>
    <w:rsid w:val="00445DBE"/>
    <w:rsid w:val="0045629E"/>
    <w:rsid w:val="004639AD"/>
    <w:rsid w:val="00466E39"/>
    <w:rsid w:val="004828CC"/>
    <w:rsid w:val="004A1847"/>
    <w:rsid w:val="004A305D"/>
    <w:rsid w:val="004B7FC1"/>
    <w:rsid w:val="004C5359"/>
    <w:rsid w:val="004C6014"/>
    <w:rsid w:val="004E7358"/>
    <w:rsid w:val="004F21C4"/>
    <w:rsid w:val="004F685F"/>
    <w:rsid w:val="0052783A"/>
    <w:rsid w:val="00533F90"/>
    <w:rsid w:val="005471E9"/>
    <w:rsid w:val="005566E8"/>
    <w:rsid w:val="00570D12"/>
    <w:rsid w:val="00574867"/>
    <w:rsid w:val="005750A7"/>
    <w:rsid w:val="00591460"/>
    <w:rsid w:val="005A35E1"/>
    <w:rsid w:val="005A65E0"/>
    <w:rsid w:val="005C3777"/>
    <w:rsid w:val="005C5CDC"/>
    <w:rsid w:val="005D3B68"/>
    <w:rsid w:val="005D476C"/>
    <w:rsid w:val="006200BF"/>
    <w:rsid w:val="006219F8"/>
    <w:rsid w:val="00624A63"/>
    <w:rsid w:val="00626D26"/>
    <w:rsid w:val="006302F7"/>
    <w:rsid w:val="00631009"/>
    <w:rsid w:val="00646B9F"/>
    <w:rsid w:val="00654E0A"/>
    <w:rsid w:val="00655067"/>
    <w:rsid w:val="00664E5C"/>
    <w:rsid w:val="00665D70"/>
    <w:rsid w:val="00676088"/>
    <w:rsid w:val="00676D4D"/>
    <w:rsid w:val="006900D9"/>
    <w:rsid w:val="006904D2"/>
    <w:rsid w:val="006D012B"/>
    <w:rsid w:val="006D48F4"/>
    <w:rsid w:val="006D5DC1"/>
    <w:rsid w:val="00704E93"/>
    <w:rsid w:val="00706C16"/>
    <w:rsid w:val="007340C3"/>
    <w:rsid w:val="0073426A"/>
    <w:rsid w:val="00750A99"/>
    <w:rsid w:val="0075235A"/>
    <w:rsid w:val="00756841"/>
    <w:rsid w:val="007649AB"/>
    <w:rsid w:val="00771D0C"/>
    <w:rsid w:val="007724FB"/>
    <w:rsid w:val="007833AC"/>
    <w:rsid w:val="007920D1"/>
    <w:rsid w:val="007B268C"/>
    <w:rsid w:val="007B7171"/>
    <w:rsid w:val="007C0C0F"/>
    <w:rsid w:val="007C3DC2"/>
    <w:rsid w:val="007E5497"/>
    <w:rsid w:val="00806F5F"/>
    <w:rsid w:val="00820278"/>
    <w:rsid w:val="00820576"/>
    <w:rsid w:val="008258C9"/>
    <w:rsid w:val="00826CBA"/>
    <w:rsid w:val="00844AE9"/>
    <w:rsid w:val="00867AB6"/>
    <w:rsid w:val="00867F95"/>
    <w:rsid w:val="008843B6"/>
    <w:rsid w:val="00891928"/>
    <w:rsid w:val="008A41E5"/>
    <w:rsid w:val="008A446D"/>
    <w:rsid w:val="008A44D7"/>
    <w:rsid w:val="008B25F1"/>
    <w:rsid w:val="008B5100"/>
    <w:rsid w:val="008B7101"/>
    <w:rsid w:val="008D180B"/>
    <w:rsid w:val="008D25DF"/>
    <w:rsid w:val="008E626D"/>
    <w:rsid w:val="008F0EA7"/>
    <w:rsid w:val="00923EEF"/>
    <w:rsid w:val="00931126"/>
    <w:rsid w:val="0093219E"/>
    <w:rsid w:val="00935589"/>
    <w:rsid w:val="009419F9"/>
    <w:rsid w:val="0095685E"/>
    <w:rsid w:val="00961B09"/>
    <w:rsid w:val="00965334"/>
    <w:rsid w:val="00965D27"/>
    <w:rsid w:val="0097093E"/>
    <w:rsid w:val="00974865"/>
    <w:rsid w:val="009864A3"/>
    <w:rsid w:val="0099598F"/>
    <w:rsid w:val="009A0DFA"/>
    <w:rsid w:val="009A1C6F"/>
    <w:rsid w:val="009B1E9D"/>
    <w:rsid w:val="009B2D26"/>
    <w:rsid w:val="009C2C40"/>
    <w:rsid w:val="009C71FA"/>
    <w:rsid w:val="009C72E7"/>
    <w:rsid w:val="009C7F7E"/>
    <w:rsid w:val="009D3058"/>
    <w:rsid w:val="009F3A13"/>
    <w:rsid w:val="00A122D3"/>
    <w:rsid w:val="00A14468"/>
    <w:rsid w:val="00A17F13"/>
    <w:rsid w:val="00A20739"/>
    <w:rsid w:val="00A23AF9"/>
    <w:rsid w:val="00A27AF7"/>
    <w:rsid w:val="00A33C78"/>
    <w:rsid w:val="00A37F6E"/>
    <w:rsid w:val="00A91C55"/>
    <w:rsid w:val="00AB0ADB"/>
    <w:rsid w:val="00AB7286"/>
    <w:rsid w:val="00B00C0E"/>
    <w:rsid w:val="00B01B1A"/>
    <w:rsid w:val="00B0381D"/>
    <w:rsid w:val="00B16CBC"/>
    <w:rsid w:val="00B225F0"/>
    <w:rsid w:val="00B44A47"/>
    <w:rsid w:val="00B61EFE"/>
    <w:rsid w:val="00B72CD3"/>
    <w:rsid w:val="00B72FFF"/>
    <w:rsid w:val="00BC3D36"/>
    <w:rsid w:val="00BD54A6"/>
    <w:rsid w:val="00BD7F72"/>
    <w:rsid w:val="00BF7425"/>
    <w:rsid w:val="00C04FB3"/>
    <w:rsid w:val="00C11D8B"/>
    <w:rsid w:val="00C15139"/>
    <w:rsid w:val="00C330EB"/>
    <w:rsid w:val="00C509E0"/>
    <w:rsid w:val="00C50D69"/>
    <w:rsid w:val="00C5365C"/>
    <w:rsid w:val="00C64CBA"/>
    <w:rsid w:val="00C66764"/>
    <w:rsid w:val="00C754BE"/>
    <w:rsid w:val="00C76B1C"/>
    <w:rsid w:val="00C925AC"/>
    <w:rsid w:val="00C93728"/>
    <w:rsid w:val="00CA4347"/>
    <w:rsid w:val="00CA5F5D"/>
    <w:rsid w:val="00CB351D"/>
    <w:rsid w:val="00CB6357"/>
    <w:rsid w:val="00CC1B26"/>
    <w:rsid w:val="00D11500"/>
    <w:rsid w:val="00D23D27"/>
    <w:rsid w:val="00D361FD"/>
    <w:rsid w:val="00D423A2"/>
    <w:rsid w:val="00D44E26"/>
    <w:rsid w:val="00D520D8"/>
    <w:rsid w:val="00D63AC2"/>
    <w:rsid w:val="00D7383B"/>
    <w:rsid w:val="00D7788A"/>
    <w:rsid w:val="00D8065F"/>
    <w:rsid w:val="00D807CF"/>
    <w:rsid w:val="00D92A96"/>
    <w:rsid w:val="00DA231B"/>
    <w:rsid w:val="00DC39FC"/>
    <w:rsid w:val="00DF5254"/>
    <w:rsid w:val="00E02524"/>
    <w:rsid w:val="00E037DE"/>
    <w:rsid w:val="00E16408"/>
    <w:rsid w:val="00E20894"/>
    <w:rsid w:val="00E22EB0"/>
    <w:rsid w:val="00E245AB"/>
    <w:rsid w:val="00E2764C"/>
    <w:rsid w:val="00E27F2E"/>
    <w:rsid w:val="00E3092A"/>
    <w:rsid w:val="00E36F36"/>
    <w:rsid w:val="00E50AFE"/>
    <w:rsid w:val="00E75C92"/>
    <w:rsid w:val="00E771DC"/>
    <w:rsid w:val="00E8772A"/>
    <w:rsid w:val="00E90F6B"/>
    <w:rsid w:val="00E92C27"/>
    <w:rsid w:val="00EA0E3D"/>
    <w:rsid w:val="00EC2874"/>
    <w:rsid w:val="00EC38A7"/>
    <w:rsid w:val="00EC75C1"/>
    <w:rsid w:val="00EE1AA8"/>
    <w:rsid w:val="00EE21FC"/>
    <w:rsid w:val="00F008B4"/>
    <w:rsid w:val="00F2036B"/>
    <w:rsid w:val="00F2240B"/>
    <w:rsid w:val="00F23FEA"/>
    <w:rsid w:val="00F31EDC"/>
    <w:rsid w:val="00F462B3"/>
    <w:rsid w:val="00F5664F"/>
    <w:rsid w:val="00F666C4"/>
    <w:rsid w:val="00F76786"/>
    <w:rsid w:val="00F76AFC"/>
    <w:rsid w:val="00FA47C0"/>
    <w:rsid w:val="00FB2D2E"/>
    <w:rsid w:val="00FB5DD1"/>
    <w:rsid w:val="00FC2B5D"/>
    <w:rsid w:val="00FE4B85"/>
    <w:rsid w:val="00FF1449"/>
    <w:rsid w:val="00FF21B8"/>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166C314-2113-485C-A1D6-2745C8A64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A35E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A35E1"/>
    <w:rPr>
      <w:rFonts w:ascii="Geomanist Light" w:hAnsi="Geomanist Light"/>
      <w:lang w:val="es-ES"/>
    </w:rPr>
  </w:style>
  <w:style w:type="paragraph" w:styleId="Sinespaciado">
    <w:name w:val="No Spacing"/>
    <w:uiPriority w:val="1"/>
    <w:qFormat/>
    <w:rsid w:val="005A35E1"/>
    <w:pPr>
      <w:spacing w:after="0" w:line="240" w:lineRule="auto"/>
    </w:pPr>
  </w:style>
  <w:style w:type="character" w:customStyle="1" w:styleId="s15">
    <w:name w:val="s15"/>
    <w:basedOn w:val="Fuentedeprrafopredeter"/>
    <w:rsid w:val="005A35E1"/>
  </w:style>
  <w:style w:type="character" w:customStyle="1" w:styleId="NormalWebCar">
    <w:name w:val="Normal (Web) Car"/>
    <w:link w:val="NormalWeb"/>
    <w:uiPriority w:val="99"/>
    <w:locked/>
    <w:rsid w:val="00D8065F"/>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D8065F"/>
    <w:rPr>
      <w:b/>
      <w:bCs/>
    </w:rPr>
  </w:style>
  <w:style w:type="character" w:styleId="nfasis">
    <w:name w:val="Emphasis"/>
    <w:basedOn w:val="Fuentedeprrafopredeter"/>
    <w:uiPriority w:val="20"/>
    <w:qFormat/>
    <w:rsid w:val="00D8065F"/>
    <w:rPr>
      <w:i/>
      <w:iCs/>
    </w:rPr>
  </w:style>
  <w:style w:type="character" w:customStyle="1" w:styleId="Hipervnculo1">
    <w:name w:val="Hipervínculo1"/>
    <w:basedOn w:val="Fuentedeprrafopredeter"/>
    <w:uiPriority w:val="99"/>
    <w:unhideWhenUsed/>
    <w:rsid w:val="00676D4D"/>
    <w:rPr>
      <w:color w:val="F2F2F2"/>
      <w:u w:val="single"/>
    </w:rPr>
  </w:style>
  <w:style w:type="character" w:styleId="Refdecomentario">
    <w:name w:val="annotation reference"/>
    <w:basedOn w:val="Fuentedeprrafopredeter"/>
    <w:uiPriority w:val="99"/>
    <w:semiHidden/>
    <w:unhideWhenUsed/>
    <w:rsid w:val="005471E9"/>
    <w:rPr>
      <w:sz w:val="16"/>
      <w:szCs w:val="16"/>
    </w:rPr>
  </w:style>
  <w:style w:type="paragraph" w:styleId="Textocomentario">
    <w:name w:val="annotation text"/>
    <w:basedOn w:val="Normal"/>
    <w:link w:val="TextocomentarioCar"/>
    <w:uiPriority w:val="99"/>
    <w:unhideWhenUsed/>
    <w:rsid w:val="005471E9"/>
    <w:pPr>
      <w:spacing w:line="240" w:lineRule="auto"/>
    </w:pPr>
    <w:rPr>
      <w:sz w:val="20"/>
      <w:szCs w:val="20"/>
    </w:rPr>
  </w:style>
  <w:style w:type="character" w:customStyle="1" w:styleId="TextocomentarioCar">
    <w:name w:val="Texto comentario Car"/>
    <w:basedOn w:val="Fuentedeprrafopredeter"/>
    <w:link w:val="Textocomentario"/>
    <w:uiPriority w:val="99"/>
    <w:rsid w:val="005471E9"/>
    <w:rPr>
      <w:sz w:val="20"/>
      <w:szCs w:val="20"/>
    </w:rPr>
  </w:style>
  <w:style w:type="paragraph" w:styleId="Asuntodelcomentario">
    <w:name w:val="annotation subject"/>
    <w:basedOn w:val="Textocomentario"/>
    <w:next w:val="Textocomentario"/>
    <w:link w:val="AsuntodelcomentarioCar"/>
    <w:uiPriority w:val="99"/>
    <w:semiHidden/>
    <w:unhideWhenUsed/>
    <w:rsid w:val="005471E9"/>
    <w:rPr>
      <w:b/>
      <w:bCs/>
    </w:rPr>
  </w:style>
  <w:style w:type="character" w:customStyle="1" w:styleId="AsuntodelcomentarioCar">
    <w:name w:val="Asunto del comentario Car"/>
    <w:basedOn w:val="TextocomentarioCar"/>
    <w:link w:val="Asuntodelcomentario"/>
    <w:uiPriority w:val="99"/>
    <w:semiHidden/>
    <w:rsid w:val="005471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plan-anual-de-adquisiciones-en-secop-ii-creacion-y-publicacion-del-paa" TargetMode="External"/><Relationship Id="rId18"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ventanilladeradicacion@colombiacompra.gov.co" TargetMode="External"/><Relationship Id="rId7" Type="http://schemas.openxmlformats.org/officeDocument/2006/relationships/settings" Target="settings.xml"/><Relationship Id="rId12" Type="http://schemas.openxmlformats.org/officeDocument/2006/relationships/hyperlink" Target="mailto:paa@putumayo.gov.co" TargetMode="External"/><Relationship Id="rId17"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https://www.colombiacompra.gov.co/sites/cce_public/files/cce_documents/guia_para_elaborar_el_plan_anual_de_adquisiciones_0.pdf" TargetMode="External"/><Relationship Id="rId23" Type="http://schemas.openxmlformats.org/officeDocument/2006/relationships/hyperlink" Target="https://forms.office.com/r/pPHyWVs2SZ"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colombiacompra.gov.co/pqrsd/informacion-importante-antes-de-formular-una-pqrsd"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alcaldiabogota.gov.co/sisjur/normas/Norma1.jsp?i=43292" TargetMode="External"/><Relationship Id="rId1" Type="http://schemas.openxmlformats.org/officeDocument/2006/relationships/hyperlink" Target="https://www.colombiacompra.gov.co/sites/cce_public/files/cce_documents/guia_para_elaborar_el_plan_anual_de_adquisiciones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6DEF4A-5E4D-499C-9A78-930002420301}">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7FD4B3C1-A497-491B-981F-F26A222FBB41}"/>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19</TotalTime>
  <Pages>16</Pages>
  <Words>5550</Words>
  <Characters>30529</Characters>
  <Application>Microsoft Office Word</Application>
  <DocSecurity>0</DocSecurity>
  <Lines>254</Lines>
  <Paragraphs>72</Paragraphs>
  <ScaleCrop>false</ScaleCrop>
  <Company/>
  <LinksUpToDate>false</LinksUpToDate>
  <CharactersWithSpaces>36007</CharactersWithSpaces>
  <SharedDoc>false</SharedDoc>
  <HLinks>
    <vt:vector size="78" baseType="variant">
      <vt:variant>
        <vt:i4>4456513</vt:i4>
      </vt:variant>
      <vt:variant>
        <vt:i4>30</vt:i4>
      </vt:variant>
      <vt:variant>
        <vt:i4>0</vt:i4>
      </vt:variant>
      <vt:variant>
        <vt:i4>5</vt:i4>
      </vt:variant>
      <vt:variant>
        <vt:lpwstr>https://forms.office.com/r/pPHyWVs2SZ</vt:lpwstr>
      </vt:variant>
      <vt:variant>
        <vt:lpwstr/>
      </vt:variant>
      <vt:variant>
        <vt:i4>3407926</vt:i4>
      </vt:variant>
      <vt:variant>
        <vt:i4>27</vt:i4>
      </vt:variant>
      <vt:variant>
        <vt:i4>0</vt:i4>
      </vt:variant>
      <vt:variant>
        <vt:i4>5</vt:i4>
      </vt:variant>
      <vt:variant>
        <vt:lpwstr>https://www.colombiacompra.gov.co/pqrsd/informacion-importante-antes-de-formular-una-pqrsd</vt:lpwstr>
      </vt:variant>
      <vt:variant>
        <vt:lpwstr/>
      </vt:variant>
      <vt:variant>
        <vt:i4>4980779</vt:i4>
      </vt:variant>
      <vt:variant>
        <vt:i4>24</vt:i4>
      </vt:variant>
      <vt:variant>
        <vt:i4>0</vt:i4>
      </vt:variant>
      <vt:variant>
        <vt:i4>5</vt:i4>
      </vt:variant>
      <vt:variant>
        <vt:lpwstr>mailto:ventanilladeradicacion@colombiacompra.gov.co</vt:lpwstr>
      </vt:variant>
      <vt:variant>
        <vt:lpwstr/>
      </vt:variant>
      <vt:variant>
        <vt:i4>2752636</vt:i4>
      </vt:variant>
      <vt:variant>
        <vt:i4>21</vt:i4>
      </vt:variant>
      <vt:variant>
        <vt:i4>0</vt:i4>
      </vt:variant>
      <vt:variant>
        <vt:i4>5</vt:i4>
      </vt:variant>
      <vt:variant>
        <vt:lpwstr>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vt:lpwstr>
      </vt:variant>
      <vt:variant>
        <vt:lpwstr/>
      </vt:variant>
      <vt:variant>
        <vt:i4>7340154</vt:i4>
      </vt:variant>
      <vt:variant>
        <vt:i4>18</vt:i4>
      </vt:variant>
      <vt:variant>
        <vt:i4>0</vt:i4>
      </vt:variant>
      <vt:variant>
        <vt:i4>5</vt:i4>
      </vt:variant>
      <vt:variant>
        <vt:lpwstr>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vt:lpwstr>
      </vt:variant>
      <vt:variant>
        <vt:lpwstr/>
      </vt:variant>
      <vt:variant>
        <vt:i4>7405690</vt:i4>
      </vt:variant>
      <vt:variant>
        <vt:i4>15</vt:i4>
      </vt:variant>
      <vt:variant>
        <vt:i4>0</vt:i4>
      </vt:variant>
      <vt:variant>
        <vt:i4>5</vt:i4>
      </vt:variant>
      <vt:variant>
        <vt:lpwstr>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vt:lpwstr>
      </vt:variant>
      <vt:variant>
        <vt:lpwstr/>
      </vt:variant>
      <vt:variant>
        <vt:i4>2490427</vt:i4>
      </vt:variant>
      <vt:variant>
        <vt:i4>12</vt:i4>
      </vt:variant>
      <vt:variant>
        <vt:i4>0</vt:i4>
      </vt:variant>
      <vt:variant>
        <vt:i4>5</vt:i4>
      </vt:variant>
      <vt:variant>
        <vt:lpwstr>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5505032</vt:i4>
      </vt:variant>
      <vt:variant>
        <vt:i4>6</vt:i4>
      </vt:variant>
      <vt:variant>
        <vt:i4>0</vt:i4>
      </vt:variant>
      <vt:variant>
        <vt:i4>5</vt:i4>
      </vt:variant>
      <vt:variant>
        <vt:lpwstr>https://www.colombiacompra.gov.co/sites/cce_public/files/cce_documents/guia_para_elaborar_el_plan_anual_de_adquisiciones_0.pdf</vt:lpwstr>
      </vt:variant>
      <vt:variant>
        <vt:lpwstr/>
      </vt:variant>
      <vt:variant>
        <vt:i4>786437</vt:i4>
      </vt:variant>
      <vt:variant>
        <vt:i4>3</vt:i4>
      </vt:variant>
      <vt:variant>
        <vt:i4>0</vt:i4>
      </vt:variant>
      <vt:variant>
        <vt:i4>5</vt:i4>
      </vt:variant>
      <vt:variant>
        <vt:lpwstr>https://www.colombiacompra.gov.co/archivos/manual/plan-anual-de-adquisiciones-en-secop-ii-creacion-y-publicacion-del-paa</vt:lpwstr>
      </vt:variant>
      <vt:variant>
        <vt:lpwstr/>
      </vt:variant>
      <vt:variant>
        <vt:i4>6488087</vt:i4>
      </vt:variant>
      <vt:variant>
        <vt:i4>0</vt:i4>
      </vt:variant>
      <vt:variant>
        <vt:i4>0</vt:i4>
      </vt:variant>
      <vt:variant>
        <vt:i4>5</vt:i4>
      </vt:variant>
      <vt:variant>
        <vt:lpwstr>mailto:paa@putumayo.gov.co</vt:lpwstr>
      </vt:variant>
      <vt:variant>
        <vt:lpwstr/>
      </vt:variant>
      <vt:variant>
        <vt:i4>6160385</vt:i4>
      </vt:variant>
      <vt:variant>
        <vt:i4>3</vt:i4>
      </vt:variant>
      <vt:variant>
        <vt:i4>0</vt:i4>
      </vt:variant>
      <vt:variant>
        <vt:i4>5</vt:i4>
      </vt:variant>
      <vt:variant>
        <vt:lpwstr>http://www.alcaldiabogota.gov.co/sisjur/normas/Norma1.jsp?i=43292</vt:lpwstr>
      </vt:variant>
      <vt:variant>
        <vt:lpwstr/>
      </vt:variant>
      <vt:variant>
        <vt:i4>5505032</vt:i4>
      </vt:variant>
      <vt:variant>
        <vt:i4>0</vt:i4>
      </vt:variant>
      <vt:variant>
        <vt:i4>0</vt:i4>
      </vt:variant>
      <vt:variant>
        <vt:i4>5</vt:i4>
      </vt:variant>
      <vt:variant>
        <vt:lpwstr>https://www.colombiacompra.gov.co/sites/cce_public/files/cce_documents/guia_para_elaborar_el_plan_anual_de_adquisiciones_0.pdf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12</cp:revision>
  <cp:lastPrinted>2023-01-10T21:18:00Z</cp:lastPrinted>
  <dcterms:created xsi:type="dcterms:W3CDTF">2026-09-28T20:25:00Z</dcterms:created>
  <dcterms:modified xsi:type="dcterms:W3CDTF">2026-09-28T20:45:00Z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