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213AA" w14:textId="77777777" w:rsidR="00933DCD" w:rsidRPr="00933DCD" w:rsidRDefault="00933DCD" w:rsidP="00933DCD">
      <w:pPr>
        <w:spacing w:after="0" w:line="240" w:lineRule="auto"/>
        <w:rPr>
          <w:rFonts w:ascii="Verdana" w:eastAsia="Calibri" w:hAnsi="Verdana" w:cs="Arial"/>
          <w:b/>
          <w:bCs/>
          <w:lang w:val="es-ES" w:eastAsia="es-ES"/>
        </w:rPr>
      </w:pPr>
      <w:r w:rsidRPr="00933DCD">
        <w:rPr>
          <w:rFonts w:ascii="Verdana" w:eastAsia="Calibri" w:hAnsi="Verdana" w:cs="Arial"/>
          <w:b/>
          <w:bCs/>
          <w:lang w:val="es-ES" w:eastAsia="es-ES"/>
        </w:rPr>
        <w:t xml:space="preserve">SISTEMA GENERAL DE REGALÍAS – Ley 2056 de 2020 – artículo 37 </w:t>
      </w:r>
    </w:p>
    <w:p w14:paraId="0CC94BFC" w14:textId="77777777" w:rsidR="00933DCD" w:rsidRDefault="00933DCD" w:rsidP="00933DCD">
      <w:pPr>
        <w:spacing w:after="0" w:line="240" w:lineRule="auto"/>
        <w:jc w:val="both"/>
        <w:rPr>
          <w:rFonts w:ascii="Verdana" w:hAnsi="Verdana" w:cs="Arial"/>
          <w:noProof/>
          <w:sz w:val="20"/>
          <w:szCs w:val="20"/>
          <w:lang w:val="es-ES_tradnl"/>
        </w:rPr>
      </w:pPr>
    </w:p>
    <w:p w14:paraId="2174B341" w14:textId="77777777" w:rsidR="00933DCD" w:rsidRPr="00112C88" w:rsidRDefault="00933DCD" w:rsidP="00933DCD">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E</w:t>
      </w:r>
      <w:r w:rsidRPr="00112C88">
        <w:rPr>
          <w:rFonts w:ascii="Verdana" w:hAnsi="Verdana" w:cs="Arial"/>
          <w:noProof/>
          <w:sz w:val="20"/>
          <w:szCs w:val="20"/>
          <w:lang w:val="es-ES_tradnl"/>
        </w:rPr>
        <w:t xml:space="preserve">n </w:t>
      </w:r>
      <w:r w:rsidRPr="00112C88">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50D7AA4" w14:textId="77777777" w:rsidR="00933DCD" w:rsidRDefault="00933DCD" w:rsidP="00933DCD">
      <w:pPr>
        <w:spacing w:after="0" w:line="240" w:lineRule="auto"/>
        <w:jc w:val="both"/>
        <w:rPr>
          <w:rFonts w:ascii="Verdana" w:hAnsi="Verdana" w:cs="Arial"/>
          <w:noProof/>
          <w:sz w:val="20"/>
          <w:szCs w:val="20"/>
        </w:rPr>
      </w:pPr>
    </w:p>
    <w:p w14:paraId="412697A1" w14:textId="77777777" w:rsidR="00933DCD" w:rsidRPr="00112C88" w:rsidRDefault="00933DCD" w:rsidP="00933DCD">
      <w:pPr>
        <w:spacing w:after="0" w:line="240" w:lineRule="auto"/>
        <w:jc w:val="both"/>
        <w:rPr>
          <w:rFonts w:ascii="Verdana" w:hAnsi="Verdana" w:cs="Arial"/>
          <w:sz w:val="20"/>
          <w:szCs w:val="20"/>
        </w:rPr>
      </w:pPr>
      <w:r w:rsidRPr="00112C88">
        <w:rPr>
          <w:rFonts w:ascii="Verdana" w:hAnsi="Verdana" w:cs="Arial"/>
          <w:noProof/>
          <w:sz w:val="20"/>
          <w:szCs w:val="20"/>
        </w:rPr>
        <w:t xml:space="preserve">Particularmente, el artículo 37 </w:t>
      </w:r>
      <w:r w:rsidRPr="00112C88">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112C88">
        <w:rPr>
          <w:rFonts w:ascii="Verdana" w:hAnsi="Verdana" w:cs="Arial"/>
          <w:i/>
          <w:iCs/>
          <w:sz w:val="20"/>
          <w:szCs w:val="20"/>
        </w:rPr>
        <w:t>ibidem</w:t>
      </w:r>
      <w:r w:rsidRPr="00112C88">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112C88">
        <w:rPr>
          <w:rFonts w:ascii="Verdana" w:hAnsi="Verdana" w:cs="Arial"/>
          <w:sz w:val="20"/>
          <w:szCs w:val="20"/>
        </w:rPr>
        <w:t>los mismos</w:t>
      </w:r>
      <w:proofErr w:type="gramEnd"/>
      <w:r w:rsidRPr="00112C88">
        <w:rPr>
          <w:rFonts w:ascii="Verdana" w:hAnsi="Verdana" w:cs="Arial"/>
          <w:sz w:val="20"/>
          <w:szCs w:val="20"/>
        </w:rPr>
        <w:t xml:space="preserve">, sin perjuicio de las acciones de control a las que haya lugar. El parágrafo primero del artículo 37 </w:t>
      </w:r>
      <w:r w:rsidRPr="00112C88">
        <w:rPr>
          <w:rFonts w:ascii="Verdana" w:hAnsi="Verdana" w:cs="Arial"/>
          <w:i/>
          <w:iCs/>
          <w:sz w:val="20"/>
          <w:szCs w:val="20"/>
        </w:rPr>
        <w:t>ibidem</w:t>
      </w:r>
      <w:r w:rsidRPr="00112C88">
        <w:rPr>
          <w:rFonts w:ascii="Verdana" w:hAnsi="Verdana" w:cs="Arial"/>
          <w:sz w:val="20"/>
          <w:szCs w:val="20"/>
        </w:rPr>
        <w:t xml:space="preserve"> dispone lo siguiente: “La ejecución de proyectos de que trata este artículo, se adelantará, con estricta sujeción al régimen presupuestal definido en esta ley, </w:t>
      </w:r>
      <w:r w:rsidRPr="00112C88">
        <w:rPr>
          <w:rFonts w:ascii="Verdana" w:hAnsi="Verdana" w:cs="Arial"/>
          <w:i/>
          <w:iCs/>
          <w:sz w:val="20"/>
          <w:szCs w:val="20"/>
          <w:u w:val="single"/>
        </w:rPr>
        <w:t>al de contratación pública</w:t>
      </w:r>
      <w:r w:rsidRPr="00112C88">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0093E238" w14:textId="77777777" w:rsidR="00933DCD" w:rsidRPr="00112C88" w:rsidRDefault="00933DCD" w:rsidP="00933DCD">
      <w:pPr>
        <w:rPr>
          <w:rFonts w:ascii="Verdana" w:eastAsia="Calibri" w:hAnsi="Verdana" w:cs="Arial"/>
          <w:b/>
          <w:bCs/>
          <w:lang w:val="es-ES" w:eastAsia="es-ES"/>
        </w:rPr>
      </w:pPr>
    </w:p>
    <w:p w14:paraId="445A32F2" w14:textId="77777777" w:rsidR="00933DCD" w:rsidRPr="00112C88" w:rsidRDefault="00933DCD" w:rsidP="00933DCD">
      <w:pPr>
        <w:jc w:val="both"/>
        <w:rPr>
          <w:rFonts w:ascii="Verdana" w:eastAsia="Calibri" w:hAnsi="Verdana" w:cs="Arial"/>
          <w:b/>
          <w:bCs/>
          <w:lang w:val="es-ES" w:eastAsia="es-ES"/>
        </w:rPr>
      </w:pPr>
      <w:r w:rsidRPr="00112C88">
        <w:rPr>
          <w:rFonts w:ascii="Verdana" w:eastAsia="Calibri" w:hAnsi="Verdana" w:cs="Arial"/>
          <w:b/>
          <w:bCs/>
          <w:lang w:val="es-ES" w:eastAsia="es-ES"/>
        </w:rPr>
        <w:t xml:space="preserve">RÉGIMEN CONTRACTUAL – Entidades ejecutoras – Aplicación del Estatuto General de Contratación de la Administración Pública         </w:t>
      </w:r>
    </w:p>
    <w:p w14:paraId="53613505" w14:textId="77777777" w:rsidR="00933DCD" w:rsidRPr="00112C88" w:rsidRDefault="00933DCD" w:rsidP="00933DCD">
      <w:pPr>
        <w:spacing w:after="0" w:line="240" w:lineRule="auto"/>
        <w:jc w:val="both"/>
        <w:rPr>
          <w:rFonts w:ascii="Verdana" w:hAnsi="Verdana" w:cs="Arial"/>
          <w:sz w:val="20"/>
          <w:szCs w:val="20"/>
          <w:bdr w:val="none" w:sz="0" w:space="0" w:color="auto" w:frame="1"/>
        </w:rPr>
      </w:pPr>
      <w:r w:rsidRPr="00112C88">
        <w:rPr>
          <w:rFonts w:ascii="Verdana" w:hAnsi="Verdana" w:cs="Arial"/>
          <w:sz w:val="20"/>
          <w:szCs w:val="20"/>
        </w:rPr>
        <w:t xml:space="preserve">En caso de que se realicen proyectos de inversión en el marco del Sistema General de Regalías, como también aquellos proyectos especiales referenciados </w:t>
      </w:r>
      <w:r w:rsidRPr="00112C88">
        <w:rPr>
          <w:rFonts w:ascii="Verdana" w:hAnsi="Verdana" w:cs="Arial"/>
          <w:i/>
          <w:iCs/>
          <w:sz w:val="20"/>
          <w:szCs w:val="20"/>
        </w:rPr>
        <w:t>ut supra</w:t>
      </w:r>
      <w:r w:rsidRPr="00112C88">
        <w:rPr>
          <w:rFonts w:ascii="Verdana" w:hAnsi="Verdana" w:cs="Arial"/>
          <w:sz w:val="20"/>
          <w:szCs w:val="20"/>
        </w:rPr>
        <w:t>, los ejecutores designados para desarrollarlos deben sujetarse al Estatuto General de Contratación de la Administración Pública</w:t>
      </w:r>
      <w:r w:rsidRPr="00112C88">
        <w:rPr>
          <w:rFonts w:ascii="Verdana" w:eastAsia="Calibri" w:hAnsi="Verdana" w:cs="Arial"/>
          <w:sz w:val="20"/>
          <w:szCs w:val="20"/>
        </w:rPr>
        <w:t>.</w:t>
      </w:r>
      <w:r w:rsidRPr="00112C88">
        <w:rPr>
          <w:rFonts w:ascii="Verdana" w:hAnsi="Verdana" w:cs="Arial"/>
          <w:sz w:val="20"/>
          <w:szCs w:val="20"/>
        </w:rPr>
        <w:t xml:space="preserve"> </w:t>
      </w:r>
      <w:r w:rsidRPr="00112C88">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533BF494" w14:textId="77777777" w:rsidR="00933DCD" w:rsidRDefault="00933DCD" w:rsidP="00933DCD">
      <w:pPr>
        <w:spacing w:after="0" w:line="240" w:lineRule="auto"/>
        <w:jc w:val="both"/>
        <w:rPr>
          <w:rFonts w:ascii="Verdana" w:eastAsia="Calibri" w:hAnsi="Verdana" w:cs="Arial"/>
          <w:color w:val="000000"/>
          <w:sz w:val="20"/>
          <w:szCs w:val="20"/>
          <w:lang w:val="es-ES" w:eastAsia="es-ES"/>
        </w:rPr>
      </w:pPr>
    </w:p>
    <w:p w14:paraId="3E22C3F5" w14:textId="77777777" w:rsidR="00933DCD" w:rsidRPr="00112C88" w:rsidRDefault="00933DCD" w:rsidP="00933DCD">
      <w:pPr>
        <w:spacing w:after="0" w:line="240" w:lineRule="auto"/>
        <w:jc w:val="both"/>
        <w:rPr>
          <w:rFonts w:ascii="Verdana" w:eastAsia="Calibri" w:hAnsi="Verdana" w:cs="Arial"/>
          <w:color w:val="000000"/>
          <w:sz w:val="20"/>
          <w:szCs w:val="20"/>
          <w:lang w:val="es-ES" w:eastAsia="es-ES"/>
        </w:rPr>
      </w:pPr>
      <w:r w:rsidRPr="00112C88">
        <w:rPr>
          <w:rFonts w:ascii="Verdana" w:eastAsia="Calibri" w:hAnsi="Verdana" w:cs="Arial"/>
          <w:color w:val="000000"/>
          <w:sz w:val="20"/>
          <w:szCs w:val="20"/>
          <w:lang w:val="es-ES" w:eastAsia="es-ES"/>
        </w:rPr>
        <w:t xml:space="preserve">Así las cosas, se ha sostenido </w:t>
      </w:r>
      <w:proofErr w:type="gramStart"/>
      <w:r w:rsidRPr="00112C88">
        <w:rPr>
          <w:rFonts w:ascii="Verdana" w:eastAsia="Calibri" w:hAnsi="Verdana" w:cs="Arial"/>
          <w:color w:val="000000"/>
          <w:sz w:val="20"/>
          <w:szCs w:val="20"/>
          <w:lang w:val="es-ES" w:eastAsia="es-ES"/>
        </w:rPr>
        <w:t>que</w:t>
      </w:r>
      <w:proofErr w:type="gramEnd"/>
      <w:r w:rsidRPr="00112C88">
        <w:rPr>
          <w:rFonts w:ascii="Verdana" w:eastAsia="Calibri" w:hAnsi="Verdana" w:cs="Arial"/>
          <w:color w:val="000000"/>
          <w:sz w:val="20"/>
          <w:szCs w:val="2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w:t>
      </w:r>
      <w:r w:rsidRPr="00112C88">
        <w:rPr>
          <w:rFonts w:ascii="Verdana" w:eastAsia="Calibri" w:hAnsi="Verdana" w:cs="Arial"/>
          <w:color w:val="000000"/>
          <w:sz w:val="20"/>
          <w:szCs w:val="20"/>
          <w:lang w:val="es-ES" w:eastAsia="es-ES"/>
        </w:rPr>
        <w:lastRenderedPageBreak/>
        <w:t>de entidades ejecutoras para efectos del SGR deben sujetarse a las normas donde prevalece el derecho público, esto es, al EGCAP, sin perjuicio de que en sus demás actividades apliquen el régimen especial que les corresponda.</w:t>
      </w:r>
    </w:p>
    <w:p w14:paraId="56C460F3" w14:textId="77777777" w:rsidR="00933DCD" w:rsidRDefault="00933DCD" w:rsidP="00933DCD">
      <w:pPr>
        <w:spacing w:after="0" w:line="240" w:lineRule="auto"/>
        <w:rPr>
          <w:rFonts w:ascii="Verdana" w:eastAsia="Geomanist Light" w:hAnsi="Verdana" w:cs="Arial"/>
          <w:color w:val="000000" w:themeColor="text1"/>
        </w:rPr>
      </w:pPr>
    </w:p>
    <w:p w14:paraId="1E4D70C4" w14:textId="77777777" w:rsidR="00933DCD" w:rsidRDefault="00933DCD" w:rsidP="00060EF5">
      <w:pPr>
        <w:spacing w:after="0" w:line="240" w:lineRule="auto"/>
        <w:jc w:val="both"/>
        <w:rPr>
          <w:rFonts w:ascii="Verdana" w:hAnsi="Verdana"/>
        </w:rPr>
      </w:pPr>
    </w:p>
    <w:p w14:paraId="4391C597" w14:textId="77777777" w:rsidR="00933DCD" w:rsidRDefault="00933DCD" w:rsidP="00060EF5">
      <w:pPr>
        <w:spacing w:after="0" w:line="240" w:lineRule="auto"/>
        <w:jc w:val="both"/>
        <w:rPr>
          <w:rFonts w:ascii="Verdana" w:hAnsi="Verdana"/>
        </w:rPr>
      </w:pPr>
    </w:p>
    <w:p w14:paraId="6458C2D2" w14:textId="77777777" w:rsidR="00933DCD" w:rsidRDefault="00933DCD" w:rsidP="00060EF5">
      <w:pPr>
        <w:spacing w:after="0" w:line="240" w:lineRule="auto"/>
        <w:jc w:val="both"/>
        <w:rPr>
          <w:rFonts w:ascii="Verdana" w:hAnsi="Verdana"/>
        </w:rPr>
      </w:pPr>
    </w:p>
    <w:p w14:paraId="22D0BFA5" w14:textId="77777777" w:rsidR="00933DCD" w:rsidRDefault="00933DCD" w:rsidP="00060EF5">
      <w:pPr>
        <w:spacing w:after="0" w:line="240" w:lineRule="auto"/>
        <w:jc w:val="both"/>
        <w:rPr>
          <w:rFonts w:ascii="Verdana" w:hAnsi="Verdana"/>
        </w:rPr>
      </w:pPr>
    </w:p>
    <w:p w14:paraId="7E7B149C" w14:textId="77777777" w:rsidR="00933DCD" w:rsidRDefault="00933DCD" w:rsidP="00060EF5">
      <w:pPr>
        <w:spacing w:after="0" w:line="240" w:lineRule="auto"/>
        <w:jc w:val="both"/>
        <w:rPr>
          <w:rFonts w:ascii="Verdana" w:hAnsi="Verdana"/>
        </w:rPr>
      </w:pPr>
    </w:p>
    <w:p w14:paraId="77288A64" w14:textId="77777777" w:rsidR="00933DCD" w:rsidRDefault="00933DCD" w:rsidP="00060EF5">
      <w:pPr>
        <w:spacing w:after="0" w:line="240" w:lineRule="auto"/>
        <w:jc w:val="both"/>
        <w:rPr>
          <w:rFonts w:ascii="Verdana" w:hAnsi="Verdana"/>
        </w:rPr>
      </w:pPr>
    </w:p>
    <w:p w14:paraId="2C7E2F00" w14:textId="77777777" w:rsidR="00933DCD" w:rsidRDefault="00933DCD" w:rsidP="00060EF5">
      <w:pPr>
        <w:spacing w:after="0" w:line="240" w:lineRule="auto"/>
        <w:jc w:val="both"/>
        <w:rPr>
          <w:rFonts w:ascii="Verdana" w:hAnsi="Verdana"/>
        </w:rPr>
      </w:pPr>
    </w:p>
    <w:p w14:paraId="7BDFF34C" w14:textId="77777777" w:rsidR="00933DCD" w:rsidRDefault="00933DCD" w:rsidP="00060EF5">
      <w:pPr>
        <w:spacing w:after="0" w:line="240" w:lineRule="auto"/>
        <w:jc w:val="both"/>
        <w:rPr>
          <w:rFonts w:ascii="Verdana" w:hAnsi="Verdana"/>
        </w:rPr>
      </w:pPr>
    </w:p>
    <w:p w14:paraId="76D74C3D" w14:textId="77777777" w:rsidR="00933DCD" w:rsidRDefault="00933DCD" w:rsidP="00060EF5">
      <w:pPr>
        <w:spacing w:after="0" w:line="240" w:lineRule="auto"/>
        <w:jc w:val="both"/>
        <w:rPr>
          <w:rFonts w:ascii="Verdana" w:hAnsi="Verdana"/>
        </w:rPr>
      </w:pPr>
    </w:p>
    <w:p w14:paraId="3123276E" w14:textId="77777777" w:rsidR="00933DCD" w:rsidRDefault="00933DCD" w:rsidP="00060EF5">
      <w:pPr>
        <w:spacing w:after="0" w:line="240" w:lineRule="auto"/>
        <w:jc w:val="both"/>
        <w:rPr>
          <w:rFonts w:ascii="Verdana" w:hAnsi="Verdana"/>
        </w:rPr>
      </w:pPr>
    </w:p>
    <w:p w14:paraId="6C276012" w14:textId="77777777" w:rsidR="00933DCD" w:rsidRDefault="00933DCD" w:rsidP="00060EF5">
      <w:pPr>
        <w:spacing w:after="0" w:line="240" w:lineRule="auto"/>
        <w:jc w:val="both"/>
        <w:rPr>
          <w:rFonts w:ascii="Verdana" w:hAnsi="Verdana"/>
        </w:rPr>
      </w:pPr>
    </w:p>
    <w:p w14:paraId="5FD4430D" w14:textId="77777777" w:rsidR="00933DCD" w:rsidRDefault="00933DCD" w:rsidP="00060EF5">
      <w:pPr>
        <w:spacing w:after="0" w:line="240" w:lineRule="auto"/>
        <w:jc w:val="both"/>
        <w:rPr>
          <w:rFonts w:ascii="Verdana" w:hAnsi="Verdana"/>
        </w:rPr>
      </w:pPr>
    </w:p>
    <w:p w14:paraId="1168C2CF" w14:textId="77777777" w:rsidR="00933DCD" w:rsidRDefault="00933DCD" w:rsidP="00060EF5">
      <w:pPr>
        <w:spacing w:after="0" w:line="240" w:lineRule="auto"/>
        <w:jc w:val="both"/>
        <w:rPr>
          <w:rFonts w:ascii="Verdana" w:hAnsi="Verdana"/>
        </w:rPr>
      </w:pPr>
    </w:p>
    <w:p w14:paraId="36D03429" w14:textId="77777777" w:rsidR="00933DCD" w:rsidRDefault="00933DCD" w:rsidP="00060EF5">
      <w:pPr>
        <w:spacing w:after="0" w:line="240" w:lineRule="auto"/>
        <w:jc w:val="both"/>
        <w:rPr>
          <w:rFonts w:ascii="Verdana" w:hAnsi="Verdana"/>
        </w:rPr>
      </w:pPr>
    </w:p>
    <w:p w14:paraId="4CA62EBB" w14:textId="77777777" w:rsidR="00933DCD" w:rsidRDefault="00933DCD" w:rsidP="00060EF5">
      <w:pPr>
        <w:spacing w:after="0" w:line="240" w:lineRule="auto"/>
        <w:jc w:val="both"/>
        <w:rPr>
          <w:rFonts w:ascii="Verdana" w:hAnsi="Verdana"/>
        </w:rPr>
      </w:pPr>
    </w:p>
    <w:p w14:paraId="39F82554" w14:textId="77777777" w:rsidR="00933DCD" w:rsidRDefault="00933DCD" w:rsidP="00060EF5">
      <w:pPr>
        <w:spacing w:after="0" w:line="240" w:lineRule="auto"/>
        <w:jc w:val="both"/>
        <w:rPr>
          <w:rFonts w:ascii="Verdana" w:hAnsi="Verdana"/>
        </w:rPr>
      </w:pPr>
    </w:p>
    <w:p w14:paraId="09AB8DED" w14:textId="77777777" w:rsidR="00933DCD" w:rsidRDefault="00933DCD" w:rsidP="00060EF5">
      <w:pPr>
        <w:spacing w:after="0" w:line="240" w:lineRule="auto"/>
        <w:jc w:val="both"/>
        <w:rPr>
          <w:rFonts w:ascii="Verdana" w:hAnsi="Verdana"/>
        </w:rPr>
      </w:pPr>
    </w:p>
    <w:p w14:paraId="17F16E2D" w14:textId="77777777" w:rsidR="00933DCD" w:rsidRDefault="00933DCD" w:rsidP="00060EF5">
      <w:pPr>
        <w:spacing w:after="0" w:line="240" w:lineRule="auto"/>
        <w:jc w:val="both"/>
        <w:rPr>
          <w:rFonts w:ascii="Verdana" w:hAnsi="Verdana"/>
        </w:rPr>
      </w:pPr>
    </w:p>
    <w:p w14:paraId="747C70A5" w14:textId="77777777" w:rsidR="00933DCD" w:rsidRDefault="00933DCD" w:rsidP="00060EF5">
      <w:pPr>
        <w:spacing w:after="0" w:line="240" w:lineRule="auto"/>
        <w:jc w:val="both"/>
        <w:rPr>
          <w:rFonts w:ascii="Verdana" w:hAnsi="Verdana"/>
        </w:rPr>
      </w:pPr>
    </w:p>
    <w:p w14:paraId="73207DB5" w14:textId="77777777" w:rsidR="00933DCD" w:rsidRDefault="00933DCD" w:rsidP="00060EF5">
      <w:pPr>
        <w:spacing w:after="0" w:line="240" w:lineRule="auto"/>
        <w:jc w:val="both"/>
        <w:rPr>
          <w:rFonts w:ascii="Verdana" w:hAnsi="Verdana"/>
        </w:rPr>
      </w:pPr>
    </w:p>
    <w:p w14:paraId="0E69B084" w14:textId="77777777" w:rsidR="00933DCD" w:rsidRDefault="00933DCD" w:rsidP="00060EF5">
      <w:pPr>
        <w:spacing w:after="0" w:line="240" w:lineRule="auto"/>
        <w:jc w:val="both"/>
        <w:rPr>
          <w:rFonts w:ascii="Verdana" w:hAnsi="Verdana"/>
        </w:rPr>
      </w:pPr>
    </w:p>
    <w:p w14:paraId="6E31627D" w14:textId="77777777" w:rsidR="00933DCD" w:rsidRDefault="00933DCD" w:rsidP="00060EF5">
      <w:pPr>
        <w:spacing w:after="0" w:line="240" w:lineRule="auto"/>
        <w:jc w:val="both"/>
        <w:rPr>
          <w:rFonts w:ascii="Verdana" w:hAnsi="Verdana"/>
        </w:rPr>
      </w:pPr>
    </w:p>
    <w:p w14:paraId="3E9F527B" w14:textId="77777777" w:rsidR="00933DCD" w:rsidRDefault="00933DCD" w:rsidP="00060EF5">
      <w:pPr>
        <w:spacing w:after="0" w:line="240" w:lineRule="auto"/>
        <w:jc w:val="both"/>
        <w:rPr>
          <w:rFonts w:ascii="Verdana" w:hAnsi="Verdana"/>
        </w:rPr>
      </w:pPr>
    </w:p>
    <w:p w14:paraId="13A9E687" w14:textId="77777777" w:rsidR="00933DCD" w:rsidRDefault="00933DCD" w:rsidP="00060EF5">
      <w:pPr>
        <w:spacing w:after="0" w:line="240" w:lineRule="auto"/>
        <w:jc w:val="both"/>
        <w:rPr>
          <w:rFonts w:ascii="Verdana" w:hAnsi="Verdana"/>
        </w:rPr>
      </w:pPr>
    </w:p>
    <w:p w14:paraId="519C2321" w14:textId="77777777" w:rsidR="00933DCD" w:rsidRDefault="00933DCD" w:rsidP="00060EF5">
      <w:pPr>
        <w:spacing w:after="0" w:line="240" w:lineRule="auto"/>
        <w:jc w:val="both"/>
        <w:rPr>
          <w:rFonts w:ascii="Verdana" w:hAnsi="Verdana"/>
        </w:rPr>
      </w:pPr>
    </w:p>
    <w:p w14:paraId="0B6D4E1B" w14:textId="77777777" w:rsidR="00933DCD" w:rsidRDefault="00933DCD" w:rsidP="00060EF5">
      <w:pPr>
        <w:spacing w:after="0" w:line="240" w:lineRule="auto"/>
        <w:jc w:val="both"/>
        <w:rPr>
          <w:rFonts w:ascii="Verdana" w:hAnsi="Verdana"/>
        </w:rPr>
      </w:pPr>
    </w:p>
    <w:p w14:paraId="49096D8A" w14:textId="77777777" w:rsidR="00933DCD" w:rsidRDefault="00933DCD" w:rsidP="00060EF5">
      <w:pPr>
        <w:spacing w:after="0" w:line="240" w:lineRule="auto"/>
        <w:jc w:val="both"/>
        <w:rPr>
          <w:rFonts w:ascii="Verdana" w:hAnsi="Verdana"/>
        </w:rPr>
      </w:pPr>
    </w:p>
    <w:p w14:paraId="0EE85D8D" w14:textId="77777777" w:rsidR="00933DCD" w:rsidRDefault="00933DCD" w:rsidP="00060EF5">
      <w:pPr>
        <w:spacing w:after="0" w:line="240" w:lineRule="auto"/>
        <w:jc w:val="both"/>
        <w:rPr>
          <w:rFonts w:ascii="Verdana" w:hAnsi="Verdana"/>
        </w:rPr>
      </w:pPr>
    </w:p>
    <w:p w14:paraId="1EA4FD7B" w14:textId="77777777" w:rsidR="00933DCD" w:rsidRDefault="00933DCD" w:rsidP="00060EF5">
      <w:pPr>
        <w:spacing w:after="0" w:line="240" w:lineRule="auto"/>
        <w:jc w:val="both"/>
        <w:rPr>
          <w:rFonts w:ascii="Verdana" w:hAnsi="Verdana"/>
        </w:rPr>
      </w:pPr>
    </w:p>
    <w:p w14:paraId="364BEF5C" w14:textId="77777777" w:rsidR="00933DCD" w:rsidRDefault="00933DCD" w:rsidP="00060EF5">
      <w:pPr>
        <w:spacing w:after="0" w:line="240" w:lineRule="auto"/>
        <w:jc w:val="both"/>
        <w:rPr>
          <w:rFonts w:ascii="Verdana" w:hAnsi="Verdana"/>
        </w:rPr>
      </w:pPr>
    </w:p>
    <w:p w14:paraId="69108522" w14:textId="77777777" w:rsidR="00933DCD" w:rsidRDefault="00933DCD" w:rsidP="00060EF5">
      <w:pPr>
        <w:spacing w:after="0" w:line="240" w:lineRule="auto"/>
        <w:jc w:val="both"/>
        <w:rPr>
          <w:rFonts w:ascii="Verdana" w:hAnsi="Verdana"/>
        </w:rPr>
      </w:pPr>
    </w:p>
    <w:p w14:paraId="06FBF17A" w14:textId="77777777" w:rsidR="00933DCD" w:rsidRDefault="00933DCD" w:rsidP="00060EF5">
      <w:pPr>
        <w:spacing w:after="0" w:line="240" w:lineRule="auto"/>
        <w:jc w:val="both"/>
        <w:rPr>
          <w:rFonts w:ascii="Verdana" w:hAnsi="Verdana"/>
        </w:rPr>
      </w:pPr>
    </w:p>
    <w:p w14:paraId="57B42B14" w14:textId="77777777" w:rsidR="00933DCD" w:rsidRDefault="00933DCD" w:rsidP="00060EF5">
      <w:pPr>
        <w:spacing w:after="0" w:line="240" w:lineRule="auto"/>
        <w:jc w:val="both"/>
        <w:rPr>
          <w:rFonts w:ascii="Verdana" w:hAnsi="Verdana"/>
        </w:rPr>
      </w:pPr>
    </w:p>
    <w:p w14:paraId="3F267684" w14:textId="77777777" w:rsidR="00933DCD" w:rsidRDefault="00933DCD" w:rsidP="00060EF5">
      <w:pPr>
        <w:spacing w:after="0" w:line="240" w:lineRule="auto"/>
        <w:jc w:val="both"/>
        <w:rPr>
          <w:rFonts w:ascii="Verdana" w:hAnsi="Verdana"/>
        </w:rPr>
      </w:pPr>
    </w:p>
    <w:p w14:paraId="515C2A81" w14:textId="77777777" w:rsidR="00933DCD" w:rsidRDefault="00933DCD" w:rsidP="00060EF5">
      <w:pPr>
        <w:spacing w:after="0" w:line="240" w:lineRule="auto"/>
        <w:jc w:val="both"/>
        <w:rPr>
          <w:rFonts w:ascii="Verdana" w:hAnsi="Verdana"/>
        </w:rPr>
      </w:pPr>
    </w:p>
    <w:p w14:paraId="0127E2C1" w14:textId="77777777" w:rsidR="00933DCD" w:rsidRDefault="00933DCD" w:rsidP="00060EF5">
      <w:pPr>
        <w:spacing w:after="0" w:line="240" w:lineRule="auto"/>
        <w:jc w:val="both"/>
        <w:rPr>
          <w:rFonts w:ascii="Verdana" w:hAnsi="Verdana"/>
        </w:rPr>
      </w:pPr>
    </w:p>
    <w:p w14:paraId="1DD5F53D" w14:textId="77777777" w:rsidR="00933DCD" w:rsidRDefault="00933DCD" w:rsidP="00060EF5">
      <w:pPr>
        <w:spacing w:after="0" w:line="240" w:lineRule="auto"/>
        <w:jc w:val="both"/>
        <w:rPr>
          <w:rFonts w:ascii="Verdana" w:hAnsi="Verdana"/>
        </w:rPr>
      </w:pPr>
    </w:p>
    <w:p w14:paraId="65ADF39A" w14:textId="77777777" w:rsidR="00933DCD" w:rsidRDefault="00933DCD" w:rsidP="00060EF5">
      <w:pPr>
        <w:spacing w:after="0" w:line="240" w:lineRule="auto"/>
        <w:jc w:val="both"/>
        <w:rPr>
          <w:rFonts w:ascii="Verdana" w:hAnsi="Verdana"/>
        </w:rPr>
      </w:pPr>
    </w:p>
    <w:p w14:paraId="4D4A1FC8" w14:textId="527ECDE7" w:rsidR="00060EF5" w:rsidRPr="00AC2CE1" w:rsidRDefault="00060EF5" w:rsidP="00060EF5">
      <w:pPr>
        <w:spacing w:after="0" w:line="240" w:lineRule="auto"/>
        <w:jc w:val="both"/>
        <w:rPr>
          <w:rFonts w:ascii="Verdana" w:hAnsi="Verdana"/>
        </w:rPr>
      </w:pPr>
      <w:r w:rsidRPr="00155279">
        <w:rPr>
          <w:rFonts w:ascii="Verdana" w:hAnsi="Verdana"/>
        </w:rPr>
        <w:lastRenderedPageBreak/>
        <w:t xml:space="preserve">Bogotá D.C., 09 </w:t>
      </w:r>
      <w:r>
        <w:rPr>
          <w:rFonts w:ascii="Verdana" w:hAnsi="Verdana"/>
        </w:rPr>
        <w:t>o</w:t>
      </w:r>
      <w:r w:rsidRPr="00155279">
        <w:rPr>
          <w:rFonts w:ascii="Verdana" w:hAnsi="Verdana"/>
        </w:rPr>
        <w:t>ctubre 2026</w:t>
      </w:r>
      <w:r>
        <w:rPr>
          <w:rFonts w:ascii="Verdana" w:hAnsi="Verdana"/>
        </w:rPr>
        <w:t xml:space="preserve"> </w:t>
      </w:r>
    </w:p>
    <w:p w14:paraId="28EEF7FC" w14:textId="07E3051D" w:rsidR="00DF6946" w:rsidRDefault="00060EF5" w:rsidP="000B2A99">
      <w:pPr>
        <w:spacing w:after="0" w:line="240" w:lineRule="auto"/>
        <w:jc w:val="both"/>
        <w:rPr>
          <w:rFonts w:ascii="Verdana" w:hAnsi="Verdana"/>
        </w:rPr>
      </w:pPr>
      <w:r w:rsidRPr="00155279">
        <w:rPr>
          <w:rFonts w:ascii="Verdana" w:eastAsia="Calibri" w:hAnsi="Verdana" w:cs="Arial"/>
          <w:noProof/>
          <w:lang w:eastAsia="es-ES"/>
        </w:rPr>
        <w:drawing>
          <wp:anchor distT="0" distB="0" distL="114300" distR="114300" simplePos="0" relativeHeight="251660288" behindDoc="1" locked="0" layoutInCell="1" allowOverlap="1" wp14:anchorId="257B9F55" wp14:editId="2332C228">
            <wp:simplePos x="0" y="0"/>
            <wp:positionH relativeFrom="column">
              <wp:posOffset>3376246</wp:posOffset>
            </wp:positionH>
            <wp:positionV relativeFrom="paragraph">
              <wp:posOffset>134424</wp:posOffset>
            </wp:positionV>
            <wp:extent cx="2552700" cy="723900"/>
            <wp:effectExtent l="0" t="0" r="0" b="0"/>
            <wp:wrapTight wrapText="bothSides">
              <wp:wrapPolygon edited="0">
                <wp:start x="0" y="0"/>
                <wp:lineTo x="0" y="21032"/>
                <wp:lineTo x="21439" y="21032"/>
                <wp:lineTo x="21439" y="0"/>
                <wp:lineTo x="0" y="0"/>
              </wp:wrapPolygon>
            </wp:wrapTight>
            <wp:docPr id="1697979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979165" name=""/>
                    <pic:cNvPicPr/>
                  </pic:nvPicPr>
                  <pic:blipFill>
                    <a:blip r:embed="rId10">
                      <a:extLst>
                        <a:ext uri="{28A0092B-C50C-407E-A947-70E740481C1C}">
                          <a14:useLocalDpi xmlns:a14="http://schemas.microsoft.com/office/drawing/2010/main" val="0"/>
                        </a:ext>
                      </a:extLst>
                    </a:blip>
                    <a:stretch>
                      <a:fillRect/>
                    </a:stretch>
                  </pic:blipFill>
                  <pic:spPr>
                    <a:xfrm>
                      <a:off x="0" y="0"/>
                      <a:ext cx="2552700" cy="723900"/>
                    </a:xfrm>
                    <a:prstGeom prst="rect">
                      <a:avLst/>
                    </a:prstGeom>
                  </pic:spPr>
                </pic:pic>
              </a:graphicData>
            </a:graphic>
          </wp:anchor>
        </w:drawing>
      </w:r>
    </w:p>
    <w:p w14:paraId="75C079B9" w14:textId="66208033" w:rsidR="00060EF5" w:rsidRPr="000B2A99" w:rsidRDefault="00060EF5" w:rsidP="000B2A99">
      <w:pPr>
        <w:spacing w:after="0" w:line="240" w:lineRule="auto"/>
        <w:jc w:val="both"/>
        <w:rPr>
          <w:rFonts w:ascii="Verdana" w:hAnsi="Verdana"/>
        </w:rPr>
      </w:pPr>
    </w:p>
    <w:p w14:paraId="72AC414E" w14:textId="77777777" w:rsidR="00DF6946" w:rsidRPr="000B2A99" w:rsidRDefault="00DF6946" w:rsidP="000B2A99">
      <w:pPr>
        <w:spacing w:after="0" w:line="240" w:lineRule="auto"/>
        <w:jc w:val="both"/>
        <w:rPr>
          <w:rFonts w:ascii="Verdana" w:eastAsia="Calibri" w:hAnsi="Verdana" w:cs="Arial"/>
          <w:lang w:eastAsia="es-ES"/>
        </w:rPr>
      </w:pPr>
      <w:bookmarkStart w:id="0" w:name="_Hlk197462763"/>
      <w:bookmarkStart w:id="1" w:name="_Hlk197529996"/>
    </w:p>
    <w:p w14:paraId="55524778" w14:textId="7F9DBC99" w:rsidR="00DF6946" w:rsidRPr="000B2A99" w:rsidRDefault="00DF6946" w:rsidP="000B2A99">
      <w:pPr>
        <w:spacing w:after="0" w:line="240" w:lineRule="auto"/>
        <w:jc w:val="both"/>
        <w:rPr>
          <w:rFonts w:ascii="Verdana" w:eastAsia="Calibri" w:hAnsi="Verdana" w:cs="Arial"/>
          <w:lang w:eastAsia="es-ES"/>
        </w:rPr>
      </w:pPr>
      <w:r w:rsidRPr="000B2A99">
        <w:rPr>
          <w:rFonts w:ascii="Verdana" w:eastAsia="Calibri" w:hAnsi="Verdana" w:cs="Arial"/>
          <w:lang w:eastAsia="es-ES"/>
        </w:rPr>
        <w:t>Señora</w:t>
      </w:r>
    </w:p>
    <w:p w14:paraId="508CA36E" w14:textId="77777777" w:rsidR="00DF6946" w:rsidRPr="000B2A99" w:rsidRDefault="00DF6946" w:rsidP="000B2A99">
      <w:pPr>
        <w:spacing w:after="0" w:line="240" w:lineRule="auto"/>
        <w:jc w:val="both"/>
        <w:rPr>
          <w:rFonts w:ascii="Verdana" w:eastAsia="Calibri" w:hAnsi="Verdana" w:cs="Arial"/>
          <w:b/>
          <w:lang w:eastAsia="es-ES_tradnl"/>
        </w:rPr>
      </w:pPr>
      <w:r w:rsidRPr="000B2A99">
        <w:rPr>
          <w:rFonts w:ascii="Verdana" w:eastAsia="Calibri" w:hAnsi="Verdana" w:cs="Arial"/>
          <w:b/>
          <w:lang w:eastAsia="es-ES_tradnl"/>
        </w:rPr>
        <w:t xml:space="preserve">Sara Camila Nocua Mariño </w:t>
      </w:r>
    </w:p>
    <w:p w14:paraId="3E668ED3" w14:textId="77777777" w:rsidR="00DF6946" w:rsidRPr="000B2A99" w:rsidRDefault="00DF6946" w:rsidP="000B2A99">
      <w:pPr>
        <w:spacing w:after="0" w:line="240" w:lineRule="auto"/>
        <w:jc w:val="both"/>
        <w:rPr>
          <w:rFonts w:ascii="Verdana" w:eastAsia="Calibri" w:hAnsi="Verdana" w:cs="Arial"/>
          <w:b/>
          <w:lang w:eastAsia="es-ES_tradnl"/>
        </w:rPr>
      </w:pPr>
      <w:hyperlink r:id="rId11" w:history="1">
        <w:r w:rsidRPr="000B2A99">
          <w:rPr>
            <w:rStyle w:val="Hipervnculo"/>
            <w:rFonts w:ascii="Verdana" w:eastAsia="Calibri" w:hAnsi="Verdana" w:cs="Arial"/>
            <w:b/>
            <w:lang w:eastAsia="es-ES_tradnl"/>
          </w:rPr>
          <w:t>nocuasara@gmail.com</w:t>
        </w:r>
      </w:hyperlink>
      <w:r w:rsidRPr="000B2A99">
        <w:rPr>
          <w:rFonts w:ascii="Verdana" w:eastAsia="Calibri" w:hAnsi="Verdana" w:cs="Arial"/>
          <w:b/>
          <w:lang w:eastAsia="es-ES_tradnl"/>
        </w:rPr>
        <w:t xml:space="preserve"> </w:t>
      </w:r>
    </w:p>
    <w:p w14:paraId="7F8202A6" w14:textId="77777777" w:rsidR="00DF6946" w:rsidRPr="000B2A99" w:rsidRDefault="00DF6946" w:rsidP="000B2A99">
      <w:pPr>
        <w:spacing w:after="0" w:line="240" w:lineRule="auto"/>
        <w:jc w:val="both"/>
        <w:rPr>
          <w:rFonts w:ascii="Verdana" w:eastAsia="Calibri" w:hAnsi="Verdana" w:cs="Arial"/>
          <w:bCs/>
          <w:lang w:eastAsia="es-ES_tradnl"/>
        </w:rPr>
      </w:pPr>
      <w:r w:rsidRPr="000B2A99">
        <w:rPr>
          <w:rFonts w:ascii="Verdana" w:eastAsia="Calibri" w:hAnsi="Verdana" w:cs="Arial"/>
          <w:bCs/>
          <w:lang w:eastAsia="es-ES_tradnl"/>
        </w:rPr>
        <w:t>Ciudad</w:t>
      </w:r>
    </w:p>
    <w:p w14:paraId="39AC9DE1" w14:textId="77777777" w:rsidR="00DF6946" w:rsidRPr="000B2A99" w:rsidRDefault="00DF6946" w:rsidP="000B2A99">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F6946" w:rsidRPr="000B2A99" w14:paraId="13EE9C70" w14:textId="77777777">
        <w:trPr>
          <w:trHeight w:val="162"/>
        </w:trPr>
        <w:tc>
          <w:tcPr>
            <w:tcW w:w="3119" w:type="dxa"/>
          </w:tcPr>
          <w:p w14:paraId="2E319915" w14:textId="77777777" w:rsidR="00DF6946" w:rsidRPr="000B2A99" w:rsidRDefault="00DF6946" w:rsidP="000B2A99">
            <w:pPr>
              <w:jc w:val="both"/>
              <w:rPr>
                <w:rFonts w:ascii="Verdana" w:eastAsia="Calibri" w:hAnsi="Verdana" w:cs="Arial"/>
                <w:b/>
                <w:bCs/>
                <w:color w:val="7030A0"/>
                <w:lang w:val="it-CH" w:eastAsia="es-ES_tradnl"/>
              </w:rPr>
            </w:pPr>
          </w:p>
        </w:tc>
        <w:tc>
          <w:tcPr>
            <w:tcW w:w="5670" w:type="dxa"/>
          </w:tcPr>
          <w:p w14:paraId="3FCA7406" w14:textId="77777777" w:rsidR="00DF6946" w:rsidRPr="000B2A99" w:rsidRDefault="00DF6946" w:rsidP="000B2A99">
            <w:pPr>
              <w:jc w:val="both"/>
              <w:rPr>
                <w:rFonts w:ascii="Verdana" w:eastAsia="Calibri" w:hAnsi="Verdana" w:cs="Arial"/>
                <w:b/>
                <w:bCs/>
                <w:lang w:eastAsia="es-ES"/>
              </w:rPr>
            </w:pPr>
            <w:r w:rsidRPr="000B2A99">
              <w:rPr>
                <w:rFonts w:ascii="Verdana" w:eastAsia="Calibri" w:hAnsi="Verdana" w:cs="Arial"/>
                <w:b/>
                <w:bCs/>
                <w:lang w:eastAsia="es-ES"/>
              </w:rPr>
              <w:t>Concepto C- 1380 de 2026</w:t>
            </w:r>
          </w:p>
          <w:p w14:paraId="54D1E943" w14:textId="77777777" w:rsidR="00DF6946" w:rsidRPr="000B2A99" w:rsidRDefault="00DF6946" w:rsidP="000B2A99">
            <w:pPr>
              <w:jc w:val="both"/>
              <w:rPr>
                <w:rFonts w:ascii="Verdana" w:eastAsia="Calibri" w:hAnsi="Verdana" w:cs="Arial"/>
                <w:b/>
                <w:bCs/>
                <w:color w:val="7030A0"/>
                <w:lang w:eastAsia="es-ES"/>
              </w:rPr>
            </w:pPr>
          </w:p>
        </w:tc>
      </w:tr>
      <w:tr w:rsidR="00DF6946" w:rsidRPr="000B2A99" w14:paraId="137C0516" w14:textId="77777777">
        <w:trPr>
          <w:trHeight w:val="884"/>
        </w:trPr>
        <w:tc>
          <w:tcPr>
            <w:tcW w:w="3119" w:type="dxa"/>
          </w:tcPr>
          <w:p w14:paraId="43F43A25" w14:textId="77777777" w:rsidR="00DF6946" w:rsidRPr="000B2A99" w:rsidRDefault="00DF6946" w:rsidP="000B2A99">
            <w:pPr>
              <w:jc w:val="both"/>
              <w:rPr>
                <w:rFonts w:ascii="Verdana" w:eastAsia="Calibri" w:hAnsi="Verdana" w:cs="Arial"/>
                <w:color w:val="000000"/>
                <w:lang w:eastAsia="es-ES_tradnl"/>
              </w:rPr>
            </w:pPr>
            <w:r w:rsidRPr="000B2A99">
              <w:rPr>
                <w:rFonts w:ascii="Verdana" w:eastAsia="Calibri" w:hAnsi="Verdana" w:cs="Arial"/>
                <w:b/>
                <w:color w:val="000000"/>
                <w:lang w:eastAsia="es-ES_tradnl"/>
              </w:rPr>
              <w:t>Temas:</w:t>
            </w:r>
            <w:r w:rsidRPr="000B2A99">
              <w:rPr>
                <w:rFonts w:ascii="Verdana" w:eastAsia="Calibri" w:hAnsi="Verdana" w:cs="Arial"/>
                <w:color w:val="000000"/>
                <w:lang w:eastAsia="es-ES_tradnl"/>
              </w:rPr>
              <w:t xml:space="preserve">                   </w:t>
            </w:r>
          </w:p>
        </w:tc>
        <w:tc>
          <w:tcPr>
            <w:tcW w:w="5670" w:type="dxa"/>
          </w:tcPr>
          <w:p w14:paraId="0B6785E5" w14:textId="77777777" w:rsidR="00DF6946" w:rsidRPr="000B2A99" w:rsidRDefault="00DF6946" w:rsidP="000B2A99">
            <w:pPr>
              <w:jc w:val="both"/>
              <w:rPr>
                <w:rFonts w:ascii="Verdana" w:eastAsia="Calibri" w:hAnsi="Verdana" w:cs="Arial"/>
                <w:bCs/>
                <w:lang w:val="es-ES_tradnl"/>
              </w:rPr>
            </w:pPr>
            <w:r w:rsidRPr="000B2A99">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w:t>
            </w:r>
            <w:r w:rsidRPr="000B2A99">
              <w:rPr>
                <w:rFonts w:ascii="Verdana" w:eastAsia="Calibri" w:hAnsi="Verdana" w:cs="Arial"/>
                <w:bCs/>
                <w:lang w:val="es-ES_tradnl"/>
              </w:rPr>
              <w:t xml:space="preserve"> </w:t>
            </w:r>
          </w:p>
          <w:p w14:paraId="1D885D9D" w14:textId="77777777" w:rsidR="00DF6946" w:rsidRPr="000B2A99" w:rsidRDefault="00DF6946" w:rsidP="000B2A99">
            <w:pPr>
              <w:jc w:val="both"/>
              <w:rPr>
                <w:rFonts w:ascii="Verdana" w:eastAsia="Calibri" w:hAnsi="Verdana" w:cs="Arial"/>
                <w:lang w:val="es-ES" w:eastAsia="es-ES"/>
              </w:rPr>
            </w:pPr>
            <w:r w:rsidRPr="000B2A99">
              <w:rPr>
                <w:rFonts w:ascii="Verdana" w:eastAsia="Calibri" w:hAnsi="Verdana" w:cs="Arial"/>
                <w:bCs/>
                <w:lang w:val="es-ES_tradnl"/>
              </w:rPr>
              <w:t xml:space="preserve"> </w:t>
            </w:r>
          </w:p>
        </w:tc>
      </w:tr>
      <w:tr w:rsidR="00DF6946" w:rsidRPr="000B2A99" w14:paraId="6893396A" w14:textId="77777777">
        <w:tc>
          <w:tcPr>
            <w:tcW w:w="3119" w:type="dxa"/>
          </w:tcPr>
          <w:p w14:paraId="17DBE78C" w14:textId="77777777" w:rsidR="00DF6946" w:rsidRPr="000B2A99" w:rsidRDefault="00DF6946" w:rsidP="000B2A99">
            <w:pPr>
              <w:jc w:val="both"/>
              <w:rPr>
                <w:rFonts w:ascii="Verdana" w:eastAsia="Calibri" w:hAnsi="Verdana" w:cs="Arial"/>
                <w:b/>
                <w:lang w:eastAsia="es-ES_tradnl"/>
              </w:rPr>
            </w:pPr>
            <w:r w:rsidRPr="000B2A99">
              <w:rPr>
                <w:rFonts w:ascii="Verdana" w:eastAsia="Calibri" w:hAnsi="Verdana" w:cs="Arial"/>
                <w:b/>
                <w:lang w:eastAsia="es-ES_tradnl"/>
              </w:rPr>
              <w:t>Radicación:</w:t>
            </w:r>
            <w:r w:rsidRPr="000B2A99">
              <w:rPr>
                <w:rFonts w:ascii="Verdana" w:eastAsia="Calibri" w:hAnsi="Verdana" w:cs="Arial"/>
                <w:lang w:eastAsia="es-ES_tradnl"/>
              </w:rPr>
              <w:t xml:space="preserve">               </w:t>
            </w:r>
          </w:p>
        </w:tc>
        <w:tc>
          <w:tcPr>
            <w:tcW w:w="5670" w:type="dxa"/>
          </w:tcPr>
          <w:p w14:paraId="6A4EB56E" w14:textId="77777777" w:rsidR="00DF6946" w:rsidRPr="000B2A99" w:rsidRDefault="00DF6946" w:rsidP="000B2A99">
            <w:pPr>
              <w:jc w:val="both"/>
              <w:rPr>
                <w:rFonts w:ascii="Verdana" w:eastAsia="Calibri" w:hAnsi="Verdana" w:cs="Arial"/>
                <w:lang w:eastAsia="es-ES_tradnl"/>
              </w:rPr>
            </w:pPr>
            <w:r w:rsidRPr="000B2A99">
              <w:rPr>
                <w:rFonts w:ascii="Verdana" w:eastAsia="Calibri" w:hAnsi="Verdana" w:cs="Arial"/>
                <w:lang w:eastAsia="es-ES_tradnl"/>
              </w:rPr>
              <w:t xml:space="preserve">Respuesta a consulta con radicado 1_2026_09_02_011673 </w:t>
            </w:r>
          </w:p>
        </w:tc>
      </w:tr>
    </w:tbl>
    <w:p w14:paraId="730E8C65" w14:textId="77777777" w:rsidR="00DF6946" w:rsidRPr="000B2A99" w:rsidRDefault="00DF6946" w:rsidP="000B2A99">
      <w:pPr>
        <w:spacing w:after="0" w:line="240" w:lineRule="auto"/>
        <w:jc w:val="both"/>
        <w:rPr>
          <w:rFonts w:ascii="Verdana" w:eastAsia="Calibri" w:hAnsi="Verdana" w:cs="Arial"/>
          <w:lang w:eastAsia="es-ES_tradnl"/>
        </w:rPr>
      </w:pPr>
    </w:p>
    <w:p w14:paraId="102CE652" w14:textId="77777777" w:rsidR="00DF6946" w:rsidRPr="000B2A99" w:rsidRDefault="00DF6946" w:rsidP="000B2A99">
      <w:pPr>
        <w:spacing w:after="0" w:line="240" w:lineRule="auto"/>
        <w:jc w:val="both"/>
        <w:rPr>
          <w:rFonts w:ascii="Verdana" w:eastAsia="Calibri" w:hAnsi="Verdana" w:cs="Arial"/>
          <w:lang w:eastAsia="es-ES_tradnl"/>
        </w:rPr>
      </w:pPr>
    </w:p>
    <w:p w14:paraId="258C935C" w14:textId="37C6D758" w:rsidR="00DF6946" w:rsidRPr="008E4F36" w:rsidRDefault="00DF6946" w:rsidP="000B2A99">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a </w:t>
      </w:r>
      <w:r w:rsidRPr="00083AB6">
        <w:rPr>
          <w:rFonts w:ascii="Verdana" w:eastAsia="Calibri" w:hAnsi="Verdana" w:cs="Arial"/>
          <w:lang w:eastAsia="es-ES"/>
        </w:rPr>
        <w:t>seño</w:t>
      </w:r>
      <w:r>
        <w:rPr>
          <w:rFonts w:ascii="Verdana" w:eastAsia="Calibri" w:hAnsi="Verdana" w:cs="Arial"/>
          <w:lang w:eastAsia="es-ES"/>
        </w:rPr>
        <w:t>ra</w:t>
      </w:r>
      <w:r w:rsidR="000B2A99">
        <w:rPr>
          <w:rFonts w:ascii="Verdana" w:eastAsia="Calibri" w:hAnsi="Verdana" w:cs="Arial"/>
          <w:lang w:eastAsia="es-ES"/>
        </w:rPr>
        <w:t xml:space="preserve"> </w:t>
      </w:r>
      <w:proofErr w:type="spellStart"/>
      <w:r w:rsidR="000B2A99">
        <w:rPr>
          <w:rFonts w:ascii="Verdana" w:eastAsia="Calibri" w:hAnsi="Verdana" w:cs="Arial"/>
          <w:lang w:eastAsia="es-ES"/>
        </w:rPr>
        <w:t>Nocua</w:t>
      </w:r>
      <w:proofErr w:type="spellEnd"/>
      <w:r w:rsidRPr="00083AB6">
        <w:rPr>
          <w:rFonts w:ascii="Verdana" w:eastAsia="Calibri" w:hAnsi="Verdana" w:cs="Arial"/>
          <w:lang w:eastAsia="es-ES"/>
        </w:rPr>
        <w:t>:</w:t>
      </w:r>
      <w:r w:rsidRPr="008E4F36">
        <w:rPr>
          <w:rFonts w:ascii="Verdana" w:eastAsia="Calibri" w:hAnsi="Verdana" w:cs="Arial"/>
          <w:lang w:eastAsia="es-ES"/>
        </w:rPr>
        <w:t xml:space="preserve"> </w:t>
      </w:r>
    </w:p>
    <w:p w14:paraId="1CFDF369" w14:textId="77777777" w:rsidR="00DF6946" w:rsidRDefault="00DF6946" w:rsidP="000B2A99">
      <w:pPr>
        <w:tabs>
          <w:tab w:val="left" w:pos="3768"/>
        </w:tabs>
        <w:spacing w:after="0" w:line="276" w:lineRule="auto"/>
        <w:jc w:val="both"/>
        <w:rPr>
          <w:rFonts w:ascii="Verdana" w:eastAsia="Calibri" w:hAnsi="Verdana" w:cs="Arial"/>
          <w:lang w:eastAsia="es-ES"/>
        </w:rPr>
      </w:pPr>
    </w:p>
    <w:p w14:paraId="556FC575" w14:textId="77777777" w:rsidR="00DF6946" w:rsidRDefault="00DF6946" w:rsidP="000B2A99">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w:t>
      </w:r>
      <w:r w:rsidRPr="00AF6D58">
        <w:rPr>
          <w:rFonts w:ascii="Verdana" w:eastAsia="Calibri" w:hAnsi="Verdana" w:cs="Arial"/>
          <w:lang w:eastAsia="es-ES"/>
        </w:rPr>
        <w:t xml:space="preserve"> de </w:t>
      </w:r>
      <w:r>
        <w:rPr>
          <w:rFonts w:ascii="Verdana" w:eastAsia="Calibri" w:hAnsi="Verdana" w:cs="Arial"/>
          <w:lang w:eastAsia="es-ES"/>
        </w:rPr>
        <w:t>septiembre</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3BF6E9D4" w14:textId="77777777" w:rsidR="00DF6946" w:rsidRPr="00962179" w:rsidRDefault="00DF6946" w:rsidP="000B2A99">
      <w:pPr>
        <w:tabs>
          <w:tab w:val="left" w:pos="3768"/>
        </w:tabs>
        <w:spacing w:after="0" w:line="276" w:lineRule="auto"/>
        <w:jc w:val="both"/>
        <w:rPr>
          <w:rFonts w:ascii="Verdana" w:eastAsia="Calibri" w:hAnsi="Verdana" w:cs="Arial"/>
          <w:lang w:eastAsia="es-ES"/>
        </w:rPr>
      </w:pPr>
    </w:p>
    <w:p w14:paraId="0A753912" w14:textId="77777777" w:rsidR="00DF6946" w:rsidRDefault="00DF6946" w:rsidP="000B2A99">
      <w:pPr>
        <w:spacing w:after="0" w:line="240" w:lineRule="auto"/>
        <w:ind w:left="709" w:right="709"/>
        <w:jc w:val="both"/>
        <w:rPr>
          <w:rFonts w:ascii="Verdana" w:hAnsi="Verdana" w:cs="Arial"/>
          <w:sz w:val="20"/>
          <w:szCs w:val="20"/>
        </w:rPr>
      </w:pPr>
      <w:bookmarkStart w:id="2" w:name="_Hlk192699624"/>
      <w:bookmarkStart w:id="3" w:name="_Hlk199394899"/>
      <w:r w:rsidRPr="00841DD5">
        <w:rPr>
          <w:rFonts w:ascii="Verdana" w:hAnsi="Verdana" w:cs="Arial"/>
          <w:sz w:val="20"/>
          <w:szCs w:val="20"/>
          <w:lang w:val="es-ES_tradnl"/>
        </w:rPr>
        <w:t>“</w:t>
      </w:r>
      <w:bookmarkEnd w:id="2"/>
      <w:bookmarkEnd w:id="3"/>
      <w:proofErr w:type="gramStart"/>
      <w:r>
        <w:rPr>
          <w:rFonts w:ascii="Verdana" w:hAnsi="Verdana" w:cs="Arial"/>
          <w:sz w:val="20"/>
          <w:szCs w:val="20"/>
          <w:lang w:val="es-ES_tradnl"/>
        </w:rPr>
        <w:t>1.</w:t>
      </w:r>
      <w:r w:rsidRPr="001D1AA6">
        <w:rPr>
          <w:rFonts w:ascii="Verdana" w:hAnsi="Verdana" w:cs="Arial"/>
          <w:sz w:val="20"/>
          <w:szCs w:val="20"/>
        </w:rPr>
        <w:t>¿</w:t>
      </w:r>
      <w:proofErr w:type="gramEnd"/>
      <w:r w:rsidRPr="001D1AA6">
        <w:rPr>
          <w:rFonts w:ascii="Verdana" w:hAnsi="Verdana" w:cs="Arial"/>
          <w:sz w:val="20"/>
          <w:szCs w:val="20"/>
        </w:rPr>
        <w:t xml:space="preserve">Puede adicionarse con recursos del Sistema General de Regalías un contrato celebrado antes del Concepto 2563 de 2026 bajo el mismo régimen especial o de derecho privado o la adición constituye una nueva decisión de gasto sometida al artículo 37 de la Ley 2056 de 2020? </w:t>
      </w:r>
    </w:p>
    <w:p w14:paraId="4E1B0CDA" w14:textId="77777777" w:rsidR="00DF6946" w:rsidRDefault="00DF6946" w:rsidP="000B2A99">
      <w:pPr>
        <w:spacing w:after="0" w:line="240" w:lineRule="auto"/>
        <w:ind w:left="709" w:right="709"/>
        <w:jc w:val="both"/>
        <w:rPr>
          <w:rFonts w:ascii="Verdana" w:hAnsi="Verdana" w:cs="Arial"/>
          <w:sz w:val="20"/>
          <w:szCs w:val="20"/>
        </w:rPr>
      </w:pPr>
    </w:p>
    <w:p w14:paraId="7EC8F290" w14:textId="77777777" w:rsidR="00DF6946" w:rsidRDefault="00DF6946" w:rsidP="000B2A99">
      <w:pPr>
        <w:spacing w:after="0" w:line="240" w:lineRule="auto"/>
        <w:ind w:left="709" w:right="709"/>
        <w:jc w:val="both"/>
        <w:rPr>
          <w:rFonts w:ascii="Verdana" w:hAnsi="Verdana" w:cs="Arial"/>
          <w:sz w:val="20"/>
          <w:szCs w:val="20"/>
        </w:rPr>
      </w:pPr>
      <w:r w:rsidRPr="001D1AA6">
        <w:rPr>
          <w:rFonts w:ascii="Verdana" w:hAnsi="Verdana" w:cs="Arial"/>
          <w:sz w:val="20"/>
          <w:szCs w:val="20"/>
        </w:rPr>
        <w:t xml:space="preserve">2. ¿La adición de los recursos del Sistema General de Regalías a un contrato en ejecución debe regirse por el mismo régimen jurídico que gobierna el contrato principal o por el régimen aplicable a la fuente de financiación de los recursos, mediante la celebración de un nuevo contrato aplicando las disposiciones de la Ley 80 de 1993, la Ley 1150 de 2007 y el Decreto 1082 de 2015. </w:t>
      </w:r>
    </w:p>
    <w:p w14:paraId="7E0E89AD" w14:textId="77777777" w:rsidR="00DF6946" w:rsidRDefault="00DF6946" w:rsidP="000B2A99">
      <w:pPr>
        <w:spacing w:after="0" w:line="240" w:lineRule="auto"/>
        <w:ind w:left="709" w:right="709"/>
        <w:jc w:val="both"/>
        <w:rPr>
          <w:rFonts w:ascii="Verdana" w:hAnsi="Verdana" w:cs="Arial"/>
          <w:sz w:val="20"/>
          <w:szCs w:val="20"/>
        </w:rPr>
      </w:pPr>
    </w:p>
    <w:p w14:paraId="0EC4AC5C" w14:textId="77777777" w:rsidR="00DF6946" w:rsidRDefault="00DF6946" w:rsidP="000B2A99">
      <w:pPr>
        <w:spacing w:after="0" w:line="240" w:lineRule="auto"/>
        <w:ind w:left="709" w:right="709"/>
        <w:jc w:val="both"/>
        <w:rPr>
          <w:rFonts w:ascii="Verdana" w:hAnsi="Verdana" w:cs="Arial"/>
          <w:sz w:val="20"/>
          <w:szCs w:val="20"/>
        </w:rPr>
      </w:pPr>
      <w:r w:rsidRPr="001D1AA6">
        <w:rPr>
          <w:rFonts w:ascii="Verdana" w:hAnsi="Verdana" w:cs="Arial"/>
          <w:sz w:val="20"/>
          <w:szCs w:val="20"/>
        </w:rPr>
        <w:lastRenderedPageBreak/>
        <w:t xml:space="preserve">3. ¿Actualmente, la incorporación de nuevos recursos del SGR obliga a aplicar las disposiciones de la Ley 80 de 1993, la Ley 1150 de 2007 y el Decreto 1082 de 2015 en todos los casos o se exceptúan las adiciones de recursos a los contratos previamente suscritos con el régimen especial o de derecho privado de la entidad ejecutora? </w:t>
      </w:r>
    </w:p>
    <w:p w14:paraId="2A14F84D" w14:textId="77777777" w:rsidR="00DF6946" w:rsidRDefault="00DF6946" w:rsidP="000B2A99">
      <w:pPr>
        <w:spacing w:after="0" w:line="240" w:lineRule="auto"/>
        <w:ind w:left="709" w:right="709"/>
        <w:jc w:val="both"/>
        <w:rPr>
          <w:rFonts w:ascii="Verdana" w:hAnsi="Verdana" w:cs="Arial"/>
          <w:sz w:val="20"/>
          <w:szCs w:val="20"/>
        </w:rPr>
      </w:pPr>
    </w:p>
    <w:p w14:paraId="01866244" w14:textId="77777777" w:rsidR="00DF6946" w:rsidRDefault="00DF6946" w:rsidP="000B2A99">
      <w:pPr>
        <w:spacing w:after="0" w:line="240" w:lineRule="auto"/>
        <w:ind w:left="709" w:right="709"/>
        <w:jc w:val="both"/>
        <w:rPr>
          <w:rFonts w:ascii="Verdana" w:hAnsi="Verdana" w:cs="Arial"/>
          <w:sz w:val="20"/>
          <w:szCs w:val="20"/>
          <w:lang w:val="es-ES_tradnl"/>
        </w:rPr>
      </w:pPr>
      <w:r w:rsidRPr="001D1AA6">
        <w:rPr>
          <w:rFonts w:ascii="Verdana" w:hAnsi="Verdana" w:cs="Arial"/>
          <w:sz w:val="20"/>
          <w:szCs w:val="20"/>
        </w:rPr>
        <w:t>4. ¿Cuál es el alcance del Concepto 2563 de 2026 frente a contratos celebrados antes de su expedición, si surge la necesidad de la adición de recursos del Sistema General de Regalías al contrato y se efectúa bajo el régimen especial, podría generar riesgos de orden fiscal, disciplinario o contractual para la entidad ejecutora?</w:t>
      </w:r>
      <w:r>
        <w:rPr>
          <w:rFonts w:ascii="Verdana" w:hAnsi="Verdana" w:cs="Arial"/>
          <w:sz w:val="20"/>
          <w:szCs w:val="20"/>
        </w:rPr>
        <w:t>.”</w:t>
      </w:r>
    </w:p>
    <w:p w14:paraId="1B747856" w14:textId="77777777" w:rsidR="00DF6946" w:rsidRPr="00D21119" w:rsidRDefault="00DF6946" w:rsidP="000B2A99">
      <w:pPr>
        <w:spacing w:after="0" w:line="276" w:lineRule="auto"/>
        <w:ind w:left="709" w:right="709" w:hanging="1"/>
        <w:jc w:val="both"/>
        <w:rPr>
          <w:rFonts w:ascii="Verdana" w:hAnsi="Verdana" w:cs="Arial"/>
          <w:lang w:val="es-ES_tradnl"/>
        </w:rPr>
      </w:pPr>
    </w:p>
    <w:p w14:paraId="5E394678" w14:textId="77777777" w:rsidR="00DF6946" w:rsidRDefault="00DF6946" w:rsidP="000B2A99">
      <w:pPr>
        <w:spacing w:after="120" w:line="276" w:lineRule="auto"/>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515D05" w14:textId="77777777" w:rsidR="00DF6946" w:rsidRPr="00054383" w:rsidRDefault="00DF6946" w:rsidP="000B2A9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A6A6EDF" w14:textId="77777777" w:rsidR="00DF6946" w:rsidRPr="008E4F36" w:rsidRDefault="00DF6946" w:rsidP="000B2A99">
      <w:pPr>
        <w:spacing w:after="0" w:line="276" w:lineRule="auto"/>
        <w:ind w:firstLine="709"/>
        <w:jc w:val="both"/>
        <w:rPr>
          <w:rFonts w:ascii="Verdana" w:eastAsia="Calibri" w:hAnsi="Verdana" w:cs="Arial"/>
          <w:color w:val="000000"/>
          <w:lang w:eastAsia="es-ES"/>
        </w:rPr>
      </w:pPr>
    </w:p>
    <w:p w14:paraId="302C23A0" w14:textId="77777777" w:rsidR="00DF6946" w:rsidRDefault="00DF6946" w:rsidP="000B2A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85F76F6" w14:textId="77777777" w:rsidR="00DF6946" w:rsidRDefault="00DF6946" w:rsidP="000B2A99">
      <w:pPr>
        <w:spacing w:after="0" w:line="276" w:lineRule="auto"/>
        <w:jc w:val="both"/>
        <w:rPr>
          <w:rFonts w:ascii="Verdana" w:eastAsia="Calibri" w:hAnsi="Verdana" w:cs="Arial"/>
          <w:color w:val="000000"/>
          <w:highlight w:val="yellow"/>
          <w:lang w:eastAsia="es-ES"/>
        </w:rPr>
      </w:pPr>
    </w:p>
    <w:p w14:paraId="716379EE" w14:textId="77777777" w:rsidR="00DF6946" w:rsidRPr="006B3A39" w:rsidRDefault="00DF6946" w:rsidP="000B2A99">
      <w:pPr>
        <w:spacing w:after="0" w:line="276" w:lineRule="auto"/>
        <w:jc w:val="both"/>
        <w:rPr>
          <w:rFonts w:ascii="Verdana" w:eastAsia="Calibri" w:hAnsi="Verdana"/>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D20664">
        <w:rPr>
          <w:rFonts w:ascii="Verdana" w:eastAsia="Century Gothic" w:hAnsi="Verdana" w:cs="Century Gothic"/>
          <w:b/>
          <w:bCs/>
        </w:rPr>
        <w:t>i</w:t>
      </w:r>
      <w:r w:rsidRPr="0037348D">
        <w:rPr>
          <w:rFonts w:ascii="Verdana" w:eastAsia="Century Gothic" w:hAnsi="Verdana" w:cs="Century Gothic"/>
          <w:b/>
          <w:bCs/>
        </w:rPr>
        <w:t>)</w:t>
      </w:r>
      <w:r w:rsidRPr="0037348D">
        <w:rPr>
          <w:rFonts w:ascii="Verdana" w:eastAsia="Century Gothic" w:hAnsi="Verdana" w:cs="Century Gothic"/>
        </w:rPr>
        <w:t xml:space="preserve"> ¿Cuándo </w:t>
      </w:r>
      <w:r w:rsidRPr="0037348D">
        <w:rPr>
          <w:rFonts w:ascii="Verdana" w:eastAsia="Calibri" w:hAnsi="Verdana" w:cs="Times New Roman"/>
        </w:rPr>
        <w:t xml:space="preserve">las entidades ejecutoras del SGR están sujetas al derecho privado, deben aplicar sus manuales de contratación o las disposiciones del Estatuto General de Contratación de la Administración Pública? </w:t>
      </w:r>
      <w:r w:rsidRPr="0037348D">
        <w:rPr>
          <w:rFonts w:ascii="Verdana" w:eastAsia="Calibri" w:hAnsi="Verdana" w:cs="Times New Roman"/>
          <w:b/>
          <w:bCs/>
        </w:rPr>
        <w:t>ii)</w:t>
      </w:r>
      <w:r w:rsidRPr="0037348D">
        <w:rPr>
          <w:rFonts w:ascii="Verdana" w:hAnsi="Verdana"/>
        </w:rPr>
        <w:t xml:space="preserve"> ¿Cuál es el alcance del Concepto 2563 de 2026 frente a contratos anteriores a su expedición, respecto de la adición de recursos del SGR bajo el régimen especial?</w:t>
      </w:r>
    </w:p>
    <w:p w14:paraId="10499301" w14:textId="77777777" w:rsidR="00DF6946" w:rsidRPr="00D20664" w:rsidRDefault="00DF6946" w:rsidP="000B2A99">
      <w:pPr>
        <w:spacing w:after="0" w:line="276" w:lineRule="auto"/>
        <w:jc w:val="both"/>
        <w:rPr>
          <w:rFonts w:ascii="Verdana" w:eastAsia="Calibri" w:hAnsi="Verdana" w:cs="Times New Roman"/>
          <w:lang w:val="es-ES"/>
        </w:rPr>
      </w:pPr>
    </w:p>
    <w:p w14:paraId="7199446F" w14:textId="77777777" w:rsidR="00DF6946" w:rsidRPr="008E4F36" w:rsidRDefault="00DF6946" w:rsidP="000B2A99">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FE34392" w14:textId="77777777" w:rsidR="00DF6946" w:rsidRPr="008E4F36" w:rsidRDefault="00DF6946" w:rsidP="000B2A9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F6946" w:rsidRPr="008E4F36" w14:paraId="3C6F7720" w14:textId="77777777">
        <w:tc>
          <w:tcPr>
            <w:tcW w:w="8828" w:type="dxa"/>
          </w:tcPr>
          <w:p w14:paraId="6CA40B95" w14:textId="77777777" w:rsidR="00DF6946" w:rsidRPr="00DE7732" w:rsidRDefault="00DF6946">
            <w:pPr>
              <w:spacing w:after="120" w:line="276" w:lineRule="auto"/>
              <w:jc w:val="both"/>
              <w:rPr>
                <w:rFonts w:ascii="Verdana" w:eastAsia="Calibri" w:hAnsi="Verdana" w:cs="Arial"/>
                <w:color w:val="000000" w:themeColor="text1"/>
                <w:lang w:eastAsia="es-ES"/>
              </w:rPr>
            </w:pPr>
            <w:r w:rsidRPr="00EF0A1D">
              <w:rPr>
                <w:rFonts w:ascii="Verdana" w:eastAsia="Calibri" w:hAnsi="Verdana" w:cs="Arial"/>
                <w:b/>
                <w:bCs/>
                <w:color w:val="000000" w:themeColor="text1"/>
                <w:lang w:val="es-ES" w:eastAsia="es-ES"/>
              </w:rPr>
              <w:t>i.</w:t>
            </w:r>
            <w:r w:rsidRPr="00DE7732">
              <w:t xml:space="preserve"> </w:t>
            </w:r>
            <w:r w:rsidRPr="00DE7732">
              <w:rPr>
                <w:rFonts w:ascii="Verdana" w:eastAsia="Calibri" w:hAnsi="Verdana" w:cs="Arial"/>
                <w:color w:val="000000" w:themeColor="text1"/>
                <w:lang w:eastAsia="es-ES"/>
              </w:rPr>
              <w:t>Cuando una entidad ejecutora del SGR está sometida ordinariamente a un régimen especial de contratación, la ejecución de proyectos financiados con recursos del SGR se encuentra sujeta al régimen de contratación pública previsto en el parágrafo 1 del artículo 37 de la Ley 2056 de 2020. La ANCP-CCE ha sostenido de manera reiterada que esta disposición constituye una remisión expresa al EGCAP y que, por tanto, la entidad ejecutora no puede acudir a su régimen privado o exceptuado para adelantar la contratación requerida para ejecutar el proyecto.</w:t>
            </w:r>
          </w:p>
          <w:p w14:paraId="6C5D4145" w14:textId="77777777" w:rsidR="00DF6946" w:rsidRDefault="00DF6946">
            <w:pPr>
              <w:spacing w:after="120" w:line="276" w:lineRule="auto"/>
              <w:ind w:firstLine="709"/>
              <w:jc w:val="both"/>
              <w:rPr>
                <w:rFonts w:ascii="Verdana" w:eastAsia="Calibri" w:hAnsi="Verdana" w:cs="Arial"/>
                <w:color w:val="000000" w:themeColor="text1"/>
                <w:lang w:eastAsia="es-ES"/>
              </w:rPr>
            </w:pPr>
            <w:r w:rsidRPr="00DE7732">
              <w:rPr>
                <w:rFonts w:ascii="Verdana" w:eastAsia="Calibri" w:hAnsi="Verdana" w:cs="Arial"/>
                <w:color w:val="000000" w:themeColor="text1"/>
                <w:lang w:eastAsia="es-ES"/>
              </w:rPr>
              <w:t xml:space="preserve">En consecuencia, para los contratos que tengan por objeto la adquisición de bienes, obras o servicios necesarios para la ejecución del proyecto financiado con recursos del SGR, deben aplicarse las disposiciones del EGCAP y sus normas reglamentarias y complementarias, incluyendo, cuando corresponda, las modalidades de selección, reglas de publicidad, selección objetiva, documentos tipo y demás disposiciones aplicables. Esta conclusión no significa que el régimen especial de la entidad desaparezca o sea derogado: el régimen especial continúa aplicándose a la actividad contractual ordinaria que no esté relacionada con la ejecución del proyecto financiado con recursos del SGR. La propia doctrina reciente de la ANCP-CCE ha reiterado que se trata de una aplicación especial y preferente circunscrita a la ejecución de los proyectos del SGR. </w:t>
            </w:r>
          </w:p>
          <w:p w14:paraId="509DF4DE" w14:textId="77777777" w:rsidR="00DF6946" w:rsidRDefault="00DF6946" w:rsidP="007E58BF">
            <w:pPr>
              <w:spacing w:line="276" w:lineRule="auto"/>
              <w:ind w:firstLine="709"/>
              <w:jc w:val="both"/>
              <w:rPr>
                <w:rFonts w:ascii="Verdana" w:eastAsia="Calibri" w:hAnsi="Verdana" w:cs="Arial"/>
                <w:color w:val="000000" w:themeColor="text1"/>
                <w:lang w:eastAsia="es-ES"/>
              </w:rPr>
            </w:pPr>
            <w:r w:rsidRPr="009A719F">
              <w:rPr>
                <w:rFonts w:ascii="Verdana" w:eastAsia="Calibri" w:hAnsi="Verdana" w:cs="Arial"/>
                <w:color w:val="000000" w:themeColor="text1"/>
                <w:lang w:eastAsia="es-ES"/>
              </w:rPr>
              <w:t xml:space="preserve">Ahora bien, debe tenerse en cuenta que el Decreto 1821 de 2020 contempla hipótesis en las que no necesariamente existe un proceso contractual con un tercero, particularmente cuando la propia entidad ejecutora cuenta con capacidad técnica, legal, administrativa y financiera para producir o proveer directamente los bienes o servicios previstos en el proyecto. En estos eventos, la ejecución puede formalizarse mediante el acto administrativo unilateral que decreta el gasto, de conformidad con las reglas especiales del SGR. </w:t>
            </w:r>
          </w:p>
          <w:p w14:paraId="2467A098" w14:textId="77777777" w:rsidR="007E58BF" w:rsidRDefault="007E58BF" w:rsidP="007E58BF">
            <w:pPr>
              <w:spacing w:line="276" w:lineRule="auto"/>
              <w:jc w:val="both"/>
              <w:rPr>
                <w:rFonts w:ascii="Verdana" w:eastAsia="Calibri" w:hAnsi="Verdana" w:cs="Arial"/>
                <w:color w:val="000000" w:themeColor="text1"/>
                <w:lang w:eastAsia="es-ES"/>
              </w:rPr>
            </w:pPr>
          </w:p>
          <w:p w14:paraId="69A0D475" w14:textId="69A12F1F" w:rsidR="00DF6946" w:rsidRDefault="00DF6946">
            <w:pPr>
              <w:spacing w:after="120" w:line="276" w:lineRule="auto"/>
              <w:jc w:val="both"/>
              <w:rPr>
                <w:rFonts w:ascii="Verdana" w:eastAsia="Calibri" w:hAnsi="Verdana" w:cs="Arial"/>
                <w:color w:val="000000" w:themeColor="text1"/>
                <w:lang w:eastAsia="es-ES"/>
              </w:rPr>
            </w:pPr>
            <w:r w:rsidRPr="003B1416">
              <w:rPr>
                <w:rFonts w:ascii="Verdana" w:eastAsia="Calibri" w:hAnsi="Verdana" w:cs="Arial"/>
                <w:b/>
                <w:bCs/>
                <w:color w:val="000000" w:themeColor="text1"/>
                <w:lang w:val="es-ES" w:eastAsia="es-ES"/>
              </w:rPr>
              <w:t>ii)</w:t>
            </w:r>
            <w:r w:rsidRPr="00F23C6E">
              <w:rPr>
                <w:rFonts w:ascii="Times New Roman" w:eastAsia="Times New Roman" w:hAnsi="Times New Roman" w:cs="Times New Roman"/>
                <w:sz w:val="24"/>
                <w:szCs w:val="24"/>
                <w:lang w:eastAsia="es-CO"/>
              </w:rPr>
              <w:t xml:space="preserve"> </w:t>
            </w:r>
            <w:r w:rsidRPr="00F23C6E">
              <w:rPr>
                <w:rFonts w:ascii="Verdana" w:eastAsia="Calibri" w:hAnsi="Verdana" w:cs="Arial"/>
                <w:color w:val="000000" w:themeColor="text1"/>
                <w:lang w:eastAsia="es-ES"/>
              </w:rPr>
              <w:t>En este punto es importante no entender el Concepto 2563 de 2026 como una norma nueva que, por su sola expedición, cambie retrospectivamente el régimen jurídico de contratos celebrados con anterioridad.</w:t>
            </w:r>
            <w:r w:rsidR="007E58BF">
              <w:rPr>
                <w:rFonts w:ascii="Verdana" w:eastAsia="Calibri" w:hAnsi="Verdana" w:cs="Arial"/>
                <w:color w:val="000000" w:themeColor="text1"/>
                <w:lang w:eastAsia="es-ES"/>
              </w:rPr>
              <w:t xml:space="preserve"> </w:t>
            </w:r>
            <w:r w:rsidRPr="00F23C6E">
              <w:rPr>
                <w:rFonts w:ascii="Verdana" w:eastAsia="Calibri" w:hAnsi="Verdana" w:cs="Arial"/>
                <w:color w:val="000000" w:themeColor="text1"/>
                <w:lang w:eastAsia="es-ES"/>
              </w:rPr>
              <w:t xml:space="preserve">El Concepto 2563 </w:t>
            </w:r>
            <w:r w:rsidRPr="00F23C6E">
              <w:rPr>
                <w:rFonts w:ascii="Verdana" w:eastAsia="Calibri" w:hAnsi="Verdana" w:cs="Arial"/>
                <w:color w:val="000000" w:themeColor="text1"/>
                <w:lang w:eastAsia="es-ES"/>
              </w:rPr>
              <w:lastRenderedPageBreak/>
              <w:t>de 25 de junio de 2026 corresponde a la función consultiva de la Sala de Consulta y Servicio Civil del Consejo de Estado; el propio Consejo de Estado identifica este concepto como el No. 2563, radicación 11001-03-06-000-2026-00088-00. Su importancia para el asunto radica en que interpreta el alcance que ya tenía el artículo 37 de la Ley 2056 de 2020, particularmente frente a entidades que cuentan con un régimen contractual especial y son designadas ejecutoras del SGR.</w:t>
            </w:r>
          </w:p>
          <w:p w14:paraId="5A03892F" w14:textId="77777777" w:rsidR="00DF6946" w:rsidRPr="00561B40" w:rsidRDefault="00DF6946">
            <w:pPr>
              <w:spacing w:after="120" w:line="276" w:lineRule="auto"/>
              <w:ind w:firstLine="709"/>
              <w:jc w:val="both"/>
              <w:rPr>
                <w:rFonts w:ascii="Verdana" w:eastAsia="Calibri" w:hAnsi="Verdana" w:cs="Arial"/>
                <w:color w:val="000000" w:themeColor="text1"/>
                <w:lang w:eastAsia="es-ES"/>
              </w:rPr>
            </w:pPr>
            <w:r w:rsidRPr="00561B40">
              <w:rPr>
                <w:rFonts w:ascii="Verdana" w:eastAsia="Calibri" w:hAnsi="Verdana" w:cs="Arial"/>
                <w:color w:val="000000" w:themeColor="text1"/>
                <w:lang w:eastAsia="es-ES"/>
              </w:rPr>
              <w:t>Por ello, si un contrato fue celebrado válidamente antes del Concepto 2563 de 2026 bajo el régimen especial que le resultaba aplicable en ese momento, la sola expedición del concepto no convierte retrospectivamente dicho contrato en un contrato sometido al EGCAP ni invalida las actuaciones realizadas bajo el régimen que entonces resultaba aplicable. La doctrina consultiva no tiene, por sí misma, naturaleza normativa ni constituye una disposición con efectos retroactivos.</w:t>
            </w:r>
          </w:p>
          <w:p w14:paraId="54B2B381" w14:textId="77777777" w:rsidR="00DF6946" w:rsidRPr="00561B40" w:rsidRDefault="00DF6946">
            <w:pPr>
              <w:spacing w:after="120" w:line="276" w:lineRule="auto"/>
              <w:ind w:firstLine="709"/>
              <w:jc w:val="both"/>
              <w:rPr>
                <w:rFonts w:ascii="Verdana" w:eastAsia="Calibri" w:hAnsi="Verdana" w:cs="Arial"/>
                <w:color w:val="000000" w:themeColor="text1"/>
                <w:lang w:eastAsia="es-ES"/>
              </w:rPr>
            </w:pPr>
            <w:r w:rsidRPr="00561B40">
              <w:rPr>
                <w:rFonts w:ascii="Verdana" w:eastAsia="Calibri" w:hAnsi="Verdana" w:cs="Arial"/>
                <w:color w:val="000000" w:themeColor="text1"/>
                <w:lang w:eastAsia="es-ES"/>
              </w:rPr>
              <w:t>Sin embargo, la situación cambia cuando, con posterioridad a la celebración del contrato, se pretende adicionar recursos provenientes del SGR para financiar su ejecución. En ese supuesto, no basta con afirmar que el contrato original fue celebrado bajo el régimen especial. Debe determinarse si la adición constituye una actuación contractual vinculada a la ejecución de un proyecto de inversión financiado con recursos del SGR y cuál es el régimen jurídico que gobierna esa nueva actuación.</w:t>
            </w:r>
          </w:p>
          <w:p w14:paraId="669D3720" w14:textId="77777777" w:rsidR="00DF6946" w:rsidRDefault="00DF6946">
            <w:pPr>
              <w:spacing w:after="120" w:line="276" w:lineRule="auto"/>
              <w:ind w:firstLine="709"/>
              <w:jc w:val="both"/>
              <w:rPr>
                <w:rFonts w:ascii="Verdana" w:eastAsia="Calibri" w:hAnsi="Verdana" w:cs="Arial"/>
                <w:color w:val="000000" w:themeColor="text1"/>
                <w:lang w:eastAsia="es-ES"/>
              </w:rPr>
            </w:pPr>
            <w:r w:rsidRPr="00561B40">
              <w:rPr>
                <w:rFonts w:ascii="Verdana" w:eastAsia="Calibri" w:hAnsi="Verdana" w:cs="Arial"/>
                <w:color w:val="000000" w:themeColor="text1"/>
                <w:lang w:eastAsia="es-ES"/>
              </w:rPr>
              <w:t>Bajo la interpretación que ha sostenido la ANCP-CCE y que resulta concordante con el Concepto 2563 de 2026, la incorporación de recursos del SGR no puede utilizarse para mantener, respecto de la nueva contratación o modificación contractual, la aplicación preferente del régimen privado de la entidad ejecutora. El artículo 37 de la Ley 2056 de 2020 establece que la ejecución de los proyectos debe adelantarse con estricta sujeción al régimen presupuestal del SGR, al régimen de contratación pública y a las demás normas legales vigentes. La ANCP-CCE ha reiterado esta interpretación incluso antes de la expedición del Concepto 2563.</w:t>
            </w:r>
          </w:p>
          <w:p w14:paraId="3858A99B" w14:textId="77777777" w:rsidR="00DF6946" w:rsidRPr="007965E3" w:rsidRDefault="00DF6946">
            <w:pPr>
              <w:spacing w:after="120" w:line="276" w:lineRule="auto"/>
              <w:ind w:firstLine="709"/>
              <w:jc w:val="both"/>
              <w:rPr>
                <w:rFonts w:ascii="Verdana" w:eastAsia="Calibri" w:hAnsi="Verdana" w:cs="Arial"/>
                <w:color w:val="000000" w:themeColor="text1"/>
                <w:lang w:eastAsia="es-ES"/>
              </w:rPr>
            </w:pPr>
            <w:r w:rsidRPr="007965E3">
              <w:rPr>
                <w:rFonts w:ascii="Verdana" w:eastAsia="Calibri" w:hAnsi="Verdana" w:cs="Arial"/>
                <w:color w:val="000000" w:themeColor="text1"/>
                <w:lang w:eastAsia="es-ES"/>
              </w:rPr>
              <w:t xml:space="preserve">Así, el elemento determinante no es la fecha del Concepto 2563, sino la fecha y naturaleza de la actuación contractual que se pretende realizar y, especialmente, la fuente de financiación que se incorpora al contrato. Si la adición de recursos del SGR implica modificar el contrato para ejecutar actividades comprendidas dentro de un proyecto de inversión del Sistema, la </w:t>
            </w:r>
            <w:r w:rsidRPr="007965E3">
              <w:rPr>
                <w:rFonts w:ascii="Verdana" w:eastAsia="Calibri" w:hAnsi="Verdana" w:cs="Arial"/>
                <w:color w:val="000000" w:themeColor="text1"/>
                <w:lang w:eastAsia="es-ES"/>
              </w:rPr>
              <w:lastRenderedPageBreak/>
              <w:t>entidad deberá analizar la aplicación del régimen especial de la Ley 2056 de 2020 y, en lo correspondiente a la contratación con terceros, del EGCAP.</w:t>
            </w:r>
          </w:p>
        </w:tc>
      </w:tr>
    </w:tbl>
    <w:p w14:paraId="1B39DBF9" w14:textId="77777777" w:rsidR="00DF6946" w:rsidRDefault="00DF6946" w:rsidP="00DF6946">
      <w:pPr>
        <w:tabs>
          <w:tab w:val="left" w:pos="142"/>
          <w:tab w:val="left" w:pos="284"/>
        </w:tabs>
        <w:spacing w:after="0" w:line="276" w:lineRule="auto"/>
        <w:jc w:val="both"/>
        <w:rPr>
          <w:rFonts w:ascii="Verdana" w:eastAsia="Century Gothic" w:hAnsi="Verdana" w:cs="Century Gothic"/>
          <w:b/>
          <w:bCs/>
        </w:rPr>
      </w:pPr>
    </w:p>
    <w:p w14:paraId="15B88EAA" w14:textId="77777777" w:rsidR="00DF6946" w:rsidRPr="008E4F36" w:rsidRDefault="00DF6946" w:rsidP="00DF6946">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445D3DE" w14:textId="77777777" w:rsidR="00DF6946" w:rsidRDefault="00DF6946" w:rsidP="00DF6946">
      <w:pPr>
        <w:pStyle w:val="Prrafodelista"/>
        <w:tabs>
          <w:tab w:val="left" w:pos="142"/>
          <w:tab w:val="left" w:pos="284"/>
        </w:tabs>
        <w:spacing w:after="0" w:line="276" w:lineRule="auto"/>
        <w:ind w:left="0"/>
        <w:contextualSpacing w:val="0"/>
        <w:jc w:val="both"/>
        <w:rPr>
          <w:rFonts w:ascii="Verdana" w:eastAsia="Calibri" w:hAnsi="Verdana" w:cs="Arial"/>
        </w:rPr>
      </w:pPr>
    </w:p>
    <w:p w14:paraId="65DDC9C2" w14:textId="77777777" w:rsidR="00DF6946" w:rsidRDefault="00DF6946" w:rsidP="00DF6946">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Lo anterior se sustenta en las siguientes consideraciones:</w:t>
      </w:r>
      <w:bookmarkStart w:id="4" w:name="_Hlk69487468"/>
      <w:bookmarkStart w:id="5" w:name="_Hlk79145750"/>
      <w:bookmarkStart w:id="6" w:name="_Hlk204856061"/>
      <w:bookmarkStart w:id="7" w:name="_Hlk78820161"/>
      <w:bookmarkStart w:id="8" w:name="_Hlk204854194"/>
    </w:p>
    <w:p w14:paraId="0891F6B7" w14:textId="77777777" w:rsidR="00DF6946" w:rsidRDefault="00DF6946" w:rsidP="00DF6946">
      <w:pPr>
        <w:pStyle w:val="Prrafodelista"/>
        <w:tabs>
          <w:tab w:val="left" w:pos="142"/>
          <w:tab w:val="left" w:pos="284"/>
        </w:tabs>
        <w:spacing w:after="0" w:line="276" w:lineRule="auto"/>
        <w:ind w:left="0"/>
        <w:contextualSpacing w:val="0"/>
        <w:jc w:val="both"/>
        <w:rPr>
          <w:rFonts w:ascii="Verdana" w:eastAsia="Calibri" w:hAnsi="Verdana" w:cs="Arial"/>
        </w:rPr>
      </w:pPr>
    </w:p>
    <w:p w14:paraId="62B278C9" w14:textId="7102DD76" w:rsidR="00DF6946" w:rsidRPr="00FB6807" w:rsidRDefault="00DF6946" w:rsidP="000B2A99">
      <w:pPr>
        <w:spacing w:after="120" w:line="276" w:lineRule="auto"/>
        <w:jc w:val="both"/>
        <w:rPr>
          <w:rFonts w:ascii="Verdana" w:eastAsia="Calibri" w:hAnsi="Verdana" w:cs="Arial"/>
          <w:color w:val="000000" w:themeColor="text1"/>
          <w:lang w:val="es-ES_tradnl"/>
        </w:rPr>
      </w:pPr>
      <w:r w:rsidRPr="000B2A99">
        <w:rPr>
          <w:rFonts w:ascii="Verdana" w:eastAsia="Calibri" w:hAnsi="Verdana" w:cs="Arial"/>
          <w:b/>
          <w:bCs/>
          <w:color w:val="000000" w:themeColor="text1"/>
          <w:lang w:val="es-ES_tradnl"/>
        </w:rPr>
        <w:t>i.</w:t>
      </w:r>
      <w:r w:rsidRPr="00FB6807">
        <w:rPr>
          <w:rFonts w:ascii="Verdana" w:eastAsia="Calibri" w:hAnsi="Verdana" w:cs="Arial"/>
          <w:color w:val="000000" w:themeColor="text1"/>
          <w:lang w:val="es-ES_tradnl"/>
        </w:rPr>
        <w:t xml:space="preserve"> Como punto de partida, es pertinente hacer algunas precisiones sobre la posición que ha sostenido la </w:t>
      </w:r>
      <w:r w:rsidRPr="00FB6807">
        <w:rPr>
          <w:rFonts w:ascii="Verdana" w:eastAsia="Calibri" w:hAnsi="Verdana" w:cs="Arial"/>
          <w:color w:val="000000"/>
          <w:lang w:val="es-ES" w:eastAsia="es-ES"/>
        </w:rPr>
        <w:t>Subdirección de Gestión Contractual de la A</w:t>
      </w:r>
      <w:r w:rsidR="008C5CE9">
        <w:rPr>
          <w:rFonts w:ascii="Verdana" w:eastAsia="Calibri" w:hAnsi="Verdana" w:cs="Arial"/>
          <w:color w:val="000000"/>
          <w:lang w:val="es-ES" w:eastAsia="es-ES"/>
        </w:rPr>
        <w:t xml:space="preserve">gencia </w:t>
      </w:r>
      <w:r w:rsidRPr="00FB6807">
        <w:rPr>
          <w:rFonts w:ascii="Verdana" w:eastAsia="Calibri" w:hAnsi="Verdana" w:cs="Arial"/>
          <w:color w:val="000000"/>
          <w:lang w:val="es-ES" w:eastAsia="es-ES"/>
        </w:rPr>
        <w:t>N</w:t>
      </w:r>
      <w:r w:rsidR="008C5CE9">
        <w:rPr>
          <w:rFonts w:ascii="Verdana" w:eastAsia="Calibri" w:hAnsi="Verdana" w:cs="Arial"/>
          <w:color w:val="000000"/>
          <w:lang w:val="es-ES" w:eastAsia="es-ES"/>
        </w:rPr>
        <w:t xml:space="preserve">acional de </w:t>
      </w:r>
      <w:r w:rsidRPr="00FB6807">
        <w:rPr>
          <w:rFonts w:ascii="Verdana" w:eastAsia="Calibri" w:hAnsi="Verdana" w:cs="Arial"/>
          <w:color w:val="000000"/>
          <w:lang w:val="es-ES" w:eastAsia="es-ES"/>
        </w:rPr>
        <w:t>C</w:t>
      </w:r>
      <w:r w:rsidR="008C5CE9">
        <w:rPr>
          <w:rFonts w:ascii="Verdana" w:eastAsia="Calibri" w:hAnsi="Verdana" w:cs="Arial"/>
          <w:color w:val="000000"/>
          <w:lang w:val="es-ES" w:eastAsia="es-ES"/>
        </w:rPr>
        <w:t xml:space="preserve">ontratación </w:t>
      </w:r>
      <w:r w:rsidRPr="00FB6807">
        <w:rPr>
          <w:rFonts w:ascii="Verdana" w:eastAsia="Calibri" w:hAnsi="Verdana" w:cs="Arial"/>
          <w:color w:val="000000"/>
          <w:lang w:val="es-ES" w:eastAsia="es-ES"/>
        </w:rPr>
        <w:t>P</w:t>
      </w:r>
      <w:r w:rsidR="008C5CE9">
        <w:rPr>
          <w:rFonts w:ascii="Verdana" w:eastAsia="Calibri" w:hAnsi="Verdana" w:cs="Arial"/>
          <w:color w:val="000000"/>
          <w:lang w:val="es-ES" w:eastAsia="es-ES"/>
        </w:rPr>
        <w:t>ública</w:t>
      </w:r>
      <w:r w:rsidRPr="00FB6807">
        <w:rPr>
          <w:rFonts w:ascii="Verdana" w:eastAsia="Calibri" w:hAnsi="Verdana" w:cs="Arial"/>
          <w:color w:val="000000"/>
          <w:lang w:val="es-ES" w:eastAsia="es-ES"/>
        </w:rPr>
        <w:t xml:space="preserve"> – C</w:t>
      </w:r>
      <w:r w:rsidR="008C5CE9">
        <w:rPr>
          <w:rFonts w:ascii="Verdana" w:eastAsia="Calibri" w:hAnsi="Verdana" w:cs="Arial"/>
          <w:color w:val="000000"/>
          <w:lang w:val="es-ES" w:eastAsia="es-ES"/>
        </w:rPr>
        <w:t xml:space="preserve">olombia </w:t>
      </w:r>
      <w:r w:rsidRPr="00FB6807">
        <w:rPr>
          <w:rFonts w:ascii="Verdana" w:eastAsia="Calibri" w:hAnsi="Verdana" w:cs="Arial"/>
          <w:color w:val="000000"/>
          <w:lang w:val="es-ES" w:eastAsia="es-ES"/>
        </w:rPr>
        <w:t>C</w:t>
      </w:r>
      <w:r w:rsidR="008C5CE9">
        <w:rPr>
          <w:rFonts w:ascii="Verdana" w:eastAsia="Calibri" w:hAnsi="Verdana" w:cs="Arial"/>
          <w:color w:val="000000"/>
          <w:lang w:val="es-ES" w:eastAsia="es-ES"/>
        </w:rPr>
        <w:t xml:space="preserve">ompra </w:t>
      </w:r>
      <w:r w:rsidRPr="00FB6807">
        <w:rPr>
          <w:rFonts w:ascii="Verdana" w:eastAsia="Calibri" w:hAnsi="Verdana" w:cs="Arial"/>
          <w:color w:val="000000"/>
          <w:lang w:val="es-ES" w:eastAsia="es-ES"/>
        </w:rPr>
        <w:t>E</w:t>
      </w:r>
      <w:r w:rsidR="008C5CE9">
        <w:rPr>
          <w:rFonts w:ascii="Verdana" w:eastAsia="Calibri" w:hAnsi="Verdana" w:cs="Arial"/>
          <w:color w:val="000000"/>
          <w:lang w:val="es-ES" w:eastAsia="es-ES"/>
        </w:rPr>
        <w:t>ficiente</w:t>
      </w:r>
      <w:r w:rsidRPr="00FB6807">
        <w:rPr>
          <w:rFonts w:ascii="Verdana" w:eastAsia="Calibri" w:hAnsi="Verdana" w:cs="Arial"/>
          <w:color w:val="000000"/>
          <w:lang w:val="es-ES" w:eastAsia="es-ES"/>
        </w:rPr>
        <w:t xml:space="preserve"> en ejercicio de su función consultiva, </w:t>
      </w:r>
      <w:r w:rsidRPr="00FB6807">
        <w:rPr>
          <w:rFonts w:ascii="Verdana" w:eastAsia="Calibri" w:hAnsi="Verdana" w:cs="Arial"/>
          <w:color w:val="000000" w:themeColor="text1"/>
          <w:lang w:val="es-ES_tradnl"/>
        </w:rPr>
        <w:t>en relación con</w:t>
      </w:r>
      <w:r w:rsidRPr="00FB6807">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73D09A99" w14:textId="4EC15711" w:rsidR="00DF6946" w:rsidRPr="00FB6807" w:rsidRDefault="00DF6946" w:rsidP="000B2A99">
      <w:pPr>
        <w:spacing w:after="120" w:line="276" w:lineRule="auto"/>
        <w:ind w:firstLine="709"/>
        <w:jc w:val="both"/>
        <w:rPr>
          <w:rFonts w:ascii="Verdana" w:hAnsi="Verdana"/>
          <w:shd w:val="clear" w:color="auto" w:fill="FFFFFF"/>
        </w:rPr>
      </w:pPr>
      <w:r w:rsidRPr="00FB6807">
        <w:rPr>
          <w:rFonts w:ascii="Verdana" w:hAnsi="Verdana"/>
          <w:lang w:val="es-ES" w:eastAsia="es-ES"/>
        </w:rPr>
        <w:t xml:space="preserve">Así, conforme a la interpretación general de las normas del </w:t>
      </w:r>
      <w:r w:rsidR="008C5CE9">
        <w:rPr>
          <w:rFonts w:ascii="Verdana" w:hAnsi="Verdana"/>
          <w:lang w:val="es-ES" w:eastAsia="es-ES"/>
        </w:rPr>
        <w:t>S</w:t>
      </w:r>
      <w:r w:rsidRPr="00FB6807">
        <w:rPr>
          <w:rFonts w:ascii="Verdana" w:hAnsi="Verdana"/>
          <w:lang w:val="es-ES" w:eastAsia="es-ES"/>
        </w:rPr>
        <w:t xml:space="preserve">istema de </w:t>
      </w:r>
      <w:r w:rsidR="008C5CE9">
        <w:rPr>
          <w:rFonts w:ascii="Verdana" w:hAnsi="Verdana"/>
          <w:lang w:val="es-ES" w:eastAsia="es-ES"/>
        </w:rPr>
        <w:t>C</w:t>
      </w:r>
      <w:r w:rsidRPr="00FB6807">
        <w:rPr>
          <w:rFonts w:ascii="Verdana" w:hAnsi="Verdana"/>
          <w:lang w:val="es-ES" w:eastAsia="es-ES"/>
        </w:rPr>
        <w:t xml:space="preserve">ompras </w:t>
      </w:r>
      <w:r w:rsidR="008C5CE9">
        <w:rPr>
          <w:rFonts w:ascii="Verdana" w:hAnsi="Verdana"/>
          <w:lang w:val="es-ES" w:eastAsia="es-ES"/>
        </w:rPr>
        <w:t>P</w:t>
      </w:r>
      <w:r w:rsidRPr="00FB6807">
        <w:rPr>
          <w:rFonts w:ascii="Verdana" w:hAnsi="Verdana"/>
          <w:lang w:val="es-ES" w:eastAsia="es-ES"/>
        </w:rPr>
        <w:t xml:space="preserve">úblicas, esta Subdirección en </w:t>
      </w:r>
      <w:r w:rsidRPr="00FB6807">
        <w:rPr>
          <w:rFonts w:ascii="Verdana" w:hAnsi="Verdana"/>
        </w:rPr>
        <w:t>los conceptos 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xml:space="preserve">, C-1050 del 21 de julio de 2026, C-1151, C-1152 del 12 de agosto, C-1249 del 27 de agosto de 2026, ha mantenido la postura en virtud de la cual </w:t>
      </w:r>
      <w:r w:rsidRPr="00FB6807">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w:t>
      </w:r>
      <w:r w:rsidR="00FF43BC">
        <w:rPr>
          <w:rFonts w:ascii="Verdana" w:hAnsi="Verdana"/>
          <w:lang w:val="es-ES" w:eastAsia="es-ES"/>
        </w:rPr>
        <w:t xml:space="preserve"> – en adelante </w:t>
      </w:r>
      <w:r w:rsidRPr="00FB6807">
        <w:rPr>
          <w:rFonts w:ascii="Verdana" w:hAnsi="Verdana"/>
          <w:lang w:val="es-ES" w:eastAsia="es-ES"/>
        </w:rPr>
        <w:t>EGCAP</w:t>
      </w:r>
      <w:r w:rsidR="00FF43BC">
        <w:rPr>
          <w:rFonts w:ascii="Verdana" w:hAnsi="Verdana"/>
          <w:lang w:val="es-ES" w:eastAsia="es-ES"/>
        </w:rPr>
        <w:t xml:space="preserve"> –</w:t>
      </w:r>
      <w:r w:rsidRPr="00FB6807">
        <w:rPr>
          <w:rFonts w:ascii="Verdana" w:hAnsi="Verdana"/>
          <w:lang w:val="es-ES" w:eastAsia="es-ES"/>
        </w:rPr>
        <w:t>, así como las normas que lo modifiquen, sustituyan o reglamenten.</w:t>
      </w:r>
    </w:p>
    <w:p w14:paraId="24C7C8C9" w14:textId="77777777" w:rsidR="00DF6946" w:rsidRPr="00FB6807" w:rsidRDefault="00DF6946" w:rsidP="000B2A99">
      <w:pPr>
        <w:spacing w:after="120" w:line="276" w:lineRule="auto"/>
        <w:ind w:firstLine="709"/>
        <w:jc w:val="both"/>
        <w:rPr>
          <w:rFonts w:ascii="Verdana" w:hAnsi="Verdana" w:cs="Arial"/>
          <w:noProof/>
        </w:rPr>
      </w:pPr>
      <w:r w:rsidRPr="00FB6807">
        <w:rPr>
          <w:rFonts w:ascii="Verdana" w:eastAsia="Calibri" w:hAnsi="Verdana" w:cs="Arial"/>
          <w:color w:val="000000"/>
          <w:lang w:val="es-ES" w:eastAsia="es-ES"/>
        </w:rPr>
        <w:t xml:space="preserve">En efecto, conforme se ha explicado en estos conceptos, </w:t>
      </w:r>
      <w:r w:rsidRPr="00FB6807">
        <w:rPr>
          <w:rFonts w:ascii="Verdana" w:hAnsi="Verdana" w:cs="Arial"/>
          <w:noProof/>
          <w:lang w:val="es-ES_tradnl"/>
        </w:rPr>
        <w:t xml:space="preserve">en </w:t>
      </w:r>
      <w:r w:rsidRPr="00FB6807">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w:t>
      </w:r>
      <w:r w:rsidRPr="00FB6807">
        <w:rPr>
          <w:rFonts w:ascii="Verdana" w:hAnsi="Verdana" w:cs="Arial"/>
          <w:noProof/>
        </w:rPr>
        <w:lastRenderedPageBreak/>
        <w:t>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F6E7B66" w14:textId="77777777" w:rsidR="00DF6946" w:rsidRPr="00FB6807" w:rsidRDefault="00DF6946" w:rsidP="000B2A99">
      <w:pPr>
        <w:spacing w:after="120" w:line="276" w:lineRule="auto"/>
        <w:ind w:firstLine="709"/>
        <w:jc w:val="both"/>
        <w:rPr>
          <w:rFonts w:ascii="Verdana" w:hAnsi="Verdana" w:cs="Arial"/>
        </w:rPr>
      </w:pPr>
      <w:r w:rsidRPr="00FB6807">
        <w:rPr>
          <w:rFonts w:ascii="Verdana" w:hAnsi="Verdana" w:cs="Arial"/>
          <w:noProof/>
        </w:rPr>
        <w:t xml:space="preserve">Particularmente, el artículo 37 </w:t>
      </w:r>
      <w:r w:rsidRPr="00FB6807">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FB6807">
        <w:rPr>
          <w:rFonts w:ascii="Verdana" w:hAnsi="Verdana" w:cs="Arial"/>
          <w:i/>
          <w:iCs/>
        </w:rPr>
        <w:t>ibidem</w:t>
      </w:r>
      <w:r w:rsidRPr="00FB6807">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6C80AA41" w14:textId="3D4A84A9" w:rsidR="00DF6946" w:rsidRPr="00FB6807" w:rsidRDefault="00DF6946" w:rsidP="000B2A99">
      <w:pPr>
        <w:spacing w:after="120" w:line="276" w:lineRule="auto"/>
        <w:ind w:firstLine="709"/>
        <w:jc w:val="both"/>
        <w:rPr>
          <w:rFonts w:ascii="Verdana" w:hAnsi="Verdana" w:cs="Arial"/>
        </w:rPr>
      </w:pPr>
      <w:r w:rsidRPr="00FB6807">
        <w:rPr>
          <w:rFonts w:ascii="Verdana" w:hAnsi="Verdana" w:cs="Arial"/>
        </w:rPr>
        <w:t xml:space="preserve">El parágrafo primero del artículo 37 </w:t>
      </w:r>
      <w:r w:rsidRPr="00FB6807">
        <w:rPr>
          <w:rFonts w:ascii="Verdana" w:hAnsi="Verdana" w:cs="Arial"/>
          <w:i/>
          <w:iCs/>
        </w:rPr>
        <w:t>ibidem</w:t>
      </w:r>
      <w:r w:rsidRPr="00FB6807">
        <w:rPr>
          <w:rFonts w:ascii="Verdana" w:hAnsi="Verdana" w:cs="Arial"/>
        </w:rPr>
        <w:t xml:space="preserve"> dispone lo siguiente: “La ejecución de proyectos de que trata este artículo, se adelantará, con estricta sujeción al régimen presupuestal definido en esta ley, </w:t>
      </w:r>
      <w:r w:rsidRPr="00FB6807">
        <w:rPr>
          <w:rFonts w:ascii="Verdana" w:hAnsi="Verdana" w:cs="Arial"/>
          <w:i/>
          <w:iCs/>
          <w:u w:val="single"/>
        </w:rPr>
        <w:t>al de contratación pública</w:t>
      </w:r>
      <w:r w:rsidRPr="00FB6807">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FB6807">
        <w:rPr>
          <w:rFonts w:ascii="Verdana" w:hAnsi="Verdana" w:cs="Arial"/>
          <w:vertAlign w:val="superscript"/>
        </w:rPr>
        <w:footnoteReference w:id="1"/>
      </w:r>
      <w:r w:rsidRPr="00FB6807">
        <w:rPr>
          <w:rFonts w:ascii="Verdana" w:hAnsi="Verdana" w:cs="Arial"/>
        </w:rPr>
        <w:t>.</w:t>
      </w:r>
      <w:r w:rsidRPr="00FB6807">
        <w:rPr>
          <w:rFonts w:ascii="Verdana" w:hAnsi="Verdana" w:cs="Arial"/>
          <w:noProof/>
        </w:rPr>
        <w:t xml:space="preserve"> A partir de esta norma, el ejercutor de los proyectos de </w:t>
      </w:r>
      <w:r w:rsidRPr="00FB6807">
        <w:rPr>
          <w:rFonts w:ascii="Verdana" w:hAnsi="Verdana" w:cs="Arial"/>
          <w:noProof/>
        </w:rPr>
        <w:lastRenderedPageBreak/>
        <w:t>inversion en el S</w:t>
      </w:r>
      <w:r w:rsidR="000A1115">
        <w:rPr>
          <w:rFonts w:ascii="Verdana" w:hAnsi="Verdana" w:cs="Arial"/>
          <w:noProof/>
        </w:rPr>
        <w:t xml:space="preserve">istema </w:t>
      </w:r>
      <w:r w:rsidRPr="00FB6807">
        <w:rPr>
          <w:rFonts w:ascii="Verdana" w:hAnsi="Verdana" w:cs="Arial"/>
          <w:noProof/>
        </w:rPr>
        <w:t>G</w:t>
      </w:r>
      <w:r w:rsidR="000A1115">
        <w:rPr>
          <w:rFonts w:ascii="Verdana" w:hAnsi="Verdana" w:cs="Arial"/>
          <w:noProof/>
        </w:rPr>
        <w:t xml:space="preserve">eneral de </w:t>
      </w:r>
      <w:r w:rsidRPr="00FB6807">
        <w:rPr>
          <w:rFonts w:ascii="Verdana" w:hAnsi="Verdana" w:cs="Arial"/>
          <w:noProof/>
        </w:rPr>
        <w:t>R</w:t>
      </w:r>
      <w:r w:rsidR="000A1115">
        <w:rPr>
          <w:rFonts w:ascii="Verdana" w:hAnsi="Verdana" w:cs="Arial"/>
          <w:noProof/>
        </w:rPr>
        <w:t>egalias</w:t>
      </w:r>
      <w:r w:rsidRPr="00FB6807">
        <w:rPr>
          <w:rFonts w:ascii="Verdana" w:hAnsi="Verdana" w:cs="Arial"/>
          <w:noProof/>
        </w:rPr>
        <w:t xml:space="preserve"> debe sujetarse a las reglas de contratación pública, es decir, a las prescripciones establecidas en el Estatuto General de Contratación </w:t>
      </w:r>
      <w:r w:rsidR="00C314ED">
        <w:rPr>
          <w:rFonts w:ascii="Verdana" w:hAnsi="Verdana" w:cs="Arial"/>
          <w:noProof/>
        </w:rPr>
        <w:t xml:space="preserve">de la Administracón </w:t>
      </w:r>
      <w:r w:rsidRPr="00FB6807">
        <w:rPr>
          <w:rFonts w:ascii="Verdana" w:hAnsi="Verdana" w:cs="Arial"/>
          <w:noProof/>
        </w:rPr>
        <w:t xml:space="preserve">Pública, así como las normas que lo modifiquen, sustituyan o reglamenten. En efecto, el ejecutor debe someterse a las reglas generales de la contratación pública cuando desarrolle proyectos en el marco del Sistema General de Regalías. </w:t>
      </w:r>
    </w:p>
    <w:p w14:paraId="1F107447" w14:textId="77777777" w:rsidR="00DF6946" w:rsidRPr="00FB6807" w:rsidRDefault="00DF6946" w:rsidP="000B2A99">
      <w:pPr>
        <w:spacing w:after="120" w:line="276" w:lineRule="auto"/>
        <w:ind w:firstLine="709"/>
        <w:jc w:val="both"/>
        <w:rPr>
          <w:rFonts w:ascii="Verdana" w:hAnsi="Verdana" w:cs="Arial"/>
          <w:bdr w:val="none" w:sz="0" w:space="0" w:color="auto" w:frame="1"/>
        </w:rPr>
      </w:pPr>
      <w:r w:rsidRPr="00FB6807">
        <w:rPr>
          <w:rFonts w:ascii="Verdana" w:hAnsi="Verdana" w:cs="Arial"/>
        </w:rPr>
        <w:t xml:space="preserve">Por tanto, en caso de que se realicen proyectos de inversión en el marco del Sistema General de Regalías, como también aquellos proyectos especiales referenciados </w:t>
      </w:r>
      <w:r w:rsidRPr="00FB6807">
        <w:rPr>
          <w:rFonts w:ascii="Verdana" w:hAnsi="Verdana" w:cs="Arial"/>
          <w:i/>
          <w:iCs/>
        </w:rPr>
        <w:t>ut supra</w:t>
      </w:r>
      <w:r w:rsidRPr="00FB6807">
        <w:rPr>
          <w:rFonts w:ascii="Verdana" w:hAnsi="Verdana" w:cs="Arial"/>
        </w:rPr>
        <w:t>, los ejecutores designados para desarrollarlos deben sujetarse al Estatuto General de Contratación de la Administración Pública</w:t>
      </w:r>
      <w:r w:rsidRPr="00FB6807">
        <w:rPr>
          <w:rFonts w:ascii="Verdana" w:eastAsia="Calibri" w:hAnsi="Verdana" w:cs="Arial"/>
        </w:rPr>
        <w:t>.</w:t>
      </w:r>
      <w:r w:rsidRPr="00FB6807">
        <w:rPr>
          <w:rFonts w:ascii="Verdana" w:hAnsi="Verdana" w:cs="Arial"/>
        </w:rPr>
        <w:t xml:space="preserve"> </w:t>
      </w:r>
      <w:r w:rsidRPr="00FB6807">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55499A96" w14:textId="1AC4B7A7" w:rsidR="00DF6946" w:rsidRPr="00FB6807" w:rsidRDefault="00DF6946" w:rsidP="000B2A99">
      <w:pPr>
        <w:spacing w:after="120" w:line="276" w:lineRule="auto"/>
        <w:ind w:firstLine="709"/>
        <w:jc w:val="both"/>
        <w:rPr>
          <w:rFonts w:ascii="Verdana" w:eastAsia="Calibri" w:hAnsi="Verdana" w:cs="Arial"/>
          <w:color w:val="000000"/>
          <w:lang w:val="es-ES" w:eastAsia="es-ES"/>
        </w:rPr>
      </w:pPr>
      <w:r w:rsidRPr="00FB6807">
        <w:rPr>
          <w:rFonts w:ascii="Verdana" w:eastAsia="Calibri" w:hAnsi="Verdana" w:cs="Arial"/>
          <w:color w:val="000000"/>
          <w:lang w:val="es-ES" w:eastAsia="es-ES"/>
        </w:rPr>
        <w:t xml:space="preserve">Así las cosas, se ha sostenido </w:t>
      </w:r>
      <w:proofErr w:type="gramStart"/>
      <w:r w:rsidRPr="00FB6807">
        <w:rPr>
          <w:rFonts w:ascii="Verdana" w:eastAsia="Calibri" w:hAnsi="Verdana" w:cs="Arial"/>
          <w:color w:val="000000"/>
          <w:lang w:val="es-ES" w:eastAsia="es-ES"/>
        </w:rPr>
        <w:t>que</w:t>
      </w:r>
      <w:proofErr w:type="gramEnd"/>
      <w:r w:rsidRPr="00FB6807">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w:t>
      </w:r>
      <w:r w:rsidR="00DB7B21">
        <w:rPr>
          <w:rFonts w:ascii="Verdana" w:eastAsia="Calibri" w:hAnsi="Verdana" w:cs="Arial"/>
          <w:color w:val="000000"/>
          <w:lang w:val="es-ES" w:eastAsia="es-ES"/>
        </w:rPr>
        <w:t xml:space="preserve">istema </w:t>
      </w:r>
      <w:r w:rsidRPr="00FB6807">
        <w:rPr>
          <w:rFonts w:ascii="Verdana" w:eastAsia="Calibri" w:hAnsi="Verdana" w:cs="Arial"/>
          <w:color w:val="000000"/>
          <w:lang w:val="es-ES" w:eastAsia="es-ES"/>
        </w:rPr>
        <w:t>G</w:t>
      </w:r>
      <w:r w:rsidR="00DB7B21">
        <w:rPr>
          <w:rFonts w:ascii="Verdana" w:eastAsia="Calibri" w:hAnsi="Verdana" w:cs="Arial"/>
          <w:color w:val="000000"/>
          <w:lang w:val="es-ES" w:eastAsia="es-ES"/>
        </w:rPr>
        <w:t xml:space="preserve">eneral de </w:t>
      </w:r>
      <w:r w:rsidR="003564A1" w:rsidRPr="00FB6807">
        <w:rPr>
          <w:rFonts w:ascii="Verdana" w:eastAsia="Calibri" w:hAnsi="Verdana" w:cs="Arial"/>
          <w:color w:val="000000"/>
          <w:lang w:val="es-ES" w:eastAsia="es-ES"/>
        </w:rPr>
        <w:t>R</w:t>
      </w:r>
      <w:r w:rsidR="003564A1">
        <w:rPr>
          <w:rFonts w:ascii="Verdana" w:eastAsia="Calibri" w:hAnsi="Verdana" w:cs="Arial"/>
          <w:color w:val="000000"/>
          <w:lang w:val="es-ES" w:eastAsia="es-ES"/>
        </w:rPr>
        <w:t>egalías</w:t>
      </w:r>
      <w:r w:rsidRPr="00FB6807">
        <w:rPr>
          <w:rFonts w:ascii="Verdana" w:eastAsia="Calibri" w:hAnsi="Verdana" w:cs="Arial"/>
          <w:color w:val="000000"/>
          <w:lang w:val="es-ES" w:eastAsia="es-ES"/>
        </w:rPr>
        <w:t xml:space="preserve"> deben sujetarse a las normas donde prevalece el derecho público, esto es, al EGCAP, sin perjuicio de que en sus demás actividades apliquen el régimen especial que les corresponda.</w:t>
      </w:r>
    </w:p>
    <w:p w14:paraId="216480B5" w14:textId="0C40E09B" w:rsidR="00DF6946" w:rsidRPr="00FB6807" w:rsidRDefault="00DF6946" w:rsidP="000B2A99">
      <w:pPr>
        <w:spacing w:after="120" w:line="276" w:lineRule="auto"/>
        <w:ind w:firstLine="709"/>
        <w:jc w:val="both"/>
        <w:rPr>
          <w:rFonts w:ascii="Verdana" w:eastAsia="Calibri" w:hAnsi="Verdana" w:cs="Arial"/>
          <w:color w:val="000000"/>
          <w:szCs w:val="24"/>
          <w:lang w:val="es-ES" w:eastAsia="es-ES_tradnl"/>
        </w:rPr>
      </w:pPr>
      <w:r w:rsidRPr="00FB6807">
        <w:rPr>
          <w:rFonts w:ascii="Verdana" w:eastAsia="Calibri" w:hAnsi="Verdana" w:cs="Arial"/>
        </w:rPr>
        <w:lastRenderedPageBreak/>
        <w:t>En este contexto, la A</w:t>
      </w:r>
      <w:r w:rsidR="003564A1">
        <w:rPr>
          <w:rFonts w:ascii="Verdana" w:eastAsia="Calibri" w:hAnsi="Verdana" w:cs="Arial"/>
        </w:rPr>
        <w:t xml:space="preserve">gencia </w:t>
      </w:r>
      <w:r w:rsidRPr="00FB6807">
        <w:rPr>
          <w:rFonts w:ascii="Verdana" w:eastAsia="Calibri" w:hAnsi="Verdana" w:cs="Arial"/>
        </w:rPr>
        <w:t>N</w:t>
      </w:r>
      <w:r w:rsidR="003564A1">
        <w:rPr>
          <w:rFonts w:ascii="Verdana" w:eastAsia="Calibri" w:hAnsi="Verdana" w:cs="Arial"/>
        </w:rPr>
        <w:t xml:space="preserve">acional de </w:t>
      </w:r>
      <w:r w:rsidRPr="00FB6807">
        <w:rPr>
          <w:rFonts w:ascii="Verdana" w:eastAsia="Calibri" w:hAnsi="Verdana" w:cs="Arial"/>
        </w:rPr>
        <w:t>C</w:t>
      </w:r>
      <w:r w:rsidR="003564A1">
        <w:rPr>
          <w:rFonts w:ascii="Verdana" w:eastAsia="Calibri" w:hAnsi="Verdana" w:cs="Arial"/>
        </w:rPr>
        <w:t xml:space="preserve">ontratación </w:t>
      </w:r>
      <w:r w:rsidRPr="00FB6807">
        <w:rPr>
          <w:rFonts w:ascii="Verdana" w:eastAsia="Calibri" w:hAnsi="Verdana" w:cs="Arial"/>
        </w:rPr>
        <w:t>P</w:t>
      </w:r>
      <w:r w:rsidR="003564A1">
        <w:rPr>
          <w:rFonts w:ascii="Verdana" w:eastAsia="Calibri" w:hAnsi="Verdana" w:cs="Arial"/>
        </w:rPr>
        <w:t>ública</w:t>
      </w:r>
      <w:r w:rsidRPr="00FB6807">
        <w:rPr>
          <w:rFonts w:ascii="Verdana" w:eastAsia="Calibri" w:hAnsi="Verdana" w:cs="Arial"/>
        </w:rPr>
        <w:t xml:space="preserve"> – C</w:t>
      </w:r>
      <w:r w:rsidR="003564A1">
        <w:rPr>
          <w:rFonts w:ascii="Verdana" w:eastAsia="Calibri" w:hAnsi="Verdana" w:cs="Arial"/>
        </w:rPr>
        <w:t xml:space="preserve">olombia </w:t>
      </w:r>
      <w:r w:rsidRPr="00FB6807">
        <w:rPr>
          <w:rFonts w:ascii="Verdana" w:eastAsia="Calibri" w:hAnsi="Verdana" w:cs="Arial"/>
        </w:rPr>
        <w:t>C</w:t>
      </w:r>
      <w:r w:rsidR="003564A1">
        <w:rPr>
          <w:rFonts w:ascii="Verdana" w:eastAsia="Calibri" w:hAnsi="Verdana" w:cs="Arial"/>
        </w:rPr>
        <w:t xml:space="preserve">ompra </w:t>
      </w:r>
      <w:r w:rsidRPr="00FB6807">
        <w:rPr>
          <w:rFonts w:ascii="Verdana" w:eastAsia="Calibri" w:hAnsi="Verdana" w:cs="Arial"/>
        </w:rPr>
        <w:t>E</w:t>
      </w:r>
      <w:r w:rsidR="003564A1">
        <w:rPr>
          <w:rFonts w:ascii="Verdana" w:eastAsia="Calibri" w:hAnsi="Verdana" w:cs="Arial"/>
        </w:rPr>
        <w:t>ficiente</w:t>
      </w:r>
      <w:r w:rsidRPr="00FB6807">
        <w:rPr>
          <w:rFonts w:ascii="Verdana" w:eastAsia="Calibri" w:hAnsi="Verdana" w:cs="Arial"/>
        </w:rPr>
        <w:t xml:space="preserve"> si bien reconoce el régimen de contratación especial de entidades tales como universidades públicas, Fondos Mixtos, EICE, ESP, entre otras, cuando actúan como entidades ejecutoras de proyectos financiados con recursos del S</w:t>
      </w:r>
      <w:r w:rsidR="00047689">
        <w:rPr>
          <w:rFonts w:ascii="Verdana" w:eastAsia="Calibri" w:hAnsi="Verdana" w:cs="Arial"/>
        </w:rPr>
        <w:t xml:space="preserve">istema </w:t>
      </w:r>
      <w:r w:rsidRPr="00FB6807">
        <w:rPr>
          <w:rFonts w:ascii="Verdana" w:eastAsia="Calibri" w:hAnsi="Verdana" w:cs="Arial"/>
        </w:rPr>
        <w:t>G</w:t>
      </w:r>
      <w:r w:rsidR="00047689">
        <w:rPr>
          <w:rFonts w:ascii="Verdana" w:eastAsia="Calibri" w:hAnsi="Verdana" w:cs="Arial"/>
        </w:rPr>
        <w:t xml:space="preserve">eneral de </w:t>
      </w:r>
      <w:r w:rsidR="00047689" w:rsidRPr="00FB6807">
        <w:rPr>
          <w:rFonts w:ascii="Verdana" w:eastAsia="Calibri" w:hAnsi="Verdana" w:cs="Arial"/>
        </w:rPr>
        <w:t>R</w:t>
      </w:r>
      <w:r w:rsidR="00047689">
        <w:rPr>
          <w:rFonts w:ascii="Verdana" w:eastAsia="Calibri" w:hAnsi="Verdana" w:cs="Arial"/>
        </w:rPr>
        <w:t>egalías</w:t>
      </w:r>
      <w:r w:rsidRPr="00FB6807">
        <w:rPr>
          <w:rFonts w:ascii="Verdana" w:eastAsia="Calibri" w:hAnsi="Verdana" w:cs="Arial"/>
        </w:rPr>
        <w:t xml:space="preserve">, deben sujetarse a la norma especial prevista para dichos recursos, la cual impone la aplicación obligatoria del Estatuto General de Contratación de la Administración Pública, tal como lo establece de forma expresa el artículo 37 de la Ley 2056 de 2020. </w:t>
      </w:r>
    </w:p>
    <w:p w14:paraId="27AA5D6C" w14:textId="77777777"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rPr>
        <w:t xml:space="preserve">De acuerdo con esta interpretación, esta Subdirección considera que el </w:t>
      </w:r>
      <w:r w:rsidRPr="00FB6807">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4DCEBE84" w14:textId="77777777"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0F6FB655" w14:textId="71961F9A"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w:t>
      </w:r>
      <w:r w:rsidR="00047689">
        <w:rPr>
          <w:rFonts w:ascii="Verdana" w:eastAsia="Calibri" w:hAnsi="Verdana" w:cs="Arial"/>
          <w:color w:val="000000" w:themeColor="text1"/>
          <w:lang w:eastAsia="es-ES"/>
        </w:rPr>
        <w:t>L</w:t>
      </w:r>
      <w:r w:rsidRPr="00FB6807">
        <w:rPr>
          <w:rFonts w:ascii="Verdana" w:eastAsia="Calibri" w:hAnsi="Verdana" w:cs="Arial"/>
          <w:color w:val="000000" w:themeColor="text1"/>
          <w:lang w:eastAsia="es-ES"/>
        </w:rPr>
        <w:t xml:space="preserve">ey 80 de 1993 y normas reglamentarias vigentes. De igual forma, esta remisión expresa al EGCAP establecida en el parágrafo 1 del artículo 37 se contempla en diferentes disposiciones de la Ley 2056 de 2020, </w:t>
      </w:r>
      <w:r w:rsidRPr="00FB6807">
        <w:rPr>
          <w:rFonts w:ascii="Verdana" w:eastAsia="Calibri" w:hAnsi="Verdana" w:cs="Arial"/>
          <w:color w:val="000000" w:themeColor="text1"/>
          <w:lang w:eastAsia="es-ES"/>
        </w:rPr>
        <w:lastRenderedPageBreak/>
        <w:t>como son los artículos 84</w:t>
      </w:r>
      <w:r w:rsidRPr="00FB6807">
        <w:rPr>
          <w:rFonts w:ascii="Verdana" w:eastAsia="Calibri" w:hAnsi="Verdana" w:cs="Arial"/>
          <w:color w:val="000000" w:themeColor="text1"/>
          <w:vertAlign w:val="superscript"/>
          <w:lang w:eastAsia="es-ES"/>
        </w:rPr>
        <w:footnoteReference w:id="2"/>
      </w:r>
      <w:r w:rsidRPr="00FB6807">
        <w:rPr>
          <w:rFonts w:ascii="Verdana" w:eastAsia="Calibri" w:hAnsi="Verdana" w:cs="Arial"/>
          <w:color w:val="000000" w:themeColor="text1"/>
          <w:lang w:eastAsia="es-ES"/>
        </w:rPr>
        <w:t>, 98</w:t>
      </w:r>
      <w:r w:rsidRPr="00FB6807">
        <w:rPr>
          <w:rFonts w:ascii="Verdana" w:eastAsia="Calibri" w:hAnsi="Verdana" w:cs="Arial"/>
          <w:color w:val="000000" w:themeColor="text1"/>
          <w:vertAlign w:val="superscript"/>
          <w:lang w:eastAsia="es-ES"/>
        </w:rPr>
        <w:footnoteReference w:id="3"/>
      </w:r>
      <w:r w:rsidRPr="00FB6807">
        <w:rPr>
          <w:rFonts w:ascii="Verdana" w:eastAsia="Calibri" w:hAnsi="Verdana" w:cs="Arial"/>
          <w:color w:val="000000" w:themeColor="text1"/>
          <w:lang w:eastAsia="es-ES"/>
        </w:rPr>
        <w:t>, 99</w:t>
      </w:r>
      <w:r w:rsidRPr="00FB6807">
        <w:rPr>
          <w:rFonts w:ascii="Verdana" w:eastAsia="Calibri" w:hAnsi="Verdana" w:cs="Arial"/>
          <w:color w:val="000000" w:themeColor="text1"/>
          <w:vertAlign w:val="superscript"/>
          <w:lang w:eastAsia="es-ES"/>
        </w:rPr>
        <w:footnoteReference w:id="4"/>
      </w:r>
      <w:r w:rsidRPr="00FB6807">
        <w:rPr>
          <w:rFonts w:ascii="Verdana" w:eastAsia="Calibri" w:hAnsi="Verdana" w:cs="Arial"/>
          <w:color w:val="000000" w:themeColor="text1"/>
          <w:lang w:eastAsia="es-ES"/>
        </w:rPr>
        <w:t>, 108</w:t>
      </w:r>
      <w:r w:rsidRPr="00FB6807">
        <w:rPr>
          <w:rFonts w:ascii="Verdana" w:eastAsia="Calibri" w:hAnsi="Verdana" w:cs="Arial"/>
          <w:color w:val="000000" w:themeColor="text1"/>
          <w:vertAlign w:val="superscript"/>
          <w:lang w:eastAsia="es-ES"/>
        </w:rPr>
        <w:footnoteReference w:id="5"/>
      </w:r>
      <w:r w:rsidRPr="00FB6807">
        <w:rPr>
          <w:rFonts w:ascii="Verdana" w:eastAsia="Calibri" w:hAnsi="Verdana" w:cs="Arial"/>
          <w:color w:val="000000" w:themeColor="text1"/>
          <w:lang w:eastAsia="es-ES"/>
        </w:rPr>
        <w:t xml:space="preserve"> y 109</w:t>
      </w:r>
      <w:r w:rsidRPr="00FB6807">
        <w:rPr>
          <w:rFonts w:ascii="Verdana" w:eastAsia="Calibri" w:hAnsi="Verdana" w:cs="Arial"/>
          <w:color w:val="000000" w:themeColor="text1"/>
          <w:vertAlign w:val="superscript"/>
          <w:lang w:eastAsia="es-ES"/>
        </w:rPr>
        <w:footnoteReference w:id="6"/>
      </w:r>
      <w:r w:rsidRPr="00FB6807">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4BB28F54" w14:textId="77777777"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1C31690D" w14:textId="42BF436B"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Aunado a lo anterior, se precisa que el parágrafo 1 del artículo 37 de la Ley 2056 de 2020 no distingue sobre el tipo de régimen de contratación aplicable a las entidades ejecutoras de los recursos del S</w:t>
      </w:r>
      <w:r w:rsidR="00884DA0">
        <w:rPr>
          <w:rFonts w:ascii="Verdana" w:eastAsia="Calibri" w:hAnsi="Verdana" w:cs="Arial"/>
          <w:color w:val="000000" w:themeColor="text1"/>
          <w:lang w:eastAsia="es-ES"/>
        </w:rPr>
        <w:t xml:space="preserve">istema </w:t>
      </w:r>
      <w:r w:rsidRPr="00FB6807">
        <w:rPr>
          <w:rFonts w:ascii="Verdana" w:eastAsia="Calibri" w:hAnsi="Verdana" w:cs="Arial"/>
          <w:color w:val="000000" w:themeColor="text1"/>
          <w:lang w:eastAsia="es-ES"/>
        </w:rPr>
        <w:t>G</w:t>
      </w:r>
      <w:r w:rsidR="00884DA0">
        <w:rPr>
          <w:rFonts w:ascii="Verdana" w:eastAsia="Calibri" w:hAnsi="Verdana" w:cs="Arial"/>
          <w:color w:val="000000" w:themeColor="text1"/>
          <w:lang w:eastAsia="es-ES"/>
        </w:rPr>
        <w:t xml:space="preserve">eneral de </w:t>
      </w:r>
      <w:proofErr w:type="spellStart"/>
      <w:r w:rsidRPr="00FB6807">
        <w:rPr>
          <w:rFonts w:ascii="Verdana" w:eastAsia="Calibri" w:hAnsi="Verdana" w:cs="Arial"/>
          <w:color w:val="000000" w:themeColor="text1"/>
          <w:lang w:eastAsia="es-ES"/>
        </w:rPr>
        <w:t>R</w:t>
      </w:r>
      <w:r w:rsidR="00884DA0">
        <w:rPr>
          <w:rFonts w:ascii="Verdana" w:eastAsia="Calibri" w:hAnsi="Verdana" w:cs="Arial"/>
          <w:color w:val="000000" w:themeColor="text1"/>
          <w:lang w:eastAsia="es-ES"/>
        </w:rPr>
        <w:t>egalias</w:t>
      </w:r>
      <w:proofErr w:type="spellEnd"/>
      <w:r w:rsidRPr="00FB6807">
        <w:rPr>
          <w:rFonts w:ascii="Verdana" w:eastAsia="Calibri" w:hAnsi="Verdana" w:cs="Arial"/>
          <w:color w:val="000000" w:themeColor="text1"/>
          <w:lang w:eastAsia="es-ES"/>
        </w:rPr>
        <w:t xml:space="preserve">, sin embargo, si realiza la remisión expresa al EGCAP. Por tanto, en desarrollo del principio general de interpretación jurídica según el cual </w:t>
      </w:r>
      <w:r w:rsidRPr="00FB6807">
        <w:rPr>
          <w:rFonts w:ascii="Verdana" w:eastAsia="Calibri" w:hAnsi="Verdana" w:cs="Arial"/>
          <w:i/>
          <w:iCs/>
          <w:color w:val="000000" w:themeColor="text1"/>
          <w:lang w:eastAsia="es-ES"/>
        </w:rPr>
        <w:t>donde la norma no distingue, no le corresponde distinguir al intérprete,</w:t>
      </w:r>
      <w:r w:rsidRPr="00FB6807">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w:t>
      </w:r>
      <w:r w:rsidRPr="00FB6807">
        <w:rPr>
          <w:rFonts w:ascii="Verdana" w:eastAsia="Calibri" w:hAnsi="Verdana" w:cs="Arial"/>
          <w:color w:val="000000" w:themeColor="text1"/>
          <w:lang w:eastAsia="es-ES"/>
        </w:rPr>
        <w:lastRenderedPageBreak/>
        <w:t>garantizar</w:t>
      </w:r>
      <w:r w:rsidRPr="00FB6807">
        <w:t xml:space="preserve"> </w:t>
      </w:r>
      <w:r w:rsidRPr="00FB6807">
        <w:rPr>
          <w:rFonts w:ascii="Verdana" w:eastAsia="Calibri" w:hAnsi="Verdana" w:cs="Arial"/>
          <w:color w:val="000000" w:themeColor="text1"/>
          <w:lang w:eastAsia="es-ES"/>
        </w:rPr>
        <w:t xml:space="preserve">la eficiencia, transparencia y responsabilidad en la gestión del gasto público.  </w:t>
      </w:r>
    </w:p>
    <w:p w14:paraId="2E97E1E7" w14:textId="185064C2"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w:t>
      </w:r>
      <w:r w:rsidR="00884DA0">
        <w:rPr>
          <w:rFonts w:ascii="Verdana" w:eastAsia="Calibri" w:hAnsi="Verdana" w:cs="Arial"/>
          <w:color w:val="000000" w:themeColor="text1"/>
          <w:lang w:eastAsia="es-ES"/>
        </w:rPr>
        <w:t xml:space="preserve">istema </w:t>
      </w:r>
      <w:r w:rsidRPr="00FB6807">
        <w:rPr>
          <w:rFonts w:ascii="Verdana" w:eastAsia="Calibri" w:hAnsi="Verdana" w:cs="Arial"/>
          <w:color w:val="000000" w:themeColor="text1"/>
          <w:lang w:eastAsia="es-ES"/>
        </w:rPr>
        <w:t>G</w:t>
      </w:r>
      <w:r w:rsidR="00884DA0">
        <w:rPr>
          <w:rFonts w:ascii="Verdana" w:eastAsia="Calibri" w:hAnsi="Verdana" w:cs="Arial"/>
          <w:color w:val="000000" w:themeColor="text1"/>
          <w:lang w:eastAsia="es-ES"/>
        </w:rPr>
        <w:t xml:space="preserve">eneral de </w:t>
      </w:r>
      <w:proofErr w:type="spellStart"/>
      <w:r w:rsidRPr="00FB6807">
        <w:rPr>
          <w:rFonts w:ascii="Verdana" w:eastAsia="Calibri" w:hAnsi="Verdana" w:cs="Arial"/>
          <w:color w:val="000000" w:themeColor="text1"/>
          <w:lang w:eastAsia="es-ES"/>
        </w:rPr>
        <w:t>R</w:t>
      </w:r>
      <w:r w:rsidR="00884DA0">
        <w:rPr>
          <w:rFonts w:ascii="Verdana" w:eastAsia="Calibri" w:hAnsi="Verdana" w:cs="Arial"/>
          <w:color w:val="000000" w:themeColor="text1"/>
          <w:lang w:eastAsia="es-ES"/>
        </w:rPr>
        <w:t>egalias</w:t>
      </w:r>
      <w:proofErr w:type="spellEnd"/>
      <w:r w:rsidRPr="00FB6807">
        <w:rPr>
          <w:rFonts w:ascii="Verdana" w:eastAsia="Calibri" w:hAnsi="Verdana" w:cs="Arial"/>
          <w:color w:val="000000" w:themeColor="text1"/>
          <w:lang w:eastAsia="es-ES"/>
        </w:rPr>
        <w:t xml:space="preserve">. </w:t>
      </w:r>
    </w:p>
    <w:p w14:paraId="13C22E04" w14:textId="1A9942FD"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w:t>
      </w:r>
      <w:r w:rsidR="00A17B1F">
        <w:rPr>
          <w:rFonts w:ascii="Verdana" w:eastAsia="Calibri" w:hAnsi="Verdana" w:cs="Arial"/>
          <w:color w:val="000000" w:themeColor="text1"/>
          <w:lang w:eastAsia="es-ES"/>
        </w:rPr>
        <w:t xml:space="preserve">istema </w:t>
      </w:r>
      <w:r w:rsidRPr="00FB6807">
        <w:rPr>
          <w:rFonts w:ascii="Verdana" w:eastAsia="Calibri" w:hAnsi="Verdana" w:cs="Arial"/>
          <w:color w:val="000000" w:themeColor="text1"/>
          <w:lang w:eastAsia="es-ES"/>
        </w:rPr>
        <w:t>G</w:t>
      </w:r>
      <w:r w:rsidR="00A17B1F">
        <w:rPr>
          <w:rFonts w:ascii="Verdana" w:eastAsia="Calibri" w:hAnsi="Verdana" w:cs="Arial"/>
          <w:color w:val="000000" w:themeColor="text1"/>
          <w:lang w:eastAsia="es-ES"/>
        </w:rPr>
        <w:t xml:space="preserve">eneral de </w:t>
      </w:r>
      <w:r w:rsidRPr="00FB6807">
        <w:rPr>
          <w:rFonts w:ascii="Verdana" w:eastAsia="Calibri" w:hAnsi="Verdana" w:cs="Arial"/>
          <w:color w:val="000000" w:themeColor="text1"/>
          <w:lang w:eastAsia="es-ES"/>
        </w:rPr>
        <w:t>R</w:t>
      </w:r>
      <w:r w:rsidR="00A17B1F">
        <w:rPr>
          <w:rFonts w:ascii="Verdana" w:eastAsia="Calibri" w:hAnsi="Verdana" w:cs="Arial"/>
          <w:color w:val="000000" w:themeColor="text1"/>
          <w:lang w:eastAsia="es-ES"/>
        </w:rPr>
        <w:t>egalías</w:t>
      </w:r>
      <w:r w:rsidRPr="00FB6807">
        <w:rPr>
          <w:rFonts w:ascii="Verdana" w:eastAsia="Calibri" w:hAnsi="Verdana" w:cs="Arial"/>
          <w:color w:val="000000" w:themeColor="text1"/>
          <w:lang w:eastAsia="es-ES"/>
        </w:rPr>
        <w:t>,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1B6C13CA" w14:textId="77777777"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FB6807">
        <w:rPr>
          <w:rFonts w:ascii="Verdana" w:eastAsia="Calibri" w:hAnsi="Verdana" w:cs="Arial"/>
          <w:color w:val="000000" w:themeColor="text1"/>
          <w:vertAlign w:val="superscript"/>
          <w:lang w:eastAsia="es-ES"/>
        </w:rPr>
        <w:footnoteReference w:id="7"/>
      </w:r>
      <w:r w:rsidRPr="00FB6807">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w:t>
      </w:r>
      <w:r w:rsidRPr="00FB6807">
        <w:rPr>
          <w:rFonts w:ascii="Verdana" w:eastAsia="Calibri" w:hAnsi="Verdana" w:cs="Arial"/>
          <w:color w:val="000000" w:themeColor="text1"/>
          <w:lang w:eastAsia="es-ES"/>
        </w:rPr>
        <w:lastRenderedPageBreak/>
        <w:t>la ejecución de los recursos del SGR mediante la aplicación del EGCAP, lo cual se refleja no solo en la redacción del articulado, sino también en los antecedentes legislativos que dieron lugar a su expedición</w:t>
      </w:r>
      <w:r w:rsidRPr="00FB6807">
        <w:rPr>
          <w:rFonts w:ascii="Verdana" w:eastAsia="Calibri" w:hAnsi="Verdana" w:cs="Arial"/>
          <w:color w:val="000000" w:themeColor="text1"/>
          <w:vertAlign w:val="superscript"/>
          <w:lang w:eastAsia="es-ES"/>
        </w:rPr>
        <w:footnoteReference w:id="8"/>
      </w:r>
      <w:r w:rsidRPr="00FB6807">
        <w:rPr>
          <w:rFonts w:ascii="Verdana" w:eastAsia="Calibri" w:hAnsi="Verdana" w:cs="Arial"/>
          <w:color w:val="000000" w:themeColor="text1"/>
          <w:lang w:eastAsia="es-ES"/>
        </w:rPr>
        <w:t>.</w:t>
      </w:r>
    </w:p>
    <w:p w14:paraId="1C3FF909" w14:textId="77777777" w:rsidR="00DF6946" w:rsidRPr="00FB6807" w:rsidRDefault="00DF6946" w:rsidP="000B2A9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5D41A124" w14:textId="77777777" w:rsidR="00DF6946" w:rsidRPr="00FB6807" w:rsidRDefault="00DF6946" w:rsidP="000B2A99">
      <w:pPr>
        <w:spacing w:after="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w:t>
      </w:r>
    </w:p>
    <w:p w14:paraId="39CFB7DF" w14:textId="77777777" w:rsidR="00DF6946" w:rsidRPr="00FB6807" w:rsidRDefault="00DF6946" w:rsidP="00DF6946">
      <w:pPr>
        <w:spacing w:after="0" w:line="276" w:lineRule="auto"/>
        <w:jc w:val="both"/>
        <w:rPr>
          <w:rFonts w:ascii="Verdana" w:eastAsia="Calibri" w:hAnsi="Verdana" w:cs="Arial"/>
          <w:color w:val="000000" w:themeColor="text1"/>
          <w:lang w:eastAsia="es-ES"/>
        </w:rPr>
      </w:pPr>
    </w:p>
    <w:p w14:paraId="70CDBF06"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2026414B"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76A39450"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w:t>
      </w:r>
      <w:r w:rsidRPr="00FB6807">
        <w:rPr>
          <w:rFonts w:ascii="Verdana" w:eastAsia="Calibri" w:hAnsi="Verdana" w:cs="Arial"/>
          <w:color w:val="000000" w:themeColor="text1"/>
          <w:sz w:val="20"/>
          <w:szCs w:val="20"/>
          <w:lang w:eastAsia="es-ES"/>
        </w:rPr>
        <w:lastRenderedPageBreak/>
        <w:t xml:space="preserve">gobierna la ejecución de esos recursos, esto es el régimen de contratación pública. </w:t>
      </w:r>
    </w:p>
    <w:p w14:paraId="7C7DB87F"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7E1BCEA7"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0BD3D9E0" w14:textId="77777777" w:rsidR="00DF6946" w:rsidRPr="00FB6807" w:rsidRDefault="00DF6946" w:rsidP="000B2A99">
      <w:pPr>
        <w:spacing w:after="0" w:line="240" w:lineRule="auto"/>
        <w:ind w:left="709" w:right="709"/>
        <w:jc w:val="both"/>
        <w:rPr>
          <w:rFonts w:ascii="Verdana" w:eastAsia="Calibri" w:hAnsi="Verdana" w:cs="Arial"/>
          <w:color w:val="000000" w:themeColor="text1"/>
          <w:lang w:eastAsia="es-ES"/>
        </w:rPr>
      </w:pPr>
      <w:r w:rsidRPr="00FB6807">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595A2DEE" w14:textId="77777777" w:rsidR="00DF6946" w:rsidRPr="00FB6807" w:rsidRDefault="00DF6946" w:rsidP="007E1DAB">
      <w:pPr>
        <w:spacing w:after="0" w:line="276" w:lineRule="auto"/>
        <w:jc w:val="both"/>
        <w:rPr>
          <w:rFonts w:ascii="Verdana" w:eastAsia="Calibri" w:hAnsi="Verdana" w:cs="Arial"/>
          <w:color w:val="000000" w:themeColor="text1"/>
          <w:lang w:eastAsia="es-ES"/>
        </w:rPr>
      </w:pPr>
    </w:p>
    <w:p w14:paraId="73A0EF34" w14:textId="6831F4F0"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w:t>
      </w:r>
      <w:r w:rsidR="007E1DAB">
        <w:rPr>
          <w:rFonts w:ascii="Verdana" w:eastAsia="Calibri" w:hAnsi="Verdana" w:cs="Arial"/>
          <w:color w:val="000000" w:themeColor="text1"/>
          <w:lang w:eastAsia="es-ES"/>
        </w:rPr>
        <w:t xml:space="preserve">istema </w:t>
      </w:r>
      <w:r w:rsidRPr="00FB6807">
        <w:rPr>
          <w:rFonts w:ascii="Verdana" w:eastAsia="Calibri" w:hAnsi="Verdana" w:cs="Arial"/>
          <w:color w:val="000000" w:themeColor="text1"/>
          <w:lang w:eastAsia="es-ES"/>
        </w:rPr>
        <w:t>G</w:t>
      </w:r>
      <w:r w:rsidR="007E1DAB">
        <w:rPr>
          <w:rFonts w:ascii="Verdana" w:eastAsia="Calibri" w:hAnsi="Verdana" w:cs="Arial"/>
          <w:color w:val="000000" w:themeColor="text1"/>
          <w:lang w:eastAsia="es-ES"/>
        </w:rPr>
        <w:t xml:space="preserve">eneral de </w:t>
      </w:r>
      <w:r w:rsidRPr="00FB6807">
        <w:rPr>
          <w:rFonts w:ascii="Verdana" w:eastAsia="Calibri" w:hAnsi="Verdana" w:cs="Arial"/>
          <w:color w:val="000000" w:themeColor="text1"/>
          <w:lang w:eastAsia="es-ES"/>
        </w:rPr>
        <w:t>R</w:t>
      </w:r>
      <w:r w:rsidR="007E1DAB">
        <w:rPr>
          <w:rFonts w:ascii="Verdana" w:eastAsia="Calibri" w:hAnsi="Verdana" w:cs="Arial"/>
          <w:color w:val="000000" w:themeColor="text1"/>
          <w:lang w:eastAsia="es-ES"/>
        </w:rPr>
        <w:t>egalías</w:t>
      </w:r>
      <w:r w:rsidRPr="00FB6807">
        <w:rPr>
          <w:rFonts w:ascii="Verdana" w:eastAsia="Calibri" w:hAnsi="Verdana" w:cs="Arial"/>
          <w:color w:val="000000" w:themeColor="text1"/>
          <w:lang w:eastAsia="es-ES"/>
        </w:rPr>
        <w:t>. De este modo, las consideraciones jurídicas desarrolladas por la Sala resultan aplicables, por analogía, a aquellos supuestos en los que una entidad estatal sometida a un régimen especial de contratación es designada como ejecutora de recursos del S</w:t>
      </w:r>
      <w:r w:rsidR="007E1DAB">
        <w:rPr>
          <w:rFonts w:ascii="Verdana" w:eastAsia="Calibri" w:hAnsi="Verdana" w:cs="Arial"/>
          <w:color w:val="000000" w:themeColor="text1"/>
          <w:lang w:eastAsia="es-ES"/>
        </w:rPr>
        <w:t xml:space="preserve">istema </w:t>
      </w:r>
      <w:r w:rsidRPr="00FB6807">
        <w:rPr>
          <w:rFonts w:ascii="Verdana" w:eastAsia="Calibri" w:hAnsi="Verdana" w:cs="Arial"/>
          <w:color w:val="000000" w:themeColor="text1"/>
          <w:lang w:eastAsia="es-ES"/>
        </w:rPr>
        <w:t>G</w:t>
      </w:r>
      <w:r w:rsidR="007E1DAB">
        <w:rPr>
          <w:rFonts w:ascii="Verdana" w:eastAsia="Calibri" w:hAnsi="Verdana" w:cs="Arial"/>
          <w:color w:val="000000" w:themeColor="text1"/>
          <w:lang w:eastAsia="es-ES"/>
        </w:rPr>
        <w:t xml:space="preserve">eneral de </w:t>
      </w:r>
      <w:r w:rsidRPr="00FB6807">
        <w:rPr>
          <w:rFonts w:ascii="Verdana" w:eastAsia="Calibri" w:hAnsi="Verdana" w:cs="Arial"/>
          <w:color w:val="000000" w:themeColor="text1"/>
          <w:lang w:eastAsia="es-ES"/>
        </w:rPr>
        <w:t>R</w:t>
      </w:r>
      <w:r w:rsidR="007E1DAB">
        <w:rPr>
          <w:rFonts w:ascii="Verdana" w:eastAsia="Calibri" w:hAnsi="Verdana" w:cs="Arial"/>
          <w:color w:val="000000" w:themeColor="text1"/>
          <w:lang w:eastAsia="es-ES"/>
        </w:rPr>
        <w:t>egalías</w:t>
      </w:r>
      <w:r w:rsidRPr="00FB6807">
        <w:rPr>
          <w:rFonts w:ascii="Verdana" w:eastAsia="Calibri" w:hAnsi="Verdana" w:cs="Arial"/>
          <w:color w:val="000000" w:themeColor="text1"/>
          <w:lang w:eastAsia="es-ES"/>
        </w:rPr>
        <w:t xml:space="preserve">. </w:t>
      </w:r>
    </w:p>
    <w:p w14:paraId="0005A5BD"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desconoce las normas que lo regulan. Tal y como se ha señalado, la interpretación literal, sistemática y teleológica de la norma, armonizada con el </w:t>
      </w:r>
      <w:r w:rsidRPr="00FB6807">
        <w:rPr>
          <w:rFonts w:ascii="Verdana" w:eastAsia="Calibri" w:hAnsi="Verdana" w:cs="Arial"/>
          <w:color w:val="000000" w:themeColor="text1"/>
          <w:lang w:eastAsia="es-ES"/>
        </w:rPr>
        <w:lastRenderedPageBreak/>
        <w:t xml:space="preserve">principio general del </w:t>
      </w:r>
      <w:r w:rsidRPr="00FB6807">
        <w:rPr>
          <w:rFonts w:ascii="Verdana" w:eastAsia="Calibri" w:hAnsi="Verdana" w:cs="Arial"/>
          <w:i/>
          <w:iCs/>
          <w:color w:val="000000" w:themeColor="text1"/>
          <w:lang w:eastAsia="es-ES"/>
        </w:rPr>
        <w:t>efecto útil</w:t>
      </w:r>
      <w:r w:rsidRPr="00FB6807">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FB6807">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73B40345"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5BEE7670" w14:textId="77777777" w:rsidR="00DF6946" w:rsidRPr="00FB6807" w:rsidRDefault="00DF6946" w:rsidP="000B2A99">
      <w:pPr>
        <w:spacing w:after="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66427E94" w14:textId="77777777" w:rsidR="00DF6946" w:rsidRPr="00FB6807" w:rsidRDefault="00DF6946" w:rsidP="00DF6946">
      <w:pPr>
        <w:spacing w:after="0" w:line="240" w:lineRule="auto"/>
        <w:ind w:firstLine="709"/>
        <w:jc w:val="both"/>
        <w:rPr>
          <w:rFonts w:ascii="Verdana" w:eastAsia="Calibri" w:hAnsi="Verdana" w:cs="Arial"/>
          <w:color w:val="000000" w:themeColor="text1"/>
          <w:lang w:eastAsia="es-ES"/>
        </w:rPr>
      </w:pPr>
    </w:p>
    <w:p w14:paraId="1FFED014" w14:textId="6F365896" w:rsidR="00DF6946" w:rsidRDefault="00DF6946" w:rsidP="000B2A99">
      <w:pPr>
        <w:spacing w:after="0" w:line="240" w:lineRule="auto"/>
        <w:ind w:left="709" w:right="709"/>
        <w:jc w:val="both"/>
        <w:rPr>
          <w:rFonts w:ascii="Verdana" w:eastAsia="Calibri" w:hAnsi="Verdana" w:cs="Arial"/>
          <w:i/>
          <w:iCs/>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r w:rsidRPr="00FB6807">
        <w:rPr>
          <w:rFonts w:ascii="Verdana" w:eastAsia="Calibri" w:hAnsi="Verdana" w:cs="Arial"/>
          <w:i/>
          <w:iCs/>
          <w:color w:val="000000" w:themeColor="text1"/>
          <w:sz w:val="20"/>
          <w:szCs w:val="20"/>
          <w:lang w:eastAsia="es-ES"/>
        </w:rPr>
        <w:t>in extenso</w:t>
      </w:r>
      <w:r w:rsidRPr="00FB6807">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FB6807">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12F16A9B" w14:textId="77777777" w:rsidR="000B2A99" w:rsidRPr="00FB6807" w:rsidRDefault="000B2A99" w:rsidP="000B2A99">
      <w:pPr>
        <w:spacing w:after="0" w:line="240" w:lineRule="auto"/>
        <w:ind w:left="709" w:right="709"/>
        <w:jc w:val="both"/>
        <w:rPr>
          <w:rFonts w:ascii="Verdana" w:eastAsia="Calibri" w:hAnsi="Verdana" w:cs="Arial"/>
          <w:i/>
          <w:iCs/>
          <w:color w:val="000000" w:themeColor="text1"/>
          <w:sz w:val="20"/>
          <w:szCs w:val="20"/>
          <w:lang w:eastAsia="es-ES"/>
        </w:rPr>
      </w:pPr>
    </w:p>
    <w:p w14:paraId="0D8160B7" w14:textId="77777777" w:rsidR="00DF6946" w:rsidRPr="00FB6807" w:rsidRDefault="00DF6946" w:rsidP="000B2A99">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En ese sentido, una entidad puede tener, en su actividad ordinaria, un régimen especial de contratación, y sin embargo quedar sometida al Estatuto General para una materia específica en la que una ley posterior y especial así lo disponga”. (Énfasis pro fuera de texto)</w:t>
      </w:r>
    </w:p>
    <w:p w14:paraId="376810F7" w14:textId="77777777" w:rsidR="00DF6946" w:rsidRPr="00FB6807" w:rsidRDefault="00DF6946" w:rsidP="000B2A99">
      <w:pPr>
        <w:spacing w:after="0" w:line="276" w:lineRule="auto"/>
        <w:ind w:firstLine="709"/>
        <w:jc w:val="both"/>
        <w:rPr>
          <w:rFonts w:ascii="Verdana" w:eastAsia="Calibri" w:hAnsi="Verdana" w:cs="Arial"/>
          <w:color w:val="000000" w:themeColor="text1"/>
          <w:lang w:eastAsia="es-ES"/>
        </w:rPr>
      </w:pPr>
    </w:p>
    <w:p w14:paraId="2E5FAE52" w14:textId="7594CA6F" w:rsidR="00DF6946" w:rsidRDefault="00DF6946" w:rsidP="002C7F3E">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FB6807">
        <w:rPr>
          <w:rFonts w:ascii="Verdana" w:eastAsia="Calibri" w:hAnsi="Verdana" w:cs="Arial"/>
          <w:i/>
          <w:iCs/>
          <w:color w:val="000000" w:themeColor="text1"/>
          <w:lang w:eastAsia="es-ES"/>
        </w:rPr>
        <w:t>con independencia de su régimen ordinario de contratación</w:t>
      </w:r>
      <w:r w:rsidRPr="00FB6807">
        <w:rPr>
          <w:rFonts w:ascii="Verdana" w:eastAsia="Calibri" w:hAnsi="Verdana" w:cs="Arial"/>
          <w:color w:val="000000" w:themeColor="text1"/>
          <w:lang w:eastAsia="es-ES"/>
        </w:rPr>
        <w:t xml:space="preserve"> – debe aplica el EGCAG para los contratos que celebre en desarrollo del respectivo proyecto de inversión</w:t>
      </w:r>
      <w:r w:rsidRPr="00FB6807">
        <w:rPr>
          <w:rFonts w:ascii="Verdana" w:eastAsia="Calibri" w:hAnsi="Verdana" w:cs="Arial"/>
          <w:color w:val="000000" w:themeColor="text1"/>
          <w:vertAlign w:val="superscript"/>
          <w:lang w:eastAsia="es-ES"/>
        </w:rPr>
        <w:footnoteReference w:id="9"/>
      </w:r>
      <w:r w:rsidRPr="00FB6807">
        <w:rPr>
          <w:rFonts w:ascii="Verdana" w:eastAsia="Calibri" w:hAnsi="Verdana" w:cs="Arial"/>
          <w:color w:val="000000" w:themeColor="text1"/>
          <w:lang w:eastAsia="es-ES"/>
        </w:rPr>
        <w:t xml:space="preserve">” (Énfasis por fuera de texto). </w:t>
      </w:r>
    </w:p>
    <w:p w14:paraId="53530871" w14:textId="77777777" w:rsidR="002C7F3E" w:rsidRDefault="002C7F3E" w:rsidP="002C7F3E">
      <w:pPr>
        <w:spacing w:after="120" w:line="276" w:lineRule="auto"/>
        <w:ind w:firstLine="708"/>
        <w:jc w:val="both"/>
        <w:rPr>
          <w:rFonts w:ascii="Verdana" w:eastAsia="Times New Roman" w:hAnsi="Verdana" w:cs="Segoe UI"/>
          <w:lang w:eastAsia="es-ES_tradnl"/>
        </w:rPr>
      </w:pPr>
      <w:r w:rsidRPr="002C7F3E">
        <w:rPr>
          <w:rFonts w:ascii="Verdana" w:eastAsia="Times New Roman" w:hAnsi="Verdana" w:cs="Segoe UI"/>
          <w:lang w:eastAsia="es-ES_tradnl"/>
        </w:rPr>
        <w:t xml:space="preserve">Con fundamento en la interpretación que de manera uniforme ha sostenido la Agencia Nacional de Contratación Pública y que fue recientemente avalada por la Sala de Consulta y Servicio Civil del Consejo de Estado, la incorporación de recursos del Sistema General de Regalías a un contrato en ejecución debe analizarse a partir del régimen jurídico especial que gobierna dichos recursos. En efecto, el parágrafo 1 del artículo 37 de la Ley 2056 de 2020 establece que la ejecución de los proyectos financiados con cargo al SGR debe adelantarse con "estricta sujeción" al régimen de contratación pública, lo que supone la aplicación del Estatuto General de Contratación de la Administración Pública, integrado por la Ley 80 de 1993, la Ley 1150 de 2007, el Decreto 1082 de 2015 y las demás disposiciones que los desarrollen, complementen o reglamenten. Desde esta perspectiva, el criterio determinante para definir el régimen aplicable no es la naturaleza de la entidad ejecutora ni el régimen ordinario del contrato principal, sino la fuente de financiación de los recursos que se incorporan. </w:t>
      </w:r>
    </w:p>
    <w:p w14:paraId="139B978D" w14:textId="77777777" w:rsidR="002C7F3E" w:rsidRDefault="002C7F3E" w:rsidP="002C7F3E">
      <w:pPr>
        <w:spacing w:after="120" w:line="276" w:lineRule="auto"/>
        <w:ind w:firstLine="708"/>
        <w:jc w:val="both"/>
        <w:rPr>
          <w:rFonts w:ascii="Verdana" w:eastAsia="Times New Roman" w:hAnsi="Verdana" w:cs="Segoe UI"/>
          <w:lang w:eastAsia="es-ES_tradnl"/>
        </w:rPr>
      </w:pPr>
      <w:r w:rsidRPr="002C7F3E">
        <w:rPr>
          <w:rFonts w:ascii="Verdana" w:eastAsia="Times New Roman" w:hAnsi="Verdana" w:cs="Segoe UI"/>
          <w:lang w:eastAsia="es-ES_tradnl"/>
        </w:rPr>
        <w:t xml:space="preserve">Por consiguiente, si la adición tiene por objeto vincular recursos del Sistema General de Regalías a la ejecución de un proyecto de inversión financiado con tales recursos, las actuaciones contractuales correspondientes deberán sujetarse al régimen de contratación pública previsto por la Ley 2056 de 2020. En ese contexto, la procedencia de una adición al contrato existente deberá examinarse conforme a las reglas y límites aplicables a la modificación de los contratos estatales, particularmente los previstos en el parágrafo del </w:t>
      </w:r>
      <w:r w:rsidRPr="002C7F3E">
        <w:rPr>
          <w:rFonts w:ascii="Verdana" w:eastAsia="Times New Roman" w:hAnsi="Verdana" w:cs="Segoe UI"/>
          <w:lang w:eastAsia="es-ES_tradnl"/>
        </w:rPr>
        <w:lastRenderedPageBreak/>
        <w:t xml:space="preserve">artículo 40 y en el artículo 41 de la Ley 80 de 1993, así como a los criterios desarrollados por la jurisprudencia del Consejo de Estado respecto de la preservación del objeto contractual, la prohibición de alterar la esencia del negocio jurídico y la necesidad de que las modificaciones respondan a circunstancias debidamente justificadas y compatibles con los principios de planeación, transparencia, economía y responsabilidad. </w:t>
      </w:r>
    </w:p>
    <w:p w14:paraId="6826EE92" w14:textId="3377BD07" w:rsidR="002C7F3E" w:rsidRPr="002C7F3E" w:rsidRDefault="002C7F3E" w:rsidP="002C7F3E">
      <w:pPr>
        <w:spacing w:after="0" w:line="276" w:lineRule="auto"/>
        <w:ind w:firstLine="708"/>
        <w:jc w:val="both"/>
        <w:rPr>
          <w:rFonts w:ascii="Verdana" w:eastAsia="Times New Roman" w:hAnsi="Verdana" w:cs="Segoe UI"/>
          <w:lang w:eastAsia="es-ES_tradnl"/>
        </w:rPr>
      </w:pPr>
      <w:r w:rsidRPr="002C7F3E">
        <w:rPr>
          <w:rFonts w:ascii="Verdana" w:eastAsia="Times New Roman" w:hAnsi="Verdana" w:cs="Segoe UI"/>
          <w:lang w:eastAsia="es-ES_tradnl"/>
        </w:rPr>
        <w:t>En consecuencia, no resulta jurídicamente viable sostener que la incorporación de recursos del SGR permita eludir la aplicación del Estatuto General de Contratación de la Administración Pública o que dichos recursos puedan ejecutarse bajo un régimen diferente al expresamente previsto por el legislador para su administración; por el contrario, cualquier mecanismo que se adopte para su ejecución, ya sea mediante adición al contrato en curso o mediante la celebración de un nuevo contrato, deberá sujetarse integralmente a las disposiciones del régimen de contratación pública que gobierna los recursos del Sistema General de Regalías.</w:t>
      </w:r>
    </w:p>
    <w:p w14:paraId="1B0E1F98" w14:textId="77777777" w:rsidR="000B2A99" w:rsidRPr="00A83BBD" w:rsidRDefault="000B2A99" w:rsidP="000B2A99">
      <w:pPr>
        <w:spacing w:after="0" w:line="276" w:lineRule="auto"/>
        <w:ind w:firstLine="709"/>
        <w:jc w:val="both"/>
        <w:rPr>
          <w:rFonts w:ascii="Verdana" w:eastAsia="Calibri" w:hAnsi="Verdana" w:cs="Arial"/>
          <w:b/>
          <w:bCs/>
          <w:color w:val="000000" w:themeColor="text1"/>
          <w:lang w:eastAsia="es-ES"/>
        </w:rPr>
      </w:pPr>
    </w:p>
    <w:p w14:paraId="27AF4A6B" w14:textId="77777777" w:rsidR="00DF6946" w:rsidRPr="00FB6807" w:rsidRDefault="00DF6946" w:rsidP="00DF6946">
      <w:pPr>
        <w:spacing w:after="120" w:line="276" w:lineRule="auto"/>
        <w:jc w:val="both"/>
        <w:rPr>
          <w:rFonts w:ascii="Verdana" w:eastAsia="Calibri" w:hAnsi="Verdana" w:cs="Arial"/>
          <w:color w:val="000000" w:themeColor="text1"/>
          <w:lang w:eastAsia="es-ES"/>
        </w:rPr>
      </w:pPr>
      <w:r w:rsidRPr="00A83BBD">
        <w:rPr>
          <w:rFonts w:ascii="Verdana" w:hAnsi="Verdana" w:cs="Arial"/>
          <w:b/>
          <w:bCs/>
          <w:lang w:eastAsia="es-ES"/>
        </w:rPr>
        <w:t xml:space="preserve">ii. </w:t>
      </w:r>
      <w:r w:rsidRPr="00FB6807">
        <w:rPr>
          <w:rFonts w:ascii="Verdana" w:eastAsia="Calibri" w:hAnsi="Verdana" w:cs="Arial"/>
          <w:color w:val="000000" w:themeColor="text1"/>
          <w:lang w:eastAsia="es-ES"/>
        </w:rPr>
        <w:t xml:space="preserve">Ahora bien, de acuerdo con la interpretación explicada, teniendo en cuenta lo dispuesto en el artículo 37 de la Ley 2056 de 2020, las 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FB6807">
        <w:rPr>
          <w:rFonts w:ascii="Verdana" w:eastAsia="Calibri" w:hAnsi="Verdana" w:cs="Arial"/>
          <w:i/>
          <w:iCs/>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y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0AC6C16B" w14:textId="46F5C100"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w:t>
      </w:r>
      <w:r w:rsidR="00AB57AE">
        <w:rPr>
          <w:rFonts w:ascii="Verdana" w:eastAsia="Calibri" w:hAnsi="Verdana" w:cs="Arial"/>
          <w:color w:val="000000" w:themeColor="text1"/>
          <w:lang w:eastAsia="es-ES"/>
        </w:rPr>
        <w:t>alguna entidad con régimen especial de contratación</w:t>
      </w:r>
      <w:r w:rsidRPr="00FB6807">
        <w:rPr>
          <w:rFonts w:ascii="Verdana" w:eastAsia="Calibri" w:hAnsi="Verdana" w:cs="Arial"/>
          <w:color w:val="000000" w:themeColor="text1"/>
          <w:lang w:eastAsia="es-ES"/>
        </w:rPr>
        <w:t xml:space="preserve"> sea designad</w:t>
      </w:r>
      <w:r w:rsidR="00AB57AE">
        <w:rPr>
          <w:rFonts w:ascii="Verdana" w:eastAsia="Calibri" w:hAnsi="Verdana" w:cs="Arial"/>
          <w:color w:val="000000" w:themeColor="text1"/>
          <w:lang w:eastAsia="es-ES"/>
        </w:rPr>
        <w:t>a</w:t>
      </w:r>
      <w:r w:rsidRPr="00FB6807">
        <w:rPr>
          <w:rFonts w:ascii="Verdana" w:eastAsia="Calibri" w:hAnsi="Verdana" w:cs="Arial"/>
          <w:color w:val="000000" w:themeColor="text1"/>
          <w:lang w:eastAsia="es-ES"/>
        </w:rPr>
        <w:t xml:space="preserve"> como entidad ejecutora, será responsable de la correcta ejecución de los proyectos de inversión y en tal condición, le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 determinar la modalidad de selección y las demás reglas que resulten aplicables a la contratación que requieran adelantar, atendiendo a la naturaleza, objeto y </w:t>
      </w:r>
      <w:r w:rsidRPr="00FB6807">
        <w:rPr>
          <w:rFonts w:ascii="Verdana" w:eastAsia="Calibri" w:hAnsi="Verdana" w:cs="Arial"/>
          <w:color w:val="000000" w:themeColor="text1"/>
          <w:lang w:eastAsia="es-ES"/>
        </w:rPr>
        <w:lastRenderedPageBreak/>
        <w:t xml:space="preserve">cuantía de los contratos, de conformidad con las disposiciones del EGCAP que resulten aplicables. </w:t>
      </w:r>
    </w:p>
    <w:p w14:paraId="05F6D17C"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Asimismo, para la gestión de los recursos del SGR las entidades ejecutoras deberán aplicar las normas especiales establecidas en el Decreto 1821 de 2020 “Por el cual se expide el Decreto Único Reglamentario del Sistema General de Regalías”, que establecen reglas precisas sobre dichos recursos cuando los órganos y demás entidades designadas como ejecutoras, contraten a una persona natural o jurídica que se encargue de suministrar los bienes y/o servicios</w:t>
      </w:r>
      <w:r w:rsidRPr="00FB6807">
        <w:rPr>
          <w:rFonts w:ascii="Verdana" w:eastAsia="Calibri" w:hAnsi="Verdana" w:cs="Arial"/>
          <w:color w:val="000000" w:themeColor="text1"/>
          <w:vertAlign w:val="superscript"/>
          <w:lang w:eastAsia="es-ES"/>
        </w:rPr>
        <w:footnoteReference w:id="10"/>
      </w:r>
      <w:r w:rsidRPr="00FB6807">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General de Regalías. En este último caso, el artículo 2.1.1.3.18. </w:t>
      </w:r>
      <w:r w:rsidRPr="00FB6807">
        <w:rPr>
          <w:rFonts w:ascii="Verdana" w:eastAsia="Calibri" w:hAnsi="Verdana" w:cs="Arial"/>
          <w:i/>
          <w:iCs/>
          <w:color w:val="000000" w:themeColor="text1"/>
          <w:lang w:eastAsia="es-ES"/>
        </w:rPr>
        <w:t xml:space="preserve">ibidem </w:t>
      </w:r>
      <w:r w:rsidRPr="00FB6807">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FB6807">
        <w:rPr>
          <w:rFonts w:ascii="Verdana" w:eastAsia="Calibri" w:hAnsi="Verdana" w:cs="Arial"/>
          <w:color w:val="000000" w:themeColor="text1"/>
          <w:vertAlign w:val="superscript"/>
          <w:lang w:eastAsia="es-ES"/>
        </w:rPr>
        <w:footnoteReference w:id="11"/>
      </w:r>
      <w:r w:rsidRPr="00FB6807">
        <w:rPr>
          <w:rFonts w:ascii="Verdana" w:eastAsia="Calibri" w:hAnsi="Verdana" w:cs="Arial"/>
          <w:color w:val="000000" w:themeColor="text1"/>
          <w:lang w:eastAsia="es-ES"/>
        </w:rPr>
        <w:t>”.</w:t>
      </w:r>
    </w:p>
    <w:p w14:paraId="68CF2A95"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2"/>
      </w:r>
      <w:r w:rsidRPr="00FB6807">
        <w:rPr>
          <w:rFonts w:ascii="Verdana" w:eastAsia="Calibri" w:hAnsi="Verdana" w:cs="Arial"/>
          <w:color w:val="000000" w:themeColor="text1"/>
          <w:lang w:eastAsia="es-ES"/>
        </w:rPr>
        <w:t>.”</w:t>
      </w:r>
    </w:p>
    <w:p w14:paraId="6EA17A3B"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43DB1D0C"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Lo anterior, ha sido señalado por la Sala de Consulta y Servicio Civil del Consejo de Estado al precisar que: </w:t>
      </w:r>
    </w:p>
    <w:p w14:paraId="47F639B0" w14:textId="77777777" w:rsidR="00DF6946" w:rsidRPr="00FB6807" w:rsidRDefault="00DF6946" w:rsidP="00DF6946">
      <w:pPr>
        <w:spacing w:after="0" w:line="240" w:lineRule="auto"/>
        <w:ind w:firstLine="709"/>
        <w:jc w:val="both"/>
        <w:rPr>
          <w:rFonts w:ascii="Verdana" w:eastAsia="Calibri" w:hAnsi="Verdana" w:cs="Arial"/>
          <w:color w:val="000000" w:themeColor="text1"/>
          <w:lang w:eastAsia="es-ES"/>
        </w:rPr>
      </w:pPr>
    </w:p>
    <w:p w14:paraId="4C0FF718" w14:textId="77777777" w:rsidR="00DF6946" w:rsidRPr="00FB6807" w:rsidRDefault="00DF6946" w:rsidP="00DF6946">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lang w:eastAsia="es-ES"/>
        </w:rPr>
        <w:t>“</w:t>
      </w:r>
      <w:r w:rsidRPr="00FB6807">
        <w:rPr>
          <w:rFonts w:ascii="Verdana" w:eastAsia="Calibri" w:hAnsi="Verdana" w:cs="Arial"/>
          <w:color w:val="000000" w:themeColor="text1"/>
          <w:sz w:val="20"/>
          <w:szCs w:val="20"/>
          <w:lang w:eastAsia="es-ES"/>
        </w:rPr>
        <w:t xml:space="preserve">Una vez aprobado el proyecto de inversión y designada la entidad ejecutora, esta debe actuar dentro de un régimen funcional especial de ejecución de regalías, </w:t>
      </w:r>
      <w:r w:rsidRPr="00FB6807">
        <w:rPr>
          <w:rFonts w:ascii="Verdana" w:eastAsia="Calibri" w:hAnsi="Verdana" w:cs="Arial"/>
          <w:i/>
          <w:iCs/>
          <w:color w:val="000000" w:themeColor="text1"/>
          <w:sz w:val="20"/>
          <w:szCs w:val="20"/>
          <w:lang w:eastAsia="es-ES"/>
        </w:rPr>
        <w:t>en el cual la contratación de bienes, obras, servicios, consultorías e interventorías requerida para materializar el proyecto debe adelantarse con sujeción al Estatuto General de Contratación de la Administración Pública,</w:t>
      </w:r>
      <w:r w:rsidRPr="00FB6807">
        <w:rPr>
          <w:rFonts w:ascii="Verdana" w:eastAsia="Calibri" w:hAnsi="Verdana" w:cs="Arial"/>
          <w:color w:val="000000" w:themeColor="text1"/>
          <w:sz w:val="20"/>
          <w:szCs w:val="20"/>
          <w:lang w:eastAsia="es-ES"/>
        </w:rPr>
        <w:t xml:space="preserve"> sus modalidades de selección, sus reglas de publicidad, planeación, selección objetiva, documentos tipo cuando correspondan, supervisión, interventoría y control.</w:t>
      </w:r>
    </w:p>
    <w:p w14:paraId="1B872B9D" w14:textId="77777777" w:rsidR="00DF6946" w:rsidRPr="00FB6807" w:rsidRDefault="00DF6946" w:rsidP="00DF6946">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i/>
          <w:iCs/>
          <w:color w:val="000000" w:themeColor="text1"/>
          <w:sz w:val="20"/>
          <w:szCs w:val="20"/>
          <w:lang w:eastAsia="es-ES"/>
        </w:rPr>
        <w:t>Solo cuando la propia Ley 2056 de 2020 o su reglamentación prevean expresamente una hipótesis distinta —como la ejecución directa mediante acto administrativo unilateral que decreta el gasto, o el régimen especial previsto para proyectos de ciencia, tecnología e innovación— podrá acudirse a esa regla particular</w:t>
      </w:r>
      <w:r w:rsidRPr="00FB6807">
        <w:rPr>
          <w:rFonts w:ascii="Verdana" w:eastAsia="Calibri" w:hAnsi="Verdana" w:cs="Arial"/>
          <w:color w:val="000000" w:themeColor="text1"/>
          <w:sz w:val="20"/>
          <w:szCs w:val="20"/>
          <w:lang w:eastAsia="es-ES"/>
        </w:rPr>
        <w:t xml:space="preserve">. Esta interpretación es la que armoniza el </w:t>
      </w:r>
      <w:r w:rsidRPr="00FB6807">
        <w:rPr>
          <w:rFonts w:ascii="Verdana" w:eastAsia="Calibri" w:hAnsi="Verdana" w:cs="Arial"/>
          <w:color w:val="000000" w:themeColor="text1"/>
          <w:sz w:val="20"/>
          <w:szCs w:val="20"/>
          <w:lang w:eastAsia="es-ES"/>
        </w:rPr>
        <w:lastRenderedPageBreak/>
        <w:t>tenor literal del parágrafo 1º del artículo 37 de la Ley 2056 de 2020, su desarrollo reglamentario en el Decreto 1821 de 2020, la finalidad constitucional de protección de las regalías y el principio de efecto útil de la norma, evitando que la fuente SGR se convierta en un mecanismo para desplazar los estándares de transparencia, concurrencia, control y responsabilidad propios de la contratación estatal.</w:t>
      </w:r>
      <w:r w:rsidRPr="00FB6807">
        <w:rPr>
          <w:rFonts w:ascii="Verdana" w:eastAsia="Calibri" w:hAnsi="Verdana" w:cs="Arial"/>
          <w:color w:val="000000" w:themeColor="text1"/>
          <w:sz w:val="20"/>
          <w:szCs w:val="20"/>
          <w:vertAlign w:val="superscript"/>
          <w:lang w:eastAsia="es-ES"/>
        </w:rPr>
        <w:footnoteReference w:id="13"/>
      </w:r>
      <w:r w:rsidRPr="00FB6807">
        <w:rPr>
          <w:rFonts w:ascii="Verdana" w:eastAsia="Calibri" w:hAnsi="Verdana" w:cs="Arial"/>
          <w:color w:val="000000" w:themeColor="text1"/>
          <w:sz w:val="20"/>
          <w:szCs w:val="20"/>
          <w:lang w:eastAsia="es-ES"/>
        </w:rPr>
        <w:t>” (Énfasis por fuera de texto).</w:t>
      </w:r>
    </w:p>
    <w:p w14:paraId="2BA0DBFC"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p>
    <w:p w14:paraId="552423FE" w14:textId="77777777" w:rsidR="00DF6946" w:rsidRPr="00FB6807" w:rsidRDefault="00DF6946" w:rsidP="00DF694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En este sentido, conforme lo explica el Consejo de Estado, la entidad deberá sujetarse a las disposiciones del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ii) cuando el régimen especial aplicable sea el de los proyectos de ciencia, tecnología e innovación</w:t>
      </w:r>
      <w:r w:rsidRPr="00FB6807">
        <w:rPr>
          <w:rFonts w:ascii="Verdana" w:eastAsia="Calibri" w:hAnsi="Verdana" w:cs="Arial"/>
          <w:color w:val="000000" w:themeColor="text1"/>
          <w:vertAlign w:val="superscript"/>
          <w:lang w:eastAsia="es-ES"/>
        </w:rPr>
        <w:footnoteReference w:id="14"/>
      </w:r>
      <w:r w:rsidRPr="00FB6807">
        <w:rPr>
          <w:rFonts w:ascii="Verdana" w:eastAsia="Calibri" w:hAnsi="Verdana" w:cs="Arial"/>
          <w:color w:val="000000" w:themeColor="text1"/>
          <w:lang w:eastAsia="es-ES"/>
        </w:rPr>
        <w:t>.</w:t>
      </w:r>
    </w:p>
    <w:p w14:paraId="6685B21F" w14:textId="5CF9EEBF" w:rsidR="00DF6946" w:rsidRDefault="00DF6946" w:rsidP="00AB57AE">
      <w:pPr>
        <w:spacing w:after="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Al respecto, es pertinente 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w:t>
      </w:r>
      <w:r w:rsidRPr="00F74E15">
        <w:rPr>
          <w:rFonts w:ascii="Verdana" w:eastAsia="Calibri" w:hAnsi="Verdana" w:cs="Arial"/>
          <w:color w:val="000000" w:themeColor="text1"/>
          <w:lang w:eastAsia="es-ES"/>
        </w:rPr>
        <w:t>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7B48F5BE" w14:textId="77777777" w:rsidR="00AB57AE" w:rsidRPr="001B488D" w:rsidRDefault="00AB57AE" w:rsidP="00AB57AE">
      <w:pPr>
        <w:spacing w:after="0" w:line="276" w:lineRule="auto"/>
        <w:ind w:firstLine="709"/>
        <w:jc w:val="both"/>
        <w:rPr>
          <w:rFonts w:ascii="Verdana" w:eastAsia="Calibri" w:hAnsi="Verdana" w:cs="Arial"/>
          <w:color w:val="000000" w:themeColor="text1"/>
          <w:highlight w:val="yellow"/>
          <w:lang w:eastAsia="es-ES"/>
        </w:rPr>
      </w:pPr>
    </w:p>
    <w:p w14:paraId="320F29DA" w14:textId="77777777" w:rsidR="00DF6946" w:rsidRPr="00FB6807" w:rsidRDefault="00DF6946" w:rsidP="00DF6946">
      <w:pPr>
        <w:spacing w:after="120" w:line="276" w:lineRule="auto"/>
        <w:jc w:val="both"/>
        <w:rPr>
          <w:rFonts w:ascii="Verdana" w:eastAsia="Calibri" w:hAnsi="Verdana" w:cs="Arial"/>
          <w:color w:val="000000"/>
          <w:lang w:val="es-ES" w:eastAsia="es-ES"/>
        </w:rPr>
      </w:pPr>
      <w:r w:rsidRPr="00FB6807">
        <w:rPr>
          <w:rFonts w:ascii="Verdana" w:hAnsi="Verdana" w:cs="Arial"/>
          <w:lang w:eastAsia="es-ES"/>
        </w:rPr>
        <w:t xml:space="preserve">iii. Al margen de la postura de la ANCP – CCE, </w:t>
      </w:r>
      <w:r w:rsidRPr="00FB6807">
        <w:rPr>
          <w:rFonts w:ascii="Verdana" w:eastAsia="Calibri" w:hAnsi="Verdana" w:cs="Arial"/>
          <w:color w:val="000000"/>
          <w:lang w:val="es-ES" w:eastAsia="es-ES"/>
        </w:rPr>
        <w:t>es importante señalar que los conceptos emitidos por las entidades estatales en virtud del artículo 28 de la Ley 1437 de 2011</w:t>
      </w:r>
      <w:r w:rsidRPr="00FB6807">
        <w:rPr>
          <w:rFonts w:ascii="Verdana" w:eastAsia="Calibri" w:hAnsi="Verdana" w:cs="Arial"/>
          <w:bCs/>
          <w:lang w:val="es-ES_tradnl"/>
        </w:rPr>
        <w:t xml:space="preserve">, sustituido por el artículo 1 de la Ley 1755, </w:t>
      </w:r>
      <w:bookmarkStart w:id="11" w:name="_Hlk200718672"/>
      <w:r w:rsidRPr="00FB6807">
        <w:rPr>
          <w:rFonts w:ascii="Verdana" w:eastAsia="Calibri" w:hAnsi="Verdana" w:cs="Arial"/>
          <w:color w:val="000000"/>
          <w:lang w:val="es-ES" w:eastAsia="es-ES"/>
        </w:rPr>
        <w:t>representan</w:t>
      </w:r>
      <w:r w:rsidRPr="00FB6807">
        <w:rPr>
          <w:rFonts w:ascii="Verdana" w:hAnsi="Verdana" w:cs="Arial"/>
          <w:lang w:eastAsia="es-ES"/>
        </w:rPr>
        <w:t xml:space="preserve"> una </w:t>
      </w:r>
      <w:r w:rsidRPr="00FB6807">
        <w:rPr>
          <w:rFonts w:ascii="Verdana" w:eastAsia="Calibri" w:hAnsi="Verdana" w:cs="Arial"/>
          <w:bCs/>
          <w:lang w:val="es-ES_tradnl"/>
        </w:rPr>
        <w:lastRenderedPageBreak/>
        <w:t>posición hermenéutica</w:t>
      </w:r>
      <w:r w:rsidRPr="00FB6807">
        <w:rPr>
          <w:rFonts w:ascii="Verdana" w:hAnsi="Verdana" w:cs="Arial"/>
          <w:lang w:eastAsia="es-ES"/>
        </w:rPr>
        <w:t xml:space="preserve"> </w:t>
      </w:r>
      <w:bookmarkStart w:id="12" w:name="_Hlk42100007"/>
      <w:r w:rsidRPr="00FB6807">
        <w:rPr>
          <w:rFonts w:ascii="Verdana" w:hAnsi="Verdana" w:cs="Arial"/>
          <w:lang w:eastAsia="es-ES"/>
        </w:rPr>
        <w:t xml:space="preserve">que </w:t>
      </w:r>
      <w:r w:rsidRPr="00FB6807">
        <w:rPr>
          <w:rFonts w:ascii="Verdana" w:eastAsia="Calibri" w:hAnsi="Verdana" w:cs="Arial"/>
          <w:bCs/>
          <w:lang w:val="es-ES_tradnl"/>
        </w:rPr>
        <w:t xml:space="preserve">no tienen efectos vinculantes </w:t>
      </w:r>
      <w:bookmarkEnd w:id="11"/>
      <w:r w:rsidRPr="00FB6807">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12"/>
      <w:r w:rsidRPr="00FB6807">
        <w:rPr>
          <w:rFonts w:ascii="Verdana" w:eastAsiaTheme="minorEastAsia" w:hAnsi="Verdana" w:cs="Arial"/>
          <w:szCs w:val="24"/>
          <w:lang w:eastAsia="es-CO"/>
        </w:rPr>
        <w:t xml:space="preserve"> De este modo, las autoridades que ejercen funciones consultivas pueden expresar su</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virtud</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la</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utilización</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conceptos</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jurídicos</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indeterminados.</w:t>
      </w:r>
      <w:r w:rsidRPr="00FB6807">
        <w:rPr>
          <w:rFonts w:ascii="Verdana" w:eastAsiaTheme="minorEastAsia" w:hAnsi="Verdana" w:cs="Arial"/>
          <w:spacing w:val="-9"/>
          <w:szCs w:val="24"/>
          <w:lang w:eastAsia="es-CO"/>
        </w:rPr>
        <w:t xml:space="preserve"> </w:t>
      </w:r>
    </w:p>
    <w:p w14:paraId="0AC55AD4" w14:textId="77777777" w:rsidR="00DF6946" w:rsidRPr="00FB6807" w:rsidRDefault="00DF6946" w:rsidP="00DF6946">
      <w:pPr>
        <w:tabs>
          <w:tab w:val="left" w:pos="426"/>
        </w:tabs>
        <w:spacing w:line="276" w:lineRule="auto"/>
        <w:ind w:firstLine="709"/>
        <w:jc w:val="both"/>
        <w:rPr>
          <w:rFonts w:ascii="Verdana" w:eastAsia="Calibri" w:hAnsi="Verdana" w:cs="Arial"/>
          <w:color w:val="000000"/>
          <w:lang w:val="es-ES" w:eastAsia="es-ES"/>
        </w:rPr>
      </w:pPr>
      <w:r w:rsidRPr="00FB6807">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503A2732" w14:textId="77777777" w:rsidR="00DF6946" w:rsidRPr="00FB6807" w:rsidRDefault="00DF6946" w:rsidP="00DF6946">
      <w:pPr>
        <w:spacing w:after="120" w:line="276" w:lineRule="auto"/>
        <w:ind w:firstLine="709"/>
        <w:jc w:val="both"/>
        <w:rPr>
          <w:rFonts w:ascii="Verdana" w:hAnsi="Verdana" w:cs="Arial"/>
          <w:lang w:eastAsia="es-ES"/>
        </w:rPr>
      </w:pPr>
      <w:r w:rsidRPr="00FB6807">
        <w:rPr>
          <w:rFonts w:ascii="Verdana" w:eastAsia="Calibri" w:hAnsi="Verdana" w:cs="Arial"/>
          <w:color w:val="000000"/>
          <w:lang w:val="es-ES" w:eastAsia="es-ES"/>
        </w:rPr>
        <w:t>En consecuencia, esta Subdirección en el marco de la función consultiva</w:t>
      </w:r>
      <w:r w:rsidRPr="00FB6807">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FB6807">
        <w:rPr>
          <w:rFonts w:ascii="Verdana" w:eastAsiaTheme="minorEastAsia" w:hAnsi="Verdana" w:cs="Arial"/>
          <w:szCs w:val="24"/>
          <w:lang w:eastAsia="es-CO"/>
        </w:rPr>
        <w:t xml:space="preserve"> sin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que ello suponga resolver un problema entre partes o asumir la única posible interpretación de</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una disposición normativa.</w:t>
      </w:r>
    </w:p>
    <w:p w14:paraId="61FE7B22" w14:textId="77777777" w:rsidR="00DF6946" w:rsidRPr="00580D81" w:rsidRDefault="00DF6946" w:rsidP="00DF6946">
      <w:pPr>
        <w:widowControl w:val="0"/>
        <w:autoSpaceDE w:val="0"/>
        <w:autoSpaceDN w:val="0"/>
        <w:spacing w:after="120" w:line="276" w:lineRule="auto"/>
        <w:ind w:right="176" w:firstLine="708"/>
        <w:jc w:val="both"/>
        <w:rPr>
          <w:rFonts w:ascii="Verdana" w:hAnsi="Verdana"/>
        </w:rPr>
      </w:pPr>
      <w:r w:rsidRPr="00FB6807">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bookmarkEnd w:id="4"/>
    <w:bookmarkEnd w:id="5"/>
    <w:p w14:paraId="7AC6BC9C" w14:textId="77777777" w:rsidR="00DF6946" w:rsidRPr="001F4E2F" w:rsidRDefault="00DF6946" w:rsidP="00DF6946">
      <w:pPr>
        <w:widowControl w:val="0"/>
        <w:autoSpaceDE w:val="0"/>
        <w:autoSpaceDN w:val="0"/>
        <w:spacing w:after="0" w:line="276" w:lineRule="auto"/>
        <w:jc w:val="both"/>
        <w:rPr>
          <w:rFonts w:ascii="Verdana" w:eastAsia="Arial MT" w:hAnsi="Verdana" w:cs="Arial"/>
          <w:lang w:eastAsia="es-ES" w:bidi="es-ES"/>
        </w:rPr>
      </w:pPr>
    </w:p>
    <w:bookmarkEnd w:id="6"/>
    <w:bookmarkEnd w:id="7"/>
    <w:p w14:paraId="353EB724" w14:textId="77777777" w:rsidR="00DF6946" w:rsidRPr="001F4E2F" w:rsidRDefault="00DF6946" w:rsidP="00DF6946">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8"/>
    <w:p w14:paraId="4204AD54" w14:textId="77777777" w:rsidR="00DF6946" w:rsidRPr="001F4E2F" w:rsidRDefault="00DF6946" w:rsidP="00DF694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6946" w:rsidRPr="001F4E2F" w14:paraId="0FE977AE" w14:textId="77777777">
        <w:trPr>
          <w:trHeight w:val="870"/>
          <w:jc w:val="center"/>
        </w:trPr>
        <w:tc>
          <w:tcPr>
            <w:tcW w:w="8647" w:type="dxa"/>
          </w:tcPr>
          <w:p w14:paraId="487A53C5" w14:textId="77777777" w:rsidR="00DF6946" w:rsidRPr="00FB6807" w:rsidRDefault="00DF6946" w:rsidP="00DF6946">
            <w:pPr>
              <w:widowControl w:val="0"/>
              <w:numPr>
                <w:ilvl w:val="0"/>
                <w:numId w:val="17"/>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lastRenderedPageBreak/>
              <w:t xml:space="preserve">Constitución Política de 1991, artículos 360 y 361. </w:t>
            </w:r>
          </w:p>
          <w:p w14:paraId="17EC87C2" w14:textId="77777777" w:rsidR="00DF6946" w:rsidRPr="00FB6807" w:rsidRDefault="00DF6946" w:rsidP="00DF6946">
            <w:pPr>
              <w:widowControl w:val="0"/>
              <w:numPr>
                <w:ilvl w:val="0"/>
                <w:numId w:val="17"/>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t>Ley 80 de 1993, artículos 40 y 41</w:t>
            </w:r>
          </w:p>
          <w:p w14:paraId="6820D320" w14:textId="77777777" w:rsidR="00DF6946" w:rsidRPr="00FB6807" w:rsidRDefault="00DF6946" w:rsidP="00DF6946">
            <w:pPr>
              <w:widowControl w:val="0"/>
              <w:numPr>
                <w:ilvl w:val="0"/>
                <w:numId w:val="17"/>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t>Ley 1474 de 2011, artículo 93</w:t>
            </w:r>
          </w:p>
          <w:p w14:paraId="4E504E90" w14:textId="77777777" w:rsidR="00DF6946" w:rsidRPr="00FB6807" w:rsidRDefault="00DF6946" w:rsidP="00DF6946">
            <w:pPr>
              <w:widowControl w:val="0"/>
              <w:numPr>
                <w:ilvl w:val="0"/>
                <w:numId w:val="17"/>
              </w:numPr>
              <w:autoSpaceDE w:val="0"/>
              <w:autoSpaceDN w:val="0"/>
              <w:spacing w:after="160" w:line="276" w:lineRule="auto"/>
              <w:ind w:left="318" w:hanging="284"/>
              <w:contextualSpacing/>
              <w:jc w:val="both"/>
              <w:rPr>
                <w:rFonts w:ascii="Verdana" w:eastAsia="Aptos" w:hAnsi="Verdana" w:cs="Arial"/>
              </w:rPr>
            </w:pPr>
            <w:r w:rsidRPr="00FB6807">
              <w:rPr>
                <w:rFonts w:ascii="Verdana" w:hAnsi="Verdana" w:cs="Arial"/>
              </w:rPr>
              <w:t>Ley 2056 de 2020, artículos 28 a 37, 83, 87, 98, 99, 101, 108 y 109</w:t>
            </w:r>
          </w:p>
          <w:p w14:paraId="79E2BF47" w14:textId="77777777" w:rsidR="00DF6946" w:rsidRPr="00FB6807" w:rsidRDefault="00DF6946" w:rsidP="00DF6946">
            <w:pPr>
              <w:widowControl w:val="0"/>
              <w:numPr>
                <w:ilvl w:val="0"/>
                <w:numId w:val="17"/>
              </w:numPr>
              <w:autoSpaceDE w:val="0"/>
              <w:autoSpaceDN w:val="0"/>
              <w:spacing w:after="160" w:line="276" w:lineRule="auto"/>
              <w:ind w:left="318" w:hanging="284"/>
              <w:contextualSpacing/>
              <w:jc w:val="both"/>
              <w:rPr>
                <w:rFonts w:ascii="Verdana" w:eastAsia="Aptos" w:hAnsi="Verdana" w:cs="Arial"/>
              </w:rPr>
            </w:pPr>
            <w:r w:rsidRPr="00FB6807">
              <w:rPr>
                <w:rFonts w:ascii="Verdana" w:eastAsia="Aptos" w:hAnsi="Verdana" w:cs="Arial"/>
              </w:rPr>
              <w:t>Consejo De Estado. Sección tercera. Sentencia del 7 de marzo de 2025. Radicación No.69.941. C.P: José Roberto Sáchica.</w:t>
            </w:r>
          </w:p>
          <w:p w14:paraId="0AD10640" w14:textId="77777777" w:rsidR="00DF6946" w:rsidRPr="001F4E2F" w:rsidRDefault="00DF6946" w:rsidP="00DF6946">
            <w:pPr>
              <w:widowControl w:val="0"/>
              <w:numPr>
                <w:ilvl w:val="0"/>
                <w:numId w:val="17"/>
              </w:numPr>
              <w:autoSpaceDE w:val="0"/>
              <w:autoSpaceDN w:val="0"/>
              <w:spacing w:line="276" w:lineRule="auto"/>
              <w:ind w:left="318" w:hanging="284"/>
              <w:contextualSpacing/>
              <w:jc w:val="both"/>
              <w:rPr>
                <w:rFonts w:ascii="Verdana" w:hAnsi="Verdana" w:cs="Arial"/>
                <w:color w:val="000000" w:themeColor="text1"/>
              </w:rPr>
            </w:pPr>
            <w:r w:rsidRPr="00FB6807">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0AA10B0E" w14:textId="77777777" w:rsidR="00DF6946" w:rsidRPr="001F4E2F" w:rsidRDefault="00DF6946" w:rsidP="00DF6946">
      <w:pPr>
        <w:widowControl w:val="0"/>
        <w:autoSpaceDE w:val="0"/>
        <w:autoSpaceDN w:val="0"/>
        <w:spacing w:after="0" w:line="276" w:lineRule="auto"/>
        <w:jc w:val="both"/>
        <w:rPr>
          <w:rFonts w:ascii="Verdana" w:hAnsi="Verdana" w:cs="Arial"/>
        </w:rPr>
      </w:pPr>
    </w:p>
    <w:p w14:paraId="5F31DE71" w14:textId="77777777" w:rsidR="00DF6946" w:rsidRPr="001F4E2F" w:rsidRDefault="00DF6946" w:rsidP="00DF6946">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172F8466" w14:textId="77777777" w:rsidR="00DF6946" w:rsidRPr="001F4E2F" w:rsidRDefault="00DF6946" w:rsidP="00DF6946">
      <w:pPr>
        <w:widowControl w:val="0"/>
        <w:autoSpaceDE w:val="0"/>
        <w:autoSpaceDN w:val="0"/>
        <w:spacing w:after="0" w:line="276" w:lineRule="auto"/>
        <w:jc w:val="both"/>
        <w:rPr>
          <w:rStyle w:val="normaltextrun"/>
          <w:rFonts w:ascii="Verdana" w:hAnsi="Verdana" w:cs="Arial"/>
          <w:shd w:val="clear" w:color="auto" w:fill="FFFFFF"/>
          <w:lang w:val="es-ES"/>
        </w:rPr>
      </w:pPr>
    </w:p>
    <w:p w14:paraId="14F6ED63" w14:textId="77777777" w:rsidR="00DF6946" w:rsidRPr="00FB6807" w:rsidRDefault="00DF6946" w:rsidP="00DF6946">
      <w:pPr>
        <w:widowControl w:val="0"/>
        <w:autoSpaceDE w:val="0"/>
        <w:autoSpaceDN w:val="0"/>
        <w:spacing w:after="120" w:line="276" w:lineRule="auto"/>
        <w:jc w:val="both"/>
        <w:rPr>
          <w:rFonts w:ascii="Verdana" w:hAnsi="Verdana"/>
          <w:shd w:val="clear" w:color="auto" w:fill="FFFFFF"/>
        </w:rPr>
      </w:pPr>
      <w:r w:rsidRPr="00FB6807">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FB6807">
        <w:rPr>
          <w:rFonts w:ascii="Verdana" w:hAnsi="Verdana"/>
        </w:rPr>
        <w:t>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C-1050 del 21 de julio de 2026, C-1151, C-1152 del 12 de agosto, C-1249 del 27 de agosto de 2026</w:t>
      </w:r>
      <w:r w:rsidRPr="00FB6807">
        <w:rPr>
          <w:rFonts w:ascii="Verdana" w:hAnsi="Verdana"/>
        </w:rPr>
        <w:t>, entre otros</w:t>
      </w:r>
      <w:r w:rsidRPr="00FB6807">
        <w:rPr>
          <w:rFonts w:ascii="Verdana" w:hAnsi="Verdana" w:cs="Arial"/>
        </w:rPr>
        <w:t>.</w:t>
      </w:r>
      <w:r w:rsidRPr="00FB6807">
        <w:rPr>
          <w:rFonts w:ascii="Verdana" w:hAnsi="Verdana"/>
          <w:shd w:val="clear" w:color="auto" w:fill="FFFFFF"/>
        </w:rPr>
        <w:t xml:space="preserve"> </w:t>
      </w:r>
      <w:r w:rsidRPr="00FB6807">
        <w:rPr>
          <w:rFonts w:ascii="Verdana" w:hAnsi="Verdana" w:cs="Arial"/>
          <w:shd w:val="clear" w:color="auto" w:fill="FFFFFF"/>
        </w:rPr>
        <w:t>Es</w:t>
      </w:r>
      <w:r w:rsidRPr="00FB6807">
        <w:rPr>
          <w:rFonts w:ascii="Verdana" w:hAnsi="Verdana"/>
        </w:rPr>
        <w:t>tos conceptos se encuentran disponibles para consulta en el Sistema de relatoría de la Agencia, al cual se puede acceder a través del siguiente enlace:</w:t>
      </w:r>
      <w:r w:rsidRPr="00FB6807">
        <w:rPr>
          <w:rFonts w:ascii="Verdana" w:hAnsi="Verdana" w:cs="Arial"/>
          <w:shd w:val="clear" w:color="auto" w:fill="FFFFFF"/>
        </w:rPr>
        <w:t xml:space="preserve"> </w:t>
      </w:r>
      <w:hyperlink r:id="rId12" w:history="1">
        <w:r w:rsidRPr="00FB6807">
          <w:rPr>
            <w:rFonts w:ascii="Verdana" w:hAnsi="Verdana" w:cs="Arial"/>
            <w:color w:val="0563C1" w:themeColor="hyperlink"/>
            <w:u w:val="single"/>
            <w:shd w:val="clear" w:color="auto" w:fill="FFFFFF"/>
          </w:rPr>
          <w:t>https://relatoria.colombiacompra.gov.co/busqueda/conceptos</w:t>
        </w:r>
      </w:hyperlink>
      <w:r w:rsidRPr="00FB6807">
        <w:rPr>
          <w:rFonts w:ascii="Verdana" w:hAnsi="Verdana" w:cs="Arial"/>
          <w:shd w:val="clear" w:color="auto" w:fill="FFFFFF"/>
        </w:rPr>
        <w:t>.</w:t>
      </w:r>
      <w:r w:rsidRPr="00FB6807">
        <w:rPr>
          <w:rFonts w:ascii="Verdana" w:hAnsi="Verdana" w:cs="Arial"/>
          <w:color w:val="FF0000"/>
          <w:shd w:val="clear" w:color="auto" w:fill="FFFFFF"/>
        </w:rPr>
        <w:t xml:space="preserve"> </w:t>
      </w:r>
      <w:r w:rsidRPr="00FB6807">
        <w:rPr>
          <w:rFonts w:ascii="Verdana" w:hAnsi="Verdana" w:cs="Arial"/>
          <w:color w:val="000000" w:themeColor="text1"/>
          <w:shd w:val="clear" w:color="auto" w:fill="FFFFFF"/>
        </w:rPr>
        <w:t> </w:t>
      </w:r>
    </w:p>
    <w:p w14:paraId="5FFDA882" w14:textId="77777777" w:rsidR="00DF6946" w:rsidRPr="001F4E2F" w:rsidRDefault="00DF6946" w:rsidP="00DF6946">
      <w:pPr>
        <w:spacing w:after="0" w:line="276" w:lineRule="auto"/>
        <w:jc w:val="both"/>
        <w:rPr>
          <w:rFonts w:ascii="Verdana" w:hAnsi="Verdana" w:cs="Arial"/>
          <w:shd w:val="clear" w:color="auto" w:fill="FFFFFF"/>
          <w:lang w:val="es-ES"/>
        </w:rPr>
      </w:pPr>
    </w:p>
    <w:p w14:paraId="21367040" w14:textId="77777777" w:rsidR="00DF6946" w:rsidRDefault="00DF6946" w:rsidP="00DF6946">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7D05BE" w14:textId="77777777" w:rsidR="00DF6946" w:rsidRPr="001F4E2F" w:rsidRDefault="00DF6946" w:rsidP="00DF6946">
      <w:pPr>
        <w:spacing w:after="0" w:line="276" w:lineRule="auto"/>
        <w:jc w:val="both"/>
        <w:rPr>
          <w:rFonts w:ascii="Verdana" w:eastAsia="Calibri" w:hAnsi="Verdana" w:cs="Times New Roman"/>
        </w:rPr>
      </w:pPr>
    </w:p>
    <w:p w14:paraId="1752103C" w14:textId="77777777" w:rsidR="00DF6946" w:rsidRPr="001F4E2F" w:rsidRDefault="00DF6946" w:rsidP="00DF6946">
      <w:pPr>
        <w:pStyle w:val="Prrafodelista"/>
        <w:numPr>
          <w:ilvl w:val="0"/>
          <w:numId w:val="15"/>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424588D7" w14:textId="77777777" w:rsidR="00DF6946" w:rsidRPr="001F4E2F" w:rsidRDefault="00DF6946" w:rsidP="00DF6946">
      <w:pPr>
        <w:pStyle w:val="Prrafodelista"/>
        <w:numPr>
          <w:ilvl w:val="0"/>
          <w:numId w:val="15"/>
        </w:numPr>
        <w:spacing w:after="0" w:line="276" w:lineRule="auto"/>
        <w:contextualSpacing w:val="0"/>
        <w:jc w:val="both"/>
        <w:rPr>
          <w:rFonts w:ascii="Verdana" w:hAnsi="Verdana"/>
        </w:rPr>
      </w:pPr>
      <w:r w:rsidRPr="001F4E2F">
        <w:rPr>
          <w:rFonts w:ascii="Verdana" w:hAnsi="Verdana"/>
        </w:rPr>
        <w:t>Línea en Bogotá (Mesa de servicio): +57 601 7456788</w:t>
      </w:r>
    </w:p>
    <w:p w14:paraId="009F7F0B" w14:textId="77777777" w:rsidR="00DF6946" w:rsidRPr="001F4E2F" w:rsidRDefault="00DF6946" w:rsidP="00DF6946">
      <w:pPr>
        <w:pStyle w:val="Prrafodelista"/>
        <w:numPr>
          <w:ilvl w:val="0"/>
          <w:numId w:val="15"/>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01D981CC" w14:textId="77777777" w:rsidR="00DF6946" w:rsidRPr="001F4E2F" w:rsidRDefault="00DF6946" w:rsidP="00DF6946">
      <w:pPr>
        <w:pStyle w:val="Prrafodelista"/>
        <w:numPr>
          <w:ilvl w:val="0"/>
          <w:numId w:val="15"/>
        </w:numPr>
        <w:spacing w:after="0" w:line="276" w:lineRule="auto"/>
        <w:contextualSpacing w:val="0"/>
        <w:jc w:val="both"/>
        <w:rPr>
          <w:rFonts w:ascii="Verdana" w:hAnsi="Verdana"/>
        </w:rPr>
      </w:pPr>
      <w:r w:rsidRPr="001F4E2F">
        <w:rPr>
          <w:rFonts w:ascii="Verdana" w:hAnsi="Verdana"/>
        </w:rPr>
        <w:t xml:space="preserve">Página web: </w:t>
      </w:r>
      <w:hyperlink r:id="rId13" w:history="1">
        <w:r w:rsidRPr="001F4E2F">
          <w:rPr>
            <w:rStyle w:val="Hipervnculo"/>
            <w:rFonts w:ascii="Verdana" w:hAnsi="Verdana"/>
          </w:rPr>
          <w:t>www.colombiacompra.gov.co</w:t>
        </w:r>
      </w:hyperlink>
    </w:p>
    <w:p w14:paraId="10551673" w14:textId="77777777" w:rsidR="00DF6946" w:rsidRPr="001F4E2F" w:rsidRDefault="00DF6946" w:rsidP="00DF6946">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2B4B069E" w14:textId="77777777" w:rsidR="00DF6946" w:rsidRPr="001F4E2F" w:rsidRDefault="00DF6946" w:rsidP="00DF6946">
      <w:pPr>
        <w:spacing w:after="0" w:line="276" w:lineRule="auto"/>
        <w:jc w:val="both"/>
        <w:rPr>
          <w:rFonts w:ascii="Verdana" w:hAnsi="Verdana"/>
        </w:rPr>
      </w:pPr>
    </w:p>
    <w:p w14:paraId="78499581" w14:textId="77777777" w:rsidR="00DF6946" w:rsidRPr="001F4E2F" w:rsidRDefault="00DF6946" w:rsidP="00DF6946">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39F95D9A" w14:textId="77777777" w:rsidR="00DF6946" w:rsidRPr="001F4E2F" w:rsidRDefault="00DF6946" w:rsidP="00DF6946">
      <w:pPr>
        <w:spacing w:after="0" w:line="276" w:lineRule="auto"/>
        <w:jc w:val="both"/>
        <w:rPr>
          <w:rFonts w:ascii="Verdana" w:hAnsi="Verdana"/>
        </w:rPr>
      </w:pPr>
      <w:r w:rsidRPr="001F4E2F">
        <w:rPr>
          <w:rFonts w:ascii="Verdana" w:hAnsi="Verdana"/>
        </w:rPr>
        <w:t xml:space="preserve">Facebook: </w:t>
      </w:r>
      <w:proofErr w:type="spellStart"/>
      <w:r w:rsidRPr="001F4E2F">
        <w:rPr>
          <w:rStyle w:val="Hipervnculo"/>
          <w:rFonts w:ascii="Verdana" w:hAnsi="Verdana"/>
        </w:rPr>
        <w:t>ColombiaCompraEficiente</w:t>
      </w:r>
      <w:proofErr w:type="spellEnd"/>
    </w:p>
    <w:p w14:paraId="2E88B630" w14:textId="77777777" w:rsidR="00DF6946" w:rsidRPr="001F4E2F" w:rsidRDefault="00DF6946" w:rsidP="00DF6946">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4DC20FBA" w14:textId="77777777" w:rsidR="00DF6946" w:rsidRPr="001F4E2F" w:rsidRDefault="00DF6946" w:rsidP="00DF6946">
      <w:pPr>
        <w:spacing w:after="0" w:line="276" w:lineRule="auto"/>
        <w:jc w:val="both"/>
        <w:rPr>
          <w:rFonts w:ascii="Verdana" w:hAnsi="Verdana"/>
        </w:rPr>
      </w:pPr>
    </w:p>
    <w:p w14:paraId="28E22691" w14:textId="77777777" w:rsidR="00DF6946" w:rsidRPr="001F4E2F" w:rsidRDefault="00DF6946" w:rsidP="00DF6946">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6EE53E8" w14:textId="77777777" w:rsidR="00DF6946" w:rsidRPr="001F4E2F" w:rsidRDefault="00DF6946" w:rsidP="00DF6946">
      <w:pPr>
        <w:spacing w:after="0" w:line="276" w:lineRule="auto"/>
        <w:jc w:val="both"/>
        <w:rPr>
          <w:rFonts w:ascii="Verdana" w:eastAsia="Calibri" w:hAnsi="Verdana" w:cs="Times New Roman"/>
        </w:rPr>
      </w:pPr>
    </w:p>
    <w:p w14:paraId="0015ACD9" w14:textId="639CA90E" w:rsidR="00DF6946" w:rsidRPr="001D36FE" w:rsidRDefault="00DF6946" w:rsidP="00DF6946">
      <w:pPr>
        <w:spacing w:after="0" w:line="276" w:lineRule="auto"/>
        <w:jc w:val="both"/>
        <w:rPr>
          <w:noProof/>
        </w:rPr>
      </w:pPr>
      <w:r w:rsidRPr="001F4E2F">
        <w:rPr>
          <w:rFonts w:ascii="Verdana" w:eastAsia="Calibri" w:hAnsi="Verdana" w:cs="Times New Roman"/>
        </w:rPr>
        <w:t>Atentamente,</w:t>
      </w:r>
    </w:p>
    <w:bookmarkEnd w:id="0"/>
    <w:bookmarkEnd w:id="1"/>
    <w:p w14:paraId="5A94B1D5" w14:textId="512F8A55" w:rsidR="00DF6946" w:rsidRDefault="00933DCD" w:rsidP="00DF6946">
      <w:pPr>
        <w:spacing w:after="0"/>
        <w:rPr>
          <w:rFonts w:ascii="Verdana" w:hAnsi="Verdana"/>
        </w:rPr>
      </w:pPr>
      <w:r w:rsidRPr="00F21F0B">
        <w:rPr>
          <w:rFonts w:ascii="Century Gothic" w:hAnsi="Century Gothic"/>
          <w:noProof/>
        </w:rPr>
        <w:drawing>
          <wp:anchor distT="0" distB="0" distL="114300" distR="114300" simplePos="0" relativeHeight="251661312" behindDoc="1" locked="0" layoutInCell="1" allowOverlap="1" wp14:anchorId="796E9AE5" wp14:editId="6A39E95A">
            <wp:simplePos x="0" y="0"/>
            <wp:positionH relativeFrom="column">
              <wp:posOffset>1223401</wp:posOffset>
            </wp:positionH>
            <wp:positionV relativeFrom="paragraph">
              <wp:posOffset>166077</wp:posOffset>
            </wp:positionV>
            <wp:extent cx="3771900" cy="1402080"/>
            <wp:effectExtent l="0" t="0" r="0" b="7620"/>
            <wp:wrapTight wrapText="bothSides">
              <wp:wrapPolygon edited="0">
                <wp:start x="0" y="0"/>
                <wp:lineTo x="0" y="21424"/>
                <wp:lineTo x="21491" y="21424"/>
                <wp:lineTo x="21491" y="0"/>
                <wp:lineTo x="0" y="0"/>
              </wp:wrapPolygon>
            </wp:wrapTight>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anchor>
        </w:drawing>
      </w:r>
    </w:p>
    <w:p w14:paraId="157730A5" w14:textId="70A5F8EF" w:rsidR="00DF6946" w:rsidRDefault="00DF6946" w:rsidP="00DF6946">
      <w:pPr>
        <w:spacing w:after="0"/>
        <w:rPr>
          <w:rFonts w:ascii="Verdana" w:hAnsi="Verdana"/>
        </w:rPr>
      </w:pPr>
    </w:p>
    <w:p w14:paraId="1891D926" w14:textId="50726F95" w:rsidR="00DF6946" w:rsidRDefault="00DF6946" w:rsidP="00DF6946">
      <w:pPr>
        <w:spacing w:after="0"/>
        <w:rPr>
          <w:rFonts w:ascii="Verdana" w:hAnsi="Verdana"/>
        </w:rPr>
      </w:pPr>
    </w:p>
    <w:p w14:paraId="2E444AEA" w14:textId="77777777" w:rsidR="00DF6946" w:rsidRDefault="00DF6946" w:rsidP="00DF6946">
      <w:pPr>
        <w:spacing w:after="0"/>
        <w:rPr>
          <w:rFonts w:ascii="Verdana" w:hAnsi="Verdana"/>
        </w:rPr>
      </w:pPr>
    </w:p>
    <w:p w14:paraId="0CFAD11F" w14:textId="77777777" w:rsidR="00DF6946" w:rsidRDefault="00DF6946" w:rsidP="00DF6946">
      <w:pPr>
        <w:spacing w:after="0"/>
        <w:rPr>
          <w:rFonts w:ascii="Verdana" w:hAnsi="Verdana"/>
        </w:rPr>
      </w:pPr>
    </w:p>
    <w:p w14:paraId="0D354B23" w14:textId="77777777" w:rsidR="00DF6946" w:rsidRDefault="00DF6946" w:rsidP="00DF6946">
      <w:pPr>
        <w:spacing w:after="0"/>
        <w:rPr>
          <w:rFonts w:ascii="Verdana" w:hAnsi="Verdana"/>
        </w:rPr>
      </w:pPr>
    </w:p>
    <w:p w14:paraId="50902C05" w14:textId="77777777" w:rsidR="00DF6946" w:rsidRDefault="00DF6946" w:rsidP="00DF6946">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6946" w:rsidRPr="002423D6" w14:paraId="771D2250" w14:textId="77777777">
        <w:trPr>
          <w:trHeight w:val="315"/>
        </w:trPr>
        <w:tc>
          <w:tcPr>
            <w:tcW w:w="893" w:type="dxa"/>
            <w:vAlign w:val="center"/>
            <w:hideMark/>
          </w:tcPr>
          <w:p w14:paraId="45F59F65" w14:textId="77777777" w:rsidR="00DF6946" w:rsidRPr="002423D6" w:rsidRDefault="00DF69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F0CEE3" w14:textId="77777777" w:rsidR="00DF6946" w:rsidRPr="002423D6" w:rsidRDefault="00DF6946">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033DDB92" w14:textId="77777777" w:rsidR="00DF6946" w:rsidRPr="002423D6" w:rsidRDefault="00DF6946">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DF6946" w:rsidRPr="002423D6" w14:paraId="6D9259E2" w14:textId="77777777">
        <w:trPr>
          <w:trHeight w:val="330"/>
        </w:trPr>
        <w:tc>
          <w:tcPr>
            <w:tcW w:w="893" w:type="dxa"/>
            <w:vAlign w:val="center"/>
            <w:hideMark/>
          </w:tcPr>
          <w:p w14:paraId="33BA52B3" w14:textId="77777777" w:rsidR="00DF6946" w:rsidRPr="002423D6" w:rsidRDefault="00DF69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035C58" w14:textId="77777777" w:rsidR="00DF6946" w:rsidRPr="00A11861" w:rsidRDefault="00DF6946">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31FA621A" w14:textId="77777777" w:rsidR="00DF6946" w:rsidRPr="002423D6" w:rsidRDefault="00DF6946">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DF6946" w:rsidRPr="002423D6" w14:paraId="2DEF2108" w14:textId="77777777">
        <w:trPr>
          <w:trHeight w:val="300"/>
        </w:trPr>
        <w:tc>
          <w:tcPr>
            <w:tcW w:w="893" w:type="dxa"/>
            <w:vAlign w:val="center"/>
          </w:tcPr>
          <w:p w14:paraId="228F1629" w14:textId="77777777" w:rsidR="00DF6946" w:rsidRPr="002423D6" w:rsidRDefault="00DF69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51DB77" w14:textId="77777777" w:rsidR="00DF6946" w:rsidRPr="002423D6" w:rsidRDefault="00DF694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6D5D4363" w14:textId="77777777" w:rsidR="00DF6946" w:rsidRPr="002423D6" w:rsidRDefault="00DF694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49D2F152" w14:textId="77777777" w:rsidR="00DF6946" w:rsidRDefault="00DF6946" w:rsidP="00DF6946"/>
    <w:p w14:paraId="3C80A038" w14:textId="3933BC7E" w:rsidR="00DF6946" w:rsidRDefault="00DF6946" w:rsidP="00DF6946"/>
    <w:p w14:paraId="2D8F5E7C" w14:textId="77777777" w:rsidR="00DF6946" w:rsidRPr="005556B8" w:rsidRDefault="00DF6946" w:rsidP="00DF6946"/>
    <w:p w14:paraId="7028823A" w14:textId="77777777" w:rsidR="00DF6946" w:rsidRDefault="00DF6946" w:rsidP="00DF6946"/>
    <w:p w14:paraId="0F293BF4" w14:textId="32A28028" w:rsidR="00127233" w:rsidRPr="004E2A78" w:rsidRDefault="00127233" w:rsidP="004E2A78"/>
    <w:sectPr w:rsidR="00127233" w:rsidRPr="004E2A7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CD0B7" w14:textId="77777777" w:rsidR="00E13214" w:rsidRDefault="00E13214" w:rsidP="004A1847">
      <w:pPr>
        <w:spacing w:after="0" w:line="240" w:lineRule="auto"/>
      </w:pPr>
      <w:r>
        <w:separator/>
      </w:r>
    </w:p>
  </w:endnote>
  <w:endnote w:type="continuationSeparator" w:id="0">
    <w:p w14:paraId="442F293D" w14:textId="77777777" w:rsidR="00E13214" w:rsidRDefault="00E1321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F8D98" w14:textId="77777777" w:rsidR="00E13214" w:rsidRDefault="00E13214" w:rsidP="004A1847">
      <w:pPr>
        <w:spacing w:after="0" w:line="240" w:lineRule="auto"/>
      </w:pPr>
      <w:r>
        <w:separator/>
      </w:r>
    </w:p>
  </w:footnote>
  <w:footnote w:type="continuationSeparator" w:id="0">
    <w:p w14:paraId="5E39F366" w14:textId="77777777" w:rsidR="00E13214" w:rsidRDefault="00E13214" w:rsidP="004A1847">
      <w:pPr>
        <w:spacing w:after="0" w:line="240" w:lineRule="auto"/>
      </w:pPr>
      <w:r>
        <w:continuationSeparator/>
      </w:r>
    </w:p>
  </w:footnote>
  <w:footnote w:id="1">
    <w:p w14:paraId="6D63BBA7" w14:textId="77777777" w:rsidR="00DF6946" w:rsidRPr="00591347" w:rsidRDefault="00DF6946" w:rsidP="00DF6946">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2622F353" w14:textId="77777777" w:rsidR="00DF6946" w:rsidRPr="00591347" w:rsidRDefault="00DF6946" w:rsidP="00DF6946">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25DD8228" w14:textId="77777777" w:rsidR="00DF6946" w:rsidRPr="00591347" w:rsidRDefault="00DF6946" w:rsidP="00DF6946">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3DD70B8D" w14:textId="77777777" w:rsidR="00DF6946" w:rsidRPr="00591347" w:rsidRDefault="00DF6946" w:rsidP="00DF6946">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DE303F3" w14:textId="77777777" w:rsidR="00DF6946" w:rsidRPr="00591347" w:rsidRDefault="00DF6946" w:rsidP="00DF6946">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91B786B" w14:textId="77777777" w:rsidR="00DF6946" w:rsidRPr="00591347" w:rsidRDefault="00DF6946" w:rsidP="00DF6946">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7DE74D26" w14:textId="77777777" w:rsidR="00DF6946" w:rsidRPr="00591347" w:rsidRDefault="00DF6946" w:rsidP="00DF6946">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2">
    <w:p w14:paraId="7A5A159C"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3">
    <w:p w14:paraId="6CFC0AB7"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1C33F0DD"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9"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9"/>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5">
    <w:p w14:paraId="0FAC14CC" w14:textId="77777777" w:rsidR="00DF6946" w:rsidRPr="00591347" w:rsidRDefault="00DF6946" w:rsidP="00DF6946">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57A686A9"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10"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10"/>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7">
    <w:p w14:paraId="2A88F636"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8">
    <w:p w14:paraId="635A2FE9" w14:textId="77777777" w:rsidR="00DF6946" w:rsidRPr="00591347" w:rsidRDefault="00DF6946" w:rsidP="00DF6946">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9">
    <w:p w14:paraId="15ECE3A0" w14:textId="77777777" w:rsidR="00DF6946" w:rsidRPr="00945863" w:rsidRDefault="00DF6946" w:rsidP="00DF6946">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0">
    <w:p w14:paraId="3BE52CC5" w14:textId="77777777" w:rsidR="00DF6946" w:rsidRPr="00EE4BC2" w:rsidRDefault="00DF6946" w:rsidP="00DF6946">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61F34B85" w14:textId="77777777" w:rsidR="00DF6946" w:rsidRPr="0036147A" w:rsidRDefault="00DF6946" w:rsidP="00DF6946">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1">
    <w:p w14:paraId="4DA511DF" w14:textId="77777777" w:rsidR="00DF6946" w:rsidRPr="00EE4BC2" w:rsidRDefault="00DF6946" w:rsidP="00DF6946">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50AB68B5" w14:textId="77777777" w:rsidR="00DF6946" w:rsidRPr="00EE4BC2" w:rsidRDefault="00DF6946" w:rsidP="00DF6946">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5ADCD9A5" w14:textId="77777777" w:rsidR="00DF6946" w:rsidRPr="00EE4BC2" w:rsidRDefault="00DF6946" w:rsidP="00DF6946">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65966C60" w14:textId="77777777" w:rsidR="00DF6946" w:rsidRPr="00EE4BC2" w:rsidRDefault="00DF6946" w:rsidP="00DF6946">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2">
    <w:p w14:paraId="56C88C1F" w14:textId="77777777" w:rsidR="00DF6946" w:rsidRPr="00CF531C" w:rsidRDefault="00DF6946" w:rsidP="00DF6946">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3">
    <w:p w14:paraId="66B454A8" w14:textId="77777777" w:rsidR="00DF6946" w:rsidRPr="00DD6A5A" w:rsidRDefault="00DF6946" w:rsidP="00DF6946">
      <w:pPr>
        <w:pStyle w:val="Textonotapie"/>
        <w:ind w:firstLine="709"/>
        <w:jc w:val="both"/>
        <w:rPr>
          <w:lang w:val="es-CO"/>
        </w:rPr>
      </w:pPr>
      <w:r>
        <w:rPr>
          <w:rStyle w:val="Refdenotaalpie"/>
        </w:rPr>
        <w:footnoteRef/>
      </w:r>
      <w:r>
        <w:t xml:space="preserve"> </w:t>
      </w:r>
      <w:r>
        <w:rPr>
          <w:rFonts w:ascii="Verdana" w:eastAsia="Calibri" w:hAnsi="Verdana" w:cs="Arial"/>
          <w:color w:val="000000" w:themeColor="text1"/>
          <w:sz w:val="16"/>
          <w:szCs w:val="16"/>
          <w:lang w:eastAsia="es-ES"/>
        </w:rPr>
        <w:t xml:space="preserve">Ibidem </w:t>
      </w:r>
    </w:p>
  </w:footnote>
  <w:footnote w:id="14">
    <w:p w14:paraId="2F20913E" w14:textId="77777777" w:rsidR="00DF6946" w:rsidRPr="001A370E" w:rsidRDefault="00DF6946" w:rsidP="00DF6946">
      <w:pPr>
        <w:pStyle w:val="Textonotapie"/>
        <w:ind w:firstLine="709"/>
        <w:jc w:val="both"/>
        <w:rPr>
          <w:lang w:val="es-CO"/>
        </w:rPr>
      </w:pPr>
      <w:r>
        <w:rPr>
          <w:rStyle w:val="Refdenotaalpie"/>
        </w:rPr>
        <w:footnoteRef/>
      </w:r>
      <w:r>
        <w:t xml:space="preserve"> </w:t>
      </w:r>
      <w:r w:rsidRPr="001A370E">
        <w:rPr>
          <w:rFonts w:ascii="Verdana" w:hAnsi="Verdana"/>
          <w:sz w:val="16"/>
          <w:szCs w:val="16"/>
        </w:rPr>
        <w:t xml:space="preserve">Resta aclarar que, conforme lo indicó el Consejo de Estado, “La Ley 2056 de 2020 </w:t>
      </w:r>
      <w:r w:rsidRPr="00B261E4">
        <w:rPr>
          <w:rFonts w:ascii="Verdana" w:hAnsi="Verdana"/>
          <w:i/>
          <w:iCs/>
          <w:sz w:val="16"/>
          <w:szCs w:val="16"/>
        </w:rPr>
        <w:t xml:space="preserve">solo introdujo una regla contractual especial y distinta al </w:t>
      </w:r>
      <w:r w:rsidRPr="001A370E">
        <w:rPr>
          <w:rFonts w:ascii="Verdana" w:hAnsi="Verdana"/>
          <w:sz w:val="16"/>
          <w:szCs w:val="16"/>
        </w:rPr>
        <w:t>régimen de contratación pública,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r>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7110012">
    <w:abstractNumId w:val="6"/>
  </w:num>
  <w:num w:numId="2" w16cid:durableId="628048008">
    <w:abstractNumId w:val="2"/>
  </w:num>
  <w:num w:numId="3" w16cid:durableId="1418673486">
    <w:abstractNumId w:val="4"/>
  </w:num>
  <w:num w:numId="4" w16cid:durableId="7110005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6173963">
    <w:abstractNumId w:val="2"/>
  </w:num>
  <w:num w:numId="6" w16cid:durableId="1489436685">
    <w:abstractNumId w:val="13"/>
  </w:num>
  <w:num w:numId="7" w16cid:durableId="813832138">
    <w:abstractNumId w:val="5"/>
  </w:num>
  <w:num w:numId="8" w16cid:durableId="1703087858">
    <w:abstractNumId w:val="12"/>
  </w:num>
  <w:num w:numId="9" w16cid:durableId="732658403">
    <w:abstractNumId w:val="7"/>
  </w:num>
  <w:num w:numId="10" w16cid:durableId="1906405450">
    <w:abstractNumId w:val="11"/>
  </w:num>
  <w:num w:numId="11" w16cid:durableId="23020085">
    <w:abstractNumId w:val="8"/>
  </w:num>
  <w:num w:numId="12" w16cid:durableId="1486782105">
    <w:abstractNumId w:val="1"/>
  </w:num>
  <w:num w:numId="13" w16cid:durableId="1281299911">
    <w:abstractNumId w:val="3"/>
  </w:num>
  <w:num w:numId="14" w16cid:durableId="1855610526">
    <w:abstractNumId w:val="14"/>
  </w:num>
  <w:num w:numId="15" w16cid:durableId="725102234">
    <w:abstractNumId w:val="10"/>
  </w:num>
  <w:num w:numId="16" w16cid:durableId="1288659117">
    <w:abstractNumId w:val="0"/>
  </w:num>
  <w:num w:numId="17" w16cid:durableId="589236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689"/>
    <w:rsid w:val="00060EF5"/>
    <w:rsid w:val="00061B2A"/>
    <w:rsid w:val="00082362"/>
    <w:rsid w:val="000A1115"/>
    <w:rsid w:val="000A683E"/>
    <w:rsid w:val="000B19B9"/>
    <w:rsid w:val="000B2A99"/>
    <w:rsid w:val="000D0334"/>
    <w:rsid w:val="000D5DA7"/>
    <w:rsid w:val="000F6486"/>
    <w:rsid w:val="00101AB3"/>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C7F3E"/>
    <w:rsid w:val="002E2BF8"/>
    <w:rsid w:val="002E4FD9"/>
    <w:rsid w:val="0030657A"/>
    <w:rsid w:val="00322A85"/>
    <w:rsid w:val="00324168"/>
    <w:rsid w:val="00330834"/>
    <w:rsid w:val="003448F4"/>
    <w:rsid w:val="003564A1"/>
    <w:rsid w:val="00374F5E"/>
    <w:rsid w:val="00377E3E"/>
    <w:rsid w:val="003A779E"/>
    <w:rsid w:val="003D0F4D"/>
    <w:rsid w:val="003D5B0D"/>
    <w:rsid w:val="003E0499"/>
    <w:rsid w:val="003E4F80"/>
    <w:rsid w:val="003E6439"/>
    <w:rsid w:val="003F3941"/>
    <w:rsid w:val="00406575"/>
    <w:rsid w:val="00414C74"/>
    <w:rsid w:val="0042722E"/>
    <w:rsid w:val="0044528D"/>
    <w:rsid w:val="00461837"/>
    <w:rsid w:val="00466E39"/>
    <w:rsid w:val="004A1847"/>
    <w:rsid w:val="004A305D"/>
    <w:rsid w:val="004E2A78"/>
    <w:rsid w:val="004F21C4"/>
    <w:rsid w:val="004F685F"/>
    <w:rsid w:val="0050267C"/>
    <w:rsid w:val="00552E06"/>
    <w:rsid w:val="005566E8"/>
    <w:rsid w:val="00574867"/>
    <w:rsid w:val="00591460"/>
    <w:rsid w:val="005A65E0"/>
    <w:rsid w:val="005B21A2"/>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1DAB"/>
    <w:rsid w:val="007E5497"/>
    <w:rsid w:val="007E58BF"/>
    <w:rsid w:val="00806F5F"/>
    <w:rsid w:val="00820278"/>
    <w:rsid w:val="008258C9"/>
    <w:rsid w:val="00844AE9"/>
    <w:rsid w:val="00867F95"/>
    <w:rsid w:val="008843B6"/>
    <w:rsid w:val="00884DA0"/>
    <w:rsid w:val="00891928"/>
    <w:rsid w:val="008A446D"/>
    <w:rsid w:val="008B25F1"/>
    <w:rsid w:val="008C5CE9"/>
    <w:rsid w:val="008D180B"/>
    <w:rsid w:val="008F0EA7"/>
    <w:rsid w:val="00923EEF"/>
    <w:rsid w:val="00933DCD"/>
    <w:rsid w:val="009419F9"/>
    <w:rsid w:val="0095685E"/>
    <w:rsid w:val="00961B09"/>
    <w:rsid w:val="00965334"/>
    <w:rsid w:val="0097093E"/>
    <w:rsid w:val="00971AD3"/>
    <w:rsid w:val="009A0DFA"/>
    <w:rsid w:val="009A1C6F"/>
    <w:rsid w:val="009B2D26"/>
    <w:rsid w:val="009C71FA"/>
    <w:rsid w:val="009C72E7"/>
    <w:rsid w:val="009C7F7E"/>
    <w:rsid w:val="009D3058"/>
    <w:rsid w:val="009E267C"/>
    <w:rsid w:val="009F3A13"/>
    <w:rsid w:val="00A06EAA"/>
    <w:rsid w:val="00A122D3"/>
    <w:rsid w:val="00A14468"/>
    <w:rsid w:val="00A17B1F"/>
    <w:rsid w:val="00A17F13"/>
    <w:rsid w:val="00A20739"/>
    <w:rsid w:val="00A23AF9"/>
    <w:rsid w:val="00A33C78"/>
    <w:rsid w:val="00A77359"/>
    <w:rsid w:val="00A83BBD"/>
    <w:rsid w:val="00AB0ADB"/>
    <w:rsid w:val="00AB57AE"/>
    <w:rsid w:val="00B00C0E"/>
    <w:rsid w:val="00B01B1A"/>
    <w:rsid w:val="00B0381D"/>
    <w:rsid w:val="00B43D2D"/>
    <w:rsid w:val="00B44A47"/>
    <w:rsid w:val="00B72CD3"/>
    <w:rsid w:val="00B72FFF"/>
    <w:rsid w:val="00BC3D36"/>
    <w:rsid w:val="00BD54A6"/>
    <w:rsid w:val="00BD7F72"/>
    <w:rsid w:val="00BF7425"/>
    <w:rsid w:val="00C04FB3"/>
    <w:rsid w:val="00C06656"/>
    <w:rsid w:val="00C11D8B"/>
    <w:rsid w:val="00C15139"/>
    <w:rsid w:val="00C21DE1"/>
    <w:rsid w:val="00C314ED"/>
    <w:rsid w:val="00C330EB"/>
    <w:rsid w:val="00C50D69"/>
    <w:rsid w:val="00C5365C"/>
    <w:rsid w:val="00C60F52"/>
    <w:rsid w:val="00C754BE"/>
    <w:rsid w:val="00C76B1C"/>
    <w:rsid w:val="00C925AC"/>
    <w:rsid w:val="00CB6357"/>
    <w:rsid w:val="00CC1B26"/>
    <w:rsid w:val="00D27BFA"/>
    <w:rsid w:val="00D361FD"/>
    <w:rsid w:val="00D423A2"/>
    <w:rsid w:val="00D44E26"/>
    <w:rsid w:val="00D520D8"/>
    <w:rsid w:val="00D54D5A"/>
    <w:rsid w:val="00D63AC2"/>
    <w:rsid w:val="00D7383B"/>
    <w:rsid w:val="00D7788A"/>
    <w:rsid w:val="00DA231B"/>
    <w:rsid w:val="00DB7B21"/>
    <w:rsid w:val="00DC39FC"/>
    <w:rsid w:val="00DF5254"/>
    <w:rsid w:val="00DF6946"/>
    <w:rsid w:val="00E02524"/>
    <w:rsid w:val="00E1321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2F1F"/>
    <w:rsid w:val="00FA47C0"/>
    <w:rsid w:val="00FB5DD1"/>
    <w:rsid w:val="00FC2B5D"/>
    <w:rsid w:val="00FF1449"/>
    <w:rsid w:val="00FF43BC"/>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6023DE7-EFB2-48CB-9A88-87BC886E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E06"/>
    <w:rPr>
      <w:rFonts w:ascii="Geomanist Light" w:hAnsi="Geomanist Light"/>
      <w:lang w:val="es-ES"/>
    </w:rPr>
  </w:style>
  <w:style w:type="paragraph" w:customStyle="1" w:styleId="Appelnotedebasde">
    <w:name w:val="Appel note de bas de..."/>
    <w:basedOn w:val="Normal"/>
    <w:link w:val="Refdenotaalpie"/>
    <w:uiPriority w:val="99"/>
    <w:rsid w:val="00552E06"/>
    <w:pPr>
      <w:spacing w:line="240" w:lineRule="exact"/>
    </w:pPr>
    <w:rPr>
      <w:vertAlign w:val="superscript"/>
    </w:rPr>
  </w:style>
  <w:style w:type="character" w:customStyle="1" w:styleId="baj">
    <w:name w:val="b_aj"/>
    <w:basedOn w:val="Fuentedeprrafopredeter"/>
    <w:rsid w:val="00552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076584832">
      <w:bodyDiv w:val="1"/>
      <w:marLeft w:val="0"/>
      <w:marRight w:val="0"/>
      <w:marTop w:val="0"/>
      <w:marBottom w:val="0"/>
      <w:divBdr>
        <w:top w:val="none" w:sz="0" w:space="0" w:color="auto"/>
        <w:left w:val="none" w:sz="0" w:space="0" w:color="auto"/>
        <w:bottom w:val="none" w:sz="0" w:space="0" w:color="auto"/>
        <w:right w:val="none" w:sz="0" w:space="0" w:color="auto"/>
      </w:divBdr>
      <w:divsChild>
        <w:div w:id="2146584547">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cuasar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EB8521-D7A4-4CED-91B9-892C96BAE10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23</Pages>
  <Words>7276</Words>
  <Characters>40018</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47200</CharactersWithSpaces>
  <SharedDoc>false</SharedDoc>
  <HLinks>
    <vt:vector size="48" baseType="variant">
      <vt:variant>
        <vt:i4>6029407</vt:i4>
      </vt:variant>
      <vt:variant>
        <vt:i4>6</vt:i4>
      </vt:variant>
      <vt:variant>
        <vt:i4>0</vt:i4>
      </vt:variant>
      <vt:variant>
        <vt:i4>5</vt:i4>
      </vt:variant>
      <vt:variant>
        <vt:lpwstr>http://www.colombiacompra.gov.co/</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6946900</vt:i4>
      </vt:variant>
      <vt:variant>
        <vt:i4>0</vt:i4>
      </vt:variant>
      <vt:variant>
        <vt:i4>0</vt:i4>
      </vt:variant>
      <vt:variant>
        <vt:i4>5</vt:i4>
      </vt:variant>
      <vt:variant>
        <vt:lpwstr>mailto:nocuasara@gmail.com</vt:lpwstr>
      </vt:variant>
      <vt:variant>
        <vt:lpwstr/>
      </vt:variant>
      <vt:variant>
        <vt:i4>1376329</vt:i4>
      </vt:variant>
      <vt:variant>
        <vt:i4>12</vt:i4>
      </vt:variant>
      <vt:variant>
        <vt:i4>0</vt:i4>
      </vt:variant>
      <vt:variant>
        <vt:i4>5</vt:i4>
      </vt:variant>
      <vt:variant>
        <vt:lpwstr>https://leyes.senado.gov.co/proyectos/index.php/proyectos-ley/cuatrenio-2018-2022/2020-2021/article/200-por-el-cual-se-regula-la-organizacion-y-el-funcionamiento-del-sistema-general-de-regalias-mensaje-de-urgencia</vt:lpwstr>
      </vt:variant>
      <vt:variant>
        <vt:lpwstr/>
      </vt:variant>
      <vt:variant>
        <vt:i4>65552</vt:i4>
      </vt:variant>
      <vt:variant>
        <vt:i4>9</vt:i4>
      </vt:variant>
      <vt:variant>
        <vt:i4>0</vt:i4>
      </vt:variant>
      <vt:variant>
        <vt:i4>5</vt:i4>
      </vt:variant>
      <vt:variant>
        <vt:lpwstr>http://www.secretariasenado.gov.co/senado/basedoc/ley_2056_2020.html</vt:lpwstr>
      </vt:variant>
      <vt:variant>
        <vt:lpwstr>36</vt:lpwstr>
      </vt:variant>
      <vt:variant>
        <vt:i4>131088</vt:i4>
      </vt:variant>
      <vt:variant>
        <vt:i4>6</vt:i4>
      </vt:variant>
      <vt:variant>
        <vt:i4>0</vt:i4>
      </vt:variant>
      <vt:variant>
        <vt:i4>5</vt:i4>
      </vt:variant>
      <vt:variant>
        <vt:lpwstr>http://www.secretariasenado.gov.co/senado/basedoc/ley_2056_2020.html</vt:lpwstr>
      </vt:variant>
      <vt:variant>
        <vt:lpwstr>35</vt:lpwstr>
      </vt:variant>
      <vt:variant>
        <vt:i4>65552</vt:i4>
      </vt:variant>
      <vt:variant>
        <vt:i4>3</vt:i4>
      </vt:variant>
      <vt:variant>
        <vt:i4>0</vt:i4>
      </vt:variant>
      <vt:variant>
        <vt:i4>5</vt:i4>
      </vt:variant>
      <vt:variant>
        <vt:lpwstr>http://www.secretariasenado.gov.co/senado/basedoc/ley_2056_2020.html</vt:lpwstr>
      </vt:variant>
      <vt:variant>
        <vt:lpwstr>36</vt:lpwstr>
      </vt:variant>
      <vt:variant>
        <vt:i4>131088</vt:i4>
      </vt:variant>
      <vt:variant>
        <vt:i4>0</vt:i4>
      </vt:variant>
      <vt:variant>
        <vt:i4>0</vt:i4>
      </vt:variant>
      <vt:variant>
        <vt:i4>5</vt:i4>
      </vt:variant>
      <vt:variant>
        <vt:lpwstr>http://www.secretariasenado.gov.co/senado/basedoc/ley_2056_2020.html</vt:lpwstr>
      </vt:variant>
      <vt:variant>
        <vt:lpwst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2023-01-11T00:18:00Z</cp:lastPrinted>
  <dcterms:created xsi:type="dcterms:W3CDTF">2026-10-14T02:21:00Z</dcterms:created>
  <dcterms:modified xsi:type="dcterms:W3CDTF">2026-10-14T16:46:00Z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