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A94E1" w14:textId="77777777" w:rsidR="00767A50" w:rsidRPr="00767A50" w:rsidRDefault="00767A50" w:rsidP="00767A50">
      <w:pPr>
        <w:spacing w:after="0" w:line="240" w:lineRule="auto"/>
        <w:jc w:val="both"/>
        <w:rPr>
          <w:rFonts w:ascii="Verdana" w:eastAsia="Geomanist Light" w:hAnsi="Verdana" w:cs="Arial"/>
          <w:b/>
          <w:bCs/>
          <w:color w:val="000000" w:themeColor="text1"/>
          <w:sz w:val="20"/>
          <w:szCs w:val="20"/>
          <w:lang w:val="es-MX"/>
        </w:rPr>
      </w:pPr>
      <w:bookmarkStart w:id="0" w:name="_Hlk143780582"/>
      <w:bookmarkStart w:id="1" w:name="_Hlk186494164"/>
      <w:r w:rsidRPr="00767A50">
        <w:rPr>
          <w:rFonts w:ascii="Verdana" w:eastAsia="Times New Roman" w:hAnsi="Verdana"/>
          <w:b/>
          <w:bCs/>
          <w:lang w:val="es-ES_tradnl" w:eastAsia="es-ES_tradnl"/>
        </w:rPr>
        <w:t>CONVENIOS Y CONTRATOS INTERADMINISTRATIVOS –</w:t>
      </w:r>
      <w:r w:rsidRPr="00767A50">
        <w:rPr>
          <w:rFonts w:ascii="Verdana" w:eastAsia="Times New Roman" w:hAnsi="Verdana"/>
          <w:b/>
          <w:bCs/>
          <w:lang w:eastAsia="es-ES_tradnl"/>
        </w:rPr>
        <w:t xml:space="preserve"> Noción y Características – Diferencias</w:t>
      </w:r>
      <w:r w:rsidRPr="00767A50">
        <w:rPr>
          <w:rFonts w:ascii="Verdana" w:eastAsia="Calibri" w:hAnsi="Verdana" w:cs="Arial"/>
          <w:b/>
          <w:bCs/>
          <w:lang w:eastAsia="es-ES"/>
        </w:rPr>
        <w:t xml:space="preserve"> </w:t>
      </w:r>
    </w:p>
    <w:p w14:paraId="108E58A7"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3FEBBB23" w14:textId="77777777" w:rsidR="00767A50" w:rsidRPr="00767A50" w:rsidRDefault="00767A50" w:rsidP="00767A50">
      <w:pPr>
        <w:snapToGrid w:val="0"/>
        <w:jc w:val="both"/>
        <w:rPr>
          <w:rFonts w:ascii="Verdana" w:eastAsia="Calibri" w:hAnsi="Verdana" w:cs="Arial"/>
          <w:bCs/>
          <w:color w:val="000000" w:themeColor="text1"/>
          <w:sz w:val="20"/>
          <w:szCs w:val="20"/>
          <w:lang w:eastAsia="es-ES_tradnl" w:bidi="es-ES"/>
        </w:rPr>
      </w:pPr>
      <w:r w:rsidRPr="00767A50">
        <w:rPr>
          <w:rFonts w:ascii="Verdana" w:eastAsia="Calibri" w:hAnsi="Verdana" w:cs="Arial"/>
          <w:bCs/>
          <w:color w:val="000000" w:themeColor="text1"/>
          <w:sz w:val="20"/>
          <w:szCs w:val="20"/>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5176F798" w14:textId="77777777" w:rsidR="00767A50" w:rsidRPr="00767A50" w:rsidRDefault="00767A50" w:rsidP="00767A50">
      <w:pPr>
        <w:snapToGrid w:val="0"/>
        <w:spacing w:after="0" w:line="240" w:lineRule="auto"/>
        <w:jc w:val="both"/>
        <w:rPr>
          <w:rFonts w:ascii="Verdana" w:eastAsia="Times New Roman" w:hAnsi="Verdana" w:cs="Arial"/>
          <w:iCs/>
          <w:sz w:val="20"/>
          <w:szCs w:val="20"/>
          <w:lang w:eastAsia="es-ES_tradnl"/>
        </w:rPr>
      </w:pPr>
      <w:r w:rsidRPr="00767A50">
        <w:rPr>
          <w:rFonts w:ascii="Verdana" w:eastAsia="Calibri" w:hAnsi="Verdana" w:cs="Arial"/>
          <w:bCs/>
          <w:color w:val="000000" w:themeColor="text1"/>
          <w:sz w:val="20"/>
          <w:szCs w:val="20"/>
          <w:lang w:eastAsia="es-ES_tradnl" w:bidi="es-ES"/>
        </w:rPr>
        <w:t xml:space="preserve">En este contexto, </w:t>
      </w:r>
      <w:r w:rsidRPr="00767A50">
        <w:rPr>
          <w:rFonts w:ascii="Verdana" w:eastAsia="Times New Roman" w:hAnsi="Verdana" w:cs="Arial"/>
          <w:iCs/>
          <w:sz w:val="20"/>
          <w:szCs w:val="20"/>
          <w:lang w:eastAsia="es-ES_tradnl"/>
        </w:rPr>
        <w:t>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5C055FCE"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553936A7" w14:textId="77777777" w:rsidR="00767A50" w:rsidRPr="00767A50" w:rsidRDefault="00767A50" w:rsidP="00767A50">
      <w:pPr>
        <w:spacing w:after="0" w:line="240" w:lineRule="auto"/>
        <w:jc w:val="both"/>
        <w:rPr>
          <w:rFonts w:ascii="Verdana" w:eastAsia="Geomanist Light" w:hAnsi="Verdana" w:cs="Arial"/>
          <w:b/>
          <w:bCs/>
          <w:color w:val="000000" w:themeColor="text1"/>
          <w:lang w:val="es-MX"/>
        </w:rPr>
      </w:pPr>
      <w:r w:rsidRPr="00767A50">
        <w:rPr>
          <w:rFonts w:ascii="Verdana" w:eastAsia="Times New Roman" w:hAnsi="Verdana"/>
          <w:b/>
          <w:bCs/>
          <w:lang w:val="es-ES_tradnl" w:eastAsia="es-ES_tradnl"/>
        </w:rPr>
        <w:t xml:space="preserve">CONVENIOS Y CONTRATOS INTERADMINISTRATIVOS </w:t>
      </w:r>
      <w:r w:rsidRPr="00767A50">
        <w:rPr>
          <w:rFonts w:ascii="Verdana" w:eastAsia="Times New Roman" w:hAnsi="Verdana"/>
          <w:b/>
          <w:bCs/>
          <w:lang w:eastAsia="es-ES_tradnl"/>
        </w:rPr>
        <w:t xml:space="preserve">– </w:t>
      </w:r>
      <w:r w:rsidRPr="00767A50">
        <w:rPr>
          <w:rFonts w:ascii="Verdana" w:eastAsia="Calibri" w:hAnsi="Verdana" w:cs="Arial"/>
          <w:b/>
          <w:bCs/>
          <w:lang w:eastAsia="es-ES"/>
        </w:rPr>
        <w:t xml:space="preserve">Costos administrativos </w:t>
      </w:r>
      <w:r w:rsidRPr="00767A50">
        <w:rPr>
          <w:rFonts w:ascii="Verdana" w:eastAsia="Times New Roman" w:hAnsi="Verdana"/>
          <w:b/>
          <w:bCs/>
          <w:lang w:eastAsia="es-ES_tradnl"/>
        </w:rPr>
        <w:t>– Procedencia</w:t>
      </w:r>
    </w:p>
    <w:p w14:paraId="0EF29630"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0B786A09" w14:textId="77777777" w:rsidR="00767A50" w:rsidRPr="00767A50" w:rsidRDefault="00767A50" w:rsidP="00767A50">
      <w:pPr>
        <w:spacing w:after="0" w:line="240" w:lineRule="auto"/>
        <w:jc w:val="both"/>
        <w:rPr>
          <w:rFonts w:ascii="Verdana" w:eastAsia="Calibri" w:hAnsi="Verdana" w:cs="Arial"/>
          <w:bCs/>
          <w:color w:val="000000" w:themeColor="text1"/>
          <w:sz w:val="20"/>
          <w:szCs w:val="20"/>
          <w:lang w:eastAsia="es-ES_tradnl" w:bidi="es-ES"/>
        </w:rPr>
      </w:pPr>
      <w:r w:rsidRPr="00767A50">
        <w:rPr>
          <w:rFonts w:ascii="Verdana" w:eastAsia="Calibri" w:hAnsi="Verdana" w:cs="Arial"/>
          <w:bCs/>
          <w:color w:val="000000" w:themeColor="text1"/>
          <w:sz w:val="20"/>
          <w:szCs w:val="20"/>
          <w:lang w:eastAsia="es-ES_tradnl" w:bidi="es-ES"/>
        </w:rPr>
        <w:t>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25889065" w14:textId="77777777" w:rsidR="00767A50" w:rsidRPr="00767A50" w:rsidRDefault="00767A50" w:rsidP="00767A50">
      <w:pPr>
        <w:spacing w:after="0" w:line="240" w:lineRule="auto"/>
        <w:jc w:val="both"/>
        <w:rPr>
          <w:rFonts w:ascii="Verdana" w:eastAsia="Calibri" w:hAnsi="Verdana" w:cs="Arial"/>
          <w:bCs/>
          <w:color w:val="000000" w:themeColor="text1"/>
          <w:sz w:val="20"/>
          <w:szCs w:val="20"/>
          <w:lang w:eastAsia="es-ES_tradnl" w:bidi="es-ES"/>
        </w:rPr>
      </w:pPr>
    </w:p>
    <w:p w14:paraId="03184438" w14:textId="77777777" w:rsidR="00767A50" w:rsidRPr="00767A50" w:rsidRDefault="00767A50" w:rsidP="00767A50">
      <w:pPr>
        <w:spacing w:after="0" w:line="240" w:lineRule="auto"/>
        <w:jc w:val="both"/>
        <w:rPr>
          <w:rFonts w:ascii="Verdana" w:eastAsia="Calibri" w:hAnsi="Verdana" w:cs="Arial"/>
          <w:bCs/>
          <w:color w:val="000000" w:themeColor="text1"/>
          <w:sz w:val="20"/>
          <w:szCs w:val="20"/>
          <w:lang w:eastAsia="es-ES_tradnl" w:bidi="es-ES"/>
        </w:rPr>
      </w:pPr>
      <w:r w:rsidRPr="00767A50">
        <w:rPr>
          <w:rFonts w:ascii="Verdana" w:eastAsia="Calibri" w:hAnsi="Verdana" w:cs="Arial"/>
          <w:bCs/>
          <w:color w:val="000000" w:themeColor="text1"/>
          <w:sz w:val="20"/>
          <w:szCs w:val="20"/>
          <w:lang w:eastAsia="es-ES_tradnl" w:bidi="es-ES"/>
        </w:rPr>
        <w:t xml:space="preserve">Lo anterior reviste especial importancia, ya que, como se explicó, la naturaleza del negocio jurídico determina el régimen jurídico aplicable, así como la procedencia y el alcance de determinadas figuras contractuales. En este 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de cada convenio interadministrativo celebrado, por lo que no es </w:t>
      </w:r>
      <w:r w:rsidRPr="00767A50">
        <w:rPr>
          <w:rFonts w:ascii="Verdana" w:eastAsia="Calibri" w:hAnsi="Verdana" w:cs="Arial"/>
          <w:bCs/>
          <w:color w:val="000000" w:themeColor="text1"/>
          <w:sz w:val="20"/>
          <w:szCs w:val="20"/>
          <w:lang w:eastAsia="es-ES_tradnl" w:bidi="es-ES"/>
        </w:rPr>
        <w:lastRenderedPageBreak/>
        <w:t>posible establecer conclusiones de manera automática o anticipada con la simple denominación que las partes le asignen.</w:t>
      </w:r>
    </w:p>
    <w:p w14:paraId="54FDBD6F"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255921CC"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67724AC0"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26AA9812"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998A8BA"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08DDEA1"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0DA2B875"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368B1E9F"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1222837F"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511B486C"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1EB6344C"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4F011203"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71CE516"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2A8D81B1"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11B53128"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6F2B7471"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11EF3A1"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4B756CEF"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2E0F9FE"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3BE37810"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2081E225"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31CD613C"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2F1812B0"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4991C640"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86F56B2"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625DD583"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44D4DD54"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353BB815"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4F11CBEE"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78C93C2E"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5B169EEE"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0DDBF1CC" w14:textId="77777777" w:rsidR="00767A50" w:rsidRPr="00767A50" w:rsidRDefault="00767A50" w:rsidP="00767A50">
      <w:pPr>
        <w:spacing w:after="0" w:line="240" w:lineRule="auto"/>
        <w:rPr>
          <w:rFonts w:ascii="Verdana" w:eastAsia="Geomanist Light" w:hAnsi="Verdana" w:cs="Arial"/>
          <w:color w:val="000000" w:themeColor="text1"/>
          <w:lang w:val="es-MX"/>
        </w:rPr>
      </w:pPr>
    </w:p>
    <w:p w14:paraId="49D7D0B6" w14:textId="77777777" w:rsidR="00767A50" w:rsidRDefault="00767A50" w:rsidP="00767A50">
      <w:pPr>
        <w:spacing w:after="0" w:line="240" w:lineRule="auto"/>
        <w:jc w:val="both"/>
        <w:rPr>
          <w:rFonts w:ascii="Verdana" w:eastAsia="Calibri" w:hAnsi="Verdana" w:cs="Arial"/>
          <w:color w:val="000000"/>
        </w:rPr>
      </w:pPr>
    </w:p>
    <w:p w14:paraId="041E9758" w14:textId="77777777" w:rsidR="00767A50" w:rsidRDefault="00767A50" w:rsidP="00767A50">
      <w:pPr>
        <w:spacing w:after="0" w:line="240" w:lineRule="auto"/>
        <w:jc w:val="both"/>
        <w:rPr>
          <w:rFonts w:ascii="Verdana" w:eastAsia="Calibri" w:hAnsi="Verdana" w:cs="Arial"/>
          <w:color w:val="000000"/>
        </w:rPr>
      </w:pPr>
    </w:p>
    <w:p w14:paraId="44413DE6" w14:textId="77777777" w:rsidR="00767A50" w:rsidRDefault="00767A50" w:rsidP="00767A50">
      <w:pPr>
        <w:spacing w:after="0" w:line="240" w:lineRule="auto"/>
        <w:jc w:val="both"/>
        <w:rPr>
          <w:rFonts w:ascii="Verdana" w:eastAsia="Calibri" w:hAnsi="Verdana" w:cs="Arial"/>
          <w:color w:val="000000"/>
        </w:rPr>
      </w:pPr>
    </w:p>
    <w:p w14:paraId="454F4978" w14:textId="77777777" w:rsidR="00767A50" w:rsidRDefault="00767A50" w:rsidP="00767A50">
      <w:pPr>
        <w:spacing w:after="0" w:line="240" w:lineRule="auto"/>
        <w:jc w:val="both"/>
        <w:rPr>
          <w:rFonts w:ascii="Verdana" w:eastAsia="Calibri" w:hAnsi="Verdana" w:cs="Arial"/>
          <w:color w:val="000000"/>
        </w:rPr>
      </w:pPr>
    </w:p>
    <w:p w14:paraId="719602B4" w14:textId="77777777" w:rsidR="00767A50" w:rsidRDefault="00767A50" w:rsidP="00767A50">
      <w:pPr>
        <w:spacing w:after="0" w:line="240" w:lineRule="auto"/>
        <w:jc w:val="both"/>
        <w:rPr>
          <w:rFonts w:ascii="Verdana" w:eastAsia="Calibri" w:hAnsi="Verdana" w:cs="Arial"/>
          <w:color w:val="000000"/>
        </w:rPr>
      </w:pPr>
    </w:p>
    <w:p w14:paraId="52EF2AD4" w14:textId="77777777" w:rsidR="00767A50" w:rsidRDefault="00767A50" w:rsidP="00767A50">
      <w:pPr>
        <w:spacing w:after="0" w:line="240" w:lineRule="auto"/>
        <w:jc w:val="both"/>
        <w:rPr>
          <w:rFonts w:ascii="Verdana" w:eastAsia="Calibri" w:hAnsi="Verdana" w:cs="Arial"/>
          <w:color w:val="000000"/>
        </w:rPr>
      </w:pPr>
    </w:p>
    <w:p w14:paraId="20BD966E" w14:textId="77777777" w:rsidR="00767A50" w:rsidRDefault="00767A50" w:rsidP="00767A50">
      <w:pPr>
        <w:spacing w:after="0" w:line="240" w:lineRule="auto"/>
        <w:jc w:val="both"/>
        <w:rPr>
          <w:rFonts w:ascii="Verdana" w:eastAsia="Calibri" w:hAnsi="Verdana" w:cs="Arial"/>
          <w:color w:val="000000"/>
        </w:rPr>
      </w:pPr>
    </w:p>
    <w:p w14:paraId="6252BBF3" w14:textId="77777777" w:rsidR="00767A50" w:rsidRDefault="00767A50" w:rsidP="00767A50">
      <w:pPr>
        <w:spacing w:after="0" w:line="240" w:lineRule="auto"/>
        <w:jc w:val="both"/>
        <w:rPr>
          <w:rFonts w:ascii="Verdana" w:eastAsia="Calibri" w:hAnsi="Verdana" w:cs="Arial"/>
          <w:color w:val="000000"/>
        </w:rPr>
      </w:pPr>
    </w:p>
    <w:p w14:paraId="1B34D37E" w14:textId="77777777" w:rsidR="00767A50" w:rsidRDefault="00767A50" w:rsidP="00767A50">
      <w:pPr>
        <w:spacing w:after="0" w:line="240" w:lineRule="auto"/>
        <w:jc w:val="both"/>
        <w:rPr>
          <w:rFonts w:ascii="Verdana" w:eastAsia="Calibri" w:hAnsi="Verdana" w:cs="Arial"/>
          <w:color w:val="000000"/>
        </w:rPr>
      </w:pPr>
    </w:p>
    <w:p w14:paraId="6F0813C1" w14:textId="29C7560B" w:rsidR="00767A50" w:rsidRDefault="00767A50" w:rsidP="00767A50">
      <w:pPr>
        <w:spacing w:after="0" w:line="240" w:lineRule="auto"/>
        <w:jc w:val="both"/>
        <w:rPr>
          <w:rFonts w:ascii="Verdana" w:eastAsia="Calibri" w:hAnsi="Verdana" w:cs="Arial"/>
          <w:color w:val="000000"/>
        </w:rPr>
      </w:pPr>
      <w:r w:rsidRPr="30821638">
        <w:rPr>
          <w:rFonts w:ascii="Verdana" w:eastAsia="Verdana" w:hAnsi="Verdana" w:cs="Verdana"/>
        </w:rPr>
        <w:lastRenderedPageBreak/>
        <w:t xml:space="preserve">Bogotá D.C., </w:t>
      </w:r>
      <w:r w:rsidR="000D26EB">
        <w:rPr>
          <w:rFonts w:ascii="Verdana" w:hAnsi="Verdana"/>
        </w:rPr>
        <w:t xml:space="preserve">21 </w:t>
      </w:r>
      <w:r w:rsidR="000E2F2F">
        <w:rPr>
          <w:rFonts w:ascii="Verdana" w:hAnsi="Verdana"/>
        </w:rPr>
        <w:t>septiembre</w:t>
      </w:r>
      <w:r w:rsidR="000D26EB">
        <w:rPr>
          <w:rFonts w:ascii="Verdana" w:hAnsi="Verdana"/>
        </w:rPr>
        <w:t xml:space="preserve"> 2026</w:t>
      </w:r>
      <w:r>
        <w:tab/>
      </w:r>
    </w:p>
    <w:p w14:paraId="7771EA31" w14:textId="77777777" w:rsidR="00767A50" w:rsidRPr="00767A50" w:rsidRDefault="00767A50" w:rsidP="00767A50">
      <w:pPr>
        <w:spacing w:after="0" w:line="240" w:lineRule="auto"/>
        <w:jc w:val="both"/>
        <w:rPr>
          <w:rFonts w:ascii="Verdana" w:eastAsia="Calibri" w:hAnsi="Verdana" w:cs="Arial"/>
          <w:color w:val="000000"/>
        </w:rPr>
      </w:pPr>
    </w:p>
    <w:p w14:paraId="776EB965" w14:textId="4546973A" w:rsidR="00767A50" w:rsidRPr="00767A50" w:rsidRDefault="000A2D2E" w:rsidP="00767A50">
      <w:pPr>
        <w:spacing w:after="0" w:line="240" w:lineRule="auto"/>
        <w:jc w:val="both"/>
        <w:rPr>
          <w:rFonts w:ascii="Verdana" w:eastAsia="Calibri" w:hAnsi="Verdana" w:cs="Arial"/>
          <w:lang w:val="it-CH" w:eastAsia="es-ES"/>
        </w:rPr>
      </w:pPr>
      <w:r w:rsidRPr="0030570A">
        <w:rPr>
          <w:noProof/>
        </w:rPr>
        <w:drawing>
          <wp:anchor distT="0" distB="0" distL="114300" distR="114300" simplePos="0" relativeHeight="251658240" behindDoc="1" locked="0" layoutInCell="1" allowOverlap="1" wp14:anchorId="5DEF0B74" wp14:editId="40246BE7">
            <wp:simplePos x="0" y="0"/>
            <wp:positionH relativeFrom="margin">
              <wp:align>right</wp:align>
            </wp:positionH>
            <wp:positionV relativeFrom="paragraph">
              <wp:posOffset>90805</wp:posOffset>
            </wp:positionV>
            <wp:extent cx="1924050" cy="532130"/>
            <wp:effectExtent l="0" t="0" r="0" b="1270"/>
            <wp:wrapTight wrapText="bothSides">
              <wp:wrapPolygon edited="0">
                <wp:start x="0" y="0"/>
                <wp:lineTo x="0" y="20878"/>
                <wp:lineTo x="21386" y="20878"/>
                <wp:lineTo x="21386" y="0"/>
                <wp:lineTo x="0" y="0"/>
              </wp:wrapPolygon>
            </wp:wrapTight>
            <wp:docPr id="2462804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4050" cy="532130"/>
                    </a:xfrm>
                    <a:prstGeom prst="rect">
                      <a:avLst/>
                    </a:prstGeom>
                    <a:noFill/>
                    <a:ln>
                      <a:noFill/>
                    </a:ln>
                  </pic:spPr>
                </pic:pic>
              </a:graphicData>
            </a:graphic>
          </wp:anchor>
        </w:drawing>
      </w:r>
      <w:r w:rsidR="00767A50" w:rsidRPr="00767A50">
        <w:rPr>
          <w:rFonts w:ascii="Verdana" w:eastAsia="Calibri" w:hAnsi="Verdana" w:cs="Arial"/>
          <w:lang w:val="it-CH" w:eastAsia="es-ES"/>
        </w:rPr>
        <w:t>Señor</w:t>
      </w:r>
    </w:p>
    <w:p w14:paraId="6DCB4B61" w14:textId="77777777" w:rsidR="00767A50" w:rsidRPr="00767A50" w:rsidRDefault="00767A50" w:rsidP="00767A50">
      <w:pPr>
        <w:spacing w:after="0" w:line="240" w:lineRule="auto"/>
        <w:jc w:val="both"/>
        <w:rPr>
          <w:rFonts w:ascii="Verdana" w:eastAsia="Calibri" w:hAnsi="Verdana" w:cs="Arial"/>
          <w:b/>
          <w:bCs/>
          <w:lang w:val="it-CH" w:eastAsia="es-ES"/>
        </w:rPr>
      </w:pPr>
      <w:r w:rsidRPr="00767A50">
        <w:rPr>
          <w:rFonts w:ascii="Verdana" w:eastAsia="Calibri" w:hAnsi="Verdana" w:cs="Arial"/>
          <w:b/>
          <w:bCs/>
          <w:lang w:val="it-CH" w:eastAsia="es-ES"/>
        </w:rPr>
        <w:t>JHONATAN VARELA NARVÁEZ</w:t>
      </w:r>
    </w:p>
    <w:p w14:paraId="2B17B376" w14:textId="77777777" w:rsidR="00767A50" w:rsidRPr="00767A50" w:rsidRDefault="00767A50" w:rsidP="00767A50">
      <w:pPr>
        <w:spacing w:after="0" w:line="240" w:lineRule="auto"/>
        <w:jc w:val="both"/>
        <w:rPr>
          <w:rFonts w:ascii="Verdana" w:eastAsia="Calibri" w:hAnsi="Verdana" w:cs="Arial"/>
          <w:lang w:val="it-CH" w:eastAsia="es-ES"/>
        </w:rPr>
      </w:pPr>
      <w:hyperlink r:id="rId11" w:history="1">
        <w:r w:rsidRPr="00767A50">
          <w:rPr>
            <w:rFonts w:ascii="Verdana" w:eastAsia="Calibri" w:hAnsi="Verdana" w:cs="Arial"/>
            <w:lang w:val="it-CH" w:eastAsia="es-ES"/>
          </w:rPr>
          <w:t>secretariacomun@contraloriacali.gov.co</w:t>
        </w:r>
      </w:hyperlink>
    </w:p>
    <w:p w14:paraId="474C8D02" w14:textId="77777777" w:rsidR="00767A50" w:rsidRPr="00767A50" w:rsidRDefault="00767A50" w:rsidP="00767A50">
      <w:pPr>
        <w:spacing w:after="0" w:line="240" w:lineRule="auto"/>
        <w:jc w:val="both"/>
        <w:rPr>
          <w:rFonts w:ascii="Verdana" w:eastAsia="Calibri" w:hAnsi="Verdana" w:cs="Arial"/>
          <w:lang w:val="it-CH" w:eastAsia="es-ES"/>
        </w:rPr>
      </w:pPr>
      <w:r w:rsidRPr="00767A50">
        <w:rPr>
          <w:rFonts w:ascii="Verdana" w:eastAsia="Calibri" w:hAnsi="Verdana" w:cs="Arial"/>
          <w:lang w:val="it-CH" w:eastAsia="es-ES"/>
        </w:rPr>
        <w:t>Cali-Valle del Cauca</w:t>
      </w:r>
    </w:p>
    <w:p w14:paraId="5ECA6914" w14:textId="77777777" w:rsidR="00767A50" w:rsidRPr="00767A50" w:rsidRDefault="00767A50" w:rsidP="00767A50">
      <w:pPr>
        <w:spacing w:after="0" w:line="240" w:lineRule="auto"/>
        <w:rPr>
          <w:rFonts w:ascii="Verdana" w:eastAsia="Calibri" w:hAnsi="Verdana" w:cs="Arial"/>
          <w:lang w:eastAsia="es-ES"/>
        </w:rPr>
      </w:pPr>
    </w:p>
    <w:p w14:paraId="162E1EED" w14:textId="77777777" w:rsidR="00767A50" w:rsidRPr="00767A50" w:rsidRDefault="00767A50" w:rsidP="00767A50">
      <w:pPr>
        <w:spacing w:after="0" w:line="240" w:lineRule="auto"/>
        <w:rPr>
          <w:rFonts w:ascii="Verdana" w:eastAsia="Calibri" w:hAnsi="Verdana" w:cs="Arial"/>
          <w:b/>
          <w:bCs/>
          <w:color w:val="000000"/>
          <w:lang w:eastAsia="es-ES_tradnl"/>
        </w:rPr>
      </w:pPr>
    </w:p>
    <w:p w14:paraId="02652AD7" w14:textId="77777777" w:rsidR="00767A50" w:rsidRPr="00767A50" w:rsidRDefault="00767A50" w:rsidP="00767A50">
      <w:pPr>
        <w:spacing w:after="0" w:line="240" w:lineRule="auto"/>
        <w:jc w:val="center"/>
        <w:rPr>
          <w:rFonts w:ascii="Verdana" w:eastAsia="Calibri" w:hAnsi="Verdana" w:cs="Arial"/>
          <w:b/>
          <w:bCs/>
          <w:lang w:eastAsia="es-ES"/>
        </w:rPr>
      </w:pPr>
      <w:r w:rsidRPr="00767A50">
        <w:rPr>
          <w:rFonts w:ascii="Verdana" w:eastAsia="Calibri" w:hAnsi="Verdana" w:cs="Arial"/>
          <w:b/>
          <w:bCs/>
          <w:lang w:eastAsia="es-ES"/>
        </w:rPr>
        <w:t>Concepto C-1382 de 2026</w:t>
      </w:r>
    </w:p>
    <w:p w14:paraId="7E292B2E" w14:textId="77777777" w:rsidR="00767A50" w:rsidRPr="00767A50" w:rsidRDefault="00767A50" w:rsidP="00767A50">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67A50" w:rsidRPr="00767A50" w14:paraId="7F05F2DB" w14:textId="77777777" w:rsidTr="008C0976">
        <w:trPr>
          <w:trHeight w:val="884"/>
        </w:trPr>
        <w:tc>
          <w:tcPr>
            <w:tcW w:w="2689" w:type="dxa"/>
          </w:tcPr>
          <w:p w14:paraId="0C6A82F2" w14:textId="77777777" w:rsidR="00767A50" w:rsidRPr="00767A50" w:rsidRDefault="00767A50" w:rsidP="00767A50">
            <w:pPr>
              <w:jc w:val="both"/>
              <w:rPr>
                <w:rFonts w:ascii="Verdana" w:eastAsia="Calibri" w:hAnsi="Verdana" w:cs="Arial"/>
                <w:color w:val="000000"/>
                <w:lang w:eastAsia="es-ES_tradnl"/>
              </w:rPr>
            </w:pPr>
            <w:r w:rsidRPr="00767A50">
              <w:rPr>
                <w:rFonts w:ascii="Verdana" w:eastAsia="Calibri" w:hAnsi="Verdana" w:cs="Arial"/>
                <w:b/>
                <w:color w:val="000000"/>
                <w:lang w:eastAsia="es-ES_tradnl"/>
              </w:rPr>
              <w:t>Temas:</w:t>
            </w:r>
            <w:r w:rsidRPr="00767A50">
              <w:rPr>
                <w:rFonts w:ascii="Verdana" w:eastAsia="Calibri" w:hAnsi="Verdana" w:cs="Arial"/>
                <w:color w:val="000000"/>
                <w:lang w:eastAsia="es-ES_tradnl"/>
              </w:rPr>
              <w:t xml:space="preserve">                   </w:t>
            </w:r>
          </w:p>
        </w:tc>
        <w:tc>
          <w:tcPr>
            <w:tcW w:w="6100" w:type="dxa"/>
          </w:tcPr>
          <w:p w14:paraId="6D2E3270" w14:textId="77777777" w:rsidR="00767A50" w:rsidRPr="00767A50" w:rsidRDefault="00767A50" w:rsidP="00767A50">
            <w:pPr>
              <w:spacing w:line="276" w:lineRule="auto"/>
              <w:jc w:val="both"/>
              <w:rPr>
                <w:rFonts w:ascii="Verdana" w:eastAsia="Calibri" w:hAnsi="Verdana" w:cs="Arial"/>
                <w:lang w:eastAsia="es-ES"/>
              </w:rPr>
            </w:pPr>
            <w:r w:rsidRPr="00767A50">
              <w:rPr>
                <w:rFonts w:ascii="Verdana" w:eastAsia="Times New Roman" w:hAnsi="Verdana"/>
                <w:lang w:val="es-ES_tradnl" w:eastAsia="es-ES_tradnl"/>
              </w:rPr>
              <w:t>CONVENIOS Y CONTRATOS INTERADMINISTRATIVOS –</w:t>
            </w:r>
            <w:r w:rsidRPr="00767A50">
              <w:rPr>
                <w:rFonts w:ascii="Verdana" w:eastAsia="Times New Roman" w:hAnsi="Verdana"/>
                <w:lang w:eastAsia="es-ES_tradnl"/>
              </w:rPr>
              <w:t xml:space="preserve"> Noción y Características – Diferencias</w:t>
            </w:r>
            <w:r w:rsidRPr="00767A50">
              <w:rPr>
                <w:rFonts w:ascii="Verdana" w:eastAsia="Calibri" w:hAnsi="Verdana" w:cs="Arial"/>
                <w:lang w:eastAsia="es-ES"/>
              </w:rPr>
              <w:t xml:space="preserve"> / </w:t>
            </w:r>
            <w:r w:rsidRPr="00767A50">
              <w:rPr>
                <w:rFonts w:ascii="Verdana" w:eastAsia="Times New Roman" w:hAnsi="Verdana"/>
                <w:lang w:val="es-ES_tradnl" w:eastAsia="es-ES_tradnl"/>
              </w:rPr>
              <w:t xml:space="preserve">CONVENIOS Y CONTRATOS INTERADMINISTRATIVOS </w:t>
            </w:r>
            <w:r w:rsidRPr="00767A50">
              <w:rPr>
                <w:rFonts w:ascii="Verdana" w:eastAsia="Times New Roman" w:hAnsi="Verdana"/>
                <w:lang w:eastAsia="es-ES_tradnl"/>
              </w:rPr>
              <w:t xml:space="preserve">– </w:t>
            </w:r>
            <w:r w:rsidRPr="00767A50">
              <w:rPr>
                <w:rFonts w:ascii="Verdana" w:eastAsia="Calibri" w:hAnsi="Verdana" w:cs="Arial"/>
                <w:lang w:eastAsia="es-ES"/>
              </w:rPr>
              <w:t xml:space="preserve">Costos administrativos </w:t>
            </w:r>
            <w:r w:rsidRPr="00767A50">
              <w:rPr>
                <w:rFonts w:ascii="Verdana" w:eastAsia="Times New Roman" w:hAnsi="Verdana"/>
                <w:lang w:eastAsia="es-ES_tradnl"/>
              </w:rPr>
              <w:t>– Procedencia</w:t>
            </w:r>
          </w:p>
          <w:p w14:paraId="2051D931" w14:textId="77777777" w:rsidR="00767A50" w:rsidRPr="00767A50" w:rsidRDefault="00767A50" w:rsidP="00767A50">
            <w:pPr>
              <w:spacing w:line="276" w:lineRule="auto"/>
              <w:contextualSpacing/>
              <w:jc w:val="both"/>
              <w:rPr>
                <w:rFonts w:ascii="Verdana" w:eastAsia="Calibri" w:hAnsi="Verdana" w:cs="Arial"/>
                <w:lang w:eastAsia="es-ES"/>
              </w:rPr>
            </w:pPr>
          </w:p>
        </w:tc>
      </w:tr>
      <w:tr w:rsidR="00767A50" w:rsidRPr="00767A50" w14:paraId="4E1A711B" w14:textId="77777777" w:rsidTr="008C0976">
        <w:tc>
          <w:tcPr>
            <w:tcW w:w="2689" w:type="dxa"/>
          </w:tcPr>
          <w:p w14:paraId="2242B565" w14:textId="77777777" w:rsidR="00767A50" w:rsidRPr="00767A50" w:rsidRDefault="00767A50" w:rsidP="00767A50">
            <w:pPr>
              <w:jc w:val="both"/>
              <w:rPr>
                <w:rFonts w:ascii="Verdana" w:eastAsia="Calibri" w:hAnsi="Verdana" w:cs="Arial"/>
                <w:b/>
                <w:lang w:eastAsia="es-ES_tradnl"/>
              </w:rPr>
            </w:pPr>
            <w:r w:rsidRPr="00767A50">
              <w:rPr>
                <w:rFonts w:ascii="Verdana" w:eastAsia="Calibri" w:hAnsi="Verdana" w:cs="Arial"/>
                <w:b/>
                <w:lang w:eastAsia="es-ES_tradnl"/>
              </w:rPr>
              <w:t>Radicación:</w:t>
            </w:r>
            <w:r w:rsidRPr="00767A50">
              <w:rPr>
                <w:rFonts w:ascii="Verdana" w:eastAsia="Calibri" w:hAnsi="Verdana" w:cs="Arial"/>
                <w:lang w:eastAsia="es-ES_tradnl"/>
              </w:rPr>
              <w:t xml:space="preserve">               </w:t>
            </w:r>
          </w:p>
        </w:tc>
        <w:tc>
          <w:tcPr>
            <w:tcW w:w="6100" w:type="dxa"/>
          </w:tcPr>
          <w:p w14:paraId="7435A4A7" w14:textId="77777777" w:rsidR="00767A50" w:rsidRPr="00767A50" w:rsidRDefault="00767A50" w:rsidP="00767A50">
            <w:pPr>
              <w:jc w:val="both"/>
              <w:rPr>
                <w:rFonts w:ascii="Verdana" w:eastAsia="Calibri" w:hAnsi="Verdana" w:cs="Arial"/>
                <w:lang w:eastAsia="es-ES_tradnl"/>
              </w:rPr>
            </w:pPr>
            <w:r w:rsidRPr="00767A50">
              <w:rPr>
                <w:rFonts w:ascii="Verdana" w:eastAsia="Calibri" w:hAnsi="Verdana" w:cs="Arial"/>
                <w:lang w:eastAsia="es-ES_tradnl"/>
              </w:rPr>
              <w:t xml:space="preserve">Respuesta a las consultas con radicado No. </w:t>
            </w:r>
            <w:r w:rsidRPr="00767A50">
              <w:rPr>
                <w:rFonts w:ascii="Verdana" w:hAnsi="Verdana" w:cs="Calibri"/>
                <w:color w:val="000000"/>
              </w:rPr>
              <w:t>1_2026_09_02_011659</w:t>
            </w:r>
          </w:p>
          <w:p w14:paraId="48FA8704" w14:textId="77777777" w:rsidR="00767A50" w:rsidRPr="00767A50" w:rsidRDefault="00767A50" w:rsidP="00767A50">
            <w:pPr>
              <w:jc w:val="both"/>
              <w:rPr>
                <w:rFonts w:ascii="Verdana" w:eastAsia="Calibri" w:hAnsi="Verdana" w:cs="Arial"/>
                <w:lang w:eastAsia="es-ES_tradnl"/>
              </w:rPr>
            </w:pPr>
          </w:p>
        </w:tc>
      </w:tr>
    </w:tbl>
    <w:p w14:paraId="6771EBAD" w14:textId="77777777" w:rsidR="00767A50" w:rsidRPr="00767A50" w:rsidRDefault="00767A50" w:rsidP="00767A50">
      <w:pPr>
        <w:spacing w:after="0" w:line="240" w:lineRule="auto"/>
        <w:jc w:val="both"/>
        <w:rPr>
          <w:rFonts w:ascii="Verdana" w:eastAsia="Calibri" w:hAnsi="Verdana" w:cs="Arial"/>
          <w:color w:val="000000"/>
          <w:lang w:eastAsia="es-ES_tradnl"/>
        </w:rPr>
      </w:pPr>
    </w:p>
    <w:p w14:paraId="186B4802" w14:textId="77777777" w:rsidR="00767A50" w:rsidRPr="00767A50" w:rsidRDefault="00767A50" w:rsidP="00767A50">
      <w:pPr>
        <w:spacing w:after="0" w:line="240" w:lineRule="auto"/>
        <w:jc w:val="both"/>
        <w:rPr>
          <w:rFonts w:ascii="Verdana" w:eastAsia="Calibri" w:hAnsi="Verdana" w:cs="Arial"/>
          <w:color w:val="000000"/>
          <w:lang w:eastAsia="es-ES_tradnl"/>
        </w:rPr>
      </w:pPr>
    </w:p>
    <w:p w14:paraId="66B62760" w14:textId="77777777" w:rsidR="00767A50" w:rsidRPr="00767A50" w:rsidRDefault="00767A50" w:rsidP="00767A50">
      <w:pPr>
        <w:spacing w:after="0" w:line="276" w:lineRule="auto"/>
        <w:jc w:val="both"/>
        <w:rPr>
          <w:rFonts w:ascii="Verdana" w:eastAsia="Calibri" w:hAnsi="Verdana" w:cs="Arial"/>
          <w:lang w:eastAsia="es-ES"/>
        </w:rPr>
      </w:pPr>
      <w:r w:rsidRPr="00767A50">
        <w:rPr>
          <w:rFonts w:ascii="Verdana" w:eastAsia="Calibri" w:hAnsi="Verdana" w:cs="Arial"/>
          <w:lang w:eastAsia="es-ES"/>
        </w:rPr>
        <w:t xml:space="preserve">Estimado señor Varela: </w:t>
      </w:r>
    </w:p>
    <w:p w14:paraId="751185FB" w14:textId="77777777" w:rsidR="00767A50" w:rsidRPr="00767A50" w:rsidRDefault="00767A50" w:rsidP="00767A50">
      <w:pPr>
        <w:tabs>
          <w:tab w:val="left" w:pos="3768"/>
        </w:tabs>
        <w:spacing w:after="0" w:line="276" w:lineRule="auto"/>
        <w:jc w:val="both"/>
        <w:rPr>
          <w:rFonts w:ascii="Verdana" w:eastAsia="Calibri" w:hAnsi="Verdana" w:cs="Arial"/>
          <w:color w:val="000000" w:themeColor="text1"/>
          <w:lang w:eastAsia="es-ES"/>
        </w:rPr>
      </w:pPr>
      <w:r w:rsidRPr="00767A50">
        <w:rPr>
          <w:rFonts w:ascii="Verdana" w:eastAsia="Calibri" w:hAnsi="Verdana" w:cs="Arial"/>
          <w:color w:val="000000" w:themeColor="text1"/>
          <w:lang w:eastAsia="es-ES"/>
        </w:rPr>
        <w:tab/>
      </w:r>
    </w:p>
    <w:p w14:paraId="3C4DF4E8" w14:textId="77777777" w:rsidR="00767A50" w:rsidRPr="00767A50" w:rsidRDefault="00767A50" w:rsidP="00767A50">
      <w:pPr>
        <w:spacing w:after="0" w:line="276" w:lineRule="auto"/>
        <w:jc w:val="both"/>
        <w:rPr>
          <w:rFonts w:ascii="Verdana" w:eastAsia="Calibri" w:hAnsi="Verdana" w:cs="Arial"/>
          <w:i/>
          <w:iCs/>
          <w:lang w:eastAsia="es-ES"/>
        </w:rPr>
      </w:pPr>
      <w:r w:rsidRPr="00767A50">
        <w:rPr>
          <w:rFonts w:ascii="Verdana" w:eastAsia="Calibri" w:hAnsi="Verdana" w:cs="Arial"/>
          <w:color w:val="000000" w:themeColor="text1"/>
          <w:lang w:eastAsia="es-ES"/>
        </w:rPr>
        <w:t>En ejercicio de la competencia otorgada por los artículos 3, numeral 5º, y 11, numeral 8º, del Decreto Ley 4170 de 2011,</w:t>
      </w:r>
      <w:r w:rsidRPr="00767A50">
        <w:rPr>
          <w:rFonts w:ascii="Verdana" w:eastAsia="Arial MT" w:hAnsi="Verdana" w:cs="Arial MT"/>
          <w:lang w:eastAsia="es-ES"/>
        </w:rPr>
        <w:t xml:space="preserve"> </w:t>
      </w:r>
      <w:r w:rsidRPr="00767A50">
        <w:rPr>
          <w:rFonts w:ascii="Verdana" w:hAnsi="Verdana" w:cs="Arial"/>
          <w:color w:val="000000" w:themeColor="text1"/>
        </w:rPr>
        <w:t>así como lo establecido</w:t>
      </w:r>
      <w:r w:rsidRPr="00767A50">
        <w:rPr>
          <w:rFonts w:ascii="Verdana" w:hAnsi="Verdana" w:cs="Arial"/>
        </w:rPr>
        <w:t xml:space="preserve"> por la </w:t>
      </w:r>
      <w:r w:rsidRPr="00767A50">
        <w:rPr>
          <w:rFonts w:ascii="Verdana" w:eastAsia="Calibri" w:hAnsi="Verdana" w:cs="Times New Roman"/>
          <w:bCs/>
        </w:rPr>
        <w:t xml:space="preserve">Resolución 469 de 2025 </w:t>
      </w:r>
      <w:r w:rsidRPr="00767A50">
        <w:rPr>
          <w:rFonts w:ascii="Verdana" w:hAnsi="Verdana" w:cs="Arial"/>
          <w:color w:val="000000" w:themeColor="text1"/>
        </w:rPr>
        <w:t>expedida por esta Entidad</w:t>
      </w:r>
      <w:r w:rsidRPr="00767A50">
        <w:rPr>
          <w:rFonts w:ascii="Verdana" w:hAnsi="Verdana" w:cs="Arial"/>
        </w:rPr>
        <w:t xml:space="preserve">, </w:t>
      </w:r>
      <w:r w:rsidRPr="00767A50">
        <w:rPr>
          <w:rFonts w:ascii="Verdana" w:eastAsia="Calibri" w:hAnsi="Verdana" w:cs="Arial"/>
          <w:color w:val="000000" w:themeColor="text1"/>
          <w:lang w:eastAsia="es-ES"/>
        </w:rPr>
        <w:t>la Agencia Nacional de Contratación Pública – Colombia Compra Eficiente responde su solicitud de concepto del 1 de septiembre de 2026</w:t>
      </w:r>
      <w:r w:rsidRPr="00767A50">
        <w:rPr>
          <w:rFonts w:ascii="Verdana" w:eastAsia="Calibri" w:hAnsi="Verdana" w:cs="Arial"/>
          <w:lang w:eastAsia="es-ES"/>
        </w:rPr>
        <w:t xml:space="preserve"> e</w:t>
      </w:r>
      <w:r w:rsidRPr="00767A50">
        <w:rPr>
          <w:rFonts w:ascii="Verdana" w:eastAsia="Calibri" w:hAnsi="Verdana" w:cs="Arial"/>
          <w:lang w:val="es-ES" w:eastAsia="es-ES"/>
        </w:rPr>
        <w:t>n la cual manifiesta lo siguiente</w:t>
      </w:r>
      <w:r w:rsidRPr="00767A50">
        <w:rPr>
          <w:rFonts w:ascii="Verdana" w:eastAsia="Calibri" w:hAnsi="Verdana" w:cs="Arial"/>
          <w:lang w:eastAsia="es-ES"/>
        </w:rPr>
        <w:t>:</w:t>
      </w:r>
      <w:r w:rsidRPr="00767A50">
        <w:rPr>
          <w:rFonts w:ascii="Verdana" w:eastAsia="Calibri" w:hAnsi="Verdana" w:cs="Arial"/>
          <w:i/>
          <w:iCs/>
          <w:lang w:eastAsia="es-ES"/>
        </w:rPr>
        <w:t xml:space="preserve"> </w:t>
      </w:r>
    </w:p>
    <w:p w14:paraId="15B9328A" w14:textId="77777777" w:rsidR="00767A50" w:rsidRPr="00767A50" w:rsidRDefault="00767A50" w:rsidP="00767A50">
      <w:pPr>
        <w:spacing w:after="0" w:line="276" w:lineRule="auto"/>
        <w:jc w:val="both"/>
        <w:rPr>
          <w:rFonts w:ascii="Verdana" w:eastAsia="Calibri" w:hAnsi="Verdana" w:cs="Arial"/>
          <w:i/>
          <w:iCs/>
          <w:lang w:eastAsia="es-ES"/>
        </w:rPr>
      </w:pPr>
    </w:p>
    <w:p w14:paraId="7CD48BD4" w14:textId="77777777" w:rsidR="00767A50" w:rsidRPr="00767A50" w:rsidRDefault="00767A50" w:rsidP="00767A50">
      <w:pPr>
        <w:spacing w:after="0" w:line="240" w:lineRule="auto"/>
        <w:ind w:left="709" w:right="618"/>
        <w:jc w:val="both"/>
        <w:rPr>
          <w:rFonts w:ascii="Verdana" w:hAnsi="Verdana"/>
          <w:sz w:val="20"/>
          <w:szCs w:val="20"/>
        </w:rPr>
      </w:pPr>
      <w:r w:rsidRPr="00767A50">
        <w:rPr>
          <w:rFonts w:ascii="Verdana" w:hAnsi="Verdana"/>
          <w:sz w:val="20"/>
          <w:szCs w:val="20"/>
        </w:rPr>
        <w:t xml:space="preserve">“En cumplimiento del Auto No. 1900.27.06.25.223 del 28 de agosto de 2025, “POR MEDIO DEL CUAL SE APERTURA UN PROCESO ORDINARIO DE </w:t>
      </w:r>
    </w:p>
    <w:p w14:paraId="010550F6" w14:textId="77777777" w:rsidR="00767A50" w:rsidRPr="00767A50" w:rsidRDefault="00767A50" w:rsidP="00767A50">
      <w:pPr>
        <w:spacing w:after="0" w:line="240" w:lineRule="auto"/>
        <w:ind w:left="709" w:right="618"/>
        <w:jc w:val="both"/>
        <w:rPr>
          <w:rFonts w:ascii="Verdana" w:hAnsi="Verdana"/>
          <w:sz w:val="20"/>
          <w:szCs w:val="20"/>
        </w:rPr>
      </w:pPr>
      <w:r w:rsidRPr="00767A50">
        <w:rPr>
          <w:rFonts w:ascii="Verdana" w:hAnsi="Verdana"/>
          <w:sz w:val="20"/>
          <w:szCs w:val="20"/>
        </w:rPr>
        <w:t>RESPONSABILIDAD FISCAL”, esta Dirección Operativa de Responsabilidad Fiscal  le solicita ordenar a quien corresponda emitir concepto respecto a:</w:t>
      </w:r>
    </w:p>
    <w:p w14:paraId="43FF941B" w14:textId="77777777" w:rsidR="00767A50" w:rsidRPr="00767A50" w:rsidRDefault="00767A50" w:rsidP="00767A50">
      <w:pPr>
        <w:spacing w:after="0" w:line="240" w:lineRule="auto"/>
        <w:ind w:left="709" w:right="618"/>
        <w:jc w:val="both"/>
        <w:rPr>
          <w:rFonts w:ascii="Verdana" w:hAnsi="Verdana"/>
          <w:sz w:val="20"/>
          <w:szCs w:val="20"/>
        </w:rPr>
      </w:pPr>
      <w:r w:rsidRPr="00767A50">
        <w:rPr>
          <w:rFonts w:ascii="Verdana" w:hAnsi="Verdana"/>
          <w:sz w:val="20"/>
          <w:szCs w:val="20"/>
        </w:rPr>
        <w:t xml:space="preserve"> </w:t>
      </w:r>
    </w:p>
    <w:p w14:paraId="3EE1A621" w14:textId="77777777" w:rsidR="00767A50" w:rsidRPr="00767A50" w:rsidRDefault="00767A50" w:rsidP="00767A50">
      <w:pPr>
        <w:spacing w:after="0" w:line="240" w:lineRule="auto"/>
        <w:ind w:left="709" w:right="618"/>
        <w:jc w:val="both"/>
        <w:rPr>
          <w:rFonts w:ascii="Verdana" w:hAnsi="Verdana"/>
          <w:sz w:val="20"/>
          <w:szCs w:val="20"/>
        </w:rPr>
      </w:pPr>
      <w:r w:rsidRPr="00767A50">
        <w:rPr>
          <w:rFonts w:ascii="Verdana" w:hAnsi="Verdana"/>
          <w:sz w:val="20"/>
          <w:szCs w:val="20"/>
        </w:rPr>
        <w:t xml:space="preserve">¿Si es viable que en el marco de un Convenio Interadministrativo y para efectos de  su ejecución, la Entidad le reconozca costos y gastos administrativos al Asociado? </w:t>
      </w:r>
    </w:p>
    <w:p w14:paraId="71AF0884" w14:textId="77777777" w:rsidR="00767A50" w:rsidRPr="00767A50" w:rsidRDefault="00767A50" w:rsidP="00767A50">
      <w:pPr>
        <w:spacing w:after="0" w:line="240" w:lineRule="auto"/>
        <w:ind w:left="709" w:right="618"/>
        <w:jc w:val="both"/>
        <w:rPr>
          <w:rFonts w:ascii="Verdana" w:hAnsi="Verdana"/>
          <w:sz w:val="20"/>
          <w:szCs w:val="20"/>
        </w:rPr>
      </w:pPr>
    </w:p>
    <w:p w14:paraId="62E6A98F" w14:textId="77777777" w:rsidR="00767A50" w:rsidRPr="00767A50" w:rsidRDefault="00767A50" w:rsidP="00767A50">
      <w:pPr>
        <w:spacing w:after="0" w:line="240" w:lineRule="auto"/>
        <w:ind w:left="709" w:right="618"/>
        <w:jc w:val="both"/>
        <w:rPr>
          <w:rFonts w:ascii="Verdana" w:hAnsi="Verdana"/>
          <w:sz w:val="20"/>
          <w:szCs w:val="20"/>
        </w:rPr>
      </w:pPr>
    </w:p>
    <w:p w14:paraId="4603CBA9" w14:textId="77777777" w:rsidR="00767A50" w:rsidRPr="00767A50" w:rsidRDefault="00767A50" w:rsidP="00767A50">
      <w:pPr>
        <w:spacing w:after="0" w:line="240" w:lineRule="auto"/>
        <w:ind w:left="709" w:right="618"/>
        <w:jc w:val="both"/>
        <w:rPr>
          <w:rFonts w:ascii="Verdana" w:hAnsi="Verdana"/>
          <w:sz w:val="20"/>
          <w:szCs w:val="20"/>
        </w:rPr>
      </w:pPr>
      <w:r w:rsidRPr="00767A50">
        <w:rPr>
          <w:rFonts w:ascii="Verdana" w:hAnsi="Verdana"/>
          <w:sz w:val="20"/>
          <w:szCs w:val="20"/>
        </w:rPr>
        <w:t>¿Si el reconocimiento de costos y gastos administrativos está incluido como un  porcentaje del valor que aporta la Entidad al Asociado, se estaría en contravía a la naturaleza del Convenio Interadministrativo?, es decir, ¿Deja de ser un Convenio y se convierte en un Contrato Interadministrativo?”.</w:t>
      </w:r>
    </w:p>
    <w:p w14:paraId="1AA8DDC6" w14:textId="77777777" w:rsidR="00767A50" w:rsidRPr="00767A50" w:rsidRDefault="00767A50" w:rsidP="00767A50">
      <w:pPr>
        <w:spacing w:after="0" w:line="240" w:lineRule="auto"/>
        <w:ind w:left="709" w:right="618"/>
        <w:jc w:val="both"/>
        <w:rPr>
          <w:rFonts w:ascii="Verdana" w:hAnsi="Verdana"/>
          <w:sz w:val="20"/>
          <w:szCs w:val="20"/>
        </w:rPr>
      </w:pPr>
    </w:p>
    <w:p w14:paraId="5B50C46D" w14:textId="77777777" w:rsidR="00767A50" w:rsidRPr="00767A50" w:rsidRDefault="00767A50" w:rsidP="00767A50">
      <w:pPr>
        <w:spacing w:after="0" w:line="240" w:lineRule="auto"/>
        <w:ind w:left="709" w:right="618"/>
        <w:jc w:val="both"/>
        <w:rPr>
          <w:rFonts w:ascii="Verdana" w:hAnsi="Verdana"/>
          <w:sz w:val="20"/>
          <w:szCs w:val="20"/>
        </w:rPr>
      </w:pPr>
    </w:p>
    <w:p w14:paraId="448C7F16" w14:textId="77777777" w:rsidR="00767A50" w:rsidRPr="00767A50" w:rsidRDefault="00767A50" w:rsidP="00767A50">
      <w:pPr>
        <w:spacing w:after="120" w:line="276" w:lineRule="auto"/>
        <w:ind w:firstLine="709"/>
        <w:jc w:val="both"/>
        <w:rPr>
          <w:rFonts w:ascii="Verdana" w:eastAsia="Calibri" w:hAnsi="Verdana" w:cs="Arial"/>
          <w:color w:val="000000"/>
          <w:lang w:eastAsia="es-ES"/>
        </w:rPr>
      </w:pPr>
      <w:r w:rsidRPr="00767A5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67A50">
        <w:rPr>
          <w:rFonts w:ascii="Verdana" w:eastAsia="Calibri" w:hAnsi="Verdana" w:cs="Arial"/>
          <w:color w:val="000000"/>
          <w:szCs w:val="24"/>
          <w:lang w:eastAsia="es-ES_tradnl"/>
        </w:rPr>
        <w:tab/>
      </w:r>
    </w:p>
    <w:p w14:paraId="5CF441A3" w14:textId="77777777" w:rsidR="00767A50" w:rsidRPr="00767A50" w:rsidRDefault="00767A50" w:rsidP="00767A50">
      <w:pPr>
        <w:spacing w:after="120" w:line="276" w:lineRule="auto"/>
        <w:ind w:firstLine="709"/>
        <w:jc w:val="both"/>
        <w:rPr>
          <w:rFonts w:ascii="Verdana" w:eastAsia="Calibri" w:hAnsi="Verdana" w:cs="Arial"/>
          <w:color w:val="000000"/>
          <w:lang w:eastAsia="es-ES"/>
        </w:rPr>
      </w:pPr>
      <w:r w:rsidRPr="00767A5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767A50">
        <w:rPr>
          <w:rFonts w:ascii="Verdana" w:eastAsia="Calibri" w:hAnsi="Verdana" w:cs="Arial"/>
          <w:color w:val="7030A0"/>
          <w:lang w:eastAsia="es-ES"/>
        </w:rPr>
        <w:t xml:space="preserve"> </w:t>
      </w:r>
      <w:r w:rsidRPr="00767A50">
        <w:rPr>
          <w:rFonts w:ascii="Verdana" w:eastAsia="Calibri" w:hAnsi="Verdana" w:cs="Arial"/>
          <w:color w:val="000000"/>
          <w:lang w:eastAsia="es-ES"/>
        </w:rPr>
        <w:t>problemas</w:t>
      </w:r>
      <w:r w:rsidRPr="00767A50">
        <w:rPr>
          <w:rFonts w:ascii="Verdana" w:eastAsia="Calibri" w:hAnsi="Verdana" w:cs="Arial"/>
          <w:color w:val="7030A0"/>
          <w:lang w:eastAsia="es-ES"/>
        </w:rPr>
        <w:t xml:space="preserve"> </w:t>
      </w:r>
      <w:r w:rsidRPr="00767A50">
        <w:rPr>
          <w:rFonts w:ascii="Verdana" w:eastAsia="Calibri" w:hAnsi="Verdana" w:cs="Arial"/>
          <w:color w:val="000000"/>
          <w:lang w:eastAsia="es-ES"/>
        </w:rPr>
        <w:t>jurídicos</w:t>
      </w:r>
      <w:r w:rsidRPr="00767A50">
        <w:rPr>
          <w:rFonts w:ascii="Verdana" w:eastAsia="Calibri" w:hAnsi="Verdana" w:cs="Arial"/>
          <w:color w:val="7030A0"/>
          <w:lang w:eastAsia="es-ES"/>
        </w:rPr>
        <w:t xml:space="preserve"> </w:t>
      </w:r>
      <w:r w:rsidRPr="00767A50">
        <w:rPr>
          <w:rFonts w:ascii="Verdana" w:eastAsia="Calibri" w:hAnsi="Verdana" w:cs="Arial"/>
          <w:color w:val="000000"/>
          <w:lang w:eastAsia="es-ES"/>
        </w:rPr>
        <w:t xml:space="preserve">de su consulta.  </w:t>
      </w:r>
    </w:p>
    <w:p w14:paraId="2186F178" w14:textId="77777777" w:rsidR="00767A50" w:rsidRPr="00767A50" w:rsidRDefault="00767A50" w:rsidP="00767A50">
      <w:pPr>
        <w:spacing w:after="0" w:line="276" w:lineRule="auto"/>
        <w:jc w:val="both"/>
        <w:rPr>
          <w:rFonts w:ascii="Verdana" w:eastAsia="Calibri" w:hAnsi="Verdana" w:cs="Arial"/>
          <w:color w:val="000000"/>
          <w:lang w:eastAsia="es-ES"/>
        </w:rPr>
      </w:pPr>
    </w:p>
    <w:p w14:paraId="50EA479C" w14:textId="77777777" w:rsidR="00767A50" w:rsidRPr="00767A50" w:rsidRDefault="00767A50" w:rsidP="00767A50">
      <w:pPr>
        <w:numPr>
          <w:ilvl w:val="0"/>
          <w:numId w:val="16"/>
        </w:numPr>
        <w:tabs>
          <w:tab w:val="left" w:pos="142"/>
          <w:tab w:val="left" w:pos="284"/>
        </w:tabs>
        <w:spacing w:after="0" w:line="276" w:lineRule="auto"/>
        <w:jc w:val="both"/>
        <w:rPr>
          <w:rFonts w:ascii="Verdana" w:eastAsia="Century Gothic" w:hAnsi="Verdana" w:cs="Century Gothic"/>
          <w:b/>
          <w:bCs/>
        </w:rPr>
      </w:pPr>
      <w:r w:rsidRPr="00767A50">
        <w:rPr>
          <w:rFonts w:ascii="Verdana" w:eastAsia="Century Gothic" w:hAnsi="Verdana" w:cs="Century Gothic"/>
          <w:b/>
          <w:bCs/>
        </w:rPr>
        <w:t>Problemas planteados:</w:t>
      </w:r>
    </w:p>
    <w:p w14:paraId="46C9FC4B" w14:textId="77777777" w:rsidR="00767A50" w:rsidRPr="00767A50" w:rsidRDefault="00767A50" w:rsidP="00767A50">
      <w:pPr>
        <w:tabs>
          <w:tab w:val="left" w:pos="426"/>
        </w:tabs>
        <w:spacing w:after="0" w:line="276" w:lineRule="auto"/>
        <w:jc w:val="both"/>
        <w:rPr>
          <w:rFonts w:ascii="Verdana" w:eastAsia="Century Gothic" w:hAnsi="Verdana" w:cs="Century Gothic"/>
        </w:rPr>
      </w:pPr>
    </w:p>
    <w:p w14:paraId="4DE0B42B" w14:textId="77777777" w:rsidR="00767A50" w:rsidRPr="00767A50" w:rsidRDefault="00767A50" w:rsidP="00767A50">
      <w:pPr>
        <w:spacing w:after="0" w:line="276" w:lineRule="auto"/>
        <w:jc w:val="both"/>
        <w:rPr>
          <w:rFonts w:ascii="Verdana" w:eastAsia="Century Gothic" w:hAnsi="Verdana" w:cs="Century Gothic"/>
        </w:rPr>
      </w:pPr>
      <w:r w:rsidRPr="00767A50">
        <w:rPr>
          <w:rFonts w:ascii="Verdana" w:eastAsia="Century Gothic" w:hAnsi="Verdana" w:cs="Century Gothic"/>
        </w:rPr>
        <w:t>De acuerdo con el contenido de su solicitud, esta Agencia resolverá el siguiente problema jurídico: ¿Es jurídicamente viable reconocer costos y gastos administrativos al asociado en un convenio interadministrativo y, cuando estos se establecen como un porcentaje del aporte de la entidad, ello desnaturaliza el convenio y lo convierte en un contrato interadministrativo?</w:t>
      </w:r>
    </w:p>
    <w:p w14:paraId="406CB72E" w14:textId="77777777" w:rsidR="00767A50" w:rsidRPr="00767A50" w:rsidRDefault="00767A50" w:rsidP="00767A50">
      <w:pPr>
        <w:spacing w:after="0" w:line="276" w:lineRule="auto"/>
        <w:jc w:val="both"/>
        <w:rPr>
          <w:rFonts w:ascii="Verdana" w:eastAsia="Century Gothic" w:hAnsi="Verdana" w:cs="Century Gothic"/>
        </w:rPr>
      </w:pPr>
    </w:p>
    <w:p w14:paraId="25BC2638" w14:textId="77777777" w:rsidR="00767A50" w:rsidRPr="00767A50" w:rsidRDefault="00767A50" w:rsidP="00767A50">
      <w:pPr>
        <w:spacing w:after="0" w:line="276" w:lineRule="auto"/>
        <w:jc w:val="both"/>
        <w:rPr>
          <w:rFonts w:ascii="Verdana" w:eastAsia="Century Gothic" w:hAnsi="Verdana" w:cs="Century Gothic"/>
        </w:rPr>
      </w:pPr>
    </w:p>
    <w:p w14:paraId="3E130943" w14:textId="77777777" w:rsidR="00767A50" w:rsidRPr="00767A50" w:rsidRDefault="00767A50" w:rsidP="00767A50">
      <w:pPr>
        <w:numPr>
          <w:ilvl w:val="0"/>
          <w:numId w:val="16"/>
        </w:numPr>
        <w:tabs>
          <w:tab w:val="left" w:pos="142"/>
          <w:tab w:val="left" w:pos="284"/>
        </w:tabs>
        <w:spacing w:after="0" w:line="276" w:lineRule="auto"/>
        <w:jc w:val="both"/>
        <w:rPr>
          <w:rFonts w:ascii="Verdana" w:eastAsia="Century Gothic" w:hAnsi="Verdana" w:cs="Century Gothic"/>
          <w:b/>
          <w:bCs/>
        </w:rPr>
      </w:pPr>
      <w:r w:rsidRPr="00767A50">
        <w:rPr>
          <w:rFonts w:ascii="Verdana" w:eastAsia="Century Gothic" w:hAnsi="Verdana" w:cs="Century Gothic"/>
          <w:b/>
          <w:bCs/>
        </w:rPr>
        <w:t>Respuestas:</w:t>
      </w:r>
    </w:p>
    <w:p w14:paraId="7B571DC9" w14:textId="77777777" w:rsidR="00767A50" w:rsidRPr="00767A50" w:rsidRDefault="00767A50" w:rsidP="00767A5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67A50" w:rsidRPr="00767A50" w14:paraId="0EA3E4DF" w14:textId="77777777" w:rsidTr="008C0976">
        <w:trPr>
          <w:trHeight w:val="977"/>
          <w:jc w:val="center"/>
        </w:trPr>
        <w:tc>
          <w:tcPr>
            <w:tcW w:w="8828" w:type="dxa"/>
          </w:tcPr>
          <w:p w14:paraId="581EAF0A" w14:textId="77777777" w:rsidR="00767A50" w:rsidRPr="00767A50" w:rsidRDefault="00767A50" w:rsidP="00767A50">
            <w:pPr>
              <w:spacing w:after="120" w:line="276" w:lineRule="auto"/>
              <w:jc w:val="both"/>
              <w:rPr>
                <w:rFonts w:ascii="Verdana" w:hAnsi="Verdana" w:cs="Arial"/>
                <w:lang w:eastAsia="es-ES"/>
              </w:rPr>
            </w:pPr>
            <w:bookmarkStart w:id="2" w:name="_Hlk171694685"/>
            <w:r w:rsidRPr="00767A50">
              <w:rPr>
                <w:rFonts w:ascii="Verdana" w:hAnsi="Verdana" w:cs="Arial"/>
                <w:lang w:eastAsia="es-ES"/>
              </w:rPr>
              <w:t xml:space="preserve">Tanto en los convenios como en los contratos interadministrativos pueden contemplarse costos o gastos administrativos, siempre que estos se encuentren técnica y financieramente justificados, sean necesarios, razonables y estén directamente relacionados con las obligaciones y actividades requeridas para cumplir el objeto. Sin embargo, su naturaleza y </w:t>
            </w:r>
            <w:r w:rsidRPr="00767A50">
              <w:rPr>
                <w:rFonts w:ascii="Verdana" w:hAnsi="Verdana" w:cs="Arial"/>
                <w:lang w:eastAsia="es-ES"/>
              </w:rPr>
              <w:lastRenderedPageBreak/>
              <w:t>alcance difieren según la figura ya que en los convenios interadministrativos corresponden a gastos asociados a los aportes y compromisos de las partes, sin que puedan constituir utilidad o remuneración, mientras que en los contratos interadministrativos pueden integrar la contraprestación o precio pactado a favor de la entidad ejecutora.</w:t>
            </w:r>
          </w:p>
          <w:p w14:paraId="2C2DF8C3" w14:textId="77777777" w:rsidR="00767A50" w:rsidRPr="00767A50" w:rsidRDefault="00767A50" w:rsidP="00767A50">
            <w:pPr>
              <w:spacing w:after="120" w:line="276" w:lineRule="auto"/>
              <w:ind w:firstLine="743"/>
              <w:jc w:val="both"/>
              <w:rPr>
                <w:rFonts w:ascii="Verdana" w:hAnsi="Verdana" w:cs="Arial"/>
                <w:lang w:eastAsia="es-ES"/>
              </w:rPr>
            </w:pPr>
            <w:r w:rsidRPr="00767A50">
              <w:rPr>
                <w:rFonts w:ascii="Verdana" w:hAnsi="Verdana" w:cs="Arial"/>
                <w:lang w:eastAsia="es-ES"/>
              </w:rPr>
              <w:t>Lo anterior reviste especial importancia, ya que la naturaleza del negocio jurídico determina el régimen jurídico aplicable, así como la procedencia y el alcance de determinadas figuras contractuales. En este 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de cada convenio interadministrativo celebrado, por lo que no es posible establecer conclusiones de manera automática o anticipada con la simple denominación que las partes le asignen.</w:t>
            </w:r>
          </w:p>
          <w:p w14:paraId="7AAD1A6B" w14:textId="77777777" w:rsidR="00767A50" w:rsidRPr="00767A50" w:rsidRDefault="00767A50" w:rsidP="00767A50">
            <w:pPr>
              <w:spacing w:after="120" w:line="276" w:lineRule="auto"/>
              <w:ind w:firstLine="743"/>
              <w:jc w:val="both"/>
              <w:rPr>
                <w:rFonts w:ascii="Verdana" w:hAnsi="Verdana" w:cs="Arial"/>
                <w:lang w:eastAsia="es-ES"/>
              </w:rPr>
            </w:pPr>
            <w:r w:rsidRPr="00767A50">
              <w:rPr>
                <w:rFonts w:ascii="Verdana" w:hAnsi="Verdana" w:cs="Arial"/>
                <w:lang w:eastAsia="es-ES"/>
              </w:rPr>
              <w:t>En este marco, también resulta pertinente resaltar que la determinación de los costos administrativos asociados a la ejecución del convenio o contrato interadministrativo debe realizarse con fundamento en las condiciones del mercado y guardar una relación directa y razonable con las obligaciones, y actividades la entidad ejecutora. En ese sentido, dichos costos deben encontrarse debidamente soportados y justificados, de manera que respondan a los costos reales y eficientes que demanda la ejecución del objeto contractual, y no constituyan un margen adicional carente de justificación económica.</w:t>
            </w:r>
          </w:p>
          <w:p w14:paraId="5DDB62F2" w14:textId="77777777" w:rsidR="00767A50" w:rsidRPr="00767A50" w:rsidRDefault="00767A50" w:rsidP="00767A50">
            <w:pPr>
              <w:spacing w:after="120" w:line="276" w:lineRule="auto"/>
              <w:ind w:firstLine="743"/>
              <w:jc w:val="both"/>
              <w:rPr>
                <w:rFonts w:ascii="Verdana" w:hAnsi="Verdana" w:cs="Arial"/>
                <w:lang w:eastAsia="es-ES"/>
              </w:rPr>
            </w:pPr>
            <w:r w:rsidRPr="00767A50">
              <w:rPr>
                <w:rFonts w:ascii="Verdana" w:hAnsi="Verdana" w:cs="Arial"/>
                <w:lang w:eastAsia="es-ES"/>
              </w:rPr>
              <w:t xml:space="preserve">Así, dentro del análisis que sustenta la contratación resulta necesario que la entidad valore las razones por las cuales la contratación interadministrativa constituye una alternativa más eficiente frente a las demás modalidades de selección que, en principio, podrían resultar aplicables. Esta valoración no debe limitarse al valor del convenio o contrato sino considerar integralmente factores como los tiempos de contratación, la capacidad técnica y operativa, los costos de administración, los riesgos y, en general, las condiciones de eficiencia en la ejecución del objeto. Por tanto, la contratación interadministrativa debe encontrarse sustentada en razones objetivas que permitan concluir que los costos administrativos reconocidos son razonables </w:t>
            </w:r>
            <w:r w:rsidRPr="00767A50">
              <w:rPr>
                <w:rFonts w:ascii="Verdana" w:hAnsi="Verdana" w:cs="Arial"/>
                <w:lang w:eastAsia="es-ES"/>
              </w:rPr>
              <w:lastRenderedPageBreak/>
              <w:t>frente a las condiciones del mercado y que acudir a esta modalidad resulta la más conveniente para la satisfacción de la necesidad pública.</w:t>
            </w:r>
          </w:p>
          <w:p w14:paraId="446FC34B" w14:textId="77777777" w:rsidR="00767A50" w:rsidRPr="00767A50" w:rsidRDefault="00767A50" w:rsidP="00767A50">
            <w:pPr>
              <w:spacing w:after="120" w:line="276" w:lineRule="auto"/>
              <w:ind w:firstLine="743"/>
              <w:jc w:val="both"/>
              <w:rPr>
                <w:rFonts w:ascii="Verdana" w:hAnsi="Verdana" w:cs="Arial"/>
                <w:lang w:eastAsia="es-ES"/>
              </w:rPr>
            </w:pPr>
            <w:r w:rsidRPr="00767A50">
              <w:rPr>
                <w:rFonts w:ascii="Verdana" w:hAnsi="Verdana" w:cs="Arial"/>
                <w:lang w:eastAsia="es-ES"/>
              </w:rPr>
              <w:t>En consecuencia, la sola denominación del negocio como convenio o contrato interadministrativo no determina la procedencia ni el alcance de los costos administrativos. Estos deben analizarse de acuerdo con el contenido, finalidad y obligaciones concretas de cada negocio jurídico, evitando que los rubros administrativos oculten una remuneración o utilidad en los convenios o, en sentido contrario, desconociendo su carácter de contraprestación cuando se trate de contratos interadministrativos.</w:t>
            </w:r>
          </w:p>
        </w:tc>
      </w:tr>
    </w:tbl>
    <w:p w14:paraId="40900392" w14:textId="77777777" w:rsidR="00767A50" w:rsidRPr="00767A50" w:rsidRDefault="00767A50" w:rsidP="00767A50">
      <w:pPr>
        <w:tabs>
          <w:tab w:val="left" w:pos="142"/>
          <w:tab w:val="left" w:pos="284"/>
        </w:tabs>
        <w:spacing w:after="0" w:line="276" w:lineRule="auto"/>
        <w:jc w:val="both"/>
        <w:rPr>
          <w:rFonts w:ascii="Verdana" w:eastAsia="Century Gothic" w:hAnsi="Verdana" w:cs="Century Gothic"/>
          <w:b/>
          <w:bCs/>
        </w:rPr>
      </w:pPr>
    </w:p>
    <w:bookmarkEnd w:id="2"/>
    <w:p w14:paraId="6FE5D998" w14:textId="77777777" w:rsidR="00767A50" w:rsidRPr="00767A50" w:rsidRDefault="00767A50" w:rsidP="00767A50">
      <w:pPr>
        <w:numPr>
          <w:ilvl w:val="0"/>
          <w:numId w:val="16"/>
        </w:numPr>
        <w:tabs>
          <w:tab w:val="left" w:pos="142"/>
          <w:tab w:val="left" w:pos="284"/>
        </w:tabs>
        <w:spacing w:after="0" w:line="276" w:lineRule="auto"/>
        <w:jc w:val="both"/>
        <w:rPr>
          <w:rFonts w:ascii="Verdana" w:eastAsia="Century Gothic" w:hAnsi="Verdana" w:cs="Century Gothic"/>
          <w:b/>
          <w:bCs/>
        </w:rPr>
      </w:pPr>
      <w:r w:rsidRPr="00767A50">
        <w:rPr>
          <w:rFonts w:ascii="Verdana" w:eastAsia="Century Gothic" w:hAnsi="Verdana" w:cs="Century Gothic"/>
          <w:b/>
          <w:bCs/>
        </w:rPr>
        <w:t>Razones de las respuestas:</w:t>
      </w:r>
    </w:p>
    <w:p w14:paraId="5FD98917" w14:textId="77777777" w:rsidR="00767A50" w:rsidRPr="00767A50" w:rsidRDefault="00767A50" w:rsidP="00767A50">
      <w:pPr>
        <w:spacing w:after="0" w:line="276" w:lineRule="auto"/>
        <w:jc w:val="both"/>
        <w:rPr>
          <w:rFonts w:ascii="Verdana" w:eastAsia="Calibri" w:hAnsi="Verdana" w:cs="Arial"/>
          <w:color w:val="7030A0"/>
        </w:rPr>
      </w:pPr>
    </w:p>
    <w:p w14:paraId="376D0E59" w14:textId="77777777" w:rsidR="00767A50" w:rsidRPr="00767A50" w:rsidRDefault="00767A50" w:rsidP="00767A50">
      <w:pPr>
        <w:spacing w:after="0" w:line="276" w:lineRule="auto"/>
        <w:jc w:val="both"/>
        <w:rPr>
          <w:rFonts w:ascii="Verdana" w:eastAsia="Calibri" w:hAnsi="Verdana" w:cs="Arial"/>
        </w:rPr>
      </w:pPr>
      <w:r w:rsidRPr="00767A50">
        <w:rPr>
          <w:rFonts w:ascii="Verdana" w:eastAsia="Calibri" w:hAnsi="Verdana" w:cs="Arial"/>
        </w:rPr>
        <w:t>Lo anterior se sustenta en las siguientes consideraciones:</w:t>
      </w:r>
    </w:p>
    <w:p w14:paraId="6DCC41BF" w14:textId="77777777" w:rsidR="00767A50" w:rsidRPr="00767A50" w:rsidRDefault="00767A50" w:rsidP="00767A50">
      <w:pPr>
        <w:spacing w:after="0" w:line="276" w:lineRule="auto"/>
        <w:jc w:val="both"/>
        <w:rPr>
          <w:rFonts w:ascii="Verdana" w:eastAsia="Calibri" w:hAnsi="Verdana" w:cs="Arial"/>
        </w:rPr>
      </w:pPr>
    </w:p>
    <w:p w14:paraId="50033F49" w14:textId="6F6F2C2A" w:rsidR="00767A50" w:rsidRPr="00767A50" w:rsidRDefault="00767A50" w:rsidP="00767A50">
      <w:pPr>
        <w:spacing w:after="120" w:line="276" w:lineRule="auto"/>
        <w:jc w:val="both"/>
        <w:rPr>
          <w:rFonts w:ascii="Verdana" w:hAnsi="Verdana" w:cs="Arial"/>
          <w:lang w:eastAsia="es-ES"/>
        </w:rPr>
      </w:pPr>
      <w:r w:rsidRPr="00767A50">
        <w:rPr>
          <w:rFonts w:ascii="Verdana" w:hAnsi="Verdana" w:cs="Arial"/>
          <w:bCs/>
          <w:szCs w:val="24"/>
          <w:lang w:val="es-ES_tradnl" w:eastAsia="es-ES_tradnl"/>
        </w:rPr>
        <w:t xml:space="preserve">i. </w:t>
      </w:r>
      <w:r w:rsidR="0014097D">
        <w:rPr>
          <w:rFonts w:ascii="Verdana" w:hAnsi="Verdana" w:cs="Arial"/>
          <w:bCs/>
          <w:szCs w:val="24"/>
          <w:lang w:val="es-ES_tradnl" w:eastAsia="es-ES_tradnl"/>
        </w:rPr>
        <w:t>E</w:t>
      </w:r>
      <w:r w:rsidRPr="00767A50">
        <w:rPr>
          <w:rFonts w:ascii="Verdana" w:hAnsi="Verdana" w:cs="Arial"/>
          <w:bCs/>
          <w:szCs w:val="24"/>
          <w:lang w:val="es-ES_tradnl" w:eastAsia="es-ES_tradnl"/>
        </w:rPr>
        <w:t>s fundamental distinguir entre los convenios y los contratos interadministrativos, puesto que su naturaleza tiene unas implicaciones distintas frente a la viabilidad de asumir costos y gastos administrativos. E</w:t>
      </w:r>
      <w:r w:rsidRPr="00767A50">
        <w:rPr>
          <w:rFonts w:ascii="Verdana" w:eastAsia="Calibri" w:hAnsi="Verdana" w:cs="Arial"/>
          <w:lang w:val="es-ES" w:eastAsia="es-ES"/>
        </w:rPr>
        <w:t xml:space="preserve">n efecto, </w:t>
      </w:r>
      <w:r w:rsidRPr="00767A50">
        <w:rPr>
          <w:rFonts w:ascii="Verdana" w:eastAsia="Calibri" w:hAnsi="Verdana" w:cs="Arial"/>
          <w:color w:val="000000" w:themeColor="text1"/>
          <w:lang w:val="es-ES"/>
        </w:rPr>
        <w:t xml:space="preserve">existen algunos supuestos bajo las cuales las diferencias entre las características propias de los contratos y convenios interadministrativos resultan definitorias de la aplicación o inaplicación de ciertas normas, ante lo cual, entonces, no podrán ser equiparables sino que deben ser vistos como instituciones negociales disímiles aunque, indudablemente, con algunos atributos comunes. En otras palabras, diferenciar entre los conceptos de convenio y contrato interadministrativos, así como establecer con precisión las características y elementos esenciales de cada uno, resulta necesario de cara a definir la aplicación de ciertas figuras contractuales y normativas a cada uno de ellos, como las que se plantean en esta consulta. </w:t>
      </w:r>
    </w:p>
    <w:p w14:paraId="279FB9F3" w14:textId="77777777" w:rsidR="00767A50" w:rsidRPr="00767A50" w:rsidRDefault="00767A50" w:rsidP="00767A50">
      <w:pPr>
        <w:spacing w:after="120" w:line="276" w:lineRule="auto"/>
        <w:ind w:firstLine="708"/>
        <w:jc w:val="both"/>
        <w:rPr>
          <w:rFonts w:ascii="Verdana" w:eastAsia="Calibri" w:hAnsi="Verdana" w:cs="Arial"/>
        </w:rPr>
      </w:pPr>
      <w:r w:rsidRPr="00767A50">
        <w:rPr>
          <w:rFonts w:ascii="Verdana" w:eastAsia="Times New Roman" w:hAnsi="Verdana" w:cs="Arial"/>
          <w:lang w:val="es-ES" w:eastAsia="es-ES_tradnl"/>
        </w:rPr>
        <w:t>P</w:t>
      </w:r>
      <w:r w:rsidRPr="00767A50">
        <w:rPr>
          <w:rFonts w:ascii="Verdana" w:eastAsia="Times New Roman" w:hAnsi="Verdana" w:cs="Arial"/>
          <w:lang w:val="es-ES_tradnl" w:eastAsia="es-ES_tradnl"/>
        </w:rPr>
        <w:t xml:space="preserve">ara precisar </w:t>
      </w:r>
      <w:r w:rsidRPr="00767A50">
        <w:rPr>
          <w:rFonts w:ascii="Verdana" w:eastAsia="Times New Roman" w:hAnsi="Verdana" w:cs="Arial"/>
          <w:lang w:val="es-ES" w:eastAsia="es-ES_tradnl"/>
        </w:rPr>
        <w:t>el alcance que tiene cada una de estas figuras, resulta pertinente resaltar que, en consonancia con el artículo 209 de la Constitución Política</w:t>
      </w:r>
      <w:r w:rsidRPr="00767A50">
        <w:rPr>
          <w:rFonts w:ascii="Verdana" w:eastAsia="Times New Roman" w:hAnsi="Verdana" w:cs="Arial"/>
          <w:vertAlign w:val="superscript"/>
          <w:lang w:val="es-ES" w:eastAsia="es-ES_tradnl"/>
        </w:rPr>
        <w:footnoteReference w:id="1"/>
      </w:r>
      <w:r w:rsidRPr="00767A50">
        <w:rPr>
          <w:rFonts w:ascii="Verdana" w:eastAsia="Times New Roman" w:hAnsi="Verdana" w:cs="Arial"/>
          <w:lang w:val="es-ES" w:eastAsia="es-ES_tradnl"/>
        </w:rPr>
        <w:t>, del que se desprenden los deberes de coordinación y colaboración a cargo de todas las autoridades administrativas,</w:t>
      </w:r>
      <w:r w:rsidRPr="00767A50">
        <w:rPr>
          <w:rFonts w:ascii="Verdana" w:eastAsia="Calibri" w:hAnsi="Verdana" w:cs="Arial"/>
        </w:rPr>
        <w:t xml:space="preserve"> el artículo 95 de la Ley 489 de </w:t>
      </w:r>
      <w:r w:rsidRPr="00767A50">
        <w:rPr>
          <w:rFonts w:ascii="Verdana" w:eastAsia="Calibri" w:hAnsi="Verdana" w:cs="Arial"/>
        </w:rPr>
        <w:lastRenderedPageBreak/>
        <w:t>1998</w:t>
      </w:r>
      <w:r w:rsidRPr="00767A50">
        <w:rPr>
          <w:rFonts w:ascii="Verdana" w:eastAsia="Calibri" w:hAnsi="Verdana" w:cs="Arial"/>
          <w:vertAlign w:val="superscript"/>
        </w:rPr>
        <w:footnoteReference w:id="2"/>
      </w:r>
      <w:r w:rsidRPr="00767A50">
        <w:rPr>
          <w:rFonts w:ascii="Verdana" w:eastAsia="Calibri" w:hAnsi="Verdana" w:cs="Arial"/>
        </w:rPr>
        <w:t xml:space="preserve"> dispone que “las entidades públicas podrán asociarse con el fin de cooperar en el cumplimiento de funciones administrativas o de prestar conjuntamente servicios que se hallen a su cargo mediante la celebración de convenios interadministrativos (…)”</w:t>
      </w:r>
      <w:r w:rsidRPr="00767A50">
        <w:rPr>
          <w:rFonts w:ascii="Verdana" w:eastAsia="Calibri" w:hAnsi="Verdana" w:cs="Arial"/>
          <w:vertAlign w:val="superscript"/>
        </w:rPr>
        <w:footnoteReference w:id="3"/>
      </w:r>
      <w:r w:rsidRPr="00767A50">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35AD5E5E" w14:textId="77777777" w:rsidR="00767A50" w:rsidRPr="00767A50" w:rsidRDefault="00767A50" w:rsidP="00767A50">
      <w:pPr>
        <w:spacing w:after="120" w:line="276" w:lineRule="auto"/>
        <w:ind w:firstLine="708"/>
        <w:jc w:val="both"/>
        <w:rPr>
          <w:rFonts w:ascii="Verdana" w:eastAsia="Calibri" w:hAnsi="Verdana" w:cs="Arial"/>
        </w:rPr>
      </w:pPr>
      <w:r w:rsidRPr="00767A50">
        <w:rPr>
          <w:rFonts w:ascii="Verdana" w:eastAsia="Calibri" w:hAnsi="Verdana" w:cs="Arial"/>
        </w:rPr>
        <w:t>Sobre el alcance de los convenios interadministrativos, el Consejo de Estado ha dejado en claro lo siguiente:</w:t>
      </w:r>
    </w:p>
    <w:p w14:paraId="570A13BD" w14:textId="77777777" w:rsidR="00767A50" w:rsidRPr="00767A50" w:rsidRDefault="00767A50" w:rsidP="00767A50">
      <w:pPr>
        <w:spacing w:after="0" w:line="240" w:lineRule="auto"/>
        <w:ind w:left="709" w:right="714"/>
        <w:jc w:val="both"/>
        <w:rPr>
          <w:rFonts w:ascii="Verdana" w:eastAsia="Calibri" w:hAnsi="Verdana" w:cs="Arial"/>
          <w:bCs/>
          <w:sz w:val="20"/>
          <w:szCs w:val="20"/>
          <w:lang w:val="es-ES_tradnl"/>
        </w:rPr>
      </w:pPr>
      <w:r w:rsidRPr="00767A50">
        <w:rPr>
          <w:rFonts w:ascii="Verdana" w:eastAsia="Calibri" w:hAnsi="Verdana" w:cs="Arial"/>
          <w:bCs/>
          <w:sz w:val="20"/>
          <w:szCs w:val="20"/>
          <w:lang w:eastAsia="es-ES_tradnl"/>
        </w:rPr>
        <w:t xml:space="preserve">“(…) </w:t>
      </w:r>
      <w:r w:rsidRPr="00767A50">
        <w:rPr>
          <w:rFonts w:ascii="Verdana" w:eastAsia="Calibri" w:hAnsi="Verdana" w:cs="Arial"/>
          <w:bCs/>
          <w:sz w:val="20"/>
          <w:szCs w:val="20"/>
          <w:lang w:val="es-ES_tradnl"/>
        </w:rPr>
        <w:t>i) Constituyen verdaderos contratos en los términos del Código de Comercio cuando su objeto lo constituyen obligaciones patrimoniales. ii) Tienen como fuente la autonomía contractual. iii) Son contratos nominados, puesto que están mencionados por la ley. iv)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767A50">
        <w:rPr>
          <w:rFonts w:ascii="Verdana" w:eastAsia="Times New Roman" w:hAnsi="Verdana" w:cs="Arial"/>
          <w:sz w:val="20"/>
          <w:szCs w:val="20"/>
          <w:vertAlign w:val="superscript"/>
          <w:lang w:val="es-ES" w:eastAsia="es-ES_tradnl"/>
        </w:rPr>
        <w:footnoteReference w:id="4"/>
      </w:r>
      <w:r w:rsidRPr="00767A50">
        <w:rPr>
          <w:rFonts w:ascii="Verdana" w:eastAsia="Calibri" w:hAnsi="Verdana" w:cs="Arial"/>
          <w:bCs/>
          <w:sz w:val="20"/>
          <w:szCs w:val="20"/>
          <w:lang w:val="es-ES_tradnl"/>
        </w:rPr>
        <w:t>.</w:t>
      </w:r>
    </w:p>
    <w:p w14:paraId="38A42076" w14:textId="77777777" w:rsidR="00767A50" w:rsidRPr="00767A50" w:rsidRDefault="00767A50" w:rsidP="00767A50">
      <w:pPr>
        <w:spacing w:after="0" w:line="276" w:lineRule="auto"/>
        <w:ind w:right="713"/>
        <w:jc w:val="both"/>
        <w:rPr>
          <w:rFonts w:ascii="Verdana" w:eastAsia="Times New Roman" w:hAnsi="Verdana" w:cs="Arial"/>
          <w:lang w:val="es-ES" w:eastAsia="es-ES_tradnl"/>
        </w:rPr>
      </w:pPr>
    </w:p>
    <w:p w14:paraId="0B7E30CD" w14:textId="77777777" w:rsidR="00767A50" w:rsidRPr="00767A50" w:rsidRDefault="00767A50" w:rsidP="00767A50">
      <w:pPr>
        <w:spacing w:after="120" w:line="276" w:lineRule="auto"/>
        <w:ind w:firstLine="708"/>
        <w:jc w:val="both"/>
        <w:rPr>
          <w:rFonts w:ascii="Verdana" w:eastAsia="Times New Roman" w:hAnsi="Verdana" w:cs="Arial"/>
          <w:lang w:val="es-ES" w:eastAsia="es-ES_tradnl"/>
        </w:rPr>
      </w:pPr>
      <w:r w:rsidRPr="00767A50">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767A50">
        <w:rPr>
          <w:rFonts w:ascii="Verdana" w:eastAsia="Times New Roman" w:hAnsi="Verdana" w:cs="Arial"/>
          <w:vertAlign w:val="superscript"/>
          <w:lang w:val="es-ES" w:eastAsia="es-ES_tradnl"/>
        </w:rPr>
        <w:footnoteReference w:id="5"/>
      </w:r>
      <w:r w:rsidRPr="00767A50">
        <w:rPr>
          <w:rFonts w:ascii="Verdana" w:eastAsia="Times New Roman" w:hAnsi="Verdana" w:cs="Arial"/>
          <w:lang w:val="es-ES" w:eastAsia="es-ES_tradnl"/>
        </w:rPr>
        <w:t xml:space="preserve">. Así “(…) es posible afirmar que el contrato es en efecto un acuerdo de voluntades que </w:t>
      </w:r>
      <w:r w:rsidRPr="00767A50">
        <w:rPr>
          <w:rFonts w:ascii="Verdana" w:eastAsia="Times New Roman" w:hAnsi="Verdana" w:cs="Arial"/>
          <w:lang w:val="es-ES" w:eastAsia="es-ES_tradnl"/>
        </w:rPr>
        <w:lastRenderedPageBreak/>
        <w:t>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767A50">
        <w:rPr>
          <w:rFonts w:ascii="Verdana" w:eastAsia="Times New Roman" w:hAnsi="Verdana" w:cs="Arial"/>
          <w:vertAlign w:val="superscript"/>
          <w:lang w:val="es-ES" w:eastAsia="es-ES_tradnl"/>
        </w:rPr>
        <w:footnoteReference w:id="6"/>
      </w:r>
      <w:r w:rsidRPr="00767A50">
        <w:rPr>
          <w:rFonts w:ascii="Verdana" w:eastAsia="Times New Roman" w:hAnsi="Verdana" w:cs="Arial"/>
          <w:lang w:val="es-ES" w:eastAsia="es-ES_tradnl"/>
        </w:rPr>
        <w:t xml:space="preserve">. </w:t>
      </w:r>
    </w:p>
    <w:p w14:paraId="0322EB76" w14:textId="77777777" w:rsidR="00767A50" w:rsidRPr="00767A50" w:rsidRDefault="00767A50" w:rsidP="00767A50">
      <w:pPr>
        <w:spacing w:after="120" w:line="276" w:lineRule="auto"/>
        <w:ind w:firstLine="708"/>
        <w:jc w:val="both"/>
        <w:rPr>
          <w:rFonts w:ascii="Verdana" w:eastAsia="Times New Roman" w:hAnsi="Verdana" w:cs="Arial"/>
          <w:lang w:val="es-ES" w:eastAsia="es-ES_tradnl"/>
        </w:rPr>
      </w:pPr>
      <w:r w:rsidRPr="00767A50">
        <w:rPr>
          <w:rFonts w:ascii="Verdana" w:eastAsia="Times New Roman" w:hAnsi="Verdana" w:cs="Arial"/>
          <w:lang w:val="es-ES" w:eastAsia="es-ES_tradnl"/>
        </w:rPr>
        <w:t>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Pr="00767A50">
        <w:rPr>
          <w:rFonts w:ascii="Verdana" w:eastAsia="Times New Roman" w:hAnsi="Verdana" w:cs="Arial"/>
          <w:vertAlign w:val="superscript"/>
          <w:lang w:val="es-ES" w:eastAsia="es-ES_tradnl"/>
        </w:rPr>
        <w:footnoteReference w:id="7"/>
      </w:r>
      <w:r w:rsidRPr="00767A50">
        <w:rPr>
          <w:rFonts w:ascii="Verdana" w:eastAsia="Times New Roman" w:hAnsi="Verdana" w:cs="Arial"/>
          <w:lang w:val="es-ES" w:eastAsia="es-ES_tradnl"/>
        </w:rPr>
        <w:t>.</w:t>
      </w:r>
    </w:p>
    <w:p w14:paraId="6DAFD02D" w14:textId="77777777" w:rsidR="00767A50" w:rsidRPr="00767A50" w:rsidRDefault="00767A50" w:rsidP="00767A50">
      <w:pPr>
        <w:spacing w:before="120" w:after="0" w:line="276" w:lineRule="auto"/>
        <w:ind w:firstLine="709"/>
        <w:jc w:val="both"/>
        <w:rPr>
          <w:rFonts w:ascii="Verdana" w:eastAsia="Calibri" w:hAnsi="Verdana" w:cs="Arial"/>
          <w:color w:val="000000" w:themeColor="text1"/>
          <w:lang w:val="es-ES_tradnl"/>
        </w:rPr>
      </w:pPr>
      <w:r w:rsidRPr="00767A50">
        <w:rPr>
          <w:rFonts w:ascii="Verdana" w:eastAsia="Calibri" w:hAnsi="Verdana" w:cs="Arial"/>
          <w:bCs/>
          <w:color w:val="000000" w:themeColor="text1"/>
          <w:lang w:eastAsia="es-ES_tradnl" w:bidi="es-ES"/>
        </w:rPr>
        <w:t xml:space="preserve">En relación con las diferencias entre los contratos interadministrativos y los convenios interadministrativos de que trata el artículo 95 de la Ley 489 de 1998, la Sala de Consulta y Servicio Civil del Consejo de Estado expresó lo siguiente: </w:t>
      </w:r>
    </w:p>
    <w:p w14:paraId="0CD2450A" w14:textId="77777777" w:rsidR="00767A50" w:rsidRPr="00767A50" w:rsidRDefault="00767A50" w:rsidP="00767A50">
      <w:pPr>
        <w:spacing w:beforeLines="120" w:before="288" w:afterLines="120" w:after="288" w:line="276" w:lineRule="auto"/>
        <w:ind w:firstLine="709"/>
        <w:contextualSpacing/>
        <w:jc w:val="both"/>
        <w:rPr>
          <w:rFonts w:ascii="Verdana" w:eastAsia="Calibri" w:hAnsi="Verdana" w:cs="Arial"/>
          <w:bCs/>
          <w:color w:val="000000" w:themeColor="text1"/>
          <w:sz w:val="20"/>
          <w:szCs w:val="20"/>
          <w:lang w:eastAsia="es-ES_tradnl" w:bidi="es-ES"/>
        </w:rPr>
      </w:pPr>
    </w:p>
    <w:p w14:paraId="79AF5065" w14:textId="77777777" w:rsidR="00767A50" w:rsidRPr="00767A50" w:rsidRDefault="00767A50" w:rsidP="00767A50">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767A50">
        <w:rPr>
          <w:rFonts w:ascii="Verdana" w:eastAsia="Calibri" w:hAnsi="Verdana" w:cs="Arial"/>
          <w:bCs/>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767A50">
        <w:rPr>
          <w:rFonts w:ascii="Verdana" w:eastAsia="Calibri" w:hAnsi="Verdana" w:cs="Arial"/>
          <w:bCs/>
          <w:color w:val="000000" w:themeColor="text1"/>
          <w:sz w:val="20"/>
          <w:szCs w:val="20"/>
          <w:vertAlign w:val="superscript"/>
          <w:lang w:val="es-ES_tradnl" w:eastAsia="es-ES_tradnl" w:bidi="es-ES"/>
        </w:rPr>
        <w:t xml:space="preserve"> </w:t>
      </w:r>
      <w:r w:rsidRPr="00767A50">
        <w:rPr>
          <w:rFonts w:ascii="Verdana" w:eastAsia="Calibri" w:hAnsi="Verdana" w:cs="Arial"/>
          <w:bCs/>
          <w:color w:val="000000" w:themeColor="text1"/>
          <w:sz w:val="20"/>
          <w:szCs w:val="20"/>
          <w:vertAlign w:val="superscript"/>
          <w:lang w:val="es-ES_tradnl" w:eastAsia="es-ES_tradnl" w:bidi="es-ES"/>
        </w:rPr>
        <w:footnoteReference w:id="8"/>
      </w:r>
    </w:p>
    <w:p w14:paraId="55AC22A2" w14:textId="77777777" w:rsidR="00767A50" w:rsidRPr="00767A50" w:rsidRDefault="00767A50" w:rsidP="00767A50">
      <w:pPr>
        <w:spacing w:beforeLines="120" w:before="288" w:afterLines="120" w:after="288" w:line="276" w:lineRule="auto"/>
        <w:ind w:firstLine="708"/>
        <w:contextualSpacing/>
        <w:jc w:val="both"/>
        <w:rPr>
          <w:rFonts w:ascii="Verdana" w:eastAsia="Calibri" w:hAnsi="Verdana" w:cs="Arial"/>
          <w:bCs/>
          <w:color w:val="000000" w:themeColor="text1"/>
          <w:sz w:val="20"/>
          <w:szCs w:val="20"/>
          <w:lang w:eastAsia="es-ES_tradnl" w:bidi="es-ES"/>
        </w:rPr>
      </w:pPr>
    </w:p>
    <w:p w14:paraId="47B98914" w14:textId="77777777" w:rsidR="00767A50" w:rsidRPr="00767A50" w:rsidRDefault="00767A50" w:rsidP="00767A50">
      <w:pPr>
        <w:spacing w:line="276" w:lineRule="auto"/>
        <w:ind w:firstLine="709"/>
        <w:contextualSpacing/>
        <w:jc w:val="both"/>
        <w:rPr>
          <w:rFonts w:ascii="Verdana" w:eastAsia="Calibri" w:hAnsi="Verdana" w:cs="Arial"/>
          <w:bCs/>
          <w:color w:val="000000" w:themeColor="text1"/>
          <w:lang w:eastAsia="es-ES_tradnl" w:bidi="es-ES"/>
        </w:rPr>
      </w:pPr>
      <w:r w:rsidRPr="00767A50">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33CC9125" w14:textId="77777777" w:rsidR="00767A50" w:rsidRPr="00767A50" w:rsidRDefault="00767A50" w:rsidP="00767A50">
      <w:pPr>
        <w:spacing w:beforeLines="120" w:before="288" w:afterLines="120" w:after="288" w:line="276" w:lineRule="auto"/>
        <w:contextualSpacing/>
        <w:rPr>
          <w:rFonts w:ascii="Verdana" w:eastAsia="Calibri" w:hAnsi="Verdana" w:cs="Arial"/>
          <w:bCs/>
          <w:color w:val="000000" w:themeColor="text1"/>
          <w:lang w:eastAsia="es-ES_tradnl" w:bidi="es-ES"/>
        </w:rPr>
      </w:pPr>
    </w:p>
    <w:p w14:paraId="49E8F9DB" w14:textId="77777777" w:rsidR="00767A50" w:rsidRPr="00767A50" w:rsidRDefault="00767A50" w:rsidP="00767A50">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r w:rsidRPr="00767A50">
        <w:rPr>
          <w:rFonts w:ascii="Verdana" w:eastAsia="Calibri" w:hAnsi="Verdana" w:cs="Arial"/>
          <w:bCs/>
          <w:color w:val="000000" w:themeColor="text1"/>
          <w:sz w:val="20"/>
          <w:szCs w:val="20"/>
          <w:lang w:val="es-ES_tradnl" w:eastAsia="es-ES_tradnl" w:bidi="es-ES"/>
        </w:rPr>
        <w:lastRenderedPageBreak/>
        <w:t>“La Sala de Consulta y Servicio Civil</w:t>
      </w:r>
      <w:r w:rsidRPr="00767A50">
        <w:rPr>
          <w:rFonts w:ascii="Verdana" w:eastAsia="Calibri" w:hAnsi="Verdana" w:cs="Arial"/>
          <w:bCs/>
          <w:color w:val="000000" w:themeColor="text1"/>
          <w:sz w:val="20"/>
          <w:szCs w:val="20"/>
          <w:vertAlign w:val="superscript"/>
          <w:lang w:val="es-ES_tradnl" w:eastAsia="es-ES_tradnl" w:bidi="es-ES"/>
        </w:rPr>
        <w:footnoteReference w:id="9"/>
      </w:r>
      <w:r w:rsidRPr="00767A50">
        <w:rPr>
          <w:rFonts w:ascii="Verdana" w:eastAsia="Calibri" w:hAnsi="Verdana" w:cs="Arial"/>
          <w:bCs/>
          <w:color w:val="000000" w:themeColor="text1"/>
          <w:sz w:val="20"/>
          <w:szCs w:val="20"/>
          <w:lang w:val="es-ES_tradnl" w:eastAsia="es-ES_tradnl" w:bidi="es-ES"/>
        </w:rPr>
        <w:t xml:space="preserve"> de esta Corporación se ha referido a los </w:t>
      </w:r>
      <w:r w:rsidRPr="00767A50">
        <w:rPr>
          <w:rFonts w:ascii="Verdana" w:eastAsia="Calibri" w:hAnsi="Verdana" w:cs="Arial"/>
          <w:bCs/>
          <w:i/>
          <w:color w:val="000000" w:themeColor="text1"/>
          <w:sz w:val="20"/>
          <w:szCs w:val="20"/>
          <w:lang w:val="es-ES_tradnl" w:eastAsia="es-ES_tradnl" w:bidi="es-ES"/>
        </w:rPr>
        <w:t>“convenios interadministrativos”</w:t>
      </w:r>
      <w:r w:rsidRPr="00767A50">
        <w:rPr>
          <w:rFonts w:ascii="Verdana" w:eastAsia="Calibri" w:hAnsi="Verdana" w:cs="Arial"/>
          <w:bCs/>
          <w:color w:val="000000" w:themeColor="text1"/>
          <w:sz w:val="20"/>
          <w:szCs w:val="20"/>
          <w:lang w:val="es-ES_tradnl" w:eastAsia="es-ES_tradnl" w:bidi="es-ES"/>
        </w:rPr>
        <w:t xml:space="preserve"> a los cuales alude el artículo 95 de la Ley 489 de 1998, calificándolos de </w:t>
      </w:r>
      <w:r w:rsidRPr="00767A50">
        <w:rPr>
          <w:rFonts w:ascii="Verdana" w:eastAsia="Calibri" w:hAnsi="Verdana" w:cs="Arial"/>
          <w:bCs/>
          <w:i/>
          <w:color w:val="000000" w:themeColor="text1"/>
          <w:sz w:val="20"/>
          <w:szCs w:val="20"/>
          <w:lang w:val="es-ES_tradnl" w:eastAsia="es-ES_tradnl" w:bidi="es-ES"/>
        </w:rPr>
        <w:t xml:space="preserve">“puros” </w:t>
      </w:r>
      <w:r w:rsidRPr="00767A50">
        <w:rPr>
          <w:rFonts w:ascii="Verdana" w:eastAsia="Calibri" w:hAnsi="Verdana" w:cs="Arial"/>
          <w:bCs/>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767A50">
        <w:rPr>
          <w:rFonts w:ascii="Verdana" w:eastAsia="Calibri" w:hAnsi="Verdana" w:cs="Arial"/>
          <w:bCs/>
          <w:i/>
          <w:color w:val="000000" w:themeColor="text1"/>
          <w:sz w:val="20"/>
          <w:szCs w:val="20"/>
          <w:lang w:val="es-ES_tradnl" w:eastAsia="es-ES_tradnl" w:bidi="es-ES"/>
        </w:rPr>
        <w:t>“intercambio patrimonial”</w:t>
      </w:r>
      <w:r w:rsidRPr="00767A50">
        <w:rPr>
          <w:rFonts w:ascii="Verdana" w:eastAsia="Calibri" w:hAnsi="Verdana" w:cs="Arial"/>
          <w:bCs/>
          <w:color w:val="000000" w:themeColor="text1"/>
          <w:sz w:val="20"/>
          <w:szCs w:val="20"/>
          <w:lang w:val="es-ES_tradnl" w:eastAsia="es-ES_tradnl" w:bidi="es-ES"/>
        </w:rPr>
        <w:t>. Sin perjuicio de lo anterior, en otra oportunidad, la misma Sala</w:t>
      </w:r>
      <w:r w:rsidRPr="00767A50">
        <w:rPr>
          <w:rFonts w:ascii="Verdana" w:eastAsia="Calibri" w:hAnsi="Verdana" w:cs="Arial"/>
          <w:bCs/>
          <w:color w:val="000000" w:themeColor="text1"/>
          <w:sz w:val="20"/>
          <w:szCs w:val="20"/>
          <w:vertAlign w:val="superscript"/>
          <w:lang w:val="es-ES_tradnl" w:eastAsia="es-ES_tradnl" w:bidi="es-ES"/>
        </w:rPr>
        <w:footnoteReference w:id="10"/>
      </w:r>
      <w:r w:rsidRPr="00767A50">
        <w:rPr>
          <w:rFonts w:ascii="Verdana" w:eastAsia="Calibri" w:hAnsi="Verdana" w:cs="Arial"/>
          <w:bCs/>
          <w:color w:val="000000" w:themeColor="text1"/>
          <w:sz w:val="20"/>
          <w:szCs w:val="20"/>
          <w:lang w:val="es-ES_tradnl" w:eastAsia="es-ES_tradnl" w:bidi="es-ES"/>
        </w:rPr>
        <w:t xml:space="preserve"> había indicado que, si bien en dichos convenios no se daba un </w:t>
      </w:r>
      <w:r w:rsidRPr="00767A50">
        <w:rPr>
          <w:rFonts w:ascii="Verdana" w:eastAsia="Calibri" w:hAnsi="Verdana" w:cs="Arial"/>
          <w:bCs/>
          <w:i/>
          <w:color w:val="000000" w:themeColor="text1"/>
          <w:sz w:val="20"/>
          <w:szCs w:val="20"/>
          <w:lang w:val="es-ES_tradnl" w:eastAsia="es-ES_tradnl" w:bidi="es-ES"/>
        </w:rPr>
        <w:t>“verdadero intercambio de bienes o servicios (contrato conmutativo)”</w:t>
      </w:r>
      <w:r w:rsidRPr="00767A50">
        <w:rPr>
          <w:rFonts w:ascii="Verdana" w:eastAsia="Calibri" w:hAnsi="Verdana" w:cs="Arial"/>
          <w:bCs/>
          <w:color w:val="000000" w:themeColor="text1"/>
          <w:sz w:val="20"/>
          <w:szCs w:val="20"/>
          <w:lang w:val="es-ES_tradnl" w:eastAsia="es-ES_tradnl" w:bidi="es-ES"/>
        </w:rPr>
        <w:t>, ello no impedía que se conviniera una remuneración a cargo de alguna(s) entidad(es).</w:t>
      </w:r>
    </w:p>
    <w:p w14:paraId="09C60FFE" w14:textId="77777777" w:rsidR="00767A50" w:rsidRPr="00767A50" w:rsidRDefault="00767A50" w:rsidP="00767A50">
      <w:pPr>
        <w:spacing w:beforeLines="120" w:before="288" w:afterLines="120" w:after="288" w:line="276" w:lineRule="auto"/>
        <w:ind w:left="708" w:right="709" w:firstLine="708"/>
        <w:contextualSpacing/>
        <w:jc w:val="both"/>
        <w:rPr>
          <w:rFonts w:ascii="Verdana" w:eastAsia="Calibri" w:hAnsi="Verdana" w:cs="Arial"/>
          <w:bCs/>
          <w:color w:val="000000" w:themeColor="text1"/>
          <w:sz w:val="20"/>
          <w:szCs w:val="20"/>
          <w:lang w:val="es-ES_tradnl" w:eastAsia="es-ES_tradnl" w:bidi="es-ES"/>
        </w:rPr>
      </w:pPr>
    </w:p>
    <w:p w14:paraId="0E60370D" w14:textId="77777777" w:rsidR="00767A50" w:rsidRPr="00767A50" w:rsidRDefault="00767A50" w:rsidP="00767A50">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767A50">
        <w:rPr>
          <w:rFonts w:ascii="Verdana" w:eastAsia="Calibri" w:hAnsi="Verdana" w:cs="Arial"/>
          <w:bCs/>
          <w:color w:val="000000" w:themeColor="text1"/>
          <w:sz w:val="20"/>
          <w:szCs w:val="20"/>
          <w:lang w:val="es-ES_tradnl" w:eastAsia="es-ES_tradnl" w:bidi="es-ES"/>
        </w:rPr>
        <w:t xml:space="preserve">Lo expuesto evidencia que, en general, las interpretaciones en torno a los </w:t>
      </w:r>
      <w:r w:rsidRPr="00767A50">
        <w:rPr>
          <w:rFonts w:ascii="Verdana" w:eastAsia="Calibri" w:hAnsi="Verdana" w:cs="Arial"/>
          <w:bCs/>
          <w:i/>
          <w:color w:val="000000" w:themeColor="text1"/>
          <w:sz w:val="20"/>
          <w:szCs w:val="20"/>
          <w:lang w:val="es-ES_tradnl" w:eastAsia="es-ES_tradnl" w:bidi="es-ES"/>
        </w:rPr>
        <w:t>“convenios interadministrativos”</w:t>
      </w:r>
      <w:r w:rsidRPr="00767A50">
        <w:rPr>
          <w:rFonts w:ascii="Verdana" w:eastAsia="Calibri" w:hAnsi="Verdana" w:cs="Arial"/>
          <w:bCs/>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767A50">
        <w:rPr>
          <w:rFonts w:ascii="Verdana" w:eastAsia="Calibri" w:hAnsi="Verdana" w:cs="Arial"/>
          <w:bCs/>
          <w:color w:val="000000" w:themeColor="text1"/>
          <w:sz w:val="20"/>
          <w:szCs w:val="20"/>
          <w:vertAlign w:val="superscript"/>
          <w:lang w:val="es-ES_tradnl" w:eastAsia="es-ES_tradnl" w:bidi="es-ES"/>
        </w:rPr>
        <w:footnoteReference w:id="11"/>
      </w:r>
      <w:r w:rsidRPr="00767A50">
        <w:rPr>
          <w:rFonts w:ascii="Verdana" w:eastAsia="Calibri" w:hAnsi="Verdana" w:cs="Arial"/>
          <w:bCs/>
          <w:color w:val="000000" w:themeColor="text1"/>
          <w:sz w:val="20"/>
          <w:szCs w:val="20"/>
          <w:lang w:val="es-ES_tradnl" w:eastAsia="es-ES_tradnl" w:bidi="es-ES"/>
        </w:rPr>
        <w:t>.</w:t>
      </w:r>
      <w:r w:rsidRPr="00767A50">
        <w:rPr>
          <w:rFonts w:ascii="Verdana" w:eastAsia="Calibri" w:hAnsi="Verdana" w:cs="Arial"/>
          <w:bCs/>
          <w:color w:val="000000" w:themeColor="text1"/>
          <w:sz w:val="20"/>
          <w:szCs w:val="20"/>
          <w:vertAlign w:val="superscript"/>
          <w:lang w:eastAsia="es-ES_tradnl" w:bidi="es-ES"/>
        </w:rPr>
        <w:footnoteReference w:id="12"/>
      </w:r>
      <w:r w:rsidRPr="00767A50">
        <w:rPr>
          <w:rFonts w:ascii="Verdana" w:eastAsia="Calibri" w:hAnsi="Verdana" w:cs="Arial"/>
          <w:bCs/>
          <w:color w:val="000000" w:themeColor="text1"/>
          <w:sz w:val="20"/>
          <w:szCs w:val="20"/>
          <w:lang w:val="es-ES_tradnl" w:eastAsia="es-ES_tradnl" w:bidi="es-ES"/>
        </w:rPr>
        <w:t xml:space="preserve"> </w:t>
      </w:r>
    </w:p>
    <w:p w14:paraId="1C2CB4E8" w14:textId="77777777" w:rsidR="00767A50" w:rsidRPr="00767A50" w:rsidRDefault="00767A50" w:rsidP="00767A50">
      <w:pPr>
        <w:snapToGrid w:val="0"/>
        <w:spacing w:after="0" w:line="276" w:lineRule="auto"/>
        <w:ind w:firstLine="709"/>
        <w:jc w:val="both"/>
        <w:rPr>
          <w:rFonts w:ascii="Verdana" w:eastAsia="Calibri" w:hAnsi="Verdana" w:cs="Arial"/>
          <w:bCs/>
          <w:color w:val="000000" w:themeColor="text1"/>
          <w:lang w:eastAsia="es-ES_tradnl" w:bidi="es-ES"/>
        </w:rPr>
      </w:pPr>
    </w:p>
    <w:p w14:paraId="7A24F12F" w14:textId="77777777" w:rsidR="00767A50" w:rsidRPr="00767A50" w:rsidRDefault="00767A50" w:rsidP="00767A50">
      <w:pPr>
        <w:snapToGrid w:val="0"/>
        <w:spacing w:after="120" w:line="276" w:lineRule="auto"/>
        <w:ind w:firstLine="709"/>
        <w:jc w:val="both"/>
        <w:rPr>
          <w:rFonts w:ascii="Verdana" w:eastAsia="Calibri" w:hAnsi="Verdana" w:cs="Arial"/>
          <w:bCs/>
          <w:color w:val="000000" w:themeColor="text1"/>
          <w:lang w:eastAsia="es-ES_tradnl" w:bidi="es-ES"/>
        </w:rPr>
      </w:pPr>
      <w:r w:rsidRPr="00767A50">
        <w:rPr>
          <w:rFonts w:ascii="Verdana" w:eastAsia="Calibri" w:hAnsi="Verdana" w:cs="Arial"/>
          <w:bCs/>
          <w:color w:val="000000" w:themeColor="text1"/>
          <w:lang w:eastAsia="es-ES_tradnl"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w:t>
      </w:r>
      <w:r w:rsidRPr="00767A50">
        <w:rPr>
          <w:rFonts w:ascii="Verdana" w:eastAsia="Calibri" w:hAnsi="Verdana" w:cs="Arial"/>
          <w:bCs/>
          <w:color w:val="000000" w:themeColor="text1"/>
          <w:lang w:eastAsia="es-ES_tradnl" w:bidi="es-ES"/>
        </w:rPr>
        <w:lastRenderedPageBreak/>
        <w:t xml:space="preserve">involucran la ejecución de actividades en función de un interés común para las partes; en esencia se pretende el cumplimiento de fines coincidentes entre quienes lo ejecutan. </w:t>
      </w:r>
    </w:p>
    <w:p w14:paraId="76458E29" w14:textId="77777777" w:rsidR="00767A50" w:rsidRPr="00767A50" w:rsidRDefault="00767A50" w:rsidP="00767A50">
      <w:pPr>
        <w:snapToGrid w:val="0"/>
        <w:spacing w:after="120" w:line="276" w:lineRule="auto"/>
        <w:ind w:firstLine="709"/>
        <w:jc w:val="both"/>
        <w:rPr>
          <w:rFonts w:ascii="Verdana" w:eastAsia="Calibri" w:hAnsi="Verdana" w:cs="Arial"/>
          <w:bCs/>
          <w:color w:val="000000" w:themeColor="text1"/>
          <w:lang w:eastAsia="es-ES_tradnl" w:bidi="es-ES"/>
        </w:rPr>
      </w:pPr>
      <w:r w:rsidRPr="00767A50">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656B9EEC" w14:textId="77777777" w:rsidR="00767A50" w:rsidRPr="00767A50" w:rsidRDefault="00767A50" w:rsidP="00767A50">
      <w:pPr>
        <w:snapToGrid w:val="0"/>
        <w:spacing w:after="120" w:line="276" w:lineRule="auto"/>
        <w:ind w:firstLine="709"/>
        <w:jc w:val="both"/>
        <w:rPr>
          <w:rFonts w:ascii="Verdana" w:eastAsia="Calibri" w:hAnsi="Verdana" w:cs="Arial"/>
          <w:bCs/>
          <w:color w:val="000000" w:themeColor="text1"/>
          <w:lang w:eastAsia="es-ES_tradnl" w:bidi="es-ES"/>
        </w:rPr>
      </w:pPr>
      <w:r w:rsidRPr="00767A50">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767A50">
        <w:rPr>
          <w:rFonts w:ascii="Verdana" w:eastAsia="Times New Roman" w:hAnsi="Verdana" w:cs="Arial"/>
          <w:i/>
          <w:iCs/>
          <w:lang w:val="es-ES" w:eastAsia="es-ES_tradnl"/>
        </w:rPr>
        <w:t>(i)</w:t>
      </w:r>
      <w:r w:rsidRPr="00767A50">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767A50">
        <w:rPr>
          <w:rFonts w:ascii="Verdana" w:eastAsia="Times New Roman" w:hAnsi="Verdana" w:cs="Arial"/>
          <w:i/>
          <w:iCs/>
          <w:lang w:val="es-ES" w:eastAsia="es-ES_tradnl"/>
        </w:rPr>
        <w:t>(ii)</w:t>
      </w:r>
      <w:r w:rsidRPr="00767A50">
        <w:rPr>
          <w:rFonts w:ascii="Verdana" w:eastAsia="Times New Roman" w:hAnsi="Verdana" w:cs="Arial"/>
          <w:lang w:val="es-ES" w:eastAsia="es-ES_tradnl"/>
        </w:rPr>
        <w:t xml:space="preserve"> la modalidad para su celebración es la contratación directa; </w:t>
      </w:r>
      <w:r w:rsidRPr="00767A50">
        <w:rPr>
          <w:rFonts w:ascii="Verdana" w:eastAsia="Times New Roman" w:hAnsi="Verdana" w:cs="Arial"/>
          <w:i/>
          <w:iCs/>
          <w:lang w:val="es-ES" w:eastAsia="es-ES_tradnl"/>
        </w:rPr>
        <w:t>(iii)</w:t>
      </w:r>
      <w:r w:rsidRPr="00767A50">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co-contratantes y a cargo de otro u otros.</w:t>
      </w:r>
    </w:p>
    <w:p w14:paraId="6CBCB074" w14:textId="77777777" w:rsidR="00767A50" w:rsidRPr="00767A50" w:rsidRDefault="00767A50" w:rsidP="00767A50">
      <w:pPr>
        <w:snapToGrid w:val="0"/>
        <w:spacing w:after="120" w:line="276" w:lineRule="auto"/>
        <w:ind w:firstLine="709"/>
        <w:jc w:val="both"/>
        <w:rPr>
          <w:rFonts w:ascii="Verdana" w:eastAsia="Calibri" w:hAnsi="Verdana" w:cs="Arial"/>
          <w:bCs/>
          <w:color w:val="000000" w:themeColor="text1"/>
          <w:lang w:eastAsia="es-ES_tradnl" w:bidi="es-ES"/>
        </w:rPr>
      </w:pPr>
      <w:r w:rsidRPr="00767A50">
        <w:rPr>
          <w:rFonts w:ascii="Verdana" w:eastAsia="Calibri" w:hAnsi="Verdana" w:cs="Arial"/>
          <w:bCs/>
          <w:color w:val="000000" w:themeColor="text1"/>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1DCA417D" w14:textId="77777777" w:rsidR="00767A50" w:rsidRPr="00767A50" w:rsidRDefault="00767A50" w:rsidP="00767A50">
      <w:pPr>
        <w:snapToGrid w:val="0"/>
        <w:spacing w:after="120" w:line="276" w:lineRule="auto"/>
        <w:ind w:firstLine="709"/>
        <w:jc w:val="both"/>
        <w:rPr>
          <w:rFonts w:ascii="Verdana" w:eastAsia="Calibri" w:hAnsi="Verdana" w:cs="Arial"/>
          <w:bCs/>
          <w:color w:val="000000" w:themeColor="text1"/>
          <w:lang w:eastAsia="es-ES_tradnl" w:bidi="es-ES"/>
        </w:rPr>
      </w:pPr>
      <w:r w:rsidRPr="00767A50">
        <w:rPr>
          <w:rFonts w:ascii="Verdana" w:eastAsia="Calibri" w:hAnsi="Verdana" w:cs="Arial"/>
          <w:bCs/>
          <w:color w:val="000000" w:themeColor="text1"/>
          <w:lang w:eastAsia="es-ES_tradnl" w:bidi="es-ES"/>
        </w:rPr>
        <w:t xml:space="preserve">Bajo estas consideraciones, </w:t>
      </w:r>
      <w:r w:rsidRPr="00767A50">
        <w:rPr>
          <w:rFonts w:ascii="Verdana" w:eastAsia="Calibri" w:hAnsi="Verdana" w:cs="Arial"/>
          <w:color w:val="000000" w:themeColor="text1"/>
          <w:lang w:val="es-ES"/>
        </w:rPr>
        <w:t>puede afirmarse</w:t>
      </w:r>
      <w:r w:rsidRPr="00767A50">
        <w:rPr>
          <w:rFonts w:ascii="Verdana" w:eastAsia="Calibri" w:hAnsi="Verdana" w:cs="Arial"/>
          <w:bCs/>
          <w:color w:val="000000" w:themeColor="text1"/>
          <w:lang w:eastAsia="es-ES_tradnl" w:bidi="es-ES"/>
        </w:rPr>
        <w:t xml:space="preserve"> </w:t>
      </w:r>
      <w:r w:rsidRPr="00767A50">
        <w:rPr>
          <w:rFonts w:ascii="Verdana" w:eastAsia="Times New Roman" w:hAnsi="Verdana" w:cs="Arial"/>
          <w:lang w:val="es-ES" w:eastAsia="es-ES_tradnl"/>
        </w:rPr>
        <w:t xml:space="preserve">que los convenios interadministrativos no pueden ser sinalagmáticos, debido a que en ellos no se involucran intereses contrapuestos, sino un interés común. Esto implica que, en </w:t>
      </w:r>
      <w:r w:rsidRPr="00767A50">
        <w:rPr>
          <w:rFonts w:ascii="Verdana" w:eastAsia="Times New Roman" w:hAnsi="Verdana" w:cs="Arial"/>
          <w:lang w:val="es-ES" w:eastAsia="es-ES_tradnl"/>
        </w:rPr>
        <w:lastRenderedPageBreak/>
        <w:t xml:space="preserve">los eventos en que su celebración comporte el compromiso y la ejecución de recursos públicos, el valor de estos no puede destinarse al pago o remuneración 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 </w:t>
      </w:r>
    </w:p>
    <w:p w14:paraId="733F08E3" w14:textId="77777777" w:rsidR="00767A50" w:rsidRPr="00767A50" w:rsidRDefault="00767A50" w:rsidP="00767A50">
      <w:pPr>
        <w:spacing w:after="120" w:line="276" w:lineRule="auto"/>
        <w:ind w:firstLine="709"/>
        <w:jc w:val="both"/>
        <w:rPr>
          <w:rFonts w:ascii="Verdana" w:eastAsia="Times New Roman" w:hAnsi="Verdana" w:cs="Arial"/>
          <w:szCs w:val="24"/>
          <w:lang w:eastAsia="es-ES_tradnl"/>
        </w:rPr>
      </w:pPr>
      <w:r w:rsidRPr="00767A50">
        <w:rPr>
          <w:rFonts w:ascii="Verdana" w:eastAsia="Times New Roman" w:hAnsi="Verdana" w:cs="Arial"/>
          <w:szCs w:val="24"/>
          <w:lang w:eastAsia="es-ES_tradnl"/>
        </w:rPr>
        <w:t>Así, tal y como se ha expuesto en líneas anteriores, en atención a su naturaleza particular,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r w:rsidRPr="00767A50">
        <w:rPr>
          <w:rFonts w:ascii="Verdana" w:eastAsia="Times New Roman" w:hAnsi="Verdana" w:cs="Arial"/>
          <w:lang w:val="es-ES" w:eastAsia="es-ES_tradnl"/>
        </w:rPr>
        <w:t xml:space="preserve"> </w:t>
      </w:r>
    </w:p>
    <w:p w14:paraId="5444DA4F" w14:textId="77777777" w:rsidR="00767A50" w:rsidRPr="00767A50" w:rsidRDefault="00767A50" w:rsidP="00767A50">
      <w:pPr>
        <w:spacing w:after="120" w:line="276" w:lineRule="auto"/>
        <w:ind w:firstLine="709"/>
        <w:jc w:val="both"/>
        <w:rPr>
          <w:rFonts w:ascii="Verdana" w:eastAsia="Times New Roman" w:hAnsi="Verdana" w:cs="Arial"/>
          <w:lang w:eastAsia="es-ES_tradnl"/>
        </w:rPr>
      </w:pPr>
      <w:r w:rsidRPr="00767A50">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767A50">
        <w:rPr>
          <w:rFonts w:ascii="Verdana" w:eastAsia="Times New Roman" w:hAnsi="Verdana" w:cs="Arial"/>
          <w:lang w:eastAsia="es-ES_tradnl"/>
        </w:rPr>
        <w:t>afectar sus respectivos presupuestos y ejecutar recursos públicos. Recuérdese que ese contenido económico, incluso, puede estar presente de forma implícita en el caso de las obligaciones de hacer</w:t>
      </w:r>
      <w:r w:rsidRPr="00767A50">
        <w:rPr>
          <w:rFonts w:ascii="Verdana" w:eastAsia="Calibri" w:hAnsi="Verdana" w:cs="Arial"/>
          <w:vertAlign w:val="superscript"/>
          <w:lang w:val="es-ES_tradnl"/>
        </w:rPr>
        <w:footnoteReference w:id="13"/>
      </w:r>
      <w:r w:rsidRPr="00767A50">
        <w:rPr>
          <w:rFonts w:ascii="Verdana" w:eastAsia="Times New Roman" w:hAnsi="Verdana" w:cs="Arial"/>
          <w:lang w:eastAsia="es-ES_tradnl"/>
        </w:rPr>
        <w:t xml:space="preserve">. </w:t>
      </w:r>
    </w:p>
    <w:p w14:paraId="7077EDA0" w14:textId="77777777" w:rsidR="00767A50" w:rsidRPr="00767A50" w:rsidRDefault="00767A50" w:rsidP="00767A50">
      <w:pPr>
        <w:spacing w:after="120" w:line="276" w:lineRule="auto"/>
        <w:ind w:firstLine="709"/>
        <w:jc w:val="both"/>
        <w:rPr>
          <w:rFonts w:ascii="Verdana" w:eastAsia="Times New Roman" w:hAnsi="Verdana" w:cs="Arial"/>
          <w:lang w:eastAsia="es-ES_tradnl"/>
        </w:rPr>
      </w:pPr>
      <w:r w:rsidRPr="00767A50">
        <w:rPr>
          <w:rFonts w:ascii="Verdana" w:eastAsia="Times New Roman" w:hAnsi="Verdana" w:cs="Arial"/>
          <w:lang w:eastAsia="es-ES_tradnl"/>
        </w:rPr>
        <w:t xml:space="preserve">Sobre este aspecto, la Sala de Consulta y Servicio Civil del Consejo de Estado, resaltó la posibilidad de asunción de aportes económicos en el marco de un convenio interadministrativo, en el cual se pueden determinar costos y gastos para el cumplimiento de sus objetivos: </w:t>
      </w:r>
    </w:p>
    <w:p w14:paraId="43E406AA" w14:textId="77777777" w:rsidR="00767A50" w:rsidRPr="00767A50" w:rsidRDefault="00767A50" w:rsidP="00767A50">
      <w:pPr>
        <w:spacing w:after="0" w:line="276" w:lineRule="auto"/>
        <w:ind w:firstLine="709"/>
        <w:jc w:val="both"/>
        <w:rPr>
          <w:rFonts w:ascii="Verdana" w:eastAsia="Times New Roman" w:hAnsi="Verdana" w:cs="Arial"/>
          <w:lang w:eastAsia="es-ES_tradnl"/>
        </w:rPr>
      </w:pPr>
    </w:p>
    <w:p w14:paraId="1DE08532" w14:textId="77777777" w:rsidR="00767A50" w:rsidRPr="00767A50" w:rsidRDefault="00767A50" w:rsidP="00767A50">
      <w:pPr>
        <w:spacing w:after="0" w:line="240" w:lineRule="auto"/>
        <w:ind w:left="709" w:right="714"/>
        <w:jc w:val="both"/>
        <w:rPr>
          <w:rFonts w:ascii="Verdana" w:eastAsia="Calibri" w:hAnsi="Verdana" w:cs="Arial"/>
          <w:bCs/>
          <w:iCs/>
          <w:sz w:val="20"/>
          <w:szCs w:val="20"/>
        </w:rPr>
      </w:pPr>
      <w:r w:rsidRPr="00767A50">
        <w:rPr>
          <w:rFonts w:ascii="Verdana" w:eastAsia="Calibri" w:hAnsi="Verdana" w:cs="Arial"/>
          <w:iCs/>
          <w:sz w:val="20"/>
          <w:szCs w:val="20"/>
        </w:rPr>
        <w:t>“</w:t>
      </w:r>
      <w:r w:rsidRPr="00767A50">
        <w:rPr>
          <w:rFonts w:ascii="Verdana" w:eastAsia="Calibri" w:hAnsi="Verdana" w:cs="Arial"/>
          <w:i/>
          <w:sz w:val="20"/>
          <w:szCs w:val="20"/>
        </w:rPr>
        <w:t>Lógicamente,</w:t>
      </w:r>
      <w:r w:rsidRPr="00767A50">
        <w:rPr>
          <w:rFonts w:ascii="Verdana" w:eastAsia="Calibri" w:hAnsi="Verdana" w:cs="Arial"/>
          <w:b/>
          <w:i/>
          <w:sz w:val="20"/>
          <w:szCs w:val="20"/>
        </w:rPr>
        <w:t xml:space="preserve"> </w:t>
      </w:r>
      <w:r w:rsidRPr="00767A50">
        <w:rPr>
          <w:rFonts w:ascii="Verdana" w:eastAsia="Calibri" w:hAnsi="Verdana" w:cs="Arial"/>
          <w:bCs/>
          <w:i/>
          <w:sz w:val="20"/>
          <w:szCs w:val="20"/>
        </w:rPr>
        <w:t>en los convenios interadministrativos propiamente dichos, es posible,</w:t>
      </w:r>
      <w:r w:rsidRPr="00767A50">
        <w:rPr>
          <w:rFonts w:ascii="Verdana" w:eastAsia="Calibri" w:hAnsi="Verdana" w:cs="Arial"/>
          <w:bCs/>
          <w:iCs/>
          <w:sz w:val="20"/>
          <w:szCs w:val="20"/>
        </w:rPr>
        <w:t xml:space="preserve"> </w:t>
      </w:r>
      <w:r w:rsidRPr="00767A50">
        <w:rPr>
          <w:rFonts w:ascii="Verdana" w:eastAsia="Calibri" w:hAnsi="Verdana" w:cs="Arial"/>
          <w:bCs/>
          <w:i/>
          <w:sz w:val="20"/>
          <w:szCs w:val="20"/>
        </w:rPr>
        <w:t>que cada entidad incurra en costos y gastos y en ejecución de su propio presupuesto para cumplir sus funciones y los compromisos adquiridos para con la otra</w:t>
      </w:r>
      <w:r w:rsidRPr="00767A50">
        <w:rPr>
          <w:rFonts w:ascii="Verdana" w:eastAsia="Calibri" w:hAnsi="Verdana" w:cs="Arial"/>
          <w:bCs/>
          <w:iCs/>
          <w:sz w:val="20"/>
          <w:szCs w:val="20"/>
        </w:rPr>
        <w:t xml:space="preserve">, razón por la cual bien pueden comprender la asunción de aportes económicos o financieros, pero sin que su objeto esencial lo constituyan prestaciones propias de los contratos </w:t>
      </w:r>
      <w:r w:rsidRPr="00767A50">
        <w:rPr>
          <w:rFonts w:ascii="Verdana" w:eastAsia="Calibri" w:hAnsi="Verdana" w:cs="Arial"/>
          <w:bCs/>
          <w:iCs/>
          <w:sz w:val="20"/>
          <w:szCs w:val="20"/>
        </w:rPr>
        <w:lastRenderedPageBreak/>
        <w:t>interadministrativos, o el pago de un precio o una remuneración por un servicio prestado o por un bien adquirido o por una obra realizada por una a favor de la otra, pues en tales eventos se estará en presencia de verdaderos contratos”</w:t>
      </w:r>
      <w:r w:rsidRPr="00767A50">
        <w:rPr>
          <w:rFonts w:ascii="Verdana" w:eastAsia="Calibri" w:hAnsi="Verdana" w:cs="Arial"/>
          <w:bCs/>
          <w:iCs/>
          <w:sz w:val="20"/>
          <w:szCs w:val="20"/>
          <w:vertAlign w:val="superscript"/>
        </w:rPr>
        <w:footnoteReference w:id="14"/>
      </w:r>
      <w:r w:rsidRPr="00767A50">
        <w:rPr>
          <w:rFonts w:ascii="Verdana" w:eastAsia="Calibri" w:hAnsi="Verdana" w:cs="Arial"/>
          <w:bCs/>
          <w:iCs/>
          <w:sz w:val="20"/>
          <w:szCs w:val="20"/>
        </w:rPr>
        <w:t>. [Énfasis por fuera de texto]</w:t>
      </w:r>
    </w:p>
    <w:p w14:paraId="4962960C" w14:textId="77777777" w:rsidR="00767A50" w:rsidRPr="00767A50" w:rsidRDefault="00767A50" w:rsidP="00767A50">
      <w:pPr>
        <w:spacing w:after="0" w:line="240" w:lineRule="auto"/>
        <w:ind w:left="709" w:right="714"/>
        <w:jc w:val="both"/>
        <w:rPr>
          <w:rFonts w:ascii="Verdana" w:eastAsia="Calibri" w:hAnsi="Verdana" w:cs="Arial"/>
          <w:iCs/>
          <w:sz w:val="18"/>
          <w:szCs w:val="18"/>
        </w:rPr>
      </w:pPr>
    </w:p>
    <w:p w14:paraId="66231DC1" w14:textId="77777777" w:rsidR="00767A50" w:rsidRPr="00767A50" w:rsidRDefault="00767A50" w:rsidP="00767A50">
      <w:pPr>
        <w:spacing w:after="120" w:line="276" w:lineRule="auto"/>
        <w:ind w:firstLine="709"/>
        <w:jc w:val="both"/>
        <w:rPr>
          <w:rFonts w:ascii="Verdana" w:eastAsia="Times New Roman" w:hAnsi="Verdana" w:cs="Arial"/>
          <w:lang w:eastAsia="es-ES_tradnl"/>
        </w:rPr>
      </w:pPr>
      <w:r w:rsidRPr="00767A50">
        <w:rPr>
          <w:rFonts w:ascii="Verdana" w:eastAsia="Times New Roman" w:hAnsi="Verdana" w:cs="Arial"/>
          <w:lang w:eastAsia="es-ES_tradnl"/>
        </w:rPr>
        <w:t xml:space="preserve">En reciente pronunciamiento, la Sala de lo Contencioso Administrativo, Sección Tercera del Consejo de Estado reiteró que si bien en el marco de los convenios interadministrativos no se generar relaciones conmutativas sinalagmáticas en la medida que no se obligan a dar o a hacer algo a cambio de una prestación equivalente o remuneración, no significa que no se pueden realizar aportes de naturaleza técnica, administrativa, financiera o económica para ejecutar el objetivo común: </w:t>
      </w:r>
    </w:p>
    <w:p w14:paraId="6C395552" w14:textId="77777777" w:rsidR="00767A50" w:rsidRPr="00767A50" w:rsidRDefault="00767A50" w:rsidP="00767A50">
      <w:pPr>
        <w:spacing w:after="0" w:line="276" w:lineRule="auto"/>
        <w:ind w:firstLine="709"/>
        <w:jc w:val="both"/>
        <w:rPr>
          <w:rFonts w:ascii="Verdana" w:eastAsia="Times New Roman" w:hAnsi="Verdana" w:cs="Arial"/>
          <w:lang w:eastAsia="es-ES_tradnl"/>
        </w:rPr>
      </w:pPr>
    </w:p>
    <w:p w14:paraId="6E8B0D51" w14:textId="77777777" w:rsidR="00767A50" w:rsidRPr="00767A50" w:rsidRDefault="00767A50" w:rsidP="00767A50">
      <w:pPr>
        <w:spacing w:after="0" w:line="240" w:lineRule="auto"/>
        <w:ind w:left="709" w:right="714"/>
        <w:jc w:val="both"/>
        <w:rPr>
          <w:rFonts w:ascii="Verdana" w:eastAsia="Calibri" w:hAnsi="Verdana" w:cs="Arial"/>
          <w:bCs/>
          <w:iCs/>
          <w:sz w:val="20"/>
          <w:szCs w:val="20"/>
        </w:rPr>
      </w:pPr>
      <w:r w:rsidRPr="00767A50">
        <w:rPr>
          <w:rFonts w:ascii="Verdana" w:eastAsia="Calibri" w:hAnsi="Verdana" w:cs="Arial"/>
          <w:iCs/>
          <w:sz w:val="20"/>
          <w:szCs w:val="20"/>
        </w:rPr>
        <w:t xml:space="preserve">“Lo anterior no significa que en el marco de los convenios </w:t>
      </w:r>
      <w:r w:rsidRPr="00767A50">
        <w:rPr>
          <w:rFonts w:ascii="Verdana" w:eastAsia="Calibri" w:hAnsi="Verdana" w:cs="Arial"/>
          <w:i/>
          <w:sz w:val="20"/>
          <w:szCs w:val="20"/>
        </w:rPr>
        <w:t>interadministrativos las partes no puedan asumir obligaciones de tipo económico, en tanto, desde el ámbito que corresponde a sus competencias, pueden contribuir a la realización del objetivo común a través de aportes de naturaleza técnica, administrativa, financiera o económica</w:t>
      </w:r>
      <w:r w:rsidRPr="00767A50">
        <w:rPr>
          <w:rFonts w:ascii="Verdana" w:eastAsia="Calibri" w:hAnsi="Verdana" w:cs="Arial"/>
          <w:iCs/>
          <w:sz w:val="20"/>
          <w:szCs w:val="20"/>
        </w:rPr>
        <w:t>. Es por esto que un aporte económico no puede entenderse ni aplicarse a la relación negocial como una retribución por contraprestación de la otra parte, o por el desempeño de las funciones administrativas o técnicas que otro contrayente, en el ámbito de sus competencias, se obliga a ejecutar, pues de ser ello así, se desnaturalizaría la principal y más esencial característica de este tipo de negocios, la cual está dada por la conjunción de esfuerzos para el logro de una finalidad común a todos los intervinientes”</w:t>
      </w:r>
      <w:r w:rsidRPr="00767A50">
        <w:rPr>
          <w:rFonts w:ascii="Verdana" w:eastAsia="Calibri" w:hAnsi="Verdana" w:cs="Arial"/>
          <w:iCs/>
          <w:sz w:val="20"/>
          <w:szCs w:val="20"/>
          <w:vertAlign w:val="superscript"/>
        </w:rPr>
        <w:footnoteReference w:id="15"/>
      </w:r>
      <w:r w:rsidRPr="00767A50">
        <w:rPr>
          <w:rFonts w:ascii="Verdana" w:eastAsia="Calibri" w:hAnsi="Verdana" w:cs="Arial"/>
          <w:iCs/>
          <w:sz w:val="20"/>
          <w:szCs w:val="20"/>
        </w:rPr>
        <w:t>.</w:t>
      </w:r>
      <w:r w:rsidRPr="00767A50">
        <w:rPr>
          <w:rFonts w:ascii="Verdana" w:eastAsia="Geomanist Light" w:hAnsi="Verdana" w:cs="Arial"/>
          <w:color w:val="201F1E"/>
        </w:rPr>
        <w:t xml:space="preserve"> </w:t>
      </w:r>
      <w:r w:rsidRPr="00767A50">
        <w:rPr>
          <w:rFonts w:ascii="Verdana" w:eastAsia="Calibri" w:hAnsi="Verdana" w:cs="Arial"/>
          <w:bCs/>
          <w:iCs/>
          <w:sz w:val="20"/>
          <w:szCs w:val="20"/>
        </w:rPr>
        <w:t>[Énfasis por fuera de texto]</w:t>
      </w:r>
    </w:p>
    <w:p w14:paraId="678AD73B" w14:textId="77777777" w:rsidR="00767A50" w:rsidRPr="00767A50" w:rsidRDefault="00767A50" w:rsidP="00767A50">
      <w:pPr>
        <w:spacing w:after="0" w:line="276" w:lineRule="auto"/>
        <w:ind w:right="714"/>
        <w:jc w:val="both"/>
        <w:rPr>
          <w:rFonts w:ascii="Verdana" w:eastAsia="Calibri" w:hAnsi="Verdana" w:cs="Arial"/>
          <w:iCs/>
          <w:sz w:val="20"/>
          <w:szCs w:val="20"/>
        </w:rPr>
      </w:pPr>
    </w:p>
    <w:p w14:paraId="546FE78C" w14:textId="77777777" w:rsidR="00767A50" w:rsidRPr="00767A50" w:rsidRDefault="00767A50" w:rsidP="00767A50">
      <w:pPr>
        <w:spacing w:after="120" w:line="276" w:lineRule="auto"/>
        <w:ind w:firstLine="709"/>
        <w:jc w:val="both"/>
        <w:rPr>
          <w:rFonts w:ascii="Verdana" w:eastAsia="Times New Roman" w:hAnsi="Verdana" w:cs="Arial"/>
          <w:lang w:eastAsia="es-ES_tradnl"/>
        </w:rPr>
      </w:pPr>
      <w:r w:rsidRPr="00767A50">
        <w:rPr>
          <w:rFonts w:ascii="Verdana" w:eastAsia="Times New Roman" w:hAnsi="Verdana" w:cs="Arial"/>
          <w:lang w:eastAsia="es-ES_tradnl"/>
        </w:rPr>
        <w:t xml:space="preserve">De esta manera, </w:t>
      </w:r>
      <w:r w:rsidRPr="00767A50">
        <w:rPr>
          <w:rFonts w:ascii="Verdana" w:eastAsia="Calibri" w:hAnsi="Verdana" w:cs="Arial"/>
          <w:bCs/>
          <w:iCs/>
        </w:rPr>
        <w:t xml:space="preserve">es posible y lógico que para efectos de la ejecución del convenio interadministrativo las entidades públicas incurran en costos y gastos administrativos lo que se puede reflejar en los respectivos </w:t>
      </w:r>
      <w:r w:rsidRPr="00767A50">
        <w:rPr>
          <w:rFonts w:ascii="Verdana" w:eastAsia="Times New Roman" w:hAnsi="Verdana" w:cs="Arial"/>
          <w:lang w:eastAsia="es-ES_tradnl"/>
        </w:rPr>
        <w:t>aportes de naturaleza técnica, administrativa, financiera o económica, sin que ello signifique el pago de un precio o una remuneración por servicio prestado o bien adquirido. Estos costos o gastos de administración pueden incluirse válidamente</w:t>
      </w:r>
      <w:r w:rsidRPr="00767A50">
        <w:rPr>
          <w:rFonts w:ascii="Verdana" w:eastAsia="Times New Roman" w:hAnsi="Verdana" w:cs="Arial"/>
          <w:b/>
          <w:bCs/>
          <w:lang w:eastAsia="es-ES_tradnl"/>
        </w:rPr>
        <w:t xml:space="preserve"> </w:t>
      </w:r>
      <w:r w:rsidRPr="00767A50">
        <w:rPr>
          <w:rFonts w:ascii="Verdana" w:eastAsia="Times New Roman" w:hAnsi="Verdana" w:cs="Arial"/>
          <w:lang w:eastAsia="es-ES_tradnl"/>
        </w:rPr>
        <w:t xml:space="preserve">siempre que se justifique técnica y financieramente que son necesarios y razonables para el desarrollo del objeto convenido y que se trate de aspectos operativos, logísticos o de administración </w:t>
      </w:r>
      <w:r w:rsidRPr="00767A50">
        <w:rPr>
          <w:rFonts w:ascii="Verdana" w:eastAsia="Calibri" w:hAnsi="Verdana" w:cs="Arial"/>
          <w:bCs/>
          <w:iCs/>
        </w:rPr>
        <w:t xml:space="preserve">que permitan cumplir los compromisos adquiridos en el </w:t>
      </w:r>
      <w:r w:rsidRPr="00767A50">
        <w:rPr>
          <w:rFonts w:ascii="Verdana" w:eastAsia="Calibri" w:hAnsi="Verdana" w:cs="Arial"/>
          <w:bCs/>
          <w:iCs/>
        </w:rPr>
        <w:lastRenderedPageBreak/>
        <w:t>marco del convenio</w:t>
      </w:r>
      <w:r w:rsidRPr="00767A50">
        <w:rPr>
          <w:rFonts w:ascii="Verdana" w:eastAsia="Times New Roman" w:hAnsi="Verdana" w:cs="Arial"/>
          <w:lang w:eastAsia="es-ES_tradnl"/>
        </w:rPr>
        <w:t xml:space="preserve"> y que, por tanto, no representan una utilidad o una contraprestación en favor de una de las partes. </w:t>
      </w:r>
    </w:p>
    <w:p w14:paraId="6412BC06" w14:textId="77777777" w:rsidR="00767A50" w:rsidRPr="00767A50" w:rsidRDefault="00767A50" w:rsidP="00767A50">
      <w:pPr>
        <w:spacing w:after="120" w:line="276" w:lineRule="auto"/>
        <w:ind w:firstLine="708"/>
        <w:jc w:val="both"/>
        <w:rPr>
          <w:rFonts w:ascii="Verdana" w:eastAsia="Times New Roman" w:hAnsi="Verdana" w:cs="Arial"/>
          <w:lang w:eastAsia="es-ES_tradnl"/>
        </w:rPr>
      </w:pPr>
      <w:r w:rsidRPr="00767A50">
        <w:rPr>
          <w:rFonts w:ascii="Verdana" w:eastAsia="Times New Roman" w:hAnsi="Verdana" w:cs="Arial"/>
          <w:lang w:eastAsia="es-ES_tradnl"/>
        </w:rPr>
        <w:t xml:space="preserve">En este sentido, se precisa que la posibilidad de que un convenio interadministrativo incluya compromisos con contenido económico no puede ir en contravía de su naturaleza y finalidad, ni mucho menos desconocer los elementos esenciales de este tipo negocial que se desprenden del artículo 95 de la Ley 489 de 1998. Por ende, la determinación de estos costos o gastos administrativos no pueden ocultar una remuneración verdadera o una utilidad en favor de alguna de las entidades que concurre a su suscripción, así como tampoco pueden emplearse para aspectos distintos del cumplimiento de los compromisos asumidos, pues no se trataría de un convenio sino que su connotación transmutaría a un contrato interadministrativo. </w:t>
      </w:r>
    </w:p>
    <w:p w14:paraId="3DC42E09" w14:textId="77777777" w:rsidR="00767A50" w:rsidRPr="00767A50" w:rsidRDefault="00767A50" w:rsidP="00767A50">
      <w:pPr>
        <w:spacing w:after="120" w:line="276" w:lineRule="auto"/>
        <w:ind w:firstLine="708"/>
        <w:jc w:val="both"/>
        <w:rPr>
          <w:rFonts w:ascii="Verdana" w:eastAsia="Times New Roman" w:hAnsi="Verdana" w:cs="Arial"/>
          <w:iCs/>
          <w:lang w:eastAsia="es-ES_tradnl"/>
        </w:rPr>
      </w:pPr>
      <w:r w:rsidRPr="00767A50">
        <w:rPr>
          <w:rFonts w:ascii="Verdana" w:eastAsia="Times New Roman" w:hAnsi="Verdana" w:cs="Arial"/>
          <w:iCs/>
          <w:lang w:eastAsia="es-ES_tradnl"/>
        </w:rPr>
        <w:t>Esta claridad resulta importante para efectos de la consulta planteada ya que, 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2A26F2C7" w14:textId="77777777" w:rsidR="00767A50" w:rsidRPr="00767A50" w:rsidRDefault="00767A50" w:rsidP="00767A50">
      <w:pPr>
        <w:spacing w:after="120" w:line="276" w:lineRule="auto"/>
        <w:ind w:firstLine="708"/>
        <w:jc w:val="both"/>
        <w:rPr>
          <w:rFonts w:ascii="Verdana" w:eastAsia="Times New Roman" w:hAnsi="Verdana" w:cs="Arial"/>
          <w:iCs/>
          <w:lang w:eastAsia="es-ES_tradnl"/>
        </w:rPr>
      </w:pPr>
      <w:r w:rsidRPr="00767A50">
        <w:rPr>
          <w:rFonts w:ascii="Verdana" w:eastAsia="Times New Roman" w:hAnsi="Verdana" w:cs="Arial"/>
          <w:iCs/>
          <w:lang w:eastAsia="es-ES_tradnl"/>
        </w:rPr>
        <w:t>Lo anterior reviste especial importancia, ya que, como se explicó, la naturaleza del negocio jurídico determina el régimen jurídico aplicable, así como la procedencia y el alcance de determinadas figuras contractuales. En este 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de cada convenio interadministrativo celebrado, por lo que no es posible establecer conclusiones de manera automática o anticipada con la simple denominación que las partes le asignen.</w:t>
      </w:r>
    </w:p>
    <w:p w14:paraId="333C7829" w14:textId="77777777" w:rsidR="00767A50" w:rsidRPr="00767A50" w:rsidRDefault="00767A50" w:rsidP="00767A50">
      <w:pPr>
        <w:spacing w:after="120" w:line="276" w:lineRule="auto"/>
        <w:ind w:firstLine="709"/>
        <w:jc w:val="both"/>
        <w:rPr>
          <w:rFonts w:ascii="Verdana" w:eastAsia="Times New Roman" w:hAnsi="Verdana" w:cs="Arial"/>
          <w:iCs/>
          <w:lang w:eastAsia="es-ES_tradnl"/>
        </w:rPr>
      </w:pPr>
      <w:r w:rsidRPr="00767A50">
        <w:rPr>
          <w:rFonts w:ascii="Verdana" w:eastAsia="Times New Roman" w:hAnsi="Verdana" w:cs="Arial"/>
          <w:iCs/>
          <w:lang w:eastAsia="es-ES_tradnl"/>
        </w:rPr>
        <w:lastRenderedPageBreak/>
        <w:t>En este marco, también resulta pertinente resaltar que la determinación de los costos administrativos asociados a la ejecución del convenio o contrato interadministrativo debe realizarse con fundamento en las condiciones del mercado y guardar una relación directa y razonable con las obligaciones, y actividades la entidad ejecutora. En ese sentido, dichos costos deben encontrarse debidamente soportados y justificados, de manera que respondan a los costos reales y eficientes que demanda la ejecución del objeto contractual, y no constituyan un margen adicional carente de justificación económica.</w:t>
      </w:r>
    </w:p>
    <w:p w14:paraId="31DA9BC1" w14:textId="77777777" w:rsidR="00767A50" w:rsidRPr="00767A50" w:rsidRDefault="00767A50" w:rsidP="00767A50">
      <w:pPr>
        <w:spacing w:after="120" w:line="276" w:lineRule="auto"/>
        <w:ind w:firstLine="709"/>
        <w:jc w:val="both"/>
        <w:rPr>
          <w:rFonts w:ascii="Verdana" w:eastAsia="Times New Roman" w:hAnsi="Verdana" w:cs="Arial"/>
          <w:iCs/>
          <w:lang w:eastAsia="es-ES_tradnl"/>
        </w:rPr>
      </w:pPr>
      <w:r w:rsidRPr="00767A50">
        <w:rPr>
          <w:rFonts w:ascii="Verdana" w:eastAsia="Times New Roman" w:hAnsi="Verdana" w:cs="Arial"/>
          <w:iCs/>
          <w:lang w:eastAsia="es-ES_tradnl"/>
        </w:rPr>
        <w:t>Así, dentro del análisis que sustenta la contratación, resulta necesario que la entidad valore las razones por las cuales la contratación interadministrativa constituye una alternativa más eficiente frente a las demás modalidades de selección que, en principio, podrían resultar aplicables. Esta valoración no debe limitarse al valor del convenio o contrato sino considerar integralmente factores como los tiempos de contratación, la capacidad técnica y operativa, los costos de administración, los riesgos y, en general, las condiciones de eficiencia en la ejecución del objeto. Por tanto, la contratación interadministrativa debe encontrarse sustentada en razones objetivas que permitan concluir que los costos administrativos reconocidos son razonables frente a las condiciones del mercado y que acudir a esta modalidad resulta la más conveniente para la satisfacción de la necesidad pública.</w:t>
      </w:r>
    </w:p>
    <w:p w14:paraId="2A96134E" w14:textId="77777777" w:rsidR="00767A50" w:rsidRPr="00767A50" w:rsidRDefault="00767A50" w:rsidP="00767A50">
      <w:pPr>
        <w:spacing w:after="120" w:line="276" w:lineRule="auto"/>
        <w:ind w:firstLine="709"/>
        <w:jc w:val="both"/>
        <w:rPr>
          <w:rFonts w:ascii="Verdana" w:eastAsia="Times New Roman" w:hAnsi="Verdana" w:cs="Arial"/>
          <w:iCs/>
          <w:lang w:eastAsia="es-ES_tradnl"/>
        </w:rPr>
      </w:pPr>
      <w:r w:rsidRPr="00767A50">
        <w:rPr>
          <w:rFonts w:ascii="Verdana" w:eastAsia="Times New Roman" w:hAnsi="Verdana" w:cs="Arial"/>
          <w:iCs/>
          <w:lang w:eastAsia="es-ES_tradnl"/>
        </w:rPr>
        <w:t>En consecuencia, no sería admisible que los costos administrativos pactados conduzcan a que la entidad asuma un valor superior al que razonablemente habría tenido que pagar si hubiera acudido a un procedimiento de selección competitivo, sin que exista una razón objetiva que explique dicha diferencia. El análisis debe permitir establecer que la alternativa interadministrativa ofrece una relación adecuada entre costo, tiempo, capacidad y eficiencia, garantizando que los recursos públicos se administren bajo criterios de economía, planeación y adecuada relación costo y beneficio.</w:t>
      </w:r>
    </w:p>
    <w:p w14:paraId="5A6F6928" w14:textId="77777777" w:rsidR="00767A50" w:rsidRPr="00767A50" w:rsidRDefault="00767A50" w:rsidP="00767A50">
      <w:pPr>
        <w:widowControl w:val="0"/>
        <w:autoSpaceDE w:val="0"/>
        <w:autoSpaceDN w:val="0"/>
        <w:spacing w:after="120" w:line="276" w:lineRule="auto"/>
        <w:ind w:firstLine="708"/>
        <w:jc w:val="both"/>
        <w:rPr>
          <w:rFonts w:ascii="Verdana" w:eastAsia="Calibri" w:hAnsi="Verdana" w:cs="Arial"/>
        </w:rPr>
      </w:pPr>
      <w:r w:rsidRPr="00767A50">
        <w:rPr>
          <w:rFonts w:ascii="Verdana" w:eastAsia="Calibri" w:hAnsi="Verdana" w:cs="Arial"/>
        </w:rPr>
        <w:t>Sin perjuicio de lo anterior,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F220ADB" w14:textId="77777777" w:rsidR="00767A50" w:rsidRPr="00767A50" w:rsidRDefault="00767A50" w:rsidP="00767A50">
      <w:pPr>
        <w:widowControl w:val="0"/>
        <w:autoSpaceDE w:val="0"/>
        <w:autoSpaceDN w:val="0"/>
        <w:spacing w:after="0" w:line="276" w:lineRule="auto"/>
        <w:ind w:firstLine="709"/>
        <w:jc w:val="both"/>
        <w:rPr>
          <w:rFonts w:ascii="Verdana" w:eastAsia="Times New Roman" w:hAnsi="Verdana" w:cs="Arial"/>
          <w:iCs/>
          <w:lang w:eastAsia="es-ES_tradnl"/>
        </w:rPr>
      </w:pPr>
      <w:r w:rsidRPr="00767A50">
        <w:rPr>
          <w:rFonts w:ascii="Verdana" w:eastAsia="Calibri" w:hAnsi="Verdana" w:cs="Arial"/>
        </w:rPr>
        <w:t xml:space="preserve">Dentro de este marco, la entidad contratante definirá en cada caso concreto lo relacionado con el tema objeto de consulta. Al tratarse de un análisis </w:t>
      </w:r>
      <w:r w:rsidRPr="00767A50">
        <w:rPr>
          <w:rFonts w:ascii="Verdana" w:eastAsia="Calibri" w:hAnsi="Verdana" w:cs="Arial"/>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8075FE7" w14:textId="77777777" w:rsidR="00767A50" w:rsidRPr="00767A50" w:rsidRDefault="00767A50" w:rsidP="00767A50">
      <w:pPr>
        <w:widowControl w:val="0"/>
        <w:autoSpaceDE w:val="0"/>
        <w:autoSpaceDN w:val="0"/>
        <w:spacing w:after="0" w:line="276" w:lineRule="auto"/>
        <w:jc w:val="both"/>
        <w:rPr>
          <w:rFonts w:ascii="Verdana" w:eastAsia="Arial" w:hAnsi="Verdana" w:cs="Arial"/>
          <w:lang w:val="es-ES"/>
        </w:rPr>
      </w:pPr>
    </w:p>
    <w:p w14:paraId="2DF713EF" w14:textId="77777777" w:rsidR="00767A50" w:rsidRPr="00767A50" w:rsidRDefault="00767A50" w:rsidP="00767A50">
      <w:pPr>
        <w:numPr>
          <w:ilvl w:val="0"/>
          <w:numId w:val="16"/>
        </w:numPr>
        <w:tabs>
          <w:tab w:val="left" w:pos="142"/>
          <w:tab w:val="left" w:pos="284"/>
        </w:tabs>
        <w:spacing w:after="0" w:line="276" w:lineRule="auto"/>
        <w:jc w:val="both"/>
        <w:rPr>
          <w:rFonts w:ascii="Verdana" w:eastAsia="Century Gothic" w:hAnsi="Verdana" w:cs="Century Gothic"/>
          <w:b/>
          <w:bCs/>
        </w:rPr>
      </w:pPr>
      <w:r w:rsidRPr="00767A50">
        <w:rPr>
          <w:rFonts w:ascii="Verdana" w:eastAsia="Century Gothic" w:hAnsi="Verdana" w:cs="Century Gothic"/>
          <w:b/>
          <w:bCs/>
        </w:rPr>
        <w:t xml:space="preserve">Referencias normativas: </w:t>
      </w:r>
    </w:p>
    <w:p w14:paraId="7AC48AB1" w14:textId="77777777" w:rsidR="00767A50" w:rsidRPr="00767A50" w:rsidRDefault="00767A50" w:rsidP="00767A5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67A50" w:rsidRPr="00767A50" w14:paraId="7182CD0F" w14:textId="77777777" w:rsidTr="008C0976">
        <w:trPr>
          <w:trHeight w:val="410"/>
          <w:jc w:val="center"/>
        </w:trPr>
        <w:tc>
          <w:tcPr>
            <w:tcW w:w="8647" w:type="dxa"/>
          </w:tcPr>
          <w:p w14:paraId="6109A475" w14:textId="77777777" w:rsidR="00767A50" w:rsidRPr="00767A50" w:rsidRDefault="00767A50" w:rsidP="00767A50">
            <w:pPr>
              <w:numPr>
                <w:ilvl w:val="0"/>
                <w:numId w:val="17"/>
              </w:numPr>
              <w:spacing w:after="120" w:line="276" w:lineRule="auto"/>
              <w:ind w:left="318" w:hanging="284"/>
              <w:contextualSpacing/>
              <w:jc w:val="both"/>
              <w:rPr>
                <w:rFonts w:ascii="Verdana" w:hAnsi="Verdana" w:cs="Arial"/>
                <w:lang w:val="es-MX"/>
              </w:rPr>
            </w:pPr>
            <w:r w:rsidRPr="00767A50">
              <w:rPr>
                <w:rFonts w:ascii="Verdana" w:hAnsi="Verdana" w:cs="Arial"/>
                <w:lang w:val="es-MX"/>
              </w:rPr>
              <w:t>Constitución Política, artículo 209.</w:t>
            </w:r>
          </w:p>
          <w:p w14:paraId="49F6F598" w14:textId="77777777" w:rsidR="00767A50" w:rsidRPr="00767A50" w:rsidRDefault="00767A50" w:rsidP="00767A50">
            <w:pPr>
              <w:numPr>
                <w:ilvl w:val="0"/>
                <w:numId w:val="17"/>
              </w:numPr>
              <w:spacing w:after="120" w:line="276" w:lineRule="auto"/>
              <w:ind w:left="318" w:hanging="284"/>
              <w:contextualSpacing/>
              <w:jc w:val="both"/>
              <w:rPr>
                <w:rFonts w:ascii="Verdana" w:hAnsi="Verdana" w:cs="Arial"/>
                <w:lang w:val="es-MX"/>
              </w:rPr>
            </w:pPr>
            <w:r w:rsidRPr="00767A50">
              <w:rPr>
                <w:rFonts w:ascii="Verdana" w:hAnsi="Verdana" w:cs="Arial"/>
                <w:lang w:val="es-MX"/>
              </w:rPr>
              <w:t>Ley 489 de 1998, artículo 95.</w:t>
            </w:r>
          </w:p>
          <w:p w14:paraId="2238A0F0" w14:textId="77777777" w:rsidR="00767A50" w:rsidRPr="00767A50" w:rsidRDefault="00767A50" w:rsidP="00767A50">
            <w:pPr>
              <w:numPr>
                <w:ilvl w:val="0"/>
                <w:numId w:val="17"/>
              </w:numPr>
              <w:spacing w:after="120" w:line="276" w:lineRule="auto"/>
              <w:ind w:left="318" w:hanging="284"/>
              <w:contextualSpacing/>
              <w:jc w:val="both"/>
              <w:rPr>
                <w:rFonts w:ascii="Verdana" w:hAnsi="Verdana" w:cs="Arial"/>
                <w:lang w:val="es-MX"/>
              </w:rPr>
            </w:pPr>
            <w:r w:rsidRPr="00767A50">
              <w:rPr>
                <w:rFonts w:ascii="Verdana" w:hAnsi="Verdana" w:cs="Arial"/>
                <w:lang w:val="es-MX"/>
              </w:rPr>
              <w:t>Ley 80 de 1993, artículos 13, 32 y 40.</w:t>
            </w:r>
          </w:p>
        </w:tc>
      </w:tr>
    </w:tbl>
    <w:p w14:paraId="4201A94B" w14:textId="77777777" w:rsidR="00767A50" w:rsidRPr="00767A50" w:rsidRDefault="00767A50" w:rsidP="00767A50">
      <w:pPr>
        <w:widowControl w:val="0"/>
        <w:autoSpaceDE w:val="0"/>
        <w:autoSpaceDN w:val="0"/>
        <w:spacing w:after="0" w:line="276" w:lineRule="auto"/>
        <w:jc w:val="both"/>
        <w:rPr>
          <w:rFonts w:ascii="Verdana" w:hAnsi="Verdana" w:cs="Arial"/>
        </w:rPr>
      </w:pPr>
    </w:p>
    <w:p w14:paraId="54C86B00" w14:textId="77777777" w:rsidR="00767A50" w:rsidRPr="00767A50" w:rsidRDefault="00767A50" w:rsidP="00767A50">
      <w:pPr>
        <w:numPr>
          <w:ilvl w:val="0"/>
          <w:numId w:val="16"/>
        </w:numPr>
        <w:tabs>
          <w:tab w:val="left" w:pos="142"/>
          <w:tab w:val="left" w:pos="284"/>
        </w:tabs>
        <w:spacing w:after="0" w:line="276" w:lineRule="auto"/>
        <w:jc w:val="both"/>
        <w:rPr>
          <w:rFonts w:ascii="Verdana" w:eastAsia="Century Gothic" w:hAnsi="Verdana" w:cs="Century Gothic"/>
          <w:b/>
          <w:bCs/>
        </w:rPr>
      </w:pPr>
      <w:r w:rsidRPr="00767A50">
        <w:rPr>
          <w:rFonts w:ascii="Verdana" w:eastAsia="Century Gothic" w:hAnsi="Verdana" w:cs="Century Gothic"/>
          <w:b/>
          <w:bCs/>
        </w:rPr>
        <w:t>Doctrina de la Agencia Nacional de Contratación Pública:</w:t>
      </w:r>
    </w:p>
    <w:p w14:paraId="27BDC727" w14:textId="77777777" w:rsidR="00767A50" w:rsidRPr="00767A50" w:rsidRDefault="00767A50" w:rsidP="00767A50">
      <w:pPr>
        <w:widowControl w:val="0"/>
        <w:autoSpaceDE w:val="0"/>
        <w:autoSpaceDN w:val="0"/>
        <w:spacing w:after="0" w:line="276" w:lineRule="auto"/>
        <w:jc w:val="both"/>
        <w:rPr>
          <w:rFonts w:ascii="Verdana" w:hAnsi="Verdana" w:cs="Arial"/>
        </w:rPr>
      </w:pPr>
    </w:p>
    <w:p w14:paraId="368DE914" w14:textId="77777777" w:rsidR="00767A50" w:rsidRPr="00767A50" w:rsidRDefault="00767A50" w:rsidP="00767A50">
      <w:pPr>
        <w:widowControl w:val="0"/>
        <w:autoSpaceDE w:val="0"/>
        <w:autoSpaceDN w:val="0"/>
        <w:spacing w:after="120" w:line="276" w:lineRule="auto"/>
        <w:jc w:val="both"/>
        <w:rPr>
          <w:rFonts w:ascii="Verdana" w:hAnsi="Verdana" w:cs="Arial"/>
          <w:shd w:val="clear" w:color="auto" w:fill="FFFFFF"/>
        </w:rPr>
      </w:pPr>
      <w:r w:rsidRPr="00767A50">
        <w:rPr>
          <w:rFonts w:ascii="Verdana" w:hAnsi="Verdana" w:cs="Arial"/>
          <w:shd w:val="clear" w:color="auto" w:fill="FFFFFF"/>
        </w:rPr>
        <w:t>La Agencia Nacional de Contratación Pública -Colombia Compra Eficiente- se ha referido previamente a la noción y características de los convenios y contratos interadministrativos en los conceptos 4201913000004536 del 27 de julio del 2019, C-023 del 13 de febrero del 2020, C-220 del 13 de abril del 2020, C-681 del 19 de noviembre del 2020, C-552 del 5 de octubre del 2021, C-387 del 15 de junio de 2022, C-562 del 7 de septiembre del 2022, C-114 del 4 de mayo de 2023, C-771 del 29 de diciembre de 2022 C-490 del 23 de mayo de 2025, C-1729 del 22 de diciembre de 2025 y C-311 del 17 de marzo de 2026</w:t>
      </w:r>
      <w:r w:rsidRPr="00767A50">
        <w:rPr>
          <w:rFonts w:ascii="Verdana" w:eastAsia="Calibri" w:hAnsi="Verdana" w:cs="Arial"/>
          <w:color w:val="000000" w:themeColor="text1"/>
          <w:lang w:val="es-ES_tradnl" w:eastAsia="es-ES_tradnl"/>
        </w:rPr>
        <w:t xml:space="preserve">. </w:t>
      </w:r>
      <w:r w:rsidRPr="00767A50">
        <w:rPr>
          <w:rFonts w:ascii="Verdana" w:hAnsi="Verdana" w:cs="Arial"/>
          <w:shd w:val="clear" w:color="auto" w:fill="FFFFFF"/>
        </w:rPr>
        <w:t>Es</w:t>
      </w:r>
      <w:r w:rsidRPr="00767A50">
        <w:rPr>
          <w:rFonts w:ascii="Verdana" w:hAnsi="Verdana"/>
        </w:rPr>
        <w:t>tos conceptos se encuentran disponibles para consulta en el Sistema de relatoría de la Agencia, al cual se puede acceder a través del siguiente enlace:</w:t>
      </w:r>
      <w:r w:rsidRPr="00767A50">
        <w:rPr>
          <w:rFonts w:ascii="Verdana" w:hAnsi="Verdana" w:cs="Arial"/>
          <w:shd w:val="clear" w:color="auto" w:fill="FFFFFF"/>
        </w:rPr>
        <w:t xml:space="preserve"> </w:t>
      </w:r>
      <w:hyperlink r:id="rId12" w:history="1">
        <w:r w:rsidRPr="00767A50">
          <w:rPr>
            <w:rFonts w:ascii="Verdana" w:hAnsi="Verdana" w:cs="Arial"/>
            <w:color w:val="0563C1" w:themeColor="hyperlink"/>
            <w:u w:val="single"/>
            <w:shd w:val="clear" w:color="auto" w:fill="FFFFFF"/>
          </w:rPr>
          <w:t>https://relatoria.colombiacompra.gov.co/busqueda/conceptos</w:t>
        </w:r>
      </w:hyperlink>
      <w:r w:rsidRPr="00767A50">
        <w:rPr>
          <w:rFonts w:ascii="Verdana" w:hAnsi="Verdana" w:cs="Arial"/>
          <w:shd w:val="clear" w:color="auto" w:fill="FFFFFF"/>
        </w:rPr>
        <w:t>.</w:t>
      </w:r>
      <w:r w:rsidRPr="00767A50">
        <w:rPr>
          <w:rFonts w:ascii="Verdana" w:hAnsi="Verdana" w:cs="Arial"/>
          <w:color w:val="FF0000"/>
          <w:shd w:val="clear" w:color="auto" w:fill="FFFFFF"/>
        </w:rPr>
        <w:t xml:space="preserve"> </w:t>
      </w:r>
      <w:r w:rsidRPr="00767A50">
        <w:rPr>
          <w:rFonts w:ascii="Verdana" w:hAnsi="Verdana" w:cs="Arial"/>
          <w:color w:val="000000" w:themeColor="text1"/>
          <w:shd w:val="clear" w:color="auto" w:fill="FFFFFF"/>
        </w:rPr>
        <w:t>  </w:t>
      </w:r>
    </w:p>
    <w:p w14:paraId="7D3369CC" w14:textId="77777777" w:rsidR="00767A50" w:rsidRPr="00767A50" w:rsidRDefault="00767A50" w:rsidP="00767A50">
      <w:pPr>
        <w:widowControl w:val="0"/>
        <w:autoSpaceDE w:val="0"/>
        <w:autoSpaceDN w:val="0"/>
        <w:spacing w:after="120" w:line="276" w:lineRule="auto"/>
        <w:jc w:val="both"/>
        <w:rPr>
          <w:rFonts w:ascii="Verdana" w:hAnsi="Verdana" w:cs="Arial"/>
          <w:color w:val="000000" w:themeColor="text1"/>
          <w:shd w:val="clear" w:color="auto" w:fill="FFFFFF"/>
        </w:rPr>
      </w:pPr>
      <w:r w:rsidRPr="00767A50">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67A50">
        <w:rPr>
          <w:rFonts w:ascii="Verdana" w:eastAsia="Times New Roman" w:hAnsi="Verdana" w:cs="Times New Roman"/>
          <w:b/>
          <w:bCs/>
          <w:color w:val="000000"/>
          <w:lang w:eastAsia="es-CO"/>
        </w:rPr>
        <w:t>Guía para la Exigencia y Constitución de Garantías en los Procesos de Contratación</w:t>
      </w:r>
      <w:r w:rsidRPr="00767A50">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767A50">
          <w:rPr>
            <w:rFonts w:ascii="Verdana" w:eastAsia="Times New Roman" w:hAnsi="Verdana" w:cs="Times New Roman"/>
            <w:color w:val="0000FF"/>
            <w:u w:val="single"/>
            <w:bdr w:val="none" w:sz="0" w:space="0" w:color="auto" w:frame="1"/>
            <w:lang w:eastAsia="es-CO"/>
          </w:rPr>
          <w:t>https://www.colombiacompra.gov.co/archivos/manual/guia-de-</w:t>
        </w:r>
        <w:r w:rsidRPr="00767A50">
          <w:rPr>
            <w:rFonts w:ascii="Verdana" w:eastAsia="Times New Roman" w:hAnsi="Verdana" w:cs="Times New Roman"/>
            <w:color w:val="0000FF"/>
            <w:u w:val="single"/>
            <w:bdr w:val="none" w:sz="0" w:space="0" w:color="auto" w:frame="1"/>
            <w:lang w:eastAsia="es-CO"/>
          </w:rPr>
          <w:lastRenderedPageBreak/>
          <w:t>garantias-en-procesos-de-contratacion</w:t>
        </w:r>
      </w:hyperlink>
    </w:p>
    <w:p w14:paraId="386EA687" w14:textId="77777777" w:rsidR="00767A50" w:rsidRPr="00767A50" w:rsidRDefault="00767A50" w:rsidP="00767A50">
      <w:pPr>
        <w:shd w:val="clear" w:color="auto" w:fill="FFFFFF"/>
        <w:spacing w:after="120" w:line="276" w:lineRule="auto"/>
        <w:jc w:val="both"/>
        <w:textAlignment w:val="baseline"/>
        <w:rPr>
          <w:rFonts w:ascii="Verdana" w:eastAsia="Times New Roman" w:hAnsi="Verdana" w:cs="Times New Roman"/>
          <w:color w:val="000000"/>
          <w:lang w:eastAsia="es-CO"/>
        </w:rPr>
      </w:pPr>
      <w:r w:rsidRPr="00767A50">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767A50">
        <w:rPr>
          <w:rFonts w:ascii="Verdana" w:eastAsia="Times New Roman" w:hAnsi="Verdana" w:cs="Times New Roman"/>
          <w:b/>
          <w:bCs/>
          <w:color w:val="000000"/>
          <w:lang w:eastAsia="es-CO"/>
        </w:rPr>
        <w:t>Sistema Integral de Preferencias en favor de las personas con discapacidad</w:t>
      </w:r>
      <w:r w:rsidRPr="00767A50">
        <w:rPr>
          <w:rFonts w:ascii="Verdana" w:eastAsia="Times New Roman" w:hAnsi="Verdana" w:cs="Times New Roman"/>
          <w:color w:val="000000"/>
          <w:lang w:eastAsia="es-CO"/>
        </w:rPr>
        <w:t>, en cumplimiento del artículo 13 de la Ley Estatutaria 1618 de 2013. Para orientar su aplicación, esta Agencia expidió la </w:t>
      </w:r>
      <w:r w:rsidRPr="00767A50">
        <w:rPr>
          <w:rFonts w:ascii="Verdana" w:eastAsia="Times New Roman" w:hAnsi="Verdana" w:cs="Times New Roman"/>
          <w:b/>
          <w:bCs/>
          <w:color w:val="000000"/>
          <w:lang w:eastAsia="es-CO"/>
        </w:rPr>
        <w:t>Circular Externa 003 del 12 de mayo de 2026, </w:t>
      </w:r>
      <w:r w:rsidRPr="00767A50">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767A50">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07F766C8" w14:textId="77777777" w:rsidR="00767A50" w:rsidRPr="00767A50" w:rsidRDefault="00767A50" w:rsidP="00767A50">
      <w:pPr>
        <w:shd w:val="clear" w:color="auto" w:fill="FFFFFF"/>
        <w:spacing w:after="120" w:line="276" w:lineRule="auto"/>
        <w:jc w:val="both"/>
        <w:textAlignment w:val="baseline"/>
        <w:rPr>
          <w:rFonts w:ascii="Verdana" w:eastAsia="Times New Roman" w:hAnsi="Verdana" w:cs="Times New Roman"/>
          <w:color w:val="000000"/>
          <w:lang w:eastAsia="es-CO"/>
        </w:rPr>
      </w:pPr>
      <w:r w:rsidRPr="00767A50">
        <w:rPr>
          <w:rFonts w:ascii="Verdana" w:eastAsia="Times New Roman" w:hAnsi="Verdana" w:cs="Times New Roman"/>
          <w:color w:val="000000"/>
          <w:lang w:eastAsia="es-CO"/>
        </w:rPr>
        <w:t>Recuerda también que la</w:t>
      </w:r>
      <w:r w:rsidRPr="00767A50">
        <w:rPr>
          <w:rFonts w:ascii="Verdana" w:eastAsia="Times New Roman" w:hAnsi="Verdana" w:cs="Times New Roman"/>
          <w:b/>
          <w:bCs/>
          <w:color w:val="000000"/>
          <w:lang w:eastAsia="es-CO"/>
        </w:rPr>
        <w:t> información sobre sanciones e inhabilidades </w:t>
      </w:r>
      <w:r w:rsidRPr="00767A50">
        <w:rPr>
          <w:rFonts w:ascii="Verdana" w:eastAsia="Times New Roman" w:hAnsi="Verdana" w:cs="Times New Roman"/>
          <w:color w:val="000000"/>
          <w:lang w:eastAsia="es-CO"/>
        </w:rPr>
        <w:t>solo cumple su función preventiva si llega oportunamente a los registros públicos. Sobre este deber, esta Agencia expidió la </w:t>
      </w:r>
      <w:r w:rsidRPr="00767A50">
        <w:rPr>
          <w:rFonts w:ascii="Verdana" w:eastAsia="Times New Roman" w:hAnsi="Verdana" w:cs="Times New Roman"/>
          <w:b/>
          <w:bCs/>
          <w:color w:val="000000"/>
          <w:lang w:eastAsia="es-CO"/>
        </w:rPr>
        <w:t>Circular Externa 002 del 5 de mayo de 2026,</w:t>
      </w:r>
      <w:r w:rsidRPr="00767A50">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767A50">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392EC30D" w14:textId="77777777" w:rsidR="00767A50" w:rsidRPr="00767A50" w:rsidRDefault="00767A50" w:rsidP="00767A50">
      <w:pPr>
        <w:shd w:val="clear" w:color="auto" w:fill="FFFFFF"/>
        <w:spacing w:after="120" w:line="276" w:lineRule="auto"/>
        <w:jc w:val="both"/>
        <w:textAlignment w:val="baseline"/>
        <w:rPr>
          <w:rFonts w:ascii="Verdana" w:eastAsia="Times New Roman" w:hAnsi="Verdana" w:cs="Times New Roman"/>
          <w:color w:val="000000"/>
          <w:lang w:eastAsia="es-CO"/>
        </w:rPr>
      </w:pPr>
      <w:r w:rsidRPr="00767A50">
        <w:rPr>
          <w:rFonts w:ascii="Verdana" w:eastAsia="Times New Roman" w:hAnsi="Verdana" w:cs="Times New Roman"/>
          <w:color w:val="000000"/>
          <w:lang w:eastAsia="es-CO"/>
        </w:rPr>
        <w:t>Finalmente, si quieres seguir de cerca la actividad de la Agencia, la tercera edición de 2026 del</w:t>
      </w:r>
      <w:r w:rsidRPr="00767A50">
        <w:rPr>
          <w:rFonts w:ascii="Verdana" w:eastAsia="Times New Roman" w:hAnsi="Verdana" w:cs="Times New Roman"/>
          <w:b/>
          <w:bCs/>
          <w:color w:val="000000"/>
          <w:lang w:eastAsia="es-CO"/>
        </w:rPr>
        <w:t> Radar de la Compra Pública</w:t>
      </w:r>
      <w:r w:rsidRPr="00767A50">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Dirección URL original: https://www.colombiacompra.gov.co/archivos/boletin/boletin-edicion-n-3-de-2026-radar-de-la-compra-publica. Haga clic o pulse si confía en este vínculo." w:history="1">
        <w:r w:rsidRPr="00767A50">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767A50">
        <w:rPr>
          <w:rFonts w:ascii="Verdana" w:eastAsia="Times New Roman" w:hAnsi="Verdana" w:cs="Times New Roman"/>
          <w:color w:val="000000"/>
          <w:lang w:eastAsia="es-CO"/>
        </w:rPr>
        <w:t>"</w:t>
      </w:r>
    </w:p>
    <w:p w14:paraId="51FD8CA2" w14:textId="77777777" w:rsidR="00767A50" w:rsidRPr="00767A50" w:rsidRDefault="00767A50" w:rsidP="00767A50">
      <w:pPr>
        <w:spacing w:after="0" w:line="276" w:lineRule="auto"/>
        <w:jc w:val="both"/>
        <w:rPr>
          <w:rFonts w:ascii="Verdana" w:hAnsi="Verdana"/>
          <w:lang w:val="es-ES"/>
        </w:rPr>
      </w:pPr>
      <w:r w:rsidRPr="00767A50">
        <w:rPr>
          <w:rFonts w:ascii="Verdana" w:hAnsi="Verdana"/>
          <w:lang w:val="es-ES"/>
        </w:rPr>
        <w:t xml:space="preserve">Por último, lo invitamos a seguirnos en las redes sociales en las cuales se difunde información institucional: </w:t>
      </w:r>
    </w:p>
    <w:p w14:paraId="07090490" w14:textId="77777777" w:rsidR="00767A50" w:rsidRPr="00767A50" w:rsidRDefault="00767A50" w:rsidP="00767A50">
      <w:pPr>
        <w:spacing w:after="0" w:line="276" w:lineRule="auto"/>
        <w:jc w:val="both"/>
        <w:rPr>
          <w:rFonts w:ascii="Verdana" w:hAnsi="Verdana"/>
          <w:lang w:val="es-ES"/>
        </w:rPr>
      </w:pPr>
    </w:p>
    <w:p w14:paraId="0000B666" w14:textId="77777777" w:rsidR="00767A50" w:rsidRPr="00767A50" w:rsidRDefault="00767A50" w:rsidP="00767A50">
      <w:pPr>
        <w:spacing w:after="0" w:line="276" w:lineRule="auto"/>
        <w:jc w:val="both"/>
        <w:rPr>
          <w:rFonts w:ascii="Verdana" w:hAnsi="Verdana"/>
          <w:lang w:val="es-ES"/>
        </w:rPr>
      </w:pPr>
      <w:r w:rsidRPr="00767A50">
        <w:rPr>
          <w:rFonts w:ascii="Verdana" w:hAnsi="Verdana"/>
          <w:lang w:val="es-ES"/>
        </w:rPr>
        <w:t xml:space="preserve">Twitter: </w:t>
      </w:r>
      <w:r w:rsidRPr="00767A50">
        <w:rPr>
          <w:rFonts w:ascii="Verdana" w:hAnsi="Verdana" w:cs="Arial"/>
          <w:color w:val="0000FF"/>
          <w:u w:val="single"/>
          <w:shd w:val="clear" w:color="auto" w:fill="FFFFFF"/>
          <w:lang w:val="es-ES"/>
        </w:rPr>
        <w:t>@colombiacompra</w:t>
      </w:r>
      <w:r w:rsidRPr="00767A50">
        <w:rPr>
          <w:rFonts w:ascii="Verdana" w:hAnsi="Verdana"/>
          <w:color w:val="4472C4" w:themeColor="accent1"/>
          <w:lang w:val="es-ES"/>
        </w:rPr>
        <w:t xml:space="preserve"> </w:t>
      </w:r>
    </w:p>
    <w:p w14:paraId="36620F5E" w14:textId="77777777" w:rsidR="00767A50" w:rsidRPr="00767A50" w:rsidRDefault="00767A50" w:rsidP="00767A50">
      <w:pPr>
        <w:spacing w:after="0" w:line="276" w:lineRule="auto"/>
        <w:jc w:val="both"/>
        <w:rPr>
          <w:rFonts w:ascii="Verdana" w:hAnsi="Verdana"/>
          <w:lang w:val="es-ES"/>
        </w:rPr>
      </w:pPr>
      <w:r w:rsidRPr="00767A50">
        <w:rPr>
          <w:rFonts w:ascii="Verdana" w:hAnsi="Verdana"/>
          <w:lang w:val="es-ES"/>
        </w:rPr>
        <w:t xml:space="preserve">Facebook: </w:t>
      </w:r>
      <w:r w:rsidRPr="00767A50">
        <w:rPr>
          <w:rFonts w:ascii="Verdana" w:hAnsi="Verdana" w:cs="Arial"/>
          <w:color w:val="0000FF"/>
          <w:u w:val="single"/>
          <w:shd w:val="clear" w:color="auto" w:fill="FFFFFF"/>
          <w:lang w:val="es-ES"/>
        </w:rPr>
        <w:t>ColombiaCompraEficiente</w:t>
      </w:r>
    </w:p>
    <w:p w14:paraId="6AF45859" w14:textId="77777777" w:rsidR="00767A50" w:rsidRPr="00767A50" w:rsidRDefault="00767A50" w:rsidP="00767A50">
      <w:pPr>
        <w:spacing w:after="0" w:line="276" w:lineRule="auto"/>
        <w:jc w:val="both"/>
        <w:rPr>
          <w:rFonts w:ascii="Verdana" w:hAnsi="Verdana"/>
          <w:lang w:val="es-ES"/>
        </w:rPr>
      </w:pPr>
      <w:r w:rsidRPr="00767A50">
        <w:rPr>
          <w:rFonts w:ascii="Verdana" w:hAnsi="Verdana"/>
          <w:lang w:val="es-ES"/>
        </w:rPr>
        <w:lastRenderedPageBreak/>
        <w:t xml:space="preserve">LinkedIn: </w:t>
      </w:r>
      <w:r w:rsidRPr="00767A50">
        <w:rPr>
          <w:rFonts w:ascii="Verdana" w:hAnsi="Verdana" w:cs="Arial"/>
          <w:color w:val="0000FF"/>
          <w:u w:val="single"/>
          <w:shd w:val="clear" w:color="auto" w:fill="FFFFFF"/>
          <w:lang w:val="es-ES"/>
        </w:rPr>
        <w:t xml:space="preserve">Agencia Nacional de Contratación Pública - Colombia Compra Eficiente </w:t>
      </w:r>
      <w:r w:rsidRPr="00767A50">
        <w:rPr>
          <w:rFonts w:ascii="Verdana" w:hAnsi="Verdana"/>
          <w:lang w:val="es-ES"/>
        </w:rPr>
        <w:t xml:space="preserve">Instagram: </w:t>
      </w:r>
      <w:r w:rsidRPr="00767A50">
        <w:rPr>
          <w:rFonts w:ascii="Verdana" w:hAnsi="Verdana" w:cs="Arial"/>
          <w:color w:val="0000FF"/>
          <w:u w:val="single"/>
          <w:shd w:val="clear" w:color="auto" w:fill="FFFFFF"/>
          <w:lang w:val="es-ES"/>
        </w:rPr>
        <w:t>@colombiacompraeficiente_cce</w:t>
      </w:r>
    </w:p>
    <w:p w14:paraId="3AEE35BC" w14:textId="77777777" w:rsidR="00767A50" w:rsidRPr="00767A50" w:rsidRDefault="00767A50" w:rsidP="00767A50">
      <w:pPr>
        <w:spacing w:after="0" w:line="240" w:lineRule="auto"/>
        <w:jc w:val="both"/>
        <w:rPr>
          <w:rFonts w:ascii="Verdana" w:hAnsi="Verdana"/>
        </w:rPr>
      </w:pPr>
    </w:p>
    <w:p w14:paraId="5F903A3F" w14:textId="77777777" w:rsidR="00767A50" w:rsidRPr="00767A50" w:rsidRDefault="00767A50" w:rsidP="00767A50">
      <w:pPr>
        <w:widowControl w:val="0"/>
        <w:autoSpaceDE w:val="0"/>
        <w:autoSpaceDN w:val="0"/>
        <w:spacing w:after="0" w:line="276" w:lineRule="auto"/>
        <w:jc w:val="both"/>
        <w:rPr>
          <w:rFonts w:ascii="Verdana" w:hAnsi="Verdana" w:cs="Arial"/>
        </w:rPr>
      </w:pPr>
    </w:p>
    <w:p w14:paraId="3B1771A2" w14:textId="77777777" w:rsidR="00767A50" w:rsidRPr="00767A50" w:rsidRDefault="00767A50" w:rsidP="00767A50">
      <w:pPr>
        <w:widowControl w:val="0"/>
        <w:autoSpaceDE w:val="0"/>
        <w:autoSpaceDN w:val="0"/>
        <w:spacing w:after="0" w:line="276" w:lineRule="auto"/>
        <w:jc w:val="both"/>
        <w:rPr>
          <w:rFonts w:ascii="Verdana" w:hAnsi="Verdana" w:cs="Arial"/>
        </w:rPr>
      </w:pPr>
      <w:r w:rsidRPr="00767A50">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6F192A" w14:textId="77777777" w:rsidR="00767A50" w:rsidRPr="00767A50" w:rsidRDefault="00767A50" w:rsidP="00767A50">
      <w:pPr>
        <w:widowControl w:val="0"/>
        <w:autoSpaceDE w:val="0"/>
        <w:autoSpaceDN w:val="0"/>
        <w:spacing w:after="0" w:line="276" w:lineRule="auto"/>
        <w:jc w:val="both"/>
        <w:rPr>
          <w:rFonts w:ascii="Verdana" w:hAnsi="Verdana" w:cs="Arial"/>
        </w:rPr>
      </w:pPr>
    </w:p>
    <w:p w14:paraId="7A251468" w14:textId="77777777" w:rsidR="00767A50" w:rsidRPr="00767A50" w:rsidRDefault="00767A50" w:rsidP="00767A50">
      <w:pPr>
        <w:spacing w:after="0" w:line="276" w:lineRule="auto"/>
        <w:rPr>
          <w:rFonts w:ascii="Verdana" w:hAnsi="Verdana" w:cs="Arial"/>
          <w:lang w:eastAsia="es-CO"/>
        </w:rPr>
      </w:pPr>
      <w:r w:rsidRPr="00767A50">
        <w:rPr>
          <w:rFonts w:ascii="Verdana" w:eastAsia="Times New Roman" w:hAnsi="Verdana" w:cs="Arial"/>
          <w:lang w:eastAsia="es-CO"/>
        </w:rPr>
        <w:t>Atentamente,</w:t>
      </w:r>
      <w:r w:rsidRPr="00767A50">
        <w:rPr>
          <w:rFonts w:ascii="Verdana" w:hAnsi="Verdana" w:cs="Arial"/>
          <w:lang w:eastAsia="es-CO"/>
        </w:rPr>
        <w:t xml:space="preserve"> </w:t>
      </w:r>
    </w:p>
    <w:p w14:paraId="7B8CC3CD" w14:textId="77777777" w:rsidR="00767A50" w:rsidRPr="00767A50" w:rsidRDefault="00767A50" w:rsidP="00767A50">
      <w:pPr>
        <w:spacing w:line="276" w:lineRule="auto"/>
        <w:jc w:val="center"/>
        <w:rPr>
          <w:rFonts w:ascii="Century Gothic" w:hAnsi="Century Gothic"/>
          <w:noProof/>
        </w:rPr>
      </w:pPr>
    </w:p>
    <w:p w14:paraId="27CE9E92" w14:textId="696B7867" w:rsidR="00767A50" w:rsidRPr="00FA306D" w:rsidRDefault="00FA306D" w:rsidP="00FA306D">
      <w:pPr>
        <w:spacing w:line="276" w:lineRule="auto"/>
        <w:jc w:val="center"/>
        <w:rPr>
          <w:rFonts w:ascii="Century Gothic" w:hAnsi="Century Gothic"/>
          <w:noProof/>
          <w:color w:val="000000"/>
          <w:lang w:eastAsia="es-CO"/>
        </w:rPr>
      </w:pPr>
      <w:r>
        <w:rPr>
          <w:noProof/>
        </w:rPr>
        <w:drawing>
          <wp:inline distT="0" distB="0" distL="0" distR="0" wp14:anchorId="24B2F409" wp14:editId="3BAAFF65">
            <wp:extent cx="2591801" cy="962108"/>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2609328" cy="968614"/>
                    </a:xfrm>
                    <a:prstGeom prst="rect">
                      <a:avLst/>
                    </a:prstGeom>
                  </pic:spPr>
                </pic:pic>
              </a:graphicData>
            </a:graphic>
          </wp:inline>
        </w:drawing>
      </w:r>
    </w:p>
    <w:p w14:paraId="3CA5FE69" w14:textId="77777777" w:rsidR="00767A50" w:rsidRPr="00767A50" w:rsidRDefault="00767A50" w:rsidP="00767A50">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67A50" w:rsidRPr="00767A50" w14:paraId="36CCAFA7" w14:textId="77777777" w:rsidTr="008C0976">
        <w:trPr>
          <w:trHeight w:val="315"/>
        </w:trPr>
        <w:tc>
          <w:tcPr>
            <w:tcW w:w="893" w:type="dxa"/>
            <w:vAlign w:val="center"/>
            <w:hideMark/>
          </w:tcPr>
          <w:p w14:paraId="471DE4E6" w14:textId="77777777" w:rsidR="00767A50" w:rsidRPr="00767A50" w:rsidRDefault="00767A50" w:rsidP="00767A50">
            <w:pPr>
              <w:contextualSpacing/>
              <w:rPr>
                <w:rFonts w:ascii="Verdana" w:hAnsi="Verdana" w:cs="Arial"/>
                <w:sz w:val="16"/>
                <w:szCs w:val="16"/>
                <w:lang w:val="es-ES" w:eastAsia="es-ES"/>
              </w:rPr>
            </w:pPr>
            <w:r w:rsidRPr="00767A5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E334D4" w14:textId="77777777" w:rsidR="00767A50" w:rsidRPr="00767A50" w:rsidRDefault="00767A50" w:rsidP="00767A50">
            <w:pPr>
              <w:rPr>
                <w:rFonts w:ascii="Verdana" w:eastAsia="Times New Roman" w:hAnsi="Verdana" w:cs="Arial"/>
                <w:sz w:val="16"/>
                <w:szCs w:val="16"/>
                <w:lang w:eastAsia="es-ES"/>
              </w:rPr>
            </w:pPr>
            <w:r w:rsidRPr="00767A50">
              <w:rPr>
                <w:rFonts w:ascii="Verdana" w:eastAsia="Times New Roman" w:hAnsi="Verdana" w:cs="Arial"/>
                <w:sz w:val="16"/>
                <w:szCs w:val="16"/>
                <w:lang w:eastAsia="es-ES"/>
              </w:rPr>
              <w:t>Oscar David Morelo Pedrozo</w:t>
            </w:r>
          </w:p>
          <w:p w14:paraId="076E8ABA" w14:textId="77777777" w:rsidR="00767A50" w:rsidRPr="00767A50" w:rsidRDefault="00767A50" w:rsidP="00767A50">
            <w:pPr>
              <w:rPr>
                <w:rFonts w:ascii="Verdana" w:eastAsia="Times New Roman" w:hAnsi="Verdana" w:cs="Arial"/>
                <w:sz w:val="16"/>
                <w:szCs w:val="16"/>
                <w:lang w:eastAsia="es-ES"/>
              </w:rPr>
            </w:pPr>
            <w:r w:rsidRPr="00767A50">
              <w:rPr>
                <w:rFonts w:ascii="Verdana" w:eastAsia="Times New Roman" w:hAnsi="Verdana" w:cs="Arial"/>
                <w:sz w:val="16"/>
                <w:szCs w:val="16"/>
                <w:lang w:eastAsia="es-ES"/>
              </w:rPr>
              <w:t>Analista T2 –02 de la Subdirección de Gestión Contractual</w:t>
            </w:r>
          </w:p>
        </w:tc>
      </w:tr>
      <w:tr w:rsidR="00767A50" w:rsidRPr="00767A50" w14:paraId="248F5EEE" w14:textId="77777777" w:rsidTr="008C0976">
        <w:trPr>
          <w:trHeight w:val="330"/>
        </w:trPr>
        <w:tc>
          <w:tcPr>
            <w:tcW w:w="893" w:type="dxa"/>
            <w:vAlign w:val="center"/>
            <w:hideMark/>
          </w:tcPr>
          <w:p w14:paraId="657B6857" w14:textId="77777777" w:rsidR="00767A50" w:rsidRPr="00767A50" w:rsidRDefault="00767A50" w:rsidP="00767A50">
            <w:pPr>
              <w:contextualSpacing/>
              <w:rPr>
                <w:rFonts w:ascii="Verdana" w:hAnsi="Verdana" w:cs="Arial"/>
                <w:color w:val="000000" w:themeColor="text1"/>
                <w:sz w:val="16"/>
                <w:szCs w:val="16"/>
                <w:lang w:val="es-ES" w:eastAsia="es-ES"/>
              </w:rPr>
            </w:pPr>
            <w:r w:rsidRPr="00767A50">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5EC72B" w14:textId="77777777" w:rsidR="00767A50" w:rsidRPr="00767A50" w:rsidRDefault="00767A50" w:rsidP="00767A50">
            <w:pPr>
              <w:contextualSpacing/>
              <w:rPr>
                <w:rFonts w:ascii="Verdana" w:eastAsia="Calibri" w:hAnsi="Verdana" w:cs="Arial"/>
                <w:sz w:val="16"/>
                <w:szCs w:val="16"/>
                <w:lang w:val="es-ES" w:eastAsia="es-ES"/>
              </w:rPr>
            </w:pPr>
            <w:r w:rsidRPr="00767A50">
              <w:rPr>
                <w:rFonts w:ascii="Verdana" w:eastAsia="Calibri" w:hAnsi="Verdana" w:cs="Arial"/>
                <w:sz w:val="16"/>
                <w:szCs w:val="16"/>
                <w:lang w:val="es-ES" w:eastAsia="es-ES"/>
              </w:rPr>
              <w:t>Adriana Katherine López Rodríguez</w:t>
            </w:r>
          </w:p>
          <w:p w14:paraId="310B963D" w14:textId="77777777" w:rsidR="00767A50" w:rsidRPr="00767A50" w:rsidRDefault="00767A50" w:rsidP="00767A50">
            <w:pPr>
              <w:contextualSpacing/>
              <w:rPr>
                <w:rFonts w:ascii="Verdana" w:hAnsi="Verdana" w:cs="Segoe UI"/>
                <w:color w:val="000000" w:themeColor="text1"/>
                <w:sz w:val="16"/>
                <w:szCs w:val="16"/>
                <w:lang w:val="es-ES"/>
              </w:rPr>
            </w:pPr>
            <w:r w:rsidRPr="00767A50">
              <w:rPr>
                <w:rFonts w:ascii="Verdana" w:hAnsi="Verdana" w:cs="Arial"/>
                <w:color w:val="000000" w:themeColor="text1"/>
                <w:sz w:val="16"/>
                <w:szCs w:val="16"/>
                <w:lang w:eastAsia="es-ES"/>
              </w:rPr>
              <w:t>Contratista de la Subdirección de Gestión Contractual</w:t>
            </w:r>
          </w:p>
        </w:tc>
      </w:tr>
      <w:tr w:rsidR="00767A50" w:rsidRPr="00767A50" w14:paraId="28961F87" w14:textId="77777777" w:rsidTr="008C0976">
        <w:trPr>
          <w:trHeight w:val="300"/>
        </w:trPr>
        <w:tc>
          <w:tcPr>
            <w:tcW w:w="893" w:type="dxa"/>
            <w:vAlign w:val="center"/>
          </w:tcPr>
          <w:p w14:paraId="2B398FDA" w14:textId="77777777" w:rsidR="00767A50" w:rsidRPr="00767A50" w:rsidRDefault="00767A50" w:rsidP="00767A50">
            <w:pPr>
              <w:contextualSpacing/>
              <w:rPr>
                <w:rFonts w:ascii="Verdana" w:hAnsi="Verdana" w:cs="Arial"/>
                <w:sz w:val="16"/>
                <w:szCs w:val="16"/>
                <w:lang w:val="es-ES" w:eastAsia="es-ES"/>
              </w:rPr>
            </w:pPr>
            <w:r w:rsidRPr="00767A5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506B4C" w14:textId="77777777" w:rsidR="00767A50" w:rsidRPr="00767A50" w:rsidRDefault="00767A50" w:rsidP="00767A50">
            <w:pPr>
              <w:contextualSpacing/>
              <w:rPr>
                <w:rFonts w:ascii="Verdana" w:eastAsia="Calibri" w:hAnsi="Verdana" w:cs="Arial"/>
                <w:sz w:val="16"/>
                <w:szCs w:val="16"/>
                <w:lang w:val="es-ES" w:eastAsia="es-ES"/>
              </w:rPr>
            </w:pPr>
            <w:r w:rsidRPr="00767A50">
              <w:rPr>
                <w:rFonts w:ascii="Verdana" w:eastAsia="Calibri" w:hAnsi="Verdana" w:cs="Arial"/>
                <w:sz w:val="16"/>
                <w:szCs w:val="16"/>
                <w:lang w:val="es-ES" w:eastAsia="es-ES"/>
              </w:rPr>
              <w:t>Carolina Quintero Gacharná</w:t>
            </w:r>
          </w:p>
          <w:p w14:paraId="5A3118ED" w14:textId="77777777" w:rsidR="00767A50" w:rsidRPr="00767A50" w:rsidRDefault="00767A50" w:rsidP="00767A50">
            <w:pPr>
              <w:contextualSpacing/>
              <w:rPr>
                <w:rFonts w:ascii="Verdana" w:eastAsia="Calibri" w:hAnsi="Verdana" w:cs="Arial"/>
                <w:sz w:val="16"/>
                <w:szCs w:val="16"/>
                <w:lang w:val="es-ES" w:eastAsia="es-ES"/>
              </w:rPr>
            </w:pPr>
            <w:r w:rsidRPr="00767A50">
              <w:rPr>
                <w:rFonts w:ascii="Verdana" w:eastAsia="Calibri" w:hAnsi="Verdana" w:cs="Arial"/>
                <w:sz w:val="16"/>
                <w:szCs w:val="16"/>
                <w:lang w:val="es-ES" w:eastAsia="es-ES"/>
              </w:rPr>
              <w:t>Subdirectora de Gestión Contractual ANCP – CCE</w:t>
            </w:r>
          </w:p>
        </w:tc>
      </w:tr>
    </w:tbl>
    <w:p w14:paraId="2244594F" w14:textId="13DFC641" w:rsidR="00767A50" w:rsidRPr="00767A50" w:rsidRDefault="00767A50" w:rsidP="00767A50">
      <w:pPr>
        <w:spacing w:after="0"/>
        <w:rPr>
          <w:rFonts w:ascii="Verdana" w:eastAsia="Verdana" w:hAnsi="Verdana" w:cs="Verdana"/>
          <w:lang w:val="es-ES"/>
        </w:rPr>
      </w:pPr>
    </w:p>
    <w:bookmarkEnd w:id="0"/>
    <w:bookmarkEnd w:id="1"/>
    <w:p w14:paraId="2E7102B9" w14:textId="77777777" w:rsidR="007E04B6" w:rsidRPr="0024624F" w:rsidRDefault="007E04B6" w:rsidP="30821638">
      <w:pPr>
        <w:spacing w:after="0"/>
        <w:rPr>
          <w:rFonts w:ascii="Verdana" w:eastAsia="Verdana" w:hAnsi="Verdana" w:cs="Verdana"/>
        </w:rPr>
      </w:pPr>
    </w:p>
    <w:sectPr w:rsidR="007E04B6" w:rsidRPr="0024624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31DF" w14:textId="77777777" w:rsidR="004F12D1" w:rsidRDefault="004F12D1" w:rsidP="004A1847">
      <w:pPr>
        <w:spacing w:after="0" w:line="240" w:lineRule="auto"/>
      </w:pPr>
      <w:r>
        <w:separator/>
      </w:r>
    </w:p>
  </w:endnote>
  <w:endnote w:type="continuationSeparator" w:id="0">
    <w:p w14:paraId="5EB070BC" w14:textId="77777777" w:rsidR="004F12D1" w:rsidRDefault="004F12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Inter Variable">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F45F14"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F45F14">
      <w:rPr>
        <w:rFonts w:ascii="Verdana" w:eastAsia="Verdana" w:hAnsi="Verdana" w:cs="Verdana"/>
        <w:b/>
        <w:bCs/>
        <w:color w:val="000000" w:themeColor="text1"/>
        <w:sz w:val="18"/>
        <w:szCs w:val="18"/>
        <w:lang w:val="pt-PT" w:eastAsia="es-CO"/>
      </w:rPr>
      <w:t xml:space="preserve">Código: </w:t>
    </w:r>
    <w:r w:rsidRPr="00F45F14">
      <w:rPr>
        <w:rFonts w:ascii="Verdana" w:eastAsia="Verdana" w:hAnsi="Verdana" w:cs="Verdana"/>
        <w:color w:val="000000" w:themeColor="text1"/>
        <w:sz w:val="18"/>
        <w:szCs w:val="18"/>
        <w:lang w:val="pt-PT" w:eastAsia="es-CO"/>
      </w:rPr>
      <w:t xml:space="preserve">CCE-REC-FM-17 </w:t>
    </w:r>
    <w:r w:rsidRPr="00F45F14">
      <w:rPr>
        <w:rFonts w:ascii="Verdana" w:eastAsia="Verdana" w:hAnsi="Verdana" w:cs="Verdana"/>
        <w:b/>
        <w:bCs/>
        <w:color w:val="000000" w:themeColor="text1"/>
        <w:sz w:val="18"/>
        <w:szCs w:val="18"/>
        <w:lang w:val="pt-PT" w:eastAsia="es-CO"/>
      </w:rPr>
      <w:t xml:space="preserve">V: </w:t>
    </w:r>
    <w:r w:rsidRPr="00F45F14">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38D5C" w14:textId="77777777" w:rsidR="004F12D1" w:rsidRDefault="004F12D1" w:rsidP="004A1847">
      <w:pPr>
        <w:spacing w:after="0" w:line="240" w:lineRule="auto"/>
      </w:pPr>
      <w:r>
        <w:separator/>
      </w:r>
    </w:p>
  </w:footnote>
  <w:footnote w:type="continuationSeparator" w:id="0">
    <w:p w14:paraId="123DE605" w14:textId="77777777" w:rsidR="004F12D1" w:rsidRDefault="004F12D1" w:rsidP="004A1847">
      <w:pPr>
        <w:spacing w:after="0" w:line="240" w:lineRule="auto"/>
      </w:pPr>
      <w:r>
        <w:continuationSeparator/>
      </w:r>
    </w:p>
  </w:footnote>
  <w:footnote w:id="1">
    <w:p w14:paraId="445E4074"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i/>
          <w:iCs/>
          <w:sz w:val="16"/>
          <w:szCs w:val="16"/>
          <w:lang w:val="es-ES"/>
        </w:rPr>
        <w:t>“</w:t>
      </w:r>
      <w:r w:rsidRPr="00B95CFD">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2">
    <w:p w14:paraId="6EDB803F"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color w:val="000000" w:themeColor="text1"/>
          <w:sz w:val="16"/>
          <w:szCs w:val="16"/>
        </w:rPr>
        <w:t>“</w:t>
      </w:r>
      <w:r w:rsidRPr="00B95CFD">
        <w:rPr>
          <w:rStyle w:val="nfasis"/>
          <w:rFonts w:ascii="Verdana" w:hAnsi="Verdana" w:cs="Arial"/>
          <w:color w:val="000000" w:themeColor="text1"/>
          <w:sz w:val="16"/>
          <w:szCs w:val="16"/>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3">
    <w:p w14:paraId="75D3F67B" w14:textId="77777777" w:rsidR="00767A50" w:rsidRPr="00B95CFD" w:rsidRDefault="00767A50" w:rsidP="00767A50">
      <w:pPr>
        <w:pStyle w:val="Textonotapie"/>
        <w:ind w:firstLine="709"/>
        <w:jc w:val="both"/>
        <w:rPr>
          <w:rFonts w:ascii="Verdana" w:hAnsi="Verdana"/>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Este artículo fue declarado exequible por la Corte Constitucional mediante la Sentencia C-671 de 1999, M.P. Alfredo Beltrán Sierra.</w:t>
      </w:r>
    </w:p>
  </w:footnote>
  <w:footnote w:id="4">
    <w:p w14:paraId="5FA3C7CA"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lo Contencioso Administrativo, Sección Tercera, sentencia de 23 de junio de 2010, exp.17860.</w:t>
      </w:r>
    </w:p>
  </w:footnote>
  <w:footnote w:id="5">
    <w:p w14:paraId="29347B02"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Santos Rodríguez, Jorge Enrique. </w:t>
      </w:r>
      <w:r w:rsidRPr="00B95CFD">
        <w:rPr>
          <w:rFonts w:ascii="Verdana" w:hAnsi="Verdana" w:cs="Arial"/>
          <w:i/>
          <w:iCs/>
          <w:sz w:val="16"/>
          <w:szCs w:val="16"/>
        </w:rPr>
        <w:t>“Consideraciones sobre los convenios y contratos interadministrativos”</w:t>
      </w:r>
      <w:r w:rsidRPr="00B95CFD">
        <w:rPr>
          <w:rFonts w:ascii="Verdana" w:hAnsi="Verdana" w:cs="Arial"/>
          <w:sz w:val="16"/>
          <w:szCs w:val="16"/>
        </w:rPr>
        <w:t>. Universidad Externado de Colombia, Revista Digital de Derecho Administrativo, Bogotá 2009.</w:t>
      </w:r>
    </w:p>
  </w:footnote>
  <w:footnote w:id="6">
    <w:p w14:paraId="5D5FC169"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7">
    <w:p w14:paraId="3D8BB023"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Expósito Vélez, Juan Carlos. </w:t>
      </w:r>
      <w:r w:rsidRPr="00B95CFD">
        <w:rPr>
          <w:rFonts w:ascii="Verdana" w:hAnsi="Verdana" w:cs="Arial"/>
          <w:i/>
          <w:iCs/>
          <w:sz w:val="16"/>
          <w:szCs w:val="16"/>
        </w:rPr>
        <w:t>“La configuración del contrato de la administración pública en derecho colombiano y español”</w:t>
      </w:r>
      <w:r w:rsidRPr="00B95CFD">
        <w:rPr>
          <w:rFonts w:ascii="Verdana" w:hAnsi="Verdana" w:cs="Arial"/>
          <w:sz w:val="16"/>
          <w:szCs w:val="16"/>
        </w:rPr>
        <w:t>. Bogotá, universidad Externado de Colombia, 2003, p. 25.</w:t>
      </w:r>
    </w:p>
  </w:footnote>
  <w:footnote w:id="8">
    <w:p w14:paraId="32F10422" w14:textId="77777777" w:rsidR="00767A50" w:rsidRPr="00B95CFD" w:rsidRDefault="00767A50" w:rsidP="00767A50">
      <w:pPr>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Consulta y Servicio Civil. Concepto 26 de julio de 2016. Exp. 2.257. C.P. Álvaro Namén Vargas.</w:t>
      </w:r>
    </w:p>
  </w:footnote>
  <w:footnote w:id="9">
    <w:p w14:paraId="633868E3" w14:textId="77777777" w:rsidR="00767A50" w:rsidRPr="00B95CFD" w:rsidRDefault="00767A50" w:rsidP="00767A50">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w:t>
      </w:r>
      <w:r>
        <w:rPr>
          <w:rFonts w:ascii="Verdana" w:hAnsi="Verdana" w:cs="Arial"/>
          <w:sz w:val="16"/>
          <w:szCs w:val="16"/>
        </w:rPr>
        <w:t>“</w:t>
      </w:r>
      <w:r w:rsidRPr="00B95CFD">
        <w:rPr>
          <w:rFonts w:ascii="Verdana" w:hAnsi="Verdana" w:cs="Arial"/>
          <w:sz w:val="16"/>
          <w:szCs w:val="16"/>
        </w:rPr>
        <w:t>CE. SCSC. Concepto de 1 de noviembre de 2016 [Rad. 11001-03-06-000-2016-00125-00(2305)]. MP. Germán Alberto Bula Escobar</w:t>
      </w:r>
      <w:r>
        <w:rPr>
          <w:rFonts w:ascii="Verdana" w:hAnsi="Verdana" w:cs="Arial"/>
          <w:sz w:val="16"/>
          <w:szCs w:val="16"/>
        </w:rPr>
        <w:t>”</w:t>
      </w:r>
      <w:r w:rsidRPr="00B95CFD">
        <w:rPr>
          <w:rFonts w:ascii="Verdana" w:hAnsi="Verdana" w:cs="Arial"/>
          <w:sz w:val="16"/>
          <w:szCs w:val="16"/>
        </w:rPr>
        <w:t>.</w:t>
      </w:r>
    </w:p>
  </w:footnote>
  <w:footnote w:id="10">
    <w:p w14:paraId="061CB2D2" w14:textId="77777777" w:rsidR="00767A50" w:rsidRPr="00B95CFD" w:rsidRDefault="00767A50" w:rsidP="00767A50">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w:t>
      </w:r>
      <w:r>
        <w:rPr>
          <w:rFonts w:ascii="Verdana" w:hAnsi="Verdana" w:cs="Arial"/>
          <w:sz w:val="16"/>
          <w:szCs w:val="16"/>
        </w:rPr>
        <w:t>“</w:t>
      </w:r>
      <w:r w:rsidRPr="00B95CFD">
        <w:rPr>
          <w:rFonts w:ascii="Verdana" w:hAnsi="Verdana" w:cs="Arial"/>
          <w:sz w:val="16"/>
          <w:szCs w:val="16"/>
        </w:rPr>
        <w:t xml:space="preserve">CE. SCSC. Concepto de 30 de abril de 2008 [Rad. 11001-03-06-000-2008-00013-00(1881)]. MP. Enrique José Arboleda Perdomo. En esta oportunidad, la Sala indicó que el contenido </w:t>
      </w:r>
      <w:r w:rsidRPr="00B95CFD">
        <w:rPr>
          <w:rFonts w:ascii="Verdana" w:hAnsi="Verdana" w:cs="Arial"/>
          <w:i/>
          <w:sz w:val="16"/>
          <w:szCs w:val="16"/>
        </w:rPr>
        <w:t>“obligacional”</w:t>
      </w:r>
      <w:r w:rsidRPr="00B95CFD">
        <w:rPr>
          <w:rFonts w:ascii="Verdana" w:hAnsi="Verdana" w:cs="Arial"/>
          <w:sz w:val="16"/>
          <w:szCs w:val="16"/>
        </w:rPr>
        <w:t xml:space="preserve"> de los convenios se estructura definiendo el resultado querido por las partes y los medios que cada entidad despliega para la obtención del respectivo objeto</w:t>
      </w:r>
      <w:r>
        <w:rPr>
          <w:rFonts w:ascii="Verdana" w:hAnsi="Verdana" w:cs="Arial"/>
          <w:sz w:val="16"/>
          <w:szCs w:val="16"/>
        </w:rPr>
        <w:t>”</w:t>
      </w:r>
      <w:r w:rsidRPr="00B95CFD">
        <w:rPr>
          <w:rFonts w:ascii="Verdana" w:hAnsi="Verdana" w:cs="Arial"/>
          <w:sz w:val="16"/>
          <w:szCs w:val="16"/>
        </w:rPr>
        <w:t>.</w:t>
      </w:r>
    </w:p>
  </w:footnote>
  <w:footnote w:id="11">
    <w:p w14:paraId="1604DA6A" w14:textId="77777777" w:rsidR="00767A50" w:rsidRPr="00B95CFD" w:rsidRDefault="00767A50" w:rsidP="00767A50">
      <w:pPr>
        <w:spacing w:line="240" w:lineRule="auto"/>
        <w:ind w:firstLine="709"/>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w:t>
      </w:r>
      <w:r>
        <w:rPr>
          <w:rFonts w:ascii="Verdana" w:hAnsi="Verdana" w:cs="Arial"/>
          <w:sz w:val="16"/>
          <w:szCs w:val="16"/>
        </w:rPr>
        <w:t>“</w:t>
      </w:r>
      <w:r w:rsidRPr="00B95CFD">
        <w:rPr>
          <w:rFonts w:ascii="Verdana" w:hAnsi="Verdana" w:cs="Arial"/>
          <w:sz w:val="16"/>
          <w:szCs w:val="16"/>
        </w:rPr>
        <w:t xml:space="preserve">La normativa vigente del EGCAP </w:t>
      </w:r>
      <w:r w:rsidRPr="00B95CFD">
        <w:rPr>
          <w:rFonts w:ascii="Verdana" w:hAnsi="Verdana" w:cs="Arial"/>
          <w:i/>
          <w:sz w:val="16"/>
          <w:szCs w:val="16"/>
        </w:rPr>
        <w:t>[literal c) del numeral 4. del artículo 2 de la Ley 1150/07]</w:t>
      </w:r>
      <w:r w:rsidRPr="00B95CFD">
        <w:rPr>
          <w:rFonts w:ascii="Verdana" w:hAnsi="Verdana" w:cs="Arial"/>
          <w:sz w:val="16"/>
          <w:szCs w:val="16"/>
        </w:rPr>
        <w:t xml:space="preserve"> se refiere a </w:t>
      </w:r>
      <w:r w:rsidRPr="00B95CFD">
        <w:rPr>
          <w:rFonts w:ascii="Verdana" w:hAnsi="Verdana" w:cs="Arial"/>
          <w:i/>
          <w:sz w:val="16"/>
          <w:szCs w:val="16"/>
        </w:rPr>
        <w:t>“contratos interadministrativos”</w:t>
      </w:r>
      <w:r w:rsidRPr="00B95CFD">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r>
        <w:rPr>
          <w:rFonts w:ascii="Verdana" w:hAnsi="Verdana" w:cs="Arial"/>
          <w:sz w:val="16"/>
          <w:szCs w:val="16"/>
        </w:rPr>
        <w:t>”</w:t>
      </w:r>
      <w:r w:rsidRPr="00B95CFD">
        <w:rPr>
          <w:rFonts w:ascii="Verdana" w:hAnsi="Verdana" w:cs="Arial"/>
          <w:sz w:val="16"/>
          <w:szCs w:val="16"/>
        </w:rPr>
        <w:t>.</w:t>
      </w:r>
    </w:p>
  </w:footnote>
  <w:footnote w:id="12">
    <w:p w14:paraId="533BC9DB" w14:textId="77777777" w:rsidR="00767A50" w:rsidRPr="00B95CFD" w:rsidRDefault="00767A50" w:rsidP="00767A50">
      <w:pPr>
        <w:pStyle w:val="Textonotapie"/>
        <w:ind w:firstLine="709"/>
        <w:jc w:val="both"/>
        <w:rPr>
          <w:rFonts w:ascii="Verdana" w:hAnsi="Verdana" w:cs="Arial"/>
          <w:sz w:val="16"/>
          <w:szCs w:val="16"/>
          <w:lang w:val="es-ES"/>
        </w:rPr>
      </w:pPr>
      <w:r w:rsidRPr="00B95CFD">
        <w:rPr>
          <w:rStyle w:val="Refdenotaalpie"/>
          <w:rFonts w:ascii="Verdana" w:hAnsi="Verdana" w:cs="Arial"/>
          <w:sz w:val="16"/>
          <w:szCs w:val="16"/>
        </w:rPr>
        <w:footnoteRef/>
      </w:r>
      <w:r w:rsidRPr="00B95CFD">
        <w:rPr>
          <w:rFonts w:ascii="Verdana" w:hAnsi="Verdana" w:cs="Arial"/>
          <w:sz w:val="16"/>
          <w:szCs w:val="16"/>
        </w:rPr>
        <w:t xml:space="preserve"> En sentido similar </w:t>
      </w:r>
      <w:r w:rsidRPr="00B95CFD">
        <w:rPr>
          <w:rFonts w:ascii="Verdana" w:hAnsi="Verdana" w:cs="Arial"/>
          <w:sz w:val="16"/>
          <w:szCs w:val="16"/>
          <w:lang w:val="es-ES"/>
        </w:rPr>
        <w:t xml:space="preserve">ver, entre otras, al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sentencia del 22 de octubre de 2021, Rad. 65978, M.P. Martha Nubia Velásquez;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23 de abril de 2021, Rad. 49148, M.P. María Adriana Marín;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21 de mayo de 2021, Rad. 66756, M.P. José Roberto Sáchica Méndez;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C, Auto del 30 de septiembre de 2020, Rad. 65358, M.P. Guillermo Sánchez Luque. </w:t>
      </w:r>
    </w:p>
    <w:p w14:paraId="37BBBCFD" w14:textId="77777777" w:rsidR="00767A50" w:rsidRPr="00B95CFD" w:rsidRDefault="00767A50" w:rsidP="00767A50">
      <w:pPr>
        <w:pStyle w:val="Textonotapie"/>
        <w:ind w:firstLine="709"/>
        <w:jc w:val="both"/>
        <w:rPr>
          <w:rFonts w:ascii="Verdana" w:hAnsi="Verdana" w:cs="Arial"/>
          <w:sz w:val="16"/>
          <w:szCs w:val="16"/>
          <w:lang w:val="es-ES"/>
        </w:rPr>
      </w:pPr>
    </w:p>
  </w:footnote>
  <w:footnote w:id="13">
    <w:p w14:paraId="384DF500" w14:textId="77777777" w:rsidR="00767A50" w:rsidRPr="00B95CFD" w:rsidRDefault="00767A50" w:rsidP="00767A50">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Consejo de Estado</w:t>
      </w:r>
      <w:r>
        <w:rPr>
          <w:rFonts w:ascii="Verdana" w:hAnsi="Verdana" w:cs="Arial"/>
          <w:sz w:val="16"/>
          <w:szCs w:val="16"/>
        </w:rPr>
        <w:t xml:space="preserve">. </w:t>
      </w:r>
      <w:r w:rsidRPr="00B95CFD">
        <w:rPr>
          <w:rFonts w:ascii="Verdana" w:hAnsi="Verdana" w:cs="Arial"/>
          <w:sz w:val="16"/>
          <w:szCs w:val="16"/>
        </w:rPr>
        <w:t xml:space="preserve">Sección Tercera. Sentencia del </w:t>
      </w:r>
      <w:r w:rsidRPr="00B95CFD">
        <w:rPr>
          <w:rFonts w:ascii="Verdana" w:hAnsi="Verdana" w:cs="Arial"/>
          <w:bCs/>
          <w:iCs/>
          <w:sz w:val="16"/>
          <w:szCs w:val="16"/>
        </w:rPr>
        <w:t xml:space="preserve">14 de junio del 2019, </w:t>
      </w:r>
      <w:r>
        <w:rPr>
          <w:rFonts w:ascii="Verdana" w:hAnsi="Verdana" w:cs="Arial"/>
          <w:bCs/>
          <w:iCs/>
          <w:sz w:val="16"/>
          <w:szCs w:val="16"/>
        </w:rPr>
        <w:t xml:space="preserve">Expediente </w:t>
      </w:r>
      <w:r w:rsidRPr="00B95CFD">
        <w:rPr>
          <w:rFonts w:ascii="Verdana" w:hAnsi="Verdana" w:cs="Arial"/>
          <w:bCs/>
          <w:iCs/>
          <w:sz w:val="16"/>
          <w:szCs w:val="16"/>
        </w:rPr>
        <w:t>Número: 25000-23-37-000-2010-02552-01(AP).</w:t>
      </w:r>
      <w:r>
        <w:rPr>
          <w:rFonts w:ascii="Verdana" w:hAnsi="Verdana" w:cs="Arial"/>
          <w:bCs/>
          <w:iCs/>
          <w:sz w:val="16"/>
          <w:szCs w:val="16"/>
        </w:rPr>
        <w:t xml:space="preserve"> CP:</w:t>
      </w:r>
      <w:r w:rsidRPr="00F81DE9">
        <w:rPr>
          <w:rFonts w:ascii="Inter Variable" w:hAnsi="Inter Variable"/>
          <w:color w:val="333333"/>
          <w:sz w:val="21"/>
          <w:szCs w:val="21"/>
          <w:shd w:val="clear" w:color="auto" w:fill="F5F5F7"/>
          <w:lang w:val="es-CO"/>
        </w:rPr>
        <w:t xml:space="preserve"> </w:t>
      </w:r>
      <w:r w:rsidRPr="00F81DE9">
        <w:rPr>
          <w:rFonts w:ascii="Verdana" w:hAnsi="Verdana" w:cs="Arial"/>
          <w:bCs/>
          <w:iCs/>
          <w:sz w:val="16"/>
          <w:szCs w:val="16"/>
          <w:lang w:val="es-CO"/>
        </w:rPr>
        <w:t>Marta Nubia Velásquez Rico</w:t>
      </w:r>
    </w:p>
  </w:footnote>
  <w:footnote w:id="14">
    <w:p w14:paraId="21BCD898" w14:textId="77777777" w:rsidR="00767A50" w:rsidRPr="00B95CFD" w:rsidRDefault="00767A50" w:rsidP="00767A50">
      <w:pPr>
        <w:pStyle w:val="Textonotapie"/>
        <w:ind w:firstLine="709"/>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w:t>
      </w:r>
      <w:r>
        <w:rPr>
          <w:rFonts w:ascii="Verdana" w:hAnsi="Verdana" w:cs="Arial"/>
          <w:sz w:val="16"/>
          <w:szCs w:val="16"/>
        </w:rPr>
        <w:t>onsejo de Estado</w:t>
      </w:r>
      <w:r w:rsidRPr="00B95CFD">
        <w:rPr>
          <w:rFonts w:ascii="Verdana" w:hAnsi="Verdana" w:cs="Arial"/>
          <w:sz w:val="16"/>
          <w:szCs w:val="16"/>
        </w:rPr>
        <w:t>. Sala de Consulta y Servicio Civil. Concepto 26 de julio de 2016. Exp. 2.257. C.P. Álvaro Namén Vargas.</w:t>
      </w:r>
    </w:p>
  </w:footnote>
  <w:footnote w:id="15">
    <w:p w14:paraId="64CDFFA8" w14:textId="77777777" w:rsidR="00767A50" w:rsidRPr="00B95CFD" w:rsidRDefault="00767A50" w:rsidP="00767A50">
      <w:pPr>
        <w:pStyle w:val="Textonotapie"/>
        <w:ind w:firstLine="709"/>
        <w:jc w:val="both"/>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Consejo de Estado</w:t>
      </w:r>
      <w:r>
        <w:rPr>
          <w:rFonts w:ascii="Verdana" w:hAnsi="Verdana" w:cs="Arial"/>
          <w:sz w:val="16"/>
          <w:szCs w:val="16"/>
        </w:rPr>
        <w:t xml:space="preserve">. </w:t>
      </w:r>
      <w:r w:rsidRPr="00B95CFD">
        <w:rPr>
          <w:rFonts w:ascii="Verdana" w:hAnsi="Verdana" w:cs="Arial"/>
          <w:sz w:val="16"/>
          <w:szCs w:val="16"/>
        </w:rPr>
        <w:t xml:space="preserve">Sección Tercera. Sentencia del </w:t>
      </w:r>
      <w:r w:rsidRPr="00B95CFD">
        <w:rPr>
          <w:rFonts w:ascii="Verdana" w:hAnsi="Verdana" w:cs="Arial"/>
          <w:bCs/>
          <w:iCs/>
          <w:sz w:val="16"/>
          <w:szCs w:val="16"/>
        </w:rPr>
        <w:t xml:space="preserve">21 de febrero de 2025. Radicación Número: 68.280. CP: José Roberto Sáchica Méndez.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623DE58A"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AFEEE7AE"/>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D2E"/>
    <w:rsid w:val="000A683E"/>
    <w:rsid w:val="000B19B9"/>
    <w:rsid w:val="000D0334"/>
    <w:rsid w:val="000D26EB"/>
    <w:rsid w:val="000D5DA7"/>
    <w:rsid w:val="000E2F2F"/>
    <w:rsid w:val="000F6486"/>
    <w:rsid w:val="001066E6"/>
    <w:rsid w:val="00116940"/>
    <w:rsid w:val="00125105"/>
    <w:rsid w:val="00127233"/>
    <w:rsid w:val="0014097D"/>
    <w:rsid w:val="0015699B"/>
    <w:rsid w:val="001A33BF"/>
    <w:rsid w:val="001E4177"/>
    <w:rsid w:val="001F0B24"/>
    <w:rsid w:val="001F7DC6"/>
    <w:rsid w:val="00203B95"/>
    <w:rsid w:val="0022400B"/>
    <w:rsid w:val="002421BB"/>
    <w:rsid w:val="0025796E"/>
    <w:rsid w:val="002707A2"/>
    <w:rsid w:val="002951A0"/>
    <w:rsid w:val="002962BC"/>
    <w:rsid w:val="002A093D"/>
    <w:rsid w:val="002A0DD0"/>
    <w:rsid w:val="002A49AC"/>
    <w:rsid w:val="002A64FD"/>
    <w:rsid w:val="002C7A84"/>
    <w:rsid w:val="002E2BF8"/>
    <w:rsid w:val="002E4FD9"/>
    <w:rsid w:val="0030570A"/>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09EE"/>
    <w:rsid w:val="004F12D1"/>
    <w:rsid w:val="004F21C4"/>
    <w:rsid w:val="004F685F"/>
    <w:rsid w:val="005566E8"/>
    <w:rsid w:val="00574867"/>
    <w:rsid w:val="00591460"/>
    <w:rsid w:val="005A65E0"/>
    <w:rsid w:val="005C3777"/>
    <w:rsid w:val="005C3936"/>
    <w:rsid w:val="005C5CDC"/>
    <w:rsid w:val="005D476C"/>
    <w:rsid w:val="006200BF"/>
    <w:rsid w:val="006219F8"/>
    <w:rsid w:val="006302F7"/>
    <w:rsid w:val="00646B9F"/>
    <w:rsid w:val="00665D70"/>
    <w:rsid w:val="006900D9"/>
    <w:rsid w:val="006F2D65"/>
    <w:rsid w:val="00706C16"/>
    <w:rsid w:val="007340C3"/>
    <w:rsid w:val="0075235A"/>
    <w:rsid w:val="007536E9"/>
    <w:rsid w:val="00756841"/>
    <w:rsid w:val="007649AB"/>
    <w:rsid w:val="00767A50"/>
    <w:rsid w:val="00771D0C"/>
    <w:rsid w:val="007833AC"/>
    <w:rsid w:val="007B268C"/>
    <w:rsid w:val="007B7171"/>
    <w:rsid w:val="007C0C0F"/>
    <w:rsid w:val="007C3DC2"/>
    <w:rsid w:val="007E04B6"/>
    <w:rsid w:val="007E5497"/>
    <w:rsid w:val="00806F5F"/>
    <w:rsid w:val="00820278"/>
    <w:rsid w:val="008258C9"/>
    <w:rsid w:val="00844AE9"/>
    <w:rsid w:val="00865E9C"/>
    <w:rsid w:val="00867F95"/>
    <w:rsid w:val="008843B6"/>
    <w:rsid w:val="00891928"/>
    <w:rsid w:val="008A446D"/>
    <w:rsid w:val="008B25F1"/>
    <w:rsid w:val="008D180B"/>
    <w:rsid w:val="008D4755"/>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3714"/>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4F1F"/>
    <w:rsid w:val="00E16408"/>
    <w:rsid w:val="00E20894"/>
    <w:rsid w:val="00E245AB"/>
    <w:rsid w:val="00E2764C"/>
    <w:rsid w:val="00E27F2E"/>
    <w:rsid w:val="00E50AFE"/>
    <w:rsid w:val="00E75C92"/>
    <w:rsid w:val="00E771DC"/>
    <w:rsid w:val="00E8468B"/>
    <w:rsid w:val="00E8772A"/>
    <w:rsid w:val="00E90F6B"/>
    <w:rsid w:val="00E92C27"/>
    <w:rsid w:val="00EA0E3D"/>
    <w:rsid w:val="00EC38A7"/>
    <w:rsid w:val="00EE1AA8"/>
    <w:rsid w:val="00F23FEA"/>
    <w:rsid w:val="00F31EDC"/>
    <w:rsid w:val="00F45F14"/>
    <w:rsid w:val="00F462B3"/>
    <w:rsid w:val="00F55182"/>
    <w:rsid w:val="00F5664F"/>
    <w:rsid w:val="00F666C4"/>
    <w:rsid w:val="00F76AFC"/>
    <w:rsid w:val="00FA306D"/>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67A50"/>
    <w:pPr>
      <w:spacing w:line="240" w:lineRule="exact"/>
    </w:pPr>
    <w:rPr>
      <w:vertAlign w:val="superscript"/>
    </w:rPr>
  </w:style>
  <w:style w:type="character" w:styleId="nfasis">
    <w:name w:val="Emphasis"/>
    <w:basedOn w:val="Fuentedeprrafopredeter"/>
    <w:uiPriority w:val="20"/>
    <w:qFormat/>
    <w:rsid w:val="00767A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comun@contraloriacali.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2366041-B3D5-4F8A-A920-43626B763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5862</Words>
  <Characters>32242</Characters>
  <Application>Microsoft Office Word</Application>
  <DocSecurity>0</DocSecurity>
  <Lines>268</Lines>
  <Paragraphs>76</Paragraphs>
  <ScaleCrop>false</ScaleCrop>
  <Company/>
  <LinksUpToDate>false</LinksUpToDate>
  <CharactersWithSpaces>38028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5</cp:revision>
  <cp:lastPrinted>2023-01-10T21:18:00Z</cp:lastPrinted>
  <dcterms:created xsi:type="dcterms:W3CDTF">2026-09-24T21:03:00Z</dcterms:created>
  <dcterms:modified xsi:type="dcterms:W3CDTF">2026-10-01T14:51:00Z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