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7A936" w14:textId="77777777" w:rsidR="002F4D5D" w:rsidRPr="009C3748" w:rsidRDefault="002F4D5D" w:rsidP="002F4D5D">
      <w:pPr>
        <w:spacing w:after="0" w:line="240" w:lineRule="auto"/>
        <w:jc w:val="both"/>
        <w:rPr>
          <w:rFonts w:ascii="Verdana" w:eastAsia="Calibri" w:hAnsi="Verdana" w:cs="Arial"/>
          <w:b/>
          <w:lang w:eastAsia="es-ES"/>
        </w:rPr>
      </w:pPr>
      <w:bookmarkStart w:id="0" w:name="_Hlk143780582"/>
      <w:r>
        <w:rPr>
          <w:rFonts w:ascii="Verdana" w:eastAsia="Calibri" w:hAnsi="Verdana" w:cs="Arial"/>
          <w:b/>
          <w:lang w:eastAsia="es-ES"/>
        </w:rPr>
        <w:t>LIQUIDACIÓN DEL CONTRATO – Concepto – Naturaleza jurídica – Finalidad</w:t>
      </w:r>
    </w:p>
    <w:p w14:paraId="01E36572" w14:textId="77777777" w:rsidR="002F4D5D" w:rsidRPr="00132CCC" w:rsidRDefault="002F4D5D" w:rsidP="002F4D5D">
      <w:pPr>
        <w:spacing w:after="0" w:line="240" w:lineRule="auto"/>
        <w:jc w:val="both"/>
        <w:rPr>
          <w:rFonts w:ascii="Verdana" w:eastAsia="Calibri" w:hAnsi="Verdana" w:cs="Arial"/>
          <w:b/>
          <w:sz w:val="20"/>
          <w:szCs w:val="20"/>
          <w:lang w:eastAsia="es-ES"/>
        </w:rPr>
      </w:pPr>
    </w:p>
    <w:p w14:paraId="0BB77E50" w14:textId="77777777" w:rsidR="002F4D5D" w:rsidRPr="00132CCC" w:rsidRDefault="002F4D5D" w:rsidP="002F4D5D">
      <w:pPr>
        <w:spacing w:after="0" w:line="240" w:lineRule="auto"/>
        <w:jc w:val="both"/>
        <w:rPr>
          <w:rFonts w:ascii="Verdana" w:eastAsia="Calibri" w:hAnsi="Verdana" w:cs="Arial"/>
          <w:sz w:val="20"/>
          <w:szCs w:val="20"/>
          <w:lang w:val="es-ES" w:eastAsia="es-ES"/>
        </w:rPr>
      </w:pPr>
      <w:r>
        <w:rPr>
          <w:rFonts w:ascii="Verdana" w:eastAsia="Calibri" w:hAnsi="Verdana" w:cs="Arial"/>
          <w:bCs/>
          <w:sz w:val="20"/>
          <w:szCs w:val="20"/>
          <w:lang w:val="es-ES_tradnl" w:eastAsia="es-ES"/>
        </w:rPr>
        <w:t xml:space="preserve">[…] la liquidación del contrato estatal es el ajuste de cuentas en el cual se realiza un balance económico, técnico y jurídico del negocio. Así lo manifestó el Consejo de Estado en la sentencia del 20 de octubre de 2014 (Sección Tercera, </w:t>
      </w:r>
      <w:proofErr w:type="spellStart"/>
      <w:r>
        <w:rPr>
          <w:rFonts w:ascii="Verdana" w:eastAsia="Calibri" w:hAnsi="Verdana" w:cs="Arial"/>
          <w:bCs/>
          <w:sz w:val="20"/>
          <w:szCs w:val="20"/>
          <w:lang w:val="es-ES_tradnl" w:eastAsia="es-ES"/>
        </w:rPr>
        <w:t>Exp</w:t>
      </w:r>
      <w:proofErr w:type="spellEnd"/>
      <w:r>
        <w:rPr>
          <w:rFonts w:ascii="Verdana" w:eastAsia="Calibri" w:hAnsi="Verdana" w:cs="Arial"/>
          <w:bCs/>
          <w:sz w:val="20"/>
          <w:szCs w:val="20"/>
          <w:lang w:val="es-ES_tradnl" w:eastAsia="es-ES"/>
        </w:rPr>
        <w:t>. 27.777), en la que consideró, por un lado, que liquidar supone un ajuste en relación con las cuentas y el estado de cumplimiento del contrato estatal y, por otro, que la liquidación debe incluir el análisis de las condiciones de calidad y oportunidad en la entrega de los bienes, obras o servicios, así como el balance económico y el comportamiento financiero del negocio</w:t>
      </w:r>
      <w:r>
        <w:rPr>
          <w:rFonts w:ascii="Verdana" w:eastAsia="Calibri" w:hAnsi="Verdana" w:cs="Arial"/>
          <w:sz w:val="20"/>
          <w:szCs w:val="20"/>
          <w:lang w:eastAsia="es-ES"/>
        </w:rPr>
        <w:t>.</w:t>
      </w:r>
    </w:p>
    <w:p w14:paraId="197589E0" w14:textId="77777777" w:rsidR="002F4D5D" w:rsidRPr="00132CCC" w:rsidRDefault="002F4D5D" w:rsidP="002F4D5D">
      <w:pPr>
        <w:spacing w:after="0" w:line="240" w:lineRule="auto"/>
        <w:jc w:val="both"/>
        <w:rPr>
          <w:rFonts w:ascii="Verdana" w:eastAsia="Calibri" w:hAnsi="Verdana" w:cs="Arial"/>
          <w:sz w:val="20"/>
          <w:szCs w:val="20"/>
          <w:lang w:val="es-ES" w:eastAsia="es-ES"/>
        </w:rPr>
      </w:pPr>
    </w:p>
    <w:p w14:paraId="4D37136F" w14:textId="77777777" w:rsidR="002F4D5D" w:rsidRDefault="002F4D5D" w:rsidP="002F4D5D">
      <w:pPr>
        <w:spacing w:after="0" w:line="240" w:lineRule="auto"/>
        <w:jc w:val="both"/>
        <w:rPr>
          <w:rFonts w:ascii="Verdana" w:eastAsia="Calibri" w:hAnsi="Verdana" w:cs="Arial"/>
          <w:b/>
          <w:lang w:eastAsia="es-ES"/>
        </w:rPr>
      </w:pPr>
      <w:r>
        <w:rPr>
          <w:rFonts w:ascii="Verdana" w:eastAsia="Calibri" w:hAnsi="Verdana" w:cs="Arial"/>
          <w:b/>
          <w:lang w:eastAsia="es-ES"/>
        </w:rPr>
        <w:t>LIQUIDACIÓN DEL CONTRATO – Tipos de liquidación – Bilateral, unilateral y liquidación judicial</w:t>
      </w:r>
    </w:p>
    <w:p w14:paraId="54F15557" w14:textId="77777777" w:rsidR="002F4D5D" w:rsidRPr="00132CCC" w:rsidRDefault="002F4D5D" w:rsidP="002F4D5D">
      <w:pPr>
        <w:spacing w:after="0" w:line="240" w:lineRule="auto"/>
        <w:rPr>
          <w:rFonts w:ascii="Verdana" w:eastAsia="Calibri" w:hAnsi="Verdana" w:cs="Arial"/>
          <w:sz w:val="20"/>
          <w:szCs w:val="20"/>
          <w:lang w:eastAsia="es-ES"/>
        </w:rPr>
      </w:pPr>
    </w:p>
    <w:p w14:paraId="4963BBD4" w14:textId="77777777" w:rsidR="002F4D5D" w:rsidRPr="00132CCC" w:rsidRDefault="002F4D5D" w:rsidP="002F4D5D">
      <w:pPr>
        <w:spacing w:after="0" w:line="240" w:lineRule="auto"/>
        <w:jc w:val="both"/>
        <w:rPr>
          <w:rFonts w:ascii="Verdana" w:eastAsia="Calibri" w:hAnsi="Verdana" w:cs="Arial"/>
          <w:sz w:val="20"/>
          <w:szCs w:val="20"/>
          <w:lang w:eastAsia="es-ES"/>
        </w:rPr>
      </w:pPr>
      <w:r>
        <w:rPr>
          <w:rFonts w:ascii="Verdana" w:eastAsia="Calibri" w:hAnsi="Verdana" w:cs="Arial"/>
          <w:bCs/>
          <w:sz w:val="20"/>
          <w:szCs w:val="20"/>
          <w:lang w:val="es-ES_tradnl" w:eastAsia="es-ES"/>
        </w:rPr>
        <w:t>En suma,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122989F6" w14:textId="77777777" w:rsidR="002F4D5D" w:rsidRPr="00132CCC" w:rsidRDefault="002F4D5D" w:rsidP="002F4D5D">
      <w:pPr>
        <w:spacing w:after="0" w:line="240" w:lineRule="auto"/>
        <w:rPr>
          <w:rFonts w:ascii="Verdana" w:eastAsia="Calibri" w:hAnsi="Verdana" w:cs="Arial"/>
          <w:sz w:val="20"/>
          <w:szCs w:val="20"/>
          <w:lang w:eastAsia="es-ES"/>
        </w:rPr>
      </w:pPr>
    </w:p>
    <w:p w14:paraId="5E9E62F4" w14:textId="77777777" w:rsidR="002F4D5D" w:rsidRDefault="002F4D5D" w:rsidP="002F4D5D">
      <w:pPr>
        <w:spacing w:after="0" w:line="240" w:lineRule="auto"/>
        <w:jc w:val="both"/>
        <w:rPr>
          <w:rFonts w:ascii="Verdana" w:eastAsia="Calibri" w:hAnsi="Verdana" w:cs="Arial"/>
          <w:b/>
          <w:lang w:eastAsia="es-ES"/>
        </w:rPr>
      </w:pPr>
      <w:r>
        <w:rPr>
          <w:rFonts w:ascii="Verdana" w:eastAsia="Calibri" w:hAnsi="Verdana" w:cs="Arial"/>
          <w:b/>
          <w:lang w:eastAsia="es-ES"/>
        </w:rPr>
        <w:t>GARANTÍA ÚNICA DE CUMPLIMIENTO – Amparos – Definición – Coberturas – Vigencia mínima</w:t>
      </w:r>
    </w:p>
    <w:p w14:paraId="7D471A81" w14:textId="77777777" w:rsidR="002F4D5D" w:rsidRPr="00132CCC" w:rsidRDefault="002F4D5D" w:rsidP="002F4D5D">
      <w:pPr>
        <w:spacing w:after="0" w:line="240" w:lineRule="auto"/>
        <w:jc w:val="both"/>
        <w:rPr>
          <w:rFonts w:ascii="Verdana" w:eastAsia="Calibri" w:hAnsi="Verdana" w:cs="Arial"/>
          <w:sz w:val="20"/>
          <w:szCs w:val="20"/>
          <w:lang w:eastAsia="es-ES"/>
        </w:rPr>
      </w:pPr>
    </w:p>
    <w:p w14:paraId="2BD0CE56" w14:textId="77777777" w:rsidR="002F4D5D" w:rsidRPr="00092C3E" w:rsidRDefault="002F4D5D" w:rsidP="002F4D5D">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
        </w:rPr>
        <w:t>Ahora bien, la suficiencia de la garantía de cumplimiento, sobre la que se consulta, debe entenderse a la luz de este marco temporal. El artículo 2.2.1.2.3.1.12 del Decreto 1082 de 2015 establece que el amparo de cumplimiento “deberá tener una vigencia mínima hasta la liquidación del contrato”. Conforme la norma citada,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p>
    <w:p w14:paraId="04887C4F" w14:textId="77777777" w:rsidR="002F4D5D" w:rsidRPr="00132CCC" w:rsidRDefault="002F4D5D" w:rsidP="002F4D5D">
      <w:pPr>
        <w:spacing w:after="0" w:line="240" w:lineRule="auto"/>
        <w:jc w:val="both"/>
        <w:rPr>
          <w:rFonts w:ascii="Verdana" w:eastAsia="Calibri" w:hAnsi="Verdana" w:cs="Arial"/>
          <w:sz w:val="20"/>
          <w:szCs w:val="20"/>
          <w:lang w:eastAsia="es-ES"/>
        </w:rPr>
      </w:pPr>
    </w:p>
    <w:p w14:paraId="0315859F" w14:textId="77777777" w:rsidR="002F4D5D" w:rsidRDefault="002F4D5D" w:rsidP="002F4D5D">
      <w:pPr>
        <w:spacing w:after="0" w:line="240" w:lineRule="auto"/>
        <w:jc w:val="both"/>
        <w:rPr>
          <w:rFonts w:ascii="Verdana" w:eastAsia="Calibri" w:hAnsi="Verdana" w:cs="Arial"/>
          <w:b/>
          <w:lang w:eastAsia="es-ES"/>
        </w:rPr>
      </w:pPr>
      <w:r>
        <w:rPr>
          <w:rFonts w:ascii="Verdana" w:eastAsia="Calibri" w:hAnsi="Verdana" w:cs="Arial"/>
          <w:b/>
          <w:lang w:eastAsia="es-ES"/>
        </w:rPr>
        <w:t>DECRETO 1082 DE 2015 – Régimen de garantías – Definición de amparos – Reglas sobre suficiencia y vigencia</w:t>
      </w:r>
    </w:p>
    <w:p w14:paraId="6BB3CA99" w14:textId="77777777" w:rsidR="002F4D5D" w:rsidRPr="00132CCC" w:rsidRDefault="002F4D5D" w:rsidP="002F4D5D">
      <w:pPr>
        <w:spacing w:after="0" w:line="240" w:lineRule="auto"/>
        <w:jc w:val="both"/>
        <w:rPr>
          <w:rFonts w:ascii="Verdana" w:eastAsia="Calibri" w:hAnsi="Verdana" w:cs="Arial"/>
          <w:sz w:val="20"/>
          <w:szCs w:val="20"/>
          <w:lang w:eastAsia="es-ES"/>
        </w:rPr>
      </w:pPr>
    </w:p>
    <w:p w14:paraId="6B70455F" w14:textId="77777777" w:rsidR="002F4D5D" w:rsidRDefault="002F4D5D" w:rsidP="002F4D5D">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
        </w:rPr>
        <w:t xml:space="preserve">En ese orden, no existe una regla legal que imponga, para los amparos de calidad del servicio o de calidad y correcto funcionamiento de los bienes, un plazo uniforme </w:t>
      </w:r>
      <w:r>
        <w:rPr>
          <w:rFonts w:ascii="Verdana" w:eastAsia="Calibri" w:hAnsi="Verdana" w:cs="Arial"/>
          <w:sz w:val="20"/>
          <w:szCs w:val="20"/>
          <w:lang w:eastAsia="es-ES"/>
        </w:rPr>
        <w:lastRenderedPageBreak/>
        <w:t>equivalente al período de ejecución más treinta meses. Ese plazo solo sería admisible si corresponde a una determinación contractual soportada en un estudio de riesgos que así lo justifique. Tampoco existe fundamento legal para aplicar de manera general la regla utilizada en algunos Acuerdos Marco de “plazo de la orden más seis meses”, pues esa fórmula corresponde exclusivamente a las decisiones regulatorias para ese instrumento contractual y no se proyecta automáticamente sobre los procesos de selección ordinarios. Los amparos deben responder a la naturaleza específica del riesgo y a la duración temporal del mismo.</w:t>
      </w:r>
    </w:p>
    <w:p w14:paraId="4D222CBF" w14:textId="77777777" w:rsidR="002F4D5D" w:rsidRDefault="002F4D5D" w:rsidP="002F4D5D">
      <w:pPr>
        <w:spacing w:after="0" w:line="240" w:lineRule="auto"/>
        <w:rPr>
          <w:rFonts w:ascii="Verdana" w:eastAsia="Calibri" w:hAnsi="Verdana" w:cs="Arial"/>
          <w:sz w:val="20"/>
          <w:szCs w:val="20"/>
          <w:lang w:eastAsia="es-ES"/>
        </w:rPr>
      </w:pPr>
    </w:p>
    <w:p w14:paraId="331B7022" w14:textId="77777777" w:rsidR="002F4D5D" w:rsidRDefault="002F4D5D" w:rsidP="002F4D5D">
      <w:pPr>
        <w:spacing w:after="0" w:line="240" w:lineRule="auto"/>
        <w:rPr>
          <w:rFonts w:ascii="Verdana" w:eastAsia="Calibri" w:hAnsi="Verdana" w:cs="Arial"/>
          <w:sz w:val="20"/>
          <w:szCs w:val="20"/>
          <w:lang w:eastAsia="es-ES"/>
        </w:rPr>
      </w:pPr>
    </w:p>
    <w:p w14:paraId="3EA98C89" w14:textId="77777777" w:rsidR="002F4D5D" w:rsidRDefault="002F4D5D" w:rsidP="002F4D5D">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
        </w:rPr>
        <w:t>En consecuencia, al integrar las reglas legales sobre la liquidación de los contratos estatales, la jurisprudencia reiterada del Consejo de Estado sobre la competencia de la administración durante dicha etapa, y el contenido de los artículos 2.2.1.2.3.1.12, 2.2.1.2.3.1.15 y 2.2.1.2.3.1.16 del Decreto 1082 de 2015, se evidencia que la determinación de la vigencia de los amparos de la garantía única de cumplimiento no puede desvincularse del período en que el contrato permanece jurídicamente abierto, ni de la duración real de los riesgos que cada amparo está llamado a cubrir. La vigencia de los amparos debe extenderse, como mínimo, hasta el cierre integral de la relación contractual, el cual solo se consolida con la liquidación en cualquiera de sus modalidades. Y en el caso de los amparos de calidad del servicio y de calidad y correcto funcionamiento de los bienes, la extensión adicional de su vigencia debe corresponder al análisis técnico del riesgo y no a la aplicación automática de plazos uniformes no previstos en la ley. Toda determinación que restrinja la vigencia a la mera ejecución, o que establezca un término fijo sin justificación en el estudio de riesgos, desconocería la competencia de la administración para declarar incumplimientos durante la liquidación y comprometería la suficiencia de la garantía.</w:t>
      </w:r>
    </w:p>
    <w:p w14:paraId="098148DA" w14:textId="77777777" w:rsidR="002F4D5D" w:rsidRPr="00BA2580" w:rsidRDefault="002F4D5D" w:rsidP="002F4D5D">
      <w:pPr>
        <w:spacing w:after="0" w:line="278" w:lineRule="auto"/>
        <w:jc w:val="both"/>
        <w:rPr>
          <w:rFonts w:ascii="Verdana" w:eastAsia="Aptos" w:hAnsi="Verdana" w:cs="Times New Roman"/>
          <w:kern w:val="2"/>
          <w14:ligatures w14:val="standardContextual"/>
        </w:rPr>
      </w:pPr>
    </w:p>
    <w:p w14:paraId="3FD487F2" w14:textId="77777777" w:rsidR="002F4D5D" w:rsidRPr="006263D8" w:rsidRDefault="002F4D5D" w:rsidP="002F4D5D">
      <w:pPr>
        <w:spacing w:after="0" w:line="240" w:lineRule="auto"/>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t xml:space="preserve"> </w:t>
      </w:r>
    </w:p>
    <w:p w14:paraId="577023F5" w14:textId="77777777" w:rsidR="002F4D5D" w:rsidRDefault="002F4D5D" w:rsidP="002F4D5D">
      <w:pPr>
        <w:spacing w:after="0" w:line="240" w:lineRule="auto"/>
        <w:rPr>
          <w:rFonts w:ascii="Verdana" w:eastAsia="Geomanist Light" w:hAnsi="Verdana" w:cs="Arial"/>
          <w:color w:val="000000" w:themeColor="text1"/>
          <w:lang w:val="es-MX"/>
        </w:rPr>
      </w:pPr>
    </w:p>
    <w:p w14:paraId="04204E11" w14:textId="77777777" w:rsidR="002F4D5D" w:rsidRDefault="002F4D5D" w:rsidP="002F4D5D">
      <w:pPr>
        <w:spacing w:after="0" w:line="240" w:lineRule="auto"/>
        <w:rPr>
          <w:rFonts w:ascii="Verdana" w:eastAsia="Geomanist Light" w:hAnsi="Verdana" w:cs="Arial"/>
          <w:color w:val="000000" w:themeColor="text1"/>
          <w:lang w:val="es-MX"/>
        </w:rPr>
      </w:pPr>
    </w:p>
    <w:p w14:paraId="665F9068" w14:textId="77777777" w:rsidR="002F4D5D" w:rsidRDefault="002F4D5D" w:rsidP="002F4D5D">
      <w:pPr>
        <w:spacing w:after="0" w:line="240" w:lineRule="auto"/>
        <w:rPr>
          <w:rFonts w:ascii="Verdana" w:eastAsia="Geomanist Light" w:hAnsi="Verdana" w:cs="Arial"/>
          <w:color w:val="000000" w:themeColor="text1"/>
          <w:lang w:val="es-MX"/>
        </w:rPr>
      </w:pPr>
    </w:p>
    <w:p w14:paraId="7B33C264" w14:textId="77777777" w:rsidR="002F4D5D" w:rsidRDefault="002F4D5D" w:rsidP="002F4D5D">
      <w:pPr>
        <w:spacing w:after="0" w:line="240" w:lineRule="auto"/>
        <w:rPr>
          <w:rFonts w:ascii="Verdana" w:eastAsia="Geomanist Light" w:hAnsi="Verdana" w:cs="Arial"/>
          <w:color w:val="000000" w:themeColor="text1"/>
          <w:lang w:val="es-MX"/>
        </w:rPr>
      </w:pPr>
    </w:p>
    <w:p w14:paraId="0BB563A7" w14:textId="77777777" w:rsidR="002F4D5D" w:rsidRDefault="002F4D5D" w:rsidP="002F4D5D">
      <w:pPr>
        <w:spacing w:after="0" w:line="240" w:lineRule="auto"/>
        <w:rPr>
          <w:rFonts w:ascii="Verdana" w:eastAsia="Geomanist Light" w:hAnsi="Verdana" w:cs="Arial"/>
          <w:color w:val="000000" w:themeColor="text1"/>
          <w:lang w:val="es-MX"/>
        </w:rPr>
      </w:pPr>
    </w:p>
    <w:p w14:paraId="48BCB1BE" w14:textId="77777777" w:rsidR="002F4D5D" w:rsidRDefault="002F4D5D" w:rsidP="002F4D5D">
      <w:pPr>
        <w:spacing w:after="0" w:line="240" w:lineRule="auto"/>
        <w:rPr>
          <w:rFonts w:ascii="Verdana" w:eastAsia="Geomanist Light" w:hAnsi="Verdana" w:cs="Arial"/>
          <w:color w:val="000000" w:themeColor="text1"/>
          <w:lang w:val="es-MX"/>
        </w:rPr>
      </w:pPr>
    </w:p>
    <w:p w14:paraId="09FBA915" w14:textId="77777777" w:rsidR="002F4D5D" w:rsidRDefault="002F4D5D" w:rsidP="002F4D5D">
      <w:pPr>
        <w:spacing w:after="0" w:line="240" w:lineRule="auto"/>
        <w:rPr>
          <w:rFonts w:ascii="Verdana" w:eastAsia="Geomanist Light" w:hAnsi="Verdana" w:cs="Arial"/>
          <w:color w:val="000000" w:themeColor="text1"/>
          <w:lang w:val="es-MX"/>
        </w:rPr>
      </w:pPr>
    </w:p>
    <w:p w14:paraId="1692430E" w14:textId="77777777" w:rsidR="002F4D5D" w:rsidRDefault="002F4D5D" w:rsidP="002F4D5D">
      <w:pPr>
        <w:spacing w:after="0" w:line="240" w:lineRule="auto"/>
        <w:rPr>
          <w:rFonts w:ascii="Verdana" w:eastAsia="Geomanist Light" w:hAnsi="Verdana" w:cs="Arial"/>
          <w:color w:val="000000" w:themeColor="text1"/>
          <w:lang w:val="es-MX"/>
        </w:rPr>
      </w:pPr>
    </w:p>
    <w:p w14:paraId="04231AF3" w14:textId="77777777" w:rsidR="002F4D5D" w:rsidRDefault="002F4D5D" w:rsidP="002F4D5D">
      <w:pPr>
        <w:spacing w:after="0" w:line="240" w:lineRule="auto"/>
        <w:rPr>
          <w:rFonts w:ascii="Verdana" w:eastAsia="Geomanist Light" w:hAnsi="Verdana" w:cs="Arial"/>
          <w:color w:val="000000" w:themeColor="text1"/>
          <w:lang w:val="es-MX"/>
        </w:rPr>
      </w:pPr>
    </w:p>
    <w:p w14:paraId="51CD8BDB" w14:textId="77777777" w:rsidR="002F4D5D" w:rsidRDefault="002F4D5D" w:rsidP="002F4D5D">
      <w:pPr>
        <w:spacing w:after="0" w:line="240" w:lineRule="auto"/>
        <w:rPr>
          <w:rFonts w:ascii="Verdana" w:eastAsia="Geomanist Light" w:hAnsi="Verdana" w:cs="Arial"/>
          <w:color w:val="000000" w:themeColor="text1"/>
          <w:lang w:val="es-MX"/>
        </w:rPr>
      </w:pPr>
    </w:p>
    <w:p w14:paraId="557B3782" w14:textId="77777777" w:rsidR="002F4D5D" w:rsidRDefault="002F4D5D" w:rsidP="002F4D5D">
      <w:pPr>
        <w:spacing w:after="0" w:line="240" w:lineRule="auto"/>
        <w:rPr>
          <w:rFonts w:ascii="Verdana" w:eastAsia="Geomanist Light" w:hAnsi="Verdana" w:cs="Arial"/>
          <w:color w:val="000000" w:themeColor="text1"/>
          <w:lang w:val="es-MX"/>
        </w:rPr>
      </w:pPr>
    </w:p>
    <w:p w14:paraId="730D6617" w14:textId="77777777" w:rsidR="002F4D5D" w:rsidRDefault="002F4D5D" w:rsidP="002F4D5D">
      <w:pPr>
        <w:spacing w:after="0" w:line="240" w:lineRule="auto"/>
        <w:rPr>
          <w:rFonts w:ascii="Verdana" w:eastAsia="Geomanist Light" w:hAnsi="Verdana" w:cs="Arial"/>
          <w:color w:val="000000" w:themeColor="text1"/>
          <w:lang w:val="es-MX"/>
        </w:rPr>
      </w:pPr>
    </w:p>
    <w:p w14:paraId="641287D3" w14:textId="77777777" w:rsidR="002F4D5D" w:rsidRDefault="002F4D5D" w:rsidP="002F4D5D">
      <w:pPr>
        <w:spacing w:after="0" w:line="240" w:lineRule="auto"/>
        <w:rPr>
          <w:rFonts w:ascii="Verdana" w:eastAsia="Geomanist Light" w:hAnsi="Verdana" w:cs="Arial"/>
          <w:color w:val="000000" w:themeColor="text1"/>
          <w:lang w:val="es-MX"/>
        </w:rPr>
      </w:pPr>
    </w:p>
    <w:p w14:paraId="35F19314" w14:textId="77777777" w:rsidR="002F4D5D" w:rsidRDefault="002F4D5D" w:rsidP="002F4D5D">
      <w:pPr>
        <w:spacing w:after="0" w:line="240" w:lineRule="auto"/>
        <w:rPr>
          <w:rFonts w:ascii="Verdana" w:eastAsia="Geomanist Light" w:hAnsi="Verdana" w:cs="Arial"/>
          <w:color w:val="000000" w:themeColor="text1"/>
          <w:lang w:val="es-MX"/>
        </w:rPr>
      </w:pPr>
    </w:p>
    <w:p w14:paraId="0FA42F8C" w14:textId="77777777" w:rsidR="002F4D5D" w:rsidRDefault="002F4D5D" w:rsidP="002F4D5D">
      <w:pPr>
        <w:spacing w:after="0" w:line="240" w:lineRule="auto"/>
        <w:rPr>
          <w:rFonts w:ascii="Verdana" w:eastAsia="Geomanist Light" w:hAnsi="Verdana" w:cs="Arial"/>
          <w:color w:val="000000" w:themeColor="text1"/>
          <w:lang w:val="es-MX"/>
        </w:rPr>
      </w:pPr>
    </w:p>
    <w:p w14:paraId="0B7EE258" w14:textId="77777777" w:rsidR="001E0D95" w:rsidRDefault="001E0D95" w:rsidP="002F4D5D">
      <w:pPr>
        <w:spacing w:line="240" w:lineRule="auto"/>
        <w:jc w:val="both"/>
        <w:rPr>
          <w:rFonts w:ascii="Verdana" w:eastAsia="Verdana" w:hAnsi="Verdana" w:cs="Verdana"/>
          <w:color w:val="000000" w:themeColor="text1"/>
          <w:lang w:val="es"/>
        </w:rPr>
      </w:pPr>
    </w:p>
    <w:p w14:paraId="28C0DA10" w14:textId="6CE89572" w:rsidR="002F4D5D" w:rsidRPr="0015699B" w:rsidRDefault="002F4D5D" w:rsidP="002F4D5D">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Bogotá D.C., 1</w:t>
      </w:r>
      <w:r w:rsidR="001E0D95">
        <w:rPr>
          <w:rFonts w:ascii="Verdana" w:eastAsia="Verdana" w:hAnsi="Verdana" w:cs="Verdana"/>
          <w:color w:val="000000" w:themeColor="text1"/>
          <w:lang w:val="es"/>
        </w:rPr>
        <w:t>4</w:t>
      </w:r>
      <w:r>
        <w:rPr>
          <w:rFonts w:ascii="Verdana" w:eastAsia="Verdana" w:hAnsi="Verdana" w:cs="Verdana"/>
          <w:color w:val="000000" w:themeColor="text1"/>
          <w:lang w:val="es"/>
        </w:rPr>
        <w:t xml:space="preserve"> de octubre de 2026</w:t>
      </w:r>
    </w:p>
    <w:p w14:paraId="097A673D" w14:textId="77777777" w:rsidR="002F4D5D" w:rsidRDefault="002F4D5D" w:rsidP="002F4D5D">
      <w:pPr>
        <w:spacing w:after="0" w:line="240" w:lineRule="auto"/>
        <w:jc w:val="both"/>
        <w:textAlignment w:val="baseline"/>
        <w:rPr>
          <w:rFonts w:ascii="Verdana" w:eastAsia="Verdana" w:hAnsi="Verdana" w:cs="Verdana"/>
          <w:color w:val="000000" w:themeColor="text1"/>
          <w:lang w:val="es"/>
        </w:rPr>
      </w:pPr>
    </w:p>
    <w:p w14:paraId="6104752E" w14:textId="6D2C78E1" w:rsidR="00205875" w:rsidRDefault="00205875" w:rsidP="00205875">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276931AA" wp14:editId="53793D2B">
            <wp:extent cx="3028950" cy="971550"/>
            <wp:effectExtent l="0" t="0" r="0" b="0"/>
            <wp:docPr id="1229919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971550"/>
                    </a:xfrm>
                    <a:prstGeom prst="rect">
                      <a:avLst/>
                    </a:prstGeom>
                    <a:noFill/>
                    <a:ln>
                      <a:noFill/>
                    </a:ln>
                  </pic:spPr>
                </pic:pic>
              </a:graphicData>
            </a:graphic>
          </wp:inline>
        </w:drawing>
      </w:r>
    </w:p>
    <w:p w14:paraId="21405773" w14:textId="77777777" w:rsidR="00205875" w:rsidRDefault="00205875" w:rsidP="002F4D5D">
      <w:pPr>
        <w:spacing w:after="0" w:line="240" w:lineRule="auto"/>
        <w:jc w:val="both"/>
        <w:textAlignment w:val="baseline"/>
        <w:rPr>
          <w:rFonts w:ascii="Verdana" w:eastAsia="Verdana" w:hAnsi="Verdana" w:cs="Verdana"/>
          <w:color w:val="000000" w:themeColor="text1"/>
          <w:lang w:val="es"/>
        </w:rPr>
      </w:pPr>
    </w:p>
    <w:p w14:paraId="6CC7F5EC" w14:textId="77777777" w:rsidR="00205875" w:rsidRDefault="00205875" w:rsidP="002F4D5D">
      <w:pPr>
        <w:spacing w:after="0" w:line="240" w:lineRule="auto"/>
        <w:jc w:val="both"/>
        <w:textAlignment w:val="baseline"/>
        <w:rPr>
          <w:rFonts w:ascii="Verdana" w:eastAsia="Verdana" w:hAnsi="Verdana" w:cs="Verdana"/>
          <w:color w:val="000000" w:themeColor="text1"/>
          <w:lang w:val="es"/>
        </w:rPr>
      </w:pPr>
    </w:p>
    <w:p w14:paraId="7A8E303E" w14:textId="77777777" w:rsidR="00205875" w:rsidRDefault="00205875" w:rsidP="002F4D5D">
      <w:pPr>
        <w:spacing w:after="0" w:line="240" w:lineRule="auto"/>
        <w:jc w:val="both"/>
        <w:textAlignment w:val="baseline"/>
        <w:rPr>
          <w:rFonts w:ascii="Verdana" w:eastAsia="Verdana" w:hAnsi="Verdana" w:cs="Verdana"/>
          <w:color w:val="000000" w:themeColor="text1"/>
          <w:lang w:val="es"/>
        </w:rPr>
      </w:pPr>
    </w:p>
    <w:p w14:paraId="37D75751" w14:textId="77777777" w:rsidR="002F4D5D" w:rsidRDefault="002F4D5D" w:rsidP="002F4D5D">
      <w:pPr>
        <w:spacing w:after="0" w:line="240"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Señora</w:t>
      </w:r>
    </w:p>
    <w:p w14:paraId="5B3D9531" w14:textId="77777777" w:rsidR="002F4D5D" w:rsidRPr="00D70045" w:rsidRDefault="002F4D5D" w:rsidP="002F4D5D">
      <w:pPr>
        <w:spacing w:after="0" w:line="240" w:lineRule="auto"/>
        <w:jc w:val="both"/>
        <w:textAlignment w:val="baseline"/>
        <w:rPr>
          <w:rFonts w:ascii="Verdana" w:hAnsi="Verdana"/>
          <w:b/>
          <w:bCs/>
        </w:rPr>
      </w:pPr>
      <w:r>
        <w:rPr>
          <w:rFonts w:ascii="Verdana" w:hAnsi="Verdana"/>
          <w:b/>
          <w:bCs/>
        </w:rPr>
        <w:t>ELSA MISAS DE AVILA</w:t>
      </w:r>
    </w:p>
    <w:p w14:paraId="64915FAD" w14:textId="77777777" w:rsidR="002F4D5D" w:rsidRPr="00D70045" w:rsidRDefault="002F4D5D" w:rsidP="002F4D5D">
      <w:pPr>
        <w:spacing w:after="0" w:line="240" w:lineRule="auto"/>
        <w:jc w:val="both"/>
        <w:textAlignment w:val="baseline"/>
        <w:rPr>
          <w:rFonts w:ascii="Verdana" w:hAnsi="Verdana"/>
        </w:rPr>
      </w:pPr>
      <w:hyperlink r:id="rId12" w:history="1">
        <w:r>
          <w:rPr>
            <w:rStyle w:val="Hipervnculo"/>
            <w:rFonts w:ascii="Verdana" w:hAnsi="Verdana"/>
          </w:rPr>
          <w:t>elsa.misas@gmail.com</w:t>
        </w:r>
      </w:hyperlink>
      <w:r>
        <w:rPr>
          <w:rFonts w:ascii="Verdana" w:hAnsi="Verdana"/>
        </w:rPr>
        <w:t xml:space="preserve"> </w:t>
      </w:r>
    </w:p>
    <w:p w14:paraId="381058C0" w14:textId="77777777" w:rsidR="002F4D5D" w:rsidRDefault="002F4D5D" w:rsidP="002F4D5D">
      <w:pPr>
        <w:spacing w:after="0" w:line="240" w:lineRule="auto"/>
        <w:jc w:val="both"/>
        <w:textAlignment w:val="baseline"/>
        <w:rPr>
          <w:rFonts w:ascii="Verdana" w:hAnsi="Verdana"/>
        </w:rPr>
      </w:pPr>
      <w:r>
        <w:rPr>
          <w:rFonts w:ascii="Verdana" w:hAnsi="Verdana"/>
        </w:rPr>
        <w:t>Bogotá D.C.</w:t>
      </w:r>
    </w:p>
    <w:p w14:paraId="66297C9D" w14:textId="77777777" w:rsidR="002F4D5D" w:rsidRPr="003D5882" w:rsidRDefault="002F4D5D" w:rsidP="002F4D5D">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2F4D5D" w14:paraId="358F608E" w14:textId="77777777" w:rsidTr="000D5A77">
        <w:trPr>
          <w:trHeight w:val="615"/>
        </w:trPr>
        <w:tc>
          <w:tcPr>
            <w:tcW w:w="2265" w:type="dxa"/>
            <w:shd w:val="clear" w:color="auto" w:fill="FFFFFF" w:themeFill="background1"/>
            <w:tcMar>
              <w:left w:w="108" w:type="dxa"/>
              <w:right w:w="108" w:type="dxa"/>
            </w:tcMar>
          </w:tcPr>
          <w:p w14:paraId="609E7C15" w14:textId="77777777" w:rsidR="002F4D5D" w:rsidRDefault="002F4D5D" w:rsidP="000D5A77">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3B0B24CB" w14:textId="77777777" w:rsidR="002F4D5D" w:rsidRDefault="002F4D5D" w:rsidP="000D5A77">
            <w:pPr>
              <w:jc w:val="both"/>
            </w:pPr>
            <w:r>
              <w:rPr>
                <w:rFonts w:ascii="Verdana" w:eastAsia="Verdana" w:hAnsi="Verdana" w:cs="Verdana"/>
                <w:b/>
                <w:bCs/>
                <w:color w:val="000000" w:themeColor="text1"/>
                <w:lang w:val="es"/>
              </w:rPr>
              <w:t>Concepto C- 1383 de 2026</w:t>
            </w:r>
          </w:p>
        </w:tc>
      </w:tr>
      <w:tr w:rsidR="002F4D5D" w:rsidRPr="004F242E" w14:paraId="7D960979" w14:textId="77777777" w:rsidTr="000D5A77">
        <w:trPr>
          <w:trHeight w:val="1065"/>
        </w:trPr>
        <w:tc>
          <w:tcPr>
            <w:tcW w:w="2265" w:type="dxa"/>
            <w:shd w:val="clear" w:color="auto" w:fill="FFFFFF" w:themeFill="background1"/>
            <w:tcMar>
              <w:left w:w="108" w:type="dxa"/>
              <w:right w:w="108" w:type="dxa"/>
            </w:tcMar>
          </w:tcPr>
          <w:p w14:paraId="5877F523" w14:textId="77777777" w:rsidR="002F4D5D" w:rsidRDefault="002F4D5D" w:rsidP="000D5A77">
            <w:pPr>
              <w:jc w:val="both"/>
            </w:pPr>
            <w:r>
              <w:rPr>
                <w:rFonts w:ascii="Verdana" w:eastAsia="Verdana" w:hAnsi="Verdana" w:cs="Verdana"/>
                <w:b/>
                <w:bCs/>
                <w:color w:val="000000" w:themeColor="text1"/>
              </w:rPr>
              <w:t>Temas:</w:t>
            </w:r>
            <w:r>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0D04197B" w14:textId="77777777" w:rsidR="002F4D5D" w:rsidRDefault="002F4D5D" w:rsidP="00852996">
            <w:pPr>
              <w:spacing w:line="276" w:lineRule="auto"/>
              <w:jc w:val="both"/>
              <w:rPr>
                <w:rFonts w:ascii="Verdana" w:eastAsia="Calibri" w:hAnsi="Verdana" w:cs="Arial"/>
                <w:lang w:val="es-ES" w:eastAsia="es-ES"/>
              </w:rPr>
            </w:pPr>
            <w:r>
              <w:rPr>
                <w:rFonts w:ascii="Verdana" w:eastAsia="Calibri" w:hAnsi="Verdana" w:cs="Arial"/>
                <w:lang w:val="es-ES" w:eastAsia="es-ES"/>
              </w:rPr>
              <w:t>LIQUIDACIÓN DEL CONTRATO – Concepto – Naturaleza jurídica – Finalidad / LIQUIDACIÓN DEL CONTRATO – Tipos de liquidación – Bilateral, unilateral y liquidación judicial / GARANTÍA ÚNICA DE CUMPLIMIENTO – Amparos – Definición – Coberturas – Vigencia mínima / DECRETO 1082 DE 2015 – Régimen de garantías – Definición de amparos – Reglas sobre suficiencia y vigencia</w:t>
            </w:r>
          </w:p>
          <w:p w14:paraId="71524E62" w14:textId="77777777" w:rsidR="002F4D5D" w:rsidRPr="00967C68" w:rsidRDefault="002F4D5D" w:rsidP="000D5A77">
            <w:pPr>
              <w:spacing w:line="276" w:lineRule="auto"/>
              <w:jc w:val="both"/>
            </w:pPr>
          </w:p>
        </w:tc>
      </w:tr>
      <w:tr w:rsidR="002F4D5D" w14:paraId="110C8282" w14:textId="77777777" w:rsidTr="000D5A77">
        <w:trPr>
          <w:trHeight w:val="660"/>
        </w:trPr>
        <w:tc>
          <w:tcPr>
            <w:tcW w:w="2265" w:type="dxa"/>
            <w:shd w:val="clear" w:color="auto" w:fill="FFFFFF" w:themeFill="background1"/>
            <w:tcMar>
              <w:left w:w="108" w:type="dxa"/>
              <w:right w:w="108" w:type="dxa"/>
            </w:tcMar>
          </w:tcPr>
          <w:p w14:paraId="7FF65B2B" w14:textId="77777777" w:rsidR="002F4D5D" w:rsidRDefault="002F4D5D" w:rsidP="000D5A77">
            <w:pPr>
              <w:jc w:val="both"/>
            </w:pPr>
            <w:r>
              <w:rPr>
                <w:rFonts w:ascii="Verdana" w:eastAsia="Verdana" w:hAnsi="Verdana" w:cs="Verdana"/>
                <w:b/>
                <w:bCs/>
                <w:color w:val="000000" w:themeColor="text1"/>
              </w:rPr>
              <w:t>Radicación:</w:t>
            </w:r>
            <w:r>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9147656" w14:textId="77777777" w:rsidR="002F4D5D" w:rsidRDefault="002F4D5D" w:rsidP="000D5A77">
            <w:pPr>
              <w:ind w:right="1"/>
              <w:jc w:val="both"/>
            </w:pPr>
            <w:r>
              <w:rPr>
                <w:rFonts w:ascii="Verdana" w:eastAsia="Verdana" w:hAnsi="Verdana" w:cs="Verdana"/>
                <w:color w:val="000000" w:themeColor="text1"/>
              </w:rPr>
              <w:t>Respuesta a consulta con radicado N.º 1_2026_09_03_011734.</w:t>
            </w:r>
          </w:p>
        </w:tc>
      </w:tr>
    </w:tbl>
    <w:p w14:paraId="27F770B9" w14:textId="77777777" w:rsidR="002F4D5D" w:rsidRPr="001D2321" w:rsidRDefault="002F4D5D" w:rsidP="002F4D5D">
      <w:pPr>
        <w:spacing w:after="0" w:line="276" w:lineRule="auto"/>
        <w:jc w:val="both"/>
        <w:textAlignment w:val="baseline"/>
        <w:rPr>
          <w:rFonts w:ascii="Verdana" w:eastAsia="Verdana" w:hAnsi="Verdana" w:cs="Verdana"/>
          <w:b/>
          <w:bCs/>
          <w:color w:val="000000" w:themeColor="text1"/>
          <w:lang w:val="es"/>
        </w:rPr>
      </w:pPr>
    </w:p>
    <w:p w14:paraId="5AAC2539" w14:textId="77777777" w:rsidR="002F4D5D" w:rsidRPr="0015699B" w:rsidRDefault="002F4D5D" w:rsidP="002F4D5D">
      <w:pPr>
        <w:spacing w:after="0" w:line="276"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Estimada señora Misas;</w:t>
      </w:r>
    </w:p>
    <w:p w14:paraId="191CE881" w14:textId="77777777" w:rsidR="002F4D5D" w:rsidRDefault="002F4D5D" w:rsidP="002F4D5D">
      <w:pPr>
        <w:spacing w:after="120" w:line="276" w:lineRule="auto"/>
        <w:jc w:val="both"/>
        <w:textAlignment w:val="baseline"/>
        <w:rPr>
          <w:rFonts w:ascii="Verdana" w:eastAsia="Verdana" w:hAnsi="Verdana" w:cs="Verdana"/>
          <w:color w:val="000000" w:themeColor="text1"/>
          <w:lang w:val="es-ES"/>
        </w:rPr>
      </w:pPr>
    </w:p>
    <w:p w14:paraId="05106CD1" w14:textId="77777777" w:rsidR="002F4D5D" w:rsidRDefault="002F4D5D" w:rsidP="002F4D5D">
      <w:pPr>
        <w:spacing w:after="120" w:line="276" w:lineRule="auto"/>
        <w:jc w:val="both"/>
        <w:textAlignment w:val="baseline"/>
        <w:rPr>
          <w:rFonts w:ascii="Verdana" w:eastAsia="Verdana" w:hAnsi="Verdana" w:cs="Verdana"/>
          <w:color w:val="000000" w:themeColor="text1"/>
          <w:lang w:val="es-ES"/>
        </w:rPr>
      </w:pPr>
      <w:r>
        <w:rPr>
          <w:rFonts w:ascii="Verdana" w:eastAsia="Verdana" w:hAnsi="Verdana" w:cs="Verdana"/>
          <w:color w:val="000000" w:themeColor="text1"/>
          <w:lang w:val="es-ES"/>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03 de septiembre de 2026 en la cual manifiesta lo siguiente:</w:t>
      </w:r>
    </w:p>
    <w:p w14:paraId="023ACE51" w14:textId="275EE219" w:rsidR="002F4D5D" w:rsidRPr="008A07FC" w:rsidRDefault="002F4D5D" w:rsidP="001B3C5D">
      <w:pPr>
        <w:ind w:left="567" w:right="758"/>
        <w:jc w:val="both"/>
        <w:rPr>
          <w:rFonts w:ascii="Verdana" w:hAnsi="Verdana"/>
          <w:sz w:val="21"/>
          <w:szCs w:val="21"/>
        </w:rPr>
      </w:pPr>
      <w:r>
        <w:rPr>
          <w:rFonts w:ascii="Verdana" w:hAnsi="Verdana"/>
        </w:rPr>
        <w:lastRenderedPageBreak/>
        <w:t>“</w:t>
      </w:r>
      <w:r w:rsidR="001B3C5D">
        <w:rPr>
          <w:rFonts w:ascii="Verdana" w:hAnsi="Verdana"/>
        </w:rPr>
        <w:t xml:space="preserve">[…] </w:t>
      </w:r>
      <w:r>
        <w:rPr>
          <w:rFonts w:ascii="Verdana" w:hAnsi="Verdana"/>
          <w:sz w:val="21"/>
          <w:szCs w:val="21"/>
        </w:rPr>
        <w:t>solicito amablemente emitir concepto respondiendo puntualmente a los siguientes interrogantes:</w:t>
      </w:r>
    </w:p>
    <w:p w14:paraId="2509BBD0" w14:textId="77777777" w:rsidR="002F4D5D" w:rsidRPr="00977D1D" w:rsidRDefault="002F4D5D" w:rsidP="002F4D5D">
      <w:pPr>
        <w:pStyle w:val="Listaconvietas"/>
        <w:tabs>
          <w:tab w:val="num" w:pos="360"/>
        </w:tabs>
        <w:ind w:left="567" w:right="758"/>
        <w:jc w:val="both"/>
        <w:rPr>
          <w:rFonts w:ascii="Verdana" w:hAnsi="Verdana"/>
          <w:szCs w:val="21"/>
          <w:lang w:val="es-CO"/>
        </w:rPr>
      </w:pPr>
      <w:r w:rsidRPr="00977D1D">
        <w:rPr>
          <w:rFonts w:ascii="Verdana" w:hAnsi="Verdana"/>
          <w:szCs w:val="21"/>
          <w:lang w:val="es-CO"/>
        </w:rPr>
        <w:t>Procedencia de la exigencia: ¿Es jurídicamente obligatorio o procedente exigir al contratista o cooperante la ampliación/modificación de la vigencia de las pólizas de garantía para proceder a la firma del acta de liquidación, cuando el objeto contractual se ejecutó en su totalidad y las coberturas de ejecución ya vencieron?</w:t>
      </w:r>
    </w:p>
    <w:p w14:paraId="0176F1DC" w14:textId="77777777" w:rsidR="002F4D5D" w:rsidRPr="00977D1D" w:rsidRDefault="002F4D5D" w:rsidP="002F4D5D">
      <w:pPr>
        <w:pStyle w:val="Listaconvietas"/>
        <w:tabs>
          <w:tab w:val="num" w:pos="360"/>
        </w:tabs>
        <w:ind w:left="567" w:right="758"/>
        <w:jc w:val="both"/>
        <w:rPr>
          <w:rFonts w:ascii="Verdana" w:hAnsi="Verdana"/>
          <w:szCs w:val="21"/>
          <w:lang w:val="es-CO"/>
        </w:rPr>
      </w:pPr>
      <w:r w:rsidRPr="00977D1D">
        <w:rPr>
          <w:rFonts w:ascii="Verdana" w:hAnsi="Verdana"/>
          <w:szCs w:val="21"/>
          <w:lang w:val="es-CO"/>
        </w:rPr>
        <w:t>Coberturas y amparos post-ejecución: De acuerdo con la reglamentación de las garantías en la contratación estatal (Decreto 1082 de 2015), ¿cuáles amparos específicos (ej. calidad del servicio, estabilidad de la obra, cumplimiento, salarios y prestaciones) deben legalmente mantenerse vigentes durante la etapa de liquidación posterior al vencimiento del plazo de ejecución?</w:t>
      </w:r>
    </w:p>
    <w:p w14:paraId="4B29407D" w14:textId="77777777" w:rsidR="002F4D5D" w:rsidRPr="00977D1D" w:rsidRDefault="002F4D5D" w:rsidP="002F4D5D">
      <w:pPr>
        <w:pStyle w:val="Listaconvietas"/>
        <w:tabs>
          <w:tab w:val="num" w:pos="360"/>
        </w:tabs>
        <w:ind w:left="567" w:right="758"/>
        <w:jc w:val="both"/>
        <w:rPr>
          <w:rFonts w:ascii="Verdana" w:hAnsi="Verdana"/>
          <w:szCs w:val="21"/>
          <w:lang w:val="es-CO"/>
        </w:rPr>
      </w:pPr>
      <w:r w:rsidRPr="00977D1D">
        <w:rPr>
          <w:rFonts w:ascii="Verdana" w:hAnsi="Verdana"/>
          <w:szCs w:val="21"/>
          <w:lang w:val="es-CO"/>
        </w:rPr>
        <w:t>Plazos de liquidación vencidos: En los casos donde han transcurrido los cuatro (4) meses para la liquidación de común acuerdo o donde el término de dos (2) años para la liquidación extemporánea o judicial está próximo a vencer, ¿constituye la falta de ampliación de una póliza un impedimento legal para suscribir la liquidación bilateral o proceder con la liquidación unilateral?</w:t>
      </w:r>
    </w:p>
    <w:p w14:paraId="089BE4C4" w14:textId="77777777" w:rsidR="002F4D5D" w:rsidRPr="00977D1D" w:rsidRDefault="002F4D5D" w:rsidP="002F4D5D">
      <w:pPr>
        <w:pStyle w:val="Listaconvietas"/>
        <w:tabs>
          <w:tab w:val="num" w:pos="360"/>
        </w:tabs>
        <w:ind w:left="567" w:right="758"/>
        <w:jc w:val="both"/>
        <w:rPr>
          <w:rFonts w:ascii="Verdana" w:hAnsi="Verdana"/>
          <w:szCs w:val="21"/>
          <w:lang w:val="es-CO"/>
        </w:rPr>
      </w:pPr>
      <w:r w:rsidRPr="00977D1D">
        <w:rPr>
          <w:rFonts w:ascii="Verdana" w:hAnsi="Verdana"/>
          <w:szCs w:val="21"/>
          <w:lang w:val="es-CO"/>
        </w:rPr>
        <w:t>Mecanismos alternativos y riesgos de caducidad: De persistir la imposibilidad técnica o negativa de la aseguradora/contratista para ampliar la vigencia de las pólizas en convenios ya ejecutados, ¿cuál es el procedimiento jurídico viable para cerrar financieramente el expediente contractual sin incurrir en la caducidad de la facultad liquidadora de la administración?”</w:t>
      </w:r>
    </w:p>
    <w:p w14:paraId="5FA3DA9D" w14:textId="77777777" w:rsidR="002F4D5D" w:rsidRPr="0015699B" w:rsidRDefault="002F4D5D" w:rsidP="001E0D95">
      <w:pPr>
        <w:tabs>
          <w:tab w:val="left" w:pos="7655"/>
          <w:tab w:val="left" w:pos="7797"/>
        </w:tabs>
        <w:spacing w:line="276" w:lineRule="auto"/>
        <w:ind w:right="49"/>
        <w:jc w:val="both"/>
        <w:rPr>
          <w:rFonts w:ascii="Calibri" w:eastAsia="Calibri" w:hAnsi="Calibri" w:cs="Calibri"/>
          <w:lang w:val="es"/>
        </w:rPr>
      </w:pPr>
      <w:r>
        <w:rPr>
          <w:rFonts w:ascii="Verdana" w:eastAsia="Verdana" w:hAnsi="Verdana" w:cs="Verdana"/>
          <w:color w:val="000000" w:themeColor="text1"/>
          <w:sz w:val="21"/>
          <w:szCs w:val="21"/>
        </w:rPr>
        <w:t xml:space="preserve">         </w:t>
      </w:r>
      <w:r>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w:t>
      </w:r>
      <w:r>
        <w:rPr>
          <w:rFonts w:ascii="Verdana" w:eastAsia="Verdana" w:hAnsi="Verdana" w:cs="Verdana"/>
          <w:color w:val="000000" w:themeColor="text1"/>
          <w:lang w:val="es"/>
        </w:rPr>
        <w:lastRenderedPageBreak/>
        <w:t xml:space="preserve">extenderse a la resolución de controversias, ni a brindar asesorías sobre casos puntuales. </w:t>
      </w:r>
      <w:r>
        <w:rPr>
          <w:rFonts w:ascii="Calibri" w:eastAsia="Calibri" w:hAnsi="Calibri" w:cs="Calibri"/>
          <w:lang w:val="es"/>
        </w:rPr>
        <w:t xml:space="preserve">      </w:t>
      </w:r>
    </w:p>
    <w:p w14:paraId="2C06A7B5" w14:textId="77777777" w:rsidR="002F4D5D" w:rsidRPr="0015699B" w:rsidRDefault="002F4D5D" w:rsidP="001E0D95">
      <w:pPr>
        <w:spacing w:after="0" w:line="276" w:lineRule="auto"/>
        <w:ind w:right="49" w:firstLine="708"/>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65C8919" w14:textId="77777777" w:rsidR="002F4D5D" w:rsidRDefault="002F4D5D" w:rsidP="001B3C5D">
      <w:pPr>
        <w:spacing w:after="0" w:line="276" w:lineRule="auto"/>
        <w:ind w:firstLine="709"/>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 </w:t>
      </w:r>
    </w:p>
    <w:p w14:paraId="77043C5A" w14:textId="77777777" w:rsidR="002F4D5D" w:rsidRPr="0015699B" w:rsidRDefault="002F4D5D" w:rsidP="002F4D5D">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Pr>
          <w:rFonts w:ascii="Verdana" w:eastAsia="Verdana" w:hAnsi="Verdana" w:cs="Verdana"/>
          <w:b/>
          <w:bCs/>
          <w:color w:val="000000" w:themeColor="text1"/>
          <w:lang w:val="es"/>
        </w:rPr>
        <w:t>Problema planteado:</w:t>
      </w:r>
    </w:p>
    <w:p w14:paraId="788C3257" w14:textId="77777777" w:rsidR="002F4D5D" w:rsidRPr="0015699B" w:rsidRDefault="002F4D5D" w:rsidP="002F4D5D">
      <w:pPr>
        <w:tabs>
          <w:tab w:val="left" w:pos="426"/>
        </w:tabs>
        <w:spacing w:after="0" w:line="276"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 </w:t>
      </w:r>
    </w:p>
    <w:p w14:paraId="3574384E" w14:textId="77777777" w:rsidR="002F4D5D" w:rsidRDefault="002F4D5D" w:rsidP="001B3C5D">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lang w:val="es"/>
        </w:rPr>
        <w:t xml:space="preserve">De acuerdo con el contenido de su solicitud, esta Agencia resolverá el siguiente problema jurídico: </w:t>
      </w:r>
      <w:r>
        <w:rPr>
          <w:rFonts w:ascii="Verdana" w:eastAsia="Verdana" w:hAnsi="Verdana" w:cs="Verdana"/>
          <w:color w:val="000000" w:themeColor="text1"/>
        </w:rPr>
        <w:t>i) ¿la exigencia de mantener o ampliar la vigencia de las garantías constituye un requisito para suscribir la liquidación de los convenios y contratos estatales —incluidos los interadministrativos— cuyo objeto se ejecutó en su totalidad, y ii) qué amparos deben permanecer vigentes durante la etapa de liquidación conforme al régimen del Decreto 1082 de 2015 y a los términos legales para liquidar?</w:t>
      </w:r>
    </w:p>
    <w:p w14:paraId="46A0D630" w14:textId="77777777" w:rsidR="002F4D5D" w:rsidRDefault="002F4D5D" w:rsidP="002F4D5D">
      <w:pPr>
        <w:spacing w:after="0" w:line="276" w:lineRule="auto"/>
        <w:ind w:left="284"/>
        <w:jc w:val="both"/>
        <w:textAlignment w:val="baseline"/>
        <w:rPr>
          <w:rFonts w:ascii="Verdana" w:eastAsia="Verdana" w:hAnsi="Verdana" w:cs="Verdana"/>
          <w:color w:val="000000" w:themeColor="text1"/>
        </w:rPr>
      </w:pPr>
    </w:p>
    <w:p w14:paraId="2345BEB7" w14:textId="77777777" w:rsidR="002F4D5D" w:rsidRDefault="002F4D5D" w:rsidP="002F4D5D">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Pr>
          <w:rFonts w:ascii="Verdana" w:eastAsia="Verdana" w:hAnsi="Verdana" w:cs="Verdana"/>
          <w:b/>
          <w:bCs/>
          <w:lang w:val="es"/>
        </w:rPr>
        <w:t>Respuesta:</w:t>
      </w:r>
    </w:p>
    <w:p w14:paraId="45B22CB3" w14:textId="77777777" w:rsidR="002F4D5D" w:rsidRPr="0015699B" w:rsidRDefault="002F4D5D" w:rsidP="002F4D5D">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2F4D5D" w14:paraId="0E32D40D" w14:textId="77777777" w:rsidTr="000D5A77">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5F69AE09" w14:textId="77777777" w:rsidR="002F4D5D" w:rsidRPr="001B3C5D" w:rsidRDefault="002F4D5D" w:rsidP="001B3C5D">
            <w:pPr>
              <w:spacing w:after="120" w:line="276" w:lineRule="auto"/>
              <w:jc w:val="both"/>
            </w:pPr>
            <w:r w:rsidRPr="001E0D95">
              <w:rPr>
                <w:rFonts w:ascii="Verdana" w:eastAsia="Verdana" w:hAnsi="Verdana" w:cs="Verdana"/>
              </w:rPr>
              <w:t>i. La terminación de la ejecución física y financiera no extingue, por sí sola, las obligaciones de garantía ni las demás obligaciones del contrato. Para determinar si procede exigir la ampliación de un amparo, la entidad debe identificar la naturaleza y el régimen del negocio —distinguiendo el contrato interadministrativo, de obligaciones recíprocas y sujeto al Estatuto General de Contratación, del convenio de cooperación del artículo 95 de la Ley 489 de 1998—, las garantías efectivamente exigidas, las obligaciones pendientes y la vigencia propia de cada amparo.</w:t>
            </w:r>
          </w:p>
          <w:p w14:paraId="74467565" w14:textId="77777777" w:rsidR="002F4D5D" w:rsidRPr="001B3C5D" w:rsidRDefault="002F4D5D" w:rsidP="001E0D95">
            <w:pPr>
              <w:spacing w:after="120" w:line="276" w:lineRule="auto"/>
              <w:ind w:firstLine="709"/>
              <w:jc w:val="both"/>
            </w:pPr>
            <w:r w:rsidRPr="001E0D95">
              <w:rPr>
                <w:rFonts w:ascii="Verdana" w:eastAsia="Verdana" w:hAnsi="Verdana" w:cs="Verdana"/>
              </w:rPr>
              <w:t xml:space="preserve">Cuando resulte aplicable el régimen general de garantías, el amparo de cumplimiento debe tener una vigencia mínima hasta la liquidación, y el artículo 60 de la Ley 80 de 1993 impone exigir la extensión o ampliación que corresponda para las obligaciones posteriores. Por ello, la entidad debe requerir esa ampliación cuando resulte legal y contractualmente procedente y documentar sus actuaciones, de modo que no es exacto afirmar, en abstracto, </w:t>
            </w:r>
            <w:r w:rsidRPr="001E0D95">
              <w:rPr>
                <w:rFonts w:ascii="Verdana" w:eastAsia="Verdana" w:hAnsi="Verdana" w:cs="Verdana"/>
              </w:rPr>
              <w:lastRenderedPageBreak/>
              <w:t>que la ampliación nunca constituye una exigencia legal. Ahora bien, su ausencia no suspende ni amplía los términos para liquidar o demandar, ni autoriza una espera indefinida: la liquidación debe reflejar el estado real de las obligaciones y coberturas, sin extender un paz y salvo a los asuntos pendientes que deban reservarse.</w:t>
            </w:r>
          </w:p>
          <w:p w14:paraId="4E1293A2" w14:textId="77777777" w:rsidR="002F4D5D" w:rsidRPr="001B3C5D" w:rsidRDefault="002F4D5D" w:rsidP="001E0D95">
            <w:pPr>
              <w:spacing w:after="120" w:line="276" w:lineRule="auto"/>
              <w:ind w:firstLine="709"/>
              <w:jc w:val="both"/>
            </w:pPr>
            <w:r w:rsidRPr="001E0D95">
              <w:rPr>
                <w:rFonts w:ascii="Verdana" w:eastAsia="Verdana" w:hAnsi="Verdana" w:cs="Verdana"/>
              </w:rPr>
              <w:t>Los términos para liquidar tampoco son uniformes. En los contratos sujetos al Estatuto General rige el artículo 11 de la Ley 1150 de 2007 —plazo bilateral pactado o, en su defecto, cuatro meses; luego la facultad unilateral subsidiaria dentro de los dos meses siguientes, y una oportunidad posterior dentro del término de caducidad—, sin que el vencimiento de los primeros plazos extinga por sí solo toda posibilidad de liquidar. En los convenios de cooperación que no habilitan la liquidación unilateral no se incorpora automáticamente el tramo de dos meses, pues su procedencia depende del pacto expreso. La competencia administrativa para liquidar cesa con la notificación del auto admisorio de la demanda que pretende la liquidación judicial o con el vencimiento de la caducidad del medio de control de controversias contractuales, sin que la permanencia o la ampliación de la póliza reabra una competencia ya extinguida.</w:t>
            </w:r>
          </w:p>
          <w:p w14:paraId="39B69614" w14:textId="77777777" w:rsidR="002F4D5D" w:rsidRPr="001B3C5D" w:rsidRDefault="002F4D5D" w:rsidP="001E0D95">
            <w:pPr>
              <w:spacing w:after="120" w:line="276" w:lineRule="auto"/>
              <w:ind w:firstLine="709"/>
              <w:jc w:val="both"/>
            </w:pPr>
            <w:r w:rsidRPr="001E0D95">
              <w:rPr>
                <w:rFonts w:ascii="Verdana" w:eastAsia="Verdana" w:hAnsi="Verdana" w:cs="Verdana"/>
              </w:rPr>
              <w:t>Ante la imposibilidad o la negativa de ampliar, la entidad debe requerir formalmente la ampliación que corresponda, recabar la justificación de la negativa y, mientras exista oportunidad legal, promover la liquidación bilateral con reservas y constancias específicas; si esta fracasa, acudir a la liquidación unilateral solo cuando esté habilitada, o al juez competente. La evaluación de los incumplimientos de obligaciones principales —cuando exista potestad para ello— debe adelantarse antes de liquidar, sin confundirla con la efectividad de los amparos por obligaciones posteriores, como la estabilidad de la obra. Si el siniestro ocurrió durante la vigencia del amparo, su reclamación procede aunque la póliza haya expirado, conforme a las reglas del contrato de seguro. En los convenios de cooperación no puede imponerse, como requisito, una declaratoria administrativa de incumplimiento carente de fundamento legal.</w:t>
            </w:r>
          </w:p>
          <w:p w14:paraId="2CA84A25" w14:textId="77777777" w:rsidR="002F4D5D" w:rsidRDefault="002F4D5D" w:rsidP="001B3C5D">
            <w:pPr>
              <w:spacing w:after="120" w:line="276" w:lineRule="auto"/>
              <w:jc w:val="both"/>
            </w:pPr>
            <w:r w:rsidRPr="001E0D95">
              <w:rPr>
                <w:rFonts w:ascii="Verdana" w:eastAsia="Verdana" w:hAnsi="Verdana" w:cs="Verdana"/>
              </w:rPr>
              <w:t xml:space="preserve">ii. No existe una vigencia única para todos los amparos; su permanencia durante la etapa de liquidación depende del régimen propio de cada uno. El amparo de cumplimiento se extiende, como mínimo, hasta la liquidación del contrato, según el artículo 2.2.1.2.3.1.12 del Decreto 1082 de 2015; el de pago de salarios, prestaciones sociales e indemnizaciones laborales, por el </w:t>
            </w:r>
            <w:r w:rsidRPr="001E0D95">
              <w:rPr>
                <w:rFonts w:ascii="Verdana" w:eastAsia="Verdana" w:hAnsi="Verdana" w:cs="Verdana"/>
              </w:rPr>
              <w:lastRenderedPageBreak/>
              <w:t>plazo del contrato y tres años más; y el de estabilidad y calidad de la obra, por regla general, cinco años contados desde el recibo a satisfacción de la obra, con la excepción técnica reglamentaria, que no puede fijar un término inferior a un año. Los amparos de calidad del servicio y de calidad y correcto funcionamiento de los bienes se determinan según las características del objeto, las obligaciones y los riesgos, y en los contratos de interventoría rige la regla especial de correspondencia con la garantía de estabilidad del contrato principal. Por ello, ni la ejecución total ni la sola proximidad de la liquidación justifican ampliar indistintamente todos los amparos, y la afirmación de que todos deben llegar, como mínimo, hasta la liquidación debe entenderse referida al amparo de cumplimiento y a los riesgos que efectivamente subsistan. Además, la liquidación y el cierre del expediente no se identifican: pueden subsistir obligaciones y amparos posteriores a aquella, conforme al artículo 2.2.1.1.2.4.3 del mismo decreto.</w:t>
            </w:r>
          </w:p>
          <w:p w14:paraId="4F312EDA" w14:textId="77777777" w:rsidR="002F4D5D" w:rsidRDefault="002F4D5D" w:rsidP="001B3C5D">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 debe advertirse que el análisis para resolver problemas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en adoptar la decisión y, en caso de conflicto, a las autoridades judiciales, fiscales y disciplinarias.</w:t>
            </w:r>
          </w:p>
          <w:p w14:paraId="2CDF50FD" w14:textId="77777777" w:rsidR="002F4D5D" w:rsidRPr="00F87343" w:rsidRDefault="002F4D5D" w:rsidP="001B3C5D">
            <w:pPr>
              <w:spacing w:before="120" w:line="276" w:lineRule="auto"/>
              <w:ind w:firstLine="709"/>
              <w:jc w:val="both"/>
              <w:rPr>
                <w:rFonts w:ascii="Verdana" w:hAnsi="Verdana" w:cs="Arial"/>
                <w:lang w:eastAsia="es-ES"/>
              </w:rPr>
            </w:pPr>
            <w:r>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4EFDBDE7" w14:textId="77777777" w:rsidR="002F4D5D" w:rsidRPr="0015699B" w:rsidRDefault="002F4D5D" w:rsidP="002F4D5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Pr>
          <w:rFonts w:ascii="Verdana" w:eastAsia="Verdana" w:hAnsi="Verdana" w:cs="Verdana"/>
          <w:b/>
          <w:bCs/>
          <w:color w:val="000000" w:themeColor="text1"/>
          <w:lang w:val="es"/>
        </w:rPr>
        <w:lastRenderedPageBreak/>
        <w:t xml:space="preserve"> </w:t>
      </w:r>
    </w:p>
    <w:p w14:paraId="776B362F" w14:textId="77777777" w:rsidR="002F4D5D" w:rsidRDefault="002F4D5D" w:rsidP="002F4D5D">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Pr>
          <w:rFonts w:ascii="Verdana" w:eastAsia="Verdana" w:hAnsi="Verdana" w:cs="Verdana"/>
          <w:b/>
          <w:bCs/>
          <w:color w:val="000000" w:themeColor="text1"/>
          <w:lang w:val="es"/>
        </w:rPr>
        <w:t>Razones de la respuesta:</w:t>
      </w:r>
    </w:p>
    <w:p w14:paraId="670A9F29" w14:textId="77777777" w:rsidR="002F4D5D" w:rsidRDefault="002F4D5D" w:rsidP="002F4D5D">
      <w:pPr>
        <w:spacing w:after="0" w:line="276" w:lineRule="auto"/>
        <w:jc w:val="both"/>
        <w:textAlignment w:val="baseline"/>
        <w:rPr>
          <w:rFonts w:ascii="Verdana" w:eastAsia="Verdana" w:hAnsi="Verdana" w:cs="Verdana"/>
          <w:b/>
          <w:bCs/>
          <w:color w:val="000000" w:themeColor="text1"/>
          <w:lang w:val="es"/>
        </w:rPr>
      </w:pPr>
    </w:p>
    <w:p w14:paraId="1D88CBED" w14:textId="77777777" w:rsidR="002F4D5D" w:rsidRPr="001E1DB9" w:rsidRDefault="002F4D5D" w:rsidP="002F4D5D">
      <w:pPr>
        <w:spacing w:after="0" w:line="276" w:lineRule="auto"/>
        <w:jc w:val="both"/>
        <w:textAlignment w:val="baseline"/>
        <w:rPr>
          <w:rFonts w:ascii="Verdana" w:eastAsia="Verdana" w:hAnsi="Verdana" w:cs="Verdana"/>
          <w:b/>
          <w:bCs/>
          <w:color w:val="000000" w:themeColor="text1"/>
          <w:lang w:val="es"/>
        </w:rPr>
      </w:pPr>
      <w:r>
        <w:rPr>
          <w:rFonts w:ascii="Verdana" w:eastAsia="Verdana" w:hAnsi="Verdana" w:cs="Verdana"/>
          <w:lang w:val="es"/>
        </w:rPr>
        <w:t>Lo anterior se sustenta en las siguientes consideraciones:</w:t>
      </w:r>
    </w:p>
    <w:p w14:paraId="24040962" w14:textId="77777777" w:rsidR="002F4D5D" w:rsidRPr="0015699B" w:rsidRDefault="002F4D5D" w:rsidP="002F4D5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Pr>
          <w:rFonts w:ascii="Verdana" w:eastAsia="Verdana" w:hAnsi="Verdana" w:cs="Verdana"/>
          <w:b/>
          <w:bCs/>
          <w:color w:val="000000" w:themeColor="text1"/>
          <w:lang w:val="es"/>
        </w:rPr>
        <w:t xml:space="preserve"> </w:t>
      </w:r>
    </w:p>
    <w:p w14:paraId="49E8B69D" w14:textId="77777777" w:rsidR="002F4D5D" w:rsidRPr="00B54634" w:rsidRDefault="002F4D5D" w:rsidP="002F4D5D">
      <w:pPr>
        <w:spacing w:after="120" w:line="276" w:lineRule="auto"/>
        <w:jc w:val="both"/>
        <w:rPr>
          <w:rFonts w:ascii="Verdana" w:eastAsia="Calibri" w:hAnsi="Verdana" w:cs="Arial"/>
          <w:lang w:val="es-ES_tradnl"/>
        </w:rPr>
      </w:pPr>
      <w:r>
        <w:rPr>
          <w:rFonts w:ascii="Verdana" w:eastAsia="Calibri" w:hAnsi="Verdana" w:cs="Arial"/>
          <w:lang w:val="es-ES"/>
        </w:rPr>
        <w:lastRenderedPageBreak/>
        <w:t xml:space="preserve">Inicialmente, debe precisarse que el Estatuto General de Contratación de la Administración Pública exige, por regla general, </w:t>
      </w:r>
      <w:r>
        <w:rPr>
          <w:rFonts w:ascii="Verdana" w:eastAsia="Calibri" w:hAnsi="Verdana" w:cs="Arial"/>
          <w:lang w:val="es-ES_tradnl"/>
        </w:rPr>
        <w:t xml:space="preserve">en los procesos de contratación pública </w:t>
      </w:r>
      <w:r>
        <w:rPr>
          <w:rFonts w:ascii="Verdana" w:eastAsia="Calibri" w:hAnsi="Verdana" w:cs="Arial"/>
          <w:lang w:val="es-ES"/>
        </w:rPr>
        <w:t xml:space="preserve">la constitución de garantías ya sea en la etapa precontractual, contractual o </w:t>
      </w:r>
      <w:proofErr w:type="spellStart"/>
      <w:r>
        <w:rPr>
          <w:rFonts w:ascii="Verdana" w:eastAsia="Calibri" w:hAnsi="Verdana" w:cs="Arial"/>
          <w:lang w:val="es-ES"/>
        </w:rPr>
        <w:t>postcontractual</w:t>
      </w:r>
      <w:proofErr w:type="spellEnd"/>
      <w:r>
        <w:rPr>
          <w:rFonts w:ascii="Verdana" w:eastAsia="Calibri" w:hAnsi="Verdana" w:cs="Arial"/>
          <w:lang w:val="es-ES"/>
        </w:rPr>
        <w:t>, con el fin de evitar o mitigar posibles riesgos</w:t>
      </w:r>
      <w:r>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7FB27FD8"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p>
    <w:p w14:paraId="7DDF875D"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0358EB68"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p>
    <w:p w14:paraId="054BA890"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r>
        <w:rPr>
          <w:rFonts w:ascii="Verdana" w:eastAsia="Calibri" w:hAnsi="Verdana" w:cs="Arial"/>
          <w:i/>
          <w:iCs/>
          <w:sz w:val="20"/>
          <w:szCs w:val="20"/>
          <w:lang w:val="es-ES_tradnl"/>
        </w:rPr>
        <w:t>Las garantías consistirán en pólizas expedidas por compañías de seguros legalmente autorizadas para funcionar en Colombia, en garantías bancarias y en general, en los demás mecanismos de cobertura del riesgo autorizados por el reglamento para el efecto.</w:t>
      </w:r>
      <w:r>
        <w:rPr>
          <w:rFonts w:ascii="Verdana" w:eastAsia="Calibri" w:hAnsi="Verdana" w:cs="Arial"/>
          <w:sz w:val="20"/>
          <w:szCs w:val="20"/>
          <w:lang w:val="es-ES_tradnl"/>
        </w:rPr>
        <w:t xml:space="preserve"> Tratándose de pólizas, las mismas no expirarán por falta de pago de la prima o por revocatoria unilateral. El Gobierno Nacional señalará las condiciones generales que deberán ser incluidas en las pólizas de cumplimiento de los contratos estatales.</w:t>
      </w:r>
    </w:p>
    <w:p w14:paraId="428E3D22"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p>
    <w:p w14:paraId="65CC0A41" w14:textId="77777777" w:rsidR="002F4D5D" w:rsidRPr="00B54634" w:rsidRDefault="002F4D5D" w:rsidP="002F4D5D">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Pr>
          <w:rFonts w:ascii="Verdana" w:eastAsia="Calibri" w:hAnsi="Verdana" w:cs="Arial"/>
          <w:sz w:val="20"/>
          <w:szCs w:val="20"/>
          <w:lang w:val="es-ES"/>
        </w:rPr>
        <w:t>que</w:t>
      </w:r>
      <w:proofErr w:type="gramEnd"/>
      <w:r>
        <w:rPr>
          <w:rFonts w:ascii="Verdana" w:eastAsia="Calibri" w:hAnsi="Verdana" w:cs="Arial"/>
          <w:sz w:val="20"/>
          <w:szCs w:val="20"/>
          <w:lang w:val="es-ES"/>
        </w:rPr>
        <w:t xml:space="preserve"> por las características y complejidad del contrato a celebrar, la garantía pueda ser dividida teniendo en cuenta las etapas o riesgos relativos a la ejecución del respectivo contrato. </w:t>
      </w:r>
    </w:p>
    <w:p w14:paraId="5FB255B3"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p>
    <w:p w14:paraId="578E980E"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146C3DBC"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 xml:space="preserve"> </w:t>
      </w:r>
    </w:p>
    <w:p w14:paraId="17891750" w14:textId="77777777" w:rsidR="002F4D5D" w:rsidRPr="00B54634" w:rsidRDefault="002F4D5D" w:rsidP="002F4D5D">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[Énfasis fuera de texto]</w:t>
      </w:r>
    </w:p>
    <w:p w14:paraId="01500C84" w14:textId="77777777" w:rsidR="002F4D5D" w:rsidRPr="00B54634" w:rsidRDefault="002F4D5D" w:rsidP="002F4D5D">
      <w:pPr>
        <w:spacing w:after="0" w:line="276" w:lineRule="auto"/>
        <w:jc w:val="both"/>
        <w:rPr>
          <w:rFonts w:ascii="Verdana" w:eastAsia="Calibri" w:hAnsi="Verdana" w:cs="Arial"/>
          <w:lang w:val="es-ES"/>
        </w:rPr>
      </w:pPr>
    </w:p>
    <w:p w14:paraId="76FCDD1F" w14:textId="77777777" w:rsidR="002F4D5D" w:rsidRPr="001B3C5D" w:rsidRDefault="002F4D5D" w:rsidP="002F4D5D">
      <w:pPr>
        <w:spacing w:after="120" w:line="276" w:lineRule="auto"/>
        <w:ind w:firstLine="709"/>
        <w:jc w:val="both"/>
        <w:rPr>
          <w:rFonts w:ascii="Verdana" w:eastAsia="Calibri" w:hAnsi="Verdana" w:cs="Arial"/>
          <w:color w:val="000000"/>
          <w:lang w:val="es-ES_tradnl"/>
        </w:rPr>
      </w:pPr>
      <w:r w:rsidRPr="001B3C5D">
        <w:rPr>
          <w:rFonts w:ascii="Verdana" w:eastAsia="Calibri" w:hAnsi="Verdana" w:cs="Arial"/>
          <w:color w:val="000000"/>
          <w:lang w:val="es-ES_tradnl"/>
        </w:rPr>
        <w:lastRenderedPageBreak/>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5DBBDECE" w14:textId="77777777" w:rsidR="002F4D5D" w:rsidRPr="001B3C5D" w:rsidRDefault="002F4D5D" w:rsidP="001E0D95">
      <w:pPr>
        <w:spacing w:after="120" w:line="276" w:lineRule="auto"/>
        <w:ind w:firstLine="709"/>
        <w:jc w:val="both"/>
        <w:rPr>
          <w:rFonts w:ascii="Verdana" w:eastAsia="Calibri" w:hAnsi="Verdana" w:cs="Arial"/>
          <w:color w:val="000000"/>
        </w:rPr>
      </w:pPr>
      <w:r w:rsidRPr="001B3C5D">
        <w:rPr>
          <w:rFonts w:ascii="Verdana" w:eastAsia="Calibri" w:hAnsi="Verdana" w:cs="Arial"/>
          <w:color w:val="000000"/>
          <w:lang w:val="es-ES_tradnl"/>
        </w:rPr>
        <w:t>De acuerdo a lo expresado anteriormente, l</w:t>
      </w:r>
      <w:r w:rsidRPr="001B3C5D">
        <w:rPr>
          <w:rFonts w:ascii="Verdana" w:eastAsia="Calibri" w:hAnsi="Verdana" w:cs="Arial"/>
          <w:color w:val="000000"/>
        </w:rPr>
        <w:t>os proponentes o contratistas, para garantizar el cumplimiento de sus obligaciones frente a entidades estatales en materia contractual, pueden otorgar, las garantías mediante los siguientes mecanismos de cobertura de los riesgos: i) contratos de seguro, que por su esencia, es el medio más usado para amparar los riesgos contractuales; 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1B3C5D">
        <w:rPr>
          <w:rFonts w:ascii="Verdana" w:eastAsia="Calibri" w:hAnsi="Verdana" w:cs="Arial"/>
          <w:color w:val="000000"/>
          <w:vertAlign w:val="superscript"/>
        </w:rPr>
        <w:footnoteReference w:id="1"/>
      </w:r>
      <w:r w:rsidRPr="001B3C5D">
        <w:rPr>
          <w:rFonts w:ascii="Verdana" w:eastAsia="Calibri" w:hAnsi="Verdana" w:cs="Arial"/>
          <w:color w:val="000000"/>
        </w:rPr>
        <w:t xml:space="preserve">;  iii) garantías bancarias o cartas de crédito </w:t>
      </w:r>
      <w:r w:rsidRPr="001B3C5D">
        <w:rPr>
          <w:rFonts w:ascii="Verdana" w:eastAsia="Calibri" w:hAnsi="Verdana" w:cs="Arial"/>
          <w:i/>
          <w:iCs/>
          <w:color w:val="000000"/>
        </w:rPr>
        <w:t>stand</w:t>
      </w:r>
      <w:r w:rsidRPr="001B3C5D">
        <w:rPr>
          <w:rFonts w:ascii="Verdana" w:eastAsia="Calibri" w:hAnsi="Verdana" w:cs="Arial"/>
          <w:color w:val="000000"/>
        </w:rPr>
        <w:t xml:space="preserve"> </w:t>
      </w:r>
      <w:r w:rsidRPr="001B3C5D">
        <w:rPr>
          <w:rFonts w:ascii="Verdana" w:eastAsia="Calibri" w:hAnsi="Verdana" w:cs="Arial"/>
          <w:i/>
          <w:iCs/>
          <w:color w:val="000000"/>
        </w:rPr>
        <w:t>by</w:t>
      </w:r>
      <w:r w:rsidRPr="001B3C5D">
        <w:rPr>
          <w:rFonts w:ascii="Verdana" w:eastAsia="Calibri" w:hAnsi="Verdana" w:cs="Arial"/>
          <w:color w:val="000000"/>
        </w:rPr>
        <w:t>, que consisten en compromisos irrevocables o incondicionales asumidos por una entidad financiera de pagar una suma determinada de dinero</w:t>
      </w:r>
      <w:r w:rsidRPr="001B3C5D">
        <w:rPr>
          <w:rFonts w:ascii="Verdana" w:eastAsia="Calibri" w:hAnsi="Verdana" w:cs="Arial"/>
          <w:color w:val="000000"/>
          <w:vertAlign w:val="superscript"/>
        </w:rPr>
        <w:footnoteReference w:id="2"/>
      </w:r>
      <w:r w:rsidRPr="001B3C5D">
        <w:rPr>
          <w:rFonts w:ascii="Verdana" w:eastAsia="Calibri" w:hAnsi="Verdana" w:cs="Arial"/>
          <w:color w:val="000000"/>
        </w:rPr>
        <w:t xml:space="preserve">. La suficiencia y la vigencia de las garantías deben ser las reguladas en los artículos 2.2.1.2.3.1.9 a 2.2.1.2.3.1.16 del Decreto 1082 de 2015. </w:t>
      </w:r>
    </w:p>
    <w:p w14:paraId="0B5F6379" w14:textId="77777777" w:rsidR="002F4D5D" w:rsidRDefault="002F4D5D" w:rsidP="002F4D5D">
      <w:pPr>
        <w:spacing w:after="0" w:line="276" w:lineRule="auto"/>
        <w:ind w:firstLine="709"/>
        <w:jc w:val="both"/>
      </w:pPr>
      <w:r w:rsidRPr="001B3C5D">
        <w:rPr>
          <w:rFonts w:ascii="Verdana" w:eastAsia="Calibri" w:hAnsi="Verdana" w:cs="Arial"/>
          <w:color w:val="000000"/>
          <w:lang w:val="es-ES_tradnl"/>
        </w:rPr>
        <w:t xml:space="preserve">Ahora bien, por corresponder a la categoría contractual sobre la que recae la consulta, debe precisarse que las garantías no son obligatorias en los contratos interadministrativos. El inciso final del artículo 7 de la Ley 1150 de 2007 exceptúa de la obligación de constituir garantía a los contratos interadministrativos, de empréstito y de seguro, y defiere a la entidad la decisión de exigirla según la naturaleza del objeto y la forma de pago. Como los contratos interadministrativos se celebran mediante contratación directa, resulta además </w:t>
      </w:r>
      <w:r w:rsidRPr="001B3C5D">
        <w:rPr>
          <w:rFonts w:ascii="Verdana" w:eastAsia="Calibri" w:hAnsi="Verdana" w:cs="Arial"/>
          <w:color w:val="000000"/>
          <w:lang w:val="es-ES_tradnl"/>
        </w:rPr>
        <w:lastRenderedPageBreak/>
        <w:t xml:space="preserve">aplicable el artículo </w:t>
      </w:r>
      <w:r w:rsidRPr="001E0D95">
        <w:rPr>
          <w:rFonts w:ascii="Verdana" w:eastAsia="Calibri" w:hAnsi="Verdana" w:cs="Arial"/>
          <w:color w:val="000000"/>
          <w:lang w:val="es-ES_tradnl"/>
        </w:rPr>
        <w:t>2.2.1.2.1.4.5</w:t>
      </w:r>
      <w:r w:rsidRPr="001B3C5D">
        <w:rPr>
          <w:rFonts w:ascii="Verdana" w:eastAsia="Calibri" w:hAnsi="Verdana" w:cs="Arial"/>
          <w:color w:val="000000"/>
          <w:lang w:val="es-ES_tradnl"/>
        </w:rPr>
        <w:t xml:space="preserve"> del Decreto 1082 de 2015, conforme al cual en esa modalidad la exigencia de garantías no es obligatoria y la justificación para exigirlas o no debe constar en los estudios y documentos previos. De lo anterior se sigue que, cuando el convenio o contrato interadministrativo no previó la constitución de garantías, no existe amparo cuya vigencia deba mantenerse o ampliarse como condición para liquidar; y cuando la entidad optó por exigirlas, su suficiencia, vigencia y eventual ampliación se rigen por lo pactado y por el régimen general de la Sección 3 del Capítulo 2 del Decreto 1082 de 2015, sin que la inexistencia o la falta de ampliación de la póliza constituya, por sí sola, un obstáculo para adelantar la liquidación.</w:t>
      </w:r>
      <w:r w:rsidRPr="001E0D95">
        <w:rPr>
          <w:rFonts w:ascii="Verdana" w:eastAsia="Verdana" w:hAnsi="Verdana" w:cs="Verdana"/>
        </w:rPr>
        <w:t xml:space="preserve"> Con todo, debe distinguirse el contrato interadministrativo, de obligaciones recíprocas y sujeto al Estatuto General de Contratación, del convenio de cooperación que, al amparo del artículo 95 de la Ley 489 de 1998, celebran las entidades para aunar esfuerzos en el cumplimiento de funciones comunes: la denominación no sustituye el examen del objeto y del régimen aplicable, y en los convenios de cooperación no se presumen las potestades excepcionales ni el procedimiento sancionatorio del Estatuto General.</w:t>
      </w:r>
      <w:r w:rsidRPr="001B3C5D">
        <w:rPr>
          <w:rStyle w:val="Refdenotaalpie"/>
          <w:rFonts w:ascii="Verdana" w:hAnsi="Verdana"/>
        </w:rPr>
        <w:footnoteReference w:id="3"/>
      </w:r>
    </w:p>
    <w:p w14:paraId="6577DC3E" w14:textId="77777777" w:rsidR="002F4D5D" w:rsidRPr="00B54634" w:rsidRDefault="002F4D5D" w:rsidP="002F4D5D">
      <w:pPr>
        <w:spacing w:before="120" w:after="0" w:line="276" w:lineRule="auto"/>
        <w:ind w:firstLine="709"/>
        <w:jc w:val="both"/>
        <w:rPr>
          <w:rFonts w:ascii="Verdana" w:eastAsia="Calibri" w:hAnsi="Verdana" w:cs="Times New Roman"/>
          <w:spacing w:val="-2"/>
        </w:rPr>
      </w:pPr>
      <w:r>
        <w:rPr>
          <w:rFonts w:ascii="Verdana" w:eastAsia="Calibri" w:hAnsi="Verdana" w:cs="Arial"/>
          <w:color w:val="000000"/>
        </w:rPr>
        <w:t>En ese sentido, y por resultar relevante al objeto consultado, se aclara que el artículo 2.2.1.2.3.1.12 ibidem regula la suficiencia de la garantía de cumplimiento y dispone que esta debe tener una vigencia mínima hasta la liquidación del contrato</w:t>
      </w:r>
      <w:r>
        <w:rPr>
          <w:rFonts w:ascii="Verdana" w:eastAsia="Calibri" w:hAnsi="Verdana" w:cs="Times New Roman"/>
          <w:vertAlign w:val="superscript"/>
        </w:rPr>
        <w:footnoteReference w:id="4"/>
      </w:r>
      <w:r>
        <w:rPr>
          <w:rFonts w:ascii="Verdana" w:eastAsia="Calibri" w:hAnsi="Verdana" w:cs="Times New Roman"/>
        </w:rPr>
        <w:t>.</w:t>
      </w:r>
      <w:r>
        <w:rPr>
          <w:rFonts w:ascii="Verdana" w:eastAsia="Calibri" w:hAnsi="Verdana" w:cs="Times New Roman"/>
          <w:spacing w:val="-2"/>
        </w:rPr>
        <w:t xml:space="preserve"> </w:t>
      </w:r>
    </w:p>
    <w:p w14:paraId="424914B5" w14:textId="77777777" w:rsidR="002F4D5D" w:rsidRPr="00B54634" w:rsidRDefault="002F4D5D" w:rsidP="002F4D5D">
      <w:pPr>
        <w:spacing w:before="120" w:after="0" w:line="276" w:lineRule="auto"/>
        <w:ind w:firstLine="709"/>
        <w:jc w:val="both"/>
        <w:rPr>
          <w:rFonts w:ascii="Verdana" w:eastAsia="Calibri" w:hAnsi="Verdana" w:cs="Times New Roman"/>
          <w:spacing w:val="-2"/>
        </w:rPr>
      </w:pPr>
      <w:r>
        <w:rPr>
          <w:rFonts w:ascii="Verdana" w:eastAsia="Calibri" w:hAnsi="Verdana" w:cs="Times New Roman"/>
        </w:rPr>
        <w:t>Conforme la</w:t>
      </w:r>
      <w:r>
        <w:rPr>
          <w:rFonts w:ascii="Verdana" w:eastAsia="Calibri" w:hAnsi="Verdana" w:cs="Times New Roman"/>
          <w:spacing w:val="-2"/>
        </w:rPr>
        <w:t xml:space="preserve"> </w:t>
      </w:r>
      <w:r>
        <w:rPr>
          <w:rFonts w:ascii="Verdana" w:eastAsia="Calibri" w:hAnsi="Verdana" w:cs="Times New Roman"/>
        </w:rPr>
        <w:t>norma</w:t>
      </w:r>
      <w:r>
        <w:rPr>
          <w:rFonts w:ascii="Verdana" w:eastAsia="Calibri" w:hAnsi="Verdana" w:cs="Times New Roman"/>
          <w:spacing w:val="-1"/>
        </w:rPr>
        <w:t xml:space="preserve"> </w:t>
      </w:r>
      <w:r>
        <w:rPr>
          <w:rFonts w:ascii="Verdana" w:eastAsia="Calibri" w:hAnsi="Verdana" w:cs="Times New Roman"/>
        </w:rPr>
        <w:t>citada, el</w:t>
      </w:r>
      <w:r>
        <w:rPr>
          <w:rFonts w:ascii="Verdana" w:eastAsia="Calibri" w:hAnsi="Verdana" w:cs="Times New Roman"/>
          <w:spacing w:val="-2"/>
        </w:rPr>
        <w:t xml:space="preserve"> </w:t>
      </w:r>
      <w:r>
        <w:rPr>
          <w:rFonts w:ascii="Verdana" w:eastAsia="Calibri" w:hAnsi="Verdana" w:cs="Times New Roman"/>
        </w:rPr>
        <w:t>amparo cubre</w:t>
      </w:r>
      <w:r>
        <w:rPr>
          <w:rFonts w:ascii="Verdana" w:eastAsia="Calibri" w:hAnsi="Verdana" w:cs="Times New Roman"/>
          <w:spacing w:val="-1"/>
        </w:rPr>
        <w:t xml:space="preserve"> </w:t>
      </w:r>
      <w:r>
        <w:rPr>
          <w:rFonts w:ascii="Verdana" w:eastAsia="Calibri" w:hAnsi="Verdana" w:cs="Times New Roman"/>
        </w:rPr>
        <w:t>tanto</w:t>
      </w:r>
      <w:r>
        <w:rPr>
          <w:rFonts w:ascii="Verdana" w:eastAsia="Calibri" w:hAnsi="Verdana" w:cs="Times New Roman"/>
          <w:spacing w:val="-1"/>
        </w:rPr>
        <w:t xml:space="preserve"> </w:t>
      </w:r>
      <w:r>
        <w:rPr>
          <w:rFonts w:ascii="Verdana" w:eastAsia="Calibri" w:hAnsi="Verdana" w:cs="Times New Roman"/>
        </w:rPr>
        <w:t>el</w:t>
      </w:r>
      <w:r>
        <w:rPr>
          <w:rFonts w:ascii="Verdana" w:eastAsia="Calibri" w:hAnsi="Verdana" w:cs="Times New Roman"/>
          <w:spacing w:val="-2"/>
        </w:rPr>
        <w:t xml:space="preserve"> </w:t>
      </w:r>
      <w:r>
        <w:rPr>
          <w:rFonts w:ascii="Verdana" w:eastAsia="Calibri" w:hAnsi="Verdana" w:cs="Times New Roman"/>
          <w:i/>
        </w:rPr>
        <w:t>plazo</w:t>
      </w:r>
      <w:r>
        <w:rPr>
          <w:rFonts w:ascii="Verdana" w:eastAsia="Calibri" w:hAnsi="Verdana" w:cs="Times New Roman"/>
          <w:i/>
          <w:spacing w:val="-1"/>
        </w:rPr>
        <w:t xml:space="preserve"> </w:t>
      </w:r>
      <w:r>
        <w:rPr>
          <w:rFonts w:ascii="Verdana" w:eastAsia="Calibri" w:hAnsi="Verdana" w:cs="Times New Roman"/>
          <w:i/>
        </w:rPr>
        <w:t xml:space="preserve">de ejecución </w:t>
      </w:r>
      <w:r>
        <w:rPr>
          <w:rFonts w:ascii="Verdana" w:eastAsia="Calibri" w:hAnsi="Verdana" w:cs="Times New Roman"/>
        </w:rPr>
        <w:t xml:space="preserve">como el </w:t>
      </w:r>
      <w:r>
        <w:rPr>
          <w:rFonts w:ascii="Verdana" w:eastAsia="Calibri" w:hAnsi="Verdana" w:cs="Times New Roman"/>
          <w:i/>
        </w:rPr>
        <w:t xml:space="preserve">plazo de vigencia </w:t>
      </w:r>
      <w:r>
        <w:rPr>
          <w:rFonts w:ascii="Verdana" w:eastAsia="Calibri" w:hAnsi="Verdana" w:cs="Times New Roman"/>
        </w:rPr>
        <w:t xml:space="preserve">del contrato. Al respecto, la jurisprudencia define el </w:t>
      </w:r>
      <w:r>
        <w:rPr>
          <w:rFonts w:ascii="Verdana" w:eastAsia="Calibri" w:hAnsi="Verdana" w:cs="Times New Roman"/>
          <w:i/>
        </w:rPr>
        <w:lastRenderedPageBreak/>
        <w:t xml:space="preserve">plazo de ejecución </w:t>
      </w:r>
      <w:r>
        <w:rPr>
          <w:rFonts w:ascii="Verdana" w:eastAsia="Calibri" w:hAnsi="Verdana" w:cs="Times New Roman"/>
        </w:rPr>
        <w:t>como el establecido para la realización</w:t>
      </w:r>
      <w:r>
        <w:rPr>
          <w:rFonts w:ascii="Verdana" w:eastAsia="Calibri" w:hAnsi="Verdana" w:cs="Times New Roman"/>
          <w:spacing w:val="-1"/>
        </w:rPr>
        <w:t xml:space="preserve"> </w:t>
      </w:r>
      <w:r>
        <w:rPr>
          <w:rFonts w:ascii="Verdana" w:eastAsia="Calibri" w:hAnsi="Verdana" w:cs="Times New Roman"/>
        </w:rPr>
        <w:t>de</w:t>
      </w:r>
      <w:r>
        <w:rPr>
          <w:rFonts w:ascii="Verdana" w:eastAsia="Calibri" w:hAnsi="Verdana" w:cs="Times New Roman"/>
          <w:spacing w:val="-5"/>
        </w:rPr>
        <w:t xml:space="preserve"> </w:t>
      </w:r>
      <w:r>
        <w:rPr>
          <w:rFonts w:ascii="Verdana" w:eastAsia="Calibri" w:hAnsi="Verdana" w:cs="Times New Roman"/>
        </w:rPr>
        <w:t>las</w:t>
      </w:r>
      <w:r>
        <w:rPr>
          <w:rFonts w:ascii="Verdana" w:eastAsia="Calibri" w:hAnsi="Verdana" w:cs="Times New Roman"/>
          <w:spacing w:val="-4"/>
        </w:rPr>
        <w:t xml:space="preserve"> </w:t>
      </w:r>
      <w:r>
        <w:rPr>
          <w:rFonts w:ascii="Verdana" w:eastAsia="Calibri" w:hAnsi="Verdana" w:cs="Times New Roman"/>
        </w:rPr>
        <w:t>prestaciones</w:t>
      </w:r>
      <w:r>
        <w:rPr>
          <w:rFonts w:ascii="Verdana" w:eastAsia="Calibri" w:hAnsi="Verdana" w:cs="Times New Roman"/>
          <w:spacing w:val="-2"/>
        </w:rPr>
        <w:t xml:space="preserve"> </w:t>
      </w:r>
      <w:r>
        <w:rPr>
          <w:rFonts w:ascii="Verdana" w:eastAsia="Calibri" w:hAnsi="Verdana" w:cs="Times New Roman"/>
        </w:rPr>
        <w:t>contractuales</w:t>
      </w:r>
      <w:r>
        <w:rPr>
          <w:rFonts w:ascii="Verdana" w:eastAsia="Calibri" w:hAnsi="Verdana" w:cs="Times New Roman"/>
          <w:spacing w:val="-1"/>
        </w:rPr>
        <w:t xml:space="preserve"> </w:t>
      </w:r>
      <w:r>
        <w:rPr>
          <w:rFonts w:ascii="Verdana" w:eastAsia="Calibri" w:hAnsi="Verdana" w:cs="Times New Roman"/>
        </w:rPr>
        <w:t>y,</w:t>
      </w:r>
      <w:r>
        <w:rPr>
          <w:rFonts w:ascii="Verdana" w:eastAsia="Calibri" w:hAnsi="Verdana" w:cs="Times New Roman"/>
          <w:spacing w:val="-5"/>
        </w:rPr>
        <w:t xml:space="preserve"> </w:t>
      </w:r>
      <w:r>
        <w:rPr>
          <w:rFonts w:ascii="Verdana" w:eastAsia="Calibri" w:hAnsi="Verdana" w:cs="Times New Roman"/>
        </w:rPr>
        <w:t>de</w:t>
      </w:r>
      <w:r>
        <w:rPr>
          <w:rFonts w:ascii="Verdana" w:eastAsia="Calibri" w:hAnsi="Verdana" w:cs="Times New Roman"/>
          <w:spacing w:val="-5"/>
        </w:rPr>
        <w:t xml:space="preserve"> </w:t>
      </w:r>
      <w:r>
        <w:rPr>
          <w:rFonts w:ascii="Verdana" w:eastAsia="Calibri" w:hAnsi="Verdana" w:cs="Times New Roman"/>
        </w:rPr>
        <w:t>igual</w:t>
      </w:r>
      <w:r>
        <w:rPr>
          <w:rFonts w:ascii="Verdana" w:eastAsia="Calibri" w:hAnsi="Verdana" w:cs="Times New Roman"/>
          <w:spacing w:val="-4"/>
        </w:rPr>
        <w:t xml:space="preserve"> </w:t>
      </w:r>
      <w:r>
        <w:rPr>
          <w:rFonts w:ascii="Verdana" w:eastAsia="Calibri" w:hAnsi="Verdana" w:cs="Times New Roman"/>
        </w:rPr>
        <w:t>forma,</w:t>
      </w:r>
      <w:r>
        <w:rPr>
          <w:rFonts w:ascii="Verdana" w:eastAsia="Calibri" w:hAnsi="Verdana" w:cs="Times New Roman"/>
          <w:spacing w:val="-3"/>
        </w:rPr>
        <w:t xml:space="preserve"> </w:t>
      </w:r>
      <w:r>
        <w:rPr>
          <w:rFonts w:ascii="Verdana" w:eastAsia="Calibri" w:hAnsi="Verdana" w:cs="Times New Roman"/>
        </w:rPr>
        <w:t xml:space="preserve">considera que el </w:t>
      </w:r>
      <w:r>
        <w:rPr>
          <w:rFonts w:ascii="Verdana" w:eastAsia="Calibri" w:hAnsi="Verdana" w:cs="Times New Roman"/>
          <w:i/>
        </w:rPr>
        <w:t xml:space="preserve">plazo de vigencia </w:t>
      </w:r>
      <w:r>
        <w:rPr>
          <w:rFonts w:ascii="Verdana" w:eastAsia="Calibri" w:hAnsi="Verdana" w:cs="Times New Roman"/>
        </w:rPr>
        <w:t>de este no ha finalizado mientras subsista la obligación para las partes de liquidar el contrato</w:t>
      </w:r>
      <w:r>
        <w:rPr>
          <w:rFonts w:ascii="Verdana" w:eastAsia="Calibri" w:hAnsi="Verdana" w:cs="Times New Roman"/>
          <w:vertAlign w:val="superscript"/>
        </w:rPr>
        <w:footnoteReference w:id="5"/>
      </w:r>
      <w:r>
        <w:rPr>
          <w:rFonts w:ascii="Verdana" w:eastAsia="Calibri" w:hAnsi="Verdana" w:cs="Times New Roman"/>
        </w:rPr>
        <w:t xml:space="preserve">. Por ello, explica lo </w:t>
      </w:r>
      <w:r>
        <w:rPr>
          <w:rFonts w:ascii="Verdana" w:eastAsia="Calibri" w:hAnsi="Verdana" w:cs="Times New Roman"/>
          <w:spacing w:val="-2"/>
        </w:rPr>
        <w:t>siguiente:</w:t>
      </w:r>
    </w:p>
    <w:p w14:paraId="08AC49F6" w14:textId="77777777" w:rsidR="002F4D5D" w:rsidRPr="00B54634" w:rsidRDefault="002F4D5D" w:rsidP="002F4D5D">
      <w:pPr>
        <w:spacing w:after="0" w:line="276" w:lineRule="auto"/>
        <w:ind w:firstLine="709"/>
        <w:jc w:val="both"/>
        <w:rPr>
          <w:rFonts w:ascii="Verdana" w:eastAsia="Calibri" w:hAnsi="Verdana" w:cs="Arial"/>
          <w:color w:val="000000"/>
          <w:lang w:val="es-ES" w:eastAsia="es-MX"/>
        </w:rPr>
      </w:pPr>
    </w:p>
    <w:p w14:paraId="549E0C8D" w14:textId="77777777" w:rsidR="002F4D5D" w:rsidRPr="00B54634" w:rsidRDefault="002F4D5D" w:rsidP="002F4D5D">
      <w:pPr>
        <w:spacing w:after="0" w:line="240" w:lineRule="auto"/>
        <w:ind w:left="709" w:right="709"/>
        <w:jc w:val="both"/>
        <w:rPr>
          <w:rFonts w:ascii="Verdana" w:eastAsia="Calibri" w:hAnsi="Verdana" w:cs="Times New Roman"/>
          <w:sz w:val="20"/>
          <w:szCs w:val="20"/>
        </w:rPr>
      </w:pPr>
      <w:r>
        <w:rPr>
          <w:rFonts w:ascii="Verdana" w:eastAsia="Calibri" w:hAnsi="Verdana" w:cs="Arial"/>
          <w:color w:val="000000"/>
          <w:lang w:val="es-ES" w:eastAsia="es-MX"/>
        </w:rPr>
        <w:t>“</w:t>
      </w:r>
      <w:r>
        <w:rPr>
          <w:rFonts w:ascii="Verdana" w:eastAsia="Calibri" w:hAnsi="Verdana" w:cs="Times New Roman"/>
          <w:sz w:val="20"/>
          <w:szCs w:val="20"/>
        </w:rPr>
        <w:t>[…] si bien es cierto en la mayoría de los casos el plazo del contrato coincide con</w:t>
      </w:r>
      <w:r>
        <w:rPr>
          <w:rFonts w:ascii="Verdana" w:eastAsia="Calibri" w:hAnsi="Verdana" w:cs="Times New Roman"/>
          <w:spacing w:val="-1"/>
          <w:sz w:val="20"/>
          <w:szCs w:val="20"/>
        </w:rPr>
        <w:t xml:space="preserve"> </w:t>
      </w:r>
      <w:r>
        <w:rPr>
          <w:rFonts w:ascii="Verdana" w:eastAsia="Calibri" w:hAnsi="Verdana" w:cs="Times New Roman"/>
          <w:sz w:val="20"/>
          <w:szCs w:val="20"/>
        </w:rPr>
        <w:t>el</w:t>
      </w:r>
      <w:r>
        <w:rPr>
          <w:rFonts w:ascii="Verdana" w:eastAsia="Calibri" w:hAnsi="Verdana" w:cs="Times New Roman"/>
          <w:spacing w:val="-1"/>
          <w:sz w:val="20"/>
          <w:szCs w:val="20"/>
        </w:rPr>
        <w:t xml:space="preserve"> </w:t>
      </w:r>
      <w:r>
        <w:rPr>
          <w:rFonts w:ascii="Verdana" w:eastAsia="Calibri" w:hAnsi="Verdana" w:cs="Times New Roman"/>
          <w:sz w:val="20"/>
          <w:szCs w:val="20"/>
        </w:rPr>
        <w:t>de</w:t>
      </w:r>
      <w:r>
        <w:rPr>
          <w:rFonts w:ascii="Verdana" w:eastAsia="Calibri" w:hAnsi="Verdana" w:cs="Times New Roman"/>
          <w:spacing w:val="-1"/>
          <w:sz w:val="20"/>
          <w:szCs w:val="20"/>
        </w:rPr>
        <w:t xml:space="preserve"> </w:t>
      </w:r>
      <w:r>
        <w:rPr>
          <w:rFonts w:ascii="Verdana" w:eastAsia="Calibri" w:hAnsi="Verdana" w:cs="Times New Roman"/>
          <w:sz w:val="20"/>
          <w:szCs w:val="20"/>
        </w:rPr>
        <w:t>ejecución de</w:t>
      </w:r>
      <w:r>
        <w:rPr>
          <w:rFonts w:ascii="Verdana" w:eastAsia="Calibri" w:hAnsi="Verdana" w:cs="Times New Roman"/>
          <w:spacing w:val="-1"/>
          <w:sz w:val="20"/>
          <w:szCs w:val="20"/>
        </w:rPr>
        <w:t xml:space="preserve"> </w:t>
      </w:r>
      <w:r>
        <w:rPr>
          <w:rFonts w:ascii="Verdana" w:eastAsia="Calibri" w:hAnsi="Verdana" w:cs="Times New Roman"/>
          <w:sz w:val="20"/>
          <w:szCs w:val="20"/>
        </w:rPr>
        <w:t>la</w:t>
      </w:r>
      <w:r>
        <w:rPr>
          <w:rFonts w:ascii="Verdana" w:eastAsia="Calibri" w:hAnsi="Verdana" w:cs="Times New Roman"/>
          <w:spacing w:val="-1"/>
          <w:sz w:val="20"/>
          <w:szCs w:val="20"/>
        </w:rPr>
        <w:t xml:space="preserve"> </w:t>
      </w:r>
      <w:r>
        <w:rPr>
          <w:rFonts w:ascii="Verdana" w:eastAsia="Calibri" w:hAnsi="Verdana" w:cs="Times New Roman"/>
          <w:sz w:val="20"/>
          <w:szCs w:val="20"/>
        </w:rPr>
        <w:t>obra,</w:t>
      </w:r>
      <w:r>
        <w:rPr>
          <w:rFonts w:ascii="Verdana" w:eastAsia="Calibri" w:hAnsi="Verdana" w:cs="Times New Roman"/>
          <w:spacing w:val="-1"/>
          <w:sz w:val="20"/>
          <w:szCs w:val="20"/>
        </w:rPr>
        <w:t xml:space="preserve"> </w:t>
      </w:r>
      <w:r>
        <w:rPr>
          <w:rFonts w:ascii="Verdana" w:eastAsia="Calibri" w:hAnsi="Verdana" w:cs="Times New Roman"/>
          <w:sz w:val="20"/>
          <w:szCs w:val="20"/>
        </w:rPr>
        <w:t>con</w:t>
      </w:r>
      <w:r>
        <w:rPr>
          <w:rFonts w:ascii="Verdana" w:eastAsia="Calibri" w:hAnsi="Verdana" w:cs="Times New Roman"/>
          <w:spacing w:val="-1"/>
          <w:sz w:val="20"/>
          <w:szCs w:val="20"/>
        </w:rPr>
        <w:t xml:space="preserve"> </w:t>
      </w:r>
      <w:r>
        <w:rPr>
          <w:rFonts w:ascii="Verdana" w:eastAsia="Calibri" w:hAnsi="Verdana" w:cs="Times New Roman"/>
          <w:sz w:val="20"/>
          <w:szCs w:val="20"/>
        </w:rPr>
        <w:t>la</w:t>
      </w:r>
      <w:r>
        <w:rPr>
          <w:rFonts w:ascii="Verdana" w:eastAsia="Calibri" w:hAnsi="Verdana" w:cs="Times New Roman"/>
          <w:spacing w:val="-1"/>
          <w:sz w:val="20"/>
          <w:szCs w:val="20"/>
        </w:rPr>
        <w:t xml:space="preserve"> </w:t>
      </w:r>
      <w:r>
        <w:rPr>
          <w:rFonts w:ascii="Verdana" w:eastAsia="Calibri" w:hAnsi="Verdana" w:cs="Times New Roman"/>
          <w:sz w:val="20"/>
          <w:szCs w:val="20"/>
        </w:rPr>
        <w:t>entrega</w:t>
      </w:r>
      <w:r>
        <w:rPr>
          <w:rFonts w:ascii="Verdana" w:eastAsia="Calibri" w:hAnsi="Verdana" w:cs="Times New Roman"/>
          <w:spacing w:val="-1"/>
          <w:sz w:val="20"/>
          <w:szCs w:val="20"/>
        </w:rPr>
        <w:t xml:space="preserve"> </w:t>
      </w:r>
      <w:r>
        <w:rPr>
          <w:rFonts w:ascii="Verdana" w:eastAsia="Calibri" w:hAnsi="Verdana" w:cs="Times New Roman"/>
          <w:sz w:val="20"/>
          <w:szCs w:val="20"/>
        </w:rPr>
        <w:t>del</w:t>
      </w:r>
      <w:r>
        <w:rPr>
          <w:rFonts w:ascii="Verdana" w:eastAsia="Calibri" w:hAnsi="Verdana" w:cs="Times New Roman"/>
          <w:spacing w:val="-1"/>
          <w:sz w:val="20"/>
          <w:szCs w:val="20"/>
        </w:rPr>
        <w:t xml:space="preserve"> </w:t>
      </w:r>
      <w:r>
        <w:rPr>
          <w:rFonts w:ascii="Verdana" w:eastAsia="Calibri" w:hAnsi="Verdana" w:cs="Times New Roman"/>
          <w:sz w:val="20"/>
          <w:szCs w:val="20"/>
        </w:rPr>
        <w:t>suministro, con la prestación del servicio, también lo es, que este plazo no constituye propiamente hablando</w:t>
      </w:r>
      <w:r>
        <w:rPr>
          <w:rFonts w:ascii="Verdana" w:eastAsia="Calibri" w:hAnsi="Verdana" w:cs="Times New Roman"/>
          <w:spacing w:val="-1"/>
          <w:sz w:val="20"/>
          <w:szCs w:val="20"/>
        </w:rPr>
        <w:t xml:space="preserve"> </w:t>
      </w:r>
      <w:r>
        <w:rPr>
          <w:rFonts w:ascii="Verdana" w:eastAsia="Calibri" w:hAnsi="Verdana" w:cs="Times New Roman"/>
          <w:sz w:val="20"/>
          <w:szCs w:val="20"/>
        </w:rPr>
        <w:t>el</w:t>
      </w:r>
      <w:r>
        <w:rPr>
          <w:rFonts w:ascii="Verdana" w:eastAsia="Calibri" w:hAnsi="Verdana" w:cs="Times New Roman"/>
          <w:spacing w:val="-2"/>
          <w:sz w:val="20"/>
          <w:szCs w:val="20"/>
        </w:rPr>
        <w:t xml:space="preserve"> </w:t>
      </w:r>
      <w:r>
        <w:rPr>
          <w:rFonts w:ascii="Verdana" w:eastAsia="Calibri" w:hAnsi="Verdana" w:cs="Times New Roman"/>
          <w:sz w:val="20"/>
          <w:szCs w:val="20"/>
        </w:rPr>
        <w:t>periodo</w:t>
      </w:r>
      <w:r>
        <w:rPr>
          <w:rFonts w:ascii="Verdana" w:eastAsia="Calibri" w:hAnsi="Verdana" w:cs="Times New Roman"/>
          <w:spacing w:val="-1"/>
          <w:sz w:val="20"/>
          <w:szCs w:val="20"/>
        </w:rPr>
        <w:t xml:space="preserve"> </w:t>
      </w:r>
      <w:r>
        <w:rPr>
          <w:rFonts w:ascii="Verdana" w:eastAsia="Calibri" w:hAnsi="Verdana" w:cs="Times New Roman"/>
          <w:sz w:val="20"/>
          <w:szCs w:val="20"/>
        </w:rPr>
        <w:t>de</w:t>
      </w:r>
      <w:r>
        <w:rPr>
          <w:rFonts w:ascii="Verdana" w:eastAsia="Calibri" w:hAnsi="Verdana" w:cs="Times New Roman"/>
          <w:spacing w:val="-2"/>
          <w:sz w:val="20"/>
          <w:szCs w:val="20"/>
        </w:rPr>
        <w:t xml:space="preserve"> </w:t>
      </w:r>
      <w:r>
        <w:rPr>
          <w:rFonts w:ascii="Verdana" w:eastAsia="Calibri" w:hAnsi="Verdana" w:cs="Times New Roman"/>
          <w:sz w:val="20"/>
          <w:szCs w:val="20"/>
        </w:rPr>
        <w:t>ejecución del</w:t>
      </w:r>
      <w:r>
        <w:rPr>
          <w:rFonts w:ascii="Verdana" w:eastAsia="Calibri" w:hAnsi="Verdana" w:cs="Times New Roman"/>
          <w:spacing w:val="-2"/>
          <w:sz w:val="20"/>
          <w:szCs w:val="20"/>
        </w:rPr>
        <w:t xml:space="preserve"> </w:t>
      </w:r>
      <w:r>
        <w:rPr>
          <w:rFonts w:ascii="Verdana" w:eastAsia="Calibri" w:hAnsi="Verdana" w:cs="Times New Roman"/>
          <w:sz w:val="20"/>
          <w:szCs w:val="20"/>
        </w:rPr>
        <w:t>contrato porque al finalizar el plazo que se ha destinado para el cumplimiento de</w:t>
      </w:r>
      <w:r>
        <w:rPr>
          <w:rFonts w:ascii="Verdana" w:eastAsia="Calibri" w:hAnsi="Verdana" w:cs="Times New Roman"/>
          <w:spacing w:val="-16"/>
          <w:sz w:val="20"/>
          <w:szCs w:val="20"/>
        </w:rPr>
        <w:t xml:space="preserve"> </w:t>
      </w:r>
      <w:r>
        <w:rPr>
          <w:rFonts w:ascii="Verdana" w:eastAsia="Calibri" w:hAnsi="Verdana" w:cs="Times New Roman"/>
          <w:sz w:val="20"/>
          <w:szCs w:val="20"/>
        </w:rPr>
        <w:t>la</w:t>
      </w:r>
      <w:r>
        <w:rPr>
          <w:rFonts w:ascii="Verdana" w:eastAsia="Calibri" w:hAnsi="Verdana" w:cs="Times New Roman"/>
          <w:spacing w:val="-16"/>
          <w:sz w:val="20"/>
          <w:szCs w:val="20"/>
        </w:rPr>
        <w:t xml:space="preserve"> </w:t>
      </w:r>
      <w:r>
        <w:rPr>
          <w:rFonts w:ascii="Verdana" w:eastAsia="Calibri" w:hAnsi="Verdana" w:cs="Times New Roman"/>
          <w:sz w:val="20"/>
          <w:szCs w:val="20"/>
        </w:rPr>
        <w:t>obligación</w:t>
      </w:r>
      <w:r>
        <w:rPr>
          <w:rFonts w:ascii="Verdana" w:eastAsia="Calibri" w:hAnsi="Verdana" w:cs="Times New Roman"/>
          <w:spacing w:val="-13"/>
          <w:sz w:val="20"/>
          <w:szCs w:val="20"/>
        </w:rPr>
        <w:t xml:space="preserve"> </w:t>
      </w:r>
      <w:r>
        <w:rPr>
          <w:rFonts w:ascii="Verdana" w:eastAsia="Calibri" w:hAnsi="Verdana" w:cs="Times New Roman"/>
          <w:sz w:val="20"/>
          <w:szCs w:val="20"/>
        </w:rPr>
        <w:t>principal</w:t>
      </w:r>
      <w:r>
        <w:rPr>
          <w:rFonts w:ascii="Verdana" w:eastAsia="Calibri" w:hAnsi="Verdana" w:cs="Times New Roman"/>
          <w:spacing w:val="-14"/>
          <w:sz w:val="20"/>
          <w:szCs w:val="20"/>
        </w:rPr>
        <w:t xml:space="preserve"> </w:t>
      </w:r>
      <w:r>
        <w:rPr>
          <w:rFonts w:ascii="Verdana" w:eastAsia="Calibri" w:hAnsi="Verdana" w:cs="Times New Roman"/>
          <w:sz w:val="20"/>
          <w:szCs w:val="20"/>
        </w:rPr>
        <w:t>por</w:t>
      </w:r>
      <w:r>
        <w:rPr>
          <w:rFonts w:ascii="Verdana" w:eastAsia="Calibri" w:hAnsi="Verdana" w:cs="Times New Roman"/>
          <w:spacing w:val="-16"/>
          <w:sz w:val="20"/>
          <w:szCs w:val="20"/>
        </w:rPr>
        <w:t xml:space="preserve"> </w:t>
      </w:r>
      <w:r>
        <w:rPr>
          <w:rFonts w:ascii="Verdana" w:eastAsia="Calibri" w:hAnsi="Verdana" w:cs="Times New Roman"/>
          <w:sz w:val="20"/>
          <w:szCs w:val="20"/>
        </w:rPr>
        <w:t>parte</w:t>
      </w:r>
      <w:r>
        <w:rPr>
          <w:rFonts w:ascii="Verdana" w:eastAsia="Calibri" w:hAnsi="Verdana" w:cs="Times New Roman"/>
          <w:spacing w:val="-15"/>
          <w:sz w:val="20"/>
          <w:szCs w:val="20"/>
        </w:rPr>
        <w:t xml:space="preserve"> </w:t>
      </w:r>
      <w:r>
        <w:rPr>
          <w:rFonts w:ascii="Verdana" w:eastAsia="Calibri" w:hAnsi="Verdana" w:cs="Times New Roman"/>
          <w:sz w:val="20"/>
          <w:szCs w:val="20"/>
        </w:rPr>
        <w:t>del</w:t>
      </w:r>
      <w:r>
        <w:rPr>
          <w:rFonts w:ascii="Verdana" w:eastAsia="Calibri" w:hAnsi="Verdana" w:cs="Times New Roman"/>
          <w:spacing w:val="-16"/>
          <w:sz w:val="20"/>
          <w:szCs w:val="20"/>
        </w:rPr>
        <w:t xml:space="preserve"> </w:t>
      </w:r>
      <w:r>
        <w:rPr>
          <w:rFonts w:ascii="Verdana" w:eastAsia="Calibri" w:hAnsi="Verdana" w:cs="Times New Roman"/>
          <w:sz w:val="20"/>
          <w:szCs w:val="20"/>
        </w:rPr>
        <w:t>contratista</w:t>
      </w:r>
      <w:r>
        <w:rPr>
          <w:rFonts w:ascii="Verdana" w:eastAsia="Calibri" w:hAnsi="Verdana" w:cs="Times New Roman"/>
          <w:spacing w:val="-13"/>
          <w:sz w:val="20"/>
          <w:szCs w:val="20"/>
        </w:rPr>
        <w:t xml:space="preserve"> </w:t>
      </w:r>
      <w:r>
        <w:rPr>
          <w:rFonts w:ascii="Verdana" w:eastAsia="Calibri" w:hAnsi="Verdana" w:cs="Times New Roman"/>
          <w:sz w:val="20"/>
          <w:szCs w:val="20"/>
        </w:rPr>
        <w:t>las</w:t>
      </w:r>
      <w:r>
        <w:rPr>
          <w:rFonts w:ascii="Verdana" w:eastAsia="Calibri" w:hAnsi="Verdana" w:cs="Times New Roman"/>
          <w:spacing w:val="-16"/>
          <w:sz w:val="20"/>
          <w:szCs w:val="20"/>
        </w:rPr>
        <w:t xml:space="preserve"> </w:t>
      </w:r>
      <w:r>
        <w:rPr>
          <w:rFonts w:ascii="Verdana" w:eastAsia="Calibri" w:hAnsi="Verdana" w:cs="Times New Roman"/>
          <w:sz w:val="20"/>
          <w:szCs w:val="20"/>
        </w:rPr>
        <w:t>partes</w:t>
      </w:r>
      <w:r>
        <w:rPr>
          <w:rFonts w:ascii="Verdana" w:eastAsia="Calibri" w:hAnsi="Verdana" w:cs="Times New Roman"/>
          <w:spacing w:val="-15"/>
          <w:sz w:val="20"/>
          <w:szCs w:val="20"/>
        </w:rPr>
        <w:t xml:space="preserve"> </w:t>
      </w:r>
      <w:r>
        <w:rPr>
          <w:rFonts w:ascii="Verdana" w:eastAsia="Calibri" w:hAnsi="Verdana" w:cs="Times New Roman"/>
          <w:sz w:val="20"/>
          <w:szCs w:val="20"/>
        </w:rPr>
        <w:t>no</w:t>
      </w:r>
      <w:r>
        <w:rPr>
          <w:rFonts w:ascii="Verdana" w:eastAsia="Calibri" w:hAnsi="Verdana" w:cs="Times New Roman"/>
          <w:spacing w:val="-16"/>
          <w:sz w:val="20"/>
          <w:szCs w:val="20"/>
        </w:rPr>
        <w:t xml:space="preserve"> </w:t>
      </w:r>
      <w:r>
        <w:rPr>
          <w:rFonts w:ascii="Verdana" w:eastAsia="Calibri" w:hAnsi="Verdana" w:cs="Times New Roman"/>
          <w:sz w:val="20"/>
          <w:szCs w:val="20"/>
        </w:rPr>
        <w:t>quedan liberadas de pleno derecho mientras no se extingan todas las obligaciones</w:t>
      </w:r>
      <w:r>
        <w:rPr>
          <w:rFonts w:ascii="Verdana" w:eastAsia="Calibri" w:hAnsi="Verdana" w:cs="Times New Roman"/>
          <w:spacing w:val="-5"/>
          <w:sz w:val="20"/>
          <w:szCs w:val="20"/>
        </w:rPr>
        <w:t xml:space="preserve"> </w:t>
      </w:r>
      <w:r>
        <w:rPr>
          <w:rFonts w:ascii="Verdana" w:eastAsia="Calibri" w:hAnsi="Verdana" w:cs="Times New Roman"/>
          <w:sz w:val="20"/>
          <w:szCs w:val="20"/>
        </w:rPr>
        <w:t>adquiridas,</w:t>
      </w:r>
      <w:r>
        <w:rPr>
          <w:rFonts w:ascii="Verdana" w:eastAsia="Calibri" w:hAnsi="Verdana" w:cs="Times New Roman"/>
          <w:spacing w:val="-5"/>
          <w:sz w:val="20"/>
          <w:szCs w:val="20"/>
        </w:rPr>
        <w:t xml:space="preserve"> </w:t>
      </w:r>
      <w:r>
        <w:rPr>
          <w:rFonts w:ascii="Verdana" w:eastAsia="Calibri" w:hAnsi="Verdana" w:cs="Times New Roman"/>
          <w:sz w:val="20"/>
          <w:szCs w:val="20"/>
        </w:rPr>
        <w:t>lo</w:t>
      </w:r>
      <w:r>
        <w:rPr>
          <w:rFonts w:ascii="Verdana" w:eastAsia="Calibri" w:hAnsi="Verdana" w:cs="Times New Roman"/>
          <w:spacing w:val="-8"/>
          <w:sz w:val="20"/>
          <w:szCs w:val="20"/>
        </w:rPr>
        <w:t xml:space="preserve"> </w:t>
      </w:r>
      <w:r>
        <w:rPr>
          <w:rFonts w:ascii="Verdana" w:eastAsia="Calibri" w:hAnsi="Verdana" w:cs="Times New Roman"/>
          <w:sz w:val="20"/>
          <w:szCs w:val="20"/>
        </w:rPr>
        <w:t>cual</w:t>
      </w:r>
      <w:r>
        <w:rPr>
          <w:rFonts w:ascii="Verdana" w:eastAsia="Calibri" w:hAnsi="Verdana" w:cs="Times New Roman"/>
          <w:spacing w:val="-7"/>
          <w:sz w:val="20"/>
          <w:szCs w:val="20"/>
        </w:rPr>
        <w:t xml:space="preserve"> </w:t>
      </w:r>
      <w:r>
        <w:rPr>
          <w:rFonts w:ascii="Verdana" w:eastAsia="Calibri" w:hAnsi="Verdana" w:cs="Times New Roman"/>
          <w:sz w:val="20"/>
          <w:szCs w:val="20"/>
        </w:rPr>
        <w:t>se</w:t>
      </w:r>
      <w:r>
        <w:rPr>
          <w:rFonts w:ascii="Verdana" w:eastAsia="Calibri" w:hAnsi="Verdana" w:cs="Times New Roman"/>
          <w:spacing w:val="-8"/>
          <w:sz w:val="20"/>
          <w:szCs w:val="20"/>
        </w:rPr>
        <w:t xml:space="preserve"> </w:t>
      </w:r>
      <w:r>
        <w:rPr>
          <w:rFonts w:ascii="Verdana" w:eastAsia="Calibri" w:hAnsi="Verdana" w:cs="Times New Roman"/>
          <w:sz w:val="20"/>
          <w:szCs w:val="20"/>
        </w:rPr>
        <w:t>cumple</w:t>
      </w:r>
      <w:r>
        <w:rPr>
          <w:rFonts w:ascii="Verdana" w:eastAsia="Calibri" w:hAnsi="Verdana" w:cs="Times New Roman"/>
          <w:spacing w:val="-6"/>
          <w:sz w:val="20"/>
          <w:szCs w:val="20"/>
        </w:rPr>
        <w:t xml:space="preserve"> </w:t>
      </w:r>
      <w:r>
        <w:rPr>
          <w:rFonts w:ascii="Verdana" w:eastAsia="Calibri" w:hAnsi="Verdana" w:cs="Times New Roman"/>
          <w:sz w:val="20"/>
          <w:szCs w:val="20"/>
        </w:rPr>
        <w:t>necesariamente</w:t>
      </w:r>
      <w:r>
        <w:rPr>
          <w:rFonts w:ascii="Verdana" w:eastAsia="Calibri" w:hAnsi="Verdana" w:cs="Times New Roman"/>
          <w:spacing w:val="-3"/>
          <w:sz w:val="20"/>
          <w:szCs w:val="20"/>
        </w:rPr>
        <w:t xml:space="preserve"> </w:t>
      </w:r>
      <w:r>
        <w:rPr>
          <w:rFonts w:ascii="Verdana" w:eastAsia="Calibri" w:hAnsi="Verdana" w:cs="Times New Roman"/>
          <w:sz w:val="20"/>
          <w:szCs w:val="20"/>
        </w:rPr>
        <w:t>en</w:t>
      </w:r>
      <w:r>
        <w:rPr>
          <w:rFonts w:ascii="Verdana" w:eastAsia="Calibri" w:hAnsi="Verdana" w:cs="Times New Roman"/>
          <w:spacing w:val="-8"/>
          <w:sz w:val="20"/>
          <w:szCs w:val="20"/>
        </w:rPr>
        <w:t xml:space="preserve"> </w:t>
      </w:r>
      <w:r>
        <w:rPr>
          <w:rFonts w:ascii="Verdana" w:eastAsia="Calibri" w:hAnsi="Verdana" w:cs="Times New Roman"/>
          <w:sz w:val="20"/>
          <w:szCs w:val="20"/>
        </w:rPr>
        <w:t>la</w:t>
      </w:r>
      <w:r>
        <w:rPr>
          <w:rFonts w:ascii="Verdana" w:eastAsia="Calibri" w:hAnsi="Verdana" w:cs="Times New Roman"/>
          <w:spacing w:val="-8"/>
          <w:sz w:val="20"/>
          <w:szCs w:val="20"/>
        </w:rPr>
        <w:t xml:space="preserve"> </w:t>
      </w:r>
      <w:r>
        <w:rPr>
          <w:rFonts w:ascii="Verdana" w:eastAsia="Calibri" w:hAnsi="Verdana" w:cs="Times New Roman"/>
          <w:sz w:val="20"/>
          <w:szCs w:val="20"/>
        </w:rPr>
        <w:t>etapa de</w:t>
      </w:r>
      <w:r>
        <w:rPr>
          <w:rFonts w:ascii="Verdana" w:eastAsia="Calibri" w:hAnsi="Verdana" w:cs="Times New Roman"/>
          <w:spacing w:val="-13"/>
          <w:sz w:val="20"/>
          <w:szCs w:val="20"/>
        </w:rPr>
        <w:t xml:space="preserve"> </w:t>
      </w:r>
      <w:r>
        <w:rPr>
          <w:rFonts w:ascii="Verdana" w:eastAsia="Calibri" w:hAnsi="Verdana" w:cs="Times New Roman"/>
          <w:sz w:val="20"/>
          <w:szCs w:val="20"/>
        </w:rPr>
        <w:t>liquidación</w:t>
      </w:r>
      <w:r>
        <w:rPr>
          <w:rFonts w:ascii="Verdana" w:eastAsia="Calibri" w:hAnsi="Verdana" w:cs="Times New Roman"/>
          <w:spacing w:val="-10"/>
          <w:sz w:val="20"/>
          <w:szCs w:val="20"/>
        </w:rPr>
        <w:t xml:space="preserve"> </w:t>
      </w:r>
      <w:r>
        <w:rPr>
          <w:rFonts w:ascii="Verdana" w:eastAsia="Calibri" w:hAnsi="Verdana" w:cs="Times New Roman"/>
          <w:sz w:val="20"/>
          <w:szCs w:val="20"/>
        </w:rPr>
        <w:t>del</w:t>
      </w:r>
      <w:r>
        <w:rPr>
          <w:rFonts w:ascii="Verdana" w:eastAsia="Calibri" w:hAnsi="Verdana" w:cs="Times New Roman"/>
          <w:spacing w:val="-12"/>
          <w:sz w:val="20"/>
          <w:szCs w:val="20"/>
        </w:rPr>
        <w:t xml:space="preserve"> </w:t>
      </w:r>
      <w:r>
        <w:rPr>
          <w:rFonts w:ascii="Verdana" w:eastAsia="Calibri" w:hAnsi="Verdana" w:cs="Times New Roman"/>
          <w:sz w:val="20"/>
          <w:szCs w:val="20"/>
        </w:rPr>
        <w:t>contrato</w:t>
      </w:r>
      <w:r>
        <w:rPr>
          <w:rFonts w:ascii="Verdana" w:eastAsia="Calibri" w:hAnsi="Verdana" w:cs="Times New Roman"/>
          <w:spacing w:val="-11"/>
          <w:sz w:val="20"/>
          <w:szCs w:val="20"/>
        </w:rPr>
        <w:t xml:space="preserve"> </w:t>
      </w:r>
      <w:r>
        <w:rPr>
          <w:rFonts w:ascii="Verdana" w:eastAsia="Calibri" w:hAnsi="Verdana" w:cs="Times New Roman"/>
          <w:sz w:val="20"/>
          <w:szCs w:val="20"/>
        </w:rPr>
        <w:t>en</w:t>
      </w:r>
      <w:r>
        <w:rPr>
          <w:rFonts w:ascii="Verdana" w:eastAsia="Calibri" w:hAnsi="Verdana" w:cs="Times New Roman"/>
          <w:spacing w:val="-13"/>
          <w:sz w:val="20"/>
          <w:szCs w:val="20"/>
        </w:rPr>
        <w:t xml:space="preserve"> </w:t>
      </w:r>
      <w:r>
        <w:rPr>
          <w:rFonts w:ascii="Verdana" w:eastAsia="Calibri" w:hAnsi="Verdana" w:cs="Times New Roman"/>
          <w:sz w:val="20"/>
          <w:szCs w:val="20"/>
        </w:rPr>
        <w:t>la</w:t>
      </w:r>
      <w:r>
        <w:rPr>
          <w:rFonts w:ascii="Verdana" w:eastAsia="Calibri" w:hAnsi="Verdana" w:cs="Times New Roman"/>
          <w:spacing w:val="-13"/>
          <w:sz w:val="20"/>
          <w:szCs w:val="20"/>
        </w:rPr>
        <w:t xml:space="preserve"> </w:t>
      </w:r>
      <w:r>
        <w:rPr>
          <w:rFonts w:ascii="Verdana" w:eastAsia="Calibri" w:hAnsi="Verdana" w:cs="Times New Roman"/>
          <w:sz w:val="20"/>
          <w:szCs w:val="20"/>
        </w:rPr>
        <w:t>cual</w:t>
      </w:r>
      <w:r>
        <w:rPr>
          <w:rFonts w:ascii="Verdana" w:eastAsia="Calibri" w:hAnsi="Verdana" w:cs="Times New Roman"/>
          <w:spacing w:val="-12"/>
          <w:sz w:val="20"/>
          <w:szCs w:val="20"/>
        </w:rPr>
        <w:t xml:space="preserve"> </w:t>
      </w:r>
      <w:r>
        <w:rPr>
          <w:rFonts w:ascii="Verdana" w:eastAsia="Calibri" w:hAnsi="Verdana" w:cs="Times New Roman"/>
          <w:sz w:val="20"/>
          <w:szCs w:val="20"/>
        </w:rPr>
        <w:t>es</w:t>
      </w:r>
      <w:r>
        <w:rPr>
          <w:rFonts w:ascii="Verdana" w:eastAsia="Calibri" w:hAnsi="Verdana" w:cs="Times New Roman"/>
          <w:spacing w:val="-12"/>
          <w:sz w:val="20"/>
          <w:szCs w:val="20"/>
        </w:rPr>
        <w:t xml:space="preserve"> </w:t>
      </w:r>
      <w:r>
        <w:rPr>
          <w:rFonts w:ascii="Verdana" w:eastAsia="Calibri" w:hAnsi="Verdana" w:cs="Times New Roman"/>
          <w:sz w:val="20"/>
          <w:szCs w:val="20"/>
        </w:rPr>
        <w:t>donde</w:t>
      </w:r>
      <w:r>
        <w:rPr>
          <w:rFonts w:ascii="Verdana" w:eastAsia="Calibri" w:hAnsi="Verdana" w:cs="Times New Roman"/>
          <w:spacing w:val="-12"/>
          <w:sz w:val="20"/>
          <w:szCs w:val="20"/>
        </w:rPr>
        <w:t xml:space="preserve"> </w:t>
      </w:r>
      <w:r>
        <w:rPr>
          <w:rFonts w:ascii="Verdana" w:eastAsia="Calibri" w:hAnsi="Verdana" w:cs="Times New Roman"/>
          <w:sz w:val="20"/>
          <w:szCs w:val="20"/>
        </w:rPr>
        <w:t>la</w:t>
      </w:r>
      <w:r>
        <w:rPr>
          <w:rFonts w:ascii="Verdana" w:eastAsia="Calibri" w:hAnsi="Verdana" w:cs="Times New Roman"/>
          <w:spacing w:val="-13"/>
          <w:sz w:val="20"/>
          <w:szCs w:val="20"/>
        </w:rPr>
        <w:t xml:space="preserve"> </w:t>
      </w:r>
      <w:r>
        <w:rPr>
          <w:rFonts w:ascii="Verdana" w:eastAsia="Calibri" w:hAnsi="Verdana" w:cs="Times New Roman"/>
          <w:sz w:val="20"/>
          <w:szCs w:val="20"/>
        </w:rPr>
        <w:t>administración</w:t>
      </w:r>
      <w:r>
        <w:rPr>
          <w:rFonts w:ascii="Verdana" w:eastAsia="Calibri" w:hAnsi="Verdana" w:cs="Times New Roman"/>
          <w:spacing w:val="-8"/>
          <w:sz w:val="20"/>
          <w:szCs w:val="20"/>
        </w:rPr>
        <w:t xml:space="preserve"> </w:t>
      </w:r>
      <w:r>
        <w:rPr>
          <w:rFonts w:ascii="Verdana" w:eastAsia="Calibri" w:hAnsi="Verdana" w:cs="Times New Roman"/>
          <w:sz w:val="20"/>
          <w:szCs w:val="20"/>
        </w:rPr>
        <w:t>puede valorar</w:t>
      </w:r>
      <w:r>
        <w:rPr>
          <w:rFonts w:ascii="Verdana" w:eastAsia="Calibri" w:hAnsi="Verdana" w:cs="Times New Roman"/>
          <w:spacing w:val="-18"/>
          <w:sz w:val="20"/>
          <w:szCs w:val="20"/>
        </w:rPr>
        <w:t xml:space="preserve"> </w:t>
      </w:r>
      <w:r>
        <w:rPr>
          <w:rFonts w:ascii="Verdana" w:eastAsia="Calibri" w:hAnsi="Verdana" w:cs="Times New Roman"/>
          <w:sz w:val="20"/>
          <w:szCs w:val="20"/>
        </w:rPr>
        <w:t>el</w:t>
      </w:r>
      <w:r>
        <w:rPr>
          <w:rFonts w:ascii="Verdana" w:eastAsia="Calibri" w:hAnsi="Verdana" w:cs="Times New Roman"/>
          <w:spacing w:val="-18"/>
          <w:sz w:val="20"/>
          <w:szCs w:val="20"/>
        </w:rPr>
        <w:t xml:space="preserve"> </w:t>
      </w:r>
      <w:r>
        <w:rPr>
          <w:rFonts w:ascii="Verdana" w:eastAsia="Calibri" w:hAnsi="Verdana" w:cs="Times New Roman"/>
          <w:sz w:val="20"/>
          <w:szCs w:val="20"/>
        </w:rPr>
        <w:t>cumplimiento</w:t>
      </w:r>
      <w:r>
        <w:rPr>
          <w:rFonts w:ascii="Verdana" w:eastAsia="Calibri" w:hAnsi="Verdana" w:cs="Times New Roman"/>
          <w:spacing w:val="-15"/>
          <w:sz w:val="20"/>
          <w:szCs w:val="20"/>
        </w:rPr>
        <w:t xml:space="preserve"> </w:t>
      </w:r>
      <w:r>
        <w:rPr>
          <w:rFonts w:ascii="Verdana" w:eastAsia="Calibri" w:hAnsi="Verdana" w:cs="Times New Roman"/>
          <w:sz w:val="20"/>
          <w:szCs w:val="20"/>
        </w:rPr>
        <w:t>total</w:t>
      </w:r>
      <w:r>
        <w:rPr>
          <w:rFonts w:ascii="Verdana" w:eastAsia="Calibri" w:hAnsi="Verdana" w:cs="Times New Roman"/>
          <w:spacing w:val="-17"/>
          <w:sz w:val="20"/>
          <w:szCs w:val="20"/>
        </w:rPr>
        <w:t xml:space="preserve"> </w:t>
      </w:r>
      <w:r>
        <w:rPr>
          <w:rFonts w:ascii="Verdana" w:eastAsia="Calibri" w:hAnsi="Verdana" w:cs="Times New Roman"/>
          <w:sz w:val="20"/>
          <w:szCs w:val="20"/>
        </w:rPr>
        <w:t>de</w:t>
      </w:r>
      <w:r>
        <w:rPr>
          <w:rFonts w:ascii="Verdana" w:eastAsia="Calibri" w:hAnsi="Verdana" w:cs="Times New Roman"/>
          <w:spacing w:val="-18"/>
          <w:sz w:val="20"/>
          <w:szCs w:val="20"/>
        </w:rPr>
        <w:t xml:space="preserve"> </w:t>
      </w:r>
      <w:r>
        <w:rPr>
          <w:rFonts w:ascii="Verdana" w:eastAsia="Calibri" w:hAnsi="Verdana" w:cs="Times New Roman"/>
          <w:sz w:val="20"/>
          <w:szCs w:val="20"/>
        </w:rPr>
        <w:t>las</w:t>
      </w:r>
      <w:r>
        <w:rPr>
          <w:rFonts w:ascii="Verdana" w:eastAsia="Calibri" w:hAnsi="Verdana" w:cs="Times New Roman"/>
          <w:spacing w:val="-18"/>
          <w:sz w:val="20"/>
          <w:szCs w:val="20"/>
        </w:rPr>
        <w:t xml:space="preserve"> </w:t>
      </w:r>
      <w:r>
        <w:rPr>
          <w:rFonts w:ascii="Verdana" w:eastAsia="Calibri" w:hAnsi="Verdana" w:cs="Times New Roman"/>
          <w:sz w:val="20"/>
          <w:szCs w:val="20"/>
        </w:rPr>
        <w:t>obligaciones</w:t>
      </w:r>
      <w:r>
        <w:rPr>
          <w:rFonts w:ascii="Verdana" w:eastAsia="Calibri" w:hAnsi="Verdana" w:cs="Times New Roman"/>
          <w:spacing w:val="-16"/>
          <w:sz w:val="20"/>
          <w:szCs w:val="20"/>
        </w:rPr>
        <w:t xml:space="preserve"> </w:t>
      </w:r>
      <w:r>
        <w:rPr>
          <w:rFonts w:ascii="Verdana" w:eastAsia="Calibri" w:hAnsi="Verdana" w:cs="Times New Roman"/>
          <w:sz w:val="20"/>
          <w:szCs w:val="20"/>
        </w:rPr>
        <w:t>a</w:t>
      </w:r>
      <w:r>
        <w:rPr>
          <w:rFonts w:ascii="Verdana" w:eastAsia="Calibri" w:hAnsi="Verdana" w:cs="Times New Roman"/>
          <w:spacing w:val="-19"/>
          <w:sz w:val="20"/>
          <w:szCs w:val="20"/>
        </w:rPr>
        <w:t xml:space="preserve"> </w:t>
      </w:r>
      <w:r>
        <w:rPr>
          <w:rFonts w:ascii="Verdana" w:eastAsia="Calibri" w:hAnsi="Verdana" w:cs="Times New Roman"/>
          <w:sz w:val="20"/>
          <w:szCs w:val="20"/>
        </w:rPr>
        <w:t>cargo</w:t>
      </w:r>
      <w:r>
        <w:rPr>
          <w:rFonts w:ascii="Verdana" w:eastAsia="Calibri" w:hAnsi="Verdana" w:cs="Times New Roman"/>
          <w:spacing w:val="-17"/>
          <w:sz w:val="20"/>
          <w:szCs w:val="20"/>
        </w:rPr>
        <w:t xml:space="preserve"> </w:t>
      </w:r>
      <w:r>
        <w:rPr>
          <w:rFonts w:ascii="Verdana" w:eastAsia="Calibri" w:hAnsi="Verdana" w:cs="Times New Roman"/>
          <w:sz w:val="20"/>
          <w:szCs w:val="20"/>
        </w:rPr>
        <w:t>del</w:t>
      </w:r>
      <w:r>
        <w:rPr>
          <w:rFonts w:ascii="Verdana" w:eastAsia="Calibri" w:hAnsi="Verdana" w:cs="Times New Roman"/>
          <w:spacing w:val="-18"/>
          <w:sz w:val="20"/>
          <w:szCs w:val="20"/>
        </w:rPr>
        <w:t xml:space="preserve"> </w:t>
      </w:r>
      <w:r>
        <w:rPr>
          <w:rFonts w:ascii="Verdana" w:eastAsia="Calibri" w:hAnsi="Verdana" w:cs="Times New Roman"/>
          <w:sz w:val="20"/>
          <w:szCs w:val="20"/>
        </w:rPr>
        <w:t>contratista y es la que le pone término a la vinculación de las partes</w:t>
      </w:r>
      <w:r>
        <w:rPr>
          <w:rFonts w:ascii="Verdana" w:eastAsia="Calibri" w:hAnsi="Verdana" w:cs="Times New Roman"/>
          <w:spacing w:val="-53"/>
          <w:sz w:val="20"/>
          <w:szCs w:val="20"/>
        </w:rPr>
        <w:t xml:space="preserve"> </w:t>
      </w:r>
      <w:r>
        <w:rPr>
          <w:rFonts w:ascii="Verdana" w:eastAsia="Calibri" w:hAnsi="Verdana" w:cs="Times New Roman"/>
          <w:sz w:val="20"/>
          <w:szCs w:val="20"/>
        </w:rPr>
        <w:t>”</w:t>
      </w:r>
      <w:r>
        <w:rPr>
          <w:rFonts w:ascii="Verdana" w:eastAsia="Calibri" w:hAnsi="Verdana" w:cs="Times New Roman"/>
          <w:sz w:val="20"/>
          <w:szCs w:val="20"/>
          <w:vertAlign w:val="superscript"/>
        </w:rPr>
        <w:footnoteReference w:id="6"/>
      </w:r>
      <w:r>
        <w:rPr>
          <w:rFonts w:ascii="Verdana" w:eastAsia="Calibri" w:hAnsi="Verdana" w:cs="Times New Roman"/>
          <w:sz w:val="20"/>
          <w:szCs w:val="20"/>
        </w:rPr>
        <w:t>.</w:t>
      </w:r>
    </w:p>
    <w:p w14:paraId="4E54612D" w14:textId="77777777" w:rsidR="002F4D5D" w:rsidRPr="00B54634" w:rsidRDefault="002F4D5D" w:rsidP="002F4D5D">
      <w:pPr>
        <w:spacing w:before="120" w:after="0" w:line="276" w:lineRule="auto"/>
        <w:jc w:val="both"/>
        <w:rPr>
          <w:rFonts w:ascii="Verdana" w:eastAsia="Calibri" w:hAnsi="Verdana" w:cs="Arial"/>
          <w:color w:val="000000"/>
        </w:rPr>
      </w:pPr>
    </w:p>
    <w:p w14:paraId="1620E107" w14:textId="77777777" w:rsidR="002F4D5D" w:rsidRPr="00B54634" w:rsidRDefault="002F4D5D" w:rsidP="002F4D5D">
      <w:pPr>
        <w:spacing w:after="0" w:line="276" w:lineRule="auto"/>
        <w:jc w:val="both"/>
        <w:rPr>
          <w:rFonts w:ascii="Verdana" w:eastAsia="Aptos" w:hAnsi="Verdana" w:cs="Times New Roman"/>
        </w:rPr>
      </w:pPr>
      <w:r>
        <w:rPr>
          <w:rFonts w:ascii="Verdana" w:eastAsia="Calibri" w:hAnsi="Verdana" w:cs="Arial"/>
          <w:lang w:val="es-ES"/>
        </w:rPr>
        <w:tab/>
        <w:t xml:space="preserve">De lo anterior se colige que, la cobertura mínima del amparo de cumplimiento cubre el </w:t>
      </w:r>
      <w:r>
        <w:rPr>
          <w:rFonts w:ascii="Verdana" w:eastAsia="Calibri" w:hAnsi="Verdana" w:cs="Arial"/>
          <w:i/>
          <w:iCs/>
          <w:lang w:val="es-ES"/>
        </w:rPr>
        <w:t xml:space="preserve">plazo de ejecución </w:t>
      </w:r>
      <w:r>
        <w:rPr>
          <w:rFonts w:ascii="Verdana" w:eastAsia="Aptos" w:hAnsi="Verdana" w:cs="Times New Roman"/>
        </w:rPr>
        <w:t xml:space="preserve">y el </w:t>
      </w:r>
      <w:r>
        <w:rPr>
          <w:rFonts w:ascii="Verdana" w:eastAsia="Aptos" w:hAnsi="Verdana" w:cs="Times New Roman"/>
          <w:i/>
        </w:rPr>
        <w:t>plazo de vigencia</w:t>
      </w:r>
      <w:r>
        <w:rPr>
          <w:rFonts w:ascii="Verdana" w:eastAsia="Aptos" w:hAnsi="Verdana" w:cs="Times New Roman"/>
        </w:rPr>
        <w:t>, el cual finaliza con la liquidación. Para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Pr>
          <w:rStyle w:val="Refdenotaalpie"/>
          <w:rFonts w:ascii="Verdana" w:hAnsi="Verdana"/>
        </w:rPr>
        <w:footnoteReference w:id="7"/>
      </w:r>
      <w:r>
        <w:rPr>
          <w:rFonts w:ascii="Verdana" w:eastAsia="Aptos" w:hAnsi="Verdana" w:cs="Times New Roman"/>
          <w:vertAlign w:val="superscript"/>
        </w:rPr>
        <w:footnoteReference w:id="8"/>
      </w:r>
      <w:r>
        <w:rPr>
          <w:rFonts w:ascii="Verdana" w:eastAsia="Aptos" w:hAnsi="Verdana" w:cs="Times New Roman"/>
        </w:rPr>
        <w:t xml:space="preserve">. </w:t>
      </w:r>
    </w:p>
    <w:p w14:paraId="06658FAE" w14:textId="77777777" w:rsidR="002F4D5D" w:rsidRPr="00B54634" w:rsidRDefault="002F4D5D" w:rsidP="002F4D5D">
      <w:pPr>
        <w:spacing w:before="120" w:after="0" w:line="276" w:lineRule="auto"/>
        <w:ind w:firstLine="708"/>
        <w:jc w:val="both"/>
        <w:rPr>
          <w:rFonts w:ascii="Verdana" w:eastAsia="Calibri" w:hAnsi="Verdana" w:cs="Arial"/>
          <w:lang w:val="es-MX"/>
        </w:rPr>
      </w:pPr>
      <w:r>
        <w:rPr>
          <w:rFonts w:ascii="Verdana" w:eastAsia="Calibri" w:hAnsi="Verdana" w:cs="Arial"/>
          <w:lang w:val="es-MX"/>
        </w:rPr>
        <w:t xml:space="preserve">En ese sentido, se tiene que, las Entidades Estatales sujetas al Estatuto General de Contratación de la Administración Pública, deben liquidar, conforme al artículo 60 de la Ley 80 de 1993: a) los contratos de tracto sucesivo, esto es aquellos cuyas obligaciones se ejecuten de manera periódica o difieren en el </w:t>
      </w:r>
      <w:r>
        <w:rPr>
          <w:rFonts w:ascii="Verdana" w:eastAsia="Calibri" w:hAnsi="Verdana" w:cs="Arial"/>
          <w:lang w:val="es-MX"/>
        </w:rPr>
        <w:lastRenderedPageBreak/>
        <w:t xml:space="preserve">tiempo o sucesivamente a medida que se van causando; b) aquellos contratos cuya ejecución o cumplimiento se prolonguen en el tiempo, ya sea por la naturaleza periódica de las prestaciones o por las vicisitudes que se presenten en su ejecución que lo dilaten o prorroguen y; c) los demás que lo requieran, con fundamento en su naturaleza, objeto y plazo, así como su importancia o relevancia o por la eventualidad de discrepancias y controversias en torno a su ejecución; salvo, en los contratos de prestación de servicios profesionales y de apoyo a la gestión, pues en estos no es obligatoria la liquidación. </w:t>
      </w:r>
    </w:p>
    <w:p w14:paraId="0145BA4A" w14:textId="77777777" w:rsidR="002F4D5D" w:rsidRPr="00B54634" w:rsidRDefault="002F4D5D" w:rsidP="002F4D5D">
      <w:pPr>
        <w:spacing w:before="120" w:after="120" w:line="276" w:lineRule="auto"/>
        <w:ind w:firstLine="703"/>
        <w:jc w:val="both"/>
        <w:rPr>
          <w:rFonts w:ascii="Verdana" w:eastAsia="Calibri" w:hAnsi="Verdana" w:cs="Arial"/>
          <w:lang w:val="es-MX"/>
        </w:rPr>
      </w:pPr>
      <w:r>
        <w:rPr>
          <w:rFonts w:ascii="Verdana" w:eastAsia="Calibri" w:hAnsi="Verdana" w:cs="Arial"/>
          <w:lang w:val="es-MX"/>
        </w:rPr>
        <w:t xml:space="preserve">De esta forma, se aclara que, si se cumplen con las condiciones antes señaladas, la entidad contratante deberá determinar sobre cada caso particular y concreto, si procede la liquidación y la forma en la que la adelantará, obedeciendo a las reglas procedimentales señaladas en el artículo 11 de la Ley 1150 de 2007. Con fundamento en lo establecido en el artículo 11 </w:t>
      </w:r>
      <w:r>
        <w:rPr>
          <w:rFonts w:ascii="Verdana" w:eastAsia="Calibri" w:hAnsi="Verdana" w:cs="Arial"/>
          <w:i/>
          <w:iCs/>
          <w:lang w:val="es-MX"/>
        </w:rPr>
        <w:t>ibidem</w:t>
      </w:r>
      <w:r>
        <w:rPr>
          <w:rFonts w:ascii="Verdana" w:eastAsia="Calibri" w:hAnsi="Verdana" w:cs="Arial"/>
          <w:lang w:val="es-MX"/>
        </w:rPr>
        <w:t>, las Entidades Estatales en el ejercicio de la autonomía de la voluntad y de conformidad con los criterios de la naturaleza, objeto y plazo del contrato, podrán definir en el pliego de condiciones o en el contrato el plazo para efectuar la liquidación de mutuo acuerdo. Sin embargo, en ausencia de pacto contractual, la referida norma prevé un término supletivo de cuatro (4) meses contados desde: i) el vencimiento del plazo previsto para la ejecución del contrato; ii) la expedición del acto administrativo que ordene la terminación del contrato; o iii) la fecha del acuerdo que disponga la terminación del contrato.</w:t>
      </w:r>
    </w:p>
    <w:p w14:paraId="6B086593" w14:textId="77777777" w:rsidR="002F4D5D" w:rsidRPr="00B54634" w:rsidRDefault="002F4D5D" w:rsidP="002F4D5D">
      <w:pPr>
        <w:spacing w:after="0" w:line="276" w:lineRule="auto"/>
        <w:ind w:firstLine="703"/>
        <w:jc w:val="both"/>
        <w:rPr>
          <w:rFonts w:ascii="Verdana" w:eastAsia="Calibri" w:hAnsi="Verdana" w:cs="Arial"/>
          <w:lang w:val="es-MX"/>
        </w:rPr>
      </w:pPr>
      <w:r>
        <w:rPr>
          <w:rFonts w:ascii="Verdana" w:eastAsia="Calibri" w:hAnsi="Verdana" w:cs="Arial"/>
          <w:lang w:val="es-MX"/>
        </w:rPr>
        <w:t>Durante dichos términos, el contratista puede solicitar que se adelante el trámite de liquidación. Sin embargo, es responsabilidad de la Entidad Estatal convocarlo para adelantar la liquidación de común acuerdo o notificarlo para que se presente a realizarla</w:t>
      </w:r>
      <w:r>
        <w:rPr>
          <w:rFonts w:ascii="Aptos" w:eastAsia="Aptos" w:hAnsi="Aptos" w:cs="Times New Roman"/>
          <w:color w:val="000000"/>
          <w:vertAlign w:val="superscript"/>
          <w:lang w:val="es-ES_tradnl"/>
        </w:rPr>
        <w:footnoteReference w:id="9"/>
      </w:r>
      <w:r>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(4) meses señalados en la ley, según corresponda. Esta liquidación bilateral puede ser total o parcial</w:t>
      </w:r>
      <w:r>
        <w:rPr>
          <w:rFonts w:ascii="Aptos" w:eastAsia="Aptos" w:hAnsi="Aptos" w:cs="Times New Roman"/>
          <w:iCs/>
          <w:color w:val="000000"/>
          <w:vertAlign w:val="superscript"/>
          <w:lang w:val="es-ES_tradnl"/>
        </w:rPr>
        <w:footnoteReference w:id="10"/>
      </w:r>
      <w:r>
        <w:rPr>
          <w:rFonts w:ascii="Verdana" w:eastAsia="Calibri" w:hAnsi="Verdana" w:cs="Arial"/>
          <w:color w:val="000000"/>
          <w:lang w:val="es-ES_tradnl"/>
        </w:rPr>
        <w:t xml:space="preserve">, y el </w:t>
      </w:r>
      <w:r>
        <w:rPr>
          <w:rFonts w:ascii="Verdana" w:eastAsia="Calibri" w:hAnsi="Verdana" w:cs="Arial"/>
          <w:color w:val="000000"/>
          <w:lang w:val="es-ES_tradnl"/>
        </w:rPr>
        <w:lastRenderedPageBreak/>
        <w:t>documento que la contiene presta mérito ejecutivo, siempre que se satisfagan los elementos para considerarlo como tal.</w:t>
      </w:r>
    </w:p>
    <w:p w14:paraId="3C2D9730" w14:textId="77777777" w:rsidR="002F4D5D" w:rsidRPr="00B54634" w:rsidRDefault="002F4D5D" w:rsidP="002F4D5D">
      <w:pPr>
        <w:spacing w:before="120" w:after="0" w:line="276" w:lineRule="auto"/>
        <w:ind w:firstLine="703"/>
        <w:jc w:val="both"/>
        <w:rPr>
          <w:rFonts w:ascii="Verdana" w:eastAsia="Times New Roman" w:hAnsi="Verdana" w:cs="Arial"/>
          <w:color w:val="000000"/>
          <w:lang w:eastAsia="es-ES_tradnl"/>
        </w:rPr>
      </w:pPr>
      <w:r>
        <w:rPr>
          <w:rFonts w:ascii="Verdana" w:eastAsia="Calibri" w:hAnsi="Verdana" w:cs="Arial"/>
          <w:lang w:val="es-MX"/>
        </w:rPr>
        <w:t xml:space="preserve">Si no es posible efectuar la liquidación </w:t>
      </w:r>
      <w:r>
        <w:rPr>
          <w:rFonts w:ascii="Verdana" w:eastAsia="Times New Roman" w:hAnsi="Verdana" w:cs="Arial"/>
          <w:color w:val="000000"/>
          <w:bdr w:val="none" w:sz="0" w:space="0" w:color="auto" w:frame="1"/>
          <w:shd w:val="clear" w:color="auto" w:fill="FFFFFF"/>
          <w:lang w:val="es-ES" w:eastAsia="es-ES_tradnl"/>
        </w:rPr>
        <w:t xml:space="preserve">de manera bilateral, el ordenamiento jurídico prevé una facultad, de carácter subsidiario, para que la Entidad Estatal realice la liquidación unilateralmente. En relación con este aspecto, la </w:t>
      </w:r>
      <w:r>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Pr>
          <w:rFonts w:ascii="Verdana" w:eastAsia="Times New Roman" w:hAnsi="Verdana" w:cs="Arial"/>
          <w:color w:val="000000"/>
          <w:bdr w:val="none" w:sz="0" w:space="0" w:color="auto" w:frame="1"/>
          <w:shd w:val="clear" w:color="auto" w:fill="FFFFFF"/>
          <w:lang w:val="es-ES" w:eastAsia="es-ES_tradnl"/>
        </w:rPr>
        <w:t>Consejo de Estado</w:t>
      </w:r>
      <w:r>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3C0DE946" w14:textId="77777777" w:rsidR="002F4D5D" w:rsidRPr="00B54634" w:rsidRDefault="002F4D5D" w:rsidP="002F4D5D">
      <w:pPr>
        <w:spacing w:after="0" w:line="276" w:lineRule="auto"/>
        <w:ind w:left="705" w:right="750"/>
        <w:jc w:val="both"/>
        <w:rPr>
          <w:rFonts w:ascii="Verdana" w:eastAsia="Times New Roman" w:hAnsi="Verdana" w:cs="Arial"/>
          <w:color w:val="000000"/>
          <w:lang w:eastAsia="es-ES_tradnl"/>
        </w:rPr>
      </w:pPr>
    </w:p>
    <w:p w14:paraId="7CBAFE4A" w14:textId="77777777" w:rsidR="002F4D5D" w:rsidRPr="00B54634" w:rsidRDefault="002F4D5D" w:rsidP="002F4D5D">
      <w:pPr>
        <w:spacing w:after="0" w:line="240" w:lineRule="auto"/>
        <w:ind w:left="705" w:right="750"/>
        <w:jc w:val="both"/>
        <w:rPr>
          <w:rFonts w:ascii="Verdana" w:eastAsia="Times New Roman" w:hAnsi="Verdana" w:cs="Arial"/>
          <w:color w:val="000000"/>
          <w:sz w:val="20"/>
          <w:szCs w:val="20"/>
          <w:lang w:eastAsia="es-ES_tradnl"/>
        </w:rPr>
      </w:pPr>
      <w:r>
        <w:rPr>
          <w:rFonts w:ascii="Verdana" w:eastAsia="Times New Roman" w:hAnsi="Verdana" w:cs="Arial"/>
          <w:i/>
          <w:iCs/>
          <w:sz w:val="20"/>
          <w:szCs w:val="20"/>
          <w:lang w:val="es-ES_tradnl" w:eastAsia="es-ES_tradnl"/>
        </w:rPr>
        <w:t>“</w:t>
      </w:r>
      <w:r>
        <w:rPr>
          <w:rFonts w:ascii="Verdana" w:eastAsia="Calibri" w:hAnsi="Verdana" w:cs="Arial"/>
          <w:color w:val="000000"/>
          <w:sz w:val="20"/>
          <w:szCs w:val="20"/>
          <w:lang w:val="es-ES" w:eastAsia="es-ES_tradnl"/>
        </w:rPr>
        <w:t>[</w:t>
      </w:r>
      <w:r>
        <w:rPr>
          <w:rFonts w:ascii="Verdana" w:eastAsia="Times New Roman" w:hAnsi="Verdana" w:cs="Arial"/>
          <w:color w:val="000000"/>
          <w:sz w:val="20"/>
          <w:szCs w:val="20"/>
          <w:bdr w:val="none" w:sz="0" w:space="0" w:color="auto" w:frame="1"/>
          <w:shd w:val="clear" w:color="auto" w:fill="FFFFFF"/>
          <w:lang w:eastAsia="es-ES_tradnl"/>
        </w:rPr>
        <w:t xml:space="preserve">…] </w:t>
      </w:r>
      <w:r>
        <w:rPr>
          <w:rFonts w:ascii="Verdana" w:eastAsia="Times New Roman" w:hAnsi="Verdana"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color w:val="000000"/>
          <w:sz w:val="20"/>
          <w:szCs w:val="20"/>
          <w:bdr w:val="none" w:sz="0" w:space="0" w:color="auto" w:frame="1"/>
          <w:shd w:val="clear" w:color="auto" w:fill="FFFFFF"/>
          <w:vertAlign w:val="superscript"/>
          <w:lang w:val="es-MX" w:eastAsia="es-ES_tradnl"/>
        </w:rPr>
        <w:footnoteReference w:id="11"/>
      </w:r>
      <w:r>
        <w:rPr>
          <w:rFonts w:ascii="Verdana" w:eastAsia="Times New Roman" w:hAnsi="Verdana" w:cs="Arial"/>
          <w:color w:val="000000"/>
          <w:sz w:val="20"/>
          <w:szCs w:val="20"/>
          <w:bdr w:val="none" w:sz="0" w:space="0" w:color="auto" w:frame="1"/>
          <w:shd w:val="clear" w:color="auto" w:fill="FFFFFF"/>
          <w:lang w:val="es-ES" w:eastAsia="es-ES_tradnl"/>
        </w:rPr>
        <w:t>. </w:t>
      </w:r>
      <w:r>
        <w:rPr>
          <w:rFonts w:ascii="Verdana" w:eastAsia="Times New Roman" w:hAnsi="Verdana" w:cs="Arial"/>
          <w:color w:val="000000"/>
          <w:sz w:val="20"/>
          <w:szCs w:val="20"/>
          <w:bdr w:val="none" w:sz="0" w:space="0" w:color="auto" w:frame="1"/>
          <w:shd w:val="clear" w:color="auto" w:fill="FFFFFF"/>
          <w:lang w:eastAsia="es-ES_tradnl"/>
        </w:rPr>
        <w:t>  </w:t>
      </w:r>
    </w:p>
    <w:p w14:paraId="2CBA513F" w14:textId="77777777" w:rsidR="002F4D5D" w:rsidRPr="00B54634" w:rsidRDefault="002F4D5D" w:rsidP="002F4D5D">
      <w:pPr>
        <w:spacing w:after="0" w:line="276" w:lineRule="auto"/>
        <w:ind w:left="705" w:right="750"/>
        <w:jc w:val="both"/>
        <w:rPr>
          <w:rFonts w:ascii="Verdana" w:eastAsia="Times New Roman" w:hAnsi="Verdana" w:cs="Arial"/>
          <w:color w:val="000000"/>
          <w:lang w:eastAsia="es-ES_tradnl"/>
        </w:rPr>
      </w:pPr>
    </w:p>
    <w:p w14:paraId="02CBBB2D" w14:textId="77777777" w:rsidR="002F4D5D" w:rsidRPr="00B54634" w:rsidRDefault="002F4D5D" w:rsidP="002F4D5D">
      <w:pPr>
        <w:spacing w:after="0" w:line="276" w:lineRule="auto"/>
        <w:jc w:val="both"/>
        <w:rPr>
          <w:rFonts w:ascii="Verdana" w:eastAsia="Times New Roman" w:hAnsi="Verdana" w:cs="Arial"/>
          <w:color w:val="000000"/>
          <w:lang w:eastAsia="es-ES_tradnl"/>
        </w:rPr>
      </w:pPr>
      <w:r>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Pr>
          <w:rFonts w:ascii="Verdana" w:eastAsia="Times New Roman" w:hAnsi="Verdana" w:cs="Arial"/>
          <w:color w:val="000000"/>
          <w:lang w:eastAsia="es-ES_tradnl"/>
        </w:rPr>
        <w:t xml:space="preserve"> </w:t>
      </w:r>
      <w:r>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En este sentido, en decisión de unificación de la </w:t>
      </w:r>
      <w:r>
        <w:rPr>
          <w:rFonts w:ascii="Verdana" w:eastAsia="Times New Roman" w:hAnsi="Verdana" w:cs="Arial"/>
          <w:color w:val="000000"/>
          <w:bdr w:val="none" w:sz="0" w:space="0" w:color="auto" w:frame="1"/>
          <w:shd w:val="clear" w:color="auto" w:fill="FFFFFF"/>
          <w:lang w:val="es-MX" w:eastAsia="es-ES_tradnl"/>
        </w:rPr>
        <w:t>Sección Tercera</w:t>
      </w:r>
      <w:r>
        <w:rPr>
          <w:rFonts w:ascii="Verdana" w:eastAsia="Times New Roman" w:hAnsi="Verdana" w:cs="Arial"/>
          <w:color w:val="000000"/>
          <w:bdr w:val="none" w:sz="0" w:space="0" w:color="auto" w:frame="1"/>
          <w:shd w:val="clear" w:color="auto" w:fill="FFFFFF"/>
          <w:lang w:val="es-ES" w:eastAsia="es-ES_tradnl"/>
        </w:rPr>
        <w:t xml:space="preserve"> del Consejo de Estado del</w:t>
      </w:r>
      <w:r>
        <w:rPr>
          <w:rFonts w:ascii="Verdana" w:eastAsia="Times New Roman" w:hAnsi="Verdana" w:cs="Arial"/>
          <w:color w:val="000000"/>
          <w:bdr w:val="none" w:sz="0" w:space="0" w:color="auto" w:frame="1"/>
          <w:shd w:val="clear" w:color="auto" w:fill="FFFFFF"/>
          <w:lang w:val="es-MX" w:eastAsia="es-ES_tradnl"/>
        </w:rPr>
        <w:t> </w:t>
      </w:r>
      <w:r>
        <w:rPr>
          <w:rFonts w:ascii="Verdana" w:eastAsia="Times New Roman" w:hAnsi="Verdana" w:cs="Arial"/>
          <w:color w:val="000000"/>
          <w:bdr w:val="none" w:sz="0" w:space="0" w:color="auto" w:frame="1"/>
          <w:shd w:val="clear" w:color="auto" w:fill="FFFFFF"/>
          <w:lang w:eastAsia="es-ES_tradnl"/>
        </w:rPr>
        <w:t>1 de agosto de 2019, se expresó: </w:t>
      </w:r>
    </w:p>
    <w:p w14:paraId="5CD8664B" w14:textId="77777777" w:rsidR="002F4D5D" w:rsidRPr="00B54634" w:rsidRDefault="002F4D5D" w:rsidP="002F4D5D">
      <w:pPr>
        <w:spacing w:after="0" w:line="276" w:lineRule="auto"/>
        <w:ind w:firstLine="705"/>
        <w:jc w:val="both"/>
        <w:rPr>
          <w:rFonts w:ascii="Verdana" w:eastAsia="Times New Roman" w:hAnsi="Verdana" w:cs="Arial"/>
          <w:color w:val="000000"/>
          <w:lang w:eastAsia="es-ES_tradnl"/>
        </w:rPr>
      </w:pPr>
    </w:p>
    <w:p w14:paraId="74D926E2" w14:textId="77777777" w:rsidR="002F4D5D" w:rsidRPr="00B54634" w:rsidRDefault="002F4D5D" w:rsidP="002F4D5D">
      <w:pPr>
        <w:spacing w:after="0" w:line="240" w:lineRule="auto"/>
        <w:ind w:left="705" w:right="750"/>
        <w:jc w:val="both"/>
        <w:rPr>
          <w:rFonts w:ascii="Verdana" w:eastAsia="Times New Roman" w:hAnsi="Verdana" w:cs="Arial"/>
          <w:color w:val="000000"/>
          <w:sz w:val="20"/>
          <w:szCs w:val="20"/>
          <w:lang w:eastAsia="es-ES_tradnl"/>
        </w:rPr>
      </w:pPr>
      <w:r>
        <w:rPr>
          <w:rFonts w:ascii="Verdana" w:eastAsia="Times New Roman" w:hAnsi="Verdana" w:cs="Arial"/>
          <w:sz w:val="20"/>
          <w:szCs w:val="20"/>
          <w:lang w:val="es-ES_tradnl" w:eastAsia="es-ES_tradnl"/>
        </w:rPr>
        <w:t>“</w:t>
      </w:r>
      <w:r>
        <w:rPr>
          <w:rFonts w:ascii="Verdana" w:eastAsia="Times New Roman" w:hAnsi="Verdana" w:cs="Arial"/>
          <w:color w:val="000000"/>
          <w:sz w:val="20"/>
          <w:szCs w:val="20"/>
          <w:bdr w:val="none" w:sz="0" w:space="0" w:color="auto" w:frame="1"/>
          <w:shd w:val="clear" w:color="auto" w:fill="FFFFFF"/>
          <w:lang w:val="es-ES" w:eastAsia="es-ES_tradnl"/>
        </w:rPr>
        <w:t xml:space="preserve">Como pudo apreciarse, este precepto legal permite que la liquidación bilateral se acuerde después del vencimiento del término pactado en el contrato o previsto en los documentos antepuestos, o, del término </w:t>
      </w:r>
      <w:r>
        <w:rPr>
          <w:rFonts w:ascii="Verdana" w:eastAsia="Times New Roman" w:hAnsi="Verdana" w:cs="Arial"/>
          <w:color w:val="000000"/>
          <w:sz w:val="20"/>
          <w:szCs w:val="20"/>
          <w:bdr w:val="none" w:sz="0" w:space="0" w:color="auto" w:frame="1"/>
          <w:shd w:val="clear" w:color="auto" w:fill="FFFFFF"/>
          <w:lang w:val="es-ES" w:eastAsia="es-ES_tradnl"/>
        </w:rPr>
        <w:lastRenderedPageBreak/>
        <w:t>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Pr>
          <w:rFonts w:ascii="Verdana" w:eastAsia="Times New Roman" w:hAnsi="Verdana" w:cs="Arial"/>
          <w:color w:val="000000"/>
          <w:sz w:val="20"/>
          <w:szCs w:val="20"/>
          <w:bdr w:val="none" w:sz="0" w:space="0" w:color="auto" w:frame="1"/>
          <w:shd w:val="clear" w:color="auto" w:fill="FFFFFF"/>
          <w:lang w:val="es-ES" w:eastAsia="es-ES_tradnl"/>
        </w:rPr>
        <w:t>liquidatorio</w:t>
      </w:r>
      <w:proofErr w:type="spellEnd"/>
      <w:r>
        <w:rPr>
          <w:rFonts w:ascii="Verdana" w:eastAsia="Times New Roman" w:hAnsi="Verdana" w:cs="Arial"/>
          <w:color w:val="000000"/>
          <w:sz w:val="20"/>
          <w:szCs w:val="20"/>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Pr>
          <w:rFonts w:ascii="Verdana" w:eastAsia="Times New Roman" w:hAnsi="Verdana" w:cs="Arial"/>
          <w:sz w:val="20"/>
          <w:szCs w:val="20"/>
          <w:lang w:val="es-ES_tradnl" w:eastAsia="es-ES_tradnl"/>
        </w:rPr>
        <w:t>”</w:t>
      </w:r>
      <w:r>
        <w:rPr>
          <w:rFonts w:ascii="Verdana" w:eastAsia="Times New Roman" w:hAnsi="Verdana" w:cs="Arial"/>
          <w:color w:val="000000"/>
          <w:sz w:val="20"/>
          <w:szCs w:val="20"/>
          <w:bdr w:val="none" w:sz="0" w:space="0" w:color="auto" w:frame="1"/>
          <w:shd w:val="clear" w:color="auto" w:fill="FFFFFF"/>
          <w:vertAlign w:val="superscript"/>
          <w:lang w:eastAsia="es-ES_tradnl"/>
        </w:rPr>
        <w:t xml:space="preserve"> </w:t>
      </w:r>
      <w:r>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2"/>
      </w:r>
      <w:r>
        <w:rPr>
          <w:rFonts w:ascii="Verdana" w:eastAsia="Times New Roman" w:hAnsi="Verdana" w:cs="Arial"/>
          <w:sz w:val="20"/>
          <w:szCs w:val="20"/>
          <w:lang w:val="es-ES_tradnl" w:eastAsia="es-ES_tradnl"/>
        </w:rPr>
        <w:t>.</w:t>
      </w:r>
      <w:r>
        <w:rPr>
          <w:rFonts w:ascii="Verdana" w:eastAsia="Times New Roman" w:hAnsi="Verdana" w:cs="Arial"/>
          <w:color w:val="000000"/>
          <w:sz w:val="20"/>
          <w:szCs w:val="20"/>
          <w:bdr w:val="none" w:sz="0" w:space="0" w:color="auto" w:frame="1"/>
          <w:shd w:val="clear" w:color="auto" w:fill="FFFFFF"/>
          <w:lang w:val="es-ES" w:eastAsia="es-ES_tradnl"/>
        </w:rPr>
        <w:t> </w:t>
      </w:r>
    </w:p>
    <w:p w14:paraId="49B5A290" w14:textId="77777777" w:rsidR="002F4D5D" w:rsidRPr="00B54634" w:rsidRDefault="002F4D5D" w:rsidP="002F4D5D">
      <w:pPr>
        <w:spacing w:after="0" w:line="276" w:lineRule="auto"/>
        <w:ind w:firstLine="708"/>
        <w:jc w:val="both"/>
        <w:rPr>
          <w:rFonts w:ascii="Verdana" w:eastAsia="Times New Roman" w:hAnsi="Verdana" w:cs="Arial"/>
          <w:color w:val="000000"/>
          <w:lang w:eastAsia="es-ES_tradnl"/>
        </w:rPr>
      </w:pPr>
    </w:p>
    <w:p w14:paraId="582A4EE5" w14:textId="77777777" w:rsidR="002F4D5D" w:rsidRPr="00B54634" w:rsidRDefault="002F4D5D" w:rsidP="002F4D5D">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 su turno, la liquidación judicial hace parte de una de las pretensiones que admite el medio de control de controversias contractuales. Al respecto, el artículo 141 de la Ley 1437 de 2011 dispone que “[…]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14:paraId="6A218633" w14:textId="77777777" w:rsidR="002F4D5D" w:rsidRPr="00B54634" w:rsidRDefault="002F4D5D" w:rsidP="002F4D5D">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
        </w:rPr>
      </w:pPr>
      <w:r>
        <w:rPr>
          <w:rFonts w:ascii="Verdana" w:eastAsia="Times New Roman" w:hAnsi="Verdana" w:cs="Arial"/>
          <w:color w:val="000000"/>
          <w:bdr w:val="none" w:sz="0" w:space="0" w:color="auto" w:frame="1"/>
          <w:shd w:val="clear" w:color="auto" w:fill="FFFFFF"/>
          <w:lang w:eastAsia="es-ES_tradnl"/>
        </w:rPr>
        <w:tab/>
      </w:r>
      <w:r>
        <w:rPr>
          <w:rFonts w:ascii="Verdana" w:eastAsia="Times New Roman" w:hAnsi="Verdana" w:cs="Arial"/>
          <w:color w:val="000000"/>
          <w:bdr w:val="none" w:sz="0" w:space="0" w:color="auto" w:frame="1"/>
          <w:shd w:val="clear" w:color="auto" w:fill="FFFFFF"/>
          <w:lang w:val="es-ES" w:eastAsia="es-ES"/>
        </w:rPr>
        <w:t>En suma,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232638A8" w14:textId="77777777" w:rsidR="002F4D5D" w:rsidRPr="00B54634" w:rsidRDefault="002F4D5D" w:rsidP="002F4D5D">
      <w:pPr>
        <w:spacing w:after="0" w:line="276" w:lineRule="auto"/>
        <w:ind w:firstLine="708"/>
        <w:jc w:val="both"/>
        <w:rPr>
          <w:rFonts w:ascii="Verdana" w:eastAsia="Times New Roman" w:hAnsi="Verdana" w:cs="Arial"/>
          <w:color w:val="000000"/>
          <w:lang w:eastAsia="es-CO"/>
        </w:rPr>
      </w:pPr>
      <w:r>
        <w:rPr>
          <w:rFonts w:ascii="Verdana" w:eastAsia="Times New Roman" w:hAnsi="Verdana" w:cs="Arial"/>
          <w:color w:val="000000"/>
          <w:lang w:eastAsia="es-CO"/>
        </w:rPr>
        <w:t xml:space="preserve">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w:t>
      </w:r>
      <w:r>
        <w:rPr>
          <w:rFonts w:ascii="Verdana" w:eastAsia="Times New Roman" w:hAnsi="Verdana" w:cs="Arial"/>
          <w:color w:val="000000"/>
          <w:lang w:eastAsia="es-CO"/>
        </w:rPr>
        <w:lastRenderedPageBreak/>
        <w:t>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0C584E9D" w14:textId="77777777" w:rsidR="002F4D5D" w:rsidRPr="00B54634" w:rsidRDefault="002F4D5D" w:rsidP="002F4D5D">
      <w:pPr>
        <w:spacing w:after="0" w:line="276" w:lineRule="auto"/>
        <w:jc w:val="both"/>
        <w:rPr>
          <w:rFonts w:ascii="Verdana" w:eastAsia="Times New Roman" w:hAnsi="Verdana" w:cs="Arial"/>
          <w:color w:val="000000"/>
          <w:lang w:eastAsia="es-CO"/>
        </w:rPr>
      </w:pPr>
    </w:p>
    <w:p w14:paraId="32CC9EC0" w14:textId="77777777" w:rsidR="002F4D5D" w:rsidRPr="00B54634" w:rsidRDefault="002F4D5D" w:rsidP="002F4D5D">
      <w:pPr>
        <w:spacing w:after="0" w:line="240" w:lineRule="auto"/>
        <w:ind w:left="709" w:right="709"/>
        <w:jc w:val="both"/>
        <w:rPr>
          <w:rFonts w:ascii="Verdana" w:eastAsia="Times New Roman" w:hAnsi="Verdana" w:cs="Arial"/>
          <w:color w:val="000000"/>
          <w:sz w:val="20"/>
          <w:szCs w:val="20"/>
          <w:lang w:eastAsia="es-CO"/>
        </w:rPr>
      </w:pPr>
      <w:r>
        <w:rPr>
          <w:rFonts w:ascii="Verdana" w:eastAsia="Times New Roman" w:hAnsi="Verdana" w:cs="Arial"/>
          <w:color w:val="000000"/>
          <w:sz w:val="20"/>
          <w:szCs w:val="20"/>
          <w:lang w:eastAsia="es-CO"/>
        </w:rPr>
        <w:t>“Suele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Pr>
          <w:rFonts w:ascii="Verdana" w:eastAsia="Times New Roman" w:hAnsi="Verdana" w:cs="Arial"/>
          <w:color w:val="000000"/>
          <w:sz w:val="20"/>
          <w:szCs w:val="20"/>
          <w:vertAlign w:val="superscript"/>
          <w:lang w:eastAsia="es-CO"/>
        </w:rPr>
        <w:footnoteReference w:id="13"/>
      </w:r>
      <w:r>
        <w:rPr>
          <w:rFonts w:ascii="Verdana" w:eastAsia="Times New Roman" w:hAnsi="Verdana" w:cs="Arial"/>
          <w:color w:val="000000"/>
          <w:sz w:val="20"/>
          <w:szCs w:val="20"/>
          <w:lang w:eastAsia="es-CO"/>
        </w:rPr>
        <w:t xml:space="preserve">.   </w:t>
      </w:r>
    </w:p>
    <w:p w14:paraId="6EF2EAB0" w14:textId="77777777" w:rsidR="002F4D5D" w:rsidRPr="00B54634" w:rsidRDefault="002F4D5D" w:rsidP="002F4D5D">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782251F4" w14:textId="77777777" w:rsidR="002F4D5D" w:rsidRPr="001B3C5D" w:rsidRDefault="002F4D5D" w:rsidP="001E0D95">
      <w:pPr>
        <w:tabs>
          <w:tab w:val="left" w:pos="709"/>
        </w:tabs>
        <w:spacing w:after="120"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ab/>
      </w:r>
      <w:r w:rsidRPr="001B3C5D">
        <w:rPr>
          <w:rFonts w:ascii="Verdana" w:eastAsia="Calibri" w:hAnsi="Verdana" w:cs="Arial"/>
          <w:color w:val="000000"/>
          <w:lang w:val="es-ES" w:eastAsia="es-ES"/>
        </w:rPr>
        <w:t xml:space="preserve">En consecuencia, dentro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6CBDB6B3" w14:textId="77777777" w:rsidR="002F4D5D" w:rsidRPr="001B3C5D" w:rsidRDefault="002F4D5D" w:rsidP="002F4D5D">
      <w:pPr>
        <w:spacing w:after="120" w:line="276" w:lineRule="auto"/>
        <w:ind w:firstLine="708"/>
        <w:jc w:val="both"/>
        <w:rPr>
          <w:rFonts w:ascii="Verdana" w:eastAsia="Verdana" w:hAnsi="Verdana" w:cs="Verdana"/>
        </w:rPr>
      </w:pPr>
      <w:r w:rsidRPr="001B3C5D">
        <w:rPr>
          <w:rFonts w:ascii="Verdana" w:eastAsia="Calibri" w:hAnsi="Verdana" w:cs="Arial"/>
          <w:lang w:eastAsia="es-ES_tradnl"/>
          <w14:ligatures w14:val="standardContextual"/>
        </w:rPr>
        <w:t>Ahora bien, en atención al problema jurídico planteado, es de precisar que esta Subdirección Contractual</w:t>
      </w:r>
      <w:r w:rsidRPr="001B3C5D">
        <w:rPr>
          <w:rFonts w:ascii="Verdana" w:eastAsia="Verdana" w:hAnsi="Verdana" w:cs="Verdana"/>
        </w:rPr>
        <w:t xml:space="preserve">, mediante el Concepto C-367 del 16 de abril de 2026, precisó que la vigencia mínima del amparo de cumplimiento comprende el plazo de ejecución y el período de vigencia contractual que finaliza con la liquidación. Asimismo, indicó que, vencidos los términos legales para liquidar sin </w:t>
      </w:r>
      <w:r w:rsidRPr="001B3C5D">
        <w:rPr>
          <w:rFonts w:ascii="Verdana" w:eastAsia="Verdana" w:hAnsi="Verdana" w:cs="Verdana"/>
        </w:rPr>
        <w:lastRenderedPageBreak/>
        <w:t>que esta se haya realizado, la entidad pierde la oportunidad para efectuar el balance final del contrato, por tratarse de plazos perentorios.</w:t>
      </w:r>
    </w:p>
    <w:p w14:paraId="4516E444" w14:textId="77777777" w:rsidR="002F4D5D" w:rsidRPr="001B3C5D" w:rsidRDefault="002F4D5D" w:rsidP="002F4D5D">
      <w:pPr>
        <w:spacing w:after="120" w:line="276" w:lineRule="auto"/>
        <w:jc w:val="both"/>
        <w:rPr>
          <w:rFonts w:ascii="Verdana" w:eastAsia="Verdana" w:hAnsi="Verdana" w:cs="Verdana"/>
        </w:rPr>
      </w:pPr>
      <w:r w:rsidRPr="001B3C5D">
        <w:rPr>
          <w:rFonts w:ascii="Verdana" w:eastAsia="Verdana" w:hAnsi="Verdana" w:cs="Verdana"/>
        </w:rPr>
        <w:t xml:space="preserve">        Por otra parte, la vigencia de los amparos de calidad del servicio y de calidad y correcto funcionamiento de los bienes no puede fijarse mediante la aplicación automática de períodos uniformes que carezcan de fundamento normativo o técnico. De acuerdo con los artículos 2.2.1.2.3.1.15 y 2.2.1.2.3.1.16 del Decreto 1082 de 2015, su duración debe corresponder a lo establecido en el contrato y en los documentos del proceso, atendiendo al análisis del riesgo que se pretende cubrir.</w:t>
      </w:r>
    </w:p>
    <w:p w14:paraId="1A3FECA2" w14:textId="77777777" w:rsidR="002F4D5D" w:rsidRPr="001B3C5D" w:rsidRDefault="002F4D5D" w:rsidP="002F4D5D">
      <w:pPr>
        <w:spacing w:after="120" w:line="276" w:lineRule="auto"/>
        <w:jc w:val="both"/>
        <w:rPr>
          <w:rFonts w:ascii="Verdana" w:eastAsia="Verdana" w:hAnsi="Verdana" w:cs="Verdana"/>
        </w:rPr>
      </w:pPr>
      <w:r w:rsidRPr="001B3C5D">
        <w:rPr>
          <w:rFonts w:ascii="Verdana" w:eastAsia="Verdana" w:hAnsi="Verdana" w:cs="Verdana"/>
        </w:rPr>
        <w:t xml:space="preserve">         Al respecto, en el Concepto C-1464 del 20 de noviembre de 2025, esta  Agencia señaló que las entidades estatales no deben exigir automáticamente que los amparos de calidad del servicio y de calidad y correcto funcionamiento de los bienes tengan una vigencia equivalente al plazo de ejecución más treinta (30) meses, puesto que dicho término no constituye una exigencia general prevista en la ley. Su determinación debe sustentarse en el estudio de riesgos y en la duración de las obligaciones y responsabilidades contractuales que se pretenden amparar.</w:t>
      </w:r>
    </w:p>
    <w:p w14:paraId="2165B3DB" w14:textId="77777777" w:rsidR="002F4D5D" w:rsidRPr="001B3C5D" w:rsidRDefault="002F4D5D" w:rsidP="001E0D95">
      <w:pPr>
        <w:spacing w:after="120" w:line="276" w:lineRule="auto"/>
        <w:ind w:firstLine="708"/>
        <w:jc w:val="both"/>
      </w:pPr>
      <w:r w:rsidRPr="001B3C5D">
        <w:rPr>
          <w:rFonts w:ascii="Verdana" w:eastAsia="Verdana" w:hAnsi="Verdana" w:cs="Verdana"/>
        </w:rPr>
        <w:t xml:space="preserve">Conviene precisar, además, que el régimen de vigencia difiere según el amparo de que se trate, de modo que la consulta no admite una respuesta uniforme para todos ellos. El amparo de cumplimiento debe mantener una vigencia mínima hasta la liquidación del contrato, según el artículo 2.2.1.2.3.1.12 del Decreto 1082 de 2015. El de pago de salarios, prestaciones sociales e indemnizaciones laborales debe permanecer vigente por el plazo del contrato y tres (3) años más, de acuerdo con el artículo 2.2.1.2.3.1.13 ibidem; y el de estabilidad y calidad de la obra, por un término no inferior a cinco (5) años contados desde el recibo a satisfacción de la obra, salvo que la entidad acepte uno menor con la justificación técnica de un experto, conforme al artículo 2.2.1.2.3.1.14 ibidem. Estos dos amparos cubren riesgos que se proyectan más allá de la ejecución e incluso de la liquidación, de manera que su vigencia no se agota con la terminación del plazo de ejecución ni depende de ella. Por su parte, los amparos de calidad del servicio y de calidad y correcto funcionamiento de los bienes se rigen por el plazo que el contrato y los documentos del proceso fijen en función del riesgo, según los artículos 2.2.1.2.3.1.15 y 2.2.1.2.3.1.16 ibidem. De ahí que, antes de concluir que procede exigir la ampliación de una garantía </w:t>
      </w:r>
      <w:r w:rsidRPr="001B3C5D">
        <w:rPr>
          <w:rFonts w:ascii="Verdana" w:eastAsia="Verdana" w:hAnsi="Verdana" w:cs="Verdana"/>
        </w:rPr>
        <w:lastRenderedPageBreak/>
        <w:t>para liquidar, la entidad deba establecer qué amparos se constituyeron, cuál es la vigencia que a cada uno corresponde y si subsiste el riesgo cubierto.</w:t>
      </w:r>
    </w:p>
    <w:p w14:paraId="55B1AA74" w14:textId="77777777" w:rsidR="002F4D5D" w:rsidRPr="001B3C5D" w:rsidRDefault="002F4D5D" w:rsidP="002F4D5D">
      <w:pPr>
        <w:spacing w:after="120" w:line="276" w:lineRule="auto"/>
        <w:jc w:val="both"/>
        <w:rPr>
          <w:rFonts w:ascii="Verdana" w:eastAsia="Verdana" w:hAnsi="Verdana" w:cs="Verdana"/>
        </w:rPr>
      </w:pPr>
      <w:r w:rsidRPr="001B3C5D">
        <w:rPr>
          <w:rFonts w:ascii="Verdana" w:eastAsia="Verdana" w:hAnsi="Verdana" w:cs="Verdana"/>
        </w:rPr>
        <w:t xml:space="preserve">        En consecuencia, la exigencia de ampliar las pólizas debe examinarse individualmente, atendiendo a la naturaleza del amparo, su vigencia efectiva, las estipulaciones contractuales y el período durante el cual subsisten los riesgos asegurados y la competencia de la administración para exigir responsabilidades. No resulta procedente imponer indistintamente la ampliación de todos los amparos sin identificar su fundamento legal, contractual o técnico.</w:t>
      </w:r>
    </w:p>
    <w:p w14:paraId="1BE51270" w14:textId="77777777" w:rsidR="002F4D5D" w:rsidRPr="001B3C5D" w:rsidRDefault="002F4D5D" w:rsidP="002F4D5D">
      <w:pPr>
        <w:spacing w:after="120" w:line="276" w:lineRule="auto"/>
        <w:jc w:val="both"/>
        <w:rPr>
          <w:rFonts w:ascii="Verdana" w:eastAsia="Verdana" w:hAnsi="Verdana" w:cs="Verdana"/>
        </w:rPr>
      </w:pPr>
      <w:r w:rsidRPr="001B3C5D">
        <w:rPr>
          <w:rFonts w:ascii="Verdana" w:eastAsia="Verdana" w:hAnsi="Verdana" w:cs="Verdana"/>
        </w:rPr>
        <w:t xml:space="preserve">        Ahora bien, cuando los términos para liquidar el contrato se encuentren próximos a vencer, la entidad debe adelantar oportunamente las actuaciones que correspondan, sin supeditar indefinidamente el cierre contractual a la obtención de una ampliación de la garantía. Si los términos perentorios han vencido sin que se haya efectuado la liquidación, deberá tenerse en cuenta la pérdida de competencia para realizarla, sin que la permanencia o ampliación de una póliza permita restablecer una facultad temporalmente extinguida.</w:t>
      </w:r>
    </w:p>
    <w:p w14:paraId="3E01148D" w14:textId="77777777" w:rsidR="002F4D5D" w:rsidRPr="001B3C5D" w:rsidRDefault="002F4D5D" w:rsidP="001E0D95">
      <w:pPr>
        <w:spacing w:after="120" w:line="276" w:lineRule="auto"/>
        <w:ind w:firstLine="708"/>
        <w:jc w:val="both"/>
      </w:pPr>
      <w:r w:rsidRPr="001B3C5D">
        <w:rPr>
          <w:rFonts w:ascii="Verdana" w:eastAsia="Verdana" w:hAnsi="Verdana" w:cs="Verdana"/>
        </w:rPr>
        <w:t>Para resolver la consulta conviene distinguir dos planos que no deben confundirse: el de la vigencia de las garantías y el de la competencia temporal para liquidar. El primero concierne a la cobertura del riesgo. El amparo de cumplimiento conserva una vigencia mínima hasta la liquidación del contrato, y la garantía, por su carácter indivisible, solo pierde su efecto cuando todas las obligaciones del contrato se han cumplido a satisfacción</w:t>
      </w:r>
      <w:r w:rsidRPr="001B3C5D">
        <w:rPr>
          <w:rStyle w:val="Refdenotaalpie"/>
          <w:rFonts w:ascii="Verdana" w:hAnsi="Verdana"/>
        </w:rPr>
        <w:footnoteReference w:id="14"/>
      </w:r>
      <w:r w:rsidRPr="001B3C5D">
        <w:rPr>
          <w:rFonts w:ascii="Verdana" w:eastAsia="Verdana" w:hAnsi="Verdana" w:cs="Verdana"/>
        </w:rPr>
        <w:t xml:space="preserve">. Por ello, cuando la etapa de liquidación se dilata, puede resultar razonable que la entidad </w:t>
      </w:r>
      <w:r w:rsidRPr="001E0D95">
        <w:rPr>
          <w:rFonts w:ascii="Verdana" w:eastAsia="Verdana" w:hAnsi="Verdana" w:cs="Verdana"/>
        </w:rPr>
        <w:t>exija ampliar la vigencia del amparo</w:t>
      </w:r>
      <w:r w:rsidRPr="001B3C5D">
        <w:rPr>
          <w:rFonts w:ascii="Verdana" w:eastAsia="Verdana" w:hAnsi="Verdana" w:cs="Verdana"/>
        </w:rPr>
        <w:t xml:space="preserve"> para que el riesgo permanezca cubierto, posibilidad que el reglamento contempla </w:t>
      </w:r>
      <w:r w:rsidRPr="001E0D95">
        <w:rPr>
          <w:rFonts w:ascii="Verdana" w:eastAsia="Verdana" w:hAnsi="Verdana" w:cs="Verdana"/>
        </w:rPr>
        <w:t>al regular la ampliación de la garantía por prórroga del plazo, distinta del restablecimiento de su valor afectado por reclamaciones</w:t>
      </w:r>
      <w:r w:rsidRPr="001B3C5D">
        <w:rPr>
          <w:rFonts w:ascii="Verdana" w:eastAsia="Verdana" w:hAnsi="Verdana" w:cs="Verdana"/>
        </w:rPr>
        <w:t>. Tanto es así que la liquidación debe pronunciarse, como parte de su contenido, sobre la vigencia de las garantías y su extensión o ampliación cuando corresponda exigirlas</w:t>
      </w:r>
      <w:r w:rsidRPr="001B3C5D">
        <w:rPr>
          <w:rStyle w:val="Refdenotaalpie"/>
          <w:rFonts w:ascii="Verdana" w:hAnsi="Verdana"/>
        </w:rPr>
        <w:footnoteReference w:id="15"/>
      </w:r>
      <w:r w:rsidRPr="001B3C5D">
        <w:rPr>
          <w:rFonts w:ascii="Verdana" w:eastAsia="Verdana" w:hAnsi="Verdana" w:cs="Verdana"/>
        </w:rPr>
        <w:t xml:space="preserve">. En la misma línea, la jurisprudencia y la doctrina precisan que «para la liquidación se le exigirá al contratista la extensión o </w:t>
      </w:r>
      <w:r w:rsidRPr="001B3C5D">
        <w:rPr>
          <w:rFonts w:ascii="Verdana" w:eastAsia="Verdana" w:hAnsi="Verdana" w:cs="Verdana"/>
        </w:rPr>
        <w:lastRenderedPageBreak/>
        <w:t>ampliación, si es del caso, de la garantía del contrato con la finalidad de asegurar la estabilidad de la obra, la calidad de los bienes o servicios suministrados […] y, en general, para avalar las obligaciones que se deben cumplir con posterioridad a la extinción del contrato»</w:t>
      </w:r>
      <w:r w:rsidRPr="001B3C5D">
        <w:rPr>
          <w:rStyle w:val="Refdenotaalpie"/>
          <w:rFonts w:ascii="Verdana" w:hAnsi="Verdana"/>
        </w:rPr>
        <w:footnoteReference w:id="16"/>
      </w:r>
      <w:r w:rsidRPr="001B3C5D">
        <w:rPr>
          <w:rFonts w:ascii="Verdana" w:eastAsia="Verdana" w:hAnsi="Verdana" w:cs="Verdana"/>
        </w:rPr>
        <w:t>; la expresión «si es del caso» confirma que la ampliación responde a la subsistencia del riesgo y no opera como condición de la liquidación.</w:t>
      </w:r>
      <w:r w:rsidRPr="001E0D95">
        <w:rPr>
          <w:rFonts w:ascii="Verdana" w:eastAsia="Verdana" w:hAnsi="Verdana" w:cs="Verdana"/>
        </w:rPr>
        <w:t xml:space="preserve"> Esa misma regla configura un deber: el artículo 60 de la Ley 80 de 1993 impone exigir la extensión o ampliación de la garantía cuando corresponda, de suerte que la entidad debe requerirla siempre que resulte legal y contractualmente procedente, sin que su omisión suspenda ni prorrogue los términos para liquidar.</w:t>
      </w:r>
      <w:r w:rsidRPr="001B3C5D">
        <w:rPr>
          <w:rStyle w:val="Refdenotaalpie"/>
          <w:rFonts w:ascii="Verdana" w:hAnsi="Verdana"/>
        </w:rPr>
        <w:footnoteReference w:id="17"/>
      </w:r>
    </w:p>
    <w:p w14:paraId="4A7E3219" w14:textId="77777777" w:rsidR="002F4D5D" w:rsidRPr="001B3C5D" w:rsidRDefault="002F4D5D" w:rsidP="001E0D95">
      <w:pPr>
        <w:spacing w:after="120" w:line="276" w:lineRule="auto"/>
        <w:ind w:firstLine="708"/>
        <w:jc w:val="both"/>
      </w:pPr>
      <w:r w:rsidRPr="001E0D95">
        <w:rPr>
          <w:rFonts w:ascii="Verdana" w:eastAsia="Verdana" w:hAnsi="Verdana" w:cs="Verdana"/>
        </w:rPr>
        <w:t>El segundo plano es distinto e independiente del anterior. La competencia para liquidar y los términos para ejercerla se rigen por el artículo 11 de la Ley 1150 de 2007 y por el literal j) del numeral 2 del artículo 164 de la Ley 1437 de 2011, y esa competencia no depende de la garantía. La oportunidad para liquidar —de común acuerdo o unilateralmente— subsiste mientras no se haya notificado el auto admisorio de la demanda que pretende la liquidación judicial ni haya operado la caducidad del medio de control de controversias contractuales; cumplido cualquiera de esos dos hitos, la entidad ya no puede liquidar por vía administrativa. De allí dos consecuencias: la falta de ampliación de la póliza no priva a la entidad de la competencia para liquidar mientras esta subsista, y la ampliación de la garantía tampoco restituye ni reabre la competencia una vez extinguida. Así lo precisó esta Subdirección en el Concepto C-367 del 16 de abril de 2026, al advertir que, vencidos los términos para liquidar, la entidad pierde la oportunidad de efectuar el balance final del contrato. Es, pues, la caducidad —y no la vigencia o la ampliación de la garantía— la que fija el límite temporal de la competencia para liquidar.</w:t>
      </w:r>
    </w:p>
    <w:p w14:paraId="6654D0DB" w14:textId="77777777" w:rsidR="002F4D5D" w:rsidRPr="001B3C5D" w:rsidRDefault="002F4D5D" w:rsidP="001E0D95">
      <w:pPr>
        <w:spacing w:after="120" w:line="276" w:lineRule="auto"/>
        <w:ind w:firstLine="708"/>
        <w:jc w:val="both"/>
      </w:pPr>
      <w:r w:rsidRPr="001B3C5D">
        <w:rPr>
          <w:rFonts w:ascii="Verdana" w:eastAsia="Verdana" w:hAnsi="Verdana" w:cs="Verdana"/>
        </w:rPr>
        <w:t xml:space="preserve">Lo anterior se proyecta de manera particular en los convenios y contratos interadministrativos. Como en ellos las garantías no son obligatorias, según se explicó, tanto la necesidad de exigir o ampliar un amparo como el término para liquidar se rigen, en principio, por lo que las partes hayan determinado en el </w:t>
      </w:r>
      <w:r w:rsidRPr="001B3C5D">
        <w:rPr>
          <w:rFonts w:ascii="Verdana" w:eastAsia="Verdana" w:hAnsi="Verdana" w:cs="Verdana"/>
        </w:rPr>
        <w:lastRenderedPageBreak/>
        <w:t>convenio o contrato y en sus documentos, dentro del límite infranqueable de la caducidad. De suerte que, cuando no se constituyeron garantías, la discusión sobre su ampliación carece de objeto por sustracción de materia, sin que ello afecte el deber ni la competencia de la entidad para liquidar oportunamente, como esta Agencia lo ha reconocido al admitir la liquidación bilateral de los convenios interadministrativos con independencia de la suerte de los contratos derivados.</w:t>
      </w:r>
      <w:r w:rsidRPr="001B3C5D">
        <w:rPr>
          <w:rStyle w:val="Refdenotaalpie"/>
          <w:rFonts w:ascii="Verdana" w:hAnsi="Verdana"/>
        </w:rPr>
        <w:footnoteReference w:id="18"/>
      </w:r>
      <w:r w:rsidRPr="001E0D95">
        <w:rPr>
          <w:rFonts w:ascii="Verdana" w:eastAsia="Verdana" w:hAnsi="Verdana" w:cs="Verdana"/>
        </w:rPr>
        <w:t xml:space="preserve"> Ahora bien, esta proyección exige no confundir el convenio de cooperación con el contrato interadministrativo: en aquel no se presumen las potestades excepcionales ni el procedimiento sancionatorio del Estatuto General, de modo que la eventual afectación del amparo se rige por las reglas del contrato de seguro —acreditando el siniestro y su cuantía—, sin que proceda imponer una declaratoria administrativa de incumplimiento carente de fundamento; y tampoco se incorpora de manera automática el tramo adicional de dos meses propio de la liquidación unilateral, cuya habilitación depende del pacto expreso.</w:t>
      </w:r>
      <w:r w:rsidRPr="001B3C5D">
        <w:rPr>
          <w:rStyle w:val="Refdenotaalpie"/>
          <w:rFonts w:ascii="Verdana" w:hAnsi="Verdana"/>
        </w:rPr>
        <w:footnoteReference w:id="19"/>
      </w:r>
    </w:p>
    <w:p w14:paraId="5EDD515A" w14:textId="77777777" w:rsidR="002F4D5D" w:rsidRPr="001B3C5D" w:rsidRDefault="002F4D5D" w:rsidP="002F4D5D">
      <w:pPr>
        <w:spacing w:after="120" w:line="276" w:lineRule="auto"/>
        <w:jc w:val="both"/>
        <w:rPr>
          <w:rFonts w:ascii="Verdana" w:eastAsia="Verdana" w:hAnsi="Verdana" w:cs="Verdana"/>
        </w:rPr>
      </w:pPr>
      <w:r w:rsidRPr="001B3C5D">
        <w:rPr>
          <w:rFonts w:ascii="Verdana" w:eastAsia="Verdana" w:hAnsi="Verdana" w:cs="Verdana"/>
        </w:rPr>
        <w:t xml:space="preserve">        Así las cosas, ante la imposibilidad de ampliar una garantía, corresponde a la entidad verificar las obligaciones contractuales pendientes, establecer si existe un incumplimiento exigible y determinar las actuaciones jurídicamente procedentes conforme a las condiciones particulares del contrato. Como lo precisó Colombia Compra Eficiente en el Concepto C-367 del 16 de abril de 2026, la determinación de las medidas que deban adoptarse frente a la vigencia del amparo una vez vencidos los términos para liquidar depende de las circunstancias del procedimiento contractual específico y debe realizarse conforme al principio de juridicidad, sin que la Agencia pueda validar por vía consultiva las actuaciones particulares de cada entidad</w:t>
      </w:r>
    </w:p>
    <w:p w14:paraId="6B86C3D5" w14:textId="77777777" w:rsidR="002F4D5D" w:rsidRPr="001B3C5D" w:rsidRDefault="002F4D5D" w:rsidP="002F4D5D">
      <w:pPr>
        <w:spacing w:after="120" w:line="276" w:lineRule="auto"/>
        <w:ind w:firstLine="708"/>
        <w:jc w:val="both"/>
        <w:rPr>
          <w:rFonts w:ascii="Verdana" w:eastAsia="Aptos" w:hAnsi="Verdana" w:cs="Times New Roman"/>
          <w:kern w:val="2"/>
          <w14:ligatures w14:val="standardContextual"/>
        </w:rPr>
      </w:pPr>
      <w:r w:rsidRPr="001B3C5D">
        <w:rPr>
          <w:rFonts w:ascii="Verdana" w:eastAsia="Calibri" w:hAnsi="Verdana" w:cs="Arial"/>
          <w:bCs/>
          <w:color w:val="000000"/>
          <w:kern w:val="2"/>
          <w14:ligatures w14:val="standardContextual"/>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1B3C5D">
        <w:rPr>
          <w:rFonts w:ascii="Verdana" w:eastAsia="Calibri" w:hAnsi="Verdana" w:cs="Arial"/>
          <w:bCs/>
          <w:color w:val="000000"/>
          <w:kern w:val="2"/>
          <w14:ligatures w14:val="standardContextual"/>
        </w:rPr>
        <w:lastRenderedPageBreak/>
        <w:t>de situaciones particulares corresponde a los interesados adoptar la decisión correspondiente y, en caso de conflicto, a las autoridades judiciales, fiscales y disciplinarias.</w:t>
      </w:r>
    </w:p>
    <w:p w14:paraId="0A50E028" w14:textId="542AE45A" w:rsidR="002F4D5D" w:rsidRPr="00892A92" w:rsidRDefault="002F4D5D" w:rsidP="002F4D5D">
      <w:pPr>
        <w:spacing w:after="0" w:line="276" w:lineRule="auto"/>
        <w:ind w:firstLine="708"/>
        <w:jc w:val="both"/>
        <w:rPr>
          <w:rFonts w:ascii="Verdana" w:eastAsia="Verdana" w:hAnsi="Verdana" w:cs="Verdana"/>
        </w:rPr>
      </w:pPr>
      <w:r w:rsidRPr="001B3C5D">
        <w:rPr>
          <w:rFonts w:ascii="Verdana" w:eastAsia="Calibri" w:hAnsi="Verdana" w:cs="Arial"/>
          <w:bCs/>
          <w:color w:val="000000"/>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w:t>
      </w:r>
      <w:r>
        <w:rPr>
          <w:rFonts w:ascii="Verdana" w:eastAsia="Calibri" w:hAnsi="Verdana" w:cs="Arial"/>
          <w:bCs/>
          <w:color w:val="000000"/>
          <w:kern w:val="2"/>
          <w14:ligatures w14:val="standardContextual"/>
        </w:rPr>
        <w:t xml:space="preserve">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BB415D4" w14:textId="77777777" w:rsidR="002F4D5D" w:rsidRPr="0015699B" w:rsidRDefault="002F4D5D" w:rsidP="002F4D5D">
      <w:pPr>
        <w:spacing w:after="0" w:line="276" w:lineRule="auto"/>
        <w:ind w:firstLine="357"/>
        <w:jc w:val="both"/>
        <w:rPr>
          <w:rFonts w:ascii="Verdana" w:eastAsia="Verdana" w:hAnsi="Verdana" w:cs="Verdana"/>
          <w:lang w:val="es"/>
        </w:rPr>
      </w:pPr>
      <w:r>
        <w:rPr>
          <w:rFonts w:ascii="Verdana" w:hAnsi="Verdana"/>
        </w:rPr>
        <w:t xml:space="preserve">      </w:t>
      </w:r>
      <w:r>
        <w:rPr>
          <w:rFonts w:ascii="Verdana" w:eastAsia="Verdana" w:hAnsi="Verdana" w:cs="Verdana"/>
          <w:lang w:val="es"/>
        </w:rPr>
        <w:t xml:space="preserve"> </w:t>
      </w:r>
    </w:p>
    <w:p w14:paraId="26B641CE" w14:textId="77777777" w:rsidR="002F4D5D" w:rsidRPr="0015699B" w:rsidRDefault="002F4D5D" w:rsidP="002F4D5D">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Pr>
          <w:rFonts w:ascii="Verdana" w:eastAsia="Verdana" w:hAnsi="Verdana" w:cs="Verdana"/>
          <w:b/>
          <w:bCs/>
          <w:lang w:val="es"/>
        </w:rPr>
        <w:t>Referencias normativas, jurisprudenciales y otras fuentes:</w:t>
      </w:r>
    </w:p>
    <w:p w14:paraId="390742DE" w14:textId="77777777" w:rsidR="002F4D5D" w:rsidRPr="0015699B" w:rsidRDefault="002F4D5D" w:rsidP="002F4D5D">
      <w:pPr>
        <w:spacing w:after="0" w:line="276" w:lineRule="auto"/>
        <w:jc w:val="both"/>
        <w:textAlignment w:val="baseline"/>
        <w:rPr>
          <w:rFonts w:ascii="Verdana" w:eastAsia="Verdana" w:hAnsi="Verdana" w:cs="Verdana"/>
          <w:lang w:val="es"/>
        </w:rPr>
      </w:pPr>
      <w:r>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2F4D5D" w14:paraId="46EF9825" w14:textId="77777777" w:rsidTr="000D5A77">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0E056371" w14:textId="77777777" w:rsidR="002F4D5D" w:rsidRPr="002F4D5D" w:rsidRDefault="002F4D5D" w:rsidP="001B3C5D">
            <w:pPr>
              <w:widowControl w:val="0"/>
              <w:numPr>
                <w:ilvl w:val="0"/>
                <w:numId w:val="17"/>
              </w:numPr>
              <w:autoSpaceDE w:val="0"/>
              <w:autoSpaceDN w:val="0"/>
              <w:spacing w:line="276" w:lineRule="auto"/>
              <w:contextualSpacing/>
              <w:jc w:val="both"/>
              <w:rPr>
                <w:rFonts w:ascii="Verdana" w:eastAsia="Aptos" w:hAnsi="Verdana" w:cs="Arial"/>
              </w:rPr>
            </w:pPr>
            <w:r w:rsidRPr="001E0D95">
              <w:rPr>
                <w:rFonts w:ascii="Verdana" w:eastAsia="Calibri" w:hAnsi="Verdana" w:cs="Arial"/>
                <w:lang w:val="es-ES"/>
              </w:rPr>
              <w:t>Código de Comercio, artículo 1081.</w:t>
            </w:r>
          </w:p>
          <w:p w14:paraId="669D1FFA" w14:textId="264259E4" w:rsidR="002F4D5D" w:rsidRPr="001E0D95" w:rsidRDefault="002F4D5D" w:rsidP="001B3C5D">
            <w:pPr>
              <w:widowControl w:val="0"/>
              <w:numPr>
                <w:ilvl w:val="0"/>
                <w:numId w:val="17"/>
              </w:numPr>
              <w:autoSpaceDE w:val="0"/>
              <w:autoSpaceDN w:val="0"/>
              <w:spacing w:after="120" w:line="276" w:lineRule="auto"/>
              <w:contextualSpacing/>
              <w:jc w:val="both"/>
              <w:rPr>
                <w:rFonts w:ascii="Verdana" w:eastAsia="Aptos" w:hAnsi="Verdana" w:cs="Arial"/>
              </w:rPr>
            </w:pPr>
            <w:r w:rsidRPr="002F4D5D">
              <w:rPr>
                <w:rFonts w:ascii="Verdana" w:eastAsia="Calibri" w:hAnsi="Verdana" w:cs="Arial"/>
                <w:lang w:val="es-ES"/>
              </w:rPr>
              <w:t>Ley 80 de 1993. Artículo 41 y 60.</w:t>
            </w:r>
          </w:p>
          <w:p w14:paraId="58FB713B" w14:textId="77777777" w:rsidR="002F4D5D" w:rsidRPr="002F4D5D" w:rsidRDefault="002F4D5D" w:rsidP="001B3C5D">
            <w:pPr>
              <w:widowControl w:val="0"/>
              <w:numPr>
                <w:ilvl w:val="0"/>
                <w:numId w:val="17"/>
              </w:numPr>
              <w:autoSpaceDE w:val="0"/>
              <w:autoSpaceDN w:val="0"/>
              <w:spacing w:after="120" w:line="276" w:lineRule="auto"/>
              <w:contextualSpacing/>
              <w:jc w:val="both"/>
            </w:pPr>
            <w:r w:rsidRPr="001E0D95">
              <w:rPr>
                <w:rFonts w:ascii="Verdana" w:eastAsia="Calibri" w:hAnsi="Verdana" w:cs="Arial"/>
                <w:lang w:val="es-ES"/>
              </w:rPr>
              <w:t>Ley 489 de 1998, artículo 95.</w:t>
            </w:r>
          </w:p>
          <w:p w14:paraId="34E0B827" w14:textId="77777777" w:rsidR="002F4D5D" w:rsidRPr="002F4D5D" w:rsidRDefault="002F4D5D" w:rsidP="001B3C5D">
            <w:pPr>
              <w:widowControl w:val="0"/>
              <w:numPr>
                <w:ilvl w:val="0"/>
                <w:numId w:val="17"/>
              </w:numPr>
              <w:autoSpaceDE w:val="0"/>
              <w:autoSpaceDN w:val="0"/>
              <w:spacing w:line="276" w:lineRule="auto"/>
              <w:contextualSpacing/>
              <w:jc w:val="both"/>
              <w:rPr>
                <w:rFonts w:ascii="Verdana" w:eastAsia="Aptos" w:hAnsi="Verdana" w:cs="Arial"/>
              </w:rPr>
            </w:pPr>
            <w:r w:rsidRPr="002F4D5D">
              <w:rPr>
                <w:rFonts w:ascii="Verdana" w:eastAsia="Calibri" w:hAnsi="Verdana" w:cs="Arial"/>
                <w:lang w:val="es-ES"/>
              </w:rPr>
              <w:t>Ley 1150 de 2007. Artículo 7 y 11</w:t>
            </w:r>
          </w:p>
          <w:p w14:paraId="5981AB06" w14:textId="77777777" w:rsidR="002F4D5D" w:rsidRPr="002F4D5D" w:rsidRDefault="002F4D5D" w:rsidP="001B3C5D">
            <w:pPr>
              <w:widowControl w:val="0"/>
              <w:numPr>
                <w:ilvl w:val="0"/>
                <w:numId w:val="17"/>
              </w:numPr>
              <w:autoSpaceDE w:val="0"/>
              <w:autoSpaceDN w:val="0"/>
              <w:spacing w:after="120" w:line="276" w:lineRule="auto"/>
              <w:contextualSpacing/>
              <w:jc w:val="both"/>
            </w:pPr>
            <w:r w:rsidRPr="001E0D95">
              <w:rPr>
                <w:rFonts w:ascii="Verdana" w:eastAsia="Calibri" w:hAnsi="Verdana" w:cs="Arial"/>
                <w:lang w:val="es-ES"/>
              </w:rPr>
              <w:t>Ley 1437 de 2011, artículos 141 y 164.</w:t>
            </w:r>
          </w:p>
          <w:p w14:paraId="1CEAFDCA" w14:textId="77777777" w:rsidR="002F4D5D" w:rsidRPr="002F4D5D" w:rsidRDefault="002F4D5D" w:rsidP="001B3C5D">
            <w:pPr>
              <w:widowControl w:val="0"/>
              <w:numPr>
                <w:ilvl w:val="0"/>
                <w:numId w:val="17"/>
              </w:numPr>
              <w:autoSpaceDE w:val="0"/>
              <w:autoSpaceDN w:val="0"/>
              <w:spacing w:line="276" w:lineRule="auto"/>
              <w:contextualSpacing/>
              <w:jc w:val="both"/>
              <w:rPr>
                <w:rFonts w:ascii="Verdana" w:eastAsia="Aptos" w:hAnsi="Verdana" w:cs="Arial"/>
              </w:rPr>
            </w:pPr>
            <w:r w:rsidRPr="002F4D5D">
              <w:rPr>
                <w:rFonts w:ascii="Verdana" w:eastAsia="Aptos" w:hAnsi="Verdana" w:cs="Arial"/>
              </w:rPr>
              <w:t>Decreto 19 de 2012. Artículo 217</w:t>
            </w:r>
          </w:p>
          <w:p w14:paraId="71DEE40F" w14:textId="77777777" w:rsidR="002F4D5D" w:rsidRPr="002F4D5D" w:rsidRDefault="002F4D5D" w:rsidP="001B3C5D">
            <w:pPr>
              <w:widowControl w:val="0"/>
              <w:numPr>
                <w:ilvl w:val="0"/>
                <w:numId w:val="17"/>
              </w:numPr>
              <w:autoSpaceDE w:val="0"/>
              <w:autoSpaceDN w:val="0"/>
              <w:spacing w:after="120" w:line="276" w:lineRule="auto"/>
              <w:contextualSpacing/>
              <w:jc w:val="both"/>
            </w:pPr>
            <w:r w:rsidRPr="001E0D95">
              <w:rPr>
                <w:rFonts w:ascii="Verdana" w:eastAsia="Calibri" w:hAnsi="Verdana" w:cs="Arial"/>
                <w:lang w:val="es-ES"/>
              </w:rPr>
              <w:t xml:space="preserve">Decreto 1082 de 2015, artículos 2.2.1.2.1.4.5, 2.2.1.2.3.1.12 a </w:t>
            </w:r>
            <w:r w:rsidRPr="002F4D5D">
              <w:rPr>
                <w:rFonts w:ascii="Verdana" w:eastAsia="Aptos" w:hAnsi="Verdana" w:cs="Arial"/>
              </w:rPr>
              <w:t xml:space="preserve"> 2.2.1.2.3.1.18. </w:t>
            </w:r>
            <w:r w:rsidRPr="001E0D95">
              <w:rPr>
                <w:rFonts w:ascii="Verdana" w:eastAsia="Calibri" w:hAnsi="Verdana" w:cs="Arial"/>
                <w:lang w:val="es-ES"/>
              </w:rPr>
              <w:t>y 2.2.1.1.2.4.3.</w:t>
            </w:r>
          </w:p>
          <w:p w14:paraId="3863B8A6" w14:textId="4E1C99EA" w:rsidR="002F4D5D" w:rsidRPr="002F4D5D" w:rsidRDefault="002F4D5D" w:rsidP="001B3C5D">
            <w:pPr>
              <w:widowControl w:val="0"/>
              <w:numPr>
                <w:ilvl w:val="0"/>
                <w:numId w:val="17"/>
              </w:numPr>
              <w:autoSpaceDE w:val="0"/>
              <w:autoSpaceDN w:val="0"/>
              <w:spacing w:line="276" w:lineRule="auto"/>
              <w:contextualSpacing/>
              <w:jc w:val="both"/>
              <w:rPr>
                <w:rFonts w:ascii="Verdana" w:eastAsia="Aptos" w:hAnsi="Verdana" w:cs="Arial"/>
              </w:rPr>
            </w:pPr>
            <w:r w:rsidRPr="002F4D5D">
              <w:rPr>
                <w:rFonts w:ascii="Verdana" w:eastAsia="Aptos" w:hAnsi="Verdana" w:cs="Arial"/>
              </w:rPr>
              <w:t xml:space="preserve">Guía para la Liquidación de los Procesos de Contratación. Disponible </w:t>
            </w:r>
            <w:hyperlink r:id="rId13" w:history="1">
              <w:r w:rsidRPr="002F4D5D">
                <w:rPr>
                  <w:rFonts w:ascii="Verdana" w:eastAsia="Aptos" w:hAnsi="Verdana" w:cs="Arial"/>
                  <w:color w:val="467886"/>
                  <w:u w:val="single"/>
                </w:rPr>
                <w:t>aquí</w:t>
              </w:r>
            </w:hyperlink>
          </w:p>
          <w:p w14:paraId="64AF8F5F" w14:textId="77777777" w:rsidR="002F4D5D" w:rsidRPr="002F4D5D" w:rsidRDefault="002F4D5D" w:rsidP="001B3C5D">
            <w:pPr>
              <w:widowControl w:val="0"/>
              <w:numPr>
                <w:ilvl w:val="0"/>
                <w:numId w:val="17"/>
              </w:numPr>
              <w:autoSpaceDE w:val="0"/>
              <w:autoSpaceDN w:val="0"/>
              <w:spacing w:line="276" w:lineRule="auto"/>
              <w:contextualSpacing/>
              <w:jc w:val="both"/>
              <w:rPr>
                <w:rFonts w:ascii="Verdana" w:eastAsia="Aptos" w:hAnsi="Verdana" w:cs="Arial"/>
              </w:rPr>
            </w:pPr>
            <w:r w:rsidRPr="002F4D5D">
              <w:rPr>
                <w:rFonts w:ascii="Verdana" w:eastAsia="Calibri" w:hAnsi="Verdana" w:cs="Arial"/>
                <w:lang w:eastAsia="es-ES" w:bidi="es-ES"/>
              </w:rPr>
              <w:t>CONSEJO DE ESTADO. Sala de Consulta y Servicio Civil. Concepto de 28 de junio de 2016. Radicación: 2253. C.P. Álvaro Namén Vargas</w:t>
            </w:r>
          </w:p>
          <w:p w14:paraId="4697C1B8" w14:textId="6C2779EF" w:rsidR="002F4D5D" w:rsidRDefault="002F4D5D" w:rsidP="001E0D95">
            <w:pPr>
              <w:widowControl w:val="0"/>
              <w:autoSpaceDE w:val="0"/>
              <w:autoSpaceDN w:val="0"/>
              <w:spacing w:after="120" w:line="276" w:lineRule="auto"/>
              <w:ind w:left="720"/>
              <w:contextualSpacing/>
              <w:jc w:val="both"/>
            </w:pPr>
          </w:p>
        </w:tc>
      </w:tr>
    </w:tbl>
    <w:p w14:paraId="70AC9749" w14:textId="77777777" w:rsidR="002F4D5D" w:rsidRPr="0015699B" w:rsidRDefault="002F4D5D" w:rsidP="002F4D5D">
      <w:pPr>
        <w:spacing w:after="0" w:line="276" w:lineRule="auto"/>
        <w:jc w:val="both"/>
        <w:textAlignment w:val="baseline"/>
        <w:rPr>
          <w:rFonts w:ascii="Verdana" w:eastAsia="Verdana" w:hAnsi="Verdana" w:cs="Verdana"/>
          <w:lang w:val="es"/>
        </w:rPr>
      </w:pPr>
      <w:r>
        <w:rPr>
          <w:rFonts w:ascii="Verdana" w:eastAsia="Verdana" w:hAnsi="Verdana" w:cs="Verdana"/>
          <w:lang w:val="es"/>
        </w:rPr>
        <w:t xml:space="preserve"> </w:t>
      </w:r>
    </w:p>
    <w:p w14:paraId="2834AF2D" w14:textId="77777777" w:rsidR="002F4D5D" w:rsidRPr="003D5882" w:rsidRDefault="002F4D5D" w:rsidP="002F4D5D">
      <w:pPr>
        <w:pStyle w:val="Prrafodelista"/>
        <w:numPr>
          <w:ilvl w:val="0"/>
          <w:numId w:val="16"/>
        </w:numPr>
        <w:spacing w:before="1" w:after="0" w:line="240" w:lineRule="auto"/>
        <w:jc w:val="both"/>
        <w:textAlignment w:val="baseline"/>
        <w:rPr>
          <w:rFonts w:ascii="Verdana" w:eastAsia="Verdana" w:hAnsi="Verdana" w:cs="Verdana"/>
          <w:b/>
          <w:bCs/>
          <w:lang w:val="es"/>
        </w:rPr>
      </w:pPr>
      <w:r>
        <w:rPr>
          <w:rFonts w:ascii="Verdana" w:eastAsia="Verdana" w:hAnsi="Verdana" w:cs="Verdana"/>
          <w:b/>
          <w:bCs/>
          <w:lang w:val="es"/>
        </w:rPr>
        <w:t>Doctrina de la Agencia Nacional de Contratación Pública:</w:t>
      </w:r>
    </w:p>
    <w:p w14:paraId="08311B4E" w14:textId="77777777" w:rsidR="002F4D5D" w:rsidRPr="003D5882" w:rsidRDefault="002F4D5D" w:rsidP="002F4D5D">
      <w:pPr>
        <w:pStyle w:val="Prrafodelista"/>
        <w:spacing w:before="1" w:after="0" w:line="240" w:lineRule="auto"/>
        <w:jc w:val="both"/>
        <w:textAlignment w:val="baseline"/>
        <w:rPr>
          <w:rFonts w:ascii="Verdana" w:eastAsia="Verdana" w:hAnsi="Verdana" w:cs="Verdana"/>
          <w:b/>
          <w:bCs/>
          <w:lang w:val="es"/>
        </w:rPr>
      </w:pPr>
    </w:p>
    <w:p w14:paraId="5EF13D86" w14:textId="77777777" w:rsidR="002F4D5D" w:rsidRPr="001B3C5D" w:rsidRDefault="002F4D5D" w:rsidP="001B3C5D">
      <w:pPr>
        <w:spacing w:after="0" w:line="276" w:lineRule="auto"/>
        <w:jc w:val="both"/>
        <w:rPr>
          <w:rStyle w:val="normaltextrun"/>
          <w:rFonts w:ascii="Verdana" w:hAnsi="Verdana" w:cs="Arial"/>
          <w:bCs/>
          <w:shd w:val="clear" w:color="auto" w:fill="FFFFFF"/>
        </w:rPr>
      </w:pPr>
      <w:r w:rsidRPr="001B3C5D">
        <w:rPr>
          <w:rFonts w:ascii="Verdana" w:eastAsia="Aptos" w:hAnsi="Verdana" w:cs="Arial"/>
          <w:shd w:val="clear" w:color="auto" w:fill="FFFFFF"/>
          <w:lang w:val="es-ES"/>
        </w:rPr>
        <w:t xml:space="preserve">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w:t>
      </w:r>
      <w:r w:rsidRPr="001B3C5D">
        <w:rPr>
          <w:rFonts w:ascii="Verdana" w:eastAsia="Aptos" w:hAnsi="Verdana" w:cs="Arial"/>
          <w:shd w:val="clear" w:color="auto" w:fill="FFFFFF"/>
          <w:lang w:val="es-ES"/>
        </w:rPr>
        <w:lastRenderedPageBreak/>
        <w:t>septiembre de 2024, C-968 del 16 de diciembre de 2024, C-1464 del 20 de noviembre de 2025, C-1865 del 01 de diciembre de 2025, C-1818 del 13 de enero de 2026 y C-367 del 16 de abril de 2026</w:t>
      </w:r>
      <w:r w:rsidRPr="001B3C5D">
        <w:rPr>
          <w:rFonts w:ascii="Verdana" w:eastAsia="Calibri" w:hAnsi="Verdana" w:cs="Arial"/>
          <w:kern w:val="2"/>
          <w:shd w:val="clear" w:color="auto" w:fill="FFFFFF"/>
          <w:lang w:val="es-ES"/>
          <w14:ligatures w14:val="standardContextual"/>
        </w:rPr>
        <w:t xml:space="preserve">, entre otros. </w:t>
      </w:r>
      <w:r w:rsidRPr="001B3C5D">
        <w:rPr>
          <w:rStyle w:val="normaltextrun"/>
          <w:rFonts w:ascii="Verdana" w:hAnsi="Verdana" w:cs="Arial"/>
          <w:shd w:val="clear" w:color="auto" w:fill="FFFFFF"/>
          <w:lang w:val="es-ES"/>
        </w:rPr>
        <w:t>Es</w:t>
      </w:r>
      <w:r w:rsidRPr="001B3C5D">
        <w:rPr>
          <w:rFonts w:ascii="Verdana" w:hAnsi="Verdana"/>
        </w:rPr>
        <w:t>tos y otros conceptos se encuentran disponibles para consulta en el Sistema de relatoría de la Agencia, al cual se puede acceder a través del siguiente enlace:</w:t>
      </w:r>
      <w:r w:rsidRPr="001B3C5D">
        <w:rPr>
          <w:rStyle w:val="normaltextrun"/>
          <w:rFonts w:ascii="Verdana" w:hAnsi="Verdana" w:cs="Arial"/>
          <w:shd w:val="clear" w:color="auto" w:fill="FFFFFF"/>
          <w:lang w:val="es-ES"/>
        </w:rPr>
        <w:t xml:space="preserve"> </w:t>
      </w:r>
      <w:hyperlink r:id="rId14" w:history="1">
        <w:r w:rsidRPr="001B3C5D">
          <w:rPr>
            <w:rStyle w:val="Hipervnculo"/>
            <w:rFonts w:ascii="Verdana" w:hAnsi="Verdana" w:cs="Arial"/>
            <w:shd w:val="clear" w:color="auto" w:fill="FFFFFF"/>
            <w:lang w:val="es-ES"/>
          </w:rPr>
          <w:t>https://relatoria.colombiacompra.gov.co/busqueda/conceptos</w:t>
        </w:r>
      </w:hyperlink>
      <w:r w:rsidRPr="001B3C5D">
        <w:rPr>
          <w:rStyle w:val="normaltextrun"/>
          <w:rFonts w:ascii="Verdana" w:hAnsi="Verdana" w:cs="Arial"/>
          <w:color w:val="FF0000"/>
          <w:shd w:val="clear" w:color="auto" w:fill="FFFFFF"/>
          <w:lang w:val="es-ES"/>
        </w:rPr>
        <w:t xml:space="preserve">. </w:t>
      </w:r>
    </w:p>
    <w:p w14:paraId="063E288E" w14:textId="77777777" w:rsidR="002F4D5D" w:rsidRPr="001B3C5D" w:rsidRDefault="002F4D5D" w:rsidP="001B3C5D">
      <w:pPr>
        <w:spacing w:after="0" w:line="276" w:lineRule="auto"/>
        <w:jc w:val="both"/>
        <w:textAlignment w:val="baseline"/>
        <w:rPr>
          <w:rFonts w:ascii="Verdana" w:eastAsia="Verdana" w:hAnsi="Verdana" w:cs="Verdana"/>
          <w:color w:val="000000" w:themeColor="text1"/>
          <w:lang w:val="es"/>
        </w:rPr>
      </w:pPr>
      <w:r w:rsidRPr="001B3C5D">
        <w:rPr>
          <w:rFonts w:ascii="Verdana" w:eastAsia="Verdana" w:hAnsi="Verdana" w:cs="Verdana"/>
          <w:color w:val="000000" w:themeColor="text1"/>
          <w:lang w:val="es"/>
        </w:rPr>
        <w:t xml:space="preserve">  </w:t>
      </w:r>
    </w:p>
    <w:p w14:paraId="19A686A9" w14:textId="77777777" w:rsidR="002F4D5D" w:rsidRPr="001B3C5D" w:rsidRDefault="002F4D5D" w:rsidP="001E0D95">
      <w:pPr>
        <w:shd w:val="clear" w:color="auto" w:fill="FFFFFF" w:themeFill="background1"/>
        <w:spacing w:after="0" w:line="276" w:lineRule="auto"/>
        <w:jc w:val="both"/>
        <w:rPr>
          <w:rFonts w:ascii="Verdana" w:eastAsia="Verdana" w:hAnsi="Verdana" w:cs="Verdana"/>
        </w:rPr>
      </w:pPr>
      <w:r w:rsidRPr="001B3C5D">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B3C5D">
        <w:rPr>
          <w:rFonts w:ascii="Verdana" w:eastAsia="Verdana" w:hAnsi="Verdana" w:cs="Verdana"/>
          <w:b/>
          <w:bCs/>
          <w:color w:val="000000" w:themeColor="text1"/>
        </w:rPr>
        <w:t>Guía para la Exigencia y Constitución de Garantías en los Procesos de Contratación</w:t>
      </w:r>
      <w:r w:rsidRPr="001B3C5D">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01B3C5D">
          <w:rPr>
            <w:rStyle w:val="Hipervnculo"/>
            <w:rFonts w:ascii="Verdana" w:eastAsia="Verdana" w:hAnsi="Verdana" w:cs="Verdana"/>
            <w:color w:val="000000" w:themeColor="text1"/>
          </w:rPr>
          <w:t>https://www.colombiacompra.gov.co/archivos/manual/guia-de-garantias-en-procesos-de-contratacion</w:t>
        </w:r>
      </w:hyperlink>
    </w:p>
    <w:p w14:paraId="2488C847" w14:textId="77777777" w:rsidR="002F4D5D" w:rsidRPr="001B3C5D" w:rsidRDefault="002F4D5D" w:rsidP="001E0D95">
      <w:pPr>
        <w:shd w:val="clear" w:color="auto" w:fill="FFFFFF" w:themeFill="background1"/>
        <w:spacing w:before="220" w:after="220" w:line="276" w:lineRule="auto"/>
        <w:jc w:val="both"/>
        <w:rPr>
          <w:rFonts w:ascii="Verdana" w:eastAsia="Verdana" w:hAnsi="Verdana" w:cs="Verdana"/>
        </w:rPr>
      </w:pPr>
      <w:r w:rsidRPr="001B3C5D">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01B3C5D">
        <w:rPr>
          <w:rFonts w:ascii="Verdana" w:eastAsia="Verdana" w:hAnsi="Verdana" w:cs="Verdana"/>
          <w:b/>
          <w:bCs/>
          <w:color w:val="000000" w:themeColor="text1"/>
        </w:rPr>
        <w:t>Sistema Integral de Preferencias en favor de las personas con discapacidad</w:t>
      </w:r>
      <w:r w:rsidRPr="001B3C5D">
        <w:rPr>
          <w:rFonts w:ascii="Verdana" w:eastAsia="Verdana" w:hAnsi="Verdana" w:cs="Verdana"/>
          <w:color w:val="000000" w:themeColor="text1"/>
        </w:rPr>
        <w:t xml:space="preserve">, en cumplimiento del artículo 13 de la Ley Estatutaria 1618 de 2013. Para orientar su aplicación, esta Agencia expidió la </w:t>
      </w:r>
      <w:r w:rsidRPr="001B3C5D">
        <w:rPr>
          <w:rFonts w:ascii="Verdana" w:eastAsia="Verdana" w:hAnsi="Verdana" w:cs="Verdana"/>
          <w:b/>
          <w:bCs/>
          <w:color w:val="000000" w:themeColor="text1"/>
        </w:rPr>
        <w:t xml:space="preserve">Circular Externa 003 del 12 de mayo de 2026, </w:t>
      </w:r>
      <w:r w:rsidRPr="001B3C5D">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6">
        <w:r w:rsidRPr="001B3C5D">
          <w:rPr>
            <w:rStyle w:val="Hipervnculo"/>
            <w:rFonts w:ascii="Verdana" w:eastAsia="Verdana" w:hAnsi="Verdana" w:cs="Verdana"/>
            <w:color w:val="000000" w:themeColor="text1"/>
          </w:rPr>
          <w:t>https://www.colombiacompra.gov.co/archivos/circular/circular-externa-003-de-2026</w:t>
        </w:r>
      </w:hyperlink>
    </w:p>
    <w:p w14:paraId="2E781F31" w14:textId="77777777" w:rsidR="002F4D5D" w:rsidRPr="001B3C5D" w:rsidRDefault="002F4D5D" w:rsidP="001E0D95">
      <w:pPr>
        <w:shd w:val="clear" w:color="auto" w:fill="FFFFFF" w:themeFill="background1"/>
        <w:spacing w:before="220" w:after="220" w:line="276" w:lineRule="auto"/>
        <w:jc w:val="both"/>
        <w:rPr>
          <w:rFonts w:ascii="Verdana" w:eastAsia="Verdana" w:hAnsi="Verdana" w:cs="Verdana"/>
        </w:rPr>
      </w:pPr>
      <w:r w:rsidRPr="001B3C5D">
        <w:rPr>
          <w:rFonts w:ascii="Verdana" w:eastAsia="Verdana" w:hAnsi="Verdana" w:cs="Verdana"/>
          <w:color w:val="000000" w:themeColor="text1"/>
        </w:rPr>
        <w:t>Recuerda también que la</w:t>
      </w:r>
      <w:r w:rsidRPr="001B3C5D">
        <w:rPr>
          <w:rFonts w:ascii="Verdana" w:eastAsia="Verdana" w:hAnsi="Verdana" w:cs="Verdana"/>
          <w:b/>
          <w:bCs/>
          <w:color w:val="000000" w:themeColor="text1"/>
        </w:rPr>
        <w:t xml:space="preserve"> información sobre sanciones e inhabilidades </w:t>
      </w:r>
      <w:r w:rsidRPr="001B3C5D">
        <w:rPr>
          <w:rFonts w:ascii="Verdana" w:eastAsia="Verdana" w:hAnsi="Verdana" w:cs="Verdana"/>
          <w:color w:val="000000" w:themeColor="text1"/>
        </w:rPr>
        <w:t xml:space="preserve">solo cumple su función preventiva si llega oportunamente a los registros públicos. Sobre este deber, esta Agencia expidió la </w:t>
      </w:r>
      <w:r w:rsidRPr="001B3C5D">
        <w:rPr>
          <w:rFonts w:ascii="Verdana" w:eastAsia="Verdana" w:hAnsi="Verdana" w:cs="Verdana"/>
          <w:b/>
          <w:bCs/>
          <w:color w:val="000000" w:themeColor="text1"/>
        </w:rPr>
        <w:t>Circular Externa 002 del 5 de mayo de 2026,</w:t>
      </w:r>
      <w:r w:rsidRPr="001B3C5D">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w:t>
      </w:r>
      <w:r w:rsidRPr="001B3C5D">
        <w:rPr>
          <w:rFonts w:ascii="Verdana" w:eastAsia="Verdana" w:hAnsi="Verdana" w:cs="Verdana"/>
          <w:color w:val="000000" w:themeColor="text1"/>
        </w:rPr>
        <w:lastRenderedPageBreak/>
        <w:t xml:space="preserve">Comercio, la Procuraduría General de la Nación y el SECOP, e indica los responsables, los portales dispuestos para el efecto y las consecuencias disciplinarias de omitir este deber. Consúltala aquí: </w:t>
      </w:r>
      <w:hyperlink r:id="rId17">
        <w:r w:rsidRPr="001B3C5D">
          <w:rPr>
            <w:rStyle w:val="Hipervnculo"/>
            <w:rFonts w:ascii="Verdana" w:eastAsia="Verdana" w:hAnsi="Verdana" w:cs="Verdana"/>
            <w:color w:val="000000" w:themeColor="text1"/>
          </w:rPr>
          <w:t>https://www.colombiacompra.gov.co/archivos/circular/circular-externa-002-de-2026</w:t>
        </w:r>
      </w:hyperlink>
    </w:p>
    <w:p w14:paraId="515154A5" w14:textId="77777777" w:rsidR="002F4D5D" w:rsidRPr="001B3C5D" w:rsidRDefault="002F4D5D" w:rsidP="001E0D95">
      <w:pPr>
        <w:shd w:val="clear" w:color="auto" w:fill="FFFFFF" w:themeFill="background1"/>
        <w:spacing w:before="220" w:after="220" w:line="276" w:lineRule="auto"/>
        <w:jc w:val="both"/>
        <w:rPr>
          <w:rFonts w:ascii="Verdana" w:eastAsia="Verdana" w:hAnsi="Verdana" w:cs="Verdana"/>
          <w:color w:val="000000" w:themeColor="text1"/>
        </w:rPr>
      </w:pPr>
      <w:r w:rsidRPr="001B3C5D">
        <w:rPr>
          <w:rFonts w:ascii="Verdana" w:eastAsia="Verdana" w:hAnsi="Verdana" w:cs="Verdana"/>
          <w:color w:val="000000" w:themeColor="text1"/>
        </w:rPr>
        <w:t>Finalmente, si quieres seguir de cerca la actividad de la Agencia, la tercera edición de 2026 del</w:t>
      </w:r>
      <w:r w:rsidRPr="001B3C5D">
        <w:rPr>
          <w:rFonts w:ascii="Verdana" w:eastAsia="Verdana" w:hAnsi="Verdana" w:cs="Verdana"/>
          <w:b/>
          <w:bCs/>
          <w:color w:val="000000" w:themeColor="text1"/>
        </w:rPr>
        <w:t xml:space="preserve"> Radar de la Compra Pública</w:t>
      </w:r>
      <w:r w:rsidRPr="001B3C5D">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r w:rsidRPr="001B3C5D">
          <w:rPr>
            <w:rStyle w:val="Hipervnculo"/>
            <w:rFonts w:ascii="Verdana" w:eastAsia="Verdana" w:hAnsi="Verdana" w:cs="Verdana"/>
            <w:color w:val="000000" w:themeColor="text1"/>
          </w:rPr>
          <w:t>https://www.colombiacompra.gov.co/archivos/boletin/boletin-edicion-n-3-de-2026-radar-de-la-compra-publica</w:t>
        </w:r>
      </w:hyperlink>
    </w:p>
    <w:p w14:paraId="38292079" w14:textId="77777777" w:rsidR="002F4D5D" w:rsidRPr="003D5882" w:rsidRDefault="002F4D5D" w:rsidP="002F4D5D">
      <w:pPr>
        <w:spacing w:after="0" w:line="257"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Lo invitamos a seguirnos en las redes sociales en las cuales se difunde información institucional: </w:t>
      </w:r>
    </w:p>
    <w:p w14:paraId="1CCF9654" w14:textId="77777777" w:rsidR="002F4D5D" w:rsidRPr="0015699B" w:rsidRDefault="002F4D5D" w:rsidP="002F4D5D">
      <w:pPr>
        <w:spacing w:after="0" w:line="240"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 </w:t>
      </w:r>
    </w:p>
    <w:p w14:paraId="62C6DC38" w14:textId="77777777" w:rsidR="002F4D5D" w:rsidRPr="0015699B" w:rsidRDefault="002F4D5D" w:rsidP="002F4D5D">
      <w:pPr>
        <w:spacing w:after="0" w:line="240"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Twitter: </w:t>
      </w:r>
      <w:r>
        <w:rPr>
          <w:rFonts w:ascii="Verdana" w:eastAsia="Verdana" w:hAnsi="Verdana" w:cs="Verdana"/>
          <w:color w:val="000000" w:themeColor="text1"/>
          <w:u w:val="single"/>
          <w:lang w:val="es"/>
        </w:rPr>
        <w:t>@colombiacompra</w:t>
      </w:r>
      <w:r>
        <w:rPr>
          <w:rFonts w:ascii="Verdana" w:eastAsia="Verdana" w:hAnsi="Verdana" w:cs="Verdana"/>
          <w:color w:val="000000" w:themeColor="text1"/>
          <w:lang w:val="es"/>
        </w:rPr>
        <w:t xml:space="preserve"> </w:t>
      </w:r>
    </w:p>
    <w:p w14:paraId="01FB4A08" w14:textId="77777777" w:rsidR="002F4D5D" w:rsidRPr="0015699B" w:rsidRDefault="002F4D5D" w:rsidP="002F4D5D">
      <w:pPr>
        <w:spacing w:after="0" w:line="240" w:lineRule="auto"/>
        <w:jc w:val="both"/>
        <w:textAlignment w:val="baseline"/>
        <w:rPr>
          <w:rFonts w:ascii="Verdana" w:eastAsia="Verdana" w:hAnsi="Verdana" w:cs="Verdana"/>
          <w:color w:val="000000" w:themeColor="text1"/>
          <w:u w:val="single"/>
          <w:lang w:val="es-ES"/>
        </w:rPr>
      </w:pPr>
      <w:r>
        <w:rPr>
          <w:rFonts w:ascii="Verdana" w:eastAsia="Verdana" w:hAnsi="Verdana" w:cs="Verdana"/>
          <w:color w:val="000000" w:themeColor="text1"/>
          <w:lang w:val="es-ES"/>
        </w:rPr>
        <w:t xml:space="preserve">Facebook: </w:t>
      </w:r>
      <w:proofErr w:type="spellStart"/>
      <w:r>
        <w:rPr>
          <w:rFonts w:ascii="Verdana" w:eastAsia="Verdana" w:hAnsi="Verdana" w:cs="Verdana"/>
          <w:color w:val="000000" w:themeColor="text1"/>
          <w:u w:val="single"/>
          <w:lang w:val="es-ES"/>
        </w:rPr>
        <w:t>ColombiaCompraEficiente</w:t>
      </w:r>
      <w:proofErr w:type="spellEnd"/>
    </w:p>
    <w:p w14:paraId="2053C7C9" w14:textId="77777777" w:rsidR="002F4D5D" w:rsidRPr="0015699B" w:rsidRDefault="002F4D5D" w:rsidP="002F4D5D">
      <w:pPr>
        <w:spacing w:after="0" w:line="240" w:lineRule="auto"/>
        <w:jc w:val="both"/>
        <w:textAlignment w:val="baseline"/>
        <w:rPr>
          <w:rFonts w:ascii="Verdana" w:eastAsia="Verdana" w:hAnsi="Verdana" w:cs="Verdana"/>
          <w:color w:val="000000" w:themeColor="text1"/>
          <w:u w:val="single"/>
          <w:lang w:val="es"/>
        </w:rPr>
      </w:pPr>
      <w:r>
        <w:rPr>
          <w:rFonts w:ascii="Verdana" w:eastAsia="Verdana" w:hAnsi="Verdana" w:cs="Verdana"/>
          <w:color w:val="000000" w:themeColor="text1"/>
          <w:lang w:val="es"/>
        </w:rPr>
        <w:t xml:space="preserve">LinkedIn: </w:t>
      </w:r>
      <w:r>
        <w:rPr>
          <w:rFonts w:ascii="Verdana" w:eastAsia="Verdana" w:hAnsi="Verdana" w:cs="Verdana"/>
          <w:color w:val="000000" w:themeColor="text1"/>
          <w:u w:val="single"/>
          <w:lang w:val="es"/>
        </w:rPr>
        <w:t>Agencia Nacional de Contratación Pública - Colombia Compra Eficiente</w:t>
      </w:r>
      <w:r>
        <w:rPr>
          <w:rFonts w:ascii="Verdana" w:eastAsia="Verdana" w:hAnsi="Verdana" w:cs="Verdana"/>
          <w:color w:val="000000" w:themeColor="text1"/>
          <w:lang w:val="es"/>
        </w:rPr>
        <w:t xml:space="preserve"> Instagram: </w:t>
      </w:r>
      <w:r>
        <w:rPr>
          <w:rFonts w:ascii="Verdana" w:eastAsia="Verdana" w:hAnsi="Verdana" w:cs="Verdana"/>
          <w:color w:val="000000" w:themeColor="text1"/>
          <w:u w:val="single"/>
          <w:lang w:val="es"/>
        </w:rPr>
        <w:t>@colombiacompraeficiente_cce</w:t>
      </w:r>
    </w:p>
    <w:p w14:paraId="49242A4F" w14:textId="77777777" w:rsidR="002F4D5D" w:rsidRPr="0015699B" w:rsidRDefault="002F4D5D" w:rsidP="002F4D5D">
      <w:pPr>
        <w:spacing w:after="0" w:line="276"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 </w:t>
      </w:r>
    </w:p>
    <w:p w14:paraId="0B7803B3" w14:textId="77777777" w:rsidR="002F4D5D" w:rsidRPr="0015699B" w:rsidRDefault="002F4D5D" w:rsidP="002F4D5D">
      <w:pPr>
        <w:spacing w:after="0" w:line="276"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632AC31" w14:textId="77777777" w:rsidR="002F4D5D" w:rsidRPr="0015699B" w:rsidRDefault="002F4D5D" w:rsidP="002F4D5D">
      <w:pPr>
        <w:spacing w:after="0" w:line="240" w:lineRule="auto"/>
        <w:jc w:val="both"/>
        <w:textAlignment w:val="baseline"/>
        <w:rPr>
          <w:rFonts w:ascii="Verdana" w:eastAsia="Verdana" w:hAnsi="Verdana" w:cs="Verdana"/>
          <w:color w:val="000000" w:themeColor="text1"/>
          <w:lang w:val="es"/>
        </w:rPr>
      </w:pPr>
      <w:r>
        <w:rPr>
          <w:rFonts w:ascii="Verdana" w:eastAsia="Verdana" w:hAnsi="Verdana" w:cs="Verdana"/>
          <w:color w:val="000000" w:themeColor="text1"/>
          <w:lang w:val="es"/>
        </w:rPr>
        <w:t xml:space="preserve"> </w:t>
      </w:r>
    </w:p>
    <w:p w14:paraId="31049630" w14:textId="77777777" w:rsidR="002F4D5D" w:rsidRPr="0015699B" w:rsidRDefault="002F4D5D" w:rsidP="002F4D5D">
      <w:pPr>
        <w:spacing w:after="0" w:line="240" w:lineRule="auto"/>
        <w:jc w:val="both"/>
        <w:textAlignment w:val="baseline"/>
      </w:pPr>
      <w:r>
        <w:rPr>
          <w:rFonts w:ascii="Verdana" w:eastAsia="Verdana" w:hAnsi="Verdana" w:cs="Verdana"/>
          <w:color w:val="000000" w:themeColor="text1"/>
          <w:lang w:val="es"/>
        </w:rPr>
        <w:t xml:space="preserve"> Atentamente, </w:t>
      </w:r>
    </w:p>
    <w:p w14:paraId="180286BB" w14:textId="7BFB8325" w:rsidR="002F4D5D" w:rsidRDefault="002F4D5D" w:rsidP="002F4D5D">
      <w:pPr>
        <w:spacing w:after="0" w:line="240" w:lineRule="auto"/>
        <w:ind w:left="2340"/>
        <w:jc w:val="both"/>
        <w:rPr>
          <w:noProof/>
        </w:rPr>
      </w:pPr>
    </w:p>
    <w:p w14:paraId="7392E9B1" w14:textId="77777777" w:rsidR="00205875" w:rsidRDefault="00205875" w:rsidP="002F4D5D">
      <w:pPr>
        <w:spacing w:after="0" w:line="240" w:lineRule="auto"/>
        <w:ind w:left="2340"/>
        <w:jc w:val="both"/>
        <w:rPr>
          <w:noProof/>
        </w:rPr>
      </w:pPr>
    </w:p>
    <w:p w14:paraId="21A59EA8" w14:textId="093A6530" w:rsidR="00205875" w:rsidRDefault="00205875" w:rsidP="00205875">
      <w:pPr>
        <w:spacing w:after="0" w:line="240" w:lineRule="auto"/>
        <w:ind w:left="426"/>
        <w:jc w:val="center"/>
        <w:rPr>
          <w:noProof/>
        </w:rPr>
      </w:pPr>
      <w:r>
        <w:rPr>
          <w:noProof/>
        </w:rPr>
        <w:drawing>
          <wp:inline distT="0" distB="0" distL="0" distR="0" wp14:anchorId="08014865" wp14:editId="6FCBFF01">
            <wp:extent cx="3345180" cy="1436028"/>
            <wp:effectExtent l="0" t="0" r="7620" b="0"/>
            <wp:docPr id="11881144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58181" cy="1441609"/>
                    </a:xfrm>
                    <a:prstGeom prst="rect">
                      <a:avLst/>
                    </a:prstGeom>
                    <a:noFill/>
                    <a:ln>
                      <a:noFill/>
                    </a:ln>
                  </pic:spPr>
                </pic:pic>
              </a:graphicData>
            </a:graphic>
          </wp:inline>
        </w:drawing>
      </w:r>
    </w:p>
    <w:p w14:paraId="2F2CDD36" w14:textId="77777777" w:rsidR="00205875" w:rsidRDefault="00205875" w:rsidP="002F4D5D">
      <w:pPr>
        <w:spacing w:after="0" w:line="240" w:lineRule="auto"/>
        <w:ind w:left="2340"/>
        <w:jc w:val="both"/>
        <w:rPr>
          <w:noProof/>
        </w:rPr>
      </w:pPr>
    </w:p>
    <w:p w14:paraId="186F9CDD" w14:textId="77777777" w:rsidR="00205875" w:rsidRDefault="00205875" w:rsidP="002F4D5D">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5486"/>
      </w:tblGrid>
      <w:tr w:rsidR="002F4D5D" w14:paraId="52A5581E" w14:textId="77777777" w:rsidTr="000D5A77">
        <w:trPr>
          <w:trHeight w:val="307"/>
        </w:trPr>
        <w:tc>
          <w:tcPr>
            <w:tcW w:w="893" w:type="dxa"/>
            <w:tcBorders>
              <w:top w:val="nil"/>
              <w:bottom w:val="nil"/>
              <w:right w:val="nil"/>
            </w:tcBorders>
            <w:tcMar>
              <w:left w:w="108" w:type="dxa"/>
              <w:right w:w="108" w:type="dxa"/>
            </w:tcMar>
            <w:vAlign w:val="center"/>
          </w:tcPr>
          <w:p w14:paraId="33F77EDD" w14:textId="77777777" w:rsidR="002F4D5D" w:rsidRDefault="002F4D5D" w:rsidP="000D5A77">
            <w:pPr>
              <w:rPr>
                <w:rFonts w:ascii="Verdana" w:eastAsia="Verdana" w:hAnsi="Verdana" w:cs="Verdana"/>
                <w:color w:val="000000" w:themeColor="text1"/>
                <w:sz w:val="16"/>
                <w:szCs w:val="16"/>
                <w:lang w:val="es"/>
              </w:rPr>
            </w:pPr>
            <w:r>
              <w:rPr>
                <w:rFonts w:ascii="Verdana" w:eastAsia="Verdana" w:hAnsi="Verdana" w:cs="Verdana"/>
                <w:color w:val="000000" w:themeColor="text1"/>
                <w:sz w:val="16"/>
                <w:szCs w:val="16"/>
                <w:lang w:val="es"/>
              </w:rPr>
              <w:t>Elaboró:</w:t>
            </w:r>
          </w:p>
        </w:tc>
        <w:tc>
          <w:tcPr>
            <w:tcW w:w="5486" w:type="dxa"/>
            <w:tcBorders>
              <w:left w:val="nil"/>
            </w:tcBorders>
            <w:tcMar>
              <w:left w:w="108" w:type="dxa"/>
              <w:right w:w="108" w:type="dxa"/>
            </w:tcMar>
            <w:vAlign w:val="center"/>
          </w:tcPr>
          <w:p w14:paraId="38CAB057" w14:textId="77777777" w:rsidR="002F4D5D" w:rsidRDefault="002F4D5D" w:rsidP="000D5A7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52DBBB18" w14:textId="77777777" w:rsidR="002F4D5D" w:rsidRDefault="002F4D5D" w:rsidP="000D5A7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w:t>
            </w:r>
            <w:r>
              <w:rPr>
                <w:rFonts w:ascii="Verdana" w:eastAsia="Verdana" w:hAnsi="Verdana" w:cs="Verdana"/>
                <w:sz w:val="16"/>
                <w:szCs w:val="16"/>
              </w:rPr>
              <w:t xml:space="preserve">ontratista </w:t>
            </w:r>
            <w:r>
              <w:rPr>
                <w:rFonts w:ascii="Verdana" w:eastAsia="Verdana" w:hAnsi="Verdana" w:cs="Verdana"/>
                <w:color w:val="000000" w:themeColor="text1"/>
                <w:sz w:val="16"/>
                <w:szCs w:val="16"/>
              </w:rPr>
              <w:t>de la Subdirección de Gestión Contractual</w:t>
            </w:r>
          </w:p>
        </w:tc>
      </w:tr>
      <w:tr w:rsidR="002F4D5D" w14:paraId="41CF7CF3" w14:textId="77777777" w:rsidTr="000D5A77">
        <w:trPr>
          <w:trHeight w:val="321"/>
        </w:trPr>
        <w:tc>
          <w:tcPr>
            <w:tcW w:w="893" w:type="dxa"/>
            <w:tcBorders>
              <w:top w:val="nil"/>
              <w:bottom w:val="nil"/>
              <w:right w:val="nil"/>
            </w:tcBorders>
            <w:tcMar>
              <w:left w:w="108" w:type="dxa"/>
              <w:right w:w="108" w:type="dxa"/>
            </w:tcMar>
            <w:vAlign w:val="center"/>
          </w:tcPr>
          <w:p w14:paraId="2C324CEB" w14:textId="77777777" w:rsidR="002F4D5D" w:rsidRDefault="002F4D5D" w:rsidP="000D5A77">
            <w:pPr>
              <w:spacing w:after="255"/>
              <w:rPr>
                <w:rFonts w:ascii="Verdana" w:eastAsia="Verdana" w:hAnsi="Verdana" w:cs="Verdana"/>
                <w:color w:val="000000" w:themeColor="text1"/>
                <w:sz w:val="16"/>
                <w:szCs w:val="16"/>
                <w:lang w:val="es"/>
              </w:rPr>
            </w:pPr>
            <w:r>
              <w:rPr>
                <w:rFonts w:ascii="Verdana" w:eastAsia="Verdana" w:hAnsi="Verdana" w:cs="Verdana"/>
                <w:color w:val="000000" w:themeColor="text1"/>
                <w:sz w:val="16"/>
                <w:szCs w:val="16"/>
                <w:lang w:val="es"/>
              </w:rPr>
              <w:t>Revisó:</w:t>
            </w:r>
          </w:p>
        </w:tc>
        <w:tc>
          <w:tcPr>
            <w:tcW w:w="5486" w:type="dxa"/>
            <w:tcBorders>
              <w:left w:val="nil"/>
            </w:tcBorders>
            <w:tcMar>
              <w:left w:w="108" w:type="dxa"/>
              <w:right w:w="108" w:type="dxa"/>
            </w:tcMar>
            <w:vAlign w:val="center"/>
          </w:tcPr>
          <w:p w14:paraId="20BD9AEE" w14:textId="77777777" w:rsidR="002F4D5D" w:rsidRDefault="002F4D5D" w:rsidP="000D5A7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Alejandro R. Sarmiento Cantillo</w:t>
            </w:r>
          </w:p>
          <w:p w14:paraId="24ED61D9" w14:textId="77777777" w:rsidR="002F4D5D" w:rsidRDefault="002F4D5D" w:rsidP="000D5A7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Gestor T1 -15 de la Subdirección de Gestión Contractual</w:t>
            </w:r>
          </w:p>
        </w:tc>
      </w:tr>
      <w:tr w:rsidR="002F4D5D" w14:paraId="305BACD5" w14:textId="77777777" w:rsidTr="000D5A77">
        <w:trPr>
          <w:trHeight w:val="292"/>
        </w:trPr>
        <w:tc>
          <w:tcPr>
            <w:tcW w:w="893" w:type="dxa"/>
            <w:tcBorders>
              <w:top w:val="nil"/>
              <w:bottom w:val="nil"/>
              <w:right w:val="nil"/>
            </w:tcBorders>
            <w:tcMar>
              <w:left w:w="108" w:type="dxa"/>
              <w:right w:w="108" w:type="dxa"/>
            </w:tcMar>
            <w:vAlign w:val="center"/>
          </w:tcPr>
          <w:p w14:paraId="4FF95C2E" w14:textId="77777777" w:rsidR="002F4D5D" w:rsidRDefault="002F4D5D" w:rsidP="000D5A77">
            <w:pPr>
              <w:rPr>
                <w:rFonts w:ascii="Verdana" w:eastAsia="Verdana" w:hAnsi="Verdana" w:cs="Verdana"/>
                <w:color w:val="000000" w:themeColor="text1"/>
                <w:sz w:val="16"/>
                <w:szCs w:val="16"/>
                <w:lang w:val="es"/>
              </w:rPr>
            </w:pPr>
            <w:r>
              <w:rPr>
                <w:rFonts w:ascii="Verdana" w:eastAsia="Verdana" w:hAnsi="Verdana" w:cs="Verdana"/>
                <w:color w:val="000000" w:themeColor="text1"/>
                <w:sz w:val="16"/>
                <w:szCs w:val="16"/>
                <w:lang w:val="es"/>
              </w:rPr>
              <w:t>Aprobó:</w:t>
            </w:r>
          </w:p>
        </w:tc>
        <w:tc>
          <w:tcPr>
            <w:tcW w:w="5486" w:type="dxa"/>
            <w:tcBorders>
              <w:left w:val="nil"/>
            </w:tcBorders>
            <w:tcMar>
              <w:left w:w="108" w:type="dxa"/>
              <w:right w:w="108" w:type="dxa"/>
            </w:tcMar>
            <w:vAlign w:val="center"/>
          </w:tcPr>
          <w:p w14:paraId="2C522BC0" w14:textId="77777777" w:rsidR="002F4D5D" w:rsidRDefault="002F4D5D" w:rsidP="000D5A77">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 xml:space="preserve">Carolina Quintero </w:t>
            </w:r>
            <w:proofErr w:type="spellStart"/>
            <w:r>
              <w:rPr>
                <w:rFonts w:ascii="Verdana" w:eastAsia="Verdana" w:hAnsi="Verdana" w:cs="Verdana"/>
                <w:color w:val="000000" w:themeColor="text1"/>
                <w:sz w:val="16"/>
                <w:szCs w:val="16"/>
                <w:lang w:val="pt-BR"/>
              </w:rPr>
              <w:t>Gacharná</w:t>
            </w:r>
            <w:proofErr w:type="spellEnd"/>
          </w:p>
          <w:p w14:paraId="676532D3" w14:textId="77777777" w:rsidR="002F4D5D" w:rsidRDefault="002F4D5D" w:rsidP="000D5A77">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rPr>
              <w:t>Subdirectora</w:t>
            </w:r>
            <w:r>
              <w:rPr>
                <w:rFonts w:ascii="Verdana" w:eastAsia="Verdana" w:hAnsi="Verdana" w:cs="Verdana"/>
                <w:color w:val="000000" w:themeColor="text1"/>
                <w:sz w:val="16"/>
                <w:szCs w:val="16"/>
                <w:lang w:val="pt-BR"/>
              </w:rPr>
              <w:t xml:space="preserve"> de Gestión </w:t>
            </w:r>
            <w:proofErr w:type="spellStart"/>
            <w:r>
              <w:rPr>
                <w:rFonts w:ascii="Verdana" w:eastAsia="Verdana" w:hAnsi="Verdana" w:cs="Verdana"/>
                <w:color w:val="000000" w:themeColor="text1"/>
                <w:sz w:val="16"/>
                <w:szCs w:val="16"/>
                <w:lang w:val="pt-BR"/>
              </w:rPr>
              <w:t>Contractual</w:t>
            </w:r>
            <w:proofErr w:type="spellEnd"/>
            <w:r>
              <w:rPr>
                <w:rFonts w:ascii="Verdana" w:eastAsia="Verdana" w:hAnsi="Verdana" w:cs="Verdana"/>
                <w:color w:val="000000" w:themeColor="text1"/>
                <w:sz w:val="16"/>
                <w:szCs w:val="16"/>
                <w:lang w:val="pt-BR"/>
              </w:rPr>
              <w:t xml:space="preserve"> ANCP – CCE</w:t>
            </w:r>
          </w:p>
        </w:tc>
      </w:tr>
    </w:tbl>
    <w:p w14:paraId="48023B99" w14:textId="77777777" w:rsidR="002F4D5D" w:rsidRPr="000E1832" w:rsidRDefault="002F4D5D" w:rsidP="002F4D5D">
      <w:pPr>
        <w:spacing w:line="240" w:lineRule="auto"/>
        <w:jc w:val="both"/>
        <w:textAlignment w:val="baseline"/>
        <w:rPr>
          <w:rFonts w:ascii="Verdana" w:eastAsia="Calibri" w:hAnsi="Verdana" w:cs="Calibri"/>
          <w:sz w:val="16"/>
          <w:szCs w:val="16"/>
          <w:lang w:val="es-ES"/>
        </w:rPr>
      </w:pPr>
    </w:p>
    <w:p w14:paraId="18B53CB8" w14:textId="77777777" w:rsidR="002F4D5D" w:rsidRPr="00E02524" w:rsidRDefault="002F4D5D" w:rsidP="002F4D5D">
      <w:pPr>
        <w:spacing w:after="0" w:line="240" w:lineRule="auto"/>
        <w:jc w:val="both"/>
        <w:rPr>
          <w:rFonts w:ascii="Verdana" w:eastAsia="Verdana" w:hAnsi="Verdana" w:cs="Verdana"/>
          <w:b/>
          <w:bCs/>
          <w:lang w:val="es-MX"/>
        </w:rPr>
      </w:pPr>
    </w:p>
    <w:p w14:paraId="7BE7140A" w14:textId="77777777" w:rsidR="002F4D5D" w:rsidRPr="00E02524" w:rsidRDefault="002F4D5D" w:rsidP="002F4D5D">
      <w:pPr>
        <w:spacing w:after="0" w:line="240" w:lineRule="auto"/>
        <w:jc w:val="both"/>
        <w:rPr>
          <w:rFonts w:ascii="Verdana" w:eastAsia="Verdana" w:hAnsi="Verdana" w:cs="Verdana"/>
          <w:b/>
          <w:bCs/>
          <w:lang w:val="es-MX"/>
        </w:rPr>
      </w:pPr>
    </w:p>
    <w:p w14:paraId="6AF8C27C" w14:textId="77777777" w:rsidR="002F4D5D" w:rsidRPr="000E2B93" w:rsidRDefault="002F4D5D" w:rsidP="002F4D5D">
      <w:pPr>
        <w:spacing w:after="0" w:line="240" w:lineRule="auto"/>
        <w:jc w:val="both"/>
        <w:textAlignment w:val="baseline"/>
        <w:rPr>
          <w:rFonts w:ascii="Verdana" w:eastAsia="Verdana" w:hAnsi="Verdana" w:cs="Verdana"/>
          <w:lang w:eastAsia="es-CO"/>
        </w:rPr>
      </w:pPr>
    </w:p>
    <w:p w14:paraId="6449FCD1" w14:textId="5E263CE8" w:rsidR="002F4D5D" w:rsidRPr="000E2B93" w:rsidRDefault="002F4D5D" w:rsidP="002F4D5D">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bookmarkEnd w:id="0"/>
    <w:p w14:paraId="69BC4D14" w14:textId="081AA55D"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BBF44" w14:textId="77777777" w:rsidR="008E2044" w:rsidRDefault="008E2044" w:rsidP="004A1847">
      <w:pPr>
        <w:spacing w:after="0" w:line="240" w:lineRule="auto"/>
      </w:pPr>
      <w:r>
        <w:separator/>
      </w:r>
    </w:p>
  </w:endnote>
  <w:endnote w:type="continuationSeparator" w:id="0">
    <w:p w14:paraId="24336362" w14:textId="77777777" w:rsidR="008E2044" w:rsidRDefault="008E20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4F31" w14:textId="77777777" w:rsidR="008E2044" w:rsidRDefault="008E2044" w:rsidP="004A1847">
      <w:pPr>
        <w:spacing w:after="0" w:line="240" w:lineRule="auto"/>
      </w:pPr>
      <w:r>
        <w:separator/>
      </w:r>
    </w:p>
  </w:footnote>
  <w:footnote w:type="continuationSeparator" w:id="0">
    <w:p w14:paraId="1136EE89" w14:textId="77777777" w:rsidR="008E2044" w:rsidRDefault="008E2044" w:rsidP="004A1847">
      <w:pPr>
        <w:spacing w:after="0" w:line="240" w:lineRule="auto"/>
      </w:pPr>
      <w:r>
        <w:continuationSeparator/>
      </w:r>
    </w:p>
  </w:footnote>
  <w:footnote w:id="1">
    <w:p w14:paraId="2AFB9FCA" w14:textId="77777777" w:rsidR="002F4D5D" w:rsidRPr="001E0D95" w:rsidRDefault="002F4D5D" w:rsidP="002F4D5D">
      <w:pPr>
        <w:pStyle w:val="Textonotapie"/>
        <w:ind w:firstLine="708"/>
        <w:jc w:val="both"/>
        <w:rPr>
          <w:rFonts w:ascii="Verdana" w:hAnsi="Verdana" w:cs="Arial"/>
          <w:sz w:val="16"/>
          <w:szCs w:val="16"/>
        </w:rPr>
      </w:pPr>
      <w:r w:rsidRPr="001E0D95">
        <w:rPr>
          <w:rStyle w:val="Refdenotaalpie"/>
          <w:rFonts w:ascii="Verdana" w:hAnsi="Verdana" w:cs="Arial"/>
          <w:sz w:val="16"/>
          <w:szCs w:val="16"/>
        </w:rPr>
        <w:footnoteRef/>
      </w:r>
      <w:r w:rsidRPr="001E0D95">
        <w:rPr>
          <w:rFonts w:ascii="Verdana" w:hAnsi="Verdana" w:cs="Arial"/>
          <w:sz w:val="16"/>
          <w:szCs w:val="16"/>
        </w:rPr>
        <w:t xml:space="preserve"> COLOMBIA COMPRA EFICIENTE. Guía de garantías en procesos de contratación. p. 12. Disponible en: </w:t>
      </w:r>
      <w:hyperlink r:id="rId1" w:history="1">
        <w:r w:rsidRPr="001E0D95">
          <w:rPr>
            <w:rStyle w:val="Hipervnculo"/>
            <w:rFonts w:ascii="Verdana" w:hAnsi="Verdana" w:cs="Arial"/>
            <w:sz w:val="16"/>
            <w:szCs w:val="16"/>
          </w:rPr>
          <w:t>https://www.colombiacompra.gov.co/manuales-guias-y-pliegos-tipo/manuales-y-guias</w:t>
        </w:r>
      </w:hyperlink>
      <w:r w:rsidRPr="001E0D95">
        <w:rPr>
          <w:rFonts w:ascii="Verdana" w:hAnsi="Verdana" w:cs="Arial"/>
          <w:sz w:val="16"/>
          <w:szCs w:val="16"/>
        </w:rPr>
        <w:t xml:space="preserve">. </w:t>
      </w:r>
    </w:p>
  </w:footnote>
  <w:footnote w:id="2">
    <w:p w14:paraId="122DE23A" w14:textId="77777777" w:rsidR="002F4D5D" w:rsidRPr="001E0D95" w:rsidRDefault="002F4D5D" w:rsidP="002F4D5D">
      <w:pPr>
        <w:pStyle w:val="Textonotapie"/>
        <w:ind w:firstLine="708"/>
        <w:jc w:val="both"/>
        <w:rPr>
          <w:rFonts w:ascii="Verdana" w:hAnsi="Verdana" w:cs="Arial"/>
          <w:sz w:val="16"/>
          <w:szCs w:val="16"/>
        </w:rPr>
      </w:pPr>
      <w:r w:rsidRPr="001E0D95">
        <w:rPr>
          <w:rStyle w:val="Refdenotaalpie"/>
          <w:rFonts w:ascii="Verdana" w:hAnsi="Verdana" w:cs="Arial"/>
          <w:sz w:val="16"/>
          <w:szCs w:val="16"/>
        </w:rPr>
        <w:footnoteRef/>
      </w:r>
      <w:r w:rsidRPr="001E0D95">
        <w:rPr>
          <w:rFonts w:ascii="Verdana" w:hAnsi="Verdana" w:cs="Arial"/>
          <w:sz w:val="16"/>
          <w:szCs w:val="16"/>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3">
    <w:p w14:paraId="054C7662"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Sobre la necesidad de distinguir el convenio de cooperación (artículo 95 de la Ley 489 de 1998) del contrato interadministrativo, y la improcedencia de trasladar automáticamente a aquel las potestades excepcionales y el procedimiento sancionatorio de los artículos 17 de la Ley 1150 de 2007 y 86 de la Ley 1474 de 2011, véanse CONSEJO DE ESTADO. Sección Tercera, Subsección A. Sentencias del 13 de agosto de 2024, Rad. 52001-23-33-000-2017-00470-01 (70405), y del 21 de febrero de 2025, Rad. 88001-23-33-000-2021-00028-01 (69993); y COLOMBIA COMPRA EFICIENTE. Concepto C-939 del 24 de julio de 2026.</w:t>
      </w:r>
    </w:p>
  </w:footnote>
  <w:footnote w:id="4">
    <w:p w14:paraId="616640A0" w14:textId="77777777" w:rsidR="002F4D5D" w:rsidRPr="002F4D5D" w:rsidRDefault="002F4D5D" w:rsidP="001E0D95">
      <w:pPr>
        <w:spacing w:after="0" w:line="240" w:lineRule="auto"/>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“Artículo</w:t>
      </w:r>
      <w:r w:rsidRPr="002F4D5D">
        <w:rPr>
          <w:rFonts w:ascii="Verdana" w:hAnsi="Verdana"/>
          <w:spacing w:val="-9"/>
          <w:sz w:val="16"/>
          <w:szCs w:val="16"/>
        </w:rPr>
        <w:t xml:space="preserve"> </w:t>
      </w:r>
      <w:r w:rsidRPr="002F4D5D">
        <w:rPr>
          <w:rFonts w:ascii="Verdana" w:hAnsi="Verdana"/>
          <w:sz w:val="16"/>
          <w:szCs w:val="16"/>
        </w:rPr>
        <w:t>2.2.1.2.3.1.12.</w:t>
      </w:r>
      <w:r w:rsidRPr="002F4D5D">
        <w:rPr>
          <w:rFonts w:ascii="Verdana" w:hAnsi="Verdana"/>
          <w:spacing w:val="-7"/>
          <w:sz w:val="16"/>
          <w:szCs w:val="16"/>
        </w:rPr>
        <w:t xml:space="preserve"> </w:t>
      </w:r>
      <w:r w:rsidRPr="002F4D5D">
        <w:rPr>
          <w:rFonts w:ascii="Verdana" w:hAnsi="Verdana"/>
          <w:sz w:val="16"/>
          <w:szCs w:val="16"/>
        </w:rPr>
        <w:t>Suficiencia</w:t>
      </w:r>
      <w:r w:rsidRPr="002F4D5D">
        <w:rPr>
          <w:rFonts w:ascii="Verdana" w:hAnsi="Verdana"/>
          <w:spacing w:val="-7"/>
          <w:sz w:val="16"/>
          <w:szCs w:val="16"/>
        </w:rPr>
        <w:t xml:space="preserve"> </w:t>
      </w:r>
      <w:r w:rsidRPr="002F4D5D">
        <w:rPr>
          <w:rFonts w:ascii="Verdana" w:hAnsi="Verdana"/>
          <w:sz w:val="16"/>
          <w:szCs w:val="16"/>
        </w:rPr>
        <w:t>de</w:t>
      </w:r>
      <w:r w:rsidRPr="002F4D5D">
        <w:rPr>
          <w:rFonts w:ascii="Verdana" w:hAnsi="Verdana"/>
          <w:spacing w:val="-9"/>
          <w:sz w:val="16"/>
          <w:szCs w:val="16"/>
        </w:rPr>
        <w:t xml:space="preserve"> </w:t>
      </w:r>
      <w:r w:rsidRPr="002F4D5D">
        <w:rPr>
          <w:rFonts w:ascii="Verdana" w:hAnsi="Verdana"/>
          <w:sz w:val="16"/>
          <w:szCs w:val="16"/>
        </w:rPr>
        <w:t>la</w:t>
      </w:r>
      <w:r w:rsidRPr="002F4D5D">
        <w:rPr>
          <w:rFonts w:ascii="Verdana" w:hAnsi="Verdana"/>
          <w:spacing w:val="-9"/>
          <w:sz w:val="16"/>
          <w:szCs w:val="16"/>
        </w:rPr>
        <w:t xml:space="preserve"> </w:t>
      </w:r>
      <w:r w:rsidRPr="002F4D5D">
        <w:rPr>
          <w:rFonts w:ascii="Verdana" w:hAnsi="Verdana"/>
          <w:sz w:val="16"/>
          <w:szCs w:val="16"/>
        </w:rPr>
        <w:t>garantía</w:t>
      </w:r>
      <w:r w:rsidRPr="002F4D5D">
        <w:rPr>
          <w:rFonts w:ascii="Verdana" w:hAnsi="Verdana"/>
          <w:spacing w:val="-8"/>
          <w:sz w:val="16"/>
          <w:szCs w:val="16"/>
        </w:rPr>
        <w:t xml:space="preserve"> </w:t>
      </w:r>
      <w:r w:rsidRPr="002F4D5D">
        <w:rPr>
          <w:rFonts w:ascii="Verdana" w:hAnsi="Verdana"/>
          <w:sz w:val="16"/>
          <w:szCs w:val="16"/>
        </w:rPr>
        <w:t>de</w:t>
      </w:r>
      <w:r w:rsidRPr="002F4D5D">
        <w:rPr>
          <w:rFonts w:ascii="Verdana" w:hAnsi="Verdana"/>
          <w:spacing w:val="-9"/>
          <w:sz w:val="16"/>
          <w:szCs w:val="16"/>
        </w:rPr>
        <w:t xml:space="preserve"> </w:t>
      </w:r>
      <w:r w:rsidRPr="002F4D5D">
        <w:rPr>
          <w:rFonts w:ascii="Verdana" w:hAnsi="Verdana"/>
          <w:sz w:val="16"/>
          <w:szCs w:val="16"/>
        </w:rPr>
        <w:t>cumplimiento.</w:t>
      </w:r>
      <w:r w:rsidRPr="002F4D5D">
        <w:rPr>
          <w:rFonts w:ascii="Verdana" w:hAnsi="Verdana"/>
          <w:spacing w:val="-7"/>
          <w:sz w:val="16"/>
          <w:szCs w:val="16"/>
        </w:rPr>
        <w:t xml:space="preserve"> </w:t>
      </w:r>
      <w:r w:rsidRPr="002F4D5D">
        <w:rPr>
          <w:rFonts w:ascii="Verdana" w:hAnsi="Verdana"/>
          <w:sz w:val="16"/>
          <w:szCs w:val="16"/>
        </w:rPr>
        <w:t>La</w:t>
      </w:r>
      <w:r w:rsidRPr="002F4D5D">
        <w:rPr>
          <w:rFonts w:ascii="Verdana" w:hAnsi="Verdana"/>
          <w:spacing w:val="-9"/>
          <w:sz w:val="16"/>
          <w:szCs w:val="16"/>
        </w:rPr>
        <w:t xml:space="preserve"> </w:t>
      </w:r>
      <w:r w:rsidRPr="002F4D5D">
        <w:rPr>
          <w:rFonts w:ascii="Verdana" w:hAnsi="Verdana"/>
          <w:sz w:val="16"/>
          <w:szCs w:val="16"/>
        </w:rPr>
        <w:t>garantía</w:t>
      </w:r>
      <w:r w:rsidRPr="002F4D5D">
        <w:rPr>
          <w:rFonts w:ascii="Verdana" w:hAnsi="Verdana"/>
          <w:spacing w:val="-8"/>
          <w:sz w:val="16"/>
          <w:szCs w:val="16"/>
        </w:rPr>
        <w:t xml:space="preserve"> </w:t>
      </w:r>
      <w:r w:rsidRPr="002F4D5D">
        <w:rPr>
          <w:rFonts w:ascii="Verdana" w:hAnsi="Verdana"/>
          <w:sz w:val="16"/>
          <w:szCs w:val="16"/>
        </w:rPr>
        <w:t>de</w:t>
      </w:r>
      <w:r w:rsidRPr="002F4D5D">
        <w:rPr>
          <w:rFonts w:ascii="Verdana" w:hAnsi="Verdana"/>
          <w:spacing w:val="-9"/>
          <w:sz w:val="16"/>
          <w:szCs w:val="16"/>
        </w:rPr>
        <w:t xml:space="preserve"> </w:t>
      </w:r>
      <w:r w:rsidRPr="002F4D5D">
        <w:rPr>
          <w:rFonts w:ascii="Verdana" w:hAnsi="Verdana"/>
          <w:sz w:val="16"/>
          <w:szCs w:val="16"/>
        </w:rPr>
        <w:t>cumplimiento</w:t>
      </w:r>
      <w:r w:rsidRPr="002F4D5D">
        <w:rPr>
          <w:rFonts w:ascii="Verdana" w:hAnsi="Verdana"/>
          <w:spacing w:val="-7"/>
          <w:sz w:val="16"/>
          <w:szCs w:val="16"/>
        </w:rPr>
        <w:t xml:space="preserve"> </w:t>
      </w:r>
      <w:r w:rsidRPr="002F4D5D">
        <w:rPr>
          <w:rFonts w:ascii="Verdana" w:hAnsi="Verdana"/>
          <w:sz w:val="16"/>
          <w:szCs w:val="16"/>
        </w:rPr>
        <w:t>del</w:t>
      </w:r>
      <w:r w:rsidRPr="002F4D5D">
        <w:rPr>
          <w:rFonts w:ascii="Verdana" w:hAnsi="Verdana"/>
          <w:spacing w:val="-9"/>
          <w:sz w:val="16"/>
          <w:szCs w:val="16"/>
        </w:rPr>
        <w:t xml:space="preserve"> </w:t>
      </w:r>
      <w:r w:rsidRPr="002F4D5D">
        <w:rPr>
          <w:rFonts w:ascii="Verdana" w:hAnsi="Verdana"/>
          <w:sz w:val="16"/>
          <w:szCs w:val="16"/>
        </w:rPr>
        <w:t>contrato</w:t>
      </w:r>
      <w:r w:rsidRPr="002F4D5D">
        <w:rPr>
          <w:rFonts w:ascii="Verdana" w:hAnsi="Verdana"/>
          <w:spacing w:val="-8"/>
          <w:sz w:val="16"/>
          <w:szCs w:val="16"/>
        </w:rPr>
        <w:t xml:space="preserve"> </w:t>
      </w:r>
      <w:r w:rsidRPr="002F4D5D">
        <w:rPr>
          <w:rFonts w:ascii="Verdana" w:hAnsi="Verdana"/>
          <w:sz w:val="16"/>
          <w:szCs w:val="16"/>
        </w:rPr>
        <w:t>debe</w:t>
      </w:r>
      <w:r w:rsidRPr="002F4D5D">
        <w:rPr>
          <w:rFonts w:ascii="Verdana" w:hAnsi="Verdana"/>
          <w:spacing w:val="-9"/>
          <w:sz w:val="16"/>
          <w:szCs w:val="16"/>
        </w:rPr>
        <w:t xml:space="preserve"> </w:t>
      </w:r>
      <w:r w:rsidRPr="002F4D5D">
        <w:rPr>
          <w:rFonts w:ascii="Verdana" w:hAnsi="Verdana"/>
          <w:sz w:val="16"/>
          <w:szCs w:val="16"/>
        </w:rPr>
        <w:t>tener</w:t>
      </w:r>
      <w:r w:rsidRPr="002F4D5D">
        <w:rPr>
          <w:rFonts w:ascii="Verdana" w:hAnsi="Verdana"/>
          <w:spacing w:val="-8"/>
          <w:sz w:val="16"/>
          <w:szCs w:val="16"/>
        </w:rPr>
        <w:t xml:space="preserve"> </w:t>
      </w:r>
      <w:r w:rsidRPr="002F4D5D">
        <w:rPr>
          <w:rFonts w:ascii="Verdana" w:hAnsi="Verdana"/>
          <w:sz w:val="16"/>
          <w:szCs w:val="16"/>
        </w:rPr>
        <w:t>una</w:t>
      </w:r>
      <w:r w:rsidRPr="002F4D5D">
        <w:rPr>
          <w:rFonts w:ascii="Verdana" w:hAnsi="Verdana"/>
          <w:spacing w:val="-9"/>
          <w:sz w:val="16"/>
          <w:szCs w:val="16"/>
        </w:rPr>
        <w:t xml:space="preserve"> </w:t>
      </w:r>
      <w:r w:rsidRPr="002F4D5D">
        <w:rPr>
          <w:rFonts w:ascii="Verdana" w:hAnsi="Verdana"/>
          <w:sz w:val="16"/>
          <w:szCs w:val="16"/>
        </w:rPr>
        <w:t>vigencia</w:t>
      </w:r>
      <w:r w:rsidRPr="002F4D5D">
        <w:rPr>
          <w:rFonts w:ascii="Verdana" w:hAnsi="Verdana"/>
          <w:spacing w:val="-8"/>
          <w:sz w:val="16"/>
          <w:szCs w:val="16"/>
        </w:rPr>
        <w:t xml:space="preserve"> </w:t>
      </w:r>
      <w:r w:rsidRPr="002F4D5D">
        <w:rPr>
          <w:rFonts w:ascii="Verdana" w:hAnsi="Verdana"/>
          <w:sz w:val="16"/>
          <w:szCs w:val="16"/>
        </w:rPr>
        <w:t>mínima</w:t>
      </w:r>
      <w:r w:rsidRPr="002F4D5D">
        <w:rPr>
          <w:rFonts w:ascii="Verdana" w:hAnsi="Verdana"/>
          <w:spacing w:val="-8"/>
          <w:sz w:val="16"/>
          <w:szCs w:val="16"/>
        </w:rPr>
        <w:t xml:space="preserve"> </w:t>
      </w:r>
      <w:r w:rsidRPr="002F4D5D">
        <w:rPr>
          <w:rFonts w:ascii="Verdana" w:hAnsi="Verdana"/>
          <w:sz w:val="16"/>
          <w:szCs w:val="16"/>
        </w:rPr>
        <w:t>hasta</w:t>
      </w:r>
      <w:r w:rsidRPr="002F4D5D">
        <w:rPr>
          <w:rFonts w:ascii="Verdana" w:hAnsi="Verdana"/>
          <w:spacing w:val="-8"/>
          <w:sz w:val="16"/>
          <w:szCs w:val="16"/>
        </w:rPr>
        <w:t xml:space="preserve"> </w:t>
      </w:r>
      <w:r w:rsidRPr="002F4D5D">
        <w:rPr>
          <w:rFonts w:ascii="Verdana" w:hAnsi="Verdana"/>
          <w:sz w:val="16"/>
          <w:szCs w:val="16"/>
        </w:rPr>
        <w:t>la</w:t>
      </w:r>
      <w:r w:rsidRPr="002F4D5D">
        <w:rPr>
          <w:rFonts w:ascii="Verdana" w:hAnsi="Verdana"/>
          <w:spacing w:val="-9"/>
          <w:sz w:val="16"/>
          <w:szCs w:val="16"/>
        </w:rPr>
        <w:t xml:space="preserve"> </w:t>
      </w:r>
      <w:r w:rsidRPr="002F4D5D">
        <w:rPr>
          <w:rFonts w:ascii="Verdana" w:hAnsi="Verdana"/>
          <w:sz w:val="16"/>
          <w:szCs w:val="16"/>
        </w:rPr>
        <w:t>liquidación</w:t>
      </w:r>
      <w:r w:rsidRPr="002F4D5D">
        <w:rPr>
          <w:rFonts w:ascii="Verdana" w:hAnsi="Verdana"/>
          <w:spacing w:val="40"/>
          <w:sz w:val="16"/>
          <w:szCs w:val="16"/>
        </w:rPr>
        <w:t xml:space="preserve"> </w:t>
      </w:r>
      <w:r w:rsidRPr="002F4D5D">
        <w:rPr>
          <w:rFonts w:ascii="Verdana" w:hAnsi="Verdana"/>
          <w:sz w:val="16"/>
          <w:szCs w:val="16"/>
        </w:rPr>
        <w:t>del contrato. El valor de esta garantía debe ser de por lo menos el diez por ciento (10%) del valor del contrato a menos que el valor del contrato sea superior a un millón</w:t>
      </w:r>
      <w:r w:rsidRPr="002F4D5D">
        <w:rPr>
          <w:rFonts w:ascii="Verdana" w:hAnsi="Verdana"/>
          <w:spacing w:val="40"/>
          <w:sz w:val="16"/>
          <w:szCs w:val="16"/>
        </w:rPr>
        <w:t xml:space="preserve"> </w:t>
      </w:r>
      <w:r w:rsidRPr="002F4D5D">
        <w:rPr>
          <w:rFonts w:ascii="Verdana" w:hAnsi="Verdana"/>
          <w:sz w:val="16"/>
          <w:szCs w:val="16"/>
        </w:rPr>
        <w:t>(1.000.000) de smmlv, caso en el cual la Entidad Estatal aplicará las siguientes reglas: 1.Si</w:t>
      </w:r>
      <w:r w:rsidRPr="002F4D5D">
        <w:rPr>
          <w:rFonts w:ascii="Verdana" w:hAnsi="Verdana"/>
          <w:spacing w:val="-3"/>
          <w:sz w:val="16"/>
          <w:szCs w:val="16"/>
        </w:rPr>
        <w:t xml:space="preserve"> </w:t>
      </w:r>
      <w:r w:rsidRPr="002F4D5D">
        <w:rPr>
          <w:rFonts w:ascii="Verdana" w:hAnsi="Verdana"/>
          <w:sz w:val="16"/>
          <w:szCs w:val="16"/>
        </w:rPr>
        <w:t>el</w:t>
      </w:r>
      <w:r w:rsidRPr="002F4D5D">
        <w:rPr>
          <w:rFonts w:ascii="Verdana" w:hAnsi="Verdana"/>
          <w:spacing w:val="-3"/>
          <w:sz w:val="16"/>
          <w:szCs w:val="16"/>
        </w:rPr>
        <w:t xml:space="preserve"> </w:t>
      </w:r>
      <w:r w:rsidRPr="002F4D5D">
        <w:rPr>
          <w:rFonts w:ascii="Verdana" w:hAnsi="Verdana"/>
          <w:sz w:val="16"/>
          <w:szCs w:val="16"/>
        </w:rPr>
        <w:t>valor</w:t>
      </w:r>
      <w:r w:rsidRPr="002F4D5D">
        <w:rPr>
          <w:rFonts w:ascii="Verdana" w:hAnsi="Verdana"/>
          <w:spacing w:val="-3"/>
          <w:sz w:val="16"/>
          <w:szCs w:val="16"/>
        </w:rPr>
        <w:t xml:space="preserve"> </w:t>
      </w:r>
      <w:r w:rsidRPr="002F4D5D">
        <w:rPr>
          <w:rFonts w:ascii="Verdana" w:hAnsi="Verdana"/>
          <w:sz w:val="16"/>
          <w:szCs w:val="16"/>
        </w:rPr>
        <w:t>del</w:t>
      </w:r>
      <w:r w:rsidRPr="002F4D5D">
        <w:rPr>
          <w:rFonts w:ascii="Verdana" w:hAnsi="Verdana"/>
          <w:spacing w:val="-3"/>
          <w:sz w:val="16"/>
          <w:szCs w:val="16"/>
        </w:rPr>
        <w:t xml:space="preserve"> </w:t>
      </w:r>
      <w:r w:rsidRPr="002F4D5D">
        <w:rPr>
          <w:rFonts w:ascii="Verdana" w:hAnsi="Verdana"/>
          <w:sz w:val="16"/>
          <w:szCs w:val="16"/>
        </w:rPr>
        <w:t>contrato</w:t>
      </w:r>
      <w:r w:rsidRPr="002F4D5D">
        <w:rPr>
          <w:rFonts w:ascii="Verdana" w:hAnsi="Verdana"/>
          <w:spacing w:val="-2"/>
          <w:sz w:val="16"/>
          <w:szCs w:val="16"/>
        </w:rPr>
        <w:t xml:space="preserve"> </w:t>
      </w:r>
      <w:r w:rsidRPr="002F4D5D">
        <w:rPr>
          <w:rFonts w:ascii="Verdana" w:hAnsi="Verdana"/>
          <w:sz w:val="16"/>
          <w:szCs w:val="16"/>
        </w:rPr>
        <w:t>es</w:t>
      </w:r>
      <w:r w:rsidRPr="002F4D5D">
        <w:rPr>
          <w:rFonts w:ascii="Verdana" w:hAnsi="Verdana"/>
          <w:spacing w:val="-3"/>
          <w:sz w:val="16"/>
          <w:szCs w:val="16"/>
        </w:rPr>
        <w:t xml:space="preserve"> </w:t>
      </w:r>
      <w:r w:rsidRPr="002F4D5D">
        <w:rPr>
          <w:rFonts w:ascii="Verdana" w:hAnsi="Verdana"/>
          <w:sz w:val="16"/>
          <w:szCs w:val="16"/>
        </w:rPr>
        <w:t>superior</w:t>
      </w:r>
      <w:r w:rsidRPr="002F4D5D">
        <w:rPr>
          <w:rFonts w:ascii="Verdana" w:hAnsi="Verdana"/>
          <w:spacing w:val="-2"/>
          <w:sz w:val="16"/>
          <w:szCs w:val="16"/>
        </w:rPr>
        <w:t xml:space="preserve"> </w:t>
      </w:r>
      <w:r w:rsidRPr="002F4D5D">
        <w:rPr>
          <w:rFonts w:ascii="Verdana" w:hAnsi="Verdana"/>
          <w:sz w:val="16"/>
          <w:szCs w:val="16"/>
        </w:rPr>
        <w:t>a</w:t>
      </w:r>
      <w:r w:rsidRPr="002F4D5D">
        <w:rPr>
          <w:rFonts w:ascii="Verdana" w:hAnsi="Verdana"/>
          <w:spacing w:val="-3"/>
          <w:sz w:val="16"/>
          <w:szCs w:val="16"/>
        </w:rPr>
        <w:t xml:space="preserve"> </w:t>
      </w:r>
      <w:r w:rsidRPr="002F4D5D">
        <w:rPr>
          <w:rFonts w:ascii="Verdana" w:hAnsi="Verdana"/>
          <w:sz w:val="16"/>
          <w:szCs w:val="16"/>
        </w:rPr>
        <w:t>un</w:t>
      </w:r>
      <w:r w:rsidRPr="002F4D5D">
        <w:rPr>
          <w:rFonts w:ascii="Verdana" w:hAnsi="Verdana"/>
          <w:spacing w:val="-3"/>
          <w:sz w:val="16"/>
          <w:szCs w:val="16"/>
        </w:rPr>
        <w:t xml:space="preserve"> </w:t>
      </w:r>
      <w:r w:rsidRPr="002F4D5D">
        <w:rPr>
          <w:rFonts w:ascii="Verdana" w:hAnsi="Verdana"/>
          <w:sz w:val="16"/>
          <w:szCs w:val="16"/>
        </w:rPr>
        <w:t>millón</w:t>
      </w:r>
      <w:r w:rsidRPr="002F4D5D">
        <w:rPr>
          <w:rFonts w:ascii="Verdana" w:hAnsi="Verdana"/>
          <w:spacing w:val="-3"/>
          <w:sz w:val="16"/>
          <w:szCs w:val="16"/>
        </w:rPr>
        <w:t xml:space="preserve"> </w:t>
      </w:r>
      <w:r w:rsidRPr="002F4D5D">
        <w:rPr>
          <w:rFonts w:ascii="Verdana" w:hAnsi="Verdana"/>
          <w:sz w:val="16"/>
          <w:szCs w:val="16"/>
        </w:rPr>
        <w:t>(1.000.000)</w:t>
      </w:r>
      <w:r w:rsidRPr="002F4D5D">
        <w:rPr>
          <w:rFonts w:ascii="Verdana" w:hAnsi="Verdana"/>
          <w:spacing w:val="-2"/>
          <w:sz w:val="16"/>
          <w:szCs w:val="16"/>
        </w:rPr>
        <w:t xml:space="preserve"> </w:t>
      </w:r>
      <w:r w:rsidRPr="002F4D5D">
        <w:rPr>
          <w:rFonts w:ascii="Verdana" w:hAnsi="Verdana"/>
          <w:sz w:val="16"/>
          <w:szCs w:val="16"/>
        </w:rPr>
        <w:t>de</w:t>
      </w:r>
      <w:r w:rsidRPr="002F4D5D">
        <w:rPr>
          <w:rFonts w:ascii="Verdana" w:hAnsi="Verdana"/>
          <w:spacing w:val="-3"/>
          <w:sz w:val="16"/>
          <w:szCs w:val="16"/>
        </w:rPr>
        <w:t xml:space="preserve"> </w:t>
      </w:r>
      <w:r w:rsidRPr="002F4D5D">
        <w:rPr>
          <w:rFonts w:ascii="Verdana" w:hAnsi="Verdana"/>
          <w:sz w:val="16"/>
          <w:szCs w:val="16"/>
        </w:rPr>
        <w:t>smmlv</w:t>
      </w:r>
      <w:r w:rsidRPr="002F4D5D">
        <w:rPr>
          <w:rFonts w:ascii="Verdana" w:hAnsi="Verdana"/>
          <w:spacing w:val="-3"/>
          <w:sz w:val="16"/>
          <w:szCs w:val="16"/>
        </w:rPr>
        <w:t xml:space="preserve"> </w:t>
      </w:r>
      <w:r w:rsidRPr="002F4D5D">
        <w:rPr>
          <w:rFonts w:ascii="Verdana" w:hAnsi="Verdana"/>
          <w:sz w:val="16"/>
          <w:szCs w:val="16"/>
        </w:rPr>
        <w:t>y</w:t>
      </w:r>
      <w:r w:rsidRPr="002F4D5D">
        <w:rPr>
          <w:rFonts w:ascii="Verdana" w:hAnsi="Verdana"/>
          <w:spacing w:val="-3"/>
          <w:sz w:val="16"/>
          <w:szCs w:val="16"/>
        </w:rPr>
        <w:t xml:space="preserve"> </w:t>
      </w:r>
      <w:r w:rsidRPr="002F4D5D">
        <w:rPr>
          <w:rFonts w:ascii="Verdana" w:hAnsi="Verdana"/>
          <w:sz w:val="16"/>
          <w:szCs w:val="16"/>
        </w:rPr>
        <w:t>hasta</w:t>
      </w:r>
      <w:r w:rsidRPr="002F4D5D">
        <w:rPr>
          <w:rFonts w:ascii="Verdana" w:hAnsi="Verdana"/>
          <w:spacing w:val="-3"/>
          <w:sz w:val="16"/>
          <w:szCs w:val="16"/>
        </w:rPr>
        <w:t xml:space="preserve"> </w:t>
      </w:r>
      <w:r w:rsidRPr="002F4D5D">
        <w:rPr>
          <w:rFonts w:ascii="Verdana" w:hAnsi="Verdana"/>
          <w:sz w:val="16"/>
          <w:szCs w:val="16"/>
        </w:rPr>
        <w:t>cinco</w:t>
      </w:r>
      <w:r w:rsidRPr="002F4D5D">
        <w:rPr>
          <w:rFonts w:ascii="Verdana" w:hAnsi="Verdana"/>
          <w:spacing w:val="-3"/>
          <w:sz w:val="16"/>
          <w:szCs w:val="16"/>
        </w:rPr>
        <w:t xml:space="preserve"> </w:t>
      </w:r>
      <w:r w:rsidRPr="002F4D5D">
        <w:rPr>
          <w:rFonts w:ascii="Verdana" w:hAnsi="Verdana"/>
          <w:sz w:val="16"/>
          <w:szCs w:val="16"/>
        </w:rPr>
        <w:t>millones</w:t>
      </w:r>
      <w:r w:rsidRPr="002F4D5D">
        <w:rPr>
          <w:rFonts w:ascii="Verdana" w:hAnsi="Verdana"/>
          <w:spacing w:val="-2"/>
          <w:sz w:val="16"/>
          <w:szCs w:val="16"/>
        </w:rPr>
        <w:t xml:space="preserve"> </w:t>
      </w:r>
      <w:r w:rsidRPr="002F4D5D">
        <w:rPr>
          <w:rFonts w:ascii="Verdana" w:hAnsi="Verdana"/>
          <w:sz w:val="16"/>
          <w:szCs w:val="16"/>
        </w:rPr>
        <w:t>(5.000.000)</w:t>
      </w:r>
      <w:r w:rsidRPr="002F4D5D">
        <w:rPr>
          <w:rFonts w:ascii="Verdana" w:hAnsi="Verdana"/>
          <w:spacing w:val="-2"/>
          <w:sz w:val="16"/>
          <w:szCs w:val="16"/>
        </w:rPr>
        <w:t xml:space="preserve"> </w:t>
      </w:r>
      <w:r w:rsidRPr="002F4D5D">
        <w:rPr>
          <w:rFonts w:ascii="Verdana" w:hAnsi="Verdana"/>
          <w:sz w:val="16"/>
          <w:szCs w:val="16"/>
        </w:rPr>
        <w:t>de</w:t>
      </w:r>
      <w:r w:rsidRPr="002F4D5D">
        <w:rPr>
          <w:rFonts w:ascii="Verdana" w:hAnsi="Verdana"/>
          <w:spacing w:val="-3"/>
          <w:sz w:val="16"/>
          <w:szCs w:val="16"/>
        </w:rPr>
        <w:t xml:space="preserve"> </w:t>
      </w:r>
      <w:r w:rsidRPr="002F4D5D">
        <w:rPr>
          <w:rFonts w:ascii="Verdana" w:hAnsi="Verdana"/>
          <w:sz w:val="16"/>
          <w:szCs w:val="16"/>
        </w:rPr>
        <w:t>smmlv,</w:t>
      </w:r>
      <w:r w:rsidRPr="002F4D5D">
        <w:rPr>
          <w:rFonts w:ascii="Verdana" w:hAnsi="Verdana"/>
          <w:spacing w:val="-3"/>
          <w:sz w:val="16"/>
          <w:szCs w:val="16"/>
        </w:rPr>
        <w:t xml:space="preserve"> </w:t>
      </w:r>
      <w:r w:rsidRPr="002F4D5D">
        <w:rPr>
          <w:rFonts w:ascii="Verdana" w:hAnsi="Verdana"/>
          <w:sz w:val="16"/>
          <w:szCs w:val="16"/>
        </w:rPr>
        <w:t>la</w:t>
      </w:r>
      <w:r w:rsidRPr="002F4D5D">
        <w:rPr>
          <w:rFonts w:ascii="Verdana" w:hAnsi="Verdana"/>
          <w:spacing w:val="-3"/>
          <w:sz w:val="16"/>
          <w:szCs w:val="16"/>
        </w:rPr>
        <w:t xml:space="preserve"> </w:t>
      </w:r>
      <w:r w:rsidRPr="002F4D5D">
        <w:rPr>
          <w:rFonts w:ascii="Verdana" w:hAnsi="Verdana"/>
          <w:sz w:val="16"/>
          <w:szCs w:val="16"/>
        </w:rPr>
        <w:t>Entidad</w:t>
      </w:r>
      <w:r w:rsidRPr="002F4D5D">
        <w:rPr>
          <w:rFonts w:ascii="Verdana" w:hAnsi="Verdana"/>
          <w:spacing w:val="-3"/>
          <w:sz w:val="16"/>
          <w:szCs w:val="16"/>
        </w:rPr>
        <w:t xml:space="preserve"> </w:t>
      </w:r>
      <w:r w:rsidRPr="002F4D5D">
        <w:rPr>
          <w:rFonts w:ascii="Verdana" w:hAnsi="Verdana"/>
          <w:sz w:val="16"/>
          <w:szCs w:val="16"/>
        </w:rPr>
        <w:t>Estatal</w:t>
      </w:r>
      <w:r w:rsidRPr="002F4D5D">
        <w:rPr>
          <w:rFonts w:ascii="Verdana" w:hAnsi="Verdana"/>
          <w:spacing w:val="-2"/>
          <w:sz w:val="16"/>
          <w:szCs w:val="16"/>
        </w:rPr>
        <w:t xml:space="preserve"> </w:t>
      </w:r>
      <w:r w:rsidRPr="002F4D5D">
        <w:rPr>
          <w:rFonts w:ascii="Verdana" w:hAnsi="Verdana"/>
          <w:sz w:val="16"/>
          <w:szCs w:val="16"/>
        </w:rPr>
        <w:t>puede</w:t>
      </w:r>
      <w:r w:rsidRPr="002F4D5D">
        <w:rPr>
          <w:rFonts w:ascii="Verdana" w:hAnsi="Verdana"/>
          <w:spacing w:val="-3"/>
          <w:sz w:val="16"/>
          <w:szCs w:val="16"/>
        </w:rPr>
        <w:t xml:space="preserve"> </w:t>
      </w:r>
      <w:r w:rsidRPr="002F4D5D">
        <w:rPr>
          <w:rFonts w:ascii="Verdana" w:hAnsi="Verdana"/>
          <w:sz w:val="16"/>
          <w:szCs w:val="16"/>
        </w:rPr>
        <w:t>aceptar</w:t>
      </w:r>
      <w:r w:rsidRPr="002F4D5D">
        <w:rPr>
          <w:rFonts w:ascii="Verdana" w:hAnsi="Verdana"/>
          <w:spacing w:val="-2"/>
          <w:sz w:val="16"/>
          <w:szCs w:val="16"/>
        </w:rPr>
        <w:t xml:space="preserve"> </w:t>
      </w:r>
      <w:r w:rsidRPr="002F4D5D">
        <w:rPr>
          <w:rFonts w:ascii="Verdana" w:hAnsi="Verdana"/>
          <w:sz w:val="16"/>
          <w:szCs w:val="16"/>
        </w:rPr>
        <w:t>garantías</w:t>
      </w:r>
      <w:r w:rsidRPr="002F4D5D">
        <w:rPr>
          <w:rFonts w:ascii="Verdana" w:hAnsi="Verdana"/>
          <w:spacing w:val="40"/>
          <w:sz w:val="16"/>
          <w:szCs w:val="16"/>
        </w:rPr>
        <w:t xml:space="preserve"> </w:t>
      </w:r>
      <w:r w:rsidRPr="002F4D5D">
        <w:rPr>
          <w:rFonts w:ascii="Verdana" w:hAnsi="Verdana"/>
          <w:sz w:val="16"/>
          <w:szCs w:val="16"/>
        </w:rPr>
        <w:t>que cubran al menos el dos punto cinco por ciento (2,5%) del valor del contrato. 2.Si el valor del contrato es superior a cinco millones (5.000.000) de smmlv y hasta diez millones (10.000.000) de smmlv, la Entidad Estatal puede aceptar</w:t>
      </w:r>
      <w:r w:rsidRPr="002F4D5D">
        <w:rPr>
          <w:rFonts w:ascii="Verdana" w:hAnsi="Verdana"/>
          <w:spacing w:val="40"/>
          <w:sz w:val="16"/>
          <w:szCs w:val="16"/>
        </w:rPr>
        <w:t xml:space="preserve"> </w:t>
      </w:r>
      <w:r w:rsidRPr="002F4D5D">
        <w:rPr>
          <w:rFonts w:ascii="Verdana" w:hAnsi="Verdana"/>
          <w:sz w:val="16"/>
          <w:szCs w:val="16"/>
        </w:rPr>
        <w:t>garantías que cubran al menos el uno por ciento (1%) del valor del contrato. 3.Si</w:t>
      </w:r>
      <w:r w:rsidRPr="002F4D5D">
        <w:rPr>
          <w:rFonts w:ascii="Verdana" w:hAnsi="Verdana"/>
          <w:spacing w:val="-4"/>
          <w:sz w:val="16"/>
          <w:szCs w:val="16"/>
        </w:rPr>
        <w:t xml:space="preserve"> </w:t>
      </w:r>
      <w:r w:rsidRPr="002F4D5D">
        <w:rPr>
          <w:rFonts w:ascii="Verdana" w:hAnsi="Verdana"/>
          <w:sz w:val="16"/>
          <w:szCs w:val="16"/>
        </w:rPr>
        <w:t>el</w:t>
      </w:r>
      <w:r w:rsidRPr="002F4D5D">
        <w:rPr>
          <w:rFonts w:ascii="Verdana" w:hAnsi="Verdana"/>
          <w:spacing w:val="-4"/>
          <w:sz w:val="16"/>
          <w:szCs w:val="16"/>
        </w:rPr>
        <w:t xml:space="preserve"> </w:t>
      </w:r>
      <w:r w:rsidRPr="002F4D5D">
        <w:rPr>
          <w:rFonts w:ascii="Verdana" w:hAnsi="Verdana"/>
          <w:sz w:val="16"/>
          <w:szCs w:val="16"/>
        </w:rPr>
        <w:t>valor</w:t>
      </w:r>
      <w:r w:rsidRPr="002F4D5D">
        <w:rPr>
          <w:rFonts w:ascii="Verdana" w:hAnsi="Verdana"/>
          <w:spacing w:val="-3"/>
          <w:sz w:val="16"/>
          <w:szCs w:val="16"/>
        </w:rPr>
        <w:t xml:space="preserve"> </w:t>
      </w:r>
      <w:r w:rsidRPr="002F4D5D">
        <w:rPr>
          <w:rFonts w:ascii="Verdana" w:hAnsi="Verdana"/>
          <w:sz w:val="16"/>
          <w:szCs w:val="16"/>
        </w:rPr>
        <w:t>del</w:t>
      </w:r>
      <w:r w:rsidRPr="002F4D5D">
        <w:rPr>
          <w:rFonts w:ascii="Verdana" w:hAnsi="Verdana"/>
          <w:spacing w:val="-3"/>
          <w:sz w:val="16"/>
          <w:szCs w:val="16"/>
        </w:rPr>
        <w:t xml:space="preserve"> </w:t>
      </w:r>
      <w:r w:rsidRPr="002F4D5D">
        <w:rPr>
          <w:rFonts w:ascii="Verdana" w:hAnsi="Verdana"/>
          <w:sz w:val="16"/>
          <w:szCs w:val="16"/>
        </w:rPr>
        <w:t>contrato</w:t>
      </w:r>
      <w:r w:rsidRPr="002F4D5D">
        <w:rPr>
          <w:rFonts w:ascii="Verdana" w:hAnsi="Verdana"/>
          <w:spacing w:val="-3"/>
          <w:sz w:val="16"/>
          <w:szCs w:val="16"/>
        </w:rPr>
        <w:t xml:space="preserve"> </w:t>
      </w:r>
      <w:r w:rsidRPr="002F4D5D">
        <w:rPr>
          <w:rFonts w:ascii="Verdana" w:hAnsi="Verdana"/>
          <w:sz w:val="16"/>
          <w:szCs w:val="16"/>
        </w:rPr>
        <w:t>es</w:t>
      </w:r>
      <w:r w:rsidRPr="002F4D5D">
        <w:rPr>
          <w:rFonts w:ascii="Verdana" w:hAnsi="Verdana"/>
          <w:spacing w:val="-4"/>
          <w:sz w:val="16"/>
          <w:szCs w:val="16"/>
        </w:rPr>
        <w:t xml:space="preserve"> </w:t>
      </w:r>
      <w:r w:rsidRPr="002F4D5D">
        <w:rPr>
          <w:rFonts w:ascii="Verdana" w:hAnsi="Verdana"/>
          <w:sz w:val="16"/>
          <w:szCs w:val="16"/>
        </w:rPr>
        <w:t>superior</w:t>
      </w:r>
      <w:r w:rsidRPr="002F4D5D">
        <w:rPr>
          <w:rFonts w:ascii="Verdana" w:hAnsi="Verdana"/>
          <w:spacing w:val="-3"/>
          <w:sz w:val="16"/>
          <w:szCs w:val="16"/>
        </w:rPr>
        <w:t xml:space="preserve"> </w:t>
      </w:r>
      <w:r w:rsidRPr="002F4D5D">
        <w:rPr>
          <w:rFonts w:ascii="Verdana" w:hAnsi="Verdana"/>
          <w:sz w:val="16"/>
          <w:szCs w:val="16"/>
        </w:rPr>
        <w:t>a</w:t>
      </w:r>
      <w:r w:rsidRPr="002F4D5D">
        <w:rPr>
          <w:rFonts w:ascii="Verdana" w:hAnsi="Verdana"/>
          <w:spacing w:val="-4"/>
          <w:sz w:val="16"/>
          <w:szCs w:val="16"/>
        </w:rPr>
        <w:t xml:space="preserve"> </w:t>
      </w:r>
      <w:r w:rsidRPr="002F4D5D">
        <w:rPr>
          <w:rFonts w:ascii="Verdana" w:hAnsi="Verdana"/>
          <w:sz w:val="16"/>
          <w:szCs w:val="16"/>
        </w:rPr>
        <w:t>diez</w:t>
      </w:r>
      <w:r w:rsidRPr="002F4D5D">
        <w:rPr>
          <w:rFonts w:ascii="Verdana" w:hAnsi="Verdana"/>
          <w:spacing w:val="-3"/>
          <w:sz w:val="16"/>
          <w:szCs w:val="16"/>
        </w:rPr>
        <w:t xml:space="preserve"> </w:t>
      </w:r>
      <w:r w:rsidRPr="002F4D5D">
        <w:rPr>
          <w:rFonts w:ascii="Verdana" w:hAnsi="Verdana"/>
          <w:sz w:val="16"/>
          <w:szCs w:val="16"/>
        </w:rPr>
        <w:t>millones</w:t>
      </w:r>
      <w:r w:rsidRPr="002F4D5D">
        <w:rPr>
          <w:rFonts w:ascii="Verdana" w:hAnsi="Verdana"/>
          <w:spacing w:val="-3"/>
          <w:sz w:val="16"/>
          <w:szCs w:val="16"/>
        </w:rPr>
        <w:t xml:space="preserve"> </w:t>
      </w:r>
      <w:r w:rsidRPr="002F4D5D">
        <w:rPr>
          <w:rFonts w:ascii="Verdana" w:hAnsi="Verdana"/>
          <w:sz w:val="16"/>
          <w:szCs w:val="16"/>
        </w:rPr>
        <w:t>(10.000.000)</w:t>
      </w:r>
      <w:r w:rsidRPr="002F4D5D">
        <w:rPr>
          <w:rFonts w:ascii="Verdana" w:hAnsi="Verdana"/>
          <w:spacing w:val="-2"/>
          <w:sz w:val="16"/>
          <w:szCs w:val="16"/>
        </w:rPr>
        <w:t xml:space="preserve"> </w:t>
      </w:r>
      <w:r w:rsidRPr="002F4D5D">
        <w:rPr>
          <w:rFonts w:ascii="Verdana" w:hAnsi="Verdana"/>
          <w:sz w:val="16"/>
          <w:szCs w:val="16"/>
        </w:rPr>
        <w:t>de</w:t>
      </w:r>
      <w:r w:rsidRPr="002F4D5D">
        <w:rPr>
          <w:rFonts w:ascii="Verdana" w:hAnsi="Verdana"/>
          <w:spacing w:val="-4"/>
          <w:sz w:val="16"/>
          <w:szCs w:val="16"/>
        </w:rPr>
        <w:t xml:space="preserve"> </w:t>
      </w:r>
      <w:r w:rsidRPr="002F4D5D">
        <w:rPr>
          <w:rFonts w:ascii="Verdana" w:hAnsi="Verdana"/>
          <w:sz w:val="16"/>
          <w:szCs w:val="16"/>
        </w:rPr>
        <w:t>smmlv,</w:t>
      </w:r>
      <w:r w:rsidRPr="002F4D5D">
        <w:rPr>
          <w:rFonts w:ascii="Verdana" w:hAnsi="Verdana"/>
          <w:spacing w:val="-4"/>
          <w:sz w:val="16"/>
          <w:szCs w:val="16"/>
        </w:rPr>
        <w:t xml:space="preserve"> </w:t>
      </w:r>
      <w:r w:rsidRPr="002F4D5D">
        <w:rPr>
          <w:rFonts w:ascii="Verdana" w:hAnsi="Verdana"/>
          <w:sz w:val="16"/>
          <w:szCs w:val="16"/>
        </w:rPr>
        <w:t>la</w:t>
      </w:r>
      <w:r w:rsidRPr="002F4D5D">
        <w:rPr>
          <w:rFonts w:ascii="Verdana" w:hAnsi="Verdana"/>
          <w:spacing w:val="-4"/>
          <w:sz w:val="16"/>
          <w:szCs w:val="16"/>
        </w:rPr>
        <w:t xml:space="preserve"> </w:t>
      </w:r>
      <w:r w:rsidRPr="002F4D5D">
        <w:rPr>
          <w:rFonts w:ascii="Verdana" w:hAnsi="Verdana"/>
          <w:sz w:val="16"/>
          <w:szCs w:val="16"/>
        </w:rPr>
        <w:t>Entidad</w:t>
      </w:r>
      <w:r w:rsidRPr="002F4D5D">
        <w:rPr>
          <w:rFonts w:ascii="Verdana" w:hAnsi="Verdana"/>
          <w:spacing w:val="-3"/>
          <w:sz w:val="16"/>
          <w:szCs w:val="16"/>
        </w:rPr>
        <w:t xml:space="preserve"> </w:t>
      </w:r>
      <w:r w:rsidRPr="002F4D5D">
        <w:rPr>
          <w:rFonts w:ascii="Verdana" w:hAnsi="Verdana"/>
          <w:sz w:val="16"/>
          <w:szCs w:val="16"/>
        </w:rPr>
        <w:t>Estatal</w:t>
      </w:r>
      <w:r w:rsidRPr="002F4D5D">
        <w:rPr>
          <w:rFonts w:ascii="Verdana" w:hAnsi="Verdana"/>
          <w:spacing w:val="-3"/>
          <w:sz w:val="16"/>
          <w:szCs w:val="16"/>
        </w:rPr>
        <w:t xml:space="preserve"> </w:t>
      </w:r>
      <w:r w:rsidRPr="002F4D5D">
        <w:rPr>
          <w:rFonts w:ascii="Verdana" w:hAnsi="Verdana"/>
          <w:sz w:val="16"/>
          <w:szCs w:val="16"/>
        </w:rPr>
        <w:t>puede</w:t>
      </w:r>
      <w:r w:rsidRPr="002F4D5D">
        <w:rPr>
          <w:rFonts w:ascii="Verdana" w:hAnsi="Verdana"/>
          <w:spacing w:val="-3"/>
          <w:sz w:val="16"/>
          <w:szCs w:val="16"/>
        </w:rPr>
        <w:t xml:space="preserve"> </w:t>
      </w:r>
      <w:r w:rsidRPr="002F4D5D">
        <w:rPr>
          <w:rFonts w:ascii="Verdana" w:hAnsi="Verdana"/>
          <w:sz w:val="16"/>
          <w:szCs w:val="16"/>
        </w:rPr>
        <w:t>aceptar</w:t>
      </w:r>
      <w:r w:rsidRPr="002F4D5D">
        <w:rPr>
          <w:rFonts w:ascii="Verdana" w:hAnsi="Verdana"/>
          <w:spacing w:val="-3"/>
          <w:sz w:val="16"/>
          <w:szCs w:val="16"/>
        </w:rPr>
        <w:t xml:space="preserve"> </w:t>
      </w:r>
      <w:r w:rsidRPr="002F4D5D">
        <w:rPr>
          <w:rFonts w:ascii="Verdana" w:hAnsi="Verdana"/>
          <w:sz w:val="16"/>
          <w:szCs w:val="16"/>
        </w:rPr>
        <w:t>garantías</w:t>
      </w:r>
      <w:r w:rsidRPr="002F4D5D">
        <w:rPr>
          <w:rFonts w:ascii="Verdana" w:hAnsi="Verdana"/>
          <w:spacing w:val="-3"/>
          <w:sz w:val="16"/>
          <w:szCs w:val="16"/>
        </w:rPr>
        <w:t xml:space="preserve"> </w:t>
      </w:r>
      <w:r w:rsidRPr="002F4D5D">
        <w:rPr>
          <w:rFonts w:ascii="Verdana" w:hAnsi="Verdana"/>
          <w:sz w:val="16"/>
          <w:szCs w:val="16"/>
        </w:rPr>
        <w:t>que</w:t>
      </w:r>
      <w:r w:rsidRPr="002F4D5D">
        <w:rPr>
          <w:rFonts w:ascii="Verdana" w:hAnsi="Verdana"/>
          <w:spacing w:val="-3"/>
          <w:sz w:val="16"/>
          <w:szCs w:val="16"/>
        </w:rPr>
        <w:t xml:space="preserve"> </w:t>
      </w:r>
      <w:r w:rsidRPr="002F4D5D">
        <w:rPr>
          <w:rFonts w:ascii="Verdana" w:hAnsi="Verdana"/>
          <w:sz w:val="16"/>
          <w:szCs w:val="16"/>
        </w:rPr>
        <w:t>cubran</w:t>
      </w:r>
      <w:r w:rsidRPr="002F4D5D">
        <w:rPr>
          <w:rFonts w:ascii="Verdana" w:hAnsi="Verdana"/>
          <w:spacing w:val="-3"/>
          <w:sz w:val="16"/>
          <w:szCs w:val="16"/>
        </w:rPr>
        <w:t xml:space="preserve"> </w:t>
      </w:r>
      <w:r w:rsidRPr="002F4D5D">
        <w:rPr>
          <w:rFonts w:ascii="Verdana" w:hAnsi="Verdana"/>
          <w:sz w:val="16"/>
          <w:szCs w:val="16"/>
        </w:rPr>
        <w:t>al</w:t>
      </w:r>
      <w:r w:rsidRPr="002F4D5D">
        <w:rPr>
          <w:rFonts w:ascii="Verdana" w:hAnsi="Verdana"/>
          <w:spacing w:val="-4"/>
          <w:sz w:val="16"/>
          <w:szCs w:val="16"/>
        </w:rPr>
        <w:t xml:space="preserve"> </w:t>
      </w:r>
      <w:r w:rsidRPr="002F4D5D">
        <w:rPr>
          <w:rFonts w:ascii="Verdana" w:hAnsi="Verdana"/>
          <w:sz w:val="16"/>
          <w:szCs w:val="16"/>
        </w:rPr>
        <w:t>menos</w:t>
      </w:r>
      <w:r w:rsidRPr="002F4D5D">
        <w:rPr>
          <w:rFonts w:ascii="Verdana" w:hAnsi="Verdana"/>
          <w:spacing w:val="-3"/>
          <w:sz w:val="16"/>
          <w:szCs w:val="16"/>
        </w:rPr>
        <w:t xml:space="preserve"> </w:t>
      </w:r>
      <w:r w:rsidRPr="002F4D5D">
        <w:rPr>
          <w:rFonts w:ascii="Verdana" w:hAnsi="Verdana"/>
          <w:sz w:val="16"/>
          <w:szCs w:val="16"/>
        </w:rPr>
        <w:t>el</w:t>
      </w:r>
      <w:r w:rsidRPr="002F4D5D">
        <w:rPr>
          <w:rFonts w:ascii="Verdana" w:hAnsi="Verdana"/>
          <w:spacing w:val="-4"/>
          <w:sz w:val="16"/>
          <w:szCs w:val="16"/>
        </w:rPr>
        <w:t xml:space="preserve"> </w:t>
      </w:r>
      <w:r w:rsidRPr="002F4D5D">
        <w:rPr>
          <w:rFonts w:ascii="Verdana" w:hAnsi="Verdana"/>
          <w:sz w:val="16"/>
          <w:szCs w:val="16"/>
        </w:rPr>
        <w:t>cero</w:t>
      </w:r>
      <w:r w:rsidRPr="002F4D5D">
        <w:rPr>
          <w:rFonts w:ascii="Verdana" w:hAnsi="Verdana"/>
          <w:spacing w:val="-3"/>
          <w:sz w:val="16"/>
          <w:szCs w:val="16"/>
        </w:rPr>
        <w:t xml:space="preserve"> </w:t>
      </w:r>
      <w:r w:rsidRPr="002F4D5D">
        <w:rPr>
          <w:rFonts w:ascii="Verdana" w:hAnsi="Verdana"/>
          <w:sz w:val="16"/>
          <w:szCs w:val="16"/>
        </w:rPr>
        <w:t>punto</w:t>
      </w:r>
      <w:r w:rsidRPr="002F4D5D">
        <w:rPr>
          <w:rFonts w:ascii="Verdana" w:hAnsi="Verdana"/>
          <w:spacing w:val="-3"/>
          <w:sz w:val="16"/>
          <w:szCs w:val="16"/>
        </w:rPr>
        <w:t xml:space="preserve"> </w:t>
      </w:r>
      <w:r w:rsidRPr="002F4D5D">
        <w:rPr>
          <w:rFonts w:ascii="Verdana" w:hAnsi="Verdana"/>
          <w:sz w:val="16"/>
          <w:szCs w:val="16"/>
        </w:rPr>
        <w:t>cinco</w:t>
      </w:r>
      <w:r w:rsidRPr="002F4D5D">
        <w:rPr>
          <w:rFonts w:ascii="Verdana" w:hAnsi="Verdana"/>
          <w:spacing w:val="40"/>
          <w:sz w:val="16"/>
          <w:szCs w:val="16"/>
        </w:rPr>
        <w:t xml:space="preserve"> </w:t>
      </w:r>
      <w:r w:rsidRPr="002F4D5D">
        <w:rPr>
          <w:rFonts w:ascii="Verdana" w:hAnsi="Verdana"/>
          <w:sz w:val="16"/>
          <w:szCs w:val="16"/>
        </w:rPr>
        <w:t>por ciento (0,5%) del valor del contrato. Colombia Compra Eficiente debe determinar el valor de la garantía única de cumplimiento del Acuerdo Marco de Precios de acuerdo con el objeto, el valor, la</w:t>
      </w:r>
      <w:r w:rsidRPr="002F4D5D">
        <w:rPr>
          <w:rFonts w:ascii="Verdana" w:hAnsi="Verdana"/>
          <w:spacing w:val="40"/>
          <w:sz w:val="16"/>
          <w:szCs w:val="16"/>
        </w:rPr>
        <w:t xml:space="preserve"> </w:t>
      </w:r>
      <w:r w:rsidRPr="002F4D5D">
        <w:rPr>
          <w:rFonts w:ascii="Verdana" w:hAnsi="Verdana"/>
          <w:sz w:val="16"/>
          <w:szCs w:val="16"/>
        </w:rPr>
        <w:t>naturaleza y las obligaciones contenidas en este”.</w:t>
      </w:r>
    </w:p>
  </w:footnote>
  <w:footnote w:id="5">
    <w:p w14:paraId="2ACA2EB7" w14:textId="77777777" w:rsidR="002F4D5D" w:rsidRPr="002F4D5D" w:rsidRDefault="002F4D5D" w:rsidP="001E0D95">
      <w:pPr>
        <w:spacing w:after="0" w:line="240" w:lineRule="auto"/>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COLOMBIA</w:t>
      </w:r>
      <w:r w:rsidRPr="002F4D5D">
        <w:rPr>
          <w:rFonts w:ascii="Verdana" w:hAnsi="Verdana"/>
          <w:spacing w:val="49"/>
          <w:sz w:val="16"/>
          <w:szCs w:val="16"/>
        </w:rPr>
        <w:t xml:space="preserve">  </w:t>
      </w:r>
      <w:r w:rsidRPr="002F4D5D">
        <w:rPr>
          <w:rFonts w:ascii="Verdana" w:hAnsi="Verdana"/>
          <w:sz w:val="16"/>
          <w:szCs w:val="16"/>
        </w:rPr>
        <w:t>COMPRA</w:t>
      </w:r>
      <w:r w:rsidRPr="002F4D5D">
        <w:rPr>
          <w:rFonts w:ascii="Verdana" w:hAnsi="Verdana"/>
          <w:spacing w:val="49"/>
          <w:sz w:val="16"/>
          <w:szCs w:val="16"/>
        </w:rPr>
        <w:t xml:space="preserve">  </w:t>
      </w:r>
      <w:r w:rsidRPr="002F4D5D">
        <w:rPr>
          <w:rFonts w:ascii="Verdana" w:hAnsi="Verdana"/>
          <w:sz w:val="16"/>
          <w:szCs w:val="16"/>
        </w:rPr>
        <w:t>EFICIENTE.</w:t>
      </w:r>
      <w:r w:rsidRPr="002F4D5D">
        <w:rPr>
          <w:rFonts w:ascii="Verdana" w:hAnsi="Verdana"/>
          <w:spacing w:val="50"/>
          <w:sz w:val="16"/>
          <w:szCs w:val="16"/>
        </w:rPr>
        <w:t xml:space="preserve">  </w:t>
      </w:r>
      <w:r w:rsidRPr="002F4D5D">
        <w:rPr>
          <w:rFonts w:ascii="Verdana" w:hAnsi="Verdana"/>
          <w:sz w:val="16"/>
          <w:szCs w:val="16"/>
        </w:rPr>
        <w:t>Guía</w:t>
      </w:r>
      <w:r w:rsidRPr="002F4D5D">
        <w:rPr>
          <w:rFonts w:ascii="Verdana" w:hAnsi="Verdana"/>
          <w:spacing w:val="49"/>
          <w:sz w:val="16"/>
          <w:szCs w:val="16"/>
        </w:rPr>
        <w:t xml:space="preserve">  </w:t>
      </w:r>
      <w:r w:rsidRPr="002F4D5D">
        <w:rPr>
          <w:rFonts w:ascii="Verdana" w:hAnsi="Verdana"/>
          <w:sz w:val="16"/>
          <w:szCs w:val="16"/>
        </w:rPr>
        <w:t>para</w:t>
      </w:r>
      <w:r w:rsidRPr="002F4D5D">
        <w:rPr>
          <w:rFonts w:ascii="Verdana" w:hAnsi="Verdana"/>
          <w:spacing w:val="49"/>
          <w:sz w:val="16"/>
          <w:szCs w:val="16"/>
        </w:rPr>
        <w:t xml:space="preserve">  </w:t>
      </w:r>
      <w:r w:rsidRPr="002F4D5D">
        <w:rPr>
          <w:rFonts w:ascii="Verdana" w:hAnsi="Verdana"/>
          <w:sz w:val="16"/>
          <w:szCs w:val="16"/>
        </w:rPr>
        <w:t>la</w:t>
      </w:r>
      <w:r w:rsidRPr="002F4D5D">
        <w:rPr>
          <w:rFonts w:ascii="Verdana" w:hAnsi="Verdana"/>
          <w:spacing w:val="49"/>
          <w:sz w:val="16"/>
          <w:szCs w:val="16"/>
        </w:rPr>
        <w:t xml:space="preserve">  </w:t>
      </w:r>
      <w:r w:rsidRPr="002F4D5D">
        <w:rPr>
          <w:rFonts w:ascii="Verdana" w:hAnsi="Verdana"/>
          <w:sz w:val="16"/>
          <w:szCs w:val="16"/>
        </w:rPr>
        <w:t>Liquidación</w:t>
      </w:r>
      <w:r w:rsidRPr="002F4D5D">
        <w:rPr>
          <w:rFonts w:ascii="Verdana" w:hAnsi="Verdana"/>
          <w:spacing w:val="50"/>
          <w:sz w:val="16"/>
          <w:szCs w:val="16"/>
        </w:rPr>
        <w:t xml:space="preserve">  </w:t>
      </w:r>
      <w:r w:rsidRPr="002F4D5D">
        <w:rPr>
          <w:rFonts w:ascii="Verdana" w:hAnsi="Verdana"/>
          <w:sz w:val="16"/>
          <w:szCs w:val="16"/>
        </w:rPr>
        <w:t>de</w:t>
      </w:r>
      <w:r w:rsidRPr="002F4D5D">
        <w:rPr>
          <w:rFonts w:ascii="Verdana" w:hAnsi="Verdana"/>
          <w:spacing w:val="49"/>
          <w:sz w:val="16"/>
          <w:szCs w:val="16"/>
        </w:rPr>
        <w:t xml:space="preserve">  </w:t>
      </w:r>
      <w:r w:rsidRPr="002F4D5D">
        <w:rPr>
          <w:rFonts w:ascii="Verdana" w:hAnsi="Verdana"/>
          <w:sz w:val="16"/>
          <w:szCs w:val="16"/>
        </w:rPr>
        <w:t>los</w:t>
      </w:r>
      <w:r w:rsidRPr="002F4D5D">
        <w:rPr>
          <w:rFonts w:ascii="Verdana" w:hAnsi="Verdana"/>
          <w:spacing w:val="50"/>
          <w:sz w:val="16"/>
          <w:szCs w:val="16"/>
        </w:rPr>
        <w:t xml:space="preserve">  </w:t>
      </w:r>
      <w:r w:rsidRPr="002F4D5D">
        <w:rPr>
          <w:rFonts w:ascii="Verdana" w:hAnsi="Verdana"/>
          <w:sz w:val="16"/>
          <w:szCs w:val="16"/>
        </w:rPr>
        <w:t>Procesos</w:t>
      </w:r>
      <w:r w:rsidRPr="002F4D5D">
        <w:rPr>
          <w:rFonts w:ascii="Verdana" w:hAnsi="Verdana"/>
          <w:spacing w:val="49"/>
          <w:sz w:val="16"/>
          <w:szCs w:val="16"/>
        </w:rPr>
        <w:t xml:space="preserve">  </w:t>
      </w:r>
      <w:r w:rsidRPr="002F4D5D">
        <w:rPr>
          <w:rFonts w:ascii="Verdana" w:hAnsi="Verdana"/>
          <w:sz w:val="16"/>
          <w:szCs w:val="16"/>
        </w:rPr>
        <w:t>de</w:t>
      </w:r>
      <w:r w:rsidRPr="002F4D5D">
        <w:rPr>
          <w:rFonts w:ascii="Verdana" w:hAnsi="Verdana"/>
          <w:spacing w:val="49"/>
          <w:sz w:val="16"/>
          <w:szCs w:val="16"/>
        </w:rPr>
        <w:t xml:space="preserve">  </w:t>
      </w:r>
      <w:r w:rsidRPr="002F4D5D">
        <w:rPr>
          <w:rFonts w:ascii="Verdana" w:hAnsi="Verdana"/>
          <w:sz w:val="16"/>
          <w:szCs w:val="16"/>
        </w:rPr>
        <w:t>Contratación.</w:t>
      </w:r>
      <w:r w:rsidRPr="002F4D5D">
        <w:rPr>
          <w:rFonts w:ascii="Verdana" w:hAnsi="Verdana"/>
          <w:spacing w:val="50"/>
          <w:sz w:val="16"/>
          <w:szCs w:val="16"/>
        </w:rPr>
        <w:t xml:space="preserve">                  </w:t>
      </w:r>
      <w:r w:rsidRPr="002F4D5D">
        <w:rPr>
          <w:rFonts w:ascii="Verdana" w:hAnsi="Verdana"/>
          <w:sz w:val="16"/>
          <w:szCs w:val="16"/>
        </w:rPr>
        <w:t>página</w:t>
      </w:r>
      <w:r w:rsidRPr="002F4D5D">
        <w:rPr>
          <w:rFonts w:ascii="Verdana" w:hAnsi="Verdana"/>
          <w:spacing w:val="49"/>
          <w:sz w:val="16"/>
          <w:szCs w:val="16"/>
        </w:rPr>
        <w:t xml:space="preserve">  </w:t>
      </w:r>
      <w:r w:rsidRPr="002F4D5D">
        <w:rPr>
          <w:rFonts w:ascii="Verdana" w:hAnsi="Verdana"/>
          <w:sz w:val="16"/>
          <w:szCs w:val="16"/>
        </w:rPr>
        <w:t>5,</w:t>
      </w:r>
      <w:r w:rsidRPr="002F4D5D">
        <w:rPr>
          <w:rFonts w:ascii="Verdana" w:hAnsi="Verdana"/>
          <w:spacing w:val="49"/>
          <w:sz w:val="16"/>
          <w:szCs w:val="16"/>
        </w:rPr>
        <w:t xml:space="preserve">  </w:t>
      </w:r>
      <w:r w:rsidRPr="002F4D5D">
        <w:rPr>
          <w:rFonts w:ascii="Verdana" w:hAnsi="Verdana"/>
          <w:sz w:val="16"/>
          <w:szCs w:val="16"/>
        </w:rPr>
        <w:t>disponible</w:t>
      </w:r>
      <w:r w:rsidRPr="002F4D5D">
        <w:rPr>
          <w:rFonts w:ascii="Verdana" w:hAnsi="Verdana"/>
          <w:spacing w:val="50"/>
          <w:sz w:val="16"/>
          <w:szCs w:val="16"/>
        </w:rPr>
        <w:t xml:space="preserve">  </w:t>
      </w:r>
      <w:r w:rsidRPr="002F4D5D">
        <w:rPr>
          <w:rFonts w:ascii="Verdana" w:hAnsi="Verdana"/>
          <w:spacing w:val="-5"/>
          <w:sz w:val="16"/>
          <w:szCs w:val="16"/>
        </w:rPr>
        <w:t xml:space="preserve">en: </w:t>
      </w:r>
      <w:hyperlink r:id="rId2" w:history="1">
        <w:r w:rsidRPr="002F4D5D">
          <w:rPr>
            <w:rStyle w:val="Hipervnculo"/>
            <w:rFonts w:ascii="Verdana" w:hAnsi="Verdana"/>
            <w:spacing w:val="-2"/>
            <w:sz w:val="16"/>
            <w:szCs w:val="16"/>
          </w:rPr>
          <w:t>https://www.colombiacompra.gov.co/sites/cce_public/files/cce_documents /cce_guia_liquidacion_procesos.pdf</w:t>
        </w:r>
      </w:hyperlink>
    </w:p>
  </w:footnote>
  <w:footnote w:id="6">
    <w:p w14:paraId="296EEE3C"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CONSEJO DE ESTADO. Sala de Consulta y Servicio Civil. Concepto de 28 de junio de 2016. Radicación: 2253. C.P. Álvaro Namén Vargas. Se trata de doctrina consultiva —no de una sentencia ni de un fallo de unificación—; el aparte citado debe cotejarse con la fuente original, pues no se localizó literalmente en este concepto.</w:t>
      </w:r>
    </w:p>
  </w:footnote>
  <w:footnote w:id="7">
    <w:p w14:paraId="1FB63FC7"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Cita doctrinal sobre la vigencia de la garantía única. [Verificar e incorporar la referencia bibliográfica completa —autor, obra, edición y página—; corresponde a la doctrina especializada en el régimen de garantías de la contratación estatal].</w:t>
      </w:r>
    </w:p>
  </w:footnote>
  <w:footnote w:id="8">
    <w:p w14:paraId="2DB96FD0" w14:textId="77777777" w:rsidR="002F4D5D" w:rsidRPr="002F4D5D" w:rsidRDefault="002F4D5D" w:rsidP="001E0D95">
      <w:pPr>
        <w:pStyle w:val="Textonotapie"/>
        <w:ind w:right="49"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 el momento a partir del cual la entidad queda habilitada para liquidar unilateralmente.</w:t>
      </w:r>
    </w:p>
  </w:footnote>
  <w:footnote w:id="9">
    <w:p w14:paraId="3E035315" w14:textId="77777777" w:rsidR="002F4D5D" w:rsidRPr="002F4D5D" w:rsidRDefault="002F4D5D" w:rsidP="002F4D5D">
      <w:pPr>
        <w:pStyle w:val="Textonotapie"/>
        <w:ind w:firstLine="708"/>
        <w:jc w:val="both"/>
        <w:rPr>
          <w:rFonts w:ascii="Verdana" w:hAnsi="Verdana" w:cs="Arial"/>
          <w:color w:val="000000"/>
          <w:sz w:val="16"/>
          <w:szCs w:val="16"/>
          <w:lang w:val="es-ES"/>
        </w:rPr>
      </w:pPr>
      <w:r w:rsidRPr="002F4D5D">
        <w:rPr>
          <w:rStyle w:val="Refdenotaalpie"/>
          <w:rFonts w:ascii="Verdana" w:hAnsi="Verdana" w:cs="Arial"/>
          <w:color w:val="000000"/>
          <w:sz w:val="16"/>
          <w:szCs w:val="16"/>
        </w:rPr>
        <w:footnoteRef/>
      </w:r>
      <w:r w:rsidRPr="002F4D5D">
        <w:rPr>
          <w:rFonts w:ascii="Verdana" w:hAnsi="Verdana" w:cs="Arial"/>
          <w:color w:val="000000"/>
          <w:sz w:val="16"/>
          <w:szCs w:val="16"/>
        </w:rPr>
        <w:t xml:space="preserve"> COLOMBIA COMPRA EFICIENTE. Guía para la Liquidación de los Procesos de Contratación. página 5, disponible en: </w:t>
      </w:r>
      <w:hyperlink r:id="rId3" w:history="1">
        <w:r w:rsidRPr="002F4D5D">
          <w:rPr>
            <w:rStyle w:val="Hipervnculo"/>
            <w:rFonts w:ascii="Verdana" w:hAnsi="Verdana" w:cs="Arial"/>
            <w:sz w:val="16"/>
            <w:szCs w:val="16"/>
          </w:rPr>
          <w:t xml:space="preserve">https://www.colombiacompra.gov.co/sites/cce_public/files/cce_documents/cce_guia_liquidacion_procesos.pdf  </w:t>
        </w:r>
      </w:hyperlink>
    </w:p>
  </w:footnote>
  <w:footnote w:id="10">
    <w:p w14:paraId="20972246" w14:textId="77777777" w:rsidR="002F4D5D" w:rsidRPr="002F4D5D" w:rsidRDefault="002F4D5D" w:rsidP="002F4D5D">
      <w:pPr>
        <w:pStyle w:val="Textonotapie"/>
        <w:ind w:firstLine="708"/>
        <w:jc w:val="both"/>
        <w:rPr>
          <w:rFonts w:ascii="Verdana" w:hAnsi="Verdana" w:cs="Arial"/>
          <w:color w:val="000000"/>
          <w:sz w:val="16"/>
          <w:szCs w:val="16"/>
        </w:rPr>
      </w:pPr>
      <w:r w:rsidRPr="002F4D5D">
        <w:rPr>
          <w:rStyle w:val="Refdenotaalpie"/>
          <w:rFonts w:ascii="Verdana" w:hAnsi="Verdana" w:cs="Arial"/>
          <w:color w:val="000000"/>
          <w:sz w:val="16"/>
          <w:szCs w:val="16"/>
        </w:rPr>
        <w:footnoteRef/>
      </w:r>
      <w:r w:rsidRPr="002F4D5D">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1">
    <w:p w14:paraId="610AA282" w14:textId="77777777" w:rsidR="002F4D5D" w:rsidRPr="002F4D5D" w:rsidRDefault="002F4D5D" w:rsidP="002F4D5D">
      <w:pPr>
        <w:pStyle w:val="Textonotapie"/>
        <w:ind w:firstLine="708"/>
        <w:jc w:val="both"/>
        <w:rPr>
          <w:rFonts w:ascii="Verdana" w:hAnsi="Verdana" w:cs="Arial"/>
          <w:color w:val="000000"/>
          <w:sz w:val="16"/>
          <w:szCs w:val="16"/>
        </w:rPr>
      </w:pPr>
      <w:r w:rsidRPr="002F4D5D">
        <w:rPr>
          <w:rStyle w:val="Refdenotaalpie"/>
          <w:rFonts w:ascii="Verdana" w:hAnsi="Verdana" w:cs="Arial"/>
          <w:color w:val="000000"/>
          <w:sz w:val="16"/>
          <w:szCs w:val="16"/>
        </w:rPr>
        <w:footnoteRef/>
      </w:r>
      <w:r w:rsidRPr="002F4D5D">
        <w:rPr>
          <w:rFonts w:ascii="Verdana" w:hAnsi="Verdana" w:cs="Arial"/>
          <w:color w:val="000000"/>
          <w:sz w:val="16"/>
          <w:szCs w:val="16"/>
        </w:rPr>
        <w:t xml:space="preserve"> CONSEJO DE ESTADO. Sala de Consulta y Servicio Civil. Concepto del 28 de junio de 2016, Rad. 2253. Óp. cit. </w:t>
      </w:r>
    </w:p>
  </w:footnote>
  <w:footnote w:id="12">
    <w:p w14:paraId="70092F36" w14:textId="77777777" w:rsidR="002F4D5D" w:rsidRPr="002F4D5D" w:rsidRDefault="002F4D5D" w:rsidP="002F4D5D">
      <w:pPr>
        <w:pStyle w:val="Textonotapie"/>
        <w:ind w:firstLine="708"/>
        <w:jc w:val="both"/>
        <w:rPr>
          <w:rFonts w:ascii="Verdana" w:hAnsi="Verdana"/>
          <w:color w:val="000000"/>
          <w:sz w:val="16"/>
          <w:szCs w:val="16"/>
          <w:lang w:val="es-ES"/>
        </w:rPr>
      </w:pPr>
      <w:r w:rsidRPr="002F4D5D">
        <w:rPr>
          <w:rStyle w:val="Refdenotaalpie"/>
          <w:rFonts w:ascii="Verdana" w:hAnsi="Verdana" w:cs="Arial"/>
          <w:color w:val="000000"/>
          <w:sz w:val="16"/>
          <w:szCs w:val="16"/>
        </w:rPr>
        <w:footnoteRef/>
      </w:r>
      <w:r w:rsidRPr="002F4D5D">
        <w:rPr>
          <w:rFonts w:ascii="Verdana" w:hAnsi="Verdana" w:cs="Arial"/>
          <w:color w:val="000000"/>
          <w:sz w:val="16"/>
          <w:szCs w:val="16"/>
        </w:rPr>
        <w:t xml:space="preserve"> CONSEJO DE ESTADO. Sección Tercera. </w:t>
      </w:r>
      <w:r w:rsidRPr="002F4D5D">
        <w:rPr>
          <w:rFonts w:ascii="Verdana" w:hAnsi="Verdana" w:cs="Arial"/>
          <w:color w:val="000000"/>
          <w:sz w:val="16"/>
          <w:szCs w:val="16"/>
          <w:lang w:val="es-CO"/>
        </w:rPr>
        <w:t xml:space="preserve">Sala Plena. Auto del 1 de agosto de 2019. </w:t>
      </w:r>
      <w:r w:rsidRPr="002F4D5D">
        <w:rPr>
          <w:rFonts w:ascii="Verdana" w:hAnsi="Verdana" w:cs="Arial"/>
          <w:color w:val="000000"/>
          <w:sz w:val="16"/>
          <w:szCs w:val="16"/>
        </w:rPr>
        <w:t xml:space="preserve">Exp. 62009. C.P. Jaime Enrique Rodríguez Navas. </w:t>
      </w:r>
      <w:r w:rsidRPr="002F4D5D">
        <w:rPr>
          <w:rFonts w:ascii="Verdana" w:hAnsi="Verdana"/>
          <w:color w:val="000000"/>
          <w:sz w:val="16"/>
          <w:szCs w:val="16"/>
          <w:lang w:val="es-ES"/>
        </w:rPr>
        <w:t xml:space="preserve"> </w:t>
      </w:r>
    </w:p>
  </w:footnote>
  <w:footnote w:id="13">
    <w:p w14:paraId="2B653097" w14:textId="0CD702C5" w:rsidR="002F4D5D" w:rsidRPr="002F4D5D" w:rsidRDefault="002F4D5D" w:rsidP="002F4D5D">
      <w:pPr>
        <w:pStyle w:val="Textonotapie"/>
        <w:ind w:firstLine="708"/>
        <w:jc w:val="both"/>
        <w:rPr>
          <w:rFonts w:ascii="Verdana" w:hAnsi="Verdana" w:cs="Arial"/>
          <w:sz w:val="16"/>
          <w:szCs w:val="16"/>
        </w:rPr>
      </w:pPr>
      <w:r w:rsidRPr="002F4D5D">
        <w:rPr>
          <w:rStyle w:val="Refdenotaalpie"/>
          <w:rFonts w:ascii="Verdana" w:hAnsi="Verdana" w:cs="Arial"/>
          <w:sz w:val="16"/>
          <w:szCs w:val="16"/>
        </w:rPr>
        <w:footnoteRef/>
      </w:r>
      <w:r w:rsidRPr="002F4D5D">
        <w:rPr>
          <w:rFonts w:ascii="Verdana" w:hAnsi="Verdana" w:cs="Arial"/>
          <w:sz w:val="16"/>
          <w:szCs w:val="16"/>
        </w:rPr>
        <w:t xml:space="preserve"> DÍAZ DÍEZ, Cristian Andrés. La liquidación. Serie Las cláusulas del contrato estatal, n.º 3. Medellín: Librería Jurídica Sánchez R. / CEDA, 2013, pp. 255-256. </w:t>
      </w:r>
    </w:p>
  </w:footnote>
  <w:footnote w:id="14">
    <w:p w14:paraId="6405E200"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COLOMBIA COMPRA EFICIENTE. Guía de garantías en procesos de contratación. Óp. cit., p. 25, conforme a la cual la garantía solo pierde su efecto cuando todas las obligaciones del contrato han sido cumplidas a satisfacción.</w:t>
      </w:r>
    </w:p>
  </w:footnote>
  <w:footnote w:id="15">
    <w:p w14:paraId="50BC0F56"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CONSEJO DE ESTADO. Sala de Consulta y Servicio Civil. Concepto del 28 de junio de 2016. Rad. 11001-03-06-000-2015-00067-00 (2253). C.P. Álvaro Namén Vargas. Entre el contenido material de la liquidación, la Sala incluye «la vigencia de las garantías y su extensión o ampliación en caso que se deban exigir al contratista», y precisa que la competencia para liquidar subsiste mientras no opere la caducidad del medio de control de controversias contractuales.</w:t>
      </w:r>
    </w:p>
  </w:footnote>
  <w:footnote w:id="16">
    <w:p w14:paraId="59A54150"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OSORIO CIFUENTES, Germán Eduardo. «Terminación y liquidación del contrato estatal». En: PALACIO JARAMILLO, María Teresa (ed. acad.). Contratos estatales, Tomo II. Bogotá: Grupo Editorial Ibáñez, 2022, p. 847. El aparte se sustenta en CONSEJO DE ESTADO. Sección Tercera, Subsección A. Sentencia del 31 de marzo de 2011, Rad. 68001-23-15-000-1997-00942-01 (16246). C.P. Hernán Andrade Rincón.</w:t>
      </w:r>
    </w:p>
  </w:footnote>
  <w:footnote w:id="17">
    <w:p w14:paraId="33C7898F"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Ley 80 de 1993, artículo 60, modificado por el artículo 217 del Decreto Ley 019 de 2012, conforme al cual para la liquidación se exigirá al contratista la extensión o ampliación de la garantía a fin de avalar las obligaciones que deban cumplirse con posterioridad a la extinción del contrato.</w:t>
      </w:r>
    </w:p>
  </w:footnote>
  <w:footnote w:id="18">
    <w:p w14:paraId="08F4F138"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COLOMBIA COMPRA EFICIENTE. Conceptos C-1128 de 2026 y C-1443 de 2026, sobre la autonomía del convenio interadministrativo frente a los contratos derivados y la procedencia de su liquidación.</w:t>
      </w:r>
    </w:p>
  </w:footnote>
  <w:footnote w:id="19">
    <w:p w14:paraId="37D6A2A6" w14:textId="77777777" w:rsidR="002F4D5D" w:rsidRPr="002F4D5D" w:rsidRDefault="002F4D5D" w:rsidP="001E0D95">
      <w:pPr>
        <w:pStyle w:val="Textonotapie"/>
        <w:ind w:right="51" w:firstLine="708"/>
        <w:contextualSpacing/>
        <w:jc w:val="both"/>
        <w:rPr>
          <w:rFonts w:ascii="Verdana" w:hAnsi="Verdana"/>
          <w:sz w:val="16"/>
          <w:szCs w:val="16"/>
          <w:lang w:val="es-ES"/>
        </w:rPr>
      </w:pPr>
      <w:r w:rsidRPr="002F4D5D">
        <w:rPr>
          <w:rStyle w:val="Refdenotaalpie"/>
          <w:rFonts w:ascii="Verdana" w:hAnsi="Verdana"/>
          <w:sz w:val="16"/>
          <w:szCs w:val="16"/>
        </w:rPr>
        <w:footnoteRef/>
      </w:r>
      <w:r w:rsidRPr="002F4D5D">
        <w:rPr>
          <w:rFonts w:ascii="Verdana" w:hAnsi="Verdana"/>
          <w:sz w:val="16"/>
          <w:szCs w:val="16"/>
        </w:rPr>
        <w:t xml:space="preserve"> Código de Comercio, artículo 1081, sobre la prescripción ordinaria (dos años desde el conocimiento del hecho) y extraordinaria (cinco años) de las acciones derivadas del contrato de seguro, término que no se confunde ni se suma con la caducidad del medio de control de controversias contractuales.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FFFFFF89"/>
    <w:multiLevelType w:val="singleLevel"/>
    <w:tmpl w:val="DABC0D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292499">
    <w:abstractNumId w:val="6"/>
  </w:num>
  <w:num w:numId="2" w16cid:durableId="1380470487">
    <w:abstractNumId w:val="2"/>
  </w:num>
  <w:num w:numId="3" w16cid:durableId="1162701033">
    <w:abstractNumId w:val="4"/>
  </w:num>
  <w:num w:numId="4" w16cid:durableId="14984239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9988048">
    <w:abstractNumId w:val="2"/>
  </w:num>
  <w:num w:numId="6" w16cid:durableId="1396931408">
    <w:abstractNumId w:val="14"/>
  </w:num>
  <w:num w:numId="7" w16cid:durableId="1507818711">
    <w:abstractNumId w:val="5"/>
  </w:num>
  <w:num w:numId="8" w16cid:durableId="2080057693">
    <w:abstractNumId w:val="13"/>
  </w:num>
  <w:num w:numId="9" w16cid:durableId="33191394">
    <w:abstractNumId w:val="7"/>
  </w:num>
  <w:num w:numId="10" w16cid:durableId="949823119">
    <w:abstractNumId w:val="12"/>
  </w:num>
  <w:num w:numId="11" w16cid:durableId="1789011875">
    <w:abstractNumId w:val="8"/>
  </w:num>
  <w:num w:numId="12" w16cid:durableId="1857887867">
    <w:abstractNumId w:val="1"/>
  </w:num>
  <w:num w:numId="13" w16cid:durableId="280645872">
    <w:abstractNumId w:val="3"/>
  </w:num>
  <w:num w:numId="14" w16cid:durableId="1452742093">
    <w:abstractNumId w:val="15"/>
  </w:num>
  <w:num w:numId="15" w16cid:durableId="2032758172">
    <w:abstractNumId w:val="11"/>
  </w:num>
  <w:num w:numId="16" w16cid:durableId="1737581985">
    <w:abstractNumId w:val="10"/>
  </w:num>
  <w:num w:numId="17" w16cid:durableId="1152872655">
    <w:abstractNumId w:val="9"/>
  </w:num>
  <w:num w:numId="18" w16cid:durableId="144580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B3C5D"/>
    <w:rsid w:val="001E0D95"/>
    <w:rsid w:val="001E4177"/>
    <w:rsid w:val="001F0B24"/>
    <w:rsid w:val="001F7DC6"/>
    <w:rsid w:val="00205875"/>
    <w:rsid w:val="0022400B"/>
    <w:rsid w:val="002421BB"/>
    <w:rsid w:val="0025796E"/>
    <w:rsid w:val="002707A2"/>
    <w:rsid w:val="002951A0"/>
    <w:rsid w:val="002962BC"/>
    <w:rsid w:val="002A093D"/>
    <w:rsid w:val="002A0DD0"/>
    <w:rsid w:val="002A49AC"/>
    <w:rsid w:val="002A64FD"/>
    <w:rsid w:val="002C7A84"/>
    <w:rsid w:val="002E2BF8"/>
    <w:rsid w:val="002E4FD9"/>
    <w:rsid w:val="002F4D5D"/>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0972"/>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2996"/>
    <w:rsid w:val="00867F95"/>
    <w:rsid w:val="008843B6"/>
    <w:rsid w:val="00891928"/>
    <w:rsid w:val="008A446D"/>
    <w:rsid w:val="008B25F1"/>
    <w:rsid w:val="008D180B"/>
    <w:rsid w:val="008E2044"/>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35F0"/>
    <w:rsid w:val="00AB0784"/>
    <w:rsid w:val="00AB0ADB"/>
    <w:rsid w:val="00B00C0E"/>
    <w:rsid w:val="00B01B1A"/>
    <w:rsid w:val="00B0381D"/>
    <w:rsid w:val="00B44A47"/>
    <w:rsid w:val="00B72CD3"/>
    <w:rsid w:val="00B72FFF"/>
    <w:rsid w:val="00B94337"/>
    <w:rsid w:val="00BC3D36"/>
    <w:rsid w:val="00BD54A6"/>
    <w:rsid w:val="00BD7F72"/>
    <w:rsid w:val="00BF7425"/>
    <w:rsid w:val="00C04FB3"/>
    <w:rsid w:val="00C11D8B"/>
    <w:rsid w:val="00C15139"/>
    <w:rsid w:val="00C330EB"/>
    <w:rsid w:val="00C33621"/>
    <w:rsid w:val="00C50D69"/>
    <w:rsid w:val="00C5365C"/>
    <w:rsid w:val="00C754BE"/>
    <w:rsid w:val="00C76B1C"/>
    <w:rsid w:val="00C925AC"/>
    <w:rsid w:val="00CB6357"/>
    <w:rsid w:val="00CC1B26"/>
    <w:rsid w:val="00CD1C2F"/>
    <w:rsid w:val="00CD4CB6"/>
    <w:rsid w:val="00D361FD"/>
    <w:rsid w:val="00D423A2"/>
    <w:rsid w:val="00D44E26"/>
    <w:rsid w:val="00D520D8"/>
    <w:rsid w:val="00D60003"/>
    <w:rsid w:val="00D63AC2"/>
    <w:rsid w:val="00D7383B"/>
    <w:rsid w:val="00D7788A"/>
    <w:rsid w:val="00DA231B"/>
    <w:rsid w:val="00DC39FC"/>
    <w:rsid w:val="00DD3CA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9433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4337"/>
    <w:rPr>
      <w:rFonts w:ascii="Geomanist Light" w:hAnsi="Geomanist Light"/>
      <w:lang w:val="es-ES"/>
    </w:rPr>
  </w:style>
  <w:style w:type="paragraph" w:styleId="Listaconvietas">
    <w:name w:val="List Bullet"/>
    <w:basedOn w:val="Normal"/>
    <w:uiPriority w:val="99"/>
    <w:unhideWhenUsed/>
    <w:rsid w:val="00B94337"/>
    <w:pPr>
      <w:numPr>
        <w:numId w:val="18"/>
      </w:numPr>
      <w:tabs>
        <w:tab w:val="clear" w:pos="360"/>
      </w:tabs>
      <w:spacing w:after="200" w:line="276" w:lineRule="auto"/>
      <w:ind w:left="0" w:firstLine="0"/>
      <w:contextualSpacing/>
    </w:pPr>
    <w:rPr>
      <w:rFonts w:ascii="Arial" w:eastAsiaTheme="minorEastAsia" w:hAnsi="Arial"/>
      <w:sz w:val="21"/>
      <w:lang w:val="en-US"/>
    </w:rPr>
  </w:style>
  <w:style w:type="paragraph" w:styleId="Textodeglobo">
    <w:name w:val="Balloon Text"/>
    <w:basedOn w:val="Normal"/>
    <w:link w:val="TextodegloboCar"/>
    <w:uiPriority w:val="99"/>
    <w:semiHidden/>
    <w:unhideWhenUsed/>
    <w:rsid w:val="001E0D95"/>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1E0D9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liquidacion_procesos.pdf"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lsa.misas@gmail.com"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ceficiente.sharepoint.com/sites/SGDEA/TRD_254/EXPEDIENTE_1668/DOCUMENTO_407171/DOCUMENTO_407171.docx" TargetMode="External"/><Relationship Id="rId2" Type="http://schemas.openxmlformats.org/officeDocument/2006/relationships/hyperlink" Target="https://www.colombiacompra.gov.co/sites/cce_public/files/cce_documents%20/cce_guia_liquidacion_proceso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73421-527A-E942-AE2E-90A46794E5D7}">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5486D4-C687-4B32-A364-DD1D0FE06EDD}"/>
</file>

<file path=docProps/app.xml><?xml version="1.0" encoding="utf-8"?>
<Properties xmlns="http://schemas.openxmlformats.org/officeDocument/2006/extended-properties" xmlns:vt="http://schemas.openxmlformats.org/officeDocument/2006/docPropsVTypes">
  <Template>Normal</Template>
  <TotalTime>6</TotalTime>
  <Pages>23</Pages>
  <Words>7785</Words>
  <Characters>42820</Characters>
  <Application>Microsoft Office Word</Application>
  <DocSecurity>0</DocSecurity>
  <Lines>356</Lines>
  <Paragraphs>101</Paragraphs>
  <ScaleCrop>false</ScaleCrop>
  <Company/>
  <LinksUpToDate>false</LinksUpToDate>
  <CharactersWithSpaces>50504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2026-10-16T11:38:00Z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