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25E106" w14:textId="77777777" w:rsidR="00AF18E7" w:rsidRPr="00FF3532" w:rsidRDefault="00AF18E7" w:rsidP="00AF18E7">
      <w:pPr>
        <w:shd w:val="clear" w:color="auto" w:fill="FFFFFF"/>
        <w:spacing w:after="120" w:line="240" w:lineRule="auto"/>
        <w:contextualSpacing/>
        <w:jc w:val="both"/>
        <w:rPr>
          <w:rFonts w:ascii="Verdana" w:eastAsia="Calibri" w:hAnsi="Verdana" w:cs="Arial"/>
          <w:b/>
          <w:lang w:val="es-MX" w:eastAsia="es-ES_tradnl"/>
        </w:rPr>
      </w:pPr>
      <w:bookmarkStart w:id="0" w:name="_Hlk143780582"/>
      <w:r w:rsidRPr="00FF3532">
        <w:rPr>
          <w:rFonts w:ascii="Verdana" w:eastAsia="Calibri" w:hAnsi="Verdana" w:cs="Arial"/>
          <w:b/>
          <w:lang w:val="es-MX" w:eastAsia="es-ES_tradnl"/>
        </w:rPr>
        <w:t xml:space="preserve">LEY 136 DE 1994 – Convenios Solidarios – Definición </w:t>
      </w:r>
    </w:p>
    <w:p w14:paraId="0A367D06"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p>
    <w:p w14:paraId="6766FA7C"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r w:rsidRPr="00FF3532">
        <w:rPr>
          <w:rFonts w:ascii="Verdana" w:eastAsia="Aptos" w:hAnsi="Verdana" w:cs="Times New Roman"/>
          <w:sz w:val="20"/>
          <w:szCs w:val="20"/>
        </w:rPr>
        <w:t>La Ley 136 de 1994 introdujo un tipo especial de contratación cuyo objetivo consiste en la celebración de convenios solidarios, definido en el parágrafo tercero del artículo 3 como “la complementación de esfuerzos institucionales, comunitarios, económicos y sociales para la construcción de obras y la satisfacción de necesidades y aspiraciones de las comunidades”</w:t>
      </w:r>
    </w:p>
    <w:p w14:paraId="74A466CC"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p>
    <w:p w14:paraId="620894B2" w14:textId="77777777" w:rsidR="00AF18E7" w:rsidRPr="00FF3532" w:rsidRDefault="00AF18E7" w:rsidP="00AF18E7">
      <w:pPr>
        <w:shd w:val="clear" w:color="auto" w:fill="FFFFFF"/>
        <w:spacing w:after="120" w:line="240" w:lineRule="auto"/>
        <w:contextualSpacing/>
        <w:jc w:val="both"/>
        <w:rPr>
          <w:rFonts w:ascii="Verdana" w:eastAsia="Calibri" w:hAnsi="Verdana" w:cs="Arial"/>
          <w:b/>
          <w:lang w:val="es-MX" w:eastAsia="es-ES_tradnl"/>
        </w:rPr>
      </w:pPr>
      <w:r w:rsidRPr="00FF3532">
        <w:rPr>
          <w:rFonts w:ascii="Verdana" w:eastAsia="Calibri" w:hAnsi="Verdana" w:cs="Arial"/>
          <w:b/>
          <w:lang w:val="es-MX" w:eastAsia="es-ES_tradnl"/>
        </w:rPr>
        <w:t xml:space="preserve">LEY 136 DE 1994 - Ámbito de aplicación – Organismos de Acción Comunal – Régimen jurídico </w:t>
      </w:r>
    </w:p>
    <w:p w14:paraId="7E3D62C7"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p>
    <w:p w14:paraId="14035EA3"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r w:rsidRPr="00FF3532">
        <w:rPr>
          <w:rFonts w:ascii="Verdana" w:eastAsia="Aptos" w:hAnsi="Verdana" w:cs="Times New Roman"/>
          <w:sz w:val="20"/>
          <w:szCs w:val="20"/>
        </w:rPr>
        <w:t xml:space="preserve">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 i) En primer lugar, las entidades territoriales del orden municipal o distrital pueden celebrar convenios solidarios con Juntas de Acción Comunal “[…] para el desarrollo conjunto de programas y actividades establecidas por la Ley a los municipios y distritos, acorde con sus planes y desarrollos” 2 . 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iii) En tercer lugar, la Ley 1955 de 2019 introdujo un quinto parágrafo al artículo tercero, mediante el cual se permite la celebración de convenios solidarios en aras de ejecutar proyectos previstos en el Plan Nacional de Desarrollo. </w:t>
      </w:r>
    </w:p>
    <w:p w14:paraId="60524DE2"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p>
    <w:p w14:paraId="5082B98F"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r w:rsidRPr="00FF3532">
        <w:rPr>
          <w:rFonts w:ascii="Verdana" w:eastAsia="Aptos" w:hAnsi="Verdana" w:cs="Times New Roman"/>
          <w:sz w:val="20"/>
          <w:szCs w:val="20"/>
        </w:rPr>
        <w:t>Existen características generales aplicables a la celebración de cualquier convenio solidario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convenios solidarios celebrados deben, en primer lugar, satisfacer las necesidades y aspiraciones de las comunidades, en segundo lugar, deben estar encaminados a la satisfacción del interés público, y finalmente, ser concordantes con el Plan Nacional o los planes seccionales de desarrollo, según el caso.</w:t>
      </w:r>
    </w:p>
    <w:p w14:paraId="4215705A"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p>
    <w:p w14:paraId="4B83F886" w14:textId="77777777" w:rsidR="00AF18E7" w:rsidRPr="00FF3532" w:rsidRDefault="00AF18E7" w:rsidP="00AF18E7">
      <w:pPr>
        <w:shd w:val="clear" w:color="auto" w:fill="FFFFFF"/>
        <w:spacing w:after="120" w:line="240" w:lineRule="auto"/>
        <w:contextualSpacing/>
        <w:jc w:val="both"/>
        <w:rPr>
          <w:rFonts w:ascii="Verdana" w:eastAsia="Calibri" w:hAnsi="Verdana" w:cs="Arial"/>
          <w:b/>
          <w:lang w:val="es-MX" w:eastAsia="es-ES_tradnl"/>
        </w:rPr>
      </w:pPr>
      <w:r w:rsidRPr="00FF3532">
        <w:rPr>
          <w:rFonts w:ascii="Verdana" w:eastAsia="Calibri" w:hAnsi="Verdana" w:cs="Arial"/>
          <w:b/>
          <w:lang w:val="es-MX" w:eastAsia="es-ES_tradnl"/>
        </w:rPr>
        <w:t>LEY 2166 DE 2021 – Organismos de Acción Comunal - Régimen jurídico</w:t>
      </w:r>
    </w:p>
    <w:p w14:paraId="20E1FFA1" w14:textId="77777777" w:rsidR="00AF18E7" w:rsidRPr="00FF3532" w:rsidRDefault="00AF18E7" w:rsidP="00AF18E7">
      <w:pPr>
        <w:shd w:val="clear" w:color="auto" w:fill="FFFFFF"/>
        <w:spacing w:after="120" w:line="240" w:lineRule="auto"/>
        <w:contextualSpacing/>
        <w:jc w:val="both"/>
        <w:rPr>
          <w:rFonts w:ascii="Verdana" w:eastAsia="Calibri" w:hAnsi="Verdana" w:cs="Arial"/>
          <w:b/>
          <w:sz w:val="20"/>
          <w:szCs w:val="20"/>
          <w:lang w:val="es-MX" w:eastAsia="es-ES_tradnl"/>
        </w:rPr>
      </w:pPr>
    </w:p>
    <w:p w14:paraId="191879E4"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r w:rsidRPr="00FF3532">
        <w:rPr>
          <w:rFonts w:ascii="Verdana" w:eastAsia="Aptos" w:hAnsi="Verdana" w:cs="Times New Roman"/>
          <w:sz w:val="20"/>
          <w:szCs w:val="20"/>
        </w:rPr>
        <w:t xml:space="preserve">Posteriormente, con la expedición de la Ley 2166 de 2021, se presenta en las siguientes modificaciones para la celebración de convenios solidarios con Organismos de Acción Comunal (…) el artículo 95 de la Ley 2166 de 2021 determinó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“entes territoriales del orden Nacional, Departamental, Distrital </w:t>
      </w:r>
      <w:r w:rsidRPr="00FF3532">
        <w:rPr>
          <w:rFonts w:ascii="Verdana" w:eastAsia="Aptos" w:hAnsi="Verdana" w:cs="Times New Roman"/>
          <w:sz w:val="20"/>
          <w:szCs w:val="20"/>
        </w:rPr>
        <w:lastRenderedPageBreak/>
        <w:t>y municipal” y a los “Organismos de Acción Comunal”. Es decir, 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los convenios permitiendo que se contraten hasta por la menor cuantía y no solo por la mínima cuantía. En cuanto al objeto, las normas son claras en señalar que se trata de la ejecución de obras.</w:t>
      </w:r>
    </w:p>
    <w:p w14:paraId="5B08CE5B"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p>
    <w:p w14:paraId="7BE1718A" w14:textId="77777777" w:rsidR="00AF18E7" w:rsidRPr="00FF3532" w:rsidRDefault="00AF18E7" w:rsidP="00AF18E7">
      <w:pPr>
        <w:shd w:val="clear" w:color="auto" w:fill="FFFFFF"/>
        <w:spacing w:after="120" w:line="240" w:lineRule="auto"/>
        <w:contextualSpacing/>
        <w:jc w:val="both"/>
        <w:rPr>
          <w:rFonts w:ascii="Verdana" w:eastAsia="Aptos" w:hAnsi="Verdana" w:cs="Times New Roman"/>
          <w:sz w:val="20"/>
          <w:szCs w:val="20"/>
        </w:rPr>
      </w:pPr>
      <w:r w:rsidRPr="00FF3532">
        <w:rPr>
          <w:rFonts w:ascii="Verdana" w:eastAsia="Aptos" w:hAnsi="Verdana" w:cs="Times New Roman"/>
          <w:sz w:val="20"/>
          <w:szCs w:val="20"/>
        </w:rPr>
        <w:t>(…)</w:t>
      </w:r>
    </w:p>
    <w:p w14:paraId="12CDBE56" w14:textId="77777777" w:rsidR="00AF18E7" w:rsidRPr="00FF3532" w:rsidRDefault="00AF18E7" w:rsidP="00AF18E7">
      <w:pPr>
        <w:shd w:val="clear" w:color="auto" w:fill="FFFFFF"/>
        <w:spacing w:after="0" w:line="240" w:lineRule="auto"/>
        <w:jc w:val="both"/>
        <w:rPr>
          <w:rFonts w:ascii="Verdana" w:eastAsia="Aptos" w:hAnsi="Verdana" w:cs="Times New Roman"/>
          <w:sz w:val="20"/>
          <w:szCs w:val="20"/>
        </w:rPr>
      </w:pPr>
      <w:r w:rsidRPr="00FF3532">
        <w:rPr>
          <w:rFonts w:ascii="Verdana" w:eastAsia="Aptos" w:hAnsi="Verdana" w:cs="Times New Roman"/>
          <w:sz w:val="20"/>
          <w:szCs w:val="20"/>
        </w:rPr>
        <w:t xml:space="preserve">En segundo lugar, el artículo 63 de la Ley 2166 de 2021, contempló otra modificación importante sobre la celebración de convenios solidarios, pues en virtud de este artículo, las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 </w:t>
      </w:r>
    </w:p>
    <w:p w14:paraId="7A0B9ED0" w14:textId="77777777" w:rsidR="00AF18E7" w:rsidRPr="00FF3532" w:rsidRDefault="00AF18E7" w:rsidP="00AF18E7">
      <w:pPr>
        <w:shd w:val="clear" w:color="auto" w:fill="FFFFFF"/>
        <w:spacing w:after="0" w:line="240" w:lineRule="auto"/>
        <w:jc w:val="both"/>
        <w:rPr>
          <w:rFonts w:ascii="Verdana" w:eastAsia="Calibri" w:hAnsi="Verdana" w:cs="Arial"/>
          <w:b/>
          <w:sz w:val="20"/>
          <w:szCs w:val="20"/>
          <w:lang w:val="es-MX" w:eastAsia="es-ES_tradnl"/>
        </w:rPr>
      </w:pPr>
    </w:p>
    <w:p w14:paraId="2AD88CE5" w14:textId="77777777" w:rsidR="00AF18E7" w:rsidRPr="00FF3532" w:rsidRDefault="00AF18E7" w:rsidP="00AF18E7">
      <w:pPr>
        <w:shd w:val="clear" w:color="auto" w:fill="FFFFFF"/>
        <w:spacing w:after="0" w:line="240" w:lineRule="auto"/>
        <w:jc w:val="both"/>
        <w:rPr>
          <w:rFonts w:ascii="Verdana" w:eastAsia="Calibri" w:hAnsi="Verdana" w:cs="Arial"/>
          <w:b/>
          <w:lang w:val="es-MX" w:eastAsia="es-ES_tradnl"/>
        </w:rPr>
      </w:pPr>
      <w:r w:rsidRPr="00FF3532">
        <w:rPr>
          <w:rFonts w:ascii="Verdana" w:eastAsia="Calibri" w:hAnsi="Verdana" w:cs="Arial"/>
          <w:b/>
          <w:lang w:val="es-MX" w:eastAsia="es-ES_tradnl"/>
        </w:rPr>
        <w:t>LEY 2166 DE 2021 - Capacidad jurídica - territorialidad</w:t>
      </w:r>
    </w:p>
    <w:p w14:paraId="50A2066E" w14:textId="77777777" w:rsidR="00AF18E7" w:rsidRPr="00FF3532" w:rsidRDefault="00AF18E7" w:rsidP="00AF18E7">
      <w:pPr>
        <w:spacing w:after="0" w:line="240" w:lineRule="auto"/>
        <w:jc w:val="both"/>
        <w:rPr>
          <w:rFonts w:ascii="Verdana" w:eastAsia="Aptos" w:hAnsi="Verdana" w:cs="Times New Roman"/>
          <w:sz w:val="20"/>
          <w:szCs w:val="20"/>
        </w:rPr>
      </w:pPr>
    </w:p>
    <w:p w14:paraId="72DD909C" w14:textId="77777777" w:rsidR="00AF18E7" w:rsidRPr="00FF3532" w:rsidRDefault="00AF18E7" w:rsidP="00AF18E7">
      <w:pPr>
        <w:spacing w:after="0" w:line="240" w:lineRule="auto"/>
        <w:jc w:val="both"/>
        <w:rPr>
          <w:rFonts w:ascii="Verdana" w:eastAsia="Aptos" w:hAnsi="Verdana" w:cs="Times New Roman"/>
          <w:sz w:val="20"/>
          <w:szCs w:val="20"/>
        </w:rPr>
      </w:pPr>
      <w:r w:rsidRPr="00FF3532">
        <w:rPr>
          <w:rFonts w:ascii="Verdana" w:eastAsia="Aptos" w:hAnsi="Verdana" w:cs="Times New Roman"/>
          <w:sz w:val="20"/>
          <w:szCs w:val="20"/>
        </w:rPr>
        <w:t xml:space="preserve">Ahora bien, para la celebración de convenios solidarios con entidades estatales, cada Organismo de Acción Comunal debe acreditar su existencia y representación legal en los términos del artículo 78 de la Ley 2166 de 202110 , lo que implica observar su capacidad jurídica, la cual se verá condicionada por la territorialidad a la cual pertenecen los Juntas de Acción Comunal o las Juntas de Vivienda Comunal, y en el caso de los Organismos de Acción Comunal de segundo grado y siguientes, está verá condicionado su alcance conforme a la territorialidad a la cual pertenecen sus fundadores. </w:t>
      </w:r>
    </w:p>
    <w:p w14:paraId="3901AB08" w14:textId="77777777" w:rsidR="00AF18E7" w:rsidRPr="00FF3532" w:rsidRDefault="00AF18E7" w:rsidP="00AF18E7">
      <w:pPr>
        <w:spacing w:after="0" w:line="240" w:lineRule="auto"/>
        <w:jc w:val="both"/>
        <w:rPr>
          <w:rFonts w:ascii="Verdana" w:eastAsia="Aptos" w:hAnsi="Verdana" w:cs="Times New Roman"/>
          <w:sz w:val="20"/>
          <w:szCs w:val="20"/>
        </w:rPr>
      </w:pPr>
    </w:p>
    <w:p w14:paraId="100B1D36" w14:textId="77777777" w:rsidR="00AF18E7" w:rsidRPr="00FF3532" w:rsidRDefault="00AF18E7" w:rsidP="00AF18E7">
      <w:pPr>
        <w:spacing w:line="240" w:lineRule="auto"/>
        <w:jc w:val="both"/>
        <w:rPr>
          <w:rFonts w:ascii="Verdana" w:eastAsia="Aptos" w:hAnsi="Verdana" w:cs="Times New Roman"/>
          <w:sz w:val="20"/>
          <w:szCs w:val="20"/>
          <w:lang w:val="es-MX"/>
        </w:rPr>
      </w:pPr>
      <w:r w:rsidRPr="00FF3532">
        <w:rPr>
          <w:rFonts w:ascii="Verdana" w:eastAsia="Aptos" w:hAnsi="Verdana" w:cs="Times New Roman"/>
          <w:sz w:val="20"/>
          <w:szCs w:val="20"/>
        </w:rPr>
        <w:t>En ese sentido, por 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9 que “cada organismo de acción comunal desarrollará sus actividades dentro de un territorio delimitado”.</w:t>
      </w:r>
    </w:p>
    <w:p w14:paraId="40C8FAD0" w14:textId="77777777" w:rsidR="00AF18E7" w:rsidRPr="00FF3532" w:rsidRDefault="00AF18E7" w:rsidP="30821638">
      <w:pPr>
        <w:spacing w:after="0"/>
        <w:rPr>
          <w:rFonts w:ascii="Verdana" w:eastAsia="Verdana" w:hAnsi="Verdana" w:cs="Verdana"/>
          <w:lang w:val="es-MX"/>
        </w:rPr>
      </w:pPr>
    </w:p>
    <w:p w14:paraId="571E35D7" w14:textId="77777777" w:rsidR="007D2C95" w:rsidRPr="00FF3532" w:rsidRDefault="007D2C95" w:rsidP="30821638">
      <w:pPr>
        <w:spacing w:after="0"/>
        <w:rPr>
          <w:rFonts w:ascii="Verdana" w:eastAsia="Verdana" w:hAnsi="Verdana" w:cs="Verdana"/>
          <w:lang w:val="es-MX"/>
        </w:rPr>
      </w:pPr>
    </w:p>
    <w:p w14:paraId="3DC0DB4F" w14:textId="77777777" w:rsidR="00D84C27" w:rsidRPr="00FF3532" w:rsidRDefault="00D84C27" w:rsidP="30821638">
      <w:pPr>
        <w:spacing w:after="0"/>
        <w:rPr>
          <w:rFonts w:ascii="Verdana" w:eastAsia="Verdana" w:hAnsi="Verdana" w:cs="Verdana"/>
        </w:rPr>
      </w:pPr>
    </w:p>
    <w:p w14:paraId="1468C46D" w14:textId="64F8A4CC" w:rsidR="00C15139" w:rsidRDefault="00C15139" w:rsidP="30821638">
      <w:pPr>
        <w:spacing w:after="0"/>
        <w:rPr>
          <w:rFonts w:ascii="Verdana" w:hAnsi="Verdana"/>
        </w:rPr>
      </w:pPr>
      <w:r w:rsidRPr="00FF3532">
        <w:rPr>
          <w:rFonts w:ascii="Verdana" w:eastAsia="Verdana" w:hAnsi="Verdana" w:cs="Verdana"/>
        </w:rPr>
        <w:lastRenderedPageBreak/>
        <w:t xml:space="preserve">Bogotá D.C., </w:t>
      </w:r>
      <w:r w:rsidR="00E81819">
        <w:rPr>
          <w:rFonts w:ascii="Verdana" w:eastAsia="Verdana" w:hAnsi="Verdana" w:cs="Verdana"/>
        </w:rPr>
        <w:t>13 de octubre del 2026</w:t>
      </w:r>
      <w:r w:rsidRPr="00FF3532">
        <w:rPr>
          <w:rFonts w:ascii="Verdana" w:hAnsi="Verdana"/>
        </w:rPr>
        <w:tab/>
      </w:r>
      <w:r w:rsidRPr="00FF3532">
        <w:rPr>
          <w:rFonts w:ascii="Verdana" w:hAnsi="Verdana"/>
        </w:rPr>
        <w:br/>
      </w:r>
    </w:p>
    <w:p w14:paraId="24367023" w14:textId="195FD585" w:rsidR="00341492" w:rsidRPr="00FF3532" w:rsidRDefault="006E62C1" w:rsidP="006E62C1">
      <w:pPr>
        <w:spacing w:after="0"/>
        <w:jc w:val="right"/>
        <w:rPr>
          <w:rFonts w:ascii="Verdana" w:eastAsia="Verdana" w:hAnsi="Verdana" w:cs="Verdana"/>
        </w:rPr>
      </w:pPr>
      <w:r>
        <w:rPr>
          <w:rFonts w:ascii="Verdana" w:eastAsia="Verdana" w:hAnsi="Verdana" w:cs="Verdana"/>
          <w:noProof/>
        </w:rPr>
        <w:drawing>
          <wp:inline distT="0" distB="0" distL="0" distR="0" wp14:anchorId="45011AB2" wp14:editId="00E87F18">
            <wp:extent cx="3019425" cy="781050"/>
            <wp:effectExtent l="0" t="0" r="9525" b="0"/>
            <wp:docPr id="11821429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19425" cy="781050"/>
                    </a:xfrm>
                    <a:prstGeom prst="rect">
                      <a:avLst/>
                    </a:prstGeom>
                    <a:noFill/>
                  </pic:spPr>
                </pic:pic>
              </a:graphicData>
            </a:graphic>
          </wp:inline>
        </w:drawing>
      </w:r>
    </w:p>
    <w:p w14:paraId="093366A8" w14:textId="02D7A39A" w:rsidR="00D25A1D" w:rsidRPr="00FF3532" w:rsidRDefault="00D25A1D" w:rsidP="00D25A1D">
      <w:pPr>
        <w:spacing w:after="0"/>
        <w:rPr>
          <w:rFonts w:ascii="Verdana" w:eastAsia="Verdana" w:hAnsi="Verdana" w:cs="Verdana"/>
        </w:rPr>
      </w:pPr>
      <w:r w:rsidRPr="00FF3532">
        <w:rPr>
          <w:rFonts w:ascii="Verdana" w:eastAsia="Calibri" w:hAnsi="Verdana" w:cs="Arial"/>
          <w:lang w:val="es-ES" w:eastAsia="es-ES"/>
        </w:rPr>
        <w:t>Señor</w:t>
      </w:r>
      <w:r w:rsidR="003E2588" w:rsidRPr="00FF3532">
        <w:rPr>
          <w:rFonts w:ascii="Verdana" w:eastAsia="Calibri" w:hAnsi="Verdana" w:cs="Arial"/>
          <w:lang w:val="es-ES" w:eastAsia="es-ES"/>
        </w:rPr>
        <w:t>a</w:t>
      </w:r>
      <w:r w:rsidRPr="00FF3532">
        <w:rPr>
          <w:rFonts w:ascii="Verdana" w:eastAsia="Calibri" w:hAnsi="Verdana" w:cs="Arial"/>
          <w:lang w:val="es-ES" w:eastAsia="es-ES"/>
        </w:rPr>
        <w:t>:</w:t>
      </w:r>
    </w:p>
    <w:p w14:paraId="13F5F242" w14:textId="67F245D5" w:rsidR="00D25A1D" w:rsidRPr="00FF3532" w:rsidRDefault="003E2588" w:rsidP="00D25A1D">
      <w:pPr>
        <w:spacing w:after="0" w:line="240" w:lineRule="auto"/>
        <w:rPr>
          <w:rFonts w:ascii="Verdana" w:eastAsia="Calibri" w:hAnsi="Verdana" w:cs="Arial"/>
          <w:b/>
          <w:bCs/>
          <w:lang w:eastAsia="es-ES"/>
        </w:rPr>
      </w:pPr>
      <w:r w:rsidRPr="00FF3532">
        <w:rPr>
          <w:rFonts w:ascii="Verdana" w:eastAsia="Calibri" w:hAnsi="Verdana" w:cs="Arial"/>
          <w:b/>
          <w:bCs/>
          <w:lang w:eastAsia="es-ES"/>
        </w:rPr>
        <w:t xml:space="preserve">Mónica Patrica Torres Ovejero </w:t>
      </w:r>
    </w:p>
    <w:p w14:paraId="1321BE90" w14:textId="03BED65D" w:rsidR="00E15429" w:rsidRPr="00FF3532" w:rsidRDefault="00E15429" w:rsidP="00D25A1D">
      <w:pPr>
        <w:spacing w:after="0" w:line="240" w:lineRule="auto"/>
        <w:rPr>
          <w:rFonts w:ascii="Verdana" w:hAnsi="Verdana"/>
        </w:rPr>
      </w:pPr>
      <w:hyperlink r:id="rId11" w:history="1">
        <w:r w:rsidRPr="00FF3532">
          <w:rPr>
            <w:rStyle w:val="Hipervnculo"/>
            <w:rFonts w:ascii="Verdana" w:hAnsi="Verdana"/>
          </w:rPr>
          <w:t>ovejero1609@gmail.com</w:t>
        </w:r>
      </w:hyperlink>
    </w:p>
    <w:p w14:paraId="19C1797B" w14:textId="20F6E2B5" w:rsidR="00D25A1D" w:rsidRPr="00FF3532" w:rsidRDefault="00A6159E" w:rsidP="00D25A1D">
      <w:pPr>
        <w:spacing w:after="0" w:line="240" w:lineRule="auto"/>
        <w:rPr>
          <w:rFonts w:ascii="Verdana" w:eastAsia="Calibri" w:hAnsi="Verdana" w:cs="Arial"/>
          <w:lang w:val="es-ES_tradnl" w:eastAsia="es-ES"/>
        </w:rPr>
      </w:pPr>
      <w:r w:rsidRPr="00FF3532">
        <w:rPr>
          <w:rFonts w:ascii="Verdana" w:eastAsia="Calibri" w:hAnsi="Verdana" w:cs="Arial"/>
          <w:lang w:val="es-ES_tradnl" w:eastAsia="es-ES"/>
        </w:rPr>
        <w:t xml:space="preserve">Venecia, Cundinamarca </w:t>
      </w:r>
    </w:p>
    <w:p w14:paraId="2E5E1E47" w14:textId="77777777" w:rsidR="00D25A1D" w:rsidRPr="00FF3532" w:rsidRDefault="00D25A1D" w:rsidP="00D25A1D">
      <w:pPr>
        <w:spacing w:after="0" w:line="240" w:lineRule="auto"/>
        <w:rPr>
          <w:rFonts w:ascii="Verdana" w:eastAsia="Calibri" w:hAnsi="Verdana" w:cs="Arial"/>
          <w:b/>
          <w:bCs/>
          <w:highlight w:val="cyan"/>
          <w:lang w:val="es-ES_tradnl" w:eastAsia="es-ES_tradnl"/>
        </w:rPr>
      </w:pPr>
    </w:p>
    <w:p w14:paraId="6BBC6547" w14:textId="6877515C" w:rsidR="00D25A1D" w:rsidRPr="00FF3532" w:rsidRDefault="00D25A1D" w:rsidP="00D25A1D">
      <w:pPr>
        <w:spacing w:after="0" w:line="240" w:lineRule="auto"/>
        <w:rPr>
          <w:rFonts w:ascii="Verdana" w:eastAsia="Calibri" w:hAnsi="Verdana" w:cs="Arial"/>
          <w:b/>
          <w:bCs/>
          <w:lang w:val="es-ES_tradnl" w:eastAsia="es-ES_tradnl"/>
        </w:rPr>
      </w:pPr>
      <w:r w:rsidRPr="00FF3532">
        <w:rPr>
          <w:rFonts w:ascii="Verdana" w:eastAsia="Calibri" w:hAnsi="Verdana" w:cs="Arial"/>
          <w:b/>
          <w:bCs/>
          <w:lang w:val="es-ES_tradnl" w:eastAsia="es-ES_tradnl"/>
        </w:rPr>
        <w:t xml:space="preserve">                                   Concepto </w:t>
      </w:r>
      <w:r w:rsidR="006255BE" w:rsidRPr="00FF3532">
        <w:rPr>
          <w:rFonts w:ascii="Verdana" w:eastAsia="Calibri" w:hAnsi="Verdana" w:cs="Arial"/>
          <w:b/>
          <w:bCs/>
          <w:lang w:val="es-ES_tradnl" w:eastAsia="es-ES_tradnl"/>
        </w:rPr>
        <w:t>C-1384</w:t>
      </w:r>
      <w:r w:rsidRPr="00FF3532">
        <w:rPr>
          <w:rFonts w:ascii="Verdana" w:eastAsia="Calibri" w:hAnsi="Verdana" w:cs="Arial"/>
          <w:b/>
          <w:bCs/>
          <w:lang w:val="es-ES_tradnl" w:eastAsia="es-ES_tradnl"/>
        </w:rPr>
        <w:t xml:space="preserve"> del 2026</w:t>
      </w:r>
    </w:p>
    <w:p w14:paraId="35864CAE" w14:textId="77777777" w:rsidR="00D25A1D" w:rsidRPr="00FF3532" w:rsidRDefault="00D25A1D" w:rsidP="00D25A1D">
      <w:pPr>
        <w:spacing w:after="0" w:line="240" w:lineRule="auto"/>
        <w:rPr>
          <w:rFonts w:ascii="Verdana" w:eastAsia="Calibri" w:hAnsi="Verdana" w:cs="Arial"/>
          <w:b/>
          <w:bCs/>
          <w:highlight w:val="cyan"/>
          <w:lang w:val="es-ES_tradnl" w:eastAsia="es-ES_tradnl"/>
        </w:rPr>
      </w:pP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D25A1D" w:rsidRPr="00FF3532" w14:paraId="06DAA9AB" w14:textId="77777777" w:rsidTr="003830A5">
        <w:trPr>
          <w:trHeight w:val="884"/>
        </w:trPr>
        <w:tc>
          <w:tcPr>
            <w:tcW w:w="2689" w:type="dxa"/>
          </w:tcPr>
          <w:p w14:paraId="7C387AA9" w14:textId="77777777" w:rsidR="00D25A1D" w:rsidRPr="00FF3532" w:rsidRDefault="00D25A1D" w:rsidP="003830A5">
            <w:pPr>
              <w:jc w:val="both"/>
              <w:rPr>
                <w:rFonts w:ascii="Verdana" w:eastAsia="Calibri" w:hAnsi="Verdana" w:cs="Arial"/>
                <w:highlight w:val="cyan"/>
                <w:lang w:val="es-ES_tradnl" w:eastAsia="es-ES_tradnl"/>
              </w:rPr>
            </w:pPr>
            <w:r w:rsidRPr="00FF3532">
              <w:rPr>
                <w:rFonts w:ascii="Verdana" w:eastAsia="Calibri" w:hAnsi="Verdana" w:cs="Arial"/>
                <w:b/>
                <w:lang w:val="es-ES_tradnl" w:eastAsia="es-ES_tradnl"/>
              </w:rPr>
              <w:t>Temas:</w:t>
            </w:r>
            <w:r w:rsidRPr="00FF3532">
              <w:rPr>
                <w:rFonts w:ascii="Verdana" w:eastAsia="Calibri" w:hAnsi="Verdana" w:cs="Arial"/>
                <w:lang w:val="es-ES_tradnl" w:eastAsia="es-ES_tradnl"/>
              </w:rPr>
              <w:t xml:space="preserve">                   </w:t>
            </w:r>
          </w:p>
        </w:tc>
        <w:tc>
          <w:tcPr>
            <w:tcW w:w="6100" w:type="dxa"/>
          </w:tcPr>
          <w:p w14:paraId="3037F94E" w14:textId="77777777" w:rsidR="00B52157" w:rsidRPr="00FF3532" w:rsidRDefault="00B52157" w:rsidP="00B52157">
            <w:pPr>
              <w:spacing w:line="276" w:lineRule="auto"/>
              <w:jc w:val="both"/>
              <w:rPr>
                <w:rFonts w:ascii="Verdana" w:eastAsia="Calibri" w:hAnsi="Verdana" w:cs="Arial"/>
                <w:bCs/>
                <w:lang w:val="es-ES_tradnl"/>
              </w:rPr>
            </w:pPr>
            <w:r w:rsidRPr="00FF3532">
              <w:rPr>
                <w:rFonts w:ascii="Verdana" w:eastAsia="Calibri" w:hAnsi="Verdana" w:cs="Arial"/>
                <w:bCs/>
                <w:lang w:val="es-ES_tradnl"/>
              </w:rPr>
              <w:t>LEY 136 DE 1994 – Convenios Solidarios – Definición / LEY 136 DE 1994 - Ámbito de aplicación – Organismos de Acción Comunal – Régimen jurídico / LEY 2166 DE 2021 – Organismos de Acción Comunal - Régimen jurídico / LEY 2166 DE 2021 - Capacidad jurídica – Territorialidad.</w:t>
            </w:r>
          </w:p>
          <w:p w14:paraId="684A5639" w14:textId="77777777" w:rsidR="00D25A1D" w:rsidRPr="00FF3532" w:rsidRDefault="00D25A1D" w:rsidP="003830A5">
            <w:pPr>
              <w:jc w:val="both"/>
              <w:rPr>
                <w:rFonts w:ascii="Verdana" w:eastAsia="Aptos" w:hAnsi="Verdana" w:cs="Times New Roman"/>
                <w:highlight w:val="cyan"/>
                <w:lang w:val="es-ES_tradnl"/>
              </w:rPr>
            </w:pPr>
          </w:p>
        </w:tc>
      </w:tr>
      <w:tr w:rsidR="00D25A1D" w:rsidRPr="00FF3532" w14:paraId="0A258B9A" w14:textId="77777777" w:rsidTr="003830A5">
        <w:trPr>
          <w:trHeight w:val="342"/>
        </w:trPr>
        <w:tc>
          <w:tcPr>
            <w:tcW w:w="2689" w:type="dxa"/>
          </w:tcPr>
          <w:p w14:paraId="0DABBA40" w14:textId="77777777" w:rsidR="00D25A1D" w:rsidRPr="00FF3532" w:rsidRDefault="00D25A1D" w:rsidP="003830A5">
            <w:pPr>
              <w:jc w:val="both"/>
              <w:rPr>
                <w:rFonts w:ascii="Verdana" w:eastAsia="Calibri" w:hAnsi="Verdana" w:cs="Arial"/>
                <w:b/>
                <w:lang w:val="es-ES_tradnl" w:eastAsia="es-ES_tradnl"/>
              </w:rPr>
            </w:pPr>
            <w:r w:rsidRPr="00FF3532">
              <w:rPr>
                <w:rFonts w:ascii="Verdana" w:eastAsia="Calibri" w:hAnsi="Verdana" w:cs="Arial"/>
                <w:b/>
                <w:lang w:val="es-ES_tradnl" w:eastAsia="es-ES_tradnl"/>
              </w:rPr>
              <w:t>Radicación:</w:t>
            </w:r>
            <w:r w:rsidRPr="00FF3532">
              <w:rPr>
                <w:rFonts w:ascii="Verdana" w:eastAsia="Calibri" w:hAnsi="Verdana" w:cs="Arial"/>
                <w:lang w:val="es-ES_tradnl" w:eastAsia="es-ES_tradnl"/>
              </w:rPr>
              <w:t xml:space="preserve">               </w:t>
            </w:r>
          </w:p>
        </w:tc>
        <w:tc>
          <w:tcPr>
            <w:tcW w:w="6100" w:type="dxa"/>
          </w:tcPr>
          <w:p w14:paraId="1014D469" w14:textId="0E2A5EF5" w:rsidR="00D25A1D" w:rsidRPr="00FF3532" w:rsidRDefault="00D25A1D" w:rsidP="003830A5">
            <w:pPr>
              <w:jc w:val="both"/>
              <w:rPr>
                <w:rFonts w:ascii="Verdana" w:eastAsia="Calibri" w:hAnsi="Verdana" w:cs="Arial"/>
                <w:lang w:eastAsia="es-ES_tradnl"/>
              </w:rPr>
            </w:pPr>
            <w:r w:rsidRPr="00FF3532">
              <w:rPr>
                <w:rFonts w:ascii="Verdana" w:eastAsia="Calibri" w:hAnsi="Verdana" w:cs="Arial"/>
                <w:lang w:val="es-ES_tradnl" w:eastAsia="es-ES_tradnl"/>
              </w:rPr>
              <w:t>Respuesta a la consulta con radicado No.</w:t>
            </w:r>
            <w:r w:rsidRPr="00FF3532">
              <w:rPr>
                <w:rFonts w:ascii="Verdana" w:hAnsi="Verdana"/>
              </w:rPr>
              <w:t xml:space="preserve"> </w:t>
            </w:r>
            <w:r w:rsidR="003711E0" w:rsidRPr="00FF3532">
              <w:rPr>
                <w:rFonts w:ascii="Verdana" w:hAnsi="Verdana"/>
              </w:rPr>
              <w:t>1_2026_09_03_011737</w:t>
            </w:r>
          </w:p>
        </w:tc>
      </w:tr>
    </w:tbl>
    <w:p w14:paraId="5D69430C" w14:textId="77777777" w:rsidR="00D25A1D" w:rsidRPr="00FF3532" w:rsidRDefault="00D25A1D" w:rsidP="00D25A1D">
      <w:pPr>
        <w:spacing w:after="0" w:line="240" w:lineRule="auto"/>
        <w:jc w:val="both"/>
        <w:rPr>
          <w:rFonts w:ascii="Verdana" w:eastAsia="Calibri" w:hAnsi="Verdana" w:cs="Arial"/>
          <w:highlight w:val="cyan"/>
          <w:lang w:val="es-ES" w:eastAsia="es-ES"/>
        </w:rPr>
      </w:pPr>
    </w:p>
    <w:p w14:paraId="2A3E14BA" w14:textId="7C073907" w:rsidR="00D25A1D" w:rsidRPr="00FF3532" w:rsidRDefault="00D25A1D" w:rsidP="00D25A1D">
      <w:pPr>
        <w:spacing w:after="0" w:line="276" w:lineRule="auto"/>
        <w:jc w:val="both"/>
        <w:rPr>
          <w:rFonts w:ascii="Verdana" w:eastAsia="Calibri" w:hAnsi="Verdana" w:cs="Arial"/>
          <w:lang w:val="es-ES" w:eastAsia="es-ES"/>
        </w:rPr>
      </w:pPr>
      <w:r w:rsidRPr="00FF3532">
        <w:rPr>
          <w:rFonts w:ascii="Verdana" w:eastAsia="Calibri" w:hAnsi="Verdana" w:cs="Arial"/>
          <w:lang w:val="es-ES" w:eastAsia="es-ES"/>
        </w:rPr>
        <w:t>Estimad</w:t>
      </w:r>
      <w:r w:rsidR="00C870AA" w:rsidRPr="00FF3532">
        <w:rPr>
          <w:rFonts w:ascii="Verdana" w:eastAsia="Calibri" w:hAnsi="Verdana" w:cs="Arial"/>
          <w:lang w:val="es-ES" w:eastAsia="es-ES"/>
        </w:rPr>
        <w:t>a</w:t>
      </w:r>
      <w:r w:rsidRPr="00FF3532">
        <w:rPr>
          <w:rFonts w:ascii="Verdana" w:eastAsia="Calibri" w:hAnsi="Verdana" w:cs="Arial"/>
          <w:lang w:val="es-ES" w:eastAsia="es-ES"/>
        </w:rPr>
        <w:t xml:space="preserve"> señor</w:t>
      </w:r>
      <w:r w:rsidR="00C870AA" w:rsidRPr="00FF3532">
        <w:rPr>
          <w:rFonts w:ascii="Verdana" w:eastAsia="Calibri" w:hAnsi="Verdana" w:cs="Arial"/>
          <w:lang w:val="es-ES" w:eastAsia="es-ES"/>
        </w:rPr>
        <w:t>a</w:t>
      </w:r>
      <w:r w:rsidRPr="00FF3532">
        <w:rPr>
          <w:rFonts w:ascii="Verdana" w:eastAsia="Calibri" w:hAnsi="Verdana" w:cs="Arial"/>
          <w:lang w:val="es-ES" w:eastAsia="es-ES"/>
        </w:rPr>
        <w:t xml:space="preserve"> </w:t>
      </w:r>
      <w:r w:rsidR="00C870AA" w:rsidRPr="00FF3532">
        <w:rPr>
          <w:rFonts w:ascii="Verdana" w:eastAsia="Calibri" w:hAnsi="Verdana" w:cs="Arial"/>
          <w:lang w:eastAsia="es-ES"/>
        </w:rPr>
        <w:t>Torres Ovejero</w:t>
      </w:r>
      <w:r w:rsidRPr="00FF3532">
        <w:rPr>
          <w:rFonts w:ascii="Verdana" w:eastAsia="Calibri" w:hAnsi="Verdana" w:cs="Arial"/>
          <w:lang w:val="es-ES" w:eastAsia="es-ES"/>
        </w:rPr>
        <w:t xml:space="preserve">: </w:t>
      </w:r>
    </w:p>
    <w:p w14:paraId="2AADF698" w14:textId="77777777" w:rsidR="00D25A1D" w:rsidRPr="00FF3532" w:rsidRDefault="00D25A1D" w:rsidP="00D25A1D">
      <w:pPr>
        <w:spacing w:after="0" w:line="276" w:lineRule="auto"/>
        <w:rPr>
          <w:rFonts w:ascii="Verdana" w:eastAsia="Times New Roman" w:hAnsi="Verdana" w:cs="Segoe UI"/>
          <w:highlight w:val="cyan"/>
          <w:lang w:eastAsia="es-CO"/>
        </w:rPr>
      </w:pPr>
    </w:p>
    <w:p w14:paraId="6ED9E295" w14:textId="1FEEBEB7" w:rsidR="00D25A1D" w:rsidRPr="00FF3532" w:rsidRDefault="00D25A1D" w:rsidP="00D25A1D">
      <w:pPr>
        <w:spacing w:after="0" w:line="276" w:lineRule="auto"/>
        <w:jc w:val="both"/>
        <w:rPr>
          <w:rFonts w:ascii="Verdana" w:eastAsia="Calibri" w:hAnsi="Verdana" w:cs="Arial"/>
          <w:lang w:val="es-ES" w:eastAsia="es-ES"/>
        </w:rPr>
      </w:pPr>
      <w:r w:rsidRPr="00FF3532">
        <w:rPr>
          <w:rFonts w:ascii="Verdana" w:eastAsia="Calibri" w:hAnsi="Verdana" w:cs="Arial"/>
          <w:lang w:val="es-ES" w:eastAsia="es-ES"/>
        </w:rPr>
        <w:t>En ejercicio de la competencia otorgada por los artículos 3, numeral 5º, y 11, numeral 8º, del Decreto Ley 4170 de 2011,</w:t>
      </w:r>
      <w:r w:rsidRPr="00FF3532">
        <w:rPr>
          <w:rFonts w:ascii="Verdana" w:eastAsia="Arial MT" w:hAnsi="Verdana" w:cs="Arial"/>
          <w:lang w:val="es-ES" w:eastAsia="es-ES"/>
        </w:rPr>
        <w:t xml:space="preserve"> </w:t>
      </w:r>
      <w:r w:rsidRPr="00FF3532">
        <w:rPr>
          <w:rFonts w:ascii="Verdana" w:hAnsi="Verdana" w:cs="Arial"/>
        </w:rPr>
        <w:t xml:space="preserve">así como lo establecido en el artículo 4 de la Resolución 1707 de 2018 expedida por esta Entidad, </w:t>
      </w:r>
      <w:r w:rsidRPr="00FF3532">
        <w:rPr>
          <w:rFonts w:ascii="Verdana" w:eastAsia="Calibri" w:hAnsi="Verdana" w:cs="Arial"/>
          <w:lang w:val="es-ES" w:eastAsia="es-ES"/>
        </w:rPr>
        <w:t xml:space="preserve">la Agencia Nacional de Contratación Pública – Colombia Compra Eficiente– responde su solicitud radicada el </w:t>
      </w:r>
      <w:r w:rsidR="0073487F" w:rsidRPr="00FF3532">
        <w:rPr>
          <w:rFonts w:ascii="Verdana" w:eastAsia="Calibri" w:hAnsi="Verdana" w:cs="Arial"/>
          <w:lang w:val="es-ES" w:eastAsia="es-ES"/>
        </w:rPr>
        <w:t>03 de septiembre del 2026</w:t>
      </w:r>
      <w:r w:rsidRPr="00FF3532">
        <w:rPr>
          <w:rFonts w:ascii="Verdana" w:eastAsia="Calibri" w:hAnsi="Verdana" w:cs="Arial"/>
          <w:lang w:val="es-ES" w:eastAsia="es-ES"/>
        </w:rPr>
        <w:t xml:space="preserve">, en la cual manifiesta lo siguiente: </w:t>
      </w:r>
    </w:p>
    <w:p w14:paraId="37D66544" w14:textId="77777777" w:rsidR="00D25A1D" w:rsidRPr="00FF3532" w:rsidRDefault="00D25A1D" w:rsidP="00D25A1D">
      <w:pPr>
        <w:spacing w:after="0" w:line="276" w:lineRule="auto"/>
        <w:jc w:val="both"/>
        <w:rPr>
          <w:rFonts w:ascii="Verdana" w:eastAsia="Calibri" w:hAnsi="Verdana" w:cs="Arial"/>
          <w:highlight w:val="cyan"/>
          <w:lang w:val="es-ES" w:eastAsia="es-ES"/>
        </w:rPr>
      </w:pPr>
    </w:p>
    <w:p w14:paraId="36F7B45A" w14:textId="0537C3A3" w:rsidR="00D25A1D" w:rsidRPr="00FF3532" w:rsidRDefault="00D25A1D" w:rsidP="004E00A5">
      <w:pPr>
        <w:spacing w:after="0" w:line="240" w:lineRule="auto"/>
        <w:ind w:left="709" w:right="709"/>
        <w:jc w:val="both"/>
        <w:rPr>
          <w:rFonts w:ascii="Verdana" w:eastAsia="Century Gothic" w:hAnsi="Verdana" w:cs="Arial"/>
          <w:sz w:val="20"/>
          <w:szCs w:val="20"/>
        </w:rPr>
      </w:pPr>
      <w:r w:rsidRPr="00FF3532">
        <w:rPr>
          <w:rFonts w:ascii="Verdana" w:eastAsia="Century Gothic" w:hAnsi="Verdana" w:cs="Arial"/>
          <w:sz w:val="20"/>
          <w:szCs w:val="20"/>
          <w:lang w:val="es-ES"/>
        </w:rPr>
        <w:t xml:space="preserve">“[…] </w:t>
      </w:r>
      <w:r w:rsidR="004E00A5" w:rsidRPr="00FF3532">
        <w:rPr>
          <w:rFonts w:ascii="Verdana" w:eastAsia="Century Gothic" w:hAnsi="Verdana" w:cs="Arial"/>
          <w:sz w:val="20"/>
          <w:szCs w:val="20"/>
        </w:rPr>
        <w:t>1. Si jurídicamente es procedente que un municipio de sexta categoría celebre convenios solidarios con ASOJUNTAS y/o JAC para el suministro de recebo, teniendo en cuenta las disposiciones que regulan la contratación estatal, los convenios solidarios y la participación de los organismos de acción comunal en la ejecución de obras y actividades de interés comunitario.</w:t>
      </w:r>
    </w:p>
    <w:p w14:paraId="392929BC" w14:textId="77777777" w:rsidR="004E00A5" w:rsidRPr="00FF3532" w:rsidRDefault="004E00A5" w:rsidP="004E00A5">
      <w:pPr>
        <w:spacing w:after="0" w:line="240" w:lineRule="auto"/>
        <w:ind w:left="709" w:right="709"/>
        <w:jc w:val="both"/>
        <w:rPr>
          <w:rFonts w:ascii="Verdana" w:eastAsia="Century Gothic" w:hAnsi="Verdana" w:cs="Arial"/>
          <w:sz w:val="20"/>
          <w:szCs w:val="20"/>
        </w:rPr>
      </w:pPr>
    </w:p>
    <w:p w14:paraId="7F1B154D" w14:textId="77777777" w:rsidR="004E00A5" w:rsidRPr="00FF3532" w:rsidRDefault="004E00A5" w:rsidP="004E00A5">
      <w:pPr>
        <w:spacing w:after="0" w:line="240" w:lineRule="auto"/>
        <w:ind w:left="709" w:right="709"/>
        <w:jc w:val="both"/>
        <w:rPr>
          <w:rFonts w:ascii="Verdana" w:eastAsia="Century Gothic" w:hAnsi="Verdana" w:cs="Arial"/>
          <w:sz w:val="20"/>
          <w:szCs w:val="20"/>
        </w:rPr>
      </w:pPr>
      <w:r w:rsidRPr="00FF3532">
        <w:rPr>
          <w:rFonts w:ascii="Verdana" w:eastAsia="Century Gothic" w:hAnsi="Verdana" w:cs="Arial"/>
          <w:sz w:val="20"/>
          <w:szCs w:val="20"/>
        </w:rPr>
        <w:t xml:space="preserve">2. En caso de ser jurídicamente procedente, si una ASOJUNTAS o una JAC </w:t>
      </w:r>
    </w:p>
    <w:p w14:paraId="6AD8365E" w14:textId="1F68F265" w:rsidR="004E00A5" w:rsidRPr="00FF3532" w:rsidRDefault="004E00A5" w:rsidP="004E00A5">
      <w:pPr>
        <w:spacing w:after="0" w:line="240" w:lineRule="auto"/>
        <w:ind w:left="709" w:right="709"/>
        <w:jc w:val="both"/>
        <w:rPr>
          <w:rFonts w:ascii="Verdana" w:eastAsia="Century Gothic" w:hAnsi="Verdana" w:cs="Arial"/>
          <w:sz w:val="20"/>
          <w:szCs w:val="20"/>
        </w:rPr>
      </w:pPr>
      <w:r w:rsidRPr="00FF3532">
        <w:rPr>
          <w:rFonts w:ascii="Verdana" w:eastAsia="Century Gothic" w:hAnsi="Verdana" w:cs="Arial"/>
          <w:sz w:val="20"/>
          <w:szCs w:val="20"/>
        </w:rPr>
        <w:lastRenderedPageBreak/>
        <w:t>puede suministrar el recebo en diferentes veredas o sectores del municipio, o si, por el contrario, su participación debe limitarse exclusivamente al territorio o vereda en la cual tiene jurisdicción y desarrolla sus actividades comunitarias.</w:t>
      </w:r>
    </w:p>
    <w:p w14:paraId="477FC93E" w14:textId="77777777" w:rsidR="004E00A5" w:rsidRPr="00FF3532" w:rsidRDefault="004E00A5" w:rsidP="004E00A5">
      <w:pPr>
        <w:spacing w:after="0" w:line="240" w:lineRule="auto"/>
        <w:ind w:left="709" w:right="709"/>
        <w:jc w:val="both"/>
        <w:rPr>
          <w:rFonts w:ascii="Verdana" w:eastAsia="Century Gothic" w:hAnsi="Verdana" w:cs="Arial"/>
          <w:sz w:val="20"/>
          <w:szCs w:val="20"/>
        </w:rPr>
      </w:pPr>
    </w:p>
    <w:p w14:paraId="2CD02B1D" w14:textId="4C838EF2" w:rsidR="004E00A5" w:rsidRPr="00FF3532" w:rsidRDefault="004E00A5" w:rsidP="00164945">
      <w:pPr>
        <w:spacing w:after="0" w:line="240" w:lineRule="auto"/>
        <w:ind w:left="709" w:right="709"/>
        <w:jc w:val="both"/>
        <w:rPr>
          <w:rFonts w:ascii="Verdana" w:eastAsia="Century Gothic" w:hAnsi="Verdana" w:cs="Arial"/>
          <w:sz w:val="20"/>
          <w:szCs w:val="20"/>
        </w:rPr>
      </w:pPr>
      <w:r w:rsidRPr="00FF3532">
        <w:rPr>
          <w:rFonts w:ascii="Verdana" w:eastAsia="Century Gothic" w:hAnsi="Verdana" w:cs="Arial"/>
          <w:sz w:val="20"/>
          <w:szCs w:val="20"/>
        </w:rPr>
        <w:t xml:space="preserve">3. </w:t>
      </w:r>
      <w:r w:rsidR="00164945" w:rsidRPr="00FF3532">
        <w:rPr>
          <w:rFonts w:ascii="Verdana" w:eastAsia="Century Gothic" w:hAnsi="Verdana" w:cs="Arial"/>
          <w:sz w:val="20"/>
          <w:szCs w:val="20"/>
        </w:rPr>
        <w:t>En caso de que exista alguna limitación territorial, contractual, presupuestal o relacionada con el objeto social o ámbito de actuación de estos organismos comunales, se solicita indicar las normas que establecen dicha restricción.</w:t>
      </w:r>
    </w:p>
    <w:p w14:paraId="6B786465" w14:textId="77777777" w:rsidR="00164945" w:rsidRPr="00FF3532" w:rsidRDefault="00164945" w:rsidP="00164945">
      <w:pPr>
        <w:spacing w:after="0" w:line="240" w:lineRule="auto"/>
        <w:ind w:left="709" w:right="709"/>
        <w:jc w:val="both"/>
        <w:rPr>
          <w:rFonts w:ascii="Verdana" w:eastAsia="Century Gothic" w:hAnsi="Verdana" w:cs="Arial"/>
          <w:sz w:val="20"/>
          <w:szCs w:val="20"/>
        </w:rPr>
      </w:pPr>
    </w:p>
    <w:p w14:paraId="57CEA195" w14:textId="3C6C4DF5" w:rsidR="00D25A1D" w:rsidRPr="00FF3532" w:rsidRDefault="00164945" w:rsidP="00164945">
      <w:pPr>
        <w:spacing w:after="0" w:line="240" w:lineRule="auto"/>
        <w:ind w:left="709" w:right="709"/>
        <w:jc w:val="both"/>
        <w:rPr>
          <w:rFonts w:ascii="Verdana" w:eastAsia="Century Gothic" w:hAnsi="Verdana" w:cs="Arial"/>
          <w:sz w:val="20"/>
          <w:szCs w:val="20"/>
        </w:rPr>
      </w:pPr>
      <w:r w:rsidRPr="00FF3532">
        <w:rPr>
          <w:rFonts w:ascii="Verdana" w:eastAsia="Century Gothic" w:hAnsi="Verdana" w:cs="Arial"/>
          <w:sz w:val="20"/>
          <w:szCs w:val="20"/>
        </w:rPr>
        <w:t xml:space="preserve">4. Finalmente, se solicita precisar cuál sería el instrumento jurídico procedente para efectuar este tipo de contratación y cuáles serían los requisitos que debería observar el municipio para garantizar el cumplimiento de los principios de transparencia, planeación, economía, responsabilidad y selección objetiva, cuando resulten aplicables. </w:t>
      </w:r>
      <w:r w:rsidRPr="00FF3532">
        <w:rPr>
          <w:rFonts w:ascii="Verdana" w:eastAsia="Century Gothic" w:hAnsi="Verdana" w:cs="Arial"/>
          <w:sz w:val="20"/>
          <w:szCs w:val="20"/>
          <w:lang w:val="es-ES"/>
        </w:rPr>
        <w:t>[…]”</w:t>
      </w:r>
    </w:p>
    <w:p w14:paraId="4E7B69D9" w14:textId="77777777" w:rsidR="00D25A1D" w:rsidRPr="00FF3532" w:rsidRDefault="00D25A1D" w:rsidP="00D25A1D">
      <w:pPr>
        <w:spacing w:after="0" w:line="240" w:lineRule="auto"/>
        <w:ind w:left="709" w:right="709"/>
        <w:jc w:val="both"/>
        <w:rPr>
          <w:rFonts w:ascii="Verdana" w:eastAsia="Century Gothic" w:hAnsi="Verdana" w:cs="Arial"/>
          <w:sz w:val="20"/>
          <w:szCs w:val="20"/>
          <w:highlight w:val="cyan"/>
        </w:rPr>
      </w:pPr>
    </w:p>
    <w:p w14:paraId="6F9894C1" w14:textId="77777777" w:rsidR="00D25A1D" w:rsidRPr="00FF3532" w:rsidRDefault="00D25A1D" w:rsidP="00D25A1D">
      <w:pPr>
        <w:spacing w:after="120" w:line="276" w:lineRule="auto"/>
        <w:ind w:firstLine="709"/>
        <w:jc w:val="both"/>
        <w:rPr>
          <w:rFonts w:ascii="Verdana" w:eastAsia="Calibri" w:hAnsi="Verdana" w:cs="Arial"/>
          <w:lang w:val="es-ES_tradnl" w:eastAsia="es-ES_tradnl"/>
        </w:rPr>
      </w:pPr>
      <w:r w:rsidRPr="00FF3532">
        <w:rPr>
          <w:rFonts w:ascii="Verdana" w:eastAsia="Calibri" w:hAnsi="Verdana" w:cs="Arial"/>
          <w:lang w:val="es-ES" w:eastAsia="es-ES"/>
        </w:rPr>
        <w:t>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la Agencia Nacional de Contratación Pública -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w:t>
      </w:r>
    </w:p>
    <w:p w14:paraId="4B8F91AB" w14:textId="77777777" w:rsidR="00D25A1D" w:rsidRPr="00FF3532" w:rsidRDefault="00D25A1D" w:rsidP="00D25A1D">
      <w:pPr>
        <w:spacing w:after="0" w:line="276" w:lineRule="auto"/>
        <w:ind w:firstLine="709"/>
        <w:jc w:val="both"/>
        <w:rPr>
          <w:rFonts w:ascii="Verdana" w:eastAsia="Calibri" w:hAnsi="Verdana" w:cs="Arial"/>
          <w:lang w:val="es-ES" w:eastAsia="es-ES"/>
        </w:rPr>
      </w:pPr>
      <w:r w:rsidRPr="00FF3532">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5DD43A24" w14:textId="77777777" w:rsidR="00D25A1D" w:rsidRPr="00FF3532" w:rsidRDefault="00D25A1D" w:rsidP="00D25A1D">
      <w:pPr>
        <w:spacing w:after="0" w:line="276" w:lineRule="auto"/>
        <w:jc w:val="both"/>
        <w:rPr>
          <w:rStyle w:val="Hipervnculo"/>
          <w:rFonts w:ascii="Verdana" w:hAnsi="Verdana"/>
          <w:color w:val="auto"/>
          <w:highlight w:val="cyan"/>
          <w:u w:val="none"/>
          <w:lang w:val="es-ES"/>
        </w:rPr>
      </w:pPr>
    </w:p>
    <w:p w14:paraId="31C75BEF" w14:textId="77777777" w:rsidR="00D25A1D" w:rsidRPr="00FF3532" w:rsidRDefault="00D25A1D" w:rsidP="00D25A1D">
      <w:pPr>
        <w:pStyle w:val="Prrafodelista"/>
        <w:numPr>
          <w:ilvl w:val="0"/>
          <w:numId w:val="16"/>
        </w:numPr>
        <w:tabs>
          <w:tab w:val="left" w:pos="142"/>
          <w:tab w:val="left" w:pos="284"/>
        </w:tabs>
        <w:spacing w:after="0" w:line="276" w:lineRule="auto"/>
        <w:ind w:left="0" w:firstLine="0"/>
        <w:contextualSpacing w:val="0"/>
        <w:jc w:val="both"/>
        <w:rPr>
          <w:rFonts w:ascii="Verdana" w:eastAsia="Century Gothic" w:hAnsi="Verdana" w:cs="Arial"/>
          <w:b/>
          <w:bCs/>
        </w:rPr>
      </w:pPr>
      <w:r w:rsidRPr="00FF3532">
        <w:rPr>
          <w:rFonts w:ascii="Verdana" w:eastAsia="Century Gothic" w:hAnsi="Verdana" w:cs="Arial"/>
          <w:b/>
          <w:bCs/>
        </w:rPr>
        <w:t>Problemas planteados:</w:t>
      </w:r>
    </w:p>
    <w:p w14:paraId="481EA608" w14:textId="77777777" w:rsidR="00D25A1D" w:rsidRPr="00FF3532" w:rsidRDefault="00D25A1D" w:rsidP="00D25A1D">
      <w:pPr>
        <w:spacing w:after="0" w:line="276" w:lineRule="auto"/>
        <w:jc w:val="both"/>
        <w:rPr>
          <w:rStyle w:val="Hipervnculo"/>
          <w:rFonts w:ascii="Verdana" w:hAnsi="Verdana" w:cs="Arial"/>
          <w:color w:val="auto"/>
          <w:highlight w:val="cyan"/>
        </w:rPr>
      </w:pPr>
    </w:p>
    <w:p w14:paraId="10FC9F00" w14:textId="611EF182" w:rsidR="00AA3BDF" w:rsidRPr="00AF3160" w:rsidRDefault="00D25A1D" w:rsidP="00AA3BDF">
      <w:pPr>
        <w:spacing w:line="276" w:lineRule="auto"/>
        <w:jc w:val="both"/>
        <w:rPr>
          <w:rFonts w:ascii="Verdana" w:eastAsia="Calibri" w:hAnsi="Verdana" w:cs="Times New Roman"/>
        </w:rPr>
      </w:pPr>
      <w:r w:rsidRPr="00AF3160">
        <w:rPr>
          <w:rFonts w:ascii="Verdana" w:eastAsia="Calibri" w:hAnsi="Verdana" w:cs="Times New Roman"/>
        </w:rPr>
        <w:lastRenderedPageBreak/>
        <w:t xml:space="preserve">De acuerdo con el contenido de su solicitud, la Agencia procede a resolver los siguientes problemas jurídicos: </w:t>
      </w:r>
      <w:r w:rsidR="00AA3BDF" w:rsidRPr="00AF3160">
        <w:rPr>
          <w:rFonts w:ascii="Verdana" w:eastAsia="Calibri" w:hAnsi="Verdana" w:cs="Times New Roman"/>
        </w:rPr>
        <w:t>i) ¿Puede celebrarse un convenio solidario con un Organismo de Acción Comunal cuando el objeto consiste en el suministro de materiales como recebo, o esta figura exige que el objeto corresponda a la ejecución de una obra?</w:t>
      </w:r>
      <w:r w:rsidR="00AF3160" w:rsidRPr="00AF3160">
        <w:rPr>
          <w:rFonts w:ascii="Verdana" w:eastAsia="Calibri" w:hAnsi="Verdana" w:cs="Times New Roman"/>
        </w:rPr>
        <w:t xml:space="preserve">: </w:t>
      </w:r>
      <w:r w:rsidR="00AA3BDF" w:rsidRPr="00AF3160">
        <w:rPr>
          <w:rFonts w:ascii="Verdana" w:eastAsia="Calibri" w:hAnsi="Verdana" w:cs="Times New Roman"/>
        </w:rPr>
        <w:t>ii) ¿Qué Organismos de Acción Comunal están facultados para celebrar convenios solidarios y cuáles son sus límites de cuantía y ejecución?</w:t>
      </w:r>
      <w:r w:rsidR="00AF3160" w:rsidRPr="00AF3160">
        <w:rPr>
          <w:rFonts w:ascii="Verdana" w:eastAsia="Calibri" w:hAnsi="Verdana" w:cs="Times New Roman"/>
        </w:rPr>
        <w:t xml:space="preserve">; y </w:t>
      </w:r>
      <w:r w:rsidR="00AA3BDF" w:rsidRPr="00AF3160">
        <w:rPr>
          <w:rFonts w:ascii="Verdana" w:eastAsia="Calibri" w:hAnsi="Verdana" w:cs="Times New Roman"/>
        </w:rPr>
        <w:t>iii) ¿Cuál es el alcance territorial dentro del cual una Junta de Acción Comunal o una Asociación de Juntas de Acción Comunal puede desarrollar las actividades objeto del convenio?</w:t>
      </w:r>
    </w:p>
    <w:p w14:paraId="5AD46250" w14:textId="466C847D" w:rsidR="00D25A1D" w:rsidRPr="00FF3532" w:rsidRDefault="00AA3BDF" w:rsidP="00AA3BDF">
      <w:pPr>
        <w:spacing w:line="276" w:lineRule="auto"/>
        <w:jc w:val="both"/>
        <w:rPr>
          <w:rStyle w:val="Hipervnculo"/>
          <w:rFonts w:ascii="Verdana" w:hAnsi="Verdana" w:cs="Arial"/>
          <w:color w:val="auto"/>
          <w:u w:val="none"/>
        </w:rPr>
      </w:pPr>
      <w:r w:rsidRPr="00AA3BDF">
        <w:rPr>
          <w:rFonts w:ascii="Verdana" w:eastAsia="Calibri" w:hAnsi="Verdana" w:cs="Times New Roman"/>
          <w:lang w:val="en-US"/>
        </w:rPr>
        <w:t>?</w:t>
      </w:r>
    </w:p>
    <w:p w14:paraId="20CC7600" w14:textId="77777777" w:rsidR="00D25A1D" w:rsidRPr="00FF3532" w:rsidRDefault="00D25A1D" w:rsidP="00D25A1D">
      <w:pPr>
        <w:pStyle w:val="Prrafodelista"/>
        <w:widowControl w:val="0"/>
        <w:numPr>
          <w:ilvl w:val="0"/>
          <w:numId w:val="16"/>
        </w:numPr>
        <w:autoSpaceDE w:val="0"/>
        <w:autoSpaceDN w:val="0"/>
        <w:spacing w:after="0" w:line="276" w:lineRule="auto"/>
        <w:ind w:left="360"/>
        <w:contextualSpacing w:val="0"/>
        <w:jc w:val="both"/>
        <w:outlineLvl w:val="0"/>
        <w:rPr>
          <w:rFonts w:ascii="Verdana" w:eastAsia="Arial" w:hAnsi="Verdana" w:cs="Arial"/>
          <w:b/>
          <w:bCs/>
        </w:rPr>
      </w:pPr>
      <w:r w:rsidRPr="00FF3532">
        <w:rPr>
          <w:rFonts w:ascii="Verdana" w:eastAsia="Arial" w:hAnsi="Verdana" w:cs="Arial"/>
          <w:b/>
          <w:bCs/>
        </w:rPr>
        <w:t>Respuesta:</w:t>
      </w:r>
    </w:p>
    <w:p w14:paraId="5ED796CB" w14:textId="77777777" w:rsidR="00D25A1D" w:rsidRPr="00FF3532" w:rsidRDefault="00D25A1D" w:rsidP="00D25A1D">
      <w:pPr>
        <w:spacing w:after="0" w:line="240" w:lineRule="auto"/>
        <w:jc w:val="both"/>
        <w:rPr>
          <w:rFonts w:ascii="Verdana" w:eastAsia="Verdana" w:hAnsi="Verdana" w:cs="Verdana"/>
          <w:highlight w:val="cyan"/>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D25A1D" w:rsidRPr="00FF3532" w14:paraId="21C85927" w14:textId="77777777" w:rsidTr="003830A5">
        <w:tc>
          <w:tcPr>
            <w:tcW w:w="8828" w:type="dxa"/>
          </w:tcPr>
          <w:p w14:paraId="0FC0DDD0" w14:textId="77777777" w:rsidR="00D25A1D" w:rsidRPr="00FF3532" w:rsidRDefault="00D25A1D" w:rsidP="003830A5">
            <w:pPr>
              <w:spacing w:after="120" w:line="276" w:lineRule="auto"/>
              <w:jc w:val="both"/>
              <w:rPr>
                <w:rFonts w:ascii="Verdana" w:hAnsi="Verdana" w:cs="Arial"/>
              </w:rPr>
            </w:pPr>
            <w:bookmarkStart w:id="1" w:name="_Hlk171067516"/>
            <w:r w:rsidRPr="00FF3532">
              <w:rPr>
                <w:rFonts w:ascii="Verdana" w:hAnsi="Verdana" w:cs="Arial"/>
              </w:rPr>
              <w:t>En respuesta a los problemas antes planteados esta Subdirección manifiesta lo siguiente:</w:t>
            </w:r>
          </w:p>
          <w:p w14:paraId="61A5C622" w14:textId="391F1E55" w:rsidR="0065233C" w:rsidRPr="00C51F72" w:rsidRDefault="00D25A1D" w:rsidP="00C51F72">
            <w:pPr>
              <w:spacing w:after="120" w:line="276" w:lineRule="auto"/>
              <w:ind w:firstLine="709"/>
              <w:jc w:val="both"/>
              <w:rPr>
                <w:rFonts w:ascii="Verdana" w:eastAsia="Aptos" w:hAnsi="Verdana" w:cs="Arial"/>
                <w:color w:val="000000"/>
                <w:lang w:eastAsia="es-MX"/>
              </w:rPr>
            </w:pPr>
            <w:r w:rsidRPr="00FF3532">
              <w:rPr>
                <w:rFonts w:ascii="Verdana" w:hAnsi="Verdana" w:cs="Arial"/>
                <w:bCs/>
              </w:rPr>
              <w:t xml:space="preserve">i) En </w:t>
            </w:r>
            <w:r w:rsidRPr="00FF3532">
              <w:rPr>
                <w:rFonts w:ascii="Verdana" w:hAnsi="Verdana" w:cs="Arial"/>
                <w:bCs/>
                <w:i/>
                <w:iCs/>
              </w:rPr>
              <w:t>primer lugar</w:t>
            </w:r>
            <w:r w:rsidRPr="00FF3532">
              <w:rPr>
                <w:rFonts w:ascii="Verdana" w:hAnsi="Verdana" w:cs="Arial"/>
                <w:bCs/>
              </w:rPr>
              <w:t xml:space="preserve">, </w:t>
            </w:r>
            <w:r w:rsidR="00BA1C72">
              <w:rPr>
                <w:rFonts w:ascii="Verdana" w:hAnsi="Verdana" w:cs="Arial"/>
                <w:bCs/>
              </w:rPr>
              <w:t>d</w:t>
            </w:r>
            <w:r w:rsidR="00BA1C72" w:rsidRPr="00C25F58">
              <w:rPr>
                <w:rFonts w:ascii="Verdana" w:eastAsia="Calibri" w:hAnsi="Verdana" w:cs="Arial"/>
                <w:color w:val="000000"/>
                <w:lang w:val="es-ES"/>
              </w:rPr>
              <w:t>e conformidad con lo dispuesto en el parágrafo tercero del artículo 3 de la Ley 136 de 1994, los convenios solidarios se definen como “</w:t>
            </w:r>
            <w:r w:rsidR="00BA1C72" w:rsidRPr="00C25F58">
              <w:rPr>
                <w:rFonts w:ascii="Verdana" w:eastAsia="Calibri" w:hAnsi="Verdana" w:cs="Arial"/>
                <w:i/>
                <w:color w:val="000000"/>
                <w:lang w:val="es-ES"/>
              </w:rPr>
              <w:t>la complementación de esfuerzos institucionales, comunitarios, económicos y sociales para la construcción de obras y la satisfacción de necesidades y aspiraciones de las comunidades”.</w:t>
            </w:r>
            <w:r w:rsidR="00BA1C72" w:rsidRPr="00C25F58">
              <w:rPr>
                <w:rFonts w:ascii="Verdana" w:eastAsia="Calibri" w:hAnsi="Verdana" w:cs="Arial"/>
                <w:color w:val="000000"/>
                <w:lang w:val="es-ES"/>
              </w:rPr>
              <w:t xml:space="preserve"> De acuerdo con esta definición, </w:t>
            </w:r>
            <w:r w:rsidR="00BA1C72" w:rsidRPr="00C25F58">
              <w:rPr>
                <w:rFonts w:ascii="Verdana" w:eastAsia="Aptos" w:hAnsi="Verdana" w:cs="Arial"/>
                <w:color w:val="000000"/>
                <w:lang w:eastAsia="es-MX"/>
              </w:rPr>
              <w:t>los convenios solidarios podrán ser suscritos para diferentes objetos y es posible evidenciar tres regímenes jurídicos para su suscripción.</w:t>
            </w:r>
          </w:p>
          <w:p w14:paraId="2751A32F" w14:textId="2788DA21" w:rsidR="00C51F72" w:rsidRPr="00C51F72" w:rsidRDefault="00C51F72" w:rsidP="00BA1C72">
            <w:pPr>
              <w:spacing w:after="120" w:line="276" w:lineRule="auto"/>
              <w:ind w:firstLine="709"/>
              <w:jc w:val="both"/>
              <w:rPr>
                <w:rFonts w:ascii="Verdana" w:hAnsi="Verdana"/>
                <w:lang w:val="es-ES"/>
              </w:rPr>
            </w:pPr>
            <w:r w:rsidRPr="00C51F72">
              <w:rPr>
                <w:rFonts w:ascii="Verdana" w:hAnsi="Verdana"/>
                <w:lang w:val="es-ES"/>
              </w:rPr>
              <w:t>Bajo ese contexto, si el objeto consiste exclusivamente en suministrar recebo, sin que el OAC ejecute una obra, no debería calificarse automáticamente como convenio solidario bajo el artículo 95 de la Ley 2166 de 2021. La norma especial exige que el objeto corresponda a la ejecución de obras. Distinto sería que el suministro del material forme parte integral de una obra ejecutada por el organismo comunal, supuesto que deberá analizarse según la estructuración concreta del objeto contractual.</w:t>
            </w:r>
          </w:p>
          <w:p w14:paraId="750A35E6" w14:textId="022BB405" w:rsidR="00D25A1D" w:rsidRPr="00BA1C72" w:rsidRDefault="00BA1C72" w:rsidP="00BA1C72">
            <w:pPr>
              <w:spacing w:after="120" w:line="276" w:lineRule="auto"/>
              <w:ind w:firstLine="709"/>
              <w:jc w:val="both"/>
              <w:rPr>
                <w:rFonts w:ascii="Verdana" w:eastAsia="Aptos" w:hAnsi="Verdana" w:cs="Arial"/>
                <w:color w:val="000000"/>
                <w:lang w:eastAsia="es-MX"/>
              </w:rPr>
            </w:pPr>
            <w:r>
              <w:rPr>
                <w:rFonts w:ascii="Verdana" w:hAnsi="Verdana"/>
              </w:rPr>
              <w:t xml:space="preserve">Así las cosas, </w:t>
            </w:r>
            <w:r w:rsidR="00D25A1D" w:rsidRPr="00FF3532">
              <w:rPr>
                <w:rFonts w:ascii="Verdana" w:hAnsi="Verdana" w:cs="Arial"/>
                <w:bCs/>
              </w:rPr>
              <w:t xml:space="preserve">conviene precisar que </w:t>
            </w:r>
            <w:r w:rsidR="005C0989" w:rsidRPr="00FF3532">
              <w:rPr>
                <w:rFonts w:ascii="Verdana" w:hAnsi="Verdana" w:cs="Arial"/>
                <w:bCs/>
              </w:rPr>
              <w:t xml:space="preserve">el parágrafo tercero del artículo 3 de la Ley 136 de 1994, modificado por el artículo 6 de la Ley 1551 de 2012, faculta a las entidades territoriales para celebrar convenios solidarios con tres grupos de sujetos. El primero son los cabildos, autoridades y organizaciones indígenas, que se rigen por su normativa especial y por la reglamentación que les aplica. El segundo son los organismos de acción comunal, que se rigen por </w:t>
            </w:r>
            <w:r w:rsidR="005C0989" w:rsidRPr="00FF3532">
              <w:rPr>
                <w:rFonts w:ascii="Verdana" w:hAnsi="Verdana" w:cs="Arial"/>
                <w:bCs/>
              </w:rPr>
              <w:lastRenderedPageBreak/>
              <w:t>la Ley 2166 de 2021 y por las reglas especiales sobre ejecución de obras previstas en la misma disposición. El tercero son las demás organizaciones civiles y asociaciones residentes en el territorio, cuya contratación se rige por el artículo 355 de la Constitución Política y su reglamentación, contenida en el Decreto 092 de 2017.</w:t>
            </w:r>
          </w:p>
          <w:p w14:paraId="1231F9CD" w14:textId="08DA551A" w:rsidR="001F0292" w:rsidRPr="00FF3532" w:rsidRDefault="00B15C4D" w:rsidP="00DE3A05">
            <w:pPr>
              <w:spacing w:after="120" w:line="276" w:lineRule="auto"/>
              <w:jc w:val="both"/>
              <w:rPr>
                <w:rFonts w:ascii="Verdana" w:hAnsi="Verdana" w:cs="Arial"/>
                <w:bCs/>
              </w:rPr>
            </w:pPr>
            <w:r w:rsidRPr="00FF3532">
              <w:rPr>
                <w:rFonts w:ascii="Verdana" w:hAnsi="Verdana" w:cs="Arial"/>
                <w:bCs/>
              </w:rPr>
              <w:t xml:space="preserve">ii) </w:t>
            </w:r>
            <w:r w:rsidR="001F0292" w:rsidRPr="00FF3532">
              <w:rPr>
                <w:rFonts w:ascii="Verdana" w:hAnsi="Verdana" w:cs="Arial"/>
                <w:bCs/>
              </w:rPr>
              <w:t>Frente al segundo interrogante, debe señalarse que existen características generales aplicables a la celebración de cualquier convenio solidario, presentes en los tres regímenes de contratación y consagradas en el parágrafo tercero del artículo 3 de la Ley 136 de 1994, en armonía con el artículo 355 de la Constitución Política; en consecuencia, el objeto de todo convenio solidario debe cumplir tres condiciones concurrentes: atender las necesidades y aspiraciones de las comunidades mediante la articulación de esfuerzos institucionales, comunitarios, económicos y sociales en beneficio directo de la colectividad representada por la organización; estar orientado a la satisfacción del interés público, sin servir a intereses particulares de la organización ni de sus miembros; y ser concordante con el Plan Nacional o con los planes seccionales de desarrollo, según corresponda, lo que exige su vinculación a programas, proyectos o metas incluidos en el respectivo instrumento de planeación de la entidad.</w:t>
            </w:r>
          </w:p>
          <w:p w14:paraId="30BB9266" w14:textId="77777777" w:rsidR="00DE3A05" w:rsidRPr="00FF3532" w:rsidRDefault="00DE3A05" w:rsidP="00DE3A05">
            <w:pPr>
              <w:spacing w:after="120" w:line="276" w:lineRule="auto"/>
              <w:ind w:firstLine="737"/>
              <w:jc w:val="both"/>
              <w:rPr>
                <w:rFonts w:ascii="Verdana" w:hAnsi="Verdana"/>
              </w:rPr>
            </w:pPr>
            <w:r w:rsidRPr="00FF3532">
              <w:rPr>
                <w:rFonts w:ascii="Verdana" w:hAnsi="Verdana"/>
              </w:rPr>
              <w:t>Dentro de este marco, pueden pactarse mediante convenio solidario la construcción o ejecución de obras de interés comunitario y el desarrollo conjunto de programas y actividades que la ley asigna a las entidades territoriales. Cuando la contraparte es un organismo de acción comunal, también deben respetarse el tope de cuantía fijado por la ley y la obligación de vincular a los habitantes de la comunidad en la ejecución.</w:t>
            </w:r>
          </w:p>
          <w:p w14:paraId="7CA2C633" w14:textId="0BE455E0" w:rsidR="00740E3E" w:rsidRPr="00FF3532" w:rsidRDefault="00740E3E" w:rsidP="00740E3E">
            <w:pPr>
              <w:spacing w:after="120" w:line="276" w:lineRule="auto"/>
              <w:ind w:firstLine="737"/>
              <w:jc w:val="both"/>
              <w:rPr>
                <w:rFonts w:ascii="Verdana" w:hAnsi="Verdana"/>
              </w:rPr>
            </w:pPr>
            <w:r w:rsidRPr="00FF3532">
              <w:rPr>
                <w:rFonts w:ascii="Verdana" w:hAnsi="Verdana"/>
              </w:rPr>
              <w:t>Bajo ese contexto, los convenios solidarios constituyen una excepción a la regla general de selección objetiva y, en consecuencia, deben interpretarse de manera restrictiva. Por ello, quedan excluidos de esta figura aquellos objetos que no cumplan las tres condiciones señaladas o cuya naturaleza correspondan a un contrato estatal típico, como sucede cuando la organización actúa únicamente como proveedor o intermediario.</w:t>
            </w:r>
          </w:p>
          <w:p w14:paraId="36A21E94" w14:textId="6727E5CB" w:rsidR="00B924D2" w:rsidRPr="00FF3532" w:rsidRDefault="00022703" w:rsidP="006175F6">
            <w:pPr>
              <w:spacing w:after="120" w:line="276" w:lineRule="auto"/>
              <w:jc w:val="both"/>
              <w:rPr>
                <w:rFonts w:ascii="Verdana" w:eastAsia="Aptos" w:hAnsi="Verdana" w:cs="Arial"/>
                <w:color w:val="000000"/>
                <w:lang w:val="es-ES" w:eastAsia="es-MX"/>
              </w:rPr>
            </w:pPr>
            <w:r w:rsidRPr="00FF3532">
              <w:rPr>
                <w:rFonts w:ascii="Verdana" w:hAnsi="Verdana"/>
              </w:rPr>
              <w:t xml:space="preserve">iii) Respecto al tercer problema jurídico </w:t>
            </w:r>
            <w:r w:rsidR="00B036CF" w:rsidRPr="00FF3532">
              <w:rPr>
                <w:rFonts w:ascii="Verdana" w:hAnsi="Verdana"/>
              </w:rPr>
              <w:t xml:space="preserve">es necesario aclarar que </w:t>
            </w:r>
            <w:r w:rsidR="00B924D2" w:rsidRPr="00FF3532">
              <w:rPr>
                <w:rFonts w:ascii="Verdana" w:eastAsia="Aptos" w:hAnsi="Verdana" w:cs="Arial"/>
                <w:color w:val="000000"/>
                <w:lang w:val="es-ES" w:eastAsia="es-MX"/>
              </w:rPr>
              <w:t xml:space="preserve">para la suscripción de los convenios solidarios por </w:t>
            </w:r>
            <w:r w:rsidR="00B924D2" w:rsidRPr="00FF3532">
              <w:rPr>
                <w:rFonts w:ascii="Verdana" w:eastAsia="Aptos" w:hAnsi="Verdana" w:cs="Arial"/>
                <w:lang w:eastAsia="es-MX"/>
              </w:rPr>
              <w:t xml:space="preserve">parte de los Organismos de Acción Comunal se deberá acreditar su existencia y representación legal en los términos del artículo 78 de la Ley 2166 de 2021. En ese contexto, </w:t>
            </w:r>
            <w:r w:rsidR="00B924D2" w:rsidRPr="00FF3532">
              <w:rPr>
                <w:rFonts w:ascii="Verdana" w:eastAsia="Aptos" w:hAnsi="Verdana" w:cs="Arial"/>
                <w:color w:val="000000"/>
                <w:lang w:eastAsia="es-MX"/>
              </w:rPr>
              <w:t xml:space="preserve">y de acuerdo </w:t>
            </w:r>
            <w:r w:rsidR="00B924D2" w:rsidRPr="00FF3532">
              <w:rPr>
                <w:rFonts w:ascii="Verdana" w:eastAsia="Aptos" w:hAnsi="Verdana" w:cs="Arial"/>
                <w:color w:val="000000"/>
                <w:lang w:eastAsia="es-MX"/>
              </w:rPr>
              <w:lastRenderedPageBreak/>
              <w:t>con lo dispuesto en</w:t>
            </w:r>
            <w:r w:rsidR="00B924D2" w:rsidRPr="00FF3532">
              <w:rPr>
                <w:rFonts w:ascii="Verdana" w:eastAsia="Aptos" w:hAnsi="Verdana" w:cs="Arial"/>
                <w:color w:val="000000"/>
                <w:lang w:val="es-MX" w:eastAsia="es-MX"/>
              </w:rPr>
              <w:t xml:space="preserve"> el artículo 9 de la Ley 2166 de 2021 que señala que: </w:t>
            </w:r>
            <w:r w:rsidR="00B924D2" w:rsidRPr="00FF3532">
              <w:rPr>
                <w:rFonts w:ascii="Verdana" w:eastAsia="Aptos" w:hAnsi="Verdana" w:cs="Arial"/>
                <w:i/>
                <w:color w:val="000000"/>
              </w:rPr>
              <w:t>“</w:t>
            </w:r>
            <w:r w:rsidR="00B924D2" w:rsidRPr="00FF3532">
              <w:rPr>
                <w:rFonts w:ascii="Verdana" w:eastAsia="Aptos" w:hAnsi="Verdana" w:cs="Arial"/>
                <w:i/>
                <w:color w:val="000000"/>
                <w:lang w:val="es-MX" w:eastAsia="es-MX"/>
              </w:rPr>
              <w:t>cada organismo de acción comunal desarrollará sus actividades dentro de un territorio delimitado</w:t>
            </w:r>
            <w:r w:rsidR="00B924D2" w:rsidRPr="00FF3532">
              <w:rPr>
                <w:rFonts w:ascii="Verdana" w:eastAsia="Aptos" w:hAnsi="Verdana" w:cs="Arial"/>
                <w:color w:val="000000"/>
                <w:lang w:val="es-MX" w:eastAsia="es-MX"/>
              </w:rPr>
              <w:t xml:space="preserve">”, </w:t>
            </w:r>
            <w:r w:rsidR="00B924D2" w:rsidRPr="00FF3532">
              <w:rPr>
                <w:rFonts w:ascii="Verdana" w:eastAsia="Aptos" w:hAnsi="Verdana" w:cs="Arial"/>
                <w:color w:val="000000"/>
                <w:u w:val="single"/>
                <w:lang w:val="es-MX" w:eastAsia="es-MX"/>
              </w:rPr>
              <w:t>se precisa que la territorialidad a la cual hace parte el respectivo Organismo de Acción Comunal, será el único lugar en el cual podrá desarrollar sus actividades en el marco de un convenio solidario</w:t>
            </w:r>
            <w:r w:rsidR="00B924D2" w:rsidRPr="00FF3532">
              <w:rPr>
                <w:rFonts w:ascii="Verdana" w:eastAsia="Aptos" w:hAnsi="Verdana" w:cs="Arial"/>
                <w:color w:val="000000"/>
                <w:lang w:val="es-MX" w:eastAsia="es-MX"/>
              </w:rPr>
              <w:t xml:space="preserve">, pues sólo así se garantizara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w:t>
            </w:r>
          </w:p>
          <w:p w14:paraId="63D31A74" w14:textId="4342B3EC" w:rsidR="001F0292" w:rsidRPr="00FF3532" w:rsidRDefault="007E1E8F" w:rsidP="007E1E8F">
            <w:pPr>
              <w:spacing w:after="120" w:line="276" w:lineRule="auto"/>
              <w:ind w:firstLine="709"/>
              <w:jc w:val="both"/>
              <w:rPr>
                <w:rFonts w:ascii="Verdana" w:eastAsia="Aptos" w:hAnsi="Verdana" w:cs="Arial"/>
                <w:lang w:eastAsia="es-MX"/>
              </w:rPr>
            </w:pPr>
            <w:r w:rsidRPr="00FF3532">
              <w:rPr>
                <w:rFonts w:ascii="Verdana" w:eastAsia="Aptos" w:hAnsi="Verdana" w:cs="Arial"/>
                <w:lang w:eastAsia="es-MX"/>
              </w:rPr>
              <w:t xml:space="preserve">De lo anterior se concluye, que, con base en el principio de participación </w:t>
            </w:r>
            <w:r w:rsidRPr="00FF3532">
              <w:rPr>
                <w:rFonts w:ascii="Verdana" w:eastAsia="Aptos" w:hAnsi="Verdana" w:cs="Arial"/>
                <w:i/>
                <w:iCs/>
                <w:u w:val="single"/>
                <w:lang w:eastAsia="es-MX"/>
              </w:rPr>
              <w:t>una Junta de Acción Comunal tan sólo podrá ejecutar convenios solidarios en la jurisdicción de la cual hace parte,</w:t>
            </w:r>
            <w:r w:rsidRPr="00FF3532">
              <w:rPr>
                <w:rFonts w:ascii="Verdana" w:eastAsia="Aptos" w:hAnsi="Verdana" w:cs="Arial"/>
                <w:lang w:eastAsia="es-MX"/>
              </w:rPr>
              <w:t xml:space="preserve"> pues sólo así se garantizara que el desarrollo de la comunidad, se dé a través de un proceso territorial que integren los esfuerzos de su población, organismos y el Estado, para mejorar la calidad de vida de sus comunidades, fortaleciendo así la construcción de las mismas, a partir de los planes de desarrollo comunales y comunitarios construidos y concertados por los afiliados a los organismos comunales, en articulación con las autoridades de cada uno de sus territorios.</w:t>
            </w:r>
          </w:p>
          <w:p w14:paraId="1FDDF9E4" w14:textId="77777777" w:rsidR="00D25A1D" w:rsidRPr="00FF3532" w:rsidRDefault="00D25A1D" w:rsidP="003830A5">
            <w:pPr>
              <w:spacing w:after="120" w:line="276" w:lineRule="auto"/>
              <w:jc w:val="both"/>
              <w:rPr>
                <w:rFonts w:ascii="Verdana" w:hAnsi="Verdana" w:cs="Arial"/>
                <w:bCs/>
              </w:rPr>
            </w:pPr>
            <w:r w:rsidRPr="00FF3532">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ser realizado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tc>
      </w:tr>
      <w:bookmarkEnd w:id="1"/>
    </w:tbl>
    <w:p w14:paraId="1E10DEEC" w14:textId="77777777" w:rsidR="00D25A1D" w:rsidRPr="00FF3532" w:rsidRDefault="00D25A1D" w:rsidP="00D25A1D">
      <w:pPr>
        <w:widowControl w:val="0"/>
        <w:autoSpaceDE w:val="0"/>
        <w:autoSpaceDN w:val="0"/>
        <w:spacing w:after="0" w:line="276" w:lineRule="auto"/>
        <w:outlineLvl w:val="0"/>
        <w:rPr>
          <w:rFonts w:ascii="Verdana" w:eastAsia="Arial" w:hAnsi="Verdana" w:cs="Arial"/>
          <w:b/>
          <w:bCs/>
          <w:highlight w:val="cyan"/>
        </w:rPr>
      </w:pPr>
    </w:p>
    <w:p w14:paraId="0844CE97" w14:textId="77777777" w:rsidR="00D25A1D" w:rsidRPr="00FF3532" w:rsidRDefault="00D25A1D" w:rsidP="00D25A1D">
      <w:pPr>
        <w:widowControl w:val="0"/>
        <w:autoSpaceDE w:val="0"/>
        <w:autoSpaceDN w:val="0"/>
        <w:spacing w:after="0" w:line="276" w:lineRule="auto"/>
        <w:ind w:left="360" w:hanging="360"/>
        <w:outlineLvl w:val="0"/>
        <w:rPr>
          <w:rFonts w:ascii="Verdana" w:eastAsia="Arial" w:hAnsi="Verdana" w:cs="Arial"/>
          <w:b/>
          <w:bCs/>
          <w:lang w:val="es-ES"/>
        </w:rPr>
      </w:pPr>
      <w:r w:rsidRPr="00FF3532">
        <w:rPr>
          <w:rFonts w:ascii="Verdana" w:eastAsia="Arial" w:hAnsi="Verdana" w:cs="Arial"/>
          <w:b/>
          <w:bCs/>
          <w:lang w:val="es-ES"/>
        </w:rPr>
        <w:t>3. Razones de la respuesta:</w:t>
      </w:r>
    </w:p>
    <w:p w14:paraId="52B63BF0" w14:textId="77777777" w:rsidR="00D25A1D" w:rsidRPr="00FF3532" w:rsidRDefault="00D25A1D" w:rsidP="00D25A1D">
      <w:pPr>
        <w:spacing w:after="0" w:line="276" w:lineRule="auto"/>
        <w:jc w:val="both"/>
        <w:rPr>
          <w:rFonts w:ascii="Verdana" w:eastAsia="Calibri" w:hAnsi="Verdana" w:cs="Arial"/>
          <w:highlight w:val="cyan"/>
          <w:lang w:val="es-ES"/>
        </w:rPr>
      </w:pPr>
    </w:p>
    <w:p w14:paraId="70D74E5F" w14:textId="34265229" w:rsidR="002A0DD0" w:rsidRPr="00FF3532" w:rsidRDefault="00D25A1D" w:rsidP="00D25A1D">
      <w:pPr>
        <w:spacing w:after="0" w:line="240" w:lineRule="auto"/>
        <w:jc w:val="both"/>
        <w:rPr>
          <w:rFonts w:ascii="Verdana" w:eastAsia="Verdana" w:hAnsi="Verdana" w:cs="Verdana"/>
        </w:rPr>
      </w:pPr>
      <w:r w:rsidRPr="00FF3532">
        <w:rPr>
          <w:rFonts w:ascii="Verdana" w:eastAsia="Calibri" w:hAnsi="Verdana" w:cs="Arial"/>
          <w:lang w:val="es-ES"/>
        </w:rPr>
        <w:t>La respuesta anterior se sustenta en las siguientes consideraciones:</w:t>
      </w:r>
    </w:p>
    <w:p w14:paraId="67A44998" w14:textId="77777777" w:rsidR="001A33BF" w:rsidRPr="00FF3532" w:rsidRDefault="001A33BF" w:rsidP="30821638">
      <w:pPr>
        <w:spacing w:after="0" w:line="240" w:lineRule="auto"/>
        <w:jc w:val="both"/>
        <w:rPr>
          <w:rFonts w:ascii="Verdana" w:eastAsia="Verdana" w:hAnsi="Verdana" w:cs="Verdana"/>
          <w:lang w:val="es-MX"/>
        </w:rPr>
      </w:pPr>
    </w:p>
    <w:p w14:paraId="2C90D714" w14:textId="77777777" w:rsidR="00AD5763" w:rsidRPr="00FF3532" w:rsidRDefault="00AD5763" w:rsidP="00AD5763">
      <w:pPr>
        <w:shd w:val="clear" w:color="auto" w:fill="FFFFFF" w:themeFill="background1"/>
        <w:spacing w:after="120" w:line="276" w:lineRule="auto"/>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lastRenderedPageBreak/>
        <w:t>La Ley 136 de 1994 introdujo un tipo especial de contratación cuyo objetivo consiste en la celebración de convenios solidarios, definido en el parágrafo tercero del artículo 3 como “</w:t>
      </w:r>
      <w:r w:rsidRPr="00FF3532">
        <w:rPr>
          <w:rFonts w:ascii="Verdana" w:eastAsia="Calibri" w:hAnsi="Verdana" w:cs="Arial"/>
          <w:i/>
          <w:iCs/>
          <w:color w:val="000000" w:themeColor="text1"/>
          <w:lang w:val="es-ES"/>
        </w:rPr>
        <w:t>la complementación de esfuerzos institucionales, comunitarios, económicos y sociales para la construcción de obras y la satisfacción de necesidades y aspiraciones de las comunidades”.</w:t>
      </w:r>
      <w:r w:rsidRPr="00FF3532">
        <w:rPr>
          <w:rFonts w:ascii="Verdana" w:eastAsia="Calibri" w:hAnsi="Verdana" w:cs="Arial"/>
          <w:color w:val="000000" w:themeColor="text1"/>
          <w:lang w:val="es-ES"/>
        </w:rPr>
        <w:t xml:space="preserve"> En este sentido, reiterando la tesis expuesta por esta Agencia en el Concepto C-140 del 31 de abril de 2020, el artículo tercero de la Ley 136 de 1994, modificado por la Ley 1551 de 2012, determinó, en una primera instancia, tres (3) alternativas mediante las cuales las entidades territoriales pueden celebrar convenios solidarios con las Juntas de Acción Comunal, las cuales se enlistan a continuación:</w:t>
      </w:r>
    </w:p>
    <w:p w14:paraId="4B97D9BB"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color w:val="000000" w:themeColor="text1"/>
        </w:rPr>
      </w:pPr>
      <w:r w:rsidRPr="00FF3532">
        <w:rPr>
          <w:rFonts w:ascii="Verdana" w:eastAsia="Calibri" w:hAnsi="Verdana" w:cs="Arial"/>
          <w:color w:val="000000" w:themeColor="text1"/>
        </w:rPr>
        <w:t>i) En primer lugar, las entidades territoriales del orden municipal o distrital pueden celebrar convenios solidarios con Juntas de Acción Comunal</w:t>
      </w:r>
      <w:r w:rsidRPr="00FF3532">
        <w:rPr>
          <w:rFonts w:ascii="Verdana" w:eastAsia="Calibri" w:hAnsi="Verdana" w:cs="Arial"/>
          <w:i/>
          <w:iCs/>
          <w:color w:val="000000" w:themeColor="text1"/>
        </w:rPr>
        <w:t xml:space="preserve"> “[…] para el desarrollo conjunto de programas y actividades establecidas por la Ley a los municipios y distritos, acorde con sus planes y desarrollos</w:t>
      </w:r>
      <w:r w:rsidRPr="00FF3532">
        <w:rPr>
          <w:rFonts w:ascii="Verdana" w:eastAsia="Calibri" w:hAnsi="Verdana" w:cs="Arial"/>
          <w:color w:val="000000" w:themeColor="text1"/>
        </w:rPr>
        <w:t>”</w:t>
      </w:r>
      <w:r w:rsidRPr="00FF3532">
        <w:rPr>
          <w:rFonts w:ascii="Verdana" w:hAnsi="Verdana"/>
          <w:vertAlign w:val="superscript"/>
        </w:rPr>
        <w:footnoteReference w:id="1"/>
      </w:r>
      <w:r w:rsidRPr="00FF3532">
        <w:rPr>
          <w:rFonts w:ascii="Verdana" w:eastAsia="Calibri" w:hAnsi="Verdana" w:cs="Arial"/>
          <w:color w:val="000000" w:themeColor="text1"/>
        </w:rPr>
        <w:t>.</w:t>
      </w:r>
    </w:p>
    <w:p w14:paraId="1B88AF01"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t xml:space="preserve">ii) En segundo lugar, existe la opción, establecida en el parágrafo cuarto de la norma en cita, consistente en que las entidades territoriales del orden departamental y municipal podrán celebrar directamente convenios solidarios con juntas de acción comunal para la ejecución de obras hasta por la mínima cuantía. </w:t>
      </w:r>
    </w:p>
    <w:p w14:paraId="65AE8B8F"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t xml:space="preserve">iii) En tercer lugar, la Ley 1955 de 2019 introdujo un quinto parágrafo al artículo tercero, mediante el cual se permite la celebración de convenios solidarios en aras de ejecutar proyectos previstos en el Plan Nacional de Desarrollo. </w:t>
      </w:r>
    </w:p>
    <w:p w14:paraId="742CD0C0"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t xml:space="preserve">Existen características </w:t>
      </w:r>
      <w:r w:rsidRPr="00FF3532">
        <w:rPr>
          <w:rFonts w:ascii="Verdana" w:hAnsi="Verdana" w:cs="Arial"/>
          <w:color w:val="000000" w:themeColor="text1"/>
          <w:lang w:val="es-ES"/>
        </w:rPr>
        <w:t>generales aplicables a la celebración de cualquier convenio solidario</w:t>
      </w:r>
      <w:r w:rsidRPr="00FF3532">
        <w:rPr>
          <w:rFonts w:ascii="Verdana" w:eastAsia="Calibri" w:hAnsi="Verdana" w:cs="Arial"/>
          <w:color w:val="000000" w:themeColor="text1"/>
          <w:lang w:val="es-ES"/>
        </w:rPr>
        <w:t xml:space="preserve"> que se encuentran presentes en los tres regímenes de contratación expuestos y que están contenidas en el parágrafo tercero del artículo 3 de la Ley 136 de 1994, en consonancia con el artículo 355 de la Constitución Política. En ese sentido, debe tenerse en cuenta que todos los convenios solidarios celebrados deben, en primer lugar, satisfacer las </w:t>
      </w:r>
      <w:r w:rsidRPr="00FF3532">
        <w:rPr>
          <w:rFonts w:ascii="Verdana" w:eastAsia="Calibri" w:hAnsi="Verdana" w:cs="Arial"/>
          <w:color w:val="000000" w:themeColor="text1"/>
          <w:lang w:val="es-ES"/>
        </w:rPr>
        <w:lastRenderedPageBreak/>
        <w:t xml:space="preserve">necesidades y aspiraciones de las comunidades, en segundo lugar, deben estar encaminados a la satisfacción del interés público, y finalmente, ser concordantes con el Plan Nacional o los planes seccionales de desarrollo, según el caso. </w:t>
      </w:r>
    </w:p>
    <w:p w14:paraId="765153DA" w14:textId="77777777" w:rsidR="00AD5763" w:rsidRPr="00FF3532" w:rsidRDefault="00AD5763" w:rsidP="00AD5763">
      <w:pPr>
        <w:shd w:val="clear" w:color="auto" w:fill="FFFFFF" w:themeFill="background1"/>
        <w:spacing w:after="120" w:line="276" w:lineRule="auto"/>
        <w:ind w:firstLine="709"/>
        <w:jc w:val="both"/>
        <w:rPr>
          <w:rFonts w:ascii="Verdana" w:hAnsi="Verdana" w:cs="Arial"/>
          <w:color w:val="000000" w:themeColor="text1"/>
          <w:lang w:val="es-ES"/>
        </w:rPr>
      </w:pPr>
      <w:r w:rsidRPr="00FF3532">
        <w:rPr>
          <w:rFonts w:ascii="Verdana" w:hAnsi="Verdana" w:cs="Arial"/>
          <w:color w:val="000000" w:themeColor="text1"/>
          <w:lang w:val="es-ES"/>
        </w:rPr>
        <w:t xml:space="preserve">Posteriormente, con la expedición de la Ley 2166 de 2021, se presentan modificaciones para la celebración de convenios solidarios con Organismos de Acción Comunal. En primer lugar, </w:t>
      </w:r>
      <w:r w:rsidRPr="00FF3532">
        <w:rPr>
          <w:rFonts w:ascii="Verdana" w:hAnsi="Verdana" w:cs="Arial"/>
          <w:bCs/>
          <w:color w:val="000000" w:themeColor="text1"/>
          <w:lang w:eastAsia="es-MX"/>
        </w:rPr>
        <w:t>el artículo 95 de dicha ley contempló la celebración de directa de convenios solidarios entre Organismos de Acción Comunal y “los entes territoriales del orden Nacional, Departamental, Distrital y municipal”. Según se evidencia, esta norma desarrolla las siguientes reglas:</w:t>
      </w:r>
    </w:p>
    <w:p w14:paraId="290AC703"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_tradnl"/>
        </w:rPr>
      </w:pPr>
      <w:r w:rsidRPr="00FF3532">
        <w:rPr>
          <w:rFonts w:ascii="Verdana" w:hAnsi="Verdana" w:cs="Arial"/>
          <w:bCs/>
          <w:color w:val="000000" w:themeColor="text1"/>
          <w:lang w:eastAsia="es-MX"/>
        </w:rPr>
        <w:t xml:space="preserve">i) Las </w:t>
      </w:r>
      <w:r w:rsidRPr="00FF3532">
        <w:rPr>
          <w:rFonts w:ascii="Verdana" w:eastAsia="Calibri" w:hAnsi="Verdana" w:cs="Arial"/>
          <w:i/>
          <w:iCs/>
          <w:color w:val="000000" w:themeColor="text1"/>
          <w:lang w:val="es-ES_tradnl"/>
        </w:rPr>
        <w:t>“</w:t>
      </w:r>
      <w:r w:rsidRPr="00FF3532">
        <w:rPr>
          <w:rFonts w:ascii="Verdana" w:hAnsi="Verdana" w:cs="Arial"/>
          <w:bCs/>
          <w:i/>
          <w:iCs/>
          <w:color w:val="000000" w:themeColor="text1"/>
          <w:lang w:eastAsia="es-MX"/>
        </w:rPr>
        <w:t>entidades territoriales del</w:t>
      </w:r>
      <w:r w:rsidRPr="00FF3532">
        <w:rPr>
          <w:rFonts w:ascii="Verdana" w:eastAsia="Calibri" w:hAnsi="Verdana" w:cs="Arial"/>
          <w:i/>
          <w:iCs/>
          <w:color w:val="000000" w:themeColor="text1"/>
          <w:lang w:val="es-ES_tradnl"/>
        </w:rPr>
        <w:t xml:space="preserve"> </w:t>
      </w:r>
      <w:r w:rsidRPr="00FF3532">
        <w:rPr>
          <w:rFonts w:ascii="Verdana" w:hAnsi="Verdana" w:cs="Arial"/>
          <w:i/>
          <w:iCs/>
          <w:color w:val="000000" w:themeColor="text1"/>
        </w:rPr>
        <w:t>orden Nacional, Departamental, Distrital y municipal</w:t>
      </w:r>
      <w:r w:rsidRPr="00FF3532">
        <w:rPr>
          <w:rFonts w:ascii="Verdana" w:eastAsia="Calibri" w:hAnsi="Verdana" w:cs="Arial"/>
          <w:i/>
          <w:iCs/>
          <w:color w:val="000000" w:themeColor="text1"/>
          <w:lang w:val="es-ES_tradnl"/>
        </w:rPr>
        <w:t>”</w:t>
      </w:r>
      <w:r w:rsidRPr="00FF3532">
        <w:rPr>
          <w:rFonts w:ascii="Verdana" w:eastAsia="Calibri" w:hAnsi="Verdana" w:cs="Arial"/>
          <w:color w:val="000000" w:themeColor="text1"/>
          <w:lang w:val="es-ES_tradnl"/>
        </w:rPr>
        <w:t xml:space="preserve"> y los Organismos de Acción Comunal podrán celebrar directamente convenios solidarios, es decir, la modalidad de contratación establecida para este caso es la contratación directa. Para el efecto, debe tenerse en cuenta la clasificación que realiza el artículo 7 de la Ley 2166 de 2021 de los Organismos de Acción Comunal, de manera que la celebración de estos convenios puede realizarse con cualquiera de los Organismos de Acción Comunal allí contemplados, pues la norma se refiere de forma general a los </w:t>
      </w:r>
      <w:r w:rsidRPr="00FF3532">
        <w:rPr>
          <w:rFonts w:ascii="Verdana" w:eastAsia="Calibri" w:hAnsi="Verdana" w:cs="Arial"/>
          <w:i/>
          <w:iCs/>
          <w:color w:val="000000" w:themeColor="text1"/>
          <w:lang w:val="es-ES_tradnl"/>
        </w:rPr>
        <w:t>Organismos de Acción Comunal</w:t>
      </w:r>
      <w:r w:rsidRPr="00FF3532">
        <w:rPr>
          <w:rStyle w:val="Refdenotaalpie"/>
          <w:rFonts w:ascii="Verdana" w:eastAsia="Calibri" w:hAnsi="Verdana" w:cs="Arial"/>
          <w:color w:val="000000" w:themeColor="text1"/>
          <w:lang w:val="es-ES_tradnl"/>
        </w:rPr>
        <w:footnoteReference w:id="2"/>
      </w:r>
      <w:r w:rsidRPr="00FF3532">
        <w:rPr>
          <w:rFonts w:ascii="Verdana" w:eastAsia="Calibri" w:hAnsi="Verdana" w:cs="Arial"/>
          <w:color w:val="000000" w:themeColor="text1"/>
          <w:lang w:val="es-ES_tradnl"/>
        </w:rPr>
        <w:t xml:space="preserve">.  </w:t>
      </w:r>
    </w:p>
    <w:p w14:paraId="1D817876"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lastRenderedPageBreak/>
        <w:t xml:space="preserve">ii) Estos convenios solidarios deben tener por objeto únicamente la ejecución de obras. Esto significa que no pueden desarrollarse otros objetos distintos a la obra con fundamento en este artículo. </w:t>
      </w:r>
    </w:p>
    <w:p w14:paraId="0AF70D74"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t xml:space="preserve">iii) El convenio solidario tiene un límite consistente en que no podrá exceder la menor cuantía de la entidad. Por tanto, los sujetos señalados en la norma están facultados para celebrar estos convenios por la mínima o la menor cuantía de la entidad, para lo cual se atenderá lo previsto en el literal b) del artículo 2 de la Ley 1150 de 2007 para determinar el tope de la menor cuantía de la Entidad Estatal. </w:t>
      </w:r>
    </w:p>
    <w:p w14:paraId="42CBD2AA"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
        </w:rPr>
      </w:pPr>
      <w:r w:rsidRPr="00FF3532">
        <w:rPr>
          <w:rFonts w:ascii="Verdana" w:eastAsia="Calibri" w:hAnsi="Verdana" w:cs="Arial"/>
          <w:color w:val="000000" w:themeColor="text1"/>
          <w:lang w:val="es-ES"/>
        </w:rPr>
        <w:t>iv) Para la ejecución de las obras se establece el deber de contratar con los habitantes de la comunidad.</w:t>
      </w:r>
    </w:p>
    <w:p w14:paraId="205D8E17"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rPr>
      </w:pPr>
      <w:r w:rsidRPr="00FF3532">
        <w:rPr>
          <w:rFonts w:ascii="Verdana" w:eastAsia="Calibri" w:hAnsi="Verdana" w:cs="Arial"/>
          <w:color w:val="000000" w:themeColor="text1"/>
          <w:lang w:val="es-ES_tradnl"/>
        </w:rPr>
        <w:t xml:space="preserve">v) En el valor total del convenio la entidad podrá incluir los costos directos, los costos administrativos y el subsidio </w:t>
      </w:r>
      <w:r w:rsidRPr="00FF3532">
        <w:rPr>
          <w:rFonts w:ascii="Verdana" w:eastAsia="Calibri" w:hAnsi="Verdana" w:cs="Arial"/>
          <w:color w:val="000000" w:themeColor="text1"/>
        </w:rPr>
        <w:t xml:space="preserve">al dignatario representante legal para transportes de que trata el literal c) del artículo 38 de la Ley 2166 de 2021. Estos costos deberán incluirse en el ejercicio de planeación que realice la entidad y estar debidamente justificados. </w:t>
      </w:r>
    </w:p>
    <w:p w14:paraId="4020C306"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_tradnl"/>
        </w:rPr>
      </w:pPr>
      <w:r w:rsidRPr="00FF3532">
        <w:rPr>
          <w:rFonts w:ascii="Verdana" w:eastAsia="Calibri" w:hAnsi="Verdana" w:cs="Arial"/>
          <w:color w:val="000000" w:themeColor="text1"/>
        </w:rPr>
        <w:t>vi) Las entidades deberán contar con personal técnico y administrativo-contable para apoyar y supervisar a los Organismos de Acción Comunal durante la ejecución de las obras. De acuerdo con el parágrafo 2 del artículo 95 de la Ley 2166 de 2021, para garantizar este personal de apoyo las Entidades Estatales deben contar con unos recursos adicionales a los comprendidos dentro del valor del Convenio Solidario.</w:t>
      </w:r>
    </w:p>
    <w:p w14:paraId="43E69FA3" w14:textId="77777777" w:rsidR="00AD5763" w:rsidRPr="00FF3532" w:rsidRDefault="00AD5763" w:rsidP="00AD5763">
      <w:pPr>
        <w:shd w:val="clear" w:color="auto" w:fill="FFFFFF" w:themeFill="background1"/>
        <w:spacing w:after="120" w:line="276" w:lineRule="auto"/>
        <w:ind w:firstLine="709"/>
        <w:jc w:val="both"/>
        <w:rPr>
          <w:rFonts w:ascii="Verdana" w:eastAsia="Calibri" w:hAnsi="Verdana" w:cs="Arial"/>
          <w:color w:val="000000" w:themeColor="text1"/>
          <w:lang w:val="es-ES_tradnl"/>
        </w:rPr>
      </w:pPr>
      <w:r w:rsidRPr="00FF3532">
        <w:rPr>
          <w:rFonts w:ascii="Verdana" w:hAnsi="Verdana" w:cs="Arial"/>
          <w:bCs/>
          <w:color w:val="000000" w:themeColor="text1"/>
          <w:lang w:eastAsia="es-MX"/>
        </w:rPr>
        <w:t xml:space="preserve">Como se observa, el artículo 95 de la Ley 2166 de 2021 determinó la celebración por contratación directa de convenios solidarios. Este régimen de contratación, como se explicó, ya se había contemplado inicialmente en el parágrafo 4 del artículo 3 de la Ley 136 de 1994. Sin embargo, el contenido del artículo 95 es más amplio en relación con los sujetos, la cuantía del contrato y la ejecución de dichos convenios. En efecto, el artículo 95 incluye a los </w:t>
      </w:r>
      <w:r w:rsidRPr="00FF3532">
        <w:rPr>
          <w:rFonts w:ascii="Verdana" w:eastAsia="Calibri" w:hAnsi="Verdana" w:cs="Arial"/>
          <w:color w:val="000000" w:themeColor="text1"/>
          <w:lang w:val="es-ES_tradnl"/>
        </w:rPr>
        <w:t>“</w:t>
      </w:r>
      <w:r w:rsidRPr="00FF3532">
        <w:rPr>
          <w:rFonts w:ascii="Verdana" w:hAnsi="Verdana" w:cs="Arial"/>
          <w:bCs/>
          <w:i/>
          <w:iCs/>
          <w:color w:val="000000" w:themeColor="text1"/>
          <w:lang w:eastAsia="es-MX"/>
        </w:rPr>
        <w:t>entes territoriales del</w:t>
      </w:r>
      <w:r w:rsidRPr="00FF3532">
        <w:rPr>
          <w:rFonts w:ascii="Verdana" w:eastAsia="Calibri" w:hAnsi="Verdana" w:cs="Arial"/>
          <w:i/>
          <w:iCs/>
          <w:color w:val="000000" w:themeColor="text1"/>
          <w:lang w:val="es-ES_tradnl"/>
        </w:rPr>
        <w:t xml:space="preserve"> </w:t>
      </w:r>
      <w:r w:rsidRPr="00FF3532">
        <w:rPr>
          <w:rFonts w:ascii="Verdana" w:hAnsi="Verdana" w:cs="Arial"/>
          <w:i/>
          <w:iCs/>
          <w:color w:val="000000" w:themeColor="text1"/>
        </w:rPr>
        <w:t>orden Nacional, Departamental, Distrital y municipal</w:t>
      </w:r>
      <w:r w:rsidRPr="00FF3532">
        <w:rPr>
          <w:rFonts w:ascii="Verdana" w:eastAsia="Calibri" w:hAnsi="Verdana" w:cs="Arial"/>
          <w:i/>
          <w:iCs/>
          <w:color w:val="000000" w:themeColor="text1"/>
          <w:lang w:val="es-ES_tradnl"/>
        </w:rPr>
        <w:t>”</w:t>
      </w:r>
      <w:r w:rsidRPr="00FF3532">
        <w:rPr>
          <w:rFonts w:ascii="Verdana" w:eastAsia="Calibri" w:hAnsi="Verdana" w:cs="Arial"/>
          <w:color w:val="000000" w:themeColor="text1"/>
          <w:lang w:val="es-ES_tradnl"/>
        </w:rPr>
        <w:t xml:space="preserve"> y a los “Organismos de Acción Comunal”. Es decir, </w:t>
      </w:r>
      <w:r w:rsidRPr="00FF3532">
        <w:rPr>
          <w:rFonts w:ascii="Verdana" w:hAnsi="Verdana" w:cs="Arial"/>
          <w:bCs/>
          <w:color w:val="000000" w:themeColor="text1"/>
          <w:lang w:eastAsia="es-MX"/>
        </w:rPr>
        <w:t xml:space="preserve">conforme a esta Ley podrán celebrar convenios solidarios directamente no solo los entes territoriales del orden departamental, municipal y distrital sino también las entidades del orden nacional y se podrán celebrar con todos los Organismos de Acción Comunal y no únicamente con las Juntas de Acción Comunal. Además, se amplía la cuantía de </w:t>
      </w:r>
      <w:r w:rsidRPr="00FF3532">
        <w:rPr>
          <w:rFonts w:ascii="Verdana" w:hAnsi="Verdana" w:cs="Arial"/>
          <w:bCs/>
          <w:color w:val="000000" w:themeColor="text1"/>
          <w:lang w:eastAsia="es-MX"/>
        </w:rPr>
        <w:lastRenderedPageBreak/>
        <w:t>los convenios permitiendo que se contraten hasta por la menor cuantía y no solo por la mínima cuantía.</w:t>
      </w:r>
    </w:p>
    <w:p w14:paraId="0186FD9F"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color w:val="000000" w:themeColor="text1"/>
          <w:lang w:val="es-ES_tradnl"/>
        </w:rPr>
      </w:pPr>
      <w:r w:rsidRPr="00FF3532">
        <w:rPr>
          <w:rFonts w:ascii="Verdana" w:hAnsi="Verdana" w:cs="Arial"/>
          <w:bCs/>
          <w:color w:val="000000" w:themeColor="text1"/>
          <w:lang w:eastAsia="es-MX"/>
        </w:rPr>
        <w:t>En relación con los sujetos, es importante señalar que,</w:t>
      </w:r>
      <w:r w:rsidRPr="00FF3532">
        <w:rPr>
          <w:rFonts w:ascii="Verdana" w:eastAsia="Calibri" w:hAnsi="Verdana" w:cs="Arial"/>
          <w:color w:val="000000" w:themeColor="text1"/>
          <w:lang w:val="es-ES_tradnl"/>
        </w:rPr>
        <w:t xml:space="preserve"> aunque la norma de forma imprecisa incluye como parte de los “entes territoriales” a las entidades del orden nacional</w:t>
      </w:r>
      <w:r w:rsidRPr="00FF3532">
        <w:rPr>
          <w:rStyle w:val="Refdenotaalpie"/>
          <w:rFonts w:ascii="Verdana" w:eastAsia="Calibri" w:hAnsi="Verdana" w:cs="Arial"/>
          <w:color w:val="000000" w:themeColor="text1"/>
          <w:lang w:val="es-ES_tradnl"/>
        </w:rPr>
        <w:footnoteReference w:id="3"/>
      </w:r>
      <w:r w:rsidRPr="00FF3532">
        <w:rPr>
          <w:rFonts w:ascii="Verdana" w:eastAsia="Calibri" w:hAnsi="Verdana" w:cs="Arial"/>
          <w:color w:val="000000" w:themeColor="text1"/>
          <w:lang w:val="es-ES_tradnl"/>
        </w:rPr>
        <w:t>, a nuestro juicio su intención no es otra que incluir a las entidades del orden nacional dentro de los sujetos que pueden celebrar estos convenios solidarios con los Organismos de Acción Comunal.</w:t>
      </w:r>
    </w:p>
    <w:p w14:paraId="32BC623A" w14:textId="77777777" w:rsidR="00AD5763" w:rsidRPr="00FF3532" w:rsidRDefault="00AD5763" w:rsidP="00AD5763">
      <w:pPr>
        <w:shd w:val="clear" w:color="auto" w:fill="FFFFFF" w:themeFill="background1"/>
        <w:spacing w:after="120" w:line="276" w:lineRule="auto"/>
        <w:ind w:firstLine="708"/>
        <w:jc w:val="both"/>
        <w:rPr>
          <w:rFonts w:ascii="Verdana" w:hAnsi="Verdana" w:cs="Arial"/>
          <w:color w:val="000000" w:themeColor="text1"/>
          <w:lang w:val="es-ES" w:eastAsia="es-MX"/>
        </w:rPr>
      </w:pPr>
      <w:r w:rsidRPr="00FF3532">
        <w:rPr>
          <w:rFonts w:ascii="Verdana" w:hAnsi="Verdana" w:cs="Arial"/>
          <w:bCs/>
          <w:color w:val="000000" w:themeColor="text1"/>
          <w:lang w:eastAsia="es-MX"/>
        </w:rPr>
        <w:t xml:space="preserve">En segundo lugar, el artículo 63 de la </w:t>
      </w:r>
      <w:r w:rsidRPr="00FF3532">
        <w:rPr>
          <w:rFonts w:ascii="Verdana" w:hAnsi="Verdana" w:cs="Arial"/>
          <w:color w:val="000000" w:themeColor="text1"/>
          <w:lang w:val="es-ES" w:eastAsia="es-MX"/>
        </w:rPr>
        <w:t>Ley 2166 de 2021, contempló otra modificación importante sobre la celebración de convenios solidarios, pues en virtud de este artículo, las Organismos de Acción Comunal cuentan con la posibilidad de vincularse al desarrollo y mejoramiento municipal mediante la participación en el ejercicio de las funciones, la prestación de servicios o la ejecución de obras públicas a cargo de la administración central o descentralizada.</w:t>
      </w:r>
    </w:p>
    <w:p w14:paraId="00111E05"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color w:val="000000" w:themeColor="text1"/>
          <w:lang w:val="es-ES"/>
        </w:rPr>
      </w:pPr>
      <w:r w:rsidRPr="00FF3532">
        <w:rPr>
          <w:rFonts w:ascii="Verdana" w:hAnsi="Verdana" w:cs="Arial"/>
          <w:color w:val="000000" w:themeColor="text1"/>
          <w:lang w:val="es-ES" w:eastAsia="es-MX"/>
        </w:rPr>
        <w:t xml:space="preserve">Es necesario tener en cuenta que </w:t>
      </w:r>
      <w:r w:rsidRPr="00FF3532">
        <w:rPr>
          <w:rFonts w:ascii="Verdana" w:hAnsi="Verdana" w:cs="Arial"/>
          <w:color w:val="000000" w:themeColor="text1"/>
          <w:lang w:eastAsia="es-MX"/>
        </w:rPr>
        <w:t xml:space="preserve">esta </w:t>
      </w:r>
      <w:r w:rsidRPr="00FF3532">
        <w:rPr>
          <w:rFonts w:ascii="Verdana" w:hAnsi="Verdana" w:cs="Arial"/>
          <w:color w:val="000000" w:themeColor="text1"/>
          <w:lang w:val="es-ES" w:eastAsia="es-MX"/>
        </w:rPr>
        <w:t xml:space="preserve">disposición contempla supuestos distintos al establecido en el artículo 95 de la Ley 2166 de 2021. En efecto, el parágrafo 2 del artículo 63 </w:t>
      </w:r>
      <w:r w:rsidRPr="00FF3532">
        <w:rPr>
          <w:rFonts w:ascii="Verdana" w:hAnsi="Verdana" w:cs="Arial"/>
          <w:i/>
          <w:iCs/>
          <w:color w:val="000000" w:themeColor="text1"/>
          <w:lang w:val="es-ES" w:eastAsia="es-MX"/>
        </w:rPr>
        <w:t xml:space="preserve">ibidem </w:t>
      </w:r>
      <w:r w:rsidRPr="00FF3532">
        <w:rPr>
          <w:rFonts w:ascii="Verdana" w:hAnsi="Verdana" w:cs="Arial"/>
          <w:color w:val="000000" w:themeColor="text1"/>
          <w:lang w:val="es-ES" w:eastAsia="es-MX"/>
        </w:rPr>
        <w:t xml:space="preserve">permite la celebración de convenios solidarios con </w:t>
      </w:r>
      <w:r w:rsidRPr="00FF3532">
        <w:rPr>
          <w:rFonts w:ascii="Verdana" w:hAnsi="Verdana" w:cs="Arial"/>
          <w:color w:val="000000" w:themeColor="text1"/>
          <w:lang w:eastAsia="es-MX"/>
        </w:rPr>
        <w:t>Organismos de Acción Comunal con la finalidad de que estos se vinculen al desarrollo y mejoramiento municipal mediante: i) su participación en el ejercicio de sus funciones, ii) la prestación de bienes y servicios o iii) la ejecución de obras públicas</w:t>
      </w:r>
      <w:r w:rsidRPr="00FF3532">
        <w:rPr>
          <w:rFonts w:ascii="Verdana" w:hAnsi="Verdana" w:cs="Arial"/>
          <w:color w:val="000000" w:themeColor="text1"/>
          <w:sz w:val="21"/>
          <w:szCs w:val="21"/>
        </w:rPr>
        <w:t xml:space="preserve"> </w:t>
      </w:r>
      <w:r w:rsidRPr="00FF3532">
        <w:rPr>
          <w:rFonts w:ascii="Verdana" w:hAnsi="Verdana" w:cs="Arial"/>
          <w:color w:val="000000" w:themeColor="text1"/>
          <w:lang w:eastAsia="es-MX"/>
        </w:rPr>
        <w:t xml:space="preserve">cargo de la administración central o descentralizada, todos estos objetos contractuales </w:t>
      </w:r>
      <w:r w:rsidRPr="00FF3532">
        <w:rPr>
          <w:rFonts w:ascii="Verdana" w:hAnsi="Verdana" w:cs="Arial"/>
          <w:color w:val="000000" w:themeColor="text1"/>
          <w:sz w:val="21"/>
          <w:szCs w:val="21"/>
        </w:rPr>
        <w:t>hasta por la menor cuantía de la Entidad</w:t>
      </w:r>
      <w:r w:rsidRPr="00FF3532">
        <w:rPr>
          <w:rFonts w:ascii="Verdana" w:hAnsi="Verdana" w:cs="Arial"/>
          <w:color w:val="000000" w:themeColor="text1"/>
          <w:lang w:eastAsia="es-MX"/>
        </w:rPr>
        <w:t xml:space="preserve">. Además, con fundamento en este artículo, las entidades del orden nacional, departamental, distrital, local y municipal y los Organismos de Acción Comunal podrán ejecutar los proyectos incluidos en el respectivo Plan Nacional de Desarrollo o para la ejecución de los proyectos derivados del Acuerdo Final de Paz, como lo son, los Programas de Desarrollo con Enfoque territorial o los Planes de Acción para la Transformación Regional (PATR) o la Hoja de Ruta Única Como se observa, la norma señalada contempla diversos objetos para la celebración de convenios solidarios, mientras que en contraste el artículo 95 </w:t>
      </w:r>
      <w:r w:rsidRPr="00FF3532">
        <w:rPr>
          <w:rFonts w:ascii="Verdana" w:hAnsi="Verdana" w:cs="Arial"/>
          <w:color w:val="000000" w:themeColor="text1"/>
          <w:lang w:val="es-ES" w:eastAsia="es-MX"/>
        </w:rPr>
        <w:t>de la Ley 2166 de 2021 permite la ejecución de obras.</w:t>
      </w:r>
    </w:p>
    <w:p w14:paraId="2BB967B8" w14:textId="77777777" w:rsidR="00AD5763" w:rsidRPr="00FF3532" w:rsidRDefault="00AD5763" w:rsidP="00AD5763">
      <w:pPr>
        <w:shd w:val="clear" w:color="auto" w:fill="FFFFFF" w:themeFill="background1"/>
        <w:spacing w:after="120" w:line="276" w:lineRule="auto"/>
        <w:ind w:firstLine="708"/>
        <w:jc w:val="both"/>
        <w:rPr>
          <w:rFonts w:ascii="Verdana" w:hAnsi="Verdana" w:cs="Arial"/>
          <w:color w:val="000000" w:themeColor="text1"/>
          <w:lang w:val="es-ES"/>
        </w:rPr>
      </w:pPr>
      <w:r w:rsidRPr="00FF3532">
        <w:rPr>
          <w:rFonts w:ascii="Verdana" w:hAnsi="Verdana" w:cs="Arial"/>
          <w:color w:val="000000" w:themeColor="text1"/>
          <w:lang w:eastAsia="es-MX"/>
        </w:rPr>
        <w:lastRenderedPageBreak/>
        <w:t xml:space="preserve">Aunado a lo anterior, para la celebración de dichos convenios el inciso primero del citado artículo 63 remite al artículo 141 de la Ley 136 de 1994, en virtud del cual </w:t>
      </w:r>
      <w:r w:rsidRPr="00FF3532">
        <w:rPr>
          <w:rFonts w:ascii="Verdana" w:eastAsia="Calibri" w:hAnsi="Verdana" w:cs="Arial"/>
          <w:color w:val="000000" w:themeColor="text1"/>
          <w:lang w:val="es-ES_tradnl"/>
        </w:rPr>
        <w:t>“</w:t>
      </w:r>
      <w:r w:rsidRPr="00FF3532">
        <w:rPr>
          <w:rFonts w:ascii="Verdana" w:hAnsi="Verdana" w:cs="Arial"/>
          <w:i/>
          <w:iCs/>
          <w:color w:val="000000" w:themeColor="text1"/>
          <w:lang w:eastAsia="es-MX"/>
        </w:rPr>
        <w:t xml:space="preserve">Los contratos o convenios que se celebren en desarrollo del artículo anterior, se sujetarán a lo dispuesto por los artículos </w:t>
      </w:r>
      <w:hyperlink r:id="rId12" w:anchor="375" w:history="1">
        <w:r w:rsidRPr="00FF3532">
          <w:rPr>
            <w:rStyle w:val="Hipervnculo"/>
            <w:rFonts w:ascii="Verdana" w:hAnsi="Verdana" w:cs="Arial"/>
            <w:i/>
            <w:iCs/>
            <w:color w:val="000000" w:themeColor="text1"/>
            <w:lang w:eastAsia="es-MX"/>
          </w:rPr>
          <w:t>375</w:t>
        </w:r>
      </w:hyperlink>
      <w:r w:rsidRPr="00FF3532">
        <w:rPr>
          <w:rFonts w:ascii="Verdana" w:hAnsi="Verdana" w:cs="Arial"/>
          <w:i/>
          <w:iCs/>
          <w:color w:val="000000" w:themeColor="text1"/>
          <w:lang w:eastAsia="es-MX"/>
        </w:rPr>
        <w:t xml:space="preserve"> a </w:t>
      </w:r>
      <w:hyperlink r:id="rId13" w:anchor="378" w:history="1">
        <w:r w:rsidRPr="00FF3532">
          <w:rPr>
            <w:rStyle w:val="Hipervnculo"/>
            <w:rFonts w:ascii="Verdana" w:hAnsi="Verdana" w:cs="Arial"/>
            <w:i/>
            <w:iCs/>
            <w:color w:val="000000" w:themeColor="text1"/>
            <w:lang w:eastAsia="es-MX"/>
          </w:rPr>
          <w:t>378</w:t>
        </w:r>
      </w:hyperlink>
      <w:r w:rsidRPr="00FF3532">
        <w:rPr>
          <w:rFonts w:ascii="Verdana" w:hAnsi="Verdana" w:cs="Arial"/>
          <w:i/>
          <w:iCs/>
          <w:color w:val="000000" w:themeColor="text1"/>
          <w:lang w:eastAsia="es-MX"/>
        </w:rPr>
        <w:t xml:space="preserve"> del Decreto 1333 de 1986 y la Ley </w:t>
      </w:r>
      <w:hyperlink r:id="rId14" w:anchor="inicio" w:history="1">
        <w:r w:rsidRPr="00FF3532">
          <w:rPr>
            <w:rStyle w:val="Hipervnculo"/>
            <w:rFonts w:ascii="Verdana" w:hAnsi="Verdana" w:cs="Arial"/>
            <w:i/>
            <w:iCs/>
            <w:color w:val="000000" w:themeColor="text1"/>
            <w:lang w:eastAsia="es-MX"/>
          </w:rPr>
          <w:t>80</w:t>
        </w:r>
      </w:hyperlink>
      <w:r w:rsidRPr="00FF3532">
        <w:rPr>
          <w:rFonts w:ascii="Verdana" w:hAnsi="Verdana" w:cs="Arial"/>
          <w:i/>
          <w:iCs/>
          <w:color w:val="000000" w:themeColor="text1"/>
          <w:lang w:eastAsia="es-MX"/>
        </w:rPr>
        <w:t xml:space="preserve"> de 1993</w:t>
      </w:r>
      <w:r w:rsidRPr="00FF3532">
        <w:rPr>
          <w:rFonts w:ascii="Verdana" w:eastAsia="Calibri" w:hAnsi="Verdana" w:cs="Arial"/>
          <w:i/>
          <w:iCs/>
          <w:color w:val="000000" w:themeColor="text1"/>
          <w:lang w:val="es-ES_tradnl"/>
        </w:rPr>
        <w:t>”</w:t>
      </w:r>
      <w:r w:rsidRPr="00FF3532">
        <w:rPr>
          <w:rFonts w:ascii="Verdana" w:hAnsi="Verdana" w:cs="Arial"/>
          <w:i/>
          <w:iCs/>
          <w:color w:val="000000" w:themeColor="text1"/>
          <w:lang w:eastAsia="es-MX"/>
        </w:rPr>
        <w:t>.</w:t>
      </w:r>
      <w:r w:rsidRPr="00FF3532">
        <w:rPr>
          <w:rFonts w:ascii="Verdana" w:hAnsi="Verdana" w:cs="Arial"/>
          <w:color w:val="000000" w:themeColor="text1"/>
          <w:lang w:eastAsia="es-MX"/>
        </w:rPr>
        <w:t xml:space="preserve"> En este sentido, y retomando las consideraciones de los conceptos de esta Agencia, lo anterior implica que los convenios solidarios que se celebren con fundamento el artículo 63 de la Ley </w:t>
      </w:r>
      <w:r w:rsidRPr="00FF3532">
        <w:rPr>
          <w:rFonts w:ascii="Verdana" w:hAnsi="Verdana" w:cs="Arial"/>
          <w:color w:val="000000" w:themeColor="text1"/>
          <w:lang w:val="es-ES" w:eastAsia="es-MX"/>
        </w:rPr>
        <w:t>2166 de 2021</w:t>
      </w:r>
      <w:r w:rsidRPr="00FF3532">
        <w:rPr>
          <w:rFonts w:ascii="Verdana" w:hAnsi="Verdana" w:cs="Arial"/>
          <w:color w:val="000000" w:themeColor="text1"/>
          <w:lang w:val="es-ES"/>
        </w:rPr>
        <w:t xml:space="preserve"> deben interpretarse armónicamente con </w:t>
      </w:r>
      <w:r w:rsidRPr="00FF3532">
        <w:rPr>
          <w:rFonts w:ascii="Verdana" w:hAnsi="Verdana" w:cs="Arial"/>
          <w:color w:val="000000" w:themeColor="text1"/>
          <w:lang w:eastAsia="es-MX"/>
        </w:rPr>
        <w:t xml:space="preserve">el artículo 141 de la Ley 136 de 1994 y </w:t>
      </w:r>
      <w:r w:rsidRPr="00FF3532">
        <w:rPr>
          <w:rFonts w:ascii="Verdana" w:hAnsi="Verdana" w:cs="Arial"/>
          <w:color w:val="000000" w:themeColor="text1"/>
          <w:lang w:val="es-ES"/>
        </w:rPr>
        <w:t>los parágrafos tercero y quinto del artículo tercero de la Ley 136 de 1994</w:t>
      </w:r>
      <w:r w:rsidRPr="00FF3532">
        <w:rPr>
          <w:rFonts w:ascii="Verdana" w:hAnsi="Verdana" w:cs="Arial"/>
          <w:color w:val="000000" w:themeColor="text1"/>
          <w:lang w:val="es-ES" w:eastAsia="es-MX"/>
        </w:rPr>
        <w:t xml:space="preserve">, por lo que podrán aplicarse lo dispuesto en los artículos 375 a 378 del Decreto 1333 de 1986 y el </w:t>
      </w:r>
      <w:r w:rsidRPr="00FF3532">
        <w:rPr>
          <w:rFonts w:ascii="Verdana" w:hAnsi="Verdana" w:cs="Arial"/>
          <w:color w:val="000000" w:themeColor="text1"/>
          <w:lang w:val="es-ES"/>
        </w:rPr>
        <w:t>EGCAP, salvo no exista otra forma especial de contratación como puede ser la consagrada en el Decreto 092 de 2017 para la ejecución de programas.</w:t>
      </w:r>
    </w:p>
    <w:p w14:paraId="02CCBB07" w14:textId="77777777" w:rsidR="00AD5763" w:rsidRPr="00FF3532" w:rsidRDefault="00AD5763" w:rsidP="00AD5763">
      <w:pPr>
        <w:shd w:val="clear" w:color="auto" w:fill="FFFFFF" w:themeFill="background1"/>
        <w:spacing w:after="120" w:line="276" w:lineRule="auto"/>
        <w:ind w:firstLine="709"/>
        <w:jc w:val="both"/>
        <w:rPr>
          <w:rFonts w:ascii="Verdana" w:hAnsi="Verdana" w:cs="Arial"/>
          <w:color w:val="000000" w:themeColor="text1"/>
          <w:lang w:val="es-ES"/>
        </w:rPr>
      </w:pPr>
      <w:r w:rsidRPr="00FF3532">
        <w:rPr>
          <w:rFonts w:ascii="Verdana" w:hAnsi="Verdana" w:cs="Arial"/>
          <w:color w:val="000000" w:themeColor="text1"/>
          <w:lang w:val="es-ES"/>
        </w:rPr>
        <w:t xml:space="preserve">En ese orden, y a efectos de brindar claridad sobre los fundamentos jurídicos para la celebración de los convenios solidarios, debe tenerse en cuenta que en la actualidad existen tres regímenes a saber: </w:t>
      </w:r>
    </w:p>
    <w:p w14:paraId="032FB55B" w14:textId="77777777" w:rsidR="00AD5763" w:rsidRPr="00FF3532" w:rsidRDefault="00AD5763" w:rsidP="00AD5763">
      <w:pPr>
        <w:shd w:val="clear" w:color="auto" w:fill="FFFFFF" w:themeFill="background1"/>
        <w:spacing w:after="120" w:line="276" w:lineRule="auto"/>
        <w:ind w:firstLine="708"/>
        <w:jc w:val="both"/>
        <w:rPr>
          <w:rFonts w:ascii="Verdana" w:hAnsi="Verdana" w:cs="Arial"/>
          <w:color w:val="000000" w:themeColor="text1"/>
          <w:lang w:val="es-ES"/>
        </w:rPr>
      </w:pPr>
      <w:r w:rsidRPr="00FF3532">
        <w:rPr>
          <w:rFonts w:ascii="Verdana" w:hAnsi="Verdana" w:cs="Arial"/>
          <w:color w:val="000000" w:themeColor="text1"/>
          <w:lang w:val="es-ES"/>
        </w:rPr>
        <w:t xml:space="preserve">El </w:t>
      </w:r>
      <w:r w:rsidRPr="00FF3532">
        <w:rPr>
          <w:rFonts w:ascii="Verdana" w:hAnsi="Verdana" w:cs="Arial"/>
          <w:i/>
          <w:color w:val="000000" w:themeColor="text1"/>
          <w:lang w:val="es-ES"/>
        </w:rPr>
        <w:t>primer régimen</w:t>
      </w:r>
      <w:r w:rsidRPr="00FF3532">
        <w:rPr>
          <w:rFonts w:ascii="Verdana" w:hAnsi="Verdana" w:cs="Arial"/>
          <w:color w:val="000000" w:themeColor="text1"/>
          <w:lang w:val="es-ES"/>
        </w:rPr>
        <w:t xml:space="preserve"> encuentra su fundamento en el parágrafo cuarto del artículo 3 de la Ley 136 de 1994, el artículo 95 de la Ley 2166 de 2021 y el artículo 15 del Decreto 142 de 2023 que adicionó el artículo 2.2.15.1.2. del Decreto 1082 de 2015.  Este primer régimen determina una sub-regla de contratación prevalente por su especificidad, la cual requiere que concurran los siguientes requisitos: i) que las partes intervinientes sean, por un lado, entidades de orden nacional, departamental, distrital o municipal y, por otro, Organismos de Acción Comunal; ii) que el objeto contractual consista únicamente en la ejecución de obras; y, iii) que el contrato no supere la menor cuantía. De concurrir las anteriores circunstancias, la norma autoriza la contratación directa entre dichas entidades y el respectivo Organismo de Acción Comunal, previamente legalizada y reconocida ante los organismos competentes. En todo caso, esta contratación debe tomar como personal para la ejecución de la obra a los habitantes de la comunidad. </w:t>
      </w:r>
    </w:p>
    <w:p w14:paraId="584D0990" w14:textId="77777777" w:rsidR="00AD5763" w:rsidRPr="00FF3532" w:rsidRDefault="00AD5763" w:rsidP="00AD5763">
      <w:pPr>
        <w:shd w:val="clear" w:color="auto" w:fill="FFFFFF" w:themeFill="background1"/>
        <w:spacing w:after="120" w:line="276" w:lineRule="auto"/>
        <w:ind w:firstLine="709"/>
        <w:jc w:val="both"/>
        <w:rPr>
          <w:rFonts w:ascii="Verdana" w:hAnsi="Verdana" w:cs="Arial"/>
          <w:color w:val="000000" w:themeColor="text1"/>
          <w:lang w:val="es-ES"/>
        </w:rPr>
      </w:pPr>
      <w:r w:rsidRPr="00FF3532">
        <w:rPr>
          <w:rFonts w:ascii="Verdana" w:hAnsi="Verdana" w:cs="Arial"/>
          <w:color w:val="000000" w:themeColor="text1"/>
          <w:lang w:val="es-ES"/>
        </w:rPr>
        <w:t xml:space="preserve">Un </w:t>
      </w:r>
      <w:r w:rsidRPr="00FF3532">
        <w:rPr>
          <w:rFonts w:ascii="Verdana" w:hAnsi="Verdana" w:cs="Arial"/>
          <w:i/>
          <w:color w:val="000000" w:themeColor="text1"/>
          <w:lang w:val="es-ES"/>
        </w:rPr>
        <w:t>segundo</w:t>
      </w:r>
      <w:r w:rsidRPr="00FF3532">
        <w:rPr>
          <w:rFonts w:ascii="Verdana" w:hAnsi="Verdana" w:cs="Arial"/>
          <w:color w:val="000000" w:themeColor="text1"/>
          <w:lang w:val="es-ES"/>
        </w:rPr>
        <w:t xml:space="preserve"> </w:t>
      </w:r>
      <w:r w:rsidRPr="00FF3532">
        <w:rPr>
          <w:rFonts w:ascii="Verdana" w:hAnsi="Verdana" w:cs="Arial"/>
          <w:i/>
          <w:color w:val="000000" w:themeColor="text1"/>
          <w:lang w:val="es-ES"/>
        </w:rPr>
        <w:t>régimen</w:t>
      </w:r>
      <w:r w:rsidRPr="00FF3532">
        <w:rPr>
          <w:rFonts w:ascii="Verdana" w:hAnsi="Verdana" w:cs="Arial"/>
          <w:color w:val="000000" w:themeColor="text1"/>
          <w:lang w:val="es-ES"/>
        </w:rPr>
        <w:t xml:space="preserve"> o modalidad de contratación se encuentra prevista en el Decreto 092 de 2017. Este decreto desarrolla, en términos generales, la contratación autorizada por el artículo 355 de la Constitución Política, la cual, en concordancia con el numeral 16 y el parágrafo tercero del artículo 3 de la Ley 136 de 1994, puede manifestarse a través de convenios solidarios.  </w:t>
      </w:r>
    </w:p>
    <w:p w14:paraId="1E74B390" w14:textId="77777777" w:rsidR="00AD5763" w:rsidRPr="00FF3532" w:rsidRDefault="00AD5763" w:rsidP="00AD5763">
      <w:pPr>
        <w:shd w:val="clear" w:color="auto" w:fill="FFFFFF" w:themeFill="background1"/>
        <w:spacing w:after="120" w:line="276" w:lineRule="auto"/>
        <w:ind w:firstLine="709"/>
        <w:jc w:val="both"/>
        <w:rPr>
          <w:rFonts w:ascii="Verdana" w:hAnsi="Verdana" w:cs="Arial"/>
          <w:color w:val="000000" w:themeColor="text1"/>
          <w:lang w:val="es-ES"/>
        </w:rPr>
      </w:pPr>
      <w:r w:rsidRPr="00FF3532">
        <w:rPr>
          <w:rFonts w:ascii="Verdana" w:hAnsi="Verdana" w:cs="Arial"/>
          <w:color w:val="000000" w:themeColor="text1"/>
          <w:lang w:val="es-ES"/>
        </w:rPr>
        <w:lastRenderedPageBreak/>
        <w:t>En este sentido, el régimen especial y preferente previsto en el Decreto 092 de 2017 para la celebración de convenios solidarios será aplicable cuando se reúnan los siguientes requisitos: i) que las partes intervinientes sean, de un lado, entidades territoriales del orden nacional, departamental, distrital o municipal y, de otro, Organismos de Acción Comunal de reconocida idoneidad; ii) que el objeto del contrato esté dirigido al impulso de programas y actividades de interés público acordes con el plan de desarrollo aplicable; iii) que el contrato, no refleje relaciones conmutativas que impliquen contraprestaciones para la entidad del Estado; iv) que la entidad del Estado no imparta instrucciones precisas para la ejecución del objeto convenido; y, v) en virtud del literal f) del artículo 16 de la Ley 2166 de 2021, su cuantía no puede ser superior a la menor cuantía.</w:t>
      </w:r>
    </w:p>
    <w:p w14:paraId="7E195228" w14:textId="77777777" w:rsidR="00AD5763" w:rsidRPr="00FF3532" w:rsidRDefault="00AD5763" w:rsidP="00AD5763">
      <w:pPr>
        <w:shd w:val="clear" w:color="auto" w:fill="FFFFFF" w:themeFill="background1"/>
        <w:spacing w:after="120" w:line="276" w:lineRule="auto"/>
        <w:ind w:firstLine="709"/>
        <w:jc w:val="both"/>
        <w:rPr>
          <w:rFonts w:ascii="Verdana" w:hAnsi="Verdana" w:cs="Arial"/>
          <w:color w:val="000000" w:themeColor="text1"/>
          <w:lang w:val="es-ES"/>
        </w:rPr>
      </w:pPr>
      <w:r w:rsidRPr="00FF3532">
        <w:rPr>
          <w:rFonts w:ascii="Verdana" w:hAnsi="Verdana" w:cs="Arial"/>
          <w:i/>
          <w:color w:val="000000" w:themeColor="text1"/>
          <w:lang w:val="es-ES"/>
        </w:rPr>
        <w:t>Por último</w:t>
      </w:r>
      <w:r w:rsidRPr="00FF3532">
        <w:rPr>
          <w:rFonts w:ascii="Verdana" w:hAnsi="Verdana" w:cs="Arial"/>
          <w:color w:val="000000" w:themeColor="text1"/>
          <w:lang w:val="es-ES"/>
        </w:rPr>
        <w:t xml:space="preserve">, en armonía con la modificación realizada por la Ley 1955 de 2019 y la Ley 2200 de 2022, se presenta un </w:t>
      </w:r>
      <w:r w:rsidRPr="00FF3532">
        <w:rPr>
          <w:rFonts w:ascii="Verdana" w:hAnsi="Verdana" w:cs="Arial"/>
          <w:i/>
          <w:color w:val="000000" w:themeColor="text1"/>
          <w:lang w:val="es-ES"/>
        </w:rPr>
        <w:t>tercer régimen</w:t>
      </w:r>
      <w:r w:rsidRPr="00FF3532">
        <w:rPr>
          <w:rFonts w:ascii="Verdana" w:hAnsi="Verdana" w:cs="Arial"/>
          <w:color w:val="000000" w:themeColor="text1"/>
          <w:lang w:val="es-ES"/>
        </w:rPr>
        <w:t>, que encuentra su fundamento en los parágrafos tercero y quinto del artículo tercero de la Ley 136 de 1994, que deben interpretarse armónicamente con lo dispuesto en el artículo 141 de la precitada Ley y el artículo 63 de la Ley 2166 de 2021. En virtud de tales disposiciones normativas, los Organismos de Acción Comunal cuentan con la posibilidad de vincularse al desarrollo y mejoramiento municipal y departamental, mediante la participación en el ejercicio de las funciones o la ejecución de obras. Para el caso de la vinculación en el desarrollo municipal, la norma también contempló la prestación de servicios públicos, sin embargo, hay que tener en cuenta que para que estos Organismos de Acción Comunal puedan intervenir en la prestación de servicios públicos requiere de autorización expresa de los Concejos Municipales y Asambleas Departamentales en virtud de lo consagrado en el artículo 22 del Decreto 19 de 1958.</w:t>
      </w:r>
    </w:p>
    <w:p w14:paraId="2C71C73D" w14:textId="77777777" w:rsidR="00AD5763" w:rsidRPr="00FF3532" w:rsidRDefault="00AD5763" w:rsidP="00AD5763">
      <w:pPr>
        <w:shd w:val="clear" w:color="auto" w:fill="FFFFFF" w:themeFill="background1"/>
        <w:spacing w:after="120" w:line="276" w:lineRule="auto"/>
        <w:ind w:firstLine="708"/>
        <w:jc w:val="both"/>
        <w:rPr>
          <w:rFonts w:ascii="Verdana" w:hAnsi="Verdana" w:cs="Arial"/>
          <w:color w:val="000000" w:themeColor="text1"/>
          <w:lang w:val="es-ES"/>
        </w:rPr>
      </w:pPr>
      <w:r w:rsidRPr="00FF3532">
        <w:rPr>
          <w:rFonts w:ascii="Verdana" w:hAnsi="Verdana" w:cs="Arial"/>
          <w:color w:val="000000" w:themeColor="text1"/>
          <w:lang w:val="es-ES"/>
        </w:rPr>
        <w:t xml:space="preserve">Realizadas las anteriores precisiones sobre los convenios solidarios y para brindar respuesta a la consulta elevada, se hace necesario realizar un análisis sobre la naturaleza jurídica de los Organismos de Acción Comunal y su actividad contractual con el estado, para lo cual debe tenerse de presente que el </w:t>
      </w:r>
      <w:r w:rsidRPr="00FF3532">
        <w:rPr>
          <w:rFonts w:ascii="Verdana" w:eastAsia="Calibri" w:hAnsi="Verdana" w:cs="Arial"/>
          <w:bCs/>
          <w:color w:val="000000" w:themeColor="text1"/>
          <w:lang w:val="es-MX"/>
        </w:rPr>
        <w:t xml:space="preserve">artículo 38 de la Constitución Política, estableció la obligación de </w:t>
      </w:r>
      <w:r w:rsidRPr="00FF3532">
        <w:rPr>
          <w:rFonts w:ascii="Verdana" w:eastAsia="Calibri" w:hAnsi="Verdana" w:cs="Arial"/>
          <w:color w:val="000000" w:themeColor="text1"/>
        </w:rPr>
        <w:t>“</w:t>
      </w:r>
      <w:r w:rsidRPr="00FF3532">
        <w:rPr>
          <w:rFonts w:ascii="Verdana" w:eastAsia="Calibri" w:hAnsi="Verdana" w:cs="Arial"/>
          <w:bCs/>
          <w:color w:val="000000" w:themeColor="text1"/>
          <w:lang w:val="es-MX"/>
        </w:rPr>
        <w:t>garantizar el derecho de libre asociación para el desarrollo de las distintas actividades que las personas realizan en sociedad</w:t>
      </w:r>
      <w:r w:rsidRPr="00FF3532">
        <w:rPr>
          <w:rFonts w:ascii="Verdana" w:eastAsia="Calibri" w:hAnsi="Verdana" w:cs="Arial"/>
          <w:color w:val="000000" w:themeColor="text1"/>
          <w:lang w:val="es-ES_tradnl"/>
        </w:rPr>
        <w:t>”</w:t>
      </w:r>
      <w:r w:rsidRPr="00FF3532">
        <w:rPr>
          <w:rFonts w:ascii="Verdana" w:eastAsia="Calibri" w:hAnsi="Verdana" w:cs="Arial"/>
          <w:bCs/>
          <w:i/>
          <w:iCs/>
          <w:color w:val="000000" w:themeColor="text1"/>
          <w:lang w:val="es-MX"/>
        </w:rPr>
        <w:t>,</w:t>
      </w:r>
      <w:r w:rsidRPr="00FF3532">
        <w:rPr>
          <w:rFonts w:ascii="Verdana" w:eastAsia="Calibri" w:hAnsi="Verdana" w:cs="Arial"/>
          <w:bCs/>
          <w:color w:val="000000" w:themeColor="text1"/>
          <w:lang w:val="es-MX"/>
        </w:rPr>
        <w:t xml:space="preserve"> en aras de contar con una sociedad civil más participativa. De igual forma, los artículos 103 y 355 superior permitieron que las organizaciones civiles previstas por el constituyente no solamente puedan ejercer una labor de vigilancia y control, sino que también se prevé su </w:t>
      </w:r>
      <w:r w:rsidRPr="00FF3532">
        <w:rPr>
          <w:rFonts w:ascii="Verdana" w:eastAsia="Calibri" w:hAnsi="Verdana" w:cs="Arial"/>
          <w:bCs/>
          <w:color w:val="000000" w:themeColor="text1"/>
          <w:lang w:val="es-MX"/>
        </w:rPr>
        <w:lastRenderedPageBreak/>
        <w:t>intervención en la actividad estatal. Al respecto, la Corte Constitucional en sentencia C-580 de 2001, realizó un análisis del desarrollo comunitario de los Organismos de Acción Comunal, concluyendo que su proceso social va de la mano con la acción participativa de la comunidad, en tanto que impulsa al individuo a involucrarse en su contexto detectando necesidades de su comunidad y ayudando a solucionarlas</w:t>
      </w:r>
      <w:r w:rsidRPr="00FF3532">
        <w:rPr>
          <w:rFonts w:ascii="Verdana" w:eastAsia="Calibri" w:hAnsi="Verdana" w:cs="Arial"/>
          <w:bCs/>
          <w:color w:val="000000" w:themeColor="text1"/>
          <w:vertAlign w:val="superscript"/>
          <w:lang w:val="es-MX"/>
        </w:rPr>
        <w:footnoteReference w:id="4"/>
      </w:r>
      <w:r w:rsidRPr="00FF3532">
        <w:rPr>
          <w:rFonts w:ascii="Verdana" w:eastAsia="Calibri" w:hAnsi="Verdana" w:cs="Arial"/>
          <w:bCs/>
          <w:color w:val="000000" w:themeColor="text1"/>
          <w:lang w:val="es-MX"/>
        </w:rPr>
        <w:t>.</w:t>
      </w:r>
    </w:p>
    <w:p w14:paraId="23F528A2" w14:textId="77777777" w:rsidR="00AD5763" w:rsidRPr="00FF3532" w:rsidRDefault="00AD5763" w:rsidP="00AD5763">
      <w:pPr>
        <w:shd w:val="clear" w:color="auto" w:fill="FFFFFF" w:themeFill="background1"/>
        <w:spacing w:after="120" w:line="276" w:lineRule="auto"/>
        <w:ind w:firstLine="708"/>
        <w:jc w:val="both"/>
        <w:rPr>
          <w:rFonts w:ascii="Verdana" w:hAnsi="Verdana" w:cs="Arial"/>
          <w:bCs/>
          <w:color w:val="000000" w:themeColor="text1"/>
          <w:lang w:eastAsia="es-MX"/>
        </w:rPr>
      </w:pPr>
      <w:r w:rsidRPr="00FF3532">
        <w:rPr>
          <w:rFonts w:ascii="Verdana" w:hAnsi="Verdana" w:cs="Arial"/>
          <w:bCs/>
          <w:color w:val="000000" w:themeColor="text1"/>
          <w:lang w:eastAsia="es-MX"/>
        </w:rPr>
        <w:t xml:space="preserve">Con la expedición de la Ley 2166 de 2021 se derogó la Ley 743 de 2002, mediante la cual se desarrolla el artículo 38 de la Constitución Política de Colombia en lo referente a los Organismos de Acción Comunal y se establecen lineamientos para la formulación e implementación de la política pública de los Organismos de Acción Comunal y de sus afiliados. De acuerdo con el artículo 1 de la Ley 2166 de 2021, esta tiene como objeto </w:t>
      </w:r>
      <w:r w:rsidRPr="00FF3532">
        <w:rPr>
          <w:rFonts w:ascii="Verdana" w:eastAsia="Calibri" w:hAnsi="Verdana" w:cs="Arial"/>
          <w:color w:val="000000" w:themeColor="text1"/>
          <w:lang w:val="es-ES_tradnl"/>
        </w:rPr>
        <w:t>“</w:t>
      </w:r>
      <w:r w:rsidRPr="00FF3532">
        <w:rPr>
          <w:rFonts w:ascii="Verdana" w:hAnsi="Verdana" w:cs="Arial"/>
          <w:bCs/>
          <w:color w:val="000000" w:themeColor="text1"/>
          <w:lang w:eastAsia="es-MX"/>
        </w:rPr>
        <w:t>promover, facilitar, estructurar y fortalecer la organización democrática, moderna, participativa y representativa de la acción comunal en sus respectivos grados asociativos y, a la vez, pretende establecer un marco jurídico para sus relaciones con el Estado y con los particulares, así como para el cabal ejercicio de derechos y deberes</w:t>
      </w:r>
      <w:r w:rsidRPr="00FF3532">
        <w:rPr>
          <w:rFonts w:ascii="Verdana" w:eastAsia="Calibri" w:hAnsi="Verdana" w:cs="Arial"/>
          <w:color w:val="000000" w:themeColor="text1"/>
          <w:lang w:val="es-ES_tradnl"/>
        </w:rPr>
        <w:t>”</w:t>
      </w:r>
      <w:r w:rsidRPr="00FF3532">
        <w:rPr>
          <w:rFonts w:ascii="Verdana" w:hAnsi="Verdana" w:cs="Arial"/>
          <w:bCs/>
          <w:color w:val="000000" w:themeColor="text1"/>
          <w:lang w:eastAsia="es-MX"/>
        </w:rPr>
        <w:t xml:space="preserve">. </w:t>
      </w:r>
    </w:p>
    <w:p w14:paraId="0F248E8B"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color w:val="000000" w:themeColor="text1"/>
          <w:lang w:val="es-MX"/>
        </w:rPr>
      </w:pPr>
      <w:r w:rsidRPr="00FF3532">
        <w:rPr>
          <w:rFonts w:ascii="Verdana" w:eastAsia="Calibri" w:hAnsi="Verdana" w:cs="Arial"/>
          <w:color w:val="000000" w:themeColor="text1"/>
          <w:lang w:val="es-MX"/>
        </w:rPr>
        <w:t xml:space="preserve">Es así como, en desarrollo del principio de participación, el artículo 7 de la Ley 2166 de 2021 definió cuatro grados de Organismos de Acción Comunal. En el primer grado clasificó a las Juntas de Acción Comunal y las Juntas de Vivienda Comunal. Las primeras de ellas fueron definidas como </w:t>
      </w:r>
      <w:r w:rsidRPr="00FF3532">
        <w:rPr>
          <w:rFonts w:ascii="Verdana" w:eastAsia="Calibri" w:hAnsi="Verdana" w:cs="Arial"/>
          <w:i/>
          <w:color w:val="000000" w:themeColor="text1"/>
          <w:lang w:val="es-MX"/>
        </w:rPr>
        <w:t>“una organización cívica, social y comunitaria de gestión social, sin ánimo de lucro, de naturaleza solidaria, con personería jurídica y patrimonio propio (…)</w:t>
      </w:r>
      <w:r w:rsidRPr="00FF3532">
        <w:rPr>
          <w:rFonts w:ascii="Verdana" w:eastAsia="Calibri" w:hAnsi="Verdana" w:cs="Arial"/>
          <w:color w:val="000000" w:themeColor="text1"/>
          <w:lang w:val="es-MX"/>
        </w:rPr>
        <w:t xml:space="preserve">”, que se encuentra integrada voluntariamente por los residentes de un lugar que aúnan esfuerzos y recursos para </w:t>
      </w:r>
      <w:r w:rsidRPr="00FF3532">
        <w:rPr>
          <w:rFonts w:ascii="Verdana" w:eastAsia="Calibri" w:hAnsi="Verdana" w:cs="Arial"/>
          <w:i/>
          <w:color w:val="000000" w:themeColor="text1"/>
          <w:lang w:val="es-MX"/>
        </w:rPr>
        <w:t>“procurar un desarrollo integral, sostenible y sustentable con fundamento en el ejercicio de la democracia participativa.”</w:t>
      </w:r>
      <w:r w:rsidRPr="00FF3532">
        <w:rPr>
          <w:rFonts w:ascii="Verdana" w:eastAsia="Calibri" w:hAnsi="Verdana" w:cs="Arial"/>
          <w:color w:val="000000" w:themeColor="text1"/>
          <w:lang w:val="es-MX"/>
        </w:rPr>
        <w:t>. Por su parte, las Juntas de Vivienda Comunal, fueron definidas como “</w:t>
      </w:r>
      <w:r w:rsidRPr="00FF3532">
        <w:rPr>
          <w:rFonts w:ascii="Verdana" w:eastAsia="Calibri" w:hAnsi="Verdana" w:cs="Arial"/>
          <w:i/>
          <w:color w:val="000000" w:themeColor="text1"/>
          <w:lang w:val="es-MX"/>
        </w:rPr>
        <w:t>una organización cívica sin ánimo de lucro, integrada por familias que se reúnen con el propósito de adelantar programas de mejoramiento o de autoconstrucción de vivienda”</w:t>
      </w:r>
      <w:r w:rsidRPr="00FF3532">
        <w:rPr>
          <w:rFonts w:ascii="Verdana" w:eastAsia="Calibri" w:hAnsi="Verdana" w:cs="Arial"/>
          <w:color w:val="000000" w:themeColor="text1"/>
          <w:lang w:val="es-MX"/>
        </w:rPr>
        <w:t xml:space="preserve"> y una vez concluido el programa se podrán asimilar a una Junta de Acción Comunal, siempre y cuando cumplan los requisitos de Ley.</w:t>
      </w:r>
    </w:p>
    <w:p w14:paraId="087D2D1C"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bCs/>
          <w:color w:val="000000" w:themeColor="text1"/>
          <w:lang w:val="es-MX"/>
        </w:rPr>
      </w:pPr>
      <w:r w:rsidRPr="00FF3532">
        <w:rPr>
          <w:rFonts w:ascii="Verdana" w:eastAsia="Calibri" w:hAnsi="Verdana" w:cs="Arial"/>
          <w:bCs/>
          <w:color w:val="000000" w:themeColor="text1"/>
          <w:lang w:val="es-MX"/>
        </w:rPr>
        <w:t xml:space="preserve">En el segundo grado de los Organismos de Acción Comunal se clasificó a las Asociaciones de Juntas de Acción Comunal, indicando que tienen la misma </w:t>
      </w:r>
      <w:r w:rsidRPr="00FF3532">
        <w:rPr>
          <w:rFonts w:ascii="Verdana" w:eastAsia="Calibri" w:hAnsi="Verdana" w:cs="Arial"/>
          <w:bCs/>
          <w:color w:val="000000" w:themeColor="text1"/>
          <w:lang w:val="es-MX"/>
        </w:rPr>
        <w:lastRenderedPageBreak/>
        <w:t>naturaleza jurídica de las Juntas de Acción Comunal y se constituyen por los organismos de primer grado fundadores, esto es, por las Juntas de Acción Comunal o por las Juntas de Vivienda Comunal y los que posteriormente se afilien a ella.</w:t>
      </w:r>
    </w:p>
    <w:p w14:paraId="45385101"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bCs/>
          <w:color w:val="000000" w:themeColor="text1"/>
          <w:lang w:val="es-MX"/>
        </w:rPr>
      </w:pPr>
      <w:r w:rsidRPr="00FF3532">
        <w:rPr>
          <w:rFonts w:ascii="Verdana" w:eastAsia="Calibri" w:hAnsi="Verdana" w:cs="Arial"/>
          <w:bCs/>
          <w:color w:val="000000" w:themeColor="text1"/>
          <w:lang w:val="es-MX"/>
        </w:rPr>
        <w:t>En el tercer grado, el artículo 7 de la Ley 2166 de 2021 ubicó a la Federación de la Acción Comunal, constituida por los organismos de segundo grado y en cuarto grado al Confederación Nacional de Acción comunal, constituido por los organismos de tercer grado y que posteriormente se afilien.</w:t>
      </w:r>
    </w:p>
    <w:p w14:paraId="1C88784B"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bCs/>
          <w:color w:val="000000" w:themeColor="text1"/>
          <w:lang w:val="es-MX"/>
        </w:rPr>
      </w:pPr>
      <w:r w:rsidRPr="00FF3532">
        <w:rPr>
          <w:rFonts w:ascii="Verdana" w:eastAsia="Calibri" w:hAnsi="Verdana" w:cs="Arial"/>
          <w:color w:val="000000" w:themeColor="text1"/>
          <w:lang w:val="es-MX"/>
        </w:rPr>
        <w:t>En desarrollo de ese ejercicio democrático, el artículo 16 ibidem dispuso como funciones de los Organismos de Acción Comunal promover y fortalecer en el individuo, el sentido de pertenencia frente a su comunidad, localidad, distrito o municipio a través del ejercicio de la democracia participativa, y en virtud a ello generar procesos comunitarios como la formulación, ejecución y administración, entre otros, de planes, programas y proyectos de desarrollo comunitario, por lo que se encuentran facultadas para celebrar contratos con entidades del estado, empresas públicas y privadas del orden internacional, nacional, departamental, distrital, municipal y local, hasta de menor cuantía, con el fin de impulsar planes, programas y proyectos acordes con los planes comunales y comunitarios de desarrollo territorial.</w:t>
      </w:r>
    </w:p>
    <w:p w14:paraId="3A7BA26C" w14:textId="77777777" w:rsidR="00AD5763" w:rsidRPr="00FF3532" w:rsidRDefault="00AD5763" w:rsidP="00AD5763">
      <w:pPr>
        <w:shd w:val="clear" w:color="auto" w:fill="FFFFFF" w:themeFill="background1"/>
        <w:spacing w:after="120" w:line="276" w:lineRule="auto"/>
        <w:ind w:firstLine="708"/>
        <w:jc w:val="both"/>
        <w:rPr>
          <w:rFonts w:ascii="Verdana" w:eastAsia="Calibri" w:hAnsi="Verdana" w:cs="Arial"/>
          <w:bCs/>
          <w:color w:val="000000" w:themeColor="text1"/>
          <w:lang w:val="es-MX"/>
        </w:rPr>
      </w:pPr>
      <w:r w:rsidRPr="00FF3532">
        <w:rPr>
          <w:rFonts w:ascii="Verdana" w:eastAsia="Calibri" w:hAnsi="Verdana" w:cs="Arial"/>
          <w:bCs/>
          <w:color w:val="000000" w:themeColor="text1"/>
          <w:lang w:val="es-MX"/>
        </w:rPr>
        <w:t>De igual forma, la Corte Constitucional en sentencia C-106 de 2016 señaló que la Junta de Acción Comunal constituye una gran oportunidad, para que sus miembros no solo puedan colaborar en la promoción del desarrollo económico y en la realización de pequeñas y medianas obras públicas, sino que además es una oportunidad para desarrollar habilidades administrativas y de gestión en su comunidad</w:t>
      </w:r>
      <w:r w:rsidRPr="00FF3532">
        <w:rPr>
          <w:rFonts w:ascii="Verdana" w:hAnsi="Verdana" w:cs="Arial"/>
          <w:bCs/>
          <w:color w:val="000000" w:themeColor="text1"/>
          <w:vertAlign w:val="superscript"/>
          <w:lang w:val="es-MX" w:eastAsia="es-MX"/>
        </w:rPr>
        <w:footnoteReference w:id="5"/>
      </w:r>
      <w:r w:rsidRPr="00FF3532">
        <w:rPr>
          <w:rFonts w:ascii="Verdana" w:eastAsia="Calibri" w:hAnsi="Verdana" w:cs="Arial"/>
          <w:bCs/>
          <w:color w:val="000000" w:themeColor="text1"/>
          <w:lang w:val="es-MX"/>
        </w:rPr>
        <w:t>.</w:t>
      </w:r>
    </w:p>
    <w:p w14:paraId="27BF2034" w14:textId="77777777" w:rsidR="00C30A12" w:rsidRPr="00FF3532" w:rsidRDefault="00AD5763" w:rsidP="00C30A12">
      <w:pPr>
        <w:shd w:val="clear" w:color="auto" w:fill="FFFFFF" w:themeFill="background1"/>
        <w:spacing w:after="120" w:line="276" w:lineRule="auto"/>
        <w:ind w:firstLine="708"/>
        <w:jc w:val="both"/>
        <w:rPr>
          <w:rFonts w:ascii="Verdana" w:hAnsi="Verdana" w:cs="Arial"/>
          <w:lang w:eastAsia="es-MX"/>
        </w:rPr>
      </w:pPr>
      <w:r w:rsidRPr="00FF3532">
        <w:rPr>
          <w:rFonts w:ascii="Verdana" w:eastAsia="Calibri" w:hAnsi="Verdana" w:cs="Arial"/>
          <w:color w:val="000000" w:themeColor="text1"/>
          <w:lang w:val="es-ES"/>
        </w:rPr>
        <w:t xml:space="preserve">Ahora bien, </w:t>
      </w:r>
      <w:r w:rsidRPr="00FF3532">
        <w:rPr>
          <w:rFonts w:ascii="Verdana" w:hAnsi="Verdana" w:cs="Arial"/>
          <w:color w:val="000000" w:themeColor="text1"/>
          <w:lang w:val="es-ES" w:eastAsia="es-CO"/>
        </w:rPr>
        <w:t xml:space="preserve">para la celebración de convenios solidarios con Entidades Estatales, </w:t>
      </w:r>
      <w:r w:rsidRPr="00FF3532">
        <w:rPr>
          <w:rFonts w:ascii="Verdana" w:hAnsi="Verdana" w:cs="Arial"/>
          <w:lang w:eastAsia="es-MX"/>
        </w:rPr>
        <w:t>cada Organismo de Acción Comunal debe acreditar su existencia y representación legal en los términos del artículo 78 de la Ley 2166 de 2021</w:t>
      </w:r>
      <w:r w:rsidRPr="00FF3532">
        <w:rPr>
          <w:rStyle w:val="Refdenotaalpie"/>
          <w:rFonts w:ascii="Verdana" w:hAnsi="Verdana" w:cs="Arial"/>
          <w:lang w:eastAsia="es-MX"/>
        </w:rPr>
        <w:footnoteReference w:id="6"/>
      </w:r>
      <w:r w:rsidRPr="00FF3532">
        <w:rPr>
          <w:rFonts w:ascii="Verdana" w:hAnsi="Verdana" w:cs="Arial"/>
          <w:lang w:eastAsia="es-MX"/>
        </w:rPr>
        <w:t xml:space="preserve">, lo </w:t>
      </w:r>
      <w:r w:rsidRPr="00FF3532">
        <w:rPr>
          <w:rFonts w:ascii="Verdana" w:hAnsi="Verdana" w:cs="Arial"/>
          <w:lang w:eastAsia="es-MX"/>
        </w:rPr>
        <w:lastRenderedPageBreak/>
        <w:t>que implica observar su capacidad jurídica, la cual se verá condicionada por la territorialidad a la cual pertenecen los Juntas de Acción Comunal o las Juntas de Vivienda Comunal, y en el caso de los Organismos de Acción Comunal de segundo grado y siguientes, está verá condicionado su alcance conforme a la territorialidad a la cual pertenecen sus fundadores.</w:t>
      </w:r>
    </w:p>
    <w:p w14:paraId="7094D896" w14:textId="77777777" w:rsidR="00037440" w:rsidRPr="00FF3532" w:rsidRDefault="00037440" w:rsidP="00037440">
      <w:pPr>
        <w:shd w:val="clear" w:color="auto" w:fill="FFFFFF" w:themeFill="background1"/>
        <w:spacing w:after="120" w:line="276" w:lineRule="auto"/>
        <w:ind w:firstLine="708"/>
        <w:jc w:val="both"/>
        <w:rPr>
          <w:rFonts w:ascii="Verdana" w:hAnsi="Verdana" w:cs="Arial"/>
          <w:lang w:val="es-ES_tradnl" w:eastAsia="es-MX"/>
        </w:rPr>
      </w:pPr>
      <w:r w:rsidRPr="00FF3532">
        <w:rPr>
          <w:rFonts w:ascii="Verdana" w:hAnsi="Verdana" w:cs="Arial"/>
          <w:lang w:eastAsia="es-MX"/>
        </w:rPr>
        <w:t xml:space="preserve">En ese sentido, por </w:t>
      </w:r>
      <w:r w:rsidRPr="00FF3532">
        <w:rPr>
          <w:rFonts w:ascii="Verdana" w:hAnsi="Verdana" w:cs="Arial"/>
          <w:bCs/>
          <w:color w:val="000000" w:themeColor="text1"/>
          <w:lang w:val="es-MX" w:eastAsia="es-MX"/>
        </w:rPr>
        <w:t xml:space="preserve">la naturaleza jurídica y la incidencia que en ellas tiene el principio de participación, los Organismos de Acción Comunal encuentran limitada su capacidad jurídica con relación a la territorialidad de la comunidad a la cual pertenecen y representan, y sólo en ella podrán desarrollar sus actividades, pues sólo así se garantizaría una verdadera participación de la comunidad en la formulación, ejecución y administración de planes, programas y proyectos en su territorio, por lo que resultaría contrario al principio de participación que los Organismos de Acción Comunal pudieran ejecutar contratos en sitios donde no tienen representación participativa. </w:t>
      </w:r>
      <w:r w:rsidRPr="00FF3532">
        <w:rPr>
          <w:rFonts w:ascii="Verdana" w:hAnsi="Verdana" w:cs="Arial"/>
          <w:lang w:eastAsia="es-MX"/>
        </w:rPr>
        <w:t xml:space="preserve">De esta forma, el desarrollo normativo que trajo consigo la Ley 2166 de 2021 con el objetivo de promover, facilitar, estructurar y fortalecer la organización democrática, moderna, participativa y representativa de la acción comunal en sus respectivos grados asociativos, dispuso en su artículo 9 que </w:t>
      </w:r>
      <w:r w:rsidRPr="00FF3532">
        <w:rPr>
          <w:rFonts w:ascii="Verdana" w:hAnsi="Verdana" w:cs="Arial"/>
          <w:i/>
          <w:iCs/>
          <w:color w:val="000000" w:themeColor="text1"/>
        </w:rPr>
        <w:t>“</w:t>
      </w:r>
      <w:r w:rsidRPr="00FF3532">
        <w:rPr>
          <w:rFonts w:ascii="Verdana" w:hAnsi="Verdana" w:cs="Arial"/>
          <w:bCs/>
          <w:i/>
          <w:iCs/>
          <w:color w:val="000000" w:themeColor="text1"/>
          <w:lang w:val="es-MX" w:eastAsia="es-MX"/>
        </w:rPr>
        <w:t>cada organismo de acción comunal desarrollará sus actividades dentro de un territorio delimitado</w:t>
      </w:r>
      <w:r w:rsidRPr="00FF3532">
        <w:rPr>
          <w:rFonts w:ascii="Verdana" w:eastAsia="Calibri" w:hAnsi="Verdana" w:cs="Arial"/>
          <w:i/>
          <w:iCs/>
          <w:color w:val="000000" w:themeColor="text1"/>
          <w:lang w:val="es-ES_tradnl"/>
        </w:rPr>
        <w:t>”.</w:t>
      </w:r>
    </w:p>
    <w:p w14:paraId="3F484AA6" w14:textId="12F232D5" w:rsidR="00C4233B" w:rsidRPr="00FF3532" w:rsidRDefault="00C4233B" w:rsidP="00037440">
      <w:pPr>
        <w:shd w:val="clear" w:color="auto" w:fill="FFFFFF" w:themeFill="background1"/>
        <w:spacing w:after="120" w:line="276" w:lineRule="auto"/>
        <w:ind w:firstLine="708"/>
        <w:jc w:val="both"/>
        <w:rPr>
          <w:rFonts w:ascii="Verdana" w:hAnsi="Verdana" w:cs="Arial"/>
          <w:lang w:eastAsia="es-MX"/>
        </w:rPr>
      </w:pPr>
      <w:r w:rsidRPr="00FF3532">
        <w:rPr>
          <w:rFonts w:ascii="Verdana" w:hAnsi="Verdana" w:cs="Arial"/>
          <w:lang w:eastAsia="es-MX"/>
        </w:rPr>
        <w:t xml:space="preserve">De lo expuesto, y para dar respuesta a la consulta elevada, debe precisarse en primer lugar que el parágrafo tercero del artículo 3 de la Ley 136 de 1994, modificado por el artículo 6 de la Ley 1551 de 2012, faculta a las entidades territoriales para celebrar convenios solidarios con tres grupos de sujetos: i) los cabildos, autoridades y organizaciones indígenas, regidos por su normativa especial y la reglamentación aplicable; ii) los organismos de acción comunal, sujetos a la Ley 2166 de 2021 y a las reglas especiales sobre ejecución de obras previstas en dicha disposición; y iii) las demás organizaciones civiles y asociaciones residentes en el territorio, cuya contratación se rige por el artículo </w:t>
      </w:r>
      <w:r w:rsidRPr="00FF3532">
        <w:rPr>
          <w:rFonts w:ascii="Verdana" w:hAnsi="Verdana" w:cs="Arial"/>
          <w:lang w:eastAsia="es-MX"/>
        </w:rPr>
        <w:lastRenderedPageBreak/>
        <w:t>355 de la Constitución Política y su reglamentación contenida en el Decreto 092 de 2017.</w:t>
      </w:r>
    </w:p>
    <w:p w14:paraId="786E57A8" w14:textId="77777777" w:rsidR="00C32E7C" w:rsidRPr="00FF3532" w:rsidRDefault="00C32E7C" w:rsidP="00C32E7C">
      <w:pPr>
        <w:shd w:val="clear" w:color="auto" w:fill="FFFFFF" w:themeFill="background1"/>
        <w:spacing w:after="120" w:line="276" w:lineRule="auto"/>
        <w:ind w:firstLine="708"/>
        <w:jc w:val="both"/>
        <w:rPr>
          <w:rFonts w:ascii="Verdana" w:hAnsi="Verdana" w:cs="Arial"/>
          <w:lang w:eastAsia="es-MX"/>
        </w:rPr>
      </w:pPr>
      <w:r w:rsidRPr="00FF3532">
        <w:rPr>
          <w:rFonts w:ascii="Verdana" w:hAnsi="Verdana" w:cs="Arial"/>
          <w:lang w:eastAsia="es-MX"/>
        </w:rPr>
        <w:t xml:space="preserve">En segundo </w:t>
      </w:r>
      <w:r w:rsidRPr="00FF3532">
        <w:rPr>
          <w:rFonts w:ascii="Verdana" w:hAnsi="Verdana" w:cs="Arial"/>
          <w:bCs/>
        </w:rPr>
        <w:t>que existen características generales aplicables a la celebración de cualquier convenio solidario, presentes en los tres regímenes de contratación y consagradas en el parágrafo tercero del artículo 3 de la Ley 136 de 1994, en armonía con el artículo 355 de la Constitución Política; en consecuencia, el objeto de todo convenio solidario debe cumplir tres condiciones concurrentes: atender las necesidades y aspiraciones de las comunidades mediante la articulación de esfuerzos institucionales, comunitarios, económicos y sociales en beneficio directo de la colectividad representada por la organización; estar orientado a la satisfacción del interés público, sin servir a intereses particulares de la organización ni de sus miembros; y ser concordante con el Plan Nacional o con los planes seccionales de desarrollo, según corresponda, lo que exige su vinculación a programas, proyectos o metas incluidos en el respectivo instrumento de planeación de la entidad.</w:t>
      </w:r>
    </w:p>
    <w:p w14:paraId="025D8A40" w14:textId="27BAF1E4" w:rsidR="00C32E7C" w:rsidRPr="00FF3532" w:rsidRDefault="00C32E7C" w:rsidP="00C32E7C">
      <w:pPr>
        <w:shd w:val="clear" w:color="auto" w:fill="FFFFFF" w:themeFill="background1"/>
        <w:spacing w:after="120" w:line="276" w:lineRule="auto"/>
        <w:ind w:firstLine="708"/>
        <w:jc w:val="both"/>
        <w:rPr>
          <w:rFonts w:ascii="Verdana" w:hAnsi="Verdana" w:cs="Arial"/>
          <w:lang w:eastAsia="es-MX"/>
        </w:rPr>
      </w:pPr>
      <w:r w:rsidRPr="00FF3532">
        <w:rPr>
          <w:rFonts w:ascii="Verdana" w:hAnsi="Verdana" w:cs="Arial"/>
          <w:lang w:eastAsia="es-MX"/>
        </w:rPr>
        <w:t xml:space="preserve">Así las cosas, </w:t>
      </w:r>
      <w:r w:rsidRPr="00FF3532">
        <w:rPr>
          <w:rFonts w:ascii="Verdana" w:hAnsi="Verdana"/>
        </w:rPr>
        <w:t>dentro de este marco, pueden pactarse mediante convenio solidario la construcción o ejecución de obras de interés comunitario y el desarrollo conjunto de programas y actividades que la ley asigna a las entidades territoriales. Cuando la contraparte es un organismo de acción comunal, también deben respetarse el tope de cuantía fijado por la ley y la obligación de vincular a los habitantes de la comunidad en la ejecución.</w:t>
      </w:r>
    </w:p>
    <w:p w14:paraId="5EF3F5EA" w14:textId="77777777" w:rsidR="009B6DE8" w:rsidRPr="00FF3532" w:rsidRDefault="00C32E7C" w:rsidP="009B6DE8">
      <w:pPr>
        <w:spacing w:after="120" w:line="276" w:lineRule="auto"/>
        <w:ind w:firstLine="737"/>
        <w:jc w:val="both"/>
        <w:rPr>
          <w:rFonts w:ascii="Verdana" w:hAnsi="Verdana"/>
        </w:rPr>
      </w:pPr>
      <w:r w:rsidRPr="00FF3532">
        <w:rPr>
          <w:rFonts w:ascii="Verdana" w:hAnsi="Verdana"/>
        </w:rPr>
        <w:t>Bajo ese contexto, los convenios solidarios constituyen una excepción a la regla general de selección objetiva y, en consecuencia, deben interpretarse de manera restrictiva. Por ello, quedan excluidos de esta figura aquellos objetos que no cumplan las tres condiciones señaladas o cuya naturaleza correspondan a un contrato estatal típico, como sucede cuando la organización actúa únicamente como proveedor o intermediario.</w:t>
      </w:r>
    </w:p>
    <w:p w14:paraId="150FC424" w14:textId="77777777" w:rsidR="00FF3532" w:rsidRPr="00FF3532" w:rsidRDefault="009B6DE8" w:rsidP="00FF3532">
      <w:pPr>
        <w:spacing w:after="120" w:line="276" w:lineRule="auto"/>
        <w:ind w:firstLine="737"/>
        <w:jc w:val="both"/>
        <w:rPr>
          <w:rFonts w:ascii="Verdana" w:hAnsi="Verdana"/>
        </w:rPr>
      </w:pPr>
      <w:r w:rsidRPr="00FF3532">
        <w:rPr>
          <w:rFonts w:ascii="Verdana" w:hAnsi="Verdana"/>
        </w:rPr>
        <w:t xml:space="preserve">Finalmente, se concluye que, con base en el principio de participación, el objeto social de las Juntas de Acción Comunal está definido y limitado a la territorialidad en la cual tienen jurisdicción; en consecuencia, no podrán ejecutar actividades por fuera de dicho ámbito en el marco de la celebración de convenios solidarios. Solo así se garantiza que el desarrollo comunitario se materialice a través de un proceso territorial que integre los esfuerzos de la población, los organismos y el Estado, orientado a mejorar la calidad de vida de las comunidades y a fortalecer su construcción a partir de los planes de desarrollo </w:t>
      </w:r>
      <w:r w:rsidRPr="00FF3532">
        <w:rPr>
          <w:rFonts w:ascii="Verdana" w:hAnsi="Verdana"/>
        </w:rPr>
        <w:lastRenderedPageBreak/>
        <w:t>comunales y comunitarios, elaborados y concertados por los afiliados a los organismos comunales en articulación con las autoridades de cada territorio.</w:t>
      </w:r>
    </w:p>
    <w:p w14:paraId="06A29DF6" w14:textId="13112D9E" w:rsidR="00FF3532" w:rsidRPr="00FF3532" w:rsidRDefault="00FF3532" w:rsidP="00FF3532">
      <w:pPr>
        <w:spacing w:after="120" w:line="276" w:lineRule="auto"/>
        <w:ind w:firstLine="737"/>
        <w:jc w:val="both"/>
        <w:rPr>
          <w:rFonts w:ascii="Verdana" w:hAnsi="Verdana"/>
        </w:rPr>
      </w:pPr>
      <w:r w:rsidRPr="00FF3532">
        <w:rPr>
          <w:rFonts w:ascii="Verdana" w:hAnsi="Verdana" w:cs="Arial"/>
          <w:lang w:eastAsia="es-ES"/>
        </w:rPr>
        <w:t xml:space="preserve">Al margen de la explicación precedente debe advertirse que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 </w:t>
      </w:r>
    </w:p>
    <w:p w14:paraId="2792ABD4" w14:textId="77777777" w:rsidR="00FF3532" w:rsidRPr="00FF3532" w:rsidRDefault="00FF3532" w:rsidP="00FF3532">
      <w:pPr>
        <w:spacing w:after="0" w:line="276" w:lineRule="auto"/>
        <w:ind w:firstLine="708"/>
        <w:jc w:val="both"/>
        <w:rPr>
          <w:rFonts w:ascii="Verdana" w:hAnsi="Verdana" w:cs="Arial"/>
          <w:lang w:eastAsia="es-ES"/>
        </w:rPr>
      </w:pPr>
      <w:r w:rsidRPr="00FF3532">
        <w:rPr>
          <w:rFonts w:ascii="Verdana" w:hAnsi="Verdana" w:cs="Arial"/>
          <w:lang w:eastAsia="es-ES"/>
        </w:rPr>
        <w:t>Dentro de este marco, la entidad pública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gestión contractual, sin que sea atribución de Colombia Compra Eficiente validar sus actuaciones.</w:t>
      </w:r>
    </w:p>
    <w:p w14:paraId="261E9E03" w14:textId="77777777" w:rsidR="00FB74D2" w:rsidRPr="00FF3532" w:rsidRDefault="00FB74D2" w:rsidP="0048490F">
      <w:pPr>
        <w:widowControl w:val="0"/>
        <w:autoSpaceDE w:val="0"/>
        <w:autoSpaceDN w:val="0"/>
        <w:spacing w:after="0" w:line="276" w:lineRule="auto"/>
        <w:jc w:val="both"/>
        <w:rPr>
          <w:rFonts w:ascii="Verdana" w:hAnsi="Verdana" w:cs="Arial"/>
          <w:lang w:eastAsia="es-ES"/>
        </w:rPr>
      </w:pPr>
    </w:p>
    <w:p w14:paraId="59159E5E" w14:textId="77777777" w:rsidR="0048490F" w:rsidRPr="00FF3532" w:rsidRDefault="0048490F" w:rsidP="0048490F">
      <w:pPr>
        <w:pStyle w:val="Prrafodelista"/>
        <w:numPr>
          <w:ilvl w:val="0"/>
          <w:numId w:val="19"/>
        </w:numPr>
        <w:tabs>
          <w:tab w:val="left" w:pos="142"/>
          <w:tab w:val="left" w:pos="284"/>
        </w:tabs>
        <w:spacing w:after="0" w:line="276" w:lineRule="auto"/>
        <w:ind w:left="360"/>
        <w:contextualSpacing w:val="0"/>
        <w:jc w:val="both"/>
        <w:rPr>
          <w:rFonts w:ascii="Verdana" w:eastAsia="Century Gothic" w:hAnsi="Verdana" w:cs="Century Gothic"/>
          <w:b/>
          <w:bCs/>
        </w:rPr>
      </w:pPr>
      <w:r w:rsidRPr="00FF3532">
        <w:rPr>
          <w:rFonts w:ascii="Verdana" w:eastAsia="Century Gothic" w:hAnsi="Verdana" w:cs="Century Gothic"/>
          <w:b/>
          <w:bCs/>
        </w:rPr>
        <w:t>Referencias normativas, jurisprudenciales y otras fuentes:</w:t>
      </w:r>
    </w:p>
    <w:p w14:paraId="2D697130" w14:textId="77777777" w:rsidR="0048490F" w:rsidRPr="00FF3532" w:rsidRDefault="0048490F" w:rsidP="0048490F">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48490F" w:rsidRPr="00FF3532" w14:paraId="56F5A9B5" w14:textId="77777777" w:rsidTr="003830A5">
        <w:trPr>
          <w:trHeight w:val="870"/>
        </w:trPr>
        <w:tc>
          <w:tcPr>
            <w:tcW w:w="8647" w:type="dxa"/>
          </w:tcPr>
          <w:p w14:paraId="6C781CCC" w14:textId="546256A7" w:rsidR="0048490F" w:rsidRPr="00FB4272" w:rsidRDefault="0048490F" w:rsidP="00FB4272">
            <w:pPr>
              <w:pStyle w:val="Prrafodelista"/>
              <w:numPr>
                <w:ilvl w:val="0"/>
                <w:numId w:val="18"/>
              </w:numPr>
              <w:spacing w:before="120" w:after="120" w:line="276" w:lineRule="auto"/>
              <w:jc w:val="both"/>
              <w:rPr>
                <w:rFonts w:ascii="Verdana" w:hAnsi="Verdana" w:cs="Arial"/>
              </w:rPr>
            </w:pPr>
            <w:r w:rsidRPr="00FF3532">
              <w:rPr>
                <w:rFonts w:ascii="Verdana" w:hAnsi="Verdana" w:cs="Arial"/>
              </w:rPr>
              <w:t>Constitución Política de 1991, artículo 355.</w:t>
            </w:r>
          </w:p>
        </w:tc>
      </w:tr>
    </w:tbl>
    <w:p w14:paraId="297C584D" w14:textId="77777777" w:rsidR="0048490F" w:rsidRPr="00FF3532" w:rsidRDefault="0048490F" w:rsidP="0048490F">
      <w:pPr>
        <w:widowControl w:val="0"/>
        <w:autoSpaceDE w:val="0"/>
        <w:autoSpaceDN w:val="0"/>
        <w:spacing w:after="0" w:line="276" w:lineRule="auto"/>
        <w:jc w:val="both"/>
        <w:rPr>
          <w:rFonts w:ascii="Verdana" w:hAnsi="Verdana" w:cs="Arial"/>
          <w:highlight w:val="cyan"/>
        </w:rPr>
      </w:pPr>
    </w:p>
    <w:p w14:paraId="225449C2" w14:textId="77777777" w:rsidR="0048490F" w:rsidRPr="00FF3532" w:rsidRDefault="0048490F" w:rsidP="0048490F">
      <w:pPr>
        <w:pStyle w:val="Prrafodelista"/>
        <w:numPr>
          <w:ilvl w:val="0"/>
          <w:numId w:val="19"/>
        </w:numPr>
        <w:tabs>
          <w:tab w:val="left" w:pos="142"/>
          <w:tab w:val="left" w:pos="284"/>
        </w:tabs>
        <w:spacing w:after="0" w:line="276" w:lineRule="auto"/>
        <w:ind w:left="0" w:firstLine="0"/>
        <w:contextualSpacing w:val="0"/>
        <w:jc w:val="both"/>
        <w:rPr>
          <w:rFonts w:ascii="Verdana" w:eastAsia="Century Gothic" w:hAnsi="Verdana" w:cs="Arial"/>
          <w:b/>
          <w:bCs/>
        </w:rPr>
      </w:pPr>
      <w:r w:rsidRPr="00FF3532">
        <w:rPr>
          <w:rFonts w:ascii="Verdana" w:eastAsia="Century Gothic" w:hAnsi="Verdana" w:cs="Arial"/>
          <w:b/>
          <w:bCs/>
        </w:rPr>
        <w:t>Doctrina de la Agencia Nacional de Contratación Pública:</w:t>
      </w:r>
    </w:p>
    <w:p w14:paraId="169E4B68" w14:textId="77777777" w:rsidR="0048490F" w:rsidRPr="00FF3532" w:rsidRDefault="0048490F" w:rsidP="0048490F">
      <w:pPr>
        <w:widowControl w:val="0"/>
        <w:autoSpaceDE w:val="0"/>
        <w:autoSpaceDN w:val="0"/>
        <w:spacing w:after="0" w:line="276" w:lineRule="auto"/>
        <w:jc w:val="both"/>
        <w:rPr>
          <w:rFonts w:ascii="Verdana" w:hAnsi="Verdana" w:cs="Arial"/>
          <w:highlight w:val="cyan"/>
        </w:rPr>
      </w:pPr>
    </w:p>
    <w:p w14:paraId="7102C658" w14:textId="4B34EC90" w:rsidR="00DD6816" w:rsidRPr="00FF3532" w:rsidRDefault="00DD6816" w:rsidP="00DD6816">
      <w:pPr>
        <w:widowControl w:val="0"/>
        <w:autoSpaceDE w:val="0"/>
        <w:autoSpaceDN w:val="0"/>
        <w:spacing w:after="100" w:afterAutospacing="1" w:line="276" w:lineRule="auto"/>
        <w:jc w:val="both"/>
        <w:rPr>
          <w:rFonts w:ascii="Verdana" w:eastAsia="Calibri" w:hAnsi="Verdana" w:cs="Arial"/>
          <w:color w:val="000000"/>
          <w:lang w:val="es-ES"/>
        </w:rPr>
      </w:pPr>
      <w:r w:rsidRPr="00FF3532">
        <w:rPr>
          <w:rFonts w:ascii="Verdana" w:hAnsi="Verdana" w:cs="Arial"/>
          <w:shd w:val="clear" w:color="auto" w:fill="FFFFFF"/>
          <w:lang w:val="es-ES"/>
        </w:rPr>
        <w:t xml:space="preserve">Sobre los convenios solidarios, su alcance y su régimen contractual, esta Subdirección se ha referido en los Conceptos Nro. </w:t>
      </w:r>
      <w:r w:rsidRPr="00FF3532">
        <w:rPr>
          <w:rFonts w:ascii="Verdana" w:eastAsia="Calibri" w:hAnsi="Verdana" w:cs="Arial"/>
          <w:color w:val="000000"/>
          <w:lang w:val="es-ES"/>
        </w:rPr>
        <w:t xml:space="preserve">C-730 del 3 de noviembre de 2022, C-740 del 31 de octubre de 2022, C-940 del 29 de diciembre de 2022, C-971 del 28 de febrero de 2023, C-972 del 8 de febrero de 2023 y C-068 del 9 de marzo de 2023, C-384 del 22 de septiembre del 2023, </w:t>
      </w:r>
      <w:r w:rsidRPr="00FF3532">
        <w:rPr>
          <w:rFonts w:ascii="Verdana" w:eastAsia="Times New Roman" w:hAnsi="Verdana" w:cs="Arial"/>
          <w:shd w:val="clear" w:color="auto" w:fill="FFFFFF"/>
          <w:lang w:val="es-ES"/>
        </w:rPr>
        <w:t>C-469 del 5 de febrero de 2024, C-020 del 23 de febrero de 2024, C-057 del 26 de Abril de 2024, C-025 del 21 de febrero de 2025, C-027 del 30 de enero de 2025, C-051 del 3 de mayo de 2024 y C-210 del 6 de marzo de 2025 y C-428 del 07 de mayo del 2025</w:t>
      </w:r>
      <w:r w:rsidR="006A6AD2" w:rsidRPr="00FF3532">
        <w:rPr>
          <w:rFonts w:ascii="Verdana" w:eastAsia="Times New Roman" w:hAnsi="Verdana" w:cs="Arial"/>
          <w:shd w:val="clear" w:color="auto" w:fill="FFFFFF"/>
          <w:lang w:val="es-ES"/>
        </w:rPr>
        <w:t>, C-1336 del 27 de octubre del 2025</w:t>
      </w:r>
      <w:r w:rsidR="008166BA" w:rsidRPr="00FF3532">
        <w:rPr>
          <w:rFonts w:ascii="Verdana" w:hAnsi="Verdana" w:cs="Arial"/>
          <w:shd w:val="clear" w:color="auto" w:fill="FFFFFF"/>
          <w:lang w:val="es-ES"/>
        </w:rPr>
        <w:t xml:space="preserve"> y C-451 del </w:t>
      </w:r>
      <w:r w:rsidR="00982C80" w:rsidRPr="00FF3532">
        <w:rPr>
          <w:rFonts w:ascii="Verdana" w:hAnsi="Verdana" w:cs="Arial"/>
          <w:shd w:val="clear" w:color="auto" w:fill="FFFFFF"/>
          <w:lang w:val="es-ES"/>
        </w:rPr>
        <w:t xml:space="preserve">30 de abril del 2026 </w:t>
      </w:r>
      <w:r w:rsidRPr="00FF3532">
        <w:rPr>
          <w:rFonts w:ascii="Verdana" w:hAnsi="Verdana" w:cs="Arial"/>
          <w:shd w:val="clear" w:color="auto" w:fill="FFFFFF"/>
          <w:lang w:val="es-ES"/>
        </w:rPr>
        <w:t xml:space="preserve">entre </w:t>
      </w:r>
      <w:r w:rsidRPr="00FF3532">
        <w:rPr>
          <w:rFonts w:ascii="Verdana" w:hAnsi="Verdana" w:cs="Arial"/>
          <w:shd w:val="clear" w:color="auto" w:fill="FFFFFF"/>
          <w:lang w:val="es-ES"/>
        </w:rPr>
        <w:lastRenderedPageBreak/>
        <w:t>otros</w:t>
      </w:r>
      <w:r w:rsidRPr="00FF3532">
        <w:rPr>
          <w:rFonts w:ascii="Verdana" w:hAnsi="Verdana" w:cs="Arial"/>
        </w:rPr>
        <w:t xml:space="preserve">. </w:t>
      </w:r>
      <w:r w:rsidRPr="00FF3532">
        <w:rPr>
          <w:rFonts w:ascii="Verdana" w:eastAsia="Calibri" w:hAnsi="Verdana" w:cs="Arial"/>
          <w:lang w:eastAsia="es-ES"/>
        </w:rPr>
        <w:t xml:space="preserve">Estos y otros conceptos se encuentran disponibles para consulta en el Sistema de Relatoría de la Agencia, en el cual también podrás encontrar jurisprudencia del Consejo de Estado, laudos arbitrales y la normativa de la contratación concordada con la doctrina de la Subdirección de Gestión Contractual. Accede a través del siguiente enlace: </w:t>
      </w:r>
      <w:hyperlink r:id="rId15" w:history="1">
        <w:r w:rsidRPr="00FF3532">
          <w:rPr>
            <w:rStyle w:val="Hipervnculo"/>
            <w:rFonts w:ascii="Verdana" w:eastAsia="Calibri" w:hAnsi="Verdana" w:cs="Arial"/>
            <w:lang w:eastAsia="es-ES_tradnl"/>
          </w:rPr>
          <w:t>https://relatoria.colombiacompra.gov.co/</w:t>
        </w:r>
      </w:hyperlink>
      <w:r w:rsidRPr="00FF3532">
        <w:rPr>
          <w:rFonts w:ascii="Verdana" w:eastAsia="Calibri" w:hAnsi="Verdana" w:cs="Arial"/>
          <w:lang w:eastAsia="es-ES_tradnl"/>
        </w:rPr>
        <w:t> </w:t>
      </w:r>
    </w:p>
    <w:p w14:paraId="04DD784B" w14:textId="77777777" w:rsidR="00462B6A" w:rsidRPr="00FF3532" w:rsidRDefault="00462B6A" w:rsidP="00462B6A">
      <w:pPr>
        <w:jc w:val="both"/>
        <w:rPr>
          <w:rFonts w:ascii="Verdana" w:eastAsia="Calibri" w:hAnsi="Verdana" w:cs="Arial"/>
          <w:b/>
          <w:bCs/>
          <w:lang w:val="es-ES" w:eastAsia="es-ES"/>
        </w:rPr>
      </w:pPr>
      <w:r w:rsidRPr="00FF3532">
        <w:rPr>
          <w:rFonts w:ascii="Verdana" w:hAnsi="Verdana" w:cs="Arial"/>
        </w:rPr>
        <w:t xml:space="preserve">Las garantías no son un requisito formal: son el instrumento con el que se protege el patrimonio público frente a los riesgos del contrato. Por ello, la Agencia Nacional de Contratación Pública –Colombia Compra Eficiente– te invita a consultar la nueva versión de la </w:t>
      </w:r>
      <w:r w:rsidRPr="00FF3532">
        <w:rPr>
          <w:rFonts w:ascii="Verdana" w:hAnsi="Verdana" w:cs="Arial"/>
          <w:b/>
          <w:bCs/>
        </w:rPr>
        <w:t>Guía para la Exigencia y Constitución de Garantías en los Procesos de Contratación</w:t>
      </w:r>
      <w:r w:rsidRPr="00FF3532">
        <w:rPr>
          <w:rFonts w:ascii="Verdana" w:hAnsi="Verdana" w:cs="Arial"/>
        </w:rPr>
        <w:t xml:space="preserve">, dirigida a las entidades sometidas al EGCAP y a las de regímenes exceptuados, así como a proveedores y órganos de control. Encontrarás orientaciones sobre las clases de garantías admisibles, la correspondencia entre riesgos asignados y amparos exigidos, su suficiencia y vigencia, y el procedimiento para hacerlas efectivas. Consúltala aquí: </w:t>
      </w:r>
      <w:hyperlink r:id="rId16" w:tgtFrame="_blank" w:tooltip="Dirección URL original: https://www.colombiacompra.gov.co/archivos/manual/guia-de-garantias-en-procesos-de-contratacion. Haga clic o pulse si confía en este vínculo." w:history="1">
        <w:r w:rsidRPr="00FF3532">
          <w:rPr>
            <w:rStyle w:val="Hipervnculo"/>
            <w:rFonts w:ascii="Verdana" w:hAnsi="Verdana" w:cs="Arial"/>
          </w:rPr>
          <w:t>https://www.colombiacompra.gov.co/archivos/manual/guia-de-garantias-en-procesos-de-contratacion</w:t>
        </w:r>
      </w:hyperlink>
    </w:p>
    <w:p w14:paraId="59FFEE8F" w14:textId="77777777" w:rsidR="00462B6A" w:rsidRPr="00FF3532" w:rsidRDefault="00462B6A" w:rsidP="00462B6A">
      <w:pPr>
        <w:jc w:val="both"/>
        <w:rPr>
          <w:rFonts w:ascii="Verdana" w:eastAsia="Calibri" w:hAnsi="Verdana" w:cs="Arial"/>
          <w:b/>
          <w:bCs/>
          <w:lang w:val="es-ES" w:eastAsia="es-ES"/>
        </w:rPr>
      </w:pPr>
      <w:r w:rsidRPr="00FF3532">
        <w:rPr>
          <w:rFonts w:ascii="Verdana" w:hAnsi="Verdana" w:cs="Arial"/>
        </w:rPr>
        <w:t xml:space="preserve">De otro lado, te contamos que el Decreto 287 del 19 de marzo de 2026 sustituyó los artículos 2.2.1.2.4.2.6., 2.2.1.2.4.2.7. y 2.2.1.2.4.2.8. del Decreto 1082 de 2015 y estructuró el </w:t>
      </w:r>
      <w:r w:rsidRPr="00FF3532">
        <w:rPr>
          <w:rFonts w:ascii="Verdana" w:hAnsi="Verdana" w:cs="Arial"/>
          <w:b/>
          <w:bCs/>
        </w:rPr>
        <w:t>Sistema Integral de Preferencias en favor de las personas con discapacidad</w:t>
      </w:r>
      <w:r w:rsidRPr="00FF3532">
        <w:rPr>
          <w:rFonts w:ascii="Verdana" w:hAnsi="Verdana" w:cs="Arial"/>
        </w:rPr>
        <w:t xml:space="preserve">, en cumplimiento del artículo 13 de la Ley Estatutaria 1618 de 2013. Para orientar su aplicación, esta Agencia expidió la </w:t>
      </w:r>
      <w:r w:rsidRPr="00FF3532">
        <w:rPr>
          <w:rFonts w:ascii="Verdana" w:hAnsi="Verdana" w:cs="Arial"/>
          <w:b/>
          <w:bCs/>
        </w:rPr>
        <w:t xml:space="preserve">Circular Externa 003 del 12 de mayo de 2026, </w:t>
      </w:r>
      <w:r w:rsidRPr="00FF3532">
        <w:rPr>
          <w:rFonts w:ascii="Verdana" w:hAnsi="Verdana" w:cs="Arial"/>
        </w:rPr>
        <w:t xml:space="preserve">en la que precisa quiénes son los beneficiarios, las cinco medidas que integran el sistema y su obligatoriedad según la modalidad de selección, y el régimen de transición aplicable a los procesos en curso. Consúltala aquí: </w:t>
      </w:r>
      <w:hyperlink r:id="rId17" w:tgtFrame="_blank" w:tooltip="Dirección URL original: https://www.colombiacompra.gov.co/archivos/circular/circular-externa-003-de-2026. Haga clic o pulse si confía en este vínculo." w:history="1">
        <w:r w:rsidRPr="00FF3532">
          <w:rPr>
            <w:rStyle w:val="Hipervnculo"/>
            <w:rFonts w:ascii="Verdana" w:hAnsi="Verdana" w:cs="Arial"/>
          </w:rPr>
          <w:t>https://www.colombiacompra.gov.co/archivos/circular/circular-externa-003-de-2026</w:t>
        </w:r>
      </w:hyperlink>
    </w:p>
    <w:p w14:paraId="47B97B62" w14:textId="77777777" w:rsidR="00462B6A" w:rsidRPr="00FF3532" w:rsidRDefault="00462B6A" w:rsidP="00462B6A">
      <w:pPr>
        <w:jc w:val="both"/>
        <w:rPr>
          <w:rFonts w:ascii="Verdana" w:eastAsia="Calibri" w:hAnsi="Verdana" w:cs="Arial"/>
          <w:b/>
          <w:bCs/>
          <w:lang w:val="es-ES" w:eastAsia="es-ES"/>
        </w:rPr>
      </w:pPr>
      <w:r w:rsidRPr="00FF3532">
        <w:rPr>
          <w:rFonts w:ascii="Verdana" w:hAnsi="Verdana" w:cs="Arial"/>
        </w:rPr>
        <w:t>Recuerda también que la</w:t>
      </w:r>
      <w:r w:rsidRPr="00FF3532">
        <w:rPr>
          <w:rFonts w:ascii="Verdana" w:hAnsi="Verdana" w:cs="Arial"/>
          <w:b/>
          <w:bCs/>
        </w:rPr>
        <w:t xml:space="preserve"> información sobre sanciones e inhabilidades </w:t>
      </w:r>
      <w:r w:rsidRPr="00FF3532">
        <w:rPr>
          <w:rFonts w:ascii="Verdana" w:hAnsi="Verdana" w:cs="Arial"/>
        </w:rPr>
        <w:t xml:space="preserve">solo cumple su función preventiva si llega oportunamente a los registros públicos. Sobre este deber, esta Agencia expidió la </w:t>
      </w:r>
      <w:r w:rsidRPr="00FF3532">
        <w:rPr>
          <w:rFonts w:ascii="Verdana" w:hAnsi="Verdana" w:cs="Arial"/>
          <w:b/>
          <w:bCs/>
        </w:rPr>
        <w:t>Circular Externa 002 del 5 de mayo de 2026,</w:t>
      </w:r>
      <w:r w:rsidRPr="00FF3532">
        <w:rPr>
          <w:rFonts w:ascii="Verdana" w:hAnsi="Verdana" w:cs="Arial"/>
        </w:rPr>
        <w:t xml:space="preserve"> dirigida a todas las entidades del Estado sin distinción de su régimen contractual, en la que reitera la obligatoriedad de reportar caducidades, multas, sanciones, declaratorias de incumplimiento e inhabilidades ante las Cámaras de Comercio, la Procuraduría General de la Nación y el SECOP, e indica los responsables, los portales dispuestos para el efecto y las consecuencias </w:t>
      </w:r>
      <w:r w:rsidRPr="00FF3532">
        <w:rPr>
          <w:rFonts w:ascii="Verdana" w:hAnsi="Verdana" w:cs="Arial"/>
        </w:rPr>
        <w:lastRenderedPageBreak/>
        <w:t xml:space="preserve">disciplinarias de omitir este deber. Consúltala aquí: </w:t>
      </w:r>
      <w:hyperlink r:id="rId18" w:tgtFrame="_blank" w:tooltip="Dirección URL original: https://www.colombiacompra.gov.co/archivos/circular/circular-externa-002-de-2026. Haga clic o pulse si confía en este vínculo." w:history="1">
        <w:r w:rsidRPr="00FF3532">
          <w:rPr>
            <w:rStyle w:val="Hipervnculo"/>
            <w:rFonts w:ascii="Verdana" w:hAnsi="Verdana" w:cs="Arial"/>
          </w:rPr>
          <w:t>https://www.colombiacompra.gov.co/archivos/circular/circular-externa-002-de-2026</w:t>
        </w:r>
      </w:hyperlink>
    </w:p>
    <w:p w14:paraId="54DB2E9F" w14:textId="2774D26E" w:rsidR="00462B6A" w:rsidRPr="00FF3532" w:rsidRDefault="00462B6A" w:rsidP="00462B6A">
      <w:pPr>
        <w:jc w:val="both"/>
        <w:rPr>
          <w:rFonts w:ascii="Verdana" w:eastAsia="Calibri" w:hAnsi="Verdana" w:cs="Arial"/>
          <w:b/>
          <w:bCs/>
          <w:lang w:val="es-ES" w:eastAsia="es-ES"/>
        </w:rPr>
      </w:pPr>
      <w:r w:rsidRPr="00FF3532">
        <w:rPr>
          <w:rFonts w:ascii="Verdana" w:hAnsi="Verdana" w:cs="Arial"/>
        </w:rPr>
        <w:t>Finalmente, si quieres seguir de cerca la actividad de la Agencia, la tercera edición de 2026 del</w:t>
      </w:r>
      <w:r w:rsidRPr="00FF3532">
        <w:rPr>
          <w:rFonts w:ascii="Verdana" w:hAnsi="Verdana" w:cs="Arial"/>
          <w:b/>
          <w:bCs/>
        </w:rPr>
        <w:t xml:space="preserve"> Radar de la Compra Pública</w:t>
      </w:r>
      <w:r w:rsidRPr="00FF3532">
        <w:rPr>
          <w:rFonts w:ascii="Verdana" w:hAnsi="Verdana" w:cs="Arial"/>
        </w:rPr>
        <w:t xml:space="preserve"> reúne, entre otros contenidos, la Circular Externa 003 de 2026, el Decreto 552 de 2026, un estudio sobre inteligencia artificial en la compra pública, los avances de la Relatoría, análisis jurisprudencial, conceptos jurídicos destacados y la oferta de la Escuela Virtual ANCP-CCE. Descárgalo aquí: </w:t>
      </w:r>
      <w:hyperlink r:id="rId19" w:tgtFrame="_blank" w:tooltip="Dirección URL original: https://www.colombiacompra.gov.co/archivos/boletin/boletin-edicion-n-3-de-2026-radar-de-la-compra-publica. Haga clic o pulse si confía en este vínculo." w:history="1">
        <w:r w:rsidRPr="00FF3532">
          <w:rPr>
            <w:rStyle w:val="Hipervnculo"/>
            <w:rFonts w:ascii="Verdana" w:hAnsi="Verdana" w:cs="Arial"/>
          </w:rPr>
          <w:t>https://www.colombiacompra.gov.co/archivos/boletin/boletin-edicion-n-3-de-2026-radar-de-la-compra-publica</w:t>
        </w:r>
      </w:hyperlink>
      <w:r w:rsidRPr="00FF3532">
        <w:rPr>
          <w:rFonts w:ascii="Verdana" w:hAnsi="Verdana" w:cs="Arial"/>
        </w:rPr>
        <w:t>"</w:t>
      </w:r>
    </w:p>
    <w:p w14:paraId="63D72AAA" w14:textId="77777777" w:rsidR="0048490F" w:rsidRPr="00FF3532" w:rsidRDefault="0048490F" w:rsidP="0048490F">
      <w:pPr>
        <w:spacing w:after="0" w:line="276" w:lineRule="auto"/>
        <w:jc w:val="both"/>
        <w:rPr>
          <w:rFonts w:ascii="Verdana" w:hAnsi="Verdana" w:cs="Arial"/>
        </w:rPr>
      </w:pPr>
      <w:r w:rsidRPr="00FF3532">
        <w:rPr>
          <w:rFonts w:ascii="Verdana" w:hAnsi="Verdana" w:cs="Arial"/>
        </w:rPr>
        <w:t xml:space="preserve">Por último, lo invitamos a seguirnos en las redes sociales en las cuales se difunde información institucional: </w:t>
      </w:r>
    </w:p>
    <w:p w14:paraId="508C98AB" w14:textId="77777777" w:rsidR="0048490F" w:rsidRPr="00FF3532" w:rsidRDefault="0048490F" w:rsidP="0048490F">
      <w:pPr>
        <w:spacing w:after="0" w:line="276" w:lineRule="auto"/>
        <w:jc w:val="both"/>
        <w:rPr>
          <w:rFonts w:ascii="Verdana" w:hAnsi="Verdana" w:cs="Arial"/>
        </w:rPr>
      </w:pPr>
    </w:p>
    <w:p w14:paraId="3CC9BAF4" w14:textId="77777777" w:rsidR="0048490F" w:rsidRPr="00FF3532" w:rsidRDefault="0048490F" w:rsidP="0048490F">
      <w:pPr>
        <w:spacing w:after="0" w:line="276" w:lineRule="auto"/>
        <w:jc w:val="both"/>
        <w:rPr>
          <w:rFonts w:ascii="Verdana" w:hAnsi="Verdana" w:cs="Arial"/>
        </w:rPr>
      </w:pPr>
      <w:r w:rsidRPr="00FF3532">
        <w:rPr>
          <w:rFonts w:ascii="Verdana" w:hAnsi="Verdana" w:cs="Arial"/>
        </w:rPr>
        <w:t xml:space="preserve">Twitter: </w:t>
      </w:r>
      <w:r w:rsidRPr="00FF3532">
        <w:rPr>
          <w:rStyle w:val="Hipervnculo"/>
          <w:rFonts w:ascii="Verdana" w:hAnsi="Verdana" w:cs="Arial"/>
          <w:color w:val="4472C4" w:themeColor="accent1"/>
        </w:rPr>
        <w:t>@colombiacompra</w:t>
      </w:r>
      <w:r w:rsidRPr="00FF3532">
        <w:rPr>
          <w:rFonts w:ascii="Verdana" w:hAnsi="Verdana" w:cs="Arial"/>
          <w:color w:val="4472C4" w:themeColor="accent1"/>
        </w:rPr>
        <w:t xml:space="preserve"> </w:t>
      </w:r>
    </w:p>
    <w:p w14:paraId="2215EC86" w14:textId="77777777" w:rsidR="0048490F" w:rsidRPr="00FF3532" w:rsidRDefault="0048490F" w:rsidP="0048490F">
      <w:pPr>
        <w:spacing w:after="0" w:line="276" w:lineRule="auto"/>
        <w:jc w:val="both"/>
        <w:rPr>
          <w:rFonts w:ascii="Verdana" w:hAnsi="Verdana" w:cs="Arial"/>
        </w:rPr>
      </w:pPr>
      <w:r w:rsidRPr="00FF3532">
        <w:rPr>
          <w:rFonts w:ascii="Verdana" w:hAnsi="Verdana" w:cs="Arial"/>
        </w:rPr>
        <w:t xml:space="preserve">Facebook: </w:t>
      </w:r>
      <w:r w:rsidRPr="00FF3532">
        <w:rPr>
          <w:rStyle w:val="Hipervnculo"/>
          <w:rFonts w:ascii="Verdana" w:hAnsi="Verdana" w:cs="Arial"/>
          <w:color w:val="4472C4" w:themeColor="accent1"/>
        </w:rPr>
        <w:t>ColombiaCompraEficiente</w:t>
      </w:r>
    </w:p>
    <w:p w14:paraId="3E1F87E7" w14:textId="77777777" w:rsidR="0048490F" w:rsidRPr="00FF3532" w:rsidRDefault="0048490F" w:rsidP="0048490F">
      <w:pPr>
        <w:spacing w:after="0" w:line="276" w:lineRule="auto"/>
        <w:jc w:val="both"/>
        <w:rPr>
          <w:rStyle w:val="Hipervnculo"/>
          <w:rFonts w:ascii="Verdana" w:hAnsi="Verdana" w:cs="Arial"/>
          <w:color w:val="4472C4" w:themeColor="accent1"/>
        </w:rPr>
      </w:pPr>
      <w:r w:rsidRPr="00FF3532">
        <w:rPr>
          <w:rFonts w:ascii="Verdana" w:hAnsi="Verdana" w:cs="Arial"/>
        </w:rPr>
        <w:t xml:space="preserve">LinkedIn: </w:t>
      </w:r>
      <w:r w:rsidRPr="00FF3532">
        <w:rPr>
          <w:rStyle w:val="Hipervnculo"/>
          <w:rFonts w:ascii="Verdana" w:hAnsi="Verdana" w:cs="Arial"/>
          <w:color w:val="4472C4" w:themeColor="accent1"/>
        </w:rPr>
        <w:t>Agencia Nacional de Contratación Pública - Colombia Compra Eficiente</w:t>
      </w:r>
      <w:r w:rsidRPr="00FF3532">
        <w:rPr>
          <w:rFonts w:ascii="Verdana" w:hAnsi="Verdana" w:cs="Arial"/>
          <w:color w:val="4472C4" w:themeColor="accent1"/>
        </w:rPr>
        <w:t xml:space="preserve"> </w:t>
      </w:r>
      <w:r w:rsidRPr="00FF3532">
        <w:rPr>
          <w:rFonts w:ascii="Verdana" w:hAnsi="Verdana" w:cs="Arial"/>
        </w:rPr>
        <w:t xml:space="preserve">Instagram: </w:t>
      </w:r>
      <w:r w:rsidRPr="00FF3532">
        <w:rPr>
          <w:rStyle w:val="Hipervnculo"/>
          <w:rFonts w:ascii="Verdana" w:hAnsi="Verdana" w:cs="Arial"/>
          <w:color w:val="4472C4" w:themeColor="accent1"/>
        </w:rPr>
        <w:t>@colombiacompraeficiente_cce</w:t>
      </w:r>
    </w:p>
    <w:p w14:paraId="5AAD7DBC" w14:textId="77777777" w:rsidR="0048490F" w:rsidRPr="00FF3532" w:rsidRDefault="0048490F" w:rsidP="0048490F">
      <w:pPr>
        <w:spacing w:after="0" w:line="276" w:lineRule="auto"/>
        <w:jc w:val="both"/>
        <w:rPr>
          <w:rStyle w:val="Hipervnculo"/>
          <w:rFonts w:ascii="Verdana" w:hAnsi="Verdana" w:cs="Arial"/>
          <w:color w:val="4472C4" w:themeColor="accent1"/>
        </w:rPr>
      </w:pPr>
    </w:p>
    <w:p w14:paraId="4CBD86D0" w14:textId="77777777" w:rsidR="0048490F" w:rsidRPr="00FF3532" w:rsidRDefault="0048490F" w:rsidP="0048490F">
      <w:pPr>
        <w:widowControl w:val="0"/>
        <w:autoSpaceDE w:val="0"/>
        <w:autoSpaceDN w:val="0"/>
        <w:spacing w:after="0" w:line="276" w:lineRule="auto"/>
        <w:jc w:val="both"/>
        <w:rPr>
          <w:rFonts w:ascii="Verdana" w:hAnsi="Verdana" w:cs="Arial"/>
          <w:lang w:val="es-ES_tradnl"/>
        </w:rPr>
      </w:pPr>
      <w:r w:rsidRPr="00FF3532">
        <w:rPr>
          <w:rFonts w:ascii="Verdana" w:hAnsi="Verdana" w:cs="Arial"/>
        </w:rPr>
        <w:t xml:space="preserve">Este concepto tiene el alcance previsto en el artículo 28 del Código de Procedimiento Administrativo y de lo Contencioso Administrativo </w:t>
      </w:r>
      <w:r w:rsidRPr="00FF3532">
        <w:rPr>
          <w:rFonts w:ascii="Verdana" w:hAnsi="Verdana" w:cs="Arial"/>
          <w:lang w:val="es-ES_tradnl"/>
        </w:rPr>
        <w:t>y las expresiones aquí utilizadas con mayúscula inicial deben ser entendidas con el significado que les otorga el artículo 2.2.1.1.1.3.1. del Decreto 1082 de 2015.</w:t>
      </w:r>
    </w:p>
    <w:p w14:paraId="1DE9BA86" w14:textId="77777777" w:rsidR="0048490F" w:rsidRPr="00FF3532" w:rsidRDefault="0048490F" w:rsidP="0048490F">
      <w:pPr>
        <w:widowControl w:val="0"/>
        <w:autoSpaceDE w:val="0"/>
        <w:autoSpaceDN w:val="0"/>
        <w:spacing w:after="0" w:line="276" w:lineRule="auto"/>
        <w:jc w:val="both"/>
        <w:rPr>
          <w:rFonts w:ascii="Verdana" w:hAnsi="Verdana" w:cs="Arial"/>
        </w:rPr>
      </w:pPr>
    </w:p>
    <w:p w14:paraId="2AA55BCE" w14:textId="77777777" w:rsidR="0048490F" w:rsidRPr="00FF3532" w:rsidRDefault="0048490F" w:rsidP="0048490F">
      <w:pPr>
        <w:spacing w:after="0" w:line="276" w:lineRule="auto"/>
        <w:jc w:val="both"/>
        <w:rPr>
          <w:rFonts w:ascii="Verdana" w:hAnsi="Verdana" w:cs="Arial"/>
          <w:lang w:eastAsia="es-CO"/>
        </w:rPr>
      </w:pPr>
      <w:r w:rsidRPr="00FF3532">
        <w:rPr>
          <w:rFonts w:ascii="Verdana" w:eastAsia="Times New Roman" w:hAnsi="Verdana" w:cs="Arial"/>
          <w:lang w:eastAsia="es-CO"/>
        </w:rPr>
        <w:t>Atentamente,</w:t>
      </w:r>
      <w:r w:rsidRPr="00FF3532">
        <w:rPr>
          <w:rFonts w:ascii="Verdana" w:hAnsi="Verdana" w:cs="Arial"/>
          <w:lang w:eastAsia="es-CO"/>
        </w:rPr>
        <w:t xml:space="preserve"> </w:t>
      </w:r>
    </w:p>
    <w:p w14:paraId="24BFBF5C" w14:textId="64746DD9" w:rsidR="0048490F" w:rsidRPr="00FF3532" w:rsidRDefault="00FA4F78" w:rsidP="0048490F">
      <w:pPr>
        <w:spacing w:after="0" w:line="276" w:lineRule="auto"/>
        <w:jc w:val="center"/>
        <w:rPr>
          <w:rFonts w:ascii="Verdana" w:hAnsi="Verdana" w:cs="Arial"/>
          <w:lang w:eastAsia="es-CO"/>
        </w:rPr>
      </w:pPr>
      <w:r w:rsidRPr="004D5C25">
        <w:rPr>
          <w:rFonts w:ascii="Century Gothic" w:hAnsi="Century Gothic"/>
          <w:noProof/>
        </w:rPr>
        <w:drawing>
          <wp:inline distT="0" distB="0" distL="0" distR="0" wp14:anchorId="61A6FD84" wp14:editId="5E588911">
            <wp:extent cx="3705742" cy="1590897"/>
            <wp:effectExtent l="0" t="0" r="9525" b="9525"/>
            <wp:docPr id="1822740040"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2740040" name="Imagen 1" descr="Texto&#10;&#10;Descripción generada automáticamente"/>
                    <pic:cNvPicPr/>
                  </pic:nvPicPr>
                  <pic:blipFill>
                    <a:blip r:embed="rId20"/>
                    <a:stretch>
                      <a:fillRect/>
                    </a:stretch>
                  </pic:blipFill>
                  <pic:spPr>
                    <a:xfrm>
                      <a:off x="0" y="0"/>
                      <a:ext cx="3705742" cy="1590897"/>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48490F" w:rsidRPr="00FF3532" w14:paraId="6EA54BB7" w14:textId="77777777" w:rsidTr="003830A5">
        <w:trPr>
          <w:trHeight w:val="315"/>
        </w:trPr>
        <w:tc>
          <w:tcPr>
            <w:tcW w:w="893" w:type="dxa"/>
            <w:vAlign w:val="center"/>
            <w:hideMark/>
          </w:tcPr>
          <w:p w14:paraId="6B1CF7DF" w14:textId="77777777" w:rsidR="0048490F" w:rsidRPr="00FF3532" w:rsidRDefault="0048490F" w:rsidP="003830A5">
            <w:pPr>
              <w:contextualSpacing/>
              <w:rPr>
                <w:rFonts w:ascii="Verdana" w:hAnsi="Verdana" w:cs="Arial"/>
                <w:sz w:val="16"/>
                <w:szCs w:val="16"/>
                <w:lang w:val="es-ES" w:eastAsia="es-ES"/>
              </w:rPr>
            </w:pPr>
            <w:r w:rsidRPr="00FF3532">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15E22D7" w14:textId="77777777" w:rsidR="0048490F" w:rsidRPr="00FF3532" w:rsidRDefault="0048490F" w:rsidP="003830A5">
            <w:pPr>
              <w:contextualSpacing/>
              <w:rPr>
                <w:rFonts w:ascii="Verdana" w:eastAsia="Arial" w:hAnsi="Verdana" w:cs="Arial"/>
                <w:sz w:val="16"/>
                <w:szCs w:val="16"/>
              </w:rPr>
            </w:pPr>
            <w:r w:rsidRPr="00FF3532">
              <w:rPr>
                <w:rFonts w:ascii="Verdana" w:eastAsia="Arial" w:hAnsi="Verdana" w:cs="Arial"/>
                <w:sz w:val="16"/>
                <w:szCs w:val="16"/>
              </w:rPr>
              <w:t>Ana María Ortiz Ballesteros</w:t>
            </w:r>
          </w:p>
          <w:p w14:paraId="236B83A0" w14:textId="77777777" w:rsidR="0048490F" w:rsidRPr="00FF3532" w:rsidRDefault="0048490F" w:rsidP="003830A5">
            <w:pPr>
              <w:contextualSpacing/>
              <w:rPr>
                <w:rFonts w:ascii="Verdana" w:eastAsia="Arial" w:hAnsi="Verdana" w:cs="Arial"/>
                <w:sz w:val="16"/>
                <w:szCs w:val="16"/>
              </w:rPr>
            </w:pPr>
            <w:r w:rsidRPr="00FF3532">
              <w:rPr>
                <w:rStyle w:val="normaltextrun"/>
                <w:rFonts w:ascii="Verdana" w:eastAsia="Arial" w:hAnsi="Verdana" w:cs="Arial"/>
                <w:sz w:val="16"/>
                <w:szCs w:val="16"/>
              </w:rPr>
              <w:t>C</w:t>
            </w:r>
            <w:r w:rsidRPr="00FF3532">
              <w:rPr>
                <w:rStyle w:val="normaltextrun"/>
                <w:rFonts w:ascii="Verdana" w:hAnsi="Verdana"/>
                <w:sz w:val="16"/>
                <w:szCs w:val="16"/>
              </w:rPr>
              <w:t>ontratista</w:t>
            </w:r>
            <w:r w:rsidRPr="00FF3532">
              <w:rPr>
                <w:rStyle w:val="normaltextrun"/>
                <w:rFonts w:ascii="Verdana" w:eastAsia="Arial" w:hAnsi="Verdana" w:cs="Arial"/>
                <w:sz w:val="16"/>
                <w:szCs w:val="16"/>
              </w:rPr>
              <w:t xml:space="preserve"> de la Subdirección de Gestión Contractual</w:t>
            </w:r>
          </w:p>
        </w:tc>
      </w:tr>
      <w:tr w:rsidR="0048490F" w:rsidRPr="00FF3532" w14:paraId="28119C5F" w14:textId="77777777" w:rsidTr="003830A5">
        <w:trPr>
          <w:trHeight w:val="330"/>
        </w:trPr>
        <w:tc>
          <w:tcPr>
            <w:tcW w:w="893" w:type="dxa"/>
            <w:vAlign w:val="center"/>
            <w:hideMark/>
          </w:tcPr>
          <w:p w14:paraId="5656AD55" w14:textId="77777777" w:rsidR="0048490F" w:rsidRPr="00FF3532" w:rsidRDefault="0048490F" w:rsidP="003830A5">
            <w:pPr>
              <w:contextualSpacing/>
              <w:rPr>
                <w:rFonts w:ascii="Verdana" w:hAnsi="Verdana" w:cs="Arial"/>
                <w:sz w:val="16"/>
                <w:szCs w:val="16"/>
                <w:lang w:val="es-ES" w:eastAsia="es-ES"/>
              </w:rPr>
            </w:pPr>
            <w:r w:rsidRPr="00FF3532">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644677A" w14:textId="77777777" w:rsidR="0048490F" w:rsidRPr="00FF3532" w:rsidRDefault="0048490F" w:rsidP="003830A5">
            <w:pPr>
              <w:pStyle w:val="paragraph"/>
              <w:spacing w:before="0" w:beforeAutospacing="0" w:after="0" w:afterAutospacing="0"/>
              <w:contextualSpacing/>
              <w:jc w:val="both"/>
              <w:textAlignment w:val="baseline"/>
              <w:rPr>
                <w:rStyle w:val="normaltextrun"/>
                <w:rFonts w:ascii="Verdana" w:hAnsi="Verdana" w:cs="Arial"/>
                <w:sz w:val="16"/>
                <w:szCs w:val="16"/>
              </w:rPr>
            </w:pPr>
            <w:r w:rsidRPr="00FF3532">
              <w:rPr>
                <w:rFonts w:ascii="Verdana" w:hAnsi="Verdana" w:cs="Arial"/>
                <w:sz w:val="16"/>
                <w:szCs w:val="16"/>
              </w:rPr>
              <w:t>Adriana Katerine López Rodríguez</w:t>
            </w:r>
            <w:r w:rsidRPr="00FF3532">
              <w:rPr>
                <w:rStyle w:val="normaltextrun"/>
                <w:rFonts w:ascii="Verdana" w:hAnsi="Verdana" w:cs="Arial"/>
                <w:sz w:val="16"/>
                <w:szCs w:val="16"/>
              </w:rPr>
              <w:t xml:space="preserve"> </w:t>
            </w:r>
          </w:p>
          <w:p w14:paraId="194285BE" w14:textId="77777777" w:rsidR="0048490F" w:rsidRPr="00FF3532" w:rsidRDefault="0048490F" w:rsidP="003830A5">
            <w:pPr>
              <w:pStyle w:val="paragraph"/>
              <w:spacing w:before="0" w:beforeAutospacing="0" w:after="0" w:afterAutospacing="0"/>
              <w:contextualSpacing/>
              <w:jc w:val="both"/>
              <w:textAlignment w:val="baseline"/>
              <w:rPr>
                <w:rFonts w:ascii="Verdana" w:hAnsi="Verdana" w:cs="Arial"/>
                <w:sz w:val="16"/>
                <w:szCs w:val="16"/>
              </w:rPr>
            </w:pPr>
            <w:r w:rsidRPr="00FF3532">
              <w:rPr>
                <w:rStyle w:val="normaltextrun"/>
                <w:rFonts w:ascii="Verdana" w:eastAsia="Arial" w:hAnsi="Verdana" w:cs="Arial"/>
                <w:sz w:val="16"/>
                <w:szCs w:val="16"/>
              </w:rPr>
              <w:t>C</w:t>
            </w:r>
            <w:r w:rsidRPr="00FF3532">
              <w:rPr>
                <w:rStyle w:val="normaltextrun"/>
                <w:rFonts w:ascii="Verdana" w:hAnsi="Verdana"/>
                <w:sz w:val="16"/>
                <w:szCs w:val="16"/>
              </w:rPr>
              <w:t>ontratista</w:t>
            </w:r>
            <w:r w:rsidRPr="00FF3532">
              <w:rPr>
                <w:rStyle w:val="normaltextrun"/>
                <w:rFonts w:ascii="Verdana" w:eastAsia="Arial" w:hAnsi="Verdana" w:cs="Arial"/>
                <w:sz w:val="16"/>
                <w:szCs w:val="16"/>
              </w:rPr>
              <w:t xml:space="preserve"> de la Subdirección de Gestión Contractual</w:t>
            </w:r>
          </w:p>
        </w:tc>
      </w:tr>
      <w:tr w:rsidR="0048490F" w:rsidRPr="00FF3532" w14:paraId="7AF4E039" w14:textId="77777777" w:rsidTr="003830A5">
        <w:trPr>
          <w:trHeight w:val="300"/>
        </w:trPr>
        <w:tc>
          <w:tcPr>
            <w:tcW w:w="893" w:type="dxa"/>
            <w:vAlign w:val="center"/>
          </w:tcPr>
          <w:p w14:paraId="46A8B3E4" w14:textId="77777777" w:rsidR="0048490F" w:rsidRPr="00FF3532" w:rsidRDefault="0048490F" w:rsidP="003830A5">
            <w:pPr>
              <w:contextualSpacing/>
              <w:rPr>
                <w:rFonts w:ascii="Verdana" w:hAnsi="Verdana" w:cs="Arial"/>
                <w:sz w:val="16"/>
                <w:szCs w:val="16"/>
                <w:lang w:val="es-ES" w:eastAsia="es-ES"/>
              </w:rPr>
            </w:pPr>
            <w:r w:rsidRPr="00FF3532">
              <w:rPr>
                <w:rFonts w:ascii="Verdana" w:hAnsi="Verdana" w:cs="Arial"/>
                <w:sz w:val="16"/>
                <w:szCs w:val="16"/>
                <w:lang w:val="es-ES" w:eastAsia="es-ES"/>
              </w:rPr>
              <w:lastRenderedPageBreak/>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10A0154" w14:textId="77777777" w:rsidR="0048490F" w:rsidRPr="00FF3532" w:rsidRDefault="0048490F" w:rsidP="003830A5">
            <w:pPr>
              <w:contextualSpacing/>
              <w:rPr>
                <w:rFonts w:ascii="Verdana" w:eastAsia="Calibri" w:hAnsi="Verdana" w:cs="Arial"/>
                <w:sz w:val="16"/>
                <w:szCs w:val="16"/>
                <w:lang w:val="pt-BR" w:eastAsia="es-ES"/>
              </w:rPr>
            </w:pPr>
            <w:r w:rsidRPr="00FF3532">
              <w:rPr>
                <w:rFonts w:ascii="Verdana" w:eastAsia="Calibri" w:hAnsi="Verdana" w:cs="Arial"/>
                <w:sz w:val="16"/>
                <w:szCs w:val="16"/>
                <w:lang w:val="pt-BR" w:eastAsia="es-ES"/>
              </w:rPr>
              <w:t>Carolina Quintero Gacharná</w:t>
            </w:r>
          </w:p>
          <w:p w14:paraId="07E1C2A5" w14:textId="77777777" w:rsidR="0048490F" w:rsidRPr="00FF3532" w:rsidRDefault="0048490F" w:rsidP="003830A5">
            <w:pPr>
              <w:contextualSpacing/>
              <w:rPr>
                <w:rFonts w:ascii="Verdana" w:eastAsia="Calibri" w:hAnsi="Verdana" w:cs="Arial"/>
                <w:sz w:val="16"/>
                <w:szCs w:val="16"/>
                <w:lang w:val="pt-BR" w:eastAsia="es-ES"/>
              </w:rPr>
            </w:pPr>
            <w:r w:rsidRPr="00FF3532">
              <w:rPr>
                <w:rFonts w:ascii="Verdana" w:eastAsia="Calibri" w:hAnsi="Verdana" w:cs="Arial"/>
                <w:sz w:val="16"/>
                <w:szCs w:val="16"/>
                <w:lang w:eastAsia="es-ES"/>
              </w:rPr>
              <w:t>Subdirectora</w:t>
            </w:r>
            <w:r w:rsidRPr="00FF3532">
              <w:rPr>
                <w:rFonts w:ascii="Verdana" w:eastAsia="Calibri" w:hAnsi="Verdana" w:cs="Arial"/>
                <w:sz w:val="16"/>
                <w:szCs w:val="16"/>
                <w:lang w:val="pt-BR" w:eastAsia="es-ES"/>
              </w:rPr>
              <w:t xml:space="preserve"> de Gestión Contractual ANCP – CCE</w:t>
            </w:r>
          </w:p>
        </w:tc>
      </w:tr>
    </w:tbl>
    <w:p w14:paraId="1006A388" w14:textId="77777777" w:rsidR="00C15139" w:rsidRPr="00FF3532" w:rsidRDefault="00C15139" w:rsidP="30821638">
      <w:pPr>
        <w:spacing w:after="0" w:line="240" w:lineRule="auto"/>
        <w:jc w:val="both"/>
        <w:textAlignment w:val="baseline"/>
        <w:rPr>
          <w:rFonts w:ascii="Verdana" w:eastAsia="Verdana" w:hAnsi="Verdana" w:cs="Verdana"/>
          <w:lang w:eastAsia="es-CO"/>
        </w:rPr>
      </w:pPr>
    </w:p>
    <w:p w14:paraId="69BC4D14" w14:textId="28CC6D2B" w:rsidR="00C15139" w:rsidRPr="00FF3532" w:rsidRDefault="00C15139" w:rsidP="30821638">
      <w:pPr>
        <w:spacing w:after="0" w:line="240" w:lineRule="auto"/>
        <w:textAlignment w:val="baseline"/>
        <w:rPr>
          <w:rFonts w:ascii="Verdana" w:eastAsia="Verdana" w:hAnsi="Verdana" w:cs="Verdana"/>
          <w:lang w:eastAsia="es-CO"/>
        </w:rPr>
      </w:pPr>
      <w:r w:rsidRPr="00FF3532">
        <w:rPr>
          <w:rFonts w:ascii="Verdana" w:eastAsia="Verdana" w:hAnsi="Verdana" w:cs="Verdana"/>
          <w:lang w:eastAsia="es-CO"/>
        </w:rPr>
        <w:t> </w:t>
      </w:r>
      <w:bookmarkEnd w:id="0"/>
    </w:p>
    <w:sectPr w:rsidR="00C15139" w:rsidRPr="00FF3532"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D3D100" w14:textId="77777777" w:rsidR="00DA18E9" w:rsidRDefault="00DA18E9" w:rsidP="004A1847">
      <w:pPr>
        <w:spacing w:after="0" w:line="240" w:lineRule="auto"/>
      </w:pPr>
      <w:r>
        <w:separator/>
      </w:r>
    </w:p>
  </w:endnote>
  <w:endnote w:type="continuationSeparator" w:id="0">
    <w:p w14:paraId="552EDFDE" w14:textId="77777777" w:rsidR="00DA18E9" w:rsidRDefault="00DA18E9"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7C73DD1" w:rsidP="07C73DD1">
    <w:pPr>
      <w:pBdr>
        <w:top w:val="single" w:sz="4" w:space="1" w:color="000000"/>
      </w:pBdr>
      <w:spacing w:after="0"/>
      <w:rPr>
        <w:rFonts w:ascii="Verdana" w:eastAsia="Verdana" w:hAnsi="Verdana" w:cs="Verdana"/>
        <w:b/>
        <w:bCs/>
        <w:sz w:val="18"/>
        <w:szCs w:val="18"/>
      </w:rPr>
    </w:pPr>
    <w:r w:rsidRPr="07C73DD1">
      <w:rPr>
        <w:rFonts w:ascii="Verdana" w:eastAsia="Verdana" w:hAnsi="Verdana" w:cs="Verdana"/>
        <w:b/>
        <w:bCs/>
        <w:sz w:val="18"/>
        <w:szCs w:val="18"/>
      </w:rPr>
      <w:t xml:space="preserve">Agencia Nacional de Contratación Pública                                              </w:t>
    </w:r>
    <w:r w:rsidRPr="07C73DD1">
      <w:rPr>
        <w:rFonts w:ascii="Verdana" w:eastAsia="Verdana" w:hAnsi="Verdana" w:cs="Verdana"/>
        <w:b/>
        <w:bCs/>
        <w:sz w:val="18"/>
        <w:szCs w:val="18"/>
        <w:lang w:val="es-ES"/>
      </w:rPr>
      <w:t xml:space="preserve">pág. </w:t>
    </w:r>
    <w:r w:rsidR="00D520D8" w:rsidRPr="07C73DD1">
      <w:rPr>
        <w:rFonts w:ascii="Verdana" w:eastAsia="Verdana" w:hAnsi="Verdana" w:cs="Verdana"/>
        <w:b/>
        <w:bCs/>
        <w:sz w:val="18"/>
        <w:szCs w:val="18"/>
      </w:rPr>
      <w:fldChar w:fldCharType="begin"/>
    </w:r>
    <w:r w:rsidR="00D520D8" w:rsidRPr="07C73DD1">
      <w:rPr>
        <w:rFonts w:ascii="Verdana" w:hAnsi="Verdana"/>
        <w:b/>
        <w:bCs/>
        <w:sz w:val="16"/>
        <w:szCs w:val="16"/>
      </w:rPr>
      <w:instrText>PAGE    \* MERGEFORMAT</w:instrText>
    </w:r>
    <w:r w:rsidR="00D520D8" w:rsidRPr="07C73DD1">
      <w:rPr>
        <w:rFonts w:ascii="Verdana" w:eastAsiaTheme="minorEastAsia" w:hAnsi="Verdana"/>
        <w:b/>
        <w:bCs/>
        <w:sz w:val="16"/>
        <w:szCs w:val="16"/>
      </w:rPr>
      <w:fldChar w:fldCharType="separate"/>
    </w:r>
    <w:r w:rsidRPr="07C73DD1">
      <w:rPr>
        <w:rFonts w:ascii="Verdana" w:eastAsia="Verdana" w:hAnsi="Verdana" w:cs="Verdana"/>
        <w:b/>
        <w:bCs/>
        <w:sz w:val="18"/>
        <w:szCs w:val="18"/>
      </w:rPr>
      <w:t>1</w:t>
    </w:r>
    <w:r w:rsidR="00D520D8" w:rsidRPr="07C73DD1">
      <w:rPr>
        <w:rFonts w:ascii="Verdana" w:eastAsia="Verdana" w:hAnsi="Verdana" w:cs="Verdana"/>
        <w:b/>
        <w:bCs/>
        <w:sz w:val="18"/>
        <w:szCs w:val="18"/>
      </w:rPr>
      <w:fldChar w:fldCharType="end"/>
    </w:r>
    <w:r w:rsidRPr="07C73DD1">
      <w:rPr>
        <w:rFonts w:ascii="Verdana" w:eastAsia="Verdana" w:hAnsi="Verdana" w:cs="Verdana"/>
        <w:b/>
        <w:bCs/>
        <w:sz w:val="18"/>
        <w:szCs w:val="18"/>
      </w:rPr>
      <w:t xml:space="preserve">              Colombia Compra Eficiente         </w:t>
    </w:r>
    <w:r w:rsidRPr="07C73DD1">
      <w:rPr>
        <w:rFonts w:ascii="Verdana" w:eastAsia="Verdana" w:hAnsi="Verdana" w:cs="Verdana"/>
        <w:b/>
        <w:bCs/>
        <w:sz w:val="18"/>
        <w:szCs w:val="18"/>
        <w:lang w:val="es-ES"/>
      </w:rPr>
      <w:t xml:space="preserve"> </w:t>
    </w:r>
    <w:r w:rsidRPr="07C73DD1">
      <w:rPr>
        <w:rFonts w:ascii="Verdana" w:eastAsia="Verdana" w:hAnsi="Verdana" w:cs="Verdana"/>
        <w:b/>
        <w:bCs/>
        <w:sz w:val="18"/>
        <w:szCs w:val="18"/>
      </w:rPr>
      <w:t xml:space="preserve">                                                  </w:t>
    </w:r>
  </w:p>
  <w:p w14:paraId="0A735DD5" w14:textId="77777777" w:rsidR="00D520D8"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Dirección: Carrera 7 # 26 – 20 - Bogotá, Colombia</w:t>
    </w:r>
  </w:p>
  <w:p w14:paraId="06E36B88" w14:textId="77777777" w:rsidR="00D520D8" w:rsidRPr="00E41027" w:rsidRDefault="07C73DD1" w:rsidP="07C73DD1">
    <w:pPr>
      <w:spacing w:after="0"/>
      <w:jc w:val="both"/>
      <w:rPr>
        <w:rFonts w:ascii="Verdana" w:eastAsia="Verdana" w:hAnsi="Verdana" w:cs="Verdana"/>
        <w:sz w:val="18"/>
        <w:szCs w:val="18"/>
      </w:rPr>
    </w:pPr>
    <w:r w:rsidRPr="07C73DD1">
      <w:rPr>
        <w:rFonts w:ascii="Verdana" w:eastAsia="Verdana" w:hAnsi="Verdana" w:cs="Verdana"/>
        <w:sz w:val="18"/>
        <w:szCs w:val="18"/>
      </w:rPr>
      <w:t>Mesa de servicio: (+57) 601 7456788</w:t>
    </w:r>
  </w:p>
  <w:p w14:paraId="744661F5" w14:textId="22B9E88F" w:rsidR="006219F8" w:rsidRDefault="07C73DD1" w:rsidP="07C73DD1">
    <w:pPr>
      <w:pBdr>
        <w:top w:val="nil"/>
        <w:left w:val="nil"/>
        <w:bottom w:val="nil"/>
        <w:right w:val="nil"/>
        <w:between w:val="nil"/>
      </w:pBdr>
      <w:tabs>
        <w:tab w:val="center" w:pos="4419"/>
        <w:tab w:val="right" w:pos="8838"/>
        <w:tab w:val="center" w:pos="5400"/>
      </w:tabs>
      <w:spacing w:after="0"/>
      <w:jc w:val="right"/>
      <w:rPr>
        <w:rFonts w:ascii="Verdana" w:eastAsia="Verdana" w:hAnsi="Verdana" w:cs="Verdana"/>
        <w:sz w:val="18"/>
        <w:szCs w:val="18"/>
        <w:lang w:eastAsia="es-CO"/>
      </w:rPr>
    </w:pPr>
    <w:r w:rsidRPr="07C73DD1">
      <w:rPr>
        <w:rFonts w:ascii="Verdana" w:eastAsia="Verdana" w:hAnsi="Verdana" w:cs="Verdana"/>
        <w:b/>
        <w:bCs/>
        <w:color w:val="000000" w:themeColor="text1"/>
        <w:sz w:val="18"/>
        <w:szCs w:val="18"/>
        <w:lang w:eastAsia="es-CO"/>
      </w:rPr>
      <w:t xml:space="preserve">Código: </w:t>
    </w:r>
    <w:r w:rsidRPr="07C73DD1">
      <w:rPr>
        <w:rFonts w:ascii="Verdana" w:eastAsia="Verdana" w:hAnsi="Verdana" w:cs="Verdana"/>
        <w:color w:val="000000" w:themeColor="text1"/>
        <w:sz w:val="18"/>
        <w:szCs w:val="18"/>
        <w:lang w:eastAsia="es-CO"/>
      </w:rPr>
      <w:t xml:space="preserve">CCE-REC-FM-17 </w:t>
    </w:r>
    <w:r w:rsidRPr="07C73DD1">
      <w:rPr>
        <w:rFonts w:ascii="Verdana" w:eastAsia="Verdana" w:hAnsi="Verdana" w:cs="Verdana"/>
        <w:b/>
        <w:bCs/>
        <w:color w:val="000000" w:themeColor="text1"/>
        <w:sz w:val="18"/>
        <w:szCs w:val="18"/>
        <w:lang w:eastAsia="es-CO"/>
      </w:rPr>
      <w:t xml:space="preserve">V: </w:t>
    </w:r>
    <w:r w:rsidRPr="07C73DD1">
      <w:rPr>
        <w:rFonts w:ascii="Verdana" w:eastAsia="Verdana" w:hAnsi="Verdana" w:cs="Verdana"/>
        <w:sz w:val="18"/>
        <w:szCs w:val="18"/>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6670F4" w14:textId="77777777" w:rsidR="00DA18E9" w:rsidRDefault="00DA18E9" w:rsidP="004A1847">
      <w:pPr>
        <w:spacing w:after="0" w:line="240" w:lineRule="auto"/>
      </w:pPr>
      <w:r>
        <w:separator/>
      </w:r>
    </w:p>
  </w:footnote>
  <w:footnote w:type="continuationSeparator" w:id="0">
    <w:p w14:paraId="476E0C89" w14:textId="77777777" w:rsidR="00DA18E9" w:rsidRDefault="00DA18E9" w:rsidP="004A1847">
      <w:pPr>
        <w:spacing w:after="0" w:line="240" w:lineRule="auto"/>
      </w:pPr>
      <w:r>
        <w:continuationSeparator/>
      </w:r>
    </w:p>
  </w:footnote>
  <w:footnote w:id="1">
    <w:p w14:paraId="4051EC4C" w14:textId="77777777" w:rsidR="00AD5763" w:rsidRPr="006E0EF1" w:rsidRDefault="00AD5763" w:rsidP="00AD5763">
      <w:pPr>
        <w:pStyle w:val="Textonotapie"/>
        <w:ind w:firstLine="709"/>
        <w:jc w:val="both"/>
        <w:rPr>
          <w:rFonts w:ascii="Verdana" w:hAnsi="Verdana" w:cs="Arial"/>
          <w:sz w:val="16"/>
          <w:szCs w:val="16"/>
          <w:lang w:val="es-ES"/>
        </w:rPr>
      </w:pPr>
      <w:r w:rsidRPr="006E0EF1">
        <w:rPr>
          <w:rStyle w:val="Refdenotaalpie"/>
          <w:rFonts w:ascii="Verdana" w:hAnsi="Verdana" w:cs="Arial"/>
          <w:sz w:val="16"/>
          <w:szCs w:val="16"/>
        </w:rPr>
        <w:footnoteRef/>
      </w:r>
      <w:r w:rsidRPr="006E0EF1">
        <w:rPr>
          <w:rFonts w:ascii="Verdana" w:hAnsi="Verdana" w:cs="Arial"/>
          <w:sz w:val="16"/>
          <w:szCs w:val="16"/>
        </w:rPr>
        <w:t xml:space="preserve"> </w:t>
      </w:r>
      <w:r w:rsidRPr="006E0EF1">
        <w:rPr>
          <w:rFonts w:ascii="Verdana" w:hAnsi="Verdana" w:cs="Arial"/>
          <w:sz w:val="16"/>
          <w:szCs w:val="16"/>
          <w:lang w:val="es-ES"/>
        </w:rPr>
        <w:t>El numeral 16 del artículo tercero de la Ley 136 de 1994 dispone lo siguiente:</w:t>
      </w:r>
      <w:r w:rsidRPr="006E0EF1">
        <w:rPr>
          <w:rFonts w:ascii="Verdana" w:hAnsi="Verdana" w:cs="Arial"/>
          <w:color w:val="000000" w:themeColor="text1"/>
          <w:sz w:val="16"/>
          <w:szCs w:val="16"/>
          <w:lang w:val="es-CO"/>
        </w:rPr>
        <w:t xml:space="preserve"> “[…] </w:t>
      </w:r>
      <w:r w:rsidRPr="006E0EF1">
        <w:rPr>
          <w:rFonts w:ascii="Verdana" w:hAnsi="Verdana" w:cs="Arial"/>
          <w:sz w:val="16"/>
          <w:szCs w:val="16"/>
          <w:lang w:val="es-ES"/>
        </w:rPr>
        <w:t>16.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w:t>
      </w:r>
      <w:r w:rsidRPr="006E0EF1">
        <w:rPr>
          <w:rFonts w:ascii="Verdana" w:hAnsi="Verdana" w:cs="Arial"/>
          <w:color w:val="000000" w:themeColor="text1"/>
          <w:sz w:val="16"/>
          <w:szCs w:val="16"/>
          <w:lang w:val="es-CO"/>
        </w:rPr>
        <w:t xml:space="preserve"> […]”.</w:t>
      </w:r>
    </w:p>
  </w:footnote>
  <w:footnote w:id="2">
    <w:p w14:paraId="1DE4274B" w14:textId="77777777" w:rsidR="00AD5763" w:rsidRPr="006E0EF1" w:rsidRDefault="00AD5763" w:rsidP="00AD5763">
      <w:pPr>
        <w:pStyle w:val="Textonotapie"/>
        <w:ind w:firstLine="709"/>
        <w:jc w:val="both"/>
        <w:rPr>
          <w:rFonts w:ascii="Verdana" w:hAnsi="Verdana" w:cs="Arial"/>
          <w:sz w:val="16"/>
          <w:szCs w:val="16"/>
          <w:lang w:val="es-CO"/>
        </w:rPr>
      </w:pPr>
      <w:r w:rsidRPr="006E0EF1">
        <w:rPr>
          <w:rStyle w:val="Refdenotaalpie"/>
          <w:rFonts w:ascii="Verdana" w:hAnsi="Verdana" w:cs="Arial"/>
          <w:sz w:val="16"/>
          <w:szCs w:val="16"/>
        </w:rPr>
        <w:footnoteRef/>
      </w:r>
      <w:r w:rsidRPr="006E0EF1">
        <w:rPr>
          <w:rFonts w:ascii="Verdana" w:hAnsi="Verdana" w:cs="Arial"/>
          <w:sz w:val="16"/>
          <w:szCs w:val="16"/>
        </w:rPr>
        <w:t xml:space="preserve"> </w:t>
      </w:r>
      <w:bookmarkStart w:id="2" w:name="7"/>
      <w:r w:rsidRPr="006E0EF1">
        <w:rPr>
          <w:rFonts w:ascii="Verdana" w:eastAsia="Calibri" w:hAnsi="Verdana" w:cs="Arial"/>
          <w:color w:val="000000" w:themeColor="text1"/>
          <w:sz w:val="16"/>
          <w:szCs w:val="16"/>
          <w:lang w:val="es-ES_tradnl"/>
        </w:rPr>
        <w:t>“</w:t>
      </w:r>
      <w:r w:rsidRPr="006E0EF1">
        <w:rPr>
          <w:rFonts w:ascii="Verdana" w:hAnsi="Verdana" w:cs="Arial"/>
          <w:sz w:val="16"/>
          <w:szCs w:val="16"/>
          <w:lang w:val="es-CO"/>
        </w:rPr>
        <w:t>Artículo 7. Organismos de la Acción Comunal.</w:t>
      </w:r>
      <w:bookmarkEnd w:id="2"/>
    </w:p>
    <w:p w14:paraId="54C42C35"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a) Son organismos de acción comunal de primer grado las juntas de acción comunal y las juntas de vivienda comunal. La junta de acción comunal es una organización cívica, social y comunitaria de gestión social, sin ánimo de lucro, de naturaleza solidaria, con personería jurídica y patrimonio propio, integrada voluntariamente por los residentes de un lugar que aúnan esfuerzos y recursos para procurar un desarrollo integral, sostenible y sustentable con fundamento en el ejercicio de la democracia participativa;</w:t>
      </w:r>
    </w:p>
    <w:p w14:paraId="04E0BD6E"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b) La junta de vivienda comunal es una organización cívica sin ánimo de lucro, integrada por familias que se reúnen con el propósito de adelantar programas de mejoramiento o de autoconstrucción de vivienda. Una vez concluido el programa, la junta de vivienda comunal se podrá asimilar a la Junta de Acción Comunal definida en el presente artículo, siempre y cuando cumpla los requisitos dispuestos en la ley;</w:t>
      </w:r>
    </w:p>
    <w:p w14:paraId="3CCFE613"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c) Es organismo de acción comunal de segundo grado la asociación de juntas de acción comunal. Tienen la misma naturaleza jurídica de las juntas de acción comunal y se constituye con los organismos de primer grado fundadores y los que posteriormente se afilien;</w:t>
      </w:r>
    </w:p>
    <w:p w14:paraId="0EBA3AD3"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d) Es organismo de acción comunal de tercer grado la federación de acción comunal tiene la misma naturaleza jurídica de las juntas de acción comunal y se constituye con los organismos de acción comunal de segundo grado fundadores y que posteriormente se afilien;</w:t>
      </w:r>
    </w:p>
    <w:p w14:paraId="196F74EA"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e) Es organismo de acción comunal de cuarto grado, la confederación nacional de acción comunal tiene la misma naturaleza jurídica de las juntas de acción comunal y se constituye con los organismos de acción comunal de tercer grado fundadores y que posteriormente se afilien.</w:t>
      </w:r>
    </w:p>
    <w:p w14:paraId="63E4FAB0"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PARÁGRAFO 1o. Cada organismo de acción comunal, se dará su propio reglamento conforme al marco brindado por esta ley enunciado en el artículo 1 y las normas que le sucedan.</w:t>
      </w:r>
    </w:p>
    <w:p w14:paraId="62722F4A" w14:textId="77777777" w:rsidR="00AD5763" w:rsidRPr="006E0EF1" w:rsidRDefault="00AD5763" w:rsidP="00AD5763">
      <w:pPr>
        <w:pStyle w:val="Textonotapie"/>
        <w:ind w:firstLine="709"/>
        <w:jc w:val="both"/>
        <w:rPr>
          <w:rFonts w:ascii="Verdana" w:hAnsi="Verdana" w:cs="Arial"/>
          <w:sz w:val="16"/>
          <w:szCs w:val="16"/>
          <w:lang w:val="es-CO"/>
        </w:rPr>
      </w:pPr>
      <w:r w:rsidRPr="006E0EF1">
        <w:rPr>
          <w:rFonts w:ascii="Verdana" w:hAnsi="Verdana" w:cs="Arial"/>
          <w:sz w:val="16"/>
          <w:szCs w:val="16"/>
          <w:lang w:val="es-CO"/>
        </w:rPr>
        <w:t>PARÁGRAFO 2o. Dentro del año siguiente a la expedición de la presente Ley en concertación con la organización social de la Acción Comunal, el Gobierno nacional expedirá una reglamentación para las Juntas de Vivienda Comunal</w:t>
      </w:r>
      <w:r w:rsidRPr="006E0EF1">
        <w:rPr>
          <w:rFonts w:ascii="Verdana" w:eastAsia="Calibri" w:hAnsi="Verdana" w:cs="Arial"/>
          <w:color w:val="000000" w:themeColor="text1"/>
          <w:sz w:val="16"/>
          <w:szCs w:val="16"/>
          <w:lang w:val="es-ES_tradnl"/>
        </w:rPr>
        <w:t>”.</w:t>
      </w:r>
    </w:p>
    <w:p w14:paraId="518D25AA" w14:textId="77777777" w:rsidR="00AD5763" w:rsidRPr="006E0EF1" w:rsidRDefault="00AD5763" w:rsidP="00AD5763">
      <w:pPr>
        <w:pStyle w:val="Textonotapie"/>
        <w:jc w:val="both"/>
        <w:rPr>
          <w:rFonts w:ascii="Verdana" w:hAnsi="Verdana" w:cs="Arial"/>
          <w:sz w:val="16"/>
          <w:szCs w:val="16"/>
          <w:lang w:val="es-CO"/>
        </w:rPr>
      </w:pPr>
    </w:p>
  </w:footnote>
  <w:footnote w:id="3">
    <w:p w14:paraId="2EEAC74C" w14:textId="77777777" w:rsidR="00AD5763" w:rsidRPr="006E0EF1" w:rsidRDefault="00AD5763" w:rsidP="00AD5763">
      <w:pPr>
        <w:pStyle w:val="Textonotapie"/>
        <w:ind w:firstLine="709"/>
        <w:jc w:val="both"/>
        <w:rPr>
          <w:rFonts w:ascii="Verdana" w:hAnsi="Verdana" w:cs="Arial"/>
          <w:sz w:val="16"/>
          <w:szCs w:val="16"/>
          <w:lang w:val="es-CO"/>
        </w:rPr>
      </w:pPr>
      <w:r w:rsidRPr="006E0EF1">
        <w:rPr>
          <w:rStyle w:val="Refdenotaalpie"/>
          <w:rFonts w:ascii="Verdana" w:hAnsi="Verdana" w:cs="Arial"/>
          <w:sz w:val="16"/>
          <w:szCs w:val="16"/>
        </w:rPr>
        <w:footnoteRef/>
      </w:r>
      <w:r w:rsidRPr="006E0EF1">
        <w:rPr>
          <w:rFonts w:ascii="Verdana" w:hAnsi="Verdana" w:cs="Arial"/>
          <w:sz w:val="16"/>
          <w:szCs w:val="16"/>
        </w:rPr>
        <w:t xml:space="preserve"> </w:t>
      </w:r>
      <w:r w:rsidRPr="006E0EF1">
        <w:rPr>
          <w:rFonts w:ascii="Verdana" w:hAnsi="Verdana" w:cs="Arial"/>
          <w:sz w:val="16"/>
          <w:szCs w:val="16"/>
          <w:lang w:val="es-CO"/>
        </w:rPr>
        <w:t xml:space="preserve">El artículo 286 de la Constitución política de Colombia señala que </w:t>
      </w:r>
      <w:r w:rsidRPr="006E0EF1">
        <w:rPr>
          <w:rFonts w:ascii="Verdana" w:eastAsia="Calibri" w:hAnsi="Verdana" w:cs="Arial"/>
          <w:color w:val="000000" w:themeColor="text1"/>
          <w:sz w:val="16"/>
          <w:szCs w:val="16"/>
          <w:lang w:val="es-ES_tradnl"/>
        </w:rPr>
        <w:t>“</w:t>
      </w:r>
      <w:r w:rsidRPr="006E0EF1">
        <w:rPr>
          <w:rFonts w:ascii="Verdana" w:hAnsi="Verdana" w:cs="Arial"/>
          <w:sz w:val="16"/>
          <w:szCs w:val="16"/>
          <w:lang w:val="es-CO"/>
        </w:rPr>
        <w:t>Son entidades territoriales los departamentos, los distritos, los municipios y los territorios indígenas”.</w:t>
      </w:r>
    </w:p>
  </w:footnote>
  <w:footnote w:id="4">
    <w:p w14:paraId="7FEC6E98" w14:textId="77777777" w:rsidR="00AD5763" w:rsidRPr="006E0EF1" w:rsidRDefault="00AD5763" w:rsidP="00AD5763">
      <w:pPr>
        <w:pStyle w:val="Textonotapie"/>
        <w:ind w:firstLine="708"/>
        <w:jc w:val="both"/>
        <w:rPr>
          <w:rFonts w:ascii="Verdana" w:hAnsi="Verdana" w:cs="Arial"/>
          <w:sz w:val="16"/>
          <w:szCs w:val="16"/>
          <w:lang w:val="es-CO"/>
        </w:rPr>
      </w:pPr>
      <w:r w:rsidRPr="006E0EF1">
        <w:rPr>
          <w:rStyle w:val="Refdenotaalpie"/>
          <w:rFonts w:ascii="Verdana" w:hAnsi="Verdana" w:cs="Arial"/>
          <w:sz w:val="16"/>
          <w:szCs w:val="16"/>
        </w:rPr>
        <w:footnoteRef/>
      </w:r>
      <w:r w:rsidRPr="006E0EF1">
        <w:rPr>
          <w:rFonts w:ascii="Verdana" w:hAnsi="Verdana" w:cs="Arial"/>
          <w:sz w:val="16"/>
          <w:szCs w:val="16"/>
        </w:rPr>
        <w:t xml:space="preserve"> </w:t>
      </w:r>
      <w:r w:rsidRPr="006E0EF1">
        <w:rPr>
          <w:rFonts w:ascii="Verdana" w:hAnsi="Verdana" w:cs="Arial"/>
          <w:sz w:val="16"/>
          <w:szCs w:val="16"/>
          <w:lang w:val="es-CO"/>
        </w:rPr>
        <w:t>Corte Constitucional, M.P. Clara Inés Vargas Hernández, en sentencia C 580 del 6 de junio de 2001, Exp O.P.047.</w:t>
      </w:r>
    </w:p>
    <w:p w14:paraId="2C5BC211" w14:textId="77777777" w:rsidR="00AD5763" w:rsidRPr="006E0EF1" w:rsidRDefault="00AD5763" w:rsidP="00AD5763">
      <w:pPr>
        <w:pStyle w:val="Textonotapie"/>
        <w:ind w:firstLine="708"/>
        <w:jc w:val="both"/>
        <w:rPr>
          <w:rFonts w:ascii="Verdana" w:hAnsi="Verdana" w:cs="Arial"/>
          <w:sz w:val="16"/>
          <w:szCs w:val="16"/>
          <w:lang w:val="es-CO"/>
        </w:rPr>
      </w:pPr>
    </w:p>
  </w:footnote>
  <w:footnote w:id="5">
    <w:p w14:paraId="5730E1F6" w14:textId="77777777" w:rsidR="00AD5763" w:rsidRPr="006E0EF1" w:rsidRDefault="00AD5763" w:rsidP="00AD5763">
      <w:pPr>
        <w:pStyle w:val="Textonotapie"/>
        <w:ind w:firstLine="708"/>
        <w:jc w:val="both"/>
        <w:rPr>
          <w:rFonts w:ascii="Verdana" w:hAnsi="Verdana" w:cs="Arial"/>
          <w:sz w:val="16"/>
          <w:szCs w:val="16"/>
          <w:lang w:val="es-CO"/>
        </w:rPr>
      </w:pPr>
      <w:r w:rsidRPr="006E0EF1">
        <w:rPr>
          <w:rStyle w:val="Refdenotaalpie"/>
          <w:rFonts w:ascii="Verdana" w:hAnsi="Verdana" w:cs="Arial"/>
          <w:sz w:val="16"/>
          <w:szCs w:val="16"/>
        </w:rPr>
        <w:footnoteRef/>
      </w:r>
      <w:r w:rsidRPr="006E0EF1">
        <w:rPr>
          <w:rFonts w:ascii="Verdana" w:hAnsi="Verdana" w:cs="Arial"/>
          <w:sz w:val="16"/>
          <w:szCs w:val="16"/>
        </w:rPr>
        <w:t xml:space="preserve"> </w:t>
      </w:r>
      <w:r w:rsidRPr="006E0EF1">
        <w:rPr>
          <w:rFonts w:ascii="Verdana" w:hAnsi="Verdana" w:cs="Arial"/>
          <w:sz w:val="16"/>
          <w:szCs w:val="16"/>
          <w:lang w:val="es-CO"/>
        </w:rPr>
        <w:t>Corte Constitucional, M.P. Jorge Ignacio Pretelt Chaljub, en sentencia C 106 del 9 de marzo de 2016, Exp D-10894</w:t>
      </w:r>
    </w:p>
  </w:footnote>
  <w:footnote w:id="6">
    <w:p w14:paraId="095987C4" w14:textId="77777777" w:rsidR="00AD5763" w:rsidRPr="006E0EF1" w:rsidRDefault="00AD5763" w:rsidP="00AD5763">
      <w:pPr>
        <w:pStyle w:val="Textonotapie"/>
        <w:ind w:firstLine="708"/>
        <w:jc w:val="both"/>
        <w:rPr>
          <w:rFonts w:ascii="Verdana" w:hAnsi="Verdana" w:cs="Arial"/>
          <w:sz w:val="16"/>
          <w:szCs w:val="16"/>
          <w:lang w:val="es-CO"/>
        </w:rPr>
      </w:pPr>
      <w:r w:rsidRPr="006E0EF1">
        <w:rPr>
          <w:rStyle w:val="Refdenotaalpie"/>
          <w:rFonts w:ascii="Verdana" w:hAnsi="Verdana" w:cs="Arial"/>
          <w:sz w:val="16"/>
          <w:szCs w:val="16"/>
        </w:rPr>
        <w:footnoteRef/>
      </w:r>
      <w:r w:rsidRPr="006E0EF1">
        <w:rPr>
          <w:rFonts w:ascii="Verdana" w:hAnsi="Verdana" w:cs="Arial"/>
          <w:sz w:val="16"/>
          <w:szCs w:val="16"/>
        </w:rPr>
        <w:t xml:space="preserve"> El artículo citado dispone que “</w:t>
      </w:r>
      <w:r w:rsidRPr="006E0EF1">
        <w:rPr>
          <w:rFonts w:ascii="Verdana" w:hAnsi="Verdana" w:cs="Arial"/>
          <w:sz w:val="16"/>
          <w:szCs w:val="16"/>
          <w:lang w:val="es-CO"/>
        </w:rPr>
        <w:t>Los organismos de acción comunal a que se refiere esta ley, formarán una persona distinta de sus miembros individualmente considerados, a partir de su registro ante la entidad que ejerce su inspección, vigilancia y control.</w:t>
      </w:r>
    </w:p>
    <w:p w14:paraId="4ABA252C" w14:textId="77777777" w:rsidR="00AD5763" w:rsidRPr="006E0EF1" w:rsidRDefault="00AD5763" w:rsidP="00AD5763">
      <w:pPr>
        <w:pStyle w:val="Textonotapie"/>
        <w:ind w:firstLine="708"/>
        <w:jc w:val="both"/>
        <w:rPr>
          <w:rFonts w:ascii="Verdana" w:hAnsi="Verdana" w:cs="Arial"/>
          <w:sz w:val="16"/>
          <w:szCs w:val="16"/>
        </w:rPr>
      </w:pPr>
      <w:r w:rsidRPr="006E0EF1">
        <w:rPr>
          <w:rFonts w:ascii="Verdana" w:hAnsi="Verdana" w:cs="Arial"/>
          <w:sz w:val="16"/>
          <w:szCs w:val="16"/>
        </w:rPr>
        <w:t>Sus estatutos y sus reformas, los nombramientos y elección de dignatarios, los libros y la disolución y liquidación de las personas jurídicas de que trata esta ley, se inscribirán ante las entidades que ejercen su inspección, vigilancia y control.</w:t>
      </w:r>
    </w:p>
    <w:p w14:paraId="6230E0F3" w14:textId="77777777" w:rsidR="00AD5763" w:rsidRPr="006E0EF1" w:rsidRDefault="00AD5763" w:rsidP="00AD5763">
      <w:pPr>
        <w:pStyle w:val="Textonotapie"/>
        <w:ind w:firstLine="708"/>
        <w:jc w:val="both"/>
        <w:rPr>
          <w:rFonts w:ascii="Verdana" w:hAnsi="Verdana" w:cs="Arial"/>
          <w:sz w:val="16"/>
          <w:szCs w:val="16"/>
        </w:rPr>
      </w:pPr>
      <w:r w:rsidRPr="006E0EF1">
        <w:rPr>
          <w:rFonts w:ascii="Verdana" w:hAnsi="Verdana" w:cs="Arial"/>
          <w:sz w:val="16"/>
          <w:szCs w:val="16"/>
        </w:rPr>
        <w:t>La existencia y representación legal de las personas jurídicas a que se refiere esta ley se aprobarán con la certificación expedida por la entidad competente para la realización del registro”.</w:t>
      </w:r>
    </w:p>
    <w:p w14:paraId="0832AD90" w14:textId="77777777" w:rsidR="00AD5763" w:rsidRPr="006E0EF1" w:rsidRDefault="00AD5763" w:rsidP="00AD5763">
      <w:pPr>
        <w:pStyle w:val="Textonotapie"/>
        <w:ind w:firstLine="708"/>
        <w:jc w:val="both"/>
        <w:rPr>
          <w:rFonts w:ascii="Verdana" w:hAnsi="Verdana" w:cs="Arial"/>
          <w:sz w:val="16"/>
          <w:szCs w:val="16"/>
          <w:lang w:val="es-CO"/>
        </w:rPr>
      </w:pPr>
      <w:r w:rsidRPr="006E0EF1">
        <w:rPr>
          <w:rFonts w:ascii="Verdana" w:hAnsi="Verdana" w:cs="Arial"/>
          <w:sz w:val="16"/>
          <w:szCs w:val="16"/>
        </w:rPr>
        <w:t>Dicha norma debe entenderse en concordancia con el artículo 74 de la Ley 2166 de 2021, pues también prescribe lo siguiente: “</w:t>
      </w:r>
      <w:r w:rsidRPr="006E0EF1">
        <w:rPr>
          <w:rFonts w:ascii="Verdana" w:hAnsi="Verdana" w:cs="Arial"/>
          <w:sz w:val="16"/>
          <w:szCs w:val="16"/>
          <w:lang w:val="es-CO"/>
        </w:rPr>
        <w:t>Existen dos niveles de autoridades que ejercen vigilancia, inspección y control sobre los organismos comunales, de acuerdo al grado al que pertenezcan:</w:t>
      </w:r>
    </w:p>
    <w:p w14:paraId="1B391447" w14:textId="77777777" w:rsidR="00AD5763" w:rsidRPr="006E0EF1" w:rsidRDefault="00AD5763" w:rsidP="00AD5763">
      <w:pPr>
        <w:pStyle w:val="Textonotapie"/>
        <w:ind w:firstLine="708"/>
        <w:jc w:val="both"/>
        <w:rPr>
          <w:rFonts w:ascii="Verdana" w:hAnsi="Verdana" w:cs="Arial"/>
          <w:sz w:val="16"/>
          <w:szCs w:val="16"/>
        </w:rPr>
      </w:pPr>
      <w:r w:rsidRPr="006E0EF1">
        <w:rPr>
          <w:rFonts w:ascii="Verdana" w:hAnsi="Verdana" w:cs="Arial"/>
          <w:sz w:val="16"/>
          <w:szCs w:val="16"/>
        </w:rPr>
        <w:t>a) Primer nivel: lo ejerce Ministerio del Interior, sobre los organismos comunales de tercer y cuarto grado.</w:t>
      </w:r>
    </w:p>
    <w:p w14:paraId="77CBACA6" w14:textId="77777777" w:rsidR="00AD5763" w:rsidRPr="006E0EF1" w:rsidRDefault="00AD5763" w:rsidP="00AD5763">
      <w:pPr>
        <w:pStyle w:val="Textonotapie"/>
        <w:ind w:firstLine="708"/>
        <w:jc w:val="both"/>
        <w:rPr>
          <w:rFonts w:ascii="Verdana" w:hAnsi="Verdana" w:cs="Arial"/>
          <w:sz w:val="16"/>
          <w:szCs w:val="16"/>
        </w:rPr>
      </w:pPr>
      <w:r w:rsidRPr="006E0EF1">
        <w:rPr>
          <w:rFonts w:ascii="Verdana" w:hAnsi="Verdana" w:cs="Arial"/>
          <w:sz w:val="16"/>
          <w:szCs w:val="16"/>
        </w:rPr>
        <w:t>b) Segundo nivel: lo ejercen los Departamentos, Distritos y Municipios, a través de las dependencias a las que se le asignen dichas funciones sobre los organismos comunales de primer y segundo grado”.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2061" w:hanging="360"/>
      </w:pPr>
      <w:rPr>
        <w:b/>
        <w:color w:val="000000" w:themeColor="text1"/>
      </w:rPr>
    </w:lvl>
    <w:lvl w:ilvl="1">
      <w:start w:val="2"/>
      <w:numFmt w:val="decimal"/>
      <w:isLgl/>
      <w:lvlText w:val="%1.%2"/>
      <w:lvlJc w:val="left"/>
      <w:pPr>
        <w:ind w:left="1701" w:hanging="360"/>
      </w:pPr>
    </w:lvl>
    <w:lvl w:ilvl="2">
      <w:start w:val="1"/>
      <w:numFmt w:val="decimal"/>
      <w:isLgl/>
      <w:lvlText w:val="%1.%2.%3"/>
      <w:lvlJc w:val="left"/>
      <w:pPr>
        <w:ind w:left="2421" w:hanging="720"/>
      </w:pPr>
    </w:lvl>
    <w:lvl w:ilvl="3">
      <w:start w:val="1"/>
      <w:numFmt w:val="decimal"/>
      <w:isLgl/>
      <w:lvlText w:val="%1.%2.%3.%4"/>
      <w:lvlJc w:val="left"/>
      <w:pPr>
        <w:ind w:left="2421" w:hanging="720"/>
      </w:pPr>
    </w:lvl>
    <w:lvl w:ilvl="4">
      <w:start w:val="1"/>
      <w:numFmt w:val="decimal"/>
      <w:isLgl/>
      <w:lvlText w:val="%1.%2.%3.%4.%5"/>
      <w:lvlJc w:val="left"/>
      <w:pPr>
        <w:ind w:left="2781" w:hanging="1080"/>
      </w:pPr>
    </w:lvl>
    <w:lvl w:ilvl="5">
      <w:start w:val="1"/>
      <w:numFmt w:val="decimal"/>
      <w:isLgl/>
      <w:lvlText w:val="%1.%2.%3.%4.%5.%6"/>
      <w:lvlJc w:val="left"/>
      <w:pPr>
        <w:ind w:left="2781" w:hanging="1080"/>
      </w:pPr>
    </w:lvl>
    <w:lvl w:ilvl="6">
      <w:start w:val="1"/>
      <w:numFmt w:val="decimal"/>
      <w:isLgl/>
      <w:lvlText w:val="%1.%2.%3.%4.%5.%6.%7"/>
      <w:lvlJc w:val="left"/>
      <w:pPr>
        <w:ind w:left="3141" w:hanging="1440"/>
      </w:pPr>
    </w:lvl>
    <w:lvl w:ilvl="7">
      <w:start w:val="1"/>
      <w:numFmt w:val="decimal"/>
      <w:isLgl/>
      <w:lvlText w:val="%1.%2.%3.%4.%5.%6.%7.%8"/>
      <w:lvlJc w:val="left"/>
      <w:pPr>
        <w:ind w:left="3141" w:hanging="1440"/>
      </w:pPr>
    </w:lvl>
    <w:lvl w:ilvl="8">
      <w:start w:val="1"/>
      <w:numFmt w:val="decimal"/>
      <w:isLgl/>
      <w:lvlText w:val="%1.%2.%3.%4.%5.%6.%7.%8.%9"/>
      <w:lvlJc w:val="left"/>
      <w:pPr>
        <w:ind w:left="350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04E08A1"/>
    <w:multiLevelType w:val="multilevel"/>
    <w:tmpl w:val="95F21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35F53AA"/>
    <w:multiLevelType w:val="hybridMultilevel"/>
    <w:tmpl w:val="35D6A354"/>
    <w:lvl w:ilvl="0" w:tplc="9A9600CE">
      <w:start w:val="1"/>
      <w:numFmt w:val="lowerLetter"/>
      <w:lvlText w:val="%1)"/>
      <w:lvlJc w:val="left"/>
      <w:pPr>
        <w:ind w:left="1097" w:hanging="360"/>
      </w:pPr>
      <w:rPr>
        <w:rFonts w:hint="default"/>
      </w:rPr>
    </w:lvl>
    <w:lvl w:ilvl="1" w:tplc="240A0019" w:tentative="1">
      <w:start w:val="1"/>
      <w:numFmt w:val="lowerLetter"/>
      <w:lvlText w:val="%2."/>
      <w:lvlJc w:val="left"/>
      <w:pPr>
        <w:ind w:left="1817" w:hanging="360"/>
      </w:pPr>
    </w:lvl>
    <w:lvl w:ilvl="2" w:tplc="240A001B" w:tentative="1">
      <w:start w:val="1"/>
      <w:numFmt w:val="lowerRoman"/>
      <w:lvlText w:val="%3."/>
      <w:lvlJc w:val="right"/>
      <w:pPr>
        <w:ind w:left="2537" w:hanging="180"/>
      </w:pPr>
    </w:lvl>
    <w:lvl w:ilvl="3" w:tplc="240A000F" w:tentative="1">
      <w:start w:val="1"/>
      <w:numFmt w:val="decimal"/>
      <w:lvlText w:val="%4."/>
      <w:lvlJc w:val="left"/>
      <w:pPr>
        <w:ind w:left="3257" w:hanging="360"/>
      </w:pPr>
    </w:lvl>
    <w:lvl w:ilvl="4" w:tplc="240A0019" w:tentative="1">
      <w:start w:val="1"/>
      <w:numFmt w:val="lowerLetter"/>
      <w:lvlText w:val="%5."/>
      <w:lvlJc w:val="left"/>
      <w:pPr>
        <w:ind w:left="3977" w:hanging="360"/>
      </w:pPr>
    </w:lvl>
    <w:lvl w:ilvl="5" w:tplc="240A001B" w:tentative="1">
      <w:start w:val="1"/>
      <w:numFmt w:val="lowerRoman"/>
      <w:lvlText w:val="%6."/>
      <w:lvlJc w:val="right"/>
      <w:pPr>
        <w:ind w:left="4697" w:hanging="180"/>
      </w:pPr>
    </w:lvl>
    <w:lvl w:ilvl="6" w:tplc="240A000F" w:tentative="1">
      <w:start w:val="1"/>
      <w:numFmt w:val="decimal"/>
      <w:lvlText w:val="%7."/>
      <w:lvlJc w:val="left"/>
      <w:pPr>
        <w:ind w:left="5417" w:hanging="360"/>
      </w:pPr>
    </w:lvl>
    <w:lvl w:ilvl="7" w:tplc="240A0019" w:tentative="1">
      <w:start w:val="1"/>
      <w:numFmt w:val="lowerLetter"/>
      <w:lvlText w:val="%8."/>
      <w:lvlJc w:val="left"/>
      <w:pPr>
        <w:ind w:left="6137" w:hanging="360"/>
      </w:pPr>
    </w:lvl>
    <w:lvl w:ilvl="8" w:tplc="240A001B" w:tentative="1">
      <w:start w:val="1"/>
      <w:numFmt w:val="lowerRoman"/>
      <w:lvlText w:val="%9."/>
      <w:lvlJc w:val="right"/>
      <w:pPr>
        <w:ind w:left="6857" w:hanging="180"/>
      </w:pPr>
    </w:lvl>
  </w:abstractNum>
  <w:abstractNum w:abstractNumId="12" w15:restartNumberingAfterBreak="0">
    <w:nsid w:val="53244075"/>
    <w:multiLevelType w:val="hybridMultilevel"/>
    <w:tmpl w:val="99FC0930"/>
    <w:lvl w:ilvl="0" w:tplc="6DD292B4">
      <w:start w:val="4"/>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3"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4"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34101">
    <w:abstractNumId w:val="7"/>
  </w:num>
  <w:num w:numId="2" w16cid:durableId="974339455">
    <w:abstractNumId w:val="2"/>
  </w:num>
  <w:num w:numId="3" w16cid:durableId="249628618">
    <w:abstractNumId w:val="5"/>
  </w:num>
  <w:num w:numId="4" w16cid:durableId="72942556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51064891">
    <w:abstractNumId w:val="2"/>
  </w:num>
  <w:num w:numId="6" w16cid:durableId="1815482783">
    <w:abstractNumId w:val="16"/>
  </w:num>
  <w:num w:numId="7" w16cid:durableId="1401902295">
    <w:abstractNumId w:val="6"/>
  </w:num>
  <w:num w:numId="8" w16cid:durableId="1650669280">
    <w:abstractNumId w:val="15"/>
  </w:num>
  <w:num w:numId="9" w16cid:durableId="8414054">
    <w:abstractNumId w:val="8"/>
  </w:num>
  <w:num w:numId="10" w16cid:durableId="241451570">
    <w:abstractNumId w:val="14"/>
  </w:num>
  <w:num w:numId="11" w16cid:durableId="1972009866">
    <w:abstractNumId w:val="9"/>
  </w:num>
  <w:num w:numId="12" w16cid:durableId="1501852436">
    <w:abstractNumId w:val="1"/>
  </w:num>
  <w:num w:numId="13" w16cid:durableId="1424910775">
    <w:abstractNumId w:val="4"/>
  </w:num>
  <w:num w:numId="14" w16cid:durableId="1752311627">
    <w:abstractNumId w:val="17"/>
  </w:num>
  <w:num w:numId="15" w16cid:durableId="108596554">
    <w:abstractNumId w:val="13"/>
  </w:num>
  <w:num w:numId="16" w16cid:durableId="1616450362">
    <w:abstractNumId w:val="0"/>
  </w:num>
  <w:num w:numId="17" w16cid:durableId="1766072857">
    <w:abstractNumId w:val="3"/>
  </w:num>
  <w:num w:numId="18" w16cid:durableId="417216453">
    <w:abstractNumId w:val="10"/>
  </w:num>
  <w:num w:numId="19" w16cid:durableId="54820658">
    <w:abstractNumId w:val="12"/>
  </w:num>
  <w:num w:numId="20" w16cid:durableId="95390385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22703"/>
    <w:rsid w:val="00037440"/>
    <w:rsid w:val="00046945"/>
    <w:rsid w:val="0005656D"/>
    <w:rsid w:val="00061B2A"/>
    <w:rsid w:val="00082362"/>
    <w:rsid w:val="000A683E"/>
    <w:rsid w:val="000B184A"/>
    <w:rsid w:val="000B19B9"/>
    <w:rsid w:val="000D0334"/>
    <w:rsid w:val="000D5DA7"/>
    <w:rsid w:val="000E1333"/>
    <w:rsid w:val="000F6486"/>
    <w:rsid w:val="00116940"/>
    <w:rsid w:val="00125105"/>
    <w:rsid w:val="00127233"/>
    <w:rsid w:val="00133035"/>
    <w:rsid w:val="0015699B"/>
    <w:rsid w:val="00161D19"/>
    <w:rsid w:val="00164945"/>
    <w:rsid w:val="001712F1"/>
    <w:rsid w:val="00177E3D"/>
    <w:rsid w:val="00187CF6"/>
    <w:rsid w:val="001A33BF"/>
    <w:rsid w:val="001A341B"/>
    <w:rsid w:val="001B563D"/>
    <w:rsid w:val="001E4177"/>
    <w:rsid w:val="001F0292"/>
    <w:rsid w:val="001F0B24"/>
    <w:rsid w:val="001F7DC6"/>
    <w:rsid w:val="0022400B"/>
    <w:rsid w:val="002421BB"/>
    <w:rsid w:val="002447A8"/>
    <w:rsid w:val="0025796E"/>
    <w:rsid w:val="002707A2"/>
    <w:rsid w:val="002951A0"/>
    <w:rsid w:val="002962BC"/>
    <w:rsid w:val="002A093D"/>
    <w:rsid w:val="002A0DD0"/>
    <w:rsid w:val="002A49AC"/>
    <w:rsid w:val="002A64FD"/>
    <w:rsid w:val="002C7A84"/>
    <w:rsid w:val="002E2BF8"/>
    <w:rsid w:val="002E4FD9"/>
    <w:rsid w:val="0030657A"/>
    <w:rsid w:val="00322A85"/>
    <w:rsid w:val="00324168"/>
    <w:rsid w:val="00330834"/>
    <w:rsid w:val="00341492"/>
    <w:rsid w:val="003448F4"/>
    <w:rsid w:val="00350F85"/>
    <w:rsid w:val="00357195"/>
    <w:rsid w:val="003711E0"/>
    <w:rsid w:val="00374F5E"/>
    <w:rsid w:val="00377E3E"/>
    <w:rsid w:val="0039650C"/>
    <w:rsid w:val="003A779E"/>
    <w:rsid w:val="003D0F4D"/>
    <w:rsid w:val="003D54C8"/>
    <w:rsid w:val="003D5B0D"/>
    <w:rsid w:val="003E0499"/>
    <w:rsid w:val="003E2588"/>
    <w:rsid w:val="003E4F80"/>
    <w:rsid w:val="003E6439"/>
    <w:rsid w:val="003F3941"/>
    <w:rsid w:val="00406575"/>
    <w:rsid w:val="00414C74"/>
    <w:rsid w:val="0042722E"/>
    <w:rsid w:val="0044528D"/>
    <w:rsid w:val="00462B6A"/>
    <w:rsid w:val="00466E39"/>
    <w:rsid w:val="0048490F"/>
    <w:rsid w:val="004A1847"/>
    <w:rsid w:val="004A305D"/>
    <w:rsid w:val="004D7AF1"/>
    <w:rsid w:val="004E00A5"/>
    <w:rsid w:val="004F21C4"/>
    <w:rsid w:val="004F685F"/>
    <w:rsid w:val="0050574D"/>
    <w:rsid w:val="005566E8"/>
    <w:rsid w:val="00574867"/>
    <w:rsid w:val="00585C73"/>
    <w:rsid w:val="00591460"/>
    <w:rsid w:val="005944AE"/>
    <w:rsid w:val="005A65E0"/>
    <w:rsid w:val="005B4FB6"/>
    <w:rsid w:val="005C0989"/>
    <w:rsid w:val="005C3777"/>
    <w:rsid w:val="005C5CDC"/>
    <w:rsid w:val="005D476C"/>
    <w:rsid w:val="006117F2"/>
    <w:rsid w:val="006175F6"/>
    <w:rsid w:val="006200BF"/>
    <w:rsid w:val="006219F8"/>
    <w:rsid w:val="006255BE"/>
    <w:rsid w:val="006302F7"/>
    <w:rsid w:val="00640AD1"/>
    <w:rsid w:val="006428B1"/>
    <w:rsid w:val="00646B9F"/>
    <w:rsid w:val="0065233C"/>
    <w:rsid w:val="00665D70"/>
    <w:rsid w:val="00673397"/>
    <w:rsid w:val="00675E3B"/>
    <w:rsid w:val="006900D9"/>
    <w:rsid w:val="006953C1"/>
    <w:rsid w:val="006A5811"/>
    <w:rsid w:val="006A6AD2"/>
    <w:rsid w:val="006E62C1"/>
    <w:rsid w:val="006F4AA3"/>
    <w:rsid w:val="00706C16"/>
    <w:rsid w:val="007340C3"/>
    <w:rsid w:val="0073487F"/>
    <w:rsid w:val="00740E3E"/>
    <w:rsid w:val="0075235A"/>
    <w:rsid w:val="00756841"/>
    <w:rsid w:val="007649AB"/>
    <w:rsid w:val="00771D0C"/>
    <w:rsid w:val="00777BA3"/>
    <w:rsid w:val="007833AC"/>
    <w:rsid w:val="00794231"/>
    <w:rsid w:val="007B268C"/>
    <w:rsid w:val="007B7171"/>
    <w:rsid w:val="007C0C0F"/>
    <w:rsid w:val="007C3DC2"/>
    <w:rsid w:val="007D2C95"/>
    <w:rsid w:val="007E1E8F"/>
    <w:rsid w:val="007E29CC"/>
    <w:rsid w:val="007E5497"/>
    <w:rsid w:val="00806F5F"/>
    <w:rsid w:val="008166BA"/>
    <w:rsid w:val="00820278"/>
    <w:rsid w:val="0082286B"/>
    <w:rsid w:val="0082325C"/>
    <w:rsid w:val="008258C9"/>
    <w:rsid w:val="00844AE9"/>
    <w:rsid w:val="00847B06"/>
    <w:rsid w:val="00867F95"/>
    <w:rsid w:val="008843B6"/>
    <w:rsid w:val="00891928"/>
    <w:rsid w:val="008A446D"/>
    <w:rsid w:val="008B25F1"/>
    <w:rsid w:val="008D180B"/>
    <w:rsid w:val="008F0EA7"/>
    <w:rsid w:val="00923EEF"/>
    <w:rsid w:val="009419F9"/>
    <w:rsid w:val="0095685E"/>
    <w:rsid w:val="00961B09"/>
    <w:rsid w:val="00965334"/>
    <w:rsid w:val="0097093E"/>
    <w:rsid w:val="00982C80"/>
    <w:rsid w:val="009A0DFA"/>
    <w:rsid w:val="009A1C6F"/>
    <w:rsid w:val="009B2D26"/>
    <w:rsid w:val="009B6DE8"/>
    <w:rsid w:val="009C2F16"/>
    <w:rsid w:val="009C71FA"/>
    <w:rsid w:val="009C72E7"/>
    <w:rsid w:val="009C7F7E"/>
    <w:rsid w:val="009D3058"/>
    <w:rsid w:val="009F3A13"/>
    <w:rsid w:val="00A122D3"/>
    <w:rsid w:val="00A14468"/>
    <w:rsid w:val="00A17F13"/>
    <w:rsid w:val="00A20739"/>
    <w:rsid w:val="00A21DA7"/>
    <w:rsid w:val="00A23AF9"/>
    <w:rsid w:val="00A25027"/>
    <w:rsid w:val="00A279A3"/>
    <w:rsid w:val="00A33C78"/>
    <w:rsid w:val="00A53080"/>
    <w:rsid w:val="00A6159E"/>
    <w:rsid w:val="00A77706"/>
    <w:rsid w:val="00A8006F"/>
    <w:rsid w:val="00AA3BDF"/>
    <w:rsid w:val="00AB0ADB"/>
    <w:rsid w:val="00AC6F99"/>
    <w:rsid w:val="00AD35FF"/>
    <w:rsid w:val="00AD5763"/>
    <w:rsid w:val="00AF18E7"/>
    <w:rsid w:val="00AF3160"/>
    <w:rsid w:val="00B00C0E"/>
    <w:rsid w:val="00B01B1A"/>
    <w:rsid w:val="00B036CF"/>
    <w:rsid w:val="00B0381D"/>
    <w:rsid w:val="00B15C4D"/>
    <w:rsid w:val="00B44A47"/>
    <w:rsid w:val="00B52157"/>
    <w:rsid w:val="00B72CD3"/>
    <w:rsid w:val="00B72FFF"/>
    <w:rsid w:val="00B924D2"/>
    <w:rsid w:val="00BA1C72"/>
    <w:rsid w:val="00BB6062"/>
    <w:rsid w:val="00BC3D36"/>
    <w:rsid w:val="00BD54A6"/>
    <w:rsid w:val="00BD7F72"/>
    <w:rsid w:val="00BF7425"/>
    <w:rsid w:val="00C04FB3"/>
    <w:rsid w:val="00C11C4A"/>
    <w:rsid w:val="00C11D8B"/>
    <w:rsid w:val="00C15139"/>
    <w:rsid w:val="00C30A12"/>
    <w:rsid w:val="00C32E7C"/>
    <w:rsid w:val="00C330EB"/>
    <w:rsid w:val="00C41206"/>
    <w:rsid w:val="00C4233B"/>
    <w:rsid w:val="00C46B16"/>
    <w:rsid w:val="00C50D69"/>
    <w:rsid w:val="00C51F72"/>
    <w:rsid w:val="00C5365C"/>
    <w:rsid w:val="00C754BE"/>
    <w:rsid w:val="00C76B1C"/>
    <w:rsid w:val="00C870AA"/>
    <w:rsid w:val="00C925AC"/>
    <w:rsid w:val="00CB6357"/>
    <w:rsid w:val="00CC1B26"/>
    <w:rsid w:val="00CC36A9"/>
    <w:rsid w:val="00CD48A2"/>
    <w:rsid w:val="00D25A1D"/>
    <w:rsid w:val="00D361FD"/>
    <w:rsid w:val="00D423A2"/>
    <w:rsid w:val="00D44E26"/>
    <w:rsid w:val="00D520D8"/>
    <w:rsid w:val="00D63AC2"/>
    <w:rsid w:val="00D7383B"/>
    <w:rsid w:val="00D7788A"/>
    <w:rsid w:val="00D84C27"/>
    <w:rsid w:val="00DA18E9"/>
    <w:rsid w:val="00DA231B"/>
    <w:rsid w:val="00DB447A"/>
    <w:rsid w:val="00DC39FC"/>
    <w:rsid w:val="00DD6816"/>
    <w:rsid w:val="00DE3A05"/>
    <w:rsid w:val="00DF5254"/>
    <w:rsid w:val="00E02524"/>
    <w:rsid w:val="00E15429"/>
    <w:rsid w:val="00E16408"/>
    <w:rsid w:val="00E20894"/>
    <w:rsid w:val="00E245AB"/>
    <w:rsid w:val="00E2764C"/>
    <w:rsid w:val="00E27F2E"/>
    <w:rsid w:val="00E50AFE"/>
    <w:rsid w:val="00E72D93"/>
    <w:rsid w:val="00E75C92"/>
    <w:rsid w:val="00E771DC"/>
    <w:rsid w:val="00E81819"/>
    <w:rsid w:val="00E8772A"/>
    <w:rsid w:val="00E90F6B"/>
    <w:rsid w:val="00E92C27"/>
    <w:rsid w:val="00EA0E3D"/>
    <w:rsid w:val="00EB29E2"/>
    <w:rsid w:val="00EC38A7"/>
    <w:rsid w:val="00ED0F6D"/>
    <w:rsid w:val="00EE1AA8"/>
    <w:rsid w:val="00F23FEA"/>
    <w:rsid w:val="00F31EDC"/>
    <w:rsid w:val="00F4051A"/>
    <w:rsid w:val="00F462B3"/>
    <w:rsid w:val="00F5664F"/>
    <w:rsid w:val="00F666C4"/>
    <w:rsid w:val="00F76AFC"/>
    <w:rsid w:val="00FA47C0"/>
    <w:rsid w:val="00FA4F78"/>
    <w:rsid w:val="00FB05E5"/>
    <w:rsid w:val="00FB4272"/>
    <w:rsid w:val="00FB5DD1"/>
    <w:rsid w:val="00FB74D2"/>
    <w:rsid w:val="00FC2B5D"/>
    <w:rsid w:val="00FF1449"/>
    <w:rsid w:val="00FF3532"/>
    <w:rsid w:val="00FF7963"/>
    <w:rsid w:val="071B8F93"/>
    <w:rsid w:val="07C73DD1"/>
    <w:rsid w:val="09908A09"/>
    <w:rsid w:val="0E0AF0F4"/>
    <w:rsid w:val="0EFE6349"/>
    <w:rsid w:val="0FF4CCA8"/>
    <w:rsid w:val="13CFC91B"/>
    <w:rsid w:val="19A2EC2C"/>
    <w:rsid w:val="21779BE6"/>
    <w:rsid w:val="2859CA1B"/>
    <w:rsid w:val="2C4D2425"/>
    <w:rsid w:val="2EE1E026"/>
    <w:rsid w:val="2F44F38F"/>
    <w:rsid w:val="30821638"/>
    <w:rsid w:val="32A4F9CF"/>
    <w:rsid w:val="33A1FF93"/>
    <w:rsid w:val="356CEDFD"/>
    <w:rsid w:val="3C591AFD"/>
    <w:rsid w:val="42183F0A"/>
    <w:rsid w:val="545B112A"/>
    <w:rsid w:val="5BEB1497"/>
    <w:rsid w:val="69614A15"/>
    <w:rsid w:val="74BA017B"/>
    <w:rsid w:val="7677286E"/>
    <w:rsid w:val="79A64A20"/>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25A1D"/>
    <w:rPr>
      <w:rFonts w:ascii="Geomanist Light" w:hAnsi="Geomanist Light"/>
      <w:lang w:val="es-ES"/>
    </w:rPr>
  </w:style>
  <w:style w:type="paragraph" w:customStyle="1" w:styleId="Appelnotedebasde">
    <w:name w:val="Appel note de bas de..."/>
    <w:basedOn w:val="Normal"/>
    <w:link w:val="Refdenotaalpie"/>
    <w:rsid w:val="00AD5763"/>
    <w:pPr>
      <w:spacing w:line="240" w:lineRule="exact"/>
    </w:pPr>
    <w:rPr>
      <w:vertAlign w:val="superscript"/>
    </w:rPr>
  </w:style>
  <w:style w:type="character" w:styleId="Refdecomentario">
    <w:name w:val="annotation reference"/>
    <w:basedOn w:val="Fuentedeprrafopredeter"/>
    <w:uiPriority w:val="99"/>
    <w:semiHidden/>
    <w:unhideWhenUsed/>
    <w:rsid w:val="00777BA3"/>
    <w:rPr>
      <w:sz w:val="16"/>
      <w:szCs w:val="16"/>
    </w:rPr>
  </w:style>
  <w:style w:type="paragraph" w:styleId="Textocomentario">
    <w:name w:val="annotation text"/>
    <w:basedOn w:val="Normal"/>
    <w:link w:val="TextocomentarioCar"/>
    <w:uiPriority w:val="99"/>
    <w:unhideWhenUsed/>
    <w:rsid w:val="00777BA3"/>
    <w:pPr>
      <w:spacing w:line="240" w:lineRule="auto"/>
    </w:pPr>
    <w:rPr>
      <w:sz w:val="20"/>
      <w:szCs w:val="20"/>
    </w:rPr>
  </w:style>
  <w:style w:type="character" w:customStyle="1" w:styleId="TextocomentarioCar">
    <w:name w:val="Texto comentario Car"/>
    <w:basedOn w:val="Fuentedeprrafopredeter"/>
    <w:link w:val="Textocomentario"/>
    <w:uiPriority w:val="99"/>
    <w:rsid w:val="00777BA3"/>
    <w:rPr>
      <w:sz w:val="20"/>
      <w:szCs w:val="20"/>
    </w:rPr>
  </w:style>
  <w:style w:type="paragraph" w:styleId="Asuntodelcomentario">
    <w:name w:val="annotation subject"/>
    <w:basedOn w:val="Textocomentario"/>
    <w:next w:val="Textocomentario"/>
    <w:link w:val="AsuntodelcomentarioCar"/>
    <w:uiPriority w:val="99"/>
    <w:semiHidden/>
    <w:unhideWhenUsed/>
    <w:rsid w:val="00777BA3"/>
    <w:rPr>
      <w:b/>
      <w:bCs/>
    </w:rPr>
  </w:style>
  <w:style w:type="character" w:customStyle="1" w:styleId="AsuntodelcomentarioCar">
    <w:name w:val="Asunto del comentario Car"/>
    <w:basedOn w:val="TextocomentarioCar"/>
    <w:link w:val="Asuntodelcomentario"/>
    <w:uiPriority w:val="99"/>
    <w:semiHidden/>
    <w:rsid w:val="00777BA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4087477">
      <w:bodyDiv w:val="1"/>
      <w:marLeft w:val="0"/>
      <w:marRight w:val="0"/>
      <w:marTop w:val="0"/>
      <w:marBottom w:val="0"/>
      <w:divBdr>
        <w:top w:val="none" w:sz="0" w:space="0" w:color="auto"/>
        <w:left w:val="none" w:sz="0" w:space="0" w:color="auto"/>
        <w:bottom w:val="none" w:sz="0" w:space="0" w:color="auto"/>
        <w:right w:val="none" w:sz="0" w:space="0" w:color="auto"/>
      </w:divBdr>
    </w:div>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61644707">
      <w:bodyDiv w:val="1"/>
      <w:marLeft w:val="0"/>
      <w:marRight w:val="0"/>
      <w:marTop w:val="0"/>
      <w:marBottom w:val="0"/>
      <w:divBdr>
        <w:top w:val="none" w:sz="0" w:space="0" w:color="auto"/>
        <w:left w:val="none" w:sz="0" w:space="0" w:color="auto"/>
        <w:bottom w:val="none" w:sz="0" w:space="0" w:color="auto"/>
        <w:right w:val="none" w:sz="0" w:space="0" w:color="auto"/>
      </w:divBdr>
      <w:divsChild>
        <w:div w:id="17504685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secretariasenado.gov.co/senado/basedoc/decreto_1333_1986_pr008.html" TargetMode="External"/><Relationship Id="rId18" Type="http://schemas.openxmlformats.org/officeDocument/2006/relationships/hyperlink" Target="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www.secretariasenado.gov.co/senado/basedoc/decreto_1333_1986_pr008.html" TargetMode="External"/><Relationship Id="rId17" Type="http://schemas.openxmlformats.org/officeDocument/2006/relationships/hyperlink" Target="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 TargetMode="External"/><Relationship Id="rId2" Type="http://schemas.openxmlformats.org/officeDocument/2006/relationships/customXml" Target="../customXml/item2.xml"/><Relationship Id="rId16" Type="http://schemas.openxmlformats.org/officeDocument/2006/relationships/hyperlink" Target="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ovejero1609@gmail.com"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relatoria.colombiacompra.gov.co/"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hyperlink" Target="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secretariasenado.gov.co/senado/basedoc/ley_0080_1993.htm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2.xml><?xml version="1.0" encoding="utf-8"?>
<ds:datastoreItem xmlns:ds="http://schemas.openxmlformats.org/officeDocument/2006/customXml" ds:itemID="{C903EE6A-E1CF-4A3A-AB50-091E8FD2F50A}"/>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21</Pages>
  <Words>7414</Words>
  <Characters>40781</Characters>
  <Application>Microsoft Office Word</Application>
  <DocSecurity>0</DocSecurity>
  <Lines>339</Lines>
  <Paragraphs>96</Paragraphs>
  <ScaleCrop>false</ScaleCrop>
  <Company/>
  <LinksUpToDate>false</LinksUpToDate>
  <CharactersWithSpaces>48099</CharactersWithSpaces>
  <SharedDoc>false</SharedDoc>
  <HLinks>
    <vt:vector size="54" baseType="variant">
      <vt:variant>
        <vt:i4>3932267</vt:i4>
      </vt:variant>
      <vt:variant>
        <vt:i4>24</vt:i4>
      </vt:variant>
      <vt:variant>
        <vt:i4>0</vt:i4>
      </vt:variant>
      <vt:variant>
        <vt:i4>5</vt:i4>
      </vt:variant>
      <vt:variant>
        <vt:lpwstr>https://nam02.safelinks.protection.outlook.com/?url=https%3A%2F%2Fwww.colombiacompra.gov.co%2Farchivos%2Fboletin%2Fboletin-edicion-n-3-de-2026-radar-de-la-compra-publica&amp;data=05%7C02%7Cana.ortizb%40colombiacompra.gov.co%7C7128555136e04fa6887d08dee99e1b50%7C7b09041e245149d08cb179d5e3d8c1be%7C0%7C0%7C639205062447842602%7CUnknown%7CTWFpbGZsb3d8eyJFbXB0eU1hcGkiOnRydWUsIlYiOiIwLjAuMDAwMCIsIlAiOiJXaW4zMiIsIkFOIjoiTWFpbCIsIldUIjoyfQ%3D%3D%7C0%7C%7C%7C&amp;sdata=kD1M1HbLmaYne%2FjmafRdlI2lWjfy6Ao%2BJcGmraP%2F8NM%3D&amp;reserved=0</vt:lpwstr>
      </vt:variant>
      <vt:variant>
        <vt:lpwstr/>
      </vt:variant>
      <vt:variant>
        <vt:i4>7012459</vt:i4>
      </vt:variant>
      <vt:variant>
        <vt:i4>21</vt:i4>
      </vt:variant>
      <vt:variant>
        <vt:i4>0</vt:i4>
      </vt:variant>
      <vt:variant>
        <vt:i4>5</vt:i4>
      </vt:variant>
      <vt:variant>
        <vt:lpwstr>https://nam02.safelinks.protection.outlook.com/?url=https%3A%2F%2Fwww.colombiacompra.gov.co%2Farchivos%2Fcircular%2Fcircular-externa-002-de-2026&amp;data=05%7C02%7Cana.ortizb%40colombiacompra.gov.co%7C7128555136e04fa6887d08dee99e1b50%7C7b09041e245149d08cb179d5e3d8c1be%7C0%7C0%7C639205062447795971%7CUnknown%7CTWFpbGZsb3d8eyJFbXB0eU1hcGkiOnRydWUsIlYiOiIwLjAuMDAwMCIsIlAiOiJXaW4zMiIsIkFOIjoiTWFpbCIsIldUIjoyfQ%3D%3D%7C0%7C%7C%7C&amp;sdata=9LIurxl2Vaut8bRBIT695McE332T4L3gq3qjukjVKIA%3D&amp;reserved=0</vt:lpwstr>
      </vt:variant>
      <vt:variant>
        <vt:lpwstr/>
      </vt:variant>
      <vt:variant>
        <vt:i4>6946923</vt:i4>
      </vt:variant>
      <vt:variant>
        <vt:i4>18</vt:i4>
      </vt:variant>
      <vt:variant>
        <vt:i4>0</vt:i4>
      </vt:variant>
      <vt:variant>
        <vt:i4>5</vt:i4>
      </vt:variant>
      <vt:variant>
        <vt:lpwstr>https://nam02.safelinks.protection.outlook.com/?url=https%3A%2F%2Fwww.colombiacompra.gov.co%2Farchivos%2Fcircular%2Fcircular-externa-003-de-2026&amp;data=05%7C02%7Cana.ortizb%40colombiacompra.gov.co%7C7128555136e04fa6887d08dee99e1b50%7C7b09041e245149d08cb179d5e3d8c1be%7C0%7C0%7C639205062447746326%7CUnknown%7CTWFpbGZsb3d8eyJFbXB0eU1hcGkiOnRydWUsIlYiOiIwLjAuMDAwMCIsIlAiOiJXaW4zMiIsIkFOIjoiTWFpbCIsIldUIjoyfQ%3D%3D%7C0%7C%7C%7C&amp;sdata=yBZOiwifibQ%2BzamlsmG3bxCSMq%2BxW90FHMBFh%2BwCJvw%3D&amp;reserved=0</vt:lpwstr>
      </vt:variant>
      <vt:variant>
        <vt:lpwstr/>
      </vt:variant>
      <vt:variant>
        <vt:i4>3211309</vt:i4>
      </vt:variant>
      <vt:variant>
        <vt:i4>15</vt:i4>
      </vt:variant>
      <vt:variant>
        <vt:i4>0</vt:i4>
      </vt:variant>
      <vt:variant>
        <vt:i4>5</vt:i4>
      </vt:variant>
      <vt:variant>
        <vt:lpwstr>https://nam02.safelinks.protection.outlook.com/?url=https%3A%2F%2Fwww.colombiacompra.gov.co%2Farchivos%2Fmanual%2Fguia-de-garantias-en-procesos-de-contratacion&amp;data=05%7C02%7Cana.ortizb%40colombiacompra.gov.co%7C7128555136e04fa6887d08dee99e1b50%7C7b09041e245149d08cb179d5e3d8c1be%7C0%7C0%7C639205062447699700%7CUnknown%7CTWFpbGZsb3d8eyJFbXB0eU1hcGkiOnRydWUsIlYiOiIwLjAuMDAwMCIsIlAiOiJXaW4zMiIsIkFOIjoiTWFpbCIsIldUIjoyfQ%3D%3D%7C0%7C%7C%7C&amp;sdata=WvSehHsLM6sWuccCKpODAneUPluUj1%2F4CrYuhBPpv20%3D&amp;reserved=0</vt:lpwstr>
      </vt:variant>
      <vt:variant>
        <vt:lpwstr/>
      </vt:variant>
      <vt:variant>
        <vt:i4>1900622</vt:i4>
      </vt:variant>
      <vt:variant>
        <vt:i4>12</vt:i4>
      </vt:variant>
      <vt:variant>
        <vt:i4>0</vt:i4>
      </vt:variant>
      <vt:variant>
        <vt:i4>5</vt:i4>
      </vt:variant>
      <vt:variant>
        <vt:lpwstr>https://relatoria.colombiacompra.gov.co/</vt:lpwstr>
      </vt:variant>
      <vt:variant>
        <vt:lpwstr/>
      </vt:variant>
      <vt:variant>
        <vt:i4>5963855</vt:i4>
      </vt:variant>
      <vt:variant>
        <vt:i4>9</vt:i4>
      </vt:variant>
      <vt:variant>
        <vt:i4>0</vt:i4>
      </vt:variant>
      <vt:variant>
        <vt:i4>5</vt:i4>
      </vt:variant>
      <vt:variant>
        <vt:lpwstr>http://www.secretariasenado.gov.co/senado/basedoc/ley_0080_1993.html</vt:lpwstr>
      </vt:variant>
      <vt:variant>
        <vt:lpwstr>inicio</vt:lpwstr>
      </vt:variant>
      <vt:variant>
        <vt:i4>1310842</vt:i4>
      </vt:variant>
      <vt:variant>
        <vt:i4>6</vt:i4>
      </vt:variant>
      <vt:variant>
        <vt:i4>0</vt:i4>
      </vt:variant>
      <vt:variant>
        <vt:i4>5</vt:i4>
      </vt:variant>
      <vt:variant>
        <vt:lpwstr>http://www.secretariasenado.gov.co/senado/basedoc/decreto_1333_1986_pr008.html</vt:lpwstr>
      </vt:variant>
      <vt:variant>
        <vt:lpwstr>378</vt:lpwstr>
      </vt:variant>
      <vt:variant>
        <vt:i4>1310842</vt:i4>
      </vt:variant>
      <vt:variant>
        <vt:i4>3</vt:i4>
      </vt:variant>
      <vt:variant>
        <vt:i4>0</vt:i4>
      </vt:variant>
      <vt:variant>
        <vt:i4>5</vt:i4>
      </vt:variant>
      <vt:variant>
        <vt:lpwstr>http://www.secretariasenado.gov.co/senado/basedoc/decreto_1333_1986_pr008.html</vt:lpwstr>
      </vt:variant>
      <vt:variant>
        <vt:lpwstr>375</vt:lpwstr>
      </vt:variant>
      <vt:variant>
        <vt:i4>589856</vt:i4>
      </vt:variant>
      <vt:variant>
        <vt:i4>0</vt:i4>
      </vt:variant>
      <vt:variant>
        <vt:i4>0</vt:i4>
      </vt:variant>
      <vt:variant>
        <vt:i4>5</vt:i4>
      </vt:variant>
      <vt:variant>
        <vt:lpwstr>mailto:ovejero1609@gmail.com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María Ortiz Ballesteros</cp:lastModifiedBy>
  <cp:revision>30</cp:revision>
  <cp:lastPrinted>2023-01-10T21:18:00Z</cp:lastPrinted>
  <dcterms:created xsi:type="dcterms:W3CDTF">2026-10-14T00:09:00Z</dcterms:created>
  <dcterms:modified xsi:type="dcterms:W3CDTF">2026-10-14T01:16:00Z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