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92920" w14:textId="77777777" w:rsidR="00F01D3E" w:rsidRPr="004A1615" w:rsidRDefault="00F01D3E" w:rsidP="00F01D3E">
      <w:pPr>
        <w:spacing w:after="0"/>
        <w:rPr>
          <w:rFonts w:ascii="Verdana" w:hAnsi="Verdana" w:cs="Arial"/>
          <w:b/>
          <w:lang w:val="es-ES" w:eastAsia="es-ES"/>
        </w:rPr>
      </w:pPr>
      <w:r w:rsidRPr="004A1615">
        <w:rPr>
          <w:rFonts w:ascii="Verdana" w:hAnsi="Verdana" w:cs="Arial"/>
          <w:b/>
          <w:lang w:val="es-ES" w:eastAsia="es-ES"/>
        </w:rPr>
        <w:t xml:space="preserve">REQUISITOS HABILITANTES – Noción – Fundamento normativo </w:t>
      </w:r>
    </w:p>
    <w:p w14:paraId="242B92DC" w14:textId="77777777" w:rsidR="00F01D3E" w:rsidRPr="004A1615" w:rsidRDefault="00F01D3E" w:rsidP="00F01D3E">
      <w:pPr>
        <w:spacing w:after="0"/>
        <w:rPr>
          <w:rFonts w:ascii="Verdana" w:hAnsi="Verdana" w:cs="Arial"/>
          <w:b/>
          <w:lang w:val="es-ES" w:eastAsia="es-ES"/>
        </w:rPr>
      </w:pPr>
    </w:p>
    <w:p w14:paraId="36ADBA6B" w14:textId="77777777" w:rsidR="00F01D3E" w:rsidRPr="004A1615" w:rsidRDefault="00F01D3E" w:rsidP="00F01D3E">
      <w:pPr>
        <w:spacing w:after="0" w:line="240" w:lineRule="auto"/>
        <w:jc w:val="both"/>
        <w:rPr>
          <w:rFonts w:ascii="Verdana" w:hAnsi="Verdana" w:cs="Arial"/>
          <w:sz w:val="20"/>
          <w:lang w:val="es-ES_tradnl" w:eastAsia="es-ES"/>
        </w:rPr>
      </w:pPr>
      <w:r w:rsidRPr="004A1615">
        <w:rPr>
          <w:rFonts w:ascii="Verdana" w:hAnsi="Verdana" w:cs="Arial"/>
          <w:sz w:val="20"/>
          <w:szCs w:val="20"/>
          <w:lang w:val="es-ES" w:eastAsia="es-ES"/>
        </w:rPr>
        <w:t xml:space="preserve">[…] </w:t>
      </w:r>
      <w:r w:rsidRPr="004A1615">
        <w:rPr>
          <w:rFonts w:ascii="Verdana" w:hAnsi="Verdana" w:cs="Arial"/>
          <w:sz w:val="20"/>
          <w:lang w:val="es-ES_tradnl" w:eastAsia="es-ES"/>
        </w:rPr>
        <w:t xml:space="preserve">Los </w:t>
      </w:r>
      <w:r w:rsidRPr="004A1615">
        <w:rPr>
          <w:rFonts w:ascii="Verdana" w:hAnsi="Verdana" w:cs="Arial"/>
          <w:i/>
          <w:iCs/>
          <w:sz w:val="20"/>
          <w:lang w:val="es-ES_tradnl" w:eastAsia="es-ES"/>
        </w:rPr>
        <w:t>requisitos habilitantes</w:t>
      </w:r>
      <w:r w:rsidRPr="004A1615">
        <w:rPr>
          <w:rFonts w:ascii="Verdana" w:hAnsi="Verdana" w:cs="Arial"/>
          <w:sz w:val="20"/>
          <w:lang w:val="es-ES_tradnl" w:eastAsia="es-ES"/>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4A1615">
        <w:rPr>
          <w:rFonts w:ascii="Verdana" w:hAnsi="Verdana" w:cs="Arial"/>
          <w:i/>
          <w:iCs/>
          <w:sz w:val="20"/>
          <w:lang w:val="es-ES_tradnl" w:eastAsia="es-ES"/>
        </w:rPr>
        <w:t>criterios de evaluación</w:t>
      </w:r>
      <w:r w:rsidRPr="004A1615">
        <w:rPr>
          <w:rFonts w:ascii="Verdana" w:hAnsi="Verdana" w:cs="Arial"/>
          <w:sz w:val="20"/>
          <w:lang w:val="es-ES_tradnl" w:eastAsia="es-ES"/>
        </w:rPr>
        <w:t xml:space="preserve"> –también conocidos como </w:t>
      </w:r>
      <w:r w:rsidRPr="004A1615">
        <w:rPr>
          <w:rFonts w:ascii="Verdana" w:hAnsi="Verdana" w:cs="Arial"/>
          <w:i/>
          <w:iCs/>
          <w:sz w:val="20"/>
          <w:lang w:val="es-ES_tradnl" w:eastAsia="es-ES"/>
        </w:rPr>
        <w:t>criterios de calificación</w:t>
      </w:r>
      <w:r w:rsidRPr="004A1615">
        <w:rPr>
          <w:rFonts w:ascii="Verdana" w:hAnsi="Verdana" w:cs="Arial"/>
          <w:sz w:val="20"/>
          <w:lang w:val="es-ES_tradnl" w:eastAsia="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r w:rsidRPr="004A1615">
        <w:rPr>
          <w:rFonts w:ascii="Verdana" w:hAnsi="Verdana" w:cs="Arial"/>
          <w:sz w:val="20"/>
          <w:szCs w:val="20"/>
          <w:lang w:val="es-ES" w:eastAsia="es-ES"/>
        </w:rPr>
        <w:t>[…]</w:t>
      </w:r>
    </w:p>
    <w:p w14:paraId="41D57310" w14:textId="77777777" w:rsidR="00F01D3E" w:rsidRPr="004A1615" w:rsidRDefault="00F01D3E" w:rsidP="00F01D3E">
      <w:pPr>
        <w:spacing w:after="0"/>
        <w:rPr>
          <w:rFonts w:ascii="Verdana" w:hAnsi="Verdana" w:cs="Arial"/>
          <w:b/>
          <w:lang w:val="es-ES_tradnl" w:eastAsia="es-ES"/>
        </w:rPr>
      </w:pPr>
    </w:p>
    <w:p w14:paraId="34ABFEA3" w14:textId="77777777" w:rsidR="00F01D3E" w:rsidRPr="004A1615" w:rsidRDefault="00F01D3E" w:rsidP="00F01D3E">
      <w:pPr>
        <w:spacing w:after="0"/>
        <w:rPr>
          <w:rFonts w:ascii="Verdana" w:hAnsi="Verdana" w:cs="Arial"/>
          <w:b/>
          <w:lang w:val="es-ES" w:eastAsia="es-ES"/>
        </w:rPr>
      </w:pPr>
      <w:r w:rsidRPr="004A1615">
        <w:rPr>
          <w:rFonts w:ascii="Verdana" w:hAnsi="Verdana" w:cs="Arial"/>
          <w:b/>
          <w:lang w:val="es-ES" w:eastAsia="es-ES"/>
        </w:rPr>
        <w:t xml:space="preserve">REQUISITO HABILITANTE – Experiencia - Verificación </w:t>
      </w:r>
    </w:p>
    <w:p w14:paraId="4554742D" w14:textId="77777777" w:rsidR="00F01D3E" w:rsidRPr="004A1615" w:rsidRDefault="00F01D3E" w:rsidP="00F01D3E">
      <w:pPr>
        <w:spacing w:after="0"/>
        <w:rPr>
          <w:rFonts w:ascii="Verdana" w:hAnsi="Verdana" w:cs="Arial"/>
          <w:b/>
          <w:lang w:eastAsia="es-ES"/>
        </w:rPr>
      </w:pPr>
    </w:p>
    <w:p w14:paraId="53F9CEB1" w14:textId="77777777" w:rsidR="00F01D3E" w:rsidRPr="004A1615" w:rsidRDefault="00F01D3E" w:rsidP="00F01D3E">
      <w:pPr>
        <w:spacing w:after="0" w:line="240" w:lineRule="auto"/>
        <w:jc w:val="both"/>
        <w:rPr>
          <w:rFonts w:ascii="Verdana" w:hAnsi="Verdana" w:cs="Arial"/>
          <w:sz w:val="20"/>
          <w:szCs w:val="20"/>
          <w:lang w:eastAsia="es-ES"/>
        </w:rPr>
      </w:pPr>
      <w:r w:rsidRPr="004A1615">
        <w:rPr>
          <w:rFonts w:ascii="Verdana" w:hAnsi="Verdana" w:cs="Arial"/>
          <w:sz w:val="20"/>
          <w:szCs w:val="20"/>
          <w:lang w:val="es-ES" w:eastAsia="es-ES"/>
        </w:rPr>
        <w:t xml:space="preserve">[…] La </w:t>
      </w:r>
      <w:r w:rsidRPr="004A1615">
        <w:rPr>
          <w:rFonts w:ascii="Verdana" w:hAnsi="Verdana" w:cs="Arial"/>
          <w:sz w:val="20"/>
          <w:szCs w:val="20"/>
          <w:lang w:eastAsia="es-ES"/>
        </w:rPr>
        <w:t>Agencia Nacional de Contratación Pública - Colombia Compra Eficiente puso a disposición de los interesados del sistema de compra pública el “Manual para determinar y verificar requisitos habilitantes en los procesos de contratación”, y en este de forma particular, se establecen una serie de características que deben observarse por parte de las entidades al establecer en sus invitaciones o pliego de condiciones los requerimientos o condiciones necesarias para poder llevar a cabo su verificación, como se detalla a continuación: 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 [</w:t>
      </w:r>
      <w:r w:rsidRPr="004A1615">
        <w:rPr>
          <w:rFonts w:ascii="Verdana" w:hAnsi="Verdana" w:cs="Arial"/>
          <w:sz w:val="20"/>
          <w:szCs w:val="20"/>
          <w:lang w:val="es-ES" w:eastAsia="es-ES"/>
        </w:rPr>
        <w:t>…]</w:t>
      </w:r>
    </w:p>
    <w:p w14:paraId="317B4F2B" w14:textId="77777777" w:rsidR="00F01D3E" w:rsidRPr="000F4325" w:rsidRDefault="00F01D3E" w:rsidP="00F01D3E">
      <w:pPr>
        <w:spacing w:after="0"/>
        <w:rPr>
          <w:rFonts w:ascii="Verdana" w:hAnsi="Verdana" w:cs="Arial"/>
          <w:b/>
          <w:lang w:eastAsia="es-ES"/>
        </w:rPr>
      </w:pPr>
    </w:p>
    <w:p w14:paraId="6298E98E" w14:textId="77777777" w:rsidR="00F01D3E" w:rsidRPr="000F4325" w:rsidRDefault="00F01D3E" w:rsidP="00F01D3E">
      <w:pPr>
        <w:spacing w:after="0"/>
        <w:jc w:val="both"/>
        <w:rPr>
          <w:rFonts w:ascii="Verdana" w:hAnsi="Verdana" w:cs="Arial"/>
          <w:b/>
          <w:lang w:val="es-ES" w:eastAsia="es-ES"/>
        </w:rPr>
      </w:pPr>
      <w:r w:rsidRPr="000F4325">
        <w:rPr>
          <w:rFonts w:ascii="Verdana" w:hAnsi="Verdana" w:cs="Arial"/>
          <w:b/>
          <w:lang w:val="es-ES" w:eastAsia="es-ES"/>
        </w:rPr>
        <w:t xml:space="preserve">REQUISITO HABILITANTE - Experiencia – Código Clasificador de Bienes y Servicios - Acreditación del Valor de los Contratos </w:t>
      </w:r>
    </w:p>
    <w:p w14:paraId="1F44CAA0" w14:textId="77777777" w:rsidR="00F01D3E" w:rsidRPr="000F4325" w:rsidRDefault="00F01D3E" w:rsidP="00F01D3E">
      <w:pPr>
        <w:spacing w:after="0"/>
        <w:rPr>
          <w:rFonts w:ascii="Verdana" w:hAnsi="Verdana" w:cs="Arial"/>
          <w:b/>
          <w:lang w:val="es-ES" w:eastAsia="es-ES"/>
        </w:rPr>
      </w:pPr>
    </w:p>
    <w:p w14:paraId="2D1E0E07" w14:textId="77777777" w:rsidR="00F01D3E" w:rsidRPr="000F4325" w:rsidRDefault="00F01D3E" w:rsidP="00F01D3E">
      <w:pPr>
        <w:spacing w:after="0" w:line="240" w:lineRule="auto"/>
        <w:jc w:val="both"/>
        <w:rPr>
          <w:rFonts w:ascii="Verdana" w:hAnsi="Verdana" w:cs="Arial"/>
          <w:sz w:val="20"/>
          <w:szCs w:val="20"/>
          <w:lang w:eastAsia="es-ES"/>
        </w:rPr>
      </w:pPr>
      <w:r w:rsidRPr="000F4325">
        <w:rPr>
          <w:rFonts w:ascii="Verdana" w:hAnsi="Verdana" w:cs="Arial"/>
          <w:sz w:val="20"/>
          <w:szCs w:val="20"/>
          <w:lang w:eastAsia="es-ES"/>
        </w:rPr>
        <w:t>[</w:t>
      </w:r>
      <w:r w:rsidRPr="000F4325">
        <w:rPr>
          <w:rFonts w:ascii="Verdana" w:hAnsi="Verdana" w:cs="Arial"/>
          <w:sz w:val="20"/>
          <w:szCs w:val="20"/>
          <w:lang w:val="es-ES" w:eastAsia="es-ES"/>
        </w:rPr>
        <w:t xml:space="preserve">…] la exigencia de la experiencia expresada en SMMLV, se acude a lo prescrito </w:t>
      </w:r>
      <w:r w:rsidRPr="000F4325">
        <w:rPr>
          <w:rFonts w:ascii="Verdana" w:hAnsi="Verdana" w:cs="Arial"/>
          <w:sz w:val="20"/>
          <w:szCs w:val="20"/>
          <w:lang w:eastAsia="es-ES"/>
        </w:rPr>
        <w:t xml:space="preserve">en el </w:t>
      </w:r>
      <w:r w:rsidRPr="000F4325">
        <w:rPr>
          <w:rFonts w:ascii="Verdana" w:hAnsi="Verdana" w:cs="Arial"/>
          <w:bCs/>
          <w:sz w:val="20"/>
          <w:szCs w:val="20"/>
          <w:lang w:eastAsia="es-ES"/>
        </w:rPr>
        <w:t xml:space="preserve">artículo 2.2.1.1.1.5.3. que establece que las cámaras de comercio deben verificar y certificar los requisitos habilitantes en el RUP, entre ellas, la experiencia que son aquellos contratos suscritos por el </w:t>
      </w:r>
      <w:r w:rsidRPr="000F4325">
        <w:rPr>
          <w:rFonts w:ascii="Verdana" w:hAnsi="Verdana" w:cs="Arial"/>
          <w:sz w:val="20"/>
          <w:szCs w:val="20"/>
          <w:lang w:eastAsia="es-ES"/>
        </w:rPr>
        <w:t xml:space="preserve">interesado para cada uno de los bienes, obras y servicios que ofrece a las Entidades Estatales, identificados con el Clasificador de Bienes y Servicios en el tercer nivel y su valor expresado en SMMLV. Los contratos celebrados por proponentes plurales, como los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r w:rsidRPr="000F4325">
        <w:rPr>
          <w:rFonts w:ascii="Verdana" w:hAnsi="Verdana" w:cs="Arial"/>
          <w:sz w:val="20"/>
          <w:szCs w:val="20"/>
          <w:lang w:val="es-ES_tradnl" w:eastAsia="es-ES"/>
        </w:rPr>
        <w:t xml:space="preserve">Esto significa que </w:t>
      </w:r>
      <w:r w:rsidRPr="000F4325">
        <w:rPr>
          <w:rFonts w:ascii="Verdana" w:hAnsi="Verdana" w:cs="Arial"/>
          <w:sz w:val="20"/>
          <w:szCs w:val="20"/>
          <w:lang w:eastAsia="es-ES"/>
        </w:rPr>
        <w:t xml:space="preserve">la experiencia registrada en el Registro Único de Proponentes (RUP) debe clasificarse conforme a dos criterios esenciales: el objeto del contrato y su valor económico, expresado en salarios mínimos legales mensuales vigentes (SMLMV), lo cual implica que </w:t>
      </w:r>
      <w:r w:rsidRPr="000F4325">
        <w:rPr>
          <w:rFonts w:ascii="Verdana" w:hAnsi="Verdana" w:cs="Arial"/>
          <w:sz w:val="20"/>
          <w:szCs w:val="20"/>
          <w:lang w:eastAsia="es-ES"/>
        </w:rPr>
        <w:lastRenderedPageBreak/>
        <w:t>la experiencia acreditada en el RUP debe derivarse de contratos que hayan generado una contraprestación económica, permitiendo su cuantificación.</w:t>
      </w:r>
    </w:p>
    <w:p w14:paraId="750CFB55" w14:textId="77777777" w:rsidR="00F01D3E" w:rsidRPr="000F4325" w:rsidRDefault="00F01D3E" w:rsidP="00F01D3E">
      <w:pPr>
        <w:spacing w:after="0" w:line="240" w:lineRule="auto"/>
        <w:jc w:val="both"/>
        <w:rPr>
          <w:rFonts w:ascii="Verdana" w:hAnsi="Verdana" w:cs="Arial"/>
          <w:sz w:val="20"/>
          <w:szCs w:val="20"/>
          <w:lang w:eastAsia="es-ES"/>
        </w:rPr>
      </w:pPr>
    </w:p>
    <w:p w14:paraId="0E12CF16" w14:textId="77777777" w:rsidR="00F01D3E" w:rsidRPr="000F4325" w:rsidRDefault="00F01D3E" w:rsidP="00F01D3E">
      <w:pPr>
        <w:spacing w:after="0" w:line="240" w:lineRule="auto"/>
        <w:jc w:val="both"/>
        <w:rPr>
          <w:rFonts w:ascii="Verdana" w:hAnsi="Verdana" w:cs="Arial"/>
          <w:sz w:val="20"/>
          <w:szCs w:val="20"/>
          <w:lang w:val="es-ES_tradnl" w:eastAsia="es-ES"/>
        </w:rPr>
      </w:pPr>
      <w:r w:rsidRPr="000F4325">
        <w:rPr>
          <w:rFonts w:ascii="Verdana" w:hAnsi="Verdana" w:cs="Arial"/>
          <w:sz w:val="20"/>
          <w:szCs w:val="20"/>
          <w:lang w:eastAsia="es-ES"/>
        </w:rPr>
        <w:t xml:space="preserve">Esta exigencia de la experiencia hechas por las Cámaras de Comercio implica que la experiencia que establezca las entidades estatales en procesos de contratación, donde sea obligatoria el RUP debe ser coherente a esta, es decir, atender a los Códigos de Clasificación de Bienes y Servicios en el tener nivel y su valor cuantificado en SMMLV. </w:t>
      </w:r>
      <w:r w:rsidRPr="000F4325">
        <w:rPr>
          <w:rFonts w:ascii="Verdana" w:hAnsi="Verdana" w:cs="Arial"/>
          <w:sz w:val="20"/>
          <w:szCs w:val="20"/>
          <w:lang w:val="es-ES" w:eastAsia="es-ES"/>
        </w:rPr>
        <w:t xml:space="preserve">En estos términos, para efectos de evaluar la experiencia en los pliegos de condiciones, </w:t>
      </w:r>
      <w:r w:rsidRPr="000F4325">
        <w:rPr>
          <w:rFonts w:ascii="Verdana" w:hAnsi="Verdana" w:cs="Arial"/>
          <w:sz w:val="20"/>
          <w:szCs w:val="20"/>
          <w:lang w:val="es-ES_tradnl" w:eastAsia="es-ES"/>
        </w:rPr>
        <w:t xml:space="preserve">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 expresada en SMMLV </w:t>
      </w:r>
      <w:r w:rsidRPr="000F4325">
        <w:rPr>
          <w:rFonts w:ascii="Verdana" w:hAnsi="Verdana" w:cs="Arial"/>
          <w:sz w:val="20"/>
          <w:szCs w:val="20"/>
          <w:lang w:eastAsia="es-ES"/>
        </w:rPr>
        <w:t>[</w:t>
      </w:r>
      <w:r w:rsidRPr="000F4325">
        <w:rPr>
          <w:rFonts w:ascii="Verdana" w:hAnsi="Verdana" w:cs="Arial"/>
          <w:sz w:val="20"/>
          <w:szCs w:val="20"/>
          <w:lang w:val="es-ES" w:eastAsia="es-ES"/>
        </w:rPr>
        <w:t>…]</w:t>
      </w:r>
    </w:p>
    <w:p w14:paraId="029F455B" w14:textId="77777777" w:rsidR="00F01D3E" w:rsidRPr="005A40BB" w:rsidRDefault="00F01D3E" w:rsidP="00F01D3E">
      <w:pPr>
        <w:spacing w:after="0"/>
        <w:rPr>
          <w:rFonts w:ascii="Verdana" w:hAnsi="Verdana" w:cs="Arial"/>
          <w:b/>
          <w:lang w:val="es-ES_tradnl" w:eastAsia="es-ES"/>
        </w:rPr>
      </w:pPr>
    </w:p>
    <w:p w14:paraId="333456AD" w14:textId="77777777" w:rsidR="00F01D3E" w:rsidRPr="005A40BB" w:rsidRDefault="00F01D3E" w:rsidP="00F01D3E">
      <w:pPr>
        <w:spacing w:after="0"/>
        <w:rPr>
          <w:rFonts w:ascii="Verdana" w:hAnsi="Verdana" w:cs="Arial"/>
          <w:b/>
          <w:lang w:val="es-ES" w:eastAsia="es-ES"/>
        </w:rPr>
      </w:pPr>
      <w:r w:rsidRPr="005A40BB">
        <w:rPr>
          <w:rFonts w:ascii="Verdana" w:hAnsi="Verdana" w:cs="Arial"/>
          <w:b/>
          <w:lang w:val="es-ES" w:eastAsia="es-ES"/>
        </w:rPr>
        <w:t xml:space="preserve">EXPERIENCIA – Expresada en SMMLV – Estandarización </w:t>
      </w:r>
    </w:p>
    <w:p w14:paraId="79EE018A" w14:textId="77777777" w:rsidR="00F01D3E" w:rsidRPr="005A40BB" w:rsidRDefault="00F01D3E" w:rsidP="00F01D3E">
      <w:pPr>
        <w:spacing w:after="0"/>
        <w:rPr>
          <w:rFonts w:ascii="Verdana" w:hAnsi="Verdana" w:cs="Arial"/>
          <w:b/>
          <w:lang w:val="es-ES" w:eastAsia="es-ES"/>
        </w:rPr>
      </w:pPr>
    </w:p>
    <w:p w14:paraId="3ABE020B" w14:textId="77777777" w:rsidR="00F01D3E" w:rsidRPr="005A40BB" w:rsidRDefault="00F01D3E" w:rsidP="00F01D3E">
      <w:pPr>
        <w:spacing w:after="0" w:line="240" w:lineRule="auto"/>
        <w:jc w:val="both"/>
        <w:rPr>
          <w:rFonts w:ascii="Verdana" w:hAnsi="Verdana" w:cs="Arial"/>
          <w:sz w:val="20"/>
          <w:lang w:eastAsia="es-ES"/>
        </w:rPr>
      </w:pPr>
      <w:r w:rsidRPr="000F4325">
        <w:rPr>
          <w:rFonts w:ascii="Verdana" w:hAnsi="Verdana" w:cs="Arial"/>
          <w:sz w:val="20"/>
          <w:szCs w:val="20"/>
          <w:lang w:eastAsia="es-ES"/>
        </w:rPr>
        <w:t>[</w:t>
      </w:r>
      <w:r w:rsidRPr="000F4325">
        <w:rPr>
          <w:rFonts w:ascii="Verdana" w:hAnsi="Verdana" w:cs="Arial"/>
          <w:sz w:val="20"/>
          <w:szCs w:val="20"/>
          <w:lang w:val="es-ES" w:eastAsia="es-ES"/>
        </w:rPr>
        <w:t>…]</w:t>
      </w:r>
      <w:r>
        <w:rPr>
          <w:rFonts w:ascii="Verdana" w:hAnsi="Verdana" w:cs="Arial"/>
          <w:sz w:val="20"/>
          <w:szCs w:val="20"/>
          <w:lang w:val="es-ES" w:eastAsia="es-ES"/>
        </w:rPr>
        <w:t xml:space="preserve"> </w:t>
      </w:r>
      <w:r w:rsidRPr="005A40BB">
        <w:rPr>
          <w:rFonts w:ascii="Verdana" w:hAnsi="Verdana" w:cs="Arial"/>
          <w:sz w:val="20"/>
          <w:lang w:eastAsia="es-ES"/>
        </w:rPr>
        <w:t>En torno a la necesidad de que la experiencia contractual sea expresada salarios mínimos mensuales legales vigentes (SMLMV) se usa como un parámetro técnico para evaluar y comparar la capacidad de un contratista en procesos de contratación estatal, posibilitando establecer un estándar objetivo frente a la fluctuación del valor de la moneda dentro del mercado. Esto, facilita la comparación de manera justa la experiencia de diferentes oferentes, ya que el valor de los SMLMV cambia anualmente, estandarizando la experiencia requerida en un momento determinado.</w:t>
      </w:r>
      <w:r>
        <w:rPr>
          <w:rFonts w:ascii="Verdana" w:hAnsi="Verdana" w:cs="Arial"/>
          <w:sz w:val="20"/>
          <w:lang w:eastAsia="es-ES"/>
        </w:rPr>
        <w:t xml:space="preserve"> </w:t>
      </w:r>
      <w:r w:rsidRPr="000F4325">
        <w:rPr>
          <w:rFonts w:ascii="Verdana" w:hAnsi="Verdana" w:cs="Arial"/>
          <w:sz w:val="20"/>
          <w:szCs w:val="20"/>
          <w:lang w:eastAsia="es-ES"/>
        </w:rPr>
        <w:t>[</w:t>
      </w:r>
      <w:r w:rsidRPr="000F4325">
        <w:rPr>
          <w:rFonts w:ascii="Verdana" w:hAnsi="Verdana" w:cs="Arial"/>
          <w:sz w:val="20"/>
          <w:szCs w:val="20"/>
          <w:lang w:val="es-ES" w:eastAsia="es-ES"/>
        </w:rPr>
        <w:t>…]</w:t>
      </w:r>
    </w:p>
    <w:p w14:paraId="26614407" w14:textId="77777777" w:rsidR="00F01D3E" w:rsidRPr="005A40BB" w:rsidRDefault="00F01D3E" w:rsidP="00F01D3E">
      <w:pPr>
        <w:spacing w:after="0"/>
        <w:rPr>
          <w:rFonts w:ascii="Verdana" w:hAnsi="Verdana"/>
        </w:rPr>
      </w:pPr>
    </w:p>
    <w:p w14:paraId="7C7B86D3" w14:textId="77777777" w:rsidR="00F01D3E" w:rsidRPr="005A40BB" w:rsidRDefault="00F01D3E" w:rsidP="00F01D3E">
      <w:pPr>
        <w:spacing w:after="0"/>
        <w:rPr>
          <w:rFonts w:ascii="Verdana" w:hAnsi="Verdana"/>
        </w:rPr>
      </w:pPr>
    </w:p>
    <w:p w14:paraId="29F03507" w14:textId="77777777" w:rsidR="00F01D3E" w:rsidRPr="001D24F1" w:rsidRDefault="00F01D3E" w:rsidP="00F01D3E">
      <w:pPr>
        <w:spacing w:after="0"/>
        <w:rPr>
          <w:rFonts w:ascii="Verdana" w:hAnsi="Verdana"/>
          <w:color w:val="EE0000"/>
        </w:rPr>
      </w:pPr>
    </w:p>
    <w:p w14:paraId="7F2F286D" w14:textId="77777777" w:rsidR="00F01D3E" w:rsidRDefault="00F01D3E" w:rsidP="00F01D3E">
      <w:pPr>
        <w:spacing w:after="0"/>
        <w:rPr>
          <w:rFonts w:ascii="Verdana" w:hAnsi="Verdana"/>
          <w:color w:val="EE0000"/>
        </w:rPr>
      </w:pPr>
    </w:p>
    <w:p w14:paraId="4F2EEA76" w14:textId="77777777" w:rsidR="00F01D3E" w:rsidRDefault="00F01D3E" w:rsidP="00F01D3E">
      <w:pPr>
        <w:spacing w:after="0"/>
        <w:rPr>
          <w:rFonts w:ascii="Verdana" w:hAnsi="Verdana"/>
          <w:color w:val="EE0000"/>
        </w:rPr>
      </w:pPr>
    </w:p>
    <w:p w14:paraId="55E59D4A" w14:textId="77777777" w:rsidR="00F01D3E" w:rsidRDefault="00F01D3E" w:rsidP="00F01D3E">
      <w:pPr>
        <w:spacing w:after="0"/>
        <w:rPr>
          <w:rFonts w:ascii="Verdana" w:hAnsi="Verdana"/>
          <w:color w:val="EE0000"/>
        </w:rPr>
      </w:pPr>
    </w:p>
    <w:p w14:paraId="64CFF35A" w14:textId="77777777" w:rsidR="00F01D3E" w:rsidRDefault="00F01D3E" w:rsidP="00F01D3E">
      <w:pPr>
        <w:spacing w:after="0"/>
        <w:rPr>
          <w:rFonts w:ascii="Verdana" w:hAnsi="Verdana"/>
          <w:color w:val="EE0000"/>
        </w:rPr>
      </w:pPr>
    </w:p>
    <w:p w14:paraId="18B7AAE0" w14:textId="77777777" w:rsidR="00F01D3E" w:rsidRDefault="00F01D3E" w:rsidP="00F01D3E">
      <w:pPr>
        <w:spacing w:after="0"/>
        <w:rPr>
          <w:rFonts w:ascii="Verdana" w:hAnsi="Verdana"/>
          <w:color w:val="EE0000"/>
        </w:rPr>
      </w:pPr>
    </w:p>
    <w:p w14:paraId="59230B6C" w14:textId="77777777" w:rsidR="00F01D3E" w:rsidRDefault="00F01D3E" w:rsidP="00F01D3E">
      <w:pPr>
        <w:spacing w:after="0"/>
        <w:rPr>
          <w:rFonts w:ascii="Verdana" w:hAnsi="Verdana"/>
          <w:color w:val="EE0000"/>
        </w:rPr>
      </w:pPr>
    </w:p>
    <w:p w14:paraId="307A02FB" w14:textId="77777777" w:rsidR="00F01D3E" w:rsidRDefault="00F01D3E" w:rsidP="00F01D3E">
      <w:pPr>
        <w:spacing w:after="0"/>
        <w:rPr>
          <w:rFonts w:ascii="Verdana" w:hAnsi="Verdana"/>
          <w:color w:val="EE0000"/>
        </w:rPr>
      </w:pPr>
    </w:p>
    <w:p w14:paraId="53D11B5E" w14:textId="77777777" w:rsidR="00F01D3E" w:rsidRDefault="00F01D3E" w:rsidP="00F01D3E">
      <w:pPr>
        <w:spacing w:after="0"/>
        <w:rPr>
          <w:rFonts w:ascii="Verdana" w:hAnsi="Verdana"/>
          <w:color w:val="EE0000"/>
        </w:rPr>
      </w:pPr>
    </w:p>
    <w:p w14:paraId="1813CA3B" w14:textId="77777777" w:rsidR="00F01D3E" w:rsidRDefault="00F01D3E" w:rsidP="00F01D3E">
      <w:pPr>
        <w:spacing w:after="0"/>
        <w:rPr>
          <w:rFonts w:ascii="Verdana" w:hAnsi="Verdana"/>
          <w:color w:val="EE0000"/>
        </w:rPr>
      </w:pPr>
    </w:p>
    <w:p w14:paraId="4A41EE2F" w14:textId="77777777" w:rsidR="00F01D3E" w:rsidRDefault="00F01D3E" w:rsidP="00F01D3E">
      <w:pPr>
        <w:spacing w:after="0"/>
        <w:rPr>
          <w:rFonts w:ascii="Verdana" w:hAnsi="Verdana"/>
          <w:color w:val="EE0000"/>
        </w:rPr>
      </w:pPr>
    </w:p>
    <w:p w14:paraId="5E5B561E" w14:textId="77777777" w:rsidR="00F01D3E" w:rsidRDefault="00F01D3E" w:rsidP="00F01D3E">
      <w:pPr>
        <w:spacing w:after="0"/>
        <w:rPr>
          <w:rFonts w:ascii="Verdana" w:hAnsi="Verdana"/>
          <w:color w:val="EE0000"/>
        </w:rPr>
      </w:pPr>
    </w:p>
    <w:p w14:paraId="3914C6BA" w14:textId="77777777" w:rsidR="00F01D3E" w:rsidRDefault="00F01D3E" w:rsidP="00F01D3E">
      <w:pPr>
        <w:spacing w:after="0"/>
        <w:rPr>
          <w:rFonts w:ascii="Verdana" w:hAnsi="Verdana"/>
          <w:color w:val="EE0000"/>
        </w:rPr>
      </w:pPr>
    </w:p>
    <w:p w14:paraId="6559DEA2" w14:textId="77777777" w:rsidR="00F01D3E" w:rsidRDefault="00F01D3E" w:rsidP="00F01D3E">
      <w:pPr>
        <w:spacing w:after="0"/>
        <w:rPr>
          <w:rFonts w:ascii="Verdana" w:hAnsi="Verdana"/>
          <w:color w:val="EE0000"/>
        </w:rPr>
      </w:pPr>
    </w:p>
    <w:p w14:paraId="0D964F67" w14:textId="77777777" w:rsidR="00F01D3E" w:rsidRDefault="00F01D3E" w:rsidP="00F01D3E">
      <w:pPr>
        <w:spacing w:after="0"/>
        <w:rPr>
          <w:rFonts w:ascii="Verdana" w:hAnsi="Verdana"/>
          <w:color w:val="EE0000"/>
        </w:rPr>
      </w:pPr>
    </w:p>
    <w:p w14:paraId="33D09AA0" w14:textId="77777777" w:rsidR="00F01D3E" w:rsidRDefault="00F01D3E" w:rsidP="00F01D3E">
      <w:pPr>
        <w:spacing w:after="0"/>
        <w:rPr>
          <w:rFonts w:ascii="Verdana" w:hAnsi="Verdana"/>
          <w:color w:val="EE0000"/>
        </w:rPr>
      </w:pPr>
    </w:p>
    <w:p w14:paraId="04C42D64" w14:textId="77777777" w:rsidR="00F01D3E" w:rsidRDefault="00F01D3E" w:rsidP="00F01D3E">
      <w:pPr>
        <w:spacing w:after="0"/>
        <w:rPr>
          <w:rFonts w:ascii="Verdana" w:hAnsi="Verdana"/>
          <w:color w:val="EE0000"/>
        </w:rPr>
      </w:pPr>
    </w:p>
    <w:p w14:paraId="11B83980" w14:textId="0BCB9AB4" w:rsidR="006B096E" w:rsidRDefault="004E0F58" w:rsidP="00F102FE">
      <w:pPr>
        <w:spacing w:after="0" w:line="240" w:lineRule="auto"/>
        <w:jc w:val="both"/>
        <w:rPr>
          <w:rFonts w:ascii="Verdana" w:eastAsia="Verdana" w:hAnsi="Verdana" w:cs="Verdana"/>
        </w:rPr>
      </w:pPr>
      <w:r>
        <w:rPr>
          <w:rFonts w:ascii="Verdana" w:eastAsia="Verdana" w:hAnsi="Verdana" w:cs="Verdana"/>
        </w:rPr>
        <w:t xml:space="preserve">                                                          </w:t>
      </w:r>
    </w:p>
    <w:p w14:paraId="73346C09" w14:textId="77777777" w:rsidR="00D820A1" w:rsidRDefault="00D820A1" w:rsidP="00F102FE">
      <w:pPr>
        <w:spacing w:after="0" w:line="240" w:lineRule="auto"/>
        <w:jc w:val="both"/>
        <w:rPr>
          <w:rFonts w:ascii="Verdana" w:eastAsia="Verdana" w:hAnsi="Verdana" w:cs="Verdana"/>
        </w:rPr>
      </w:pPr>
    </w:p>
    <w:p w14:paraId="4CBDB149" w14:textId="77777777" w:rsidR="00D820A1" w:rsidRDefault="00D820A1" w:rsidP="00F102FE">
      <w:pPr>
        <w:spacing w:after="0" w:line="240" w:lineRule="auto"/>
        <w:jc w:val="both"/>
        <w:rPr>
          <w:rFonts w:ascii="Verdana" w:eastAsia="Verdana" w:hAnsi="Verdana" w:cs="Verdana"/>
        </w:rPr>
      </w:pPr>
    </w:p>
    <w:p w14:paraId="32A93799" w14:textId="3D21977F" w:rsidR="00F01D3E" w:rsidRPr="00F102FE" w:rsidRDefault="00F102FE" w:rsidP="00F102FE">
      <w:pPr>
        <w:spacing w:after="0" w:line="240" w:lineRule="auto"/>
        <w:jc w:val="both"/>
        <w:rPr>
          <w:rFonts w:ascii="Verdana" w:eastAsia="Verdana" w:hAnsi="Verdana" w:cs="Verdana"/>
        </w:rPr>
      </w:pPr>
      <w:r w:rsidRPr="005B6B4C">
        <w:rPr>
          <w:rFonts w:ascii="Verdana" w:eastAsia="Verdana" w:hAnsi="Verdana" w:cs="Verdana"/>
        </w:rPr>
        <w:lastRenderedPageBreak/>
        <w:t xml:space="preserve">Bogotá D.C., </w:t>
      </w:r>
      <w:r>
        <w:rPr>
          <w:rFonts w:ascii="Verdana" w:eastAsia="Verdana" w:hAnsi="Verdana" w:cs="Verdana"/>
        </w:rPr>
        <w:t>14</w:t>
      </w:r>
      <w:r w:rsidRPr="005B6B4C">
        <w:rPr>
          <w:rFonts w:ascii="Verdana" w:eastAsia="Verdana" w:hAnsi="Verdana" w:cs="Verdana"/>
        </w:rPr>
        <w:t xml:space="preserve"> </w:t>
      </w:r>
      <w:r w:rsidR="00F11682">
        <w:rPr>
          <w:rFonts w:ascii="Verdana" w:eastAsia="Verdana" w:hAnsi="Verdana" w:cs="Verdana"/>
        </w:rPr>
        <w:t>octubre</w:t>
      </w:r>
      <w:r>
        <w:rPr>
          <w:rFonts w:ascii="Verdana" w:eastAsia="Verdana" w:hAnsi="Verdana" w:cs="Verdana"/>
        </w:rPr>
        <w:t xml:space="preserve"> </w:t>
      </w:r>
      <w:r w:rsidRPr="005B6B4C">
        <w:rPr>
          <w:rFonts w:ascii="Verdana" w:eastAsia="Verdana" w:hAnsi="Verdana" w:cs="Verdana"/>
        </w:rPr>
        <w:t>2026</w:t>
      </w:r>
    </w:p>
    <w:p w14:paraId="048AB5FF" w14:textId="397185E9" w:rsidR="00F01D3E" w:rsidRDefault="00F11682" w:rsidP="00F01D3E">
      <w:pPr>
        <w:spacing w:after="0" w:line="240" w:lineRule="auto"/>
        <w:jc w:val="both"/>
        <w:rPr>
          <w:rFonts w:ascii="Verdana" w:hAnsi="Verdana" w:cs="Arial"/>
          <w:bCs/>
          <w:lang w:eastAsia="es-ES" w:bidi="es-ES"/>
        </w:rPr>
      </w:pPr>
      <w:bookmarkStart w:id="0" w:name="_Hlk143780582"/>
      <w:r w:rsidRPr="004E0F58">
        <w:rPr>
          <w:rFonts w:ascii="Verdana" w:eastAsia="Verdana" w:hAnsi="Verdana" w:cs="Verdana"/>
          <w:noProof/>
        </w:rPr>
        <w:drawing>
          <wp:anchor distT="0" distB="0" distL="114300" distR="114300" simplePos="0" relativeHeight="251658240" behindDoc="1" locked="0" layoutInCell="1" allowOverlap="1" wp14:anchorId="0DEF86EB" wp14:editId="4F08C70C">
            <wp:simplePos x="0" y="0"/>
            <wp:positionH relativeFrom="column">
              <wp:posOffset>3262630</wp:posOffset>
            </wp:positionH>
            <wp:positionV relativeFrom="paragraph">
              <wp:posOffset>94615</wp:posOffset>
            </wp:positionV>
            <wp:extent cx="2487930" cy="690245"/>
            <wp:effectExtent l="0" t="0" r="7620" b="0"/>
            <wp:wrapTight wrapText="bothSides">
              <wp:wrapPolygon edited="0">
                <wp:start x="0" y="0"/>
                <wp:lineTo x="0" y="20865"/>
                <wp:lineTo x="21501" y="20865"/>
                <wp:lineTo x="21501" y="0"/>
                <wp:lineTo x="0" y="0"/>
              </wp:wrapPolygon>
            </wp:wrapTight>
            <wp:docPr id="3969848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7930" cy="690245"/>
                    </a:xfrm>
                    <a:prstGeom prst="rect">
                      <a:avLst/>
                    </a:prstGeom>
                    <a:noFill/>
                    <a:ln>
                      <a:noFill/>
                    </a:ln>
                  </pic:spPr>
                </pic:pic>
              </a:graphicData>
            </a:graphic>
          </wp:anchor>
        </w:drawing>
      </w:r>
    </w:p>
    <w:p w14:paraId="09256C5F" w14:textId="0DECCB20" w:rsidR="00F11682" w:rsidRDefault="00F11682" w:rsidP="00F01D3E">
      <w:pPr>
        <w:spacing w:after="0" w:line="240" w:lineRule="auto"/>
        <w:jc w:val="both"/>
        <w:rPr>
          <w:rFonts w:ascii="Verdana" w:hAnsi="Verdana" w:cs="Arial"/>
          <w:bCs/>
          <w:lang w:eastAsia="es-ES" w:bidi="es-ES"/>
        </w:rPr>
      </w:pPr>
    </w:p>
    <w:p w14:paraId="5874A784" w14:textId="5B612912" w:rsidR="00F01D3E" w:rsidRDefault="00F01D3E" w:rsidP="00F01D3E">
      <w:pPr>
        <w:spacing w:after="0" w:line="240" w:lineRule="auto"/>
        <w:jc w:val="both"/>
        <w:rPr>
          <w:rFonts w:ascii="Verdana" w:hAnsi="Verdana" w:cs="Arial"/>
          <w:bCs/>
          <w:lang w:eastAsia="es-ES" w:bidi="es-ES"/>
        </w:rPr>
      </w:pPr>
      <w:r w:rsidRPr="00DD681C">
        <w:rPr>
          <w:rFonts w:ascii="Verdana" w:hAnsi="Verdana" w:cs="Arial"/>
          <w:bCs/>
          <w:lang w:eastAsia="es-ES" w:bidi="es-ES"/>
        </w:rPr>
        <w:t>Señor</w:t>
      </w:r>
    </w:p>
    <w:p w14:paraId="0E4B4F6B" w14:textId="77777777" w:rsidR="00F01D3E" w:rsidRPr="005B5B4A" w:rsidRDefault="00F01D3E" w:rsidP="00F01D3E">
      <w:pPr>
        <w:spacing w:after="0" w:line="240" w:lineRule="auto"/>
        <w:jc w:val="both"/>
        <w:rPr>
          <w:rFonts w:ascii="Verdana" w:hAnsi="Verdana" w:cs="Arial"/>
          <w:b/>
          <w:lang w:eastAsia="es-ES" w:bidi="es-ES"/>
        </w:rPr>
      </w:pPr>
      <w:r w:rsidRPr="005B5B4A">
        <w:rPr>
          <w:rFonts w:ascii="Verdana" w:hAnsi="Verdana" w:cs="Arial"/>
          <w:b/>
          <w:lang w:eastAsia="es-ES" w:bidi="es-ES"/>
        </w:rPr>
        <w:t>Peticionario Anónimo</w:t>
      </w:r>
    </w:p>
    <w:p w14:paraId="7A3274E3" w14:textId="77777777" w:rsidR="00F01D3E" w:rsidRPr="005B5B4A" w:rsidRDefault="00F01D3E" w:rsidP="00F01D3E">
      <w:pPr>
        <w:spacing w:after="0" w:line="240" w:lineRule="auto"/>
        <w:jc w:val="both"/>
        <w:rPr>
          <w:rFonts w:ascii="Verdana" w:eastAsia="Times New Roman" w:hAnsi="Verdana" w:cs="Calibri"/>
          <w:lang w:eastAsia="es-CO"/>
        </w:rPr>
      </w:pPr>
      <w:hyperlink r:id="rId11" w:history="1">
        <w:r w:rsidRPr="005B5B4A">
          <w:rPr>
            <w:rStyle w:val="Hipervnculo"/>
            <w:rFonts w:ascii="Verdana" w:eastAsia="Times New Roman" w:hAnsi="Verdana" w:cs="Calibri"/>
            <w:color w:val="auto"/>
            <w:u w:val="none"/>
            <w:lang w:eastAsia="es-CO"/>
          </w:rPr>
          <w:t>juroc4@gmail.com</w:t>
        </w:r>
      </w:hyperlink>
    </w:p>
    <w:p w14:paraId="7CBB316E" w14:textId="77777777" w:rsidR="00F01D3E" w:rsidRPr="008268C0" w:rsidRDefault="00F01D3E" w:rsidP="00F01D3E">
      <w:pPr>
        <w:spacing w:after="0" w:line="240" w:lineRule="auto"/>
        <w:jc w:val="both"/>
        <w:rPr>
          <w:rFonts w:ascii="Verdana" w:eastAsia="Times New Roman" w:hAnsi="Verdana" w:cs="Calibri"/>
          <w:lang w:eastAsia="es-CO"/>
        </w:rPr>
      </w:pPr>
      <w:r w:rsidRPr="008268C0">
        <w:rPr>
          <w:rFonts w:ascii="Verdana" w:eastAsia="Times New Roman" w:hAnsi="Verdana" w:cs="Calibri"/>
          <w:lang w:eastAsia="es-CO"/>
        </w:rPr>
        <w:t>Ciudad</w:t>
      </w:r>
    </w:p>
    <w:p w14:paraId="34644AAA" w14:textId="77777777" w:rsidR="00F01D3E" w:rsidRPr="00447B41" w:rsidRDefault="00F01D3E" w:rsidP="00F01D3E">
      <w:pPr>
        <w:spacing w:after="0"/>
        <w:rPr>
          <w:rFonts w:ascii="Verdana" w:eastAsia="Calibri" w:hAnsi="Verdana" w:cs="Arial"/>
          <w:color w:val="EE0000"/>
          <w:lang w:val="es-ES" w:eastAsia="es-ES"/>
        </w:rPr>
      </w:pPr>
    </w:p>
    <w:p w14:paraId="06911F6C" w14:textId="77777777" w:rsidR="00F01D3E" w:rsidRPr="00447B41" w:rsidRDefault="00F01D3E" w:rsidP="00F01D3E">
      <w:pPr>
        <w:spacing w:after="0" w:line="240" w:lineRule="auto"/>
        <w:rPr>
          <w:rFonts w:ascii="Verdana" w:eastAsia="Calibri" w:hAnsi="Verdana" w:cs="Arial"/>
          <w:b/>
          <w:bCs/>
          <w:color w:val="EE0000"/>
          <w:lang w:val="es-ES" w:eastAsia="es-ES"/>
        </w:rPr>
      </w:pPr>
    </w:p>
    <w:tbl>
      <w:tblPr>
        <w:tblStyle w:val="Tablaconcuadrcula"/>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F01D3E" w:rsidRPr="00447B41" w14:paraId="17189A63" w14:textId="77777777" w:rsidTr="004C6180">
        <w:trPr>
          <w:trHeight w:val="300"/>
        </w:trPr>
        <w:tc>
          <w:tcPr>
            <w:tcW w:w="2410" w:type="dxa"/>
          </w:tcPr>
          <w:p w14:paraId="086F268A" w14:textId="77777777" w:rsidR="00F01D3E" w:rsidRPr="00447B41" w:rsidRDefault="00F01D3E" w:rsidP="004C6180">
            <w:pPr>
              <w:ind w:left="-142"/>
              <w:jc w:val="both"/>
              <w:rPr>
                <w:rFonts w:ascii="Verdana" w:eastAsia="Calibri" w:hAnsi="Verdana" w:cs="Arial"/>
                <w:b/>
                <w:bCs/>
                <w:color w:val="EE0000"/>
                <w:lang w:val="es-ES" w:eastAsia="es-ES_tradnl"/>
              </w:rPr>
            </w:pPr>
          </w:p>
        </w:tc>
        <w:tc>
          <w:tcPr>
            <w:tcW w:w="6379" w:type="dxa"/>
          </w:tcPr>
          <w:p w14:paraId="2B26275E" w14:textId="77777777" w:rsidR="00F01D3E" w:rsidRPr="00C64924" w:rsidRDefault="00F01D3E" w:rsidP="004C6180">
            <w:pPr>
              <w:ind w:left="3"/>
              <w:jc w:val="both"/>
              <w:rPr>
                <w:rFonts w:ascii="Verdana" w:eastAsia="Calibri" w:hAnsi="Verdana" w:cs="Arial"/>
                <w:b/>
                <w:bCs/>
                <w:lang w:val="es-ES" w:eastAsia="es-ES"/>
              </w:rPr>
            </w:pPr>
            <w:r w:rsidRPr="00C64924">
              <w:rPr>
                <w:rFonts w:ascii="Verdana" w:eastAsia="Calibri" w:hAnsi="Verdana" w:cs="Arial"/>
                <w:b/>
                <w:bCs/>
                <w:lang w:val="es-ES" w:eastAsia="es-ES"/>
              </w:rPr>
              <w:t>Concepto C-1</w:t>
            </w:r>
            <w:r>
              <w:rPr>
                <w:rFonts w:ascii="Verdana" w:eastAsia="Calibri" w:hAnsi="Verdana" w:cs="Arial"/>
                <w:b/>
                <w:bCs/>
                <w:lang w:val="es-ES" w:eastAsia="es-ES"/>
              </w:rPr>
              <w:t>387</w:t>
            </w:r>
            <w:r w:rsidRPr="00C64924">
              <w:rPr>
                <w:rFonts w:ascii="Verdana" w:eastAsia="Calibri" w:hAnsi="Verdana" w:cs="Arial"/>
                <w:b/>
                <w:bCs/>
                <w:lang w:val="es-ES" w:eastAsia="es-ES"/>
              </w:rPr>
              <w:t xml:space="preserve"> de 2026</w:t>
            </w:r>
          </w:p>
          <w:p w14:paraId="71C11391" w14:textId="77777777" w:rsidR="00F01D3E" w:rsidRPr="00447B41" w:rsidRDefault="00F01D3E" w:rsidP="004C6180">
            <w:pPr>
              <w:ind w:left="3"/>
              <w:jc w:val="both"/>
              <w:rPr>
                <w:rFonts w:ascii="Verdana" w:eastAsia="Calibri" w:hAnsi="Verdana" w:cs="Arial"/>
                <w:b/>
                <w:bCs/>
                <w:color w:val="EE0000"/>
                <w:lang w:val="es-ES" w:eastAsia="es-ES"/>
              </w:rPr>
            </w:pPr>
          </w:p>
        </w:tc>
      </w:tr>
      <w:tr w:rsidR="00F01D3E" w:rsidRPr="00447B41" w14:paraId="15AA2DB2" w14:textId="77777777" w:rsidTr="004C6180">
        <w:trPr>
          <w:trHeight w:val="300"/>
        </w:trPr>
        <w:tc>
          <w:tcPr>
            <w:tcW w:w="2410" w:type="dxa"/>
          </w:tcPr>
          <w:p w14:paraId="25E7936B" w14:textId="77777777" w:rsidR="00F01D3E" w:rsidRPr="00447B41" w:rsidRDefault="00F01D3E" w:rsidP="004C6180">
            <w:pPr>
              <w:ind w:left="424" w:firstLine="142"/>
              <w:jc w:val="both"/>
              <w:rPr>
                <w:rFonts w:ascii="Verdana" w:eastAsia="Calibri" w:hAnsi="Verdana" w:cs="Arial"/>
                <w:color w:val="EE0000"/>
                <w:lang w:val="es-ES" w:eastAsia="es-ES_tradnl"/>
              </w:rPr>
            </w:pPr>
            <w:r w:rsidRPr="00287628">
              <w:rPr>
                <w:rFonts w:ascii="Verdana" w:eastAsia="Calibri" w:hAnsi="Verdana" w:cs="Arial"/>
                <w:b/>
                <w:lang w:val="es-ES" w:eastAsia="es-ES_tradnl"/>
              </w:rPr>
              <w:t>Temas:</w:t>
            </w:r>
            <w:r w:rsidRPr="00287628">
              <w:rPr>
                <w:rFonts w:ascii="Verdana" w:eastAsia="Calibri" w:hAnsi="Verdana" w:cs="Arial"/>
                <w:lang w:val="es-ES" w:eastAsia="es-ES_tradnl"/>
              </w:rPr>
              <w:t xml:space="preserve">                  </w:t>
            </w:r>
          </w:p>
        </w:tc>
        <w:tc>
          <w:tcPr>
            <w:tcW w:w="6379" w:type="dxa"/>
          </w:tcPr>
          <w:p w14:paraId="400F4657" w14:textId="77777777" w:rsidR="00F01D3E" w:rsidRPr="008F0B44" w:rsidRDefault="00F01D3E" w:rsidP="004C6180">
            <w:pPr>
              <w:jc w:val="both"/>
              <w:rPr>
                <w:rFonts w:ascii="Verdana" w:hAnsi="Verdana" w:cs="Arial"/>
                <w:b/>
                <w:color w:val="EE0000"/>
                <w:lang w:val="es-ES" w:eastAsia="es-ES"/>
              </w:rPr>
            </w:pPr>
            <w:r w:rsidRPr="009A62D4">
              <w:rPr>
                <w:rFonts w:ascii="Verdana" w:eastAsia="Times New Roman" w:hAnsi="Verdana" w:cs="Arial"/>
                <w:lang w:eastAsia="es-ES_tradnl"/>
              </w:rPr>
              <w:t xml:space="preserve">REQUISITOS HABILITANTES – Noción – Fundamento normativo </w:t>
            </w:r>
            <w:r w:rsidRPr="004A1615">
              <w:rPr>
                <w:rFonts w:ascii="Verdana" w:hAnsi="Verdana" w:cs="Arial"/>
                <w:lang w:val="es-ES_tradnl"/>
              </w:rPr>
              <w:t xml:space="preserve">/ </w:t>
            </w:r>
            <w:r w:rsidRPr="004A1615">
              <w:rPr>
                <w:rFonts w:ascii="Verdana" w:hAnsi="Verdana" w:cs="Arial"/>
                <w:bCs/>
                <w:lang w:val="es-ES" w:eastAsia="es-ES"/>
              </w:rPr>
              <w:t xml:space="preserve">REQUISITO HABILITANTE – Experiencia - Verificación </w:t>
            </w:r>
            <w:r w:rsidRPr="004A1615">
              <w:rPr>
                <w:rFonts w:ascii="Verdana" w:hAnsi="Verdana" w:cs="Arial"/>
                <w:lang w:val="es-ES_tradnl"/>
              </w:rPr>
              <w:t xml:space="preserve">/ </w:t>
            </w:r>
            <w:r w:rsidRPr="000F4325">
              <w:rPr>
                <w:rFonts w:ascii="Verdana" w:hAnsi="Verdana" w:cs="Arial"/>
                <w:lang w:val="es-ES_tradnl"/>
              </w:rPr>
              <w:t>REQUISITO HABILITANTE - Experiencia – Código Clasificador de Bienes y Servicios - Acreditación del Valor de los Contratos</w:t>
            </w:r>
            <w:r>
              <w:rPr>
                <w:rFonts w:ascii="Verdana" w:hAnsi="Verdana" w:cs="Arial"/>
                <w:lang w:val="es-ES_tradnl"/>
              </w:rPr>
              <w:t xml:space="preserve"> /</w:t>
            </w:r>
            <w:r>
              <w:t xml:space="preserve"> </w:t>
            </w:r>
            <w:r w:rsidRPr="005A40BB">
              <w:rPr>
                <w:rFonts w:ascii="Verdana" w:hAnsi="Verdana" w:cs="Arial"/>
                <w:lang w:val="es-ES_tradnl"/>
              </w:rPr>
              <w:t xml:space="preserve">EXPERIENCIA – Expresada en SMMLV – Estandarización </w:t>
            </w:r>
            <w:r>
              <w:rPr>
                <w:rFonts w:ascii="Verdana" w:hAnsi="Verdana" w:cs="Arial"/>
                <w:lang w:val="es-ES_tradnl"/>
              </w:rPr>
              <w:t xml:space="preserve"> </w:t>
            </w:r>
          </w:p>
          <w:p w14:paraId="250A429C" w14:textId="77777777" w:rsidR="00F01D3E" w:rsidRPr="008F0B44" w:rsidRDefault="00F01D3E" w:rsidP="004C6180">
            <w:pPr>
              <w:contextualSpacing/>
              <w:jc w:val="both"/>
              <w:rPr>
                <w:rFonts w:ascii="Verdana" w:eastAsia="Calibri" w:hAnsi="Verdana" w:cs="Arial"/>
                <w:color w:val="EE0000"/>
              </w:rPr>
            </w:pPr>
          </w:p>
        </w:tc>
      </w:tr>
      <w:tr w:rsidR="00F01D3E" w:rsidRPr="00447B41" w14:paraId="0A1D5412" w14:textId="77777777" w:rsidTr="004C6180">
        <w:trPr>
          <w:trHeight w:val="350"/>
        </w:trPr>
        <w:tc>
          <w:tcPr>
            <w:tcW w:w="2410" w:type="dxa"/>
          </w:tcPr>
          <w:p w14:paraId="3CA7C308" w14:textId="77777777" w:rsidR="00F01D3E" w:rsidRPr="00C64924" w:rsidRDefault="00F01D3E" w:rsidP="004C6180">
            <w:pPr>
              <w:ind w:left="561"/>
              <w:jc w:val="both"/>
              <w:rPr>
                <w:rFonts w:ascii="Verdana" w:eastAsia="Calibri" w:hAnsi="Verdana" w:cs="Arial"/>
                <w:b/>
                <w:lang w:val="es-ES" w:eastAsia="es-ES_tradnl"/>
              </w:rPr>
            </w:pPr>
            <w:r w:rsidRPr="00C64924">
              <w:rPr>
                <w:rFonts w:ascii="Verdana" w:eastAsia="Calibri" w:hAnsi="Verdana" w:cs="Arial"/>
                <w:b/>
                <w:lang w:val="es-ES" w:eastAsia="es-ES_tradnl"/>
              </w:rPr>
              <w:t>Radicación:</w:t>
            </w:r>
            <w:r w:rsidRPr="00C64924">
              <w:rPr>
                <w:rFonts w:ascii="Verdana" w:eastAsia="Calibri" w:hAnsi="Verdana" w:cs="Arial"/>
                <w:lang w:val="es-ES" w:eastAsia="es-ES_tradnl"/>
              </w:rPr>
              <w:t xml:space="preserve">              </w:t>
            </w:r>
          </w:p>
        </w:tc>
        <w:tc>
          <w:tcPr>
            <w:tcW w:w="6379" w:type="dxa"/>
          </w:tcPr>
          <w:p w14:paraId="0AF1DAAF" w14:textId="77777777" w:rsidR="00F01D3E" w:rsidRPr="00C64924" w:rsidRDefault="00F01D3E" w:rsidP="004C6180">
            <w:pPr>
              <w:ind w:left="3"/>
              <w:jc w:val="both"/>
              <w:rPr>
                <w:rFonts w:ascii="Verdana" w:eastAsia="Calibri" w:hAnsi="Verdana" w:cs="Arial"/>
                <w:lang w:val="es-ES" w:eastAsia="es-ES"/>
              </w:rPr>
            </w:pPr>
            <w:r w:rsidRPr="00C64924">
              <w:rPr>
                <w:rFonts w:ascii="Verdana" w:eastAsia="Calibri" w:hAnsi="Verdana" w:cs="Arial"/>
                <w:lang w:val="es-ES" w:eastAsia="es-ES"/>
              </w:rPr>
              <w:t>Respuesta a consulta con radicado No.</w:t>
            </w:r>
            <w:r>
              <w:rPr>
                <w:rFonts w:ascii="Verdana" w:hAnsi="Verdana" w:cs="Calibri"/>
                <w:color w:val="000000"/>
              </w:rPr>
              <w:t xml:space="preserve"> 1_2026_09_04_011769</w:t>
            </w:r>
          </w:p>
          <w:p w14:paraId="7B5F17B4" w14:textId="77777777" w:rsidR="00F01D3E" w:rsidRPr="00C64924" w:rsidRDefault="00F01D3E" w:rsidP="004C6180">
            <w:pPr>
              <w:ind w:left="3"/>
              <w:jc w:val="both"/>
              <w:rPr>
                <w:rFonts w:ascii="Verdana" w:hAnsi="Verdana"/>
                <w:lang w:val="es-ES"/>
              </w:rPr>
            </w:pPr>
          </w:p>
        </w:tc>
      </w:tr>
      <w:tr w:rsidR="00F01D3E" w:rsidRPr="00447B41" w14:paraId="35087127" w14:textId="77777777" w:rsidTr="004C6180">
        <w:trPr>
          <w:trHeight w:val="350"/>
        </w:trPr>
        <w:tc>
          <w:tcPr>
            <w:tcW w:w="2410" w:type="dxa"/>
          </w:tcPr>
          <w:p w14:paraId="222EFDCC" w14:textId="77777777" w:rsidR="00F01D3E" w:rsidRPr="00447B41" w:rsidRDefault="00F01D3E" w:rsidP="00D820A1">
            <w:pPr>
              <w:jc w:val="both"/>
              <w:rPr>
                <w:rFonts w:ascii="Verdana" w:eastAsia="Calibri" w:hAnsi="Verdana" w:cs="Arial"/>
                <w:b/>
                <w:color w:val="EE0000"/>
                <w:lang w:val="es-ES" w:eastAsia="es-ES_tradnl"/>
              </w:rPr>
            </w:pPr>
          </w:p>
        </w:tc>
        <w:tc>
          <w:tcPr>
            <w:tcW w:w="6379" w:type="dxa"/>
          </w:tcPr>
          <w:p w14:paraId="7FCB4AFB" w14:textId="77777777" w:rsidR="00F01D3E" w:rsidRPr="00447B41" w:rsidRDefault="00F01D3E" w:rsidP="004C6180">
            <w:pPr>
              <w:ind w:left="3"/>
              <w:jc w:val="both"/>
              <w:rPr>
                <w:rFonts w:ascii="Verdana" w:eastAsia="Calibri" w:hAnsi="Verdana" w:cs="Arial"/>
                <w:color w:val="EE0000"/>
                <w:lang w:val="es-ES" w:eastAsia="es-ES"/>
              </w:rPr>
            </w:pPr>
          </w:p>
        </w:tc>
      </w:tr>
    </w:tbl>
    <w:p w14:paraId="1FE9A349" w14:textId="685D5654" w:rsidR="00F01D3E" w:rsidRPr="00287628" w:rsidRDefault="00F01D3E" w:rsidP="00F01D3E">
      <w:pPr>
        <w:spacing w:after="0" w:line="276" w:lineRule="auto"/>
        <w:jc w:val="both"/>
        <w:rPr>
          <w:rFonts w:ascii="Verdana" w:eastAsia="Calibri" w:hAnsi="Verdana" w:cs="Arial"/>
          <w:lang w:val="es-ES" w:eastAsia="es-ES"/>
        </w:rPr>
      </w:pPr>
      <w:r w:rsidRPr="00287628">
        <w:rPr>
          <w:rFonts w:ascii="Verdana" w:eastAsia="Calibri" w:hAnsi="Verdana" w:cs="Arial"/>
          <w:lang w:val="es-ES" w:eastAsia="es-ES"/>
        </w:rPr>
        <w:t>Estima</w:t>
      </w:r>
      <w:r>
        <w:rPr>
          <w:rFonts w:ascii="Verdana" w:eastAsia="Calibri" w:hAnsi="Verdana" w:cs="Arial"/>
          <w:lang w:val="es-ES" w:eastAsia="es-ES"/>
        </w:rPr>
        <w:t>do Peticionario</w:t>
      </w:r>
      <w:r w:rsidR="00F102FE">
        <w:rPr>
          <w:rFonts w:ascii="Verdana" w:eastAsia="Calibri" w:hAnsi="Verdana" w:cs="Arial"/>
          <w:lang w:val="es-ES" w:eastAsia="es-ES"/>
        </w:rPr>
        <w:t xml:space="preserve"> </w:t>
      </w:r>
      <w:r w:rsidR="00D820A1">
        <w:rPr>
          <w:rFonts w:ascii="Verdana" w:eastAsia="Calibri" w:hAnsi="Verdana" w:cs="Arial"/>
          <w:lang w:val="es-ES" w:eastAsia="es-ES"/>
        </w:rPr>
        <w:t>Anónimo:</w:t>
      </w:r>
    </w:p>
    <w:p w14:paraId="6129F13F" w14:textId="77777777" w:rsidR="00F01D3E" w:rsidRPr="00447B41" w:rsidRDefault="00F01D3E" w:rsidP="00F01D3E">
      <w:pPr>
        <w:tabs>
          <w:tab w:val="left" w:pos="3768"/>
        </w:tabs>
        <w:spacing w:after="0" w:line="276" w:lineRule="auto"/>
        <w:jc w:val="both"/>
        <w:rPr>
          <w:rFonts w:ascii="Verdana" w:eastAsia="Calibri" w:hAnsi="Verdana" w:cs="Arial"/>
          <w:color w:val="EE0000"/>
          <w:lang w:val="es-ES" w:eastAsia="es-ES"/>
        </w:rPr>
      </w:pPr>
      <w:r w:rsidRPr="00447B41">
        <w:rPr>
          <w:rFonts w:ascii="Verdana" w:eastAsia="Calibri" w:hAnsi="Verdana" w:cs="Arial"/>
          <w:color w:val="EE0000"/>
          <w:lang w:val="es-ES" w:eastAsia="es-ES"/>
        </w:rPr>
        <w:tab/>
      </w:r>
    </w:p>
    <w:p w14:paraId="2118F3E7" w14:textId="77777777" w:rsidR="00F01D3E" w:rsidRPr="0033367D" w:rsidRDefault="00F01D3E" w:rsidP="00F01D3E">
      <w:pPr>
        <w:spacing w:after="0" w:line="276" w:lineRule="auto"/>
        <w:jc w:val="both"/>
        <w:rPr>
          <w:rFonts w:ascii="Verdana" w:eastAsia="Calibri" w:hAnsi="Verdana" w:cs="Arial"/>
          <w:lang w:val="es-ES" w:eastAsia="es-ES"/>
        </w:rPr>
      </w:pPr>
      <w:r w:rsidRPr="0033367D">
        <w:rPr>
          <w:rFonts w:ascii="Verdana" w:eastAsia="Calibri" w:hAnsi="Verdana" w:cs="Arial"/>
          <w:lang w:val="es-ES" w:eastAsia="es-ES"/>
        </w:rPr>
        <w:t>En ejercicio de la competencia otorgada por los artículos 3, numeral 5º, y 11, numeral 8º, del Decreto Ley 4170 de 2011,</w:t>
      </w:r>
      <w:r w:rsidRPr="0033367D">
        <w:rPr>
          <w:rFonts w:ascii="Verdana" w:eastAsia="Arial MT" w:hAnsi="Verdana" w:cs="Arial MT"/>
          <w:lang w:val="es-ES" w:eastAsia="es-ES"/>
        </w:rPr>
        <w:t xml:space="preserve"> </w:t>
      </w:r>
      <w:r w:rsidRPr="0033367D">
        <w:rPr>
          <w:rFonts w:ascii="Verdana" w:hAnsi="Verdana" w:cs="Arial"/>
          <w:lang w:val="es-ES"/>
        </w:rPr>
        <w:t xml:space="preserve">así como lo establecido en el artículo 4 de la Resolución 469 de 2025 expedida por esta Entidad, </w:t>
      </w:r>
      <w:r w:rsidRPr="0033367D">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4</w:t>
      </w:r>
      <w:r w:rsidRPr="0033367D">
        <w:rPr>
          <w:rFonts w:ascii="Verdana" w:eastAsia="Calibri" w:hAnsi="Verdana" w:cs="Arial"/>
          <w:lang w:val="es-ES" w:eastAsia="es-ES"/>
        </w:rPr>
        <w:t xml:space="preserve"> de </w:t>
      </w:r>
      <w:r>
        <w:rPr>
          <w:rFonts w:ascii="Verdana" w:eastAsia="Calibri" w:hAnsi="Verdana" w:cs="Arial"/>
          <w:lang w:val="es-ES" w:eastAsia="es-ES"/>
        </w:rPr>
        <w:t xml:space="preserve">septiembre </w:t>
      </w:r>
      <w:r w:rsidRPr="0033367D">
        <w:rPr>
          <w:rFonts w:ascii="Verdana" w:eastAsia="Calibri" w:hAnsi="Verdana" w:cs="Arial"/>
          <w:lang w:val="es-ES" w:eastAsia="es-ES"/>
        </w:rPr>
        <w:t xml:space="preserve">de 2026, en la cual manifiesta lo siguiente: </w:t>
      </w:r>
    </w:p>
    <w:p w14:paraId="55519B9D" w14:textId="77777777" w:rsidR="00F01D3E" w:rsidRPr="00004732" w:rsidRDefault="00F01D3E" w:rsidP="00F01D3E">
      <w:pPr>
        <w:spacing w:after="0" w:line="240" w:lineRule="auto"/>
        <w:ind w:right="709"/>
        <w:jc w:val="both"/>
        <w:rPr>
          <w:rFonts w:ascii="Verdana" w:eastAsia="Century Gothic" w:hAnsi="Verdana" w:cs="Century Gothic"/>
          <w:i/>
          <w:iCs/>
          <w:color w:val="000000"/>
          <w:sz w:val="20"/>
          <w:szCs w:val="20"/>
        </w:rPr>
      </w:pPr>
    </w:p>
    <w:p w14:paraId="36CBC6CE" w14:textId="77777777" w:rsidR="00F01D3E" w:rsidRPr="00004732" w:rsidRDefault="00F01D3E" w:rsidP="00F01D3E">
      <w:pPr>
        <w:spacing w:after="0" w:line="240" w:lineRule="auto"/>
        <w:ind w:left="360" w:right="709"/>
        <w:jc w:val="both"/>
        <w:rPr>
          <w:rFonts w:ascii="Verdana" w:eastAsia="Century Gothic" w:hAnsi="Verdana" w:cs="Century Gothic"/>
          <w:i/>
          <w:iCs/>
          <w:color w:val="000000"/>
          <w:sz w:val="20"/>
          <w:szCs w:val="20"/>
        </w:rPr>
      </w:pPr>
      <w:r w:rsidRPr="00004732">
        <w:rPr>
          <w:rFonts w:ascii="Verdana" w:eastAsia="Century Gothic" w:hAnsi="Verdana" w:cs="Century Gothic"/>
          <w:i/>
          <w:iCs/>
          <w:color w:val="000000"/>
          <w:sz w:val="20"/>
          <w:szCs w:val="20"/>
        </w:rPr>
        <w:t>“De manera respetuosa, solicito se sirvan aclarar una inquietud relacionada con la acreditación y cuantificación de la experiencia contractual expresada en salarios mínimos mensuales legales vigentes (SMMLV).</w:t>
      </w:r>
    </w:p>
    <w:p w14:paraId="42968E79" w14:textId="77777777" w:rsidR="00F01D3E" w:rsidRPr="00004732" w:rsidRDefault="00F01D3E" w:rsidP="00F01D3E">
      <w:pPr>
        <w:spacing w:after="0" w:line="240" w:lineRule="auto"/>
        <w:ind w:left="360" w:right="709"/>
        <w:jc w:val="both"/>
        <w:rPr>
          <w:rFonts w:ascii="Verdana" w:eastAsia="Century Gothic" w:hAnsi="Verdana" w:cs="Century Gothic"/>
          <w:i/>
          <w:iCs/>
          <w:color w:val="000000"/>
          <w:sz w:val="20"/>
          <w:szCs w:val="20"/>
        </w:rPr>
      </w:pPr>
    </w:p>
    <w:p w14:paraId="24E4964B" w14:textId="77777777" w:rsidR="00F01D3E" w:rsidRPr="00004732" w:rsidRDefault="00F01D3E" w:rsidP="00F01D3E">
      <w:pPr>
        <w:spacing w:after="0" w:line="240" w:lineRule="auto"/>
        <w:ind w:left="360" w:right="709"/>
        <w:jc w:val="both"/>
        <w:rPr>
          <w:rFonts w:ascii="Verdana" w:eastAsia="Century Gothic" w:hAnsi="Verdana" w:cs="Century Gothic"/>
          <w:i/>
          <w:iCs/>
          <w:color w:val="000000"/>
          <w:sz w:val="20"/>
          <w:szCs w:val="20"/>
        </w:rPr>
      </w:pPr>
      <w:r w:rsidRPr="00004732">
        <w:rPr>
          <w:rFonts w:ascii="Verdana" w:eastAsia="Century Gothic" w:hAnsi="Verdana" w:cs="Century Gothic"/>
          <w:i/>
          <w:iCs/>
          <w:color w:val="000000"/>
          <w:sz w:val="20"/>
          <w:szCs w:val="20"/>
        </w:rPr>
        <w:t>El caso concreto es el siguiente:</w:t>
      </w:r>
    </w:p>
    <w:p w14:paraId="70668905" w14:textId="77777777" w:rsidR="00F01D3E" w:rsidRPr="00004732" w:rsidRDefault="00F01D3E" w:rsidP="00F01D3E">
      <w:pPr>
        <w:spacing w:after="0" w:line="240" w:lineRule="auto"/>
        <w:ind w:left="360" w:right="709"/>
        <w:jc w:val="both"/>
        <w:rPr>
          <w:rFonts w:ascii="Verdana" w:eastAsia="Century Gothic" w:hAnsi="Verdana" w:cs="Century Gothic"/>
          <w:i/>
          <w:iCs/>
          <w:color w:val="000000"/>
          <w:sz w:val="20"/>
          <w:szCs w:val="20"/>
        </w:rPr>
      </w:pPr>
      <w:r w:rsidRPr="00004732">
        <w:rPr>
          <w:rFonts w:ascii="Verdana" w:eastAsia="Century Gothic" w:hAnsi="Verdana" w:cs="Century Gothic"/>
          <w:i/>
          <w:iCs/>
          <w:color w:val="000000"/>
          <w:sz w:val="20"/>
          <w:szCs w:val="20"/>
        </w:rPr>
        <w:t>Un contrato fue ejecutado y terminado en el año 2025, cumpliéndose en esa fecha la totalidad de las obligaciones contractuales. Sin embargo, el contrato fue liquidado posteriormente, en el mes de febrero de 2026.</w:t>
      </w:r>
    </w:p>
    <w:p w14:paraId="28A3737D" w14:textId="77777777" w:rsidR="00F01D3E" w:rsidRPr="00004732" w:rsidRDefault="00F01D3E" w:rsidP="00F01D3E">
      <w:pPr>
        <w:spacing w:after="0" w:line="240" w:lineRule="auto"/>
        <w:ind w:left="360" w:right="709"/>
        <w:jc w:val="both"/>
        <w:rPr>
          <w:rFonts w:ascii="Verdana" w:eastAsia="Century Gothic" w:hAnsi="Verdana" w:cs="Century Gothic"/>
          <w:i/>
          <w:iCs/>
          <w:color w:val="000000"/>
          <w:sz w:val="20"/>
          <w:szCs w:val="20"/>
        </w:rPr>
      </w:pPr>
      <w:r w:rsidRPr="00004732">
        <w:rPr>
          <w:rFonts w:ascii="Verdana" w:eastAsia="Century Gothic" w:hAnsi="Verdana" w:cs="Century Gothic"/>
          <w:i/>
          <w:iCs/>
          <w:color w:val="000000"/>
          <w:sz w:val="20"/>
          <w:szCs w:val="20"/>
        </w:rPr>
        <w:t>Teniendo en cuenta lo anterior, solicito respetuosamente se aclare:</w:t>
      </w:r>
    </w:p>
    <w:p w14:paraId="219240D4" w14:textId="77777777" w:rsidR="00F01D3E" w:rsidRPr="00004732" w:rsidRDefault="00F01D3E" w:rsidP="00F01D3E">
      <w:pPr>
        <w:spacing w:after="0" w:line="240" w:lineRule="auto"/>
        <w:ind w:left="360" w:right="709"/>
        <w:jc w:val="both"/>
        <w:rPr>
          <w:rFonts w:ascii="Verdana" w:eastAsia="Century Gothic" w:hAnsi="Verdana" w:cs="Century Gothic"/>
          <w:i/>
          <w:iCs/>
          <w:color w:val="000000"/>
          <w:sz w:val="20"/>
          <w:szCs w:val="20"/>
        </w:rPr>
      </w:pPr>
      <w:r w:rsidRPr="00004732">
        <w:rPr>
          <w:rFonts w:ascii="Verdana" w:eastAsia="Century Gothic" w:hAnsi="Verdana" w:cs="Century Gothic"/>
          <w:i/>
          <w:iCs/>
          <w:color w:val="000000"/>
          <w:sz w:val="20"/>
          <w:szCs w:val="20"/>
        </w:rPr>
        <w:t xml:space="preserve">¿Para efectos de determinar el valor de la experiencia contractual expresada en salarios mínimos mensuales legales vigentes (SMMLV), cuál es la fecha que debe tenerse en cuenta: </w:t>
      </w:r>
      <w:proofErr w:type="gramStart"/>
      <w:r w:rsidRPr="00004732">
        <w:rPr>
          <w:rFonts w:ascii="Verdana" w:eastAsia="Century Gothic" w:hAnsi="Verdana" w:cs="Century Gothic"/>
          <w:i/>
          <w:iCs/>
          <w:color w:val="000000"/>
          <w:sz w:val="20"/>
          <w:szCs w:val="20"/>
        </w:rPr>
        <w:t>la fecha de terminación y ejecución del contrato, correspondiente al año 2025, o la fecha posterior en la cual se suscribió el acta de liquidación, correspondiente al año 2026?</w:t>
      </w:r>
      <w:proofErr w:type="gramEnd"/>
    </w:p>
    <w:p w14:paraId="02CDC442" w14:textId="77777777" w:rsidR="00F01D3E" w:rsidRPr="00004732" w:rsidRDefault="00F01D3E" w:rsidP="00F01D3E">
      <w:pPr>
        <w:spacing w:after="0" w:line="240" w:lineRule="auto"/>
        <w:ind w:left="360" w:right="709"/>
        <w:jc w:val="both"/>
        <w:rPr>
          <w:rFonts w:ascii="Verdana" w:eastAsia="Century Gothic" w:hAnsi="Verdana" w:cs="Century Gothic"/>
          <w:i/>
          <w:iCs/>
          <w:color w:val="000000"/>
          <w:sz w:val="20"/>
          <w:szCs w:val="20"/>
        </w:rPr>
      </w:pPr>
    </w:p>
    <w:p w14:paraId="2AEED725" w14:textId="77777777" w:rsidR="00F01D3E" w:rsidRPr="00004732" w:rsidRDefault="00F01D3E" w:rsidP="00F01D3E">
      <w:pPr>
        <w:spacing w:after="0" w:line="240" w:lineRule="auto"/>
        <w:ind w:left="360" w:right="709"/>
        <w:jc w:val="both"/>
        <w:rPr>
          <w:rFonts w:ascii="Verdana" w:eastAsia="Century Gothic" w:hAnsi="Verdana" w:cs="Century Gothic"/>
          <w:i/>
          <w:iCs/>
          <w:color w:val="000000"/>
          <w:sz w:val="20"/>
          <w:szCs w:val="20"/>
        </w:rPr>
      </w:pPr>
      <w:r w:rsidRPr="00004732">
        <w:rPr>
          <w:rFonts w:ascii="Verdana" w:eastAsia="Century Gothic" w:hAnsi="Verdana" w:cs="Century Gothic"/>
          <w:i/>
          <w:iCs/>
          <w:color w:val="000000"/>
          <w:sz w:val="20"/>
          <w:szCs w:val="20"/>
        </w:rPr>
        <w:t>Igualmente, solicito se informe cuál es el fundamento jurídico, normativo</w:t>
      </w:r>
    </w:p>
    <w:p w14:paraId="27C05EA4" w14:textId="77777777" w:rsidR="00F01D3E" w:rsidRPr="00004732" w:rsidRDefault="00F01D3E" w:rsidP="00F01D3E">
      <w:pPr>
        <w:spacing w:after="0" w:line="240" w:lineRule="auto"/>
        <w:ind w:left="360" w:right="709"/>
        <w:jc w:val="both"/>
        <w:rPr>
          <w:rFonts w:ascii="Verdana" w:eastAsia="Century Gothic" w:hAnsi="Verdana" w:cs="Century Gothic"/>
          <w:i/>
          <w:iCs/>
          <w:color w:val="000000"/>
          <w:sz w:val="20"/>
          <w:szCs w:val="20"/>
        </w:rPr>
      </w:pPr>
      <w:r w:rsidRPr="00004732">
        <w:rPr>
          <w:rFonts w:ascii="Verdana" w:eastAsia="Century Gothic" w:hAnsi="Verdana" w:cs="Century Gothic"/>
          <w:i/>
          <w:iCs/>
          <w:color w:val="000000"/>
          <w:sz w:val="20"/>
          <w:szCs w:val="20"/>
        </w:rPr>
        <w:t>o doctrinal que permite determinar la sitúa: “</w:t>
      </w:r>
    </w:p>
    <w:p w14:paraId="19FB8CE7" w14:textId="77777777" w:rsidR="00F01D3E" w:rsidRPr="00447B41" w:rsidRDefault="00F01D3E" w:rsidP="00F01D3E">
      <w:pPr>
        <w:tabs>
          <w:tab w:val="left" w:pos="142"/>
          <w:tab w:val="left" w:pos="284"/>
        </w:tabs>
        <w:spacing w:after="0" w:line="276" w:lineRule="auto"/>
        <w:jc w:val="both"/>
        <w:rPr>
          <w:rFonts w:ascii="Verdana" w:eastAsia="Century Gothic" w:hAnsi="Verdana" w:cs="Century Gothic"/>
          <w:b/>
          <w:bCs/>
          <w:color w:val="EE0000"/>
          <w:lang w:val="es-ES"/>
        </w:rPr>
      </w:pPr>
    </w:p>
    <w:p w14:paraId="6E7F4633" w14:textId="77777777" w:rsidR="00F01D3E" w:rsidRPr="00447B41" w:rsidRDefault="00F01D3E" w:rsidP="00F102FE">
      <w:pPr>
        <w:spacing w:before="120" w:after="120" w:line="240" w:lineRule="auto"/>
        <w:ind w:right="709"/>
        <w:contextualSpacing/>
        <w:jc w:val="both"/>
        <w:rPr>
          <w:rFonts w:ascii="Verdana" w:eastAsia="Century Gothic" w:hAnsi="Verdana" w:cs="Century Gothic"/>
          <w:i/>
          <w:iCs/>
          <w:color w:val="EE0000"/>
          <w:sz w:val="20"/>
          <w:szCs w:val="20"/>
          <w:lang w:val="es-ES"/>
        </w:rPr>
      </w:pPr>
    </w:p>
    <w:p w14:paraId="23B51056" w14:textId="77777777" w:rsidR="00F01D3E" w:rsidRPr="005F1E06" w:rsidRDefault="00F01D3E" w:rsidP="00F01D3E">
      <w:pPr>
        <w:spacing w:after="120" w:line="276" w:lineRule="auto"/>
        <w:ind w:firstLine="708"/>
        <w:jc w:val="both"/>
        <w:rPr>
          <w:rFonts w:ascii="Verdana" w:eastAsia="Calibri" w:hAnsi="Verdana" w:cs="Arial"/>
          <w:lang w:val="es-ES" w:eastAsia="es-ES"/>
        </w:rPr>
      </w:pPr>
      <w:r w:rsidRPr="005F1E0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F1E06">
        <w:rPr>
          <w:rFonts w:ascii="Verdana" w:hAnsi="Verdana"/>
          <w:lang w:val="es-ES"/>
        </w:rPr>
        <w:tab/>
      </w:r>
    </w:p>
    <w:p w14:paraId="744065D1" w14:textId="77777777" w:rsidR="00F01D3E" w:rsidRPr="005F1E06" w:rsidRDefault="00F01D3E" w:rsidP="00F01D3E">
      <w:pPr>
        <w:spacing w:after="0" w:line="276" w:lineRule="auto"/>
        <w:ind w:firstLine="709"/>
        <w:jc w:val="both"/>
        <w:rPr>
          <w:rFonts w:ascii="Verdana" w:eastAsia="Calibri" w:hAnsi="Verdana" w:cs="Arial"/>
          <w:lang w:val="es-ES" w:eastAsia="es-ES"/>
        </w:rPr>
      </w:pPr>
      <w:r w:rsidRPr="005F1E0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658EF411" w14:textId="77777777" w:rsidR="00F01D3E" w:rsidRPr="00447B41" w:rsidRDefault="00F01D3E" w:rsidP="00F01D3E">
      <w:pPr>
        <w:spacing w:after="0" w:line="276" w:lineRule="auto"/>
        <w:ind w:firstLine="709"/>
        <w:jc w:val="both"/>
        <w:rPr>
          <w:rFonts w:ascii="Verdana" w:eastAsia="Calibri" w:hAnsi="Verdana" w:cs="Arial"/>
          <w:color w:val="EE0000"/>
          <w:lang w:val="es-ES" w:eastAsia="es-ES"/>
        </w:rPr>
      </w:pPr>
    </w:p>
    <w:p w14:paraId="383614CE" w14:textId="77777777" w:rsidR="00F01D3E" w:rsidRPr="005F1E06" w:rsidRDefault="00F01D3E" w:rsidP="00F01D3E">
      <w:pPr>
        <w:tabs>
          <w:tab w:val="left" w:pos="142"/>
          <w:tab w:val="left" w:pos="284"/>
        </w:tabs>
        <w:spacing w:after="0" w:line="276" w:lineRule="auto"/>
        <w:jc w:val="both"/>
        <w:rPr>
          <w:rFonts w:ascii="Verdana" w:eastAsia="Century Gothic" w:hAnsi="Verdana" w:cs="Century Gothic"/>
          <w:b/>
          <w:lang w:val="es-ES"/>
        </w:rPr>
      </w:pPr>
      <w:r w:rsidRPr="005F1E06">
        <w:rPr>
          <w:rFonts w:ascii="Verdana" w:eastAsia="Century Gothic" w:hAnsi="Verdana" w:cs="Century Gothic"/>
          <w:b/>
          <w:lang w:val="es-ES"/>
        </w:rPr>
        <w:t>1. Problema planteado:</w:t>
      </w:r>
    </w:p>
    <w:p w14:paraId="0DC8FA81" w14:textId="77777777" w:rsidR="00F01D3E" w:rsidRPr="00447B41" w:rsidRDefault="00F01D3E" w:rsidP="00F01D3E">
      <w:pPr>
        <w:tabs>
          <w:tab w:val="left" w:pos="426"/>
        </w:tabs>
        <w:spacing w:after="0" w:line="276" w:lineRule="auto"/>
        <w:jc w:val="both"/>
        <w:rPr>
          <w:rFonts w:ascii="Verdana" w:eastAsia="Century Gothic" w:hAnsi="Verdana" w:cs="Century Gothic"/>
          <w:color w:val="EE0000"/>
          <w:lang w:val="es-ES"/>
        </w:rPr>
      </w:pPr>
    </w:p>
    <w:p w14:paraId="723EEE44" w14:textId="77777777" w:rsidR="00F01D3E" w:rsidRDefault="00F01D3E" w:rsidP="00F01D3E">
      <w:pPr>
        <w:spacing w:after="0" w:line="276" w:lineRule="auto"/>
        <w:jc w:val="both"/>
        <w:rPr>
          <w:rFonts w:ascii="Verdana" w:eastAsia="Century Gothic" w:hAnsi="Verdana" w:cs="Century Gothic"/>
        </w:rPr>
      </w:pPr>
      <w:r w:rsidRPr="004A1615">
        <w:rPr>
          <w:rFonts w:ascii="Verdana" w:eastAsia="Century Gothic" w:hAnsi="Verdana" w:cs="Century Gothic"/>
          <w:lang w:val="es-ES"/>
        </w:rPr>
        <w:t>De acuerdo con el contenido de su solicitud, esta Agencia resolverá los siguientes problemas jurídicos:</w:t>
      </w:r>
      <w:r w:rsidRPr="004A1615">
        <w:rPr>
          <w:rFonts w:ascii="Verdana" w:eastAsia="Century Gothic" w:hAnsi="Verdana" w:cs="Century Gothic"/>
        </w:rPr>
        <w:t xml:space="preserve"> i.</w:t>
      </w:r>
      <w:r>
        <w:rPr>
          <w:rFonts w:ascii="Verdana" w:eastAsia="Century Gothic" w:hAnsi="Verdana" w:cs="Century Gothic"/>
        </w:rPr>
        <w:t xml:space="preserve"> </w:t>
      </w:r>
      <w:r w:rsidRPr="00004732">
        <w:rPr>
          <w:rFonts w:ascii="Verdana" w:eastAsia="Century Gothic" w:hAnsi="Verdana" w:cs="Century Gothic"/>
        </w:rPr>
        <w:t>¿</w:t>
      </w:r>
      <w:r w:rsidRPr="00004732">
        <w:rPr>
          <w:rFonts w:ascii="Verdana" w:hAnsi="Verdana"/>
        </w:rPr>
        <w:t>Cómo</w:t>
      </w:r>
      <w:r w:rsidRPr="00004732">
        <w:rPr>
          <w:rFonts w:ascii="Verdana" w:eastAsia="Century Gothic" w:hAnsi="Verdana" w:cs="Century Gothic"/>
        </w:rPr>
        <w:t xml:space="preserve"> debe acreditarse y cuantificarse la experiencia contractual expresada en salarios mínimos mensuales legales vigentes (SMMLV)??</w:t>
      </w:r>
      <w:r w:rsidRPr="004A1615">
        <w:rPr>
          <w:rFonts w:ascii="Verdana" w:eastAsia="Century Gothic" w:hAnsi="Verdana" w:cs="Century Gothic"/>
        </w:rPr>
        <w:t>?</w:t>
      </w:r>
    </w:p>
    <w:p w14:paraId="7347AAE0" w14:textId="77777777" w:rsidR="00F01D3E" w:rsidRDefault="00F01D3E" w:rsidP="00F01D3E">
      <w:pPr>
        <w:spacing w:after="0" w:line="276" w:lineRule="auto"/>
        <w:jc w:val="both"/>
        <w:rPr>
          <w:rFonts w:ascii="Verdana" w:eastAsia="Century Gothic" w:hAnsi="Verdana" w:cs="Century Gothic"/>
        </w:rPr>
      </w:pPr>
    </w:p>
    <w:p w14:paraId="1F733D1A" w14:textId="77777777" w:rsidR="00F01D3E" w:rsidRPr="004A1615" w:rsidRDefault="00F01D3E" w:rsidP="00F01D3E">
      <w:pPr>
        <w:spacing w:after="0" w:line="276" w:lineRule="auto"/>
        <w:jc w:val="both"/>
        <w:rPr>
          <w:rFonts w:ascii="Verdana" w:eastAsia="Century Gothic" w:hAnsi="Verdana" w:cs="Century Gothic"/>
        </w:rPr>
      </w:pPr>
    </w:p>
    <w:p w14:paraId="22FBCD50" w14:textId="77777777" w:rsidR="00F01D3E" w:rsidRPr="00447B41" w:rsidRDefault="00F01D3E" w:rsidP="00F01D3E">
      <w:pPr>
        <w:spacing w:after="0" w:line="276" w:lineRule="auto"/>
        <w:jc w:val="both"/>
        <w:rPr>
          <w:rFonts w:ascii="Verdana" w:eastAsia="Century Gothic" w:hAnsi="Verdana" w:cs="Century Gothic"/>
          <w:color w:val="EE0000"/>
        </w:rPr>
      </w:pPr>
      <w:r w:rsidRPr="00447B41">
        <w:rPr>
          <w:rFonts w:ascii="Verdana" w:eastAsia="Century Gothic" w:hAnsi="Verdana" w:cs="Century Gothic"/>
          <w:color w:val="EE0000"/>
        </w:rPr>
        <w:t xml:space="preserve">    </w:t>
      </w:r>
    </w:p>
    <w:p w14:paraId="310038C0" w14:textId="77777777" w:rsidR="00F01D3E" w:rsidRPr="005F1E06" w:rsidRDefault="00F01D3E" w:rsidP="00F01D3E">
      <w:pPr>
        <w:tabs>
          <w:tab w:val="left" w:pos="142"/>
          <w:tab w:val="left" w:pos="284"/>
        </w:tabs>
        <w:spacing w:after="0" w:line="276" w:lineRule="auto"/>
        <w:jc w:val="both"/>
        <w:rPr>
          <w:rFonts w:ascii="Verdana" w:eastAsia="Century Gothic" w:hAnsi="Verdana" w:cs="Century Gothic"/>
          <w:b/>
          <w:lang w:val="es-ES"/>
        </w:rPr>
      </w:pPr>
      <w:r w:rsidRPr="005F1E06">
        <w:rPr>
          <w:rFonts w:ascii="Verdana" w:eastAsia="Century Gothic" w:hAnsi="Verdana" w:cs="Century Gothic"/>
          <w:b/>
          <w:lang w:val="es-ES"/>
        </w:rPr>
        <w:t>2. Respuesta:</w:t>
      </w:r>
    </w:p>
    <w:p w14:paraId="708DEA8D" w14:textId="77777777" w:rsidR="00F01D3E" w:rsidRPr="00447B41" w:rsidRDefault="00F01D3E" w:rsidP="00F01D3E">
      <w:pPr>
        <w:tabs>
          <w:tab w:val="left" w:pos="142"/>
          <w:tab w:val="left" w:pos="284"/>
        </w:tabs>
        <w:spacing w:after="0" w:line="276" w:lineRule="auto"/>
        <w:jc w:val="both"/>
        <w:rPr>
          <w:rFonts w:ascii="Verdana" w:eastAsia="Century Gothic" w:hAnsi="Verdana" w:cs="Century Gothic"/>
          <w:b/>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01D3E" w:rsidRPr="00447B41" w14:paraId="4D95B191" w14:textId="77777777" w:rsidTr="004C6180">
        <w:tc>
          <w:tcPr>
            <w:tcW w:w="8828" w:type="dxa"/>
          </w:tcPr>
          <w:p w14:paraId="0F6C0409" w14:textId="77777777" w:rsidR="00F01D3E" w:rsidRPr="0011567F" w:rsidRDefault="00F01D3E" w:rsidP="004C6180">
            <w:pPr>
              <w:spacing w:after="120" w:line="276" w:lineRule="auto"/>
              <w:ind w:right="79"/>
              <w:jc w:val="both"/>
              <w:rPr>
                <w:rFonts w:ascii="Verdana" w:eastAsia="Arial" w:hAnsi="Verdana" w:cs="Arial"/>
                <w:bCs/>
              </w:rPr>
            </w:pPr>
            <w:r w:rsidRPr="00E56777">
              <w:rPr>
                <w:rFonts w:ascii="Verdana" w:eastAsia="Arial" w:hAnsi="Verdana" w:cs="Arial"/>
                <w:bCs/>
              </w:rPr>
              <w:t xml:space="preserve">Para dar respuesta al problema planteado, es importante indicar que la Ley 1150 de 2007 determinó como requisitos habilitantes la capacidad jurídica, las condiciones de experiencia, la capacidad financiera y la capacidad de </w:t>
            </w:r>
            <w:r w:rsidRPr="00E56777">
              <w:rPr>
                <w:rFonts w:ascii="Verdana" w:eastAsia="Arial" w:hAnsi="Verdana" w:cs="Arial"/>
                <w:bCs/>
              </w:rPr>
              <w:lastRenderedPageBreak/>
              <w:t xml:space="preserve">organización de los proponentes. Sin embargo, este listado es enunciativo, de manera que corresponde a las Entidades Estatales establecer los requisitos habilitantes que resulten adecuados y proporcionales en cada proceso </w:t>
            </w:r>
            <w:r w:rsidRPr="0011567F">
              <w:rPr>
                <w:rFonts w:ascii="Verdana" w:eastAsia="Arial" w:hAnsi="Verdana" w:cs="Arial"/>
                <w:bCs/>
              </w:rPr>
              <w:t>contractual, de conformidad con los criterios previstos en el Decreto 1082 de 2015. El ejercicio de esta facultad debe atender los parámetros explicados en este concepto y respetar las prohibiciones establecidas en la normativa vigente.</w:t>
            </w:r>
          </w:p>
          <w:p w14:paraId="3DE37475" w14:textId="77777777" w:rsidR="00F01D3E" w:rsidRPr="0011567F" w:rsidRDefault="00F01D3E" w:rsidP="004C6180">
            <w:pPr>
              <w:spacing w:after="120" w:line="276" w:lineRule="auto"/>
              <w:ind w:right="79" w:firstLine="709"/>
              <w:jc w:val="both"/>
              <w:rPr>
                <w:rFonts w:ascii="Verdana" w:eastAsia="Arial" w:hAnsi="Verdana" w:cs="Arial"/>
                <w:bCs/>
              </w:rPr>
            </w:pPr>
            <w:r w:rsidRPr="0011567F">
              <w:rPr>
                <w:rFonts w:ascii="Verdana" w:eastAsia="Arial" w:hAnsi="Verdana" w:cs="Arial"/>
                <w:bCs/>
              </w:rPr>
              <w:t xml:space="preserve">En particular, respecto del requisito habilitante de experiencia, debe tenerse en cuenta que, cuando el RUP resulta exigible, las Entidades Estatales deben verificar las condiciones de experiencia de los proponentes a partir de la información contenida en el certificado expedido por la Cámara de Comercio, el cual constituye plena prueba de las circunstancias que en él constan y que han sido verificadas por dicha entidad. En este sentido, el artículo 2.2.1.1.1.5.2 del Decreto 1082 de 2015 dispone que los contratos que soportan la experiencia deben corresponder a contratos ejecutados con su valor </w:t>
            </w:r>
            <w:r w:rsidRPr="00675E66">
              <w:rPr>
                <w:rFonts w:ascii="Verdana" w:eastAsia="Arial" w:hAnsi="Verdana" w:cs="Arial"/>
                <w:bCs/>
              </w:rPr>
              <w:t>expresado en salarios mínimos legales mensuales vigentes (SMMLV). Lo anterior</w:t>
            </w:r>
            <w:r w:rsidRPr="0011567F">
              <w:rPr>
                <w:rFonts w:ascii="Verdana" w:eastAsia="Arial" w:hAnsi="Verdana" w:cs="Arial"/>
                <w:bCs/>
              </w:rPr>
              <w:t>, sin perjuicio de la facultad prevista en el numeral 6.1 del artículo 6 de la Ley 1150 de 2007 para verificar directamente aquellos requisitos o información adicionales a los contenidos en el RUP, cuando ello resulte necesario de acuerdo con las características del objeto a contratar.</w:t>
            </w:r>
          </w:p>
          <w:p w14:paraId="59F78644" w14:textId="77777777" w:rsidR="00F01D3E" w:rsidRPr="0011567F" w:rsidRDefault="00F01D3E" w:rsidP="004C6180">
            <w:pPr>
              <w:widowControl w:val="0"/>
              <w:autoSpaceDE w:val="0"/>
              <w:autoSpaceDN w:val="0"/>
              <w:spacing w:after="120" w:line="276" w:lineRule="auto"/>
              <w:ind w:right="102" w:firstLine="607"/>
              <w:jc w:val="both"/>
              <w:rPr>
                <w:rFonts w:ascii="Verdana" w:eastAsia="Times New Roman" w:hAnsi="Verdana" w:cs="Arial"/>
              </w:rPr>
            </w:pPr>
            <w:r w:rsidRPr="0011567F">
              <w:rPr>
                <w:rFonts w:ascii="Verdana" w:eastAsia="Times New Roman" w:hAnsi="Verdana" w:cs="Arial"/>
              </w:rPr>
              <w:t xml:space="preserve">Ahora bien, el artículo 2.2.1.1.1.5.3 del Decreto 1082 de 2015 establece que las Cámaras de Comercio deben verificar y certificar en el RUP, entre otros requisitos habilitantes, la experiencia correspondiente a los contratos celebrados </w:t>
            </w:r>
            <w:r>
              <w:rPr>
                <w:rFonts w:ascii="Verdana" w:eastAsia="Times New Roman" w:hAnsi="Verdana" w:cs="Arial"/>
              </w:rPr>
              <w:t xml:space="preserve">por el interesado </w:t>
            </w:r>
            <w:r w:rsidRPr="0011567F">
              <w:rPr>
                <w:rFonts w:ascii="Verdana" w:eastAsia="Times New Roman" w:hAnsi="Verdana" w:cs="Arial"/>
              </w:rPr>
              <w:t>respecto de los bienes, obras y servicios que ofrece a las Entidades Estatales, identificados con el Clasificador de Bienes y Servicios en el tercer nivel y su valor expresado en SMMLV. En consecuencia, en los procesos de contratación en los que resulte obligatoria la inscripción en el RUP, los requisitos de experiencia que establezcan las Entidades Estatales deberán guardar correspondencia con la forma en que dicha experiencia se encuentra registrada y certificada en el RUP, tanto respecto de los bienes, obras y servicios identificados mediante los respectivos códigos del Clasificador, como de la información económica asociada a estos.</w:t>
            </w:r>
          </w:p>
          <w:p w14:paraId="07E6CFC6" w14:textId="77777777" w:rsidR="00F01D3E" w:rsidRPr="0011567F" w:rsidRDefault="00F01D3E" w:rsidP="004C6180">
            <w:pPr>
              <w:widowControl w:val="0"/>
              <w:autoSpaceDE w:val="0"/>
              <w:autoSpaceDN w:val="0"/>
              <w:spacing w:before="120" w:after="120" w:line="276" w:lineRule="auto"/>
              <w:ind w:right="102" w:firstLine="607"/>
              <w:jc w:val="both"/>
              <w:rPr>
                <w:rFonts w:ascii="Verdana" w:eastAsia="Times New Roman" w:hAnsi="Verdana" w:cs="Arial"/>
              </w:rPr>
            </w:pPr>
            <w:r w:rsidRPr="0011567F">
              <w:rPr>
                <w:rFonts w:ascii="Verdana" w:eastAsia="Times New Roman" w:hAnsi="Verdana" w:cs="Arial"/>
              </w:rPr>
              <w:t>En</w:t>
            </w:r>
            <w:r>
              <w:rPr>
                <w:rFonts w:ascii="Verdana" w:eastAsia="Times New Roman" w:hAnsi="Verdana" w:cs="Arial"/>
              </w:rPr>
              <w:t xml:space="preserve"> este contexto,</w:t>
            </w:r>
            <w:r w:rsidRPr="0011567F">
              <w:rPr>
                <w:rFonts w:ascii="Verdana" w:eastAsia="Times New Roman" w:hAnsi="Verdana" w:cs="Arial"/>
              </w:rPr>
              <w:t xml:space="preserve"> la necesidad de que la experiencia contractual sea expresada </w:t>
            </w:r>
            <w:r>
              <w:rPr>
                <w:rFonts w:ascii="Verdana" w:eastAsia="Times New Roman" w:hAnsi="Verdana" w:cs="Arial"/>
              </w:rPr>
              <w:t xml:space="preserve">en </w:t>
            </w:r>
            <w:r w:rsidRPr="0011567F">
              <w:rPr>
                <w:rFonts w:ascii="Verdana" w:eastAsia="Times New Roman" w:hAnsi="Verdana" w:cs="Arial"/>
              </w:rPr>
              <w:t>SMM</w:t>
            </w:r>
            <w:r>
              <w:rPr>
                <w:rFonts w:ascii="Verdana" w:eastAsia="Times New Roman" w:hAnsi="Verdana" w:cs="Arial"/>
              </w:rPr>
              <w:t>L</w:t>
            </w:r>
            <w:r w:rsidRPr="0011567F">
              <w:rPr>
                <w:rFonts w:ascii="Verdana" w:eastAsia="Times New Roman" w:hAnsi="Verdana" w:cs="Arial"/>
              </w:rPr>
              <w:t>V se u</w:t>
            </w:r>
            <w:r>
              <w:rPr>
                <w:rFonts w:ascii="Verdana" w:eastAsia="Times New Roman" w:hAnsi="Verdana" w:cs="Arial"/>
              </w:rPr>
              <w:t>tiliza</w:t>
            </w:r>
            <w:r w:rsidRPr="0011567F">
              <w:rPr>
                <w:rFonts w:ascii="Verdana" w:eastAsia="Times New Roman" w:hAnsi="Verdana" w:cs="Arial"/>
              </w:rPr>
              <w:t xml:space="preserve"> como un parámetro técnico para evaluar y comparar la capacidad de un contratista en procesos de contratación estatal, posibilitando establecer un estándar objetivo frente a la fluctuación del valor de la moneda dentro del mercado.</w:t>
            </w:r>
            <w:r w:rsidRPr="0011567F">
              <w:rPr>
                <w:rFonts w:ascii="Verdana" w:eastAsia="Calibri" w:hAnsi="Verdana" w:cs="Arial"/>
                <w:lang w:eastAsia="es-CO"/>
              </w:rPr>
              <w:t xml:space="preserve"> </w:t>
            </w:r>
            <w:r w:rsidRPr="007832F2">
              <w:rPr>
                <w:rFonts w:ascii="Verdana" w:eastAsia="Times New Roman" w:hAnsi="Verdana" w:cs="Arial"/>
              </w:rPr>
              <w:t xml:space="preserve">Esto facilita la comparación justa de la </w:t>
            </w:r>
            <w:r w:rsidRPr="007832F2">
              <w:rPr>
                <w:rFonts w:ascii="Verdana" w:eastAsia="Times New Roman" w:hAnsi="Verdana" w:cs="Arial"/>
              </w:rPr>
              <w:lastRenderedPageBreak/>
              <w:t>experiencia de diferentes oferentes</w:t>
            </w:r>
            <w:r w:rsidRPr="0011567F">
              <w:rPr>
                <w:rFonts w:ascii="Verdana" w:eastAsia="Times New Roman" w:hAnsi="Verdana" w:cs="Arial"/>
              </w:rPr>
              <w:t>, ya que el valor de los SMM</w:t>
            </w:r>
            <w:r>
              <w:rPr>
                <w:rFonts w:ascii="Verdana" w:eastAsia="Times New Roman" w:hAnsi="Verdana" w:cs="Arial"/>
              </w:rPr>
              <w:t>L</w:t>
            </w:r>
            <w:r w:rsidRPr="0011567F">
              <w:rPr>
                <w:rFonts w:ascii="Verdana" w:eastAsia="Times New Roman" w:hAnsi="Verdana" w:cs="Arial"/>
              </w:rPr>
              <w:t>V cambia anualmente, estandarizando la experiencia requerida en un momento determinado.</w:t>
            </w:r>
          </w:p>
          <w:p w14:paraId="3CBD9614" w14:textId="77777777" w:rsidR="00F01D3E" w:rsidRPr="0011567F" w:rsidRDefault="00F01D3E" w:rsidP="004C6180">
            <w:pPr>
              <w:spacing w:before="120" w:after="120" w:line="276" w:lineRule="auto"/>
              <w:ind w:firstLine="709"/>
              <w:jc w:val="both"/>
              <w:rPr>
                <w:rFonts w:ascii="Verdana" w:eastAsia="Calibri" w:hAnsi="Verdana" w:cs="Arial"/>
                <w:lang w:eastAsia="es-CO"/>
              </w:rPr>
            </w:pPr>
            <w:r>
              <w:rPr>
                <w:rFonts w:ascii="Verdana" w:eastAsia="Calibri" w:hAnsi="Verdana" w:cs="Arial"/>
                <w:lang w:val="es-ES_tradnl" w:eastAsia="es-CO"/>
              </w:rPr>
              <w:t>Por su parte</w:t>
            </w:r>
            <w:r w:rsidRPr="0011567F">
              <w:rPr>
                <w:rFonts w:ascii="Verdana" w:eastAsia="Calibri" w:hAnsi="Verdana" w:cs="Arial"/>
                <w:lang w:val="es-ES_tradnl" w:eastAsia="es-CO"/>
              </w:rPr>
              <w:t xml:space="preserve">, en los casos </w:t>
            </w:r>
            <w:r>
              <w:rPr>
                <w:rFonts w:ascii="Verdana" w:eastAsia="Calibri" w:hAnsi="Verdana" w:cs="Arial"/>
                <w:lang w:val="es-ES_tradnl" w:eastAsia="es-CO"/>
              </w:rPr>
              <w:t>en que no</w:t>
            </w:r>
            <w:r w:rsidRPr="0011567F">
              <w:rPr>
                <w:rFonts w:ascii="Verdana" w:eastAsia="Calibri" w:hAnsi="Verdana" w:cs="Arial"/>
                <w:lang w:val="es-ES_tradnl" w:eastAsia="es-CO"/>
              </w:rPr>
              <w:t xml:space="preserve"> se exija el RUP</w:t>
            </w:r>
            <w:r w:rsidRPr="0011567F">
              <w:rPr>
                <w:rFonts w:ascii="Verdana" w:eastAsia="Calibri" w:hAnsi="Verdana" w:cs="Arial"/>
                <w:lang w:eastAsia="es-CO"/>
              </w:rPr>
              <w:t xml:space="preserve">, </w:t>
            </w:r>
            <w:r w:rsidRPr="00F90AA3">
              <w:rPr>
                <w:rFonts w:ascii="Verdana" w:eastAsia="Calibri" w:hAnsi="Verdana" w:cs="Arial"/>
                <w:lang w:eastAsia="es-CO"/>
              </w:rPr>
              <w:t>si la Entidad Estatal</w:t>
            </w:r>
            <w:r w:rsidRPr="0011567F">
              <w:rPr>
                <w:rFonts w:ascii="Verdana" w:eastAsia="Calibri" w:hAnsi="Verdana" w:cs="Arial"/>
                <w:lang w:eastAsia="es-CO"/>
              </w:rPr>
              <w:t xml:space="preserve"> decide establecer requisitos habilitantes de experiencia, debe solicitar la documentación que lo</w:t>
            </w:r>
            <w:r>
              <w:rPr>
                <w:rFonts w:ascii="Verdana" w:eastAsia="Calibri" w:hAnsi="Verdana" w:cs="Arial"/>
                <w:lang w:eastAsia="es-CO"/>
              </w:rPr>
              <w:t>s</w:t>
            </w:r>
            <w:r w:rsidRPr="0011567F">
              <w:rPr>
                <w:rFonts w:ascii="Verdana" w:eastAsia="Calibri" w:hAnsi="Verdana" w:cs="Arial"/>
                <w:lang w:eastAsia="es-CO"/>
              </w:rPr>
              <w:t xml:space="preserve"> acredite, tales como copias de contratos, actas de recibo a satisfacción, actas de liquidación o certificados expedidos por terceros que hayan recibido del oferente los bienes, obras o servicios objeto del proceso de contratación, en </w:t>
            </w:r>
            <w:r>
              <w:rPr>
                <w:rFonts w:ascii="Verdana" w:eastAsia="Calibri" w:hAnsi="Verdana" w:cs="Arial"/>
                <w:lang w:eastAsia="es-CO"/>
              </w:rPr>
              <w:t xml:space="preserve">los cuales </w:t>
            </w:r>
            <w:r w:rsidRPr="0011567F">
              <w:rPr>
                <w:rFonts w:ascii="Verdana" w:eastAsia="Calibri" w:hAnsi="Verdana" w:cs="Arial"/>
                <w:lang w:eastAsia="es-CO"/>
              </w:rPr>
              <w:t xml:space="preserve">podrá definir que la forma de calcular la experiencia sea expresada en SMMLV, lo cual posibilita comparar de manera más ajustada y proporcional a la experiencia de los proponentes. </w:t>
            </w:r>
          </w:p>
          <w:p w14:paraId="50334B1E" w14:textId="77777777" w:rsidR="00F01D3E" w:rsidRPr="0011567F" w:rsidRDefault="00F01D3E" w:rsidP="004C6180">
            <w:pPr>
              <w:spacing w:after="120" w:line="276" w:lineRule="auto"/>
              <w:ind w:right="79" w:firstLine="709"/>
              <w:jc w:val="both"/>
              <w:rPr>
                <w:rFonts w:ascii="Verdana" w:eastAsia="Arial" w:hAnsi="Verdana" w:cs="Arial"/>
                <w:bCs/>
              </w:rPr>
            </w:pPr>
            <w:r w:rsidRPr="0011567F">
              <w:rPr>
                <w:rFonts w:ascii="Verdana" w:eastAsia="Calibri" w:hAnsi="Verdana" w:cs="Arial"/>
                <w:bCs/>
                <w:lang w:eastAsia="es-CO"/>
              </w:rPr>
              <w:t>En todo caso, las Entidades Estatales deben establecer los requisitos habilitantes de forma adecuada y proporcional a la naturaleza y valor del contrato, esto es, las condiciones exigidas correspondan a una relación directa con el objeto del contrato y su cuantificación expresada e</w:t>
            </w:r>
            <w:r>
              <w:rPr>
                <w:rFonts w:ascii="Verdana" w:eastAsia="Calibri" w:hAnsi="Verdana" w:cs="Arial"/>
                <w:bCs/>
                <w:lang w:eastAsia="es-CO"/>
              </w:rPr>
              <w:t>n</w:t>
            </w:r>
            <w:r w:rsidRPr="00675E66">
              <w:rPr>
                <w:rFonts w:ascii="Verdana" w:eastAsia="Calibri" w:hAnsi="Verdana" w:cs="Arial"/>
                <w:lang w:eastAsia="es-CO"/>
              </w:rPr>
              <w:t xml:space="preserve"> salarios mínimos legales mensuales vigentes (SMMLV)</w:t>
            </w:r>
            <w:r w:rsidRPr="0011567F">
              <w:rPr>
                <w:rFonts w:ascii="Verdana" w:eastAsia="Calibri" w:hAnsi="Verdana" w:cs="Arial"/>
                <w:bCs/>
                <w:lang w:eastAsia="es-CO"/>
              </w:rPr>
              <w:t xml:space="preserve">, de tal manera que su acreditación sea congruente para evidenciar que el proponente es idóneo para ejecutar el contrato. </w:t>
            </w:r>
            <w:r w:rsidRPr="0011567F">
              <w:rPr>
                <w:rFonts w:ascii="Verdana" w:eastAsia="Times New Roman" w:hAnsi="Verdana" w:cs="Arial"/>
                <w:u w:val="single"/>
                <w:bdr w:val="none" w:sz="0" w:space="0" w:color="auto" w:frame="1"/>
                <w:lang w:val="es-MX" w:eastAsia="es-CO"/>
              </w:rPr>
              <w:t xml:space="preserve"> </w:t>
            </w:r>
          </w:p>
          <w:p w14:paraId="5AD58D2C" w14:textId="77777777" w:rsidR="00F01D3E" w:rsidRPr="00447B41" w:rsidRDefault="00F01D3E" w:rsidP="004C6180">
            <w:pPr>
              <w:spacing w:after="120" w:line="276" w:lineRule="auto"/>
              <w:ind w:right="79" w:firstLine="601"/>
              <w:jc w:val="both"/>
              <w:rPr>
                <w:rFonts w:ascii="Verdana" w:eastAsia="Arial" w:hAnsi="Verdana" w:cs="Arial"/>
                <w:bCs/>
                <w:color w:val="EE0000"/>
              </w:rPr>
            </w:pPr>
            <w:r w:rsidRPr="00624369">
              <w:rPr>
                <w:rFonts w:ascii="Verdana" w:eastAsia="Calibri" w:hAnsi="Verdana" w:cs="Arial"/>
                <w:bCs/>
              </w:rPr>
              <w:t xml:space="preserve">Finalmente, al margen de la explicación precedente debe advertirse que </w:t>
            </w:r>
            <w:r w:rsidRPr="00624369">
              <w:rPr>
                <w:rStyle w:val="s15"/>
                <w:rFonts w:ascii="Verdana" w:hAnsi="Verdana"/>
              </w:rPr>
              <w:t>el análisis requerido para resolver problemas específicos en torno a la gestión contractual debe ser realizado por quienes tengan interés en ello, de acuerdo con lo explicado la aclaración preliminar del presente oficio.</w:t>
            </w:r>
            <w:r w:rsidRPr="00624369">
              <w:rPr>
                <w:rStyle w:val="apple-converted-space"/>
                <w:rFonts w:ascii="Verdana" w:hAnsi="Verdana"/>
              </w:rPr>
              <w:t> </w:t>
            </w:r>
            <w:r w:rsidRPr="00624369">
              <w:rPr>
                <w:rStyle w:val="s15"/>
                <w:rFonts w:ascii="Verdana" w:hAnsi="Verdana"/>
              </w:rPr>
              <w:t>Por lo anterior, previo</w:t>
            </w:r>
            <w:r w:rsidRPr="00624369">
              <w:rPr>
                <w:rStyle w:val="apple-converted-space"/>
                <w:rFonts w:ascii="Verdana" w:hAnsi="Verdana"/>
              </w:rPr>
              <w:t> </w:t>
            </w:r>
            <w:r w:rsidRPr="00624369">
              <w:rPr>
                <w:rStyle w:val="s15"/>
                <w:rFonts w:ascii="Verdana" w:hAnsi="Verdana"/>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02C9E6B0" w14:textId="77777777" w:rsidR="00F01D3E" w:rsidRPr="00447B41" w:rsidRDefault="00F01D3E" w:rsidP="00F01D3E">
      <w:pPr>
        <w:tabs>
          <w:tab w:val="left" w:pos="142"/>
          <w:tab w:val="left" w:pos="284"/>
        </w:tabs>
        <w:spacing w:after="0" w:line="276" w:lineRule="auto"/>
        <w:jc w:val="both"/>
        <w:rPr>
          <w:rFonts w:ascii="Verdana" w:eastAsia="Century Gothic" w:hAnsi="Verdana" w:cs="Century Gothic"/>
          <w:b/>
          <w:bCs/>
          <w:color w:val="EE0000"/>
          <w:lang w:val="es-ES"/>
        </w:rPr>
      </w:pPr>
    </w:p>
    <w:p w14:paraId="16A3ADB4" w14:textId="77777777" w:rsidR="00F01D3E" w:rsidRPr="005F1E06" w:rsidRDefault="00F01D3E" w:rsidP="00F01D3E">
      <w:pPr>
        <w:tabs>
          <w:tab w:val="left" w:pos="142"/>
          <w:tab w:val="left" w:pos="284"/>
        </w:tabs>
        <w:spacing w:after="0" w:line="276" w:lineRule="auto"/>
        <w:jc w:val="both"/>
        <w:rPr>
          <w:rFonts w:ascii="Verdana" w:eastAsia="Century Gothic" w:hAnsi="Verdana" w:cs="Century Gothic"/>
          <w:b/>
          <w:lang w:val="es-ES"/>
        </w:rPr>
      </w:pPr>
      <w:r w:rsidRPr="005F1E06">
        <w:rPr>
          <w:rFonts w:ascii="Verdana" w:eastAsia="Century Gothic" w:hAnsi="Verdana" w:cs="Century Gothic"/>
          <w:b/>
          <w:lang w:val="es-ES"/>
        </w:rPr>
        <w:t>3. Razones de la respuesta:</w:t>
      </w:r>
    </w:p>
    <w:p w14:paraId="204B9BFA" w14:textId="77777777" w:rsidR="00F01D3E" w:rsidRPr="005F1E06" w:rsidRDefault="00F01D3E" w:rsidP="00F01D3E">
      <w:pPr>
        <w:spacing w:after="0" w:line="276" w:lineRule="auto"/>
        <w:jc w:val="both"/>
        <w:rPr>
          <w:rFonts w:ascii="Verdana" w:eastAsia="Calibri" w:hAnsi="Verdana" w:cs="Arial"/>
          <w:lang w:val="es-ES"/>
        </w:rPr>
      </w:pPr>
    </w:p>
    <w:p w14:paraId="0FAB782D" w14:textId="77777777" w:rsidR="00F01D3E" w:rsidRDefault="00F01D3E" w:rsidP="00F01D3E">
      <w:pPr>
        <w:spacing w:after="0" w:line="276" w:lineRule="auto"/>
        <w:jc w:val="both"/>
        <w:rPr>
          <w:rFonts w:ascii="Verdana" w:eastAsia="Calibri" w:hAnsi="Verdana" w:cs="Arial"/>
          <w:lang w:val="es-ES"/>
        </w:rPr>
      </w:pPr>
      <w:r w:rsidRPr="005F1E06">
        <w:rPr>
          <w:rFonts w:ascii="Verdana" w:eastAsia="Calibri" w:hAnsi="Verdana" w:cs="Arial"/>
          <w:lang w:val="es-ES"/>
        </w:rPr>
        <w:t xml:space="preserve">Las respuestas anteriores se sustentan en las siguientes consideraciones: </w:t>
      </w:r>
    </w:p>
    <w:p w14:paraId="402E0C39" w14:textId="77777777" w:rsidR="00F01D3E" w:rsidRPr="005F1E06" w:rsidRDefault="00F01D3E" w:rsidP="00F01D3E">
      <w:pPr>
        <w:spacing w:after="0" w:line="276" w:lineRule="auto"/>
        <w:jc w:val="both"/>
        <w:rPr>
          <w:rFonts w:ascii="Verdana" w:eastAsia="Calibri" w:hAnsi="Verdana" w:cs="Arial"/>
          <w:lang w:val="es-ES"/>
        </w:rPr>
      </w:pPr>
    </w:p>
    <w:p w14:paraId="4197B130" w14:textId="77777777" w:rsidR="00F01D3E" w:rsidRPr="00BD787A" w:rsidRDefault="00F01D3E" w:rsidP="00F01D3E">
      <w:pPr>
        <w:spacing w:after="120" w:line="276" w:lineRule="auto"/>
        <w:jc w:val="both"/>
        <w:rPr>
          <w:rFonts w:ascii="Verdana" w:hAnsi="Verdana" w:cs="Arial"/>
          <w:color w:val="000000" w:themeColor="text1"/>
          <w:lang w:val="es-ES_tradnl"/>
        </w:rPr>
      </w:pPr>
      <w:bookmarkStart w:id="1" w:name="_Hlk102983874"/>
      <w:bookmarkStart w:id="2" w:name="_Hlk102388095"/>
      <w:r w:rsidRPr="000F1385">
        <w:rPr>
          <w:rFonts w:ascii="Verdana" w:eastAsia="Times New Roman" w:hAnsi="Verdana" w:cs="Arial"/>
          <w:lang w:val="es-ES" w:eastAsia="es-ES"/>
          <w14:ligatures w14:val="standardContextual"/>
        </w:rPr>
        <w:t xml:space="preserve">i. </w:t>
      </w:r>
      <w:r w:rsidRPr="00BD787A">
        <w:rPr>
          <w:rFonts w:ascii="Verdana" w:hAnsi="Verdana" w:cs="Arial"/>
          <w:color w:val="000000" w:themeColor="text1"/>
          <w:lang w:val="es-ES_tradnl"/>
        </w:rPr>
        <w:t xml:space="preserve">Los </w:t>
      </w:r>
      <w:r w:rsidRPr="00BD787A">
        <w:rPr>
          <w:rFonts w:ascii="Verdana" w:hAnsi="Verdana" w:cs="Arial"/>
          <w:i/>
          <w:iCs/>
          <w:color w:val="000000" w:themeColor="text1"/>
          <w:lang w:val="es-ES_tradnl"/>
        </w:rPr>
        <w:t>requisitos habilitantes</w:t>
      </w:r>
      <w:r w:rsidRPr="00BD787A">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BD787A">
        <w:rPr>
          <w:rFonts w:ascii="Verdana" w:hAnsi="Verdana" w:cs="Arial"/>
          <w:i/>
          <w:iCs/>
          <w:color w:val="000000" w:themeColor="text1"/>
          <w:lang w:val="es-ES_tradnl"/>
        </w:rPr>
        <w:t>criterios de evaluación</w:t>
      </w:r>
      <w:r w:rsidRPr="00BD787A">
        <w:rPr>
          <w:rFonts w:ascii="Verdana" w:hAnsi="Verdana" w:cs="Arial"/>
          <w:color w:val="000000" w:themeColor="text1"/>
          <w:lang w:val="es-ES_tradnl"/>
        </w:rPr>
        <w:t xml:space="preserve"> –</w:t>
      </w:r>
      <w:r w:rsidRPr="00BD787A">
        <w:rPr>
          <w:rFonts w:ascii="Verdana" w:hAnsi="Verdana" w:cs="Arial"/>
          <w:color w:val="000000" w:themeColor="text1"/>
          <w:lang w:val="es-ES_tradnl"/>
        </w:rPr>
        <w:lastRenderedPageBreak/>
        <w:t xml:space="preserve">también conocidos como </w:t>
      </w:r>
      <w:r w:rsidRPr="00BD787A">
        <w:rPr>
          <w:rFonts w:ascii="Verdana" w:hAnsi="Verdana" w:cs="Arial"/>
          <w:i/>
          <w:iCs/>
          <w:color w:val="000000" w:themeColor="text1"/>
          <w:lang w:val="es-ES_tradnl"/>
        </w:rPr>
        <w:t>criterios de calificación</w:t>
      </w:r>
      <w:r w:rsidRPr="00BD787A">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7375470A" w14:textId="77777777" w:rsidR="00F01D3E" w:rsidRPr="00BD787A" w:rsidRDefault="00F01D3E" w:rsidP="00F01D3E">
      <w:pPr>
        <w:spacing w:after="120" w:line="276" w:lineRule="auto"/>
        <w:ind w:firstLine="708"/>
        <w:jc w:val="both"/>
        <w:rPr>
          <w:rFonts w:ascii="Verdana" w:hAnsi="Verdana" w:cs="Arial"/>
          <w:color w:val="000000" w:themeColor="text1"/>
          <w:lang w:val="es-ES"/>
        </w:rPr>
      </w:pPr>
      <w:r w:rsidRPr="54A232F0">
        <w:rPr>
          <w:rFonts w:ascii="Verdana" w:hAnsi="Verdana" w:cs="Arial"/>
          <w:color w:val="000000" w:themeColor="text1"/>
          <w:lang w:val="es-ES"/>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esta manera,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75334B35" w14:textId="77777777" w:rsidR="00F01D3E" w:rsidRPr="00BD787A" w:rsidRDefault="00F01D3E" w:rsidP="00F01D3E">
      <w:pPr>
        <w:spacing w:after="120" w:line="276" w:lineRule="auto"/>
        <w:ind w:firstLine="708"/>
        <w:jc w:val="both"/>
        <w:rPr>
          <w:rFonts w:ascii="Verdana" w:hAnsi="Verdana" w:cs="Arial"/>
          <w:color w:val="000000" w:themeColor="text1"/>
          <w:lang w:val="es-ES_tradnl"/>
        </w:rPr>
      </w:pPr>
      <w:r w:rsidRPr="00BD787A">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BD787A">
        <w:rPr>
          <w:rFonts w:ascii="Verdana" w:hAnsi="Verdana" w:cs="Arial"/>
          <w:i/>
          <w:iCs/>
          <w:color w:val="000000" w:themeColor="text1"/>
          <w:lang w:val="es-ES_tradnl"/>
        </w:rPr>
        <w:t>.</w:t>
      </w:r>
      <w:r w:rsidRPr="00BD787A">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4BD924C4" w14:textId="77777777" w:rsidR="00F01D3E" w:rsidRPr="00BD787A" w:rsidRDefault="00F01D3E" w:rsidP="00F01D3E">
      <w:pPr>
        <w:spacing w:after="0" w:line="276" w:lineRule="auto"/>
        <w:ind w:firstLine="708"/>
        <w:jc w:val="both"/>
        <w:rPr>
          <w:rFonts w:ascii="Verdana" w:hAnsi="Verdana" w:cs="Arial"/>
          <w:color w:val="000000" w:themeColor="text1"/>
          <w:lang w:val="es-ES"/>
        </w:rPr>
      </w:pPr>
      <w:r w:rsidRPr="00BD787A">
        <w:rPr>
          <w:rFonts w:ascii="Verdana" w:hAnsi="Verdana" w:cs="Arial"/>
          <w:color w:val="000000" w:themeColor="text1"/>
          <w:lang w:val="es-ES"/>
        </w:rPr>
        <w:t xml:space="preserve">En especial, el numeral 1º del referido artículo 5 establece que en los procesos de selección de contratistas serán objeto de verificación, como requisitos habilitantes, </w:t>
      </w:r>
      <w:r w:rsidRPr="00BD787A">
        <w:rPr>
          <w:rFonts w:ascii="Verdana" w:hAnsi="Verdana" w:cs="Arial"/>
          <w:i/>
          <w:color w:val="000000" w:themeColor="text1"/>
          <w:lang w:val="es-ES"/>
        </w:rPr>
        <w:t>entre otros</w:t>
      </w:r>
      <w:r w:rsidRPr="00BD787A">
        <w:rPr>
          <w:rFonts w:ascii="Verdana" w:hAnsi="Verdana" w:cs="Arial"/>
          <w:color w:val="000000" w:themeColor="text1"/>
          <w:lang w:val="es-ES"/>
        </w:rPr>
        <w:t xml:space="preserve">, los siguientes: i) la capacidad jurídica; </w:t>
      </w:r>
      <w:proofErr w:type="spellStart"/>
      <w:r w:rsidRPr="00BD787A">
        <w:rPr>
          <w:rFonts w:ascii="Verdana" w:hAnsi="Verdana" w:cs="Arial"/>
          <w:color w:val="000000" w:themeColor="text1"/>
          <w:lang w:val="es-ES"/>
        </w:rPr>
        <w:t>ii</w:t>
      </w:r>
      <w:proofErr w:type="spellEnd"/>
      <w:r w:rsidRPr="00BD787A">
        <w:rPr>
          <w:rFonts w:ascii="Verdana" w:hAnsi="Verdana" w:cs="Arial"/>
          <w:color w:val="000000" w:themeColor="text1"/>
          <w:lang w:val="es-ES"/>
        </w:rPr>
        <w:t xml:space="preserve">) la experiencia; </w:t>
      </w:r>
      <w:proofErr w:type="spellStart"/>
      <w:r w:rsidRPr="00BD787A">
        <w:rPr>
          <w:rFonts w:ascii="Verdana" w:hAnsi="Verdana" w:cs="Arial"/>
          <w:color w:val="000000" w:themeColor="text1"/>
          <w:lang w:val="es-ES"/>
        </w:rPr>
        <w:t>iii</w:t>
      </w:r>
      <w:proofErr w:type="spellEnd"/>
      <w:r w:rsidRPr="00BD787A">
        <w:rPr>
          <w:rFonts w:ascii="Verdana" w:hAnsi="Verdana" w:cs="Arial"/>
          <w:color w:val="000000" w:themeColor="text1"/>
          <w:lang w:val="es-ES"/>
        </w:rPr>
        <w:t xml:space="preserve">) la capacidad financiera y </w:t>
      </w:r>
      <w:proofErr w:type="spellStart"/>
      <w:r w:rsidRPr="00BD787A">
        <w:rPr>
          <w:rFonts w:ascii="Verdana" w:hAnsi="Verdana" w:cs="Arial"/>
          <w:color w:val="000000" w:themeColor="text1"/>
          <w:lang w:val="es-ES"/>
        </w:rPr>
        <w:t>iv</w:t>
      </w:r>
      <w:proofErr w:type="spellEnd"/>
      <w:r w:rsidRPr="00BD787A">
        <w:rPr>
          <w:rFonts w:ascii="Verdana" w:hAnsi="Verdana" w:cs="Arial"/>
          <w:color w:val="000000" w:themeColor="text1"/>
          <w:lang w:val="es-ES"/>
        </w:rPr>
        <w:t xml:space="preserve">) la capacidad de organización. En efecto, la normativa citada prescribe lo siguiente: </w:t>
      </w:r>
    </w:p>
    <w:p w14:paraId="64645E6C" w14:textId="77777777" w:rsidR="00F01D3E" w:rsidRPr="00BD787A" w:rsidRDefault="00F01D3E" w:rsidP="00F01D3E">
      <w:pPr>
        <w:spacing w:after="0" w:line="276" w:lineRule="auto"/>
        <w:ind w:firstLine="708"/>
        <w:jc w:val="both"/>
        <w:rPr>
          <w:rFonts w:ascii="Verdana" w:hAnsi="Verdana" w:cs="Arial"/>
          <w:color w:val="000000" w:themeColor="text1"/>
        </w:rPr>
      </w:pPr>
    </w:p>
    <w:p w14:paraId="798752A9" w14:textId="77777777" w:rsidR="00F01D3E" w:rsidRPr="00BD787A" w:rsidRDefault="00F01D3E" w:rsidP="00F01D3E">
      <w:pPr>
        <w:spacing w:after="0" w:line="240" w:lineRule="auto"/>
        <w:ind w:left="709" w:right="709"/>
        <w:rPr>
          <w:rFonts w:ascii="Verdana" w:hAnsi="Verdana" w:cs="Arial"/>
          <w:color w:val="000000" w:themeColor="text1"/>
          <w:sz w:val="20"/>
          <w:szCs w:val="20"/>
          <w:lang w:val="es-ES_tradnl"/>
        </w:rPr>
      </w:pPr>
      <w:r w:rsidRPr="00BD787A">
        <w:rPr>
          <w:rFonts w:ascii="Verdana" w:hAnsi="Verdana" w:cs="Arial"/>
          <w:i/>
          <w:color w:val="000000" w:themeColor="text1"/>
          <w:sz w:val="20"/>
          <w:szCs w:val="20"/>
          <w:lang w:val="es-ES_tradnl"/>
        </w:rPr>
        <w:t>“</w:t>
      </w:r>
      <w:r w:rsidRPr="00BD787A">
        <w:rPr>
          <w:rFonts w:ascii="Verdana" w:hAnsi="Verdana" w:cs="Arial"/>
          <w:color w:val="000000" w:themeColor="text1"/>
          <w:sz w:val="20"/>
          <w:szCs w:val="20"/>
          <w:lang w:val="es-ES_tradnl"/>
        </w:rPr>
        <w:t xml:space="preserve">Artículo 5. De la Selección Objetiva. </w:t>
      </w:r>
    </w:p>
    <w:p w14:paraId="577B2025" w14:textId="77777777" w:rsidR="00F01D3E" w:rsidRPr="00BD787A" w:rsidRDefault="00F01D3E" w:rsidP="00F01D3E">
      <w:pPr>
        <w:spacing w:after="0" w:line="240" w:lineRule="auto"/>
        <w:ind w:left="709" w:right="709"/>
        <w:rPr>
          <w:rFonts w:ascii="Verdana" w:hAnsi="Verdana" w:cs="Arial"/>
          <w:color w:val="000000" w:themeColor="text1"/>
          <w:sz w:val="20"/>
          <w:szCs w:val="20"/>
          <w:lang w:val="es-ES_tradnl"/>
        </w:rPr>
      </w:pPr>
      <w:r w:rsidRPr="00BD787A">
        <w:rPr>
          <w:rFonts w:ascii="Verdana" w:hAnsi="Verdana" w:cs="Arial"/>
          <w:color w:val="000000" w:themeColor="text1"/>
          <w:sz w:val="20"/>
          <w:szCs w:val="20"/>
          <w:lang w:val="es-ES_tradnl"/>
        </w:rPr>
        <w:t>[…]</w:t>
      </w:r>
    </w:p>
    <w:p w14:paraId="298D03EF" w14:textId="77777777" w:rsidR="00F01D3E" w:rsidRPr="00BD787A" w:rsidRDefault="00F01D3E" w:rsidP="00F01D3E">
      <w:pPr>
        <w:spacing w:after="0" w:line="240" w:lineRule="auto"/>
        <w:ind w:left="709" w:right="709"/>
        <w:contextualSpacing/>
        <w:jc w:val="both"/>
        <w:rPr>
          <w:rFonts w:ascii="Verdana" w:eastAsia="Calibri" w:hAnsi="Verdana" w:cs="Arial"/>
          <w:color w:val="000000" w:themeColor="text1"/>
          <w:sz w:val="20"/>
          <w:szCs w:val="20"/>
          <w:lang w:val="es-ES"/>
        </w:rPr>
      </w:pPr>
      <w:r w:rsidRPr="00BD787A">
        <w:rPr>
          <w:rFonts w:ascii="Verdana" w:eastAsia="Calibri" w:hAnsi="Verdana" w:cs="Arial"/>
          <w:color w:val="000000" w:themeColor="text1"/>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BD787A">
        <w:rPr>
          <w:rFonts w:ascii="Verdana" w:eastAsia="Calibri" w:hAnsi="Verdana" w:cs="Arial"/>
          <w:i/>
          <w:color w:val="000000" w:themeColor="text1"/>
          <w:sz w:val="20"/>
          <w:szCs w:val="20"/>
          <w:lang w:val="es-ES"/>
        </w:rPr>
        <w:t>”</w:t>
      </w:r>
      <w:r w:rsidRPr="00BD787A">
        <w:rPr>
          <w:rFonts w:ascii="Verdana" w:eastAsia="Calibri" w:hAnsi="Verdana" w:cs="Arial"/>
          <w:color w:val="000000" w:themeColor="text1"/>
          <w:sz w:val="20"/>
          <w:szCs w:val="20"/>
          <w:lang w:val="es-ES"/>
        </w:rPr>
        <w:t>.</w:t>
      </w:r>
    </w:p>
    <w:p w14:paraId="21DCAF28" w14:textId="77777777" w:rsidR="00F01D3E" w:rsidRPr="00BD787A" w:rsidRDefault="00F01D3E" w:rsidP="00F01D3E">
      <w:pPr>
        <w:spacing w:after="0" w:line="276" w:lineRule="auto"/>
        <w:ind w:right="709"/>
        <w:jc w:val="both"/>
        <w:rPr>
          <w:rFonts w:ascii="Verdana" w:eastAsia="Calibri" w:hAnsi="Verdana" w:cs="Arial"/>
          <w:color w:val="000000" w:themeColor="text1"/>
          <w:lang w:val="es-ES_tradnl"/>
        </w:rPr>
      </w:pPr>
    </w:p>
    <w:p w14:paraId="2A386860" w14:textId="77777777" w:rsidR="00F01D3E" w:rsidRPr="00E7745C" w:rsidRDefault="00F01D3E" w:rsidP="00F01D3E">
      <w:pPr>
        <w:spacing w:after="120" w:line="276" w:lineRule="auto"/>
        <w:ind w:firstLine="708"/>
        <w:jc w:val="both"/>
        <w:rPr>
          <w:rFonts w:ascii="Verdana" w:eastAsia="Calibri" w:hAnsi="Verdana" w:cs="Arial"/>
          <w:lang w:val="es-ES" w:eastAsia="es-MX"/>
        </w:rPr>
      </w:pPr>
      <w:r w:rsidRPr="00E7745C">
        <w:rPr>
          <w:rFonts w:ascii="Verdana" w:hAnsi="Verdana"/>
        </w:rPr>
        <w:lastRenderedPageBreak/>
        <w:t>Ahora bien, el artículo 6 de la Ley 1150 de 2007, establece que “todas las personas naturales o jurídicas, nacionales o extranjeras, domiciliadas o con sucursal en Colombia, que aspiren celebrar contratos con las entidades estatales, deberán estar inscritas en el Registro Único de Proponentes (RUP)</w:t>
      </w:r>
      <w:r w:rsidRPr="00E7745C">
        <w:rPr>
          <w:rStyle w:val="Refdenotaalpie"/>
          <w:rFonts w:ascii="Verdana" w:eastAsia="Calibri" w:hAnsi="Verdana"/>
          <w:lang w:val="es-ES"/>
        </w:rPr>
        <w:footnoteReference w:id="1"/>
      </w:r>
      <w:r w:rsidRPr="00E7745C">
        <w:rPr>
          <w:rFonts w:ascii="Verdana" w:hAnsi="Verdana"/>
        </w:rPr>
        <w:t xml:space="preserve">”. En dicho registro constará la información relacionada previamente con la experiencia, capacidad jurídica, financiera y de organización del proponente y su clasificación la cual ha tenido que ser acreditada con certificaciones y soportes ante las Cámaras de Comercio para que se surta su inscripción. Estos soportes en el caso de la experiencia igual podrán provenir de empresas nacionales o extranjeras, entidades públicas o privadas.  </w:t>
      </w:r>
    </w:p>
    <w:p w14:paraId="5108F25B" w14:textId="77777777" w:rsidR="00F01D3E" w:rsidRPr="00E7745C" w:rsidRDefault="00F01D3E" w:rsidP="00F01D3E">
      <w:pPr>
        <w:spacing w:after="120" w:line="276" w:lineRule="auto"/>
        <w:ind w:firstLine="708"/>
        <w:jc w:val="both"/>
        <w:rPr>
          <w:rFonts w:ascii="Verdana" w:eastAsia="Calibri" w:hAnsi="Verdana" w:cs="Arial"/>
          <w:lang w:val="es-ES" w:eastAsia="es-MX"/>
        </w:rPr>
      </w:pPr>
      <w:r w:rsidRPr="00E7745C">
        <w:rPr>
          <w:rFonts w:ascii="Verdana" w:hAnsi="Verdana"/>
        </w:rPr>
        <w:t xml:space="preserve">No obstante lo anterior, la norma </w:t>
      </w:r>
      <w:proofErr w:type="spellStart"/>
      <w:r w:rsidRPr="00E7745C">
        <w:rPr>
          <w:rFonts w:ascii="Verdana" w:hAnsi="Verdana"/>
        </w:rPr>
        <w:t>ibídem</w:t>
      </w:r>
      <w:proofErr w:type="spellEnd"/>
      <w:r w:rsidRPr="00E7745C">
        <w:rPr>
          <w:rFonts w:ascii="Verdana" w:hAnsi="Verdana"/>
        </w:rPr>
        <w:t xml:space="preserve"> también prescribe que </w:t>
      </w:r>
      <w:r w:rsidRPr="00E7745C">
        <w:rPr>
          <w:rFonts w:ascii="Verdana" w:hAnsi="Verdana"/>
          <w:i/>
          <w:iCs/>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5F4671D6" w14:textId="77777777" w:rsidR="00F01D3E" w:rsidRPr="00E56EC1" w:rsidRDefault="00F01D3E" w:rsidP="00F01D3E">
      <w:pPr>
        <w:spacing w:after="120" w:line="276" w:lineRule="auto"/>
        <w:ind w:firstLine="709"/>
        <w:jc w:val="both"/>
        <w:rPr>
          <w:rFonts w:ascii="Verdana" w:eastAsia="Calibri" w:hAnsi="Verdana"/>
        </w:rPr>
      </w:pPr>
      <w:r w:rsidRPr="00E7745C">
        <w:rPr>
          <w:rFonts w:ascii="Verdana" w:eastAsia="Calibri" w:hAnsi="Verdana"/>
        </w:rPr>
        <w:t>Por lo tanto, 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enumeró las excepciones en las cuales las entidades tienen la obligación de verificar los requisitos habilitantes de los proponentes</w:t>
      </w:r>
      <w:r w:rsidRPr="00E7745C">
        <w:rPr>
          <w:rStyle w:val="Refdenotaalpie"/>
          <w:rFonts w:ascii="Verdana" w:eastAsia="Calibri" w:hAnsi="Verdana"/>
        </w:rPr>
        <w:footnoteReference w:id="2"/>
      </w:r>
      <w:r w:rsidRPr="00E7745C">
        <w:rPr>
          <w:rFonts w:ascii="Verdana" w:eastAsia="Calibri" w:hAnsi="Verdana"/>
        </w:rPr>
        <w:t>.</w:t>
      </w:r>
    </w:p>
    <w:p w14:paraId="2C8A0459" w14:textId="77777777" w:rsidR="00F01D3E" w:rsidRPr="00E7745C" w:rsidRDefault="00F01D3E" w:rsidP="00F01D3E">
      <w:pPr>
        <w:spacing w:after="120" w:line="276" w:lineRule="auto"/>
        <w:ind w:firstLine="709"/>
        <w:jc w:val="both"/>
        <w:rPr>
          <w:rFonts w:ascii="Verdana" w:eastAsia="Times New Roman" w:hAnsi="Verdana" w:cs="Arial"/>
          <w:lang w:eastAsia="es-CO"/>
        </w:rPr>
      </w:pPr>
      <w:bookmarkStart w:id="3" w:name="_Hlk99548176"/>
      <w:r w:rsidRPr="00E7745C">
        <w:rPr>
          <w:rFonts w:ascii="Verdana" w:hAnsi="Verdana" w:cs="Arial"/>
          <w:lang w:val="es-ES"/>
        </w:rPr>
        <w:t xml:space="preserve">Con base en lo anterior, </w:t>
      </w:r>
      <w:r w:rsidRPr="00E7745C">
        <w:rPr>
          <w:rFonts w:ascii="Verdana" w:eastAsia="Times New Roman" w:hAnsi="Verdana" w:cs="Arial"/>
          <w:lang w:eastAsia="es-CO"/>
        </w:rPr>
        <w:t xml:space="preserve">para acreditar el cumplimiento de los requisitos habilitantes, las entidades estatales sometidas al Estatuto General de Contratación de la Administración Pública -EGCAP-, en virtud de lo establecido en el artículo 5 y 6 de la Ley 1150 de 2007, están obligadas a efectuar la </w:t>
      </w:r>
      <w:r w:rsidRPr="00E7745C">
        <w:rPr>
          <w:rFonts w:ascii="Verdana" w:eastAsia="Times New Roman" w:hAnsi="Verdana" w:cs="Arial"/>
          <w:lang w:eastAsia="es-CO"/>
        </w:rPr>
        <w:lastRenderedPageBreak/>
        <w:t>evaluación correspondiente teniendo en cuenta la información que reposa en el certificado del Registro Único de Proponentes -en adelante RUP-, documento que constituye plena prueba de la información que contiene</w:t>
      </w:r>
      <w:r w:rsidRPr="00E7745C">
        <w:rPr>
          <w:rFonts w:ascii="Verdana" w:eastAsia="Times New Roman" w:hAnsi="Verdana" w:cs="Times New Roman"/>
          <w:vertAlign w:val="superscript"/>
          <w:lang w:eastAsia="es-CO"/>
        </w:rPr>
        <w:footnoteReference w:id="3"/>
      </w:r>
      <w:r w:rsidRPr="00E7745C">
        <w:rPr>
          <w:rFonts w:ascii="Verdana" w:eastAsia="Times New Roman" w:hAnsi="Verdana" w:cs="Arial"/>
          <w:lang w:eastAsia="es-CO"/>
        </w:rPr>
        <w:t>,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w:t>
      </w:r>
    </w:p>
    <w:bookmarkEnd w:id="3"/>
    <w:p w14:paraId="45D5897F" w14:textId="77777777" w:rsidR="00F01D3E" w:rsidRPr="00E7745C" w:rsidRDefault="00F01D3E" w:rsidP="00F01D3E">
      <w:pPr>
        <w:spacing w:after="120" w:line="276" w:lineRule="auto"/>
        <w:ind w:firstLine="708"/>
        <w:jc w:val="both"/>
        <w:rPr>
          <w:rFonts w:ascii="Verdana" w:eastAsia="Times New Roman" w:hAnsi="Verdana" w:cs="Arial"/>
          <w:lang w:eastAsia="es-CO"/>
        </w:rPr>
      </w:pPr>
      <w:r w:rsidRPr="00E7745C">
        <w:rPr>
          <w:rFonts w:ascii="Verdana" w:eastAsia="Times New Roman" w:hAnsi="Verdana" w:cs="Arial"/>
          <w:lang w:eastAsia="es-CO"/>
        </w:rPr>
        <w:t>Dicha información debe tenerse en cuenta por las entidades en los procedimientos de contratación en los que es exigible el RUP. Así las cosas, los requisitos habilitantes deberán ser verificad</w:t>
      </w:r>
      <w:r>
        <w:rPr>
          <w:rFonts w:ascii="Verdana" w:eastAsia="Times New Roman" w:hAnsi="Verdana" w:cs="Arial"/>
          <w:lang w:eastAsia="es-CO"/>
        </w:rPr>
        <w:t>o</w:t>
      </w:r>
      <w:r w:rsidRPr="00E7745C">
        <w:rPr>
          <w:rFonts w:ascii="Verdana" w:eastAsia="Times New Roman" w:hAnsi="Verdana" w:cs="Arial"/>
          <w:lang w:eastAsia="es-CO"/>
        </w:rPr>
        <w:t>s exclusivamente a través del Registro Único de Proponentes, pues de acuerdo con lo expuesto, este documento es plena prueba de la información financiera, de experiencia y de capacidad acreditada por la persona natural o jurídica</w:t>
      </w:r>
      <w:r w:rsidRPr="00E7745C">
        <w:rPr>
          <w:rFonts w:ascii="Verdana" w:eastAsia="Times New Roman" w:hAnsi="Verdana" w:cs="Arial"/>
          <w:vertAlign w:val="superscript"/>
          <w:lang w:eastAsia="es-CO"/>
        </w:rPr>
        <w:footnoteReference w:id="4"/>
      </w:r>
      <w:r w:rsidRPr="00E7745C">
        <w:rPr>
          <w:rFonts w:ascii="Verdana" w:eastAsia="Times New Roman" w:hAnsi="Verdana" w:cs="Arial"/>
          <w:lang w:eastAsia="es-CO"/>
        </w:rPr>
        <w:t>.</w:t>
      </w:r>
    </w:p>
    <w:p w14:paraId="2C08ABB3" w14:textId="77777777" w:rsidR="00F01D3E" w:rsidRPr="00E7745C" w:rsidRDefault="00F01D3E" w:rsidP="00F01D3E">
      <w:pPr>
        <w:spacing w:after="120" w:line="276" w:lineRule="auto"/>
        <w:ind w:firstLine="709"/>
        <w:jc w:val="both"/>
        <w:rPr>
          <w:rFonts w:ascii="Verdana" w:eastAsia="Times New Roman" w:hAnsi="Verdana" w:cs="Arial"/>
          <w:lang w:eastAsia="es-CO"/>
        </w:rPr>
      </w:pPr>
      <w:bookmarkStart w:id="4" w:name="_Hlk99548308"/>
      <w:r w:rsidRPr="00E7745C">
        <w:rPr>
          <w:rFonts w:ascii="Verdana" w:eastAsia="Times New Roman" w:hAnsi="Verdana" w:cs="Arial"/>
          <w:lang w:eastAsia="es-CO"/>
        </w:rPr>
        <w:t>Debe anotarse que el RUP no es exigible en algunos procedimientos de contratación atrás enunciados, razón por la cual las entidades estatales deben verificar directamente el cumplimiento de los requisitos habilitantes</w:t>
      </w:r>
      <w:bookmarkEnd w:id="4"/>
      <w:r w:rsidRPr="00E7745C">
        <w:rPr>
          <w:rFonts w:ascii="Verdana" w:eastAsia="Times New Roman" w:hAnsi="Verdana" w:cs="Arial"/>
          <w:vertAlign w:val="superscript"/>
          <w:lang w:eastAsia="es-CO"/>
        </w:rPr>
        <w:footnoteReference w:id="5"/>
      </w:r>
      <w:r w:rsidRPr="00E7745C">
        <w:rPr>
          <w:rFonts w:ascii="Verdana" w:eastAsia="Times New Roman" w:hAnsi="Verdana" w:cs="Arial"/>
          <w:lang w:eastAsia="es-CO"/>
        </w:rPr>
        <w:t xml:space="preserve">. </w:t>
      </w:r>
      <w:r w:rsidRPr="00E7745C">
        <w:rPr>
          <w:rFonts w:ascii="Verdana" w:eastAsia="Times New Roman" w:hAnsi="Verdana" w:cs="Arial"/>
          <w:lang w:val="es-ES_tradnl" w:eastAsia="es-CO"/>
        </w:rPr>
        <w:t xml:space="preserve">Estas </w:t>
      </w:r>
      <w:r w:rsidRPr="00E7745C">
        <w:rPr>
          <w:rFonts w:ascii="Verdana" w:eastAsia="Times New Roman" w:hAnsi="Verdana" w:cs="Arial"/>
          <w:lang w:val="es-ES_tradnl" w:eastAsia="es-CO"/>
        </w:rPr>
        <w:lastRenderedPageBreak/>
        <w:t xml:space="preserve">excepciones son taxativas y se rigen por una interpretación restrictiva. Así lo dispone el artículo </w:t>
      </w:r>
      <w:bookmarkStart w:id="5" w:name="_Hlk190870073"/>
      <w:r w:rsidRPr="00E7745C">
        <w:rPr>
          <w:rFonts w:ascii="Verdana" w:eastAsia="Times New Roman" w:hAnsi="Verdana" w:cs="Arial"/>
          <w:lang w:val="es-ES_tradnl" w:eastAsia="es-CO"/>
        </w:rPr>
        <w:t>2.2.1.1.1.5.1. del Decreto 1082 de 2015</w:t>
      </w:r>
      <w:bookmarkEnd w:id="5"/>
      <w:r w:rsidRPr="00E7745C">
        <w:rPr>
          <w:rFonts w:ascii="Verdana" w:eastAsia="Times New Roman" w:hAnsi="Verdana" w:cs="Arial"/>
          <w:lang w:val="es-ES_tradnl" w:eastAsia="es-CO"/>
        </w:rPr>
        <w:t xml:space="preserve">, al prescribir que la inscripción en el RUP es imperativa para los sujetos mencionados en el primer inciso del artículo 6 de la Ley 1150 de 2007, salvo las excepciones previstas de forma taxativa en la ley. </w:t>
      </w:r>
      <w:r w:rsidRPr="00E7745C">
        <w:rPr>
          <w:rFonts w:ascii="Verdana" w:eastAsia="Times New Roman" w:hAnsi="Verdana" w:cs="Arial"/>
          <w:lang w:eastAsia="es-CO"/>
        </w:rPr>
        <w:t>Adicionalmente, en el numeral 6.1. del artículo 6 de la Ley 1150 de 2007 establece que cuando sea necesario verificar requisitos o información que no reposa en RUP, la entidad podrá solicitar información adicional solo para complementar la información contenida en el RUP</w:t>
      </w:r>
      <w:r w:rsidRPr="00E7745C">
        <w:rPr>
          <w:rFonts w:ascii="Verdana" w:eastAsia="Times New Roman" w:hAnsi="Verdana" w:cs="Arial"/>
          <w:vertAlign w:val="superscript"/>
          <w:lang w:eastAsia="es-CO"/>
        </w:rPr>
        <w:footnoteReference w:id="6"/>
      </w:r>
      <w:r w:rsidRPr="00E7745C">
        <w:rPr>
          <w:rFonts w:ascii="Verdana" w:eastAsia="Times New Roman" w:hAnsi="Verdana" w:cs="Arial"/>
          <w:lang w:eastAsia="es-CO"/>
        </w:rPr>
        <w:t>.</w:t>
      </w:r>
    </w:p>
    <w:p w14:paraId="63AFAE58" w14:textId="77777777" w:rsidR="00F01D3E" w:rsidRPr="00E7745C" w:rsidRDefault="00F01D3E" w:rsidP="00F01D3E">
      <w:pPr>
        <w:spacing w:after="120" w:line="276" w:lineRule="auto"/>
        <w:ind w:firstLine="709"/>
        <w:jc w:val="both"/>
        <w:rPr>
          <w:rFonts w:ascii="Verdana" w:eastAsia="Calibri" w:hAnsi="Verdana" w:cs="Arial"/>
          <w:lang w:eastAsia="es-CO"/>
        </w:rPr>
      </w:pPr>
      <w:bookmarkStart w:id="6" w:name="_Hlk63643037"/>
      <w:r w:rsidRPr="00E7745C">
        <w:rPr>
          <w:rFonts w:ascii="Verdana" w:eastAsia="Calibri" w:hAnsi="Verdana" w:cs="Arial"/>
          <w:lang w:eastAsia="es-CO"/>
        </w:rPr>
        <w:t>Sin perjuicio de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Pr="00E7745C">
        <w:rPr>
          <w:rFonts w:ascii="Verdana" w:eastAsia="Calibri" w:hAnsi="Verdana" w:cs="Arial"/>
          <w:vertAlign w:val="superscript"/>
          <w:lang w:eastAsia="es-CO"/>
        </w:rPr>
        <w:footnoteReference w:id="7"/>
      </w:r>
      <w:r w:rsidRPr="00E7745C">
        <w:rPr>
          <w:rFonts w:ascii="Verdana" w:eastAsia="Calibri" w:hAnsi="Verdana" w:cs="Arial"/>
          <w:lang w:eastAsia="es-CO"/>
        </w:rPr>
        <w:t xml:space="preserve">. En ambos supuestos,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qué documentos son adecuados y proporcionales para verificar el requisito de experiencia establecido. </w:t>
      </w:r>
    </w:p>
    <w:bookmarkEnd w:id="6"/>
    <w:p w14:paraId="65C04846" w14:textId="77777777" w:rsidR="00F01D3E" w:rsidRPr="000F1385" w:rsidRDefault="00F01D3E" w:rsidP="00F01D3E">
      <w:pPr>
        <w:widowControl w:val="0"/>
        <w:autoSpaceDE w:val="0"/>
        <w:autoSpaceDN w:val="0"/>
        <w:spacing w:after="0" w:line="276" w:lineRule="auto"/>
        <w:ind w:right="102" w:firstLine="607"/>
        <w:jc w:val="both"/>
        <w:rPr>
          <w:rFonts w:ascii="Verdana" w:eastAsia="Times New Roman" w:hAnsi="Verdana" w:cs="Arial"/>
        </w:rPr>
      </w:pPr>
      <w:r w:rsidRPr="000F1385">
        <w:rPr>
          <w:rFonts w:ascii="Verdana" w:eastAsia="Times New Roman" w:hAnsi="Verdana" w:cs="Arial"/>
          <w:lang w:val="es-ES"/>
        </w:rPr>
        <w:t xml:space="preserve">Al respecto, </w:t>
      </w:r>
      <w:r w:rsidRPr="000F1385">
        <w:rPr>
          <w:rFonts w:ascii="Verdana" w:eastAsia="Times New Roman" w:hAnsi="Verdana" w:cs="Arial"/>
        </w:rPr>
        <w:t>la Agencia Nacional de Contratación Pública - Colombia Compra Eficiente puso a disposición de los interesados del sistema de compra pública el “Manual para determinar y verificar requisitos habilitantes en los procesos de contratación”</w:t>
      </w:r>
      <w:r w:rsidRPr="000F1385">
        <w:rPr>
          <w:rFonts w:ascii="Verdana" w:eastAsia="Times New Roman" w:hAnsi="Verdana" w:cs="Arial"/>
          <w:vertAlign w:val="superscript"/>
        </w:rPr>
        <w:footnoteReference w:id="8"/>
      </w:r>
      <w:r w:rsidRPr="000F1385">
        <w:rPr>
          <w:rFonts w:ascii="Verdana" w:eastAsia="Times New Roman" w:hAnsi="Verdana" w:cs="Arial"/>
        </w:rPr>
        <w:t xml:space="preserve">, y en este de forma particular, se establecen una </w:t>
      </w:r>
      <w:r w:rsidRPr="000F1385">
        <w:rPr>
          <w:rFonts w:ascii="Verdana" w:eastAsia="Times New Roman" w:hAnsi="Verdana" w:cs="Arial"/>
        </w:rPr>
        <w:lastRenderedPageBreak/>
        <w:t xml:space="preserve">serie </w:t>
      </w:r>
      <w:r>
        <w:rPr>
          <w:rFonts w:ascii="Verdana" w:eastAsia="Times New Roman" w:hAnsi="Verdana" w:cs="Arial"/>
        </w:rPr>
        <w:t>de características que deben observarse</w:t>
      </w:r>
      <w:r w:rsidRPr="000F1385">
        <w:rPr>
          <w:rFonts w:ascii="Verdana" w:eastAsia="Times New Roman" w:hAnsi="Verdana" w:cs="Arial"/>
        </w:rPr>
        <w:t xml:space="preserve"> por parte de las entidades al establecer en sus invitaciones o pliego de condiciones los requerimientos o condiciones necesarias para poder llevar a cabo su verificación, como se detalla a continuación: </w:t>
      </w:r>
    </w:p>
    <w:p w14:paraId="1CA18B42" w14:textId="77777777" w:rsidR="00F01D3E" w:rsidRPr="000F1385" w:rsidRDefault="00F01D3E" w:rsidP="00F01D3E">
      <w:pPr>
        <w:widowControl w:val="0"/>
        <w:autoSpaceDE w:val="0"/>
        <w:autoSpaceDN w:val="0"/>
        <w:spacing w:after="0" w:line="276" w:lineRule="auto"/>
        <w:ind w:right="102" w:firstLine="607"/>
        <w:jc w:val="both"/>
        <w:rPr>
          <w:rFonts w:ascii="Verdana" w:eastAsia="Times New Roman" w:hAnsi="Verdana" w:cs="Arial"/>
        </w:rPr>
      </w:pPr>
    </w:p>
    <w:p w14:paraId="7C68370B" w14:textId="77777777" w:rsidR="00F01D3E" w:rsidRPr="005E450D" w:rsidRDefault="00F01D3E" w:rsidP="00F01D3E">
      <w:pPr>
        <w:widowControl w:val="0"/>
        <w:autoSpaceDE w:val="0"/>
        <w:autoSpaceDN w:val="0"/>
        <w:spacing w:after="0" w:line="240" w:lineRule="auto"/>
        <w:ind w:left="709" w:right="709"/>
        <w:jc w:val="both"/>
        <w:rPr>
          <w:rFonts w:ascii="Verdana" w:eastAsia="Times New Roman" w:hAnsi="Verdana" w:cs="Arial"/>
          <w:sz w:val="20"/>
          <w:szCs w:val="20"/>
        </w:rPr>
      </w:pPr>
      <w:r w:rsidRPr="005E450D">
        <w:rPr>
          <w:rFonts w:ascii="Verdana" w:eastAsia="Times New Roman" w:hAnsi="Verdana" w:cs="Arial"/>
          <w:sz w:val="20"/>
          <w:szCs w:val="20"/>
        </w:rPr>
        <w:t>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5E450D">
        <w:rPr>
          <w:rFonts w:ascii="Verdana" w:eastAsia="Times New Roman" w:hAnsi="Verdana" w:cs="Arial"/>
          <w:sz w:val="20"/>
          <w:szCs w:val="20"/>
          <w:vertAlign w:val="superscript"/>
        </w:rPr>
        <w:footnoteReference w:id="9"/>
      </w:r>
      <w:r w:rsidRPr="005E450D">
        <w:rPr>
          <w:rFonts w:ascii="Verdana" w:eastAsia="Times New Roman" w:hAnsi="Verdana" w:cs="Arial"/>
          <w:sz w:val="20"/>
          <w:szCs w:val="20"/>
        </w:rPr>
        <w:t xml:space="preserve">.  </w:t>
      </w:r>
    </w:p>
    <w:p w14:paraId="4514998E" w14:textId="77777777" w:rsidR="00F01D3E" w:rsidRPr="000F1385" w:rsidRDefault="00F01D3E" w:rsidP="00F01D3E">
      <w:pPr>
        <w:widowControl w:val="0"/>
        <w:autoSpaceDE w:val="0"/>
        <w:autoSpaceDN w:val="0"/>
        <w:spacing w:after="0" w:line="240" w:lineRule="auto"/>
        <w:ind w:left="709" w:right="709"/>
        <w:jc w:val="both"/>
        <w:rPr>
          <w:rFonts w:ascii="Verdana" w:eastAsia="Times New Roman" w:hAnsi="Verdana" w:cs="Arial"/>
          <w:sz w:val="21"/>
          <w:szCs w:val="21"/>
        </w:rPr>
      </w:pPr>
    </w:p>
    <w:p w14:paraId="4253C077" w14:textId="77777777" w:rsidR="00F01D3E" w:rsidRDefault="00F01D3E" w:rsidP="00F01D3E">
      <w:pPr>
        <w:widowControl w:val="0"/>
        <w:autoSpaceDE w:val="0"/>
        <w:autoSpaceDN w:val="0"/>
        <w:spacing w:after="120" w:line="276" w:lineRule="auto"/>
        <w:ind w:right="102" w:firstLine="607"/>
        <w:jc w:val="both"/>
        <w:rPr>
          <w:rFonts w:ascii="Verdana" w:eastAsia="Calibri" w:hAnsi="Verdana" w:cs="Arial"/>
          <w:lang w:eastAsia="es-CO"/>
        </w:rPr>
      </w:pPr>
      <w:r w:rsidRPr="000F1385">
        <w:rPr>
          <w:rFonts w:ascii="Verdana" w:eastAsia="Times New Roman" w:hAnsi="Verdana" w:cs="Arial"/>
          <w:lang w:val="es-ES"/>
        </w:rPr>
        <w:t>De lo anterior se precisa que las entidades al momento de establecer las condiciones para la verificación de experiencia, debe ser adecuada y proporcional a la naturaleza del contrato respecto</w:t>
      </w:r>
      <w:r>
        <w:rPr>
          <w:rFonts w:ascii="Verdana" w:eastAsia="Times New Roman" w:hAnsi="Verdana" w:cs="Arial"/>
          <w:lang w:val="es-ES"/>
        </w:rPr>
        <w:t xml:space="preserve"> al valor, complejidad y riesgo. Es decir, deben establecerse condiciones de verificación</w:t>
      </w:r>
      <w:r w:rsidRPr="000F1385">
        <w:rPr>
          <w:rFonts w:ascii="Verdana" w:eastAsia="Times New Roman" w:hAnsi="Verdana" w:cs="Arial"/>
          <w:lang w:val="es-ES"/>
        </w:rPr>
        <w:t xml:space="preserve"> </w:t>
      </w:r>
      <w:r>
        <w:rPr>
          <w:rFonts w:ascii="Verdana" w:eastAsia="Times New Roman" w:hAnsi="Verdana" w:cs="Arial"/>
          <w:lang w:val="es-ES"/>
        </w:rPr>
        <w:t xml:space="preserve">que sean similares </w:t>
      </w:r>
      <w:r w:rsidRPr="000F1385">
        <w:rPr>
          <w:rFonts w:ascii="Verdana" w:eastAsia="Times New Roman" w:hAnsi="Verdana" w:cs="Arial"/>
          <w:lang w:val="es-ES"/>
        </w:rPr>
        <w:t xml:space="preserve">a </w:t>
      </w:r>
      <w:r>
        <w:rPr>
          <w:rFonts w:ascii="Verdana" w:eastAsia="Times New Roman" w:hAnsi="Verdana" w:cs="Arial"/>
          <w:lang w:val="es-ES"/>
        </w:rPr>
        <w:t>al objeto del</w:t>
      </w:r>
      <w:r w:rsidRPr="000F1385">
        <w:rPr>
          <w:rFonts w:ascii="Verdana" w:eastAsia="Times New Roman" w:hAnsi="Verdana" w:cs="Arial"/>
          <w:lang w:val="es-ES"/>
        </w:rPr>
        <w:t xml:space="preserve"> proceso de contratación, o se establecieran condiciones de valor que no fueran proporcionales al presupuesto establecido para el futuro contrato. </w:t>
      </w:r>
    </w:p>
    <w:p w14:paraId="220B73F1" w14:textId="77777777" w:rsidR="00F01D3E" w:rsidRDefault="00F01D3E" w:rsidP="00F01D3E">
      <w:pPr>
        <w:widowControl w:val="0"/>
        <w:autoSpaceDE w:val="0"/>
        <w:autoSpaceDN w:val="0"/>
        <w:spacing w:after="120" w:line="276" w:lineRule="auto"/>
        <w:ind w:right="102"/>
        <w:jc w:val="both"/>
        <w:rPr>
          <w:rFonts w:ascii="Verdana" w:eastAsia="Times New Roman" w:hAnsi="Verdana" w:cs="Arial"/>
          <w:lang w:val="es-ES"/>
        </w:rPr>
      </w:pPr>
      <w:proofErr w:type="spellStart"/>
      <w:r>
        <w:rPr>
          <w:rFonts w:ascii="Verdana" w:eastAsia="Times New Roman" w:hAnsi="Verdana" w:cs="Arial"/>
          <w:lang w:val="es-ES"/>
        </w:rPr>
        <w:t>ii</w:t>
      </w:r>
      <w:proofErr w:type="spellEnd"/>
      <w:r>
        <w:rPr>
          <w:rFonts w:ascii="Verdana" w:eastAsia="Times New Roman" w:hAnsi="Verdana" w:cs="Arial"/>
          <w:lang w:val="es-ES"/>
        </w:rPr>
        <w:t xml:space="preserve">. </w:t>
      </w:r>
      <w:r w:rsidRPr="004E1B6E">
        <w:rPr>
          <w:rFonts w:ascii="Verdana" w:eastAsia="Times New Roman" w:hAnsi="Verdana" w:cs="Arial"/>
          <w:lang w:val="es-ES"/>
        </w:rPr>
        <w:t>Teniendo en cuenta el contenido de su consulta es necesario referirse a la acreditación del requisito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Pr>
          <w:rStyle w:val="Refdenotaalpie"/>
          <w:rFonts w:ascii="Verdana" w:eastAsia="Times New Roman" w:hAnsi="Verdana" w:cs="Arial"/>
          <w:lang w:val="es-ES"/>
        </w:rPr>
        <w:footnoteReference w:id="10"/>
      </w:r>
      <w:r w:rsidRPr="004E1B6E">
        <w:rPr>
          <w:rFonts w:ascii="Verdana" w:eastAsia="Times New Roman" w:hAnsi="Verdana" w:cs="Arial"/>
          <w:lang w:val="es-ES"/>
        </w:rPr>
        <w:t xml:space="preserve">. De esta manera, con el RUP se verifica que el proponente tenga experiencia en la ejecución del objeto que </w:t>
      </w:r>
      <w:r w:rsidRPr="004E1B6E">
        <w:rPr>
          <w:rFonts w:ascii="Verdana" w:eastAsia="Times New Roman" w:hAnsi="Verdana" w:cs="Arial"/>
          <w:lang w:val="es-ES"/>
        </w:rPr>
        <w:lastRenderedPageBreak/>
        <w:t>pretende contratar la entidad, esto es, que haya celebrado y ejecutado contratos que se asimilen a la necesidad que la entidad requiere satisfacer con el procedimiento contractual, sin que sea necesario que su objeto sea idéntico.</w:t>
      </w:r>
    </w:p>
    <w:p w14:paraId="2C6BAECE" w14:textId="77777777" w:rsidR="00F01D3E" w:rsidRDefault="00F01D3E" w:rsidP="00F01D3E">
      <w:pPr>
        <w:widowControl w:val="0"/>
        <w:autoSpaceDE w:val="0"/>
        <w:autoSpaceDN w:val="0"/>
        <w:spacing w:after="120" w:line="276" w:lineRule="auto"/>
        <w:ind w:right="102" w:firstLine="708"/>
        <w:jc w:val="both"/>
        <w:rPr>
          <w:rFonts w:ascii="Verdana" w:eastAsia="Times New Roman" w:hAnsi="Verdana" w:cs="Arial"/>
          <w:lang w:val="es-ES"/>
        </w:rPr>
      </w:pPr>
      <w:r w:rsidRPr="004E1B6E">
        <w:rPr>
          <w:rFonts w:ascii="Verdana" w:eastAsia="Times New Roman" w:hAnsi="Verdana" w:cs="Arial"/>
          <w:lang w:val="es-ES"/>
        </w:rPr>
        <w:t>Así las cosas, el requisito habilitante de experiencia en los procesos de selección de contratación estatal está regulado en el artículo 2.2.1.1.1.5.2 del Decreto 1082 de 2015, el cual establece que la experiencia debe ser acreditada mediante contratos que especifiquen su cuantía, permitiendo su valoración en</w:t>
      </w:r>
      <w:r>
        <w:rPr>
          <w:rFonts w:ascii="Verdana" w:eastAsia="Times New Roman" w:hAnsi="Verdana" w:cs="Arial"/>
          <w:lang w:val="es-ES"/>
        </w:rPr>
        <w:t xml:space="preserve"> </w:t>
      </w:r>
      <w:r w:rsidRPr="004E1B6E">
        <w:rPr>
          <w:rFonts w:ascii="Verdana" w:eastAsia="Times New Roman" w:hAnsi="Verdana" w:cs="Arial"/>
          <w:lang w:val="es-ES"/>
        </w:rPr>
        <w:t>salarios mínimos legales mensuales vigentes (SMLMV), conforme a lo exigido en el RUP</w:t>
      </w:r>
      <w:r>
        <w:rPr>
          <w:rFonts w:ascii="Verdana" w:eastAsia="Times New Roman" w:hAnsi="Verdana" w:cs="Arial"/>
          <w:lang w:val="es-ES"/>
        </w:rPr>
        <w:t>.</w:t>
      </w:r>
    </w:p>
    <w:p w14:paraId="3A1DEEE7" w14:textId="77777777" w:rsidR="00F01D3E" w:rsidRDefault="00F01D3E" w:rsidP="00F01D3E">
      <w:pPr>
        <w:widowControl w:val="0"/>
        <w:autoSpaceDE w:val="0"/>
        <w:autoSpaceDN w:val="0"/>
        <w:spacing w:after="120" w:line="276" w:lineRule="auto"/>
        <w:ind w:right="102" w:firstLine="708"/>
        <w:jc w:val="both"/>
        <w:rPr>
          <w:rFonts w:ascii="Verdana" w:eastAsia="Calibri" w:hAnsi="Verdana" w:cs="Arial"/>
          <w:lang w:eastAsia="es-CO"/>
        </w:rPr>
      </w:pPr>
      <w:r>
        <w:rPr>
          <w:rFonts w:ascii="Verdana" w:eastAsia="Times New Roman" w:hAnsi="Verdana" w:cs="Arial"/>
          <w:lang w:val="es-ES"/>
        </w:rPr>
        <w:t xml:space="preserve">Ahora bien, con respecto a la exigencia de la experiencia expresada en SMMLV, se acude a lo prescrito </w:t>
      </w:r>
      <w:r>
        <w:rPr>
          <w:rFonts w:ascii="Verdana" w:eastAsia="Calibri" w:hAnsi="Verdana" w:cs="Arial"/>
          <w:lang w:eastAsia="es-CO"/>
        </w:rPr>
        <w:t xml:space="preserve">en el </w:t>
      </w:r>
      <w:r>
        <w:rPr>
          <w:rFonts w:ascii="Verdana" w:eastAsia="Calibri" w:hAnsi="Verdana" w:cs="Arial"/>
          <w:bCs/>
          <w:lang w:eastAsia="es-CO"/>
        </w:rPr>
        <w:t>artículo 2.2.1.1.1.5.3. que establece que l</w:t>
      </w:r>
      <w:r w:rsidRPr="00362D47">
        <w:rPr>
          <w:rFonts w:ascii="Verdana" w:eastAsia="Calibri" w:hAnsi="Verdana" w:cs="Arial"/>
          <w:bCs/>
          <w:lang w:eastAsia="es-CO"/>
        </w:rPr>
        <w:t xml:space="preserve">as </w:t>
      </w:r>
      <w:r>
        <w:rPr>
          <w:rFonts w:ascii="Verdana" w:eastAsia="Calibri" w:hAnsi="Verdana" w:cs="Arial"/>
          <w:bCs/>
          <w:lang w:eastAsia="es-CO"/>
        </w:rPr>
        <w:t>C</w:t>
      </w:r>
      <w:r w:rsidRPr="00362D47">
        <w:rPr>
          <w:rFonts w:ascii="Verdana" w:eastAsia="Calibri" w:hAnsi="Verdana" w:cs="Arial"/>
          <w:bCs/>
          <w:lang w:eastAsia="es-CO"/>
        </w:rPr>
        <w:t>ámaras d</w:t>
      </w:r>
      <w:r>
        <w:rPr>
          <w:rFonts w:ascii="Verdana" w:eastAsia="Calibri" w:hAnsi="Verdana" w:cs="Arial"/>
          <w:bCs/>
          <w:lang w:eastAsia="es-CO"/>
        </w:rPr>
        <w:t xml:space="preserve">e Comercio deben verificar y certificar los requisitos habilitantes en el RUP, entre ellas, la experiencia que son aquellos contratos suscritos por el </w:t>
      </w:r>
      <w:r>
        <w:rPr>
          <w:rFonts w:ascii="Verdana" w:eastAsia="Calibri" w:hAnsi="Verdana" w:cs="Arial"/>
        </w:rPr>
        <w:t xml:space="preserve">interesado </w:t>
      </w:r>
      <w:r w:rsidRPr="00793CD1">
        <w:rPr>
          <w:rFonts w:ascii="Verdana" w:eastAsia="Calibri" w:hAnsi="Verdana" w:cs="Arial"/>
        </w:rPr>
        <w:t>para cada uno de los bienes</w:t>
      </w:r>
      <w:r>
        <w:rPr>
          <w:rFonts w:ascii="Verdana" w:eastAsia="Calibri" w:hAnsi="Verdana" w:cs="Arial"/>
        </w:rPr>
        <w:t>, obras y servicios que ofrece</w:t>
      </w:r>
      <w:r w:rsidRPr="00793CD1">
        <w:rPr>
          <w:rFonts w:ascii="Verdana" w:eastAsia="Calibri" w:hAnsi="Verdana" w:cs="Arial"/>
        </w:rPr>
        <w:t xml:space="preserve"> a las Entidades Estatales, identificados con el Clasificador de Bienes y Servicios en el tercer nivel</w:t>
      </w:r>
      <w:r>
        <w:rPr>
          <w:rFonts w:ascii="Verdana" w:eastAsia="Calibri" w:hAnsi="Verdana" w:cs="Arial"/>
        </w:rPr>
        <w:t xml:space="preserve"> y su valor expresado en SMMLV. </w:t>
      </w:r>
      <w:r w:rsidRPr="00793CD1">
        <w:rPr>
          <w:rFonts w:ascii="Verdana" w:eastAsia="Calibri" w:hAnsi="Verdana" w:cs="Arial"/>
          <w:lang w:eastAsia="es-CO"/>
        </w:rPr>
        <w:t>Los contratos celebrados por</w:t>
      </w:r>
      <w:r>
        <w:rPr>
          <w:rFonts w:ascii="Verdana" w:eastAsia="Calibri" w:hAnsi="Verdana" w:cs="Arial"/>
          <w:lang w:eastAsia="es-CO"/>
        </w:rPr>
        <w:t xml:space="preserve"> proponentes plurales, como los</w:t>
      </w:r>
      <w:r w:rsidRPr="00793CD1">
        <w:rPr>
          <w:rFonts w:ascii="Verdana" w:eastAsia="Calibri" w:hAnsi="Verdana" w:cs="Arial"/>
          <w:lang w:eastAsia="es-CO"/>
        </w:rPr>
        <w:t xml:space="preserve"> consorcios, uniones temporales y sociedades en las cuales el interesado tenga o haya tenido participación, para cada uno de los bienes, obras y servicios que ofrecerá a las Entidades Estatales, identificados con el Clasificador de Bienes y Servicios en el tercer nivel</w:t>
      </w:r>
      <w:r>
        <w:rPr>
          <w:rFonts w:ascii="Verdana" w:eastAsia="Calibri" w:hAnsi="Verdana" w:cs="Arial"/>
          <w:lang w:eastAsia="es-CO"/>
        </w:rPr>
        <w:t xml:space="preserve"> y su valor expresado en SMMLV. </w:t>
      </w:r>
      <w:r w:rsidRPr="002C2AB0">
        <w:rPr>
          <w:rFonts w:ascii="Verdana" w:eastAsia="Calibri" w:hAnsi="Verdana" w:cs="Arial"/>
          <w:lang w:val="es-ES_tradnl" w:eastAsia="es-CO"/>
        </w:rPr>
        <w:t xml:space="preserve">Esto significa que </w:t>
      </w:r>
      <w:r w:rsidRPr="002C2AB0">
        <w:rPr>
          <w:rFonts w:ascii="Verdana" w:eastAsia="Calibri" w:hAnsi="Verdana" w:cs="Arial"/>
          <w:lang w:eastAsia="es-CO"/>
        </w:rPr>
        <w:t>la experiencia registrada en el Registro Único de Proponentes (RUP) debe clasificarse conforme a dos criterios esenciales: el objeto del contrato y su valor económico, expresado en salarios mínimos legales mensuales vigentes (SMLMV), lo cual implica que la experiencia acreditada en el RUP debe derivarse de contratos que hayan generado una contraprestación económica, permitiendo su cuantificación.</w:t>
      </w:r>
    </w:p>
    <w:p w14:paraId="2962D422" w14:textId="77777777" w:rsidR="00F01D3E" w:rsidRPr="002C2AB0" w:rsidRDefault="00F01D3E" w:rsidP="00F01D3E">
      <w:pPr>
        <w:widowControl w:val="0"/>
        <w:autoSpaceDE w:val="0"/>
        <w:autoSpaceDN w:val="0"/>
        <w:spacing w:after="120" w:line="276" w:lineRule="auto"/>
        <w:ind w:right="102" w:firstLine="607"/>
        <w:jc w:val="both"/>
        <w:rPr>
          <w:rFonts w:ascii="Verdana" w:eastAsia="Times New Roman" w:hAnsi="Verdana" w:cs="Arial"/>
        </w:rPr>
      </w:pPr>
      <w:r>
        <w:rPr>
          <w:rFonts w:ascii="Verdana" w:eastAsia="Calibri" w:hAnsi="Verdana" w:cs="Arial"/>
          <w:lang w:eastAsia="es-CO"/>
        </w:rPr>
        <w:t xml:space="preserve">Esta exigencia de la experiencia hechas por las Cámaras de Comercio implica que la experiencia que establezca las entidades estatales en procesos de contratación, donde sea obligatoria el RUP debe ser coherente a esta, es decir, atender a los Códigos de Clasificación de Bienes y Servicios en el tener nivel y su valor cuantificado en SMMLV. </w:t>
      </w:r>
      <w:r>
        <w:rPr>
          <w:rFonts w:ascii="Verdana" w:eastAsia="Times New Roman" w:hAnsi="Verdana" w:cs="Arial"/>
          <w:lang w:val="es-ES"/>
        </w:rPr>
        <w:t xml:space="preserve">En estos términos, </w:t>
      </w:r>
      <w:r w:rsidRPr="000F1385">
        <w:rPr>
          <w:rFonts w:ascii="Verdana" w:eastAsia="Times New Roman" w:hAnsi="Verdana" w:cs="Arial"/>
          <w:lang w:val="es-ES"/>
        </w:rPr>
        <w:t xml:space="preserve">para efectos de evaluar la experiencia en los pliegos de condiciones, </w:t>
      </w:r>
      <w:r w:rsidRPr="000F1385">
        <w:rPr>
          <w:rFonts w:ascii="Verdana" w:eastAsia="Times New Roman" w:hAnsi="Verdana" w:cs="Arial"/>
          <w:lang w:val="es-ES_tradnl"/>
        </w:rPr>
        <w:t>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w:t>
      </w:r>
      <w:r>
        <w:rPr>
          <w:rFonts w:ascii="Verdana" w:eastAsia="Times New Roman" w:hAnsi="Verdana" w:cs="Arial"/>
          <w:lang w:val="es-ES_tradnl"/>
        </w:rPr>
        <w:t xml:space="preserve"> expresada en SMMLV</w:t>
      </w:r>
      <w:r w:rsidRPr="000F1385">
        <w:rPr>
          <w:rFonts w:ascii="Verdana" w:eastAsia="Times New Roman" w:hAnsi="Verdana" w:cs="Arial"/>
          <w:lang w:val="es-ES_tradnl"/>
        </w:rPr>
        <w:t>.</w:t>
      </w:r>
      <w:r>
        <w:rPr>
          <w:rFonts w:ascii="Verdana" w:eastAsia="Times New Roman" w:hAnsi="Verdana" w:cs="Arial"/>
          <w:lang w:val="es-ES_tradnl"/>
        </w:rPr>
        <w:t xml:space="preserve"> </w:t>
      </w:r>
    </w:p>
    <w:p w14:paraId="4F70E961" w14:textId="77777777" w:rsidR="00F01D3E" w:rsidRPr="007F10D6" w:rsidRDefault="00F01D3E" w:rsidP="00F01D3E">
      <w:pPr>
        <w:widowControl w:val="0"/>
        <w:autoSpaceDE w:val="0"/>
        <w:autoSpaceDN w:val="0"/>
        <w:spacing w:before="120" w:after="120" w:line="276" w:lineRule="auto"/>
        <w:ind w:right="102" w:firstLine="607"/>
        <w:jc w:val="both"/>
        <w:rPr>
          <w:rFonts w:ascii="Verdana" w:eastAsia="Times New Roman" w:hAnsi="Verdana" w:cs="Arial"/>
        </w:rPr>
      </w:pPr>
      <w:r>
        <w:rPr>
          <w:rFonts w:ascii="Verdana" w:eastAsia="Times New Roman" w:hAnsi="Verdana" w:cs="Arial"/>
        </w:rPr>
        <w:t>En torno a la necesidad de que la experiencia contractual sea expresada</w:t>
      </w:r>
      <w:r w:rsidRPr="007F10D6">
        <w:rPr>
          <w:rFonts w:ascii="Verdana" w:eastAsia="Times New Roman" w:hAnsi="Verdana" w:cs="Arial"/>
        </w:rPr>
        <w:t xml:space="preserve"> </w:t>
      </w:r>
      <w:r w:rsidRPr="007F10D6">
        <w:rPr>
          <w:rFonts w:ascii="Verdana" w:eastAsia="Times New Roman" w:hAnsi="Verdana" w:cs="Arial"/>
        </w:rPr>
        <w:lastRenderedPageBreak/>
        <w:t>salarios mínimos mensuales lega</w:t>
      </w:r>
      <w:r>
        <w:rPr>
          <w:rFonts w:ascii="Verdana" w:eastAsia="Times New Roman" w:hAnsi="Verdana" w:cs="Arial"/>
        </w:rPr>
        <w:t xml:space="preserve">les vigentes (SMLMV) se usa como un parámetro técnico </w:t>
      </w:r>
      <w:r w:rsidRPr="007F10D6">
        <w:rPr>
          <w:rFonts w:ascii="Verdana" w:eastAsia="Times New Roman" w:hAnsi="Verdana" w:cs="Arial"/>
        </w:rPr>
        <w:t>para evaluar y comparar la capacidad de un contratista en proc</w:t>
      </w:r>
      <w:r>
        <w:rPr>
          <w:rFonts w:ascii="Verdana" w:eastAsia="Times New Roman" w:hAnsi="Verdana" w:cs="Arial"/>
        </w:rPr>
        <w:t>esos de contratación estatal, posibilitando establecer</w:t>
      </w:r>
      <w:r w:rsidRPr="007F10D6">
        <w:rPr>
          <w:rFonts w:ascii="Verdana" w:eastAsia="Times New Roman" w:hAnsi="Verdana" w:cs="Arial"/>
        </w:rPr>
        <w:t xml:space="preserve"> un estándar objetivo frente a la fluc</w:t>
      </w:r>
      <w:r>
        <w:rPr>
          <w:rFonts w:ascii="Verdana" w:eastAsia="Times New Roman" w:hAnsi="Verdana" w:cs="Arial"/>
        </w:rPr>
        <w:t>tuación del valor de la moneda dentro del mercado.</w:t>
      </w:r>
      <w:r w:rsidRPr="007F10D6">
        <w:rPr>
          <w:rFonts w:ascii="Verdana" w:eastAsia="Calibri" w:hAnsi="Verdana" w:cs="Arial"/>
          <w:lang w:eastAsia="es-CO"/>
        </w:rPr>
        <w:t xml:space="preserve"> </w:t>
      </w:r>
      <w:r>
        <w:rPr>
          <w:rFonts w:ascii="Verdana" w:eastAsia="Times New Roman" w:hAnsi="Verdana" w:cs="Arial"/>
        </w:rPr>
        <w:t>Esto, facilita la comparación d</w:t>
      </w:r>
      <w:r w:rsidRPr="007F10D6">
        <w:rPr>
          <w:rFonts w:ascii="Verdana" w:eastAsia="Times New Roman" w:hAnsi="Verdana" w:cs="Arial"/>
        </w:rPr>
        <w:t>e manera justa la experiencia de diferentes oferentes, ya que el valor de los SMLMV cambia anualmente, estandarizando la experiencia requerida en un momento determinado.</w:t>
      </w:r>
    </w:p>
    <w:p w14:paraId="39B5FD97" w14:textId="77777777" w:rsidR="00F01D3E" w:rsidRDefault="00F01D3E" w:rsidP="00F01D3E">
      <w:pPr>
        <w:spacing w:after="120" w:line="276" w:lineRule="auto"/>
        <w:ind w:firstLine="709"/>
        <w:jc w:val="both"/>
        <w:rPr>
          <w:rFonts w:ascii="Verdana" w:eastAsia="Times New Roman" w:hAnsi="Verdana" w:cs="Arial"/>
          <w:u w:val="single"/>
          <w:bdr w:val="none" w:sz="0" w:space="0" w:color="auto" w:frame="1"/>
          <w:lang w:val="es-MX" w:eastAsia="es-CO"/>
        </w:rPr>
      </w:pPr>
      <w:r>
        <w:rPr>
          <w:rFonts w:ascii="Verdana" w:eastAsia="Calibri" w:hAnsi="Verdana" w:cs="Arial"/>
          <w:lang w:val="es-ES_tradnl" w:eastAsia="es-CO"/>
        </w:rPr>
        <w:t>Ahora bien, en los casos que no se exija el RUP</w:t>
      </w:r>
      <w:r>
        <w:rPr>
          <w:rFonts w:ascii="Verdana" w:eastAsia="Calibri" w:hAnsi="Verdana" w:cs="Arial"/>
          <w:lang w:eastAsia="es-CO"/>
        </w:rPr>
        <w:t>, la entidad</w:t>
      </w:r>
      <w:r w:rsidRPr="00E7745C">
        <w:rPr>
          <w:rFonts w:ascii="Verdana" w:eastAsia="Calibri" w:hAnsi="Verdana" w:cs="Arial"/>
          <w:lang w:eastAsia="es-CO"/>
        </w:rPr>
        <w:t xml:space="preserve"> </w:t>
      </w:r>
      <w:r>
        <w:rPr>
          <w:rFonts w:ascii="Verdana" w:eastAsia="Calibri" w:hAnsi="Verdana" w:cs="Arial"/>
          <w:lang w:eastAsia="es-CO"/>
        </w:rPr>
        <w:t xml:space="preserve">si decide establecer </w:t>
      </w:r>
      <w:r w:rsidRPr="007D63DE">
        <w:rPr>
          <w:rFonts w:ascii="Verdana" w:eastAsia="Calibri" w:hAnsi="Verdana" w:cs="Arial"/>
          <w:lang w:eastAsia="es-CO"/>
        </w:rPr>
        <w:t>requisitos ha</w:t>
      </w:r>
      <w:r>
        <w:rPr>
          <w:rFonts w:ascii="Verdana" w:eastAsia="Calibri" w:hAnsi="Verdana" w:cs="Arial"/>
          <w:lang w:eastAsia="es-CO"/>
        </w:rPr>
        <w:t>bilitantes de experiencia, debe</w:t>
      </w:r>
      <w:r w:rsidRPr="007D63DE">
        <w:rPr>
          <w:rFonts w:ascii="Verdana" w:eastAsia="Calibri" w:hAnsi="Verdana" w:cs="Arial"/>
          <w:lang w:eastAsia="es-CO"/>
        </w:rPr>
        <w:t xml:space="preserve"> solicitar la documentación que lo acredite, tales como copias de contratos, actas de recibo a satisfacción, actas de liquidación o certificados expedidos por terceros que hayan recibido del oferente los bienes, obras o servicios objeto del proceso de contratación</w:t>
      </w:r>
      <w:r>
        <w:rPr>
          <w:rFonts w:ascii="Verdana" w:eastAsia="Calibri" w:hAnsi="Verdana" w:cs="Arial"/>
          <w:lang w:eastAsia="es-CO"/>
        </w:rPr>
        <w:t xml:space="preserve">, en la cual podrán definir que la forma de calcular la experiencia sea expresada en SMMLV, lo cual posibilita comparar de manera más ajustada y proporcional a la experiencia de los proponentes. </w:t>
      </w:r>
      <w:r w:rsidRPr="000F1385">
        <w:rPr>
          <w:rFonts w:ascii="Verdana" w:eastAsia="Times New Roman" w:hAnsi="Verdana" w:cs="Arial"/>
          <w:u w:val="single"/>
          <w:bdr w:val="none" w:sz="0" w:space="0" w:color="auto" w:frame="1"/>
          <w:lang w:val="es-MX" w:eastAsia="es-CO"/>
        </w:rPr>
        <w:t xml:space="preserve"> </w:t>
      </w:r>
    </w:p>
    <w:p w14:paraId="15CE4B0C" w14:textId="77777777" w:rsidR="00F01D3E" w:rsidRPr="00713F08" w:rsidRDefault="00F01D3E" w:rsidP="00F01D3E">
      <w:pPr>
        <w:spacing w:after="120" w:line="276" w:lineRule="auto"/>
        <w:ind w:firstLine="708"/>
        <w:jc w:val="both"/>
        <w:rPr>
          <w:rFonts w:ascii="Verdana" w:hAnsi="Verdana" w:cs="Arial"/>
          <w:bCs/>
          <w:lang w:eastAsia="es-ES" w:bidi="es-ES"/>
        </w:rPr>
      </w:pPr>
      <w:r>
        <w:rPr>
          <w:rFonts w:ascii="Verdana" w:hAnsi="Verdana" w:cs="Arial"/>
          <w:bCs/>
          <w:lang w:eastAsia="es-ES" w:bidi="es-ES"/>
        </w:rPr>
        <w:t>En todo caso, las Entidades Estatales deben establecer</w:t>
      </w:r>
      <w:r w:rsidRPr="00BD787A">
        <w:rPr>
          <w:rFonts w:ascii="Verdana" w:hAnsi="Verdana" w:cs="Arial"/>
          <w:bCs/>
          <w:lang w:eastAsia="es-ES" w:bidi="es-ES"/>
        </w:rPr>
        <w:t xml:space="preserve"> los requisitos habilitantes de forma adecuada y proporcional a la naturaleza y valor del contrato</w:t>
      </w:r>
      <w:r>
        <w:rPr>
          <w:rFonts w:ascii="Verdana" w:hAnsi="Verdana" w:cs="Arial"/>
          <w:bCs/>
          <w:lang w:eastAsia="es-ES" w:bidi="es-ES"/>
        </w:rPr>
        <w:t>, esto es, las condiciones exigidas correspondan a una relación directa con el objeto del contrato, de tal manera, que su acreditación sea congruente para evidenciar que el proponente es idóneo para ejecutar el contrato</w:t>
      </w:r>
      <w:r w:rsidRPr="00BD787A">
        <w:rPr>
          <w:rFonts w:ascii="Verdana" w:hAnsi="Verdana" w:cs="Arial"/>
          <w:bCs/>
          <w:lang w:eastAsia="es-ES" w:bidi="es-ES"/>
        </w:rPr>
        <w:t>.</w:t>
      </w:r>
      <w:r>
        <w:rPr>
          <w:rFonts w:ascii="Verdana" w:hAnsi="Verdana" w:cs="Arial"/>
          <w:bCs/>
          <w:lang w:eastAsia="es-ES" w:bidi="es-ES"/>
        </w:rPr>
        <w:t xml:space="preserve"> Para ello, la Agencia expresa: “</w:t>
      </w:r>
      <w:r>
        <w:rPr>
          <w:rFonts w:ascii="Verdana" w:eastAsia="Times New Roman" w:hAnsi="Verdana" w:cs="Arial"/>
          <w:bCs/>
          <w:lang w:eastAsia="es-MX"/>
        </w:rPr>
        <w:t xml:space="preserve">[…] </w:t>
      </w:r>
      <w:r w:rsidRPr="00BD787A">
        <w:rPr>
          <w:rFonts w:ascii="Verdana" w:hAnsi="Verdana" w:cs="Arial"/>
          <w:bCs/>
          <w:lang w:eastAsia="es-ES" w:bidi="es-ES"/>
        </w:rPr>
        <w:t>los requisitos que se establezcan deben ser proporcionales a las condiciones del contrato, de tal manera que los mismos no establezcan condiciones más allá de las necesarias para verificar la idoneidad requerida de los proponentes respecto del objeto ofertado, ya que lo contrario limita la libre concurrencia</w:t>
      </w:r>
      <w:r>
        <w:rPr>
          <w:rFonts w:ascii="Verdana" w:hAnsi="Verdana" w:cs="Arial"/>
          <w:bCs/>
          <w:lang w:eastAsia="es-ES" w:bidi="es-ES"/>
        </w:rPr>
        <w:t>”</w:t>
      </w:r>
      <w:r>
        <w:rPr>
          <w:rStyle w:val="Refdenotaalpie"/>
          <w:rFonts w:ascii="Verdana" w:hAnsi="Verdana" w:cs="Arial"/>
          <w:bCs/>
          <w:lang w:eastAsia="es-ES" w:bidi="es-ES"/>
        </w:rPr>
        <w:footnoteReference w:id="11"/>
      </w:r>
      <w:r w:rsidRPr="00BD787A">
        <w:rPr>
          <w:rFonts w:ascii="Verdana" w:hAnsi="Verdana" w:cs="Arial"/>
          <w:bCs/>
          <w:lang w:eastAsia="es-ES" w:bidi="es-ES"/>
        </w:rPr>
        <w:t xml:space="preserve">. </w:t>
      </w:r>
      <w:r>
        <w:rPr>
          <w:rFonts w:ascii="Verdana" w:hAnsi="Verdana" w:cs="Arial"/>
          <w:bCs/>
          <w:lang w:eastAsia="es-ES" w:bidi="es-ES"/>
        </w:rPr>
        <w:t xml:space="preserve"> </w:t>
      </w:r>
    </w:p>
    <w:p w14:paraId="2621BFE3" w14:textId="77777777" w:rsidR="00F01D3E" w:rsidRPr="00086DC3" w:rsidRDefault="00F01D3E" w:rsidP="00F01D3E">
      <w:pPr>
        <w:widowControl w:val="0"/>
        <w:autoSpaceDE w:val="0"/>
        <w:autoSpaceDN w:val="0"/>
        <w:spacing w:line="276" w:lineRule="auto"/>
        <w:ind w:firstLine="709"/>
        <w:jc w:val="both"/>
        <w:rPr>
          <w:rFonts w:ascii="Verdana" w:eastAsia="Calibri" w:hAnsi="Verdana" w:cs="Arial"/>
          <w:lang w:val="es-ES"/>
        </w:rPr>
      </w:pPr>
      <w:r w:rsidRPr="00086DC3">
        <w:rPr>
          <w:rFonts w:ascii="Verdana" w:eastAsia="Calibri" w:hAnsi="Verdana" w:cs="Arial"/>
        </w:rPr>
        <w:t xml:space="preserve">Finalmente, es pertinente indicar que la Agencia Nacional de Contratación Púbica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Estatuto General de Contratación de la Administración Pública.  </w:t>
      </w:r>
      <w:r w:rsidRPr="00086DC3">
        <w:rPr>
          <w:rFonts w:ascii="Verdana" w:eastAsia="Times New Roman" w:hAnsi="Verdana" w:cs="Times New Roman"/>
          <w:lang w:eastAsia="es-ES"/>
        </w:rPr>
        <w:t xml:space="preserve">En otras palabras, los conceptos de esta Agencia tienen como objeto la interpretación de normas de carácter </w:t>
      </w:r>
      <w:r w:rsidRPr="00086DC3">
        <w:rPr>
          <w:rFonts w:ascii="Verdana" w:eastAsia="Times New Roman" w:hAnsi="Verdana" w:cs="Times New Roman"/>
          <w:lang w:eastAsia="es-ES"/>
        </w:rPr>
        <w:lastRenderedPageBreak/>
        <w:t>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bookmarkEnd w:id="1"/>
    <w:bookmarkEnd w:id="2"/>
    <w:p w14:paraId="77CB279A" w14:textId="77777777" w:rsidR="00F01D3E" w:rsidRPr="00AF5064" w:rsidRDefault="00F01D3E" w:rsidP="00F01D3E">
      <w:pPr>
        <w:spacing w:after="0" w:line="276" w:lineRule="auto"/>
        <w:jc w:val="both"/>
        <w:rPr>
          <w:rFonts w:ascii="Verdana" w:eastAsia="Century Gothic" w:hAnsi="Verdana" w:cs="Century Gothic"/>
          <w:b/>
          <w:lang w:val="es-ES"/>
        </w:rPr>
      </w:pPr>
      <w:r w:rsidRPr="00AF5064">
        <w:rPr>
          <w:rFonts w:ascii="Verdana" w:eastAsia="Century Gothic" w:hAnsi="Verdana" w:cs="Century Gothic"/>
          <w:b/>
          <w:lang w:val="es-ES"/>
        </w:rPr>
        <w:t>4. Referencias normativas, jurisprudenciales y otras fuentes:</w:t>
      </w:r>
    </w:p>
    <w:p w14:paraId="47BB2B5E" w14:textId="77777777" w:rsidR="00F01D3E" w:rsidRPr="00447B41" w:rsidRDefault="00F01D3E" w:rsidP="00F01D3E">
      <w:pPr>
        <w:spacing w:after="0" w:line="276" w:lineRule="auto"/>
        <w:jc w:val="both"/>
        <w:rPr>
          <w:rFonts w:ascii="Verdana" w:eastAsia="Century Gothic" w:hAnsi="Verdana" w:cs="Century Gothic"/>
          <w:b/>
          <w:color w:val="EE0000"/>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01D3E" w:rsidRPr="00447B41" w14:paraId="13A1FF0A" w14:textId="77777777" w:rsidTr="004C6180">
        <w:trPr>
          <w:trHeight w:val="311"/>
        </w:trPr>
        <w:tc>
          <w:tcPr>
            <w:tcW w:w="8647" w:type="dxa"/>
          </w:tcPr>
          <w:p w14:paraId="727B88B1" w14:textId="77777777" w:rsidR="00F01D3E" w:rsidRPr="00C7185D" w:rsidRDefault="00F01D3E" w:rsidP="00F01D3E">
            <w:pPr>
              <w:widowControl w:val="0"/>
              <w:numPr>
                <w:ilvl w:val="0"/>
                <w:numId w:val="18"/>
              </w:numPr>
              <w:autoSpaceDE w:val="0"/>
              <w:autoSpaceDN w:val="0"/>
              <w:spacing w:line="276" w:lineRule="auto"/>
              <w:contextualSpacing/>
              <w:jc w:val="both"/>
              <w:rPr>
                <w:rFonts w:ascii="Verdana" w:eastAsia="Arial MT" w:hAnsi="Verdana" w:cs="Arial"/>
                <w:lang w:val="es-ES" w:eastAsia="es-ES" w:bidi="es-ES"/>
              </w:rPr>
            </w:pPr>
            <w:r w:rsidRPr="00712B24">
              <w:rPr>
                <w:rFonts w:ascii="Verdana" w:eastAsia="Arial MT" w:hAnsi="Verdana" w:cs="Arial"/>
                <w:lang w:val="es-ES" w:eastAsia="es-ES" w:bidi="es-ES"/>
              </w:rPr>
              <w:t>Ley 1150 de 2007. Artículo 5 y 6.</w:t>
            </w:r>
          </w:p>
          <w:p w14:paraId="0837DC73" w14:textId="77777777" w:rsidR="00F01D3E" w:rsidRDefault="00F01D3E" w:rsidP="00F01D3E">
            <w:pPr>
              <w:widowControl w:val="0"/>
              <w:numPr>
                <w:ilvl w:val="0"/>
                <w:numId w:val="18"/>
              </w:numPr>
              <w:autoSpaceDE w:val="0"/>
              <w:autoSpaceDN w:val="0"/>
              <w:spacing w:line="276" w:lineRule="auto"/>
              <w:contextualSpacing/>
              <w:jc w:val="both"/>
              <w:rPr>
                <w:rFonts w:ascii="Verdana" w:eastAsia="Arial MT" w:hAnsi="Verdana" w:cs="Arial"/>
                <w:lang w:val="es-ES" w:eastAsia="es-ES" w:bidi="es-ES"/>
              </w:rPr>
            </w:pPr>
            <w:r w:rsidRPr="00712B24">
              <w:rPr>
                <w:rFonts w:ascii="Verdana" w:eastAsia="Arial MT" w:hAnsi="Verdana" w:cs="Arial"/>
                <w:lang w:val="es-ES" w:eastAsia="es-ES" w:bidi="es-ES"/>
              </w:rPr>
              <w:t>Decreto 1082 de 2015. Artículo</w:t>
            </w:r>
            <w:r>
              <w:rPr>
                <w:rFonts w:ascii="Verdana" w:eastAsia="Arial MT" w:hAnsi="Verdana" w:cs="Arial"/>
                <w:lang w:val="es-ES" w:eastAsia="es-ES" w:bidi="es-ES"/>
              </w:rPr>
              <w:t xml:space="preserve"> </w:t>
            </w:r>
            <w:r w:rsidRPr="004D17F3">
              <w:rPr>
                <w:rFonts w:ascii="Verdana" w:hAnsi="Verdana"/>
                <w:lang w:val="es-ES"/>
              </w:rPr>
              <w:t>2.2.1.1.1.3.1,</w:t>
            </w:r>
            <w:r w:rsidRPr="004D17F3">
              <w:rPr>
                <w:rFonts w:ascii="Verdana" w:eastAsia="Times New Roman" w:hAnsi="Verdana" w:cs="Arial"/>
                <w:color w:val="000000" w:themeColor="text1"/>
                <w:lang w:val="es-ES_tradnl" w:eastAsia="es-MX"/>
              </w:rPr>
              <w:t xml:space="preserve"> </w:t>
            </w:r>
            <w:r w:rsidRPr="004D17F3">
              <w:rPr>
                <w:rFonts w:ascii="Verdana" w:hAnsi="Verdana"/>
                <w:lang w:val="es-ES_tradnl"/>
              </w:rPr>
              <w:t>2.2.1.1.1.5.1,</w:t>
            </w:r>
            <w:r w:rsidRPr="004D17F3">
              <w:rPr>
                <w:rFonts w:ascii="Verdana" w:hAnsi="Verdana"/>
                <w:lang w:val="es-ES"/>
              </w:rPr>
              <w:t xml:space="preserve"> </w:t>
            </w:r>
            <w:r w:rsidRPr="004D17F3">
              <w:rPr>
                <w:rFonts w:ascii="Verdana" w:eastAsia="Times New Roman" w:hAnsi="Verdana" w:cs="Arial"/>
                <w:color w:val="000000" w:themeColor="text1"/>
                <w:lang w:val="es-ES_tradnl" w:eastAsia="es-MX"/>
              </w:rPr>
              <w:t xml:space="preserve">2.2.1.1.1.5.2, </w:t>
            </w:r>
            <w:r w:rsidRPr="004D17F3">
              <w:rPr>
                <w:rFonts w:ascii="Verdana" w:eastAsia="Times New Roman" w:hAnsi="Verdana" w:cs="Arial"/>
                <w:color w:val="000000" w:themeColor="text1"/>
                <w:lang w:val="es-ES" w:eastAsia="es-MX"/>
              </w:rPr>
              <w:t xml:space="preserve">2.2.1.1.1.5.3., </w:t>
            </w:r>
            <w:r w:rsidRPr="004D17F3">
              <w:rPr>
                <w:rFonts w:ascii="Verdana" w:eastAsia="Arial MT" w:hAnsi="Verdana" w:cs="Arial"/>
                <w:lang w:val="es-ES"/>
              </w:rPr>
              <w:t>2.2.1.1.1.5.6.</w:t>
            </w:r>
          </w:p>
          <w:p w14:paraId="6210DBDA" w14:textId="77777777" w:rsidR="00F01D3E" w:rsidRPr="009F7076" w:rsidRDefault="00F01D3E" w:rsidP="00F01D3E">
            <w:pPr>
              <w:widowControl w:val="0"/>
              <w:numPr>
                <w:ilvl w:val="0"/>
                <w:numId w:val="18"/>
              </w:numPr>
              <w:autoSpaceDE w:val="0"/>
              <w:autoSpaceDN w:val="0"/>
              <w:spacing w:line="276" w:lineRule="auto"/>
              <w:contextualSpacing/>
              <w:jc w:val="both"/>
              <w:rPr>
                <w:rFonts w:ascii="Verdana" w:eastAsia="Arial MT" w:hAnsi="Verdana" w:cs="Arial"/>
                <w:sz w:val="32"/>
                <w:szCs w:val="32"/>
                <w:lang w:val="es-ES" w:eastAsia="es-ES" w:bidi="es-ES"/>
              </w:rPr>
            </w:pPr>
            <w:r w:rsidRPr="009F7076">
              <w:rPr>
                <w:rFonts w:ascii="Verdana" w:hAnsi="Verdana" w:cs="Arial"/>
              </w:rPr>
              <w:t xml:space="preserve">Consejo De Estado. Sección Tercera. Subsección A. Sentencia del 12 de febrero de 2014. </w:t>
            </w:r>
            <w:proofErr w:type="spellStart"/>
            <w:r w:rsidRPr="009F7076">
              <w:rPr>
                <w:rFonts w:ascii="Verdana" w:hAnsi="Verdana" w:cs="Arial"/>
              </w:rPr>
              <w:t>Exp</w:t>
            </w:r>
            <w:proofErr w:type="spellEnd"/>
            <w:r w:rsidRPr="009F7076">
              <w:rPr>
                <w:rFonts w:ascii="Verdana" w:hAnsi="Verdana" w:cs="Arial"/>
              </w:rPr>
              <w:t>. 31.753. C.P. Mauricio Fajardo Gómez</w:t>
            </w:r>
          </w:p>
          <w:p w14:paraId="3BCF1D40" w14:textId="77777777" w:rsidR="00F01D3E" w:rsidRPr="00447B41" w:rsidRDefault="00F01D3E" w:rsidP="00F01D3E">
            <w:pPr>
              <w:widowControl w:val="0"/>
              <w:numPr>
                <w:ilvl w:val="0"/>
                <w:numId w:val="18"/>
              </w:numPr>
              <w:autoSpaceDE w:val="0"/>
              <w:autoSpaceDN w:val="0"/>
              <w:spacing w:line="276" w:lineRule="auto"/>
              <w:jc w:val="both"/>
              <w:rPr>
                <w:rFonts w:ascii="Verdana" w:eastAsia="Calibri" w:hAnsi="Verdana" w:cs="Arial"/>
                <w:color w:val="EE0000"/>
                <w:lang w:val="es-ES"/>
              </w:rPr>
            </w:pPr>
            <w:r w:rsidRPr="00712B24">
              <w:rPr>
                <w:rFonts w:ascii="Verdana" w:eastAsia="Aptos" w:hAnsi="Verdana" w:cs="Arial"/>
                <w:lang w:val="es-ES_tradnl"/>
              </w:rPr>
              <w:t xml:space="preserve">Agencia Nacional de Contratación Pública – Colombia Compra Eficiente. Manual para determinar y verificar los requisitos habilitantes en los Procesos de Contratación. Disponible en: </w:t>
            </w:r>
            <w:hyperlink r:id="rId12" w:history="1">
              <w:r w:rsidRPr="00712B24">
                <w:rPr>
                  <w:rStyle w:val="Hipervnculo"/>
                  <w:rFonts w:ascii="Verdana" w:hAnsi="Verdana"/>
                </w:rPr>
                <w:t>Manual para determinar y verificar los requisitos habilitantes en los Procesos de Contratación – ANCP Colombia Compra Eficiente</w:t>
              </w:r>
            </w:hyperlink>
          </w:p>
        </w:tc>
      </w:tr>
    </w:tbl>
    <w:p w14:paraId="48C1CD7E" w14:textId="77777777" w:rsidR="00F01D3E" w:rsidRPr="00447B41" w:rsidRDefault="00F01D3E" w:rsidP="00F01D3E">
      <w:pPr>
        <w:widowControl w:val="0"/>
        <w:autoSpaceDE w:val="0"/>
        <w:autoSpaceDN w:val="0"/>
        <w:spacing w:after="0" w:line="276" w:lineRule="auto"/>
        <w:jc w:val="both"/>
        <w:rPr>
          <w:rFonts w:ascii="Verdana" w:hAnsi="Verdana" w:cs="Arial"/>
          <w:color w:val="EE0000"/>
          <w:lang w:val="es-ES"/>
        </w:rPr>
      </w:pPr>
    </w:p>
    <w:p w14:paraId="4DF530B7" w14:textId="77777777" w:rsidR="00F01D3E" w:rsidRPr="00AF5064" w:rsidRDefault="00F01D3E" w:rsidP="00F01D3E">
      <w:pPr>
        <w:tabs>
          <w:tab w:val="left" w:pos="142"/>
          <w:tab w:val="left" w:pos="284"/>
        </w:tabs>
        <w:spacing w:after="0" w:line="276" w:lineRule="auto"/>
        <w:jc w:val="both"/>
        <w:rPr>
          <w:rFonts w:ascii="Verdana" w:eastAsia="Century Gothic" w:hAnsi="Verdana" w:cs="Century Gothic"/>
          <w:b/>
          <w:lang w:val="es-ES"/>
        </w:rPr>
      </w:pPr>
      <w:r w:rsidRPr="00AF5064">
        <w:rPr>
          <w:rFonts w:ascii="Verdana" w:eastAsia="Century Gothic" w:hAnsi="Verdana" w:cs="Century Gothic"/>
          <w:b/>
          <w:lang w:val="es-ES"/>
        </w:rPr>
        <w:t>5. Doctrina de la Agencia Nacional de Contratación Pública:</w:t>
      </w:r>
    </w:p>
    <w:p w14:paraId="525AC36E" w14:textId="77777777" w:rsidR="00F01D3E" w:rsidRPr="00447B41" w:rsidRDefault="00F01D3E" w:rsidP="00F01D3E">
      <w:pPr>
        <w:tabs>
          <w:tab w:val="left" w:pos="142"/>
          <w:tab w:val="left" w:pos="284"/>
        </w:tabs>
        <w:spacing w:after="0" w:line="276" w:lineRule="auto"/>
        <w:jc w:val="both"/>
        <w:rPr>
          <w:rFonts w:ascii="Verdana" w:eastAsia="Century Gothic" w:hAnsi="Verdana" w:cs="Century Gothic"/>
          <w:b/>
          <w:color w:val="EE0000"/>
          <w:lang w:val="es-ES"/>
        </w:rPr>
      </w:pPr>
    </w:p>
    <w:p w14:paraId="7F0842D3" w14:textId="77777777" w:rsidR="00F01D3E" w:rsidRPr="00712B24" w:rsidRDefault="00F01D3E" w:rsidP="00F01D3E">
      <w:pPr>
        <w:spacing w:after="0"/>
        <w:jc w:val="both"/>
        <w:rPr>
          <w:rFonts w:ascii="Verdana" w:hAnsi="Verdana" w:cs="Arial"/>
          <w:color w:val="C45911" w:themeColor="accent2" w:themeShade="BF"/>
          <w:shd w:val="clear" w:color="auto" w:fill="FFFFFF"/>
          <w:lang w:val="es-ES"/>
        </w:rPr>
      </w:pPr>
      <w:r w:rsidRPr="00712B24">
        <w:rPr>
          <w:rFonts w:ascii="Verdana" w:eastAsia="Calibri" w:hAnsi="Verdana" w:cs="Arial"/>
          <w:lang w:val="es-ES"/>
        </w:rPr>
        <w:t xml:space="preserve">La Agencia Nacional de Contratación Pública – Colombia Compra Eficiente se ha referido </w:t>
      </w:r>
      <w:r w:rsidRPr="00712B24">
        <w:rPr>
          <w:rFonts w:ascii="Verdana" w:hAnsi="Verdana" w:cs="Arial"/>
          <w:shd w:val="clear" w:color="auto" w:fill="FFFFFF"/>
          <w:lang w:val="es-ES"/>
        </w:rPr>
        <w:t xml:space="preserve">sobre la acreditación de experiencia en los conceptos con radicado </w:t>
      </w:r>
      <w:r w:rsidRPr="00712B24">
        <w:rPr>
          <w:rFonts w:ascii="Verdana" w:eastAsia="Calibri" w:hAnsi="Verdana" w:cs="Arial"/>
          <w:lang w:eastAsia="es-ES_tradnl"/>
        </w:rPr>
        <w:t xml:space="preserve">C-725 del 25 de enero de 2022, C-034 del 2 de marzo de 2022, C-144 del 01 de abril de 2022, </w:t>
      </w:r>
      <w:r w:rsidRPr="00712B24">
        <w:rPr>
          <w:rFonts w:ascii="Verdana" w:hAnsi="Verdana" w:cs="Arial"/>
          <w:shd w:val="clear" w:color="auto" w:fill="FFFFFF"/>
          <w:lang w:val="es-ES"/>
        </w:rPr>
        <w:t xml:space="preserve">C- 223 del 25 de abril de 2022, </w:t>
      </w:r>
      <w:r w:rsidRPr="00712B24">
        <w:rPr>
          <w:rFonts w:ascii="Verdana" w:eastAsia="Calibri" w:hAnsi="Verdana" w:cs="Arial"/>
          <w:lang w:eastAsia="es-ES_tradnl"/>
        </w:rPr>
        <w:t>C-239 del 26 de julio de 2022, C-324 del 19 de mayo de 2022, C-447 del 19 de julio de 2022, C-456 del 15 de julio de 2022, C-592 del 20 de septiembre de 2022, C-623 del 29 de septiembre de 2022, C-837 del 6 de diciembre de 2022, C- 841 del 6 de diciembre de 2022, C-929 del 30 de diciembre de 2022, C-128 del 18 de mayo de 2023, C-146 de 13 de junio de 2023, C- 261 de 13 de julio de 2023, C-312 de julio de 2023,</w:t>
      </w:r>
      <w:r>
        <w:rPr>
          <w:rFonts w:ascii="Verdana" w:eastAsia="Calibri" w:hAnsi="Verdana" w:cs="Arial"/>
          <w:lang w:eastAsia="es-ES_tradnl"/>
        </w:rPr>
        <w:t xml:space="preserve"> C-287 del 16 de abril de 2025, C-160 del 20 de marzo de 2025, C-410 del 09 de mayo de 2025, C-568 del 24 de junio de 2025, C-755 del 23 de julio de 2025, C-804 del 30 de julio de 2025,</w:t>
      </w:r>
      <w:r w:rsidRPr="00712B24">
        <w:rPr>
          <w:rFonts w:ascii="Verdana" w:eastAsia="Calibri" w:hAnsi="Verdana" w:cs="Arial"/>
          <w:lang w:eastAsia="es-ES_tradnl"/>
        </w:rPr>
        <w:t xml:space="preserve"> </w:t>
      </w:r>
      <w:r>
        <w:rPr>
          <w:rFonts w:ascii="Verdana" w:eastAsia="Calibri" w:hAnsi="Verdana" w:cs="Arial"/>
          <w:lang w:eastAsia="es-ES_tradnl"/>
        </w:rPr>
        <w:t xml:space="preserve">C-1143 del 15 de septiembre de 2025, </w:t>
      </w:r>
      <w:r w:rsidRPr="00712B24">
        <w:rPr>
          <w:rFonts w:ascii="Verdana" w:eastAsia="Calibri" w:hAnsi="Verdana" w:cs="Arial"/>
          <w:lang w:eastAsia="es-ES_tradnl"/>
        </w:rPr>
        <w:t>C-1346 del 24 de octubre de 2025, C-1355 del 29 de octubre de 2025</w:t>
      </w:r>
      <w:r>
        <w:rPr>
          <w:rFonts w:ascii="Verdana" w:eastAsia="Calibri" w:hAnsi="Verdana" w:cs="Arial"/>
          <w:lang w:eastAsia="es-ES_tradnl"/>
        </w:rPr>
        <w:t>,</w:t>
      </w:r>
      <w:r w:rsidRPr="00712B24">
        <w:rPr>
          <w:rFonts w:ascii="Verdana" w:hAnsi="Verdana" w:cs="Arial"/>
          <w:shd w:val="clear" w:color="auto" w:fill="FFFFFF"/>
          <w:lang w:val="es-ES"/>
        </w:rPr>
        <w:t xml:space="preserve"> C-1391 del 04 de noviembre de 2025</w:t>
      </w:r>
      <w:r>
        <w:rPr>
          <w:rFonts w:ascii="Verdana" w:hAnsi="Verdana" w:cs="Arial"/>
          <w:shd w:val="clear" w:color="auto" w:fill="FFFFFF"/>
          <w:lang w:val="es-ES"/>
        </w:rPr>
        <w:t>, C-601 del 24 de mayo de 2026, C-972 del 27 de julio de 2026 entre otros.</w:t>
      </w:r>
    </w:p>
    <w:p w14:paraId="7AF8A01F" w14:textId="77777777" w:rsidR="00F01D3E" w:rsidRPr="005E0BC5" w:rsidRDefault="00F01D3E" w:rsidP="00F01D3E">
      <w:pPr>
        <w:widowControl w:val="0"/>
        <w:autoSpaceDE w:val="0"/>
        <w:autoSpaceDN w:val="0"/>
        <w:spacing w:after="0" w:line="276" w:lineRule="auto"/>
        <w:jc w:val="both"/>
        <w:rPr>
          <w:rFonts w:ascii="Verdana" w:hAnsi="Verdana" w:cs="Arial"/>
          <w:color w:val="EE0000"/>
          <w:lang w:val="es-ES"/>
        </w:rPr>
      </w:pPr>
    </w:p>
    <w:p w14:paraId="2F23AEB0" w14:textId="77777777" w:rsidR="00F01D3E" w:rsidRDefault="00F01D3E" w:rsidP="00F01D3E">
      <w:pPr>
        <w:widowControl w:val="0"/>
        <w:autoSpaceDE w:val="0"/>
        <w:autoSpaceDN w:val="0"/>
        <w:spacing w:after="0" w:line="276" w:lineRule="auto"/>
        <w:jc w:val="both"/>
        <w:rPr>
          <w:rStyle w:val="Hipervnculo"/>
          <w:rFonts w:ascii="Verdana" w:hAnsi="Verdana" w:cs="Arial"/>
          <w:color w:val="EE0000"/>
          <w:shd w:val="clear" w:color="auto" w:fill="FFFFFF"/>
          <w:lang w:val="es-ES"/>
        </w:rPr>
      </w:pPr>
      <w:r w:rsidRPr="00AC6529">
        <w:rPr>
          <w:rFonts w:ascii="Verdana" w:hAnsi="Verdana" w:cs="Arial"/>
          <w:shd w:val="clear" w:color="auto" w:fill="FFFFFF"/>
          <w:lang w:val="es-ES"/>
        </w:rPr>
        <w:t>Estos</w:t>
      </w:r>
      <w:r w:rsidRPr="00AC6529">
        <w:rPr>
          <w:rFonts w:ascii="Verdana" w:hAnsi="Verdana"/>
          <w:lang w:val="es-ES"/>
        </w:rPr>
        <w:t xml:space="preserve"> y otros se encuentran disponibles para consulta en el Sistema de relatoría de la Agencia, al cual se puede acceder a través del siguiente enlace:</w:t>
      </w:r>
      <w:r w:rsidRPr="00AC6529">
        <w:rPr>
          <w:rFonts w:ascii="Verdana" w:hAnsi="Verdana" w:cs="Arial"/>
          <w:shd w:val="clear" w:color="auto" w:fill="FFFFFF"/>
          <w:lang w:val="es-ES"/>
        </w:rPr>
        <w:t xml:space="preserve"> </w:t>
      </w:r>
      <w:hyperlink r:id="rId13" w:history="1">
        <w:r w:rsidRPr="00AC6529">
          <w:rPr>
            <w:rStyle w:val="Hipervnculo"/>
            <w:rFonts w:ascii="Verdana" w:hAnsi="Verdana" w:cs="Arial"/>
            <w:shd w:val="clear" w:color="auto" w:fill="FFFFFF"/>
            <w:lang w:val="es-ES"/>
          </w:rPr>
          <w:t>https://relatoria.colombiacompra.gov.co/busqueda/conceptos</w:t>
        </w:r>
      </w:hyperlink>
    </w:p>
    <w:p w14:paraId="06F15F4C" w14:textId="77777777" w:rsidR="00F01D3E" w:rsidRPr="00AC6529" w:rsidRDefault="00F01D3E" w:rsidP="00F01D3E">
      <w:pPr>
        <w:widowControl w:val="0"/>
        <w:autoSpaceDE w:val="0"/>
        <w:autoSpaceDN w:val="0"/>
        <w:spacing w:after="0" w:line="276" w:lineRule="auto"/>
        <w:jc w:val="both"/>
        <w:rPr>
          <w:rFonts w:ascii="Verdana" w:hAnsi="Verdana" w:cs="Arial"/>
          <w:color w:val="EE0000"/>
          <w:u w:val="single"/>
          <w:shd w:val="clear" w:color="auto" w:fill="FFFFFF"/>
          <w:lang w:val="es-ES"/>
        </w:rPr>
      </w:pPr>
    </w:p>
    <w:p w14:paraId="74E1936A" w14:textId="77777777" w:rsidR="00F01D3E" w:rsidRDefault="00F01D3E" w:rsidP="00F01D3E">
      <w:pPr>
        <w:spacing w:after="0" w:line="276" w:lineRule="auto"/>
        <w:jc w:val="both"/>
        <w:rPr>
          <w:rFonts w:ascii="Verdana" w:hAnsi="Verdana"/>
          <w:color w:val="EE0000"/>
        </w:rPr>
      </w:pPr>
      <w:r w:rsidRPr="00AC6529">
        <w:rPr>
          <w:rFonts w:ascii="Verdana" w:hAnsi="Verdana"/>
        </w:rPr>
        <w:lastRenderedPageBreak/>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C6529">
        <w:rPr>
          <w:rFonts w:ascii="Verdana" w:hAnsi="Verdana"/>
          <w:b/>
          <w:bCs/>
        </w:rPr>
        <w:t>Guía para la Exigencia y Constitución de Garantías en los Procesos de Contratación</w:t>
      </w:r>
      <w:r w:rsidRPr="00AC652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AC6529">
        <w:rPr>
          <w:rFonts w:ascii="Verdana" w:hAnsi="Verdana"/>
          <w:color w:val="EE0000"/>
        </w:rPr>
        <w:t> </w:t>
      </w:r>
      <w:hyperlink r:id="rId14" w:tgtFrame="_blank" w:tooltip="Dirección URL original: https://www.colombiacompra.gov.co/archivos/manual/guia-de-garantias-en-procesos-de-contratacion. Haga clic o pulse si confía en este vínculo." w:history="1">
        <w:r w:rsidRPr="00AC6529">
          <w:rPr>
            <w:rStyle w:val="Hipervnculo"/>
            <w:rFonts w:ascii="Verdana" w:hAnsi="Verdana"/>
          </w:rPr>
          <w:t>https://www.colombiacompra.gov.co/archivos/manual/guia-de-garantias-en-procesos-de-contratacion</w:t>
        </w:r>
      </w:hyperlink>
    </w:p>
    <w:p w14:paraId="0CE13B2D" w14:textId="77777777" w:rsidR="00F01D3E" w:rsidRDefault="00F01D3E" w:rsidP="00F01D3E">
      <w:pPr>
        <w:spacing w:after="0" w:line="276" w:lineRule="auto"/>
        <w:jc w:val="both"/>
        <w:rPr>
          <w:rFonts w:ascii="Verdana" w:hAnsi="Verdana"/>
          <w:color w:val="EE0000"/>
        </w:rPr>
      </w:pPr>
    </w:p>
    <w:p w14:paraId="37A7F5F4" w14:textId="77777777" w:rsidR="00F01D3E" w:rsidRDefault="00F01D3E" w:rsidP="00F01D3E">
      <w:pPr>
        <w:spacing w:after="0" w:line="276" w:lineRule="auto"/>
        <w:jc w:val="both"/>
        <w:rPr>
          <w:rFonts w:ascii="Verdana" w:hAnsi="Verdana"/>
          <w:color w:val="EE0000"/>
        </w:rPr>
      </w:pPr>
      <w:r w:rsidRPr="00AC6529">
        <w:rPr>
          <w:rFonts w:ascii="Verdana" w:hAnsi="Verdana"/>
        </w:rPr>
        <w:t>De otro lado, te contamos que el Decreto 287 del 19 de marzo de 2026 sustituyó los artículos 2.2.1.2.4.2.6., 2.2.1.2.4.2.7. y 2.2.1.2.4.2.8. del Decreto 1082 de 2015 y estructuró el </w:t>
      </w:r>
      <w:r w:rsidRPr="00AC6529">
        <w:rPr>
          <w:rFonts w:ascii="Verdana" w:hAnsi="Verdana"/>
          <w:b/>
          <w:bCs/>
        </w:rPr>
        <w:t>Sistema Integral de Preferencias en favor de las personas con discapacidad</w:t>
      </w:r>
      <w:r w:rsidRPr="00AC6529">
        <w:rPr>
          <w:rFonts w:ascii="Verdana" w:hAnsi="Verdana"/>
        </w:rPr>
        <w:t>, en cumplimiento del artículo 13 de la Ley Estatutaria 1618 de 2013. Para orientar su aplicación, esta Agencia expidió la </w:t>
      </w:r>
      <w:r w:rsidRPr="00AC6529">
        <w:rPr>
          <w:rFonts w:ascii="Verdana" w:hAnsi="Verdana"/>
          <w:b/>
          <w:bCs/>
        </w:rPr>
        <w:t>Circular Externa 003 del 12 de mayo de 2026, </w:t>
      </w:r>
      <w:r w:rsidRPr="00AC6529">
        <w:rPr>
          <w:rFonts w:ascii="Verdana" w:hAnsi="Verdana"/>
        </w:rPr>
        <w:t>en la que precisa quiénes son los beneficiarios, las cinco medidas que integran el sistema y su obligatoriedad según la modalidad de selección, y el régimen de transición aplicable a los procesos en curso. Consúltala aquí:</w:t>
      </w:r>
      <w:r w:rsidRPr="00AC6529">
        <w:rPr>
          <w:rFonts w:ascii="Verdana" w:hAnsi="Verdana"/>
          <w:color w:val="EE0000"/>
        </w:rPr>
        <w:t> </w:t>
      </w:r>
      <w:hyperlink r:id="rId15" w:tgtFrame="_blank" w:tooltip="Dirección URL original: https://www.colombiacompra.gov.co/archivos/circular/circular-externa-003-de-2026. Haga clic o pulse si confía en este vínculo." w:history="1">
        <w:r w:rsidRPr="00AC6529">
          <w:rPr>
            <w:rStyle w:val="Hipervnculo"/>
            <w:rFonts w:ascii="Verdana" w:hAnsi="Verdana"/>
          </w:rPr>
          <w:t>https://www.colombiacompra.gov.co/archivos/circular/circular-externa-003-de-2026</w:t>
        </w:r>
      </w:hyperlink>
    </w:p>
    <w:p w14:paraId="41936BDB" w14:textId="77777777" w:rsidR="00F01D3E" w:rsidRPr="00AC6529" w:rsidRDefault="00F01D3E" w:rsidP="00F01D3E">
      <w:pPr>
        <w:spacing w:after="0" w:line="276" w:lineRule="auto"/>
        <w:jc w:val="both"/>
        <w:rPr>
          <w:rFonts w:ascii="Verdana" w:hAnsi="Verdana"/>
          <w:color w:val="EE0000"/>
        </w:rPr>
      </w:pPr>
    </w:p>
    <w:p w14:paraId="4F9D7EB5" w14:textId="77777777" w:rsidR="00F01D3E" w:rsidRDefault="00F01D3E" w:rsidP="00F01D3E">
      <w:pPr>
        <w:spacing w:after="0" w:line="276" w:lineRule="auto"/>
        <w:jc w:val="both"/>
        <w:rPr>
          <w:rFonts w:ascii="Verdana" w:hAnsi="Verdana"/>
          <w:color w:val="EE0000"/>
        </w:rPr>
      </w:pPr>
      <w:r w:rsidRPr="00AC6529">
        <w:rPr>
          <w:rFonts w:ascii="Verdana" w:hAnsi="Verdana"/>
        </w:rPr>
        <w:t>Recuerda también que la</w:t>
      </w:r>
      <w:r w:rsidRPr="00AC6529">
        <w:rPr>
          <w:rFonts w:ascii="Verdana" w:hAnsi="Verdana"/>
          <w:b/>
          <w:bCs/>
        </w:rPr>
        <w:t> información sobre sanciones e inhabilidades </w:t>
      </w:r>
      <w:r w:rsidRPr="00AC6529">
        <w:rPr>
          <w:rFonts w:ascii="Verdana" w:hAnsi="Verdana"/>
        </w:rPr>
        <w:t>solo cumple su función preventiva si llega oportunamente a los registros públicos. Sobre este deber, esta Agencia expidió la </w:t>
      </w:r>
      <w:r w:rsidRPr="00AC6529">
        <w:rPr>
          <w:rFonts w:ascii="Verdana" w:hAnsi="Verdana"/>
          <w:b/>
          <w:bCs/>
        </w:rPr>
        <w:t>Circular Externa 002 del 5 de mayo de 2026,</w:t>
      </w:r>
      <w:r w:rsidRPr="00AC652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AC6529">
          <w:rPr>
            <w:rStyle w:val="Hipervnculo"/>
            <w:rFonts w:ascii="Verdana" w:hAnsi="Verdana"/>
          </w:rPr>
          <w:t>https://www.colombiacompra.gov.co/archivos/circular/circular-externa-002-de-2026</w:t>
        </w:r>
      </w:hyperlink>
    </w:p>
    <w:p w14:paraId="6812D0E6" w14:textId="77777777" w:rsidR="00F01D3E" w:rsidRDefault="00F01D3E" w:rsidP="00F01D3E">
      <w:pPr>
        <w:spacing w:after="0" w:line="276" w:lineRule="auto"/>
        <w:jc w:val="both"/>
        <w:rPr>
          <w:rFonts w:ascii="Verdana" w:hAnsi="Verdana"/>
          <w:color w:val="EE0000"/>
        </w:rPr>
      </w:pPr>
    </w:p>
    <w:p w14:paraId="34E4FE04" w14:textId="77777777" w:rsidR="00F01D3E" w:rsidRPr="00AC6529" w:rsidRDefault="00F01D3E" w:rsidP="00F01D3E">
      <w:pPr>
        <w:spacing w:after="0" w:line="276" w:lineRule="auto"/>
        <w:jc w:val="both"/>
        <w:rPr>
          <w:rFonts w:ascii="Verdana" w:hAnsi="Verdana"/>
          <w:color w:val="EE0000"/>
        </w:rPr>
      </w:pPr>
      <w:r w:rsidRPr="00AC6529">
        <w:rPr>
          <w:rFonts w:ascii="Verdana" w:hAnsi="Verdana"/>
        </w:rPr>
        <w:t>Finalmente, si quieres seguir de cerca la actividad de la Agencia, la tercera edición de 2026 del</w:t>
      </w:r>
      <w:r w:rsidRPr="00AC6529">
        <w:rPr>
          <w:rFonts w:ascii="Verdana" w:hAnsi="Verdana"/>
          <w:b/>
          <w:bCs/>
        </w:rPr>
        <w:t> Radar de la Compra Pública</w:t>
      </w:r>
      <w:r w:rsidRPr="00AC6529">
        <w:rPr>
          <w:rFonts w:ascii="Verdana" w:hAnsi="Verdana"/>
        </w:rPr>
        <w:t xml:space="preserve"> reúne, entre otros </w:t>
      </w:r>
      <w:r w:rsidRPr="00AC6529">
        <w:rPr>
          <w:rFonts w:ascii="Verdana" w:hAnsi="Verdana"/>
        </w:rPr>
        <w:lastRenderedPageBreak/>
        <w:t>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AC6529">
        <w:rPr>
          <w:rFonts w:ascii="Verdana" w:hAnsi="Verdana"/>
          <w:color w:val="EE0000"/>
        </w:rPr>
        <w:t> </w:t>
      </w:r>
      <w:hyperlink r:id="rId17" w:tgtFrame="_blank" w:tooltip="Dirección URL original: https://www.colombiacompra.gov.co/archivos/boletin/boletin-edicion-n-3-de-2026-radar-de-la-compra-publica. Haga clic o pulse si confía en este vínculo." w:history="1">
        <w:r w:rsidRPr="00AC6529">
          <w:rPr>
            <w:rStyle w:val="Hipervnculo"/>
            <w:rFonts w:ascii="Verdana" w:hAnsi="Verdana"/>
          </w:rPr>
          <w:t>https://www.colombiacompra.gov.co/archivos/boletin/boletin-edicion-n-3-de-2026-radar-de-la-compra-publica</w:t>
        </w:r>
      </w:hyperlink>
    </w:p>
    <w:p w14:paraId="4FF1BFF6" w14:textId="77777777" w:rsidR="00F01D3E" w:rsidRPr="006C695D" w:rsidRDefault="00F01D3E" w:rsidP="00F01D3E">
      <w:pPr>
        <w:spacing w:after="0" w:line="276" w:lineRule="auto"/>
        <w:jc w:val="both"/>
        <w:rPr>
          <w:rFonts w:ascii="Verdana" w:hAnsi="Verdana" w:cs="Arial"/>
          <w:shd w:val="clear" w:color="auto" w:fill="FFFFFF"/>
        </w:rPr>
      </w:pPr>
    </w:p>
    <w:p w14:paraId="085E1869" w14:textId="77777777" w:rsidR="00F01D3E" w:rsidRPr="006C695D" w:rsidRDefault="00F01D3E" w:rsidP="00F01D3E">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Por último, lo invitamos a seguirnos en las redes sociales en las cuales se difunde información institucional: </w:t>
      </w:r>
    </w:p>
    <w:p w14:paraId="1CDB3808" w14:textId="77777777" w:rsidR="00F01D3E" w:rsidRPr="006C695D" w:rsidRDefault="00F01D3E" w:rsidP="00F01D3E">
      <w:pPr>
        <w:spacing w:after="0" w:line="276" w:lineRule="auto"/>
        <w:jc w:val="both"/>
        <w:rPr>
          <w:rFonts w:ascii="Verdana" w:hAnsi="Verdana" w:cs="Arial"/>
          <w:shd w:val="clear" w:color="auto" w:fill="FFFFFF"/>
        </w:rPr>
      </w:pPr>
    </w:p>
    <w:p w14:paraId="2101541D" w14:textId="77777777" w:rsidR="00F01D3E" w:rsidRPr="006C695D" w:rsidRDefault="00F01D3E" w:rsidP="00F01D3E">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Twitter: </w:t>
      </w:r>
      <w:r w:rsidRPr="006C695D">
        <w:rPr>
          <w:rStyle w:val="Hipervnculo"/>
          <w:rFonts w:ascii="Verdana" w:hAnsi="Verdana"/>
        </w:rPr>
        <w:t>@colombiacompra</w:t>
      </w:r>
      <w:r w:rsidRPr="006C695D">
        <w:rPr>
          <w:rFonts w:ascii="Verdana" w:hAnsi="Verdana" w:cs="Arial"/>
          <w:shd w:val="clear" w:color="auto" w:fill="FFFFFF"/>
        </w:rPr>
        <w:t xml:space="preserve"> </w:t>
      </w:r>
    </w:p>
    <w:p w14:paraId="4B04A1C5" w14:textId="77777777" w:rsidR="00F01D3E" w:rsidRPr="006C695D" w:rsidRDefault="00F01D3E" w:rsidP="00F01D3E">
      <w:pPr>
        <w:spacing w:after="0" w:line="276" w:lineRule="auto"/>
        <w:jc w:val="both"/>
        <w:rPr>
          <w:rFonts w:ascii="Verdana" w:hAnsi="Verdana" w:cs="Arial"/>
          <w:shd w:val="clear" w:color="auto" w:fill="FFFFFF"/>
        </w:rPr>
      </w:pPr>
      <w:r w:rsidRPr="006C695D">
        <w:rPr>
          <w:rFonts w:ascii="Verdana" w:hAnsi="Verdana" w:cs="Arial"/>
          <w:shd w:val="clear" w:color="auto" w:fill="FFFFFF"/>
        </w:rPr>
        <w:t>Facebook:</w:t>
      </w:r>
      <w:r w:rsidRPr="006C695D">
        <w:rPr>
          <w:rStyle w:val="Hipervnculo"/>
          <w:rFonts w:ascii="Verdana" w:hAnsi="Verdana"/>
          <w:color w:val="auto"/>
          <w:lang w:val="es-ES"/>
        </w:rPr>
        <w:t xml:space="preserve"> </w:t>
      </w:r>
      <w:proofErr w:type="spellStart"/>
      <w:r w:rsidRPr="006C695D">
        <w:rPr>
          <w:rStyle w:val="Hipervnculo"/>
          <w:rFonts w:ascii="Verdana" w:hAnsi="Verdana"/>
        </w:rPr>
        <w:t>ColombiaCompraEficiente</w:t>
      </w:r>
      <w:proofErr w:type="spellEnd"/>
    </w:p>
    <w:p w14:paraId="0BBED61D" w14:textId="77777777" w:rsidR="00F01D3E" w:rsidRPr="006C695D" w:rsidRDefault="00F01D3E" w:rsidP="00F01D3E">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LinkedIn: </w:t>
      </w:r>
      <w:r w:rsidRPr="006C695D">
        <w:rPr>
          <w:rStyle w:val="Hipervnculo"/>
          <w:rFonts w:ascii="Verdana" w:hAnsi="Verdana"/>
        </w:rPr>
        <w:t>Agencia Nacional de Contratación Pública - Colombia Compra Eficiente</w:t>
      </w:r>
      <w:r w:rsidRPr="006C695D">
        <w:rPr>
          <w:rFonts w:ascii="Verdana" w:hAnsi="Verdana" w:cs="Arial"/>
          <w:shd w:val="clear" w:color="auto" w:fill="FFFFFF"/>
        </w:rPr>
        <w:t xml:space="preserve"> </w:t>
      </w:r>
    </w:p>
    <w:p w14:paraId="3328DE51" w14:textId="77777777" w:rsidR="00F01D3E" w:rsidRPr="006C695D" w:rsidRDefault="00F01D3E" w:rsidP="00F01D3E">
      <w:pPr>
        <w:spacing w:after="0" w:line="276" w:lineRule="auto"/>
        <w:jc w:val="both"/>
        <w:rPr>
          <w:rFonts w:ascii="Verdana" w:hAnsi="Verdana" w:cs="Arial"/>
          <w:shd w:val="clear" w:color="auto" w:fill="FFFFFF"/>
        </w:rPr>
      </w:pPr>
      <w:r w:rsidRPr="006C695D">
        <w:rPr>
          <w:rFonts w:ascii="Verdana" w:hAnsi="Verdana" w:cs="Arial"/>
          <w:shd w:val="clear" w:color="auto" w:fill="FFFFFF"/>
        </w:rPr>
        <w:t xml:space="preserve">Instagram: </w:t>
      </w:r>
      <w:r w:rsidRPr="006C695D">
        <w:rPr>
          <w:rStyle w:val="Hipervnculo"/>
          <w:rFonts w:ascii="Verdana" w:hAnsi="Verdana"/>
        </w:rPr>
        <w:t>@colombiacompraeficiente_cce</w:t>
      </w:r>
    </w:p>
    <w:p w14:paraId="41E5A3B7" w14:textId="77777777" w:rsidR="00F01D3E" w:rsidRPr="006C695D" w:rsidRDefault="00F01D3E" w:rsidP="00F01D3E">
      <w:pPr>
        <w:widowControl w:val="0"/>
        <w:autoSpaceDE w:val="0"/>
        <w:autoSpaceDN w:val="0"/>
        <w:spacing w:after="0" w:line="276" w:lineRule="auto"/>
        <w:jc w:val="both"/>
        <w:rPr>
          <w:rFonts w:ascii="Verdana" w:hAnsi="Verdana" w:cs="Arial"/>
          <w:lang w:val="es-ES"/>
        </w:rPr>
      </w:pPr>
    </w:p>
    <w:p w14:paraId="21C6789A" w14:textId="77777777" w:rsidR="00F01D3E" w:rsidRPr="006C695D" w:rsidRDefault="00F01D3E" w:rsidP="00F01D3E">
      <w:pPr>
        <w:widowControl w:val="0"/>
        <w:autoSpaceDE w:val="0"/>
        <w:autoSpaceDN w:val="0"/>
        <w:spacing w:after="0" w:line="276" w:lineRule="auto"/>
        <w:jc w:val="both"/>
        <w:rPr>
          <w:rFonts w:ascii="Verdana" w:hAnsi="Verdana" w:cs="Arial"/>
          <w:lang w:val="es-ES"/>
        </w:rPr>
      </w:pPr>
      <w:r w:rsidRPr="006C695D">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60D6C9B" w14:textId="77777777" w:rsidR="00F01D3E" w:rsidRPr="006C695D" w:rsidRDefault="00F01D3E" w:rsidP="00F01D3E">
      <w:pPr>
        <w:widowControl w:val="0"/>
        <w:autoSpaceDE w:val="0"/>
        <w:autoSpaceDN w:val="0"/>
        <w:spacing w:after="0" w:line="276" w:lineRule="auto"/>
        <w:jc w:val="both"/>
        <w:rPr>
          <w:rFonts w:ascii="Verdana" w:hAnsi="Verdana" w:cs="Arial"/>
          <w:lang w:val="es-ES"/>
        </w:rPr>
      </w:pPr>
    </w:p>
    <w:p w14:paraId="67869B98" w14:textId="5CE32264" w:rsidR="00F01D3E" w:rsidRPr="00FD5FFE" w:rsidRDefault="00F01D3E" w:rsidP="00F01D3E">
      <w:pPr>
        <w:spacing w:after="0" w:line="276" w:lineRule="auto"/>
        <w:rPr>
          <w:rFonts w:ascii="Verdana" w:hAnsi="Verdana" w:cs="Arial"/>
          <w:lang w:val="es-ES" w:eastAsia="es-CO"/>
        </w:rPr>
      </w:pPr>
      <w:r w:rsidRPr="006C695D">
        <w:rPr>
          <w:rFonts w:ascii="Verdana" w:eastAsia="Times New Roman" w:hAnsi="Verdana" w:cs="Arial"/>
          <w:lang w:val="es-ES" w:eastAsia="es-CO"/>
        </w:rPr>
        <w:t>Atentamente,</w:t>
      </w:r>
      <w:r w:rsidRPr="006C695D">
        <w:rPr>
          <w:rFonts w:ascii="Verdana" w:hAnsi="Verdana" w:cs="Arial"/>
          <w:lang w:val="es-ES" w:eastAsia="es-CO"/>
        </w:rPr>
        <w:t xml:space="preserve"> </w:t>
      </w:r>
      <w:bookmarkEnd w:id="0"/>
    </w:p>
    <w:p w14:paraId="07AF7775" w14:textId="1CF98983" w:rsidR="00F01D3E" w:rsidRPr="00330029" w:rsidRDefault="00FD5FFE" w:rsidP="00FD5FFE">
      <w:pPr>
        <w:spacing w:after="0" w:line="276" w:lineRule="auto"/>
        <w:jc w:val="center"/>
        <w:rPr>
          <w:rFonts w:ascii="Verdana" w:hAnsi="Verdana"/>
          <w:lang w:val="es-MX"/>
        </w:rPr>
      </w:pPr>
      <w:r>
        <w:rPr>
          <w:noProof/>
        </w:rPr>
        <w:drawing>
          <wp:inline distT="0" distB="0" distL="0" distR="0" wp14:anchorId="4981F5E5" wp14:editId="19C32943">
            <wp:extent cx="2771193" cy="102870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8"/>
                    <a:stretch>
                      <a:fillRect/>
                    </a:stretch>
                  </pic:blipFill>
                  <pic:spPr>
                    <a:xfrm>
                      <a:off x="0" y="0"/>
                      <a:ext cx="2776605" cy="1030709"/>
                    </a:xfrm>
                    <a:prstGeom prst="rect">
                      <a:avLst/>
                    </a:prstGeom>
                  </pic:spPr>
                </pic:pic>
              </a:graphicData>
            </a:graphic>
          </wp:inline>
        </w:drawing>
      </w:r>
    </w:p>
    <w:p w14:paraId="7186661E" w14:textId="77777777" w:rsidR="00F01D3E" w:rsidRDefault="00F01D3E" w:rsidP="00F01D3E">
      <w:pPr>
        <w:spacing w:after="0" w:line="256" w:lineRule="auto"/>
        <w:jc w:val="center"/>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01D3E" w:rsidRPr="007B46A7" w14:paraId="68C38E7B" w14:textId="77777777" w:rsidTr="004C6180">
        <w:trPr>
          <w:trHeight w:val="315"/>
        </w:trPr>
        <w:tc>
          <w:tcPr>
            <w:tcW w:w="893" w:type="dxa"/>
            <w:vAlign w:val="center"/>
            <w:hideMark/>
          </w:tcPr>
          <w:p w14:paraId="4C0889F4" w14:textId="77777777" w:rsidR="00F01D3E" w:rsidRPr="007B46A7" w:rsidRDefault="00F01D3E" w:rsidP="004C6180">
            <w:pPr>
              <w:contextualSpacing/>
              <w:rPr>
                <w:rFonts w:ascii="Verdana" w:eastAsia="Aptos" w:hAnsi="Verdana" w:cs="Arial"/>
                <w:sz w:val="16"/>
                <w:szCs w:val="16"/>
                <w:lang w:val="es-ES" w:eastAsia="es-ES"/>
              </w:rPr>
            </w:pPr>
            <w:r w:rsidRPr="007B46A7">
              <w:rPr>
                <w:rFonts w:ascii="Verdana" w:eastAsia="Aptos"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7EA1359F" w14:textId="77777777" w:rsidR="00F01D3E" w:rsidRPr="007B46A7" w:rsidRDefault="00F01D3E" w:rsidP="004C6180">
            <w:pPr>
              <w:rPr>
                <w:rFonts w:ascii="Verdana" w:eastAsia="Times New Roman" w:hAnsi="Verdana" w:cs="Arial"/>
                <w:sz w:val="16"/>
                <w:szCs w:val="16"/>
                <w:lang w:eastAsia="es-ES"/>
              </w:rPr>
            </w:pPr>
            <w:r w:rsidRPr="007B46A7">
              <w:rPr>
                <w:rFonts w:ascii="Verdana" w:eastAsia="Times New Roman" w:hAnsi="Verdana" w:cs="Arial"/>
                <w:sz w:val="16"/>
                <w:szCs w:val="16"/>
                <w:lang w:eastAsia="es-ES"/>
              </w:rPr>
              <w:t>Oscar David Morelo Pedrozo</w:t>
            </w:r>
          </w:p>
          <w:p w14:paraId="099308C1" w14:textId="77777777" w:rsidR="00F01D3E" w:rsidRPr="007B46A7" w:rsidRDefault="00F01D3E" w:rsidP="004C6180">
            <w:pPr>
              <w:rPr>
                <w:rFonts w:ascii="Verdana" w:eastAsia="Times New Roman" w:hAnsi="Verdana" w:cs="Arial"/>
                <w:sz w:val="16"/>
                <w:szCs w:val="16"/>
                <w:lang w:eastAsia="es-ES"/>
              </w:rPr>
            </w:pPr>
            <w:r w:rsidRPr="007B46A7">
              <w:rPr>
                <w:rFonts w:ascii="Verdana" w:eastAsia="Times New Roman" w:hAnsi="Verdana" w:cs="Arial"/>
                <w:sz w:val="16"/>
                <w:szCs w:val="16"/>
                <w:lang w:eastAsia="es-ES"/>
              </w:rPr>
              <w:t>Analista T2 –02 de la Subdirección de Gestión Contractual</w:t>
            </w:r>
          </w:p>
        </w:tc>
      </w:tr>
      <w:tr w:rsidR="00F01D3E" w:rsidRPr="007B46A7" w14:paraId="1BB127ED" w14:textId="77777777" w:rsidTr="004C6180">
        <w:trPr>
          <w:trHeight w:val="330"/>
        </w:trPr>
        <w:tc>
          <w:tcPr>
            <w:tcW w:w="893" w:type="dxa"/>
            <w:vAlign w:val="center"/>
            <w:hideMark/>
          </w:tcPr>
          <w:p w14:paraId="313DF1A1" w14:textId="77777777" w:rsidR="00F01D3E" w:rsidRPr="007B46A7" w:rsidRDefault="00F01D3E" w:rsidP="004C6180">
            <w:pPr>
              <w:contextualSpacing/>
              <w:rPr>
                <w:rFonts w:ascii="Verdana" w:eastAsia="Aptos" w:hAnsi="Verdana" w:cs="Arial"/>
                <w:color w:val="000000"/>
                <w:sz w:val="16"/>
                <w:szCs w:val="16"/>
                <w:lang w:val="es-ES" w:eastAsia="es-ES"/>
              </w:rPr>
            </w:pPr>
            <w:r w:rsidRPr="007B46A7">
              <w:rPr>
                <w:rFonts w:ascii="Verdana" w:eastAsia="Aptos"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306B8B60" w14:textId="77777777" w:rsidR="00F01D3E" w:rsidRPr="007B46A7" w:rsidRDefault="00F01D3E" w:rsidP="004C6180">
            <w:pPr>
              <w:rPr>
                <w:rFonts w:ascii="Verdana" w:eastAsia="Times New Roman" w:hAnsi="Verdana" w:cs="Arial"/>
                <w:color w:val="000000"/>
                <w:sz w:val="16"/>
                <w:szCs w:val="16"/>
                <w:lang w:eastAsia="es-ES"/>
              </w:rPr>
            </w:pPr>
            <w:r w:rsidRPr="007B46A7">
              <w:rPr>
                <w:rFonts w:ascii="Verdana" w:eastAsia="Times New Roman" w:hAnsi="Verdana" w:cs="Arial"/>
                <w:color w:val="000000"/>
                <w:sz w:val="16"/>
                <w:szCs w:val="16"/>
                <w:lang w:eastAsia="es-ES"/>
              </w:rPr>
              <w:t xml:space="preserve">Juan David </w:t>
            </w:r>
            <w:proofErr w:type="spellStart"/>
            <w:r w:rsidRPr="007B46A7">
              <w:rPr>
                <w:rFonts w:ascii="Verdana" w:eastAsia="Times New Roman" w:hAnsi="Verdana" w:cs="Arial"/>
                <w:color w:val="000000"/>
                <w:sz w:val="16"/>
                <w:szCs w:val="16"/>
                <w:lang w:eastAsia="es-ES"/>
              </w:rPr>
              <w:t>Cardenas</w:t>
            </w:r>
            <w:proofErr w:type="spellEnd"/>
            <w:r w:rsidRPr="007B46A7">
              <w:rPr>
                <w:rFonts w:ascii="Verdana" w:eastAsia="Times New Roman" w:hAnsi="Verdana" w:cs="Arial"/>
                <w:color w:val="000000"/>
                <w:sz w:val="16"/>
                <w:szCs w:val="16"/>
                <w:lang w:eastAsia="es-ES"/>
              </w:rPr>
              <w:t xml:space="preserve"> Cabeza</w:t>
            </w:r>
          </w:p>
          <w:p w14:paraId="28CEAC35" w14:textId="77777777" w:rsidR="00F01D3E" w:rsidRPr="007B46A7" w:rsidRDefault="00F01D3E" w:rsidP="004C6180">
            <w:pPr>
              <w:contextualSpacing/>
              <w:textAlignment w:val="baseline"/>
              <w:rPr>
                <w:rFonts w:ascii="Verdana" w:eastAsia="Times New Roman" w:hAnsi="Verdana" w:cs="Segoe UI"/>
                <w:color w:val="000000"/>
                <w:sz w:val="16"/>
                <w:szCs w:val="16"/>
                <w:lang w:val="es-ES" w:eastAsia="es-CO"/>
              </w:rPr>
            </w:pPr>
            <w:r w:rsidRPr="007B46A7">
              <w:rPr>
                <w:rFonts w:ascii="Verdana" w:eastAsia="Times New Roman" w:hAnsi="Verdana" w:cs="Arial"/>
                <w:color w:val="000000"/>
                <w:sz w:val="16"/>
                <w:szCs w:val="16"/>
                <w:lang w:eastAsia="es-ES"/>
              </w:rPr>
              <w:t>Contratista de la Subdirección de Gestión Contractual</w:t>
            </w:r>
          </w:p>
        </w:tc>
      </w:tr>
      <w:tr w:rsidR="00F01D3E" w:rsidRPr="007B46A7" w14:paraId="794EE7A8" w14:textId="77777777" w:rsidTr="004C6180">
        <w:trPr>
          <w:trHeight w:val="300"/>
        </w:trPr>
        <w:tc>
          <w:tcPr>
            <w:tcW w:w="893" w:type="dxa"/>
            <w:vAlign w:val="center"/>
          </w:tcPr>
          <w:p w14:paraId="76556B30" w14:textId="77777777" w:rsidR="00F01D3E" w:rsidRPr="007B46A7" w:rsidRDefault="00F01D3E" w:rsidP="004C6180">
            <w:pPr>
              <w:contextualSpacing/>
              <w:rPr>
                <w:rFonts w:ascii="Verdana" w:eastAsia="Aptos" w:hAnsi="Verdana" w:cs="Arial"/>
                <w:sz w:val="16"/>
                <w:szCs w:val="16"/>
                <w:lang w:val="es-ES" w:eastAsia="es-ES"/>
              </w:rPr>
            </w:pPr>
            <w:r w:rsidRPr="007B46A7">
              <w:rPr>
                <w:rFonts w:ascii="Verdana" w:eastAsia="Aptos"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45FE0434" w14:textId="77777777" w:rsidR="00F01D3E" w:rsidRPr="007B46A7" w:rsidRDefault="00F01D3E" w:rsidP="004C6180">
            <w:pPr>
              <w:contextualSpacing/>
              <w:rPr>
                <w:rFonts w:ascii="Verdana" w:eastAsia="Calibri" w:hAnsi="Verdana" w:cs="Arial"/>
                <w:sz w:val="16"/>
                <w:szCs w:val="16"/>
                <w:lang w:val="es-ES" w:eastAsia="es-ES"/>
              </w:rPr>
            </w:pPr>
            <w:r w:rsidRPr="007B46A7">
              <w:rPr>
                <w:rFonts w:ascii="Verdana" w:eastAsia="Calibri" w:hAnsi="Verdana" w:cs="Arial"/>
                <w:sz w:val="16"/>
                <w:szCs w:val="16"/>
                <w:lang w:val="es-ES" w:eastAsia="es-ES"/>
              </w:rPr>
              <w:t>Carolina Quintero Gacharná</w:t>
            </w:r>
          </w:p>
          <w:p w14:paraId="3CF40ACB" w14:textId="77777777" w:rsidR="00F01D3E" w:rsidRPr="007B46A7" w:rsidRDefault="00F01D3E" w:rsidP="004C6180">
            <w:pPr>
              <w:contextualSpacing/>
              <w:rPr>
                <w:rFonts w:ascii="Verdana" w:eastAsia="Calibri" w:hAnsi="Verdana" w:cs="Arial"/>
                <w:sz w:val="16"/>
                <w:szCs w:val="16"/>
                <w:lang w:val="es-ES" w:eastAsia="es-ES"/>
              </w:rPr>
            </w:pPr>
            <w:r w:rsidRPr="007B46A7">
              <w:rPr>
                <w:rFonts w:ascii="Verdana" w:eastAsia="Calibri" w:hAnsi="Verdana" w:cs="Arial"/>
                <w:sz w:val="16"/>
                <w:szCs w:val="16"/>
                <w:lang w:val="es-ES" w:eastAsia="es-ES"/>
              </w:rPr>
              <w:t>Subdirectora de Gestión Contractual ANCP – CCE</w:t>
            </w:r>
          </w:p>
        </w:tc>
      </w:tr>
    </w:tbl>
    <w:p w14:paraId="631A1708" w14:textId="77777777" w:rsidR="00F01D3E" w:rsidRPr="007B46A7" w:rsidRDefault="00F01D3E" w:rsidP="00F01D3E">
      <w:pPr>
        <w:spacing w:after="0" w:line="240" w:lineRule="auto"/>
        <w:jc w:val="both"/>
        <w:rPr>
          <w:rFonts w:ascii="Verdana" w:eastAsia="Verdana" w:hAnsi="Verdana" w:cs="Verdana"/>
          <w:b/>
          <w:bCs/>
          <w:lang w:val="es-MX"/>
        </w:rPr>
      </w:pPr>
    </w:p>
    <w:p w14:paraId="7AF2899C" w14:textId="6060E737" w:rsidR="00F01D3E" w:rsidRPr="009667DF" w:rsidRDefault="00F01D3E" w:rsidP="00F01D3E">
      <w:pPr>
        <w:spacing w:after="0" w:line="240" w:lineRule="auto"/>
        <w:jc w:val="both"/>
        <w:rPr>
          <w:rFonts w:ascii="Verdana" w:eastAsia="Verdana" w:hAnsi="Verdana" w:cs="Verdana"/>
          <w:b/>
          <w:bCs/>
          <w:lang w:val="es-MX"/>
        </w:rPr>
      </w:pPr>
    </w:p>
    <w:p w14:paraId="4596219A" w14:textId="77777777" w:rsidR="00F01D3E" w:rsidRPr="00554365" w:rsidRDefault="00F01D3E" w:rsidP="00F01D3E"/>
    <w:p w14:paraId="5195AFAC" w14:textId="77777777" w:rsidR="00490B85" w:rsidRPr="00490B85" w:rsidRDefault="00490B85" w:rsidP="00490B85"/>
    <w:sectPr w:rsidR="00490B85" w:rsidRPr="00490B85"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81F68" w14:textId="77777777" w:rsidR="00D43430" w:rsidRDefault="00D43430" w:rsidP="004A1847">
      <w:pPr>
        <w:spacing w:after="0" w:line="240" w:lineRule="auto"/>
      </w:pPr>
      <w:r>
        <w:separator/>
      </w:r>
    </w:p>
  </w:endnote>
  <w:endnote w:type="continuationSeparator" w:id="0">
    <w:p w14:paraId="69CCFBB4" w14:textId="77777777" w:rsidR="00D43430" w:rsidRDefault="00D4343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5C067A"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5C067A">
      <w:rPr>
        <w:rFonts w:ascii="Verdana" w:eastAsia="Verdana" w:hAnsi="Verdana" w:cs="Verdana"/>
        <w:b/>
        <w:bCs/>
        <w:color w:val="000000" w:themeColor="text1"/>
        <w:sz w:val="18"/>
        <w:szCs w:val="18"/>
        <w:lang w:val="pt-PT" w:eastAsia="es-CO"/>
      </w:rPr>
      <w:t xml:space="preserve">Código: </w:t>
    </w:r>
    <w:r w:rsidRPr="005C067A">
      <w:rPr>
        <w:rFonts w:ascii="Verdana" w:eastAsia="Verdana" w:hAnsi="Verdana" w:cs="Verdana"/>
        <w:color w:val="000000" w:themeColor="text1"/>
        <w:sz w:val="18"/>
        <w:szCs w:val="18"/>
        <w:lang w:val="pt-PT" w:eastAsia="es-CO"/>
      </w:rPr>
      <w:t xml:space="preserve">CCE-REC-FM-17 </w:t>
    </w:r>
    <w:r w:rsidRPr="005C067A">
      <w:rPr>
        <w:rFonts w:ascii="Verdana" w:eastAsia="Verdana" w:hAnsi="Verdana" w:cs="Verdana"/>
        <w:b/>
        <w:bCs/>
        <w:color w:val="000000" w:themeColor="text1"/>
        <w:sz w:val="18"/>
        <w:szCs w:val="18"/>
        <w:lang w:val="pt-PT" w:eastAsia="es-CO"/>
      </w:rPr>
      <w:t xml:space="preserve">V: </w:t>
    </w:r>
    <w:r w:rsidRPr="005C067A">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819EC" w14:textId="77777777" w:rsidR="00D43430" w:rsidRDefault="00D43430" w:rsidP="004A1847">
      <w:pPr>
        <w:spacing w:after="0" w:line="240" w:lineRule="auto"/>
      </w:pPr>
      <w:r>
        <w:separator/>
      </w:r>
    </w:p>
  </w:footnote>
  <w:footnote w:type="continuationSeparator" w:id="0">
    <w:p w14:paraId="2513413C" w14:textId="77777777" w:rsidR="00D43430" w:rsidRDefault="00D43430" w:rsidP="004A1847">
      <w:pPr>
        <w:spacing w:after="0" w:line="240" w:lineRule="auto"/>
      </w:pPr>
      <w:r>
        <w:continuationSeparator/>
      </w:r>
    </w:p>
  </w:footnote>
  <w:footnote w:id="1">
    <w:p w14:paraId="19EA4E74" w14:textId="77777777" w:rsidR="00F01D3E" w:rsidRPr="009F7076" w:rsidRDefault="00F01D3E" w:rsidP="00F01D3E">
      <w:pPr>
        <w:pStyle w:val="Textonotapie"/>
        <w:ind w:left="708"/>
        <w:rPr>
          <w:rFonts w:ascii="Verdana" w:hAnsi="Verdana"/>
          <w:sz w:val="16"/>
          <w:szCs w:val="16"/>
        </w:rPr>
      </w:pPr>
      <w:r w:rsidRPr="007F247E">
        <w:rPr>
          <w:rStyle w:val="Refdenotaalpie"/>
          <w:rFonts w:ascii="Verdana" w:hAnsi="Verdana"/>
          <w:sz w:val="16"/>
          <w:szCs w:val="16"/>
        </w:rPr>
        <w:footnoteRef/>
      </w:r>
      <w:r w:rsidRPr="007F247E">
        <w:rPr>
          <w:rFonts w:ascii="Verdana" w:hAnsi="Verdana"/>
          <w:sz w:val="16"/>
          <w:szCs w:val="16"/>
        </w:rPr>
        <w:t xml:space="preserve"> </w:t>
      </w:r>
      <w:r>
        <w:rPr>
          <w:rFonts w:ascii="Verdana" w:hAnsi="Verdana"/>
          <w:sz w:val="16"/>
          <w:szCs w:val="16"/>
        </w:rPr>
        <w:t>A</w:t>
      </w:r>
      <w:r w:rsidRPr="007F247E">
        <w:rPr>
          <w:rFonts w:ascii="Verdana" w:hAnsi="Verdana"/>
          <w:sz w:val="16"/>
          <w:szCs w:val="16"/>
        </w:rPr>
        <w:t>rtículo 6 de la Ley 1150 de 2007.</w:t>
      </w:r>
    </w:p>
  </w:footnote>
  <w:footnote w:id="2">
    <w:p w14:paraId="749D6878" w14:textId="77777777" w:rsidR="00F01D3E" w:rsidRPr="007F247E" w:rsidRDefault="00F01D3E" w:rsidP="00F01D3E">
      <w:pPr>
        <w:pStyle w:val="Textonotapie"/>
        <w:ind w:firstLine="709"/>
        <w:jc w:val="both"/>
        <w:rPr>
          <w:rFonts w:ascii="Verdana" w:hAnsi="Verdana"/>
          <w:sz w:val="16"/>
          <w:szCs w:val="16"/>
          <w:lang w:val="es-CO"/>
        </w:rPr>
      </w:pPr>
      <w:r w:rsidRPr="007F247E">
        <w:rPr>
          <w:rStyle w:val="Refdenotaalpie"/>
          <w:rFonts w:ascii="Verdana" w:hAnsi="Verdana"/>
          <w:sz w:val="16"/>
          <w:szCs w:val="16"/>
        </w:rPr>
        <w:footnoteRef/>
      </w:r>
      <w:r w:rsidRPr="007F247E">
        <w:rPr>
          <w:rFonts w:ascii="Verdana" w:hAnsi="Verdana"/>
          <w:sz w:val="16"/>
          <w:szCs w:val="16"/>
        </w:rPr>
        <w:t xml:space="preserve"> </w:t>
      </w:r>
      <w:r w:rsidRPr="007F247E">
        <w:rPr>
          <w:rFonts w:ascii="Verdana" w:hAnsi="Verdana"/>
          <w:sz w:val="16"/>
          <w:szCs w:val="16"/>
          <w:lang w:val="es-CO"/>
        </w:rPr>
        <w:t>Consejo De Estado. Sala de Consulta y Servicio Civil. Consulta del 20 de mayo de 2010. Exp.1992. C. P. Enrique José́ Arboleda Perdomo.</w:t>
      </w:r>
    </w:p>
    <w:p w14:paraId="55BDC5AB" w14:textId="77777777" w:rsidR="00F01D3E" w:rsidRPr="007F247E" w:rsidRDefault="00F01D3E" w:rsidP="00F01D3E">
      <w:pPr>
        <w:pStyle w:val="Textonotapie"/>
        <w:ind w:left="709" w:firstLine="709"/>
        <w:jc w:val="both"/>
        <w:rPr>
          <w:rFonts w:ascii="Verdana" w:hAnsi="Verdana"/>
          <w:sz w:val="16"/>
          <w:szCs w:val="16"/>
          <w:lang w:val="es-ES"/>
        </w:rPr>
      </w:pPr>
    </w:p>
  </w:footnote>
  <w:footnote w:id="3">
    <w:p w14:paraId="6C55178C"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Style w:val="Refdenotaalpie"/>
          <w:rFonts w:ascii="Verdana" w:hAnsi="Verdana" w:cs="Arial"/>
          <w:sz w:val="16"/>
          <w:szCs w:val="16"/>
        </w:rPr>
        <w:footnoteRef/>
      </w:r>
      <w:r w:rsidRPr="007F247E">
        <w:rPr>
          <w:rFonts w:ascii="Verdana" w:hAnsi="Verdana" w:cs="Arial"/>
          <w:sz w:val="16"/>
          <w:szCs w:val="16"/>
        </w:rPr>
        <w:t xml:space="preserve"> Ley 1150 de 2007: </w:t>
      </w:r>
      <w:r w:rsidRPr="007F247E">
        <w:rPr>
          <w:rFonts w:ascii="Verdana" w:hAnsi="Verdana" w:cs="Arial"/>
          <w:i/>
          <w:iCs/>
          <w:sz w:val="16"/>
          <w:szCs w:val="16"/>
        </w:rPr>
        <w:t>“</w:t>
      </w:r>
      <w:r w:rsidRPr="007F247E">
        <w:rPr>
          <w:rFonts w:ascii="Verdana" w:hAnsi="Verdana" w:cs="Arial"/>
          <w:sz w:val="16"/>
          <w:szCs w:val="16"/>
        </w:rPr>
        <w:t>Artículo 6. De la verificación de las condiciones de los proponentes.</w:t>
      </w:r>
    </w:p>
    <w:p w14:paraId="17753B51"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Fonts w:ascii="Verdana" w:hAnsi="Verdana" w:cs="Arial"/>
          <w:sz w:val="16"/>
          <w:szCs w:val="16"/>
        </w:rPr>
        <w:t>[…]</w:t>
      </w:r>
    </w:p>
    <w:p w14:paraId="077143CF"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Fonts w:ascii="Verdana" w:hAnsi="Verdana" w:cs="Arial"/>
          <w:i/>
          <w:iCs/>
          <w:sz w:val="16"/>
          <w:szCs w:val="16"/>
        </w:rPr>
        <w:t>“</w:t>
      </w:r>
      <w:r w:rsidRPr="007F247E">
        <w:rPr>
          <w:rFonts w:ascii="Verdana" w:hAnsi="Verdana" w:cs="Arial"/>
          <w:sz w:val="16"/>
          <w:szCs w:val="16"/>
        </w:rPr>
        <w:t>6.1. […]</w:t>
      </w:r>
    </w:p>
    <w:p w14:paraId="1F430437"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Fonts w:ascii="Verdana" w:hAnsi="Verdana" w:cs="Arial"/>
          <w:i/>
          <w:iCs/>
          <w:sz w:val="16"/>
          <w:szCs w:val="16"/>
        </w:rPr>
        <w:t>“</w:t>
      </w:r>
      <w:r w:rsidRPr="007F247E">
        <w:rPr>
          <w:rFonts w:ascii="Verdana" w:hAnsi="Verdana" w:cs="Arial"/>
          <w:sz w:val="16"/>
          <w:szCs w:val="16"/>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905654E"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Fonts w:ascii="Verdana" w:hAnsi="Verdana" w:cs="Arial"/>
          <w:i/>
          <w:iCs/>
          <w:sz w:val="16"/>
          <w:szCs w:val="16"/>
        </w:rPr>
        <w:t>“</w:t>
      </w:r>
      <w:r w:rsidRPr="007F247E">
        <w:rPr>
          <w:rFonts w:ascii="Verdana" w:hAnsi="Verdana" w:cs="Arial"/>
          <w:sz w:val="16"/>
          <w:szCs w:val="16"/>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F0C4B70"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Fonts w:ascii="Verdana" w:hAnsi="Verdana" w:cs="Arial"/>
          <w:sz w:val="16"/>
          <w:szCs w:val="16"/>
        </w:rPr>
        <w:t>[…]</w:t>
      </w:r>
      <w:r w:rsidRPr="007F247E">
        <w:rPr>
          <w:rFonts w:ascii="Verdana" w:hAnsi="Verdana" w:cs="Arial"/>
          <w:i/>
          <w:iCs/>
          <w:sz w:val="16"/>
          <w:szCs w:val="16"/>
        </w:rPr>
        <w:t>”</w:t>
      </w:r>
      <w:r w:rsidRPr="007F247E">
        <w:rPr>
          <w:rFonts w:ascii="Verdana" w:hAnsi="Verdana" w:cs="Arial"/>
          <w:sz w:val="16"/>
          <w:szCs w:val="16"/>
        </w:rPr>
        <w:t>.</w:t>
      </w:r>
    </w:p>
    <w:p w14:paraId="65B6C2F4" w14:textId="77777777" w:rsidR="00F01D3E" w:rsidRPr="007F247E" w:rsidRDefault="00F01D3E" w:rsidP="00F01D3E">
      <w:pPr>
        <w:pStyle w:val="Textonotapie"/>
        <w:ind w:firstLine="709"/>
        <w:contextualSpacing/>
        <w:jc w:val="both"/>
        <w:rPr>
          <w:rFonts w:ascii="Verdana" w:hAnsi="Verdana" w:cs="Arial"/>
          <w:sz w:val="16"/>
          <w:szCs w:val="16"/>
          <w:lang w:val="es-ES"/>
        </w:rPr>
      </w:pPr>
    </w:p>
  </w:footnote>
  <w:footnote w:id="4">
    <w:p w14:paraId="2F61FE7B"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Style w:val="Refdenotaalpie"/>
          <w:rFonts w:ascii="Verdana" w:hAnsi="Verdana" w:cs="Arial"/>
          <w:sz w:val="16"/>
          <w:szCs w:val="16"/>
        </w:rPr>
        <w:footnoteRef/>
      </w:r>
      <w:r w:rsidRPr="007F247E">
        <w:rPr>
          <w:rFonts w:ascii="Verdana" w:hAnsi="Verdana" w:cs="Arial"/>
          <w:sz w:val="16"/>
          <w:szCs w:val="16"/>
        </w:rPr>
        <w:t xml:space="preserve"> Consejo De Estado. Sección Tercera. Subsección A. Sentencia del 12 de febrero de 2014. </w:t>
      </w:r>
      <w:r w:rsidRPr="007F247E">
        <w:rPr>
          <w:rFonts w:ascii="Verdana" w:hAnsi="Verdana" w:cs="Arial"/>
          <w:sz w:val="16"/>
          <w:szCs w:val="16"/>
        </w:rPr>
        <w:t xml:space="preserve">Exp. 31.753. C.P. Mauricio Fajardo Gómez: </w:t>
      </w:r>
      <w:r w:rsidRPr="007F247E">
        <w:rPr>
          <w:rFonts w:ascii="Verdana" w:hAnsi="Verdana" w:cs="Arial"/>
          <w:i/>
          <w:iCs/>
          <w:sz w:val="16"/>
          <w:szCs w:val="16"/>
        </w:rPr>
        <w:t>“</w:t>
      </w:r>
      <w:r w:rsidRPr="007F247E">
        <w:rPr>
          <w:rFonts w:ascii="Verdana" w:hAnsi="Verdana" w:cs="Arial"/>
          <w:sz w:val="16"/>
          <w:szCs w:val="16"/>
        </w:rPr>
        <w:t>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r w:rsidRPr="007F247E">
        <w:rPr>
          <w:rFonts w:ascii="Verdana" w:hAnsi="Verdana" w:cs="Arial"/>
          <w:i/>
          <w:iCs/>
          <w:sz w:val="16"/>
          <w:szCs w:val="16"/>
        </w:rPr>
        <w:t>”</w:t>
      </w:r>
      <w:r w:rsidRPr="007F247E">
        <w:rPr>
          <w:rFonts w:ascii="Verdana" w:hAnsi="Verdana" w:cs="Arial"/>
          <w:sz w:val="16"/>
          <w:szCs w:val="16"/>
        </w:rPr>
        <w:t>.</w:t>
      </w:r>
    </w:p>
    <w:p w14:paraId="5D6C877A" w14:textId="77777777" w:rsidR="00F01D3E" w:rsidRPr="007F247E" w:rsidRDefault="00F01D3E" w:rsidP="00F01D3E">
      <w:pPr>
        <w:pStyle w:val="Textonotapie"/>
        <w:ind w:firstLine="709"/>
        <w:contextualSpacing/>
        <w:jc w:val="both"/>
        <w:rPr>
          <w:rFonts w:ascii="Verdana" w:hAnsi="Verdana" w:cs="Arial"/>
          <w:sz w:val="16"/>
          <w:szCs w:val="16"/>
          <w:lang w:val="es-ES"/>
        </w:rPr>
      </w:pPr>
    </w:p>
  </w:footnote>
  <w:footnote w:id="5">
    <w:p w14:paraId="27964883"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Style w:val="Refdenotaalpie"/>
          <w:rFonts w:ascii="Verdana" w:hAnsi="Verdana" w:cs="Arial"/>
          <w:sz w:val="16"/>
          <w:szCs w:val="16"/>
        </w:rPr>
        <w:footnoteRef/>
      </w:r>
      <w:r w:rsidRPr="007F247E">
        <w:rPr>
          <w:rFonts w:ascii="Verdana" w:hAnsi="Verdana" w:cs="Arial"/>
          <w:sz w:val="16"/>
          <w:szCs w:val="16"/>
        </w:rPr>
        <w:t xml:space="preserve"> Ley 1150 de 2007: </w:t>
      </w:r>
      <w:r w:rsidRPr="007F247E">
        <w:rPr>
          <w:rFonts w:ascii="Verdana" w:hAnsi="Verdana" w:cs="Arial"/>
          <w:i/>
          <w:iCs/>
          <w:sz w:val="16"/>
          <w:szCs w:val="16"/>
        </w:rPr>
        <w:t>“</w:t>
      </w:r>
      <w:r w:rsidRPr="007F247E">
        <w:rPr>
          <w:rFonts w:ascii="Verdana" w:hAnsi="Verdana" w:cs="Arial"/>
          <w:sz w:val="16"/>
          <w:szCs w:val="16"/>
        </w:rPr>
        <w:t xml:space="preserve">Artículo 6.  De la verificación de las condiciones de los proponentes. </w:t>
      </w:r>
    </w:p>
    <w:p w14:paraId="4B68805D"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Fonts w:ascii="Verdana" w:hAnsi="Verdana" w:cs="Arial"/>
          <w:sz w:val="16"/>
          <w:szCs w:val="16"/>
        </w:rPr>
        <w:t xml:space="preserve">[...] </w:t>
      </w:r>
    </w:p>
    <w:p w14:paraId="03114129"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Fonts w:ascii="Verdana" w:hAnsi="Verdana" w:cs="Arial"/>
          <w:i/>
          <w:iCs/>
          <w:sz w:val="16"/>
          <w:szCs w:val="16"/>
        </w:rPr>
        <w:t>“</w:t>
      </w:r>
      <w:r w:rsidRPr="007F247E">
        <w:rPr>
          <w:rFonts w:ascii="Verdana" w:hAnsi="Verdana" w:cs="Arial"/>
          <w:sz w:val="16"/>
          <w:szCs w:val="16"/>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7FD7F69"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Fonts w:ascii="Verdana" w:hAnsi="Verdana" w:cs="Arial"/>
          <w:sz w:val="16"/>
          <w:szCs w:val="16"/>
        </w:rPr>
        <w:t>[...]</w:t>
      </w:r>
      <w:r w:rsidRPr="007F247E">
        <w:rPr>
          <w:rFonts w:ascii="Verdana" w:hAnsi="Verdana" w:cs="Arial"/>
          <w:i/>
          <w:iCs/>
          <w:sz w:val="16"/>
          <w:szCs w:val="16"/>
        </w:rPr>
        <w:t>”</w:t>
      </w:r>
      <w:r w:rsidRPr="007F247E">
        <w:rPr>
          <w:rFonts w:ascii="Verdana" w:hAnsi="Verdana" w:cs="Arial"/>
          <w:sz w:val="16"/>
          <w:szCs w:val="16"/>
        </w:rPr>
        <w:t xml:space="preserve">. </w:t>
      </w:r>
    </w:p>
    <w:p w14:paraId="630DBDDB" w14:textId="77777777" w:rsidR="00F01D3E" w:rsidRPr="007F247E" w:rsidRDefault="00F01D3E" w:rsidP="00F01D3E">
      <w:pPr>
        <w:pStyle w:val="Textonotapie"/>
        <w:ind w:firstLine="709"/>
        <w:contextualSpacing/>
        <w:jc w:val="both"/>
        <w:rPr>
          <w:rFonts w:ascii="Verdana" w:hAnsi="Verdana" w:cs="Arial"/>
          <w:sz w:val="16"/>
          <w:szCs w:val="16"/>
        </w:rPr>
      </w:pPr>
    </w:p>
  </w:footnote>
  <w:footnote w:id="6">
    <w:p w14:paraId="21395BD1" w14:textId="77777777" w:rsidR="00F01D3E" w:rsidRPr="007F247E" w:rsidRDefault="00F01D3E" w:rsidP="00F01D3E">
      <w:pPr>
        <w:pStyle w:val="Textonotapie"/>
        <w:ind w:firstLine="709"/>
        <w:contextualSpacing/>
        <w:jc w:val="both"/>
        <w:rPr>
          <w:rFonts w:ascii="Verdana" w:hAnsi="Verdana" w:cs="Arial"/>
          <w:sz w:val="16"/>
          <w:szCs w:val="16"/>
        </w:rPr>
      </w:pPr>
      <w:r w:rsidRPr="007F247E">
        <w:rPr>
          <w:rStyle w:val="Refdenotaalpie"/>
          <w:rFonts w:ascii="Verdana" w:hAnsi="Verdana" w:cs="Arial"/>
          <w:sz w:val="16"/>
          <w:szCs w:val="16"/>
        </w:rPr>
        <w:footnoteRef/>
      </w:r>
      <w:r w:rsidRPr="007F247E">
        <w:rPr>
          <w:rFonts w:ascii="Verdana" w:hAnsi="Verdana" w:cs="Arial"/>
          <w:sz w:val="16"/>
          <w:szCs w:val="16"/>
        </w:rPr>
        <w:t xml:space="preserve">  </w:t>
      </w:r>
      <w:r w:rsidRPr="007F247E">
        <w:rPr>
          <w:rFonts w:ascii="Verdana" w:hAnsi="Verdana" w:cs="Arial"/>
          <w:i/>
          <w:iCs/>
          <w:sz w:val="16"/>
          <w:szCs w:val="16"/>
        </w:rPr>
        <w:t>“</w:t>
      </w:r>
      <w:r w:rsidRPr="007F247E">
        <w:rPr>
          <w:rFonts w:ascii="Verdana" w:hAnsi="Verdana" w:cs="Arial"/>
          <w:sz w:val="16"/>
          <w:szCs w:val="16"/>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r w:rsidRPr="007F247E">
        <w:rPr>
          <w:rFonts w:ascii="Verdana" w:hAnsi="Verdana" w:cs="Arial"/>
          <w:i/>
          <w:iCs/>
          <w:sz w:val="16"/>
          <w:szCs w:val="16"/>
        </w:rPr>
        <w:t>”</w:t>
      </w:r>
      <w:r w:rsidRPr="007F247E">
        <w:rPr>
          <w:rFonts w:ascii="Verdana" w:hAnsi="Verdana" w:cs="Arial"/>
          <w:sz w:val="16"/>
          <w:szCs w:val="16"/>
        </w:rPr>
        <w:t>.</w:t>
      </w:r>
    </w:p>
    <w:p w14:paraId="308431ED" w14:textId="77777777" w:rsidR="00F01D3E" w:rsidRPr="007F247E" w:rsidRDefault="00F01D3E" w:rsidP="00F01D3E">
      <w:pPr>
        <w:pStyle w:val="Textonotapie"/>
        <w:ind w:firstLine="709"/>
        <w:contextualSpacing/>
        <w:jc w:val="both"/>
        <w:rPr>
          <w:rFonts w:ascii="Verdana" w:hAnsi="Verdana" w:cs="Arial"/>
          <w:sz w:val="16"/>
          <w:szCs w:val="16"/>
        </w:rPr>
      </w:pPr>
    </w:p>
  </w:footnote>
  <w:footnote w:id="7">
    <w:p w14:paraId="5A7C1222" w14:textId="77777777" w:rsidR="00F01D3E" w:rsidRPr="007F247E" w:rsidRDefault="00F01D3E" w:rsidP="00F01D3E">
      <w:pPr>
        <w:pStyle w:val="Textonotapie"/>
        <w:ind w:firstLine="708"/>
        <w:contextualSpacing/>
        <w:jc w:val="both"/>
        <w:rPr>
          <w:rFonts w:ascii="Verdana" w:hAnsi="Verdana" w:cs="Arial"/>
          <w:sz w:val="16"/>
          <w:szCs w:val="16"/>
        </w:rPr>
      </w:pPr>
      <w:r w:rsidRPr="007F247E">
        <w:rPr>
          <w:rStyle w:val="Refdenotaalpie"/>
          <w:rFonts w:ascii="Verdana" w:hAnsi="Verdana" w:cs="Arial"/>
          <w:sz w:val="16"/>
          <w:szCs w:val="16"/>
        </w:rPr>
        <w:footnoteRef/>
      </w:r>
      <w:r w:rsidRPr="007F247E">
        <w:rPr>
          <w:rFonts w:ascii="Verdana" w:hAnsi="Verdana" w:cs="Arial"/>
          <w:sz w:val="16"/>
          <w:szCs w:val="16"/>
        </w:rPr>
        <w:t xml:space="preserve"> Como se señaló, el artículo 6 de la Ley 1150 de 2007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64D095AA" w14:textId="77777777" w:rsidR="00F01D3E" w:rsidRPr="007F247E" w:rsidRDefault="00F01D3E" w:rsidP="00F01D3E">
      <w:pPr>
        <w:pStyle w:val="Textonotapie"/>
        <w:ind w:firstLine="708"/>
        <w:contextualSpacing/>
        <w:jc w:val="both"/>
        <w:rPr>
          <w:rFonts w:ascii="Verdana" w:hAnsi="Verdana" w:cs="Arial"/>
          <w:sz w:val="16"/>
          <w:szCs w:val="16"/>
          <w:lang w:val="es-CO"/>
        </w:rPr>
      </w:pPr>
    </w:p>
  </w:footnote>
  <w:footnote w:id="8">
    <w:p w14:paraId="310A8981" w14:textId="77777777" w:rsidR="00F01D3E" w:rsidRDefault="00F01D3E" w:rsidP="00F01D3E">
      <w:pPr>
        <w:pStyle w:val="Textonotapie"/>
        <w:ind w:firstLine="708"/>
        <w:rPr>
          <w:sz w:val="16"/>
          <w:szCs w:val="16"/>
        </w:rPr>
      </w:pPr>
      <w:r w:rsidRPr="00F1785C">
        <w:rPr>
          <w:rStyle w:val="Refdenotaalpie"/>
          <w:rFonts w:ascii="Verdana" w:hAnsi="Verdana"/>
          <w:sz w:val="16"/>
          <w:szCs w:val="16"/>
        </w:rPr>
        <w:footnoteRef/>
      </w:r>
      <w:r w:rsidRPr="00F1785C">
        <w:rPr>
          <w:rFonts w:ascii="Verdana" w:hAnsi="Verdana"/>
          <w:sz w:val="16"/>
          <w:szCs w:val="16"/>
        </w:rPr>
        <w:t xml:space="preserve"> Agencia Nacional de Contratación Pública. Manual para determinar los requisitos habilitantes en los procesos de contratación. Disponible en línea: </w:t>
      </w:r>
      <w:hyperlink r:id="rId1" w:history="1">
        <w:r w:rsidRPr="00F1785C">
          <w:rPr>
            <w:rStyle w:val="Hipervnculo"/>
            <w:rFonts w:ascii="Verdana" w:hAnsi="Verdana"/>
            <w:sz w:val="16"/>
            <w:szCs w:val="16"/>
          </w:rPr>
          <w:t>Manual para determinar y verificar los requisitos habilitantes en los Procesos de Contratación – ANCP Colombia Compra Eficiente</w:t>
        </w:r>
      </w:hyperlink>
    </w:p>
    <w:p w14:paraId="7C49DF2B" w14:textId="77777777" w:rsidR="00F01D3E" w:rsidRPr="005474E6" w:rsidRDefault="00F01D3E" w:rsidP="00F01D3E">
      <w:pPr>
        <w:pStyle w:val="Textonotapie"/>
        <w:ind w:firstLine="708"/>
        <w:rPr>
          <w:rFonts w:ascii="Verdana" w:hAnsi="Verdana"/>
          <w:color w:val="0000FF"/>
          <w:sz w:val="16"/>
          <w:szCs w:val="16"/>
          <w:u w:val="single"/>
        </w:rPr>
      </w:pPr>
    </w:p>
  </w:footnote>
  <w:footnote w:id="9">
    <w:p w14:paraId="39037580" w14:textId="77777777" w:rsidR="00F01D3E" w:rsidRPr="007F247E" w:rsidRDefault="00F01D3E" w:rsidP="00F01D3E">
      <w:pPr>
        <w:pStyle w:val="Textonotapie"/>
        <w:ind w:firstLine="708"/>
        <w:rPr>
          <w:rFonts w:ascii="Verdana" w:hAnsi="Verdana"/>
          <w:sz w:val="16"/>
          <w:szCs w:val="16"/>
          <w:lang w:val="es-ES"/>
        </w:rPr>
      </w:pPr>
      <w:r w:rsidRPr="007F247E">
        <w:rPr>
          <w:rStyle w:val="Refdenotaalpie"/>
          <w:rFonts w:ascii="Verdana" w:hAnsi="Verdana"/>
          <w:sz w:val="16"/>
          <w:szCs w:val="16"/>
        </w:rPr>
        <w:footnoteRef/>
      </w:r>
      <w:r w:rsidRPr="007F247E">
        <w:rPr>
          <w:rFonts w:ascii="Verdana" w:hAnsi="Verdana"/>
          <w:sz w:val="16"/>
          <w:szCs w:val="16"/>
        </w:rPr>
        <w:t xml:space="preserve"> </w:t>
      </w:r>
      <w:r w:rsidRPr="007F247E">
        <w:rPr>
          <w:rFonts w:ascii="Verdana" w:hAnsi="Verdana"/>
          <w:sz w:val="16"/>
          <w:szCs w:val="16"/>
        </w:rPr>
        <w:t xml:space="preserve">Ibídem., p. 14. </w:t>
      </w:r>
    </w:p>
  </w:footnote>
  <w:footnote w:id="10">
    <w:p w14:paraId="54BF7329" w14:textId="77777777" w:rsidR="00F01D3E" w:rsidRPr="00577109" w:rsidRDefault="00F01D3E" w:rsidP="00F01D3E">
      <w:pPr>
        <w:pStyle w:val="Textonotapie"/>
        <w:ind w:firstLine="708"/>
        <w:jc w:val="both"/>
        <w:rPr>
          <w:rFonts w:ascii="Verdana" w:hAnsi="Verdana"/>
          <w:sz w:val="16"/>
          <w:szCs w:val="16"/>
        </w:rPr>
      </w:pPr>
      <w:r>
        <w:rPr>
          <w:rStyle w:val="Refdenotaalpie"/>
        </w:rPr>
        <w:footnoteRef/>
      </w:r>
      <w:r>
        <w:t xml:space="preserve"> </w:t>
      </w:r>
      <w:r w:rsidRPr="00577109">
        <w:rPr>
          <w:rFonts w:ascii="Verdana" w:hAnsi="Verdana"/>
          <w:sz w:val="16"/>
          <w:szCs w:val="16"/>
        </w:rPr>
        <w:t>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FB1C68F" w14:textId="77777777" w:rsidR="00F01D3E" w:rsidRPr="00577109" w:rsidRDefault="00F01D3E" w:rsidP="00F01D3E">
      <w:pPr>
        <w:pStyle w:val="Textonotapie"/>
        <w:ind w:firstLine="708"/>
        <w:jc w:val="both"/>
        <w:rPr>
          <w:rFonts w:ascii="Verdana" w:hAnsi="Verdana"/>
          <w:sz w:val="16"/>
          <w:szCs w:val="16"/>
        </w:rPr>
      </w:pPr>
      <w:r w:rsidRPr="00577109">
        <w:rPr>
          <w:rFonts w:ascii="Verdana" w:hAnsi="Verdana"/>
          <w:sz w:val="16"/>
          <w:szCs w:val="16"/>
        </w:rPr>
        <w:t>1.</w:t>
      </w:r>
      <w:r w:rsidRPr="00577109">
        <w:rPr>
          <w:rFonts w:ascii="Verdana" w:hAnsi="Verdana"/>
          <w:sz w:val="16"/>
          <w:szCs w:val="16"/>
        </w:rPr>
        <w:tab/>
        <w:t>Si es una persona natural:</w:t>
      </w:r>
    </w:p>
    <w:p w14:paraId="721B2D8B" w14:textId="77777777" w:rsidR="00F01D3E" w:rsidRPr="00577109" w:rsidRDefault="00F01D3E" w:rsidP="00F01D3E">
      <w:pPr>
        <w:pStyle w:val="Textonotapie"/>
        <w:ind w:firstLine="708"/>
        <w:jc w:val="both"/>
        <w:rPr>
          <w:rFonts w:ascii="Verdana" w:hAnsi="Verdana"/>
          <w:sz w:val="16"/>
          <w:szCs w:val="16"/>
        </w:rPr>
      </w:pPr>
      <w:r w:rsidRPr="00577109">
        <w:rPr>
          <w:rFonts w:ascii="Verdana" w:hAnsi="Verdana"/>
          <w:sz w:val="16"/>
          <w:szCs w:val="16"/>
        </w:rPr>
        <w:t>1.1.</w:t>
      </w:r>
      <w:r w:rsidRPr="00577109">
        <w:rPr>
          <w:rFonts w:ascii="Verdana" w:hAnsi="Verdana"/>
          <w:sz w:val="16"/>
          <w:szCs w:val="16"/>
        </w:rPr>
        <w:tab/>
        <w:t>Bienes, obras y servicios que ofrecerá a las Entidades Estatales, identificados con el Clasificador de Bienes y Servicios en el tercer nivel.</w:t>
      </w:r>
    </w:p>
    <w:p w14:paraId="17AF2649" w14:textId="77777777" w:rsidR="00F01D3E" w:rsidRPr="005474E6" w:rsidRDefault="00F01D3E" w:rsidP="00F01D3E">
      <w:pPr>
        <w:pStyle w:val="Textonotapie"/>
        <w:ind w:firstLine="708"/>
        <w:jc w:val="both"/>
        <w:rPr>
          <w:lang w:val="es-CO"/>
        </w:rPr>
      </w:pPr>
      <w:r w:rsidRPr="00577109">
        <w:rPr>
          <w:rFonts w:ascii="Verdana" w:hAnsi="Verdana"/>
          <w:sz w:val="16"/>
          <w:szCs w:val="16"/>
        </w:rPr>
        <w:t>1.2.</w:t>
      </w:r>
      <w:r w:rsidRPr="00577109">
        <w:rPr>
          <w:rFonts w:ascii="Verdana" w:hAnsi="Verdana"/>
          <w:sz w:val="16"/>
          <w:szCs w:val="16"/>
        </w:rPr>
        <w:tab/>
        <w:t>Certificados de la experiencia en la provisión de los bienes, obras y servicios que ofrecerá a las Entidades Estatales, los cuales deben ser expedidos por terceros que hayan recibido tales bienes, obras o servicios y deben corresponde 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footnote>
  <w:footnote w:id="11">
    <w:p w14:paraId="355C6A81" w14:textId="77777777" w:rsidR="00F01D3E" w:rsidRPr="008849FF" w:rsidRDefault="00F01D3E" w:rsidP="00F01D3E">
      <w:pPr>
        <w:pStyle w:val="Textonotapie"/>
        <w:ind w:firstLine="708"/>
        <w:rPr>
          <w:rFonts w:ascii="Verdana" w:hAnsi="Verdana"/>
          <w:sz w:val="16"/>
          <w:szCs w:val="16"/>
        </w:rPr>
      </w:pPr>
      <w:r w:rsidRPr="007F247E">
        <w:rPr>
          <w:rStyle w:val="Refdenotaalpie"/>
          <w:rFonts w:ascii="Verdana" w:hAnsi="Verdana"/>
          <w:sz w:val="16"/>
          <w:szCs w:val="16"/>
        </w:rPr>
        <w:footnoteRef/>
      </w:r>
      <w:r w:rsidRPr="007F247E">
        <w:rPr>
          <w:rFonts w:ascii="Verdana" w:hAnsi="Verdana"/>
          <w:sz w:val="16"/>
          <w:szCs w:val="16"/>
        </w:rPr>
        <w:t xml:space="preserve"> Ibídem., p. 5.</w:t>
      </w:r>
      <w:r w:rsidRPr="008849FF">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2755A3BA"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D542C162"/>
    <w:lvl w:ilvl="0" w:tplc="240A000F">
      <w:start w:val="1"/>
      <w:numFmt w:val="decimal"/>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18679D0"/>
    <w:multiLevelType w:val="hybridMultilevel"/>
    <w:tmpl w:val="675A6FB0"/>
    <w:lvl w:ilvl="0" w:tplc="15EC6280">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2"/>
  </w:num>
  <w:num w:numId="14" w16cid:durableId="895897244">
    <w:abstractNumId w:val="15"/>
  </w:num>
  <w:num w:numId="15" w16cid:durableId="390349800">
    <w:abstractNumId w:val="11"/>
  </w:num>
  <w:num w:numId="16" w16cid:durableId="988168109">
    <w:abstractNumId w:val="3"/>
  </w:num>
  <w:num w:numId="17" w16cid:durableId="907111646">
    <w:abstractNumId w:val="9"/>
  </w:num>
  <w:num w:numId="18" w16cid:durableId="15691464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4C3"/>
    <w:rsid w:val="00082362"/>
    <w:rsid w:val="000A683E"/>
    <w:rsid w:val="000B19B9"/>
    <w:rsid w:val="000D0334"/>
    <w:rsid w:val="000D5DA7"/>
    <w:rsid w:val="000F6486"/>
    <w:rsid w:val="00116940"/>
    <w:rsid w:val="00125105"/>
    <w:rsid w:val="00127233"/>
    <w:rsid w:val="0015699B"/>
    <w:rsid w:val="001A33BF"/>
    <w:rsid w:val="001E4177"/>
    <w:rsid w:val="001E417E"/>
    <w:rsid w:val="001F0B24"/>
    <w:rsid w:val="001F7DC6"/>
    <w:rsid w:val="0022400B"/>
    <w:rsid w:val="002421BB"/>
    <w:rsid w:val="0025796E"/>
    <w:rsid w:val="002707A2"/>
    <w:rsid w:val="002951A0"/>
    <w:rsid w:val="002962BC"/>
    <w:rsid w:val="002A093D"/>
    <w:rsid w:val="002A0DD0"/>
    <w:rsid w:val="002A49AC"/>
    <w:rsid w:val="002A64FD"/>
    <w:rsid w:val="002C7A84"/>
    <w:rsid w:val="002D2F05"/>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0B85"/>
    <w:rsid w:val="004A1847"/>
    <w:rsid w:val="004A305D"/>
    <w:rsid w:val="004E0F58"/>
    <w:rsid w:val="004F21C4"/>
    <w:rsid w:val="004F685F"/>
    <w:rsid w:val="005566E8"/>
    <w:rsid w:val="00574867"/>
    <w:rsid w:val="00591460"/>
    <w:rsid w:val="005A65E0"/>
    <w:rsid w:val="005C067A"/>
    <w:rsid w:val="005C3777"/>
    <w:rsid w:val="005C5CDC"/>
    <w:rsid w:val="005D476C"/>
    <w:rsid w:val="006200BF"/>
    <w:rsid w:val="006219F8"/>
    <w:rsid w:val="006302F7"/>
    <w:rsid w:val="00646B9F"/>
    <w:rsid w:val="00665D70"/>
    <w:rsid w:val="006900D9"/>
    <w:rsid w:val="006B096E"/>
    <w:rsid w:val="00706C16"/>
    <w:rsid w:val="007340C3"/>
    <w:rsid w:val="00751801"/>
    <w:rsid w:val="0075235A"/>
    <w:rsid w:val="00756841"/>
    <w:rsid w:val="007649AB"/>
    <w:rsid w:val="00771D0C"/>
    <w:rsid w:val="007833AC"/>
    <w:rsid w:val="00797D39"/>
    <w:rsid w:val="007B268C"/>
    <w:rsid w:val="007B7171"/>
    <w:rsid w:val="007C0C0F"/>
    <w:rsid w:val="007C3DC2"/>
    <w:rsid w:val="007E5497"/>
    <w:rsid w:val="00806F5F"/>
    <w:rsid w:val="00820278"/>
    <w:rsid w:val="008258C9"/>
    <w:rsid w:val="00844AE9"/>
    <w:rsid w:val="00867F95"/>
    <w:rsid w:val="008843B6"/>
    <w:rsid w:val="00891928"/>
    <w:rsid w:val="00896B51"/>
    <w:rsid w:val="008A446D"/>
    <w:rsid w:val="008B25F1"/>
    <w:rsid w:val="008D180B"/>
    <w:rsid w:val="008D66AD"/>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E68ED"/>
    <w:rsid w:val="009F3A13"/>
    <w:rsid w:val="00A122D3"/>
    <w:rsid w:val="00A14468"/>
    <w:rsid w:val="00A17F13"/>
    <w:rsid w:val="00A20739"/>
    <w:rsid w:val="00A23AF9"/>
    <w:rsid w:val="00A33C78"/>
    <w:rsid w:val="00A5085A"/>
    <w:rsid w:val="00A70E92"/>
    <w:rsid w:val="00A8575D"/>
    <w:rsid w:val="00AB0ADB"/>
    <w:rsid w:val="00B00C0E"/>
    <w:rsid w:val="00B01B1A"/>
    <w:rsid w:val="00B0381D"/>
    <w:rsid w:val="00B0734A"/>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4901"/>
    <w:rsid w:val="00CF7FF5"/>
    <w:rsid w:val="00D361FD"/>
    <w:rsid w:val="00D423A2"/>
    <w:rsid w:val="00D43430"/>
    <w:rsid w:val="00D44E26"/>
    <w:rsid w:val="00D520D8"/>
    <w:rsid w:val="00D63AC2"/>
    <w:rsid w:val="00D7383B"/>
    <w:rsid w:val="00D7788A"/>
    <w:rsid w:val="00D820A1"/>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1D3E"/>
    <w:rsid w:val="00F102FE"/>
    <w:rsid w:val="00F11682"/>
    <w:rsid w:val="00F23FEA"/>
    <w:rsid w:val="00F31EDC"/>
    <w:rsid w:val="00F462B3"/>
    <w:rsid w:val="00F5664F"/>
    <w:rsid w:val="00F666C4"/>
    <w:rsid w:val="00F76AFC"/>
    <w:rsid w:val="00F879DF"/>
    <w:rsid w:val="00FA47C0"/>
    <w:rsid w:val="00FB5DD1"/>
    <w:rsid w:val="00FC2B5D"/>
    <w:rsid w:val="00FD5FFE"/>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E417E"/>
    <w:pPr>
      <w:spacing w:line="240" w:lineRule="exact"/>
    </w:pPr>
    <w:rPr>
      <w:vertAlign w:val="superscript"/>
    </w:rPr>
  </w:style>
  <w:style w:type="table" w:customStyle="1" w:styleId="Tablaconcuadrcula11">
    <w:name w:val="Tabla con cuadrícula11"/>
    <w:basedOn w:val="Tablanormal"/>
    <w:next w:val="Tablaconcuadrcula"/>
    <w:uiPriority w:val="39"/>
    <w:qFormat/>
    <w:rsid w:val="001E41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5">
    <w:name w:val="s15"/>
    <w:basedOn w:val="Fuentedeprrafopredeter"/>
    <w:rsid w:val="00F01D3E"/>
  </w:style>
  <w:style w:type="character" w:customStyle="1" w:styleId="apple-converted-space">
    <w:name w:val="apple-converted-space"/>
    <w:basedOn w:val="Fuentedeprrafopredeter"/>
    <w:rsid w:val="00F01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archivos/manual/manual-para-determinar-y-verificar-los-requisitos-habilitantes-en-los-procesos-de-contratacion" TargetMode="External"/><Relationship Id="rId17" Type="http://schemas.openxmlformats.org/officeDocument/2006/relationships/hyperlink" Target="https://nam02.safelinks.protection.outlook.com/?url=https%3A%2F%2Fwww.colombiacompra.gov.co%2Farchivos%2Fboletin%2Fboletin-edicion-n-3-de-2026-radar-de-la-compra-publica&amp;data=05%7C02%7Ccamila.naranjo%40colombiacompra.gov.co%7C7128555136e04fa6887d08dee99e1b50%7C7b09041e245149d08cb179d5e3d8c1be%7C0%7C0%7C639205062447538818%7CUnknown%7CTWFpbGZsb3d8eyJFbXB0eU1hcGkiOnRydWUsIlYiOiIwLjAuMDAwMCIsIlAiOiJXaW4zMiIsIkFOIjoiTWFpbCIsIldUIjoyfQ%3D%3D%7C0%7C%7C%7C&amp;sdata=htOO1E4Iq0U7bOaX%2FCUf50akUuT6OlzdNIisS0pUdd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mila.naranjo%40colombiacompra.gov.co%7C7128555136e04fa6887d08dee99e1b50%7C7b09041e245149d08cb179d5e3d8c1be%7C0%7C0%7C639205062447518524%7CUnknown%7CTWFpbGZsb3d8eyJFbXB0eU1hcGkiOnRydWUsIlYiOiIwLjAuMDAwMCIsIlAiOiJXaW4zMiIsIkFOIjoiTWFpbCIsIldUIjoyfQ%3D%3D%7C0%7C%7C%7C&amp;sdata=C9rzHVFfqyFYl0X%2BRTLH%2FMZujmz6a9lKSqxwbAcUN%2FY%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roc4@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mila.naranjo%40colombiacompra.gov.co%7C7128555136e04fa6887d08dee99e1b50%7C7b09041e245149d08cb179d5e3d8c1be%7C0%7C0%7C639205062447486303%7CUnknown%7CTWFpbGZsb3d8eyJFbXB0eU1hcGkiOnRydWUsIlYiOiIwLjAuMDAwMCIsIlAiOiJXaW4zMiIsIkFOIjoiTWFpbCIsIldUIjoyfQ%3D%3D%7C0%7C%7C%7C&amp;sdata=MshF4iCZI5oujYh78hGTEvsz%2BP8GLnrx4Ldozcj0SM8%3D&amp;reserved=0" TargetMode="Externa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mila.naranjo%40colombiacompra.gov.co%7C7128555136e04fa6887d08dee99e1b50%7C7b09041e245149d08cb179d5e3d8c1be%7C0%7C0%7C639205062447422308%7CUnknown%7CTWFpbGZsb3d8eyJFbXB0eU1hcGkiOnRydWUsIlYiOiIwLjAuMDAwMCIsIlAiOiJXaW4zMiIsIkFOIjoiTWFpbCIsIldUIjoyfQ%3D%3D%7C0%7C%7C%7C&amp;sdata=CmhnFTbuAL9DMRrtAjh3P4T2J5MzIdmW2COR7ofLoAA%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manual-para-determinar-y-verificar-los-requisitos-habilitantes-en-los-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893478-3531-4183-B9F8-44B21DBFA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16</Pages>
  <Words>5923</Words>
  <Characters>32577</Characters>
  <Application>Microsoft Office Word</Application>
  <DocSecurity>0</DocSecurity>
  <Lines>271</Lines>
  <Paragraphs>76</Paragraphs>
  <ScaleCrop>false</ScaleCrop>
  <Company/>
  <LinksUpToDate>false</LinksUpToDate>
  <CharactersWithSpaces>38424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2023-01-10T21:18:00Z</cp:lastPrinted>
  <dcterms:created xsi:type="dcterms:W3CDTF">2026-10-21T14:03:00Z</dcterms:created>
  <dcterms:modified xsi:type="dcterms:W3CDTF">2026-10-21T14:08:00Z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