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5FC446" w14:textId="1FBB2544" w:rsidR="007B6AE1" w:rsidRPr="007B6AE1" w:rsidRDefault="007B6AE1" w:rsidP="007B6AE1">
      <w:pPr>
        <w:spacing w:after="0"/>
        <w:jc w:val="both"/>
        <w:rPr>
          <w:rFonts w:ascii="Verdana" w:eastAsia="Verdana" w:hAnsi="Verdana" w:cs="Verdana"/>
        </w:rPr>
      </w:pPr>
      <w:bookmarkStart w:id="0" w:name="_Hlk143780582"/>
      <w:r w:rsidRPr="007B6AE1">
        <w:rPr>
          <w:rFonts w:ascii="Verdana" w:eastAsia="Calibri" w:hAnsi="Verdana" w:cs="Arial"/>
          <w:b/>
          <w:bCs/>
          <w:color w:val="000000"/>
          <w:kern w:val="2"/>
          <w:lang w:val="es-ES" w:eastAsia="es-CO"/>
          <w14:ligatures w14:val="standardContextual"/>
        </w:rPr>
        <w:t xml:space="preserve">INDUSTRIA NACIONAL – Puntaje adicional – Decreto 680 de 2021 </w:t>
      </w:r>
    </w:p>
    <w:p w14:paraId="4EF97D2E" w14:textId="77777777" w:rsidR="007B6AE1" w:rsidRPr="007B6AE1" w:rsidRDefault="007B6AE1" w:rsidP="007B6AE1">
      <w:pPr>
        <w:snapToGrid w:val="0"/>
        <w:spacing w:after="0" w:line="276" w:lineRule="auto"/>
        <w:jc w:val="both"/>
        <w:rPr>
          <w:rFonts w:ascii="Verdana" w:eastAsia="Calibri" w:hAnsi="Verdana" w:cs="Arial"/>
          <w:b/>
          <w:bCs/>
          <w:color w:val="000000"/>
          <w:kern w:val="2"/>
          <w:lang w:val="es-ES" w:eastAsia="es-CO"/>
          <w14:ligatures w14:val="standardContextual"/>
        </w:rPr>
      </w:pPr>
    </w:p>
    <w:p w14:paraId="5444400D" w14:textId="78A73E47" w:rsidR="007B6AE1" w:rsidRPr="00C303DA" w:rsidRDefault="005D0D0F" w:rsidP="007B6AE1">
      <w:pPr>
        <w:snapToGrid w:val="0"/>
        <w:spacing w:after="0" w:line="240" w:lineRule="auto"/>
        <w:jc w:val="both"/>
        <w:rPr>
          <w:rFonts w:ascii="Verdana" w:eastAsia="Arial" w:hAnsi="Verdana" w:cs="Arial"/>
          <w:color w:val="000000"/>
          <w:kern w:val="2"/>
          <w:sz w:val="20"/>
          <w:szCs w:val="20"/>
          <w:lang w:val="es-ES"/>
          <w14:ligatures w14:val="standardContextual"/>
        </w:rPr>
      </w:pPr>
      <w:r w:rsidRPr="00C303DA">
        <w:rPr>
          <w:rFonts w:ascii="Verdana" w:eastAsia="Arial" w:hAnsi="Verdana" w:cs="Arial"/>
          <w:color w:val="000000"/>
          <w:kern w:val="2"/>
          <w:sz w:val="20"/>
          <w:szCs w:val="20"/>
          <w:lang w:val="es-ES"/>
          <w14:ligatures w14:val="standardContextual"/>
        </w:rPr>
        <w:t xml:space="preserve">La </w:t>
      </w:r>
      <w:proofErr w:type="gramStart"/>
      <w:r w:rsidRPr="00C303DA">
        <w:rPr>
          <w:rFonts w:ascii="Verdana" w:eastAsia="Arial" w:hAnsi="Verdana" w:cs="Arial"/>
          <w:color w:val="000000"/>
          <w:kern w:val="2"/>
          <w:sz w:val="20"/>
          <w:szCs w:val="20"/>
          <w:lang w:val="es-ES"/>
          <w14:ligatures w14:val="standardContextual"/>
        </w:rPr>
        <w:t>entrada en vigencia</w:t>
      </w:r>
      <w:proofErr w:type="gramEnd"/>
      <w:r w:rsidRPr="00C303DA">
        <w:rPr>
          <w:rFonts w:ascii="Verdana" w:eastAsia="Arial" w:hAnsi="Verdana" w:cs="Arial"/>
          <w:color w:val="000000"/>
          <w:kern w:val="2"/>
          <w:sz w:val="20"/>
          <w:szCs w:val="20"/>
          <w:lang w:val="es-ES"/>
          <w14:ligatures w14:val="standardContextual"/>
        </w:rPr>
        <w:t xml:space="preserve"> del Decreto 680 de 2021, al modificar la noción de </w:t>
      </w:r>
      <w:r w:rsidRPr="00C303DA">
        <w:rPr>
          <w:rFonts w:ascii="Verdana" w:eastAsia="Arial" w:hAnsi="Verdana" w:cs="Arial"/>
          <w:i/>
          <w:iCs/>
          <w:color w:val="000000"/>
          <w:kern w:val="2"/>
          <w:sz w:val="20"/>
          <w:szCs w:val="20"/>
          <w:lang w:val="es-ES"/>
          <w14:ligatures w14:val="standardContextual"/>
        </w:rPr>
        <w:t xml:space="preserve">Servicios Nacionales </w:t>
      </w:r>
      <w:r w:rsidRPr="00C303DA">
        <w:rPr>
          <w:rFonts w:ascii="Verdana" w:eastAsia="Arial" w:hAnsi="Verdana" w:cs="Arial"/>
          <w:color w:val="000000"/>
          <w:kern w:val="2"/>
          <w:sz w:val="20"/>
          <w:szCs w:val="20"/>
          <w:lang w:val="es-ES"/>
          <w14:ligatures w14:val="standardContextual"/>
        </w:rPr>
        <w:t>contenida en el Decreto 1082 de 2015, generó la necesidad de adecuar los Documentos Tipo expedidos por la Agencia Nacional de Contratación Pública – Colombia Compra Eficiente, en ejercicio de las potestades conferidas por la Ley 2022 de 2020. Esto como quiera que, en los documentos vigentes antes de la expedición de dicho Decreto, el puntaje por apoyo a la industria nacional y la verificación de la procedencia del trato nacional se encontraban desarrolladas conforme con la antigua concepción de servicio nacional, por lo que para acceder al máximo puntaje bastaba con acreditar ser una persona natural colombiana o una persona jurídica de acuerdo con la ley colombiana. Debido a esto, el parágrafo 2 del artículo 3 del referido Decreto, contempló un plazo de tres (3) meses para que esta Agencia realizara la adecuación de los Documentos Tipo.</w:t>
      </w:r>
    </w:p>
    <w:p w14:paraId="595A139B" w14:textId="77777777" w:rsidR="007B6AE1" w:rsidRPr="007B6AE1" w:rsidRDefault="007B6AE1" w:rsidP="007B6AE1">
      <w:pPr>
        <w:snapToGrid w:val="0"/>
        <w:spacing w:after="0" w:line="276" w:lineRule="auto"/>
        <w:jc w:val="both"/>
        <w:rPr>
          <w:rFonts w:ascii="Verdana" w:eastAsia="Calibri" w:hAnsi="Verdana" w:cs="Arial"/>
          <w:b/>
          <w:bCs/>
          <w:color w:val="000000"/>
          <w:kern w:val="2"/>
          <w:lang w:val="es-ES" w:eastAsia="es-CO"/>
          <w14:ligatures w14:val="standardContextual"/>
        </w:rPr>
      </w:pPr>
    </w:p>
    <w:p w14:paraId="6FAEF5D3" w14:textId="77777777" w:rsidR="007B6AE1" w:rsidRPr="007B6AE1" w:rsidRDefault="007B6AE1" w:rsidP="007B6AE1">
      <w:pPr>
        <w:snapToGrid w:val="0"/>
        <w:spacing w:after="0" w:line="276" w:lineRule="auto"/>
        <w:jc w:val="both"/>
        <w:rPr>
          <w:rFonts w:ascii="Verdana" w:eastAsia="Calibri" w:hAnsi="Verdana" w:cs="Arial"/>
          <w:b/>
          <w:bCs/>
          <w:color w:val="000000"/>
          <w:kern w:val="2"/>
          <w:lang w:val="es-ES" w:eastAsia="es-CO"/>
          <w14:ligatures w14:val="standardContextual"/>
        </w:rPr>
      </w:pPr>
      <w:r w:rsidRPr="007B6AE1">
        <w:rPr>
          <w:rFonts w:ascii="Verdana" w:eastAsia="Calibri" w:hAnsi="Verdana" w:cs="Arial"/>
          <w:b/>
          <w:bCs/>
          <w:color w:val="000000"/>
          <w:kern w:val="2"/>
          <w:lang w:val="es-ES" w:eastAsia="es-CO"/>
          <w14:ligatures w14:val="standardContextual"/>
        </w:rPr>
        <w:t>DOCUMENTOS TIPO DE LICITACIÓN DE INFRAESTRUCTURA SOCIAL – Versión 2 – Puntaje de industria nacional – Formato 9 – Numeral 4.3 del Documento Base – Apoyo a la industria nacional</w:t>
      </w:r>
    </w:p>
    <w:p w14:paraId="26199BA9" w14:textId="77777777" w:rsidR="007B6AE1" w:rsidRPr="007B6AE1" w:rsidRDefault="007B6AE1" w:rsidP="007B6AE1">
      <w:pPr>
        <w:snapToGrid w:val="0"/>
        <w:spacing w:after="0" w:line="276" w:lineRule="auto"/>
        <w:jc w:val="both"/>
        <w:rPr>
          <w:rFonts w:ascii="Verdana" w:eastAsia="Calibri" w:hAnsi="Verdana" w:cs="Arial"/>
          <w:b/>
          <w:bCs/>
          <w:color w:val="000000"/>
          <w:kern w:val="2"/>
          <w:lang w:val="es-ES" w:eastAsia="es-CO"/>
          <w14:ligatures w14:val="standardContextual"/>
        </w:rPr>
      </w:pPr>
    </w:p>
    <w:p w14:paraId="3F756D8C" w14:textId="40D052C7" w:rsidR="007B6AE1" w:rsidRPr="00C303DA" w:rsidRDefault="007B6AE1" w:rsidP="00C303DA">
      <w:pPr>
        <w:adjustRightInd w:val="0"/>
        <w:snapToGrid w:val="0"/>
        <w:spacing w:after="0" w:line="240" w:lineRule="auto"/>
        <w:jc w:val="both"/>
        <w:rPr>
          <w:rFonts w:ascii="Verdana" w:eastAsia="Arial" w:hAnsi="Verdana" w:cs="Arial"/>
          <w:color w:val="000000"/>
          <w:kern w:val="2"/>
          <w:sz w:val="20"/>
          <w:szCs w:val="20"/>
          <w:lang w:val="es-ES_tradnl"/>
          <w14:ligatures w14:val="standardContextual"/>
        </w:rPr>
      </w:pPr>
      <w:r w:rsidRPr="00C303DA">
        <w:rPr>
          <w:rFonts w:ascii="Verdana" w:eastAsia="Arial" w:hAnsi="Verdana" w:cs="Arial"/>
          <w:color w:val="000000"/>
          <w:kern w:val="2"/>
          <w:sz w:val="20"/>
          <w:szCs w:val="20"/>
          <w:lang w:val="es-ES_tradnl"/>
          <w14:ligatures w14:val="standardContextual"/>
        </w:rPr>
        <w:t xml:space="preserve">[…] </w:t>
      </w:r>
      <w:r w:rsidR="005D0D0F" w:rsidRPr="00C303DA">
        <w:rPr>
          <w:rFonts w:ascii="Verdana" w:eastAsia="Arial" w:hAnsi="Verdana" w:cs="Arial"/>
          <w:color w:val="000000"/>
          <w:kern w:val="2"/>
          <w:sz w:val="20"/>
          <w:szCs w:val="20"/>
          <w:lang w:val="es-ES_tradnl"/>
          <w14:ligatures w14:val="standardContextual"/>
        </w:rPr>
        <w:t>el numeral 4.3 “APOYO A LA INDUSTRIA NACIONAL” del Documento Base de los referidos documentos tipo, establece dos (2) alternativas para la obtención del puntaje de apoyo a la industria nacional, así:</w:t>
      </w:r>
    </w:p>
    <w:p w14:paraId="16F874D2" w14:textId="77777777" w:rsidR="007B6AE1" w:rsidRPr="00C303DA" w:rsidRDefault="007B6AE1" w:rsidP="00C303DA">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C303DA">
        <w:rPr>
          <w:rFonts w:ascii="Verdana" w:eastAsia="Arial" w:hAnsi="Verdana" w:cs="Arial"/>
          <w:color w:val="000000"/>
          <w:kern w:val="2"/>
          <w:sz w:val="20"/>
          <w:szCs w:val="20"/>
          <w:lang w:val="es-ES_tradnl"/>
          <w14:ligatures w14:val="standardContextual"/>
        </w:rPr>
        <w:t>[…]</w:t>
      </w:r>
    </w:p>
    <w:p w14:paraId="54A6516A" w14:textId="0F77C9DB" w:rsidR="007B6AE1" w:rsidRPr="00C303DA" w:rsidRDefault="005D0D0F" w:rsidP="00C303DA">
      <w:pPr>
        <w:tabs>
          <w:tab w:val="left" w:pos="709"/>
        </w:tabs>
        <w:snapToGrid w:val="0"/>
        <w:spacing w:after="0" w:line="240" w:lineRule="auto"/>
        <w:jc w:val="both"/>
        <w:rPr>
          <w:rFonts w:ascii="Verdana" w:eastAsia="Calibri" w:hAnsi="Verdana" w:cs="Arial"/>
          <w:color w:val="000000"/>
          <w:kern w:val="2"/>
          <w:sz w:val="20"/>
          <w:szCs w:val="20"/>
          <w:lang w:val="es-ES"/>
          <w14:ligatures w14:val="standardContextual"/>
        </w:rPr>
      </w:pPr>
      <w:r w:rsidRPr="00C303DA">
        <w:rPr>
          <w:rFonts w:ascii="Verdana" w:eastAsia="Calibri" w:hAnsi="Verdana" w:cs="Arial"/>
          <w:color w:val="000000"/>
          <w:kern w:val="2"/>
          <w:sz w:val="20"/>
          <w:szCs w:val="20"/>
          <w:lang w:val="es-ES"/>
          <w14:ligatures w14:val="standardContextual"/>
        </w:rPr>
        <w:t xml:space="preserve">Así mismo, el numeral 4.3.1 </w:t>
      </w:r>
      <w:r w:rsidRPr="00C303DA">
        <w:rPr>
          <w:rFonts w:ascii="Verdana" w:eastAsia="Calibri" w:hAnsi="Verdana" w:cs="Arial"/>
          <w:i/>
          <w:iCs/>
          <w:color w:val="000000"/>
          <w:kern w:val="2"/>
          <w:sz w:val="20"/>
          <w:szCs w:val="20"/>
          <w:lang w:val="es-ES"/>
          <w14:ligatures w14:val="standardContextual"/>
        </w:rPr>
        <w:t>ibidem</w:t>
      </w:r>
      <w:r w:rsidRPr="00C303DA">
        <w:rPr>
          <w:rFonts w:ascii="Verdana" w:eastAsia="Calibri" w:hAnsi="Verdana" w:cs="Arial"/>
          <w:color w:val="000000"/>
          <w:kern w:val="2"/>
          <w:sz w:val="20"/>
          <w:szCs w:val="20"/>
          <w:lang w:val="es-ES"/>
          <w14:ligatures w14:val="standardContextual"/>
        </w:rPr>
        <w:t xml:space="preserve">, explica cómo el proponente se hace acreedor para el otorgamiento del puntaje por “Promoción de Servicios Nacionales o con Trato Nacional” y las reglas que las entidades deben tener en cuenta para definir el porcentaje de empleados o contratistas por prestación de servicios colombianos. De igual forma, para la acreditación del puntaje por servicios nacionales o con trato nacional, el numeral 4.3.1.1 prevé que: </w:t>
      </w:r>
    </w:p>
    <w:p w14:paraId="0B8E2109" w14:textId="77777777" w:rsidR="007B6AE1" w:rsidRPr="00C303DA" w:rsidRDefault="007B6AE1" w:rsidP="00C303DA">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C303DA">
        <w:rPr>
          <w:rFonts w:ascii="Verdana" w:eastAsia="Calibri" w:hAnsi="Verdana" w:cs="Arial"/>
          <w:iCs/>
          <w:color w:val="000000"/>
          <w:sz w:val="20"/>
          <w:szCs w:val="20"/>
        </w:rPr>
        <w:t>[…]</w:t>
      </w:r>
    </w:p>
    <w:p w14:paraId="6695FB5B" w14:textId="38D322EB" w:rsidR="007B6AE1" w:rsidRPr="00C303DA" w:rsidRDefault="005D0D0F" w:rsidP="00C303DA">
      <w:pPr>
        <w:tabs>
          <w:tab w:val="left" w:pos="-142"/>
        </w:tabs>
        <w:autoSpaceDE w:val="0"/>
        <w:autoSpaceDN w:val="0"/>
        <w:adjustRightInd w:val="0"/>
        <w:snapToGrid w:val="0"/>
        <w:spacing w:after="0" w:line="240" w:lineRule="auto"/>
        <w:jc w:val="both"/>
        <w:outlineLvl w:val="0"/>
        <w:rPr>
          <w:rFonts w:ascii="Verdana" w:eastAsia="Calibri" w:hAnsi="Verdana" w:cs="Arial"/>
          <w:bCs/>
          <w:color w:val="000000"/>
          <w:kern w:val="2"/>
          <w:sz w:val="20"/>
          <w:szCs w:val="20"/>
          <w:lang w:val="es-ES_tradnl"/>
          <w14:ligatures w14:val="standardContextual"/>
        </w:rPr>
      </w:pPr>
      <w:r w:rsidRPr="00C303DA">
        <w:rPr>
          <w:rFonts w:ascii="Verdana" w:eastAsia="Calibri" w:hAnsi="Verdana" w:cs="Arial"/>
          <w:bCs/>
          <w:color w:val="000000"/>
          <w:kern w:val="2"/>
          <w:sz w:val="20"/>
          <w:szCs w:val="20"/>
          <w:lang w:val="es-ES_tradnl"/>
          <w14:ligatures w14:val="standardContextual"/>
        </w:rPr>
        <w:t>Así pues, para el otorgamiento del puntaje por apoyo a la industria nacional, un proponente nacional tendrá que presentar los documentos anteriormente enunciados, acompañados del “Formato 9A”, tal y como se indica en el Documento Base de los Documentos Tipo de licitación de obra pública de infraestructura social –versión 2–. El “Formato 9A – Promoción de Servicios Nacionales o con Trato Nacional” comienza con una nota aclaratoria con relación a su alcance, en la cual dispone que:</w:t>
      </w:r>
    </w:p>
    <w:p w14:paraId="22D8CEE4" w14:textId="77777777" w:rsidR="007B6AE1" w:rsidRPr="00C303DA" w:rsidRDefault="007B6AE1" w:rsidP="00C303DA">
      <w:pPr>
        <w:tabs>
          <w:tab w:val="left" w:pos="-142"/>
        </w:tabs>
        <w:autoSpaceDE w:val="0"/>
        <w:autoSpaceDN w:val="0"/>
        <w:adjustRightInd w:val="0"/>
        <w:snapToGrid w:val="0"/>
        <w:spacing w:after="0" w:line="240" w:lineRule="auto"/>
        <w:jc w:val="both"/>
        <w:outlineLvl w:val="0"/>
        <w:rPr>
          <w:rFonts w:ascii="Verdana" w:eastAsia="Times New Roman" w:hAnsi="Verdana" w:cs="Arial"/>
          <w:kern w:val="2"/>
          <w:sz w:val="20"/>
          <w:szCs w:val="20"/>
          <w:highlight w:val="lightGray"/>
          <w:lang w:val="es-ES_tradnl" w:eastAsia="es-ES"/>
          <w14:ligatures w14:val="standardContextual"/>
        </w:rPr>
      </w:pPr>
      <w:r w:rsidRPr="00C303DA">
        <w:rPr>
          <w:rFonts w:ascii="Verdana" w:eastAsia="Calibri" w:hAnsi="Verdana" w:cs="Arial"/>
          <w:bCs/>
          <w:color w:val="000000"/>
          <w:kern w:val="2"/>
          <w:sz w:val="20"/>
          <w:szCs w:val="20"/>
          <w:lang w:val="es-ES_tradnl"/>
          <w14:ligatures w14:val="standardContextual"/>
        </w:rPr>
        <w:t>[…]</w:t>
      </w:r>
    </w:p>
    <w:p w14:paraId="1AD9A219" w14:textId="77777777" w:rsidR="005D0D0F" w:rsidRPr="00C303DA" w:rsidRDefault="005D0D0F" w:rsidP="00C303DA">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C303DA">
        <w:rPr>
          <w:rFonts w:ascii="Verdana" w:eastAsia="Calibri" w:hAnsi="Verdana" w:cs="Arial"/>
          <w:bCs/>
          <w:color w:val="000000"/>
          <w:kern w:val="2"/>
          <w:sz w:val="20"/>
          <w:szCs w:val="20"/>
          <w:lang w:val="es-ES_tradnl"/>
          <w14:ligatures w14:val="standardContextual"/>
        </w:rPr>
        <w:t xml:space="preserve">De acuerdo con el ámbito de aplicación de la primera franja del puntaje por apoyo a la industria nacional, el “Formato 9A” solo debe ser diligenciado por proponentes nacionales o extranjeros con derecho a trato nacional, al igual que por los proponentes plurales que estos conformen. Lo anterior comoquiera que son estos los sujetos habilitados para acceder al puntaje al que se refiere el primer inciso del artículo 2 de la Ley 816 de 2003.  </w:t>
      </w:r>
    </w:p>
    <w:p w14:paraId="23F47281" w14:textId="77777777" w:rsidR="00C303DA" w:rsidRDefault="00C303DA" w:rsidP="00C303DA">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p>
    <w:p w14:paraId="457C95C9" w14:textId="42BE9204" w:rsidR="007B6AE1" w:rsidRPr="00C303DA" w:rsidRDefault="005D0D0F" w:rsidP="00C303DA">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C303DA">
        <w:rPr>
          <w:rFonts w:ascii="Verdana" w:eastAsia="Calibri" w:hAnsi="Verdana" w:cs="Arial"/>
          <w:bCs/>
          <w:color w:val="000000"/>
          <w:kern w:val="2"/>
          <w:sz w:val="20"/>
          <w:szCs w:val="20"/>
          <w:lang w:val="es-ES_tradnl"/>
          <w14:ligatures w14:val="standardContextual"/>
        </w:rPr>
        <w:t xml:space="preserve">Por otra parte, el numeral 4.3.2 de los documentos tipo en comento, establece cómo el proponente se hace acreedor del puntaje correspondiente a cinco (5) puntos por </w:t>
      </w:r>
      <w:r w:rsidRPr="00C303DA">
        <w:rPr>
          <w:rFonts w:ascii="Verdana" w:eastAsia="Calibri" w:hAnsi="Verdana" w:cs="Arial"/>
          <w:bCs/>
          <w:color w:val="000000"/>
          <w:kern w:val="2"/>
          <w:sz w:val="20"/>
          <w:szCs w:val="20"/>
          <w:lang w:val="es-ES_tradnl"/>
          <w14:ligatures w14:val="standardContextual"/>
        </w:rPr>
        <w:lastRenderedPageBreak/>
        <w:t>concepto de “Incorporación de Componente Nacional en Servicios Extranjeros”, en los siguientes términos:</w:t>
      </w:r>
      <w:r w:rsidR="00C303DA" w:rsidRPr="00C303DA">
        <w:rPr>
          <w:rFonts w:ascii="Verdana" w:eastAsia="Calibri" w:hAnsi="Verdana" w:cs="Arial"/>
          <w:bCs/>
          <w:color w:val="000000"/>
          <w:kern w:val="2"/>
          <w:sz w:val="20"/>
          <w:szCs w:val="20"/>
          <w:lang w:val="es-ES_tradnl"/>
          <w14:ligatures w14:val="standardContextual"/>
        </w:rPr>
        <w:t xml:space="preserve"> </w:t>
      </w:r>
      <w:r w:rsidR="007B6AE1" w:rsidRPr="00C303DA">
        <w:rPr>
          <w:rFonts w:ascii="Verdana" w:eastAsia="Calibri" w:hAnsi="Verdana" w:cs="Arial"/>
          <w:bCs/>
          <w:color w:val="000000"/>
          <w:kern w:val="2"/>
          <w:sz w:val="20"/>
          <w:szCs w:val="20"/>
          <w:lang w:val="es-ES_tradnl"/>
          <w14:ligatures w14:val="standardContextual"/>
        </w:rPr>
        <w:t>[…]</w:t>
      </w:r>
    </w:p>
    <w:p w14:paraId="578B10CB" w14:textId="77777777" w:rsidR="007B6AE1" w:rsidRPr="007B6AE1" w:rsidRDefault="007B6AE1" w:rsidP="007B6AE1">
      <w:pPr>
        <w:spacing w:after="0"/>
        <w:jc w:val="both"/>
        <w:rPr>
          <w:rFonts w:ascii="Verdana" w:eastAsia="Calibri" w:hAnsi="Verdana" w:cs="Arial"/>
          <w:b/>
          <w:bCs/>
          <w:kern w:val="2"/>
          <w:lang w:val="es-ES" w:eastAsia="es-ES"/>
          <w14:ligatures w14:val="standardContextual"/>
        </w:rPr>
      </w:pPr>
    </w:p>
    <w:p w14:paraId="0D100E3F" w14:textId="77777777" w:rsidR="007B6AE1" w:rsidRPr="007B6AE1" w:rsidRDefault="007B6AE1" w:rsidP="007B6AE1">
      <w:pPr>
        <w:spacing w:after="0"/>
        <w:jc w:val="both"/>
        <w:rPr>
          <w:rFonts w:ascii="Verdana" w:eastAsia="Verdana" w:hAnsi="Verdana" w:cs="Verdana"/>
        </w:rPr>
      </w:pPr>
      <w:r w:rsidRPr="007B6AE1">
        <w:rPr>
          <w:rFonts w:ascii="Verdana" w:eastAsia="Calibri" w:hAnsi="Verdana" w:cs="Arial"/>
          <w:b/>
          <w:bCs/>
          <w:kern w:val="2"/>
          <w:lang w:val="es-ES" w:eastAsia="es-ES"/>
          <w14:ligatures w14:val="standardContextual"/>
        </w:rPr>
        <w:t>SUBSANABILIDAD – Aplicación – R</w:t>
      </w:r>
      <w:r w:rsidRPr="007B6AE1">
        <w:rPr>
          <w:rFonts w:ascii="Verdana" w:eastAsia="Calibri" w:hAnsi="Verdana" w:cs="Times New Roman"/>
          <w:b/>
          <w:bCs/>
          <w:kern w:val="2"/>
          <w:lang w:val="es-ES" w:eastAsia="es-ES"/>
          <w14:ligatures w14:val="standardContextual"/>
        </w:rPr>
        <w:t>egla general</w:t>
      </w:r>
      <w:r w:rsidRPr="007B6AE1">
        <w:rPr>
          <w:rFonts w:ascii="Verdana" w:eastAsia="Calibri" w:hAnsi="Verdana" w:cs="Arial"/>
          <w:b/>
          <w:bCs/>
          <w:kern w:val="2"/>
          <w:lang w:val="es-ES" w:eastAsia="es-ES"/>
          <w14:ligatures w14:val="standardContextual"/>
        </w:rPr>
        <w:t xml:space="preserve"> – Excepciones </w:t>
      </w:r>
    </w:p>
    <w:p w14:paraId="3BFF39D7" w14:textId="77777777" w:rsidR="007B6AE1" w:rsidRPr="007B6AE1" w:rsidRDefault="007B6AE1" w:rsidP="007B6AE1">
      <w:pPr>
        <w:tabs>
          <w:tab w:val="left" w:pos="426"/>
        </w:tabs>
        <w:spacing w:after="0" w:line="276" w:lineRule="auto"/>
        <w:jc w:val="both"/>
        <w:rPr>
          <w:rFonts w:ascii="Verdana" w:eastAsia="Calibri" w:hAnsi="Verdana" w:cs="Arial"/>
          <w:b/>
          <w:kern w:val="2"/>
          <w:lang w:eastAsia="es-CO"/>
          <w14:ligatures w14:val="standardContextual"/>
        </w:rPr>
      </w:pPr>
    </w:p>
    <w:p w14:paraId="495AB45D" w14:textId="5E04AA00" w:rsidR="007B6AE1" w:rsidRPr="00C303DA" w:rsidRDefault="005D0D0F" w:rsidP="007B6AE1">
      <w:pPr>
        <w:spacing w:after="0" w:line="240" w:lineRule="auto"/>
        <w:jc w:val="both"/>
        <w:rPr>
          <w:rFonts w:ascii="Verdana" w:eastAsia="Times New Roman" w:hAnsi="Verdana" w:cs="Arial"/>
          <w:sz w:val="20"/>
          <w:szCs w:val="20"/>
          <w:lang w:val="es-ES_tradnl" w:eastAsia="es-ES_tradnl"/>
        </w:rPr>
      </w:pPr>
      <w:r w:rsidRPr="00C303DA">
        <w:rPr>
          <w:rFonts w:ascii="Verdana" w:eastAsia="Calibri" w:hAnsi="Verdana" w:cs="Arial"/>
          <w:noProof/>
          <w:sz w:val="20"/>
          <w:szCs w:val="20"/>
          <w:lang w:val="es-ES_tradnl"/>
        </w:rPr>
        <w:t>L</w:t>
      </w:r>
      <w:r w:rsidRPr="00C303DA">
        <w:rPr>
          <w:rFonts w:ascii="Verdana" w:eastAsia="Times New Roman" w:hAnsi="Verdana" w:cs="Arial"/>
          <w:sz w:val="20"/>
          <w:szCs w:val="20"/>
        </w:rPr>
        <w:t xml:space="preserve">a regla de la </w:t>
      </w:r>
      <w:proofErr w:type="spellStart"/>
      <w:r w:rsidRPr="00C303DA">
        <w:rPr>
          <w:rFonts w:ascii="Verdana" w:eastAsia="Times New Roman" w:hAnsi="Verdana" w:cs="Arial"/>
          <w:sz w:val="20"/>
          <w:szCs w:val="20"/>
        </w:rPr>
        <w:t>subsanabilidad</w:t>
      </w:r>
      <w:proofErr w:type="spellEnd"/>
      <w:r w:rsidRPr="00C303DA">
        <w:rPr>
          <w:rFonts w:ascii="Verdana" w:eastAsia="Times New Roman" w:hAnsi="Verdana" w:cs="Arial"/>
          <w:sz w:val="20"/>
          <w:szCs w:val="20"/>
        </w:rPr>
        <w:t xml:space="preserve"> de las ofertas en los procedimientos de selección</w:t>
      </w:r>
      <w:r w:rsidRPr="00C303DA">
        <w:rPr>
          <w:rFonts w:ascii="Verdana" w:eastAsia="Times New Roman" w:hAnsi="Verdana" w:cs="Arial"/>
          <w:b/>
          <w:bCs/>
          <w:sz w:val="20"/>
          <w:szCs w:val="20"/>
        </w:rPr>
        <w:t xml:space="preserve"> </w:t>
      </w:r>
      <w:r w:rsidRPr="00C303DA">
        <w:rPr>
          <w:rFonts w:ascii="Verdana" w:eastAsia="Times New Roman" w:hAnsi="Verdana" w:cs="Arial"/>
          <w:sz w:val="20"/>
          <w:szCs w:val="20"/>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37C623A9" w14:textId="77777777" w:rsidR="007B6AE1" w:rsidRPr="007B6AE1" w:rsidRDefault="007B6AE1" w:rsidP="007B6AE1">
      <w:pPr>
        <w:spacing w:after="0" w:line="276" w:lineRule="auto"/>
        <w:jc w:val="both"/>
        <w:rPr>
          <w:rFonts w:ascii="Verdana" w:eastAsia="Calibri" w:hAnsi="Verdana" w:cs="Arial"/>
          <w:bCs/>
          <w:kern w:val="2"/>
          <w:lang w:val="es-ES_tradnl" w:eastAsia="es-CO"/>
          <w14:ligatures w14:val="standardContextual"/>
        </w:rPr>
      </w:pPr>
    </w:p>
    <w:p w14:paraId="4752D5FF" w14:textId="77777777" w:rsidR="007B6AE1" w:rsidRPr="007B6AE1" w:rsidRDefault="007B6AE1" w:rsidP="007B6AE1">
      <w:pPr>
        <w:spacing w:after="0" w:line="276" w:lineRule="auto"/>
        <w:jc w:val="both"/>
        <w:rPr>
          <w:rFonts w:ascii="Verdana" w:eastAsia="Calibri" w:hAnsi="Verdana" w:cs="Arial"/>
          <w:b/>
          <w:bCs/>
          <w:kern w:val="2"/>
          <w:lang w:val="es-ES" w:eastAsia="es-ES"/>
          <w14:ligatures w14:val="standardContextual"/>
        </w:rPr>
      </w:pPr>
      <w:r w:rsidRPr="007B6AE1">
        <w:rPr>
          <w:rFonts w:ascii="Verdana" w:eastAsia="Calibri" w:hAnsi="Verdana" w:cs="Arial"/>
          <w:b/>
          <w:bCs/>
          <w:kern w:val="2"/>
          <w:lang w:val="es-ES" w:eastAsia="es-ES"/>
          <w14:ligatures w14:val="standardContextual"/>
        </w:rPr>
        <w:t>SUBSANABILIDAD – Ley 1882 de 2018</w:t>
      </w:r>
    </w:p>
    <w:p w14:paraId="4FE87C0A" w14:textId="77777777" w:rsidR="007B6AE1" w:rsidRPr="007B6AE1" w:rsidRDefault="007B6AE1" w:rsidP="007B6AE1">
      <w:pPr>
        <w:spacing w:after="0" w:line="276" w:lineRule="auto"/>
        <w:jc w:val="both"/>
        <w:rPr>
          <w:rFonts w:ascii="Verdana" w:eastAsia="Times New Roman" w:hAnsi="Verdana" w:cs="Arial"/>
          <w:kern w:val="2"/>
          <w:lang w:val="es-ES" w:eastAsia="es-ES_tradnl"/>
          <w14:ligatures w14:val="standardContextual"/>
        </w:rPr>
      </w:pPr>
    </w:p>
    <w:p w14:paraId="24EB74C2" w14:textId="041D9C91" w:rsidR="007B6AE1" w:rsidRPr="00C303DA" w:rsidRDefault="007B6AE1" w:rsidP="007B6AE1">
      <w:pPr>
        <w:spacing w:after="0" w:line="240" w:lineRule="auto"/>
        <w:jc w:val="both"/>
        <w:rPr>
          <w:rFonts w:ascii="Verdana" w:eastAsia="Calibri" w:hAnsi="Verdana" w:cs="Arial"/>
          <w:bCs/>
          <w:kern w:val="2"/>
          <w:sz w:val="20"/>
          <w:szCs w:val="20"/>
          <w:lang w:eastAsia="es-CO"/>
          <w14:ligatures w14:val="standardContextual"/>
        </w:rPr>
      </w:pPr>
      <w:r w:rsidRPr="00C303DA">
        <w:rPr>
          <w:rFonts w:ascii="Verdana" w:eastAsia="Calibri" w:hAnsi="Verdana" w:cs="Arial"/>
          <w:bCs/>
          <w:kern w:val="2"/>
          <w:sz w:val="20"/>
          <w:szCs w:val="20"/>
          <w:lang w:eastAsia="es-CO"/>
          <w14:ligatures w14:val="standardContextual"/>
        </w:rPr>
        <w:t xml:space="preserve">[…] </w:t>
      </w:r>
      <w:r w:rsidR="005D0D0F" w:rsidRPr="00C303DA">
        <w:rPr>
          <w:rFonts w:ascii="Verdana" w:eastAsia="Times New Roman" w:hAnsi="Verdana" w:cs="Arial"/>
          <w:sz w:val="20"/>
          <w:szCs w:val="20"/>
          <w:lang w:val="es-ES" w:eastAsia="es-ES"/>
        </w:rPr>
        <w:t xml:space="preserve">la Ley 1882 de 2018: i) mantiene el criterio de la Ley 80 de 1993, relativo a que todo lo que no sea necesario para la comparación de propuestas no es título suficiente para su rechazo; </w:t>
      </w:r>
      <w:proofErr w:type="spellStart"/>
      <w:r w:rsidR="005D0D0F" w:rsidRPr="00C303DA">
        <w:rPr>
          <w:rFonts w:ascii="Verdana" w:eastAsia="Times New Roman" w:hAnsi="Verdana" w:cs="Arial"/>
          <w:sz w:val="20"/>
          <w:szCs w:val="20"/>
          <w:lang w:val="es-ES" w:eastAsia="es-ES"/>
        </w:rPr>
        <w:t>ii</w:t>
      </w:r>
      <w:proofErr w:type="spellEnd"/>
      <w:r w:rsidR="005D0D0F" w:rsidRPr="00C303DA">
        <w:rPr>
          <w:rFonts w:ascii="Verdana" w:eastAsia="Times New Roman" w:hAnsi="Verdana" w:cs="Arial"/>
          <w:sz w:val="20"/>
          <w:szCs w:val="20"/>
          <w:lang w:val="es-ES" w:eastAsia="es-ES"/>
        </w:rPr>
        <w:t xml:space="preserve">) mantiene el criterio aclaratorio de la Ley 1150 de 2007, según el cual todo lo que no afecte la asignación de puntaje puede subsanarse; y, </w:t>
      </w:r>
      <w:proofErr w:type="spellStart"/>
      <w:r w:rsidR="005D0D0F" w:rsidRPr="00C303DA">
        <w:rPr>
          <w:rFonts w:ascii="Verdana" w:eastAsia="Times New Roman" w:hAnsi="Verdana" w:cs="Arial"/>
          <w:sz w:val="20"/>
          <w:szCs w:val="20"/>
          <w:lang w:val="es-ES" w:eastAsia="es-ES"/>
        </w:rPr>
        <w:t>iii</w:t>
      </w:r>
      <w:proofErr w:type="spellEnd"/>
      <w:r w:rsidR="005D0D0F" w:rsidRPr="00C303DA">
        <w:rPr>
          <w:rFonts w:ascii="Verdana" w:eastAsia="Times New Roman" w:hAnsi="Verdana" w:cs="Arial"/>
          <w:sz w:val="20"/>
          <w:szCs w:val="20"/>
          <w:lang w:val="es-ES" w:eastAsia="es-ES"/>
        </w:rPr>
        <w:t>) introduce modificaciones en relación con algunos aspectos que se analizarán a continuación.</w:t>
      </w:r>
    </w:p>
    <w:p w14:paraId="77EB0A3E" w14:textId="77777777" w:rsidR="007B6AE1" w:rsidRPr="007B6AE1" w:rsidRDefault="007B6AE1" w:rsidP="007B6AE1">
      <w:pPr>
        <w:spacing w:after="0" w:line="276" w:lineRule="auto"/>
        <w:jc w:val="both"/>
        <w:rPr>
          <w:rFonts w:ascii="Verdana" w:eastAsia="Calibri" w:hAnsi="Verdana" w:cs="Arial"/>
          <w:b/>
          <w:bCs/>
          <w:kern w:val="2"/>
          <w:lang w:eastAsia="es-ES"/>
          <w14:ligatures w14:val="standardContextual"/>
        </w:rPr>
      </w:pPr>
    </w:p>
    <w:p w14:paraId="0EF4EF94" w14:textId="77777777" w:rsidR="007B6AE1" w:rsidRPr="007B6AE1" w:rsidRDefault="007B6AE1" w:rsidP="007B6AE1">
      <w:pPr>
        <w:spacing w:after="0" w:line="276" w:lineRule="auto"/>
        <w:jc w:val="both"/>
        <w:rPr>
          <w:rFonts w:ascii="Verdana" w:eastAsia="Calibri" w:hAnsi="Verdana" w:cs="Arial"/>
          <w:b/>
          <w:bCs/>
          <w:color w:val="000000"/>
          <w:kern w:val="2"/>
          <w14:ligatures w14:val="standardContextual"/>
        </w:rPr>
      </w:pPr>
      <w:r w:rsidRPr="007B6AE1">
        <w:rPr>
          <w:rFonts w:ascii="Verdana" w:eastAsia="Calibri" w:hAnsi="Verdana" w:cs="Arial"/>
          <w:b/>
          <w:bCs/>
          <w:color w:val="000000"/>
          <w:kern w:val="2"/>
          <w14:ligatures w14:val="standardContextual"/>
        </w:rPr>
        <w:t>SUBSANABILIDAD – Circunstancias posteriores – Cierre del proceso – Prueba</w:t>
      </w:r>
    </w:p>
    <w:p w14:paraId="6B61D1F6" w14:textId="77777777" w:rsidR="00C303DA" w:rsidRDefault="00C303DA" w:rsidP="00C303DA">
      <w:pPr>
        <w:spacing w:after="0" w:line="276" w:lineRule="auto"/>
        <w:jc w:val="both"/>
        <w:rPr>
          <w:rFonts w:ascii="Verdana" w:eastAsia="Calibri" w:hAnsi="Verdana" w:cs="Times New Roman"/>
          <w:color w:val="000000"/>
          <w:kern w:val="2"/>
          <w:lang w:val="es-ES_tradnl"/>
          <w14:ligatures w14:val="standardContextual"/>
        </w:rPr>
      </w:pPr>
    </w:p>
    <w:p w14:paraId="062454A2" w14:textId="1803EF77" w:rsidR="007B6AE1" w:rsidRPr="00C303DA" w:rsidRDefault="007B6AE1" w:rsidP="00C303DA">
      <w:pPr>
        <w:spacing w:after="0" w:line="240" w:lineRule="auto"/>
        <w:jc w:val="both"/>
        <w:rPr>
          <w:rFonts w:ascii="Verdana" w:eastAsia="Times New Roman" w:hAnsi="Verdana" w:cs="Arial"/>
          <w:i/>
          <w:sz w:val="20"/>
          <w:szCs w:val="20"/>
          <w:lang w:val="es-ES" w:eastAsia="es-ES"/>
        </w:rPr>
      </w:pPr>
      <w:r w:rsidRPr="00C303DA">
        <w:rPr>
          <w:rFonts w:ascii="Verdana" w:eastAsia="Calibri" w:hAnsi="Verdana" w:cs="Times New Roman"/>
          <w:color w:val="000000"/>
          <w:kern w:val="2"/>
          <w:sz w:val="20"/>
          <w:szCs w:val="20"/>
          <w:lang w:val="es-ES"/>
          <w14:ligatures w14:val="standardContextual"/>
        </w:rPr>
        <w:t xml:space="preserve">[…] </w:t>
      </w:r>
      <w:r w:rsidR="005D0D0F" w:rsidRPr="00C303DA">
        <w:rPr>
          <w:rFonts w:ascii="Verdana" w:eastAsia="Times New Roman" w:hAnsi="Verdana" w:cs="Arial"/>
          <w:sz w:val="20"/>
          <w:szCs w:val="20"/>
          <w:lang w:val="es-ES" w:eastAsia="es-ES"/>
        </w:rPr>
        <w:t xml:space="preserve">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005D0D0F" w:rsidRPr="00C303DA">
        <w:rPr>
          <w:rFonts w:ascii="Verdana" w:eastAsia="Times New Roman" w:hAnsi="Verdana" w:cs="Arial"/>
          <w:sz w:val="20"/>
          <w:szCs w:val="20"/>
          <w:lang w:val="es-ES" w:eastAsia="es-ES"/>
        </w:rPr>
        <w:t>que</w:t>
      </w:r>
      <w:proofErr w:type="gramEnd"/>
      <w:r w:rsidR="005D0D0F" w:rsidRPr="00C303DA">
        <w:rPr>
          <w:rFonts w:ascii="Verdana" w:eastAsia="Times New Roman" w:hAnsi="Verdana" w:cs="Arial"/>
          <w:sz w:val="20"/>
          <w:szCs w:val="20"/>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14:paraId="3ACF7CD4" w14:textId="77777777" w:rsidR="007B6AE1" w:rsidRPr="007B6AE1" w:rsidRDefault="007B6AE1" w:rsidP="007B6AE1">
      <w:pPr>
        <w:spacing w:line="276" w:lineRule="auto"/>
        <w:contextualSpacing/>
        <w:jc w:val="both"/>
        <w:rPr>
          <w:rFonts w:ascii="Verdana" w:eastAsia="Aptos" w:hAnsi="Verdana" w:cs="Arial"/>
          <w:b/>
          <w:bCs/>
          <w:color w:val="000000"/>
          <w:kern w:val="2"/>
          <w:lang w:val="es-ES_tradnl"/>
          <w14:ligatures w14:val="standardContextual"/>
        </w:rPr>
      </w:pPr>
    </w:p>
    <w:p w14:paraId="44F4B0C6" w14:textId="77777777" w:rsidR="007B6AE1" w:rsidRPr="007B6AE1" w:rsidRDefault="007B6AE1" w:rsidP="007B6AE1">
      <w:pPr>
        <w:spacing w:after="0" w:line="276" w:lineRule="auto"/>
        <w:jc w:val="both"/>
        <w:rPr>
          <w:rFonts w:ascii="Verdana" w:eastAsia="Geomanist Light" w:hAnsi="Verdana" w:cs="Arial"/>
          <w:b/>
          <w:bCs/>
          <w:lang w:val="es-ES_tradnl"/>
        </w:rPr>
      </w:pPr>
      <w:r w:rsidRPr="007B6AE1">
        <w:rPr>
          <w:rFonts w:ascii="Verdana" w:eastAsia="Geomanist Light" w:hAnsi="Verdana" w:cs="Arial"/>
          <w:b/>
          <w:bCs/>
          <w:lang w:val="es-ES_tradnl"/>
        </w:rPr>
        <w:t>SUBSANABILIDAD – Oportunidad – Documentos tipo de infraestructura social – Deber de aportar los documentos faltantes</w:t>
      </w:r>
    </w:p>
    <w:p w14:paraId="7A2E7B03" w14:textId="77777777" w:rsidR="007B6AE1" w:rsidRPr="007B6AE1" w:rsidRDefault="007B6AE1" w:rsidP="007B6AE1">
      <w:pPr>
        <w:spacing w:after="0" w:line="240" w:lineRule="auto"/>
        <w:rPr>
          <w:rFonts w:ascii="Verdana" w:eastAsia="Geomanist Light" w:hAnsi="Verdana" w:cs="Arial"/>
          <w:lang w:val="es-ES_tradnl"/>
        </w:rPr>
      </w:pPr>
    </w:p>
    <w:p w14:paraId="4F4E0E46" w14:textId="77777777" w:rsidR="005D0D0F" w:rsidRDefault="007B6AE1" w:rsidP="00C303DA">
      <w:pPr>
        <w:spacing w:after="0" w:line="240" w:lineRule="auto"/>
        <w:jc w:val="both"/>
        <w:rPr>
          <w:rFonts w:ascii="Verdana" w:eastAsia="Calibri" w:hAnsi="Verdana" w:cs="Arial"/>
          <w:color w:val="000000"/>
          <w:sz w:val="20"/>
          <w:szCs w:val="20"/>
        </w:rPr>
      </w:pPr>
      <w:r w:rsidRPr="00C303DA">
        <w:rPr>
          <w:rFonts w:ascii="Verdana" w:eastAsia="Calibri" w:hAnsi="Verdana" w:cs="Arial"/>
          <w:color w:val="000000"/>
          <w:sz w:val="20"/>
          <w:szCs w:val="20"/>
        </w:rPr>
        <w:t xml:space="preserve">[…] </w:t>
      </w:r>
      <w:r w:rsidR="005D0D0F" w:rsidRPr="00C303DA">
        <w:rPr>
          <w:rFonts w:ascii="Verdana" w:eastAsia="Calibri" w:hAnsi="Verdana" w:cs="Arial"/>
          <w:color w:val="000000"/>
          <w:sz w:val="20"/>
          <w:szCs w:val="20"/>
        </w:rPr>
        <w:t xml:space="preserve">se tiene que las entidades contratantes deben publicar en SECOP, durante cinco (5) días hábiles, el informe de evaluación relacionado con los requisitos habilitantes y documentos a los que se les asigne puntaje, diferentes a la oferta económica. Durante este término, los proponentes podrán realizar las observaciones que consideren, así </w:t>
      </w:r>
      <w:r w:rsidR="005D0D0F" w:rsidRPr="00C303DA">
        <w:rPr>
          <w:rFonts w:ascii="Verdana" w:eastAsia="Calibri" w:hAnsi="Verdana" w:cs="Arial"/>
          <w:color w:val="000000"/>
          <w:sz w:val="20"/>
          <w:szCs w:val="20"/>
        </w:rPr>
        <w:lastRenderedPageBreak/>
        <w:t>como entregar los documentos e información requerida conforme al numeral 1.6 “REGLAS DE SUBSANABILIDAD, EXPLICACIONES Y ACLARACIONES” del documento base, sin perjuicio de que ya lo hubieren hecho en un momento anterior.</w:t>
      </w:r>
    </w:p>
    <w:p w14:paraId="50A7A407" w14:textId="77777777" w:rsidR="00C303DA" w:rsidRPr="00C303DA" w:rsidRDefault="00C303DA" w:rsidP="00C303DA">
      <w:pPr>
        <w:spacing w:after="0" w:line="240" w:lineRule="auto"/>
        <w:jc w:val="both"/>
        <w:rPr>
          <w:rFonts w:ascii="Verdana" w:eastAsia="Calibri" w:hAnsi="Verdana" w:cs="Arial"/>
          <w:color w:val="000000"/>
          <w:sz w:val="20"/>
          <w:szCs w:val="20"/>
        </w:rPr>
      </w:pPr>
    </w:p>
    <w:p w14:paraId="008666FB" w14:textId="77777777" w:rsidR="005D0D0F" w:rsidRDefault="005D0D0F" w:rsidP="00C303DA">
      <w:pPr>
        <w:spacing w:after="0" w:line="240" w:lineRule="auto"/>
        <w:jc w:val="both"/>
        <w:rPr>
          <w:rFonts w:ascii="Verdana" w:eastAsia="Calibri" w:hAnsi="Verdana" w:cs="Arial"/>
          <w:color w:val="000000"/>
          <w:sz w:val="20"/>
          <w:szCs w:val="20"/>
        </w:rPr>
      </w:pPr>
      <w:r w:rsidRPr="00C303DA">
        <w:rPr>
          <w:rFonts w:ascii="Verdana" w:eastAsia="Calibri" w:hAnsi="Verdana" w:cs="Arial"/>
          <w:color w:val="000000"/>
          <w:sz w:val="20"/>
          <w:szCs w:val="20"/>
        </w:rPr>
        <w:t xml:space="preserve">A su turno, con posterioridad al vencimiento del plazo para presentar observaciones y a más tardar el día antes de la audiencia efectiva de adjudicación, la entidad debe publicar el informe final de evaluación, en caso de que haya sufrido alteraciones. </w:t>
      </w:r>
    </w:p>
    <w:p w14:paraId="74D73E10" w14:textId="77777777" w:rsidR="00C303DA" w:rsidRPr="00C303DA" w:rsidRDefault="00C303DA" w:rsidP="00C303DA">
      <w:pPr>
        <w:spacing w:after="0" w:line="240" w:lineRule="auto"/>
        <w:jc w:val="both"/>
        <w:rPr>
          <w:rFonts w:ascii="Verdana" w:eastAsia="Calibri" w:hAnsi="Verdana" w:cs="Arial"/>
          <w:color w:val="000000"/>
          <w:sz w:val="20"/>
          <w:szCs w:val="20"/>
        </w:rPr>
      </w:pPr>
    </w:p>
    <w:p w14:paraId="3F294C9A" w14:textId="77777777" w:rsidR="005D0D0F" w:rsidRPr="00C303DA" w:rsidRDefault="005D0D0F" w:rsidP="00C303DA">
      <w:pPr>
        <w:spacing w:after="0" w:line="240" w:lineRule="auto"/>
        <w:jc w:val="both"/>
        <w:rPr>
          <w:rFonts w:ascii="Verdana" w:eastAsia="Calibri" w:hAnsi="Verdana" w:cs="Arial"/>
          <w:i/>
          <w:iCs/>
          <w:color w:val="000000"/>
          <w:sz w:val="20"/>
          <w:szCs w:val="20"/>
        </w:rPr>
      </w:pPr>
      <w:r w:rsidRPr="00C303DA">
        <w:rPr>
          <w:rFonts w:ascii="Verdana" w:eastAsia="Calibri" w:hAnsi="Verdana" w:cs="Arial"/>
          <w:color w:val="000000"/>
          <w:sz w:val="20"/>
          <w:szCs w:val="20"/>
        </w:rPr>
        <w:t xml:space="preserve">Al margen de lo expuesto, es importante precisar que corresponde a los proponentes subsanar los requisitos habilitantes en los términos y oportunidades previstas por las entidades estatales, aportando, en caso de que sea necesario, los documentos faltantes, en las condiciones señaladas en este concepto. Por lo demás, teniendo en cuenta que los requisitos habilitantes son objeto de verificación por parte de la entidad contratante, conforme al documento base, en caso de que la propuesta cumpla con todos los aspectos, será evaluada como </w:t>
      </w:r>
      <w:r w:rsidRPr="00C303DA">
        <w:rPr>
          <w:rFonts w:ascii="Verdana" w:eastAsia="Calibri" w:hAnsi="Verdana" w:cs="Arial"/>
          <w:i/>
          <w:iCs/>
          <w:color w:val="000000"/>
          <w:sz w:val="20"/>
          <w:szCs w:val="20"/>
        </w:rPr>
        <w:t>“cumple”,</w:t>
      </w:r>
      <w:r w:rsidRPr="00C303DA">
        <w:rPr>
          <w:rFonts w:ascii="Verdana" w:eastAsia="Calibri" w:hAnsi="Verdana" w:cs="Arial"/>
          <w:color w:val="000000"/>
          <w:sz w:val="20"/>
          <w:szCs w:val="20"/>
        </w:rPr>
        <w:t xml:space="preserve"> y en caso contrario, la evaluación será </w:t>
      </w:r>
      <w:r w:rsidRPr="00C303DA">
        <w:rPr>
          <w:rFonts w:ascii="Verdana" w:eastAsia="Calibri" w:hAnsi="Verdana" w:cs="Arial"/>
          <w:i/>
          <w:iCs/>
          <w:color w:val="000000"/>
          <w:sz w:val="20"/>
          <w:szCs w:val="20"/>
        </w:rPr>
        <w:t>“no cumple”.</w:t>
      </w:r>
    </w:p>
    <w:p w14:paraId="75BDB393" w14:textId="2E6C8A3D" w:rsidR="007B6AE1" w:rsidRPr="007B6AE1" w:rsidRDefault="007B6AE1" w:rsidP="005D0D0F">
      <w:pPr>
        <w:spacing w:after="0" w:line="240" w:lineRule="auto"/>
        <w:jc w:val="both"/>
        <w:rPr>
          <w:rFonts w:ascii="Verdana" w:eastAsia="Calibri" w:hAnsi="Verdana" w:cs="Arial"/>
          <w:color w:val="000000"/>
          <w:sz w:val="20"/>
          <w:szCs w:val="20"/>
        </w:rPr>
      </w:pPr>
    </w:p>
    <w:p w14:paraId="099EF73B" w14:textId="77777777" w:rsidR="007B6AE1" w:rsidRPr="007B6AE1" w:rsidRDefault="007B6AE1" w:rsidP="007B6AE1">
      <w:pPr>
        <w:spacing w:after="0" w:line="240" w:lineRule="auto"/>
        <w:jc w:val="both"/>
        <w:rPr>
          <w:rFonts w:ascii="Verdana" w:eastAsia="Calibri" w:hAnsi="Verdana" w:cs="Arial"/>
          <w:color w:val="000000"/>
          <w:sz w:val="20"/>
          <w:szCs w:val="20"/>
        </w:rPr>
      </w:pPr>
    </w:p>
    <w:p w14:paraId="327F4A68" w14:textId="77777777" w:rsidR="007B6AE1" w:rsidRPr="007B6AE1" w:rsidRDefault="007B6AE1" w:rsidP="007B6AE1">
      <w:pPr>
        <w:spacing w:after="0" w:line="240" w:lineRule="auto"/>
        <w:jc w:val="both"/>
        <w:rPr>
          <w:rFonts w:ascii="Verdana" w:eastAsia="Calibri" w:hAnsi="Verdana" w:cs="Arial"/>
          <w:color w:val="000000"/>
          <w:sz w:val="20"/>
          <w:szCs w:val="20"/>
        </w:rPr>
      </w:pPr>
    </w:p>
    <w:p w14:paraId="5856458E" w14:textId="77777777" w:rsidR="007B6AE1" w:rsidRPr="007B6AE1" w:rsidRDefault="007B6AE1" w:rsidP="007B6AE1">
      <w:pPr>
        <w:spacing w:after="0" w:line="240" w:lineRule="auto"/>
        <w:rPr>
          <w:rFonts w:ascii="Verdana" w:eastAsia="Geomanist Light" w:hAnsi="Verdana" w:cs="Arial"/>
          <w:sz w:val="20"/>
          <w:szCs w:val="20"/>
          <w:lang w:val="es-ES_tradnl"/>
        </w:rPr>
      </w:pPr>
    </w:p>
    <w:p w14:paraId="00B74742" w14:textId="77777777" w:rsidR="007B6AE1" w:rsidRPr="007B6AE1" w:rsidRDefault="007B6AE1" w:rsidP="007B6AE1">
      <w:pPr>
        <w:spacing w:after="0" w:line="240" w:lineRule="auto"/>
        <w:rPr>
          <w:rFonts w:ascii="Verdana" w:eastAsia="Calibri" w:hAnsi="Verdana" w:cs="Times New Roman"/>
          <w:lang w:val="es-ES_tradnl"/>
        </w:rPr>
      </w:pPr>
    </w:p>
    <w:p w14:paraId="12356D52" w14:textId="77777777" w:rsidR="007B6AE1" w:rsidRPr="007B6AE1" w:rsidRDefault="007B6AE1" w:rsidP="007B6AE1">
      <w:pPr>
        <w:spacing w:after="0" w:line="240" w:lineRule="auto"/>
        <w:rPr>
          <w:rFonts w:ascii="Verdana" w:eastAsia="Calibri" w:hAnsi="Verdana" w:cs="Times New Roman"/>
          <w:lang w:val="es-ES_tradnl"/>
        </w:rPr>
      </w:pPr>
    </w:p>
    <w:p w14:paraId="26AF9B10" w14:textId="77777777" w:rsidR="007B6AE1" w:rsidRPr="007B6AE1" w:rsidRDefault="007B6AE1" w:rsidP="007B6AE1">
      <w:pPr>
        <w:spacing w:after="0" w:line="240" w:lineRule="auto"/>
        <w:rPr>
          <w:rFonts w:ascii="Verdana" w:eastAsia="Calibri" w:hAnsi="Verdana" w:cs="Times New Roman"/>
          <w:lang w:val="es-ES_tradnl"/>
        </w:rPr>
      </w:pPr>
    </w:p>
    <w:p w14:paraId="39DC839A" w14:textId="77777777" w:rsidR="007B6AE1" w:rsidRPr="007B6AE1" w:rsidRDefault="007B6AE1" w:rsidP="007B6AE1">
      <w:pPr>
        <w:spacing w:after="0" w:line="240" w:lineRule="auto"/>
        <w:jc w:val="both"/>
        <w:rPr>
          <w:rFonts w:ascii="Verdana" w:eastAsia="Calibri" w:hAnsi="Verdana" w:cs="Times New Roman"/>
          <w:lang w:val="es-ES_tradnl"/>
        </w:rPr>
      </w:pPr>
    </w:p>
    <w:p w14:paraId="5BB1716A" w14:textId="77777777" w:rsidR="007B6AE1" w:rsidRPr="007B6AE1" w:rsidRDefault="007B6AE1" w:rsidP="007B6AE1">
      <w:pPr>
        <w:spacing w:after="0" w:line="240" w:lineRule="auto"/>
        <w:jc w:val="both"/>
        <w:rPr>
          <w:rFonts w:ascii="Verdana" w:eastAsia="Calibri" w:hAnsi="Verdana" w:cs="Times New Roman"/>
          <w:lang w:val="es-ES_tradnl"/>
        </w:rPr>
      </w:pPr>
    </w:p>
    <w:p w14:paraId="4158D629" w14:textId="77777777" w:rsidR="007B6AE1" w:rsidRPr="007B6AE1" w:rsidRDefault="007B6AE1" w:rsidP="007B6AE1">
      <w:pPr>
        <w:spacing w:after="0" w:line="240" w:lineRule="auto"/>
        <w:jc w:val="both"/>
        <w:rPr>
          <w:rFonts w:ascii="Verdana" w:eastAsia="Calibri" w:hAnsi="Verdana" w:cs="Times New Roman"/>
          <w:lang w:val="es-ES_tradnl"/>
        </w:rPr>
      </w:pPr>
    </w:p>
    <w:p w14:paraId="081CB6E5" w14:textId="77777777" w:rsidR="007B6AE1" w:rsidRPr="007B6AE1" w:rsidRDefault="007B6AE1" w:rsidP="007B6AE1">
      <w:pPr>
        <w:spacing w:after="0" w:line="240" w:lineRule="auto"/>
        <w:jc w:val="both"/>
        <w:rPr>
          <w:rFonts w:ascii="Verdana" w:eastAsia="Calibri" w:hAnsi="Verdana" w:cs="Times New Roman"/>
          <w:lang w:val="es-ES_tradnl"/>
        </w:rPr>
      </w:pPr>
    </w:p>
    <w:p w14:paraId="50A1140E" w14:textId="77777777" w:rsidR="007B6AE1" w:rsidRPr="007B6AE1" w:rsidRDefault="007B6AE1" w:rsidP="007B6AE1">
      <w:pPr>
        <w:spacing w:after="0" w:line="240" w:lineRule="auto"/>
        <w:jc w:val="both"/>
        <w:rPr>
          <w:rFonts w:ascii="Verdana" w:eastAsia="Calibri" w:hAnsi="Verdana" w:cs="Times New Roman"/>
          <w:lang w:val="es-ES_tradnl"/>
        </w:rPr>
      </w:pPr>
    </w:p>
    <w:p w14:paraId="4E8B4503" w14:textId="77777777" w:rsidR="007B6AE1" w:rsidRPr="007B6AE1" w:rsidRDefault="007B6AE1" w:rsidP="007B6AE1">
      <w:pPr>
        <w:spacing w:after="0" w:line="240" w:lineRule="auto"/>
        <w:jc w:val="both"/>
        <w:rPr>
          <w:rFonts w:ascii="Verdana" w:eastAsia="Calibri" w:hAnsi="Verdana" w:cs="Times New Roman"/>
          <w:lang w:val="es-ES_tradnl"/>
        </w:rPr>
      </w:pPr>
    </w:p>
    <w:p w14:paraId="4FE35B75" w14:textId="77777777" w:rsidR="007B6AE1" w:rsidRPr="007B6AE1" w:rsidRDefault="007B6AE1" w:rsidP="007B6AE1">
      <w:pPr>
        <w:spacing w:after="0" w:line="240" w:lineRule="auto"/>
        <w:jc w:val="both"/>
        <w:rPr>
          <w:rFonts w:ascii="Verdana" w:eastAsia="Calibri" w:hAnsi="Verdana" w:cs="Times New Roman"/>
          <w:lang w:val="es-ES_tradnl"/>
        </w:rPr>
      </w:pPr>
    </w:p>
    <w:p w14:paraId="60386966" w14:textId="77777777" w:rsidR="007B6AE1" w:rsidRPr="007B6AE1" w:rsidRDefault="007B6AE1" w:rsidP="007B6AE1">
      <w:pPr>
        <w:spacing w:after="0" w:line="240" w:lineRule="auto"/>
        <w:jc w:val="both"/>
        <w:rPr>
          <w:rFonts w:ascii="Verdana" w:eastAsia="Calibri" w:hAnsi="Verdana" w:cs="Times New Roman"/>
          <w:lang w:val="es-ES_tradnl"/>
        </w:rPr>
      </w:pPr>
    </w:p>
    <w:p w14:paraId="6F305C59" w14:textId="77777777" w:rsidR="007B6AE1" w:rsidRPr="007B6AE1" w:rsidRDefault="007B6AE1" w:rsidP="007B6AE1">
      <w:pPr>
        <w:spacing w:after="0" w:line="240" w:lineRule="auto"/>
        <w:jc w:val="both"/>
        <w:rPr>
          <w:rFonts w:ascii="Verdana" w:eastAsia="Calibri" w:hAnsi="Verdana" w:cs="Times New Roman"/>
          <w:lang w:val="es-ES_tradnl"/>
        </w:rPr>
      </w:pPr>
    </w:p>
    <w:p w14:paraId="2D53AA8F" w14:textId="77777777" w:rsidR="007B6AE1" w:rsidRPr="007B6AE1" w:rsidRDefault="007B6AE1" w:rsidP="007B6AE1">
      <w:pPr>
        <w:spacing w:after="0" w:line="240" w:lineRule="auto"/>
        <w:jc w:val="both"/>
        <w:rPr>
          <w:rFonts w:ascii="Verdana" w:eastAsia="Calibri" w:hAnsi="Verdana" w:cs="Times New Roman"/>
          <w:lang w:val="es-ES_tradnl"/>
        </w:rPr>
      </w:pPr>
    </w:p>
    <w:p w14:paraId="7DC2FCE6" w14:textId="77777777" w:rsidR="007B6AE1" w:rsidRPr="007B6AE1" w:rsidRDefault="007B6AE1" w:rsidP="007B6AE1">
      <w:pPr>
        <w:spacing w:after="0" w:line="240" w:lineRule="auto"/>
        <w:jc w:val="both"/>
        <w:rPr>
          <w:rFonts w:ascii="Verdana" w:eastAsia="Calibri" w:hAnsi="Verdana" w:cs="Times New Roman"/>
          <w:lang w:val="es-ES_tradnl"/>
        </w:rPr>
      </w:pPr>
    </w:p>
    <w:p w14:paraId="3C6CF24D" w14:textId="77777777" w:rsidR="007B6AE1" w:rsidRPr="007B6AE1" w:rsidRDefault="007B6AE1" w:rsidP="007B6AE1">
      <w:pPr>
        <w:spacing w:after="0" w:line="240" w:lineRule="auto"/>
        <w:jc w:val="both"/>
        <w:rPr>
          <w:rFonts w:ascii="Verdana" w:eastAsia="Calibri" w:hAnsi="Verdana" w:cs="Times New Roman"/>
          <w:lang w:val="es-ES_tradnl"/>
        </w:rPr>
      </w:pPr>
    </w:p>
    <w:p w14:paraId="3A98396F" w14:textId="77777777" w:rsidR="007B6AE1" w:rsidRPr="007B6AE1" w:rsidRDefault="007B6AE1" w:rsidP="007B6AE1">
      <w:pPr>
        <w:spacing w:after="0" w:line="240" w:lineRule="auto"/>
        <w:jc w:val="both"/>
        <w:rPr>
          <w:rFonts w:ascii="Verdana" w:eastAsia="Calibri" w:hAnsi="Verdana" w:cs="Times New Roman"/>
          <w:lang w:val="es-ES_tradnl"/>
        </w:rPr>
      </w:pPr>
    </w:p>
    <w:p w14:paraId="7CE01968" w14:textId="77777777" w:rsidR="007B6AE1" w:rsidRPr="007B6AE1" w:rsidRDefault="007B6AE1" w:rsidP="007B6AE1">
      <w:pPr>
        <w:spacing w:after="0" w:line="240" w:lineRule="auto"/>
        <w:jc w:val="both"/>
        <w:rPr>
          <w:rFonts w:ascii="Verdana" w:eastAsia="Calibri" w:hAnsi="Verdana" w:cs="Times New Roman"/>
          <w:lang w:val="es-ES_tradnl"/>
        </w:rPr>
      </w:pPr>
    </w:p>
    <w:p w14:paraId="3C3BB2ED" w14:textId="77777777" w:rsidR="007B6AE1" w:rsidRPr="007B6AE1" w:rsidRDefault="007B6AE1" w:rsidP="007B6AE1">
      <w:pPr>
        <w:rPr>
          <w:rFonts w:ascii="Verdana" w:eastAsia="Calibri" w:hAnsi="Verdana" w:cs="Times New Roman"/>
          <w:lang w:val="es-ES_tradnl"/>
        </w:rPr>
      </w:pPr>
      <w:r w:rsidRPr="007B6AE1">
        <w:rPr>
          <w:rFonts w:ascii="Verdana" w:eastAsia="Calibri" w:hAnsi="Verdana" w:cs="Times New Roman"/>
          <w:lang w:val="es-ES_tradnl"/>
        </w:rPr>
        <w:br w:type="page"/>
      </w:r>
    </w:p>
    <w:p w14:paraId="594C0995" w14:textId="25CD7927" w:rsidR="007B6AE1" w:rsidRPr="007B6AE1" w:rsidRDefault="00A73B8B" w:rsidP="007B6AE1">
      <w:pPr>
        <w:spacing w:after="0" w:line="240" w:lineRule="auto"/>
        <w:jc w:val="both"/>
        <w:rPr>
          <w:rFonts w:ascii="Verdana" w:eastAsia="Verdana" w:hAnsi="Verdana" w:cs="Verdana"/>
        </w:rPr>
      </w:pPr>
      <w:r w:rsidRPr="30821638">
        <w:rPr>
          <w:rFonts w:ascii="Verdana" w:eastAsia="Verdana" w:hAnsi="Verdana" w:cs="Verdana"/>
        </w:rPr>
        <w:lastRenderedPageBreak/>
        <w:t xml:space="preserve">Bogotá D.C., </w:t>
      </w:r>
      <w:r w:rsidR="00E5794B">
        <w:rPr>
          <w:rFonts w:ascii="Verdana" w:eastAsia="Verdana" w:hAnsi="Verdana" w:cs="Verdana"/>
        </w:rPr>
        <w:t>15 Octubre 2026</w:t>
      </w:r>
    </w:p>
    <w:p w14:paraId="2A8011E8" w14:textId="04F2E391" w:rsidR="007B6AE1" w:rsidRPr="007B6AE1" w:rsidRDefault="00E16B1C" w:rsidP="00E16B1C">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7510E021" wp14:editId="6C851D37">
            <wp:extent cx="2517310" cy="723257"/>
            <wp:effectExtent l="0" t="0" r="0" b="1270"/>
            <wp:docPr id="69538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8549" name="Imagen 69538549"/>
                    <pic:cNvPicPr/>
                  </pic:nvPicPr>
                  <pic:blipFill>
                    <a:blip r:embed="rId10">
                      <a:extLst>
                        <a:ext uri="{28A0092B-C50C-407E-A947-70E740481C1C}">
                          <a14:useLocalDpi xmlns:a14="http://schemas.microsoft.com/office/drawing/2010/main" val="0"/>
                        </a:ext>
                      </a:extLst>
                    </a:blip>
                    <a:stretch>
                      <a:fillRect/>
                    </a:stretch>
                  </pic:blipFill>
                  <pic:spPr>
                    <a:xfrm>
                      <a:off x="0" y="0"/>
                      <a:ext cx="2525448" cy="725595"/>
                    </a:xfrm>
                    <a:prstGeom prst="rect">
                      <a:avLst/>
                    </a:prstGeom>
                  </pic:spPr>
                </pic:pic>
              </a:graphicData>
            </a:graphic>
          </wp:inline>
        </w:drawing>
      </w:r>
    </w:p>
    <w:p w14:paraId="0E3BC7C0" w14:textId="77777777" w:rsidR="007B6AE1" w:rsidRPr="007B6AE1" w:rsidRDefault="007B6AE1" w:rsidP="007B6AE1">
      <w:pPr>
        <w:spacing w:after="0" w:line="240" w:lineRule="auto"/>
        <w:jc w:val="both"/>
        <w:rPr>
          <w:rFonts w:ascii="Verdana" w:eastAsia="Calibri" w:hAnsi="Verdana" w:cs="Arial"/>
          <w:lang w:val="es-ES_tradnl" w:eastAsia="es-ES"/>
        </w:rPr>
      </w:pPr>
      <w:r w:rsidRPr="007B6AE1">
        <w:rPr>
          <w:rFonts w:ascii="Verdana" w:eastAsia="Calibri" w:hAnsi="Verdana" w:cs="Arial"/>
          <w:lang w:val="es-ES_tradnl" w:eastAsia="es-ES"/>
        </w:rPr>
        <w:t>Señora</w:t>
      </w:r>
    </w:p>
    <w:p w14:paraId="266ADBC1" w14:textId="77777777" w:rsidR="007B6AE1" w:rsidRPr="007B6AE1" w:rsidRDefault="007B6AE1" w:rsidP="007B6AE1">
      <w:pPr>
        <w:spacing w:after="0" w:line="240" w:lineRule="auto"/>
        <w:rPr>
          <w:rFonts w:ascii="Verdana" w:eastAsia="Calibri" w:hAnsi="Verdana" w:cs="Arial"/>
          <w:b/>
          <w:bCs/>
          <w:lang w:val="es-ES" w:eastAsia="es-ES"/>
        </w:rPr>
      </w:pPr>
      <w:r w:rsidRPr="007B6AE1">
        <w:rPr>
          <w:rFonts w:ascii="Verdana" w:eastAsia="Calibri" w:hAnsi="Verdana" w:cs="Arial"/>
          <w:b/>
          <w:bCs/>
          <w:lang w:val="es-ES" w:eastAsia="es-ES"/>
        </w:rPr>
        <w:t>Karen Liceth Guerra Mejía</w:t>
      </w:r>
    </w:p>
    <w:p w14:paraId="6C7D4E22" w14:textId="77777777" w:rsidR="007B6AE1" w:rsidRPr="007B6AE1" w:rsidRDefault="007B6AE1" w:rsidP="007B6AE1">
      <w:pPr>
        <w:spacing w:after="0" w:line="240" w:lineRule="auto"/>
        <w:rPr>
          <w:rFonts w:ascii="Verdana" w:eastAsia="Calibri" w:hAnsi="Verdana" w:cs="Arial"/>
          <w:lang w:val="es-ES_tradnl" w:eastAsia="es-ES"/>
        </w:rPr>
      </w:pPr>
      <w:r w:rsidRPr="007B6AE1">
        <w:rPr>
          <w:rFonts w:ascii="Verdana" w:eastAsia="Calibri" w:hAnsi="Verdana" w:cs="Arial"/>
          <w:lang w:val="es-ES_tradnl" w:eastAsia="es-ES"/>
        </w:rPr>
        <w:t>Valledupar, Cesar</w:t>
      </w:r>
    </w:p>
    <w:p w14:paraId="1E2B5215" w14:textId="77777777" w:rsidR="007B6AE1" w:rsidRPr="007B6AE1" w:rsidRDefault="007B6AE1" w:rsidP="007B6AE1">
      <w:pPr>
        <w:spacing w:after="0" w:line="240" w:lineRule="auto"/>
        <w:rPr>
          <w:rFonts w:ascii="Verdana" w:eastAsia="Calibri" w:hAnsi="Verdana" w:cs="Arial"/>
          <w:b/>
          <w:bCs/>
          <w:lang w:val="es-ES_tradnl" w:eastAsia="es-ES_tradnl"/>
        </w:rPr>
      </w:pPr>
    </w:p>
    <w:p w14:paraId="7EF8C079" w14:textId="77777777" w:rsidR="007B6AE1" w:rsidRPr="007B6AE1" w:rsidRDefault="007B6AE1" w:rsidP="007B6AE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B6AE1" w:rsidRPr="007B6AE1" w14:paraId="4EA7F12B" w14:textId="77777777" w:rsidTr="00F7410E">
        <w:trPr>
          <w:trHeight w:val="884"/>
        </w:trPr>
        <w:tc>
          <w:tcPr>
            <w:tcW w:w="2689" w:type="dxa"/>
          </w:tcPr>
          <w:p w14:paraId="27FCE1C9" w14:textId="77777777" w:rsidR="007B6AE1" w:rsidRPr="007B6AE1" w:rsidRDefault="007B6AE1" w:rsidP="007B6AE1">
            <w:pPr>
              <w:jc w:val="both"/>
              <w:rPr>
                <w:rFonts w:ascii="Verdana" w:eastAsia="Calibri" w:hAnsi="Verdana" w:cs="Arial"/>
                <w:b/>
                <w:bCs/>
                <w:lang w:val="es-ES_tradnl" w:eastAsia="es-ES_tradnl"/>
              </w:rPr>
            </w:pPr>
          </w:p>
        </w:tc>
        <w:tc>
          <w:tcPr>
            <w:tcW w:w="6100" w:type="dxa"/>
          </w:tcPr>
          <w:p w14:paraId="2B6EB15D" w14:textId="77777777" w:rsidR="007B6AE1" w:rsidRPr="007B6AE1" w:rsidRDefault="007B6AE1" w:rsidP="007B6AE1">
            <w:pPr>
              <w:jc w:val="both"/>
              <w:rPr>
                <w:rFonts w:ascii="Verdana" w:eastAsia="Calibri" w:hAnsi="Verdana" w:cs="Arial"/>
                <w:b/>
                <w:bCs/>
                <w:lang w:val="es-ES_tradnl" w:eastAsia="es-ES"/>
              </w:rPr>
            </w:pPr>
            <w:r w:rsidRPr="007B6AE1">
              <w:rPr>
                <w:rFonts w:ascii="Verdana" w:eastAsia="Calibri" w:hAnsi="Verdana" w:cs="Arial"/>
                <w:b/>
                <w:bCs/>
                <w:lang w:val="es-ES_tradnl" w:eastAsia="es-ES"/>
              </w:rPr>
              <w:t>Concepto C – 1388 de 2026</w:t>
            </w:r>
          </w:p>
          <w:p w14:paraId="5097125A" w14:textId="77777777" w:rsidR="007B6AE1" w:rsidRPr="007B6AE1" w:rsidRDefault="007B6AE1" w:rsidP="007B6AE1">
            <w:pPr>
              <w:tabs>
                <w:tab w:val="left" w:pos="1137"/>
              </w:tabs>
              <w:rPr>
                <w:rFonts w:ascii="Verdana" w:eastAsia="Calibri" w:hAnsi="Verdana" w:cs="Arial"/>
                <w:lang w:val="es-ES_tradnl" w:eastAsia="es-ES"/>
              </w:rPr>
            </w:pPr>
            <w:r w:rsidRPr="007B6AE1">
              <w:rPr>
                <w:rFonts w:ascii="Verdana" w:eastAsia="Calibri" w:hAnsi="Verdana" w:cs="Arial"/>
                <w:lang w:val="es-ES_tradnl" w:eastAsia="es-ES"/>
              </w:rPr>
              <w:tab/>
            </w:r>
          </w:p>
        </w:tc>
      </w:tr>
      <w:tr w:rsidR="007B6AE1" w:rsidRPr="007B6AE1" w14:paraId="4FD48176" w14:textId="77777777" w:rsidTr="00F7410E">
        <w:trPr>
          <w:trHeight w:val="884"/>
        </w:trPr>
        <w:tc>
          <w:tcPr>
            <w:tcW w:w="2689" w:type="dxa"/>
          </w:tcPr>
          <w:p w14:paraId="1BDBDCBC" w14:textId="77777777" w:rsidR="007B6AE1" w:rsidRPr="007B6AE1" w:rsidRDefault="007B6AE1" w:rsidP="007B6AE1">
            <w:pPr>
              <w:jc w:val="both"/>
              <w:rPr>
                <w:rFonts w:ascii="Verdana" w:eastAsia="Calibri" w:hAnsi="Verdana" w:cs="Arial"/>
                <w:lang w:val="es-ES_tradnl" w:eastAsia="es-ES_tradnl"/>
              </w:rPr>
            </w:pPr>
            <w:r w:rsidRPr="007B6AE1">
              <w:rPr>
                <w:rFonts w:ascii="Verdana" w:eastAsia="Calibri" w:hAnsi="Verdana" w:cs="Arial"/>
                <w:b/>
                <w:lang w:val="es-ES_tradnl" w:eastAsia="es-ES_tradnl"/>
              </w:rPr>
              <w:t>Temas:</w:t>
            </w:r>
            <w:r w:rsidRPr="007B6AE1">
              <w:rPr>
                <w:rFonts w:ascii="Verdana" w:eastAsia="Calibri" w:hAnsi="Verdana" w:cs="Arial"/>
                <w:lang w:val="es-ES_tradnl" w:eastAsia="es-ES_tradnl"/>
              </w:rPr>
              <w:t xml:space="preserve">                   </w:t>
            </w:r>
          </w:p>
        </w:tc>
        <w:tc>
          <w:tcPr>
            <w:tcW w:w="6100" w:type="dxa"/>
          </w:tcPr>
          <w:p w14:paraId="5CAFD12B" w14:textId="77777777" w:rsidR="007B6AE1" w:rsidRPr="007B6AE1" w:rsidRDefault="007B6AE1" w:rsidP="007B6AE1">
            <w:pPr>
              <w:spacing w:line="276" w:lineRule="auto"/>
              <w:jc w:val="both"/>
              <w:rPr>
                <w:rFonts w:ascii="Verdana" w:eastAsia="Geomanist Light" w:hAnsi="Verdana" w:cs="Arial"/>
                <w:lang w:val="es-ES_tradnl"/>
              </w:rPr>
            </w:pPr>
            <w:r w:rsidRPr="007B6AE1">
              <w:rPr>
                <w:rFonts w:ascii="Verdana" w:eastAsia="Calibri" w:hAnsi="Verdana" w:cs="Arial"/>
                <w:color w:val="000000"/>
                <w:lang w:val="es-ES" w:eastAsia="es-CO"/>
              </w:rPr>
              <w:t xml:space="preserve">INDUSTRIA NACIONAL – Puntaje adicional – Decreto 680 de 2021 / DOCUMENTOS TIPO DE LICITACIÓN DE INFRAESTRUCTURA SOCIAL – Versión 2 – Puntaje de industria nacional – Formato 9 – Numeral 4.3 del Documento Base – Apoyo a la industria nacional / </w:t>
            </w:r>
            <w:r w:rsidRPr="007B6AE1">
              <w:rPr>
                <w:rFonts w:ascii="Verdana" w:eastAsia="Calibri" w:hAnsi="Verdana" w:cs="Arial"/>
                <w:lang w:val="es-ES" w:eastAsia="es-ES"/>
              </w:rPr>
              <w:t>SUBSANABILIDAD – Aplicación – R</w:t>
            </w:r>
            <w:r w:rsidRPr="007B6AE1">
              <w:rPr>
                <w:rFonts w:ascii="Verdana" w:eastAsia="Calibri" w:hAnsi="Verdana" w:cs="Times New Roman"/>
                <w:lang w:val="es-ES" w:eastAsia="es-ES"/>
              </w:rPr>
              <w:t>egla general</w:t>
            </w:r>
            <w:r w:rsidRPr="007B6AE1">
              <w:rPr>
                <w:rFonts w:ascii="Verdana" w:eastAsia="Calibri" w:hAnsi="Verdana" w:cs="Arial"/>
                <w:lang w:val="es-ES" w:eastAsia="es-ES"/>
              </w:rPr>
              <w:t xml:space="preserve"> – Excepciones / SUBSANABILIDAD – Ley 1882 de 2018 / </w:t>
            </w:r>
            <w:r w:rsidRPr="007B6AE1">
              <w:rPr>
                <w:rFonts w:ascii="Verdana" w:eastAsia="Calibri" w:hAnsi="Verdana" w:cs="Arial"/>
                <w:color w:val="000000"/>
              </w:rPr>
              <w:t xml:space="preserve">SUBSANABILIDAD – Circunstancias posteriores – Cierre del proceso – Prueba / </w:t>
            </w:r>
            <w:r w:rsidRPr="007B6AE1">
              <w:rPr>
                <w:rFonts w:ascii="Verdana" w:eastAsia="Geomanist Light" w:hAnsi="Verdana" w:cs="Arial"/>
                <w:lang w:val="es-ES_tradnl"/>
              </w:rPr>
              <w:t>SUBSANABILIDAD – Oportunidad – Documentos tipo de infraestructura social – Deber de aportar los documentos faltantes</w:t>
            </w:r>
          </w:p>
          <w:p w14:paraId="5FF8334A" w14:textId="77777777" w:rsidR="007B6AE1" w:rsidRPr="007B6AE1" w:rsidRDefault="007B6AE1" w:rsidP="007B6AE1">
            <w:pPr>
              <w:snapToGrid w:val="0"/>
              <w:spacing w:line="276" w:lineRule="auto"/>
              <w:jc w:val="both"/>
              <w:rPr>
                <w:rFonts w:ascii="Verdana" w:eastAsia="Calibri" w:hAnsi="Verdana" w:cs="Arial"/>
                <w:b/>
                <w:bCs/>
                <w:color w:val="000000"/>
                <w:lang w:val="es-ES" w:eastAsia="es-CO"/>
              </w:rPr>
            </w:pPr>
          </w:p>
        </w:tc>
      </w:tr>
      <w:tr w:rsidR="007B6AE1" w:rsidRPr="007B6AE1" w14:paraId="6917D492" w14:textId="77777777" w:rsidTr="00F7410E">
        <w:tc>
          <w:tcPr>
            <w:tcW w:w="2689" w:type="dxa"/>
          </w:tcPr>
          <w:p w14:paraId="26777512" w14:textId="77777777" w:rsidR="007B6AE1" w:rsidRPr="007B6AE1" w:rsidRDefault="007B6AE1" w:rsidP="007B6AE1">
            <w:pPr>
              <w:jc w:val="both"/>
              <w:rPr>
                <w:rFonts w:ascii="Verdana" w:eastAsia="Calibri" w:hAnsi="Verdana" w:cs="Arial"/>
                <w:b/>
                <w:lang w:val="es-ES_tradnl" w:eastAsia="es-ES_tradnl"/>
              </w:rPr>
            </w:pPr>
            <w:r w:rsidRPr="007B6AE1">
              <w:rPr>
                <w:rFonts w:ascii="Verdana" w:eastAsia="Calibri" w:hAnsi="Verdana" w:cs="Arial"/>
                <w:b/>
                <w:lang w:val="es-ES_tradnl" w:eastAsia="es-ES_tradnl"/>
              </w:rPr>
              <w:t>Radicación:</w:t>
            </w:r>
            <w:r w:rsidRPr="007B6AE1">
              <w:rPr>
                <w:rFonts w:ascii="Verdana" w:eastAsia="Calibri" w:hAnsi="Verdana" w:cs="Arial"/>
                <w:lang w:val="es-ES_tradnl" w:eastAsia="es-ES_tradnl"/>
              </w:rPr>
              <w:t xml:space="preserve">               </w:t>
            </w:r>
          </w:p>
        </w:tc>
        <w:tc>
          <w:tcPr>
            <w:tcW w:w="6100" w:type="dxa"/>
          </w:tcPr>
          <w:p w14:paraId="4FD2E7EA" w14:textId="77777777" w:rsidR="007B6AE1" w:rsidRPr="007B6AE1" w:rsidRDefault="007B6AE1" w:rsidP="007B6AE1">
            <w:pPr>
              <w:jc w:val="both"/>
              <w:rPr>
                <w:rFonts w:ascii="Verdana" w:eastAsia="Calibri" w:hAnsi="Verdana" w:cs="Arial"/>
                <w:lang w:val="es-ES_tradnl" w:eastAsia="es-ES_tradnl"/>
              </w:rPr>
            </w:pPr>
            <w:r w:rsidRPr="007B6AE1">
              <w:rPr>
                <w:rFonts w:ascii="Verdana" w:eastAsia="Calibri" w:hAnsi="Verdana" w:cs="Arial"/>
                <w:lang w:val="es-ES_tradnl" w:eastAsia="es-ES_tradnl"/>
              </w:rPr>
              <w:t>Respuesta a consulta con radicado No. 1_2026_09_04_011783</w:t>
            </w:r>
          </w:p>
        </w:tc>
      </w:tr>
    </w:tbl>
    <w:p w14:paraId="5242D9B4" w14:textId="77777777" w:rsidR="007B6AE1" w:rsidRPr="007B6AE1" w:rsidRDefault="007B6AE1" w:rsidP="007B6AE1">
      <w:pPr>
        <w:spacing w:after="0" w:line="240" w:lineRule="auto"/>
        <w:jc w:val="both"/>
        <w:rPr>
          <w:rFonts w:ascii="Verdana" w:eastAsia="Calibri" w:hAnsi="Verdana" w:cs="Arial"/>
          <w:lang w:val="es-ES_tradnl" w:eastAsia="es-ES_tradnl"/>
        </w:rPr>
      </w:pPr>
    </w:p>
    <w:p w14:paraId="69A6A11C" w14:textId="77777777" w:rsidR="007B6AE1" w:rsidRPr="007B6AE1" w:rsidRDefault="007B6AE1" w:rsidP="007B6AE1">
      <w:pPr>
        <w:spacing w:after="0" w:line="240" w:lineRule="auto"/>
        <w:jc w:val="both"/>
        <w:rPr>
          <w:rFonts w:ascii="Verdana" w:eastAsia="Calibri" w:hAnsi="Verdana" w:cs="Arial"/>
          <w:lang w:val="es-ES_tradnl" w:eastAsia="es-ES_tradnl"/>
        </w:rPr>
      </w:pPr>
    </w:p>
    <w:p w14:paraId="387F9D64" w14:textId="77777777" w:rsidR="007B6AE1" w:rsidRPr="007B6AE1" w:rsidRDefault="007B6AE1" w:rsidP="007B6AE1">
      <w:pPr>
        <w:spacing w:after="0" w:line="276" w:lineRule="auto"/>
        <w:jc w:val="both"/>
        <w:rPr>
          <w:rFonts w:ascii="Verdana" w:eastAsia="Calibri" w:hAnsi="Verdana" w:cs="Arial"/>
          <w:lang w:val="es-ES" w:eastAsia="es-ES"/>
        </w:rPr>
      </w:pPr>
      <w:r w:rsidRPr="007B6AE1">
        <w:rPr>
          <w:rFonts w:ascii="Verdana" w:eastAsia="Calibri" w:hAnsi="Verdana" w:cs="Arial"/>
          <w:lang w:val="es-ES" w:eastAsia="es-ES"/>
        </w:rPr>
        <w:t xml:space="preserve">Estimada señora Guerra Mejía: </w:t>
      </w:r>
    </w:p>
    <w:p w14:paraId="12C5E697" w14:textId="77777777" w:rsidR="007B6AE1" w:rsidRPr="007B6AE1" w:rsidRDefault="007B6AE1" w:rsidP="007B6AE1">
      <w:pPr>
        <w:tabs>
          <w:tab w:val="left" w:pos="3768"/>
        </w:tabs>
        <w:spacing w:after="0" w:line="276" w:lineRule="auto"/>
        <w:jc w:val="both"/>
        <w:rPr>
          <w:rFonts w:ascii="Verdana" w:eastAsia="Calibri" w:hAnsi="Verdana" w:cs="Arial"/>
          <w:lang w:val="es-ES_tradnl" w:eastAsia="es-ES"/>
        </w:rPr>
      </w:pPr>
      <w:r w:rsidRPr="007B6AE1">
        <w:rPr>
          <w:rFonts w:ascii="Verdana" w:eastAsia="Calibri" w:hAnsi="Verdana" w:cs="Arial"/>
          <w:lang w:val="es-ES_tradnl" w:eastAsia="es-ES"/>
        </w:rPr>
        <w:tab/>
      </w:r>
    </w:p>
    <w:p w14:paraId="4D2BD97D" w14:textId="77777777" w:rsidR="007B6AE1" w:rsidRPr="007B6AE1" w:rsidRDefault="007B6AE1" w:rsidP="007B6AE1">
      <w:pPr>
        <w:snapToGrid w:val="0"/>
        <w:spacing w:after="0" w:line="276" w:lineRule="auto"/>
        <w:jc w:val="both"/>
        <w:rPr>
          <w:rFonts w:ascii="Verdana" w:eastAsia="Calibri" w:hAnsi="Verdana" w:cs="Arial"/>
          <w:lang w:val="es-ES_tradnl" w:eastAsia="es-ES"/>
        </w:rPr>
      </w:pPr>
      <w:r w:rsidRPr="007B6AE1">
        <w:rPr>
          <w:rFonts w:ascii="Verdana" w:eastAsia="Calibri" w:hAnsi="Verdana" w:cs="Arial"/>
          <w:lang w:val="es-ES_tradnl" w:eastAsia="es-ES"/>
        </w:rPr>
        <w:t>En ejercicio de la competencia otorgada por los artículos 3, numeral 5º, y 11, numeral 8º, del Decreto Ley 4170 de 2011,</w:t>
      </w:r>
      <w:r w:rsidRPr="007B6AE1">
        <w:rPr>
          <w:rFonts w:ascii="Verdana" w:eastAsia="Arial MT" w:hAnsi="Verdana" w:cs="Arial MT"/>
          <w:lang w:val="es-ES_tradnl" w:eastAsia="es-ES"/>
        </w:rPr>
        <w:t xml:space="preserve"> </w:t>
      </w:r>
      <w:r w:rsidRPr="007B6AE1">
        <w:rPr>
          <w:rFonts w:ascii="Verdana" w:eastAsia="Calibri" w:hAnsi="Verdana" w:cs="Arial"/>
          <w:lang w:val="es-ES_tradnl"/>
        </w:rPr>
        <w:t xml:space="preserve">así como lo establecido en la Resolución No. 469 del 2025 expedida por esta Entidad, </w:t>
      </w:r>
      <w:r w:rsidRPr="007B6AE1">
        <w:rPr>
          <w:rFonts w:ascii="Verdana" w:eastAsia="Calibri" w:hAnsi="Verdana" w:cs="Arial"/>
          <w:lang w:val="es-ES_tradnl" w:eastAsia="es-ES"/>
        </w:rPr>
        <w:t>la Agencia Nacional de Contratación Pública –Colombia Compra Eficiente– responde su solicitud de consulta de fecha 4 de septiembre de 2026, en la que manifiesta lo siguiente:</w:t>
      </w:r>
    </w:p>
    <w:p w14:paraId="264377D0" w14:textId="77777777" w:rsidR="007B6AE1" w:rsidRPr="007B6AE1" w:rsidRDefault="007B6AE1" w:rsidP="007B6AE1">
      <w:pPr>
        <w:tabs>
          <w:tab w:val="left" w:pos="142"/>
          <w:tab w:val="left" w:pos="1275"/>
        </w:tabs>
        <w:snapToGrid w:val="0"/>
        <w:spacing w:after="0" w:line="276" w:lineRule="auto"/>
        <w:jc w:val="both"/>
        <w:rPr>
          <w:rFonts w:ascii="Verdana" w:eastAsia="Century Gothic" w:hAnsi="Verdana" w:cs="Century Gothic"/>
          <w:b/>
          <w:bCs/>
          <w:lang w:val="es-ES_tradnl"/>
        </w:rPr>
      </w:pPr>
      <w:r w:rsidRPr="007B6AE1">
        <w:rPr>
          <w:rFonts w:ascii="Verdana" w:eastAsia="Century Gothic" w:hAnsi="Verdana" w:cs="Century Gothic"/>
          <w:b/>
          <w:bCs/>
          <w:lang w:val="es-ES_tradnl"/>
        </w:rPr>
        <w:tab/>
      </w:r>
      <w:r w:rsidRPr="007B6AE1">
        <w:rPr>
          <w:rFonts w:ascii="Verdana" w:eastAsia="Century Gothic" w:hAnsi="Verdana" w:cs="Century Gothic"/>
          <w:b/>
          <w:bCs/>
          <w:lang w:val="es-ES_tradnl"/>
        </w:rPr>
        <w:tab/>
      </w:r>
    </w:p>
    <w:p w14:paraId="05583385"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r w:rsidRPr="007B6AE1">
        <w:rPr>
          <w:rFonts w:ascii="Verdana" w:eastAsia="Century Gothic" w:hAnsi="Verdana" w:cs="Century Gothic"/>
          <w:sz w:val="21"/>
          <w:szCs w:val="21"/>
          <w:lang w:val="es-ES"/>
        </w:rPr>
        <w:lastRenderedPageBreak/>
        <w:t>“Como miembro del comité evaluador de la entidad en la que laboro, en desarrollo de la etapa de evaluación de un proceso de licitación pública de obra regido por el Documento Base de Pliego Tipo de Infraestructura Social – Sector Institucional, se ha presentado una inquietud respecto de la forma en que debe verificarse la acreditación del factor de puntaje correspondiente a la Promoción de Servicios Nacionales o con Trato Nacional. En el proceso, el Pliego de Condiciones establece, por una parte, los documentos requeridos para acreditar la capacidad jurídica de los proponentes y, por otra, regula de manera específica la acreditación del factor ponderable correspondiente a la Promoción de Servicios Nacionales o con Trato Nacional.</w:t>
      </w:r>
    </w:p>
    <w:p w14:paraId="23BD1756"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p>
    <w:p w14:paraId="2835038D"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r w:rsidRPr="007B6AE1">
        <w:rPr>
          <w:rFonts w:ascii="Verdana" w:eastAsia="Century Gothic" w:hAnsi="Verdana" w:cs="Century Gothic"/>
          <w:sz w:val="21"/>
          <w:szCs w:val="21"/>
          <w:lang w:val="es-ES"/>
        </w:rPr>
        <w:t xml:space="preserve">Para las personas jurídicas, el certificado de existencia y representación legal se encuentra previsto como documento para acreditar la capacidad jurídica. A su vez, en el acápite correspondiente a la acreditación del puntaje por Promoción de Servicios Nacionales o con Trato Nacional, se indica que, además del diligenciamiento del Formato 9A, deben acreditarse los documentos señalados en el numeral 4.1.1.3 del Documento Base, dentro de los cuales se encuentra el certificado de existencia y representación legal. Adicionalmente, en el Formato 9A incluido en el proceso, se mantuvo la expresión contenida en el texto entre corchetes: “[Señalar anexos al Formato 9, requeridos para demostrar el origen de los servicios en el correspondiente país]”, circunstancia que genera la inquietud acerca de si el diligenciamiento del formato debe estar acompañado de los documentos que el propio Pliego establece para acreditar el factor. En el proceso se presentaron proponentes plurales que diligenciaron el Formato 9A y aportaron la documentación exigida para acreditar el factor de puntaje en la forma indicada en el Pliego, mientras que otros proponentes diligenciaron el Formato 9A, pero no adjuntaron nuevamente con dicho formato los documentos allí exigidos, argumentando que estos documentos ya se encontraban incorporados en la oferta como parte de la documentación destinada a acreditar la capacidad jurídica. La inquietud concreta consiste en determinar si, en este último supuesto, la existencia del certificado de existencia y representación legal dentro de la oferta — aportado oportunamente en la sección correspondiente a los requisitos habilitantes de capacidad jurídica— permite tener por acreditado el factor ponderable de Promoción de Servicios Nacionales o con Trato Nacional, aun cuando el proponente no lo hubiera aportado o señalado expresamente como documento soporte del Formato 9A, conforme a la regla específica establecida para la acreditación del puntaje. Lo anterior resulta particularmente relevante teniendo en cuenta que el cuestionario </w:t>
      </w:r>
      <w:r w:rsidRPr="007B6AE1">
        <w:rPr>
          <w:rFonts w:ascii="Verdana" w:eastAsia="Century Gothic" w:hAnsi="Verdana" w:cs="Century Gothic"/>
          <w:sz w:val="21"/>
          <w:szCs w:val="21"/>
          <w:lang w:val="es-ES"/>
        </w:rPr>
        <w:lastRenderedPageBreak/>
        <w:t>electrónico del proceso diferencia la documentación correspondiente a requisitos habilitantes de aquella correspondiente a factores ponderables, y que el Documento Base establece reglas específicas para la acreditación del puntaje.</w:t>
      </w:r>
    </w:p>
    <w:p w14:paraId="14D612BD"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p>
    <w:p w14:paraId="7399A051"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r w:rsidRPr="007B6AE1">
        <w:rPr>
          <w:rFonts w:ascii="Verdana" w:eastAsia="Century Gothic" w:hAnsi="Verdana" w:cs="Century Gothic"/>
          <w:sz w:val="21"/>
          <w:szCs w:val="21"/>
          <w:lang w:val="es-ES"/>
        </w:rPr>
        <w:t>Teniendo en cuenta que se trata de un proceso sometido a Documento Base de Pliego Tipo y que el Documento Base contiene una regulación específica sobre la acreditación del factor, se requiere indicación de:</w:t>
      </w:r>
    </w:p>
    <w:p w14:paraId="67A84473"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p>
    <w:p w14:paraId="3D56E7E3"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r w:rsidRPr="007B6AE1">
        <w:rPr>
          <w:rFonts w:ascii="Verdana" w:eastAsia="Century Gothic" w:hAnsi="Verdana" w:cs="Century Gothic"/>
          <w:sz w:val="21"/>
          <w:szCs w:val="21"/>
          <w:lang w:val="es-ES"/>
        </w:rPr>
        <w:t>1. ¿debe prevalecer dicha regla específica de acreditación del puntaje frente a la circunstancia de que los mismos documentos ya se encuentren incorporados en otra sección de la oferta?</w:t>
      </w:r>
    </w:p>
    <w:p w14:paraId="4A0ACFD3"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p>
    <w:p w14:paraId="1BD39BC2"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r w:rsidRPr="007B6AE1">
        <w:rPr>
          <w:rFonts w:ascii="Verdana" w:eastAsia="Century Gothic" w:hAnsi="Verdana" w:cs="Century Gothic"/>
          <w:sz w:val="21"/>
          <w:szCs w:val="21"/>
          <w:lang w:val="es-ES"/>
        </w:rPr>
        <w:t>2. teniendo en cuenta que en el proceso algunos proponentes aportaron los documentos conforme a la regla específica de acreditación del factor y otros no lo hicieron bajo el entendido de que bastaba con que estos documentos ya estuvieran incorporados en la oferta, ¿qué criterio debe aplicar la entidad para garantizar la igualdad de trato entre los proponentes y la aplicación uniforme de las reglas previstas en el Pliego de Condiciones –(pliego tipo)?</w:t>
      </w:r>
    </w:p>
    <w:p w14:paraId="200B2D9B"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p>
    <w:p w14:paraId="67E15BC3" w14:textId="77777777" w:rsidR="007B6AE1" w:rsidRPr="007B6AE1" w:rsidRDefault="007B6AE1" w:rsidP="007B6AE1">
      <w:pPr>
        <w:snapToGrid w:val="0"/>
        <w:spacing w:after="0" w:line="240" w:lineRule="auto"/>
        <w:ind w:left="720" w:right="709"/>
        <w:jc w:val="both"/>
        <w:rPr>
          <w:rFonts w:ascii="Verdana" w:eastAsia="Century Gothic" w:hAnsi="Verdana" w:cs="Century Gothic"/>
          <w:sz w:val="21"/>
          <w:szCs w:val="21"/>
          <w:lang w:val="es-ES"/>
        </w:rPr>
      </w:pPr>
      <w:r w:rsidRPr="007B6AE1">
        <w:rPr>
          <w:rFonts w:ascii="Verdana" w:eastAsia="Century Gothic" w:hAnsi="Verdana" w:cs="Century Gothic"/>
          <w:sz w:val="21"/>
          <w:szCs w:val="21"/>
          <w:lang w:val="es-ES"/>
        </w:rPr>
        <w:t>3. la favorabilidad y la subsanación operan para los factores de puntaje?”</w:t>
      </w:r>
    </w:p>
    <w:p w14:paraId="4B8A3A7B" w14:textId="77777777" w:rsidR="007B6AE1" w:rsidRPr="007B6AE1" w:rsidRDefault="007B6AE1" w:rsidP="007B6AE1">
      <w:pPr>
        <w:snapToGrid w:val="0"/>
        <w:spacing w:after="0" w:line="240" w:lineRule="auto"/>
        <w:ind w:left="720" w:right="709"/>
        <w:jc w:val="both"/>
        <w:rPr>
          <w:rFonts w:ascii="Verdana" w:eastAsia="Century Gothic" w:hAnsi="Verdana" w:cs="Century Gothic"/>
          <w:lang w:val="es-ES_tradnl"/>
        </w:rPr>
      </w:pPr>
    </w:p>
    <w:p w14:paraId="10F25714" w14:textId="77777777" w:rsidR="007B6AE1" w:rsidRPr="007B6AE1" w:rsidRDefault="007B6AE1" w:rsidP="007B6AE1">
      <w:pPr>
        <w:spacing w:after="120" w:line="276" w:lineRule="auto"/>
        <w:ind w:firstLine="709"/>
        <w:jc w:val="both"/>
        <w:rPr>
          <w:rFonts w:ascii="Verdana" w:eastAsia="Calibri" w:hAnsi="Verdana" w:cs="Arial"/>
          <w:lang w:val="es-ES" w:eastAsia="es-ES"/>
        </w:rPr>
      </w:pPr>
      <w:r w:rsidRPr="007B6AE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B6AE1">
        <w:rPr>
          <w:rFonts w:ascii="Calibri" w:eastAsia="Calibri" w:hAnsi="Calibri" w:cs="Times New Roman"/>
        </w:rPr>
        <w:tab/>
      </w:r>
    </w:p>
    <w:p w14:paraId="3C035E4D" w14:textId="77777777" w:rsidR="007B6AE1" w:rsidRPr="007B6AE1" w:rsidRDefault="007B6AE1" w:rsidP="007B6AE1">
      <w:pPr>
        <w:snapToGrid w:val="0"/>
        <w:spacing w:after="0" w:line="276" w:lineRule="auto"/>
        <w:ind w:firstLine="709"/>
        <w:jc w:val="both"/>
        <w:rPr>
          <w:rFonts w:ascii="Verdana" w:eastAsia="Calibri" w:hAnsi="Verdana" w:cs="Arial"/>
          <w:lang w:val="es-ES_tradnl" w:eastAsia="es-ES"/>
        </w:rPr>
      </w:pPr>
      <w:r w:rsidRPr="007B6AE1">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w:t>
      </w:r>
      <w:r w:rsidRPr="007B6AE1">
        <w:rPr>
          <w:rFonts w:ascii="Verdana" w:eastAsia="Calibri" w:hAnsi="Verdana" w:cs="Arial"/>
          <w:lang w:val="es-ES_tradnl" w:eastAsia="es-ES"/>
        </w:rPr>
        <w:lastRenderedPageBreak/>
        <w:t xml:space="preserve">concretas mencionadas en su petición, pero haciendo unas consideraciones sobre las normas generales relacionadas con el problema jurídico de su consulta. </w:t>
      </w:r>
    </w:p>
    <w:p w14:paraId="6845871D" w14:textId="77777777" w:rsidR="007B6AE1" w:rsidRPr="007B6AE1" w:rsidRDefault="007B6AE1" w:rsidP="007B6AE1">
      <w:pPr>
        <w:snapToGrid w:val="0"/>
        <w:spacing w:after="0" w:line="276" w:lineRule="auto"/>
        <w:ind w:firstLine="709"/>
        <w:jc w:val="both"/>
        <w:rPr>
          <w:rFonts w:ascii="Verdana" w:eastAsia="Calibri" w:hAnsi="Verdana" w:cs="Arial"/>
          <w:lang w:val="es-ES_tradnl" w:eastAsia="es-ES"/>
        </w:rPr>
      </w:pPr>
    </w:p>
    <w:p w14:paraId="4E5D46E4" w14:textId="77777777" w:rsidR="007B6AE1" w:rsidRPr="007B6AE1" w:rsidRDefault="007B6AE1" w:rsidP="007B6A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7B6AE1">
        <w:rPr>
          <w:rFonts w:ascii="Verdana" w:eastAsia="Century Gothic" w:hAnsi="Verdana" w:cs="Century Gothic"/>
          <w:b/>
          <w:bCs/>
          <w:lang w:val="es-ES_tradnl"/>
        </w:rPr>
        <w:t>Problema planteado:</w:t>
      </w:r>
    </w:p>
    <w:p w14:paraId="6B756D1F" w14:textId="77777777" w:rsidR="007B6AE1" w:rsidRPr="007B6AE1" w:rsidRDefault="007B6AE1" w:rsidP="007B6AE1">
      <w:pPr>
        <w:tabs>
          <w:tab w:val="left" w:pos="426"/>
        </w:tabs>
        <w:snapToGrid w:val="0"/>
        <w:spacing w:after="0" w:line="276" w:lineRule="auto"/>
        <w:jc w:val="both"/>
        <w:rPr>
          <w:rFonts w:ascii="Verdana" w:eastAsia="Century Gothic" w:hAnsi="Verdana" w:cs="Century Gothic"/>
          <w:lang w:val="es-ES_tradnl"/>
        </w:rPr>
      </w:pPr>
    </w:p>
    <w:p w14:paraId="12E8255E" w14:textId="77777777" w:rsidR="007B6AE1" w:rsidRPr="007B6AE1" w:rsidRDefault="007B6AE1" w:rsidP="007B6AE1">
      <w:pPr>
        <w:snapToGrid w:val="0"/>
        <w:spacing w:after="0" w:line="276" w:lineRule="auto"/>
        <w:jc w:val="both"/>
        <w:rPr>
          <w:rFonts w:ascii="Verdana" w:eastAsia="Century Gothic" w:hAnsi="Verdana" w:cs="Century Gothic"/>
          <w:lang w:val="es-ES"/>
        </w:rPr>
      </w:pPr>
      <w:r w:rsidRPr="007B6AE1">
        <w:rPr>
          <w:rFonts w:ascii="Verdana" w:eastAsia="Century Gothic" w:hAnsi="Verdana" w:cs="Century Gothic"/>
          <w:lang w:val="es-ES"/>
        </w:rPr>
        <w:t xml:space="preserve">De acuerdo con el contenido de su solicitud, esta Agencia resolverá el siguiente problema jurídico: en el marco de la regla de </w:t>
      </w:r>
      <w:proofErr w:type="spellStart"/>
      <w:r w:rsidRPr="007B6AE1">
        <w:rPr>
          <w:rFonts w:ascii="Verdana" w:eastAsia="Century Gothic" w:hAnsi="Verdana" w:cs="Century Gothic"/>
          <w:lang w:val="es-ES"/>
        </w:rPr>
        <w:t>subsanabilidad</w:t>
      </w:r>
      <w:proofErr w:type="spellEnd"/>
      <w:r w:rsidRPr="007B6AE1">
        <w:rPr>
          <w:rFonts w:ascii="Verdana" w:eastAsia="Century Gothic" w:hAnsi="Verdana" w:cs="Century Gothic"/>
          <w:lang w:val="es-ES"/>
        </w:rPr>
        <w:t xml:space="preserve"> de las ofertas en procesos de contratación adelantados con documentos tipo, ¿cuál es la posibilidad de las Entidades Estatales de tener en cuenta documentos que hacen parte de la oferta del proponente, a efectos de acreditar o complementar situaciones particulares de estos que pretenden ser acreditadas dentro del proceso?</w:t>
      </w:r>
    </w:p>
    <w:p w14:paraId="6EEE3839" w14:textId="77777777" w:rsidR="007B6AE1" w:rsidRPr="007B6AE1" w:rsidRDefault="007B6AE1" w:rsidP="007B6AE1">
      <w:pPr>
        <w:snapToGrid w:val="0"/>
        <w:spacing w:after="0" w:line="276" w:lineRule="auto"/>
        <w:jc w:val="both"/>
        <w:rPr>
          <w:rFonts w:ascii="Verdana" w:eastAsia="Century Gothic" w:hAnsi="Verdana" w:cs="Century Gothic"/>
          <w:lang w:val="es-ES_tradnl"/>
        </w:rPr>
      </w:pPr>
    </w:p>
    <w:p w14:paraId="43EFE1EF" w14:textId="77777777" w:rsidR="007B6AE1" w:rsidRPr="007B6AE1" w:rsidRDefault="007B6AE1" w:rsidP="007B6A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7B6AE1">
        <w:rPr>
          <w:rFonts w:ascii="Verdana" w:eastAsia="Century Gothic" w:hAnsi="Verdana" w:cs="Century Gothic"/>
          <w:b/>
          <w:bCs/>
          <w:lang w:val="es-ES_tradnl"/>
        </w:rPr>
        <w:t>Respuesta:</w:t>
      </w:r>
    </w:p>
    <w:p w14:paraId="64BB7825" w14:textId="77777777" w:rsidR="007B6AE1" w:rsidRPr="007B6AE1" w:rsidRDefault="007B6AE1" w:rsidP="007B6AE1">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B6AE1" w:rsidRPr="007B6AE1" w14:paraId="281B0908" w14:textId="77777777" w:rsidTr="00F7410E">
        <w:tc>
          <w:tcPr>
            <w:tcW w:w="8828" w:type="dxa"/>
          </w:tcPr>
          <w:p w14:paraId="06FD19FB" w14:textId="77777777" w:rsidR="007B6AE1" w:rsidRPr="007B6AE1" w:rsidRDefault="007B6AE1" w:rsidP="007B6AE1">
            <w:pPr>
              <w:spacing w:line="276" w:lineRule="auto"/>
              <w:jc w:val="both"/>
              <w:rPr>
                <w:rFonts w:ascii="Verdana" w:eastAsia="Arial" w:hAnsi="Verdana" w:cs="Arial"/>
                <w:color w:val="000000"/>
                <w:lang w:val="es-ES_tradnl"/>
              </w:rPr>
            </w:pPr>
            <w:r w:rsidRPr="007B6AE1">
              <w:rPr>
                <w:rFonts w:ascii="Verdana" w:eastAsia="Arial" w:hAnsi="Verdana" w:cs="Arial"/>
                <w:color w:val="000000"/>
                <w:lang w:val="es-ES_tradnl"/>
              </w:rPr>
              <w:t>El numeral 4.3 “APOYO A LA INDUSTRIA NACIONAL” del Documento Base de los documentos tipo de infraestructura social, establece dos (2) alternativas para la obtención del puntaje de apoyo a la industria nacional, así:</w:t>
            </w:r>
          </w:p>
          <w:p w14:paraId="36DA734C" w14:textId="77777777" w:rsidR="007B6AE1" w:rsidRPr="007B6AE1" w:rsidRDefault="007B6AE1" w:rsidP="007B6AE1">
            <w:pPr>
              <w:adjustRightInd w:val="0"/>
              <w:ind w:left="709" w:right="709" w:firstLine="708"/>
              <w:jc w:val="both"/>
              <w:rPr>
                <w:rFonts w:ascii="Verdana" w:eastAsia="Arial" w:hAnsi="Verdana" w:cs="Arial"/>
                <w:color w:val="000000"/>
                <w:lang w:val="es-ES_tradnl"/>
              </w:rPr>
            </w:pPr>
          </w:p>
          <w:p w14:paraId="7585FE87" w14:textId="77777777" w:rsidR="007B6AE1" w:rsidRPr="007B6AE1" w:rsidRDefault="007B6AE1" w:rsidP="007B6AE1">
            <w:pPr>
              <w:adjustRightInd w:val="0"/>
              <w:ind w:left="709" w:right="709"/>
              <w:jc w:val="both"/>
              <w:rPr>
                <w:rFonts w:ascii="Verdana" w:eastAsia="Calibri" w:hAnsi="Verdana" w:cs="Arial"/>
                <w:color w:val="000000"/>
                <w:sz w:val="21"/>
                <w:szCs w:val="21"/>
                <w:lang w:val="es-MX"/>
              </w:rPr>
            </w:pPr>
            <w:r w:rsidRPr="007B6AE1">
              <w:rPr>
                <w:rFonts w:ascii="Verdana" w:eastAsia="Calibri" w:hAnsi="Verdana" w:cs="Arial"/>
                <w:color w:val="000000"/>
                <w:sz w:val="21"/>
                <w:szCs w:val="21"/>
                <w:lang w:val="es-MX"/>
              </w:rPr>
              <w:t>Los Proponentes pueden obtener puntaje de apoyo a la industria nacional por: i) Servicios Nacionales o con Trato Nacional o por ii) la incorporación de componente nacional en servicios extranjeros. La Entidad en ningún caso otorgará simultáneamente el puntaje por ambos aspectos.</w:t>
            </w:r>
          </w:p>
          <w:p w14:paraId="30826BAB" w14:textId="77777777" w:rsidR="007B6AE1" w:rsidRPr="007B6AE1" w:rsidRDefault="007B6AE1" w:rsidP="007B6AE1">
            <w:pPr>
              <w:adjustRightInd w:val="0"/>
              <w:ind w:left="709" w:right="709"/>
              <w:jc w:val="both"/>
              <w:rPr>
                <w:rFonts w:ascii="Verdana" w:eastAsia="Calibri" w:hAnsi="Verdana" w:cs="Arial"/>
                <w:color w:val="000000"/>
                <w:sz w:val="21"/>
                <w:szCs w:val="21"/>
                <w:lang w:val="es-MX"/>
              </w:rPr>
            </w:pPr>
            <w:r w:rsidRPr="007B6AE1">
              <w:rPr>
                <w:rFonts w:ascii="Verdana" w:eastAsia="Calibri" w:hAnsi="Verdana" w:cs="Arial"/>
                <w:color w:val="000000"/>
                <w:sz w:val="21"/>
                <w:szCs w:val="21"/>
                <w:lang w:val="es-MX"/>
              </w:rPr>
              <w:t>Los puntajes para estimular a la industria nacional se relacionan en la siguiente tabla:</w:t>
            </w: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7B6AE1" w:rsidRPr="007B6AE1" w14:paraId="710C2952" w14:textId="77777777" w:rsidTr="00F7410E">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166944E2" w14:textId="77777777" w:rsidR="007B6AE1" w:rsidRPr="007B6AE1" w:rsidRDefault="007B6AE1" w:rsidP="007B6AE1">
                  <w:pPr>
                    <w:spacing w:after="0" w:line="276" w:lineRule="auto"/>
                    <w:jc w:val="center"/>
                    <w:rPr>
                      <w:rFonts w:ascii="Verdana" w:eastAsia="Times New Roman" w:hAnsi="Verdana" w:cs="Arial"/>
                      <w:b/>
                      <w:caps/>
                      <w:noProof/>
                      <w:sz w:val="19"/>
                      <w:szCs w:val="19"/>
                      <w:lang w:val="es-ES"/>
                    </w:rPr>
                  </w:pPr>
                  <w:r w:rsidRPr="007B6AE1">
                    <w:rPr>
                      <w:rFonts w:ascii="Verdana" w:eastAsia="Calibri" w:hAnsi="Verdana" w:cs="Arial"/>
                      <w:b/>
                      <w:bCs/>
                      <w:noProof/>
                      <w:sz w:val="19"/>
                      <w:szCs w:val="19"/>
                      <w:lang w:val="es-ES"/>
                    </w:rPr>
                    <w:t>Concepto</w:t>
                  </w:r>
                </w:p>
              </w:tc>
              <w:tc>
                <w:tcPr>
                  <w:tcW w:w="1398"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5F8449B2" w14:textId="77777777" w:rsidR="007B6AE1" w:rsidRPr="007B6AE1" w:rsidRDefault="007B6AE1" w:rsidP="007B6AE1">
                  <w:pPr>
                    <w:spacing w:after="0" w:line="276" w:lineRule="auto"/>
                    <w:jc w:val="center"/>
                    <w:rPr>
                      <w:rFonts w:ascii="Verdana" w:eastAsia="Times New Roman" w:hAnsi="Verdana" w:cs="Arial"/>
                      <w:b/>
                      <w:caps/>
                      <w:noProof/>
                      <w:sz w:val="19"/>
                      <w:szCs w:val="19"/>
                      <w:lang w:val="es-ES"/>
                    </w:rPr>
                  </w:pPr>
                  <w:r w:rsidRPr="007B6AE1">
                    <w:rPr>
                      <w:rFonts w:ascii="Verdana" w:eastAsia="Calibri" w:hAnsi="Verdana" w:cs="Arial"/>
                      <w:b/>
                      <w:bCs/>
                      <w:noProof/>
                      <w:sz w:val="19"/>
                      <w:szCs w:val="19"/>
                      <w:lang w:val="es-ES"/>
                    </w:rPr>
                    <w:t>Puntaje</w:t>
                  </w:r>
                </w:p>
              </w:tc>
            </w:tr>
            <w:tr w:rsidR="007B6AE1" w:rsidRPr="007B6AE1" w14:paraId="1C5DEDE6" w14:textId="77777777" w:rsidTr="00F7410E">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7A9A320F" w14:textId="77777777" w:rsidR="007B6AE1" w:rsidRPr="007B6AE1" w:rsidRDefault="007B6AE1" w:rsidP="007B6AE1">
                  <w:pPr>
                    <w:spacing w:after="0" w:line="276" w:lineRule="auto"/>
                    <w:jc w:val="both"/>
                    <w:rPr>
                      <w:rFonts w:ascii="Verdana" w:eastAsia="Times New Roman" w:hAnsi="Verdana" w:cs="Arial"/>
                      <w:caps/>
                      <w:sz w:val="19"/>
                      <w:szCs w:val="19"/>
                      <w:lang w:val="es-ES"/>
                    </w:rPr>
                  </w:pPr>
                  <w:r w:rsidRPr="007B6AE1">
                    <w:rPr>
                      <w:rFonts w:ascii="Verdana" w:eastAsia="Times New Roman" w:hAnsi="Verdana" w:cs="Arial"/>
                      <w:sz w:val="19"/>
                      <w:szCs w:val="19"/>
                      <w:lang w:val="es-ES"/>
                    </w:rPr>
                    <w:t>Promoción de Servicios Nacionales o con Trato Nacional</w:t>
                  </w:r>
                </w:p>
              </w:tc>
              <w:tc>
                <w:tcPr>
                  <w:tcW w:w="1398" w:type="dxa"/>
                  <w:tcBorders>
                    <w:top w:val="single" w:sz="6" w:space="0" w:color="auto"/>
                    <w:left w:val="single" w:sz="6" w:space="0" w:color="auto"/>
                    <w:bottom w:val="single" w:sz="6" w:space="0" w:color="auto"/>
                    <w:right w:val="double" w:sz="4" w:space="0" w:color="auto"/>
                  </w:tcBorders>
                  <w:vAlign w:val="center"/>
                  <w:hideMark/>
                </w:tcPr>
                <w:p w14:paraId="087F72A6" w14:textId="77777777" w:rsidR="007B6AE1" w:rsidRPr="007B6AE1" w:rsidRDefault="007B6AE1" w:rsidP="007B6AE1">
                  <w:pPr>
                    <w:spacing w:after="0" w:line="276" w:lineRule="auto"/>
                    <w:jc w:val="center"/>
                    <w:rPr>
                      <w:rFonts w:ascii="Verdana" w:eastAsia="Times New Roman" w:hAnsi="Verdana" w:cs="Arial"/>
                      <w:caps/>
                      <w:sz w:val="19"/>
                      <w:szCs w:val="19"/>
                      <w:lang w:val="es-ES"/>
                    </w:rPr>
                  </w:pPr>
                  <w:r w:rsidRPr="007B6AE1">
                    <w:rPr>
                      <w:rFonts w:ascii="Verdana" w:eastAsia="Times New Roman" w:hAnsi="Verdana" w:cs="Arial"/>
                      <w:sz w:val="19"/>
                      <w:szCs w:val="19"/>
                      <w:lang w:val="es-ES"/>
                    </w:rPr>
                    <w:t>20</w:t>
                  </w:r>
                </w:p>
              </w:tc>
            </w:tr>
            <w:tr w:rsidR="007B6AE1" w:rsidRPr="007B6AE1" w14:paraId="22ED0586" w14:textId="77777777" w:rsidTr="00F7410E">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5A7C4EBE" w14:textId="77777777" w:rsidR="007B6AE1" w:rsidRPr="007B6AE1" w:rsidRDefault="007B6AE1" w:rsidP="007B6AE1">
                  <w:pPr>
                    <w:spacing w:after="0" w:line="276" w:lineRule="auto"/>
                    <w:jc w:val="both"/>
                    <w:rPr>
                      <w:rFonts w:ascii="Verdana" w:eastAsia="Times New Roman" w:hAnsi="Verdana" w:cs="Arial"/>
                      <w:caps/>
                      <w:noProof/>
                      <w:sz w:val="19"/>
                      <w:szCs w:val="19"/>
                      <w:lang w:val="es-ES"/>
                    </w:rPr>
                  </w:pPr>
                  <w:r w:rsidRPr="007B6AE1">
                    <w:rPr>
                      <w:rFonts w:ascii="Verdana" w:eastAsia="Times New Roman" w:hAnsi="Verdana" w:cs="Arial"/>
                      <w:noProof/>
                      <w:sz w:val="19"/>
                      <w:szCs w:val="19"/>
                      <w:lang w:val="es-ES"/>
                    </w:rPr>
                    <w:t>Incorporación de componente nacional en servicios extranjeros</w:t>
                  </w:r>
                </w:p>
              </w:tc>
              <w:tc>
                <w:tcPr>
                  <w:tcW w:w="1398" w:type="dxa"/>
                  <w:tcBorders>
                    <w:top w:val="single" w:sz="6" w:space="0" w:color="auto"/>
                    <w:left w:val="single" w:sz="6" w:space="0" w:color="auto"/>
                    <w:bottom w:val="double" w:sz="4" w:space="0" w:color="auto"/>
                    <w:right w:val="double" w:sz="4" w:space="0" w:color="auto"/>
                  </w:tcBorders>
                  <w:vAlign w:val="center"/>
                  <w:hideMark/>
                </w:tcPr>
                <w:p w14:paraId="6DE5C615" w14:textId="77777777" w:rsidR="007B6AE1" w:rsidRPr="007B6AE1" w:rsidRDefault="007B6AE1" w:rsidP="007B6AE1">
                  <w:pPr>
                    <w:spacing w:after="0" w:line="276" w:lineRule="auto"/>
                    <w:jc w:val="center"/>
                    <w:rPr>
                      <w:rFonts w:ascii="Verdana" w:eastAsia="Times New Roman" w:hAnsi="Verdana" w:cs="Arial"/>
                      <w:caps/>
                      <w:noProof/>
                      <w:sz w:val="19"/>
                      <w:szCs w:val="19"/>
                      <w:lang w:val="es-ES"/>
                    </w:rPr>
                  </w:pPr>
                  <w:r w:rsidRPr="007B6AE1">
                    <w:rPr>
                      <w:rFonts w:ascii="Verdana" w:eastAsia="Times New Roman" w:hAnsi="Verdana" w:cs="Arial"/>
                      <w:noProof/>
                      <w:sz w:val="19"/>
                      <w:szCs w:val="19"/>
                      <w:lang w:val="es-ES"/>
                    </w:rPr>
                    <w:t>5</w:t>
                  </w:r>
                </w:p>
              </w:tc>
            </w:tr>
          </w:tbl>
          <w:p w14:paraId="79F99CC0" w14:textId="77777777" w:rsidR="007B6AE1" w:rsidRPr="007B6AE1" w:rsidRDefault="007B6AE1" w:rsidP="007B6AE1">
            <w:pPr>
              <w:tabs>
                <w:tab w:val="left" w:pos="709"/>
              </w:tabs>
              <w:spacing w:line="276" w:lineRule="auto"/>
              <w:jc w:val="both"/>
              <w:rPr>
                <w:rFonts w:ascii="Verdana" w:eastAsia="Calibri" w:hAnsi="Verdana" w:cs="Arial"/>
                <w:bCs/>
                <w:color w:val="000000"/>
                <w:lang w:val="es-ES_tradnl"/>
              </w:rPr>
            </w:pPr>
          </w:p>
          <w:p w14:paraId="77FF5EFE" w14:textId="77777777" w:rsidR="007B6AE1" w:rsidRPr="007B6AE1" w:rsidRDefault="007B6AE1" w:rsidP="007B6AE1">
            <w:pPr>
              <w:tabs>
                <w:tab w:val="left" w:pos="709"/>
              </w:tabs>
              <w:spacing w:line="276" w:lineRule="auto"/>
              <w:ind w:firstLine="709"/>
              <w:jc w:val="both"/>
              <w:rPr>
                <w:rFonts w:ascii="Verdana" w:eastAsia="Calibri" w:hAnsi="Verdana" w:cs="Arial"/>
                <w:color w:val="000000"/>
                <w:lang w:val="es-ES"/>
              </w:rPr>
            </w:pPr>
            <w:r w:rsidRPr="007B6AE1">
              <w:rPr>
                <w:rFonts w:ascii="Verdana" w:eastAsia="Calibri" w:hAnsi="Verdana" w:cs="Arial"/>
                <w:color w:val="000000"/>
                <w:lang w:val="es-ES"/>
              </w:rPr>
              <w:t xml:space="preserve">Así mismo, el numeral 4.3.1 </w:t>
            </w:r>
            <w:r w:rsidRPr="007B6AE1">
              <w:rPr>
                <w:rFonts w:ascii="Verdana" w:eastAsia="Calibri" w:hAnsi="Verdana" w:cs="Arial"/>
                <w:i/>
                <w:iCs/>
                <w:color w:val="000000"/>
                <w:lang w:val="es-ES"/>
              </w:rPr>
              <w:t>ibidem</w:t>
            </w:r>
            <w:r w:rsidRPr="007B6AE1">
              <w:rPr>
                <w:rFonts w:ascii="Verdana" w:eastAsia="Calibri" w:hAnsi="Verdana" w:cs="Arial"/>
                <w:color w:val="000000"/>
                <w:lang w:val="es-ES"/>
              </w:rPr>
              <w:t xml:space="preserve">, explica cómo el proponente se hace acreedor para el otorgamiento del puntaje por “Promoción de Servicios Nacionales o con Trato Nacional” y las reglas que las entidades deben tener en cuenta para definir el porcentaje de empleados o contratistas por prestación </w:t>
            </w:r>
            <w:r w:rsidRPr="007B6AE1">
              <w:rPr>
                <w:rFonts w:ascii="Verdana" w:eastAsia="Calibri" w:hAnsi="Verdana" w:cs="Arial"/>
                <w:color w:val="000000"/>
                <w:lang w:val="es-ES"/>
              </w:rPr>
              <w:lastRenderedPageBreak/>
              <w:t xml:space="preserve">de servicios colombianos. De igual forma, para la acreditación del puntaje por servicios nacionales o con trato nacional, el numeral 4.3.1.1 prevé que: </w:t>
            </w:r>
          </w:p>
          <w:p w14:paraId="1AEC302F" w14:textId="77777777" w:rsidR="007B6AE1" w:rsidRPr="007B6AE1" w:rsidRDefault="007B6AE1" w:rsidP="007B6AE1">
            <w:pPr>
              <w:tabs>
                <w:tab w:val="left" w:pos="709"/>
              </w:tabs>
              <w:spacing w:line="276" w:lineRule="auto"/>
              <w:ind w:left="709" w:right="709"/>
              <w:jc w:val="both"/>
              <w:rPr>
                <w:rFonts w:ascii="Verdana" w:eastAsia="Calibri" w:hAnsi="Verdana" w:cs="Arial"/>
                <w:bCs/>
                <w:color w:val="000000"/>
                <w:lang w:val="es-ES_tradnl"/>
              </w:rPr>
            </w:pPr>
          </w:p>
          <w:p w14:paraId="720142ED" w14:textId="77777777" w:rsidR="007B6AE1" w:rsidRPr="007B6AE1" w:rsidRDefault="007B6AE1" w:rsidP="007B6AE1">
            <w:pPr>
              <w:adjustRightInd w:val="0"/>
              <w:snapToGrid w:val="0"/>
              <w:ind w:left="709" w:right="709"/>
              <w:jc w:val="both"/>
              <w:rPr>
                <w:rFonts w:ascii="Verdana" w:eastAsia="Calibri" w:hAnsi="Verdana" w:cs="Arial"/>
                <w:iCs/>
                <w:color w:val="000000"/>
                <w:sz w:val="21"/>
                <w:szCs w:val="21"/>
              </w:rPr>
            </w:pPr>
            <w:r w:rsidRPr="007B6AE1">
              <w:rPr>
                <w:rFonts w:ascii="Verdana" w:eastAsia="Calibri" w:hAnsi="Verdana" w:cs="Arial"/>
                <w:iCs/>
                <w:color w:val="000000"/>
                <w:sz w:val="21"/>
                <w:szCs w:val="21"/>
              </w:rPr>
              <w:t xml:space="preserve">“Para que el Proponente nacional obtenga puntaje por Servicios Nacionales debe presentar, además del Formato 9 A – Promoción de Servicios Nacionales o con Trato Nacional, alguno de los siguientes documentos, según corresponda: </w:t>
            </w:r>
          </w:p>
          <w:p w14:paraId="357185B8" w14:textId="77777777" w:rsidR="007B6AE1" w:rsidRPr="007B6AE1" w:rsidRDefault="007B6AE1" w:rsidP="007B6AE1">
            <w:pPr>
              <w:adjustRightInd w:val="0"/>
              <w:snapToGrid w:val="0"/>
              <w:ind w:left="709" w:right="709"/>
              <w:jc w:val="both"/>
              <w:rPr>
                <w:rFonts w:ascii="Verdana" w:eastAsia="Calibri" w:hAnsi="Verdana" w:cs="Arial"/>
                <w:iCs/>
                <w:color w:val="000000"/>
                <w:sz w:val="21"/>
                <w:szCs w:val="21"/>
              </w:rPr>
            </w:pPr>
          </w:p>
          <w:p w14:paraId="5F23B4FD" w14:textId="77777777" w:rsidR="007B6AE1" w:rsidRPr="007B6AE1" w:rsidRDefault="007B6AE1" w:rsidP="007B6AE1">
            <w:pPr>
              <w:adjustRightInd w:val="0"/>
              <w:snapToGrid w:val="0"/>
              <w:ind w:left="709" w:right="709"/>
              <w:jc w:val="both"/>
              <w:rPr>
                <w:rFonts w:ascii="Verdana" w:eastAsia="Calibri" w:hAnsi="Verdana" w:cs="Arial"/>
                <w:iCs/>
                <w:color w:val="000000"/>
                <w:sz w:val="21"/>
                <w:szCs w:val="21"/>
              </w:rPr>
            </w:pPr>
            <w:r w:rsidRPr="007B6AE1">
              <w:rPr>
                <w:rFonts w:ascii="Verdana" w:eastAsia="Calibri" w:hAnsi="Verdana" w:cs="Arial"/>
                <w:iCs/>
                <w:color w:val="000000"/>
                <w:sz w:val="21"/>
                <w:szCs w:val="21"/>
              </w:rPr>
              <w:t>A.</w:t>
            </w:r>
            <w:r w:rsidRPr="007B6AE1">
              <w:rPr>
                <w:rFonts w:ascii="Verdana" w:eastAsia="Calibri" w:hAnsi="Verdana" w:cs="Arial"/>
                <w:iCs/>
                <w:color w:val="000000"/>
                <w:sz w:val="21"/>
                <w:szCs w:val="21"/>
              </w:rPr>
              <w:tab/>
              <w:t>Persona natural colombiana: La cédula de ciudadanía del Proponente.</w:t>
            </w:r>
          </w:p>
          <w:p w14:paraId="77E3433F" w14:textId="77777777" w:rsidR="007B6AE1" w:rsidRPr="007B6AE1" w:rsidRDefault="007B6AE1" w:rsidP="007B6AE1">
            <w:pPr>
              <w:adjustRightInd w:val="0"/>
              <w:snapToGrid w:val="0"/>
              <w:ind w:left="709" w:right="709"/>
              <w:jc w:val="both"/>
              <w:rPr>
                <w:rFonts w:ascii="Verdana" w:eastAsia="Calibri" w:hAnsi="Verdana" w:cs="Arial"/>
                <w:iCs/>
                <w:color w:val="000000"/>
                <w:sz w:val="21"/>
                <w:szCs w:val="21"/>
              </w:rPr>
            </w:pPr>
          </w:p>
          <w:p w14:paraId="6497B2F5" w14:textId="77777777" w:rsidR="007B6AE1" w:rsidRPr="007B6AE1" w:rsidRDefault="007B6AE1" w:rsidP="007B6AE1">
            <w:pPr>
              <w:adjustRightInd w:val="0"/>
              <w:snapToGrid w:val="0"/>
              <w:ind w:left="709" w:right="709"/>
              <w:jc w:val="both"/>
              <w:rPr>
                <w:rFonts w:ascii="Verdana" w:eastAsia="Calibri" w:hAnsi="Verdana" w:cs="Arial"/>
                <w:iCs/>
                <w:color w:val="000000"/>
                <w:sz w:val="21"/>
                <w:szCs w:val="21"/>
              </w:rPr>
            </w:pPr>
            <w:r w:rsidRPr="007B6AE1">
              <w:rPr>
                <w:rFonts w:ascii="Verdana" w:eastAsia="Calibri" w:hAnsi="Verdana" w:cs="Arial"/>
                <w:iCs/>
                <w:color w:val="000000"/>
                <w:sz w:val="21"/>
                <w:szCs w:val="21"/>
              </w:rPr>
              <w:t>B.</w:t>
            </w:r>
            <w:r w:rsidRPr="007B6AE1">
              <w:rPr>
                <w:rFonts w:ascii="Verdana" w:eastAsia="Calibri" w:hAnsi="Verdana" w:cs="Arial"/>
                <w:iCs/>
                <w:color w:val="000000"/>
                <w:sz w:val="21"/>
                <w:szCs w:val="21"/>
              </w:rPr>
              <w:tab/>
              <w:t xml:space="preserve">Persona natural extranjera residente en Colombia: La visa de residencia que le permita la ejecución del objeto contractual de conformidad con la ley. </w:t>
            </w:r>
          </w:p>
          <w:p w14:paraId="2AB95093" w14:textId="77777777" w:rsidR="007B6AE1" w:rsidRPr="007B6AE1" w:rsidRDefault="007B6AE1" w:rsidP="007B6AE1">
            <w:pPr>
              <w:adjustRightInd w:val="0"/>
              <w:snapToGrid w:val="0"/>
              <w:ind w:left="709" w:right="709"/>
              <w:jc w:val="both"/>
              <w:rPr>
                <w:rFonts w:ascii="Verdana" w:eastAsia="Calibri" w:hAnsi="Verdana" w:cs="Arial"/>
                <w:iCs/>
                <w:color w:val="000000"/>
                <w:sz w:val="21"/>
                <w:szCs w:val="21"/>
              </w:rPr>
            </w:pPr>
          </w:p>
          <w:p w14:paraId="2254DCA3" w14:textId="77777777" w:rsidR="007B6AE1" w:rsidRPr="007B6AE1" w:rsidRDefault="007B6AE1" w:rsidP="007B6AE1">
            <w:pPr>
              <w:adjustRightInd w:val="0"/>
              <w:snapToGrid w:val="0"/>
              <w:ind w:left="709" w:right="709"/>
              <w:jc w:val="both"/>
              <w:rPr>
                <w:rFonts w:ascii="Verdana" w:eastAsia="Calibri" w:hAnsi="Verdana" w:cs="Arial"/>
                <w:iCs/>
                <w:color w:val="000000"/>
                <w:sz w:val="21"/>
                <w:szCs w:val="21"/>
              </w:rPr>
            </w:pPr>
            <w:r w:rsidRPr="007B6AE1">
              <w:rPr>
                <w:rFonts w:ascii="Verdana" w:eastAsia="Calibri" w:hAnsi="Verdana" w:cs="Arial"/>
                <w:iCs/>
                <w:color w:val="000000"/>
                <w:sz w:val="21"/>
                <w:szCs w:val="21"/>
              </w:rPr>
              <w:t>C.</w:t>
            </w:r>
            <w:r w:rsidRPr="007B6AE1">
              <w:rPr>
                <w:rFonts w:ascii="Verdana" w:eastAsia="Calibri" w:hAnsi="Verdana" w:cs="Arial"/>
                <w:iCs/>
                <w:color w:val="000000"/>
                <w:sz w:val="21"/>
                <w:szCs w:val="21"/>
              </w:rPr>
              <w:tab/>
              <w:t>Persona jurídica constituida en Colombia: El certificado de existencia y representación legal emitido por alguna de las cámaras de comercio del país”.</w:t>
            </w:r>
          </w:p>
          <w:p w14:paraId="2CA12CC3" w14:textId="77777777" w:rsidR="007B6AE1" w:rsidRPr="007B6AE1" w:rsidRDefault="007B6AE1" w:rsidP="007B6AE1">
            <w:pPr>
              <w:tabs>
                <w:tab w:val="left" w:pos="709"/>
              </w:tabs>
              <w:spacing w:line="276" w:lineRule="auto"/>
              <w:jc w:val="both"/>
              <w:rPr>
                <w:rFonts w:ascii="Verdana" w:eastAsia="Calibri" w:hAnsi="Verdana" w:cs="Arial"/>
                <w:bCs/>
                <w:color w:val="000000"/>
                <w:lang w:val="es-ES_tradnl"/>
              </w:rPr>
            </w:pPr>
          </w:p>
          <w:p w14:paraId="3E3EFC9F" w14:textId="77777777" w:rsidR="007B6AE1" w:rsidRPr="007B6AE1" w:rsidRDefault="007B6AE1" w:rsidP="007B6AE1">
            <w:pPr>
              <w:spacing w:after="120" w:line="276" w:lineRule="auto"/>
              <w:jc w:val="both"/>
              <w:rPr>
                <w:rFonts w:ascii="Verdana" w:eastAsia="Calibri" w:hAnsi="Verdana" w:cs="Arial"/>
                <w:bCs/>
                <w:color w:val="000000"/>
                <w:lang w:val="es-ES_tradnl"/>
              </w:rPr>
            </w:pPr>
            <w:r w:rsidRPr="007B6AE1">
              <w:rPr>
                <w:rFonts w:ascii="Verdana" w:eastAsia="Calibri" w:hAnsi="Verdana" w:cs="Arial"/>
                <w:bCs/>
                <w:color w:val="000000"/>
                <w:lang w:val="es-ES_tradnl"/>
              </w:rPr>
              <w:tab/>
              <w:t>Así pues, para el otorgamiento del puntaje por apoyo a la industria nacional, un proponente nacional tendrá que presentar los documentos anteriormente enunciados, acompañados del “Formato 9A”, tal y como se indica en el Documento Base de los Documentos Tipo de licitación de obra pública de infraestructura social –versión 2–.</w:t>
            </w:r>
          </w:p>
          <w:p w14:paraId="116E3A0E" w14:textId="77777777" w:rsidR="007B6AE1" w:rsidRPr="007B6AE1" w:rsidRDefault="007B6AE1" w:rsidP="007B6AE1">
            <w:pPr>
              <w:spacing w:line="276" w:lineRule="auto"/>
              <w:ind w:firstLine="709"/>
              <w:jc w:val="both"/>
              <w:rPr>
                <w:rFonts w:ascii="Verdana" w:eastAsia="Calibri" w:hAnsi="Verdana" w:cs="Arial"/>
                <w:color w:val="000000"/>
              </w:rPr>
            </w:pPr>
            <w:r w:rsidRPr="007B6AE1">
              <w:rPr>
                <w:rFonts w:ascii="Verdana" w:eastAsia="Calibri" w:hAnsi="Verdana" w:cs="Arial"/>
                <w:color w:val="000000"/>
              </w:rPr>
              <w:t xml:space="preserve">Ahora bien, el numeral 1.6 del documento base de los pliegos tipo en comento contempla las reglas de </w:t>
            </w:r>
            <w:proofErr w:type="spellStart"/>
            <w:r w:rsidRPr="007B6AE1">
              <w:rPr>
                <w:rFonts w:ascii="Verdana" w:eastAsia="Calibri" w:hAnsi="Verdana" w:cs="Arial"/>
                <w:color w:val="000000"/>
              </w:rPr>
              <w:t>subsanabilidad</w:t>
            </w:r>
            <w:proofErr w:type="spellEnd"/>
            <w:r w:rsidRPr="007B6AE1">
              <w:rPr>
                <w:rFonts w:ascii="Verdana" w:eastAsia="Calibri" w:hAnsi="Verdana" w:cs="Arial"/>
                <w:color w:val="000000"/>
              </w:rPr>
              <w:t xml:space="preserve"> de las ofertas, en los siguientes términos:</w:t>
            </w:r>
          </w:p>
          <w:p w14:paraId="4CB5D9D7" w14:textId="77777777" w:rsidR="007B6AE1" w:rsidRPr="007B6AE1" w:rsidRDefault="007B6AE1" w:rsidP="007B6AE1">
            <w:pPr>
              <w:spacing w:line="276" w:lineRule="auto"/>
              <w:jc w:val="both"/>
              <w:rPr>
                <w:rFonts w:ascii="Verdana" w:eastAsia="Calibri" w:hAnsi="Verdana" w:cs="Arial"/>
                <w:color w:val="000000"/>
              </w:rPr>
            </w:pPr>
          </w:p>
          <w:p w14:paraId="7772F421" w14:textId="77777777" w:rsidR="007B6AE1" w:rsidRPr="007B6AE1" w:rsidRDefault="007B6AE1" w:rsidP="007B6AE1">
            <w:pPr>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w:t>
            </w:r>
          </w:p>
          <w:p w14:paraId="100C8CD4" w14:textId="77777777" w:rsidR="007B6AE1" w:rsidRPr="007B6AE1" w:rsidRDefault="007B6AE1" w:rsidP="007B6AE1">
            <w:pPr>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 xml:space="preserve">En caso de ser necesario, la Entidad debe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ni tampoco en los factores de desempate, los cuales podrán ser objeto de aclaraciones y explicaciones. Los Proponentes deberán allegar las aclaraciones o documentos requeridos en el momento en el que fueron solicitados durante la etapa de evaluación y a más tardar hasta el término de traslado del informe de evaluación, es decir, dentro de los cinco (5) </w:t>
            </w:r>
            <w:r w:rsidRPr="007B6AE1">
              <w:rPr>
                <w:rFonts w:ascii="Verdana" w:eastAsia="Calibri" w:hAnsi="Verdana" w:cs="Arial"/>
                <w:color w:val="000000"/>
                <w:sz w:val="21"/>
                <w:szCs w:val="21"/>
              </w:rPr>
              <w:lastRenderedPageBreak/>
              <w:t xml:space="preserve">días hábiles siguientes, contados a partir del día hábil siguiente a la publicación del informe de evaluación. </w:t>
            </w:r>
          </w:p>
          <w:p w14:paraId="4C8357CA" w14:textId="77777777" w:rsidR="007B6AE1" w:rsidRPr="007B6AE1" w:rsidRDefault="007B6AE1" w:rsidP="007B6AE1">
            <w:pPr>
              <w:ind w:left="709" w:right="709"/>
              <w:jc w:val="both"/>
              <w:rPr>
                <w:rFonts w:ascii="Verdana" w:eastAsia="Calibri" w:hAnsi="Verdana" w:cs="Arial"/>
                <w:color w:val="000000"/>
                <w:sz w:val="21"/>
                <w:szCs w:val="21"/>
              </w:rPr>
            </w:pPr>
          </w:p>
          <w:p w14:paraId="65CBB1C1" w14:textId="77777777" w:rsidR="007B6AE1" w:rsidRPr="007B6AE1" w:rsidRDefault="007B6AE1" w:rsidP="007B6AE1">
            <w:pPr>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En el evento en que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no los haya requerido, podrá hacerlo posteriormente, otorgándole  al Proponente un término igual al establecido para el traslado del informe de evaluación, con el fin de que los allegue. En caso de que sea necesario, la Entidad ajustará el Cronograma. Lo aquí descrito también aplicará cuando la observación a la oferta provenga de otro Proponente y se hubiere realizado en el traslado del informe de evaluación.</w:t>
            </w:r>
          </w:p>
          <w:p w14:paraId="526F1CFE" w14:textId="77777777" w:rsidR="007B6AE1" w:rsidRPr="007B6AE1" w:rsidRDefault="007B6AE1" w:rsidP="007B6AE1">
            <w:pPr>
              <w:ind w:left="709" w:right="709"/>
              <w:jc w:val="both"/>
              <w:rPr>
                <w:rFonts w:ascii="Verdana" w:eastAsia="Calibri" w:hAnsi="Verdana" w:cs="Arial"/>
                <w:color w:val="000000"/>
                <w:sz w:val="21"/>
                <w:szCs w:val="21"/>
              </w:rPr>
            </w:pPr>
          </w:p>
          <w:p w14:paraId="0BB81AFC" w14:textId="77777777" w:rsidR="007B6AE1" w:rsidRPr="007B6AE1" w:rsidRDefault="007B6AE1" w:rsidP="007B6AE1">
            <w:pPr>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En los procesos adelantados en el SECOP I, las subsanaciones, explicaciones y aclaraciones se presentarán por cualquier medio: en físico, entre las horas de atención al público; o por correo electrónico hasta las 11:59 p. m. del día establecido en el Cronograma. Los adelantados en el SECOP II se subsanarán por medio de mensajes, en la forma prevista en la plataforma.</w:t>
            </w:r>
          </w:p>
          <w:p w14:paraId="30EFFFCD" w14:textId="77777777" w:rsidR="007B6AE1" w:rsidRPr="007B6AE1" w:rsidRDefault="007B6AE1" w:rsidP="007B6AE1">
            <w:pPr>
              <w:ind w:left="709" w:right="709"/>
              <w:jc w:val="both"/>
              <w:rPr>
                <w:rFonts w:ascii="Verdana" w:eastAsia="Calibri" w:hAnsi="Verdana" w:cs="Arial"/>
                <w:color w:val="000000"/>
                <w:sz w:val="21"/>
                <w:szCs w:val="21"/>
              </w:rPr>
            </w:pPr>
          </w:p>
          <w:p w14:paraId="0235358A" w14:textId="77777777" w:rsidR="007B6AE1" w:rsidRPr="007B6AE1" w:rsidRDefault="007B6AE1" w:rsidP="007B6AE1">
            <w:pPr>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Todos aquellos requisitos de la oferta que afecten la asignación de puntaje, incluyendo los necesarios para acreditar requisitos de desempate, no son subsanables, por lo que los mismos deben ser aportados por los Proponentes desde la presentación de la oferta. No obstante, pueden ser aclarados o ser objeto de explicación.</w:t>
            </w:r>
          </w:p>
          <w:p w14:paraId="4E53AF59" w14:textId="77777777" w:rsidR="007B6AE1" w:rsidRPr="007B6AE1" w:rsidRDefault="007B6AE1" w:rsidP="007B6AE1">
            <w:pPr>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w:t>
            </w:r>
          </w:p>
          <w:p w14:paraId="7B7AB65B" w14:textId="77777777" w:rsidR="007B6AE1" w:rsidRPr="007B6AE1" w:rsidRDefault="007B6AE1" w:rsidP="007B6AE1">
            <w:pPr>
              <w:spacing w:line="276" w:lineRule="auto"/>
              <w:ind w:left="709" w:right="709"/>
              <w:jc w:val="both"/>
              <w:rPr>
                <w:rFonts w:ascii="Verdana" w:eastAsia="Calibri" w:hAnsi="Verdana" w:cs="Arial"/>
                <w:color w:val="000000"/>
              </w:rPr>
            </w:pPr>
          </w:p>
          <w:p w14:paraId="2DB2CDC6" w14:textId="77777777" w:rsidR="007B6AE1" w:rsidRPr="007B6AE1" w:rsidRDefault="007B6AE1" w:rsidP="007B6AE1">
            <w:pPr>
              <w:spacing w:line="276" w:lineRule="auto"/>
              <w:ind w:firstLine="709"/>
              <w:jc w:val="both"/>
              <w:rPr>
                <w:rFonts w:ascii="Verdana" w:eastAsia="Calibri" w:hAnsi="Verdana" w:cs="Arial"/>
                <w:color w:val="000000"/>
              </w:rPr>
            </w:pPr>
            <w:r w:rsidRPr="007B6AE1">
              <w:rPr>
                <w:rFonts w:ascii="Verdana" w:eastAsia="Calibri" w:hAnsi="Verdana" w:cs="Arial"/>
                <w:color w:val="000000"/>
              </w:rPr>
              <w:t xml:space="preserve">Por su parte, el numeral 2.5 del documento base de los documentos tipo en comento, dispone las reglas sobre el </w:t>
            </w:r>
            <w:r w:rsidRPr="007B6AE1">
              <w:rPr>
                <w:rFonts w:ascii="Verdana" w:eastAsia="Calibri" w:hAnsi="Verdana" w:cs="Arial"/>
                <w:i/>
                <w:iCs/>
                <w:color w:val="000000"/>
              </w:rPr>
              <w:t>informe de evaluación de aspectos distintos a la oferta económica,</w:t>
            </w:r>
            <w:r w:rsidRPr="007B6AE1">
              <w:rPr>
                <w:rFonts w:ascii="Verdana" w:eastAsia="Calibri" w:hAnsi="Verdana" w:cs="Arial"/>
                <w:color w:val="000000"/>
              </w:rPr>
              <w:t xml:space="preserve"> en los siguientes términos:</w:t>
            </w:r>
          </w:p>
          <w:p w14:paraId="3F8D0391" w14:textId="77777777" w:rsidR="007B6AE1" w:rsidRPr="007B6AE1" w:rsidRDefault="007B6AE1" w:rsidP="007B6AE1">
            <w:pPr>
              <w:spacing w:line="276" w:lineRule="auto"/>
              <w:ind w:firstLine="709"/>
              <w:jc w:val="both"/>
              <w:rPr>
                <w:rFonts w:ascii="Verdana" w:eastAsia="Calibri" w:hAnsi="Verdana" w:cs="Arial"/>
                <w:color w:val="000000"/>
              </w:rPr>
            </w:pPr>
          </w:p>
          <w:p w14:paraId="1FCE94F7" w14:textId="77777777" w:rsidR="007B6AE1" w:rsidRPr="007B6AE1" w:rsidRDefault="007B6AE1" w:rsidP="007B6AE1">
            <w:pPr>
              <w:ind w:left="709" w:right="709"/>
              <w:jc w:val="both"/>
              <w:rPr>
                <w:rFonts w:ascii="Verdana" w:eastAsia="Aptos" w:hAnsi="Verdana" w:cs="Times New Roman"/>
                <w:sz w:val="21"/>
                <w:szCs w:val="21"/>
                <w:lang w:val="es-MX"/>
              </w:rPr>
            </w:pPr>
            <w:r w:rsidRPr="007B6AE1">
              <w:rPr>
                <w:rFonts w:ascii="Verdana" w:eastAsia="Aptos" w:hAnsi="Verdana" w:cs="Times New Roman"/>
                <w:sz w:val="21"/>
                <w:szCs w:val="21"/>
                <w:lang w:val="es-MX"/>
              </w:rPr>
              <w:t xml:space="preserve">“En la fecha establecida en el Anexo 2 - Cronograma, la Entidad publicará el informe de evaluación de los documentos e información de los requisitos habilitantes y los documentos a los que se les asigne puntaje, diferentes a la oferta económica, contenidos en el Sobre 1. El informe permanecerá publicado en el SECOP y a disposición de los interesados durante cinco (5) días hábiles, término hasta el cual los Proponentes podrán hacer las observaciones que consideren y entregar los documentos y la información solicitada por la Entidad en los términos señalados en la sección 1.6, salvo que ya lo hubieren </w:t>
            </w:r>
            <w:r w:rsidRPr="007B6AE1">
              <w:rPr>
                <w:rFonts w:ascii="Verdana" w:eastAsia="Aptos" w:hAnsi="Verdana" w:cs="Times New Roman"/>
                <w:sz w:val="21"/>
                <w:szCs w:val="21"/>
                <w:lang w:val="es-MX"/>
              </w:rPr>
              <w:lastRenderedPageBreak/>
              <w:t>hecho en un momento anterior, de conformidad con el mismo numeral citado.</w:t>
            </w:r>
          </w:p>
          <w:p w14:paraId="53357F8D" w14:textId="77777777" w:rsidR="007B6AE1" w:rsidRPr="007B6AE1" w:rsidRDefault="007B6AE1" w:rsidP="007B6AE1">
            <w:pPr>
              <w:ind w:left="709" w:right="709"/>
              <w:jc w:val="both"/>
              <w:rPr>
                <w:rFonts w:ascii="Verdana" w:eastAsia="Aptos" w:hAnsi="Verdana" w:cs="Times New Roman"/>
                <w:sz w:val="21"/>
                <w:szCs w:val="21"/>
                <w:lang w:val="es-MX"/>
              </w:rPr>
            </w:pPr>
            <w:r w:rsidRPr="007B6AE1">
              <w:rPr>
                <w:rFonts w:ascii="Verdana" w:eastAsia="Aptos" w:hAnsi="Verdana" w:cs="Times New Roman"/>
                <w:sz w:val="21"/>
                <w:szCs w:val="21"/>
                <w:lang w:val="es-MX"/>
              </w:rPr>
              <w:t>[…]</w:t>
            </w:r>
          </w:p>
          <w:p w14:paraId="466B2A6D" w14:textId="77777777" w:rsidR="007B6AE1" w:rsidRPr="007B6AE1" w:rsidRDefault="007B6AE1" w:rsidP="007B6AE1">
            <w:pPr>
              <w:ind w:left="709" w:right="709"/>
              <w:jc w:val="both"/>
              <w:rPr>
                <w:rFonts w:ascii="Verdana" w:eastAsia="Aptos" w:hAnsi="Verdana" w:cs="Times New Roman"/>
                <w:sz w:val="21"/>
                <w:szCs w:val="21"/>
                <w:lang w:val="es-MX"/>
              </w:rPr>
            </w:pPr>
            <w:r w:rsidRPr="007B6AE1">
              <w:rPr>
                <w:rFonts w:ascii="Verdana" w:eastAsia="Aptos" w:hAnsi="Verdana" w:cs="Times New Roman"/>
                <w:sz w:val="21"/>
                <w:szCs w:val="21"/>
                <w:lang w:val="es-MX"/>
              </w:rPr>
              <w:t>Con posterioridad al vencimiento del plazo para presentar observaciones y a más tardar el día antes de la audiencia efectiva de adjudicación, hasta las 11:59 p.m. de acuerdo con lo señalado en el Anexo 2 – Cronograma, la Entidad debe publicar el informe final de evaluación, en caso de que el inicial haya sufrido variaciones”.</w:t>
            </w:r>
          </w:p>
          <w:p w14:paraId="18476826" w14:textId="77777777" w:rsidR="007B6AE1" w:rsidRPr="007B6AE1" w:rsidRDefault="007B6AE1" w:rsidP="007B6AE1">
            <w:pPr>
              <w:spacing w:line="276" w:lineRule="auto"/>
              <w:jc w:val="both"/>
              <w:rPr>
                <w:rFonts w:ascii="Verdana" w:eastAsia="Calibri" w:hAnsi="Verdana" w:cs="Arial"/>
                <w:color w:val="000000"/>
              </w:rPr>
            </w:pPr>
          </w:p>
          <w:p w14:paraId="06733766" w14:textId="77777777" w:rsidR="007B6AE1" w:rsidRPr="007B6AE1" w:rsidRDefault="007B6AE1" w:rsidP="007B6AE1">
            <w:pPr>
              <w:spacing w:after="120" w:line="276" w:lineRule="auto"/>
              <w:ind w:firstLine="709"/>
              <w:jc w:val="both"/>
              <w:rPr>
                <w:rFonts w:ascii="Verdana" w:eastAsia="Calibri" w:hAnsi="Verdana" w:cs="Arial"/>
                <w:color w:val="000000"/>
              </w:rPr>
            </w:pPr>
            <w:r w:rsidRPr="007B6AE1">
              <w:rPr>
                <w:rFonts w:ascii="Verdana" w:eastAsia="Calibri" w:hAnsi="Verdana" w:cs="Arial"/>
                <w:color w:val="000000"/>
              </w:rPr>
              <w:t>De acuerdo con lo anterior, se tiene que las entidades contratantes deben publicar en SECOP, durante cinco (5) días hábiles, el informe de evaluación relacionado con los requisitos habilitantes y documentos a los que se les asigne puntaje, diferentes a la oferta económica. Durante este término, los proponentes podrán realizar las observaciones que consideren, así como entregar los documentos e información requerida conforme al numeral 1.6 “REGLAS DE SUBSANABILIDAD, EXPLICACIONES Y ACLARACIONES” del documento base, sin perjuicio de que ya lo hubieren hecho en un momento anterior.</w:t>
            </w:r>
          </w:p>
          <w:p w14:paraId="0D21035F" w14:textId="77777777" w:rsidR="007B6AE1" w:rsidRPr="007B6AE1" w:rsidRDefault="007B6AE1" w:rsidP="007B6AE1">
            <w:pPr>
              <w:spacing w:after="120" w:line="276" w:lineRule="auto"/>
              <w:ind w:firstLine="709"/>
              <w:jc w:val="both"/>
              <w:rPr>
                <w:rFonts w:ascii="Verdana" w:eastAsia="Calibri" w:hAnsi="Verdana" w:cs="Arial"/>
                <w:color w:val="000000"/>
              </w:rPr>
            </w:pPr>
            <w:r w:rsidRPr="007B6AE1">
              <w:rPr>
                <w:rFonts w:ascii="Verdana" w:eastAsia="Calibri" w:hAnsi="Verdana" w:cs="Arial"/>
                <w:color w:val="000000"/>
              </w:rPr>
              <w:t xml:space="preserve">A su turno, con posterioridad al vencimiento del plazo para presentar observaciones y a más tardar el día antes de la audiencia efectiva de adjudicación, la entidad debe publicar el informe final de evaluación, en caso de que haya sufrido alteraciones. </w:t>
            </w:r>
          </w:p>
          <w:p w14:paraId="468B19A5" w14:textId="77777777" w:rsidR="007B6AE1" w:rsidRPr="007B6AE1" w:rsidRDefault="007B6AE1" w:rsidP="007B6AE1">
            <w:pPr>
              <w:spacing w:after="120" w:line="276" w:lineRule="auto"/>
              <w:ind w:firstLine="709"/>
              <w:jc w:val="both"/>
              <w:rPr>
                <w:rFonts w:ascii="Verdana" w:eastAsia="Calibri" w:hAnsi="Verdana" w:cs="Arial"/>
                <w:i/>
                <w:iCs/>
                <w:color w:val="000000"/>
              </w:rPr>
            </w:pPr>
            <w:r w:rsidRPr="007B6AE1">
              <w:rPr>
                <w:rFonts w:ascii="Verdana" w:eastAsia="Calibri" w:hAnsi="Verdana" w:cs="Arial"/>
                <w:color w:val="000000"/>
              </w:rPr>
              <w:t xml:space="preserve">Al margen de lo expuesto, es importante precisar que corresponde a los proponentes subsanar los requisitos habilitantes en los términos y oportunidades previstas por las entidades estatales, aportando, en caso de que sea necesario, los documentos faltantes, en las condiciones señaladas en este concepto. Por lo demás, teniendo en cuenta que los requisitos habilitantes son objeto de verificación por parte de la entidad contratante, conforme al documento base, en caso de que la propuesta cumpla con todos los aspectos, será evaluada como </w:t>
            </w:r>
            <w:r w:rsidRPr="007B6AE1">
              <w:rPr>
                <w:rFonts w:ascii="Verdana" w:eastAsia="Calibri" w:hAnsi="Verdana" w:cs="Arial"/>
                <w:i/>
                <w:iCs/>
                <w:color w:val="000000"/>
              </w:rPr>
              <w:t>“cumple”,</w:t>
            </w:r>
            <w:r w:rsidRPr="007B6AE1">
              <w:rPr>
                <w:rFonts w:ascii="Verdana" w:eastAsia="Calibri" w:hAnsi="Verdana" w:cs="Arial"/>
                <w:color w:val="000000"/>
              </w:rPr>
              <w:t xml:space="preserve"> y en caso contrario, la evaluación será </w:t>
            </w:r>
            <w:r w:rsidRPr="007B6AE1">
              <w:rPr>
                <w:rFonts w:ascii="Verdana" w:eastAsia="Calibri" w:hAnsi="Verdana" w:cs="Arial"/>
                <w:i/>
                <w:iCs/>
                <w:color w:val="000000"/>
              </w:rPr>
              <w:t>“no cumple”.</w:t>
            </w:r>
          </w:p>
          <w:p w14:paraId="6163A961" w14:textId="77777777" w:rsidR="007B6AE1" w:rsidRPr="007B6AE1" w:rsidRDefault="007B6AE1" w:rsidP="007B6AE1">
            <w:pPr>
              <w:spacing w:after="120" w:line="276" w:lineRule="auto"/>
              <w:ind w:firstLine="709"/>
              <w:jc w:val="both"/>
              <w:rPr>
                <w:rFonts w:ascii="Verdana" w:eastAsia="Calibri" w:hAnsi="Verdana" w:cs="Arial"/>
                <w:color w:val="000000"/>
              </w:rPr>
            </w:pPr>
            <w:r w:rsidRPr="008649BB">
              <w:rPr>
                <w:rFonts w:ascii="Verdana" w:eastAsia="Calibri" w:hAnsi="Verdana" w:cs="Arial"/>
                <w:color w:val="000000"/>
              </w:rPr>
              <w:t xml:space="preserve">Sin embargo, la subsanación de la oferta es un análisis que debe realizarse en cada caso concreto, de forma tal que </w:t>
            </w:r>
            <w:proofErr w:type="spellStart"/>
            <w:r w:rsidRPr="008649BB">
              <w:rPr>
                <w:rFonts w:ascii="Verdana" w:eastAsia="Calibri" w:hAnsi="Verdana" w:cs="Arial"/>
                <w:color w:val="000000"/>
              </w:rPr>
              <w:t>si</w:t>
            </w:r>
            <w:proofErr w:type="spellEnd"/>
            <w:r w:rsidRPr="008649BB">
              <w:rPr>
                <w:rFonts w:ascii="Verdana" w:eastAsia="Calibri" w:hAnsi="Verdana" w:cs="Arial"/>
                <w:color w:val="000000"/>
              </w:rPr>
              <w:t xml:space="preserve">, eventualmente, el documento faltante corresponde a uno que se encuentra dentro de la misma oferta o expediente contractual, podría ser válido que la entidad lo tenga en cuenta aun cuando haya sido aportado en el marco de la acreditación de otra </w:t>
            </w:r>
            <w:r w:rsidRPr="008649BB">
              <w:rPr>
                <w:rFonts w:ascii="Verdana" w:eastAsia="Calibri" w:hAnsi="Verdana" w:cs="Arial"/>
                <w:color w:val="000000"/>
              </w:rPr>
              <w:lastRenderedPageBreak/>
              <w:t>condición o aspecto requerido para participar en el proceso de selección. Es decir, si por ejemplo un proponente ya había aportado el certificado de existencia y representación legal, pero no lo aportó nuevamente para efectos de hacerse acreedor del puntaje por industria nacional, en criterio de esta Agencia, nada impide que se tenga en cuenta el documento ya aportado, siempre y cuando haga parte integral de la oferta presentada, se aporte dentro de las oportunidades previstas, y no mejore o modifique la oferta en aspectos que otorgan puntaje.  En todo caso, este es un análisis de que debe realizarse caso a caso, de acuerdo con las particularidades del proceso de selección y del documento faltante, pues tampoco puede la Entidad, de forma autónoma, acreditar condiciones que el proponente no pretendía demostrar, transgrediendo su autonomía de la voluntad.</w:t>
            </w:r>
          </w:p>
          <w:p w14:paraId="4765D14B" w14:textId="77777777" w:rsidR="007B6AE1" w:rsidRPr="007B6AE1" w:rsidRDefault="007B6AE1" w:rsidP="007B6AE1">
            <w:pPr>
              <w:spacing w:line="276" w:lineRule="auto"/>
              <w:ind w:firstLine="709"/>
              <w:jc w:val="both"/>
              <w:rPr>
                <w:rFonts w:ascii="Verdana" w:eastAsia="Calibri" w:hAnsi="Verdana" w:cs="Arial"/>
                <w:color w:val="000000"/>
              </w:rPr>
            </w:pPr>
            <w:r w:rsidRPr="007B6AE1">
              <w:rPr>
                <w:rFonts w:ascii="Verdana" w:eastAsia="Calibri" w:hAnsi="Verdana" w:cs="Arial"/>
                <w:color w:val="000000"/>
              </w:rPr>
              <w:t xml:space="preserve">No obstante, conforme a las reglas de </w:t>
            </w:r>
            <w:proofErr w:type="spellStart"/>
            <w:r w:rsidRPr="007B6AE1">
              <w:rPr>
                <w:rFonts w:ascii="Verdana" w:eastAsia="Calibri" w:hAnsi="Verdana" w:cs="Arial"/>
                <w:color w:val="000000"/>
              </w:rPr>
              <w:t>subsanabilidad</w:t>
            </w:r>
            <w:proofErr w:type="spellEnd"/>
            <w:r w:rsidRPr="007B6AE1">
              <w:rPr>
                <w:rFonts w:ascii="Verdana" w:eastAsia="Calibri" w:hAnsi="Verdana" w:cs="Arial"/>
                <w:color w:val="000000"/>
              </w:rPr>
              <w:t xml:space="preserve"> de las ofertas contempladas en las normas y en los documentos tipo, corresponde a los proponentes presentar sus ofertas de forma completa e íntegra, adjuntando todos los documentos soporte o prueba de las condiciones que pretendan hacer valer, por lo que, en principio, el deber de subsanar y presentar documentos faltantes recae en los oferentes y no en las entidades contratantes.</w:t>
            </w:r>
          </w:p>
        </w:tc>
      </w:tr>
    </w:tbl>
    <w:p w14:paraId="30364921" w14:textId="77777777" w:rsidR="007B6AE1" w:rsidRPr="007B6AE1" w:rsidRDefault="007B6AE1" w:rsidP="007B6AE1">
      <w:pPr>
        <w:tabs>
          <w:tab w:val="left" w:pos="142"/>
          <w:tab w:val="left" w:pos="284"/>
        </w:tabs>
        <w:snapToGrid w:val="0"/>
        <w:spacing w:after="0" w:line="276" w:lineRule="auto"/>
        <w:jc w:val="both"/>
        <w:rPr>
          <w:rFonts w:ascii="Verdana" w:eastAsia="Century Gothic" w:hAnsi="Verdana" w:cs="Century Gothic"/>
          <w:b/>
          <w:bCs/>
          <w:lang w:val="es-ES_tradnl"/>
        </w:rPr>
      </w:pPr>
    </w:p>
    <w:p w14:paraId="2DA04CEF" w14:textId="77777777" w:rsidR="007B6AE1" w:rsidRPr="007B6AE1" w:rsidRDefault="007B6AE1" w:rsidP="007B6A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7B6AE1">
        <w:rPr>
          <w:rFonts w:ascii="Verdana" w:eastAsia="Century Gothic" w:hAnsi="Verdana" w:cs="Century Gothic"/>
          <w:b/>
          <w:bCs/>
          <w:lang w:val="es-ES_tradnl"/>
        </w:rPr>
        <w:t>Razones de la respuesta:</w:t>
      </w:r>
    </w:p>
    <w:p w14:paraId="79B42D69" w14:textId="77777777" w:rsidR="007B6AE1" w:rsidRPr="007B6AE1" w:rsidRDefault="007B6AE1" w:rsidP="007B6AE1">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103F0504" w14:textId="77777777" w:rsidR="007B6AE1" w:rsidRPr="007B6AE1" w:rsidRDefault="007B6AE1" w:rsidP="007B6AE1">
      <w:pPr>
        <w:snapToGrid w:val="0"/>
        <w:spacing w:after="0" w:line="276" w:lineRule="auto"/>
        <w:jc w:val="both"/>
        <w:rPr>
          <w:rFonts w:ascii="Verdana" w:eastAsia="Calibri" w:hAnsi="Verdana" w:cs="Arial"/>
          <w:lang w:val="es-ES_tradnl"/>
        </w:rPr>
      </w:pPr>
      <w:r w:rsidRPr="007B6AE1">
        <w:rPr>
          <w:rFonts w:ascii="Verdana" w:eastAsia="Calibri" w:hAnsi="Verdana" w:cs="Arial"/>
          <w:lang w:val="es-ES_tradnl"/>
        </w:rPr>
        <w:t xml:space="preserve">Lo anterior se sustenta en las siguientes consideraciones: </w:t>
      </w:r>
    </w:p>
    <w:p w14:paraId="5CB02545" w14:textId="77777777" w:rsidR="007B6AE1" w:rsidRPr="007B6AE1" w:rsidRDefault="007B6AE1" w:rsidP="007B6AE1">
      <w:pPr>
        <w:snapToGrid w:val="0"/>
        <w:spacing w:after="0" w:line="276" w:lineRule="auto"/>
        <w:jc w:val="both"/>
        <w:rPr>
          <w:rFonts w:ascii="Verdana" w:eastAsia="Calibri" w:hAnsi="Verdana" w:cs="Arial"/>
          <w:lang w:val="es-ES_tradnl"/>
        </w:rPr>
      </w:pPr>
    </w:p>
    <w:p w14:paraId="6C92B875" w14:textId="77777777" w:rsidR="007B6AE1" w:rsidRPr="007B6AE1" w:rsidRDefault="007B6AE1" w:rsidP="007B6AE1">
      <w:pPr>
        <w:snapToGrid w:val="0"/>
        <w:spacing w:after="0" w:line="276" w:lineRule="auto"/>
        <w:jc w:val="both"/>
        <w:rPr>
          <w:rFonts w:ascii="Verdana" w:eastAsia="Arial" w:hAnsi="Verdana" w:cs="Arial"/>
          <w:color w:val="000000"/>
          <w:kern w:val="2"/>
          <w:lang w:val="es-ES"/>
          <w14:ligatures w14:val="standardContextual"/>
        </w:rPr>
      </w:pPr>
      <w:r w:rsidRPr="007B6AE1">
        <w:rPr>
          <w:rFonts w:ascii="Verdana" w:eastAsia="Arial" w:hAnsi="Verdana" w:cs="Arial"/>
          <w:color w:val="000000"/>
          <w:kern w:val="2"/>
          <w:lang w:val="es-ES"/>
          <w14:ligatures w14:val="standardContextual"/>
        </w:rPr>
        <w:t xml:space="preserve">i. La </w:t>
      </w:r>
      <w:proofErr w:type="gramStart"/>
      <w:r w:rsidRPr="007B6AE1">
        <w:rPr>
          <w:rFonts w:ascii="Verdana" w:eastAsia="Arial" w:hAnsi="Verdana" w:cs="Arial"/>
          <w:color w:val="000000"/>
          <w:kern w:val="2"/>
          <w:lang w:val="es-ES"/>
          <w14:ligatures w14:val="standardContextual"/>
        </w:rPr>
        <w:t>entrada en vigencia</w:t>
      </w:r>
      <w:proofErr w:type="gramEnd"/>
      <w:r w:rsidRPr="007B6AE1">
        <w:rPr>
          <w:rFonts w:ascii="Verdana" w:eastAsia="Arial" w:hAnsi="Verdana" w:cs="Arial"/>
          <w:color w:val="000000"/>
          <w:kern w:val="2"/>
          <w:lang w:val="es-ES"/>
          <w14:ligatures w14:val="standardContextual"/>
        </w:rPr>
        <w:t xml:space="preserve"> del Decreto 680 de 2021, al modificar la noción de </w:t>
      </w:r>
      <w:r w:rsidRPr="007B6AE1">
        <w:rPr>
          <w:rFonts w:ascii="Verdana" w:eastAsia="Arial" w:hAnsi="Verdana" w:cs="Arial"/>
          <w:i/>
          <w:iCs/>
          <w:color w:val="000000"/>
          <w:kern w:val="2"/>
          <w:lang w:val="es-ES"/>
          <w14:ligatures w14:val="standardContextual"/>
        </w:rPr>
        <w:t xml:space="preserve">Servicios Nacionales </w:t>
      </w:r>
      <w:r w:rsidRPr="007B6AE1">
        <w:rPr>
          <w:rFonts w:ascii="Verdana" w:eastAsia="Arial" w:hAnsi="Verdana" w:cs="Arial"/>
          <w:color w:val="000000"/>
          <w:kern w:val="2"/>
          <w:lang w:val="es-ES"/>
          <w14:ligatures w14:val="standardContextual"/>
        </w:rPr>
        <w:t xml:space="preserve">contenida en el Decreto 1082 de 2015, generó la necesidad de adecuar los Documentos Tipo expedidos por la Agencia Nacional de Contratación Pública – Colombia Compra Eficiente, en ejercicio de las potestades conferidas por la Ley 2022 de 2020. Esto como quiera que, en los documentos vigentes antes de la expedición de dicho Decreto, el puntaje por apoyo a la industria nacional y la verificación de la procedencia del trato nacional se encontraban desarrolladas conforme con la antigua concepción de servicio nacional, por lo que para acceder al máximo puntaje bastaba con acreditar ser una persona natural colombiana o una persona jurídica de acuerdo con la ley colombiana. Debido a esto, el parágrafo 2 del artículo 3 del referido Decreto, </w:t>
      </w:r>
      <w:r w:rsidRPr="007B6AE1">
        <w:rPr>
          <w:rFonts w:ascii="Verdana" w:eastAsia="Arial" w:hAnsi="Verdana" w:cs="Arial"/>
          <w:color w:val="000000"/>
          <w:kern w:val="2"/>
          <w:lang w:val="es-ES"/>
          <w14:ligatures w14:val="standardContextual"/>
        </w:rPr>
        <w:lastRenderedPageBreak/>
        <w:t>contempló un plazo de tres (3) meses para que esta Agencia realizara la adecuación de los Documentos Tipo.</w:t>
      </w:r>
    </w:p>
    <w:p w14:paraId="53BB4C06" w14:textId="77777777" w:rsidR="007B6AE1" w:rsidRPr="007B6AE1" w:rsidRDefault="007B6AE1" w:rsidP="007B6AE1">
      <w:pPr>
        <w:spacing w:before="120" w:after="120" w:line="276" w:lineRule="auto"/>
        <w:jc w:val="both"/>
        <w:rPr>
          <w:rFonts w:ascii="Verdana" w:eastAsia="Arial" w:hAnsi="Verdana" w:cs="Arial"/>
          <w:color w:val="000000"/>
          <w:kern w:val="2"/>
          <w:lang w:val="es-ES_tradnl"/>
          <w14:ligatures w14:val="standardContextual"/>
        </w:rPr>
      </w:pPr>
      <w:r w:rsidRPr="007B6AE1">
        <w:rPr>
          <w:rFonts w:ascii="Verdana" w:eastAsia="Arial" w:hAnsi="Verdana" w:cs="Arial"/>
          <w:color w:val="000000"/>
          <w:kern w:val="2"/>
          <w:lang w:val="es-ES_tradnl"/>
          <w14:ligatures w14:val="standardContextual"/>
        </w:rPr>
        <w:tab/>
        <w:t>En atención a este mandato, la Agencia Nacional de Contratación Pública, en desarrollo del procedimiento de actualización regulado por la Resolución 160 de 2020, expidió la Resolución 304 de 2021 “</w:t>
      </w:r>
      <w:r w:rsidRPr="007B6AE1">
        <w:rPr>
          <w:rFonts w:ascii="Verdana" w:eastAsia="Arial" w:hAnsi="Verdana" w:cs="Arial"/>
          <w:i/>
          <w:iCs/>
          <w:color w:val="000000"/>
          <w:kern w:val="2"/>
          <w:lang w:val="es-ES_tradnl"/>
          <w14:ligatures w14:val="standardContextual"/>
        </w:rPr>
        <w:t>Por la cual se modifican los Documentos Tipo adoptados por la Agencia Nacional de Contratación Pública – Colombia Compra Eficiente”</w:t>
      </w:r>
      <w:r w:rsidRPr="007B6AE1">
        <w:rPr>
          <w:rFonts w:ascii="Verdana" w:eastAsia="Arial" w:hAnsi="Verdana" w:cs="Arial"/>
          <w:color w:val="000000"/>
          <w:kern w:val="2"/>
          <w:lang w:val="es-ES_tradnl"/>
          <w14:ligatures w14:val="standardContextual"/>
        </w:rPr>
        <w:t>. Asimismo, los nuevos documentos tipo que se han expedido contemplan, en lo pertinente y aplicable, los cambios implementados con la modificación.</w:t>
      </w:r>
    </w:p>
    <w:p w14:paraId="53607532" w14:textId="77777777" w:rsidR="007B6AE1" w:rsidRPr="007B6AE1" w:rsidRDefault="007B6AE1" w:rsidP="007B6AE1">
      <w:pPr>
        <w:snapToGrid w:val="0"/>
        <w:spacing w:after="120" w:line="276" w:lineRule="auto"/>
        <w:ind w:firstLine="709"/>
        <w:jc w:val="both"/>
        <w:rPr>
          <w:rFonts w:ascii="Verdana" w:eastAsia="Calibri" w:hAnsi="Verdana" w:cs="Times New Roman"/>
          <w:lang w:val="es-ES" w:eastAsia="es-MX"/>
        </w:rPr>
      </w:pPr>
      <w:r w:rsidRPr="007B6AE1">
        <w:rPr>
          <w:rFonts w:ascii="Verdana" w:eastAsia="Calibri" w:hAnsi="Verdana" w:cs="Times New Roman"/>
          <w:lang w:val="es-ES" w:eastAsia="es-MX"/>
        </w:rPr>
        <w:t>Recientemente, los documentos tipo del sector de infraestructura social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367CD209" w14:textId="77777777" w:rsidR="007B6AE1" w:rsidRPr="007B6AE1" w:rsidRDefault="007B6AE1" w:rsidP="007B6AE1">
      <w:pPr>
        <w:spacing w:after="0" w:line="276" w:lineRule="auto"/>
        <w:ind w:firstLine="708"/>
        <w:jc w:val="both"/>
        <w:rPr>
          <w:rFonts w:ascii="Verdana" w:eastAsia="Arial" w:hAnsi="Verdana" w:cs="Arial"/>
          <w:color w:val="000000"/>
          <w:kern w:val="2"/>
          <w:lang w:val="es-ES_tradnl"/>
          <w14:ligatures w14:val="standardContextual"/>
        </w:rPr>
      </w:pPr>
      <w:r w:rsidRPr="007B6AE1">
        <w:rPr>
          <w:rFonts w:ascii="Verdana" w:eastAsia="Arial" w:hAnsi="Verdana" w:cs="Arial"/>
          <w:color w:val="000000"/>
          <w:kern w:val="2"/>
          <w:lang w:val="es-ES_tradnl"/>
          <w14:ligatures w14:val="standardContextual"/>
        </w:rPr>
        <w:t>Teniendo en cuenta su solicitud, conviene precisar que el numeral 4.3 “APOYO A LA INDUSTRIA NACIONAL” del Documento Base de los referidos documentos tipo, establece dos (2) alternativas para la obtención del puntaje de apoyo a la industria nacional, así:</w:t>
      </w:r>
    </w:p>
    <w:p w14:paraId="6D92790F" w14:textId="77777777" w:rsidR="007B6AE1" w:rsidRPr="007B6AE1" w:rsidRDefault="007B6AE1" w:rsidP="007B6AE1">
      <w:pPr>
        <w:adjustRightInd w:val="0"/>
        <w:spacing w:after="0" w:line="240" w:lineRule="auto"/>
        <w:ind w:left="709" w:right="709" w:firstLine="708"/>
        <w:jc w:val="both"/>
        <w:rPr>
          <w:rFonts w:ascii="Verdana" w:eastAsia="Arial" w:hAnsi="Verdana" w:cs="Arial"/>
          <w:color w:val="000000"/>
          <w:kern w:val="2"/>
          <w:lang w:val="es-ES_tradnl"/>
          <w14:ligatures w14:val="standardContextual"/>
        </w:rPr>
      </w:pPr>
    </w:p>
    <w:p w14:paraId="273B33D4" w14:textId="77777777" w:rsidR="007B6AE1" w:rsidRPr="007B6AE1" w:rsidRDefault="007B6AE1" w:rsidP="007B6AE1">
      <w:pPr>
        <w:adjustRightInd w:val="0"/>
        <w:spacing w:line="240" w:lineRule="auto"/>
        <w:ind w:left="709" w:right="709"/>
        <w:jc w:val="both"/>
        <w:rPr>
          <w:rFonts w:ascii="Verdana" w:eastAsia="Calibri" w:hAnsi="Verdana" w:cs="Arial"/>
          <w:color w:val="000000"/>
          <w:sz w:val="21"/>
          <w:szCs w:val="21"/>
          <w:lang w:val="es-MX"/>
        </w:rPr>
      </w:pPr>
      <w:r w:rsidRPr="007B6AE1">
        <w:rPr>
          <w:rFonts w:ascii="Verdana" w:eastAsia="Calibri" w:hAnsi="Verdana" w:cs="Arial"/>
          <w:color w:val="000000"/>
          <w:sz w:val="21"/>
          <w:szCs w:val="21"/>
          <w:lang w:val="es-MX"/>
        </w:rPr>
        <w:t>Los Proponentes pueden obtener puntaje de apoyo a la industria nacional por: i) Servicios Nacionales o con Trato Nacional o por ii) la incorporación de componente nacional en servicios extranjeros. La Entidad en ningún caso otorgará simultáneamente el puntaje por ambos aspectos.</w:t>
      </w:r>
    </w:p>
    <w:p w14:paraId="25401DC4" w14:textId="77777777" w:rsidR="007B6AE1" w:rsidRPr="007B6AE1" w:rsidRDefault="007B6AE1" w:rsidP="007B6AE1">
      <w:pPr>
        <w:adjustRightInd w:val="0"/>
        <w:spacing w:line="240" w:lineRule="auto"/>
        <w:ind w:left="709" w:right="709"/>
        <w:jc w:val="both"/>
        <w:rPr>
          <w:rFonts w:ascii="Verdana" w:eastAsia="Calibri" w:hAnsi="Verdana" w:cs="Arial"/>
          <w:color w:val="000000"/>
          <w:sz w:val="21"/>
          <w:szCs w:val="21"/>
          <w:lang w:val="es-MX"/>
        </w:rPr>
      </w:pPr>
      <w:r w:rsidRPr="007B6AE1">
        <w:rPr>
          <w:rFonts w:ascii="Verdana" w:eastAsia="Calibri" w:hAnsi="Verdana" w:cs="Arial"/>
          <w:color w:val="000000"/>
          <w:sz w:val="21"/>
          <w:szCs w:val="21"/>
          <w:lang w:val="es-MX"/>
        </w:rPr>
        <w:t>Los puntajes para estimular a la industria nacional se relacionan en la siguiente tabla:</w:t>
      </w: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7B6AE1" w:rsidRPr="007B6AE1" w14:paraId="41503AFB" w14:textId="77777777" w:rsidTr="00F7410E">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27C2A233" w14:textId="77777777" w:rsidR="007B6AE1" w:rsidRPr="007B6AE1" w:rsidRDefault="007B6AE1" w:rsidP="007B6AE1">
            <w:pPr>
              <w:spacing w:after="0" w:line="276" w:lineRule="auto"/>
              <w:jc w:val="center"/>
              <w:rPr>
                <w:rFonts w:ascii="Verdana" w:eastAsia="Times New Roman" w:hAnsi="Verdana" w:cs="Arial"/>
                <w:b/>
                <w:caps/>
                <w:noProof/>
                <w:sz w:val="19"/>
                <w:szCs w:val="19"/>
                <w:lang w:val="es-ES"/>
              </w:rPr>
            </w:pPr>
            <w:r w:rsidRPr="007B6AE1">
              <w:rPr>
                <w:rFonts w:ascii="Verdana" w:eastAsia="Calibri" w:hAnsi="Verdana" w:cs="Arial"/>
                <w:b/>
                <w:bCs/>
                <w:noProof/>
                <w:sz w:val="19"/>
                <w:szCs w:val="19"/>
                <w:lang w:val="es-ES"/>
              </w:rPr>
              <w:lastRenderedPageBreak/>
              <w:t>Concepto</w:t>
            </w:r>
          </w:p>
        </w:tc>
        <w:tc>
          <w:tcPr>
            <w:tcW w:w="1398"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70D548A1" w14:textId="77777777" w:rsidR="007B6AE1" w:rsidRPr="007B6AE1" w:rsidRDefault="007B6AE1" w:rsidP="007B6AE1">
            <w:pPr>
              <w:spacing w:after="0" w:line="276" w:lineRule="auto"/>
              <w:jc w:val="center"/>
              <w:rPr>
                <w:rFonts w:ascii="Verdana" w:eastAsia="Times New Roman" w:hAnsi="Verdana" w:cs="Arial"/>
                <w:b/>
                <w:caps/>
                <w:noProof/>
                <w:sz w:val="19"/>
                <w:szCs w:val="19"/>
                <w:lang w:val="es-ES"/>
              </w:rPr>
            </w:pPr>
            <w:r w:rsidRPr="007B6AE1">
              <w:rPr>
                <w:rFonts w:ascii="Verdana" w:eastAsia="Calibri" w:hAnsi="Verdana" w:cs="Arial"/>
                <w:b/>
                <w:bCs/>
                <w:noProof/>
                <w:sz w:val="19"/>
                <w:szCs w:val="19"/>
                <w:lang w:val="es-ES"/>
              </w:rPr>
              <w:t>Puntaje</w:t>
            </w:r>
          </w:p>
        </w:tc>
      </w:tr>
      <w:tr w:rsidR="007B6AE1" w:rsidRPr="007B6AE1" w14:paraId="2FDE99F4" w14:textId="77777777" w:rsidTr="00F7410E">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3DF377A4" w14:textId="77777777" w:rsidR="007B6AE1" w:rsidRPr="007B6AE1" w:rsidRDefault="007B6AE1" w:rsidP="007B6AE1">
            <w:pPr>
              <w:spacing w:after="0" w:line="276" w:lineRule="auto"/>
              <w:jc w:val="both"/>
              <w:rPr>
                <w:rFonts w:ascii="Verdana" w:eastAsia="Times New Roman" w:hAnsi="Verdana" w:cs="Arial"/>
                <w:caps/>
                <w:sz w:val="19"/>
                <w:szCs w:val="19"/>
                <w:lang w:val="es-ES"/>
              </w:rPr>
            </w:pPr>
            <w:r w:rsidRPr="007B6AE1">
              <w:rPr>
                <w:rFonts w:ascii="Verdana" w:eastAsia="Times New Roman" w:hAnsi="Verdana" w:cs="Arial"/>
                <w:sz w:val="19"/>
                <w:szCs w:val="19"/>
                <w:lang w:val="es-ES"/>
              </w:rPr>
              <w:t>Promoción de Servicios Nacionales o con Trato Nacional</w:t>
            </w:r>
          </w:p>
        </w:tc>
        <w:tc>
          <w:tcPr>
            <w:tcW w:w="1398" w:type="dxa"/>
            <w:tcBorders>
              <w:top w:val="single" w:sz="6" w:space="0" w:color="auto"/>
              <w:left w:val="single" w:sz="6" w:space="0" w:color="auto"/>
              <w:bottom w:val="single" w:sz="6" w:space="0" w:color="auto"/>
              <w:right w:val="double" w:sz="4" w:space="0" w:color="auto"/>
            </w:tcBorders>
            <w:vAlign w:val="center"/>
            <w:hideMark/>
          </w:tcPr>
          <w:p w14:paraId="40419ADB" w14:textId="77777777" w:rsidR="007B6AE1" w:rsidRPr="007B6AE1" w:rsidRDefault="007B6AE1" w:rsidP="007B6AE1">
            <w:pPr>
              <w:spacing w:after="0" w:line="276" w:lineRule="auto"/>
              <w:jc w:val="center"/>
              <w:rPr>
                <w:rFonts w:ascii="Verdana" w:eastAsia="Times New Roman" w:hAnsi="Verdana" w:cs="Arial"/>
                <w:caps/>
                <w:sz w:val="19"/>
                <w:szCs w:val="19"/>
                <w:lang w:val="es-ES"/>
              </w:rPr>
            </w:pPr>
            <w:r w:rsidRPr="007B6AE1">
              <w:rPr>
                <w:rFonts w:ascii="Verdana" w:eastAsia="Times New Roman" w:hAnsi="Verdana" w:cs="Arial"/>
                <w:sz w:val="19"/>
                <w:szCs w:val="19"/>
                <w:lang w:val="es-ES"/>
              </w:rPr>
              <w:t>20</w:t>
            </w:r>
          </w:p>
        </w:tc>
      </w:tr>
      <w:tr w:rsidR="007B6AE1" w:rsidRPr="007B6AE1" w14:paraId="1BD99545" w14:textId="77777777" w:rsidTr="00F7410E">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09C4E9AE" w14:textId="77777777" w:rsidR="007B6AE1" w:rsidRPr="007B6AE1" w:rsidRDefault="007B6AE1" w:rsidP="007B6AE1">
            <w:pPr>
              <w:spacing w:after="0" w:line="276" w:lineRule="auto"/>
              <w:jc w:val="both"/>
              <w:rPr>
                <w:rFonts w:ascii="Verdana" w:eastAsia="Times New Roman" w:hAnsi="Verdana" w:cs="Arial"/>
                <w:caps/>
                <w:noProof/>
                <w:sz w:val="19"/>
                <w:szCs w:val="19"/>
                <w:lang w:val="es-ES"/>
              </w:rPr>
            </w:pPr>
            <w:r w:rsidRPr="007B6AE1">
              <w:rPr>
                <w:rFonts w:ascii="Verdana" w:eastAsia="Times New Roman" w:hAnsi="Verdana" w:cs="Arial"/>
                <w:noProof/>
                <w:sz w:val="19"/>
                <w:szCs w:val="19"/>
                <w:lang w:val="es-ES"/>
              </w:rPr>
              <w:t>Incorporación de componente nacional en servicios extranjeros</w:t>
            </w:r>
          </w:p>
        </w:tc>
        <w:tc>
          <w:tcPr>
            <w:tcW w:w="1398" w:type="dxa"/>
            <w:tcBorders>
              <w:top w:val="single" w:sz="6" w:space="0" w:color="auto"/>
              <w:left w:val="single" w:sz="6" w:space="0" w:color="auto"/>
              <w:bottom w:val="double" w:sz="4" w:space="0" w:color="auto"/>
              <w:right w:val="double" w:sz="4" w:space="0" w:color="auto"/>
            </w:tcBorders>
            <w:vAlign w:val="center"/>
            <w:hideMark/>
          </w:tcPr>
          <w:p w14:paraId="624568FD" w14:textId="77777777" w:rsidR="007B6AE1" w:rsidRPr="007B6AE1" w:rsidRDefault="007B6AE1" w:rsidP="007B6AE1">
            <w:pPr>
              <w:spacing w:after="0" w:line="276" w:lineRule="auto"/>
              <w:jc w:val="center"/>
              <w:rPr>
                <w:rFonts w:ascii="Verdana" w:eastAsia="Times New Roman" w:hAnsi="Verdana" w:cs="Arial"/>
                <w:caps/>
                <w:noProof/>
                <w:sz w:val="19"/>
                <w:szCs w:val="19"/>
                <w:lang w:val="es-ES"/>
              </w:rPr>
            </w:pPr>
            <w:r w:rsidRPr="007B6AE1">
              <w:rPr>
                <w:rFonts w:ascii="Verdana" w:eastAsia="Times New Roman" w:hAnsi="Verdana" w:cs="Arial"/>
                <w:noProof/>
                <w:sz w:val="19"/>
                <w:szCs w:val="19"/>
                <w:lang w:val="es-ES"/>
              </w:rPr>
              <w:t>5</w:t>
            </w:r>
          </w:p>
        </w:tc>
      </w:tr>
    </w:tbl>
    <w:p w14:paraId="05402600" w14:textId="77777777" w:rsidR="007B6AE1" w:rsidRPr="007B6AE1" w:rsidRDefault="007B6AE1" w:rsidP="007B6AE1">
      <w:pPr>
        <w:tabs>
          <w:tab w:val="left" w:pos="709"/>
        </w:tabs>
        <w:spacing w:after="0" w:line="276" w:lineRule="auto"/>
        <w:jc w:val="both"/>
        <w:rPr>
          <w:rFonts w:ascii="Verdana" w:eastAsia="Calibri" w:hAnsi="Verdana" w:cs="Arial"/>
          <w:bCs/>
          <w:color w:val="000000"/>
          <w:kern w:val="2"/>
          <w:lang w:val="es-ES_tradnl"/>
          <w14:ligatures w14:val="standardContextual"/>
        </w:rPr>
      </w:pPr>
    </w:p>
    <w:p w14:paraId="08FE8EBE" w14:textId="77777777" w:rsidR="007B6AE1" w:rsidRPr="007B6AE1" w:rsidRDefault="007B6AE1" w:rsidP="007B6AE1">
      <w:pPr>
        <w:tabs>
          <w:tab w:val="left" w:pos="709"/>
        </w:tabs>
        <w:spacing w:after="0" w:line="276" w:lineRule="auto"/>
        <w:ind w:firstLine="709"/>
        <w:jc w:val="both"/>
        <w:rPr>
          <w:rFonts w:ascii="Verdana" w:eastAsia="Calibri" w:hAnsi="Verdana" w:cs="Arial"/>
          <w:color w:val="000000"/>
          <w:kern w:val="2"/>
          <w:lang w:val="es-ES"/>
          <w14:ligatures w14:val="standardContextual"/>
        </w:rPr>
      </w:pPr>
      <w:r w:rsidRPr="007B6AE1">
        <w:rPr>
          <w:rFonts w:ascii="Verdana" w:eastAsia="Calibri" w:hAnsi="Verdana" w:cs="Arial"/>
          <w:color w:val="000000"/>
          <w:kern w:val="2"/>
          <w:lang w:val="es-ES"/>
          <w14:ligatures w14:val="standardContextual"/>
        </w:rPr>
        <w:t xml:space="preserve">Así mismo, el numeral 4.3.1 </w:t>
      </w:r>
      <w:r w:rsidRPr="007B6AE1">
        <w:rPr>
          <w:rFonts w:ascii="Verdana" w:eastAsia="Calibri" w:hAnsi="Verdana" w:cs="Arial"/>
          <w:i/>
          <w:iCs/>
          <w:color w:val="000000"/>
          <w:kern w:val="2"/>
          <w:lang w:val="es-ES"/>
          <w14:ligatures w14:val="standardContextual"/>
        </w:rPr>
        <w:t>ibidem</w:t>
      </w:r>
      <w:r w:rsidRPr="007B6AE1">
        <w:rPr>
          <w:rFonts w:ascii="Verdana" w:eastAsia="Calibri" w:hAnsi="Verdana" w:cs="Arial"/>
          <w:color w:val="000000"/>
          <w:kern w:val="2"/>
          <w:lang w:val="es-ES"/>
          <w14:ligatures w14:val="standardContextual"/>
        </w:rPr>
        <w:t xml:space="preserve">, explica cómo el proponente se hace acreedor para el otorgamiento del puntaje por “Promoción de Servicios Nacionales o con Trato Nacional” y las reglas que las entidades deben tener en cuenta para definir el porcentaje de empleados o contratistas por prestación de servicios colombianos. De igual forma, para la acreditación del puntaje por servicios nacionales o con trato nacional, el numeral 4.3.1.1 prevé que: </w:t>
      </w:r>
    </w:p>
    <w:p w14:paraId="28B6C01A" w14:textId="77777777" w:rsidR="007B6AE1" w:rsidRPr="007B6AE1" w:rsidRDefault="007B6AE1" w:rsidP="007B6AE1">
      <w:pPr>
        <w:tabs>
          <w:tab w:val="left" w:pos="709"/>
        </w:tabs>
        <w:spacing w:after="0" w:line="276" w:lineRule="auto"/>
        <w:ind w:left="709" w:right="709"/>
        <w:jc w:val="both"/>
        <w:rPr>
          <w:rFonts w:ascii="Verdana" w:eastAsia="Calibri" w:hAnsi="Verdana" w:cs="Arial"/>
          <w:bCs/>
          <w:color w:val="000000"/>
          <w:kern w:val="2"/>
          <w:lang w:val="es-ES_tradnl"/>
          <w14:ligatures w14:val="standardContextual"/>
        </w:rPr>
      </w:pPr>
    </w:p>
    <w:p w14:paraId="05F47E50" w14:textId="77777777" w:rsidR="007B6AE1" w:rsidRPr="007B6AE1" w:rsidRDefault="007B6AE1" w:rsidP="007B6AE1">
      <w:pPr>
        <w:adjustRightInd w:val="0"/>
        <w:snapToGrid w:val="0"/>
        <w:spacing w:after="0" w:line="240" w:lineRule="auto"/>
        <w:ind w:left="709" w:right="709"/>
        <w:jc w:val="both"/>
        <w:rPr>
          <w:rFonts w:ascii="Verdana" w:eastAsia="Calibri" w:hAnsi="Verdana" w:cs="Arial"/>
          <w:iCs/>
          <w:color w:val="000000"/>
          <w:sz w:val="21"/>
          <w:szCs w:val="21"/>
        </w:rPr>
      </w:pPr>
      <w:r w:rsidRPr="007B6AE1">
        <w:rPr>
          <w:rFonts w:ascii="Verdana" w:eastAsia="Calibri" w:hAnsi="Verdana" w:cs="Arial"/>
          <w:iCs/>
          <w:color w:val="000000"/>
          <w:sz w:val="21"/>
          <w:szCs w:val="21"/>
        </w:rPr>
        <w:t xml:space="preserve">“Para que el Proponente nacional obtenga puntaje por Servicios Nacionales debe presentar, además del Formato 9 A – Promoción de Servicios Nacionales o con Trato Nacional, alguno de los siguientes documentos, según corresponda: </w:t>
      </w:r>
    </w:p>
    <w:p w14:paraId="0F9E86E0" w14:textId="77777777" w:rsidR="007B6AE1" w:rsidRPr="007B6AE1" w:rsidRDefault="007B6AE1" w:rsidP="007B6AE1">
      <w:pPr>
        <w:adjustRightInd w:val="0"/>
        <w:snapToGrid w:val="0"/>
        <w:spacing w:after="0" w:line="240" w:lineRule="auto"/>
        <w:ind w:left="709" w:right="709"/>
        <w:jc w:val="both"/>
        <w:rPr>
          <w:rFonts w:ascii="Verdana" w:eastAsia="Calibri" w:hAnsi="Verdana" w:cs="Arial"/>
          <w:iCs/>
          <w:color w:val="000000"/>
          <w:sz w:val="21"/>
          <w:szCs w:val="21"/>
        </w:rPr>
      </w:pPr>
    </w:p>
    <w:p w14:paraId="4FA9019C" w14:textId="77777777" w:rsidR="007B6AE1" w:rsidRPr="007B6AE1" w:rsidRDefault="007B6AE1" w:rsidP="007B6AE1">
      <w:pPr>
        <w:adjustRightInd w:val="0"/>
        <w:snapToGrid w:val="0"/>
        <w:spacing w:after="0" w:line="240" w:lineRule="auto"/>
        <w:ind w:left="709" w:right="709"/>
        <w:jc w:val="both"/>
        <w:rPr>
          <w:rFonts w:ascii="Verdana" w:eastAsia="Calibri" w:hAnsi="Verdana" w:cs="Arial"/>
          <w:iCs/>
          <w:color w:val="000000"/>
          <w:sz w:val="21"/>
          <w:szCs w:val="21"/>
        </w:rPr>
      </w:pPr>
      <w:r w:rsidRPr="007B6AE1">
        <w:rPr>
          <w:rFonts w:ascii="Verdana" w:eastAsia="Calibri" w:hAnsi="Verdana" w:cs="Arial"/>
          <w:iCs/>
          <w:color w:val="000000"/>
          <w:sz w:val="21"/>
          <w:szCs w:val="21"/>
        </w:rPr>
        <w:t>A.</w:t>
      </w:r>
      <w:r w:rsidRPr="007B6AE1">
        <w:rPr>
          <w:rFonts w:ascii="Verdana" w:eastAsia="Calibri" w:hAnsi="Verdana" w:cs="Arial"/>
          <w:iCs/>
          <w:color w:val="000000"/>
          <w:sz w:val="21"/>
          <w:szCs w:val="21"/>
        </w:rPr>
        <w:tab/>
        <w:t>Persona natural colombiana: La cédula de ciudadanía del Proponente.</w:t>
      </w:r>
    </w:p>
    <w:p w14:paraId="21AFAD64" w14:textId="77777777" w:rsidR="007B6AE1" w:rsidRPr="007B6AE1" w:rsidRDefault="007B6AE1" w:rsidP="007B6AE1">
      <w:pPr>
        <w:adjustRightInd w:val="0"/>
        <w:snapToGrid w:val="0"/>
        <w:spacing w:after="0" w:line="240" w:lineRule="auto"/>
        <w:ind w:left="709" w:right="709"/>
        <w:jc w:val="both"/>
        <w:rPr>
          <w:rFonts w:ascii="Verdana" w:eastAsia="Calibri" w:hAnsi="Verdana" w:cs="Arial"/>
          <w:iCs/>
          <w:color w:val="000000"/>
          <w:sz w:val="21"/>
          <w:szCs w:val="21"/>
        </w:rPr>
      </w:pPr>
    </w:p>
    <w:p w14:paraId="6B9BA87F" w14:textId="77777777" w:rsidR="007B6AE1" w:rsidRPr="007B6AE1" w:rsidRDefault="007B6AE1" w:rsidP="007B6AE1">
      <w:pPr>
        <w:adjustRightInd w:val="0"/>
        <w:snapToGrid w:val="0"/>
        <w:spacing w:after="0" w:line="240" w:lineRule="auto"/>
        <w:ind w:left="709" w:right="709"/>
        <w:jc w:val="both"/>
        <w:rPr>
          <w:rFonts w:ascii="Verdana" w:eastAsia="Calibri" w:hAnsi="Verdana" w:cs="Arial"/>
          <w:iCs/>
          <w:color w:val="000000"/>
          <w:sz w:val="21"/>
          <w:szCs w:val="21"/>
        </w:rPr>
      </w:pPr>
      <w:r w:rsidRPr="007B6AE1">
        <w:rPr>
          <w:rFonts w:ascii="Verdana" w:eastAsia="Calibri" w:hAnsi="Verdana" w:cs="Arial"/>
          <w:iCs/>
          <w:color w:val="000000"/>
          <w:sz w:val="21"/>
          <w:szCs w:val="21"/>
        </w:rPr>
        <w:t>B.</w:t>
      </w:r>
      <w:r w:rsidRPr="007B6AE1">
        <w:rPr>
          <w:rFonts w:ascii="Verdana" w:eastAsia="Calibri" w:hAnsi="Verdana" w:cs="Arial"/>
          <w:iCs/>
          <w:color w:val="000000"/>
          <w:sz w:val="21"/>
          <w:szCs w:val="21"/>
        </w:rPr>
        <w:tab/>
        <w:t xml:space="preserve">Persona natural extranjera residente en Colombia: La visa de residencia que le permita la ejecución del objeto contractual de conformidad con la ley. </w:t>
      </w:r>
    </w:p>
    <w:p w14:paraId="4D9C01CD" w14:textId="77777777" w:rsidR="007B6AE1" w:rsidRPr="007B6AE1" w:rsidRDefault="007B6AE1" w:rsidP="007B6AE1">
      <w:pPr>
        <w:adjustRightInd w:val="0"/>
        <w:snapToGrid w:val="0"/>
        <w:spacing w:after="0" w:line="240" w:lineRule="auto"/>
        <w:ind w:left="709" w:right="709"/>
        <w:jc w:val="both"/>
        <w:rPr>
          <w:rFonts w:ascii="Verdana" w:eastAsia="Calibri" w:hAnsi="Verdana" w:cs="Arial"/>
          <w:iCs/>
          <w:color w:val="000000"/>
          <w:sz w:val="21"/>
          <w:szCs w:val="21"/>
        </w:rPr>
      </w:pPr>
    </w:p>
    <w:p w14:paraId="74FE0470" w14:textId="77777777" w:rsidR="007B6AE1" w:rsidRPr="007B6AE1" w:rsidRDefault="007B6AE1" w:rsidP="007B6AE1">
      <w:pPr>
        <w:adjustRightInd w:val="0"/>
        <w:snapToGrid w:val="0"/>
        <w:spacing w:after="0" w:line="240" w:lineRule="auto"/>
        <w:ind w:left="709" w:right="709"/>
        <w:jc w:val="both"/>
        <w:rPr>
          <w:rFonts w:ascii="Verdana" w:eastAsia="Calibri" w:hAnsi="Verdana" w:cs="Arial"/>
          <w:iCs/>
          <w:color w:val="000000"/>
          <w:sz w:val="21"/>
          <w:szCs w:val="21"/>
        </w:rPr>
      </w:pPr>
      <w:r w:rsidRPr="007B6AE1">
        <w:rPr>
          <w:rFonts w:ascii="Verdana" w:eastAsia="Calibri" w:hAnsi="Verdana" w:cs="Arial"/>
          <w:iCs/>
          <w:color w:val="000000"/>
          <w:sz w:val="21"/>
          <w:szCs w:val="21"/>
        </w:rPr>
        <w:t>C.</w:t>
      </w:r>
      <w:r w:rsidRPr="007B6AE1">
        <w:rPr>
          <w:rFonts w:ascii="Verdana" w:eastAsia="Calibri" w:hAnsi="Verdana" w:cs="Arial"/>
          <w:iCs/>
          <w:color w:val="000000"/>
          <w:sz w:val="21"/>
          <w:szCs w:val="21"/>
        </w:rPr>
        <w:tab/>
        <w:t>Persona jurídica constituida en Colombia: El certificado de existencia y representación legal emitido por alguna de las cámaras de comercio del país”.</w:t>
      </w:r>
    </w:p>
    <w:p w14:paraId="4FFD3D44" w14:textId="77777777" w:rsidR="007B6AE1" w:rsidRPr="007B6AE1" w:rsidRDefault="007B6AE1" w:rsidP="007B6AE1">
      <w:pPr>
        <w:tabs>
          <w:tab w:val="left" w:pos="709"/>
        </w:tabs>
        <w:spacing w:after="0" w:line="276" w:lineRule="auto"/>
        <w:jc w:val="both"/>
        <w:rPr>
          <w:rFonts w:ascii="Verdana" w:eastAsia="Calibri" w:hAnsi="Verdana" w:cs="Arial"/>
          <w:bCs/>
          <w:color w:val="000000"/>
          <w:kern w:val="2"/>
          <w:lang w:val="es-ES_tradnl"/>
          <w14:ligatures w14:val="standardContextual"/>
        </w:rPr>
      </w:pPr>
    </w:p>
    <w:p w14:paraId="412427DB" w14:textId="77777777" w:rsidR="007B6AE1" w:rsidRPr="007B6AE1" w:rsidRDefault="007B6AE1" w:rsidP="007B6AE1">
      <w:pPr>
        <w:tabs>
          <w:tab w:val="left" w:pos="709"/>
        </w:tabs>
        <w:spacing w:after="0" w:line="276" w:lineRule="auto"/>
        <w:jc w:val="both"/>
        <w:rPr>
          <w:rFonts w:ascii="Verdana" w:eastAsia="Calibri" w:hAnsi="Verdana" w:cs="Arial"/>
          <w:bCs/>
          <w:color w:val="000000"/>
          <w:kern w:val="2"/>
          <w:lang w:val="es-ES_tradnl"/>
          <w14:ligatures w14:val="standardContextual"/>
        </w:rPr>
      </w:pPr>
      <w:r w:rsidRPr="007B6AE1">
        <w:rPr>
          <w:rFonts w:ascii="Verdana" w:eastAsia="Calibri" w:hAnsi="Verdana" w:cs="Arial"/>
          <w:bCs/>
          <w:color w:val="000000"/>
          <w:kern w:val="2"/>
          <w:lang w:val="es-ES_tradnl"/>
          <w14:ligatures w14:val="standardContextual"/>
        </w:rPr>
        <w:tab/>
        <w:t xml:space="preserve">Así pues, para el otorgamiento del puntaje por apoyo a la industria nacional, un proponente nacional tendrá que presentar los documentos anteriormente enunciados, acompañados del “Formato 9A”, tal y como se indica en el Documento Base de los Documentos Tipo de licitación de obra pública de infraestructura social –versión 2–. El “Formato 9A – Promoción de Servicios Nacionales o con Trato Nacional” comienza con una nota aclaratoria con relación a su alcance, en la cual dispone que: </w:t>
      </w:r>
    </w:p>
    <w:p w14:paraId="2319C158" w14:textId="77777777" w:rsidR="007B6AE1" w:rsidRPr="007B6AE1" w:rsidRDefault="007B6AE1" w:rsidP="007B6AE1">
      <w:pPr>
        <w:tabs>
          <w:tab w:val="left" w:pos="709"/>
        </w:tabs>
        <w:spacing w:after="0" w:line="276" w:lineRule="auto"/>
        <w:jc w:val="both"/>
        <w:rPr>
          <w:rFonts w:ascii="Verdana" w:eastAsia="Calibri" w:hAnsi="Verdana" w:cs="Arial"/>
          <w:bCs/>
          <w:color w:val="000000"/>
          <w:kern w:val="2"/>
          <w:lang w:val="es-ES_tradnl"/>
          <w14:ligatures w14:val="standardContextual"/>
        </w:rPr>
      </w:pPr>
    </w:p>
    <w:p w14:paraId="2E1B1D12" w14:textId="77777777" w:rsidR="007B6AE1" w:rsidRPr="007B6AE1" w:rsidRDefault="007B6AE1" w:rsidP="007B6AE1">
      <w:pPr>
        <w:tabs>
          <w:tab w:val="left" w:pos="-142"/>
        </w:tabs>
        <w:autoSpaceDE w:val="0"/>
        <w:autoSpaceDN w:val="0"/>
        <w:adjustRightInd w:val="0"/>
        <w:snapToGrid w:val="0"/>
        <w:spacing w:after="0" w:line="240" w:lineRule="auto"/>
        <w:ind w:left="709" w:right="709"/>
        <w:jc w:val="both"/>
        <w:outlineLvl w:val="0"/>
        <w:rPr>
          <w:rFonts w:ascii="Verdana" w:eastAsia="Times New Roman" w:hAnsi="Verdana" w:cs="Arial"/>
          <w:kern w:val="2"/>
          <w:sz w:val="21"/>
          <w:szCs w:val="21"/>
          <w:highlight w:val="lightGray"/>
          <w:lang w:val="es-ES_tradnl" w:eastAsia="es-ES"/>
          <w14:ligatures w14:val="standardContextual"/>
        </w:rPr>
      </w:pPr>
      <w:r w:rsidRPr="007B6AE1">
        <w:rPr>
          <w:rFonts w:ascii="Verdana" w:eastAsia="Times New Roman" w:hAnsi="Verdana" w:cs="Arial"/>
          <w:kern w:val="2"/>
          <w:sz w:val="21"/>
          <w:szCs w:val="21"/>
          <w:lang w:val="es-ES_tradnl" w:eastAsia="es-ES"/>
          <w14:ligatures w14:val="standardContextual"/>
        </w:rPr>
        <w:lastRenderedPageBreak/>
        <w:t>“</w:t>
      </w:r>
      <w:r w:rsidRPr="007B6AE1" w:rsidDel="00E3109C">
        <w:rPr>
          <w:rFonts w:ascii="Verdana" w:eastAsia="Times New Roman" w:hAnsi="Verdana" w:cs="Arial"/>
          <w:kern w:val="2"/>
          <w:sz w:val="21"/>
          <w:szCs w:val="21"/>
          <w:highlight w:val="lightGray"/>
          <w:lang w:val="es-ES_tradnl" w:eastAsia="es-ES"/>
          <w14:ligatures w14:val="standardContextual"/>
        </w:rPr>
        <w:t>[</w:t>
      </w:r>
      <w:r w:rsidRPr="007B6AE1">
        <w:rPr>
          <w:rFonts w:ascii="Verdana" w:eastAsia="Times New Roman" w:hAnsi="Verdana" w:cs="Arial"/>
          <w:kern w:val="2"/>
          <w:sz w:val="21"/>
          <w:szCs w:val="21"/>
          <w:highlight w:val="lightGray"/>
          <w:lang w:val="es-ES_tradnl" w:eastAsia="es-ES"/>
          <w14:ligatures w14:val="standardContextual"/>
        </w:rPr>
        <w:t>Este Formato ÚNICAMENTE debe ser diligenciado por los Proponentes nacionales o extranjeros con trato nacional, o los Proponentes Plurales integrados por estos. En ningún caso el Formato debe diligenciarse por los Proponentes extranjeros sin derecho a trato nacional que opten por el puntaje correspondiente a la incorporación de componente nacional en servicios extranjeros]</w:t>
      </w:r>
      <w:r w:rsidRPr="007B6AE1">
        <w:rPr>
          <w:rFonts w:ascii="Verdana" w:eastAsia="Times New Roman" w:hAnsi="Verdana" w:cs="Arial"/>
          <w:kern w:val="2"/>
          <w:sz w:val="21"/>
          <w:szCs w:val="21"/>
          <w:lang w:val="es-ES_tradnl" w:eastAsia="es-ES"/>
          <w14:ligatures w14:val="standardContextual"/>
        </w:rPr>
        <w:t>”</w:t>
      </w:r>
    </w:p>
    <w:p w14:paraId="6136F5AF" w14:textId="77777777" w:rsidR="007B6AE1" w:rsidRPr="007B6AE1" w:rsidRDefault="007B6AE1" w:rsidP="007B6AE1">
      <w:pPr>
        <w:tabs>
          <w:tab w:val="left" w:pos="-142"/>
        </w:tabs>
        <w:autoSpaceDE w:val="0"/>
        <w:autoSpaceDN w:val="0"/>
        <w:adjustRightInd w:val="0"/>
        <w:snapToGrid w:val="0"/>
        <w:spacing w:after="0" w:line="276" w:lineRule="auto"/>
        <w:ind w:left="709" w:right="709"/>
        <w:jc w:val="both"/>
        <w:outlineLvl w:val="0"/>
        <w:rPr>
          <w:rFonts w:ascii="Verdana" w:eastAsia="Times New Roman" w:hAnsi="Verdana" w:cs="Arial"/>
          <w:kern w:val="2"/>
          <w:highlight w:val="lightGray"/>
          <w:lang w:val="es-ES_tradnl" w:eastAsia="es-ES"/>
          <w14:ligatures w14:val="standardContextual"/>
        </w:rPr>
      </w:pPr>
    </w:p>
    <w:p w14:paraId="147C129E" w14:textId="77777777" w:rsidR="007B6AE1" w:rsidRPr="007B6AE1" w:rsidRDefault="007B6AE1" w:rsidP="007B6AE1">
      <w:pPr>
        <w:tabs>
          <w:tab w:val="left" w:pos="709"/>
        </w:tabs>
        <w:adjustRightInd w:val="0"/>
        <w:snapToGrid w:val="0"/>
        <w:spacing w:after="120" w:line="276" w:lineRule="auto"/>
        <w:ind w:firstLine="709"/>
        <w:jc w:val="both"/>
        <w:rPr>
          <w:rFonts w:ascii="Verdana" w:eastAsia="Calibri" w:hAnsi="Verdana" w:cs="Arial"/>
          <w:bCs/>
          <w:color w:val="000000"/>
          <w:kern w:val="2"/>
          <w:lang w:val="es-ES_tradnl"/>
          <w14:ligatures w14:val="standardContextual"/>
        </w:rPr>
      </w:pPr>
      <w:r w:rsidRPr="007B6AE1">
        <w:rPr>
          <w:rFonts w:ascii="Verdana" w:eastAsia="Calibri" w:hAnsi="Verdana" w:cs="Arial"/>
          <w:bCs/>
          <w:color w:val="000000"/>
          <w:kern w:val="2"/>
          <w:lang w:val="es-ES_tradnl"/>
          <w14:ligatures w14:val="standardContextual"/>
        </w:rPr>
        <w:t xml:space="preserve">De acuerdo con el ámbito de aplicación de la primera franja del puntaje por apoyo a la industria nacional, el “Formato 9A” solo debe ser diligenciado por proponentes nacionales o extranjeros con derecho a trato nacional, al igual que por los proponentes plurales que estos conformen. Lo anterior comoquiera que son estos los sujetos habilitados para acceder al puntaje al que se refiere el primer inciso del artículo 2 de la Ley 816 de 2003.  </w:t>
      </w:r>
    </w:p>
    <w:p w14:paraId="76E2FB48" w14:textId="77777777" w:rsidR="007B6AE1" w:rsidRPr="007B6AE1" w:rsidRDefault="007B6AE1" w:rsidP="007B6AE1">
      <w:pPr>
        <w:tabs>
          <w:tab w:val="left" w:pos="709"/>
        </w:tabs>
        <w:adjustRightInd w:val="0"/>
        <w:snapToGrid w:val="0"/>
        <w:spacing w:after="0" w:line="276" w:lineRule="auto"/>
        <w:ind w:firstLine="709"/>
        <w:jc w:val="both"/>
        <w:rPr>
          <w:rFonts w:ascii="Verdana" w:eastAsia="Calibri" w:hAnsi="Verdana" w:cs="Arial"/>
          <w:bCs/>
          <w:color w:val="000000"/>
          <w:kern w:val="2"/>
          <w:lang w:val="es-ES_tradnl"/>
          <w14:ligatures w14:val="standardContextual"/>
        </w:rPr>
      </w:pPr>
      <w:r w:rsidRPr="007B6AE1">
        <w:rPr>
          <w:rFonts w:ascii="Verdana" w:eastAsia="Calibri" w:hAnsi="Verdana" w:cs="Arial"/>
          <w:bCs/>
          <w:color w:val="000000"/>
          <w:kern w:val="2"/>
          <w:lang w:val="es-ES_tradnl"/>
          <w14:ligatures w14:val="standardContextual"/>
        </w:rPr>
        <w:t>Por otra parte, el numeral 4.3.2 de los documentos tipo en comento, establece cómo el proponente se hace acreedor del puntaje correspondiente a cinco (5) puntos por concepto de “Incorporación de Componente Nacional en Servicios Extranjeros”, en los siguientes términos:</w:t>
      </w:r>
    </w:p>
    <w:p w14:paraId="7CCEE8B9" w14:textId="77777777" w:rsidR="007B6AE1" w:rsidRPr="007B6AE1" w:rsidRDefault="007B6AE1" w:rsidP="007B6AE1">
      <w:pPr>
        <w:spacing w:after="0" w:line="240" w:lineRule="auto"/>
        <w:rPr>
          <w:rFonts w:ascii="Verdana" w:eastAsia="Aptos" w:hAnsi="Verdana" w:cs="Times New Roman"/>
          <w:kern w:val="2"/>
          <w:lang w:val="es-MX"/>
          <w14:ligatures w14:val="standardContextual"/>
        </w:rPr>
      </w:pPr>
    </w:p>
    <w:p w14:paraId="28C2ECE1" w14:textId="77777777" w:rsidR="007B6AE1" w:rsidRPr="007B6AE1" w:rsidRDefault="007B6AE1" w:rsidP="007B6AE1">
      <w:pPr>
        <w:adjustRightInd w:val="0"/>
        <w:snapToGrid w:val="0"/>
        <w:spacing w:after="0" w:line="240" w:lineRule="auto"/>
        <w:ind w:left="709" w:right="709"/>
        <w:jc w:val="both"/>
        <w:rPr>
          <w:rFonts w:ascii="Verdana" w:eastAsia="Aptos" w:hAnsi="Verdana" w:cs="Times New Roman"/>
          <w:kern w:val="2"/>
          <w:sz w:val="21"/>
          <w:szCs w:val="21"/>
          <w:lang w:val="es-MX"/>
          <w14:ligatures w14:val="standardContextual"/>
        </w:rPr>
      </w:pPr>
      <w:r w:rsidRPr="007B6AE1">
        <w:rPr>
          <w:rFonts w:ascii="Verdana" w:eastAsia="Aptos" w:hAnsi="Verdana" w:cs="Times New Roman"/>
          <w:kern w:val="2"/>
          <w:sz w:val="21"/>
          <w:szCs w:val="21"/>
          <w:lang w:val="es-MX"/>
          <w14:ligatures w14:val="standardContextual"/>
        </w:rPr>
        <w:t>“La Entidad asignará cinco (5) puntos a los Proponentes extranjeros sin derecho a Trato Nacional o a Proponentes Plurales en los que al menos uno de sus integrantes sea un extranjero sin derecho a Trato Nacional, que incorporen a la ejecución del contrato más del noventa por ciento (90 %) del personal técnico, operativo y profesional de origen colombiano”.</w:t>
      </w:r>
    </w:p>
    <w:p w14:paraId="59064E53" w14:textId="77777777" w:rsidR="007B6AE1" w:rsidRPr="007B6AE1" w:rsidRDefault="007B6AE1" w:rsidP="007B6AE1">
      <w:pPr>
        <w:tabs>
          <w:tab w:val="left" w:pos="709"/>
        </w:tabs>
        <w:spacing w:after="0" w:line="276" w:lineRule="auto"/>
        <w:ind w:firstLine="709"/>
        <w:jc w:val="both"/>
        <w:rPr>
          <w:rFonts w:ascii="Verdana" w:eastAsia="Calibri" w:hAnsi="Verdana" w:cs="Arial"/>
          <w:bCs/>
          <w:color w:val="000000"/>
          <w:kern w:val="2"/>
          <w:lang w:val="es-ES_tradnl"/>
          <w14:ligatures w14:val="standardContextual"/>
        </w:rPr>
      </w:pPr>
    </w:p>
    <w:p w14:paraId="61F7B724" w14:textId="77777777" w:rsidR="007B6AE1" w:rsidRPr="007B6AE1" w:rsidRDefault="007B6AE1" w:rsidP="007B6AE1">
      <w:pPr>
        <w:tabs>
          <w:tab w:val="left" w:pos="709"/>
        </w:tabs>
        <w:spacing w:after="0" w:line="276" w:lineRule="auto"/>
        <w:ind w:firstLine="709"/>
        <w:jc w:val="both"/>
        <w:rPr>
          <w:rFonts w:ascii="Verdana" w:eastAsia="Calibri" w:hAnsi="Verdana" w:cs="Arial"/>
          <w:color w:val="000000"/>
          <w:kern w:val="2"/>
          <w:lang w:val="es-ES"/>
          <w14:ligatures w14:val="standardContextual"/>
        </w:rPr>
      </w:pPr>
      <w:r w:rsidRPr="007B6AE1">
        <w:rPr>
          <w:rFonts w:ascii="Verdana" w:eastAsia="Calibri" w:hAnsi="Verdana" w:cs="Arial"/>
          <w:color w:val="000000"/>
          <w:kern w:val="2"/>
          <w:lang w:val="es-ES"/>
          <w14:ligatures w14:val="standardContextual"/>
        </w:rPr>
        <w:t>En este caso, la entidad únicamente otorgará el puntaje cuando el proponente presente el “Formato 9B – Incorporación de Componente Nacional en Servicios Extranjeros” y no haya recibido puntaje alguno por “Promoción de Servicios Nacionales o con Trato nacional”. Este “Formato 9B” contempla la siguiente nota aclaratoria respecto a su alcance:</w:t>
      </w:r>
    </w:p>
    <w:p w14:paraId="7739DCFB" w14:textId="77777777" w:rsidR="007B6AE1" w:rsidRPr="007B6AE1" w:rsidRDefault="007B6AE1" w:rsidP="007B6AE1">
      <w:pPr>
        <w:tabs>
          <w:tab w:val="left" w:pos="709"/>
        </w:tabs>
        <w:spacing w:after="0" w:line="276" w:lineRule="auto"/>
        <w:ind w:firstLine="709"/>
        <w:jc w:val="both"/>
        <w:rPr>
          <w:rFonts w:ascii="Verdana" w:eastAsia="Calibri" w:hAnsi="Verdana" w:cs="Arial"/>
          <w:bCs/>
          <w:color w:val="000000"/>
          <w:kern w:val="2"/>
          <w:lang w:val="es-ES_tradnl"/>
          <w14:ligatures w14:val="standardContextual"/>
        </w:rPr>
      </w:pPr>
    </w:p>
    <w:p w14:paraId="01DF8186" w14:textId="77777777" w:rsidR="007B6AE1" w:rsidRPr="007B6AE1" w:rsidDel="00770647" w:rsidRDefault="007B6AE1" w:rsidP="007B6AE1">
      <w:pPr>
        <w:tabs>
          <w:tab w:val="left" w:pos="-142"/>
        </w:tabs>
        <w:autoSpaceDE w:val="0"/>
        <w:autoSpaceDN w:val="0"/>
        <w:adjustRightInd w:val="0"/>
        <w:snapToGrid w:val="0"/>
        <w:spacing w:after="0" w:line="240" w:lineRule="auto"/>
        <w:ind w:left="709" w:right="709"/>
        <w:jc w:val="both"/>
        <w:outlineLvl w:val="0"/>
        <w:rPr>
          <w:rFonts w:ascii="Verdana" w:eastAsia="Times New Roman" w:hAnsi="Verdana" w:cs="Arial"/>
          <w:sz w:val="21"/>
          <w:szCs w:val="21"/>
          <w:lang w:eastAsia="es-ES"/>
        </w:rPr>
      </w:pPr>
      <w:r w:rsidRPr="007B6AE1">
        <w:rPr>
          <w:rFonts w:ascii="Verdana" w:eastAsia="Times New Roman" w:hAnsi="Verdana" w:cs="Arial"/>
          <w:sz w:val="21"/>
          <w:szCs w:val="21"/>
          <w:lang w:eastAsia="es-ES"/>
        </w:rPr>
        <w:t>“</w:t>
      </w:r>
      <w:r w:rsidRPr="007B6AE1" w:rsidDel="00770647">
        <w:rPr>
          <w:rFonts w:ascii="Verdana" w:eastAsia="Times New Roman" w:hAnsi="Verdana" w:cs="Arial"/>
          <w:sz w:val="21"/>
          <w:szCs w:val="21"/>
          <w:highlight w:val="lightGray"/>
          <w:lang w:eastAsia="es-ES"/>
        </w:rPr>
        <w:t>[</w:t>
      </w:r>
      <w:r w:rsidRPr="007B6AE1">
        <w:rPr>
          <w:rFonts w:ascii="Verdana" w:eastAsia="Times New Roman" w:hAnsi="Verdana" w:cs="Arial"/>
          <w:sz w:val="21"/>
          <w:szCs w:val="21"/>
          <w:highlight w:val="lightGray"/>
          <w:lang w:eastAsia="es-ES"/>
        </w:rPr>
        <w:t xml:space="preserve">Este formato </w:t>
      </w:r>
      <w:r w:rsidRPr="007B6AE1">
        <w:rPr>
          <w:rFonts w:ascii="Verdana" w:eastAsia="Times New Roman" w:hAnsi="Verdana" w:cs="Arial"/>
          <w:b/>
          <w:bCs/>
          <w:sz w:val="21"/>
          <w:szCs w:val="21"/>
          <w:highlight w:val="lightGray"/>
          <w:u w:val="single"/>
          <w:lang w:eastAsia="es-ES"/>
        </w:rPr>
        <w:t>NO</w:t>
      </w:r>
      <w:r w:rsidRPr="007B6AE1">
        <w:rPr>
          <w:rFonts w:ascii="Verdana" w:eastAsia="Times New Roman" w:hAnsi="Verdana" w:cs="Arial"/>
          <w:sz w:val="21"/>
          <w:szCs w:val="21"/>
          <w:highlight w:val="lightGray"/>
          <w:lang w:eastAsia="es-ES"/>
        </w:rPr>
        <w:t xml:space="preserve"> debe ser diligenciado por Proponentes nacionales o extranjeros con trato nacional. Únicamente lo diligenciará los Proponentes extranjeros sin derecho a trato nacional que opten por el puntaje correspondiente a incorporación de componente nacional en servicios extranjeros. También podrá ser diligenciado por los Proponentes Plurales integrados por al menos un extranjero sin derecho a trato nacional.]</w:t>
      </w:r>
      <w:r w:rsidRPr="007B6AE1">
        <w:rPr>
          <w:rFonts w:ascii="Verdana" w:eastAsia="Times New Roman" w:hAnsi="Verdana" w:cs="Arial"/>
          <w:sz w:val="21"/>
          <w:szCs w:val="21"/>
          <w:lang w:eastAsia="es-ES"/>
        </w:rPr>
        <w:t>”</w:t>
      </w:r>
    </w:p>
    <w:p w14:paraId="76789A5D" w14:textId="77777777" w:rsidR="007B6AE1" w:rsidRPr="007B6AE1" w:rsidRDefault="007B6AE1" w:rsidP="007B6AE1">
      <w:pPr>
        <w:tabs>
          <w:tab w:val="left" w:pos="709"/>
        </w:tabs>
        <w:spacing w:after="0" w:line="276" w:lineRule="auto"/>
        <w:ind w:firstLine="709"/>
        <w:jc w:val="both"/>
        <w:rPr>
          <w:rFonts w:ascii="Verdana" w:eastAsia="Calibri" w:hAnsi="Verdana" w:cs="Arial"/>
          <w:bCs/>
          <w:color w:val="000000"/>
          <w:kern w:val="2"/>
          <w:lang w:val="es-ES_tradnl"/>
          <w14:ligatures w14:val="standardContextual"/>
        </w:rPr>
      </w:pPr>
    </w:p>
    <w:p w14:paraId="0BC6D3D5" w14:textId="77777777" w:rsidR="007B6AE1" w:rsidRPr="007B6AE1" w:rsidRDefault="007B6AE1" w:rsidP="007B6AE1">
      <w:pPr>
        <w:tabs>
          <w:tab w:val="left" w:pos="709"/>
        </w:tabs>
        <w:snapToGrid w:val="0"/>
        <w:spacing w:after="0" w:line="276" w:lineRule="auto"/>
        <w:ind w:firstLine="709"/>
        <w:jc w:val="both"/>
        <w:rPr>
          <w:rFonts w:ascii="Verdana" w:eastAsia="Calibri" w:hAnsi="Verdana" w:cs="Arial"/>
          <w:bCs/>
          <w:color w:val="000000"/>
          <w:kern w:val="2"/>
          <w:lang w:val="es-ES_tradnl"/>
          <w14:ligatures w14:val="standardContextual"/>
        </w:rPr>
      </w:pPr>
      <w:r w:rsidRPr="007B6AE1">
        <w:rPr>
          <w:rFonts w:ascii="Verdana" w:eastAsia="Calibri" w:hAnsi="Verdana" w:cs="Arial"/>
          <w:bCs/>
          <w:color w:val="000000"/>
          <w:kern w:val="2"/>
          <w:lang w:val="es-ES_tradnl"/>
          <w14:ligatures w14:val="standardContextual"/>
        </w:rPr>
        <w:lastRenderedPageBreak/>
        <w:t xml:space="preserve">De acuerdo con lo anterior, el “Formato 9B” solo debe ser diligenciado por los proponentes extranjeros sin derecho a trato nacional o proponentes plurales integrados por al menos un extranjero sin derecho a trato nacional. </w:t>
      </w:r>
    </w:p>
    <w:p w14:paraId="65B9481A" w14:textId="77777777" w:rsidR="007B6AE1" w:rsidRPr="007B6AE1" w:rsidRDefault="007B6AE1" w:rsidP="007B6AE1">
      <w:pPr>
        <w:tabs>
          <w:tab w:val="left" w:pos="709"/>
        </w:tabs>
        <w:snapToGrid w:val="0"/>
        <w:spacing w:after="0" w:line="276" w:lineRule="auto"/>
        <w:ind w:firstLine="709"/>
        <w:jc w:val="both"/>
        <w:rPr>
          <w:rFonts w:ascii="Verdana" w:eastAsia="Calibri" w:hAnsi="Verdana" w:cs="Arial"/>
          <w:bCs/>
          <w:color w:val="000000"/>
          <w:kern w:val="2"/>
          <w:lang w:val="es-ES_tradnl"/>
          <w14:ligatures w14:val="standardContextual"/>
        </w:rPr>
      </w:pPr>
    </w:p>
    <w:p w14:paraId="100FF05B" w14:textId="77777777" w:rsidR="007B6AE1" w:rsidRPr="007B6AE1" w:rsidRDefault="007B6AE1" w:rsidP="007B6AE1">
      <w:pPr>
        <w:spacing w:after="120" w:line="276" w:lineRule="auto"/>
        <w:jc w:val="both"/>
        <w:rPr>
          <w:rFonts w:ascii="Verdana" w:eastAsia="Times New Roman" w:hAnsi="Verdana" w:cs="Arial"/>
          <w:lang w:val="es-ES_tradnl" w:eastAsia="es-ES_tradnl"/>
        </w:rPr>
      </w:pPr>
      <w:r w:rsidRPr="007B6AE1">
        <w:rPr>
          <w:rFonts w:ascii="Verdana" w:eastAsia="Calibri" w:hAnsi="Verdana" w:cs="Arial"/>
          <w:noProof/>
          <w:lang w:val="es-ES_tradnl"/>
        </w:rPr>
        <w:t>ii. L</w:t>
      </w:r>
      <w:r w:rsidRPr="007B6AE1">
        <w:rPr>
          <w:rFonts w:ascii="Verdana" w:eastAsia="Times New Roman" w:hAnsi="Verdana" w:cs="Arial"/>
        </w:rPr>
        <w:t xml:space="preserve">a regla de la </w:t>
      </w:r>
      <w:proofErr w:type="spellStart"/>
      <w:r w:rsidRPr="007B6AE1">
        <w:rPr>
          <w:rFonts w:ascii="Verdana" w:eastAsia="Times New Roman" w:hAnsi="Verdana" w:cs="Arial"/>
        </w:rPr>
        <w:t>subsanabilidad</w:t>
      </w:r>
      <w:proofErr w:type="spellEnd"/>
      <w:r w:rsidRPr="007B6AE1">
        <w:rPr>
          <w:rFonts w:ascii="Verdana" w:eastAsia="Times New Roman" w:hAnsi="Verdana" w:cs="Arial"/>
        </w:rPr>
        <w:t xml:space="preserve"> de las ofertas en los procedimientos de selección</w:t>
      </w:r>
      <w:r w:rsidRPr="007B6AE1">
        <w:rPr>
          <w:rFonts w:ascii="Verdana" w:eastAsia="Times New Roman" w:hAnsi="Verdana" w:cs="Arial"/>
          <w:b/>
          <w:bCs/>
        </w:rPr>
        <w:t xml:space="preserve"> </w:t>
      </w:r>
      <w:r w:rsidRPr="007B6AE1">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4E847D8B" w14:textId="77777777" w:rsidR="007B6AE1" w:rsidRPr="007B6AE1" w:rsidRDefault="007B6AE1" w:rsidP="007B6AE1">
      <w:pPr>
        <w:spacing w:after="120" w:line="276" w:lineRule="auto"/>
        <w:ind w:firstLine="708"/>
        <w:jc w:val="both"/>
        <w:rPr>
          <w:rFonts w:ascii="Verdana" w:eastAsia="Times New Roman" w:hAnsi="Verdana" w:cs="Arial"/>
          <w:lang w:val="es-ES" w:eastAsia="es-ES"/>
        </w:rPr>
      </w:pPr>
      <w:r w:rsidRPr="007B6AE1">
        <w:rPr>
          <w:rFonts w:ascii="Verdana" w:eastAsia="Times New Roman" w:hAnsi="Verdana"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C-285 del 20 de mayo de 2022</w:t>
      </w:r>
      <w:r w:rsidRPr="007B6AE1">
        <w:rPr>
          <w:rFonts w:ascii="Verdana" w:eastAsia="Times New Roman" w:hAnsi="Verdana" w:cs="Arial"/>
          <w:vertAlign w:val="superscript"/>
          <w:lang w:val="es-ES_tradnl" w:eastAsia="es-ES_tradnl"/>
        </w:rPr>
        <w:footnoteReference w:id="1"/>
      </w:r>
      <w:r w:rsidRPr="007B6AE1">
        <w:rPr>
          <w:rFonts w:ascii="Verdana" w:eastAsia="Times New Roman" w:hAnsi="Verdana" w:cs="Arial"/>
          <w:lang w:val="es-ES_tradnl" w:eastAsia="es-ES_tradnl"/>
        </w:rPr>
        <w:t xml:space="preserve"> o el C-447 del 19 de septiembre de 2024</w:t>
      </w:r>
      <w:r w:rsidRPr="007B6AE1">
        <w:rPr>
          <w:rFonts w:ascii="Verdana" w:eastAsia="Times New Roman" w:hAnsi="Verdana" w:cs="Arial"/>
          <w:vertAlign w:val="superscript"/>
          <w:lang w:val="es-ES_tradnl" w:eastAsia="es-ES_tradnl"/>
        </w:rPr>
        <w:footnoteReference w:id="2"/>
      </w:r>
      <w:r w:rsidRPr="007B6AE1">
        <w:rPr>
          <w:rFonts w:ascii="Verdana" w:eastAsia="Times New Roman" w:hAnsi="Verdana" w:cs="Arial"/>
          <w:lang w:val="es-ES_tradnl" w:eastAsia="es-ES_tradnl"/>
        </w:rPr>
        <w:t>, los cuales, en el evento en que tenga interés, podrá consultar en los enlaces de la nota al pie. Sin embargo</w:t>
      </w:r>
      <w:r w:rsidRPr="007B6AE1">
        <w:rPr>
          <w:rFonts w:ascii="Verdana" w:eastAsia="Times New Roman" w:hAnsi="Verdana" w:cs="Arial"/>
          <w:lang w:val="es-ES" w:eastAsia="es-ES"/>
        </w:rPr>
        <w:t xml:space="preserve">, a continuación, se hará referencia particularmente al último momento, que refleja la postura vigente en torno a la </w:t>
      </w:r>
      <w:proofErr w:type="spellStart"/>
      <w:r w:rsidRPr="007B6AE1">
        <w:rPr>
          <w:rFonts w:ascii="Verdana" w:eastAsia="Times New Roman" w:hAnsi="Verdana" w:cs="Arial"/>
          <w:lang w:val="es-ES" w:eastAsia="es-ES"/>
        </w:rPr>
        <w:t>subsanabilidad</w:t>
      </w:r>
      <w:proofErr w:type="spellEnd"/>
      <w:r w:rsidRPr="007B6AE1">
        <w:rPr>
          <w:rFonts w:ascii="Verdana" w:eastAsia="Times New Roman" w:hAnsi="Verdana" w:cs="Arial"/>
          <w:lang w:val="es-ES" w:eastAsia="es-ES"/>
        </w:rPr>
        <w:t>.</w:t>
      </w:r>
    </w:p>
    <w:p w14:paraId="4BD116F6" w14:textId="77777777" w:rsidR="007B6AE1" w:rsidRPr="007B6AE1" w:rsidRDefault="007B6AE1" w:rsidP="007B6AE1">
      <w:pPr>
        <w:tabs>
          <w:tab w:val="left" w:pos="284"/>
        </w:tabs>
        <w:spacing w:after="0" w:line="276" w:lineRule="auto"/>
        <w:ind w:firstLine="709"/>
        <w:jc w:val="both"/>
        <w:rPr>
          <w:rFonts w:ascii="Verdana" w:eastAsia="Times New Roman" w:hAnsi="Verdana" w:cs="Arial"/>
          <w:lang w:val="es-ES_tradnl" w:eastAsia="es-CO"/>
        </w:rPr>
      </w:pPr>
      <w:r w:rsidRPr="007B6AE1">
        <w:rPr>
          <w:rFonts w:ascii="Verdana" w:eastAsia="Times New Roman" w:hAnsi="Verdana" w:cs="Arial"/>
          <w:lang w:val="es-ES_tradnl" w:eastAsia="es-ES_tradnl"/>
        </w:rPr>
        <w:t xml:space="preserve">La expedición de la Ley </w:t>
      </w:r>
      <w:r w:rsidRPr="007B6AE1">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2F6AB090" w14:textId="77777777" w:rsidR="007B6AE1" w:rsidRPr="007B6AE1" w:rsidRDefault="007B6AE1" w:rsidP="007B6AE1">
      <w:pPr>
        <w:spacing w:after="0" w:line="276" w:lineRule="auto"/>
        <w:ind w:left="709" w:right="709"/>
        <w:jc w:val="both"/>
        <w:rPr>
          <w:rFonts w:ascii="Verdana" w:eastAsia="Times New Roman" w:hAnsi="Verdana" w:cs="Arial"/>
          <w:lang w:val="es-ES_tradnl" w:eastAsia="es-CO"/>
        </w:rPr>
      </w:pPr>
    </w:p>
    <w:p w14:paraId="2B044BF2" w14:textId="77777777" w:rsidR="007B6AE1" w:rsidRPr="007B6AE1" w:rsidRDefault="007B6AE1" w:rsidP="007B6AE1">
      <w:pPr>
        <w:spacing w:after="0" w:line="240" w:lineRule="auto"/>
        <w:ind w:left="709" w:right="709"/>
        <w:jc w:val="both"/>
        <w:rPr>
          <w:rFonts w:ascii="Verdana" w:eastAsia="Times New Roman" w:hAnsi="Verdana" w:cs="Arial"/>
          <w:sz w:val="21"/>
          <w:szCs w:val="21"/>
          <w:lang w:val="es-ES_tradnl" w:eastAsia="es-CO"/>
        </w:rPr>
      </w:pPr>
      <w:r w:rsidRPr="007B6AE1">
        <w:rPr>
          <w:rFonts w:ascii="Verdana" w:eastAsia="Times New Roman" w:hAnsi="Verdana" w:cs="Arial"/>
          <w:sz w:val="21"/>
          <w:szCs w:val="21"/>
          <w:lang w:val="es-ES_tradnl" w:eastAsia="es-CO"/>
        </w:rPr>
        <w:t xml:space="preserve">“Artículo 5°. De la selección objetiva. </w:t>
      </w:r>
    </w:p>
    <w:p w14:paraId="5EE24F44" w14:textId="77777777" w:rsidR="007B6AE1" w:rsidRPr="007B6AE1" w:rsidRDefault="007B6AE1" w:rsidP="007B6AE1">
      <w:pPr>
        <w:spacing w:after="0" w:line="240" w:lineRule="auto"/>
        <w:ind w:left="709" w:right="709"/>
        <w:jc w:val="both"/>
        <w:textAlignment w:val="baseline"/>
        <w:rPr>
          <w:rFonts w:ascii="Verdana" w:eastAsia="Times New Roman" w:hAnsi="Verdana" w:cs="Arial"/>
          <w:color w:val="000000"/>
          <w:sz w:val="21"/>
          <w:szCs w:val="21"/>
          <w:lang w:val="es-ES" w:eastAsia="es-CO"/>
        </w:rPr>
      </w:pPr>
    </w:p>
    <w:p w14:paraId="2B07C111"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w:t>
      </w:r>
      <w:r w:rsidRPr="007B6AE1">
        <w:rPr>
          <w:rFonts w:ascii="Verdana" w:eastAsia="Times New Roman" w:hAnsi="Verdana" w:cs="Arial"/>
          <w:color w:val="000000"/>
          <w:sz w:val="21"/>
          <w:szCs w:val="21"/>
          <w:lang w:val="es-ES" w:eastAsia="es-CO"/>
        </w:rPr>
        <w:lastRenderedPageBreak/>
        <w:t xml:space="preserve">de condiciones o sus </w:t>
      </w:r>
      <w:proofErr w:type="gramStart"/>
      <w:r w:rsidRPr="007B6AE1">
        <w:rPr>
          <w:rFonts w:ascii="Verdana" w:eastAsia="Times New Roman" w:hAnsi="Verdana" w:cs="Arial"/>
          <w:color w:val="000000"/>
          <w:sz w:val="21"/>
          <w:szCs w:val="21"/>
          <w:lang w:val="es-ES" w:eastAsia="es-CO"/>
        </w:rPr>
        <w:t>equivalentes,</w:t>
      </w:r>
      <w:proofErr w:type="gramEnd"/>
      <w:r w:rsidRPr="007B6AE1">
        <w:rPr>
          <w:rFonts w:ascii="Verdana" w:eastAsia="Times New Roman" w:hAnsi="Verdana" w:cs="Arial"/>
          <w:color w:val="000000"/>
          <w:sz w:val="21"/>
          <w:szCs w:val="21"/>
          <w:lang w:val="es-ES" w:eastAsia="es-CO"/>
        </w:rPr>
        <w:t xml:space="preserve"> tendrán en cuenta los siguientes criterios:</w:t>
      </w:r>
      <w:r w:rsidRPr="007B6AE1">
        <w:rPr>
          <w:rFonts w:ascii="Verdana" w:eastAsia="Times New Roman" w:hAnsi="Verdana" w:cs="Arial"/>
          <w:color w:val="000000"/>
          <w:sz w:val="21"/>
          <w:szCs w:val="21"/>
          <w:lang w:eastAsia="es-CO"/>
        </w:rPr>
        <w:t> </w:t>
      </w:r>
    </w:p>
    <w:p w14:paraId="63866916"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eastAsia="es-CO"/>
        </w:rPr>
        <w:t> </w:t>
      </w:r>
    </w:p>
    <w:p w14:paraId="367A6EDF"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7B6AE1">
        <w:rPr>
          <w:rFonts w:ascii="Verdana" w:eastAsia="Times New Roman" w:hAnsi="Verdana" w:cs="Arial"/>
          <w:color w:val="000000"/>
          <w:sz w:val="21"/>
          <w:szCs w:val="21"/>
          <w:lang w:eastAsia="es-CO"/>
        </w:rPr>
        <w:t> </w:t>
      </w:r>
    </w:p>
    <w:p w14:paraId="11FC40D9"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eastAsia="es-CO"/>
        </w:rPr>
        <w:t> </w:t>
      </w:r>
    </w:p>
    <w:p w14:paraId="15508486"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t xml:space="preserve">2. “Numeral modificado por el artículo 88 de la Ley 1474 de 2011. El nuevo texto es el </w:t>
      </w:r>
      <w:proofErr w:type="spellStart"/>
      <w:r w:rsidRPr="007B6AE1">
        <w:rPr>
          <w:rFonts w:ascii="Verdana" w:eastAsia="Times New Roman" w:hAnsi="Verdana" w:cs="Arial"/>
          <w:color w:val="000000"/>
          <w:sz w:val="21"/>
          <w:szCs w:val="21"/>
          <w:lang w:val="es-ES" w:eastAsia="es-CO"/>
        </w:rPr>
        <w:t>siguiente</w:t>
      </w:r>
      <w:proofErr w:type="gramStart"/>
      <w:r w:rsidRPr="007B6AE1">
        <w:rPr>
          <w:rFonts w:ascii="Verdana" w:eastAsia="Times New Roman" w:hAnsi="Verdana" w:cs="Arial"/>
          <w:color w:val="000000"/>
          <w:sz w:val="21"/>
          <w:szCs w:val="21"/>
          <w:lang w:val="es-ES" w:eastAsia="es-CO"/>
        </w:rPr>
        <w:t>:”La</w:t>
      </w:r>
      <w:proofErr w:type="spellEnd"/>
      <w:proofErr w:type="gramEnd"/>
      <w:r w:rsidRPr="007B6AE1">
        <w:rPr>
          <w:rFonts w:ascii="Verdana" w:eastAsia="Times New Roman" w:hAnsi="Verdana" w:cs="Arial"/>
          <w:color w:val="000000"/>
          <w:sz w:val="21"/>
          <w:szCs w:val="21"/>
          <w:lang w:val="es-ES" w:eastAsia="es-CO"/>
        </w:rPr>
        <w:t xml:space="preserve">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7B6AE1">
        <w:rPr>
          <w:rFonts w:ascii="Verdana" w:eastAsia="Times New Roman" w:hAnsi="Verdana" w:cs="Arial"/>
          <w:color w:val="000000"/>
          <w:sz w:val="21"/>
          <w:szCs w:val="21"/>
          <w:lang w:eastAsia="es-CO"/>
        </w:rPr>
        <w:t> </w:t>
      </w:r>
    </w:p>
    <w:p w14:paraId="4CF8CB4A"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p>
    <w:p w14:paraId="7F9BC213"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t>En los procesos de selección en los que se tenga en cuenta los factores técnicos y económicos, la oferta más ventajosa será la que resulte de aplicar alguna de las siguientes alternativas:</w:t>
      </w:r>
      <w:r w:rsidRPr="007B6AE1">
        <w:rPr>
          <w:rFonts w:ascii="Verdana" w:eastAsia="Times New Roman" w:hAnsi="Verdana" w:cs="Arial"/>
          <w:color w:val="000000"/>
          <w:sz w:val="21"/>
          <w:szCs w:val="21"/>
          <w:lang w:eastAsia="es-CO"/>
        </w:rPr>
        <w:t> </w:t>
      </w:r>
    </w:p>
    <w:p w14:paraId="15715E32"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p>
    <w:p w14:paraId="3937716A"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t>a) La ponderación de los elementos de calidad y precio soportados en puntajes o fórmulas señaladas en el pliego de condiciones; o</w:t>
      </w:r>
    </w:p>
    <w:p w14:paraId="1F06D3C4"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p>
    <w:p w14:paraId="63F6BB07"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t>b) La ponderación de los elementos de calidad y precio que representen la mejor relación de costo-beneficio para la entidad.</w:t>
      </w:r>
      <w:r w:rsidRPr="007B6AE1">
        <w:rPr>
          <w:rFonts w:ascii="Verdana" w:eastAsia="Times New Roman" w:hAnsi="Verdana" w:cs="Arial"/>
          <w:color w:val="000000"/>
          <w:sz w:val="21"/>
          <w:szCs w:val="21"/>
          <w:lang w:eastAsia="es-CO"/>
        </w:rPr>
        <w:t> </w:t>
      </w:r>
    </w:p>
    <w:p w14:paraId="0B71D78F"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p>
    <w:p w14:paraId="29673E86"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7B6AE1">
        <w:rPr>
          <w:rFonts w:ascii="Verdana" w:eastAsia="Times New Roman" w:hAnsi="Verdana" w:cs="Arial"/>
          <w:color w:val="000000"/>
          <w:sz w:val="21"/>
          <w:szCs w:val="21"/>
          <w:lang w:eastAsia="es-CO"/>
        </w:rPr>
        <w:t> </w:t>
      </w:r>
    </w:p>
    <w:p w14:paraId="78D66FA5"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eastAsia="es-CO"/>
        </w:rPr>
        <w:t> </w:t>
      </w:r>
    </w:p>
    <w:p w14:paraId="55860C65"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lastRenderedPageBreak/>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7B6AE1">
        <w:rPr>
          <w:rFonts w:ascii="Verdana" w:eastAsia="Times New Roman" w:hAnsi="Verdana" w:cs="Arial"/>
          <w:color w:val="000000"/>
          <w:sz w:val="21"/>
          <w:szCs w:val="21"/>
          <w:lang w:eastAsia="es-CO"/>
        </w:rPr>
        <w:t> </w:t>
      </w:r>
    </w:p>
    <w:p w14:paraId="1296577C"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eastAsia="es-CO"/>
        </w:rPr>
        <w:t> </w:t>
      </w:r>
    </w:p>
    <w:p w14:paraId="2CA6ECE4"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t>En ningún caso se podrá incluir el precio, como factor de escogencia para la selección de consultores.</w:t>
      </w:r>
      <w:r w:rsidRPr="007B6AE1">
        <w:rPr>
          <w:rFonts w:ascii="Verdana" w:eastAsia="Times New Roman" w:hAnsi="Verdana" w:cs="Arial"/>
          <w:color w:val="000000"/>
          <w:sz w:val="21"/>
          <w:szCs w:val="21"/>
          <w:lang w:eastAsia="es-CO"/>
        </w:rPr>
        <w:t> </w:t>
      </w:r>
    </w:p>
    <w:p w14:paraId="1ADAAD30"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eastAsia="es-CO"/>
        </w:rPr>
        <w:t> </w:t>
      </w:r>
    </w:p>
    <w:p w14:paraId="5232D36B"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u w:val="single"/>
          <w:lang w:val="es-ES" w:eastAsia="es-CO"/>
        </w:rPr>
        <w:t xml:space="preserve">PARÁGRAFO 1o. “Parágrafo modificado por el artículo 5 de la Ley 1882 de 2018. El nuevo texto es el siguiente:”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7B6AE1">
        <w:rPr>
          <w:rFonts w:ascii="Verdana" w:eastAsia="Times New Roman" w:hAnsi="Verdana" w:cs="Arial"/>
          <w:color w:val="000000"/>
          <w:sz w:val="21"/>
          <w:szCs w:val="21"/>
          <w:u w:val="single"/>
          <w:lang w:val="es-ES" w:eastAsia="es-CO"/>
        </w:rPr>
        <w:t>puntaje,</w:t>
      </w:r>
      <w:proofErr w:type="gramEnd"/>
      <w:r w:rsidRPr="007B6AE1">
        <w:rPr>
          <w:rFonts w:ascii="Verdana" w:eastAsia="Times New Roman" w:hAnsi="Verdana" w:cs="Arial"/>
          <w:color w:val="000000"/>
          <w:sz w:val="21"/>
          <w:szCs w:val="21"/>
          <w:u w:val="single"/>
          <w:lang w:val="es-ES" w:eastAsia="es-CO"/>
        </w:rPr>
        <w:t xml:space="preserve"> deberán ser solicitados por las entidades estatales y deberán ser entregados por los proponentes hasta el término de traslado del informe de evaluación que corresponda a cada modalidad de selección</w:t>
      </w:r>
      <w:r w:rsidRPr="007B6AE1">
        <w:rPr>
          <w:rFonts w:ascii="Verdana" w:eastAsia="Times New Roman" w:hAnsi="Verdana" w:cs="Arial"/>
          <w:color w:val="000000"/>
          <w:sz w:val="21"/>
          <w:szCs w:val="21"/>
          <w:lang w:val="es-ES" w:eastAsia="es-CO"/>
        </w:rPr>
        <w:t xml:space="preserve">, salvo lo dispuesto para el proceso de Mínima cuantía y para el proceso de selección a través del sistema de subasta. </w:t>
      </w:r>
      <w:r w:rsidRPr="007B6AE1">
        <w:rPr>
          <w:rFonts w:ascii="Verdana" w:eastAsia="Times New Roman" w:hAnsi="Verdana" w:cs="Arial"/>
          <w:color w:val="000000"/>
          <w:sz w:val="21"/>
          <w:szCs w:val="21"/>
          <w:u w:val="single"/>
          <w:lang w:val="es-ES" w:eastAsia="es-CO"/>
        </w:rPr>
        <w:t>Serán rechazadas las ofertas de aquellos proponentes que no suministren la información y la documentación solicitada por la entidad estatal hasta el plazo anteriormente señalado.</w:t>
      </w:r>
      <w:r w:rsidRPr="007B6AE1">
        <w:rPr>
          <w:rFonts w:ascii="Verdana" w:eastAsia="Times New Roman" w:hAnsi="Verdana" w:cs="Arial"/>
          <w:color w:val="000000"/>
          <w:sz w:val="21"/>
          <w:szCs w:val="21"/>
          <w:u w:val="single"/>
          <w:lang w:eastAsia="es-CO"/>
        </w:rPr>
        <w:t> </w:t>
      </w:r>
    </w:p>
    <w:p w14:paraId="02E58691"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eastAsia="es-CO"/>
        </w:rPr>
        <w:t> </w:t>
      </w:r>
    </w:p>
    <w:p w14:paraId="3A682239"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u w:val="single"/>
          <w:lang w:val="es-ES" w:eastAsia="es-CO"/>
        </w:rPr>
        <w:t>Durante el término otorgado para subsanar las ofertas, los proponentes no podrán acreditar circunstancias ocurridas con posterioridad al cierre del proceso.</w:t>
      </w:r>
      <w:r w:rsidRPr="007B6AE1">
        <w:rPr>
          <w:rFonts w:ascii="Verdana" w:eastAsia="Times New Roman" w:hAnsi="Verdana" w:cs="Arial"/>
          <w:color w:val="000000"/>
          <w:sz w:val="21"/>
          <w:szCs w:val="21"/>
          <w:lang w:eastAsia="es-CO"/>
        </w:rPr>
        <w:t> </w:t>
      </w:r>
    </w:p>
    <w:p w14:paraId="47F5AB5E"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eastAsia="es-CO"/>
        </w:rPr>
        <w:t> </w:t>
      </w:r>
    </w:p>
    <w:p w14:paraId="36BC0AA4"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t>PARÁGRAFO 2o. Las certificaciones de sistemas de gestión de calidad no serán objeto de calificación, ni podrán establecerse como documento habilitante para participar en licitaciones o concursos.</w:t>
      </w:r>
      <w:r w:rsidRPr="007B6AE1">
        <w:rPr>
          <w:rFonts w:ascii="Verdana" w:eastAsia="Times New Roman" w:hAnsi="Verdana" w:cs="Arial"/>
          <w:color w:val="000000"/>
          <w:sz w:val="21"/>
          <w:szCs w:val="21"/>
          <w:lang w:eastAsia="es-CO"/>
        </w:rPr>
        <w:t> </w:t>
      </w:r>
    </w:p>
    <w:p w14:paraId="66F11915"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eastAsia="es-CO"/>
        </w:rPr>
        <w:t> </w:t>
      </w:r>
    </w:p>
    <w:p w14:paraId="4A5C1CDC"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u w:val="single"/>
          <w:lang w:eastAsia="es-CO"/>
        </w:rPr>
      </w:pPr>
      <w:r w:rsidRPr="007B6AE1">
        <w:rPr>
          <w:rFonts w:ascii="Verdana" w:eastAsia="Times New Roman" w:hAnsi="Verdana" w:cs="Arial"/>
          <w:color w:val="000000"/>
          <w:sz w:val="21"/>
          <w:szCs w:val="21"/>
          <w:u w:val="single"/>
          <w:lang w:val="es-ES" w:eastAsia="es-CO"/>
        </w:rPr>
        <w:t xml:space="preserve">PARÁGRAFO 3o. “Parágrafo adicionado por el artículo 5 de la Ley 1882 de 2018. El nuevo texto es el siguiente:” La no entrega de la garantía de seriedad junto con la propuesta no será subsanable y será causal de rechazo de </w:t>
      </w:r>
      <w:proofErr w:type="gramStart"/>
      <w:r w:rsidRPr="007B6AE1">
        <w:rPr>
          <w:rFonts w:ascii="Verdana" w:eastAsia="Times New Roman" w:hAnsi="Verdana" w:cs="Arial"/>
          <w:color w:val="000000"/>
          <w:sz w:val="21"/>
          <w:szCs w:val="21"/>
          <w:u w:val="single"/>
          <w:lang w:val="es-ES" w:eastAsia="es-CO"/>
        </w:rPr>
        <w:t>la misma</w:t>
      </w:r>
      <w:proofErr w:type="gramEnd"/>
      <w:r w:rsidRPr="007B6AE1">
        <w:rPr>
          <w:rFonts w:ascii="Verdana" w:eastAsia="Times New Roman" w:hAnsi="Verdana" w:cs="Arial"/>
          <w:color w:val="000000"/>
          <w:sz w:val="21"/>
          <w:szCs w:val="21"/>
          <w:u w:val="single"/>
          <w:lang w:val="es-ES" w:eastAsia="es-CO"/>
        </w:rPr>
        <w:t>.</w:t>
      </w:r>
      <w:r w:rsidRPr="007B6AE1">
        <w:rPr>
          <w:rFonts w:ascii="Verdana" w:eastAsia="Times New Roman" w:hAnsi="Verdana" w:cs="Arial"/>
          <w:color w:val="000000"/>
          <w:sz w:val="21"/>
          <w:szCs w:val="21"/>
          <w:u w:val="single"/>
          <w:lang w:eastAsia="es-CO"/>
        </w:rPr>
        <w:t> </w:t>
      </w:r>
    </w:p>
    <w:p w14:paraId="4ACC02C8"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eastAsia="es-CO"/>
        </w:rPr>
        <w:t> </w:t>
      </w:r>
    </w:p>
    <w:p w14:paraId="0F938ADA"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t>PARÁGRAFO 4o. “Parágrafo adicionado por el artículo 5 de la Ley 1882 de 2018. El nuevo texto es el siguiente:”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7B6AE1">
        <w:rPr>
          <w:rFonts w:ascii="Verdana" w:eastAsia="Times New Roman" w:hAnsi="Verdana" w:cs="Arial"/>
          <w:color w:val="000000"/>
          <w:sz w:val="21"/>
          <w:szCs w:val="21"/>
          <w:lang w:eastAsia="es-CO"/>
        </w:rPr>
        <w:t> </w:t>
      </w:r>
    </w:p>
    <w:p w14:paraId="2A4278A8"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eastAsia="es-CO"/>
        </w:rPr>
        <w:t> </w:t>
      </w:r>
    </w:p>
    <w:p w14:paraId="531B85FE" w14:textId="77777777" w:rsidR="007B6AE1" w:rsidRPr="007B6AE1" w:rsidRDefault="007B6AE1" w:rsidP="007B6AE1">
      <w:pPr>
        <w:spacing w:after="0" w:line="240" w:lineRule="auto"/>
        <w:ind w:left="709" w:right="709"/>
        <w:jc w:val="both"/>
        <w:textAlignment w:val="baseline"/>
        <w:rPr>
          <w:rFonts w:ascii="Verdana" w:eastAsia="Times New Roman" w:hAnsi="Verdana" w:cs="Segoe UI"/>
          <w:sz w:val="21"/>
          <w:szCs w:val="21"/>
          <w:lang w:eastAsia="es-CO"/>
        </w:rPr>
      </w:pPr>
      <w:r w:rsidRPr="007B6AE1">
        <w:rPr>
          <w:rFonts w:ascii="Verdana" w:eastAsia="Times New Roman" w:hAnsi="Verdana" w:cs="Arial"/>
          <w:color w:val="000000"/>
          <w:sz w:val="21"/>
          <w:szCs w:val="21"/>
          <w:lang w:val="es-ES" w:eastAsia="es-CO"/>
        </w:rPr>
        <w:lastRenderedPageBreak/>
        <w:t>PARÁGRAFO 5o. “Parágrafo adicionado por el artículo 5 de la Ley 1882 de 2018. El nuevo texto es el siguiente:” En los procesos de contratación, las entidades estatales deberán aceptar la experiencia adquirida por los proponentes a través de la ejecución de contratos con particulares”. [Subrayado por fuera de texto original]</w:t>
      </w:r>
    </w:p>
    <w:p w14:paraId="61F04D9E" w14:textId="77777777" w:rsidR="007B6AE1" w:rsidRPr="007B6AE1" w:rsidRDefault="007B6AE1" w:rsidP="007B6AE1">
      <w:pPr>
        <w:spacing w:after="0" w:line="276" w:lineRule="auto"/>
        <w:ind w:left="709" w:right="709"/>
        <w:jc w:val="both"/>
        <w:rPr>
          <w:rFonts w:ascii="Verdana" w:eastAsia="Times New Roman" w:hAnsi="Verdana" w:cs="Arial"/>
          <w:lang w:eastAsia="es-CO"/>
        </w:rPr>
      </w:pPr>
    </w:p>
    <w:p w14:paraId="5ADE9943" w14:textId="77777777" w:rsidR="007B6AE1" w:rsidRPr="007B6AE1" w:rsidRDefault="007B6AE1" w:rsidP="007B6AE1">
      <w:pPr>
        <w:spacing w:after="120" w:line="276" w:lineRule="auto"/>
        <w:ind w:firstLine="709"/>
        <w:jc w:val="both"/>
        <w:rPr>
          <w:rFonts w:ascii="Verdana" w:eastAsia="Times New Roman" w:hAnsi="Verdana" w:cs="Arial"/>
          <w:lang w:val="es-ES" w:eastAsia="es-ES"/>
        </w:rPr>
      </w:pPr>
      <w:r w:rsidRPr="007B6AE1">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7B6AE1">
        <w:rPr>
          <w:rFonts w:ascii="Verdana" w:eastAsia="Times New Roman" w:hAnsi="Verdana" w:cs="Arial"/>
          <w:lang w:val="es-ES" w:eastAsia="es-ES"/>
        </w:rPr>
        <w:t>ii</w:t>
      </w:r>
      <w:proofErr w:type="spellEnd"/>
      <w:r w:rsidRPr="007B6AE1">
        <w:rPr>
          <w:rFonts w:ascii="Verdana" w:eastAsia="Times New Roman" w:hAnsi="Verdana" w:cs="Arial"/>
          <w:lang w:val="es-ES" w:eastAsia="es-ES"/>
        </w:rPr>
        <w:t xml:space="preserve">) mantiene el criterio aclaratorio de la Ley 1150 de 2007, según el cual todo lo que no afecte la asignación de puntaje puede subsanarse; y, </w:t>
      </w:r>
      <w:proofErr w:type="spellStart"/>
      <w:r w:rsidRPr="007B6AE1">
        <w:rPr>
          <w:rFonts w:ascii="Verdana" w:eastAsia="Times New Roman" w:hAnsi="Verdana" w:cs="Arial"/>
          <w:lang w:val="es-ES" w:eastAsia="es-ES"/>
        </w:rPr>
        <w:t>iii</w:t>
      </w:r>
      <w:proofErr w:type="spellEnd"/>
      <w:r w:rsidRPr="007B6AE1">
        <w:rPr>
          <w:rFonts w:ascii="Verdana" w:eastAsia="Times New Roman" w:hAnsi="Verdana" w:cs="Arial"/>
          <w:lang w:val="es-ES" w:eastAsia="es-ES"/>
        </w:rPr>
        <w:t xml:space="preserve">) introduce modificaciones en relación con algunos aspectos que se analizarán a continuación. </w:t>
      </w:r>
    </w:p>
    <w:p w14:paraId="28AA8AA4" w14:textId="77777777" w:rsidR="007B6AE1" w:rsidRPr="007B6AE1" w:rsidRDefault="007B6AE1" w:rsidP="007B6AE1">
      <w:pPr>
        <w:spacing w:after="120" w:line="276" w:lineRule="auto"/>
        <w:ind w:right="51" w:firstLine="709"/>
        <w:jc w:val="both"/>
        <w:rPr>
          <w:rFonts w:ascii="Verdana" w:eastAsia="Times New Roman" w:hAnsi="Verdana" w:cs="Arial"/>
          <w:lang w:val="es-ES_tradnl" w:eastAsia="es-ES_tradnl"/>
        </w:rPr>
      </w:pPr>
      <w:r w:rsidRPr="007B6AE1">
        <w:rPr>
          <w:rFonts w:ascii="Verdana" w:eastAsia="Times New Roman" w:hAnsi="Verdana" w:cs="Arial"/>
          <w:i/>
          <w:iCs/>
          <w:lang w:val="es-ES_tradnl" w:eastAsia="es-ES_tradnl"/>
        </w:rPr>
        <w:t xml:space="preserve">La primera modificación </w:t>
      </w:r>
      <w:r w:rsidRPr="007B6AE1">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7B6AE1">
        <w:rPr>
          <w:rFonts w:ascii="Verdana" w:eastAsia="Times New Roman" w:hAnsi="Verdana" w:cs="Arial"/>
          <w:vertAlign w:val="superscript"/>
          <w:lang w:val="es-ES_tradnl" w:eastAsia="es-ES_tradnl"/>
        </w:rPr>
        <w:footnoteReference w:id="3"/>
      </w:r>
      <w:r w:rsidRPr="007B6AE1">
        <w:rPr>
          <w:rFonts w:ascii="Verdana" w:eastAsia="Times New Roman" w:hAnsi="Verdana" w:cs="Arial"/>
          <w:lang w:val="es-ES_tradnl" w:eastAsia="es-ES_tradnl"/>
        </w:rPr>
        <w:t>.</w:t>
      </w:r>
    </w:p>
    <w:p w14:paraId="31956D40" w14:textId="77777777" w:rsidR="007B6AE1" w:rsidRPr="007B6AE1" w:rsidRDefault="007B6AE1" w:rsidP="007B6AE1">
      <w:pPr>
        <w:spacing w:after="120" w:line="276" w:lineRule="auto"/>
        <w:ind w:firstLine="709"/>
        <w:jc w:val="both"/>
        <w:rPr>
          <w:rFonts w:ascii="Verdana" w:eastAsia="Times New Roman" w:hAnsi="Verdana" w:cs="Arial"/>
          <w:lang w:val="es-ES" w:eastAsia="es-ES"/>
        </w:rPr>
      </w:pPr>
      <w:r w:rsidRPr="007B6AE1">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w:t>
      </w:r>
      <w:proofErr w:type="gramStart"/>
      <w:r w:rsidRPr="007B6AE1">
        <w:rPr>
          <w:rFonts w:ascii="Verdana" w:eastAsia="Times New Roman" w:hAnsi="Verdana" w:cs="Arial"/>
          <w:lang w:val="es-ES" w:eastAsia="es-ES"/>
        </w:rPr>
        <w:t>obstante</w:t>
      </w:r>
      <w:proofErr w:type="gramEnd"/>
      <w:r w:rsidRPr="007B6AE1">
        <w:rPr>
          <w:rFonts w:ascii="Verdana" w:eastAsia="Times New Roman" w:hAnsi="Verdana" w:cs="Arial"/>
          <w:lang w:val="es-ES" w:eastAsia="es-ES"/>
        </w:rPr>
        <w:t xml:space="preserv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 traslado del informe de evaluación: “</w:t>
      </w:r>
      <w:r w:rsidRPr="007B6AE1">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7B6AE1">
        <w:rPr>
          <w:rFonts w:ascii="Verdana" w:eastAsia="Times New Roman" w:hAnsi="Verdana" w:cs="Arial"/>
          <w:lang w:val="es-ES" w:eastAsia="es-ES"/>
        </w:rPr>
        <w:t xml:space="preserve"> </w:t>
      </w:r>
    </w:p>
    <w:p w14:paraId="4C8D0884" w14:textId="77777777" w:rsidR="007B6AE1" w:rsidRPr="007B6AE1" w:rsidRDefault="007B6AE1" w:rsidP="007B6AE1">
      <w:pPr>
        <w:spacing w:after="120" w:line="276" w:lineRule="auto"/>
        <w:ind w:firstLine="709"/>
        <w:jc w:val="both"/>
        <w:rPr>
          <w:rFonts w:ascii="Verdana" w:eastAsia="Times New Roman" w:hAnsi="Verdana" w:cs="Arial"/>
          <w:lang w:val="es-ES" w:eastAsia="es-ES"/>
        </w:rPr>
      </w:pPr>
      <w:r w:rsidRPr="007B6AE1">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w:t>
      </w:r>
      <w:r w:rsidRPr="007B6AE1">
        <w:rPr>
          <w:rFonts w:ascii="Verdana" w:eastAsia="Times New Roman" w:hAnsi="Verdana" w:cs="Arial"/>
          <w:lang w:val="es-ES" w:eastAsia="es-ES"/>
        </w:rPr>
        <w:lastRenderedPageBreak/>
        <w:t xml:space="preserve">los procesos de selección, en lo que a la </w:t>
      </w:r>
      <w:proofErr w:type="spellStart"/>
      <w:r w:rsidRPr="007B6AE1">
        <w:rPr>
          <w:rFonts w:ascii="Verdana" w:eastAsia="Times New Roman" w:hAnsi="Verdana" w:cs="Arial"/>
          <w:lang w:val="es-ES" w:eastAsia="es-ES"/>
        </w:rPr>
        <w:t>subsanabilidad</w:t>
      </w:r>
      <w:proofErr w:type="spellEnd"/>
      <w:r w:rsidRPr="007B6AE1">
        <w:rPr>
          <w:rFonts w:ascii="Verdana" w:eastAsia="Times New Roman" w:hAnsi="Verdana" w:cs="Arial"/>
          <w:lang w:val="es-ES" w:eastAsia="es-ES"/>
        </w:rPr>
        <w:t xml:space="preserve"> de las ofertas se refiere. </w:t>
      </w:r>
      <w:r w:rsidRPr="007B6AE1">
        <w:rPr>
          <w:rFonts w:ascii="Verdana" w:eastAsia="Times New Roman" w:hAnsi="Verdana" w:cs="Arial"/>
          <w:i/>
          <w:iCs/>
          <w:lang w:val="es-ES" w:eastAsia="es-ES"/>
        </w:rPr>
        <w:t>Primera</w:t>
      </w:r>
      <w:r w:rsidRPr="007B6AE1">
        <w:rPr>
          <w:rFonts w:ascii="Verdana" w:eastAsia="Times New Roman" w:hAnsi="Verdana" w:cs="Arial"/>
          <w:lang w:val="es-ES" w:eastAsia="es-ES"/>
        </w:rPr>
        <w:t xml:space="preserve">, que la posibilidad para subsanar de los oferentes es el término de traslado del informe de evaluación, ya que es en este documento donde la Administración consigna los requisitos o documentos omitidos que los oferentes deben subsanar, so pena de rechazo. </w:t>
      </w:r>
      <w:r w:rsidRPr="007B6AE1">
        <w:rPr>
          <w:rFonts w:ascii="Verdana" w:eastAsia="Times New Roman" w:hAnsi="Verdana" w:cs="Arial"/>
          <w:i/>
          <w:iCs/>
          <w:lang w:val="es-ES" w:eastAsia="es-ES"/>
        </w:rPr>
        <w:t>Segunda</w:t>
      </w:r>
      <w:r w:rsidRPr="007B6AE1">
        <w:rPr>
          <w:rFonts w:ascii="Verdana" w:eastAsia="Times New Roman" w:hAnsi="Verdana" w:cs="Arial"/>
          <w:lang w:val="es-ES" w:eastAsia="es-ES"/>
        </w:rPr>
        <w:t xml:space="preserve">, que el término del traslado del informe de evaluación es el </w:t>
      </w:r>
      <w:r w:rsidRPr="007B6AE1">
        <w:rPr>
          <w:rFonts w:ascii="Verdana" w:eastAsia="Times New Roman" w:hAnsi="Verdana" w:cs="Arial"/>
          <w:i/>
          <w:lang w:val="es-ES" w:eastAsia="es-ES"/>
        </w:rPr>
        <w:t>límite</w:t>
      </w:r>
      <w:r w:rsidRPr="007B6AE1">
        <w:rPr>
          <w:rFonts w:ascii="Verdana" w:eastAsia="Times New Roman" w:hAnsi="Verdana" w:cs="Arial"/>
          <w:lang w:val="es-ES" w:eastAsia="es-ES"/>
        </w:rPr>
        <w:t xml:space="preserve"> para la subsanación de ofertas, pero no el único momento para hacerlo. </w:t>
      </w:r>
    </w:p>
    <w:p w14:paraId="598C88BE" w14:textId="77777777" w:rsidR="007B6AE1" w:rsidRPr="007B6AE1" w:rsidRDefault="007B6AE1" w:rsidP="007B6AE1">
      <w:pPr>
        <w:spacing w:after="120" w:line="276" w:lineRule="auto"/>
        <w:ind w:firstLine="709"/>
        <w:jc w:val="both"/>
        <w:rPr>
          <w:rFonts w:ascii="Verdana" w:eastAsia="Times New Roman" w:hAnsi="Verdana" w:cs="Arial"/>
          <w:lang w:val="es-ES_tradnl" w:eastAsia="es-ES_tradnl"/>
        </w:rPr>
      </w:pPr>
      <w:r w:rsidRPr="007B6AE1">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7F66C43A" w14:textId="77777777" w:rsidR="007B6AE1" w:rsidRPr="007B6AE1" w:rsidRDefault="007B6AE1" w:rsidP="007B6AE1">
      <w:pPr>
        <w:spacing w:after="120" w:line="276" w:lineRule="auto"/>
        <w:ind w:firstLine="709"/>
        <w:jc w:val="both"/>
        <w:rPr>
          <w:rFonts w:ascii="Verdana" w:eastAsia="Times New Roman" w:hAnsi="Verdana" w:cs="Arial"/>
          <w:lang w:val="es-ES_tradnl" w:eastAsia="es-ES_tradnl"/>
        </w:rPr>
      </w:pPr>
      <w:r w:rsidRPr="007B6AE1">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2482D1CB" w14:textId="77777777" w:rsidR="007B6AE1" w:rsidRPr="007B6AE1" w:rsidRDefault="007B6AE1" w:rsidP="007B6AE1">
      <w:pPr>
        <w:spacing w:after="120" w:line="276" w:lineRule="auto"/>
        <w:ind w:firstLine="709"/>
        <w:jc w:val="both"/>
        <w:rPr>
          <w:rFonts w:ascii="Verdana" w:eastAsia="Times New Roman" w:hAnsi="Verdana" w:cs="Arial"/>
          <w:lang w:val="es-ES" w:eastAsia="es-ES"/>
        </w:rPr>
      </w:pPr>
      <w:r w:rsidRPr="007B6AE1">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49B721CD" w14:textId="77777777" w:rsidR="007B6AE1" w:rsidRPr="007B6AE1" w:rsidRDefault="007B6AE1" w:rsidP="007B6AE1">
      <w:pPr>
        <w:spacing w:after="120" w:line="276" w:lineRule="auto"/>
        <w:ind w:firstLine="709"/>
        <w:jc w:val="both"/>
        <w:rPr>
          <w:rFonts w:ascii="Verdana" w:eastAsia="Times New Roman" w:hAnsi="Verdana" w:cs="Arial"/>
          <w:lang w:val="es-ES_tradnl" w:eastAsia="es-ES_tradnl"/>
        </w:rPr>
      </w:pPr>
      <w:r w:rsidRPr="007B6AE1">
        <w:rPr>
          <w:rFonts w:ascii="Verdana" w:eastAsia="Times New Roman" w:hAnsi="Verdana" w:cs="Arial"/>
          <w:lang w:val="es-ES_tradnl" w:eastAsia="es-ES_tradnl"/>
        </w:rPr>
        <w:t xml:space="preserve">El </w:t>
      </w:r>
      <w:r w:rsidRPr="007B6AE1">
        <w:rPr>
          <w:rFonts w:ascii="Verdana" w:eastAsia="Times New Roman" w:hAnsi="Verdana" w:cs="Arial"/>
          <w:i/>
          <w:iCs/>
          <w:lang w:val="es-ES_tradnl" w:eastAsia="es-ES_tradnl"/>
        </w:rPr>
        <w:t>segundo cambio</w:t>
      </w:r>
      <w:r w:rsidRPr="007B6AE1">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7B6AE1">
        <w:rPr>
          <w:rFonts w:ascii="Verdana" w:eastAsia="Times New Roman" w:hAnsi="Verdana" w:cs="Arial"/>
          <w:i/>
          <w:iCs/>
          <w:lang w:val="es-ES_tradnl" w:eastAsia="es-ES_tradnl"/>
        </w:rPr>
        <w:t xml:space="preserve">“los proponentes no podrán acreditar circunstancias ocurridas con posterioridad </w:t>
      </w:r>
      <w:r w:rsidRPr="007B6AE1">
        <w:rPr>
          <w:rFonts w:ascii="Verdana" w:eastAsia="Times New Roman" w:hAnsi="Verdana" w:cs="Arial"/>
          <w:i/>
          <w:iCs/>
          <w:lang w:val="es-ES_tradnl" w:eastAsia="es-ES_tradnl"/>
        </w:rPr>
        <w:lastRenderedPageBreak/>
        <w:t>al cierre del proceso”.</w:t>
      </w:r>
      <w:r w:rsidRPr="007B6AE1">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11989323" w14:textId="77777777" w:rsidR="007B6AE1" w:rsidRPr="007B6AE1" w:rsidRDefault="007B6AE1" w:rsidP="007B6AE1">
      <w:pPr>
        <w:spacing w:after="120" w:line="276" w:lineRule="auto"/>
        <w:ind w:firstLine="709"/>
        <w:jc w:val="both"/>
        <w:rPr>
          <w:rFonts w:ascii="Verdana" w:eastAsia="Times New Roman" w:hAnsi="Verdana" w:cs="Arial"/>
          <w:lang w:val="es-ES" w:eastAsia="es-ES"/>
        </w:rPr>
      </w:pPr>
      <w:r w:rsidRPr="007B6AE1">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7B6AE1">
        <w:rPr>
          <w:rFonts w:ascii="Verdana" w:eastAsia="Times New Roman" w:hAnsi="Verdana" w:cs="Arial"/>
          <w:vertAlign w:val="superscript"/>
          <w:lang w:val="es-ES" w:eastAsia="es-ES"/>
        </w:rPr>
        <w:footnoteReference w:id="4"/>
      </w:r>
      <w:r w:rsidRPr="007B6AE1">
        <w:rPr>
          <w:rFonts w:ascii="Verdana" w:eastAsia="Times New Roman" w:hAnsi="Verdana" w:cs="Arial"/>
          <w:lang w:val="es-ES" w:eastAsia="es-ES"/>
        </w:rPr>
        <w:t>.</w:t>
      </w:r>
    </w:p>
    <w:p w14:paraId="25515B24" w14:textId="77777777" w:rsidR="007B6AE1" w:rsidRPr="007B6AE1" w:rsidRDefault="007B6AE1" w:rsidP="007B6AE1">
      <w:pPr>
        <w:spacing w:after="120" w:line="276" w:lineRule="auto"/>
        <w:ind w:firstLine="709"/>
        <w:jc w:val="both"/>
        <w:rPr>
          <w:rFonts w:ascii="Verdana" w:eastAsia="Times New Roman" w:hAnsi="Verdana" w:cs="Arial"/>
          <w:lang w:val="es-ES" w:eastAsia="es-ES"/>
        </w:rPr>
      </w:pPr>
      <w:r w:rsidRPr="007B6AE1">
        <w:rPr>
          <w:rFonts w:ascii="Verdana" w:eastAsia="Times New Roman" w:hAnsi="Verdana" w:cs="Arial"/>
          <w:lang w:val="es-ES" w:eastAsia="es-ES"/>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D223B1C" w14:textId="77777777" w:rsidR="007B6AE1" w:rsidRPr="007B6AE1" w:rsidRDefault="007B6AE1" w:rsidP="007B6AE1">
      <w:pPr>
        <w:spacing w:after="120" w:line="276" w:lineRule="auto"/>
        <w:ind w:firstLine="709"/>
        <w:jc w:val="both"/>
        <w:rPr>
          <w:rFonts w:ascii="Verdana" w:eastAsia="Times New Roman" w:hAnsi="Verdana" w:cs="Arial"/>
          <w:lang w:val="es-ES" w:eastAsia="es-ES"/>
        </w:rPr>
      </w:pPr>
      <w:r w:rsidRPr="007B6AE1">
        <w:rPr>
          <w:rFonts w:ascii="Verdana" w:eastAsia="Times New Roman" w:hAnsi="Verdana" w:cs="Arial"/>
          <w:lang w:val="es-ES" w:eastAsia="es-ES"/>
        </w:rPr>
        <w:lastRenderedPageBreak/>
        <w:t xml:space="preserve">Un mejor entendimiento del significado de la expresión </w:t>
      </w:r>
      <w:r w:rsidRPr="007B6AE1">
        <w:rPr>
          <w:rFonts w:ascii="Verdana" w:eastAsia="Times New Roman" w:hAnsi="Verdana" w:cs="Arial"/>
          <w:i/>
          <w:lang w:val="es-ES" w:eastAsia="es-ES"/>
        </w:rPr>
        <w:t>“circunstancias ocurridas con posterioridad al cierre del proceso”</w:t>
      </w:r>
      <w:r w:rsidRPr="007B6AE1">
        <w:rPr>
          <w:rFonts w:ascii="Verdana" w:eastAsia="Times New Roman" w:hAnsi="Verdana" w:cs="Arial"/>
          <w:lang w:val="es-ES" w:eastAsia="es-ES"/>
        </w:rPr>
        <w:t xml:space="preserve"> implica distinguir entre la prueba de un hecho y el hecho mismo. En el caso de la </w:t>
      </w:r>
      <w:proofErr w:type="spellStart"/>
      <w:r w:rsidRPr="007B6AE1">
        <w:rPr>
          <w:rFonts w:ascii="Verdana" w:eastAsia="Times New Roman" w:hAnsi="Verdana" w:cs="Arial"/>
          <w:lang w:val="es-ES" w:eastAsia="es-ES"/>
        </w:rPr>
        <w:t>subsanabilidad</w:t>
      </w:r>
      <w:proofErr w:type="spellEnd"/>
      <w:r w:rsidRPr="007B6AE1">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7B6AE1">
        <w:rPr>
          <w:rFonts w:ascii="Verdana" w:eastAsia="Times New Roman" w:hAnsi="Verdana" w:cs="Arial"/>
          <w:vertAlign w:val="superscript"/>
          <w:lang w:val="es-ES" w:eastAsia="es-ES"/>
        </w:rPr>
        <w:footnoteReference w:id="5"/>
      </w:r>
      <w:r w:rsidRPr="007B6AE1">
        <w:rPr>
          <w:rFonts w:ascii="Verdana" w:eastAsia="Times New Roman" w:hAnsi="Verdana" w:cs="Arial"/>
          <w:lang w:val="es-ES" w:eastAsia="es-ES"/>
        </w:rPr>
        <w:t xml:space="preserve">. </w:t>
      </w:r>
    </w:p>
    <w:p w14:paraId="65428280" w14:textId="77777777" w:rsidR="007B6AE1" w:rsidRPr="007B6AE1" w:rsidRDefault="007B6AE1" w:rsidP="007B6AE1">
      <w:pPr>
        <w:spacing w:after="120" w:line="276" w:lineRule="auto"/>
        <w:ind w:firstLine="709"/>
        <w:jc w:val="both"/>
        <w:rPr>
          <w:rFonts w:ascii="Verdana" w:eastAsia="Times New Roman" w:hAnsi="Verdana" w:cs="Arial"/>
          <w:lang w:val="es-ES" w:eastAsia="es-ES"/>
        </w:rPr>
      </w:pPr>
      <w:r w:rsidRPr="007B6AE1">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proofErr w:type="spellStart"/>
      <w:r w:rsidRPr="007B6AE1">
        <w:rPr>
          <w:rFonts w:ascii="Verdana" w:eastAsia="Times New Roman" w:hAnsi="Verdana" w:cs="Arial"/>
          <w:lang w:val="es-ES" w:eastAsia="es-ES"/>
        </w:rPr>
        <w:t>esta</w:t>
      </w:r>
      <w:proofErr w:type="spellEnd"/>
      <w:r w:rsidRPr="007B6AE1">
        <w:rPr>
          <w:rFonts w:ascii="Verdana" w:eastAsia="Times New Roman" w:hAnsi="Verdana" w:cs="Arial"/>
          <w:lang w:val="es-ES" w:eastAsia="es-ES"/>
        </w:rPr>
        <w:t xml:space="preserve"> en firme para dicho momento; </w:t>
      </w:r>
      <w:proofErr w:type="spellStart"/>
      <w:r w:rsidRPr="007B6AE1">
        <w:rPr>
          <w:rFonts w:ascii="Verdana" w:eastAsia="Times New Roman" w:hAnsi="Verdana" w:cs="Arial"/>
          <w:lang w:val="es-ES" w:eastAsia="es-ES"/>
        </w:rPr>
        <w:t>ii</w:t>
      </w:r>
      <w:proofErr w:type="spellEnd"/>
      <w:r w:rsidRPr="007B6AE1">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7B6AE1">
        <w:rPr>
          <w:rFonts w:ascii="Verdana" w:eastAsia="Times New Roman" w:hAnsi="Verdana" w:cs="Arial"/>
          <w:vertAlign w:val="superscript"/>
          <w:lang w:val="es-ES" w:eastAsia="es-ES"/>
        </w:rPr>
        <w:footnoteReference w:id="6"/>
      </w:r>
      <w:r w:rsidRPr="007B6AE1">
        <w:rPr>
          <w:rFonts w:ascii="Verdana" w:eastAsia="Times New Roman" w:hAnsi="Verdana" w:cs="Arial"/>
          <w:lang w:val="es-ES" w:eastAsia="es-ES"/>
        </w:rPr>
        <w:t xml:space="preserve">; </w:t>
      </w:r>
      <w:proofErr w:type="spellStart"/>
      <w:r w:rsidRPr="007B6AE1">
        <w:rPr>
          <w:rFonts w:ascii="Verdana" w:eastAsia="Times New Roman" w:hAnsi="Verdana" w:cs="Arial"/>
          <w:lang w:val="es-ES" w:eastAsia="es-ES"/>
        </w:rPr>
        <w:t>iii</w:t>
      </w:r>
      <w:proofErr w:type="spellEnd"/>
      <w:r w:rsidRPr="007B6AE1">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7B6AE1">
        <w:rPr>
          <w:rFonts w:ascii="Verdana" w:eastAsia="Times New Roman" w:hAnsi="Verdana" w:cs="Arial"/>
          <w:vertAlign w:val="superscript"/>
          <w:lang w:val="es-ES" w:eastAsia="es-ES"/>
        </w:rPr>
        <w:footnoteReference w:id="7"/>
      </w:r>
      <w:r w:rsidRPr="007B6AE1">
        <w:rPr>
          <w:rFonts w:ascii="Verdana" w:eastAsia="Times New Roman" w:hAnsi="Verdana" w:cs="Arial"/>
          <w:lang w:val="es-ES" w:eastAsia="es-ES"/>
        </w:rPr>
        <w:t xml:space="preserve">; </w:t>
      </w:r>
      <w:proofErr w:type="spellStart"/>
      <w:r w:rsidRPr="007B6AE1">
        <w:rPr>
          <w:rFonts w:ascii="Verdana" w:eastAsia="Times New Roman" w:hAnsi="Verdana" w:cs="Arial"/>
          <w:lang w:val="es-ES" w:eastAsia="es-ES"/>
        </w:rPr>
        <w:t>iv</w:t>
      </w:r>
      <w:proofErr w:type="spellEnd"/>
      <w:r w:rsidRPr="007B6AE1">
        <w:rPr>
          <w:rFonts w:ascii="Verdana" w:eastAsia="Times New Roman" w:hAnsi="Verdana" w:cs="Arial"/>
          <w:lang w:val="es-ES" w:eastAsia="es-ES"/>
        </w:rPr>
        <w:t xml:space="preserve">) si </w:t>
      </w:r>
      <w:r w:rsidRPr="007B6AE1">
        <w:rPr>
          <w:rFonts w:ascii="Verdana" w:eastAsia="Times New Roman" w:hAnsi="Verdana" w:cs="Arial"/>
          <w:lang w:val="es-ES" w:eastAsia="es-ES"/>
        </w:rPr>
        <w:lastRenderedPageBreak/>
        <w:t xml:space="preserve">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439566D4" w14:textId="77777777" w:rsidR="007B6AE1" w:rsidRPr="007B6AE1" w:rsidRDefault="007B6AE1" w:rsidP="007B6AE1">
      <w:pPr>
        <w:spacing w:after="120" w:line="276" w:lineRule="auto"/>
        <w:ind w:firstLine="709"/>
        <w:jc w:val="both"/>
        <w:rPr>
          <w:rFonts w:ascii="Verdana" w:eastAsia="Times New Roman" w:hAnsi="Verdana" w:cs="Arial"/>
          <w:i/>
          <w:lang w:val="es-ES" w:eastAsia="es-ES"/>
        </w:rPr>
      </w:pPr>
      <w:r w:rsidRPr="007B6AE1">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7B6AE1">
        <w:rPr>
          <w:rFonts w:ascii="Verdana" w:eastAsia="Times New Roman" w:hAnsi="Verdana" w:cs="Arial"/>
          <w:lang w:val="es-ES" w:eastAsia="es-ES"/>
        </w:rPr>
        <w:t>que</w:t>
      </w:r>
      <w:proofErr w:type="gramEnd"/>
      <w:r w:rsidRPr="007B6AE1">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7B6AE1">
        <w:rPr>
          <w:rFonts w:ascii="Verdana" w:eastAsia="Times New Roman" w:hAnsi="Verdana" w:cs="Arial"/>
          <w:vertAlign w:val="superscript"/>
          <w:lang w:val="es-ES" w:eastAsia="es-ES"/>
        </w:rPr>
        <w:footnoteReference w:id="8"/>
      </w:r>
      <w:r w:rsidRPr="007B6AE1">
        <w:rPr>
          <w:rFonts w:ascii="Verdana" w:eastAsia="Times New Roman" w:hAnsi="Verdana" w:cs="Arial"/>
          <w:lang w:val="es-ES" w:eastAsia="es-ES"/>
        </w:rPr>
        <w:t>.</w:t>
      </w:r>
    </w:p>
    <w:p w14:paraId="5596B64B" w14:textId="77777777" w:rsidR="007B6AE1" w:rsidRPr="007B6AE1" w:rsidRDefault="007B6AE1" w:rsidP="007B6AE1">
      <w:pPr>
        <w:spacing w:after="120" w:line="276" w:lineRule="auto"/>
        <w:ind w:firstLine="708"/>
        <w:jc w:val="both"/>
        <w:rPr>
          <w:rFonts w:ascii="Verdana" w:eastAsia="Calibri" w:hAnsi="Verdana" w:cs="Arial"/>
          <w:color w:val="000000"/>
        </w:rPr>
      </w:pPr>
      <w:r w:rsidRPr="007B6AE1">
        <w:rPr>
          <w:rFonts w:ascii="Verdana" w:eastAsia="Times New Roman" w:hAnsi="Verdana" w:cs="Arial"/>
          <w:iCs/>
          <w:lang w:val="es-ES" w:eastAsia="es-ES"/>
        </w:rPr>
        <w:t>Ahora bien, e</w:t>
      </w:r>
      <w:r w:rsidRPr="007B6AE1">
        <w:rPr>
          <w:rFonts w:ascii="Verdana" w:eastAsia="Calibri" w:hAnsi="Verdana" w:cs="Arial"/>
          <w:iCs/>
          <w:color w:val="000000"/>
          <w:lang w:val="es-ES"/>
        </w:rPr>
        <w:t>l</w:t>
      </w:r>
      <w:r w:rsidRPr="007B6AE1">
        <w:rPr>
          <w:rFonts w:ascii="Verdana" w:eastAsia="Calibri" w:hAnsi="Verdana" w:cs="Arial"/>
          <w:color w:val="000000"/>
          <w:lang w:val="es-ES"/>
        </w:rPr>
        <w:t xml:space="preserve"> parágrafo 3 del artículo 5 de la Ley 1882 de 2018 determinó, de manera expresa, que “la no entrega de la garantía de seriedad junto con la propuesta no será subsanable y será causal de rechazo de </w:t>
      </w:r>
      <w:proofErr w:type="gramStart"/>
      <w:r w:rsidRPr="007B6AE1">
        <w:rPr>
          <w:rFonts w:ascii="Verdana" w:eastAsia="Calibri" w:hAnsi="Verdana" w:cs="Arial"/>
          <w:color w:val="000000"/>
          <w:lang w:val="es-ES"/>
        </w:rPr>
        <w:t>la misma</w:t>
      </w:r>
      <w:proofErr w:type="gramEnd"/>
      <w:r w:rsidRPr="007B6AE1">
        <w:rPr>
          <w:rFonts w:ascii="Verdana" w:eastAsia="Calibri" w:hAnsi="Verdana" w:cs="Arial"/>
          <w:color w:val="000000"/>
          <w:lang w:val="es-ES"/>
        </w:rPr>
        <w:t>”, dejando claro que se trata de un documento de obligatoria presentación junto con la propuesta y que materializa los principios de seriedad e irrevocabilidad de la oferta.</w:t>
      </w:r>
      <w:r w:rsidRPr="007B6AE1">
        <w:rPr>
          <w:rFonts w:ascii="Verdana" w:eastAsia="Calibri" w:hAnsi="Verdana" w:cs="Arial"/>
          <w:color w:val="000000"/>
        </w:rPr>
        <w:t> </w:t>
      </w:r>
    </w:p>
    <w:p w14:paraId="11DC4EF0" w14:textId="77777777" w:rsidR="007B6AE1" w:rsidRPr="007B6AE1" w:rsidRDefault="007B6AE1" w:rsidP="007B6AE1">
      <w:pPr>
        <w:spacing w:after="0" w:line="276" w:lineRule="auto"/>
        <w:ind w:firstLine="709"/>
        <w:jc w:val="both"/>
        <w:rPr>
          <w:rFonts w:ascii="Verdana" w:eastAsia="Calibri" w:hAnsi="Verdana" w:cs="Arial"/>
          <w:color w:val="000000"/>
        </w:rPr>
      </w:pPr>
      <w:r w:rsidRPr="007B6AE1">
        <w:rPr>
          <w:rFonts w:ascii="Verdana" w:eastAsia="Calibri" w:hAnsi="Verdana" w:cs="Arial"/>
          <w:color w:val="000000"/>
        </w:rPr>
        <w:lastRenderedPageBreak/>
        <w:t>Tratándose de los documentos tipo, el numeral 1.6 del documento base de infraestructura social</w:t>
      </w:r>
      <w:r w:rsidRPr="007B6AE1">
        <w:rPr>
          <w:rFonts w:ascii="Verdana" w:eastAsia="Calibri" w:hAnsi="Verdana" w:cs="Arial"/>
          <w:color w:val="000000"/>
          <w:vertAlign w:val="superscript"/>
        </w:rPr>
        <w:footnoteReference w:id="9"/>
      </w:r>
      <w:r w:rsidRPr="007B6AE1">
        <w:rPr>
          <w:rFonts w:ascii="Verdana" w:eastAsia="Calibri" w:hAnsi="Verdana" w:cs="Arial"/>
          <w:color w:val="000000"/>
        </w:rPr>
        <w:t xml:space="preserve"> contempla las reglas de </w:t>
      </w:r>
      <w:proofErr w:type="spellStart"/>
      <w:r w:rsidRPr="007B6AE1">
        <w:rPr>
          <w:rFonts w:ascii="Verdana" w:eastAsia="Calibri" w:hAnsi="Verdana" w:cs="Arial"/>
          <w:color w:val="000000"/>
        </w:rPr>
        <w:t>subsanabilidad</w:t>
      </w:r>
      <w:proofErr w:type="spellEnd"/>
      <w:r w:rsidRPr="007B6AE1">
        <w:rPr>
          <w:rFonts w:ascii="Verdana" w:eastAsia="Calibri" w:hAnsi="Verdana" w:cs="Arial"/>
          <w:color w:val="000000"/>
        </w:rPr>
        <w:t xml:space="preserve"> de las ofertas, en los siguientes términos:</w:t>
      </w:r>
    </w:p>
    <w:p w14:paraId="4BCD120C" w14:textId="77777777" w:rsidR="007B6AE1" w:rsidRPr="007B6AE1" w:rsidRDefault="007B6AE1" w:rsidP="007B6AE1">
      <w:pPr>
        <w:spacing w:after="0" w:line="276" w:lineRule="auto"/>
        <w:jc w:val="both"/>
        <w:rPr>
          <w:rFonts w:ascii="Verdana" w:eastAsia="Calibri" w:hAnsi="Verdana" w:cs="Arial"/>
          <w:color w:val="000000"/>
        </w:rPr>
      </w:pPr>
    </w:p>
    <w:p w14:paraId="153A2D6E" w14:textId="77777777" w:rsidR="007B6AE1" w:rsidRPr="007B6AE1" w:rsidRDefault="007B6AE1" w:rsidP="007B6AE1">
      <w:pPr>
        <w:spacing w:after="0" w:line="240" w:lineRule="auto"/>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w:t>
      </w:r>
    </w:p>
    <w:p w14:paraId="73ED8AFB" w14:textId="77777777" w:rsidR="007B6AE1" w:rsidRPr="007B6AE1" w:rsidRDefault="007B6AE1" w:rsidP="007B6AE1">
      <w:pPr>
        <w:spacing w:after="0" w:line="240" w:lineRule="auto"/>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 xml:space="preserve">En caso de ser necesario, la Entidad debe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ni tampoco en los factores de desempate, los cuales podrán ser objeto de aclaraciones y explicaciones. Los Proponentes deberán allegar las aclaraciones o documentos requeridos en el momento en el que fueron solicitados durante la etapa de evaluación y a más tardar hasta el término de traslado del informe de evaluación, es decir, dentro de los cinco (5) días hábiles siguientes, contados a partir del día hábil siguiente a la publicación del informe de evaluación. </w:t>
      </w:r>
    </w:p>
    <w:p w14:paraId="7AF9BDF6" w14:textId="77777777" w:rsidR="007B6AE1" w:rsidRPr="007B6AE1" w:rsidRDefault="007B6AE1" w:rsidP="007B6AE1">
      <w:pPr>
        <w:spacing w:after="0" w:line="240" w:lineRule="auto"/>
        <w:ind w:left="709" w:right="709"/>
        <w:jc w:val="both"/>
        <w:rPr>
          <w:rFonts w:ascii="Verdana" w:eastAsia="Calibri" w:hAnsi="Verdana" w:cs="Arial"/>
          <w:color w:val="000000"/>
          <w:sz w:val="21"/>
          <w:szCs w:val="21"/>
        </w:rPr>
      </w:pPr>
    </w:p>
    <w:p w14:paraId="59F96D18" w14:textId="77777777" w:rsidR="007B6AE1" w:rsidRPr="007B6AE1" w:rsidRDefault="007B6AE1" w:rsidP="007B6AE1">
      <w:pPr>
        <w:spacing w:after="0" w:line="240" w:lineRule="auto"/>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En el evento en que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no los haya requerido, podrá hacerlo posteriormente, otorgándole  al Proponente un término igual al establecido para el traslado del informe de evaluación, con el fin de que los allegue. En caso de que sea necesario, la Entidad ajustará el Cronograma. Lo aquí descrito también aplicará cuando la observación a la oferta provenga de otro Proponente y se hubiere realizado en el traslado del informe de evaluación.</w:t>
      </w:r>
    </w:p>
    <w:p w14:paraId="50DB0CC2" w14:textId="77777777" w:rsidR="007B6AE1" w:rsidRPr="007B6AE1" w:rsidRDefault="007B6AE1" w:rsidP="007B6AE1">
      <w:pPr>
        <w:spacing w:after="0" w:line="240" w:lineRule="auto"/>
        <w:ind w:left="709" w:right="709"/>
        <w:jc w:val="both"/>
        <w:rPr>
          <w:rFonts w:ascii="Verdana" w:eastAsia="Calibri" w:hAnsi="Verdana" w:cs="Arial"/>
          <w:color w:val="000000"/>
          <w:sz w:val="21"/>
          <w:szCs w:val="21"/>
        </w:rPr>
      </w:pPr>
    </w:p>
    <w:p w14:paraId="7E853C8C" w14:textId="77777777" w:rsidR="007B6AE1" w:rsidRPr="007B6AE1" w:rsidRDefault="007B6AE1" w:rsidP="007B6AE1">
      <w:pPr>
        <w:spacing w:after="0" w:line="240" w:lineRule="auto"/>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En los procesos adelantados en el SECOP I, las subsanaciones, explicaciones y aclaraciones se presentarán por cualquier medio: en físico, entre las horas de atención al público; o por correo electrónico hasta las 11:59 p. m. del día establecido en el Cronograma. Los adelantados en el SECOP II se subsanarán por medio de mensajes, en la forma prevista en la plataforma.</w:t>
      </w:r>
    </w:p>
    <w:p w14:paraId="5870D167" w14:textId="77777777" w:rsidR="007B6AE1" w:rsidRPr="007B6AE1" w:rsidRDefault="007B6AE1" w:rsidP="007B6AE1">
      <w:pPr>
        <w:spacing w:after="0" w:line="240" w:lineRule="auto"/>
        <w:ind w:left="709" w:right="709"/>
        <w:jc w:val="both"/>
        <w:rPr>
          <w:rFonts w:ascii="Verdana" w:eastAsia="Calibri" w:hAnsi="Verdana" w:cs="Arial"/>
          <w:color w:val="000000"/>
          <w:sz w:val="21"/>
          <w:szCs w:val="21"/>
        </w:rPr>
      </w:pPr>
    </w:p>
    <w:p w14:paraId="7B1E30B6" w14:textId="77777777" w:rsidR="007B6AE1" w:rsidRPr="007B6AE1" w:rsidRDefault="007B6AE1" w:rsidP="007B6AE1">
      <w:pPr>
        <w:spacing w:after="0" w:line="240" w:lineRule="auto"/>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 xml:space="preserve">Todos aquellos requisitos de la oferta que afecten la asignación de puntaje, incluyendo los necesarios para acreditar requisitos de </w:t>
      </w:r>
      <w:r w:rsidRPr="007B6AE1">
        <w:rPr>
          <w:rFonts w:ascii="Verdana" w:eastAsia="Calibri" w:hAnsi="Verdana" w:cs="Arial"/>
          <w:color w:val="000000"/>
          <w:sz w:val="21"/>
          <w:szCs w:val="21"/>
        </w:rPr>
        <w:lastRenderedPageBreak/>
        <w:t>desempate, no son subsanables, por lo que los mismos deben ser aportados por los Proponentes desde la presentación de la oferta. No obstante, pueden ser aclarados o ser objeto de explicación.</w:t>
      </w:r>
    </w:p>
    <w:p w14:paraId="503F9D38" w14:textId="77777777" w:rsidR="007B6AE1" w:rsidRPr="007B6AE1" w:rsidRDefault="007B6AE1" w:rsidP="007B6AE1">
      <w:pPr>
        <w:spacing w:after="0" w:line="240" w:lineRule="auto"/>
        <w:ind w:left="709" w:right="709"/>
        <w:jc w:val="both"/>
        <w:rPr>
          <w:rFonts w:ascii="Verdana" w:eastAsia="Calibri" w:hAnsi="Verdana" w:cs="Arial"/>
          <w:color w:val="000000"/>
          <w:sz w:val="21"/>
          <w:szCs w:val="21"/>
        </w:rPr>
      </w:pPr>
      <w:r w:rsidRPr="007B6AE1">
        <w:rPr>
          <w:rFonts w:ascii="Verdana" w:eastAsia="Calibri" w:hAnsi="Verdana" w:cs="Arial"/>
          <w:color w:val="000000"/>
          <w:sz w:val="21"/>
          <w:szCs w:val="21"/>
        </w:rPr>
        <w:t>[…]”</w:t>
      </w:r>
    </w:p>
    <w:p w14:paraId="337F44C9" w14:textId="77777777" w:rsidR="007B6AE1" w:rsidRPr="007B6AE1" w:rsidRDefault="007B6AE1" w:rsidP="007B6AE1">
      <w:pPr>
        <w:spacing w:after="0" w:line="276" w:lineRule="auto"/>
        <w:ind w:left="709" w:right="709"/>
        <w:jc w:val="both"/>
        <w:rPr>
          <w:rFonts w:ascii="Verdana" w:eastAsia="Calibri" w:hAnsi="Verdana" w:cs="Arial"/>
          <w:color w:val="000000"/>
        </w:rPr>
      </w:pPr>
    </w:p>
    <w:p w14:paraId="347EABE3" w14:textId="77777777" w:rsidR="007B6AE1" w:rsidRPr="007B6AE1" w:rsidRDefault="007B6AE1" w:rsidP="007B6AE1">
      <w:pPr>
        <w:spacing w:after="120" w:line="276" w:lineRule="auto"/>
        <w:ind w:firstLine="709"/>
        <w:jc w:val="both"/>
        <w:rPr>
          <w:rFonts w:ascii="Verdana" w:eastAsia="Calibri" w:hAnsi="Verdana" w:cs="Arial"/>
          <w:color w:val="000000"/>
        </w:rPr>
      </w:pPr>
      <w:r w:rsidRPr="007B6AE1">
        <w:rPr>
          <w:rFonts w:ascii="Verdana" w:eastAsia="Calibri" w:hAnsi="Verdana" w:cs="Arial"/>
          <w:color w:val="000000"/>
        </w:rPr>
        <w:t xml:space="preserve">Como puede observarse, los documentos tipo se encuentran en plena consonancia con lo expuesto en el presente concepto, de acuerdo con las normas aquí referidas. Sin embargo, este es un análisis que deberá realizar la entidad contratante en cada caso concreto, dependiendo de la situación que amerite subsanación. </w:t>
      </w:r>
    </w:p>
    <w:p w14:paraId="7A94E746" w14:textId="77777777" w:rsidR="007B6AE1" w:rsidRPr="007B6AE1" w:rsidRDefault="007B6AE1" w:rsidP="007B6AE1">
      <w:pPr>
        <w:spacing w:after="0" w:line="276" w:lineRule="auto"/>
        <w:ind w:firstLine="709"/>
        <w:jc w:val="both"/>
        <w:rPr>
          <w:rFonts w:ascii="Verdana" w:eastAsia="Calibri" w:hAnsi="Verdana" w:cs="Arial"/>
          <w:color w:val="000000"/>
        </w:rPr>
      </w:pPr>
      <w:r w:rsidRPr="007B6AE1">
        <w:rPr>
          <w:rFonts w:ascii="Verdana" w:eastAsia="Calibri" w:hAnsi="Verdana" w:cs="Arial"/>
          <w:color w:val="000000"/>
        </w:rPr>
        <w:t xml:space="preserve">Ahora bien, el numeral 2.5 del documento base de los documentos tipo en comento, dispone las reglas sobre el </w:t>
      </w:r>
      <w:r w:rsidRPr="007B6AE1">
        <w:rPr>
          <w:rFonts w:ascii="Verdana" w:eastAsia="Calibri" w:hAnsi="Verdana" w:cs="Arial"/>
          <w:i/>
          <w:iCs/>
          <w:color w:val="000000"/>
        </w:rPr>
        <w:t>informe de evaluación de aspectos distintos a la oferta económica,</w:t>
      </w:r>
      <w:r w:rsidRPr="007B6AE1">
        <w:rPr>
          <w:rFonts w:ascii="Verdana" w:eastAsia="Calibri" w:hAnsi="Verdana" w:cs="Arial"/>
          <w:color w:val="000000"/>
        </w:rPr>
        <w:t xml:space="preserve"> en los siguientes términos:</w:t>
      </w:r>
    </w:p>
    <w:p w14:paraId="3D795108" w14:textId="77777777" w:rsidR="007B6AE1" w:rsidRPr="007B6AE1" w:rsidRDefault="007B6AE1" w:rsidP="007B6AE1">
      <w:pPr>
        <w:spacing w:after="0" w:line="276" w:lineRule="auto"/>
        <w:ind w:firstLine="709"/>
        <w:jc w:val="both"/>
        <w:rPr>
          <w:rFonts w:ascii="Verdana" w:eastAsia="Calibri" w:hAnsi="Verdana" w:cs="Arial"/>
          <w:color w:val="000000"/>
        </w:rPr>
      </w:pPr>
    </w:p>
    <w:p w14:paraId="72266942" w14:textId="77777777" w:rsidR="007B6AE1" w:rsidRPr="007B6AE1" w:rsidRDefault="007B6AE1" w:rsidP="007B6AE1">
      <w:pPr>
        <w:spacing w:after="0" w:line="240" w:lineRule="auto"/>
        <w:ind w:left="709" w:right="709"/>
        <w:jc w:val="both"/>
        <w:rPr>
          <w:rFonts w:ascii="Verdana" w:eastAsia="Aptos" w:hAnsi="Verdana" w:cs="Times New Roman"/>
          <w:kern w:val="2"/>
          <w:sz w:val="21"/>
          <w:szCs w:val="21"/>
          <w:lang w:val="es-MX"/>
          <w14:ligatures w14:val="standardContextual"/>
        </w:rPr>
      </w:pPr>
      <w:r w:rsidRPr="007B6AE1">
        <w:rPr>
          <w:rFonts w:ascii="Verdana" w:eastAsia="Aptos" w:hAnsi="Verdana" w:cs="Times New Roman"/>
          <w:kern w:val="2"/>
          <w:sz w:val="21"/>
          <w:szCs w:val="21"/>
          <w:lang w:val="es-MX"/>
          <w14:ligatures w14:val="standardContextual"/>
        </w:rPr>
        <w:t>“En la fecha establecida en el Anexo 2 - Cronograma, la Entidad publicará el informe de evaluación de los documentos e información de los requisitos habilitantes y los documentos a los que se les asigne puntaje, diferentes a la oferta económica, contenidos en el Sobre 1. El informe permanecerá publicado en el SECOP y a disposición de los interesados durante cinco (5) días hábiles, término hasta el cual los Proponentes podrán hacer las observaciones que consideren y entregar los documentos y la información solicitada por la Entidad en los términos señalados en la sección 1.6, salvo que ya lo hubieren hecho en un momento anterior, de conformidad con el mismo numeral citado.</w:t>
      </w:r>
    </w:p>
    <w:p w14:paraId="46A10283" w14:textId="77777777" w:rsidR="007B6AE1" w:rsidRPr="007B6AE1" w:rsidRDefault="007B6AE1" w:rsidP="007B6AE1">
      <w:pPr>
        <w:spacing w:after="0" w:line="240" w:lineRule="auto"/>
        <w:ind w:left="709" w:right="709"/>
        <w:jc w:val="both"/>
        <w:rPr>
          <w:rFonts w:ascii="Verdana" w:eastAsia="Aptos" w:hAnsi="Verdana" w:cs="Times New Roman"/>
          <w:kern w:val="2"/>
          <w:sz w:val="21"/>
          <w:szCs w:val="21"/>
          <w:lang w:val="es-MX"/>
          <w14:ligatures w14:val="standardContextual"/>
        </w:rPr>
      </w:pPr>
      <w:r w:rsidRPr="007B6AE1">
        <w:rPr>
          <w:rFonts w:ascii="Verdana" w:eastAsia="Aptos" w:hAnsi="Verdana" w:cs="Times New Roman"/>
          <w:kern w:val="2"/>
          <w:sz w:val="21"/>
          <w:szCs w:val="21"/>
          <w:lang w:val="es-MX"/>
          <w14:ligatures w14:val="standardContextual"/>
        </w:rPr>
        <w:t>[…]</w:t>
      </w:r>
    </w:p>
    <w:p w14:paraId="29EA270B" w14:textId="77777777" w:rsidR="007B6AE1" w:rsidRPr="007B6AE1" w:rsidRDefault="007B6AE1" w:rsidP="007B6AE1">
      <w:pPr>
        <w:spacing w:after="0" w:line="240" w:lineRule="auto"/>
        <w:ind w:left="709" w:right="709"/>
        <w:jc w:val="both"/>
        <w:rPr>
          <w:rFonts w:ascii="Verdana" w:eastAsia="Aptos" w:hAnsi="Verdana" w:cs="Times New Roman"/>
          <w:kern w:val="2"/>
          <w:sz w:val="21"/>
          <w:szCs w:val="21"/>
          <w:lang w:val="es-MX"/>
          <w14:ligatures w14:val="standardContextual"/>
        </w:rPr>
      </w:pPr>
      <w:r w:rsidRPr="007B6AE1">
        <w:rPr>
          <w:rFonts w:ascii="Verdana" w:eastAsia="Aptos" w:hAnsi="Verdana" w:cs="Times New Roman"/>
          <w:kern w:val="2"/>
          <w:sz w:val="21"/>
          <w:szCs w:val="21"/>
          <w:lang w:val="es-MX"/>
          <w14:ligatures w14:val="standardContextual"/>
        </w:rPr>
        <w:t>Con posterioridad al vencimiento del plazo para presentar observaciones y a más tardar el día antes de la audiencia efectiva de adjudicación, hasta las 11:59 p.m. de acuerdo con lo señalado en el Anexo 2 – Cronograma, la Entidad debe publicar el informe final de evaluación, en caso de que el inicial haya sufrido variaciones”.</w:t>
      </w:r>
    </w:p>
    <w:p w14:paraId="16E8A777" w14:textId="77777777" w:rsidR="007B6AE1" w:rsidRPr="007B6AE1" w:rsidRDefault="007B6AE1" w:rsidP="007B6AE1">
      <w:pPr>
        <w:spacing w:after="0" w:line="276" w:lineRule="auto"/>
        <w:jc w:val="both"/>
        <w:rPr>
          <w:rFonts w:ascii="Verdana" w:eastAsia="Calibri" w:hAnsi="Verdana" w:cs="Arial"/>
          <w:color w:val="000000"/>
        </w:rPr>
      </w:pPr>
    </w:p>
    <w:p w14:paraId="766D4B3B" w14:textId="77777777" w:rsidR="007B6AE1" w:rsidRPr="007B6AE1" w:rsidRDefault="007B6AE1" w:rsidP="007B6AE1">
      <w:pPr>
        <w:spacing w:after="120" w:line="276" w:lineRule="auto"/>
        <w:ind w:firstLine="709"/>
        <w:jc w:val="both"/>
        <w:rPr>
          <w:rFonts w:ascii="Verdana" w:eastAsia="Calibri" w:hAnsi="Verdana" w:cs="Arial"/>
          <w:color w:val="000000"/>
        </w:rPr>
      </w:pPr>
      <w:r w:rsidRPr="007B6AE1">
        <w:rPr>
          <w:rFonts w:ascii="Verdana" w:eastAsia="Calibri" w:hAnsi="Verdana" w:cs="Arial"/>
          <w:color w:val="000000"/>
        </w:rPr>
        <w:t>De acuerdo con lo anterior, se tiene que las entidades contratantes deben publicar en SECOP, durante cinco (5) días hábiles, el informe de evaluación relacionado con los requisitos habilitantes y documentos a los que se les asigne puntaje, diferentes a la oferta económica. Durante este término, los proponentes podrán realizar las observaciones que consideren, así como entregar los documentos e información requerida conforme al numeral 1.6 “REGLAS DE SUBSANABILIDAD, EXPLICACIONES Y ACLARACIONES” del documento base, sin perjuicio de que ya lo hubieren hecho en un momento anterior.</w:t>
      </w:r>
    </w:p>
    <w:p w14:paraId="59EC0FD1" w14:textId="77777777" w:rsidR="007B6AE1" w:rsidRPr="007B6AE1" w:rsidRDefault="007B6AE1" w:rsidP="007B6AE1">
      <w:pPr>
        <w:spacing w:after="120" w:line="276" w:lineRule="auto"/>
        <w:ind w:firstLine="709"/>
        <w:jc w:val="both"/>
        <w:rPr>
          <w:rFonts w:ascii="Verdana" w:eastAsia="Calibri" w:hAnsi="Verdana" w:cs="Arial"/>
          <w:color w:val="000000"/>
        </w:rPr>
      </w:pPr>
      <w:r w:rsidRPr="007B6AE1">
        <w:rPr>
          <w:rFonts w:ascii="Verdana" w:eastAsia="Calibri" w:hAnsi="Verdana" w:cs="Arial"/>
          <w:color w:val="000000"/>
        </w:rPr>
        <w:lastRenderedPageBreak/>
        <w:t xml:space="preserve">A su turno, con posterioridad al vencimiento del plazo para presentar observaciones y a más tardar el día antes de la audiencia efectiva de adjudicación, la entidad debe publicar el informe final de evaluación, en caso de que haya sufrido alteraciones. </w:t>
      </w:r>
    </w:p>
    <w:p w14:paraId="5027A8A8" w14:textId="77777777" w:rsidR="007B6AE1" w:rsidRPr="007B6AE1" w:rsidRDefault="007B6AE1" w:rsidP="007B6AE1">
      <w:pPr>
        <w:spacing w:after="120" w:line="276" w:lineRule="auto"/>
        <w:ind w:firstLine="709"/>
        <w:jc w:val="both"/>
        <w:rPr>
          <w:rFonts w:ascii="Verdana" w:eastAsia="Calibri" w:hAnsi="Verdana" w:cs="Arial"/>
          <w:i/>
          <w:iCs/>
          <w:color w:val="000000"/>
        </w:rPr>
      </w:pPr>
      <w:r w:rsidRPr="007B6AE1">
        <w:rPr>
          <w:rFonts w:ascii="Verdana" w:eastAsia="Calibri" w:hAnsi="Verdana" w:cs="Arial"/>
          <w:color w:val="000000"/>
        </w:rPr>
        <w:t xml:space="preserve">Al margen de lo expuesto, es importante precisar que corresponde a los proponentes subsanar los requisitos habilitantes en los términos y oportunidades previstas por las entidades estatales, aportando, en caso de que sea necesario, los documentos faltantes, en las condiciones señaladas en este concepto. Por lo demás, teniendo en cuenta que los requisitos habilitantes son objeto de verificación por parte de la entidad contratante, conforme al documento base, en caso de que la propuesta cumpla con todos los aspectos, será evaluada como </w:t>
      </w:r>
      <w:r w:rsidRPr="007B6AE1">
        <w:rPr>
          <w:rFonts w:ascii="Verdana" w:eastAsia="Calibri" w:hAnsi="Verdana" w:cs="Arial"/>
          <w:i/>
          <w:iCs/>
          <w:color w:val="000000"/>
        </w:rPr>
        <w:t>“cumple”,</w:t>
      </w:r>
      <w:r w:rsidRPr="007B6AE1">
        <w:rPr>
          <w:rFonts w:ascii="Verdana" w:eastAsia="Calibri" w:hAnsi="Verdana" w:cs="Arial"/>
          <w:color w:val="000000"/>
        </w:rPr>
        <w:t xml:space="preserve"> y en caso contrario, la evaluación será </w:t>
      </w:r>
      <w:r w:rsidRPr="007B6AE1">
        <w:rPr>
          <w:rFonts w:ascii="Verdana" w:eastAsia="Calibri" w:hAnsi="Verdana" w:cs="Arial"/>
          <w:i/>
          <w:iCs/>
          <w:color w:val="000000"/>
        </w:rPr>
        <w:t>“no cumple”.</w:t>
      </w:r>
    </w:p>
    <w:p w14:paraId="1C7E05CE" w14:textId="77777777" w:rsidR="007B6AE1" w:rsidRPr="007B6AE1" w:rsidRDefault="007B6AE1" w:rsidP="007B6AE1">
      <w:pPr>
        <w:spacing w:after="120" w:line="276" w:lineRule="auto"/>
        <w:ind w:firstLine="709"/>
        <w:jc w:val="both"/>
        <w:rPr>
          <w:rFonts w:ascii="Verdana" w:eastAsia="Calibri" w:hAnsi="Verdana" w:cs="Arial"/>
          <w:color w:val="000000"/>
        </w:rPr>
      </w:pPr>
      <w:r w:rsidRPr="0040019C">
        <w:rPr>
          <w:rFonts w:ascii="Verdana" w:eastAsia="Calibri" w:hAnsi="Verdana" w:cs="Arial"/>
          <w:color w:val="000000"/>
        </w:rPr>
        <w:t xml:space="preserve">Sin embargo, la subsanación de la oferta es un análisis que debe realizarse en cada caso concreto, de forma tal que </w:t>
      </w:r>
      <w:proofErr w:type="spellStart"/>
      <w:r w:rsidRPr="0040019C">
        <w:rPr>
          <w:rFonts w:ascii="Verdana" w:eastAsia="Calibri" w:hAnsi="Verdana" w:cs="Arial"/>
          <w:color w:val="000000"/>
        </w:rPr>
        <w:t>si</w:t>
      </w:r>
      <w:proofErr w:type="spellEnd"/>
      <w:r w:rsidRPr="0040019C">
        <w:rPr>
          <w:rFonts w:ascii="Verdana" w:eastAsia="Calibri" w:hAnsi="Verdana" w:cs="Arial"/>
          <w:color w:val="000000"/>
        </w:rPr>
        <w:t>, eventualmente, el documento faltante corresponde a uno que se encuentra dentro de la misma oferta o expediente contractual, podría ser válido que la entidad lo tenga en cuenta aun cuando haya sido aportado en el marco de la acreditación de otra condición o aspecto requerido para participar en el proceso de selección. Es decir, si por ejemplo un proponente ya había aportado el certificado de existencia y representación legal, pero no lo aportó nuevamente para efectos de hacerse acreedor del puntaje por industria nacional, en criterio de esta Agencia, nada impide que se tenga en cuenta el documento ya aportado, siempre y cuando haga parte integral de la oferta presentada, se aporte dentro de las oportunidades previstas, y no mejore o modifique la oferta en aspectos que otorgan puntaje.  En todo caso, este es un análisis de que debe realizarse caso a caso, de acuerdo con las particularidades del proceso de selección y del documento faltante, pues tampoco puede la Entidad, de forma autónoma, acreditar condiciones que el proponente no pretendía demostrar, transgrediendo su autonomía de la voluntad.</w:t>
      </w:r>
    </w:p>
    <w:p w14:paraId="29B18255" w14:textId="77777777" w:rsidR="007B6AE1" w:rsidRPr="007B6AE1" w:rsidRDefault="007B6AE1" w:rsidP="007B6AE1">
      <w:pPr>
        <w:spacing w:after="0" w:line="276" w:lineRule="auto"/>
        <w:ind w:firstLine="709"/>
        <w:jc w:val="both"/>
        <w:rPr>
          <w:rFonts w:ascii="Verdana" w:eastAsia="Calibri" w:hAnsi="Verdana" w:cs="Arial"/>
          <w:color w:val="000000"/>
        </w:rPr>
      </w:pPr>
      <w:r w:rsidRPr="007B6AE1">
        <w:rPr>
          <w:rFonts w:ascii="Verdana" w:eastAsia="Calibri" w:hAnsi="Verdana" w:cs="Arial"/>
          <w:color w:val="000000"/>
        </w:rPr>
        <w:t xml:space="preserve">No obstante, conforme a las reglas de </w:t>
      </w:r>
      <w:proofErr w:type="spellStart"/>
      <w:r w:rsidRPr="007B6AE1">
        <w:rPr>
          <w:rFonts w:ascii="Verdana" w:eastAsia="Calibri" w:hAnsi="Verdana" w:cs="Arial"/>
          <w:color w:val="000000"/>
        </w:rPr>
        <w:t>subsanabilidad</w:t>
      </w:r>
      <w:proofErr w:type="spellEnd"/>
      <w:r w:rsidRPr="007B6AE1">
        <w:rPr>
          <w:rFonts w:ascii="Verdana" w:eastAsia="Calibri" w:hAnsi="Verdana" w:cs="Arial"/>
          <w:color w:val="000000"/>
        </w:rPr>
        <w:t xml:space="preserve"> de las ofertas contempladas en las normas y en los documentos tipo, corresponde a los proponentes presentar sus ofertas de forma completa e íntegra, adjuntando todos los documentos soporte o prueba de las condiciones que pretendan hacer valer, por lo que, en principio, el deber de subsanar y presentar documentos faltantes recae en los oferentes y no en las entidades contratantes.</w:t>
      </w:r>
    </w:p>
    <w:p w14:paraId="19E1D032" w14:textId="77777777" w:rsidR="007B6AE1" w:rsidRPr="007B6AE1" w:rsidRDefault="007B6AE1" w:rsidP="007B6AE1">
      <w:pPr>
        <w:spacing w:after="0" w:line="276" w:lineRule="auto"/>
        <w:jc w:val="both"/>
        <w:rPr>
          <w:rFonts w:ascii="Verdana" w:eastAsia="Calibri" w:hAnsi="Verdana" w:cs="Arial"/>
          <w:color w:val="000000"/>
        </w:rPr>
      </w:pPr>
    </w:p>
    <w:p w14:paraId="06FCD56D" w14:textId="77777777" w:rsidR="007B6AE1" w:rsidRPr="007B6AE1" w:rsidRDefault="007B6AE1" w:rsidP="007B6A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7B6AE1">
        <w:rPr>
          <w:rFonts w:ascii="Verdana" w:eastAsia="Century Gothic" w:hAnsi="Verdana" w:cs="Century Gothic"/>
          <w:b/>
          <w:bCs/>
          <w:lang w:val="es-ES_tradnl"/>
        </w:rPr>
        <w:t>Referencias normativas, jurisprudenciales y otras fuentes:</w:t>
      </w:r>
    </w:p>
    <w:p w14:paraId="2C94601C" w14:textId="77777777" w:rsidR="007B6AE1" w:rsidRPr="007B6AE1" w:rsidRDefault="007B6AE1" w:rsidP="007B6AE1">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7B6AE1" w:rsidRPr="007B6AE1" w14:paraId="38CD97D0" w14:textId="77777777" w:rsidTr="00F7410E">
        <w:trPr>
          <w:trHeight w:val="870"/>
        </w:trPr>
        <w:tc>
          <w:tcPr>
            <w:tcW w:w="8647" w:type="dxa"/>
          </w:tcPr>
          <w:p w14:paraId="5337DDC6" w14:textId="77777777" w:rsidR="007B6AE1" w:rsidRPr="007B6AE1" w:rsidRDefault="007B6AE1" w:rsidP="007B6AE1">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7B6AE1">
              <w:rPr>
                <w:rFonts w:ascii="Verdana" w:eastAsia="Calibri" w:hAnsi="Verdana" w:cs="Arial"/>
                <w:lang w:val="es-ES_tradnl"/>
              </w:rPr>
              <w:t>Ley 816 de 2003, artículo 2.</w:t>
            </w:r>
          </w:p>
          <w:p w14:paraId="2143D956" w14:textId="77777777" w:rsidR="007B6AE1" w:rsidRPr="007B6AE1" w:rsidRDefault="007B6AE1" w:rsidP="007B6AE1">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7B6AE1">
              <w:rPr>
                <w:rFonts w:ascii="Verdana" w:eastAsia="Calibri" w:hAnsi="Verdana" w:cs="Arial"/>
                <w:lang w:val="es-ES_tradnl"/>
              </w:rPr>
              <w:t>Ley 2022 de 2020, artículo 1.</w:t>
            </w:r>
          </w:p>
          <w:p w14:paraId="42F57B01" w14:textId="77777777" w:rsidR="007B6AE1" w:rsidRPr="007B6AE1" w:rsidRDefault="007B6AE1" w:rsidP="007B6AE1">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7B6AE1">
              <w:rPr>
                <w:rFonts w:ascii="Verdana" w:eastAsia="Calibri" w:hAnsi="Verdana" w:cs="Arial"/>
                <w:lang w:val="es-ES_tradnl"/>
              </w:rPr>
              <w:t>Decreto 680 de 2021, artículos 2 y 3.</w:t>
            </w:r>
          </w:p>
          <w:p w14:paraId="5E7CA922" w14:textId="77777777" w:rsidR="007B6AE1" w:rsidRPr="007B6AE1" w:rsidRDefault="007B6AE1" w:rsidP="007B6AE1">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7B6AE1">
              <w:rPr>
                <w:rFonts w:ascii="Verdana" w:eastAsia="Calibri" w:hAnsi="Verdana" w:cs="Arial"/>
                <w:lang w:val="es-ES_tradnl"/>
              </w:rPr>
              <w:t>Decreto 1082 de 2015, artículo 2.2.1.2.4.2.9.</w:t>
            </w:r>
          </w:p>
          <w:p w14:paraId="6F715A09" w14:textId="77777777" w:rsidR="007B6AE1" w:rsidRPr="007B6AE1" w:rsidRDefault="007B6AE1" w:rsidP="007B6AE1">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7B6AE1">
              <w:rPr>
                <w:rFonts w:ascii="Verdana" w:eastAsia="Calibri" w:hAnsi="Verdana" w:cs="Arial"/>
                <w:noProof/>
                <w:lang w:val="es-ES_tradnl"/>
              </w:rPr>
              <w:t xml:space="preserve">Ley 1150 de 2007, artículo 5. Modificado por la Ley 1882 de 2018, parágrafos 1, 3 y 4. </w:t>
            </w:r>
          </w:p>
          <w:p w14:paraId="6A97FF8E" w14:textId="77777777" w:rsidR="007B6AE1" w:rsidRPr="007B6AE1" w:rsidRDefault="007B6AE1" w:rsidP="007B6AE1">
            <w:pPr>
              <w:numPr>
                <w:ilvl w:val="0"/>
                <w:numId w:val="17"/>
              </w:numPr>
              <w:snapToGrid w:val="0"/>
              <w:spacing w:after="120" w:line="276" w:lineRule="auto"/>
              <w:jc w:val="both"/>
              <w:rPr>
                <w:rFonts w:ascii="Verdana" w:eastAsia="Aptos" w:hAnsi="Verdana" w:cs="Arial"/>
                <w:lang w:val="es-ES"/>
              </w:rPr>
            </w:pPr>
            <w:r w:rsidRPr="007B6AE1">
              <w:rPr>
                <w:rFonts w:ascii="Verdana" w:eastAsia="Calibri" w:hAnsi="Verdana" w:cs="Arial"/>
                <w:noProof/>
                <w:lang w:val="es-ES_tradnl"/>
              </w:rPr>
              <w:t>Consejo de Estado. Sala de Consulta y Servicio Civil. Concepto del 20 de mayo de 2010. Exp. 1992. C.P. Enrique José Arboleda Perdomo.</w:t>
            </w:r>
          </w:p>
          <w:p w14:paraId="6433E731" w14:textId="77777777" w:rsidR="007B6AE1" w:rsidRPr="007B6AE1" w:rsidRDefault="007B6AE1" w:rsidP="007B6AE1">
            <w:pPr>
              <w:numPr>
                <w:ilvl w:val="0"/>
                <w:numId w:val="17"/>
              </w:numPr>
              <w:snapToGrid w:val="0"/>
              <w:spacing w:after="120" w:line="276" w:lineRule="auto"/>
              <w:jc w:val="both"/>
              <w:rPr>
                <w:rFonts w:ascii="Verdana" w:eastAsia="Calibri" w:hAnsi="Verdana" w:cs="Arial"/>
                <w:noProof/>
                <w:lang w:val="es-ES_tradnl"/>
              </w:rPr>
            </w:pPr>
            <w:r w:rsidRPr="007B6AE1">
              <w:rPr>
                <w:rFonts w:ascii="Verdana" w:eastAsia="Calibri" w:hAnsi="Verdana" w:cs="Arial"/>
                <w:noProof/>
                <w:lang w:val="es-ES_tradnl"/>
              </w:rPr>
              <w:t>Consejo De Estado. Sección Tercera, Subsección C. Sentencia del 26 de febrero de 2011. C.P. Jaime Orlando Santofimio. Rad. 36.408.</w:t>
            </w:r>
          </w:p>
          <w:p w14:paraId="36391F43" w14:textId="77777777" w:rsidR="007B6AE1" w:rsidRPr="007B6AE1" w:rsidRDefault="007B6AE1" w:rsidP="007B6AE1">
            <w:pPr>
              <w:numPr>
                <w:ilvl w:val="0"/>
                <w:numId w:val="17"/>
              </w:numPr>
              <w:snapToGrid w:val="0"/>
              <w:spacing w:after="120" w:line="276" w:lineRule="auto"/>
              <w:jc w:val="both"/>
              <w:rPr>
                <w:rFonts w:ascii="Verdana" w:eastAsia="Calibri" w:hAnsi="Verdana" w:cs="Arial"/>
                <w:noProof/>
                <w:lang w:val="es-ES_tradnl"/>
              </w:rPr>
            </w:pPr>
            <w:r w:rsidRPr="007B6AE1">
              <w:rPr>
                <w:rFonts w:ascii="Verdana" w:eastAsia="Calibri" w:hAnsi="Verdana" w:cs="Arial"/>
                <w:noProof/>
                <w:lang w:val="es-ES_tradnl"/>
              </w:rPr>
              <w:t>Consejo de Estado. Sección Tercera. Subsección C. Sentencia del 26 de febrero de 2014. C.P. Enrique Gil Botero. Rad. 25.804.</w:t>
            </w:r>
          </w:p>
          <w:p w14:paraId="48712CB9" w14:textId="77777777" w:rsidR="007B6AE1" w:rsidRPr="007B6AE1" w:rsidRDefault="007B6AE1" w:rsidP="007B6AE1">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7B6AE1">
              <w:rPr>
                <w:rFonts w:ascii="Verdana" w:eastAsia="Aptos" w:hAnsi="Verdana" w:cs="Arial"/>
                <w:spacing w:val="2"/>
                <w:lang w:val="es-ES_tradnl" w:eastAsia="es-CO"/>
              </w:rPr>
              <w:t xml:space="preserve">Documentos tipo de licitación de obra pública de infraestructura social –versión 2–. Disponibles en: </w:t>
            </w:r>
            <w:hyperlink r:id="rId11" w:history="1">
              <w:r w:rsidRPr="007B6AE1">
                <w:rPr>
                  <w:rFonts w:ascii="Verdana" w:eastAsia="Aptos" w:hAnsi="Verdana" w:cs="Arial"/>
                  <w:color w:val="467886"/>
                  <w:spacing w:val="2"/>
                  <w:u w:val="single"/>
                  <w:lang w:val="es-ES_tradnl" w:eastAsia="es-CO"/>
                </w:rPr>
                <w:t>https://www.colombiacompra.gov.co/normativa-y-relatoria/documentos-tipo</w:t>
              </w:r>
            </w:hyperlink>
            <w:r w:rsidRPr="007B6AE1">
              <w:rPr>
                <w:rFonts w:ascii="Verdana" w:eastAsia="Aptos" w:hAnsi="Verdana" w:cs="Arial"/>
                <w:spacing w:val="2"/>
                <w:lang w:val="es-ES_tradnl" w:eastAsia="es-CO"/>
              </w:rPr>
              <w:t>.</w:t>
            </w:r>
          </w:p>
        </w:tc>
      </w:tr>
    </w:tbl>
    <w:p w14:paraId="4245E1E6" w14:textId="77777777" w:rsidR="007B6AE1" w:rsidRPr="007B6AE1" w:rsidRDefault="007B6AE1" w:rsidP="007B6AE1">
      <w:pPr>
        <w:widowControl w:val="0"/>
        <w:autoSpaceDE w:val="0"/>
        <w:autoSpaceDN w:val="0"/>
        <w:snapToGrid w:val="0"/>
        <w:spacing w:after="0" w:line="276" w:lineRule="auto"/>
        <w:jc w:val="both"/>
        <w:rPr>
          <w:rFonts w:ascii="Verdana" w:eastAsia="Calibri" w:hAnsi="Verdana" w:cs="Arial"/>
          <w:lang w:val="es-ES_tradnl"/>
        </w:rPr>
      </w:pPr>
    </w:p>
    <w:p w14:paraId="0DF81E82" w14:textId="77777777" w:rsidR="007B6AE1" w:rsidRPr="007B6AE1" w:rsidRDefault="007B6AE1" w:rsidP="007B6A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7B6AE1">
        <w:rPr>
          <w:rFonts w:ascii="Verdana" w:eastAsia="Century Gothic" w:hAnsi="Verdana" w:cs="Century Gothic"/>
          <w:b/>
          <w:bCs/>
          <w:lang w:val="es-ES_tradnl"/>
        </w:rPr>
        <w:t>Doctrina de la Agencia Nacional de Contratación Pública:</w:t>
      </w:r>
    </w:p>
    <w:p w14:paraId="02B70E90" w14:textId="77777777" w:rsidR="007B6AE1" w:rsidRPr="007B6AE1" w:rsidRDefault="007B6AE1" w:rsidP="007B6AE1">
      <w:pPr>
        <w:widowControl w:val="0"/>
        <w:autoSpaceDE w:val="0"/>
        <w:autoSpaceDN w:val="0"/>
        <w:snapToGrid w:val="0"/>
        <w:spacing w:after="0" w:line="276" w:lineRule="auto"/>
        <w:jc w:val="both"/>
        <w:rPr>
          <w:rFonts w:ascii="Verdana" w:eastAsia="Calibri" w:hAnsi="Verdana" w:cs="Arial"/>
          <w:lang w:val="es-ES_tradnl"/>
        </w:rPr>
      </w:pPr>
    </w:p>
    <w:p w14:paraId="43B659AB" w14:textId="77777777" w:rsidR="007B6AE1" w:rsidRPr="007B6AE1" w:rsidRDefault="007B6AE1" w:rsidP="007B6AE1">
      <w:pPr>
        <w:widowControl w:val="0"/>
        <w:autoSpaceDE w:val="0"/>
        <w:autoSpaceDN w:val="0"/>
        <w:spacing w:after="0" w:line="276" w:lineRule="auto"/>
        <w:jc w:val="both"/>
        <w:rPr>
          <w:rFonts w:ascii="Verdana" w:eastAsia="Times New Roman" w:hAnsi="Verdana" w:cs="Arial"/>
          <w:shd w:val="clear" w:color="auto" w:fill="FFFFFF"/>
          <w:lang w:val="es-ES"/>
        </w:rPr>
      </w:pPr>
      <w:r w:rsidRPr="007B6AE1">
        <w:rPr>
          <w:rFonts w:ascii="Verdana" w:eastAsia="Calibri" w:hAnsi="Verdana" w:cs="Arial"/>
          <w:kern w:val="2"/>
          <w:shd w:val="clear" w:color="auto" w:fill="FFFFFF"/>
          <w:lang w:val="es-ES_tradnl"/>
          <w14:ligatures w14:val="standardContextual"/>
        </w:rPr>
        <w:t xml:space="preserve">Esta Agencia se ha pronunciado sobre la aplicación del Decreto 680 de 2021 y el otorgamiento del puntaje por apoyo a la industria nacional en los procedimientos de selección en los conceptos C-527 del 08 de agosto de 2022, C-528 del 17 de agosto de 2022, C-600 del 21 de septiembre de 2022, C-291 de 21 de julio de 2023, C-467 del 5 de diciembre de 2023, C-382 del 6 de mayo de 2025, C-282 del 6 de abril de 2026, entre otros. A su vez, esta Subdirección ha estudiado la regla de </w:t>
      </w:r>
      <w:proofErr w:type="spellStart"/>
      <w:r w:rsidRPr="007B6AE1">
        <w:rPr>
          <w:rFonts w:ascii="Verdana" w:eastAsia="Calibri" w:hAnsi="Verdana" w:cs="Arial"/>
          <w:kern w:val="2"/>
          <w:shd w:val="clear" w:color="auto" w:fill="FFFFFF"/>
          <w:lang w:val="es-ES_tradnl"/>
          <w14:ligatures w14:val="standardContextual"/>
        </w:rPr>
        <w:t>subsanabilidad</w:t>
      </w:r>
      <w:proofErr w:type="spellEnd"/>
      <w:r w:rsidRPr="007B6AE1">
        <w:rPr>
          <w:rFonts w:ascii="Verdana" w:eastAsia="Calibri" w:hAnsi="Verdana" w:cs="Arial"/>
          <w:kern w:val="2"/>
          <w:shd w:val="clear" w:color="auto" w:fill="FFFFFF"/>
          <w:lang w:val="es-ES_tradnl"/>
          <w14:ligatures w14:val="standardContextual"/>
        </w:rPr>
        <w:t xml:space="preserve"> en los procesos de selección, en los conceptos </w:t>
      </w:r>
      <w:r w:rsidRPr="007B6AE1">
        <w:rPr>
          <w:rFonts w:ascii="Verdana" w:eastAsia="Calibri" w:hAnsi="Verdana" w:cs="Arial"/>
          <w:kern w:val="2"/>
          <w:lang w:val="es-ES"/>
          <w14:ligatures w14:val="standardContextual"/>
        </w:rPr>
        <w:t xml:space="preserve">4201913000007643 del 26 de diciembre de 2019, C-343 del 17 de junio de 2020, C-518 del 9 de septiembre de 2020, C-614 del 5 de octubre de 2022, C-882 del 21 de diciembre de 2022, C-172 del 6 de junio de 2023, C-120 del 7 de marzo de 2025, C-1210 del 8 de octubre de 2025, C-1610 del 4 de </w:t>
      </w:r>
      <w:r w:rsidRPr="007B6AE1">
        <w:rPr>
          <w:rFonts w:ascii="Verdana" w:eastAsia="Calibri" w:hAnsi="Verdana" w:cs="Arial"/>
          <w:kern w:val="2"/>
          <w:lang w:val="es-ES"/>
          <w14:ligatures w14:val="standardContextual"/>
        </w:rPr>
        <w:lastRenderedPageBreak/>
        <w:t>diciembre de 2025, C-153 del 13 de marzo de 2026 y C-668 del 2 de junio de 2026.</w:t>
      </w:r>
      <w:r w:rsidRPr="007B6AE1">
        <w:rPr>
          <w:rFonts w:ascii="Verdana" w:eastAsia="Calibri" w:hAnsi="Verdana" w:cs="Arial"/>
          <w:kern w:val="2"/>
          <w:shd w:val="clear" w:color="auto" w:fill="FFFFFF"/>
          <w:lang w:val="es-ES_tradnl"/>
          <w14:ligatures w14:val="standardContextual"/>
        </w:rPr>
        <w:t xml:space="preserve"> </w:t>
      </w:r>
      <w:r w:rsidRPr="007B6AE1">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7B6AE1">
          <w:rPr>
            <w:rFonts w:ascii="Verdana" w:eastAsia="Aptos" w:hAnsi="Verdana" w:cs="Arial"/>
            <w:color w:val="0000FF"/>
            <w:kern w:val="2"/>
            <w:u w:val="single"/>
            <w:shd w:val="clear" w:color="auto" w:fill="FFFFFF"/>
            <w14:ligatures w14:val="standardContextual"/>
          </w:rPr>
          <w:t>https://relatoria.colombiacompra.gov.co/busqueda/conceptos</w:t>
        </w:r>
      </w:hyperlink>
      <w:r w:rsidRPr="007B6AE1">
        <w:rPr>
          <w:rFonts w:ascii="Verdana" w:eastAsia="Aptos" w:hAnsi="Verdana" w:cs="Arial"/>
          <w:kern w:val="2"/>
          <w:shd w:val="clear" w:color="auto" w:fill="FFFFFF"/>
          <w14:ligatures w14:val="standardContextual"/>
        </w:rPr>
        <w:t xml:space="preserve">. </w:t>
      </w:r>
      <w:r w:rsidRPr="007B6AE1">
        <w:rPr>
          <w:rFonts w:ascii="Verdana" w:eastAsia="Aptos" w:hAnsi="Verdana" w:cs="Arial"/>
          <w:color w:val="FF0000"/>
          <w:kern w:val="2"/>
          <w:shd w:val="clear" w:color="auto" w:fill="FFFFFF"/>
          <w:lang w:val="es-ES"/>
          <w14:ligatures w14:val="standardContextual"/>
        </w:rPr>
        <w:t xml:space="preserve">  </w:t>
      </w:r>
    </w:p>
    <w:p w14:paraId="459AC72B" w14:textId="77777777" w:rsidR="007B6AE1" w:rsidRPr="007B6AE1" w:rsidRDefault="007B6AE1" w:rsidP="007B6AE1">
      <w:pPr>
        <w:spacing w:after="0" w:line="240" w:lineRule="auto"/>
        <w:jc w:val="both"/>
        <w:rPr>
          <w:rFonts w:ascii="Verdana" w:eastAsia="Calibri" w:hAnsi="Verdana" w:cs="Arial"/>
          <w:color w:val="000000"/>
          <w:shd w:val="clear" w:color="auto" w:fill="FFFFFF"/>
        </w:rPr>
      </w:pPr>
    </w:p>
    <w:p w14:paraId="5DD7A97E" w14:textId="77777777" w:rsidR="007B6AE1" w:rsidRPr="007B6AE1" w:rsidRDefault="007B6AE1" w:rsidP="007B6AE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7B6AE1">
        <w:rPr>
          <w:rFonts w:ascii="Verdana" w:eastAsia="Calibri" w:hAnsi="Verdana" w:cs="Arial"/>
          <w:kern w:val="2"/>
          <w:shd w:val="clear" w:color="auto" w:fill="FFFFFF"/>
          <w:lang w:val="es-ES_tradnl"/>
          <w14:ligatures w14:val="standardContextual"/>
        </w:rPr>
        <w:t>La</w:t>
      </w:r>
      <w:r w:rsidRPr="007B6AE1">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7B6AE1">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7B6AE1">
        <w:rPr>
          <w:rFonts w:ascii="Verdana" w:eastAsia="Calibri" w:hAnsi="Verdana" w:cs="Arial"/>
          <w:b/>
          <w:bCs/>
          <w:kern w:val="2"/>
          <w:shd w:val="clear" w:color="auto" w:fill="FFFFFF"/>
          <w:lang w:val="es-ES_tradnl"/>
          <w14:ligatures w14:val="standardContextual"/>
        </w:rPr>
        <w:t>Documentos Tipo</w:t>
      </w:r>
      <w:r w:rsidRPr="007B6AE1">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7B6AE1">
        <w:rPr>
          <w:rFonts w:ascii="Verdana" w:eastAsia="Calibri" w:hAnsi="Verdana" w:cs="Arial"/>
          <w:b/>
          <w:bCs/>
          <w:kern w:val="2"/>
          <w:shd w:val="clear" w:color="auto" w:fill="FFFFFF"/>
          <w:lang w:val="es-ES_tradnl"/>
          <w14:ligatures w14:val="standardContextual"/>
        </w:rPr>
        <w:t>transparencia</w:t>
      </w:r>
      <w:r w:rsidRPr="007B6AE1">
        <w:rPr>
          <w:rFonts w:ascii="Verdana" w:eastAsia="Calibri" w:hAnsi="Verdana" w:cs="Arial"/>
          <w:kern w:val="2"/>
          <w:shd w:val="clear" w:color="auto" w:fill="FFFFFF"/>
          <w:lang w:val="es-ES_tradnl"/>
          <w14:ligatures w14:val="standardContextual"/>
        </w:rPr>
        <w:t> y promover un proceso de </w:t>
      </w:r>
      <w:r w:rsidRPr="007B6AE1">
        <w:rPr>
          <w:rFonts w:ascii="Verdana" w:eastAsia="Calibri" w:hAnsi="Verdana" w:cs="Arial"/>
          <w:b/>
          <w:bCs/>
          <w:kern w:val="2"/>
          <w:shd w:val="clear" w:color="auto" w:fill="FFFFFF"/>
          <w:lang w:val="es-ES_tradnl"/>
          <w14:ligatures w14:val="standardContextual"/>
        </w:rPr>
        <w:t>selección objetiva</w:t>
      </w:r>
      <w:r w:rsidRPr="007B6AE1">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58E1DB1" w14:textId="77777777" w:rsidR="007B6AE1" w:rsidRPr="007B6AE1" w:rsidRDefault="007B6AE1" w:rsidP="007B6AE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815DDC1" w14:textId="77777777" w:rsidR="007B6AE1" w:rsidRPr="007B6AE1" w:rsidRDefault="007B6AE1" w:rsidP="007B6AE1">
      <w:pPr>
        <w:spacing w:after="0" w:line="276" w:lineRule="auto"/>
        <w:jc w:val="both"/>
        <w:rPr>
          <w:rFonts w:ascii="Verdana" w:eastAsia="Aptos" w:hAnsi="Verdana" w:cs="Times New Roman"/>
          <w:kern w:val="2"/>
          <w:lang w:val="es-ES_tradnl"/>
          <w14:ligatures w14:val="standardContextual"/>
        </w:rPr>
      </w:pPr>
      <w:r w:rsidRPr="007B6AE1">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7B6AE1">
        <w:rPr>
          <w:rFonts w:ascii="Verdana" w:eastAsia="Aptos" w:hAnsi="Verdana" w:cs="Times New Roman"/>
          <w:b/>
          <w:bCs/>
          <w:kern w:val="2"/>
          <w14:ligatures w14:val="standardContextual"/>
        </w:rPr>
        <w:t>Guía para la Exigencia y Constitución de Garantías en los Procesos de Contratación</w:t>
      </w:r>
      <w:r w:rsidRPr="007B6AE1">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7B6AE1">
          <w:rPr>
            <w:rFonts w:ascii="Verdana" w:eastAsia="Aptos" w:hAnsi="Verdana" w:cs="Times New Roman"/>
            <w:color w:val="0000FF"/>
            <w:kern w:val="2"/>
            <w:u w:val="single"/>
            <w14:ligatures w14:val="standardContextual"/>
          </w:rPr>
          <w:t>https://www.colombiacompra.gov.co/archivos/manual/guia-de-garantias-en-procesos-de-contratacion</w:t>
        </w:r>
      </w:hyperlink>
    </w:p>
    <w:p w14:paraId="69E8EF68" w14:textId="77777777" w:rsidR="007B6AE1" w:rsidRPr="007B6AE1" w:rsidRDefault="007B6AE1" w:rsidP="007B6AE1">
      <w:pPr>
        <w:spacing w:after="0" w:line="276" w:lineRule="auto"/>
        <w:jc w:val="both"/>
        <w:rPr>
          <w:rFonts w:ascii="Verdana" w:eastAsia="Aptos" w:hAnsi="Verdana" w:cs="Times New Roman"/>
          <w:kern w:val="2"/>
          <w14:ligatures w14:val="standardContextual"/>
        </w:rPr>
      </w:pPr>
    </w:p>
    <w:p w14:paraId="28354EC3" w14:textId="77777777" w:rsidR="007B6AE1" w:rsidRPr="007B6AE1" w:rsidRDefault="007B6AE1" w:rsidP="007B6AE1">
      <w:pPr>
        <w:spacing w:after="0" w:line="276" w:lineRule="auto"/>
        <w:jc w:val="both"/>
        <w:rPr>
          <w:rFonts w:ascii="Verdana" w:eastAsia="Aptos" w:hAnsi="Verdana" w:cs="Times New Roman"/>
          <w:kern w:val="2"/>
          <w:lang w:val="es-ES_tradnl"/>
          <w14:ligatures w14:val="standardContextual"/>
        </w:rPr>
      </w:pPr>
      <w:r w:rsidRPr="007B6AE1">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7B6AE1">
        <w:rPr>
          <w:rFonts w:ascii="Verdana" w:eastAsia="Aptos" w:hAnsi="Verdana" w:cs="Times New Roman"/>
          <w:b/>
          <w:bCs/>
          <w:kern w:val="2"/>
          <w14:ligatures w14:val="standardContextual"/>
        </w:rPr>
        <w:t>Sistema Integral de Preferencias en favor de las personas con discapacidad</w:t>
      </w:r>
      <w:r w:rsidRPr="007B6AE1">
        <w:rPr>
          <w:rFonts w:ascii="Verdana" w:eastAsia="Aptos" w:hAnsi="Verdana" w:cs="Times New Roman"/>
          <w:kern w:val="2"/>
          <w14:ligatures w14:val="standardContextual"/>
        </w:rPr>
        <w:t>, en cumplimiento del artículo 13 de la Ley Estatutaria 1618 de 2013. Para orientar su aplicación, esta Agencia expidió la </w:t>
      </w:r>
      <w:r w:rsidRPr="007B6AE1">
        <w:rPr>
          <w:rFonts w:ascii="Verdana" w:eastAsia="Aptos" w:hAnsi="Verdana" w:cs="Times New Roman"/>
          <w:b/>
          <w:bCs/>
          <w:kern w:val="2"/>
          <w14:ligatures w14:val="standardContextual"/>
        </w:rPr>
        <w:t>Circular Externa 003 del 12 de mayo de 2026, </w:t>
      </w:r>
      <w:r w:rsidRPr="007B6AE1">
        <w:rPr>
          <w:rFonts w:ascii="Verdana" w:eastAsia="Aptos" w:hAnsi="Verdana" w:cs="Times New Roman"/>
          <w:kern w:val="2"/>
          <w14:ligatures w14:val="standardContextual"/>
        </w:rPr>
        <w:t xml:space="preserve">en la que precisa quiénes </w:t>
      </w:r>
      <w:r w:rsidRPr="007B6AE1">
        <w:rPr>
          <w:rFonts w:ascii="Verdana" w:eastAsia="Aptos" w:hAnsi="Verdana" w:cs="Times New Roman"/>
          <w:kern w:val="2"/>
          <w14:ligatures w14:val="standardContextual"/>
        </w:rPr>
        <w:lastRenderedPageBreak/>
        <w:t>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7B6AE1">
          <w:rPr>
            <w:rFonts w:ascii="Verdana" w:eastAsia="Aptos" w:hAnsi="Verdana" w:cs="Times New Roman"/>
            <w:color w:val="0000FF"/>
            <w:kern w:val="2"/>
            <w:u w:val="single"/>
            <w14:ligatures w14:val="standardContextual"/>
          </w:rPr>
          <w:t>https://www.colombiacompra.gov.co/archivos/circular/circular-externa-003-de-2026</w:t>
        </w:r>
      </w:hyperlink>
    </w:p>
    <w:p w14:paraId="201B4A7C" w14:textId="77777777" w:rsidR="007B6AE1" w:rsidRPr="007B6AE1" w:rsidRDefault="007B6AE1" w:rsidP="007B6AE1">
      <w:pPr>
        <w:spacing w:after="0" w:line="276" w:lineRule="auto"/>
        <w:jc w:val="both"/>
        <w:rPr>
          <w:rFonts w:ascii="Verdana" w:eastAsia="Aptos" w:hAnsi="Verdana" w:cs="Times New Roman"/>
          <w:kern w:val="2"/>
          <w14:ligatures w14:val="standardContextual"/>
        </w:rPr>
      </w:pPr>
    </w:p>
    <w:p w14:paraId="52054100" w14:textId="77777777" w:rsidR="007B6AE1" w:rsidRPr="007B6AE1" w:rsidRDefault="007B6AE1" w:rsidP="007B6AE1">
      <w:pPr>
        <w:spacing w:after="0" w:line="276" w:lineRule="auto"/>
        <w:jc w:val="both"/>
        <w:rPr>
          <w:rFonts w:ascii="Verdana" w:eastAsia="Aptos" w:hAnsi="Verdana" w:cs="Times New Roman"/>
          <w:kern w:val="2"/>
          <w:lang w:val="es-ES_tradnl"/>
          <w14:ligatures w14:val="standardContextual"/>
        </w:rPr>
      </w:pPr>
      <w:r w:rsidRPr="007B6AE1">
        <w:rPr>
          <w:rFonts w:ascii="Verdana" w:eastAsia="Aptos" w:hAnsi="Verdana" w:cs="Times New Roman"/>
          <w:kern w:val="2"/>
          <w14:ligatures w14:val="standardContextual"/>
        </w:rPr>
        <w:t>Recuerde también que la</w:t>
      </w:r>
      <w:r w:rsidRPr="007B6AE1">
        <w:rPr>
          <w:rFonts w:ascii="Verdana" w:eastAsia="Aptos" w:hAnsi="Verdana" w:cs="Times New Roman"/>
          <w:b/>
          <w:bCs/>
          <w:kern w:val="2"/>
          <w14:ligatures w14:val="standardContextual"/>
        </w:rPr>
        <w:t> información sobre sanciones e inhabilidades </w:t>
      </w:r>
      <w:r w:rsidRPr="007B6AE1">
        <w:rPr>
          <w:rFonts w:ascii="Verdana" w:eastAsia="Aptos" w:hAnsi="Verdana" w:cs="Times New Roman"/>
          <w:kern w:val="2"/>
          <w14:ligatures w14:val="standardContextual"/>
        </w:rPr>
        <w:t>solo cumple su función preventiva si llega oportunamente a los registros públicos. Sobre este deber, esta Agencia expidió la </w:t>
      </w:r>
      <w:r w:rsidRPr="007B6AE1">
        <w:rPr>
          <w:rFonts w:ascii="Verdana" w:eastAsia="Aptos" w:hAnsi="Verdana" w:cs="Times New Roman"/>
          <w:b/>
          <w:bCs/>
          <w:kern w:val="2"/>
          <w14:ligatures w14:val="standardContextual"/>
        </w:rPr>
        <w:t>Circular Externa 002 del 5 de mayo de 2026,</w:t>
      </w:r>
      <w:r w:rsidRPr="007B6AE1">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7B6AE1">
          <w:rPr>
            <w:rFonts w:ascii="Verdana" w:eastAsia="Aptos" w:hAnsi="Verdana" w:cs="Times New Roman"/>
            <w:color w:val="0000FF"/>
            <w:kern w:val="2"/>
            <w:u w:val="single"/>
            <w14:ligatures w14:val="standardContextual"/>
          </w:rPr>
          <w:t>https://www.colombiacompra.gov.co/archivos/circular/circular-externa-002-de-2026</w:t>
        </w:r>
      </w:hyperlink>
    </w:p>
    <w:p w14:paraId="2E9B818E" w14:textId="77777777" w:rsidR="007B6AE1" w:rsidRPr="007B6AE1" w:rsidRDefault="007B6AE1" w:rsidP="007B6AE1">
      <w:pPr>
        <w:spacing w:after="0" w:line="276" w:lineRule="auto"/>
        <w:jc w:val="both"/>
        <w:rPr>
          <w:rFonts w:ascii="Verdana" w:eastAsia="Aptos" w:hAnsi="Verdana" w:cs="Times New Roman"/>
          <w:kern w:val="2"/>
          <w14:ligatures w14:val="standardContextual"/>
        </w:rPr>
      </w:pPr>
    </w:p>
    <w:p w14:paraId="1EC5F549" w14:textId="77777777" w:rsidR="007B6AE1" w:rsidRPr="007B6AE1" w:rsidRDefault="007B6AE1" w:rsidP="007B6AE1">
      <w:pPr>
        <w:spacing w:after="0" w:line="276" w:lineRule="auto"/>
        <w:jc w:val="both"/>
        <w:rPr>
          <w:rFonts w:ascii="Verdana" w:eastAsia="Aptos" w:hAnsi="Verdana" w:cs="Times New Roman"/>
          <w:kern w:val="2"/>
          <w14:ligatures w14:val="standardContextual"/>
        </w:rPr>
      </w:pPr>
      <w:r w:rsidRPr="007B6AE1">
        <w:rPr>
          <w:rFonts w:ascii="Verdana" w:eastAsia="Aptos" w:hAnsi="Verdana" w:cs="Times New Roman"/>
          <w:kern w:val="2"/>
          <w14:ligatures w14:val="standardContextual"/>
        </w:rPr>
        <w:t>Si quiere seguir de cerca la actividad de la Agencia, la tercera edición de 2026 del</w:t>
      </w:r>
      <w:r w:rsidRPr="007B6AE1">
        <w:rPr>
          <w:rFonts w:ascii="Verdana" w:eastAsia="Aptos" w:hAnsi="Verdana" w:cs="Times New Roman"/>
          <w:b/>
          <w:bCs/>
          <w:kern w:val="2"/>
          <w14:ligatures w14:val="standardContextual"/>
        </w:rPr>
        <w:t> Radar de la Compra Pública</w:t>
      </w:r>
      <w:r w:rsidRPr="007B6AE1">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7B6AE1">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2B5FBD0D" w14:textId="77777777" w:rsidR="007B6AE1" w:rsidRPr="007B6AE1" w:rsidRDefault="007B6AE1" w:rsidP="007B6AE1">
      <w:pPr>
        <w:widowControl w:val="0"/>
        <w:autoSpaceDE w:val="0"/>
        <w:autoSpaceDN w:val="0"/>
        <w:spacing w:after="0" w:line="276" w:lineRule="auto"/>
        <w:jc w:val="both"/>
        <w:rPr>
          <w:rFonts w:ascii="Verdana" w:eastAsia="Calibri" w:hAnsi="Verdana" w:cs="Arial"/>
          <w:shd w:val="clear" w:color="auto" w:fill="FFFFFF"/>
          <w:lang w:val="es-ES_tradnl"/>
        </w:rPr>
      </w:pPr>
    </w:p>
    <w:p w14:paraId="12E452CC" w14:textId="77777777" w:rsidR="007B6AE1" w:rsidRPr="007B6AE1" w:rsidRDefault="007B6AE1" w:rsidP="007B6AE1">
      <w:pPr>
        <w:spacing w:after="0" w:line="276" w:lineRule="auto"/>
        <w:jc w:val="both"/>
        <w:rPr>
          <w:rFonts w:ascii="Verdana" w:eastAsia="Calibri" w:hAnsi="Verdana" w:cs="Times New Roman"/>
          <w:lang w:val="es-ES_tradnl"/>
        </w:rPr>
      </w:pPr>
      <w:r w:rsidRPr="007B6AE1">
        <w:rPr>
          <w:rFonts w:ascii="Verdana" w:eastAsia="Calibri" w:hAnsi="Verdana" w:cs="Times New Roman"/>
          <w:lang w:val="es-ES_tradnl"/>
        </w:rPr>
        <w:t xml:space="preserve">Por último, los invitamos a seguirnos en las redes sociales, en las cuales se difunde información institucional: </w:t>
      </w:r>
    </w:p>
    <w:p w14:paraId="5C4922FD" w14:textId="77777777" w:rsidR="007B6AE1" w:rsidRPr="007B6AE1" w:rsidRDefault="007B6AE1" w:rsidP="007B6AE1">
      <w:pPr>
        <w:spacing w:after="0" w:line="276" w:lineRule="auto"/>
        <w:jc w:val="both"/>
        <w:rPr>
          <w:rFonts w:ascii="Verdana" w:eastAsia="Aptos" w:hAnsi="Verdana" w:cs="Times New Roman"/>
          <w:lang w:eastAsia="es-MX"/>
        </w:rPr>
      </w:pPr>
    </w:p>
    <w:p w14:paraId="7CD03DAA" w14:textId="77777777" w:rsidR="007B6AE1" w:rsidRPr="007B6AE1" w:rsidRDefault="007B6AE1" w:rsidP="007B6AE1">
      <w:pPr>
        <w:spacing w:after="0" w:line="276" w:lineRule="auto"/>
        <w:jc w:val="both"/>
        <w:rPr>
          <w:rFonts w:ascii="Verdana" w:eastAsia="Aptos" w:hAnsi="Verdana" w:cs="Times New Roman"/>
          <w:lang w:eastAsia="es-MX"/>
        </w:rPr>
      </w:pPr>
      <w:r w:rsidRPr="007B6AE1">
        <w:rPr>
          <w:rFonts w:ascii="Verdana" w:eastAsia="Aptos" w:hAnsi="Verdana" w:cs="Times New Roman"/>
          <w:lang w:eastAsia="es-MX"/>
        </w:rPr>
        <w:t xml:space="preserve">X: </w:t>
      </w:r>
      <w:r w:rsidRPr="007B6AE1">
        <w:rPr>
          <w:rFonts w:ascii="Verdana" w:eastAsia="Calibri" w:hAnsi="Verdana" w:cs="Times New Roman"/>
          <w:color w:val="156082"/>
          <w:u w:val="single"/>
          <w:lang w:eastAsia="es-MX"/>
        </w:rPr>
        <w:t>@colombiacompra</w:t>
      </w:r>
      <w:r w:rsidRPr="007B6AE1">
        <w:rPr>
          <w:rFonts w:ascii="Verdana" w:eastAsia="Calibri" w:hAnsi="Verdana" w:cs="Times New Roman"/>
          <w:color w:val="156082"/>
          <w:lang w:eastAsia="es-MX"/>
        </w:rPr>
        <w:t xml:space="preserve"> </w:t>
      </w:r>
    </w:p>
    <w:p w14:paraId="5BDAA954" w14:textId="77777777" w:rsidR="007B6AE1" w:rsidRPr="007B6AE1" w:rsidRDefault="007B6AE1" w:rsidP="007B6AE1">
      <w:pPr>
        <w:spacing w:after="0" w:line="276" w:lineRule="auto"/>
        <w:jc w:val="both"/>
        <w:rPr>
          <w:rFonts w:ascii="Verdana" w:eastAsia="Aptos" w:hAnsi="Verdana" w:cs="Times New Roman"/>
          <w:lang w:eastAsia="es-MX"/>
        </w:rPr>
      </w:pPr>
      <w:r w:rsidRPr="007B6AE1">
        <w:rPr>
          <w:rFonts w:ascii="Verdana" w:eastAsia="Aptos" w:hAnsi="Verdana" w:cs="Times New Roman"/>
          <w:lang w:eastAsia="es-MX"/>
        </w:rPr>
        <w:t xml:space="preserve">Facebook: </w:t>
      </w:r>
      <w:proofErr w:type="spellStart"/>
      <w:r w:rsidRPr="007B6AE1">
        <w:rPr>
          <w:rFonts w:ascii="Verdana" w:eastAsia="Calibri" w:hAnsi="Verdana" w:cs="Times New Roman"/>
          <w:color w:val="156082"/>
          <w:u w:val="single"/>
          <w:lang w:eastAsia="es-MX"/>
        </w:rPr>
        <w:t>ColombiaCompraEficiente</w:t>
      </w:r>
      <w:proofErr w:type="spellEnd"/>
    </w:p>
    <w:p w14:paraId="6E9EDE0B" w14:textId="77777777" w:rsidR="007B6AE1" w:rsidRPr="007B6AE1" w:rsidRDefault="007B6AE1" w:rsidP="007B6AE1">
      <w:pPr>
        <w:spacing w:after="0" w:line="276" w:lineRule="auto"/>
        <w:jc w:val="both"/>
        <w:rPr>
          <w:rFonts w:ascii="Verdana" w:eastAsia="Aptos" w:hAnsi="Verdana" w:cs="Times New Roman"/>
          <w:lang w:eastAsia="es-MX"/>
        </w:rPr>
      </w:pPr>
      <w:r w:rsidRPr="007B6AE1">
        <w:rPr>
          <w:rFonts w:ascii="Verdana" w:eastAsia="Aptos" w:hAnsi="Verdana" w:cs="Times New Roman"/>
          <w:lang w:eastAsia="es-MX"/>
        </w:rPr>
        <w:t xml:space="preserve">LinkedIn: </w:t>
      </w:r>
      <w:r w:rsidRPr="007B6AE1">
        <w:rPr>
          <w:rFonts w:ascii="Verdana" w:eastAsia="Calibri" w:hAnsi="Verdana" w:cs="Times New Roman"/>
          <w:color w:val="156082"/>
          <w:u w:val="single"/>
          <w:lang w:eastAsia="es-MX"/>
        </w:rPr>
        <w:t>Agencia Nacional de Contratación Pública - Colombia Compra Eficiente</w:t>
      </w:r>
      <w:r w:rsidRPr="007B6AE1">
        <w:rPr>
          <w:rFonts w:ascii="Verdana" w:eastAsia="Calibri" w:hAnsi="Verdana" w:cs="Times New Roman"/>
          <w:color w:val="156082"/>
          <w:lang w:eastAsia="es-MX"/>
        </w:rPr>
        <w:t xml:space="preserve"> </w:t>
      </w:r>
      <w:r w:rsidRPr="007B6AE1">
        <w:rPr>
          <w:rFonts w:ascii="Verdana" w:eastAsia="Aptos" w:hAnsi="Verdana" w:cs="Times New Roman"/>
          <w:lang w:eastAsia="es-MX"/>
        </w:rPr>
        <w:t xml:space="preserve">Instagram: </w:t>
      </w:r>
      <w:r w:rsidRPr="007B6AE1">
        <w:rPr>
          <w:rFonts w:ascii="Verdana" w:eastAsia="Calibri" w:hAnsi="Verdana" w:cs="Times New Roman"/>
          <w:color w:val="156082"/>
          <w:u w:val="single"/>
          <w:lang w:eastAsia="es-MX"/>
        </w:rPr>
        <w:t>@colombiacompraeficiente_cce</w:t>
      </w:r>
    </w:p>
    <w:p w14:paraId="5FB946BA" w14:textId="77777777" w:rsidR="007B6AE1" w:rsidRPr="007B6AE1" w:rsidRDefault="007B6AE1" w:rsidP="007B6AE1">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61DB3BCA" w14:textId="77777777" w:rsidR="007B6AE1" w:rsidRPr="007B6AE1" w:rsidRDefault="007B6AE1" w:rsidP="007B6AE1">
      <w:pPr>
        <w:widowControl w:val="0"/>
        <w:autoSpaceDE w:val="0"/>
        <w:autoSpaceDN w:val="0"/>
        <w:spacing w:after="0" w:line="276" w:lineRule="auto"/>
        <w:jc w:val="both"/>
        <w:rPr>
          <w:rFonts w:ascii="Verdana" w:eastAsia="Calibri" w:hAnsi="Verdana" w:cs="Arial"/>
          <w:kern w:val="2"/>
          <w:lang w:val="es-ES_tradnl"/>
          <w14:ligatures w14:val="standardContextual"/>
        </w:rPr>
      </w:pPr>
      <w:r w:rsidRPr="007B6AE1">
        <w:rPr>
          <w:rFonts w:ascii="Verdana" w:eastAsia="Calibri" w:hAnsi="Verdana" w:cs="Arial"/>
          <w:kern w:val="2"/>
          <w:lang w:val="es-ES_tradnl"/>
          <w14:ligatures w14:val="standardContextual"/>
        </w:rPr>
        <w:t xml:space="preserve">Este concepto tiene el alcance previsto en el artículo 28 del Código de </w:t>
      </w:r>
      <w:r w:rsidRPr="007B6AE1">
        <w:rPr>
          <w:rFonts w:ascii="Verdana" w:eastAsia="Calibri" w:hAnsi="Verdana" w:cs="Arial"/>
          <w:kern w:val="2"/>
          <w:lang w:val="es-ES_tradnl"/>
          <w14:ligatures w14:val="standardContextual"/>
        </w:rPr>
        <w:lastRenderedPageBreak/>
        <w:t>Procedimiento Administrativo y de lo Contencioso Administrativo y las expresiones aquí utilizadas con mayúscula inicial deben ser entendidas con el significado que les otorga el artículo 2.2.1.1.1.3.1. del Decreto 1082 de 2015.</w:t>
      </w:r>
    </w:p>
    <w:p w14:paraId="329195A4" w14:textId="77777777" w:rsidR="007B6AE1" w:rsidRPr="007B6AE1" w:rsidRDefault="007B6AE1" w:rsidP="007B6AE1">
      <w:pPr>
        <w:widowControl w:val="0"/>
        <w:autoSpaceDE w:val="0"/>
        <w:autoSpaceDN w:val="0"/>
        <w:spacing w:after="0" w:line="276" w:lineRule="auto"/>
        <w:jc w:val="both"/>
        <w:rPr>
          <w:rFonts w:ascii="Verdana" w:eastAsia="Calibri" w:hAnsi="Verdana" w:cs="Arial"/>
          <w:lang w:val="es-ES_tradnl"/>
        </w:rPr>
      </w:pPr>
    </w:p>
    <w:p w14:paraId="16268594" w14:textId="77777777" w:rsidR="007B6AE1" w:rsidRPr="007B6AE1" w:rsidRDefault="007B6AE1" w:rsidP="007B6AE1">
      <w:pPr>
        <w:spacing w:after="0" w:line="240" w:lineRule="auto"/>
        <w:rPr>
          <w:rFonts w:ascii="Verdana" w:eastAsia="Calibri" w:hAnsi="Verdana" w:cs="Arial"/>
          <w:lang w:val="es-ES_tradnl" w:eastAsia="es-CO"/>
        </w:rPr>
      </w:pPr>
      <w:r w:rsidRPr="007B6AE1">
        <w:rPr>
          <w:rFonts w:ascii="Verdana" w:eastAsia="Times New Roman" w:hAnsi="Verdana" w:cs="Arial"/>
          <w:lang w:val="es-ES_tradnl" w:eastAsia="es-CO"/>
        </w:rPr>
        <w:t>Atentamente,</w:t>
      </w:r>
      <w:r w:rsidRPr="007B6AE1">
        <w:rPr>
          <w:rFonts w:ascii="Verdana" w:eastAsia="Calibri" w:hAnsi="Verdana" w:cs="Arial"/>
          <w:lang w:val="es-ES_tradnl" w:eastAsia="es-CO"/>
        </w:rPr>
        <w:t xml:space="preserve"> </w:t>
      </w:r>
    </w:p>
    <w:p w14:paraId="5EDF3FCD" w14:textId="71DB8D28" w:rsidR="007B6AE1" w:rsidRPr="007B6AE1" w:rsidRDefault="00E5794B" w:rsidP="007B6AE1">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0EC33B42" wp14:editId="72C5130A">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B6AE1" w:rsidRPr="007B6AE1" w14:paraId="483B8B1A" w14:textId="77777777" w:rsidTr="00F7410E">
        <w:trPr>
          <w:trHeight w:val="315"/>
        </w:trPr>
        <w:tc>
          <w:tcPr>
            <w:tcW w:w="893" w:type="dxa"/>
            <w:vAlign w:val="center"/>
            <w:hideMark/>
          </w:tcPr>
          <w:p w14:paraId="359F8ECA" w14:textId="77777777" w:rsidR="007B6AE1" w:rsidRPr="007B6AE1" w:rsidRDefault="007B6AE1" w:rsidP="007B6AE1">
            <w:pPr>
              <w:rPr>
                <w:rFonts w:ascii="Verdana" w:eastAsia="Calibri" w:hAnsi="Verdana" w:cs="Arial"/>
                <w:sz w:val="16"/>
                <w:szCs w:val="16"/>
                <w:lang w:val="es-ES_tradnl" w:eastAsia="es-ES"/>
              </w:rPr>
            </w:pPr>
            <w:r w:rsidRPr="007B6AE1">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535A3C3" w14:textId="77777777" w:rsidR="007B6AE1" w:rsidRPr="007B6AE1" w:rsidRDefault="007B6AE1" w:rsidP="007B6AE1">
            <w:pPr>
              <w:rPr>
                <w:rFonts w:ascii="Verdana" w:eastAsia="Arial" w:hAnsi="Verdana" w:cs="Arial"/>
                <w:sz w:val="16"/>
                <w:szCs w:val="16"/>
                <w:lang w:val="es-ES"/>
              </w:rPr>
            </w:pPr>
            <w:r w:rsidRPr="007B6AE1">
              <w:rPr>
                <w:rFonts w:ascii="Verdana" w:eastAsia="Arial" w:hAnsi="Verdana" w:cs="Arial"/>
                <w:sz w:val="16"/>
                <w:szCs w:val="16"/>
                <w:lang w:val="es-ES"/>
              </w:rPr>
              <w:t>Kevin Arlid Herrera Santa</w:t>
            </w:r>
          </w:p>
          <w:p w14:paraId="35D85B83" w14:textId="77777777" w:rsidR="007B6AE1" w:rsidRPr="007B6AE1" w:rsidRDefault="007B6AE1" w:rsidP="007B6AE1">
            <w:pPr>
              <w:rPr>
                <w:rFonts w:ascii="Verdana" w:eastAsia="Arial" w:hAnsi="Verdana" w:cs="Arial"/>
                <w:sz w:val="16"/>
                <w:szCs w:val="16"/>
                <w:lang w:val="es-ES_tradnl"/>
              </w:rPr>
            </w:pPr>
            <w:r w:rsidRPr="007B6AE1">
              <w:rPr>
                <w:rFonts w:ascii="Verdana" w:eastAsia="Arial" w:hAnsi="Verdana" w:cs="Arial"/>
                <w:sz w:val="16"/>
                <w:szCs w:val="16"/>
                <w:lang w:val="es-ES_tradnl"/>
              </w:rPr>
              <w:t xml:space="preserve">Contratista de la Subdirección de Gestión Contractual </w:t>
            </w:r>
          </w:p>
        </w:tc>
      </w:tr>
      <w:tr w:rsidR="007B6AE1" w:rsidRPr="007B6AE1" w14:paraId="1E0A26D3" w14:textId="77777777" w:rsidTr="00F7410E">
        <w:trPr>
          <w:trHeight w:val="330"/>
        </w:trPr>
        <w:tc>
          <w:tcPr>
            <w:tcW w:w="893" w:type="dxa"/>
            <w:vAlign w:val="center"/>
            <w:hideMark/>
          </w:tcPr>
          <w:p w14:paraId="2F544E78" w14:textId="77777777" w:rsidR="007B6AE1" w:rsidRPr="007B6AE1" w:rsidRDefault="007B6AE1" w:rsidP="007B6AE1">
            <w:pPr>
              <w:rPr>
                <w:rFonts w:ascii="Verdana" w:eastAsia="Calibri" w:hAnsi="Verdana" w:cs="Arial"/>
                <w:sz w:val="16"/>
                <w:szCs w:val="16"/>
                <w:lang w:val="es-ES_tradnl" w:eastAsia="es-ES"/>
              </w:rPr>
            </w:pPr>
            <w:r w:rsidRPr="007B6AE1">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50532C42" w14:textId="77777777" w:rsidR="007B6AE1" w:rsidRPr="007B6AE1" w:rsidRDefault="007B6AE1" w:rsidP="007B6AE1">
            <w:pPr>
              <w:textAlignment w:val="baseline"/>
              <w:rPr>
                <w:rFonts w:ascii="Verdana" w:eastAsia="Times New Roman" w:hAnsi="Verdana" w:cs="Segoe UI"/>
                <w:sz w:val="16"/>
                <w:szCs w:val="16"/>
                <w:lang w:val="es-ES" w:eastAsia="es-ES"/>
              </w:rPr>
            </w:pPr>
            <w:r w:rsidRPr="007B6AE1">
              <w:rPr>
                <w:rFonts w:ascii="Verdana" w:eastAsia="Times New Roman" w:hAnsi="Verdana" w:cs="Segoe UI"/>
                <w:sz w:val="16"/>
                <w:szCs w:val="16"/>
                <w:lang w:val="es-ES" w:eastAsia="es-ES"/>
              </w:rPr>
              <w:t>Martha Alicia Romero Vargas</w:t>
            </w:r>
          </w:p>
          <w:p w14:paraId="21D5B193" w14:textId="77777777" w:rsidR="007B6AE1" w:rsidRPr="007B6AE1" w:rsidRDefault="007B6AE1" w:rsidP="007B6AE1">
            <w:pPr>
              <w:textAlignment w:val="baseline"/>
              <w:rPr>
                <w:rFonts w:ascii="Verdana" w:eastAsia="Times New Roman" w:hAnsi="Verdana" w:cs="Segoe UI"/>
                <w:sz w:val="16"/>
                <w:szCs w:val="16"/>
                <w:lang w:val="es-ES_tradnl" w:eastAsia="es-ES_tradnl"/>
              </w:rPr>
            </w:pPr>
            <w:r w:rsidRPr="007B6AE1">
              <w:rPr>
                <w:rFonts w:ascii="Verdana" w:eastAsia="Times New Roman" w:hAnsi="Verdana" w:cs="Arial"/>
                <w:sz w:val="16"/>
                <w:szCs w:val="16"/>
                <w:lang w:val="es-ES_tradnl" w:eastAsia="es-ES_tradnl"/>
              </w:rPr>
              <w:t>Gestor T1-15 de la Subdirección de Gestión Contractual </w:t>
            </w:r>
          </w:p>
        </w:tc>
      </w:tr>
      <w:tr w:rsidR="007B6AE1" w:rsidRPr="007B6AE1" w14:paraId="65CBB7C9" w14:textId="77777777" w:rsidTr="00F7410E">
        <w:trPr>
          <w:trHeight w:val="300"/>
        </w:trPr>
        <w:tc>
          <w:tcPr>
            <w:tcW w:w="893" w:type="dxa"/>
            <w:vAlign w:val="center"/>
          </w:tcPr>
          <w:p w14:paraId="06803F01" w14:textId="77777777" w:rsidR="007B6AE1" w:rsidRPr="007B6AE1" w:rsidRDefault="007B6AE1" w:rsidP="007B6AE1">
            <w:pPr>
              <w:rPr>
                <w:rFonts w:ascii="Verdana" w:eastAsia="Calibri" w:hAnsi="Verdana" w:cs="Arial"/>
                <w:sz w:val="16"/>
                <w:szCs w:val="16"/>
                <w:lang w:val="es-ES_tradnl" w:eastAsia="es-ES"/>
              </w:rPr>
            </w:pPr>
            <w:r w:rsidRPr="007B6AE1">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0FDAE62" w14:textId="77777777" w:rsidR="007B6AE1" w:rsidRPr="007B6AE1" w:rsidRDefault="007B6AE1" w:rsidP="007B6AE1">
            <w:pPr>
              <w:rPr>
                <w:rFonts w:ascii="Verdana" w:eastAsia="Calibri" w:hAnsi="Verdana" w:cs="Arial"/>
                <w:sz w:val="16"/>
                <w:szCs w:val="16"/>
                <w:lang w:val="es-ES" w:eastAsia="es-ES"/>
              </w:rPr>
            </w:pPr>
            <w:r w:rsidRPr="007B6AE1">
              <w:rPr>
                <w:rFonts w:ascii="Verdana" w:eastAsia="Calibri" w:hAnsi="Verdana" w:cs="Arial"/>
                <w:sz w:val="16"/>
                <w:szCs w:val="16"/>
                <w:lang w:val="es-ES" w:eastAsia="es-ES"/>
              </w:rPr>
              <w:t>Carolina Quintero Gacharná</w:t>
            </w:r>
          </w:p>
          <w:p w14:paraId="1F178EBD" w14:textId="77777777" w:rsidR="007B6AE1" w:rsidRPr="007B6AE1" w:rsidRDefault="007B6AE1" w:rsidP="007B6AE1">
            <w:pPr>
              <w:rPr>
                <w:rFonts w:ascii="Verdana" w:eastAsia="Calibri" w:hAnsi="Verdana" w:cs="Arial"/>
                <w:sz w:val="16"/>
                <w:szCs w:val="16"/>
                <w:lang w:val="es-ES_tradnl" w:eastAsia="es-ES"/>
              </w:rPr>
            </w:pPr>
            <w:r w:rsidRPr="007B6AE1">
              <w:rPr>
                <w:rFonts w:ascii="Verdana" w:eastAsia="Calibri" w:hAnsi="Verdana" w:cs="Arial"/>
                <w:sz w:val="16"/>
                <w:szCs w:val="16"/>
                <w:lang w:val="es-ES_tradnl" w:eastAsia="es-ES"/>
              </w:rPr>
              <w:t>Subdirectora de Gestión Contractual ANCP – CCE</w:t>
            </w:r>
          </w:p>
        </w:tc>
      </w:tr>
    </w:tbl>
    <w:p w14:paraId="7C9026E2" w14:textId="639ECFF3" w:rsidR="002A0DD0" w:rsidRPr="00A73B8B" w:rsidRDefault="002A0DD0" w:rsidP="00A73B8B">
      <w:pPr>
        <w:spacing w:after="0" w:line="240" w:lineRule="auto"/>
        <w:textAlignment w:val="baseline"/>
        <w:rPr>
          <w:rFonts w:ascii="Verdana" w:eastAsia="Verdana" w:hAnsi="Verdana" w:cs="Verdana"/>
          <w:lang w:eastAsia="es-CO"/>
        </w:rPr>
      </w:pPr>
    </w:p>
    <w:p w14:paraId="69BC4D14" w14:textId="2FBA513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298D8F" w14:textId="77777777" w:rsidR="00DB1417" w:rsidRDefault="00DB1417" w:rsidP="004A1847">
      <w:pPr>
        <w:spacing w:after="0" w:line="240" w:lineRule="auto"/>
      </w:pPr>
      <w:r>
        <w:separator/>
      </w:r>
    </w:p>
  </w:endnote>
  <w:endnote w:type="continuationSeparator" w:id="0">
    <w:p w14:paraId="39856FAF" w14:textId="77777777" w:rsidR="00DB1417" w:rsidRDefault="00DB141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C3357C" w14:textId="77777777" w:rsidR="00DB1417" w:rsidRDefault="00DB1417" w:rsidP="004A1847">
      <w:pPr>
        <w:spacing w:after="0" w:line="240" w:lineRule="auto"/>
      </w:pPr>
      <w:r>
        <w:separator/>
      </w:r>
    </w:p>
  </w:footnote>
  <w:footnote w:type="continuationSeparator" w:id="0">
    <w:p w14:paraId="6705CCA0" w14:textId="77777777" w:rsidR="00DB1417" w:rsidRDefault="00DB1417" w:rsidP="004A1847">
      <w:pPr>
        <w:spacing w:after="0" w:line="240" w:lineRule="auto"/>
      </w:pPr>
      <w:r>
        <w:continuationSeparator/>
      </w:r>
    </w:p>
  </w:footnote>
  <w:footnote w:id="1">
    <w:p w14:paraId="580F6310" w14:textId="77777777" w:rsidR="007B6AE1" w:rsidRPr="00234048" w:rsidRDefault="007B6AE1" w:rsidP="007B6AE1">
      <w:pPr>
        <w:pStyle w:val="Textonotapie"/>
        <w:ind w:firstLine="709"/>
        <w:jc w:val="both"/>
        <w:rPr>
          <w:rFonts w:ascii="Verdana" w:hAnsi="Verdana"/>
          <w:sz w:val="18"/>
          <w:szCs w:val="18"/>
        </w:rPr>
      </w:pPr>
      <w:r w:rsidRPr="00234048">
        <w:rPr>
          <w:rStyle w:val="Refdenotaalpie"/>
          <w:rFonts w:ascii="Verdana" w:hAnsi="Verdana"/>
          <w:sz w:val="18"/>
          <w:szCs w:val="18"/>
        </w:rPr>
        <w:footnoteRef/>
      </w:r>
      <w:r w:rsidRPr="00234048">
        <w:rPr>
          <w:rFonts w:ascii="Verdana" w:hAnsi="Verdana"/>
          <w:sz w:val="18"/>
          <w:szCs w:val="18"/>
        </w:rPr>
        <w:t xml:space="preserve"> Agencia Nacional de Contratación Pública – Colombia Compra Eficiente. Concepto C-285 del 20 de mayo de 2022. Consultar en: </w:t>
      </w:r>
      <w:hyperlink r:id="rId1" w:history="1">
        <w:r w:rsidRPr="00234048">
          <w:rPr>
            <w:rStyle w:val="Hipervnculo"/>
            <w:rFonts w:ascii="Verdana" w:hAnsi="Verdana"/>
            <w:sz w:val="18"/>
            <w:szCs w:val="18"/>
          </w:rPr>
          <w:t>https://relatoria.colombiacompra.gov.co/conceptos/c-285-de-2022/</w:t>
        </w:r>
      </w:hyperlink>
    </w:p>
  </w:footnote>
  <w:footnote w:id="2">
    <w:p w14:paraId="130CB5A0" w14:textId="77777777" w:rsidR="007B6AE1" w:rsidRPr="00234048" w:rsidRDefault="007B6AE1" w:rsidP="007B6AE1">
      <w:pPr>
        <w:pStyle w:val="Textonotapie"/>
        <w:ind w:firstLine="709"/>
        <w:jc w:val="both"/>
        <w:rPr>
          <w:rFonts w:ascii="Verdana" w:hAnsi="Verdana"/>
          <w:sz w:val="18"/>
          <w:szCs w:val="18"/>
        </w:rPr>
      </w:pPr>
      <w:r w:rsidRPr="00234048">
        <w:rPr>
          <w:rStyle w:val="Refdenotaalpie"/>
          <w:rFonts w:ascii="Verdana" w:hAnsi="Verdana"/>
          <w:sz w:val="18"/>
          <w:szCs w:val="18"/>
        </w:rPr>
        <w:footnoteRef/>
      </w:r>
      <w:r w:rsidRPr="00234048">
        <w:rPr>
          <w:rFonts w:ascii="Verdana" w:hAnsi="Verdana"/>
          <w:sz w:val="18"/>
          <w:szCs w:val="18"/>
        </w:rPr>
        <w:t xml:space="preserve"> </w:t>
      </w:r>
      <w:r w:rsidRPr="00234048">
        <w:rPr>
          <w:rFonts w:ascii="Verdana" w:hAnsi="Verdana"/>
          <w:sz w:val="18"/>
          <w:szCs w:val="18"/>
        </w:rPr>
        <w:t xml:space="preserve">Agencia Nacional de Contratación Pública – Colombia Compra Eficiente. Concepto C-447 del 19 de septiembre de 2024. Consultar en: </w:t>
      </w:r>
      <w:hyperlink r:id="rId2" w:history="1">
        <w:r w:rsidRPr="00234048">
          <w:rPr>
            <w:rStyle w:val="Hipervnculo"/>
            <w:rFonts w:ascii="Verdana" w:hAnsi="Verdana"/>
            <w:sz w:val="18"/>
            <w:szCs w:val="18"/>
          </w:rPr>
          <w:t>https://relatoria.colombiacompra.gov.co/conceptos/c-447-de-2024/</w:t>
        </w:r>
      </w:hyperlink>
      <w:r w:rsidRPr="00234048">
        <w:rPr>
          <w:rFonts w:ascii="Verdana" w:hAnsi="Verdana"/>
          <w:sz w:val="18"/>
          <w:szCs w:val="18"/>
        </w:rPr>
        <w:t xml:space="preserve"> </w:t>
      </w:r>
    </w:p>
    <w:p w14:paraId="69A06755" w14:textId="77777777" w:rsidR="007B6AE1" w:rsidRPr="00234048" w:rsidRDefault="007B6AE1" w:rsidP="007B6AE1">
      <w:pPr>
        <w:pStyle w:val="Textonotapie"/>
        <w:ind w:firstLine="709"/>
        <w:jc w:val="both"/>
        <w:rPr>
          <w:rFonts w:ascii="Verdana" w:hAnsi="Verdana"/>
          <w:sz w:val="18"/>
          <w:szCs w:val="18"/>
        </w:rPr>
      </w:pPr>
    </w:p>
  </w:footnote>
  <w:footnote w:id="3">
    <w:p w14:paraId="49A90829" w14:textId="77777777" w:rsidR="007B6AE1" w:rsidRPr="00234048" w:rsidRDefault="007B6AE1" w:rsidP="007B6AE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Style w:val="Refdenotaalpie"/>
          <w:rFonts w:ascii="Verdana" w:hAnsi="Verdana" w:cs="Arial"/>
          <w:color w:val="000000"/>
          <w:sz w:val="18"/>
          <w:szCs w:val="18"/>
        </w:rPr>
        <w:t xml:space="preserve"> </w:t>
      </w:r>
      <w:r w:rsidRPr="00234048">
        <w:rPr>
          <w:rFonts w:ascii="Verdana" w:hAnsi="Verdana"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74AAF664" w14:textId="77777777" w:rsidR="007B6AE1" w:rsidRPr="00234048" w:rsidRDefault="007B6AE1" w:rsidP="007B6AE1">
      <w:pPr>
        <w:pStyle w:val="Textonotapie"/>
        <w:ind w:firstLine="709"/>
        <w:jc w:val="both"/>
        <w:rPr>
          <w:rFonts w:ascii="Verdana" w:hAnsi="Verdana" w:cs="Arial"/>
          <w:color w:val="000000"/>
          <w:sz w:val="18"/>
          <w:szCs w:val="18"/>
        </w:rPr>
      </w:pPr>
    </w:p>
  </w:footnote>
  <w:footnote w:id="4">
    <w:p w14:paraId="5DBB50F0" w14:textId="77777777" w:rsidR="007B6AE1" w:rsidRPr="00234048" w:rsidRDefault="007B6AE1" w:rsidP="007B6AE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w:t>
      </w:r>
      <w:r w:rsidRPr="00234048">
        <w:rPr>
          <w:rFonts w:ascii="Verdana" w:hAnsi="Verdana" w:cs="Arial"/>
          <w:color w:val="000000"/>
          <w:sz w:val="18"/>
          <w:szCs w:val="18"/>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761CF5B4" w14:textId="77777777" w:rsidR="007B6AE1" w:rsidRPr="00234048" w:rsidRDefault="007B6AE1" w:rsidP="007B6AE1">
      <w:pPr>
        <w:pStyle w:val="Textonotapie"/>
        <w:ind w:firstLine="709"/>
        <w:jc w:val="both"/>
        <w:rPr>
          <w:rFonts w:ascii="Verdana" w:hAnsi="Verdana" w:cs="Arial"/>
          <w:color w:val="000000"/>
          <w:sz w:val="18"/>
          <w:szCs w:val="18"/>
        </w:rPr>
      </w:pPr>
      <w:r w:rsidRPr="00234048">
        <w:rPr>
          <w:rFonts w:ascii="Verdana" w:hAnsi="Verdana" w:cs="Arial"/>
          <w:color w:val="000000"/>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500AF785" w14:textId="77777777" w:rsidR="007B6AE1" w:rsidRPr="00234048" w:rsidRDefault="007B6AE1" w:rsidP="007B6AE1">
      <w:pPr>
        <w:pStyle w:val="Textonotapie"/>
        <w:ind w:firstLine="709"/>
        <w:jc w:val="both"/>
        <w:rPr>
          <w:rFonts w:ascii="Verdana" w:hAnsi="Verdana" w:cs="Arial"/>
          <w:color w:val="000000"/>
          <w:sz w:val="18"/>
          <w:szCs w:val="18"/>
        </w:rPr>
      </w:pPr>
    </w:p>
  </w:footnote>
  <w:footnote w:id="5">
    <w:p w14:paraId="4FC69058" w14:textId="77777777" w:rsidR="007B6AE1" w:rsidRPr="00234048" w:rsidRDefault="007B6AE1" w:rsidP="007B6AE1">
      <w:pPr>
        <w:pStyle w:val="Textonotapie"/>
        <w:ind w:firstLine="709"/>
        <w:jc w:val="both"/>
        <w:rPr>
          <w:rFonts w:ascii="Verdana" w:hAnsi="Verdana" w:cs="Arial"/>
          <w:color w:val="000000"/>
          <w:sz w:val="18"/>
          <w:szCs w:val="18"/>
        </w:rPr>
      </w:pPr>
      <w:r w:rsidRPr="00234048">
        <w:rPr>
          <w:rStyle w:val="Refdenotaalpie"/>
          <w:rFonts w:ascii="Verdana" w:hAnsi="Verdana" w:cs="Arial"/>
          <w:sz w:val="18"/>
          <w:szCs w:val="18"/>
        </w:rPr>
        <w:footnoteRef/>
      </w:r>
      <w:r w:rsidRPr="00234048">
        <w:rPr>
          <w:rFonts w:ascii="Verdana" w:hAnsi="Verdana" w:cs="Arial"/>
          <w:sz w:val="18"/>
          <w:szCs w:val="18"/>
        </w:rPr>
        <w:t xml:space="preserve"> </w:t>
      </w:r>
      <w:r w:rsidRPr="00234048">
        <w:rPr>
          <w:rFonts w:ascii="Verdana" w:hAnsi="Verdana" w:cs="Arial"/>
          <w:color w:val="000000"/>
          <w:sz w:val="18"/>
          <w:szCs w:val="18"/>
        </w:rPr>
        <w:t xml:space="preserve">En armonía con lo anterior, actualmente la Circular Única Externa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0F9C5072" w14:textId="77777777" w:rsidR="007B6AE1" w:rsidRDefault="007B6AE1" w:rsidP="007B6AE1">
      <w:pPr>
        <w:pStyle w:val="Textonotapie"/>
        <w:ind w:firstLine="709"/>
        <w:jc w:val="both"/>
        <w:rPr>
          <w:rStyle w:val="Hipervnculo"/>
          <w:rFonts w:ascii="Verdana" w:hAnsi="Verdana" w:cs="Arial"/>
          <w:color w:val="000000"/>
          <w:sz w:val="18"/>
          <w:szCs w:val="18"/>
        </w:rPr>
      </w:pPr>
      <w:r w:rsidRPr="00234048">
        <w:rPr>
          <w:rFonts w:ascii="Verdana" w:hAnsi="Verdana"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sidRPr="00234048">
          <w:rPr>
            <w:rStyle w:val="Hipervnculo"/>
            <w:rFonts w:ascii="Verdana" w:hAnsi="Verdana" w:cs="Arial"/>
            <w:sz w:val="18"/>
            <w:szCs w:val="18"/>
          </w:rPr>
          <w:t>https://www.colombiacompra.gov.co/circulares?page=2</w:t>
        </w:r>
      </w:hyperlink>
      <w:r w:rsidRPr="00234048">
        <w:rPr>
          <w:rStyle w:val="Hipervnculo"/>
          <w:rFonts w:ascii="Verdana" w:hAnsi="Verdana" w:cs="Arial"/>
          <w:color w:val="000000"/>
          <w:sz w:val="18"/>
          <w:szCs w:val="18"/>
        </w:rPr>
        <w:t xml:space="preserve"> </w:t>
      </w:r>
    </w:p>
    <w:p w14:paraId="7AC6DC09" w14:textId="77777777" w:rsidR="007B6AE1" w:rsidRPr="00234048" w:rsidRDefault="007B6AE1" w:rsidP="007B6AE1">
      <w:pPr>
        <w:pStyle w:val="Textonotapie"/>
        <w:ind w:firstLine="709"/>
        <w:jc w:val="both"/>
        <w:rPr>
          <w:rFonts w:ascii="Verdana" w:hAnsi="Verdana" w:cs="Arial"/>
          <w:color w:val="000000"/>
          <w:sz w:val="18"/>
          <w:szCs w:val="18"/>
        </w:rPr>
      </w:pPr>
    </w:p>
  </w:footnote>
  <w:footnote w:id="6">
    <w:p w14:paraId="39F42F12" w14:textId="77777777" w:rsidR="007B6AE1" w:rsidRPr="00234048" w:rsidRDefault="007B6AE1" w:rsidP="007B6AE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w:t>
      </w:r>
      <w:r w:rsidRPr="00234048">
        <w:rPr>
          <w:rFonts w:ascii="Verdana" w:hAnsi="Verdana" w:cs="Arial"/>
          <w:color w:val="000000"/>
          <w:sz w:val="18"/>
          <w:szCs w:val="18"/>
        </w:rPr>
        <w:t xml:space="preserve">Ver CONSEJO DE ESTADO, Sección Tercera, Subsección C. Sentencia del 26 de febrero de 2011. C.P. Jaime Orlando Santofimio. Rad. 36.408. </w:t>
      </w:r>
    </w:p>
  </w:footnote>
  <w:footnote w:id="7">
    <w:p w14:paraId="67BE8B4C" w14:textId="77777777" w:rsidR="007B6AE1" w:rsidRPr="00234048" w:rsidRDefault="007B6AE1" w:rsidP="007B6AE1">
      <w:pPr>
        <w:pStyle w:val="Textonotapie"/>
        <w:ind w:firstLine="709"/>
        <w:jc w:val="both"/>
        <w:rPr>
          <w:rFonts w:ascii="Verdana" w:hAnsi="Verdana" w:cs="Arial"/>
          <w:color w:val="000000"/>
          <w:sz w:val="18"/>
          <w:szCs w:val="18"/>
        </w:rPr>
      </w:pPr>
    </w:p>
    <w:p w14:paraId="13F2C093" w14:textId="77777777" w:rsidR="007B6AE1" w:rsidRPr="00234048" w:rsidRDefault="007B6AE1" w:rsidP="007B6AE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w:t>
      </w:r>
      <w:r w:rsidRPr="00234048">
        <w:rPr>
          <w:rFonts w:ascii="Verdana" w:hAnsi="Verdana" w:cs="Arial"/>
          <w:color w:val="000000"/>
          <w:sz w:val="18"/>
          <w:szCs w:val="18"/>
        </w:rPr>
        <w:t xml:space="preserve">Ver CONSEJO DE ESTADO, Sección Tercera, Subsección C. Sentencia del 26 de febrero de 2014. C.P. Enrique Gil Botero. Rad. 25.804. </w:t>
      </w:r>
    </w:p>
    <w:p w14:paraId="62D27256" w14:textId="77777777" w:rsidR="007B6AE1" w:rsidRPr="00234048" w:rsidRDefault="007B6AE1" w:rsidP="007B6AE1">
      <w:pPr>
        <w:pStyle w:val="Textonotapie"/>
        <w:ind w:firstLine="709"/>
        <w:jc w:val="both"/>
        <w:rPr>
          <w:rFonts w:ascii="Verdana" w:hAnsi="Verdana" w:cs="Arial"/>
          <w:color w:val="000000"/>
          <w:sz w:val="18"/>
          <w:szCs w:val="18"/>
        </w:rPr>
      </w:pPr>
    </w:p>
  </w:footnote>
  <w:footnote w:id="8">
    <w:p w14:paraId="3E792A27" w14:textId="77777777" w:rsidR="007B6AE1" w:rsidRPr="00234048" w:rsidRDefault="007B6AE1" w:rsidP="007B6AE1">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w:t>
      </w:r>
      <w:r w:rsidRPr="00234048">
        <w:rPr>
          <w:rFonts w:ascii="Verdana" w:hAnsi="Verdana" w:cs="Arial"/>
          <w:color w:val="000000"/>
          <w:sz w:val="18"/>
          <w:szCs w:val="18"/>
        </w:rPr>
        <w:t>CONSEJO DE ESTADO. Sala de Consulta y Servicio Civil. Concepto del 20 de mayo de 2010. Expediente: 1992. Consejero Ponente: Enrique José Arboleda Perdomo.</w:t>
      </w:r>
    </w:p>
    <w:p w14:paraId="4952FD00" w14:textId="77777777" w:rsidR="007B6AE1" w:rsidRPr="00234048" w:rsidRDefault="007B6AE1" w:rsidP="007B6AE1">
      <w:pPr>
        <w:pStyle w:val="Textonotapie"/>
        <w:ind w:firstLine="709"/>
        <w:jc w:val="both"/>
        <w:rPr>
          <w:rFonts w:ascii="Verdana" w:hAnsi="Verdana" w:cs="Arial"/>
          <w:color w:val="000000"/>
          <w:sz w:val="18"/>
          <w:szCs w:val="18"/>
        </w:rPr>
      </w:pPr>
    </w:p>
  </w:footnote>
  <w:footnote w:id="9">
    <w:p w14:paraId="0FC0B2E2" w14:textId="77777777" w:rsidR="007B6AE1" w:rsidRPr="00234048" w:rsidRDefault="007B6AE1" w:rsidP="007B6AE1">
      <w:pPr>
        <w:pStyle w:val="Textonotapie"/>
        <w:ind w:firstLine="709"/>
        <w:jc w:val="both"/>
        <w:rPr>
          <w:rFonts w:ascii="Verdana" w:hAnsi="Verdana"/>
          <w:sz w:val="18"/>
          <w:szCs w:val="18"/>
          <w:lang w:val="es-ES_tradnl"/>
        </w:rPr>
      </w:pPr>
      <w:r w:rsidRPr="00234048">
        <w:rPr>
          <w:rStyle w:val="Refdenotaalpie"/>
          <w:rFonts w:ascii="Verdana" w:hAnsi="Verdana"/>
          <w:sz w:val="18"/>
          <w:szCs w:val="18"/>
        </w:rPr>
        <w:footnoteRef/>
      </w:r>
      <w:r w:rsidRPr="00234048">
        <w:rPr>
          <w:rFonts w:ascii="Verdana" w:hAnsi="Verdana"/>
          <w:sz w:val="18"/>
          <w:szCs w:val="18"/>
        </w:rPr>
        <w:t xml:space="preserve"> </w:t>
      </w:r>
      <w:r w:rsidRPr="00234048">
        <w:rPr>
          <w:rFonts w:ascii="Verdana" w:hAnsi="Verdana"/>
          <w:sz w:val="18"/>
          <w:szCs w:val="18"/>
          <w:lang w:val="es-ES_tradnl"/>
        </w:rPr>
        <w:t xml:space="preserve">Para el desarrollo del presente concepto, se tendrán en cuenta los pliegos tipo de licitación pública del sector de infraestructura de transporte.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D632D"/>
    <w:rsid w:val="001E4177"/>
    <w:rsid w:val="001F0B24"/>
    <w:rsid w:val="001F7DC6"/>
    <w:rsid w:val="0022400B"/>
    <w:rsid w:val="002421BB"/>
    <w:rsid w:val="0025796E"/>
    <w:rsid w:val="00266941"/>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019C"/>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0D0F"/>
    <w:rsid w:val="005D476C"/>
    <w:rsid w:val="006200BF"/>
    <w:rsid w:val="006219F8"/>
    <w:rsid w:val="006302F7"/>
    <w:rsid w:val="00646B9F"/>
    <w:rsid w:val="00665D70"/>
    <w:rsid w:val="006900D9"/>
    <w:rsid w:val="006B3172"/>
    <w:rsid w:val="00706C16"/>
    <w:rsid w:val="007340C3"/>
    <w:rsid w:val="0075235A"/>
    <w:rsid w:val="00756841"/>
    <w:rsid w:val="007649AB"/>
    <w:rsid w:val="00771D0C"/>
    <w:rsid w:val="007833AC"/>
    <w:rsid w:val="007B268C"/>
    <w:rsid w:val="007B6AE1"/>
    <w:rsid w:val="007B7171"/>
    <w:rsid w:val="007C0C0F"/>
    <w:rsid w:val="007C3DC2"/>
    <w:rsid w:val="007E5497"/>
    <w:rsid w:val="00806F5F"/>
    <w:rsid w:val="00820278"/>
    <w:rsid w:val="008258C9"/>
    <w:rsid w:val="00844AE9"/>
    <w:rsid w:val="008649BB"/>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B64B8"/>
    <w:rsid w:val="009C71FA"/>
    <w:rsid w:val="009C72E7"/>
    <w:rsid w:val="009C7F7E"/>
    <w:rsid w:val="009D3058"/>
    <w:rsid w:val="009F3A13"/>
    <w:rsid w:val="00A122D3"/>
    <w:rsid w:val="00A14468"/>
    <w:rsid w:val="00A17F13"/>
    <w:rsid w:val="00A20739"/>
    <w:rsid w:val="00A23AF9"/>
    <w:rsid w:val="00A33C78"/>
    <w:rsid w:val="00A73B8B"/>
    <w:rsid w:val="00AB0ADB"/>
    <w:rsid w:val="00AE5E98"/>
    <w:rsid w:val="00B00C0E"/>
    <w:rsid w:val="00B01B1A"/>
    <w:rsid w:val="00B0381D"/>
    <w:rsid w:val="00B44A47"/>
    <w:rsid w:val="00B72CD3"/>
    <w:rsid w:val="00B72FFF"/>
    <w:rsid w:val="00BC3D36"/>
    <w:rsid w:val="00BD54A6"/>
    <w:rsid w:val="00BD7F72"/>
    <w:rsid w:val="00BF7425"/>
    <w:rsid w:val="00C04FB3"/>
    <w:rsid w:val="00C11D8B"/>
    <w:rsid w:val="00C15139"/>
    <w:rsid w:val="00C303DA"/>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B1417"/>
    <w:rsid w:val="00DC39FC"/>
    <w:rsid w:val="00DF5254"/>
    <w:rsid w:val="00E02524"/>
    <w:rsid w:val="00E16408"/>
    <w:rsid w:val="00E16B1C"/>
    <w:rsid w:val="00E20894"/>
    <w:rsid w:val="00E245AB"/>
    <w:rsid w:val="00E2764C"/>
    <w:rsid w:val="00E27F2E"/>
    <w:rsid w:val="00E50AFE"/>
    <w:rsid w:val="00E5794B"/>
    <w:rsid w:val="00E75C92"/>
    <w:rsid w:val="00E771DC"/>
    <w:rsid w:val="00E8772A"/>
    <w:rsid w:val="00E90F6B"/>
    <w:rsid w:val="00E92C27"/>
    <w:rsid w:val="00EA0E3D"/>
    <w:rsid w:val="00EC38A7"/>
    <w:rsid w:val="00EE1AA8"/>
    <w:rsid w:val="00EF49EA"/>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B6AE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44EF27-BBAC-4BE0-B8C3-A9FE3860DC5E}"/>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29</Pages>
  <Words>9601</Words>
  <Characters>52810</Characters>
  <Application>Microsoft Office Word</Application>
  <DocSecurity>0</DocSecurity>
  <Lines>440</Lines>
  <Paragraphs>124</Paragraphs>
  <ScaleCrop>false</ScaleCrop>
  <Company/>
  <LinksUpToDate>false</LinksUpToDate>
  <CharactersWithSpaces>62287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2026-10-15T21:41:00Z</dcterms:created>
  <dcterms:modified xsi:type="dcterms:W3CDTF">2026-10-15T21:45:00Z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