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3BEAC" w14:textId="77777777" w:rsidR="00BE4F40" w:rsidRPr="00910028" w:rsidRDefault="00BE4F40" w:rsidP="00BE4F40">
      <w:pPr>
        <w:spacing w:after="0"/>
        <w:jc w:val="both"/>
        <w:rPr>
          <w:rFonts w:ascii="Verdana" w:hAnsi="Verdana"/>
        </w:rPr>
      </w:pPr>
      <w:bookmarkStart w:id="0" w:name="_Hlk143780582"/>
      <w:r w:rsidRPr="00910028">
        <w:rPr>
          <w:rFonts w:ascii="Verdana" w:eastAsia="Calibri" w:hAnsi="Verdana" w:cs="Arial"/>
          <w:b/>
          <w:kern w:val="2"/>
          <w:lang w:val="es-ES_tradnl"/>
          <w14:ligatures w14:val="standardContextual"/>
        </w:rPr>
        <w:t xml:space="preserve">PRECIOS ARTIFICIALMENTE BAJOS – Noción </w:t>
      </w:r>
    </w:p>
    <w:p w14:paraId="3CC69923" w14:textId="77777777" w:rsidR="00BE4F40" w:rsidRPr="00910028" w:rsidRDefault="00BE4F40" w:rsidP="00BE4F40">
      <w:pPr>
        <w:spacing w:after="0" w:line="276" w:lineRule="auto"/>
        <w:jc w:val="both"/>
        <w:rPr>
          <w:rFonts w:ascii="Verdana" w:eastAsia="Calibri" w:hAnsi="Verdana" w:cs="Arial"/>
          <w:b/>
          <w:kern w:val="2"/>
          <w:lang w:val="es-ES_tradnl"/>
          <w14:ligatures w14:val="standardContextual"/>
        </w:rPr>
      </w:pPr>
    </w:p>
    <w:p w14:paraId="29EDA696" w14:textId="77777777" w:rsidR="00BE4F40" w:rsidRDefault="00BE4F40" w:rsidP="00BE4F40">
      <w:pPr>
        <w:widowControl w:val="0"/>
        <w:autoSpaceDE w:val="0"/>
        <w:autoSpaceDN w:val="0"/>
        <w:snapToGrid w:val="0"/>
        <w:spacing w:after="0" w:line="240" w:lineRule="auto"/>
        <w:jc w:val="both"/>
        <w:rPr>
          <w:rFonts w:ascii="Verdana" w:eastAsia="Arial" w:hAnsi="Verdana" w:cs="Arial"/>
          <w:sz w:val="20"/>
          <w:szCs w:val="20"/>
          <w:lang w:val="es-ES" w:eastAsia="es-ES" w:bidi="es-ES"/>
        </w:rPr>
      </w:pPr>
      <w:r w:rsidRPr="00562A17">
        <w:rPr>
          <w:rFonts w:ascii="Verdana" w:eastAsia="Arial" w:hAnsi="Verdana" w:cs="Arial"/>
          <w:sz w:val="20"/>
          <w:szCs w:val="20"/>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análisis de la oferta durante la evaluación de las ofertas.</w:t>
      </w:r>
    </w:p>
    <w:p w14:paraId="1D1C9E4A" w14:textId="77777777" w:rsidR="00BE4F40" w:rsidRPr="00562A17" w:rsidRDefault="00BE4F40" w:rsidP="00BE4F40">
      <w:pPr>
        <w:widowControl w:val="0"/>
        <w:autoSpaceDE w:val="0"/>
        <w:autoSpaceDN w:val="0"/>
        <w:snapToGrid w:val="0"/>
        <w:spacing w:after="0" w:line="240" w:lineRule="auto"/>
        <w:jc w:val="both"/>
        <w:rPr>
          <w:rFonts w:ascii="Verdana" w:eastAsia="Arial" w:hAnsi="Verdana" w:cs="Arial"/>
          <w:sz w:val="20"/>
          <w:szCs w:val="20"/>
          <w:lang w:val="es-ES" w:eastAsia="es-ES" w:bidi="es-ES"/>
        </w:rPr>
      </w:pPr>
    </w:p>
    <w:p w14:paraId="6DF12F88" w14:textId="77777777" w:rsidR="00BE4F40" w:rsidRPr="00910028" w:rsidRDefault="00BE4F40" w:rsidP="00BE4F40">
      <w:pPr>
        <w:widowControl w:val="0"/>
        <w:autoSpaceDE w:val="0"/>
        <w:autoSpaceDN w:val="0"/>
        <w:snapToGrid w:val="0"/>
        <w:spacing w:after="0" w:line="240" w:lineRule="auto"/>
        <w:jc w:val="both"/>
        <w:rPr>
          <w:rFonts w:ascii="Verdana" w:eastAsia="Arial" w:hAnsi="Verdana" w:cs="Arial"/>
          <w:sz w:val="20"/>
          <w:szCs w:val="20"/>
          <w:lang w:val="es-ES" w:eastAsia="es-ES" w:bidi="es-ES"/>
        </w:rPr>
      </w:pPr>
      <w:r w:rsidRPr="00562A17">
        <w:rPr>
          <w:rFonts w:ascii="Verdana" w:eastAsia="Arial" w:hAnsi="Verdana" w:cs="Arial"/>
          <w:sz w:val="20"/>
          <w:szCs w:val="20"/>
          <w:lang w:val="es-ES" w:eastAsia="es-ES" w:bidi="es-ES"/>
        </w:rPr>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58B96C84" w14:textId="77777777" w:rsidR="00BE4F40" w:rsidRPr="00910028" w:rsidRDefault="00BE4F40" w:rsidP="00BE4F40">
      <w:pPr>
        <w:spacing w:after="0" w:line="276" w:lineRule="auto"/>
        <w:jc w:val="both"/>
        <w:rPr>
          <w:rFonts w:ascii="Verdana" w:eastAsia="Calibri" w:hAnsi="Verdana" w:cs="Arial"/>
          <w:b/>
          <w:kern w:val="2"/>
          <w:lang w:val="es-ES_tradnl"/>
          <w14:ligatures w14:val="standardContextual"/>
        </w:rPr>
      </w:pPr>
    </w:p>
    <w:p w14:paraId="5C84E462" w14:textId="77777777" w:rsidR="00BE4F40" w:rsidRPr="00910028" w:rsidRDefault="00BE4F40" w:rsidP="00BE4F40">
      <w:pPr>
        <w:spacing w:after="0" w:line="276" w:lineRule="auto"/>
        <w:jc w:val="both"/>
        <w:rPr>
          <w:rFonts w:ascii="Verdana" w:eastAsia="Calibri" w:hAnsi="Verdana" w:cs="Arial"/>
          <w:b/>
          <w:kern w:val="2"/>
          <w:lang w:val="es-ES_tradnl"/>
          <w14:ligatures w14:val="standardContextual"/>
        </w:rPr>
      </w:pPr>
      <w:r w:rsidRPr="00910028">
        <w:rPr>
          <w:rFonts w:ascii="Verdana" w:eastAsia="Calibri" w:hAnsi="Verdana" w:cs="Arial"/>
          <w:b/>
          <w:kern w:val="2"/>
          <w:lang w:val="es-ES_tradnl"/>
          <w14:ligatures w14:val="standardContextual"/>
        </w:rPr>
        <w:t>DOCUMENTOS TIPO DE INFRAESTRUCTURA DE TRANSPORTE – Precios artificialmente bajos – Manejo – Guía</w:t>
      </w:r>
    </w:p>
    <w:p w14:paraId="713A7B09" w14:textId="77777777" w:rsidR="00BE4F40" w:rsidRPr="00910028" w:rsidRDefault="00BE4F40" w:rsidP="00BE4F40">
      <w:pPr>
        <w:spacing w:after="0" w:line="276" w:lineRule="auto"/>
        <w:jc w:val="both"/>
        <w:rPr>
          <w:rFonts w:ascii="Verdana" w:eastAsia="Calibri" w:hAnsi="Verdana" w:cs="Arial"/>
          <w:b/>
          <w:kern w:val="2"/>
          <w:lang w:val="es-ES_tradnl"/>
          <w14:ligatures w14:val="standardContextual"/>
        </w:rPr>
      </w:pPr>
    </w:p>
    <w:p w14:paraId="6B8EF6A3" w14:textId="77777777" w:rsidR="00BE4F40" w:rsidRPr="00910028" w:rsidRDefault="00BE4F40" w:rsidP="00BE4F40">
      <w:pPr>
        <w:snapToGrid w:val="0"/>
        <w:spacing w:after="0" w:line="240" w:lineRule="auto"/>
        <w:jc w:val="both"/>
        <w:rPr>
          <w:rFonts w:ascii="Verdana" w:eastAsia="Calibri" w:hAnsi="Verdana" w:cs="Arial"/>
          <w:sz w:val="20"/>
          <w:szCs w:val="20"/>
        </w:rPr>
      </w:pPr>
      <w:r w:rsidRPr="00562A17">
        <w:rPr>
          <w:rFonts w:ascii="Verdana" w:eastAsia="Calibri" w:hAnsi="Verdana" w:cs="Arial"/>
          <w:sz w:val="20"/>
          <w:szCs w:val="20"/>
        </w:rPr>
        <w:t>En línea con lo anterior, el numeral 4.1.3 “Precio artificialmente bajo” del Documento Base de los documentos tipo de licitación de obra pública de infraestructura de transporte, establece lo siguiente:</w:t>
      </w:r>
    </w:p>
    <w:p w14:paraId="6698BA7B" w14:textId="77777777" w:rsidR="00BE4F40" w:rsidRPr="00910028" w:rsidRDefault="00BE4F40" w:rsidP="00BE4F40">
      <w:pPr>
        <w:snapToGrid w:val="0"/>
        <w:spacing w:after="0" w:line="240" w:lineRule="auto"/>
        <w:ind w:right="709"/>
        <w:jc w:val="both"/>
        <w:rPr>
          <w:rFonts w:ascii="Verdana" w:eastAsia="Calibri" w:hAnsi="Verdana" w:cs="Times New Roman"/>
          <w:sz w:val="20"/>
          <w:szCs w:val="20"/>
          <w:lang w:val="es-MX"/>
        </w:rPr>
      </w:pPr>
      <w:r w:rsidRPr="00910028">
        <w:rPr>
          <w:rFonts w:ascii="Verdana" w:eastAsia="Calibri" w:hAnsi="Verdana" w:cs="Arial"/>
          <w:sz w:val="20"/>
          <w:szCs w:val="20"/>
        </w:rPr>
        <w:t>[…]</w:t>
      </w:r>
      <w:r w:rsidRPr="00910028">
        <w:rPr>
          <w:rFonts w:ascii="Verdana" w:eastAsia="Calibri" w:hAnsi="Verdana" w:cs="Times New Roman"/>
          <w:sz w:val="20"/>
          <w:szCs w:val="20"/>
          <w:lang w:val="es-MX"/>
        </w:rPr>
        <w:t xml:space="preserve"> </w:t>
      </w:r>
    </w:p>
    <w:p w14:paraId="0C36F6D9" w14:textId="77777777" w:rsidR="00BE4F40" w:rsidRDefault="00BE4F40" w:rsidP="00BE4F40">
      <w:pPr>
        <w:tabs>
          <w:tab w:val="left" w:pos="-142"/>
        </w:tabs>
        <w:autoSpaceDE w:val="0"/>
        <w:autoSpaceDN w:val="0"/>
        <w:adjustRightInd w:val="0"/>
        <w:spacing w:after="0" w:line="240" w:lineRule="auto"/>
        <w:jc w:val="both"/>
        <w:outlineLvl w:val="2"/>
        <w:rPr>
          <w:rFonts w:ascii="Verdana" w:eastAsia="Calibri" w:hAnsi="Verdana" w:cs="Arial"/>
          <w:sz w:val="20"/>
          <w:szCs w:val="20"/>
        </w:rPr>
      </w:pPr>
      <w:r w:rsidRPr="00562A17">
        <w:rPr>
          <w:rFonts w:ascii="Verdana" w:eastAsia="Calibri" w:hAnsi="Verdana" w:cs="Arial"/>
          <w:sz w:val="20"/>
          <w:szCs w:val="20"/>
        </w:rPr>
        <w:t xml:space="preserve">La “Guía para el manejo de ofertas artificialmente bajas en procesos de contratación” dispone que la identificación de ofertas artificialmente bajas se puede realizar mediante la utilización de las siguientes herramientas: i) la comparación absoluta, y </w:t>
      </w:r>
      <w:proofErr w:type="spellStart"/>
      <w:r w:rsidRPr="00562A17">
        <w:rPr>
          <w:rFonts w:ascii="Verdana" w:eastAsia="Calibri" w:hAnsi="Verdana" w:cs="Arial"/>
          <w:sz w:val="20"/>
          <w:szCs w:val="20"/>
        </w:rPr>
        <w:t>ii</w:t>
      </w:r>
      <w:proofErr w:type="spellEnd"/>
      <w:r w:rsidRPr="00562A17">
        <w:rPr>
          <w:rFonts w:ascii="Verdana" w:eastAsia="Calibri" w:hAnsi="Verdana" w:cs="Arial"/>
          <w:sz w:val="20"/>
          <w:szCs w:val="20"/>
        </w:rPr>
        <w:t>) la comparación relativa, partiendo de que las ofertas son independientes y competitivas.</w:t>
      </w:r>
    </w:p>
    <w:p w14:paraId="33A8A778" w14:textId="77777777" w:rsidR="00BE4F40" w:rsidRPr="00562A17" w:rsidRDefault="00BE4F40" w:rsidP="00BE4F40">
      <w:pPr>
        <w:tabs>
          <w:tab w:val="left" w:pos="-142"/>
        </w:tabs>
        <w:autoSpaceDE w:val="0"/>
        <w:autoSpaceDN w:val="0"/>
        <w:adjustRightInd w:val="0"/>
        <w:spacing w:after="0" w:line="240" w:lineRule="auto"/>
        <w:jc w:val="both"/>
        <w:outlineLvl w:val="2"/>
        <w:rPr>
          <w:rFonts w:ascii="Verdana" w:eastAsia="Calibri" w:hAnsi="Verdana" w:cs="Arial"/>
          <w:sz w:val="20"/>
          <w:szCs w:val="20"/>
        </w:rPr>
      </w:pPr>
    </w:p>
    <w:p w14:paraId="682D68C1" w14:textId="77777777" w:rsidR="00BE4F40" w:rsidRPr="00562A17" w:rsidRDefault="00BE4F40" w:rsidP="00BE4F40">
      <w:pPr>
        <w:tabs>
          <w:tab w:val="left" w:pos="-142"/>
        </w:tabs>
        <w:autoSpaceDE w:val="0"/>
        <w:autoSpaceDN w:val="0"/>
        <w:adjustRightInd w:val="0"/>
        <w:spacing w:after="0" w:line="240" w:lineRule="auto"/>
        <w:jc w:val="both"/>
        <w:outlineLvl w:val="2"/>
        <w:rPr>
          <w:rFonts w:ascii="Verdana" w:eastAsia="Calibri" w:hAnsi="Verdana" w:cs="Arial"/>
          <w:sz w:val="20"/>
          <w:szCs w:val="20"/>
        </w:rPr>
      </w:pPr>
      <w:r w:rsidRPr="00562A17">
        <w:rPr>
          <w:rFonts w:ascii="Verdana" w:eastAsia="Calibri" w:hAnsi="Verdana" w:cs="Arial"/>
          <w:sz w:val="20"/>
          <w:szCs w:val="20"/>
        </w:rPr>
        <w:t xml:space="preserve">Para el uso de herramientas para identificar ofertas artificialmente bajas y, en general, el manejo de los precios artificialmente bajos en los documentos tipo de licitación de infraestructura de transporte –versión 4–, deben tenerse en cuenta las ofertas habilitadas, toda vez que, en este caso, no resulta procedente que una oferta </w:t>
      </w:r>
      <w:r w:rsidRPr="00562A17">
        <w:rPr>
          <w:rFonts w:ascii="Verdana" w:eastAsia="Calibri" w:hAnsi="Verdana" w:cs="Arial"/>
          <w:i/>
          <w:iCs/>
          <w:sz w:val="20"/>
          <w:szCs w:val="20"/>
        </w:rPr>
        <w:t>que no va a competir</w:t>
      </w:r>
      <w:r w:rsidRPr="00562A17">
        <w:rPr>
          <w:rFonts w:ascii="Verdana" w:eastAsia="Calibri" w:hAnsi="Verdana" w:cs="Arial"/>
          <w:sz w:val="20"/>
          <w:szCs w:val="20"/>
        </w:rPr>
        <w:t xml:space="preserve"> sirva de referencia o tenga incidencia en la evaluación de las ofertas frente a las que se valorará el sobre No. 2 de la propuesta económica. </w:t>
      </w:r>
    </w:p>
    <w:p w14:paraId="31189CDD" w14:textId="77777777" w:rsidR="00BE4F40" w:rsidRPr="00910028" w:rsidRDefault="00BE4F40" w:rsidP="00BE4F40">
      <w:pPr>
        <w:spacing w:after="0" w:line="276" w:lineRule="auto"/>
        <w:jc w:val="both"/>
        <w:rPr>
          <w:rFonts w:ascii="Verdana" w:eastAsia="Aptos" w:hAnsi="Verdana" w:cs="Times New Roman"/>
          <w:lang w:val="es-ES_tradnl"/>
        </w:rPr>
      </w:pPr>
    </w:p>
    <w:p w14:paraId="1846A194" w14:textId="77777777" w:rsidR="00BE4F40" w:rsidRPr="00910028" w:rsidRDefault="00BE4F40" w:rsidP="00BE4F40">
      <w:pPr>
        <w:spacing w:after="0" w:line="276" w:lineRule="auto"/>
        <w:jc w:val="both"/>
        <w:rPr>
          <w:rFonts w:ascii="Verdana" w:eastAsia="Aptos" w:hAnsi="Verdana" w:cs="Times New Roman"/>
          <w:b/>
          <w:bCs/>
          <w:lang w:val="es-ES_tradnl"/>
        </w:rPr>
      </w:pPr>
      <w:r w:rsidRPr="00910028">
        <w:rPr>
          <w:rFonts w:ascii="Verdana" w:eastAsia="Aptos" w:hAnsi="Verdana" w:cs="Times New Roman"/>
          <w:b/>
          <w:bCs/>
          <w:lang w:val="es-ES_tradnl"/>
        </w:rPr>
        <w:t xml:space="preserve">DOCUMENTOS TIPO DE INFRAESTRUCTURA DE TRANSPORTE – Ponderación de la propuesta económica – Reglas – TRM </w:t>
      </w:r>
    </w:p>
    <w:p w14:paraId="68B175B1" w14:textId="77777777" w:rsidR="00BE4F40" w:rsidRPr="00910028" w:rsidRDefault="00BE4F40" w:rsidP="00BE4F40">
      <w:pPr>
        <w:spacing w:after="0" w:line="276" w:lineRule="auto"/>
        <w:jc w:val="both"/>
        <w:rPr>
          <w:rFonts w:ascii="Verdana" w:eastAsia="Aptos" w:hAnsi="Verdana" w:cs="Times New Roman"/>
          <w:lang w:val="es-ES_tradnl"/>
        </w:rPr>
      </w:pPr>
    </w:p>
    <w:p w14:paraId="7AFCF9B7" w14:textId="77777777" w:rsidR="00BE4F40" w:rsidRPr="00705CD6" w:rsidRDefault="00BE4F40" w:rsidP="00BE4F40">
      <w:pPr>
        <w:tabs>
          <w:tab w:val="left" w:pos="-142"/>
        </w:tabs>
        <w:autoSpaceDE w:val="0"/>
        <w:autoSpaceDN w:val="0"/>
        <w:adjustRightInd w:val="0"/>
        <w:snapToGrid w:val="0"/>
        <w:spacing w:after="0" w:line="240" w:lineRule="auto"/>
        <w:jc w:val="both"/>
        <w:outlineLvl w:val="2"/>
        <w:rPr>
          <w:rFonts w:ascii="Verdana" w:eastAsia="Calibri" w:hAnsi="Verdana" w:cs="Arial"/>
          <w:sz w:val="20"/>
          <w:szCs w:val="20"/>
          <w:lang w:val="x-none" w:eastAsia="es-ES"/>
        </w:rPr>
      </w:pPr>
      <w:r w:rsidRPr="00705CD6">
        <w:rPr>
          <w:rFonts w:ascii="Verdana" w:eastAsia="Calibri" w:hAnsi="Verdana" w:cs="Arial"/>
          <w:sz w:val="20"/>
          <w:szCs w:val="20"/>
        </w:rPr>
        <w:t xml:space="preserve">Por su parte, el numeral </w:t>
      </w:r>
      <w:r w:rsidRPr="00705CD6">
        <w:rPr>
          <w:rFonts w:ascii="Verdana" w:eastAsia="Calibri" w:hAnsi="Verdana" w:cs="Arial"/>
          <w:sz w:val="20"/>
          <w:szCs w:val="20"/>
          <w:lang w:eastAsia="es-ES"/>
        </w:rPr>
        <w:t>4.1.4. “</w:t>
      </w:r>
      <w:r w:rsidRPr="00705CD6">
        <w:rPr>
          <w:rFonts w:ascii="Verdana" w:eastAsia="Arial" w:hAnsi="Verdana" w:cs="Arial"/>
          <w:sz w:val="20"/>
          <w:szCs w:val="20"/>
          <w:lang w:eastAsia="es-ES"/>
        </w:rPr>
        <w:t xml:space="preserve">Determinación del método para la ponderación de la propuesta económica”, contenido en el documento base de los documentos tipo de licitación de obra pública de infraestructura de transporte –versión 4–, contiene </w:t>
      </w:r>
      <w:r w:rsidRPr="00705CD6">
        <w:rPr>
          <w:rFonts w:ascii="Verdana" w:eastAsia="Calibri" w:hAnsi="Verdana" w:cs="Arial"/>
          <w:sz w:val="20"/>
          <w:szCs w:val="20"/>
          <w:lang w:val="x-none" w:eastAsia="es-ES"/>
        </w:rPr>
        <w:t>cuatro</w:t>
      </w:r>
      <w:r w:rsidRPr="00705CD6">
        <w:rPr>
          <w:rFonts w:ascii="Verdana" w:eastAsia="Calibri" w:hAnsi="Verdana" w:cs="Arial"/>
          <w:sz w:val="20"/>
          <w:szCs w:val="20"/>
          <w:lang w:val="es-MX" w:eastAsia="es-ES"/>
        </w:rPr>
        <w:t xml:space="preserve"> (4)</w:t>
      </w:r>
      <w:r w:rsidRPr="00705CD6">
        <w:rPr>
          <w:rFonts w:ascii="Verdana" w:eastAsia="Calibri" w:hAnsi="Verdana" w:cs="Arial"/>
          <w:sz w:val="20"/>
          <w:szCs w:val="20"/>
          <w:lang w:val="x-none" w:eastAsia="es-ES"/>
        </w:rPr>
        <w:t xml:space="preserve"> alternativas para escoger el método de ponderación de la</w:t>
      </w:r>
      <w:r w:rsidRPr="00705CD6">
        <w:rPr>
          <w:rFonts w:ascii="Verdana" w:eastAsia="Calibri" w:hAnsi="Verdana" w:cs="Arial"/>
          <w:sz w:val="20"/>
          <w:szCs w:val="20"/>
          <w:lang w:eastAsia="es-ES"/>
        </w:rPr>
        <w:t>s</w:t>
      </w:r>
      <w:r w:rsidRPr="00705CD6">
        <w:rPr>
          <w:rFonts w:ascii="Verdana" w:eastAsia="Calibri" w:hAnsi="Verdana" w:cs="Arial"/>
          <w:sz w:val="20"/>
          <w:szCs w:val="20"/>
          <w:lang w:val="x-none" w:eastAsia="es-ES"/>
        </w:rPr>
        <w:t xml:space="preserve"> propuesta</w:t>
      </w:r>
      <w:r w:rsidRPr="00705CD6">
        <w:rPr>
          <w:rFonts w:ascii="Verdana" w:eastAsia="Calibri" w:hAnsi="Verdana" w:cs="Arial"/>
          <w:sz w:val="20"/>
          <w:szCs w:val="20"/>
          <w:lang w:eastAsia="es-ES"/>
        </w:rPr>
        <w:t>s</w:t>
      </w:r>
      <w:r w:rsidRPr="00705CD6">
        <w:rPr>
          <w:rFonts w:ascii="Verdana" w:eastAsia="Calibri" w:hAnsi="Verdana" w:cs="Arial"/>
          <w:sz w:val="20"/>
          <w:szCs w:val="20"/>
          <w:lang w:val="x-none" w:eastAsia="es-ES"/>
        </w:rPr>
        <w:t xml:space="preserve"> económica</w:t>
      </w:r>
      <w:r w:rsidRPr="00705CD6">
        <w:rPr>
          <w:rFonts w:ascii="Verdana" w:eastAsia="Calibri" w:hAnsi="Verdana" w:cs="Arial"/>
          <w:sz w:val="20"/>
          <w:szCs w:val="20"/>
          <w:lang w:eastAsia="es-ES"/>
        </w:rPr>
        <w:t>s</w:t>
      </w:r>
      <w:r w:rsidRPr="00705CD6">
        <w:rPr>
          <w:rFonts w:ascii="Verdana" w:eastAsia="Calibri" w:hAnsi="Verdana" w:cs="Arial"/>
          <w:sz w:val="20"/>
          <w:szCs w:val="20"/>
          <w:lang w:val="x-none" w:eastAsia="es-ES"/>
        </w:rPr>
        <w:t xml:space="preserve">, a saber: i) mediana con valor absoluto; </w:t>
      </w:r>
      <w:proofErr w:type="spellStart"/>
      <w:r w:rsidRPr="00705CD6">
        <w:rPr>
          <w:rFonts w:ascii="Verdana" w:eastAsia="Calibri" w:hAnsi="Verdana" w:cs="Arial"/>
          <w:sz w:val="20"/>
          <w:szCs w:val="20"/>
          <w:lang w:val="x-none" w:eastAsia="es-ES"/>
        </w:rPr>
        <w:t>ii</w:t>
      </w:r>
      <w:proofErr w:type="spellEnd"/>
      <w:r w:rsidRPr="00705CD6">
        <w:rPr>
          <w:rFonts w:ascii="Verdana" w:eastAsia="Calibri" w:hAnsi="Verdana" w:cs="Arial"/>
          <w:sz w:val="20"/>
          <w:szCs w:val="20"/>
          <w:lang w:val="x-none" w:eastAsia="es-ES"/>
        </w:rPr>
        <w:t xml:space="preserve">) media geométrica; </w:t>
      </w:r>
      <w:proofErr w:type="spellStart"/>
      <w:r w:rsidRPr="00705CD6">
        <w:rPr>
          <w:rFonts w:ascii="Verdana" w:eastAsia="Calibri" w:hAnsi="Verdana" w:cs="Arial"/>
          <w:sz w:val="20"/>
          <w:szCs w:val="20"/>
          <w:lang w:val="x-none" w:eastAsia="es-ES"/>
        </w:rPr>
        <w:t>iii</w:t>
      </w:r>
      <w:proofErr w:type="spellEnd"/>
      <w:r w:rsidRPr="00705CD6">
        <w:rPr>
          <w:rFonts w:ascii="Verdana" w:eastAsia="Calibri" w:hAnsi="Verdana" w:cs="Arial"/>
          <w:sz w:val="20"/>
          <w:szCs w:val="20"/>
          <w:lang w:val="x-none" w:eastAsia="es-ES"/>
        </w:rPr>
        <w:t xml:space="preserve">) media aritmética baja, y </w:t>
      </w:r>
      <w:proofErr w:type="spellStart"/>
      <w:r w:rsidRPr="00705CD6">
        <w:rPr>
          <w:rFonts w:ascii="Verdana" w:eastAsia="Calibri" w:hAnsi="Verdana" w:cs="Arial"/>
          <w:sz w:val="20"/>
          <w:szCs w:val="20"/>
          <w:lang w:val="x-none" w:eastAsia="es-ES"/>
        </w:rPr>
        <w:t>iv</w:t>
      </w:r>
      <w:proofErr w:type="spellEnd"/>
      <w:r w:rsidRPr="00705CD6">
        <w:rPr>
          <w:rFonts w:ascii="Verdana" w:eastAsia="Calibri" w:hAnsi="Verdana" w:cs="Arial"/>
          <w:sz w:val="20"/>
          <w:szCs w:val="20"/>
          <w:lang w:val="x-none" w:eastAsia="es-ES"/>
        </w:rPr>
        <w:t>) menor valor.</w:t>
      </w:r>
      <w:r w:rsidRPr="00705CD6">
        <w:rPr>
          <w:rFonts w:ascii="Verdana" w:eastAsia="Calibri" w:hAnsi="Verdana" w:cs="Arial"/>
          <w:sz w:val="20"/>
          <w:szCs w:val="20"/>
          <w:lang w:eastAsia="es-ES"/>
        </w:rPr>
        <w:t xml:space="preserve"> A partir de estas alternativas</w:t>
      </w:r>
      <w:r w:rsidRPr="00705CD6">
        <w:rPr>
          <w:rFonts w:ascii="Verdana" w:eastAsia="Calibri" w:hAnsi="Verdana" w:cs="Arial"/>
          <w:sz w:val="20"/>
          <w:szCs w:val="20"/>
          <w:lang w:val="x-none" w:eastAsia="es-ES"/>
        </w:rPr>
        <w:t>, la entidad</w:t>
      </w:r>
      <w:r w:rsidRPr="00705CD6">
        <w:rPr>
          <w:rFonts w:ascii="Verdana" w:eastAsia="Calibri" w:hAnsi="Verdana" w:cs="Arial"/>
          <w:sz w:val="20"/>
          <w:szCs w:val="20"/>
          <w:lang w:val="es-ES" w:eastAsia="es-ES"/>
        </w:rPr>
        <w:t>,</w:t>
      </w:r>
      <w:r w:rsidRPr="00705CD6">
        <w:rPr>
          <w:rFonts w:ascii="Verdana" w:eastAsia="Calibri" w:hAnsi="Verdana" w:cs="Arial"/>
          <w:sz w:val="20"/>
          <w:szCs w:val="20"/>
          <w:lang w:val="x-none" w:eastAsia="es-ES"/>
        </w:rPr>
        <w:t xml:space="preserve"> para establecer el método </w:t>
      </w:r>
      <w:r w:rsidRPr="00705CD6">
        <w:rPr>
          <w:rFonts w:ascii="Verdana" w:eastAsia="Calibri" w:hAnsi="Verdana" w:cs="Arial"/>
          <w:sz w:val="20"/>
          <w:szCs w:val="20"/>
          <w:lang w:val="x-none" w:eastAsia="es-ES"/>
        </w:rPr>
        <w:lastRenderedPageBreak/>
        <w:t>de ponderación</w:t>
      </w:r>
      <w:r w:rsidRPr="00705CD6">
        <w:rPr>
          <w:rFonts w:ascii="Verdana" w:eastAsia="Calibri" w:hAnsi="Verdana" w:cs="Arial"/>
          <w:sz w:val="20"/>
          <w:szCs w:val="20"/>
          <w:lang w:val="es-ES" w:eastAsia="es-ES"/>
        </w:rPr>
        <w:t>,</w:t>
      </w:r>
      <w:r w:rsidRPr="00705CD6">
        <w:rPr>
          <w:rFonts w:ascii="Verdana" w:eastAsia="Calibri" w:hAnsi="Verdana" w:cs="Arial"/>
          <w:sz w:val="20"/>
          <w:szCs w:val="20"/>
          <w:lang w:val="x-none" w:eastAsia="es-ES"/>
        </w:rPr>
        <w:t xml:space="preserve"> tomará los centavos de la Tasa de Cambio Representativa del Mercado (TRM), certificada por la Superintendencia Financiera de Colombia</w:t>
      </w:r>
      <w:r w:rsidRPr="00705CD6">
        <w:rPr>
          <w:rFonts w:ascii="Verdana" w:eastAsia="Calibri" w:hAnsi="Verdana" w:cs="Arial"/>
          <w:color w:val="3A3A3A"/>
          <w:sz w:val="20"/>
          <w:szCs w:val="20"/>
          <w:lang w:val="x-none" w:eastAsia="es-ES"/>
        </w:rPr>
        <w:t>.</w:t>
      </w:r>
      <w:r w:rsidRPr="00705CD6">
        <w:rPr>
          <w:rFonts w:ascii="Verdana" w:eastAsia="Calibri" w:hAnsi="Verdana" w:cs="Arial"/>
          <w:sz w:val="20"/>
          <w:szCs w:val="20"/>
          <w:lang w:val="x-none" w:eastAsia="es-ES"/>
        </w:rPr>
        <w:t xml:space="preserve"> Al respecto, el documento base señala lo siguiente:</w:t>
      </w:r>
    </w:p>
    <w:p w14:paraId="5604C954" w14:textId="77777777" w:rsidR="00BE4F40" w:rsidRPr="00705CD6" w:rsidRDefault="00BE4F40" w:rsidP="00BE4F40">
      <w:pPr>
        <w:tabs>
          <w:tab w:val="left" w:pos="-142"/>
        </w:tabs>
        <w:autoSpaceDE w:val="0"/>
        <w:autoSpaceDN w:val="0"/>
        <w:adjustRightInd w:val="0"/>
        <w:snapToGrid w:val="0"/>
        <w:spacing w:after="0" w:line="240" w:lineRule="auto"/>
        <w:jc w:val="both"/>
        <w:outlineLvl w:val="2"/>
        <w:rPr>
          <w:rFonts w:ascii="Verdana" w:eastAsia="Calibri" w:hAnsi="Verdana" w:cs="Arial"/>
          <w:sz w:val="20"/>
          <w:szCs w:val="20"/>
          <w:lang w:val="x-none" w:eastAsia="es-ES"/>
        </w:rPr>
      </w:pPr>
      <w:r w:rsidRPr="00705CD6">
        <w:rPr>
          <w:rFonts w:ascii="Verdana" w:eastAsia="Calibri" w:hAnsi="Verdana" w:cs="Arial"/>
          <w:sz w:val="20"/>
          <w:szCs w:val="20"/>
          <w:lang w:val="x-none" w:eastAsia="es-ES"/>
        </w:rPr>
        <w:t>[…]</w:t>
      </w:r>
    </w:p>
    <w:p w14:paraId="10AC926E" w14:textId="77777777" w:rsidR="00BE4F40" w:rsidRPr="00705CD6" w:rsidRDefault="00BE4F40" w:rsidP="00BE4F40">
      <w:pPr>
        <w:snapToGrid w:val="0"/>
        <w:spacing w:after="0" w:line="240" w:lineRule="auto"/>
        <w:jc w:val="both"/>
        <w:rPr>
          <w:rFonts w:ascii="Verdana" w:eastAsia="Calibri" w:hAnsi="Verdana" w:cs="Arial"/>
          <w:color w:val="000000"/>
          <w:sz w:val="20"/>
          <w:szCs w:val="20"/>
          <w:lang w:val="es-ES_tradnl"/>
        </w:rPr>
      </w:pPr>
      <w:r w:rsidRPr="00705CD6">
        <w:rPr>
          <w:rFonts w:ascii="Verdana" w:eastAsia="Calibri" w:hAnsi="Verdana" w:cs="Arial"/>
          <w:color w:val="000000"/>
          <w:sz w:val="20"/>
          <w:szCs w:val="20"/>
          <w:lang w:val="es-ES_tradnl"/>
        </w:rPr>
        <w:t>La Tasa de Cambio Representativa del Mercado –TRM– “</w:t>
      </w:r>
      <w:r w:rsidRPr="00705CD6">
        <w:rPr>
          <w:rFonts w:ascii="Verdana" w:eastAsia="Calibri" w:hAnsi="Verdana" w:cs="Arial"/>
          <w:sz w:val="20"/>
          <w:szCs w:val="20"/>
          <w:lang w:val="es-ES"/>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705CD6">
        <w:rPr>
          <w:rFonts w:ascii="Verdana" w:eastAsia="Calibri" w:hAnsi="Verdana" w:cs="Arial"/>
          <w:color w:val="000000"/>
          <w:sz w:val="20"/>
          <w:szCs w:val="20"/>
          <w:lang w:val="es-ES_tradnl"/>
        </w:rPr>
        <w:t xml:space="preserve">”, definida por la Superintendencia Financiera, es decir, denota la relación entre la moneda colombiana y el dólar. Por su parte, el Banco de la República ha definido la tasa de cambio representativa del mercado como “la cantidad de pesos colombianos por un dólar de los Estados Unidos”, de donde se desprende que la TRM es un valor que se origina en la fluctuación del mercado. </w:t>
      </w:r>
    </w:p>
    <w:p w14:paraId="477A438D" w14:textId="77777777" w:rsidR="00BE4F40" w:rsidRPr="00705CD6" w:rsidRDefault="00BE4F40" w:rsidP="00BE4F40">
      <w:pPr>
        <w:adjustRightInd w:val="0"/>
        <w:snapToGrid w:val="0"/>
        <w:spacing w:after="0" w:line="240" w:lineRule="auto"/>
        <w:jc w:val="both"/>
        <w:rPr>
          <w:rFonts w:ascii="Verdana" w:eastAsia="Calibri" w:hAnsi="Verdana" w:cs="Arial"/>
          <w:color w:val="000000"/>
          <w:sz w:val="20"/>
          <w:szCs w:val="20"/>
          <w:lang w:val="es-ES_tradnl"/>
        </w:rPr>
      </w:pPr>
      <w:r w:rsidRPr="00705CD6">
        <w:rPr>
          <w:rFonts w:ascii="Verdana" w:eastAsia="Calibri" w:hAnsi="Verdana" w:cs="Arial"/>
          <w:color w:val="000000"/>
          <w:sz w:val="20"/>
          <w:szCs w:val="20"/>
          <w:lang w:val="es-ES_tradnl"/>
        </w:rPr>
        <w:t>[…]</w:t>
      </w:r>
    </w:p>
    <w:p w14:paraId="387E5DE7" w14:textId="77777777" w:rsidR="00BE4F40" w:rsidRDefault="00BE4F40" w:rsidP="00BE4F40">
      <w:pPr>
        <w:snapToGrid w:val="0"/>
        <w:spacing w:after="0" w:line="240" w:lineRule="auto"/>
        <w:jc w:val="both"/>
        <w:rPr>
          <w:rFonts w:ascii="Verdana" w:eastAsia="Aptos" w:hAnsi="Verdana" w:cs="Times New Roman"/>
          <w:kern w:val="2"/>
          <w:sz w:val="20"/>
          <w:szCs w:val="20"/>
          <w:lang w:val="es-MX"/>
          <w14:ligatures w14:val="standardContextual"/>
        </w:rPr>
      </w:pPr>
      <w:r w:rsidRPr="00705CD6">
        <w:rPr>
          <w:rFonts w:ascii="Verdana" w:eastAsia="Aptos" w:hAnsi="Verdana" w:cs="Times New Roman"/>
          <w:kern w:val="2"/>
          <w:sz w:val="20"/>
          <w:szCs w:val="20"/>
          <w:lang w:val="es-MX"/>
          <w14:ligatures w14:val="standardContextual"/>
        </w:rPr>
        <w:t>Así, la Entidad a partir del valor total corregido de las propuestas asignará el puntaje de conformidad con el proceso del numeral 4.1.4. A su vez, para evaluar la oferta económica, la Entidad tendrá en cuenta el valor total indicado en la propuesta económica o el obtenido de la corrección aritmética en alguno de los dos supuestos referidos en el numeral 4.1.2.</w:t>
      </w:r>
    </w:p>
    <w:p w14:paraId="62E52D0D" w14:textId="77777777" w:rsidR="00BE4F40" w:rsidRPr="00705CD6" w:rsidRDefault="00BE4F40" w:rsidP="00BE4F40">
      <w:pPr>
        <w:snapToGrid w:val="0"/>
        <w:spacing w:after="0" w:line="240" w:lineRule="auto"/>
        <w:jc w:val="both"/>
        <w:rPr>
          <w:rFonts w:ascii="Verdana" w:eastAsia="Aptos" w:hAnsi="Verdana" w:cs="Times New Roman"/>
          <w:kern w:val="2"/>
          <w:sz w:val="20"/>
          <w:szCs w:val="20"/>
          <w:lang w:val="es-MX"/>
          <w14:ligatures w14:val="standardContextual"/>
        </w:rPr>
      </w:pPr>
    </w:p>
    <w:p w14:paraId="0CFE262A" w14:textId="77777777" w:rsidR="00BE4F40" w:rsidRDefault="00BE4F40" w:rsidP="00BE4F40">
      <w:pPr>
        <w:snapToGrid w:val="0"/>
        <w:spacing w:after="0" w:line="240" w:lineRule="auto"/>
        <w:jc w:val="both"/>
        <w:textAlignment w:val="baseline"/>
        <w:rPr>
          <w:rFonts w:ascii="Verdana" w:eastAsia="Times New Roman" w:hAnsi="Verdana" w:cs="Arial"/>
          <w:sz w:val="20"/>
          <w:szCs w:val="20"/>
          <w:lang w:val="es-ES" w:eastAsia="es-CO"/>
        </w:rPr>
      </w:pPr>
      <w:r w:rsidRPr="00705CD6">
        <w:rPr>
          <w:rFonts w:ascii="Verdana" w:eastAsia="Times New Roman" w:hAnsi="Verdana" w:cs="Arial"/>
          <w:sz w:val="20"/>
          <w:szCs w:val="20"/>
          <w:lang w:val="es-ES" w:eastAsia="es-CO"/>
        </w:rPr>
        <w:t>Agotado el procedimiento anterior, la entidad definirá el método de ponderación de las propuestas de acuerdo con las siguientes reglas:</w:t>
      </w:r>
    </w:p>
    <w:p w14:paraId="0D0AD5F4" w14:textId="77777777" w:rsidR="00BE4F40" w:rsidRPr="00705CD6" w:rsidRDefault="00BE4F40" w:rsidP="00BE4F40">
      <w:pPr>
        <w:snapToGrid w:val="0"/>
        <w:spacing w:after="0" w:line="240" w:lineRule="auto"/>
        <w:jc w:val="both"/>
        <w:textAlignment w:val="baseline"/>
        <w:rPr>
          <w:rFonts w:ascii="Verdana" w:eastAsia="Times New Roman" w:hAnsi="Verdana" w:cs="Arial"/>
          <w:sz w:val="20"/>
          <w:szCs w:val="20"/>
          <w:lang w:val="es-ES" w:eastAsia="es-CO"/>
        </w:rPr>
      </w:pPr>
    </w:p>
    <w:p w14:paraId="73BEAA0F" w14:textId="77777777" w:rsidR="00BE4F40" w:rsidRPr="00705CD6" w:rsidRDefault="00BE4F40" w:rsidP="00BE4F40">
      <w:pPr>
        <w:numPr>
          <w:ilvl w:val="0"/>
          <w:numId w:val="22"/>
        </w:numPr>
        <w:snapToGrid w:val="0"/>
        <w:spacing w:after="0" w:line="240" w:lineRule="auto"/>
        <w:ind w:left="0" w:firstLine="0"/>
        <w:jc w:val="both"/>
        <w:textAlignment w:val="baseline"/>
        <w:rPr>
          <w:rFonts w:ascii="Verdana" w:eastAsia="Times New Roman" w:hAnsi="Verdana" w:cs="Arial"/>
          <w:sz w:val="20"/>
          <w:szCs w:val="20"/>
          <w:lang w:val="es-ES" w:eastAsia="es-CO"/>
        </w:rPr>
      </w:pPr>
      <w:r w:rsidRPr="00705CD6">
        <w:rPr>
          <w:rFonts w:ascii="Verdana" w:eastAsia="Calibri" w:hAnsi="Verdana" w:cs="Times New Roman"/>
          <w:sz w:val="20"/>
          <w:szCs w:val="20"/>
          <w:lang w:val="es-ES"/>
        </w:rPr>
        <w:t>Deberá pronunciarse sobre las propuestas que han sido rechazadas y las que se encuentran válidas.</w:t>
      </w:r>
    </w:p>
    <w:p w14:paraId="748EF908" w14:textId="77777777" w:rsidR="00BE4F40" w:rsidRPr="00705CD6" w:rsidRDefault="00BE4F40" w:rsidP="00BE4F40">
      <w:pPr>
        <w:snapToGrid w:val="0"/>
        <w:spacing w:after="0" w:line="240" w:lineRule="auto"/>
        <w:jc w:val="both"/>
        <w:textAlignment w:val="baseline"/>
        <w:rPr>
          <w:rFonts w:ascii="Verdana" w:eastAsia="Times New Roman" w:hAnsi="Verdana" w:cs="Arial"/>
          <w:sz w:val="20"/>
          <w:szCs w:val="20"/>
          <w:lang w:val="es-ES" w:eastAsia="es-CO"/>
        </w:rPr>
      </w:pPr>
    </w:p>
    <w:p w14:paraId="2BF4A437" w14:textId="77777777" w:rsidR="00BE4F40" w:rsidRDefault="00BE4F40" w:rsidP="00BE4F40">
      <w:pPr>
        <w:numPr>
          <w:ilvl w:val="0"/>
          <w:numId w:val="22"/>
        </w:numPr>
        <w:snapToGrid w:val="0"/>
        <w:spacing w:after="0" w:line="240" w:lineRule="auto"/>
        <w:ind w:left="0" w:firstLine="0"/>
        <w:jc w:val="both"/>
        <w:textAlignment w:val="baseline"/>
        <w:rPr>
          <w:rFonts w:ascii="Verdana" w:eastAsia="Times New Roman" w:hAnsi="Verdana" w:cs="Arial"/>
          <w:sz w:val="20"/>
          <w:szCs w:val="20"/>
          <w:lang w:val="es-ES" w:eastAsia="es-CO"/>
        </w:rPr>
      </w:pPr>
      <w:r w:rsidRPr="00705CD6">
        <w:rPr>
          <w:rFonts w:ascii="Verdana" w:eastAsia="Calibri" w:hAnsi="Verdana" w:cs="Times New Roman"/>
          <w:sz w:val="20"/>
          <w:szCs w:val="20"/>
          <w:lang w:val="es-ES"/>
        </w:rPr>
        <w:t>Si este pronunciamiento se realiza hasta las 3:00 pm, la entidad tomará la TRM que rija para el día hábil siguiente.</w:t>
      </w:r>
    </w:p>
    <w:p w14:paraId="634C92A4" w14:textId="77777777" w:rsidR="00BE4F40" w:rsidRPr="00705CD6" w:rsidRDefault="00BE4F40" w:rsidP="00BE4F40">
      <w:pPr>
        <w:snapToGrid w:val="0"/>
        <w:spacing w:after="0" w:line="240" w:lineRule="auto"/>
        <w:jc w:val="both"/>
        <w:textAlignment w:val="baseline"/>
        <w:rPr>
          <w:rFonts w:ascii="Verdana" w:eastAsia="Times New Roman" w:hAnsi="Verdana" w:cs="Arial"/>
          <w:sz w:val="20"/>
          <w:szCs w:val="20"/>
          <w:lang w:val="es-ES" w:eastAsia="es-CO"/>
        </w:rPr>
      </w:pPr>
    </w:p>
    <w:p w14:paraId="0BA2946B" w14:textId="77777777" w:rsidR="00BE4F40" w:rsidRPr="00705CD6" w:rsidRDefault="00BE4F40" w:rsidP="00BE4F40">
      <w:pPr>
        <w:numPr>
          <w:ilvl w:val="0"/>
          <w:numId w:val="22"/>
        </w:numPr>
        <w:snapToGrid w:val="0"/>
        <w:spacing w:after="0" w:line="240" w:lineRule="auto"/>
        <w:ind w:left="0" w:firstLine="0"/>
        <w:jc w:val="both"/>
        <w:rPr>
          <w:rFonts w:ascii="Verdana" w:eastAsia="Calibri" w:hAnsi="Verdana" w:cs="Times New Roman"/>
          <w:sz w:val="20"/>
          <w:szCs w:val="20"/>
          <w:lang w:val="es-MX"/>
        </w:rPr>
      </w:pPr>
      <w:r w:rsidRPr="00705CD6">
        <w:rPr>
          <w:rFonts w:ascii="Verdana" w:eastAsia="Calibri" w:hAnsi="Verdana" w:cs="Times New Roman"/>
          <w:sz w:val="20"/>
          <w:szCs w:val="20"/>
          <w:lang w:val="es-ES"/>
        </w:rPr>
        <w:t>Si el pronunciamiento se da después de las 3:00 pm, la entidad tomará la TRM que rija para el segundo día hábil siguiente.</w:t>
      </w:r>
    </w:p>
    <w:p w14:paraId="7724837E" w14:textId="77777777" w:rsidR="00BE4F40" w:rsidRDefault="00BE4F40" w:rsidP="00BE4F40">
      <w:pPr>
        <w:spacing w:after="0" w:line="240" w:lineRule="auto"/>
        <w:rPr>
          <w:rFonts w:ascii="Verdana" w:hAnsi="Verdana"/>
          <w:sz w:val="20"/>
          <w:szCs w:val="20"/>
        </w:rPr>
      </w:pPr>
    </w:p>
    <w:p w14:paraId="4ED56292" w14:textId="77777777" w:rsidR="00BE4F40" w:rsidRDefault="00BE4F40" w:rsidP="00BE4F40">
      <w:pPr>
        <w:spacing w:after="0" w:line="240" w:lineRule="auto"/>
        <w:jc w:val="both"/>
        <w:rPr>
          <w:rFonts w:ascii="Verdana" w:hAnsi="Verdana"/>
          <w:b/>
          <w:bCs/>
        </w:rPr>
      </w:pPr>
      <w:r>
        <w:rPr>
          <w:rFonts w:ascii="Verdana" w:hAnsi="Verdana"/>
          <w:b/>
          <w:bCs/>
        </w:rPr>
        <w:t>AUDIENCIA DE ADJUDICACIÓN</w:t>
      </w:r>
      <w:r w:rsidRPr="000935C4">
        <w:rPr>
          <w:rFonts w:ascii="Verdana" w:hAnsi="Verdana"/>
          <w:b/>
          <w:bCs/>
        </w:rPr>
        <w:t xml:space="preserve"> – </w:t>
      </w:r>
      <w:r>
        <w:rPr>
          <w:rFonts w:ascii="Verdana" w:hAnsi="Verdana"/>
          <w:b/>
          <w:bCs/>
        </w:rPr>
        <w:t>Reglas procedimentales – Decreto 1082 de 2015</w:t>
      </w:r>
    </w:p>
    <w:p w14:paraId="6B336729" w14:textId="77777777" w:rsidR="00BE4F40" w:rsidRDefault="00BE4F40" w:rsidP="00BE4F40">
      <w:pPr>
        <w:spacing w:after="0" w:line="240" w:lineRule="auto"/>
        <w:rPr>
          <w:rFonts w:ascii="Verdana" w:hAnsi="Verdana"/>
          <w:b/>
          <w:bCs/>
        </w:rPr>
      </w:pPr>
    </w:p>
    <w:p w14:paraId="2E096DDB" w14:textId="77777777" w:rsidR="00BE4F40" w:rsidRDefault="00BE4F40" w:rsidP="00BE4F40">
      <w:pPr>
        <w:spacing w:after="0" w:line="240" w:lineRule="auto"/>
        <w:jc w:val="both"/>
        <w:rPr>
          <w:rFonts w:ascii="Verdana" w:hAnsi="Verdana"/>
          <w:sz w:val="20"/>
          <w:szCs w:val="20"/>
        </w:rPr>
      </w:pPr>
      <w:r w:rsidRPr="00C80615">
        <w:rPr>
          <w:rFonts w:ascii="Verdana" w:hAnsi="Verdana"/>
          <w:sz w:val="20"/>
          <w:szCs w:val="20"/>
        </w:rPr>
        <w:t xml:space="preserve">En este sentido, el artículo 2.2.1.2.1.1.2. del Decreto Único Reglamentario 1082 de 2015 señala que en la licitación hay dos audiencias públicas obligatorias: i) la de asignación de riesgos y </w:t>
      </w:r>
      <w:proofErr w:type="spellStart"/>
      <w:r w:rsidRPr="00C80615">
        <w:rPr>
          <w:rFonts w:ascii="Verdana" w:hAnsi="Verdana"/>
          <w:sz w:val="20"/>
          <w:szCs w:val="20"/>
        </w:rPr>
        <w:t>ii</w:t>
      </w:r>
      <w:proofErr w:type="spellEnd"/>
      <w:r w:rsidRPr="00C80615">
        <w:rPr>
          <w:rFonts w:ascii="Verdana" w:hAnsi="Verdana"/>
          <w:sz w:val="20"/>
          <w:szCs w:val="20"/>
        </w:rPr>
        <w:t>) la de adjudicación. Respecto de la última, la norma fijó las siguientes reglas procedimentales</w:t>
      </w:r>
      <w:r>
        <w:rPr>
          <w:rFonts w:ascii="Verdana" w:hAnsi="Verdana"/>
          <w:sz w:val="20"/>
          <w:szCs w:val="20"/>
        </w:rPr>
        <w:t>.</w:t>
      </w:r>
    </w:p>
    <w:p w14:paraId="3AC83C02" w14:textId="77777777" w:rsidR="00BE4F40" w:rsidRPr="00C80615" w:rsidRDefault="00BE4F40" w:rsidP="00BE4F40">
      <w:pPr>
        <w:spacing w:after="0" w:line="240" w:lineRule="auto"/>
        <w:jc w:val="both"/>
        <w:rPr>
          <w:rFonts w:ascii="Verdana" w:hAnsi="Verdana"/>
          <w:sz w:val="20"/>
          <w:szCs w:val="20"/>
        </w:rPr>
      </w:pPr>
    </w:p>
    <w:p w14:paraId="2EB2DD36" w14:textId="77777777" w:rsidR="00BE4F40" w:rsidRDefault="00BE4F40" w:rsidP="00BE4F40">
      <w:pPr>
        <w:spacing w:after="0" w:line="240" w:lineRule="auto"/>
        <w:jc w:val="both"/>
        <w:rPr>
          <w:rFonts w:ascii="Verdana" w:hAnsi="Verdana"/>
          <w:sz w:val="20"/>
          <w:szCs w:val="20"/>
        </w:rPr>
      </w:pPr>
      <w:r w:rsidRPr="00C80615">
        <w:rPr>
          <w:rFonts w:ascii="Verdana" w:hAnsi="Verdana"/>
          <w:sz w:val="20"/>
          <w:szCs w:val="20"/>
        </w:rPr>
        <w:t xml:space="preserve">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Como se observa, la norma no condiciona la intervención a un tiempo determinado, ni establece la cantidad de oportunidades en las cuales se faculta al </w:t>
      </w:r>
      <w:r w:rsidRPr="00C80615">
        <w:rPr>
          <w:rFonts w:ascii="Verdana" w:hAnsi="Verdana"/>
          <w:sz w:val="20"/>
          <w:szCs w:val="20"/>
        </w:rPr>
        <w:lastRenderedPageBreak/>
        <w:t>proponente para hacerlo, pero señala la prohibición de que tal intervención no puede usarse para mejorar o modificar la oferta presentada.</w:t>
      </w:r>
    </w:p>
    <w:p w14:paraId="1EDD3B35" w14:textId="77777777" w:rsidR="00BE4F40" w:rsidRDefault="00BE4F40" w:rsidP="00BE4F40">
      <w:pPr>
        <w:spacing w:after="0" w:line="240" w:lineRule="auto"/>
        <w:jc w:val="both"/>
        <w:rPr>
          <w:rFonts w:ascii="Verdana" w:hAnsi="Verdana"/>
          <w:sz w:val="20"/>
          <w:szCs w:val="20"/>
        </w:rPr>
      </w:pPr>
    </w:p>
    <w:p w14:paraId="28352AE2" w14:textId="77777777" w:rsidR="00BE4F40" w:rsidRDefault="00BE4F40" w:rsidP="00BE4F40">
      <w:pPr>
        <w:spacing w:after="0" w:line="240" w:lineRule="auto"/>
        <w:jc w:val="both"/>
        <w:rPr>
          <w:rFonts w:ascii="Verdana" w:hAnsi="Verdana"/>
          <w:sz w:val="20"/>
          <w:szCs w:val="20"/>
        </w:rPr>
      </w:pPr>
      <w:r>
        <w:rPr>
          <w:rFonts w:ascii="Verdana" w:hAnsi="Verdana"/>
          <w:sz w:val="20"/>
          <w:szCs w:val="20"/>
        </w:rPr>
        <w:t>[…]</w:t>
      </w:r>
    </w:p>
    <w:p w14:paraId="1ABAF6A5" w14:textId="77777777" w:rsidR="00BE4F40" w:rsidRPr="002F3D9C" w:rsidRDefault="00BE4F40" w:rsidP="00BE4F40">
      <w:pPr>
        <w:spacing w:after="0" w:line="240" w:lineRule="auto"/>
        <w:jc w:val="both"/>
        <w:rPr>
          <w:rFonts w:ascii="Verdana" w:eastAsia="Times New Roman" w:hAnsi="Verdana" w:cs="Arial"/>
          <w:sz w:val="20"/>
          <w:szCs w:val="20"/>
          <w:lang w:eastAsia="es-ES_tradnl"/>
        </w:rPr>
      </w:pPr>
    </w:p>
    <w:p w14:paraId="1194E9EB" w14:textId="77777777" w:rsidR="00BE4F40" w:rsidRDefault="00BE4F40" w:rsidP="00BE4F40">
      <w:pPr>
        <w:spacing w:after="0" w:line="240" w:lineRule="auto"/>
        <w:jc w:val="both"/>
        <w:rPr>
          <w:rFonts w:ascii="Verdana" w:eastAsia="Times New Roman" w:hAnsi="Verdana" w:cs="Arial"/>
          <w:sz w:val="20"/>
          <w:szCs w:val="20"/>
          <w:lang w:eastAsia="es-ES_tradnl"/>
        </w:rPr>
      </w:pPr>
      <w:r w:rsidRPr="002F3D9C">
        <w:rPr>
          <w:rFonts w:ascii="Verdana" w:eastAsia="Times New Roman" w:hAnsi="Verdana" w:cs="Arial"/>
          <w:sz w:val="20"/>
          <w:szCs w:val="20"/>
          <w:lang w:eastAsia="es-ES_tradnl"/>
        </w:rPr>
        <w:t xml:space="preserve">Segundo, cuando se hagan observaciones respecto de alguna oferta, el proponente podrá responder los cuestionamientos. En otras palabras, el numeral 2 establece el deber en cabeza de la entidad estatal de conceder el uso de la palabra por una única vez al oferente que solicite intervenir, con el propósito de responder a las observaciones que sobre la evaluación de su oferta hayan hecho los intervinientes. Aquí la regla sí fijó que la cantidad de intervenciones que pueda llegar a hacer el oferente para responder sobre los cuestionamientos e inquietudes que suscite su oferta en los demás interesados, será de una sola vez. De manera que no resultaría exigible que las intervenciones para estos efectos se prolonguen en el tiempo y por una cantidad plural de oportunidades para hacerlo, por cuanto los oferentes tendrán que abordar los aspectos pertinentes en una sola intervención. </w:t>
      </w:r>
    </w:p>
    <w:p w14:paraId="18DE84E9" w14:textId="77777777" w:rsidR="00BE4F40" w:rsidRPr="002F3D9C" w:rsidRDefault="00BE4F40" w:rsidP="00BE4F40">
      <w:pPr>
        <w:spacing w:after="0" w:line="240" w:lineRule="auto"/>
        <w:jc w:val="both"/>
        <w:rPr>
          <w:rFonts w:ascii="Verdana" w:eastAsia="Times New Roman" w:hAnsi="Verdana" w:cs="Arial"/>
          <w:sz w:val="20"/>
          <w:szCs w:val="20"/>
          <w:lang w:eastAsia="es-ES_tradnl"/>
        </w:rPr>
      </w:pPr>
    </w:p>
    <w:p w14:paraId="2B9D9C63" w14:textId="77777777" w:rsidR="00BE4F40" w:rsidRDefault="00BE4F40" w:rsidP="00BE4F40">
      <w:pPr>
        <w:spacing w:after="0" w:line="240" w:lineRule="auto"/>
        <w:jc w:val="both"/>
        <w:rPr>
          <w:rFonts w:ascii="Verdana" w:eastAsia="Times New Roman" w:hAnsi="Verdana" w:cs="Arial"/>
          <w:lang w:eastAsia="es-ES_tradnl"/>
        </w:rPr>
      </w:pPr>
      <w:r w:rsidRPr="002F3D9C">
        <w:rPr>
          <w:rFonts w:ascii="Verdana" w:eastAsia="Times New Roman" w:hAnsi="Verdana" w:cs="Arial"/>
          <w:sz w:val="20"/>
          <w:szCs w:val="20"/>
          <w:lang w:eastAsia="es-ES_tradnl"/>
        </w:rPr>
        <w:t>Tercero, en virtud del numeral 3 de la norma en cita, le corresponde a la entidad estatal establecer la duración máxima de dichas intervenciones de manera previa y verificar que quienes intervengan sean los oferentes o las personas designadas previamente por estos, y dentro del tiempo que la entidad señale. Cuarto, si la entidad publicó previamente el borrador del acto de adjudicación, puede prescindir de su lectura. Finalmente, terminadas las intervenciones, la entidad adopta la decisión</w:t>
      </w:r>
      <w:r>
        <w:rPr>
          <w:rFonts w:ascii="Verdana" w:eastAsia="Times New Roman" w:hAnsi="Verdana" w:cs="Arial"/>
          <w:sz w:val="20"/>
          <w:szCs w:val="20"/>
          <w:lang w:eastAsia="es-ES_tradnl"/>
        </w:rPr>
        <w:t>.</w:t>
      </w:r>
    </w:p>
    <w:p w14:paraId="58854F37" w14:textId="77777777" w:rsidR="00BE4F40" w:rsidRDefault="00BE4F40" w:rsidP="00BE4F40">
      <w:pPr>
        <w:spacing w:after="0" w:line="240" w:lineRule="auto"/>
        <w:rPr>
          <w:rFonts w:ascii="Verdana" w:eastAsia="Times New Roman" w:hAnsi="Verdana" w:cs="Arial"/>
          <w:lang w:eastAsia="es-ES_tradnl"/>
        </w:rPr>
      </w:pPr>
    </w:p>
    <w:p w14:paraId="0D3CD53D" w14:textId="77777777" w:rsidR="00BE4F40" w:rsidRPr="00B94703" w:rsidRDefault="00BE4F40" w:rsidP="00BE4F40">
      <w:pPr>
        <w:spacing w:after="0" w:line="240" w:lineRule="auto"/>
        <w:jc w:val="both"/>
        <w:rPr>
          <w:rFonts w:ascii="Verdana" w:hAnsi="Verdana"/>
          <w:b/>
          <w:bCs/>
        </w:rPr>
      </w:pPr>
      <w:r w:rsidRPr="00B94703">
        <w:rPr>
          <w:rFonts w:ascii="Verdana" w:hAnsi="Verdana"/>
          <w:b/>
          <w:bCs/>
        </w:rPr>
        <w:t xml:space="preserve">OBSERVANCIA DE PRINCIPIOS – </w:t>
      </w:r>
      <w:r>
        <w:rPr>
          <w:rFonts w:ascii="Verdana" w:hAnsi="Verdana"/>
          <w:b/>
          <w:bCs/>
        </w:rPr>
        <w:t>Transparencia – Igualdad – Selección Objetiva</w:t>
      </w:r>
    </w:p>
    <w:p w14:paraId="71CD39FB" w14:textId="77777777" w:rsidR="00BE4F40" w:rsidRDefault="00BE4F40" w:rsidP="00BE4F40">
      <w:pPr>
        <w:spacing w:after="0" w:line="240" w:lineRule="auto"/>
        <w:rPr>
          <w:rFonts w:ascii="Verdana" w:eastAsia="Times New Roman" w:hAnsi="Verdana" w:cs="Arial"/>
          <w:lang w:eastAsia="es-ES_tradnl"/>
        </w:rPr>
      </w:pPr>
    </w:p>
    <w:p w14:paraId="6936548E" w14:textId="77777777" w:rsidR="00BE4F40" w:rsidRPr="00B94703" w:rsidRDefault="00BE4F40" w:rsidP="00BE4F40">
      <w:pPr>
        <w:spacing w:after="0" w:line="240" w:lineRule="auto"/>
        <w:jc w:val="both"/>
        <w:rPr>
          <w:rFonts w:ascii="Verdana" w:eastAsia="Times New Roman" w:hAnsi="Verdana" w:cs="Arial"/>
          <w:sz w:val="20"/>
          <w:szCs w:val="20"/>
          <w:lang w:eastAsia="es-ES_tradnl"/>
        </w:rPr>
      </w:pPr>
      <w:r w:rsidRPr="00B94703">
        <w:rPr>
          <w:rFonts w:ascii="Verdana" w:eastAsia="Times New Roman" w:hAnsi="Verdana" w:cs="Arial"/>
          <w:sz w:val="20"/>
          <w:szCs w:val="20"/>
          <w:lang w:eastAsia="es-ES_tradnl"/>
        </w:rPr>
        <w:t>Identificadas las reglas fijadas por el artículo citado, se advierte que se trata de directrices mínimas que ilustran el desarrollo de la audiencia de adjudicación, pero evidentemente no alcanzan a prever todos los supuestos que se pueden presentar. En todo caso, las anteriores garantías desarrollan en parte algunos de los principios más trascendentales del EGCAP y los consagrados en el artículo 3 del CPACA como lo son el de transparencia, imparcialidad, igualdad, moralidad y selección objetiva, en razón a que permiten que se cumpla con el fin principal cual es el de seleccionar la mejor oferta para los intereses de la entidad estatal contratante lo que, en suma, exige que la entidad estatal asegure que dicha audiencia de adjudicación se desarrolle con los menores contratiempos y sin obstáculo a la participación legitima de los partícipes.</w:t>
      </w:r>
    </w:p>
    <w:p w14:paraId="6456CDE2" w14:textId="77777777" w:rsidR="00BE4F40" w:rsidRDefault="00BE4F40" w:rsidP="00BE4F40">
      <w:pPr>
        <w:spacing w:after="0"/>
        <w:rPr>
          <w:rFonts w:ascii="Verdana" w:eastAsia="Calibri" w:hAnsi="Verdana" w:cs="Times New Roman"/>
          <w:color w:val="00B0F0"/>
          <w:kern w:val="2"/>
          <w:sz w:val="20"/>
          <w:szCs w:val="20"/>
          <w14:ligatures w14:val="standardContextual"/>
        </w:rPr>
      </w:pPr>
    </w:p>
    <w:p w14:paraId="7125526E" w14:textId="77777777" w:rsidR="00BE4F40" w:rsidRDefault="00BE4F40" w:rsidP="00BE4F40">
      <w:pPr>
        <w:spacing w:after="0"/>
        <w:rPr>
          <w:rFonts w:ascii="Verdana" w:eastAsia="Calibri" w:hAnsi="Verdana" w:cs="Times New Roman"/>
          <w:color w:val="00B0F0"/>
          <w:kern w:val="2"/>
          <w:sz w:val="20"/>
          <w:szCs w:val="20"/>
          <w14:ligatures w14:val="standardContextual"/>
        </w:rPr>
      </w:pPr>
    </w:p>
    <w:p w14:paraId="3FD8456A" w14:textId="77777777" w:rsidR="00BE4F40" w:rsidRDefault="00BE4F40" w:rsidP="00BE4F40">
      <w:pPr>
        <w:spacing w:after="0"/>
        <w:rPr>
          <w:rFonts w:ascii="Verdana" w:eastAsia="Calibri" w:hAnsi="Verdana" w:cs="Times New Roman"/>
          <w:color w:val="00B0F0"/>
          <w:kern w:val="2"/>
          <w:sz w:val="20"/>
          <w:szCs w:val="20"/>
          <w14:ligatures w14:val="standardContextual"/>
        </w:rPr>
      </w:pPr>
    </w:p>
    <w:p w14:paraId="66EBCC4C" w14:textId="77777777" w:rsidR="00BE4F40" w:rsidRDefault="00BE4F40" w:rsidP="00BE4F40">
      <w:pPr>
        <w:spacing w:after="0"/>
        <w:rPr>
          <w:rFonts w:ascii="Verdana" w:eastAsia="Calibri" w:hAnsi="Verdana" w:cs="Times New Roman"/>
          <w:color w:val="00B0F0"/>
          <w:kern w:val="2"/>
          <w:sz w:val="20"/>
          <w:szCs w:val="20"/>
          <w14:ligatures w14:val="standardContextual"/>
        </w:rPr>
      </w:pPr>
    </w:p>
    <w:p w14:paraId="7F0962D0" w14:textId="77777777" w:rsidR="00BE4F40" w:rsidRDefault="00BE4F40" w:rsidP="00BE4F40">
      <w:pPr>
        <w:spacing w:after="0"/>
        <w:rPr>
          <w:rFonts w:ascii="Verdana" w:eastAsia="Calibri" w:hAnsi="Verdana" w:cs="Times New Roman"/>
          <w:color w:val="00B0F0"/>
          <w:kern w:val="2"/>
          <w:sz w:val="20"/>
          <w:szCs w:val="20"/>
          <w14:ligatures w14:val="standardContextual"/>
        </w:rPr>
      </w:pPr>
    </w:p>
    <w:p w14:paraId="2620B249" w14:textId="77777777" w:rsidR="00BE4F40" w:rsidRDefault="00BE4F40" w:rsidP="00BE4F40">
      <w:pPr>
        <w:spacing w:after="0"/>
        <w:rPr>
          <w:rFonts w:ascii="Verdana" w:eastAsia="Calibri" w:hAnsi="Verdana" w:cs="Times New Roman"/>
          <w:color w:val="00B0F0"/>
          <w:kern w:val="2"/>
          <w:sz w:val="20"/>
          <w:szCs w:val="20"/>
          <w14:ligatures w14:val="standardContextual"/>
        </w:rPr>
      </w:pPr>
    </w:p>
    <w:p w14:paraId="4F646393" w14:textId="77777777" w:rsidR="00BE4F40" w:rsidRDefault="00BE4F40" w:rsidP="00BE4F40">
      <w:pPr>
        <w:spacing w:after="0"/>
        <w:rPr>
          <w:rFonts w:ascii="Verdana" w:eastAsia="Calibri" w:hAnsi="Verdana" w:cs="Times New Roman"/>
          <w:color w:val="00B0F0"/>
          <w:kern w:val="2"/>
          <w:sz w:val="20"/>
          <w:szCs w:val="20"/>
          <w14:ligatures w14:val="standardContextual"/>
        </w:rPr>
      </w:pPr>
    </w:p>
    <w:p w14:paraId="594CDC10" w14:textId="77777777" w:rsidR="00BE4F40" w:rsidRPr="0038158B" w:rsidRDefault="00BE4F40" w:rsidP="00BE4F40">
      <w:pPr>
        <w:spacing w:after="0"/>
        <w:rPr>
          <w:rFonts w:ascii="Verdana" w:eastAsia="Calibri" w:hAnsi="Verdana" w:cs="Times New Roman"/>
          <w:color w:val="00B0F0"/>
          <w:kern w:val="2"/>
          <w:sz w:val="20"/>
          <w:szCs w:val="20"/>
          <w14:ligatures w14:val="standardContextual"/>
        </w:rPr>
      </w:pPr>
    </w:p>
    <w:p w14:paraId="74A32D99" w14:textId="05207469" w:rsidR="00BE4F40" w:rsidRPr="00C96899" w:rsidRDefault="00BE4F40" w:rsidP="00BE4F40">
      <w:pPr>
        <w:spacing w:after="0"/>
        <w:rPr>
          <w:rFonts w:ascii="Verdana" w:hAnsi="Verdana"/>
          <w:color w:val="000000" w:themeColor="text1"/>
        </w:rPr>
      </w:pPr>
      <w:r w:rsidRPr="00C96899">
        <w:rPr>
          <w:rFonts w:ascii="Verdana" w:hAnsi="Verdana"/>
          <w:color w:val="000000" w:themeColor="text1"/>
        </w:rPr>
        <w:lastRenderedPageBreak/>
        <w:t xml:space="preserve">Bogotá D.C, </w:t>
      </w:r>
      <w:r w:rsidR="0004178B" w:rsidRPr="0004178B">
        <w:rPr>
          <w:rFonts w:ascii="Verdana" w:hAnsi="Verdana"/>
          <w:color w:val="000000" w:themeColor="text1"/>
        </w:rPr>
        <w:t>15 Octubre 2026</w:t>
      </w:r>
    </w:p>
    <w:p w14:paraId="331933FA" w14:textId="0611C7B0" w:rsidR="00BE4F40" w:rsidRPr="00C96899" w:rsidRDefault="00AB1362" w:rsidP="00BE4F40">
      <w:pPr>
        <w:spacing w:after="0"/>
        <w:rPr>
          <w:rFonts w:ascii="Verdana" w:hAnsi="Verdana"/>
        </w:rPr>
      </w:pPr>
      <w:r>
        <w:rPr>
          <w:rFonts w:ascii="Verdana" w:eastAsia="Aptos" w:hAnsi="Verdana" w:cs="Times New Roman"/>
          <w:bCs/>
          <w:noProof/>
          <w:lang w:val="es-ES_tradnl"/>
        </w:rPr>
        <w:drawing>
          <wp:anchor distT="0" distB="0" distL="114300" distR="114300" simplePos="0" relativeHeight="251659264" behindDoc="0" locked="0" layoutInCell="1" allowOverlap="1" wp14:anchorId="190994EA" wp14:editId="33E0F8CB">
            <wp:simplePos x="0" y="0"/>
            <wp:positionH relativeFrom="margin">
              <wp:posOffset>3373466</wp:posOffset>
            </wp:positionH>
            <wp:positionV relativeFrom="margin">
              <wp:posOffset>230199</wp:posOffset>
            </wp:positionV>
            <wp:extent cx="2648617" cy="724082"/>
            <wp:effectExtent l="0" t="0" r="5715" b="0"/>
            <wp:wrapSquare wrapText="bothSides"/>
            <wp:docPr id="3194109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10958"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8617" cy="724082"/>
                    </a:xfrm>
                    <a:prstGeom prst="rect">
                      <a:avLst/>
                    </a:prstGeom>
                  </pic:spPr>
                </pic:pic>
              </a:graphicData>
            </a:graphic>
          </wp:anchor>
        </w:drawing>
      </w:r>
    </w:p>
    <w:p w14:paraId="68EBDF26" w14:textId="77777777" w:rsidR="00BE4F40" w:rsidRPr="00694277" w:rsidRDefault="00BE4F40" w:rsidP="00BE4F40">
      <w:pPr>
        <w:spacing w:after="0" w:line="276" w:lineRule="auto"/>
        <w:rPr>
          <w:rFonts w:ascii="Verdana" w:eastAsia="Calibri" w:hAnsi="Verdana" w:cs="Arial"/>
          <w:lang w:val="es-ES" w:eastAsia="es-ES"/>
        </w:rPr>
      </w:pPr>
      <w:r w:rsidRPr="00694277">
        <w:rPr>
          <w:rFonts w:ascii="Verdana" w:eastAsia="Calibri" w:hAnsi="Verdana" w:cs="Arial"/>
          <w:lang w:val="es-ES" w:eastAsia="es-ES"/>
        </w:rPr>
        <w:t>Señor</w:t>
      </w:r>
      <w:r>
        <w:rPr>
          <w:rFonts w:ascii="Verdana" w:eastAsia="Calibri" w:hAnsi="Verdana" w:cs="Arial"/>
          <w:lang w:val="es-ES" w:eastAsia="es-ES"/>
        </w:rPr>
        <w:t>a</w:t>
      </w:r>
    </w:p>
    <w:p w14:paraId="3BDCB322" w14:textId="77777777" w:rsidR="00BE4F40" w:rsidRDefault="00BE4F40" w:rsidP="00BE4F40">
      <w:pPr>
        <w:spacing w:after="0" w:line="276" w:lineRule="auto"/>
        <w:rPr>
          <w:rFonts w:ascii="Verdana" w:eastAsia="Calibri" w:hAnsi="Verdana" w:cs="Arial"/>
          <w:b/>
          <w:bCs/>
          <w:lang w:val="es-ES" w:eastAsia="es-ES"/>
        </w:rPr>
      </w:pPr>
      <w:r>
        <w:rPr>
          <w:rFonts w:ascii="Verdana" w:eastAsia="Calibri" w:hAnsi="Verdana" w:cs="Arial"/>
          <w:b/>
          <w:bCs/>
          <w:lang w:val="es-ES" w:eastAsia="es-ES"/>
        </w:rPr>
        <w:t>Daniela Orejuela Cruz</w:t>
      </w:r>
    </w:p>
    <w:p w14:paraId="1CD102A2" w14:textId="77777777" w:rsidR="00BE4F40" w:rsidRPr="00C366FA" w:rsidRDefault="00BE4F40" w:rsidP="00BE4F40">
      <w:pPr>
        <w:spacing w:after="0" w:line="276" w:lineRule="auto"/>
        <w:rPr>
          <w:rFonts w:ascii="Verdana" w:eastAsia="Calibri" w:hAnsi="Verdana" w:cs="Arial"/>
          <w:lang w:val="es-ES" w:eastAsia="es-ES"/>
        </w:rPr>
      </w:pPr>
      <w:r w:rsidRPr="00C366FA">
        <w:rPr>
          <w:rFonts w:ascii="Verdana" w:eastAsia="Calibri" w:hAnsi="Verdana" w:cs="Arial"/>
          <w:lang w:val="es-ES" w:eastAsia="es-ES"/>
        </w:rPr>
        <w:t>Representante Legal</w:t>
      </w:r>
    </w:p>
    <w:p w14:paraId="195ECE2E" w14:textId="77777777" w:rsidR="00BE4F40" w:rsidRPr="00C366FA" w:rsidRDefault="00BE4F40" w:rsidP="00BE4F40">
      <w:pPr>
        <w:spacing w:after="0" w:line="276" w:lineRule="auto"/>
        <w:rPr>
          <w:rFonts w:ascii="Verdana" w:eastAsia="Calibri" w:hAnsi="Verdana" w:cs="Arial"/>
          <w:lang w:val="es-ES" w:eastAsia="es-ES"/>
        </w:rPr>
      </w:pPr>
      <w:r w:rsidRPr="00C366FA">
        <w:rPr>
          <w:rFonts w:ascii="Verdana" w:eastAsia="Calibri" w:hAnsi="Verdana" w:cs="Arial"/>
          <w:lang w:val="es-ES" w:eastAsia="es-ES"/>
        </w:rPr>
        <w:t>Generadora de Proyectos de Puertos Arquitectura y Vías S.A.S</w:t>
      </w:r>
    </w:p>
    <w:p w14:paraId="65187F91" w14:textId="77777777" w:rsidR="00BE4F40" w:rsidRPr="00C366FA" w:rsidRDefault="00BE4F40" w:rsidP="00BE4F40">
      <w:pPr>
        <w:spacing w:after="0" w:line="276" w:lineRule="auto"/>
        <w:rPr>
          <w:rFonts w:ascii="Verdana" w:hAnsi="Verdana"/>
        </w:rPr>
      </w:pPr>
      <w:hyperlink r:id="rId11" w:history="1">
        <w:r w:rsidRPr="00C366FA">
          <w:rPr>
            <w:rStyle w:val="Hipervnculo"/>
            <w:rFonts w:ascii="Verdana" w:hAnsi="Verdana"/>
          </w:rPr>
          <w:t>juanseolaya@gmail.com</w:t>
        </w:r>
      </w:hyperlink>
    </w:p>
    <w:p w14:paraId="77E2DB1A" w14:textId="77777777" w:rsidR="00BE4F40" w:rsidRPr="00C366FA" w:rsidRDefault="00BE4F40" w:rsidP="00BE4F40">
      <w:pPr>
        <w:spacing w:after="0" w:line="276" w:lineRule="auto"/>
        <w:rPr>
          <w:rFonts w:ascii="Verdana" w:eastAsia="Calibri" w:hAnsi="Verdana" w:cs="Arial"/>
          <w:color w:val="66CCFF"/>
          <w:lang w:val="es-ES_tradnl" w:eastAsia="es-ES_tradnl"/>
        </w:rPr>
      </w:pPr>
      <w:r>
        <w:rPr>
          <w:rFonts w:ascii="Verdana" w:hAnsi="Verdana"/>
          <w:lang w:val="es-ES"/>
        </w:rPr>
        <w:t>Medellín</w:t>
      </w:r>
      <w:r w:rsidRPr="00C366FA">
        <w:rPr>
          <w:rFonts w:ascii="Verdana" w:hAnsi="Verdana"/>
          <w:lang w:val="es-ES"/>
        </w:rPr>
        <w:t xml:space="preserve">, </w:t>
      </w:r>
      <w:r>
        <w:rPr>
          <w:rFonts w:ascii="Verdana" w:hAnsi="Verdana"/>
          <w:lang w:val="es-ES"/>
        </w:rPr>
        <w:t>Antioquia</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BE4F40" w:rsidRPr="00C96899" w14:paraId="5D61A15D" w14:textId="77777777" w:rsidTr="006A0A66">
        <w:trPr>
          <w:trHeight w:val="463"/>
        </w:trPr>
        <w:tc>
          <w:tcPr>
            <w:tcW w:w="3261" w:type="dxa"/>
          </w:tcPr>
          <w:p w14:paraId="54FC7732" w14:textId="77777777" w:rsidR="00BE4F40" w:rsidRPr="00C96899" w:rsidRDefault="00BE4F40" w:rsidP="006A0A66">
            <w:pPr>
              <w:spacing w:line="276" w:lineRule="auto"/>
              <w:jc w:val="both"/>
              <w:rPr>
                <w:rFonts w:ascii="Verdana" w:eastAsia="Calibri" w:hAnsi="Verdana" w:cs="Arial"/>
                <w:b/>
                <w:bCs/>
                <w:color w:val="66CCFF"/>
                <w:lang w:val="es-ES_tradnl" w:eastAsia="es-ES_tradnl"/>
              </w:rPr>
            </w:pPr>
          </w:p>
        </w:tc>
        <w:tc>
          <w:tcPr>
            <w:tcW w:w="5972" w:type="dxa"/>
            <w:hideMark/>
          </w:tcPr>
          <w:p w14:paraId="747591A7" w14:textId="47F8DEF2" w:rsidR="00BE4F40" w:rsidRPr="00C96899" w:rsidRDefault="00BE4F40" w:rsidP="006A0A66">
            <w:pPr>
              <w:spacing w:line="276" w:lineRule="auto"/>
              <w:jc w:val="both"/>
              <w:rPr>
                <w:rFonts w:ascii="Verdana" w:eastAsia="Calibri" w:hAnsi="Verdana" w:cs="Arial"/>
                <w:b/>
                <w:bCs/>
                <w:lang w:val="es-ES" w:eastAsia="es-ES"/>
              </w:rPr>
            </w:pPr>
            <w:r w:rsidRPr="00C96899">
              <w:rPr>
                <w:rFonts w:ascii="Verdana" w:eastAsia="Calibri" w:hAnsi="Verdana" w:cs="Arial"/>
                <w:b/>
                <w:bCs/>
                <w:lang w:val="es-ES" w:eastAsia="es-ES"/>
              </w:rPr>
              <w:t xml:space="preserve">Concepto C – </w:t>
            </w:r>
            <w:r w:rsidRPr="06161233">
              <w:rPr>
                <w:rFonts w:ascii="Verdana" w:eastAsia="Calibri" w:hAnsi="Verdana" w:cs="Arial"/>
                <w:b/>
                <w:bCs/>
                <w:lang w:val="es-ES" w:eastAsia="es-ES"/>
              </w:rPr>
              <w:t>13</w:t>
            </w:r>
            <w:r w:rsidR="048330A9" w:rsidRPr="06161233">
              <w:rPr>
                <w:rFonts w:ascii="Verdana" w:eastAsia="Calibri" w:hAnsi="Verdana" w:cs="Arial"/>
                <w:b/>
                <w:bCs/>
                <w:lang w:val="es-ES" w:eastAsia="es-ES"/>
              </w:rPr>
              <w:t>89</w:t>
            </w:r>
            <w:r w:rsidRPr="00C96899">
              <w:rPr>
                <w:rFonts w:ascii="Verdana" w:eastAsia="Calibri" w:hAnsi="Verdana" w:cs="Arial"/>
                <w:b/>
                <w:bCs/>
                <w:lang w:val="es-ES" w:eastAsia="es-ES"/>
              </w:rPr>
              <w:t xml:space="preserve"> de 2026</w:t>
            </w:r>
          </w:p>
        </w:tc>
      </w:tr>
      <w:tr w:rsidR="00BE4F40" w:rsidRPr="00C96899" w14:paraId="03C794E0" w14:textId="77777777" w:rsidTr="006A0A66">
        <w:trPr>
          <w:trHeight w:val="861"/>
        </w:trPr>
        <w:tc>
          <w:tcPr>
            <w:tcW w:w="3261" w:type="dxa"/>
            <w:hideMark/>
          </w:tcPr>
          <w:p w14:paraId="057843A2" w14:textId="77777777" w:rsidR="00BE4F40" w:rsidRPr="00C96899" w:rsidRDefault="00BE4F40" w:rsidP="006A0A66">
            <w:pPr>
              <w:spacing w:line="276" w:lineRule="auto"/>
              <w:jc w:val="both"/>
              <w:rPr>
                <w:rFonts w:ascii="Verdana" w:eastAsia="Calibri" w:hAnsi="Verdana" w:cs="Arial"/>
                <w:lang w:val="es-ES_tradnl" w:eastAsia="es-ES_tradnl"/>
              </w:rPr>
            </w:pPr>
            <w:r w:rsidRPr="00C96899">
              <w:rPr>
                <w:rFonts w:ascii="Verdana" w:eastAsia="Calibri" w:hAnsi="Verdana" w:cs="Arial"/>
                <w:b/>
                <w:lang w:val="es-ES_tradnl" w:eastAsia="es-ES_tradnl"/>
              </w:rPr>
              <w:t>Temas:</w:t>
            </w:r>
            <w:r w:rsidRPr="00C96899">
              <w:rPr>
                <w:rFonts w:ascii="Verdana" w:eastAsia="Calibri" w:hAnsi="Verdana" w:cs="Arial"/>
                <w:lang w:val="es-ES_tradnl" w:eastAsia="es-ES_tradnl"/>
              </w:rPr>
              <w:t xml:space="preserve">                  </w:t>
            </w:r>
          </w:p>
        </w:tc>
        <w:tc>
          <w:tcPr>
            <w:tcW w:w="5972" w:type="dxa"/>
          </w:tcPr>
          <w:p w14:paraId="71C73EF8" w14:textId="254571C5" w:rsidR="00BE4F40" w:rsidRPr="00034557" w:rsidRDefault="00BE4F40" w:rsidP="006A0A66">
            <w:pPr>
              <w:jc w:val="both"/>
              <w:rPr>
                <w:rFonts w:ascii="Verdana" w:hAnsi="Verdana"/>
                <w:bCs/>
              </w:rPr>
            </w:pPr>
            <w:r w:rsidRPr="00034557">
              <w:rPr>
                <w:rFonts w:ascii="Verdana" w:eastAsia="Calibri" w:hAnsi="Verdana" w:cs="Arial"/>
                <w:bCs/>
                <w:kern w:val="2"/>
                <w:lang w:val="es-ES_tradnl"/>
                <w14:ligatures w14:val="standardContextual"/>
              </w:rPr>
              <w:t xml:space="preserve">PRECIOS ARTIFICIALMENTE BAJOS – Noción </w:t>
            </w:r>
            <w:r w:rsidRPr="00034557">
              <w:rPr>
                <w:rFonts w:ascii="Verdana" w:eastAsia="Calibri" w:hAnsi="Verdana" w:cs="Times New Roman"/>
                <w:bCs/>
                <w:lang w:eastAsia="es-MX"/>
              </w:rPr>
              <w:t xml:space="preserve">/ </w:t>
            </w:r>
            <w:r w:rsidRPr="00034557">
              <w:rPr>
                <w:rFonts w:ascii="Verdana" w:eastAsia="Calibri" w:hAnsi="Verdana" w:cs="Arial"/>
                <w:bCs/>
                <w:kern w:val="2"/>
                <w:lang w:val="es-ES_tradnl"/>
                <w14:ligatures w14:val="standardContextual"/>
              </w:rPr>
              <w:t xml:space="preserve">DOCUMENTOS TIPO DE INFRAESTRUCTURA DE TRANSPORTE – Precios artificialmente bajos – Manejo – Guía / </w:t>
            </w:r>
            <w:r w:rsidRPr="00034557">
              <w:rPr>
                <w:rFonts w:ascii="Verdana" w:eastAsia="Aptos" w:hAnsi="Verdana" w:cs="Times New Roman"/>
                <w:bCs/>
                <w:lang w:val="es-ES_tradnl"/>
              </w:rPr>
              <w:t xml:space="preserve">DOCUMENTOS TIPO DE INFRAESTRUCTURA DE TRANSPORTE – Ponderación de la propuesta económica – Reglas – TRM / </w:t>
            </w:r>
            <w:r w:rsidRPr="00034557">
              <w:rPr>
                <w:rFonts w:ascii="Verdana" w:hAnsi="Verdana"/>
                <w:bCs/>
              </w:rPr>
              <w:t>AUDIENCIA DE ADJUDICACIÓN – Reglas procedimentales – Decreto 1082 de 2015 / OBSERVANCIA DE PRINCIPIOS – Transparencia – Igualdad – Selección Objetiva</w:t>
            </w:r>
          </w:p>
        </w:tc>
      </w:tr>
      <w:tr w:rsidR="00BE4F40" w:rsidRPr="00C96899" w14:paraId="672237E5" w14:textId="77777777" w:rsidTr="006A0A66">
        <w:trPr>
          <w:trHeight w:val="597"/>
        </w:trPr>
        <w:tc>
          <w:tcPr>
            <w:tcW w:w="3261" w:type="dxa"/>
            <w:hideMark/>
          </w:tcPr>
          <w:p w14:paraId="1AA714B1" w14:textId="77777777" w:rsidR="00BE4F40" w:rsidRPr="00C96899" w:rsidRDefault="00BE4F40" w:rsidP="006A0A66">
            <w:pPr>
              <w:spacing w:line="276" w:lineRule="auto"/>
              <w:jc w:val="both"/>
              <w:rPr>
                <w:rFonts w:ascii="Verdana" w:eastAsia="Calibri" w:hAnsi="Verdana" w:cs="Arial"/>
                <w:b/>
                <w:lang w:val="es-ES_tradnl" w:eastAsia="es-ES_tradnl"/>
              </w:rPr>
            </w:pPr>
            <w:r w:rsidRPr="00C96899">
              <w:rPr>
                <w:rFonts w:ascii="Verdana" w:eastAsia="Calibri" w:hAnsi="Verdana" w:cs="Arial"/>
                <w:b/>
                <w:lang w:val="es-ES_tradnl" w:eastAsia="es-ES_tradnl"/>
              </w:rPr>
              <w:t xml:space="preserve">Radicación:               </w:t>
            </w:r>
          </w:p>
        </w:tc>
        <w:tc>
          <w:tcPr>
            <w:tcW w:w="5972" w:type="dxa"/>
          </w:tcPr>
          <w:p w14:paraId="16D19070" w14:textId="77777777" w:rsidR="00BE4F40" w:rsidRPr="00135D7F" w:rsidRDefault="00BE4F40" w:rsidP="006A0A66">
            <w:pPr>
              <w:spacing w:line="276" w:lineRule="auto"/>
              <w:jc w:val="both"/>
              <w:rPr>
                <w:rFonts w:ascii="Verdana" w:eastAsia="Calibri" w:hAnsi="Verdana" w:cs="Arial"/>
                <w:bCs/>
                <w:lang w:val="es-ES" w:eastAsia="es-ES_tradnl"/>
              </w:rPr>
            </w:pPr>
            <w:r w:rsidRPr="00135D7F">
              <w:rPr>
                <w:rFonts w:ascii="Verdana" w:eastAsia="Calibri" w:hAnsi="Verdana" w:cs="Arial"/>
                <w:bCs/>
                <w:lang w:val="es-ES_tradnl" w:eastAsia="es-ES_tradnl"/>
              </w:rPr>
              <w:t xml:space="preserve">Respuesta a las consultas con radicado </w:t>
            </w:r>
            <w:r w:rsidRPr="00135D7F">
              <w:rPr>
                <w:rFonts w:ascii="Verdana" w:eastAsia="Calibri" w:hAnsi="Verdana" w:cs="Arial"/>
                <w:bCs/>
                <w:lang w:eastAsia="es-ES_tradnl"/>
              </w:rPr>
              <w:t xml:space="preserve">No. </w:t>
            </w:r>
            <w:r w:rsidRPr="00135D7F">
              <w:rPr>
                <w:rFonts w:ascii="Verdana" w:eastAsia="Calibri" w:hAnsi="Verdana" w:cs="Arial"/>
                <w:bCs/>
                <w:lang w:val="es-ES" w:eastAsia="es-ES_tradnl"/>
              </w:rPr>
              <w:t>1_2026_09_04_011787</w:t>
            </w:r>
          </w:p>
          <w:p w14:paraId="009ECCC4" w14:textId="77777777" w:rsidR="00BE4F40" w:rsidRPr="00AB27E6" w:rsidRDefault="00BE4F40" w:rsidP="006A0A66">
            <w:pPr>
              <w:spacing w:line="276" w:lineRule="auto"/>
              <w:jc w:val="both"/>
              <w:rPr>
                <w:rFonts w:ascii="Verdana" w:eastAsia="Calibri" w:hAnsi="Verdana" w:cs="Arial"/>
                <w:bCs/>
                <w:lang w:val="es-ES" w:eastAsia="es-ES_tradnl"/>
              </w:rPr>
            </w:pPr>
          </w:p>
        </w:tc>
      </w:tr>
    </w:tbl>
    <w:p w14:paraId="26C72AFB" w14:textId="77777777" w:rsidR="00BE4F40" w:rsidRPr="00C96899" w:rsidRDefault="00BE4F40" w:rsidP="00BE4F40">
      <w:pPr>
        <w:spacing w:after="0" w:line="276" w:lineRule="auto"/>
        <w:jc w:val="both"/>
        <w:rPr>
          <w:rFonts w:ascii="Verdana" w:eastAsia="Calibri" w:hAnsi="Verdana" w:cs="Arial"/>
          <w:bCs/>
          <w:lang w:val="es-ES_tradnl" w:eastAsia="es-ES_tradnl"/>
        </w:rPr>
      </w:pPr>
    </w:p>
    <w:p w14:paraId="41C89582" w14:textId="77777777" w:rsidR="00BE4F40" w:rsidRPr="00C96899" w:rsidRDefault="00BE4F40" w:rsidP="00BE4F40">
      <w:pPr>
        <w:spacing w:after="0" w:line="276" w:lineRule="auto"/>
        <w:jc w:val="both"/>
        <w:rPr>
          <w:rFonts w:ascii="Verdana" w:eastAsia="Calibri" w:hAnsi="Verdana" w:cs="Arial"/>
          <w:bCs/>
          <w:lang w:val="es-ES" w:eastAsia="es-ES"/>
        </w:rPr>
      </w:pPr>
      <w:r w:rsidRPr="00C96899">
        <w:rPr>
          <w:rFonts w:ascii="Verdana" w:eastAsia="Calibri" w:hAnsi="Verdana" w:cs="Arial"/>
          <w:bCs/>
          <w:lang w:val="es-ES" w:eastAsia="es-ES"/>
        </w:rPr>
        <w:t xml:space="preserve">Estimado señor Juan Sebastián, cordial saludo:  </w:t>
      </w:r>
    </w:p>
    <w:p w14:paraId="471C6A27" w14:textId="77777777" w:rsidR="00BE4F40" w:rsidRPr="00C96899" w:rsidRDefault="00BE4F40" w:rsidP="00BE4F40">
      <w:pPr>
        <w:tabs>
          <w:tab w:val="left" w:pos="3768"/>
        </w:tabs>
        <w:spacing w:after="0" w:line="276" w:lineRule="auto"/>
        <w:jc w:val="both"/>
        <w:rPr>
          <w:rFonts w:ascii="Verdana" w:eastAsia="Calibri" w:hAnsi="Verdana" w:cs="Arial"/>
          <w:bCs/>
          <w:lang w:val="es-ES" w:eastAsia="es-ES"/>
        </w:rPr>
      </w:pPr>
      <w:r w:rsidRPr="00C96899">
        <w:rPr>
          <w:rFonts w:ascii="Verdana" w:eastAsia="Calibri" w:hAnsi="Verdana" w:cs="Arial"/>
          <w:bCs/>
          <w:lang w:val="es-ES" w:eastAsia="es-ES"/>
        </w:rPr>
        <w:tab/>
      </w:r>
    </w:p>
    <w:p w14:paraId="2821306A" w14:textId="77777777" w:rsidR="00BE4F40" w:rsidRPr="00C96899" w:rsidRDefault="00BE4F40" w:rsidP="00BE4F40">
      <w:pPr>
        <w:spacing w:after="0" w:line="276" w:lineRule="auto"/>
        <w:jc w:val="both"/>
        <w:rPr>
          <w:rFonts w:ascii="Verdana" w:eastAsia="Calibri" w:hAnsi="Verdana" w:cs="Arial"/>
          <w:lang w:val="es-ES" w:eastAsia="es-ES"/>
        </w:rPr>
      </w:pPr>
      <w:r w:rsidRPr="00C96899">
        <w:rPr>
          <w:rFonts w:ascii="Verdana" w:eastAsia="Calibri" w:hAnsi="Verdana" w:cs="Arial"/>
          <w:lang w:val="es-ES" w:eastAsia="es-ES"/>
        </w:rPr>
        <w:t>En ejercicio de la competencia otorgada por los artículos 3, numeral 5º, y 11, numeral 8º, del Decreto Ley 4170 de 2011,</w:t>
      </w:r>
      <w:r w:rsidRPr="00C96899">
        <w:rPr>
          <w:rFonts w:ascii="Verdana" w:eastAsia="Arial MT" w:hAnsi="Verdana" w:cs="Arial MT"/>
          <w:lang w:val="es-ES" w:eastAsia="es-ES"/>
        </w:rPr>
        <w:t xml:space="preserve"> </w:t>
      </w:r>
      <w:r w:rsidRPr="00C96899">
        <w:rPr>
          <w:rFonts w:ascii="Verdana" w:eastAsia="Calibri" w:hAnsi="Verdana" w:cs="Arial"/>
        </w:rPr>
        <w:t xml:space="preserve">así como lo establecido en el artículo 4 de la Resolución 1707 de 2018 expedida por esta Entidad, </w:t>
      </w:r>
      <w:r w:rsidRPr="00C96899">
        <w:rPr>
          <w:rFonts w:ascii="Verdana" w:eastAsia="Calibri" w:hAnsi="Verdana" w:cs="Arial"/>
          <w:lang w:val="es-ES" w:eastAsia="es-ES"/>
        </w:rPr>
        <w:t>la Agencia Nacional de Contratación Pública –Colombia Compra Eficiente– responde su solicitud de consulta de fecha 0</w:t>
      </w:r>
      <w:r>
        <w:rPr>
          <w:rFonts w:ascii="Verdana" w:eastAsia="Calibri" w:hAnsi="Verdana" w:cs="Arial"/>
          <w:lang w:val="es-ES" w:eastAsia="es-ES"/>
        </w:rPr>
        <w:t>4</w:t>
      </w:r>
      <w:r w:rsidRPr="00C96899">
        <w:rPr>
          <w:rFonts w:ascii="Verdana" w:eastAsia="Calibri" w:hAnsi="Verdana" w:cs="Arial"/>
          <w:lang w:val="es-ES" w:eastAsia="es-ES"/>
        </w:rPr>
        <w:t xml:space="preserve"> de septiembre de 2026, en la cual manifiesta lo siguiente: </w:t>
      </w:r>
      <w:bookmarkStart w:id="1" w:name="_Hlk95313578"/>
    </w:p>
    <w:p w14:paraId="1C4B089C" w14:textId="77777777" w:rsidR="00BE4F40" w:rsidRPr="00C96899" w:rsidRDefault="00BE4F40" w:rsidP="00BE4F40">
      <w:pPr>
        <w:spacing w:after="0" w:line="276" w:lineRule="auto"/>
        <w:jc w:val="both"/>
        <w:rPr>
          <w:rFonts w:ascii="Verdana" w:eastAsia="Calibri" w:hAnsi="Verdana" w:cs="Arial"/>
          <w:bCs/>
          <w:lang w:val="es-ES" w:eastAsia="es-ES"/>
        </w:rPr>
      </w:pPr>
    </w:p>
    <w:bookmarkEnd w:id="1"/>
    <w:p w14:paraId="059601B2" w14:textId="77777777" w:rsidR="00BE4F40" w:rsidRPr="00C96899" w:rsidRDefault="00BE4F40" w:rsidP="00BE4F40">
      <w:pPr>
        <w:spacing w:after="0" w:line="240" w:lineRule="auto"/>
        <w:ind w:left="709" w:right="709"/>
        <w:jc w:val="both"/>
        <w:rPr>
          <w:rFonts w:ascii="Verdana" w:eastAsia="Calibri" w:hAnsi="Verdana" w:cs="Arial"/>
          <w:i/>
          <w:iCs/>
          <w:sz w:val="20"/>
          <w:szCs w:val="20"/>
          <w:lang w:val="es-ES" w:eastAsia="es-ES"/>
        </w:rPr>
      </w:pPr>
      <w:r w:rsidRPr="00C96899">
        <w:rPr>
          <w:rFonts w:ascii="Verdana" w:eastAsia="Calibri" w:hAnsi="Verdana" w:cs="Arial"/>
          <w:i/>
          <w:iCs/>
          <w:sz w:val="20"/>
          <w:szCs w:val="20"/>
          <w:lang w:val="es-ES" w:eastAsia="es-ES"/>
        </w:rPr>
        <w:t>“(…)</w:t>
      </w:r>
    </w:p>
    <w:p w14:paraId="66CBC5E8" w14:textId="77777777" w:rsidR="00BE4F40" w:rsidRDefault="00BE4F40" w:rsidP="00BE4F40">
      <w:pPr>
        <w:spacing w:after="0" w:line="240" w:lineRule="auto"/>
        <w:ind w:left="709" w:right="709"/>
        <w:jc w:val="both"/>
        <w:rPr>
          <w:rFonts w:ascii="Verdana" w:eastAsia="Calibri" w:hAnsi="Verdana" w:cs="Arial"/>
          <w:i/>
          <w:iCs/>
          <w:sz w:val="20"/>
          <w:szCs w:val="20"/>
          <w:lang w:val="es-ES" w:eastAsia="es-ES"/>
        </w:rPr>
      </w:pPr>
    </w:p>
    <w:p w14:paraId="3274309F"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r w:rsidRPr="00355669">
        <w:rPr>
          <w:rFonts w:ascii="Verdana" w:eastAsia="Calibri" w:hAnsi="Verdana" w:cs="Arial"/>
          <w:i/>
          <w:iCs/>
          <w:sz w:val="20"/>
          <w:szCs w:val="20"/>
          <w:lang w:eastAsia="es-ES"/>
        </w:rPr>
        <w:t xml:space="preserve">1. Una vez que, durante la audiencia efectiva de adjudicación, la entidad ha agotado el procedimiento previsto en los numerales 4.1.3 y 4.1.4, ha requerido las justificaciones de precios artificialmente bajos, las ha analizado y se ha pronunciado expresamente sobre su aceptación o rechazo, ¿puede posteriormente reabrir dicho análisis exclusivamente </w:t>
      </w:r>
      <w:r w:rsidRPr="00355669">
        <w:rPr>
          <w:rFonts w:ascii="Verdana" w:eastAsia="Calibri" w:hAnsi="Verdana" w:cs="Arial"/>
          <w:i/>
          <w:iCs/>
          <w:sz w:val="20"/>
          <w:szCs w:val="20"/>
          <w:lang w:eastAsia="es-ES"/>
        </w:rPr>
        <w:lastRenderedPageBreak/>
        <w:t xml:space="preserve">porque otro oferente presenta una nueva observación frente a una justificación que ya había sido aceptada? </w:t>
      </w:r>
    </w:p>
    <w:p w14:paraId="2E7A0759"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p>
    <w:p w14:paraId="1A78B508"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r w:rsidRPr="00355669">
        <w:rPr>
          <w:rFonts w:ascii="Verdana" w:eastAsia="Calibri" w:hAnsi="Verdana" w:cs="Arial"/>
          <w:i/>
          <w:iCs/>
          <w:sz w:val="20"/>
          <w:szCs w:val="20"/>
          <w:lang w:eastAsia="es-ES"/>
        </w:rPr>
        <w:t xml:space="preserve">2. Una vez que la entidad se ha pronunciado sobre cuáles propuestas se encuentran válidas y cuáles han sido rechazadas, ¿debe entenderse agotada esa actuación para efectos de aplicar la regla de las 3:00 p. m. prevista en el numeral 4.1.4? </w:t>
      </w:r>
    </w:p>
    <w:p w14:paraId="23C5A343"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p>
    <w:p w14:paraId="70151362"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r w:rsidRPr="00355669">
        <w:rPr>
          <w:rFonts w:ascii="Verdana" w:eastAsia="Calibri" w:hAnsi="Verdana" w:cs="Arial"/>
          <w:i/>
          <w:iCs/>
          <w:sz w:val="20"/>
          <w:szCs w:val="20"/>
          <w:lang w:eastAsia="es-ES"/>
        </w:rPr>
        <w:t>3. Si dicho pronunciamiento sobre las ofertas válidas y rechazadas se realizó antes de las 3:00 p. m., ¿puede la entidad modificar posteriormente el momento jurídicamente relevante para determinar la TRM mediante una nueva actuación, requerimiento o pronunciamiento sobre una oferta cuya situación frente al precio artificialmente bajo ya había sido definida?</w:t>
      </w:r>
    </w:p>
    <w:p w14:paraId="739592D4"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p>
    <w:p w14:paraId="4C2ED583"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r w:rsidRPr="00AD31B3">
        <w:rPr>
          <w:rFonts w:ascii="Verdana" w:eastAsia="Calibri" w:hAnsi="Verdana" w:cs="Arial"/>
          <w:i/>
          <w:iCs/>
          <w:sz w:val="20"/>
          <w:szCs w:val="20"/>
          <w:lang w:eastAsia="es-ES"/>
        </w:rPr>
        <w:t xml:space="preserve">4. En el supuesto planteado, si la entidad había terminado el análisis de precios artificialmente bajos y había comunicado antes de las 3:00 p. m. cuáles propuestas eran válidas y cuáles rechazadas, ¿la posterior presentación de una observación por parte de otro oferente puede alterar la TRM que, conforme al numeral 4.1.4, debía tomarse para el proceso de ponderación económica? </w:t>
      </w:r>
    </w:p>
    <w:p w14:paraId="3BC1DE3A"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p>
    <w:p w14:paraId="17773688"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r w:rsidRPr="00AD31B3">
        <w:rPr>
          <w:rFonts w:ascii="Verdana" w:eastAsia="Calibri" w:hAnsi="Verdana" w:cs="Arial"/>
          <w:i/>
          <w:iCs/>
          <w:sz w:val="20"/>
          <w:szCs w:val="20"/>
          <w:lang w:eastAsia="es-ES"/>
        </w:rPr>
        <w:t xml:space="preserve">5. ¿La posibilidad prevista en el numeral 4.1.4 de suspender la audiencia y reiniciarla posteriormente permite a la entidad reabrir etapas o actuaciones que ya fueron agotadas y definidas, particularmente el análisis y aceptación de una justificación de precio artificialmente bajo? </w:t>
      </w:r>
    </w:p>
    <w:p w14:paraId="5373C29E"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p>
    <w:p w14:paraId="1AFDFE9E"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r w:rsidRPr="00AD31B3">
        <w:rPr>
          <w:rFonts w:ascii="Verdana" w:eastAsia="Calibri" w:hAnsi="Verdana" w:cs="Arial"/>
          <w:i/>
          <w:iCs/>
          <w:sz w:val="20"/>
          <w:szCs w:val="20"/>
          <w:lang w:eastAsia="es-ES"/>
        </w:rPr>
        <w:t xml:space="preserve">6. En caso de que la entidad suspenda la audiencia después de haberse pronunciado sobre las ofertas válidas y rechazadas antes de las 3:00 p. m., ¿la suspensión puede tener como efecto que la entidad tome una TRM diferente a la que correspondía conforme al momento en que efectuó originalmente dicho pronunciamiento? </w:t>
      </w:r>
    </w:p>
    <w:p w14:paraId="1D1DB75C"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p>
    <w:p w14:paraId="18101499"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r w:rsidRPr="00AD31B3">
        <w:rPr>
          <w:rFonts w:ascii="Verdana" w:eastAsia="Calibri" w:hAnsi="Verdana" w:cs="Arial"/>
          <w:i/>
          <w:iCs/>
          <w:sz w:val="20"/>
          <w:szCs w:val="20"/>
          <w:lang w:eastAsia="es-ES"/>
        </w:rPr>
        <w:t xml:space="preserve">7. Si la nueva actuación de la entidad frente al precio artificialmente bajo se produce después de las 3:00 p. m., cuando la TRM ya ha sido publicada y es conocida por los participantes, ¿puede dicha actuación ser utilizada para modificar el momento a partir del cual debe determinarse la TRM y, por consiguiente, el método de ponderación de la propuesta económica? </w:t>
      </w:r>
    </w:p>
    <w:p w14:paraId="3BF2F2B2" w14:textId="77777777" w:rsidR="00BE4F40" w:rsidRDefault="00BE4F40" w:rsidP="00BE4F40">
      <w:pPr>
        <w:spacing w:after="0" w:line="240" w:lineRule="auto"/>
        <w:ind w:left="709" w:right="709"/>
        <w:jc w:val="both"/>
        <w:rPr>
          <w:rFonts w:ascii="Verdana" w:eastAsia="Calibri" w:hAnsi="Verdana" w:cs="Arial"/>
          <w:i/>
          <w:iCs/>
          <w:sz w:val="20"/>
          <w:szCs w:val="20"/>
          <w:lang w:eastAsia="es-ES"/>
        </w:rPr>
      </w:pPr>
    </w:p>
    <w:p w14:paraId="72556A95" w14:textId="77777777" w:rsidR="00BE4F40" w:rsidRPr="00C96899" w:rsidRDefault="00BE4F40" w:rsidP="00BE4F40">
      <w:pPr>
        <w:spacing w:after="0" w:line="240" w:lineRule="auto"/>
        <w:ind w:left="709" w:right="709"/>
        <w:jc w:val="both"/>
        <w:rPr>
          <w:rFonts w:ascii="Verdana" w:eastAsia="Calibri" w:hAnsi="Verdana" w:cs="Arial"/>
          <w:i/>
          <w:iCs/>
          <w:sz w:val="20"/>
          <w:szCs w:val="20"/>
          <w:lang w:val="es-ES" w:eastAsia="es-ES"/>
        </w:rPr>
      </w:pPr>
      <w:r w:rsidRPr="00AD31B3">
        <w:rPr>
          <w:rFonts w:ascii="Verdana" w:eastAsia="Calibri" w:hAnsi="Verdana" w:cs="Arial"/>
          <w:i/>
          <w:iCs/>
          <w:sz w:val="20"/>
          <w:szCs w:val="20"/>
          <w:lang w:eastAsia="es-ES"/>
        </w:rPr>
        <w:t>8. Finalmente, ¿cómo debe interpretarse la regla según la cual, “una vez definido el método de ponderación de la oferta económica el mismo seguirá rigiendo aun cuando la entidad deba suspender la audiencia”, frente a una suspensión ocurrida después de haberse agotado el análisis de las ofertas y de haberse efectuado el pronunciamiento sobre las propuestas válidas y rechazadas</w:t>
      </w:r>
      <w:r w:rsidRPr="00C96899">
        <w:rPr>
          <w:rFonts w:ascii="Verdana" w:eastAsia="Calibri" w:hAnsi="Verdana" w:cs="Arial"/>
          <w:i/>
          <w:iCs/>
          <w:sz w:val="20"/>
          <w:szCs w:val="20"/>
          <w:lang w:val="es-ES" w:eastAsia="es-ES"/>
        </w:rPr>
        <w:t>(…)</w:t>
      </w:r>
      <w:r w:rsidRPr="00C96899">
        <w:rPr>
          <w:rFonts w:ascii="Verdana" w:eastAsia="Calibri" w:hAnsi="Verdana" w:cs="Arial"/>
          <w:i/>
          <w:iCs/>
          <w:sz w:val="20"/>
          <w:szCs w:val="20"/>
          <w:lang w:eastAsia="es-ES"/>
        </w:rPr>
        <w:t>”</w:t>
      </w:r>
    </w:p>
    <w:p w14:paraId="51E6C0C0" w14:textId="77777777" w:rsidR="00BE4F40" w:rsidRPr="00C96899" w:rsidRDefault="00BE4F40" w:rsidP="00BE4F40">
      <w:pPr>
        <w:spacing w:after="0" w:line="276" w:lineRule="auto"/>
        <w:ind w:left="709" w:right="709"/>
        <w:jc w:val="both"/>
        <w:rPr>
          <w:rFonts w:ascii="Verdana" w:eastAsia="Times New Roman" w:hAnsi="Verdana" w:cs="Times New Roman"/>
          <w:sz w:val="20"/>
          <w:szCs w:val="20"/>
          <w:lang w:eastAsia="es-CO"/>
        </w:rPr>
      </w:pPr>
    </w:p>
    <w:p w14:paraId="1C7D71E0" w14:textId="77777777" w:rsidR="00BE4F40" w:rsidRPr="00C96899" w:rsidRDefault="00BE4F40" w:rsidP="00BE4F40">
      <w:pPr>
        <w:spacing w:after="120" w:line="276" w:lineRule="auto"/>
        <w:ind w:firstLine="709"/>
        <w:jc w:val="both"/>
        <w:rPr>
          <w:rFonts w:ascii="Verdana" w:eastAsia="Calibri" w:hAnsi="Verdana" w:cs="Arial"/>
          <w:lang w:val="es-ES_tradnl" w:eastAsia="es-ES_tradnl"/>
        </w:rPr>
      </w:pPr>
      <w:r w:rsidRPr="00C96899">
        <w:rPr>
          <w:rFonts w:ascii="Verdana" w:eastAsia="Calibri" w:hAnsi="Verdana" w:cs="Arial"/>
          <w:lang w:val="es-ES" w:eastAsia="es-ES"/>
        </w:rPr>
        <w:lastRenderedPageBreak/>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6899">
        <w:rPr>
          <w:rFonts w:ascii="Verdana" w:eastAsia="Calibri" w:hAnsi="Verdana" w:cs="Arial"/>
          <w:lang w:val="es-ES_tradnl" w:eastAsia="es-ES_tradnl"/>
        </w:rPr>
        <w:tab/>
      </w:r>
    </w:p>
    <w:p w14:paraId="138655FA" w14:textId="77777777" w:rsidR="00BE4F40" w:rsidRPr="00C96899" w:rsidRDefault="00BE4F40" w:rsidP="00BE4F40">
      <w:pPr>
        <w:spacing w:after="0" w:line="276" w:lineRule="auto"/>
        <w:ind w:firstLine="708"/>
        <w:jc w:val="both"/>
        <w:rPr>
          <w:rFonts w:ascii="Verdana" w:eastAsia="Calibri" w:hAnsi="Verdana" w:cs="Arial"/>
          <w:lang w:val="es-ES" w:eastAsia="es-ES"/>
        </w:rPr>
      </w:pPr>
      <w:r w:rsidRPr="00C96899">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39D02C2" w14:textId="77777777" w:rsidR="00BE4F40" w:rsidRPr="00C96899" w:rsidRDefault="00BE4F40" w:rsidP="00BE4F40">
      <w:pPr>
        <w:spacing w:after="0" w:line="276" w:lineRule="auto"/>
        <w:ind w:firstLine="709"/>
        <w:jc w:val="both"/>
        <w:rPr>
          <w:rFonts w:ascii="Verdana" w:eastAsia="Calibri" w:hAnsi="Verdana" w:cs="Arial"/>
          <w:lang w:val="es-ES" w:eastAsia="es-ES"/>
        </w:rPr>
      </w:pPr>
    </w:p>
    <w:p w14:paraId="597F8306" w14:textId="77777777" w:rsidR="00BE4F40" w:rsidRPr="00C96899" w:rsidRDefault="00BE4F40" w:rsidP="00BE4F4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96899">
        <w:rPr>
          <w:rFonts w:ascii="Verdana" w:eastAsia="Century Gothic" w:hAnsi="Verdana" w:cs="Century Gothic"/>
          <w:b/>
          <w:bCs/>
          <w:lang w:val="es-ES"/>
        </w:rPr>
        <w:t>Problema planteado:</w:t>
      </w:r>
    </w:p>
    <w:p w14:paraId="0BD26003" w14:textId="77777777" w:rsidR="00BE4F40" w:rsidRPr="0092095D" w:rsidRDefault="00BE4F40" w:rsidP="00BE4F40">
      <w:pPr>
        <w:tabs>
          <w:tab w:val="left" w:pos="426"/>
        </w:tabs>
        <w:spacing w:after="0" w:line="276" w:lineRule="auto"/>
        <w:jc w:val="both"/>
        <w:rPr>
          <w:rFonts w:ascii="Verdana" w:eastAsia="Century Gothic" w:hAnsi="Verdana" w:cs="Century Gothic"/>
          <w:lang w:val="es-ES"/>
        </w:rPr>
      </w:pPr>
    </w:p>
    <w:p w14:paraId="20BA1CF9" w14:textId="77777777" w:rsidR="00BE4F40" w:rsidRPr="0092095D" w:rsidRDefault="00BE4F40" w:rsidP="00BE4F40">
      <w:pPr>
        <w:spacing w:line="276" w:lineRule="auto"/>
        <w:jc w:val="both"/>
        <w:rPr>
          <w:rFonts w:ascii="Verdana" w:eastAsia="Century Gothic" w:hAnsi="Verdana" w:cs="Century Gothic"/>
        </w:rPr>
      </w:pPr>
      <w:r w:rsidRPr="0092095D">
        <w:rPr>
          <w:rFonts w:ascii="Verdana" w:eastAsia="Century Gothic" w:hAnsi="Verdana" w:cs="Century Gothic"/>
        </w:rPr>
        <w:t>De acuerdo con el contenido de su solicitud, esta Agencia resolverá el siguiente problema jurídico:</w:t>
      </w:r>
    </w:p>
    <w:p w14:paraId="1EF633AE" w14:textId="77777777" w:rsidR="00BE4F40" w:rsidRPr="0092095D" w:rsidRDefault="00BE4F40" w:rsidP="00BE4F40">
      <w:pPr>
        <w:pStyle w:val="Prrafodelista"/>
        <w:numPr>
          <w:ilvl w:val="3"/>
          <w:numId w:val="19"/>
        </w:numPr>
        <w:spacing w:line="276" w:lineRule="auto"/>
        <w:ind w:left="567" w:hanging="283"/>
        <w:jc w:val="both"/>
        <w:rPr>
          <w:rFonts w:ascii="Verdana" w:eastAsia="Century Gothic" w:hAnsi="Verdana" w:cs="Century Gothic"/>
        </w:rPr>
      </w:pPr>
      <w:r w:rsidRPr="0092095D">
        <w:rPr>
          <w:rFonts w:ascii="Verdana" w:hAnsi="Verdana"/>
        </w:rPr>
        <w:t>¿Puede la entidad estatal reabrir el análisis de una justificación de precio artificialmente bajo previamente aceptada, con ocasión de una nueva observación presentada por otro oferente durante la audiencia de adjudicación?</w:t>
      </w:r>
    </w:p>
    <w:p w14:paraId="66296F07" w14:textId="77777777" w:rsidR="00BE4F40" w:rsidRPr="00482645" w:rsidRDefault="00BE4F40" w:rsidP="00BE4F40">
      <w:pPr>
        <w:pStyle w:val="Prrafodelista"/>
        <w:numPr>
          <w:ilvl w:val="3"/>
          <w:numId w:val="19"/>
        </w:numPr>
        <w:spacing w:line="276" w:lineRule="auto"/>
        <w:ind w:left="567" w:hanging="283"/>
        <w:jc w:val="both"/>
        <w:rPr>
          <w:rFonts w:ascii="Verdana" w:eastAsia="Century Gothic" w:hAnsi="Verdana" w:cs="Century Gothic"/>
        </w:rPr>
      </w:pPr>
      <w:r w:rsidRPr="0092095D">
        <w:rPr>
          <w:rFonts w:ascii="Verdana" w:hAnsi="Verdana"/>
        </w:rPr>
        <w:t>¿Qué efectos tiene el pronunciamiento sobre las ofertas válidas y rechazadas, efectuado antes de las 3:00 p. m., para determinar la TRM aplicable y el método de ponderación de las ofertas económicas, frente a actuaciones posteriores de la entidad?</w:t>
      </w:r>
    </w:p>
    <w:p w14:paraId="5E95510F" w14:textId="77777777" w:rsidR="00BE4F40" w:rsidRPr="00482645" w:rsidRDefault="00BE4F40" w:rsidP="00BE4F40">
      <w:pPr>
        <w:pStyle w:val="Prrafodelista"/>
        <w:spacing w:line="276" w:lineRule="auto"/>
        <w:ind w:left="567"/>
        <w:jc w:val="both"/>
        <w:rPr>
          <w:rFonts w:ascii="Verdana" w:eastAsia="Century Gothic" w:hAnsi="Verdana" w:cs="Century Gothic"/>
        </w:rPr>
      </w:pPr>
    </w:p>
    <w:p w14:paraId="21538D69" w14:textId="77777777" w:rsidR="00BE4F40" w:rsidRPr="002F0DEA" w:rsidRDefault="00BE4F40" w:rsidP="00BE4F40">
      <w:pPr>
        <w:pStyle w:val="Prrafodelista"/>
        <w:numPr>
          <w:ilvl w:val="0"/>
          <w:numId w:val="16"/>
        </w:numPr>
        <w:spacing w:line="276" w:lineRule="auto"/>
        <w:jc w:val="both"/>
        <w:rPr>
          <w:rFonts w:ascii="Verdana" w:eastAsia="Century Gothic" w:hAnsi="Verdana" w:cs="Century Gothic"/>
          <w:b/>
          <w:bCs/>
        </w:rPr>
      </w:pPr>
      <w:r w:rsidRPr="00C96899">
        <w:rPr>
          <w:rFonts w:ascii="Verdana" w:eastAsia="Century Gothic" w:hAnsi="Verdana" w:cs="Century Gothic"/>
          <w:b/>
          <w:bC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4F40" w:rsidRPr="00C96899" w14:paraId="1DAB848A" w14:textId="77777777" w:rsidTr="006A0A66">
        <w:trPr>
          <w:trHeight w:val="169"/>
        </w:trPr>
        <w:tc>
          <w:tcPr>
            <w:tcW w:w="8828" w:type="dxa"/>
            <w:tcBorders>
              <w:top w:val="dotted" w:sz="4" w:space="0" w:color="auto"/>
              <w:left w:val="dotted" w:sz="4" w:space="0" w:color="auto"/>
              <w:bottom w:val="dotted" w:sz="4" w:space="0" w:color="auto"/>
              <w:right w:val="dotted" w:sz="4" w:space="0" w:color="auto"/>
            </w:tcBorders>
          </w:tcPr>
          <w:p w14:paraId="6B9007FE" w14:textId="77777777" w:rsidR="00B0471A" w:rsidRPr="00B0471A" w:rsidRDefault="00BE4F40" w:rsidP="00B0471A">
            <w:pPr>
              <w:tabs>
                <w:tab w:val="left" w:pos="-142"/>
              </w:tabs>
              <w:autoSpaceDE w:val="0"/>
              <w:autoSpaceDN w:val="0"/>
              <w:adjustRightInd w:val="0"/>
              <w:spacing w:after="120" w:line="276" w:lineRule="auto"/>
              <w:jc w:val="both"/>
              <w:outlineLvl w:val="2"/>
              <w:rPr>
                <w:rFonts w:ascii="Verdana" w:eastAsia="Calibri" w:hAnsi="Verdana" w:cs="Arial"/>
                <w:shd w:val="clear" w:color="auto" w:fill="FFFFFF"/>
                <w:lang w:val="es-ES"/>
              </w:rPr>
            </w:pPr>
            <w:r>
              <w:rPr>
                <w:rFonts w:ascii="Verdana" w:eastAsia="Calibri" w:hAnsi="Verdana" w:cs="Arial"/>
                <w:shd w:val="clear" w:color="auto" w:fill="FFFFFF"/>
                <w:lang w:val="es-ES"/>
              </w:rPr>
              <w:t xml:space="preserve">I). </w:t>
            </w:r>
            <w:r w:rsidR="00B0471A" w:rsidRPr="00B0471A">
              <w:rPr>
                <w:rFonts w:ascii="Verdana" w:eastAsia="Calibri" w:hAnsi="Verdana" w:cs="Arial"/>
                <w:shd w:val="clear" w:color="auto" w:fill="FFFFFF"/>
                <w:lang w:val="es-ES"/>
              </w:rPr>
              <w:t xml:space="preserve">El artículo 2.2.1.1.2.2.4. del Decreto 1082 de 2015 establece que, cuando el valor de una oferta parezca artificialmente bajo, la entidad estatal debe requerir al oferente para que explique las razones que sustentan el valor </w:t>
            </w:r>
            <w:r w:rsidR="00B0471A" w:rsidRPr="00B0471A">
              <w:rPr>
                <w:rFonts w:ascii="Verdana" w:eastAsia="Calibri" w:hAnsi="Verdana" w:cs="Arial"/>
                <w:shd w:val="clear" w:color="auto" w:fill="FFFFFF"/>
                <w:lang w:val="es-ES"/>
              </w:rPr>
              <w:lastRenderedPageBreak/>
              <w:t>ofrecido. A partir de las explicaciones presentadas, el comité evaluador debe analizar la justificación económica de la oferta y recomendar su rechazo o la continuación de su evaluación, según corresponda.</w:t>
            </w:r>
          </w:p>
          <w:p w14:paraId="39E4EA97" w14:textId="37393E88" w:rsidR="00BE4F40" w:rsidRPr="00B0471A" w:rsidRDefault="00B0471A" w:rsidP="00B0471A">
            <w:pPr>
              <w:tabs>
                <w:tab w:val="left" w:pos="-142"/>
              </w:tabs>
              <w:autoSpaceDE w:val="0"/>
              <w:autoSpaceDN w:val="0"/>
              <w:adjustRightInd w:val="0"/>
              <w:spacing w:after="120" w:line="276" w:lineRule="auto"/>
              <w:ind w:firstLine="738"/>
              <w:jc w:val="both"/>
              <w:outlineLvl w:val="2"/>
              <w:rPr>
                <w:rFonts w:ascii="Verdana" w:eastAsia="Calibri" w:hAnsi="Verdana" w:cs="Arial"/>
                <w:shd w:val="clear" w:color="auto" w:fill="FFFFFF"/>
                <w:lang w:val="es-ES" w:bidi="es-ES"/>
              </w:rPr>
            </w:pPr>
            <w:r w:rsidRPr="00B0471A">
              <w:rPr>
                <w:rFonts w:ascii="Verdana" w:eastAsia="Calibri" w:hAnsi="Verdana" w:cs="Arial"/>
                <w:shd w:val="clear" w:color="auto" w:fill="FFFFFF"/>
                <w:lang w:val="es-ES"/>
              </w:rPr>
              <w:t>En ese sentido, la determinación de rechazar una oferta por presentar un valor artificialmente bajo debe estar precedida del análisis de las explicaciones suministradas por el oferente, con el fin de establecer si el valor propuesto cuenta con una justificación objetiva que permita ejecutar adecuadamente el contrato. Por tanto, la sola apariencia de un precio artificialmente bajo no constituye, por sí misma, una razón suficiente para rechazar la oferta.</w:t>
            </w:r>
          </w:p>
          <w:p w14:paraId="1E086E50" w14:textId="77777777" w:rsidR="00BE4F40" w:rsidRDefault="00BE4F40" w:rsidP="006A0A66">
            <w:pPr>
              <w:widowControl w:val="0"/>
              <w:autoSpaceDE w:val="0"/>
              <w:autoSpaceDN w:val="0"/>
              <w:spacing w:after="120" w:line="276" w:lineRule="auto"/>
              <w:ind w:firstLine="709"/>
              <w:jc w:val="both"/>
              <w:rPr>
                <w:rFonts w:ascii="Verdana" w:eastAsia="Arial" w:hAnsi="Verdana" w:cs="Arial"/>
                <w:i/>
                <w:iCs/>
                <w:lang w:val="es-ES" w:eastAsia="es-ES" w:bidi="es-ES"/>
              </w:rPr>
            </w:pPr>
            <w:r w:rsidRPr="007A34BF">
              <w:rPr>
                <w:rFonts w:ascii="Verdana" w:eastAsia="Arial" w:hAnsi="Verdana" w:cs="Arial"/>
                <w:lang w:val="es-ES" w:eastAsia="es-ES" w:bidi="es-ES"/>
              </w:rPr>
              <w:t xml:space="preserve">En línea con lo anterior, el numeral 4.1.3 del Documento Base de los documentos tipo de licitación de obra pública de infraestructura de transporte –versión 4–, señala que </w:t>
            </w:r>
            <w:r w:rsidRPr="007A34BF">
              <w:rPr>
                <w:rFonts w:ascii="Verdana" w:eastAsia="Arial" w:hAnsi="Verdana" w:cs="Arial"/>
                <w:i/>
                <w:iCs/>
                <w:lang w:val="es-ES" w:eastAsia="es-ES" w:bidi="es-ES"/>
              </w:rPr>
              <w:t xml:space="preserve">“[e]n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w:t>
            </w:r>
            <w:r w:rsidRPr="007A34BF">
              <w:rPr>
                <w:rFonts w:ascii="Verdana" w:eastAsia="Arial" w:hAnsi="Verdana" w:cs="Arial"/>
                <w:lang w:val="es-ES" w:eastAsia="es-ES" w:bidi="es-ES"/>
              </w:rPr>
              <w:t xml:space="preserve">y dispone también que para ese propósito la entidad </w:t>
            </w:r>
            <w:r w:rsidRPr="007A34BF">
              <w:rPr>
                <w:rFonts w:ascii="Verdana" w:eastAsia="Arial" w:hAnsi="Verdana" w:cs="Arial"/>
                <w:i/>
                <w:iCs/>
                <w:lang w:val="es-ES" w:eastAsia="es-ES" w:bidi="es-ES"/>
              </w:rPr>
              <w:t>“podrá acudir a los parámetros definidos en la Guía para el manejo de ofertas artificialmente bajas en procesos de Contratación de Colombia Compra Eficiente, como un criterio metodológico.”</w:t>
            </w:r>
          </w:p>
          <w:p w14:paraId="447CA32B" w14:textId="77777777" w:rsidR="00BE4F40" w:rsidRDefault="00BE4F40" w:rsidP="006A0A66">
            <w:pPr>
              <w:widowControl w:val="0"/>
              <w:autoSpaceDE w:val="0"/>
              <w:autoSpaceDN w:val="0"/>
              <w:spacing w:after="120" w:line="276" w:lineRule="auto"/>
              <w:ind w:firstLine="709"/>
              <w:jc w:val="both"/>
              <w:rPr>
                <w:rFonts w:ascii="Verdana" w:eastAsia="Times New Roman" w:hAnsi="Verdana" w:cs="Arial"/>
                <w:lang w:val="es-ES" w:eastAsia="es-CO"/>
              </w:rPr>
            </w:pPr>
            <w:r w:rsidRPr="007A34BF">
              <w:rPr>
                <w:rFonts w:ascii="Verdana" w:eastAsia="Times New Roman" w:hAnsi="Verdana" w:cs="Arial"/>
                <w:lang w:val="es-ES" w:eastAsia="es-CO"/>
              </w:rPr>
              <w:t>En este sentido, si la entidad, en desarrollo de su deber de análisis de que trata el artículo 2.2.1.1.1.6.1 del Decreto 1082 de 2015, advierte que el valor de una oferta parece artificialmente bajo, deberá requerir al oferente para que explique las razones que sustentan el valor ofrecido. Por el contrario, si no observa ninguna oferta artificialmente baja, no tendrá que hacer ningún requerimiento al respecto y continuará con el proceso de selección.</w:t>
            </w:r>
          </w:p>
          <w:p w14:paraId="7CA839B2" w14:textId="067FB4E6" w:rsidR="00B0471A" w:rsidRDefault="00B0471A" w:rsidP="00B0471A">
            <w:pPr>
              <w:widowControl w:val="0"/>
              <w:autoSpaceDE w:val="0"/>
              <w:autoSpaceDN w:val="0"/>
              <w:spacing w:after="120" w:line="276" w:lineRule="auto"/>
              <w:ind w:firstLine="709"/>
              <w:jc w:val="both"/>
              <w:rPr>
                <w:rFonts w:ascii="Verdana" w:eastAsia="Times New Roman" w:hAnsi="Verdana" w:cs="Arial"/>
                <w:lang w:val="es-ES" w:eastAsia="es-CO"/>
              </w:rPr>
            </w:pPr>
            <w:r w:rsidRPr="00B0471A">
              <w:rPr>
                <w:rFonts w:ascii="Verdana" w:eastAsia="Times New Roman" w:hAnsi="Verdana" w:cs="Arial"/>
                <w:lang w:val="es-ES" w:eastAsia="es-CO"/>
              </w:rPr>
              <w:t xml:space="preserve">En consecuencia, la entidad estatal puede examinar una nueva observación presentada por un proponente respecto del eventual carácter artificialmente bajo del precio de una oferta cuya justificación ya fue analizada y aceptada, siempre que aquella se formule durante la oportunidad correspondiente del procedimiento de selección. En tal evento, deberá valorar los argumentos expuestos y determinar si aportan elementos que ameriten revisar el análisis efectuado, sin que la sola presentación de la observación implique la obligación de reabrir la discusión o de modificar la evaluación </w:t>
            </w:r>
            <w:r w:rsidRPr="00B0471A">
              <w:rPr>
                <w:rFonts w:ascii="Verdana" w:eastAsia="Times New Roman" w:hAnsi="Verdana" w:cs="Arial"/>
                <w:lang w:val="es-ES" w:eastAsia="es-CO"/>
              </w:rPr>
              <w:lastRenderedPageBreak/>
              <w:t>previamente realizada. En todo caso, la entidad deberá adoptar su decisión con fundamento en el análisis de la oferta, las explicaciones del oferente y las reglas aplicables al proceso de selección.</w:t>
            </w:r>
          </w:p>
          <w:p w14:paraId="7C8C739F" w14:textId="77777777" w:rsidR="00BE4F40" w:rsidRPr="004B5FD9" w:rsidRDefault="00BE4F40" w:rsidP="006A0A66">
            <w:pPr>
              <w:widowControl w:val="0"/>
              <w:autoSpaceDE w:val="0"/>
              <w:autoSpaceDN w:val="0"/>
              <w:spacing w:after="120" w:line="276" w:lineRule="auto"/>
              <w:jc w:val="both"/>
              <w:rPr>
                <w:rFonts w:ascii="Verdana" w:eastAsia="Arial" w:hAnsi="Verdana" w:cs="Arial"/>
                <w:lang w:eastAsia="es-ES" w:bidi="es-ES"/>
              </w:rPr>
            </w:pPr>
            <w:r>
              <w:rPr>
                <w:rFonts w:ascii="Verdana" w:eastAsia="Arial" w:hAnsi="Verdana" w:cs="Arial"/>
                <w:lang w:val="es-ES" w:eastAsia="es-ES" w:bidi="es-ES"/>
              </w:rPr>
              <w:t>II).</w:t>
            </w:r>
            <w:r w:rsidRPr="004B5FD9">
              <w:rPr>
                <w:rFonts w:ascii="Times New Roman" w:eastAsia="Times New Roman" w:hAnsi="Times New Roman" w:cs="Times New Roman"/>
                <w:sz w:val="24"/>
                <w:szCs w:val="24"/>
                <w:lang w:eastAsia="es-CO"/>
              </w:rPr>
              <w:t xml:space="preserve"> </w:t>
            </w:r>
            <w:r w:rsidRPr="004B5FD9">
              <w:rPr>
                <w:rFonts w:ascii="Verdana" w:eastAsia="Arial" w:hAnsi="Verdana" w:cs="Arial"/>
                <w:lang w:eastAsia="es-ES" w:bidi="es-ES"/>
              </w:rPr>
              <w:t>El numeral 4.1.4 del Documento Base de los Documentos Tipo de Licitación de Obra Pública de Infraestructura de Transporte, versión 4, establece que, una vez agotado el procedimiento correspondiente, la entidad debe pronunciarse sobre las propuestas rechazadas y las que se encuentran válidas. A partir del momento en que se efectúa este pronunciamiento, determina la TRM aplicable para seleccionar el método de ponderación de las ofertas económicas: si se realiza hasta las 3:00 p. m., se toma la TRM que rija para el día hábil siguiente; si se efectúa después de esa hora, se toma la correspondiente al segundo día hábil siguiente.</w:t>
            </w:r>
          </w:p>
          <w:p w14:paraId="333C9426" w14:textId="16F91A5E" w:rsidR="00BE4F40" w:rsidRPr="00AC3EC3" w:rsidRDefault="00BE4F40" w:rsidP="006A0A66">
            <w:pPr>
              <w:widowControl w:val="0"/>
              <w:autoSpaceDE w:val="0"/>
              <w:autoSpaceDN w:val="0"/>
              <w:spacing w:after="120" w:line="276" w:lineRule="auto"/>
              <w:jc w:val="both"/>
              <w:rPr>
                <w:rFonts w:ascii="Verdana" w:eastAsia="Arial" w:hAnsi="Verdana" w:cs="Arial"/>
                <w:lang w:val="es-ES" w:eastAsia="es-ES" w:bidi="es-ES"/>
              </w:rPr>
            </w:pPr>
            <w:r w:rsidRPr="004B5FD9">
              <w:rPr>
                <w:rFonts w:ascii="Verdana" w:eastAsia="Arial" w:hAnsi="Verdana" w:cs="Arial"/>
                <w:lang w:eastAsia="es-ES" w:bidi="es-ES"/>
              </w:rPr>
              <w:t xml:space="preserve">Sobre esta regla, la Agencia Nacional de Contratación Pública — Colombia Compra Eficiente, en </w:t>
            </w:r>
            <w:r w:rsidR="00AC3EC3">
              <w:rPr>
                <w:rFonts w:ascii="Verdana" w:eastAsia="Arial" w:hAnsi="Verdana" w:cs="Arial"/>
                <w:lang w:eastAsia="es-ES" w:bidi="es-ES"/>
              </w:rPr>
              <w:t xml:space="preserve">los conceptos </w:t>
            </w:r>
            <w:r w:rsidR="00AC3EC3" w:rsidRPr="00AC3EC3">
              <w:rPr>
                <w:rFonts w:ascii="Verdana" w:eastAsia="Arial" w:hAnsi="Verdana" w:cs="Arial"/>
                <w:lang w:val="es-ES" w:eastAsia="es-ES" w:bidi="es-ES"/>
              </w:rPr>
              <w:t>C-850 del 8 de agosto de 2025 y C-858 del 5 de septiembre de 2025</w:t>
            </w:r>
            <w:r>
              <w:rPr>
                <w:rFonts w:ascii="Verdana" w:eastAsia="Arial" w:hAnsi="Verdana" w:cs="Arial"/>
                <w:lang w:val="es-ES" w:eastAsia="es-ES" w:bidi="es-ES"/>
              </w:rPr>
              <w:t>, e</w:t>
            </w:r>
            <w:r w:rsidRPr="004B5FD9">
              <w:rPr>
                <w:rFonts w:ascii="Verdana" w:eastAsia="Arial" w:hAnsi="Verdana" w:cs="Arial"/>
                <w:lang w:eastAsia="es-ES" w:bidi="es-ES"/>
              </w:rPr>
              <w:t>xplicó que el numeral 4.1.4 de la versión 4 establece las condiciones temporales para determinar la TRM que se utilizará en la selección del método de ponderación económica. Esta regla busca garantizar la transparencia del procedimiento, evitando que la entidad conozca anticipadamente la tasa que determinará el método aplicable.</w:t>
            </w:r>
          </w:p>
          <w:p w14:paraId="360C332C" w14:textId="77777777" w:rsidR="00BE4F40" w:rsidRPr="004B5FD9" w:rsidRDefault="00BE4F40" w:rsidP="006A0A66">
            <w:pPr>
              <w:widowControl w:val="0"/>
              <w:autoSpaceDE w:val="0"/>
              <w:autoSpaceDN w:val="0"/>
              <w:spacing w:after="120" w:line="276" w:lineRule="auto"/>
              <w:ind w:firstLine="709"/>
              <w:jc w:val="both"/>
              <w:rPr>
                <w:rFonts w:ascii="Verdana" w:eastAsia="Arial" w:hAnsi="Verdana" w:cs="Arial"/>
                <w:lang w:eastAsia="es-ES" w:bidi="es-ES"/>
              </w:rPr>
            </w:pPr>
            <w:r w:rsidRPr="004B5FD9">
              <w:rPr>
                <w:rFonts w:ascii="Verdana" w:eastAsia="Arial" w:hAnsi="Verdana" w:cs="Arial"/>
                <w:lang w:eastAsia="es-ES" w:bidi="es-ES"/>
              </w:rPr>
              <w:t>Por consiguiente, para establecer la TRM no debe atenderse indistintamente a cualquier actuación desarrollada durante la audiencia, sino al pronunciamiento previsto expresamente en el numeral 4.1.4. Así, cuando la entidad ya se ha pronunciado sobre las ofertas válidas y rechazadas antes de las 3:00 p. m., una observación posterior no modifica automáticamente la referencia temporal definida por esa disposición.</w:t>
            </w:r>
          </w:p>
          <w:p w14:paraId="0D13EFC3" w14:textId="77777777" w:rsidR="00BE4F40" w:rsidRPr="004B5FD9" w:rsidRDefault="00BE4F40" w:rsidP="006A0A66">
            <w:pPr>
              <w:widowControl w:val="0"/>
              <w:autoSpaceDE w:val="0"/>
              <w:autoSpaceDN w:val="0"/>
              <w:spacing w:after="120" w:line="276" w:lineRule="auto"/>
              <w:ind w:firstLine="709"/>
              <w:jc w:val="both"/>
              <w:rPr>
                <w:rFonts w:ascii="Verdana" w:eastAsia="Arial" w:hAnsi="Verdana" w:cs="Arial"/>
                <w:lang w:eastAsia="es-ES" w:bidi="es-ES"/>
              </w:rPr>
            </w:pPr>
            <w:r w:rsidRPr="004B5FD9">
              <w:rPr>
                <w:rFonts w:ascii="Verdana" w:eastAsia="Arial" w:hAnsi="Verdana" w:cs="Arial"/>
                <w:lang w:eastAsia="es-ES" w:bidi="es-ES"/>
              </w:rPr>
              <w:t>Ahora bien, el Documento Base también dispone que, una vez definido el método de ponderación de la oferta económica, este continuará rigiendo aun cuando la entidad deba suspender la audiencia. Esta regla permite diferenciar el momento que determina la TRM del momento en que se define el método de ponderación y de las actuaciones posteriores que puedan tener lugar durante la audiencia.</w:t>
            </w:r>
          </w:p>
          <w:p w14:paraId="50E1B7F9" w14:textId="77777777" w:rsidR="00BE4F40" w:rsidRPr="004B5FD9" w:rsidRDefault="00BE4F40" w:rsidP="006A0A66">
            <w:pPr>
              <w:widowControl w:val="0"/>
              <w:autoSpaceDE w:val="0"/>
              <w:autoSpaceDN w:val="0"/>
              <w:spacing w:after="120" w:line="276" w:lineRule="auto"/>
              <w:ind w:firstLine="709"/>
              <w:jc w:val="both"/>
              <w:rPr>
                <w:rFonts w:ascii="Verdana" w:eastAsia="Arial" w:hAnsi="Verdana" w:cs="Arial"/>
                <w:lang w:eastAsia="es-ES" w:bidi="es-ES"/>
              </w:rPr>
            </w:pPr>
            <w:r w:rsidRPr="004B5FD9">
              <w:rPr>
                <w:rFonts w:ascii="Verdana" w:eastAsia="Arial" w:hAnsi="Verdana" w:cs="Arial"/>
                <w:lang w:eastAsia="es-ES" w:bidi="es-ES"/>
              </w:rPr>
              <w:t xml:space="preserve">En consecuencia, si la entidad suspende la audiencia para examinar una nueva observación, dicha suspensión no implica, por sí misma, que deba establecerse nuevamente la TRM ni que pueda sustituirse el método de </w:t>
            </w:r>
            <w:r w:rsidRPr="004B5FD9">
              <w:rPr>
                <w:rFonts w:ascii="Verdana" w:eastAsia="Arial" w:hAnsi="Verdana" w:cs="Arial"/>
                <w:lang w:eastAsia="es-ES" w:bidi="es-ES"/>
              </w:rPr>
              <w:lastRenderedPageBreak/>
              <w:t>ponderación ya definido. La entidad deberá observar la regla expresa del Documento Base y motivar las decisiones adicionales que adopte.</w:t>
            </w:r>
          </w:p>
          <w:p w14:paraId="7E5BA4C5" w14:textId="77777777" w:rsidR="00BE4F40" w:rsidRPr="004B5FD9" w:rsidRDefault="00BE4F40" w:rsidP="006A0A66">
            <w:pPr>
              <w:widowControl w:val="0"/>
              <w:autoSpaceDE w:val="0"/>
              <w:autoSpaceDN w:val="0"/>
              <w:spacing w:after="120" w:line="276" w:lineRule="auto"/>
              <w:ind w:firstLine="709"/>
              <w:jc w:val="both"/>
              <w:rPr>
                <w:rFonts w:ascii="Verdana" w:eastAsia="Arial" w:hAnsi="Verdana" w:cs="Arial"/>
                <w:lang w:eastAsia="es-ES" w:bidi="es-ES"/>
              </w:rPr>
            </w:pPr>
            <w:r w:rsidRPr="004B5FD9">
              <w:rPr>
                <w:rFonts w:ascii="Verdana" w:eastAsia="Arial" w:hAnsi="Verdana" w:cs="Arial"/>
                <w:lang w:eastAsia="es-ES" w:bidi="es-ES"/>
              </w:rPr>
              <w:t>Sin embargo, si como resultado de la verificación la entidad modifica su pronunciamiento sobre las ofertas válidas y rechazadas antes de haber definido el método de ponderación, deberá analizarse específicamente el alcance de esa modificación y su incidencia en la aplicación del numeral 4.1.4. El Documento Base no permite afirmar, sin atender a las circunstancias concretas, que toda modificación posterior conserve necesariamente el referente temporal inicial ni que deba reemplazarlo automáticamente.</w:t>
            </w:r>
          </w:p>
          <w:p w14:paraId="1CCD0730" w14:textId="77777777" w:rsidR="00BE4F40" w:rsidRPr="00DA0AB2" w:rsidRDefault="00BE4F40" w:rsidP="006A0A66">
            <w:pPr>
              <w:widowControl w:val="0"/>
              <w:autoSpaceDE w:val="0"/>
              <w:autoSpaceDN w:val="0"/>
              <w:spacing w:after="120" w:line="276" w:lineRule="auto"/>
              <w:ind w:firstLine="709"/>
              <w:jc w:val="both"/>
              <w:rPr>
                <w:rFonts w:ascii="Verdana" w:eastAsia="Arial" w:hAnsi="Verdana" w:cs="Arial"/>
                <w:lang w:eastAsia="es-ES" w:bidi="es-ES"/>
              </w:rPr>
            </w:pPr>
            <w:r w:rsidRPr="00DA0AB2">
              <w:rPr>
                <w:rFonts w:ascii="Verdana" w:eastAsia="Arial" w:hAnsi="Verdana" w:cs="Arial"/>
                <w:lang w:eastAsia="es-ES" w:bidi="es-ES"/>
              </w:rPr>
              <w:t>En síntesis, el pronunciamiento sobre las ofertas válidas y rechazadas efectuado hasta las 3:00 p. m. determina, en principio, la referencia temporal para identificar la TRM aplicable. Las actuaciones posteriores no alteran automáticamente esa referencia; su efecto dependerá de su naturaleza, de si modifican efectivamente el pronunciamiento inicial y de si el método de ponderación ya había sido definido.</w:t>
            </w:r>
          </w:p>
          <w:p w14:paraId="00998C64" w14:textId="77777777" w:rsidR="00BE4F40" w:rsidRPr="00FC7E5B" w:rsidRDefault="00BE4F40" w:rsidP="006A0A66">
            <w:pPr>
              <w:widowControl w:val="0"/>
              <w:autoSpaceDE w:val="0"/>
              <w:autoSpaceDN w:val="0"/>
              <w:spacing w:after="120" w:line="276" w:lineRule="auto"/>
              <w:jc w:val="both"/>
              <w:rPr>
                <w:lang w:eastAsia="es-ES" w:bidi="es-ES"/>
              </w:rPr>
            </w:pPr>
          </w:p>
        </w:tc>
      </w:tr>
    </w:tbl>
    <w:p w14:paraId="58085C0D" w14:textId="77777777" w:rsidR="00BE4F40" w:rsidRPr="00C96899" w:rsidRDefault="00BE4F40" w:rsidP="00BE4F40">
      <w:pPr>
        <w:tabs>
          <w:tab w:val="left" w:pos="142"/>
          <w:tab w:val="left" w:pos="284"/>
        </w:tabs>
        <w:spacing w:after="0" w:line="276" w:lineRule="auto"/>
        <w:ind w:left="142" w:hanging="142"/>
        <w:jc w:val="both"/>
        <w:rPr>
          <w:rFonts w:ascii="Verdana" w:eastAsia="Century Gothic" w:hAnsi="Verdana" w:cs="Century Gothic"/>
          <w:b/>
          <w:bCs/>
          <w:lang w:val="es-ES"/>
        </w:rPr>
      </w:pPr>
    </w:p>
    <w:p w14:paraId="53C053B9" w14:textId="77777777" w:rsidR="00BE4F40" w:rsidRPr="00C96899" w:rsidRDefault="00BE4F40" w:rsidP="00BE4F40">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entury Gothic" w:hAnsi="Verdana" w:cs="Century Gothic"/>
          <w:b/>
          <w:bCs/>
          <w:lang w:val="es-ES"/>
        </w:rPr>
        <w:t>Razones de la respuesta:</w:t>
      </w:r>
    </w:p>
    <w:p w14:paraId="1458BF12" w14:textId="77777777" w:rsidR="00BE4F40" w:rsidRPr="00C96899" w:rsidRDefault="00BE4F40" w:rsidP="00BE4F40">
      <w:pPr>
        <w:tabs>
          <w:tab w:val="left" w:pos="142"/>
          <w:tab w:val="left" w:pos="284"/>
        </w:tabs>
        <w:spacing w:after="0" w:line="276" w:lineRule="auto"/>
        <w:contextualSpacing/>
        <w:jc w:val="both"/>
        <w:rPr>
          <w:rFonts w:ascii="Verdana" w:eastAsia="Century Gothic" w:hAnsi="Verdana" w:cs="Century Gothic"/>
          <w:b/>
          <w:bCs/>
          <w:lang w:val="es-ES"/>
        </w:rPr>
      </w:pPr>
    </w:p>
    <w:p w14:paraId="2BA6C75E" w14:textId="77777777" w:rsidR="00BE4F40" w:rsidRPr="00C96899" w:rsidRDefault="00BE4F40" w:rsidP="00BE4F40">
      <w:p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alibri" w:hAnsi="Verdana" w:cs="Arial"/>
          <w:lang w:val="es-ES" w:eastAsia="es-MX"/>
        </w:rPr>
        <w:t xml:space="preserve">Lo anterior se sustenta en las siguientes consideraciones: </w:t>
      </w:r>
    </w:p>
    <w:p w14:paraId="383B32F9" w14:textId="77777777" w:rsidR="00BE4F40" w:rsidRPr="00C96899" w:rsidRDefault="00BE4F40" w:rsidP="00BE4F40">
      <w:pPr>
        <w:tabs>
          <w:tab w:val="left" w:pos="142"/>
          <w:tab w:val="left" w:pos="284"/>
        </w:tabs>
        <w:spacing w:after="0" w:line="276" w:lineRule="auto"/>
        <w:contextualSpacing/>
        <w:jc w:val="both"/>
        <w:rPr>
          <w:rFonts w:ascii="Verdana" w:eastAsia="Calibri" w:hAnsi="Verdana" w:cs="Arial"/>
          <w:lang w:val="es-ES" w:eastAsia="es-MX"/>
        </w:rPr>
      </w:pPr>
    </w:p>
    <w:p w14:paraId="521F3B6B" w14:textId="77777777" w:rsidR="00BE4F40" w:rsidRPr="007A34BF" w:rsidRDefault="00BE4F40" w:rsidP="00BE4F40">
      <w:pPr>
        <w:widowControl w:val="0"/>
        <w:autoSpaceDE w:val="0"/>
        <w:autoSpaceDN w:val="0"/>
        <w:snapToGrid w:val="0"/>
        <w:spacing w:after="120" w:line="276" w:lineRule="auto"/>
        <w:jc w:val="both"/>
        <w:rPr>
          <w:rFonts w:ascii="Verdana" w:eastAsia="Arial" w:hAnsi="Verdana" w:cs="Arial"/>
          <w:lang w:val="es-ES" w:eastAsia="es-ES" w:bidi="es-ES"/>
        </w:rPr>
      </w:pPr>
      <w:r w:rsidRPr="00C96899">
        <w:rPr>
          <w:rFonts w:ascii="Verdana" w:eastAsia="Aptos" w:hAnsi="Verdana" w:cs="Arial"/>
          <w:lang w:eastAsia="es-MX"/>
        </w:rPr>
        <w:t xml:space="preserve">I). </w:t>
      </w:r>
      <w:r w:rsidRPr="007A34BF">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7A34BF">
        <w:rPr>
          <w:rFonts w:ascii="Verdana" w:eastAsia="Arial" w:hAnsi="Verdana" w:cs="Arial"/>
          <w:vertAlign w:val="superscript"/>
          <w:lang w:val="es-ES" w:eastAsia="es-ES" w:bidi="es-ES"/>
        </w:rPr>
        <w:footnoteReference w:id="1"/>
      </w:r>
      <w:r w:rsidRPr="007A34BF">
        <w:rPr>
          <w:rFonts w:ascii="Verdana" w:eastAsia="Arial" w:hAnsi="Verdana" w:cs="Arial"/>
          <w:lang w:val="es-ES" w:eastAsia="es-ES" w:bidi="es-ES"/>
        </w:rPr>
        <w:t>.</w:t>
      </w:r>
    </w:p>
    <w:p w14:paraId="13376438" w14:textId="77777777" w:rsidR="00BE4F40" w:rsidRPr="007A34BF" w:rsidRDefault="00BE4F40" w:rsidP="00BE4F40">
      <w:pPr>
        <w:widowControl w:val="0"/>
        <w:autoSpaceDE w:val="0"/>
        <w:autoSpaceDN w:val="0"/>
        <w:snapToGrid w:val="0"/>
        <w:spacing w:after="0" w:line="276" w:lineRule="auto"/>
        <w:ind w:firstLine="709"/>
        <w:jc w:val="both"/>
        <w:rPr>
          <w:rFonts w:ascii="Verdana" w:eastAsia="Arial" w:hAnsi="Verdana" w:cs="Arial"/>
          <w:lang w:val="es-ES" w:eastAsia="es-ES" w:bidi="es-ES"/>
        </w:rPr>
      </w:pPr>
      <w:r w:rsidRPr="007A34BF">
        <w:rPr>
          <w:rFonts w:ascii="Verdana" w:eastAsia="Arial" w:hAnsi="Verdana" w:cs="Arial"/>
          <w:lang w:val="es-ES" w:eastAsia="es-ES" w:bidi="es-ES"/>
        </w:rPr>
        <w:t xml:space="preserve">El Consejo de Estado, Sección Tercera, sentencia 4 de junio de 2008, radicado No. 17.783, M.P. Myriam Guerrero de Escobar, define el precio </w:t>
      </w:r>
      <w:r w:rsidRPr="007A34BF">
        <w:rPr>
          <w:rFonts w:ascii="Verdana" w:eastAsia="Arial" w:hAnsi="Verdana" w:cs="Arial"/>
          <w:lang w:val="es-ES" w:eastAsia="es-ES" w:bidi="es-ES"/>
        </w:rPr>
        <w:lastRenderedPageBreak/>
        <w:t>artificialmente bajo como aquel que no tiene sustento o fundamento en su</w:t>
      </w:r>
      <w:r w:rsidRPr="007A34BF">
        <w:rPr>
          <w:rFonts w:ascii="Verdana" w:eastAsia="Arial" w:hAnsi="Verdana" w:cs="Arial"/>
          <w:spacing w:val="-45"/>
          <w:lang w:val="es-ES" w:eastAsia="es-ES" w:bidi="es-ES"/>
        </w:rPr>
        <w:t xml:space="preserve"> </w:t>
      </w:r>
      <w:r w:rsidRPr="007A34BF">
        <w:rPr>
          <w:rFonts w:ascii="Verdana" w:eastAsia="Arial" w:hAnsi="Verdana" w:cs="Arial"/>
          <w:lang w:val="es-ES" w:eastAsia="es-ES" w:bidi="es-ES"/>
        </w:rPr>
        <w:t>estructuración dentro del tráfico comercial:</w:t>
      </w:r>
    </w:p>
    <w:p w14:paraId="4F0C84D8" w14:textId="77777777" w:rsidR="00BE4F40" w:rsidRPr="007A34BF" w:rsidRDefault="00BE4F40" w:rsidP="00BE4F40">
      <w:pPr>
        <w:widowControl w:val="0"/>
        <w:autoSpaceDE w:val="0"/>
        <w:autoSpaceDN w:val="0"/>
        <w:spacing w:after="0" w:line="276" w:lineRule="auto"/>
        <w:ind w:left="720"/>
        <w:rPr>
          <w:rFonts w:ascii="Verdana" w:eastAsia="Arial" w:hAnsi="Verdana" w:cs="Arial"/>
          <w:lang w:val="es-ES" w:eastAsia="es-ES" w:bidi="es-ES"/>
        </w:rPr>
      </w:pPr>
    </w:p>
    <w:p w14:paraId="2E513DC4" w14:textId="77777777" w:rsidR="00BE4F40" w:rsidRPr="007A34BF" w:rsidRDefault="00BE4F40" w:rsidP="00BE4F40">
      <w:pPr>
        <w:spacing w:after="0" w:line="240" w:lineRule="auto"/>
        <w:ind w:left="709" w:right="709"/>
        <w:jc w:val="both"/>
        <w:rPr>
          <w:rFonts w:ascii="Verdana" w:eastAsia="Aptos" w:hAnsi="Verdana" w:cs="Times New Roman"/>
          <w:kern w:val="2"/>
          <w:sz w:val="21"/>
          <w:szCs w:val="21"/>
          <w14:ligatures w14:val="standardContextual"/>
        </w:rPr>
      </w:pPr>
      <w:r w:rsidRPr="007A34BF">
        <w:rPr>
          <w:rFonts w:ascii="Verdana" w:eastAsia="Aptos" w:hAnsi="Verdana" w:cs="Times New Roman"/>
          <w:kern w:val="2"/>
          <w:sz w:val="21"/>
          <w:szCs w:val="21"/>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7A34BF">
        <w:rPr>
          <w:rFonts w:ascii="Verdana" w:eastAsia="Aptos" w:hAnsi="Verdana" w:cs="Times New Roman"/>
          <w:spacing w:val="-8"/>
          <w:kern w:val="2"/>
          <w:sz w:val="21"/>
          <w:szCs w:val="21"/>
          <w14:ligatures w14:val="standardContextual"/>
        </w:rPr>
        <w:t xml:space="preserve"> </w:t>
      </w:r>
      <w:r w:rsidRPr="007A34BF">
        <w:rPr>
          <w:rFonts w:ascii="Verdana" w:eastAsia="Aptos" w:hAnsi="Verdana" w:cs="Times New Roman"/>
          <w:kern w:val="2"/>
          <w:sz w:val="21"/>
          <w:szCs w:val="21"/>
          <w14:ligatures w14:val="standardContextual"/>
        </w:rPr>
        <w:t>[…]”.</w:t>
      </w:r>
    </w:p>
    <w:p w14:paraId="7DBB663C" w14:textId="77777777" w:rsidR="00BE4F40" w:rsidRPr="007A34BF" w:rsidRDefault="00BE4F40" w:rsidP="00BE4F40">
      <w:pPr>
        <w:widowControl w:val="0"/>
        <w:autoSpaceDE w:val="0"/>
        <w:autoSpaceDN w:val="0"/>
        <w:spacing w:after="0" w:line="276" w:lineRule="auto"/>
        <w:ind w:left="720"/>
        <w:jc w:val="both"/>
        <w:rPr>
          <w:rFonts w:ascii="Verdana" w:eastAsia="Arial" w:hAnsi="Verdana" w:cs="Arial"/>
          <w:lang w:val="es-ES" w:eastAsia="es-ES" w:bidi="es-ES"/>
        </w:rPr>
      </w:pPr>
    </w:p>
    <w:p w14:paraId="194E0A6E" w14:textId="77777777" w:rsidR="00BE4F40" w:rsidRPr="007A34BF" w:rsidRDefault="00BE4F40" w:rsidP="00BE4F40">
      <w:pPr>
        <w:widowControl w:val="0"/>
        <w:autoSpaceDE w:val="0"/>
        <w:autoSpaceDN w:val="0"/>
        <w:spacing w:after="120" w:line="276" w:lineRule="auto"/>
        <w:ind w:firstLine="709"/>
        <w:jc w:val="both"/>
        <w:rPr>
          <w:rFonts w:ascii="Verdana" w:eastAsia="Arial" w:hAnsi="Verdana" w:cs="Arial"/>
          <w:lang w:val="es-ES" w:eastAsia="es-ES" w:bidi="es-ES"/>
        </w:rPr>
      </w:pPr>
      <w:r w:rsidRPr="007A34BF">
        <w:rPr>
          <w:rFonts w:ascii="Verdana" w:eastAsia="Arial" w:hAnsi="Verdana" w:cs="Arial"/>
          <w:lang w:val="es-ES" w:eastAsia="es-ES" w:bidi="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análisis de la oferta durante la evaluación de las ofertas</w:t>
      </w:r>
      <w:r w:rsidRPr="007A34BF">
        <w:rPr>
          <w:rFonts w:ascii="Verdana" w:eastAsia="Arial" w:hAnsi="Verdana" w:cs="Arial"/>
          <w:vertAlign w:val="superscript"/>
          <w:lang w:val="es-ES" w:eastAsia="es-ES" w:bidi="es-ES"/>
        </w:rPr>
        <w:footnoteReference w:id="2"/>
      </w:r>
      <w:r w:rsidRPr="007A34BF">
        <w:rPr>
          <w:rFonts w:ascii="Verdana" w:eastAsia="Arial" w:hAnsi="Verdana" w:cs="Arial"/>
          <w:lang w:val="es-ES" w:eastAsia="es-ES" w:bidi="es-ES"/>
        </w:rPr>
        <w:t>.</w:t>
      </w:r>
    </w:p>
    <w:p w14:paraId="61F2D089" w14:textId="77777777" w:rsidR="00BE4F40" w:rsidRPr="007A34BF" w:rsidRDefault="00BE4F40" w:rsidP="00BE4F40">
      <w:pPr>
        <w:widowControl w:val="0"/>
        <w:autoSpaceDE w:val="0"/>
        <w:autoSpaceDN w:val="0"/>
        <w:spacing w:after="120" w:line="276" w:lineRule="auto"/>
        <w:ind w:firstLine="709"/>
        <w:jc w:val="both"/>
        <w:rPr>
          <w:rFonts w:ascii="Verdana" w:eastAsia="Arial" w:hAnsi="Verdana" w:cs="Arial"/>
          <w:lang w:val="es-ES" w:eastAsia="es-ES" w:bidi="es-ES"/>
        </w:rPr>
      </w:pPr>
      <w:r w:rsidRPr="007A34BF">
        <w:rPr>
          <w:rFonts w:ascii="Verdana" w:eastAsia="Arial" w:hAnsi="Verdana" w:cs="Arial"/>
          <w:lang w:val="es-ES" w:eastAsia="es-ES" w:bidi="es-ES"/>
        </w:rPr>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3B3708E9" w14:textId="77777777" w:rsidR="00BE4F40" w:rsidRPr="007A34BF" w:rsidRDefault="00BE4F40" w:rsidP="00BE4F40">
      <w:pPr>
        <w:spacing w:after="0" w:line="276" w:lineRule="auto"/>
        <w:ind w:firstLine="709"/>
        <w:jc w:val="both"/>
        <w:rPr>
          <w:rFonts w:ascii="Verdana" w:eastAsia="Calibri" w:hAnsi="Verdana" w:cs="Arial"/>
        </w:rPr>
      </w:pPr>
      <w:r w:rsidRPr="007A34BF">
        <w:rPr>
          <w:rFonts w:ascii="Verdana" w:eastAsia="Calibri" w:hAnsi="Verdana" w:cs="Arial"/>
        </w:rPr>
        <w:lastRenderedPageBreak/>
        <w:t xml:space="preserve">En línea con lo anterior, el numeral 4.1.3 “Precio artificialmente bajo” del Documento Base de los documentos tipo de licitación de obra pública de infraestructura de transporte, establece lo siguiente: </w:t>
      </w:r>
    </w:p>
    <w:p w14:paraId="495DB720" w14:textId="77777777" w:rsidR="00BE4F40" w:rsidRPr="007A34BF" w:rsidRDefault="00BE4F40" w:rsidP="00BE4F40">
      <w:pPr>
        <w:spacing w:after="0" w:line="276" w:lineRule="auto"/>
        <w:jc w:val="both"/>
        <w:rPr>
          <w:rFonts w:ascii="Verdana" w:eastAsia="Calibri" w:hAnsi="Verdana" w:cs="Arial"/>
        </w:rPr>
      </w:pPr>
    </w:p>
    <w:p w14:paraId="2B47105B"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lang w:val="es-MX"/>
        </w:rPr>
        <w:t xml:space="preserve">“En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 </w:t>
      </w:r>
    </w:p>
    <w:p w14:paraId="604B42B5"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lang w:val="es-MX"/>
        </w:rPr>
        <w:t xml:space="preserve">La solicitud de justificación de precios artificialmente bajos deberá realizarse por la entidad con posterioridad a la apertura del Sobre No 2 y previo a determinar el método de ponderación de las ofertas económicas, para ello la entidad deberá determinar el tiempo de traslado que otorgará a los oferentes requeridos para que alleguen sus justificaciones. </w:t>
      </w:r>
    </w:p>
    <w:p w14:paraId="424AF6D1" w14:textId="77777777" w:rsidR="00BE4F40" w:rsidRPr="007A34BF" w:rsidRDefault="00BE4F40" w:rsidP="00BE4F40">
      <w:pPr>
        <w:spacing w:after="0"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lang w:val="es-MX"/>
        </w:rPr>
        <w:t xml:space="preserve">Por lo anterior, cuando algún oferente no responda al requerimiento de justificación de la entidad o esta determine que alguna oferta económica se encuentra inmersa en un precio artificialmente bajo, se rechazará y, en consecuencia, no se considerará al proponente dentro del orden de elegibilidad del proceso”. </w:t>
      </w:r>
    </w:p>
    <w:p w14:paraId="50EB7A54" w14:textId="77777777" w:rsidR="00BE4F40" w:rsidRPr="007A34BF" w:rsidRDefault="00BE4F40" w:rsidP="00BE4F40">
      <w:pPr>
        <w:spacing w:after="0"/>
        <w:ind w:left="709" w:right="709"/>
        <w:jc w:val="both"/>
        <w:rPr>
          <w:rFonts w:ascii="Verdana" w:eastAsia="Calibri" w:hAnsi="Verdana" w:cs="Times New Roman"/>
          <w:sz w:val="21"/>
          <w:szCs w:val="21"/>
          <w:lang w:val="es-MX"/>
        </w:rPr>
      </w:pPr>
    </w:p>
    <w:p w14:paraId="74C0D083" w14:textId="77777777" w:rsidR="00BE4F40" w:rsidRPr="007A34BF" w:rsidRDefault="00BE4F40" w:rsidP="00BE4F40">
      <w:pPr>
        <w:tabs>
          <w:tab w:val="left" w:pos="-142"/>
        </w:tabs>
        <w:autoSpaceDE w:val="0"/>
        <w:autoSpaceDN w:val="0"/>
        <w:adjustRightInd w:val="0"/>
        <w:spacing w:after="120" w:line="276" w:lineRule="auto"/>
        <w:ind w:firstLine="709"/>
        <w:jc w:val="both"/>
        <w:outlineLvl w:val="2"/>
        <w:rPr>
          <w:rFonts w:ascii="Verdana" w:eastAsia="Calibri" w:hAnsi="Verdana" w:cs="Arial"/>
        </w:rPr>
      </w:pPr>
      <w:r w:rsidRPr="007A34BF">
        <w:rPr>
          <w:rFonts w:ascii="Verdana" w:eastAsia="Calibri" w:hAnsi="Verdana" w:cs="Arial"/>
        </w:rPr>
        <w:t xml:space="preserve">La “Guía para el manejo de ofertas artificialmente bajas en procesos de contratación” dispone que la identificación de ofertas artificialmente bajas se puede realizar mediante la utilización de las siguientes herramientas: i) la comparación absoluta, y </w:t>
      </w:r>
      <w:proofErr w:type="spellStart"/>
      <w:r w:rsidRPr="007A34BF">
        <w:rPr>
          <w:rFonts w:ascii="Verdana" w:eastAsia="Calibri" w:hAnsi="Verdana" w:cs="Arial"/>
        </w:rPr>
        <w:t>ii</w:t>
      </w:r>
      <w:proofErr w:type="spellEnd"/>
      <w:r w:rsidRPr="007A34BF">
        <w:rPr>
          <w:rFonts w:ascii="Verdana" w:eastAsia="Calibri" w:hAnsi="Verdana" w:cs="Arial"/>
        </w:rPr>
        <w:t>) la comparación relativa, partiendo de que las ofertas son independientes y competitivas.</w:t>
      </w:r>
    </w:p>
    <w:p w14:paraId="240C364A" w14:textId="77777777" w:rsidR="00BE4F40" w:rsidRPr="007A34BF" w:rsidRDefault="00BE4F40" w:rsidP="00BE4F40">
      <w:pPr>
        <w:tabs>
          <w:tab w:val="left" w:pos="-142"/>
        </w:tabs>
        <w:autoSpaceDE w:val="0"/>
        <w:autoSpaceDN w:val="0"/>
        <w:adjustRightInd w:val="0"/>
        <w:spacing w:after="0" w:line="276" w:lineRule="auto"/>
        <w:ind w:firstLine="709"/>
        <w:jc w:val="both"/>
        <w:outlineLvl w:val="2"/>
        <w:rPr>
          <w:rFonts w:ascii="Verdana" w:eastAsia="Calibri" w:hAnsi="Verdana" w:cs="Arial"/>
          <w:lang w:val="x-none" w:eastAsia="es-ES"/>
        </w:rPr>
      </w:pPr>
      <w:r w:rsidRPr="007A34BF">
        <w:rPr>
          <w:rFonts w:ascii="Verdana" w:eastAsia="Calibri" w:hAnsi="Verdana" w:cs="Arial"/>
        </w:rPr>
        <w:t xml:space="preserve">Por su parte, el numeral </w:t>
      </w:r>
      <w:bookmarkStart w:id="2" w:name="_Toc32147369"/>
      <w:bookmarkStart w:id="3" w:name="_Toc84413953"/>
      <w:bookmarkStart w:id="4" w:name="_Hlk511666009"/>
      <w:r w:rsidRPr="007A34BF">
        <w:rPr>
          <w:rFonts w:ascii="Verdana" w:eastAsia="Calibri" w:hAnsi="Verdana" w:cs="Arial"/>
          <w:lang w:eastAsia="es-ES"/>
        </w:rPr>
        <w:t>4.1.4. “</w:t>
      </w:r>
      <w:r w:rsidRPr="007A34BF">
        <w:rPr>
          <w:rFonts w:ascii="Verdana" w:eastAsia="Arial" w:hAnsi="Verdana" w:cs="Arial"/>
          <w:lang w:eastAsia="es-ES"/>
        </w:rPr>
        <w:t>Determinación del método para la ponderación de la propuesta económica</w:t>
      </w:r>
      <w:bookmarkEnd w:id="2"/>
      <w:bookmarkEnd w:id="3"/>
      <w:bookmarkEnd w:id="4"/>
      <w:r w:rsidRPr="007A34BF">
        <w:rPr>
          <w:rFonts w:ascii="Verdana" w:eastAsia="Arial" w:hAnsi="Verdana" w:cs="Arial"/>
          <w:lang w:eastAsia="es-ES"/>
        </w:rPr>
        <w:t xml:space="preserve">”, contenido en el documento base de los documentos tipo de licitación de obra pública de infraestructura de transporte –versión 4–, contiene </w:t>
      </w:r>
      <w:r w:rsidRPr="007A34BF">
        <w:rPr>
          <w:rFonts w:ascii="Verdana" w:eastAsia="Calibri" w:hAnsi="Verdana" w:cs="Arial"/>
          <w:lang w:val="x-none" w:eastAsia="es-ES"/>
        </w:rPr>
        <w:t>cuatro</w:t>
      </w:r>
      <w:r w:rsidRPr="007A34BF">
        <w:rPr>
          <w:rFonts w:ascii="Verdana" w:eastAsia="Calibri" w:hAnsi="Verdana" w:cs="Arial"/>
          <w:lang w:val="es-MX" w:eastAsia="es-ES"/>
        </w:rPr>
        <w:t xml:space="preserve"> (4)</w:t>
      </w:r>
      <w:r w:rsidRPr="007A34BF">
        <w:rPr>
          <w:rFonts w:ascii="Verdana" w:eastAsia="Calibri" w:hAnsi="Verdana" w:cs="Arial"/>
          <w:lang w:val="x-none" w:eastAsia="es-ES"/>
        </w:rPr>
        <w:t xml:space="preserve"> alternativas para escoger el método de ponderación de la</w:t>
      </w:r>
      <w:r w:rsidRPr="007A34BF">
        <w:rPr>
          <w:rFonts w:ascii="Verdana" w:eastAsia="Calibri" w:hAnsi="Verdana" w:cs="Arial"/>
          <w:lang w:eastAsia="es-ES"/>
        </w:rPr>
        <w:t>s</w:t>
      </w:r>
      <w:r w:rsidRPr="007A34BF">
        <w:rPr>
          <w:rFonts w:ascii="Verdana" w:eastAsia="Calibri" w:hAnsi="Verdana" w:cs="Arial"/>
          <w:lang w:val="x-none" w:eastAsia="es-ES"/>
        </w:rPr>
        <w:t xml:space="preserve"> propuesta</w:t>
      </w:r>
      <w:r w:rsidRPr="007A34BF">
        <w:rPr>
          <w:rFonts w:ascii="Verdana" w:eastAsia="Calibri" w:hAnsi="Verdana" w:cs="Arial"/>
          <w:lang w:eastAsia="es-ES"/>
        </w:rPr>
        <w:t>s</w:t>
      </w:r>
      <w:r w:rsidRPr="007A34BF">
        <w:rPr>
          <w:rFonts w:ascii="Verdana" w:eastAsia="Calibri" w:hAnsi="Verdana" w:cs="Arial"/>
          <w:lang w:val="x-none" w:eastAsia="es-ES"/>
        </w:rPr>
        <w:t xml:space="preserve"> económica</w:t>
      </w:r>
      <w:r w:rsidRPr="007A34BF">
        <w:rPr>
          <w:rFonts w:ascii="Verdana" w:eastAsia="Calibri" w:hAnsi="Verdana" w:cs="Arial"/>
          <w:lang w:eastAsia="es-ES"/>
        </w:rPr>
        <w:t>s</w:t>
      </w:r>
      <w:r w:rsidRPr="007A34BF">
        <w:rPr>
          <w:rFonts w:ascii="Verdana" w:eastAsia="Calibri" w:hAnsi="Verdana" w:cs="Arial"/>
          <w:lang w:val="x-none" w:eastAsia="es-ES"/>
        </w:rPr>
        <w:t xml:space="preserve">, a saber: i) mediana con valor absoluto; </w:t>
      </w:r>
      <w:proofErr w:type="spellStart"/>
      <w:r w:rsidRPr="007A34BF">
        <w:rPr>
          <w:rFonts w:ascii="Verdana" w:eastAsia="Calibri" w:hAnsi="Verdana" w:cs="Arial"/>
          <w:lang w:val="x-none" w:eastAsia="es-ES"/>
        </w:rPr>
        <w:t>ii</w:t>
      </w:r>
      <w:proofErr w:type="spellEnd"/>
      <w:r w:rsidRPr="007A34BF">
        <w:rPr>
          <w:rFonts w:ascii="Verdana" w:eastAsia="Calibri" w:hAnsi="Verdana" w:cs="Arial"/>
          <w:lang w:val="x-none" w:eastAsia="es-ES"/>
        </w:rPr>
        <w:t xml:space="preserve">) media geométrica; </w:t>
      </w:r>
      <w:proofErr w:type="spellStart"/>
      <w:r w:rsidRPr="007A34BF">
        <w:rPr>
          <w:rFonts w:ascii="Verdana" w:eastAsia="Calibri" w:hAnsi="Verdana" w:cs="Arial"/>
          <w:lang w:val="x-none" w:eastAsia="es-ES"/>
        </w:rPr>
        <w:t>iii</w:t>
      </w:r>
      <w:proofErr w:type="spellEnd"/>
      <w:r w:rsidRPr="007A34BF">
        <w:rPr>
          <w:rFonts w:ascii="Verdana" w:eastAsia="Calibri" w:hAnsi="Verdana" w:cs="Arial"/>
          <w:lang w:val="x-none" w:eastAsia="es-ES"/>
        </w:rPr>
        <w:t xml:space="preserve">) media aritmética baja, y </w:t>
      </w:r>
      <w:proofErr w:type="spellStart"/>
      <w:r w:rsidRPr="007A34BF">
        <w:rPr>
          <w:rFonts w:ascii="Verdana" w:eastAsia="Calibri" w:hAnsi="Verdana" w:cs="Arial"/>
          <w:lang w:val="x-none" w:eastAsia="es-ES"/>
        </w:rPr>
        <w:t>iv</w:t>
      </w:r>
      <w:proofErr w:type="spellEnd"/>
      <w:r w:rsidRPr="007A34BF">
        <w:rPr>
          <w:rFonts w:ascii="Verdana" w:eastAsia="Calibri" w:hAnsi="Verdana" w:cs="Arial"/>
          <w:lang w:val="x-none" w:eastAsia="es-ES"/>
        </w:rPr>
        <w:t>) menor valor.</w:t>
      </w:r>
      <w:r w:rsidRPr="007A34BF">
        <w:rPr>
          <w:rFonts w:ascii="Verdana" w:eastAsia="Calibri" w:hAnsi="Verdana" w:cs="Arial"/>
          <w:lang w:eastAsia="es-ES"/>
        </w:rPr>
        <w:t xml:space="preserve"> A partir de estas alternativas</w:t>
      </w:r>
      <w:r w:rsidRPr="007A34BF">
        <w:rPr>
          <w:rFonts w:ascii="Verdana" w:eastAsia="Calibri" w:hAnsi="Verdana" w:cs="Arial"/>
          <w:lang w:val="x-none" w:eastAsia="es-ES"/>
        </w:rPr>
        <w:t>, la entidad</w:t>
      </w:r>
      <w:r w:rsidRPr="007A34BF">
        <w:rPr>
          <w:rFonts w:ascii="Verdana" w:eastAsia="Calibri" w:hAnsi="Verdana" w:cs="Arial"/>
          <w:lang w:val="es-ES" w:eastAsia="es-ES"/>
        </w:rPr>
        <w:t>,</w:t>
      </w:r>
      <w:r w:rsidRPr="007A34BF">
        <w:rPr>
          <w:rFonts w:ascii="Verdana" w:eastAsia="Calibri" w:hAnsi="Verdana" w:cs="Arial"/>
          <w:lang w:val="x-none" w:eastAsia="es-ES"/>
        </w:rPr>
        <w:t xml:space="preserve"> para establecer el método de ponderación</w:t>
      </w:r>
      <w:r w:rsidRPr="007A34BF">
        <w:rPr>
          <w:rFonts w:ascii="Verdana" w:eastAsia="Calibri" w:hAnsi="Verdana" w:cs="Arial"/>
          <w:lang w:val="es-ES" w:eastAsia="es-ES"/>
        </w:rPr>
        <w:t>,</w:t>
      </w:r>
      <w:r w:rsidRPr="007A34BF">
        <w:rPr>
          <w:rFonts w:ascii="Verdana" w:eastAsia="Calibri" w:hAnsi="Verdana" w:cs="Arial"/>
          <w:lang w:val="x-none" w:eastAsia="es-ES"/>
        </w:rPr>
        <w:t xml:space="preserve"> tomará los centavos de la Tasa de Cambio Representativa del </w:t>
      </w:r>
      <w:r w:rsidRPr="007A34BF">
        <w:rPr>
          <w:rFonts w:ascii="Verdana" w:eastAsia="Calibri" w:hAnsi="Verdana" w:cs="Arial"/>
          <w:lang w:val="x-none" w:eastAsia="es-ES"/>
        </w:rPr>
        <w:lastRenderedPageBreak/>
        <w:t>Mercado (TRM), certificada por la Superintendencia Financiera de Colombia</w:t>
      </w:r>
      <w:r w:rsidRPr="007A34BF">
        <w:rPr>
          <w:rFonts w:ascii="Verdana" w:eastAsia="Calibri" w:hAnsi="Verdana" w:cs="Arial"/>
          <w:color w:val="3A3A3A"/>
          <w:lang w:val="x-none" w:eastAsia="es-ES"/>
        </w:rPr>
        <w:t>.</w:t>
      </w:r>
      <w:r w:rsidRPr="007A34BF">
        <w:rPr>
          <w:rFonts w:ascii="Verdana" w:eastAsia="Calibri" w:hAnsi="Verdana" w:cs="Arial"/>
          <w:lang w:val="x-none" w:eastAsia="es-ES"/>
        </w:rPr>
        <w:t xml:space="preserve"> Al respecto, el documento base señala lo siguiente:</w:t>
      </w:r>
    </w:p>
    <w:p w14:paraId="038B82BD" w14:textId="77777777" w:rsidR="00BE4F40" w:rsidRPr="007A34BF" w:rsidRDefault="00BE4F40" w:rsidP="00BE4F40">
      <w:pPr>
        <w:tabs>
          <w:tab w:val="left" w:pos="-142"/>
        </w:tabs>
        <w:autoSpaceDE w:val="0"/>
        <w:autoSpaceDN w:val="0"/>
        <w:adjustRightInd w:val="0"/>
        <w:spacing w:after="0" w:line="276" w:lineRule="auto"/>
        <w:ind w:left="720"/>
        <w:jc w:val="both"/>
        <w:outlineLvl w:val="2"/>
        <w:rPr>
          <w:rFonts w:ascii="Verdana" w:eastAsia="Calibri" w:hAnsi="Verdana" w:cs="Arial"/>
          <w:lang w:val="x-none" w:eastAsia="es-ES"/>
        </w:rPr>
      </w:pPr>
    </w:p>
    <w:p w14:paraId="1A233593"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lang w:val="es-MX"/>
        </w:rPr>
        <w:t>“La entidad seleccionará el método de ponderación de la propuesta económica de acuerdo con las siguientes alternativas:</w:t>
      </w:r>
    </w:p>
    <w:tbl>
      <w:tblPr>
        <w:tblStyle w:val="Tablaconcuadrcula"/>
        <w:tblW w:w="0" w:type="auto"/>
        <w:jc w:val="center"/>
        <w:tblLook w:val="04A0" w:firstRow="1" w:lastRow="0" w:firstColumn="1" w:lastColumn="0" w:noHBand="0" w:noVBand="1"/>
      </w:tblPr>
      <w:tblGrid>
        <w:gridCol w:w="1560"/>
        <w:gridCol w:w="1984"/>
      </w:tblGrid>
      <w:tr w:rsidR="00BE4F40" w:rsidRPr="007A34BF" w14:paraId="12C9A7B2" w14:textId="77777777" w:rsidTr="006A0A66">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53CB029F" w14:textId="77777777" w:rsidR="00BE4F40" w:rsidRPr="007A34BF" w:rsidRDefault="00BE4F40" w:rsidP="006A0A66">
            <w:pPr>
              <w:spacing w:line="276" w:lineRule="auto"/>
              <w:jc w:val="center"/>
              <w:rPr>
                <w:rFonts w:ascii="Verdana" w:eastAsia="Calibri" w:hAnsi="Verdana" w:cs="Arial"/>
                <w:b/>
                <w:bCs/>
                <w:color w:val="FFFFFF"/>
                <w:sz w:val="20"/>
                <w:szCs w:val="20"/>
              </w:rPr>
            </w:pPr>
            <w:bookmarkStart w:id="5" w:name="_Hlk511666058"/>
            <w:r w:rsidRPr="007A34BF">
              <w:rPr>
                <w:rFonts w:ascii="Verdana" w:eastAsia="Calibri" w:hAnsi="Verdana" w:cs="Arial"/>
                <w:b/>
                <w:bCs/>
                <w:color w:val="FFFFFF"/>
                <w:sz w:val="20"/>
                <w:szCs w:val="20"/>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2E306CC6" w14:textId="77777777" w:rsidR="00BE4F40" w:rsidRPr="007A34BF" w:rsidRDefault="00BE4F40" w:rsidP="006A0A66">
            <w:pPr>
              <w:spacing w:line="276" w:lineRule="auto"/>
              <w:jc w:val="center"/>
              <w:rPr>
                <w:rFonts w:ascii="Verdana" w:eastAsia="Calibri" w:hAnsi="Verdana" w:cs="Arial"/>
                <w:b/>
                <w:bCs/>
                <w:color w:val="FFFFFF"/>
                <w:sz w:val="20"/>
                <w:szCs w:val="20"/>
              </w:rPr>
            </w:pPr>
            <w:r w:rsidRPr="007A34BF">
              <w:rPr>
                <w:rFonts w:ascii="Verdana" w:eastAsia="Calibri" w:hAnsi="Verdana" w:cs="Arial"/>
                <w:b/>
                <w:bCs/>
                <w:color w:val="FFFFFF"/>
                <w:sz w:val="20"/>
                <w:szCs w:val="20"/>
              </w:rPr>
              <w:t>Método</w:t>
            </w:r>
          </w:p>
        </w:tc>
      </w:tr>
      <w:tr w:rsidR="00BE4F40" w:rsidRPr="007A34BF" w14:paraId="4921E5E3" w14:textId="77777777" w:rsidTr="006A0A66">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5D33213E" w14:textId="77777777" w:rsidR="00BE4F40" w:rsidRPr="007A34BF" w:rsidRDefault="00BE4F40" w:rsidP="006A0A66">
            <w:pPr>
              <w:spacing w:line="276" w:lineRule="auto"/>
              <w:jc w:val="center"/>
              <w:rPr>
                <w:rFonts w:ascii="Verdana" w:eastAsia="Calibri" w:hAnsi="Verdana" w:cs="Arial"/>
                <w:sz w:val="20"/>
                <w:szCs w:val="20"/>
                <w:lang w:val="es-ES"/>
              </w:rPr>
            </w:pPr>
            <w:r w:rsidRPr="007A34BF">
              <w:rPr>
                <w:rFonts w:ascii="Verdana" w:eastAsia="Calibri" w:hAnsi="Verdana" w:cs="Arial"/>
                <w:sz w:val="20"/>
                <w:szCs w:val="20"/>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0D8F2F9A" w14:textId="77777777" w:rsidR="00BE4F40" w:rsidRPr="007A34BF" w:rsidRDefault="00BE4F40" w:rsidP="006A0A66">
            <w:pPr>
              <w:spacing w:line="276" w:lineRule="auto"/>
              <w:jc w:val="center"/>
              <w:rPr>
                <w:rFonts w:ascii="Verdana" w:eastAsia="Calibri" w:hAnsi="Verdana" w:cs="Arial"/>
                <w:sz w:val="20"/>
                <w:szCs w:val="20"/>
                <w:lang w:val="es-ES"/>
              </w:rPr>
            </w:pPr>
            <w:r w:rsidRPr="007A34BF">
              <w:rPr>
                <w:rFonts w:ascii="Verdana" w:eastAsia="Calibri" w:hAnsi="Verdana" w:cs="Arial"/>
                <w:sz w:val="20"/>
                <w:szCs w:val="20"/>
                <w:lang w:val="es-ES"/>
              </w:rPr>
              <w:t>Mediana con valor absoluto</w:t>
            </w:r>
          </w:p>
        </w:tc>
      </w:tr>
      <w:tr w:rsidR="00BE4F40" w:rsidRPr="007A34BF" w14:paraId="461ACEBC" w14:textId="77777777" w:rsidTr="006A0A66">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347CFF1F" w14:textId="77777777" w:rsidR="00BE4F40" w:rsidRPr="007A34BF" w:rsidRDefault="00BE4F40" w:rsidP="006A0A66">
            <w:pPr>
              <w:spacing w:line="276" w:lineRule="auto"/>
              <w:jc w:val="center"/>
              <w:rPr>
                <w:rFonts w:ascii="Verdana" w:eastAsia="Calibri" w:hAnsi="Verdana" w:cs="Arial"/>
                <w:sz w:val="20"/>
                <w:szCs w:val="20"/>
                <w:lang w:val="es-ES"/>
              </w:rPr>
            </w:pPr>
            <w:r w:rsidRPr="007A34BF">
              <w:rPr>
                <w:rFonts w:ascii="Verdana" w:eastAsia="Calibri" w:hAnsi="Verdana" w:cs="Arial"/>
                <w:sz w:val="20"/>
                <w:szCs w:val="20"/>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3A5410F1" w14:textId="77777777" w:rsidR="00BE4F40" w:rsidRPr="007A34BF" w:rsidRDefault="00BE4F40" w:rsidP="006A0A66">
            <w:pPr>
              <w:spacing w:line="276" w:lineRule="auto"/>
              <w:jc w:val="center"/>
              <w:rPr>
                <w:rFonts w:ascii="Verdana" w:eastAsia="Calibri" w:hAnsi="Verdana" w:cs="Arial"/>
                <w:sz w:val="20"/>
                <w:szCs w:val="20"/>
                <w:lang w:val="es-ES"/>
              </w:rPr>
            </w:pPr>
            <w:r w:rsidRPr="007A34BF">
              <w:rPr>
                <w:rFonts w:ascii="Verdana" w:eastAsia="Calibri" w:hAnsi="Verdana" w:cs="Arial"/>
                <w:sz w:val="20"/>
                <w:szCs w:val="20"/>
                <w:lang w:val="es-ES"/>
              </w:rPr>
              <w:t>Media geométrica</w:t>
            </w:r>
          </w:p>
        </w:tc>
      </w:tr>
      <w:tr w:rsidR="00BE4F40" w:rsidRPr="007A34BF" w14:paraId="6B1BF46C" w14:textId="77777777" w:rsidTr="006A0A66">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0D79CC54" w14:textId="77777777" w:rsidR="00BE4F40" w:rsidRPr="007A34BF" w:rsidRDefault="00BE4F40" w:rsidP="006A0A66">
            <w:pPr>
              <w:spacing w:line="276" w:lineRule="auto"/>
              <w:jc w:val="center"/>
              <w:rPr>
                <w:rFonts w:ascii="Verdana" w:eastAsia="Calibri" w:hAnsi="Verdana" w:cs="Arial"/>
                <w:sz w:val="20"/>
                <w:szCs w:val="20"/>
                <w:lang w:val="es-ES"/>
              </w:rPr>
            </w:pPr>
            <w:r w:rsidRPr="007A34BF">
              <w:rPr>
                <w:rFonts w:ascii="Verdana" w:eastAsia="Calibri" w:hAnsi="Verdana" w:cs="Arial"/>
                <w:sz w:val="20"/>
                <w:szCs w:val="20"/>
                <w:lang w:val="es-ES"/>
              </w:rPr>
              <w:t>3</w:t>
            </w:r>
          </w:p>
        </w:tc>
        <w:tc>
          <w:tcPr>
            <w:tcW w:w="1984" w:type="dxa"/>
            <w:tcBorders>
              <w:top w:val="single" w:sz="4" w:space="0" w:color="auto"/>
              <w:left w:val="single" w:sz="4" w:space="0" w:color="auto"/>
              <w:bottom w:val="single" w:sz="4" w:space="0" w:color="auto"/>
              <w:right w:val="double" w:sz="4" w:space="0" w:color="auto"/>
            </w:tcBorders>
            <w:vAlign w:val="center"/>
          </w:tcPr>
          <w:p w14:paraId="14A077AD" w14:textId="77777777" w:rsidR="00BE4F40" w:rsidRPr="007A34BF" w:rsidRDefault="00BE4F40" w:rsidP="006A0A66">
            <w:pPr>
              <w:spacing w:line="276" w:lineRule="auto"/>
              <w:jc w:val="center"/>
              <w:rPr>
                <w:rFonts w:ascii="Verdana" w:eastAsia="Calibri" w:hAnsi="Verdana" w:cs="Arial"/>
                <w:sz w:val="20"/>
                <w:szCs w:val="20"/>
                <w:lang w:val="es-ES"/>
              </w:rPr>
            </w:pPr>
            <w:r w:rsidRPr="007A34BF">
              <w:rPr>
                <w:rFonts w:ascii="Verdana" w:eastAsia="Calibri" w:hAnsi="Verdana" w:cs="Arial"/>
                <w:sz w:val="20"/>
                <w:szCs w:val="20"/>
                <w:lang w:val="es-ES"/>
              </w:rPr>
              <w:t>Media aritmética baja</w:t>
            </w:r>
          </w:p>
        </w:tc>
      </w:tr>
      <w:tr w:rsidR="00BE4F40" w:rsidRPr="007A34BF" w14:paraId="2B5A3005" w14:textId="77777777" w:rsidTr="006A0A66">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2A7CC580" w14:textId="77777777" w:rsidR="00BE4F40" w:rsidRPr="007A34BF" w:rsidRDefault="00BE4F40" w:rsidP="006A0A66">
            <w:pPr>
              <w:spacing w:line="276" w:lineRule="auto"/>
              <w:jc w:val="center"/>
              <w:rPr>
                <w:rFonts w:ascii="Verdana" w:eastAsia="Calibri" w:hAnsi="Verdana" w:cs="Arial"/>
                <w:sz w:val="20"/>
                <w:szCs w:val="20"/>
                <w:lang w:val="es-ES"/>
              </w:rPr>
            </w:pPr>
            <w:r w:rsidRPr="007A34BF">
              <w:rPr>
                <w:rFonts w:ascii="Verdana" w:eastAsia="Calibri" w:hAnsi="Verdana" w:cs="Arial"/>
                <w:sz w:val="20"/>
                <w:szCs w:val="20"/>
                <w:lang w:val="es-ES"/>
              </w:rPr>
              <w:t>4</w:t>
            </w:r>
          </w:p>
        </w:tc>
        <w:tc>
          <w:tcPr>
            <w:tcW w:w="1984" w:type="dxa"/>
            <w:tcBorders>
              <w:top w:val="single" w:sz="4" w:space="0" w:color="auto"/>
              <w:left w:val="single" w:sz="4" w:space="0" w:color="auto"/>
              <w:bottom w:val="double" w:sz="4" w:space="0" w:color="auto"/>
              <w:right w:val="double" w:sz="4" w:space="0" w:color="auto"/>
            </w:tcBorders>
            <w:vAlign w:val="center"/>
          </w:tcPr>
          <w:p w14:paraId="0FB1997E" w14:textId="77777777" w:rsidR="00BE4F40" w:rsidRPr="007A34BF" w:rsidRDefault="00BE4F40" w:rsidP="006A0A66">
            <w:pPr>
              <w:spacing w:line="276" w:lineRule="auto"/>
              <w:jc w:val="center"/>
              <w:rPr>
                <w:rFonts w:ascii="Verdana" w:eastAsia="Calibri" w:hAnsi="Verdana" w:cs="Arial"/>
                <w:sz w:val="20"/>
                <w:szCs w:val="20"/>
                <w:lang w:val="es-ES"/>
              </w:rPr>
            </w:pPr>
            <w:r w:rsidRPr="007A34BF">
              <w:rPr>
                <w:rFonts w:ascii="Verdana" w:eastAsia="Calibri" w:hAnsi="Verdana" w:cs="Arial"/>
                <w:sz w:val="20"/>
                <w:szCs w:val="20"/>
                <w:lang w:val="es-ES"/>
              </w:rPr>
              <w:t>Menor valor</w:t>
            </w:r>
          </w:p>
        </w:tc>
      </w:tr>
      <w:bookmarkEnd w:id="5"/>
    </w:tbl>
    <w:p w14:paraId="3DF100F7" w14:textId="77777777" w:rsidR="00BE4F40" w:rsidRPr="007A34BF" w:rsidRDefault="00BE4F40" w:rsidP="00BE4F40">
      <w:pPr>
        <w:ind w:right="709"/>
        <w:rPr>
          <w:rFonts w:ascii="Verdana" w:eastAsia="Calibri" w:hAnsi="Verdana" w:cs="Times New Roman"/>
          <w:sz w:val="21"/>
          <w:szCs w:val="21"/>
          <w:lang w:val="es-MX"/>
        </w:rPr>
      </w:pPr>
    </w:p>
    <w:p w14:paraId="61BED2B4"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lang w:val="es-MX"/>
        </w:rPr>
        <w:t>Para determinar el método de ponderación, la entidad tomará los centavos de la Tasa de Cambio Representativa del Mercado (TRM), certificada por la Superintendencia Financiera de Colombia (en su sitio web: https://www.superfinanciera.gov.co/publicacion/60819).</w:t>
      </w:r>
    </w:p>
    <w:p w14:paraId="70A62E76"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rPr>
        <w:t>El día de la audiencia efectiva de adjudicación, la entidad iniciará respondiendo y resolviendo las observaciones presentadas al informe de evaluación, de conformidad con el numeral 2.6. Después, la entidad iniciará la apertura de los sobres de las ofertas económicas, verificará, si procede, determinará las correcciones aritméticas y solicitará la justificación de precios artificialmente bajos a que haya lugar, si es necesario, la entidad se pronunciará sobre las ofertas requeridas en los términos del numeral 4.1.3. Posteriormente, la entidad definirá el método de ponderación de las propuestas de acuerdo con las siguientes reglas:</w:t>
      </w:r>
      <w:r w:rsidRPr="007A34BF">
        <w:rPr>
          <w:rFonts w:ascii="Verdana" w:eastAsia="Calibri" w:hAnsi="Verdana" w:cs="Times New Roman"/>
          <w:sz w:val="21"/>
          <w:szCs w:val="21"/>
          <w:lang w:val="es-MX"/>
        </w:rPr>
        <w:t> </w:t>
      </w:r>
    </w:p>
    <w:p w14:paraId="3251545D" w14:textId="77777777" w:rsidR="00BE4F40" w:rsidRPr="007A34BF" w:rsidRDefault="00BE4F40" w:rsidP="00BE4F40">
      <w:pPr>
        <w:numPr>
          <w:ilvl w:val="0"/>
          <w:numId w:val="20"/>
        </w:numPr>
        <w:spacing w:after="0" w:line="240" w:lineRule="auto"/>
        <w:ind w:right="709"/>
        <w:contextualSpacing/>
        <w:jc w:val="both"/>
        <w:rPr>
          <w:rFonts w:ascii="Verdana" w:eastAsia="Calibri" w:hAnsi="Verdana" w:cs="Times New Roman"/>
          <w:sz w:val="21"/>
          <w:szCs w:val="21"/>
          <w:lang w:val="es-MX"/>
        </w:rPr>
      </w:pPr>
      <w:r w:rsidRPr="007A34BF">
        <w:rPr>
          <w:rFonts w:ascii="Verdana" w:eastAsia="Calibri" w:hAnsi="Verdana" w:cs="Times New Roman"/>
          <w:sz w:val="21"/>
          <w:szCs w:val="21"/>
          <w:lang w:val="es-ES"/>
        </w:rPr>
        <w:t>Una vez agotado el procedimiento anterior, la Entidad deberá pronunciarse sobre las propuestas que han sido rechazadas y las que se encuentran validas. Si este pronunciamiento, se realiza hasta las 3:00 pm, la entidad tomará la TRM que rija para el día hábil siguiente.</w:t>
      </w:r>
      <w:r w:rsidRPr="007A34BF" w:rsidDel="007C178D">
        <w:rPr>
          <w:rFonts w:ascii="Verdana" w:eastAsia="Calibri" w:hAnsi="Verdana" w:cs="Times New Roman"/>
          <w:sz w:val="21"/>
          <w:szCs w:val="21"/>
          <w:lang w:val="es-ES"/>
        </w:rPr>
        <w:t xml:space="preserve"> </w:t>
      </w:r>
      <w:r w:rsidRPr="007A34BF">
        <w:rPr>
          <w:rFonts w:ascii="Verdana" w:eastAsia="Calibri" w:hAnsi="Verdana" w:cs="Times New Roman"/>
          <w:sz w:val="21"/>
          <w:szCs w:val="21"/>
          <w:lang w:val="es-ES"/>
        </w:rPr>
        <w:t>En caso contrario, cuando el pronunciamiento se dé después de las 3:00 pm, la entidad tomará la TRM que rija para el segundo día hábil siguiente.</w:t>
      </w:r>
    </w:p>
    <w:p w14:paraId="751E320C" w14:textId="77777777" w:rsidR="00BE4F40" w:rsidRPr="007A34BF" w:rsidRDefault="00BE4F40" w:rsidP="00BE4F40">
      <w:pPr>
        <w:spacing w:after="0" w:line="240" w:lineRule="auto"/>
        <w:ind w:left="1429" w:right="709"/>
        <w:contextualSpacing/>
        <w:jc w:val="both"/>
        <w:rPr>
          <w:rFonts w:ascii="Verdana" w:eastAsia="Calibri" w:hAnsi="Verdana" w:cs="Times New Roman"/>
          <w:sz w:val="21"/>
          <w:szCs w:val="21"/>
          <w:lang w:val="es-MX"/>
        </w:rPr>
      </w:pPr>
    </w:p>
    <w:p w14:paraId="2272F464"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rPr>
        <w:t>En este sentido, atendiendo a las circunstancias anteriores y las particularidades de cada caso, la entidad podrá optar por suspender la audiencia y reiniciarla cuando lo considere conveniente.</w:t>
      </w:r>
    </w:p>
    <w:p w14:paraId="2F1667E3"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rPr>
        <w:lastRenderedPageBreak/>
        <w:t>Una vez definido el método de ponderación de la oferta económica el mismo seguirá rigiendo aun cuando la entidad deba suspender la audiencia.</w:t>
      </w:r>
    </w:p>
    <w:p w14:paraId="099C34DA"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rPr>
        <w:t>Al momento de definir o modificar el cronograma del Proceso de Contratación la entidad deberá verificar que el día hábil siguiente a la fecha de apertura de las ofertas económicas no corresponda a un día festivo en Estados Unidos, con el objetivo de no afectar el proceso de definición del método de ponderación de las propuestas.</w:t>
      </w:r>
      <w:r w:rsidRPr="007A34BF">
        <w:rPr>
          <w:rFonts w:ascii="Verdana" w:eastAsia="Calibri" w:hAnsi="Verdana" w:cs="Times New Roman"/>
          <w:sz w:val="21"/>
          <w:szCs w:val="21"/>
          <w:lang w:val="es-MX"/>
        </w:rPr>
        <w:t> </w:t>
      </w:r>
    </w:p>
    <w:p w14:paraId="48A44A50"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lang w:val="es-MX"/>
        </w:rPr>
        <w:t>El método de ponderación se determinará de acuerdo con los rangos del siguiente cuadro: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3"/>
        <w:gridCol w:w="1109"/>
        <w:gridCol w:w="2503"/>
      </w:tblGrid>
      <w:tr w:rsidR="00BE4F40" w:rsidRPr="007A34BF" w14:paraId="74D7C0C1" w14:textId="77777777" w:rsidTr="006A0A66">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61C3C4F7" w14:textId="77777777" w:rsidR="00BE4F40" w:rsidRPr="007A34BF" w:rsidRDefault="00BE4F40" w:rsidP="006A0A66">
            <w:pPr>
              <w:spacing w:after="0" w:line="276" w:lineRule="auto"/>
              <w:jc w:val="center"/>
              <w:rPr>
                <w:rFonts w:ascii="Verdana" w:eastAsia="Arial,Calibri" w:hAnsi="Verdana" w:cs="Arial"/>
                <w:b/>
                <w:bCs/>
                <w:color w:val="FFFFFF"/>
                <w:sz w:val="20"/>
                <w:szCs w:val="20"/>
              </w:rPr>
            </w:pPr>
            <w:r w:rsidRPr="007A34BF">
              <w:rPr>
                <w:rFonts w:ascii="Verdana" w:eastAsia="Calibri" w:hAnsi="Verdana" w:cs="Arial"/>
                <w:b/>
                <w:bCs/>
                <w:color w:val="FFFFFF"/>
                <w:sz w:val="20"/>
                <w:szCs w:val="20"/>
              </w:rPr>
              <w:t>Rango</w:t>
            </w:r>
            <w:r w:rsidRPr="007A34BF">
              <w:rPr>
                <w:rFonts w:ascii="Verdana" w:eastAsia="Arial,Calibri" w:hAnsi="Verdana" w:cs="Arial"/>
                <w:b/>
                <w:bCs/>
                <w:color w:val="FFFFFF"/>
                <w:sz w:val="20"/>
                <w:szCs w:val="20"/>
              </w:rPr>
              <w:t xml:space="preserve"> </w:t>
            </w:r>
            <w:r w:rsidRPr="007A34BF">
              <w:rPr>
                <w:rFonts w:ascii="Verdana" w:eastAsia="Calibri" w:hAnsi="Verdana" w:cs="Arial"/>
                <w:b/>
                <w:bCs/>
                <w:color w:val="FFFFFF"/>
                <w:sz w:val="20"/>
                <w:szCs w:val="20"/>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2E6812C5" w14:textId="77777777" w:rsidR="00BE4F40" w:rsidRPr="007A34BF" w:rsidRDefault="00BE4F40" w:rsidP="006A0A66">
            <w:pPr>
              <w:spacing w:after="0" w:line="276" w:lineRule="auto"/>
              <w:jc w:val="center"/>
              <w:rPr>
                <w:rFonts w:ascii="Verdana" w:eastAsia="Arial,Calibri" w:hAnsi="Verdana" w:cs="Arial"/>
                <w:b/>
                <w:bCs/>
                <w:color w:val="FFFFFF"/>
                <w:sz w:val="20"/>
                <w:szCs w:val="20"/>
              </w:rPr>
            </w:pPr>
            <w:r w:rsidRPr="007A34BF">
              <w:rPr>
                <w:rFonts w:ascii="Verdana" w:eastAsia="Calibri" w:hAnsi="Verdana" w:cs="Arial"/>
                <w:b/>
                <w:bCs/>
                <w:color w:val="FFFFFF"/>
                <w:sz w:val="20"/>
                <w:szCs w:val="20"/>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69A4DDA4" w14:textId="77777777" w:rsidR="00BE4F40" w:rsidRPr="007A34BF" w:rsidRDefault="00BE4F40" w:rsidP="006A0A66">
            <w:pPr>
              <w:spacing w:after="0" w:line="276" w:lineRule="auto"/>
              <w:jc w:val="center"/>
              <w:rPr>
                <w:rFonts w:ascii="Verdana" w:eastAsia="Arial,Calibri" w:hAnsi="Verdana" w:cs="Arial"/>
                <w:b/>
                <w:bCs/>
                <w:color w:val="FFFFFF"/>
                <w:sz w:val="20"/>
                <w:szCs w:val="20"/>
              </w:rPr>
            </w:pPr>
            <w:r w:rsidRPr="007A34BF">
              <w:rPr>
                <w:rFonts w:ascii="Verdana" w:eastAsia="Calibri" w:hAnsi="Verdana" w:cs="Arial"/>
                <w:b/>
                <w:bCs/>
                <w:color w:val="FFFFFF"/>
                <w:sz w:val="20"/>
                <w:szCs w:val="20"/>
              </w:rPr>
              <w:t>Método</w:t>
            </w:r>
          </w:p>
        </w:tc>
      </w:tr>
      <w:tr w:rsidR="00BE4F40" w:rsidRPr="007A34BF" w14:paraId="6C69621F" w14:textId="77777777" w:rsidTr="006A0A66">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40AA6B3" w14:textId="77777777" w:rsidR="00BE4F40" w:rsidRPr="007A34BF" w:rsidRDefault="00BE4F40" w:rsidP="006A0A66">
            <w:pPr>
              <w:spacing w:after="0" w:line="276" w:lineRule="auto"/>
              <w:jc w:val="center"/>
              <w:rPr>
                <w:rFonts w:ascii="Verdana" w:eastAsia="Calibri" w:hAnsi="Verdana" w:cs="Arial"/>
                <w:sz w:val="20"/>
                <w:szCs w:val="20"/>
                <w:lang w:val="es-ES" w:eastAsia="es-CO"/>
              </w:rPr>
            </w:pPr>
            <w:r w:rsidRPr="007A34BF">
              <w:rPr>
                <w:rFonts w:ascii="Verdana" w:eastAsia="Calibri" w:hAnsi="Verdana" w:cs="Arial"/>
                <w:sz w:val="20"/>
                <w:szCs w:val="20"/>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77A9DACB" w14:textId="77777777" w:rsidR="00BE4F40" w:rsidRPr="007A34BF" w:rsidRDefault="00BE4F40" w:rsidP="006A0A66">
            <w:pPr>
              <w:spacing w:after="0" w:line="276" w:lineRule="auto"/>
              <w:jc w:val="center"/>
              <w:rPr>
                <w:rFonts w:ascii="Verdana" w:eastAsia="Arial,Times New Roman" w:hAnsi="Verdana" w:cs="Arial"/>
                <w:sz w:val="20"/>
                <w:szCs w:val="20"/>
                <w:lang w:val="es-ES" w:eastAsia="es-CO"/>
              </w:rPr>
            </w:pPr>
            <w:r w:rsidRPr="007A34BF">
              <w:rPr>
                <w:rFonts w:ascii="Verdana" w:eastAsia="Calibri" w:hAnsi="Verdana" w:cs="Arial"/>
                <w:sz w:val="20"/>
                <w:szCs w:val="20"/>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4A3B9FAC" w14:textId="77777777" w:rsidR="00BE4F40" w:rsidRPr="007A34BF" w:rsidRDefault="00BE4F40" w:rsidP="006A0A66">
            <w:pPr>
              <w:spacing w:after="0" w:line="276" w:lineRule="auto"/>
              <w:jc w:val="center"/>
              <w:rPr>
                <w:rFonts w:ascii="Verdana" w:eastAsia="Arial,Times New Roman" w:hAnsi="Verdana" w:cs="Arial"/>
                <w:sz w:val="20"/>
                <w:szCs w:val="20"/>
                <w:lang w:val="es-ES" w:eastAsia="es-CO"/>
              </w:rPr>
            </w:pPr>
            <w:r w:rsidRPr="007A34BF">
              <w:rPr>
                <w:rFonts w:ascii="Verdana" w:eastAsia="Calibri" w:hAnsi="Verdana" w:cs="Arial"/>
                <w:sz w:val="20"/>
                <w:szCs w:val="20"/>
                <w:lang w:val="es-ES" w:eastAsia="es-CO"/>
              </w:rPr>
              <w:t>Mediana con valor absoluto</w:t>
            </w:r>
          </w:p>
        </w:tc>
      </w:tr>
      <w:tr w:rsidR="00BE4F40" w:rsidRPr="007A34BF" w14:paraId="57B42856" w14:textId="77777777" w:rsidTr="006A0A66">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21E63AE5" w14:textId="77777777" w:rsidR="00BE4F40" w:rsidRPr="007A34BF" w:rsidRDefault="00BE4F40" w:rsidP="006A0A66">
            <w:pPr>
              <w:spacing w:after="0" w:line="276" w:lineRule="auto"/>
              <w:jc w:val="center"/>
              <w:rPr>
                <w:rFonts w:ascii="Verdana" w:eastAsia="Calibri" w:hAnsi="Verdana" w:cs="Arial"/>
                <w:sz w:val="20"/>
                <w:szCs w:val="20"/>
                <w:lang w:val="es-ES" w:eastAsia="es-CO"/>
              </w:rPr>
            </w:pPr>
            <w:r w:rsidRPr="007A34BF">
              <w:rPr>
                <w:rFonts w:ascii="Verdana" w:eastAsia="Calibri" w:hAnsi="Verdana" w:cs="Arial"/>
                <w:sz w:val="20"/>
                <w:szCs w:val="20"/>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186E31F2" w14:textId="77777777" w:rsidR="00BE4F40" w:rsidRPr="007A34BF" w:rsidRDefault="00BE4F40" w:rsidP="006A0A66">
            <w:pPr>
              <w:spacing w:after="0" w:line="276" w:lineRule="auto"/>
              <w:jc w:val="center"/>
              <w:rPr>
                <w:rFonts w:ascii="Verdana" w:eastAsia="Arial,Times New Roman" w:hAnsi="Verdana" w:cs="Arial"/>
                <w:sz w:val="20"/>
                <w:szCs w:val="20"/>
                <w:lang w:val="es-ES" w:eastAsia="es-CO"/>
              </w:rPr>
            </w:pPr>
            <w:r w:rsidRPr="007A34BF">
              <w:rPr>
                <w:rFonts w:ascii="Verdana" w:eastAsia="Arial,Times New Roman" w:hAnsi="Verdana" w:cs="Arial"/>
                <w:sz w:val="20"/>
                <w:szCs w:val="20"/>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567EC0B8" w14:textId="77777777" w:rsidR="00BE4F40" w:rsidRPr="007A34BF" w:rsidRDefault="00BE4F40" w:rsidP="006A0A66">
            <w:pPr>
              <w:spacing w:after="0" w:line="276" w:lineRule="auto"/>
              <w:jc w:val="center"/>
              <w:rPr>
                <w:rFonts w:ascii="Verdana" w:eastAsia="Arial,Times New Roman" w:hAnsi="Verdana" w:cs="Arial"/>
                <w:sz w:val="20"/>
                <w:szCs w:val="20"/>
                <w:lang w:val="es-ES" w:eastAsia="es-CO"/>
              </w:rPr>
            </w:pPr>
            <w:r w:rsidRPr="007A34BF">
              <w:rPr>
                <w:rFonts w:ascii="Verdana" w:eastAsia="Calibri" w:hAnsi="Verdana" w:cs="Arial"/>
                <w:sz w:val="20"/>
                <w:szCs w:val="20"/>
                <w:lang w:val="es-ES" w:eastAsia="es-CO"/>
              </w:rPr>
              <w:t>Media geométrica</w:t>
            </w:r>
          </w:p>
        </w:tc>
      </w:tr>
      <w:tr w:rsidR="00BE4F40" w:rsidRPr="007A34BF" w14:paraId="0D566752" w14:textId="77777777" w:rsidTr="006A0A66">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357C4EBF" w14:textId="77777777" w:rsidR="00BE4F40" w:rsidRPr="007A34BF" w:rsidRDefault="00BE4F40" w:rsidP="006A0A66">
            <w:pPr>
              <w:spacing w:after="0" w:line="276" w:lineRule="auto"/>
              <w:jc w:val="center"/>
              <w:rPr>
                <w:rFonts w:ascii="Verdana" w:eastAsia="Calibri" w:hAnsi="Verdana" w:cs="Arial"/>
                <w:sz w:val="20"/>
                <w:szCs w:val="20"/>
                <w:lang w:val="es-ES" w:eastAsia="es-CO"/>
              </w:rPr>
            </w:pPr>
            <w:r w:rsidRPr="007A34BF">
              <w:rPr>
                <w:rFonts w:ascii="Verdana" w:eastAsia="Calibri" w:hAnsi="Verdana" w:cs="Arial"/>
                <w:sz w:val="20"/>
                <w:szCs w:val="20"/>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7CE5D79D" w14:textId="77777777" w:rsidR="00BE4F40" w:rsidRPr="007A34BF" w:rsidRDefault="00BE4F40" w:rsidP="006A0A66">
            <w:pPr>
              <w:spacing w:after="0" w:line="276" w:lineRule="auto"/>
              <w:jc w:val="center"/>
              <w:rPr>
                <w:rFonts w:ascii="Verdana" w:eastAsia="Calibri" w:hAnsi="Verdana" w:cs="Arial"/>
                <w:sz w:val="20"/>
                <w:szCs w:val="20"/>
                <w:lang w:val="es-ES" w:eastAsia="es-CO"/>
              </w:rPr>
            </w:pPr>
            <w:r w:rsidRPr="007A34BF">
              <w:rPr>
                <w:rFonts w:ascii="Verdana" w:eastAsia="Calibri" w:hAnsi="Verdana" w:cs="Arial"/>
                <w:sz w:val="20"/>
                <w:szCs w:val="20"/>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188DA743" w14:textId="77777777" w:rsidR="00BE4F40" w:rsidRPr="007A34BF" w:rsidRDefault="00BE4F40" w:rsidP="006A0A66">
            <w:pPr>
              <w:spacing w:after="0" w:line="276" w:lineRule="auto"/>
              <w:jc w:val="center"/>
              <w:rPr>
                <w:rFonts w:ascii="Verdana" w:eastAsia="Calibri" w:hAnsi="Verdana" w:cs="Arial"/>
                <w:sz w:val="20"/>
                <w:szCs w:val="20"/>
                <w:lang w:val="es-ES" w:eastAsia="es-CO"/>
              </w:rPr>
            </w:pPr>
            <w:r w:rsidRPr="007A34BF">
              <w:rPr>
                <w:rFonts w:ascii="Verdana" w:eastAsia="Calibri" w:hAnsi="Verdana" w:cs="Arial"/>
                <w:sz w:val="20"/>
                <w:szCs w:val="20"/>
                <w:lang w:val="es-ES" w:eastAsia="es-CO"/>
              </w:rPr>
              <w:t>Media aritmética baja</w:t>
            </w:r>
          </w:p>
        </w:tc>
      </w:tr>
      <w:tr w:rsidR="00BE4F40" w:rsidRPr="007A34BF" w14:paraId="5E1B24F2" w14:textId="77777777" w:rsidTr="006A0A66">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46C66E2F" w14:textId="77777777" w:rsidR="00BE4F40" w:rsidRPr="007A34BF" w:rsidRDefault="00BE4F40" w:rsidP="006A0A66">
            <w:pPr>
              <w:spacing w:after="0" w:line="276" w:lineRule="auto"/>
              <w:jc w:val="center"/>
              <w:rPr>
                <w:rFonts w:ascii="Verdana" w:eastAsia="Calibri" w:hAnsi="Verdana" w:cs="Arial"/>
                <w:sz w:val="20"/>
                <w:szCs w:val="20"/>
                <w:lang w:val="es-ES" w:eastAsia="es-CO"/>
              </w:rPr>
            </w:pPr>
            <w:r w:rsidRPr="007A34BF">
              <w:rPr>
                <w:rFonts w:ascii="Verdana" w:eastAsia="Calibri" w:hAnsi="Verdana" w:cs="Arial"/>
                <w:sz w:val="20"/>
                <w:szCs w:val="20"/>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457DE029" w14:textId="77777777" w:rsidR="00BE4F40" w:rsidRPr="007A34BF" w:rsidRDefault="00BE4F40" w:rsidP="006A0A66">
            <w:pPr>
              <w:spacing w:after="0" w:line="276" w:lineRule="auto"/>
              <w:jc w:val="center"/>
              <w:rPr>
                <w:rFonts w:ascii="Verdana" w:eastAsia="Calibri" w:hAnsi="Verdana" w:cs="Arial"/>
                <w:sz w:val="20"/>
                <w:szCs w:val="20"/>
                <w:lang w:val="es-ES" w:eastAsia="es-CO"/>
              </w:rPr>
            </w:pPr>
            <w:r w:rsidRPr="007A34BF">
              <w:rPr>
                <w:rFonts w:ascii="Verdana" w:eastAsia="Calibri" w:hAnsi="Verdana" w:cs="Arial"/>
                <w:sz w:val="20"/>
                <w:szCs w:val="20"/>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090D4BA1" w14:textId="77777777" w:rsidR="00BE4F40" w:rsidRPr="007A34BF" w:rsidRDefault="00BE4F40" w:rsidP="006A0A66">
            <w:pPr>
              <w:spacing w:after="0" w:line="276" w:lineRule="auto"/>
              <w:jc w:val="center"/>
              <w:rPr>
                <w:rFonts w:ascii="Verdana" w:eastAsia="Calibri" w:hAnsi="Verdana" w:cs="Arial"/>
                <w:sz w:val="20"/>
                <w:szCs w:val="20"/>
                <w:lang w:val="es-ES" w:eastAsia="es-CO"/>
              </w:rPr>
            </w:pPr>
            <w:r w:rsidRPr="007A34BF">
              <w:rPr>
                <w:rFonts w:ascii="Verdana" w:eastAsia="Calibri" w:hAnsi="Verdana" w:cs="Arial"/>
                <w:sz w:val="20"/>
                <w:szCs w:val="20"/>
                <w:lang w:val="es-ES" w:eastAsia="es-CO"/>
              </w:rPr>
              <w:t>Menor valor</w:t>
            </w:r>
          </w:p>
        </w:tc>
      </w:tr>
    </w:tbl>
    <w:p w14:paraId="5265405D" w14:textId="77777777" w:rsidR="00BE4F40" w:rsidRPr="007A34BF" w:rsidRDefault="00BE4F40" w:rsidP="00BE4F40">
      <w:pPr>
        <w:ind w:right="709"/>
        <w:jc w:val="both"/>
        <w:rPr>
          <w:rFonts w:ascii="Verdana" w:eastAsia="Calibri" w:hAnsi="Verdana" w:cs="Times New Roman"/>
          <w:sz w:val="21"/>
          <w:szCs w:val="21"/>
          <w:lang w:val="es-MX"/>
        </w:rPr>
      </w:pPr>
    </w:p>
    <w:p w14:paraId="11631192"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lang w:val="es-MX"/>
        </w:rPr>
        <w:t>En todos los casos se tendrá en cuenta hasta el séptimo (7°) decimal del valor obtenido como puntaje y las fórmulas se aplicarán con las propuestas que no han sido rechazadas y se encuentran válidas.</w:t>
      </w:r>
    </w:p>
    <w:p w14:paraId="20A5C317" w14:textId="77777777" w:rsidR="00BE4F40" w:rsidRPr="007A34BF" w:rsidRDefault="00BE4F40" w:rsidP="00BE4F40">
      <w:pPr>
        <w:spacing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highlight w:val="lightGray"/>
          <w:lang w:val="es-MX"/>
        </w:rPr>
        <w:t>[En los procesos de contratación estructurados por lotes, la TRM definirá el método con el cual se asignará el puntaje para el primer lote o segmento a adjudicar, según el orden definido por la entidad. Para la adjudicación del segundo lote o segmento se tomará el siguiente método de acuerdo con la tabla anterior, en orden ascendente de acuerdo con la numeración definida para los rangos, y así sucesivamente; teniendo en cuenta que se reiniciará desde el primer método en caso de agotarse el último método]</w:t>
      </w:r>
    </w:p>
    <w:p w14:paraId="123A13EA" w14:textId="77777777" w:rsidR="00BE4F40" w:rsidRPr="007A34BF" w:rsidRDefault="00BE4F40" w:rsidP="00BE4F40">
      <w:pPr>
        <w:spacing w:after="0" w:line="240" w:lineRule="auto"/>
        <w:ind w:left="709" w:right="709"/>
        <w:jc w:val="both"/>
        <w:rPr>
          <w:rFonts w:ascii="Verdana" w:eastAsia="Calibri" w:hAnsi="Verdana" w:cs="Times New Roman"/>
          <w:sz w:val="21"/>
          <w:szCs w:val="21"/>
          <w:lang w:val="es-MX"/>
        </w:rPr>
      </w:pPr>
      <w:r w:rsidRPr="007A34BF">
        <w:rPr>
          <w:rFonts w:ascii="Verdana" w:eastAsia="Calibri" w:hAnsi="Verdana" w:cs="Times New Roman"/>
          <w:sz w:val="21"/>
          <w:szCs w:val="21"/>
          <w:lang w:val="es-MX"/>
        </w:rPr>
        <w:t>Las propuestas que al aplicar las fórmulas obtengan puntajes negativos obtienen cero (0) puntos en la oferta económica”.</w:t>
      </w:r>
    </w:p>
    <w:p w14:paraId="591AA138" w14:textId="77777777" w:rsidR="00BE4F40" w:rsidRPr="007A34BF" w:rsidRDefault="00BE4F40" w:rsidP="00BE4F40">
      <w:pPr>
        <w:spacing w:after="0"/>
        <w:ind w:left="709" w:right="709"/>
        <w:jc w:val="both"/>
        <w:rPr>
          <w:rFonts w:ascii="Verdana" w:eastAsia="Calibri" w:hAnsi="Verdana" w:cs="Times New Roman"/>
          <w:lang w:val="es-MX"/>
        </w:rPr>
      </w:pPr>
    </w:p>
    <w:p w14:paraId="6DA7B76F" w14:textId="77777777" w:rsidR="00BE4F40" w:rsidRPr="007A34BF" w:rsidRDefault="00BE4F40" w:rsidP="00BE4F40">
      <w:pPr>
        <w:snapToGrid w:val="0"/>
        <w:spacing w:after="120" w:line="276" w:lineRule="auto"/>
        <w:ind w:firstLine="709"/>
        <w:jc w:val="both"/>
        <w:textAlignment w:val="baseline"/>
        <w:rPr>
          <w:rFonts w:ascii="Verdana" w:eastAsia="Times New Roman" w:hAnsi="Verdana" w:cs="Arial"/>
          <w:lang w:val="es-ES" w:eastAsia="es-CO"/>
        </w:rPr>
      </w:pPr>
      <w:r w:rsidRPr="007A34BF">
        <w:rPr>
          <w:rFonts w:ascii="Verdana" w:eastAsia="Times New Roman" w:hAnsi="Verdana" w:cs="Arial"/>
          <w:lang w:val="es-ES" w:eastAsia="es-CO"/>
        </w:rPr>
        <w:t xml:space="preserve">Debe advertirse entonces que, el numeral 4.1.4 establece que el día de la audiencia efectiva de adjudicación, la entidad responderá y resolverá las observaciones presentadas al informe de evaluación y dará apertura de las </w:t>
      </w:r>
      <w:r w:rsidRPr="007A34BF">
        <w:rPr>
          <w:rFonts w:ascii="Verdana" w:eastAsia="Times New Roman" w:hAnsi="Verdana" w:cs="Arial"/>
          <w:lang w:val="es-ES" w:eastAsia="es-CO"/>
        </w:rPr>
        <w:lastRenderedPageBreak/>
        <w:t>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56351236" w14:textId="77777777" w:rsidR="00BE4F40" w:rsidRPr="007A34BF" w:rsidRDefault="00BE4F40" w:rsidP="00BE4F40">
      <w:pPr>
        <w:snapToGrid w:val="0"/>
        <w:spacing w:after="120" w:line="276" w:lineRule="auto"/>
        <w:ind w:firstLine="709"/>
        <w:jc w:val="both"/>
        <w:textAlignment w:val="baseline"/>
        <w:rPr>
          <w:rFonts w:ascii="Verdana" w:eastAsia="Times New Roman" w:hAnsi="Verdana" w:cs="Arial"/>
          <w:lang w:val="es-ES" w:eastAsia="es-CO"/>
        </w:rPr>
      </w:pPr>
      <w:r w:rsidRPr="007A34BF">
        <w:rPr>
          <w:rFonts w:ascii="Verdana" w:eastAsia="Times New Roman" w:hAnsi="Verdana" w:cs="Arial"/>
          <w:lang w:val="es-ES" w:eastAsia="es-CO"/>
        </w:rPr>
        <w:t>En este sentido, si la entidad, en desarrollo de su deber de análisis de que trata el artículo 2.2.1.1.1.6.1 del Decreto 1082 de 2015, advierte que el valor de una oferta parece artificialmente bajo, deberá requerir al oferente para que explique las razones que sustentan el valor ofrecido. Por el contrario, si no observa ninguna oferta artificialmente baja, no tendrá que hacer ningún requerimiento al respecto y continuará con el proceso de selección.</w:t>
      </w:r>
    </w:p>
    <w:p w14:paraId="4D08893E" w14:textId="77777777" w:rsidR="00BE4F40" w:rsidRDefault="00BE4F40" w:rsidP="00BE4F40">
      <w:pPr>
        <w:snapToGrid w:val="0"/>
        <w:spacing w:after="0" w:line="276" w:lineRule="auto"/>
        <w:ind w:firstLine="709"/>
        <w:jc w:val="both"/>
        <w:textAlignment w:val="baseline"/>
        <w:rPr>
          <w:rFonts w:ascii="Verdana" w:eastAsia="Times New Roman" w:hAnsi="Verdana" w:cs="Arial"/>
          <w:lang w:val="es-ES" w:eastAsia="es-CO"/>
        </w:rPr>
      </w:pPr>
      <w:r w:rsidRPr="007A34BF">
        <w:rPr>
          <w:rFonts w:ascii="Verdana" w:eastAsia="Times New Roman" w:hAnsi="Verdana" w:cs="Arial"/>
          <w:lang w:val="es-ES" w:eastAsia="es-CO"/>
        </w:rPr>
        <w:t>Sin perjuicio de lo anterior, corresponderá a cada entidad estatal tomar las medidas más adecuadas, de acuerdo con las circunstancias particulares relacionadas con cada proceso contractual, con la finalidad de adelantar de la mejor manera posible sus procedimientos de selección, optando por aquellas que mejor garanticen los principios de la contratación estatal.</w:t>
      </w:r>
    </w:p>
    <w:p w14:paraId="5B85F161" w14:textId="77777777" w:rsidR="00BE4F40" w:rsidRPr="00B860FF" w:rsidRDefault="00BE4F40" w:rsidP="00BE4F40">
      <w:pPr>
        <w:spacing w:before="120" w:after="120" w:line="276" w:lineRule="auto"/>
        <w:jc w:val="both"/>
        <w:rPr>
          <w:rFonts w:ascii="Verdana" w:hAnsi="Verdana" w:cs="Arial"/>
          <w:lang w:val="es-ES"/>
        </w:rPr>
      </w:pPr>
      <w:bookmarkStart w:id="6" w:name="_Hlk80082107"/>
      <w:r>
        <w:rPr>
          <w:rFonts w:ascii="Verdana" w:eastAsia="Times New Roman" w:hAnsi="Verdana" w:cs="Arial"/>
          <w:lang w:val="es-ES" w:eastAsia="es-CO"/>
        </w:rPr>
        <w:t xml:space="preserve">II). </w:t>
      </w:r>
      <w:r w:rsidRPr="00B860FF">
        <w:rPr>
          <w:rFonts w:ascii="Verdana" w:hAnsi="Verdana" w:cs="Arial"/>
          <w:lang w:val="es-ES"/>
        </w:rPr>
        <w:t>La audiencia de adjudicación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r w:rsidRPr="00B860FF">
        <w:rPr>
          <w:rStyle w:val="Refdenotaalpie"/>
          <w:rFonts w:ascii="Verdana" w:hAnsi="Verdana" w:cs="Arial"/>
          <w:lang w:val="es-ES"/>
        </w:rPr>
        <w:footnoteReference w:id="3"/>
      </w:r>
      <w:r w:rsidRPr="00B860FF">
        <w:rPr>
          <w:rFonts w:ascii="Verdana" w:hAnsi="Verdana" w:cs="Arial"/>
          <w:lang w:val="es-ES"/>
        </w:rPr>
        <w:t>.</w:t>
      </w:r>
    </w:p>
    <w:bookmarkEnd w:id="6"/>
    <w:p w14:paraId="3C89F89F" w14:textId="77777777" w:rsidR="00BE4F40" w:rsidRPr="00B860FF" w:rsidRDefault="00BE4F40" w:rsidP="00BE4F40">
      <w:pPr>
        <w:spacing w:before="120" w:after="120" w:line="276" w:lineRule="auto"/>
        <w:ind w:firstLine="709"/>
        <w:jc w:val="both"/>
        <w:rPr>
          <w:rFonts w:ascii="Verdana" w:hAnsi="Verdana" w:cs="Arial"/>
          <w:lang w:val="es-ES"/>
        </w:rPr>
      </w:pPr>
      <w:r w:rsidRPr="00B860FF">
        <w:rPr>
          <w:rFonts w:ascii="Verdana" w:hAnsi="Verdana" w:cs="Arial"/>
          <w:lang w:val="es-ES"/>
        </w:rPr>
        <w:t xml:space="preserve">Dicho artículo constitucional consagró una regla relativa a la publicidad de la audiencia de adjudicación por la cual, a solicitud de cualquier proponente, el Contralor General de la República y demás autoridades de control fiscal pueden ordenar que el acto de adjudicación de una licitación se lleve a cabo en audiencia pública. Asimismo, defirió a la ley la competencia para regular aspectos puntuales sobre la audiencia de adjudicación, como la forma de evaluar las </w:t>
      </w:r>
      <w:r w:rsidRPr="00B860FF">
        <w:rPr>
          <w:rFonts w:ascii="Verdana" w:hAnsi="Verdana" w:cs="Arial"/>
          <w:lang w:val="es-ES"/>
        </w:rPr>
        <w:lastRenderedPageBreak/>
        <w:t xml:space="preserve">propuestas y las condiciones bajo las cuales se realizaría la audiencia pública. Sobre el tema, la Ley 80 de 1993, en el artículo 30, estableció la estructura del procedimiento de selección, señalando que en la audiencia pública podrán intervenir: i) servidores públicos o contratistas que apoyaron en la estructuración del análisis del sector, estudios previos, pliego y evaluaciones, entre otros, </w:t>
      </w:r>
      <w:proofErr w:type="spellStart"/>
      <w:r w:rsidRPr="00B860FF">
        <w:rPr>
          <w:rFonts w:ascii="Verdana" w:hAnsi="Verdana" w:cs="Arial"/>
          <w:lang w:val="es-ES"/>
        </w:rPr>
        <w:t>ii</w:t>
      </w:r>
      <w:proofErr w:type="spellEnd"/>
      <w:r w:rsidRPr="00B860FF">
        <w:rPr>
          <w:rFonts w:ascii="Verdana" w:hAnsi="Verdana" w:cs="Arial"/>
          <w:lang w:val="es-ES"/>
        </w:rPr>
        <w:t xml:space="preserve">) oferentes o proponentes y </w:t>
      </w:r>
      <w:proofErr w:type="spellStart"/>
      <w:r w:rsidRPr="00B860FF">
        <w:rPr>
          <w:rFonts w:ascii="Verdana" w:hAnsi="Verdana" w:cs="Arial"/>
          <w:lang w:val="es-ES"/>
        </w:rPr>
        <w:t>iii</w:t>
      </w:r>
      <w:proofErr w:type="spellEnd"/>
      <w:r w:rsidRPr="00B860FF">
        <w:rPr>
          <w:rFonts w:ascii="Verdana" w:hAnsi="Verdana" w:cs="Arial"/>
          <w:lang w:val="es-ES"/>
        </w:rPr>
        <w:t>) otras personas que deseen asistir</w:t>
      </w:r>
      <w:r w:rsidRPr="00B860FF">
        <w:rPr>
          <w:rStyle w:val="Refdenotaalpie"/>
          <w:rFonts w:ascii="Verdana" w:hAnsi="Verdana" w:cs="Arial"/>
          <w:lang w:val="es-ES"/>
        </w:rPr>
        <w:footnoteReference w:id="4"/>
      </w:r>
      <w:r w:rsidRPr="00B860FF">
        <w:rPr>
          <w:rFonts w:ascii="Verdana" w:hAnsi="Verdana" w:cs="Arial"/>
          <w:lang w:val="es-ES"/>
        </w:rPr>
        <w:t>. Sin embargo, además de los sujetos señalados, como se observará, los oferentes pueden designar personas para que intervengan en la audiencia de adjudicación.</w:t>
      </w:r>
    </w:p>
    <w:p w14:paraId="1413B233" w14:textId="77777777" w:rsidR="00BE4F40" w:rsidRDefault="00BE4F40" w:rsidP="00BE4F40">
      <w:pPr>
        <w:spacing w:before="120" w:line="276" w:lineRule="auto"/>
        <w:ind w:firstLine="709"/>
        <w:jc w:val="both"/>
        <w:rPr>
          <w:rFonts w:ascii="Verdana" w:hAnsi="Verdana" w:cs="Arial"/>
          <w:lang w:val="es-ES"/>
        </w:rPr>
      </w:pPr>
      <w:r w:rsidRPr="00B860FF">
        <w:rPr>
          <w:rFonts w:ascii="Verdana" w:hAnsi="Verdana" w:cs="Arial"/>
          <w:lang w:val="es-ES"/>
        </w:rPr>
        <w:t>Posteriormente, el legislador reguló este asunto en la Ley 1150 de 2007, cuyo artículo 9 reguló la etapa de adjudicación como la fase final de los procesos de selección de contratistas del Estado</w:t>
      </w:r>
      <w:r w:rsidRPr="00B860FF">
        <w:rPr>
          <w:rStyle w:val="Refdenotaalpie"/>
          <w:rFonts w:ascii="Verdana" w:hAnsi="Verdana" w:cs="Arial"/>
          <w:lang w:val="es-ES"/>
        </w:rPr>
        <w:footnoteReference w:id="5"/>
      </w:r>
      <w:r w:rsidRPr="00B860FF">
        <w:rPr>
          <w:rFonts w:ascii="Verdana" w:hAnsi="Verdana" w:cs="Arial"/>
          <w:lang w:val="es-ES"/>
        </w:rPr>
        <w:t xml:space="preserve">. La norma determinó que, en general, en los procesos de licitación pública la adjudicación se haría, obligatoriamente, en audiencia pública. </w:t>
      </w:r>
    </w:p>
    <w:p w14:paraId="52A7F81D" w14:textId="77777777" w:rsidR="00BE4F40" w:rsidRDefault="00BE4F40" w:rsidP="00BE4F40">
      <w:pPr>
        <w:spacing w:before="120" w:after="0" w:line="276" w:lineRule="auto"/>
        <w:ind w:firstLine="709"/>
        <w:jc w:val="both"/>
        <w:rPr>
          <w:rFonts w:ascii="Verdana" w:hAnsi="Verdana" w:cs="Arial"/>
          <w:lang w:val="es-ES"/>
        </w:rPr>
      </w:pPr>
      <w:r w:rsidRPr="00B860FF">
        <w:rPr>
          <w:rFonts w:ascii="Verdana" w:hAnsi="Verdana" w:cs="Arial"/>
          <w:lang w:val="es-ES"/>
        </w:rPr>
        <w:t xml:space="preserve">Igualmente, señaló que, en dicha audiencia, y de manera previa a la decisión de adjudicación, todos los interesados podrían pronunciarse sobre las decisiones adoptadas por la entidad a las observaciones planteadas al informe </w:t>
      </w:r>
      <w:r w:rsidRPr="00B860FF">
        <w:rPr>
          <w:rFonts w:ascii="Verdana" w:hAnsi="Verdana" w:cs="Arial"/>
          <w:lang w:val="es-ES"/>
        </w:rPr>
        <w:lastRenderedPageBreak/>
        <w:t>de evaluación</w:t>
      </w:r>
      <w:r>
        <w:rPr>
          <w:rFonts w:ascii="Verdana" w:hAnsi="Verdana" w:cs="Arial"/>
          <w:lang w:val="es-ES"/>
        </w:rPr>
        <w:t xml:space="preserve">. </w:t>
      </w:r>
      <w:r w:rsidRPr="00B860FF">
        <w:rPr>
          <w:rFonts w:ascii="Verdana" w:hAnsi="Verdana" w:cs="Arial"/>
          <w:lang w:val="es-ES"/>
        </w:rPr>
        <w:t xml:space="preserve">Para la Corte Constitucional, el mecanismo de publicidad de la audiencia de adjudicación es una forma de garantizar la transparencia en las decisiones de la Administración, en desarrollo de su actividad contractual. Sobre el particular, afirmó lo siguiente: </w:t>
      </w:r>
    </w:p>
    <w:p w14:paraId="10E6431C" w14:textId="77777777" w:rsidR="00BE4F40" w:rsidRPr="00B860FF" w:rsidRDefault="00BE4F40" w:rsidP="00BE4F40">
      <w:pPr>
        <w:spacing w:after="0" w:line="276" w:lineRule="auto"/>
        <w:ind w:firstLine="709"/>
        <w:jc w:val="both"/>
        <w:rPr>
          <w:rFonts w:ascii="Verdana" w:hAnsi="Verdana" w:cs="Arial"/>
          <w:lang w:val="es-ES"/>
        </w:rPr>
      </w:pPr>
    </w:p>
    <w:p w14:paraId="6CA94317" w14:textId="77777777" w:rsidR="00BE4F40" w:rsidRDefault="00BE4F40" w:rsidP="00BE4F40">
      <w:pPr>
        <w:spacing w:after="0" w:line="240" w:lineRule="auto"/>
        <w:ind w:left="709" w:right="709"/>
        <w:jc w:val="both"/>
        <w:rPr>
          <w:rFonts w:ascii="Verdana" w:hAnsi="Verdana" w:cs="Arial"/>
          <w:sz w:val="21"/>
          <w:szCs w:val="21"/>
          <w:lang w:val="es-ES"/>
        </w:rPr>
      </w:pPr>
      <w:r w:rsidRPr="00B860FF">
        <w:rPr>
          <w:rFonts w:ascii="Verdana" w:hAnsi="Verdana" w:cs="Arial"/>
          <w:sz w:val="21"/>
          <w:szCs w:val="21"/>
          <w:lang w:val="es-ES"/>
        </w:rPr>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Pr="00B860FF">
        <w:rPr>
          <w:rStyle w:val="Refdenotaalpie"/>
          <w:rFonts w:ascii="Verdana" w:hAnsi="Verdana" w:cs="Arial"/>
          <w:sz w:val="21"/>
          <w:szCs w:val="21"/>
          <w:lang w:val="es-ES"/>
        </w:rPr>
        <w:footnoteReference w:id="6"/>
      </w:r>
    </w:p>
    <w:p w14:paraId="347FB2DB" w14:textId="77777777" w:rsidR="00BE4F40" w:rsidRPr="00B860FF" w:rsidRDefault="00BE4F40" w:rsidP="00BE4F40">
      <w:pPr>
        <w:spacing w:after="0" w:line="276" w:lineRule="auto"/>
        <w:ind w:left="709" w:right="709"/>
        <w:jc w:val="both"/>
        <w:rPr>
          <w:rFonts w:ascii="Verdana" w:hAnsi="Verdana" w:cs="Arial"/>
          <w:sz w:val="21"/>
          <w:szCs w:val="21"/>
          <w:lang w:val="es-ES"/>
        </w:rPr>
      </w:pPr>
    </w:p>
    <w:p w14:paraId="21FD4BCF" w14:textId="77777777" w:rsidR="00BE4F40" w:rsidRPr="00B860FF" w:rsidRDefault="00BE4F40" w:rsidP="00BE4F40">
      <w:pPr>
        <w:spacing w:after="120" w:line="276" w:lineRule="auto"/>
        <w:ind w:firstLine="709"/>
        <w:jc w:val="both"/>
        <w:rPr>
          <w:rFonts w:ascii="Verdana" w:hAnsi="Verdana" w:cs="Arial"/>
          <w:lang w:val="es-ES"/>
        </w:rPr>
      </w:pPr>
      <w:r w:rsidRPr="00B860FF">
        <w:rPr>
          <w:rFonts w:ascii="Verdana" w:hAnsi="Verdana" w:cs="Arial"/>
          <w:lang w:val="es-ES"/>
        </w:rPr>
        <w:t xml:space="preserve">En este sentido, el artículo 2.2.1.2.1.1.2. del Decreto Único Reglamentario 1082 de 2015 señala que en la licitación hay dos audiencias públicas obligatorias: i) la de asignación de riesgos y </w:t>
      </w:r>
      <w:proofErr w:type="spellStart"/>
      <w:r w:rsidRPr="00B860FF">
        <w:rPr>
          <w:rFonts w:ascii="Verdana" w:hAnsi="Verdana" w:cs="Arial"/>
          <w:lang w:val="es-ES"/>
        </w:rPr>
        <w:t>ii</w:t>
      </w:r>
      <w:proofErr w:type="spellEnd"/>
      <w:r w:rsidRPr="00B860FF">
        <w:rPr>
          <w:rFonts w:ascii="Verdana" w:hAnsi="Verdana" w:cs="Arial"/>
          <w:lang w:val="es-ES"/>
        </w:rPr>
        <w:t>) la de adjudicación. Respecto de la última, la norma fijó las siguientes reglas procedimentales</w:t>
      </w:r>
      <w:r w:rsidRPr="00B860FF">
        <w:rPr>
          <w:rStyle w:val="Refdenotaalpie"/>
          <w:rFonts w:ascii="Verdana" w:hAnsi="Verdana" w:cs="Arial"/>
          <w:lang w:val="es-ES"/>
        </w:rPr>
        <w:footnoteReference w:id="7"/>
      </w:r>
      <w:r w:rsidRPr="00B860FF">
        <w:rPr>
          <w:rFonts w:ascii="Verdana" w:hAnsi="Verdana" w:cs="Arial"/>
          <w:lang w:val="es-ES"/>
        </w:rPr>
        <w:t xml:space="preserve">: </w:t>
      </w:r>
    </w:p>
    <w:p w14:paraId="0D520C49" w14:textId="77777777" w:rsidR="00BE4F40" w:rsidRPr="00393E7F" w:rsidRDefault="00BE4F40" w:rsidP="00BE4F40">
      <w:pPr>
        <w:spacing w:after="120" w:line="276" w:lineRule="auto"/>
        <w:ind w:firstLine="709"/>
        <w:jc w:val="both"/>
        <w:rPr>
          <w:rFonts w:ascii="Verdana" w:hAnsi="Verdana" w:cs="Arial"/>
        </w:rPr>
      </w:pPr>
      <w:r w:rsidRPr="00B860FF">
        <w:rPr>
          <w:rFonts w:ascii="Verdana" w:hAnsi="Verdana" w:cs="Arial"/>
          <w:lang w:val="es-ES"/>
        </w:rPr>
        <w:t xml:space="preserve">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w:t>
      </w:r>
      <w:r>
        <w:rPr>
          <w:rFonts w:ascii="Verdana" w:hAnsi="Verdana" w:cs="Arial"/>
          <w:lang w:val="es-ES"/>
        </w:rPr>
        <w:t>Como se observa, l</w:t>
      </w:r>
      <w:r>
        <w:rPr>
          <w:rFonts w:ascii="Verdana" w:eastAsia="Arial MT" w:hAnsi="Verdana" w:cs="Arial"/>
          <w:lang w:eastAsia="es-ES" w:bidi="es-ES"/>
        </w:rPr>
        <w:t xml:space="preserve">a norma no condiciona la intervención a un tiempo determinado, ni establece la cantidad de oportunidades en las cuales se faculta al proponente para hacerlo, pero señala la prohibición de que tal intervención no puede usarse para mejorar o modificar la oferta presentada. Adicionalmente, la norma posibilita a la entidad estatal para que, en el evento en que lo considere pertinente, suspenda la audiencia para verificar los asuntos sobre los que versen dichas intervenciones. Sin embargo, la entidad estatal, como directora del proceso de selección, podrá adoptar en su manual de contratación interno los protocolos y lineamientos que </w:t>
      </w:r>
      <w:r>
        <w:rPr>
          <w:rFonts w:ascii="Verdana" w:eastAsia="Arial MT" w:hAnsi="Verdana" w:cs="Arial"/>
          <w:lang w:eastAsia="es-ES" w:bidi="es-ES"/>
        </w:rPr>
        <w:lastRenderedPageBreak/>
        <w:t>deban observarse en las audiencias, que permitan alcanzar el sentido de la norma, cual es el de dotar de mayor transparencia y hacer más efectiva la participación en su desarrollo, definiendo las reglas de orden procedimental aplicables en las audiencias virtuales o presenciales que, por su detalle, se omitieron en la expedición del Decreto reglamentario.</w:t>
      </w:r>
    </w:p>
    <w:p w14:paraId="1FADF5F5" w14:textId="77777777" w:rsidR="00BE4F40" w:rsidRDefault="00BE4F40" w:rsidP="00BE4F40">
      <w:pPr>
        <w:spacing w:before="120" w:after="120" w:line="276" w:lineRule="auto"/>
        <w:ind w:firstLine="709"/>
        <w:jc w:val="both"/>
        <w:rPr>
          <w:rFonts w:ascii="Verdana" w:eastAsia="Arial MT" w:hAnsi="Verdana" w:cs="Arial"/>
          <w:lang w:val="es-ES_tradnl" w:eastAsia="es-ES" w:bidi="es-ES"/>
        </w:rPr>
      </w:pPr>
      <w:r w:rsidRPr="00B860FF">
        <w:rPr>
          <w:rFonts w:ascii="Verdana" w:hAnsi="Verdana" w:cs="Arial"/>
          <w:lang w:val="es-ES"/>
        </w:rPr>
        <w:t xml:space="preserve">Segundo, cuando se hagan observaciones respecto de alguna oferta, el proponente podrá responder los cuestionamientos. </w:t>
      </w:r>
      <w:r>
        <w:rPr>
          <w:rFonts w:ascii="Verdana" w:hAnsi="Verdana" w:cs="Arial"/>
          <w:lang w:val="es-ES"/>
        </w:rPr>
        <w:t xml:space="preserve">En otras palabras, </w:t>
      </w:r>
      <w:r>
        <w:rPr>
          <w:rFonts w:ascii="Verdana" w:eastAsia="Arial MT" w:hAnsi="Verdana" w:cs="Arial"/>
          <w:lang w:val="es-ES_tradnl" w:eastAsia="es-ES" w:bidi="es-ES"/>
        </w:rPr>
        <w:t xml:space="preserve">el numeral 2 establece el deber en cabeza de la entidad estatal de conceder el uso de la palabra por una única vez al oferente que solicite intervenir, con el propósito de responder a las observaciones que sobre la evaluación de su oferta hayan hecho los intervinientes. Aquí la regla sí fijó que la cantidad de intervenciones que pueda llegar a hacer el oferente para responder sobre los cuestionamientos e inquietudes que suscite su oferta en los demás interesados, será de una sola vez. De manera que no resultaría exigible que las intervenciones para estos efectos se prolonguen en el tiempo y por una cantidad plural de oportunidades para hacerlo, por cuanto los oferentes tendrán que abordar los aspectos pertinentes en una sola intervención. </w:t>
      </w:r>
    </w:p>
    <w:p w14:paraId="6FC17CA3" w14:textId="77777777" w:rsidR="00BE4F40" w:rsidRPr="00B860FF" w:rsidRDefault="00BE4F40" w:rsidP="00BE4F40">
      <w:pPr>
        <w:spacing w:before="120" w:after="120" w:line="276" w:lineRule="auto"/>
        <w:ind w:firstLine="709"/>
        <w:jc w:val="both"/>
        <w:rPr>
          <w:rFonts w:ascii="Verdana" w:hAnsi="Verdana" w:cs="Arial"/>
          <w:lang w:val="es-ES"/>
        </w:rPr>
      </w:pPr>
      <w:r>
        <w:rPr>
          <w:rFonts w:ascii="Verdana" w:eastAsia="Arial MT" w:hAnsi="Verdana" w:cs="Arial"/>
          <w:lang w:val="es-ES_tradnl" w:eastAsia="es-ES" w:bidi="es-ES"/>
        </w:rPr>
        <w:t xml:space="preserve">Tercero, en virtud del numeral 3 de la norma en cita, le corresponde a la entidad estatal establecer la duración máxima de dichas intervenciones de manera previa y verificar que quienes intervengan </w:t>
      </w:r>
      <w:r>
        <w:rPr>
          <w:rFonts w:ascii="Verdana" w:hAnsi="Verdana" w:cs="Arial"/>
          <w:lang w:val="es-ES"/>
        </w:rPr>
        <w:t>sean</w:t>
      </w:r>
      <w:r w:rsidRPr="00B860FF">
        <w:rPr>
          <w:rFonts w:ascii="Verdana" w:hAnsi="Verdana" w:cs="Arial"/>
          <w:lang w:val="es-ES"/>
        </w:rPr>
        <w:t xml:space="preserve"> los oferentes o las personas designadas previamente por estos, y dentro del tiempo que la entidad señale. Cuarto, si la entidad publicó previamente el borrador del acto de adjudicación, puede prescindir de su lectura. Finalmente, terminadas las intervenciones, la entidad adopta la decisión</w:t>
      </w:r>
      <w:r w:rsidRPr="00B860FF">
        <w:rPr>
          <w:rStyle w:val="Refdenotaalpie"/>
          <w:rFonts w:ascii="Verdana" w:hAnsi="Verdana" w:cs="Arial"/>
          <w:lang w:val="es-ES"/>
        </w:rPr>
        <w:footnoteReference w:id="8"/>
      </w:r>
      <w:r w:rsidRPr="00B860FF">
        <w:rPr>
          <w:rFonts w:ascii="Verdana" w:hAnsi="Verdana" w:cs="Arial"/>
          <w:lang w:val="es-ES"/>
        </w:rPr>
        <w:t xml:space="preserve">. </w:t>
      </w:r>
    </w:p>
    <w:p w14:paraId="6CD761BD" w14:textId="77777777" w:rsidR="00BE4F40" w:rsidRPr="00B860FF" w:rsidRDefault="00BE4F40" w:rsidP="00BE4F40">
      <w:pPr>
        <w:spacing w:before="120" w:line="276" w:lineRule="auto"/>
        <w:ind w:firstLine="709"/>
        <w:jc w:val="both"/>
        <w:rPr>
          <w:rFonts w:ascii="Verdana" w:hAnsi="Verdana" w:cs="Arial"/>
          <w:lang w:val="es-ES"/>
        </w:rPr>
      </w:pPr>
      <w:r w:rsidRPr="00B860FF">
        <w:rPr>
          <w:rFonts w:ascii="Verdana" w:hAnsi="Verdana" w:cs="Arial"/>
          <w:lang w:val="es-ES"/>
        </w:rPr>
        <w:lastRenderedPageBreak/>
        <w:t xml:space="preserve">Identificadas las reglas fijadas por el artículo citado, se advierte que se trata de directrices mínimas que ilustran el desarrollo de la audiencia de adjudicación, pero evidentemente no alcanzan a prever todos los supuestos que se pueden presentar. En todo caso, </w:t>
      </w:r>
      <w:r>
        <w:rPr>
          <w:rFonts w:ascii="Verdana" w:eastAsia="Arial MT" w:hAnsi="Verdana" w:cs="Arial"/>
          <w:lang w:val="es-ES_tradnl" w:eastAsia="es-ES" w:bidi="es-ES"/>
        </w:rPr>
        <w:t xml:space="preserve">las anteriores garantías desarrollan en parte algunos de los principios más trascendentales del EGCAP y los consagrados en el artículo 3 del CPACA como lo son el de transparencia, imparcialidad, igualdad, moralidad y selección objetiva, en razón a que permiten que se cumpla con el fin principal cual es el de seleccionar la mejor oferta para los intereses de la entidad estatal contratante lo que, en suma, exige que la entidad estatal asegure que dicha audiencia de adjudicación se desarrolle con los menores contratiempos y sin obstáculo a la participación legitima de los partícipes. </w:t>
      </w:r>
    </w:p>
    <w:p w14:paraId="1DCD787D" w14:textId="77777777" w:rsidR="00BE4F40" w:rsidRPr="00CE7DFB" w:rsidRDefault="00BE4F40" w:rsidP="00BE4F40">
      <w:pPr>
        <w:spacing w:after="0"/>
        <w:ind w:right="49"/>
        <w:jc w:val="both"/>
        <w:rPr>
          <w:rFonts w:ascii="Verdana" w:eastAsia="Calibri" w:hAnsi="Verdana" w:cs="Times New Roman"/>
          <w:lang w:val="es-MX"/>
        </w:rPr>
      </w:pPr>
      <w:r>
        <w:rPr>
          <w:rFonts w:ascii="Verdana" w:eastAsia="Times New Roman" w:hAnsi="Verdana" w:cs="Arial"/>
          <w:lang w:val="es-ES" w:eastAsia="es-CO"/>
        </w:rPr>
        <w:t xml:space="preserve">III). </w:t>
      </w:r>
      <w:r w:rsidRPr="00910028">
        <w:rPr>
          <w:rFonts w:ascii="Verdana" w:eastAsia="Calibri" w:hAnsi="Verdana" w:cs="Arial"/>
          <w:color w:val="000000"/>
          <w:lang w:val="es-ES_tradnl"/>
        </w:rPr>
        <w:t>La Tasa de Cambio Representativa del Mercado –TRM– “</w:t>
      </w:r>
      <w:r w:rsidRPr="00910028">
        <w:rPr>
          <w:rFonts w:ascii="Verdana" w:eastAsia="Calibri" w:hAnsi="Verdana" w:cs="Arial"/>
          <w:lang w:val="es-ES"/>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910028">
        <w:rPr>
          <w:rFonts w:ascii="Verdana" w:eastAsia="Calibri" w:hAnsi="Verdana" w:cs="Arial"/>
          <w:color w:val="000000"/>
          <w:lang w:val="es-ES_tradnl"/>
        </w:rPr>
        <w:t>”</w:t>
      </w:r>
      <w:r w:rsidRPr="00910028">
        <w:rPr>
          <w:rFonts w:ascii="Verdana" w:eastAsia="Calibri" w:hAnsi="Verdana" w:cs="Times New Roman"/>
          <w:color w:val="000000"/>
          <w:vertAlign w:val="superscript"/>
          <w:lang w:val="es-ES_tradnl"/>
        </w:rPr>
        <w:footnoteReference w:id="9"/>
      </w:r>
      <w:r w:rsidRPr="00910028">
        <w:rPr>
          <w:rFonts w:ascii="Verdana" w:eastAsia="Calibri" w:hAnsi="Verdana" w:cs="Arial"/>
          <w:color w:val="000000"/>
          <w:lang w:val="es-ES_tradnl"/>
        </w:rPr>
        <w:t>, definida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910028">
        <w:rPr>
          <w:rFonts w:ascii="Verdana" w:eastAsia="Calibri" w:hAnsi="Verdana" w:cs="Times New Roman"/>
          <w:color w:val="000000"/>
          <w:vertAlign w:val="superscript"/>
          <w:lang w:val="es-ES_tradnl"/>
        </w:rPr>
        <w:footnoteReference w:id="10"/>
      </w:r>
      <w:r w:rsidRPr="00910028">
        <w:rPr>
          <w:rFonts w:ascii="Verdana" w:eastAsia="Calibri" w:hAnsi="Verdana" w:cs="Arial"/>
          <w:color w:val="000000"/>
          <w:lang w:val="es-ES_tradnl"/>
        </w:rPr>
        <w:t xml:space="preserve">, de donde se desprende que la TRM es un valor que se origina en la fluctuación del mercado. </w:t>
      </w:r>
    </w:p>
    <w:p w14:paraId="6E940B61" w14:textId="77777777" w:rsidR="00BE4F40" w:rsidRPr="00910028" w:rsidRDefault="00BE4F40" w:rsidP="00BE4F40">
      <w:pPr>
        <w:snapToGrid w:val="0"/>
        <w:spacing w:after="120" w:line="276" w:lineRule="auto"/>
        <w:ind w:firstLine="709"/>
        <w:jc w:val="both"/>
        <w:rPr>
          <w:rFonts w:ascii="Verdana" w:eastAsia="Calibri" w:hAnsi="Verdana" w:cs="Arial"/>
          <w:lang w:val="es-ES"/>
        </w:rPr>
      </w:pPr>
      <w:r w:rsidRPr="00910028">
        <w:rPr>
          <w:rFonts w:ascii="Verdana" w:eastAsia="Calibri" w:hAnsi="Verdana" w:cs="Arial"/>
          <w:lang w:val="es-ES"/>
        </w:rPr>
        <w:t xml:space="preserve">De conformidad con lo anterior, se puede concluir que el método aleatorio para seleccionar la fórmula de ponderación de la oferta económica desestimula actos de corrupción, puesto que no es posible manipular la TRM para conocer </w:t>
      </w:r>
      <w:r w:rsidRPr="00910028">
        <w:rPr>
          <w:rFonts w:ascii="Verdana" w:eastAsia="Calibri" w:hAnsi="Verdana" w:cs="Arial"/>
          <w:lang w:val="es-ES"/>
        </w:rPr>
        <w:lastRenderedPageBreak/>
        <w:t xml:space="preserve">con anticipación la fórmula aplicable y poder adjudicar al proponente por razones subjetivas. </w:t>
      </w:r>
    </w:p>
    <w:p w14:paraId="40857C61" w14:textId="77777777" w:rsidR="00BE4F40" w:rsidRPr="00910028" w:rsidRDefault="00BE4F40" w:rsidP="00BE4F40">
      <w:pPr>
        <w:snapToGrid w:val="0"/>
        <w:spacing w:after="120" w:line="276" w:lineRule="auto"/>
        <w:ind w:firstLine="709"/>
        <w:jc w:val="both"/>
        <w:textAlignment w:val="baseline"/>
        <w:rPr>
          <w:rFonts w:ascii="Verdana" w:eastAsia="Times New Roman" w:hAnsi="Verdana" w:cs="Arial"/>
          <w:lang w:val="es-ES" w:eastAsia="es-CO"/>
        </w:rPr>
      </w:pPr>
      <w:r w:rsidRPr="00910028">
        <w:rPr>
          <w:rFonts w:ascii="Verdana" w:eastAsia="Times New Roman" w:hAnsi="Verdana" w:cs="Arial"/>
          <w:lang w:val="es-ES" w:eastAsia="es-CO"/>
        </w:rPr>
        <w:t>Debe advertirse entonces que, el numeral 4.1.4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5C015DB1" w14:textId="77777777" w:rsidR="00BE4F40" w:rsidRPr="00910028" w:rsidRDefault="00BE4F40" w:rsidP="00BE4F40">
      <w:pPr>
        <w:snapToGrid w:val="0"/>
        <w:spacing w:after="0" w:line="276" w:lineRule="auto"/>
        <w:ind w:firstLine="709"/>
        <w:rPr>
          <w:rFonts w:ascii="Verdana" w:eastAsia="Aptos" w:hAnsi="Verdana" w:cs="Times New Roman"/>
          <w:kern w:val="2"/>
          <w:lang w:val="es-MX"/>
          <w14:ligatures w14:val="standardContextual"/>
        </w:rPr>
      </w:pPr>
      <w:r w:rsidRPr="00910028">
        <w:rPr>
          <w:rFonts w:ascii="Verdana" w:eastAsia="Times New Roman" w:hAnsi="Verdana" w:cs="Arial"/>
          <w:lang w:val="es-ES" w:eastAsia="es-CO"/>
        </w:rPr>
        <w:t xml:space="preserve">Hay que señalar que, conforme al numeral 4.1.2 del documento base, </w:t>
      </w:r>
      <w:r w:rsidRPr="00910028">
        <w:rPr>
          <w:rFonts w:ascii="Verdana" w:eastAsia="Aptos" w:hAnsi="Verdana" w:cs="Times New Roman"/>
          <w:kern w:val="2"/>
          <w:lang w:val="es-MX"/>
          <w14:ligatures w14:val="standardContextual"/>
        </w:rPr>
        <w:t>la Entidad solo efectuará correcciones aritméticas originadas por:</w:t>
      </w:r>
    </w:p>
    <w:p w14:paraId="3B7441F1" w14:textId="77777777" w:rsidR="00BE4F40" w:rsidRPr="00910028" w:rsidRDefault="00BE4F40" w:rsidP="00BE4F40">
      <w:pPr>
        <w:snapToGrid w:val="0"/>
        <w:spacing w:after="0" w:line="276" w:lineRule="auto"/>
        <w:ind w:firstLine="709"/>
        <w:rPr>
          <w:rFonts w:ascii="Verdana" w:eastAsia="Aptos" w:hAnsi="Verdana" w:cs="Times New Roman"/>
          <w:kern w:val="2"/>
          <w:lang w:val="es-MX"/>
          <w14:ligatures w14:val="standardContextual"/>
        </w:rPr>
      </w:pPr>
    </w:p>
    <w:p w14:paraId="761290F1" w14:textId="77777777" w:rsidR="00BE4F40" w:rsidRPr="00910028" w:rsidRDefault="00BE4F40" w:rsidP="00BE4F40">
      <w:pPr>
        <w:spacing w:line="240" w:lineRule="auto"/>
        <w:ind w:left="709" w:right="709"/>
        <w:jc w:val="both"/>
        <w:rPr>
          <w:rFonts w:ascii="Verdana" w:eastAsia="Aptos" w:hAnsi="Verdana" w:cs="Arial"/>
          <w:kern w:val="2"/>
          <w:sz w:val="21"/>
          <w:szCs w:val="21"/>
          <w:lang w:val="es-MX"/>
          <w14:ligatures w14:val="standardContextual"/>
        </w:rPr>
      </w:pPr>
      <w:r w:rsidRPr="00910028">
        <w:rPr>
          <w:rFonts w:ascii="Verdana" w:eastAsia="Aptos" w:hAnsi="Verdana" w:cs="Times New Roman"/>
          <w:kern w:val="2"/>
          <w:sz w:val="21"/>
          <w:szCs w:val="21"/>
          <w:lang w:val="es-MX"/>
          <w14:ligatures w14:val="standardContextual"/>
        </w:rPr>
        <w:t xml:space="preserve">“A. Las </w:t>
      </w:r>
      <w:r w:rsidRPr="00910028">
        <w:rPr>
          <w:rFonts w:ascii="Verdana" w:eastAsia="Aptos" w:hAnsi="Verdana" w:cs="Arial"/>
          <w:kern w:val="2"/>
          <w:sz w:val="21"/>
          <w:szCs w:val="21"/>
          <w:lang w:val="es-ES_tradnl"/>
          <w14:ligatures w14:val="standardContextual"/>
        </w:rPr>
        <w:t>operaciones aritméticas a que haya lugar en la propuesta económica, cuando exista un error que surja de un cálculo meramente aritmético cuando la operación ha sido erróneamente realizada. </w:t>
      </w:r>
    </w:p>
    <w:p w14:paraId="414F57F3" w14:textId="77777777" w:rsidR="00BE4F40" w:rsidRPr="00910028" w:rsidRDefault="00BE4F40" w:rsidP="00BE4F40">
      <w:pPr>
        <w:snapToGrid w:val="0"/>
        <w:spacing w:after="0" w:line="240" w:lineRule="auto"/>
        <w:ind w:left="709" w:right="709"/>
        <w:jc w:val="both"/>
        <w:rPr>
          <w:rFonts w:ascii="Verdana" w:eastAsia="Aptos" w:hAnsi="Verdana" w:cs="Arial"/>
          <w:i/>
          <w:iCs/>
          <w:kern w:val="2"/>
          <w:sz w:val="21"/>
          <w:szCs w:val="21"/>
          <w:lang w:val="es-ES_tradnl"/>
          <w14:ligatures w14:val="standardContextual"/>
        </w:rPr>
      </w:pPr>
      <w:r w:rsidRPr="00910028">
        <w:rPr>
          <w:rFonts w:ascii="Verdana" w:eastAsia="Aptos" w:hAnsi="Verdana" w:cs="Times New Roman"/>
          <w:kern w:val="2"/>
          <w:sz w:val="21"/>
          <w:szCs w:val="21"/>
          <w:lang w:val="es-MX"/>
          <w14:ligatures w14:val="standardContextual"/>
        </w:rPr>
        <w:t xml:space="preserve">B. El ajuste </w:t>
      </w:r>
      <w:r w:rsidRPr="00910028">
        <w:rPr>
          <w:rFonts w:ascii="Verdana" w:eastAsia="Aptos" w:hAnsi="Verdana" w:cs="Arial"/>
          <w:kern w:val="2"/>
          <w:sz w:val="21"/>
          <w:szCs w:val="21"/>
          <w:lang w:val="es-ES_tradnl"/>
          <w14:ligatures w14:val="standardContextual"/>
        </w:rPr>
        <w:t>ajuste al peso ya sea por exceso o por defecto de los precios unitarios contenidos en la propuesta económica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r w:rsidRPr="00910028">
        <w:rPr>
          <w:rFonts w:ascii="Verdana" w:eastAsia="Aptos" w:hAnsi="Verdana" w:cs="Arial"/>
          <w:i/>
          <w:iCs/>
          <w:kern w:val="2"/>
          <w:sz w:val="21"/>
          <w:szCs w:val="21"/>
          <w:lang w:val="es-ES_tradnl"/>
          <w14:ligatures w14:val="standardContextual"/>
        </w:rPr>
        <w:t> </w:t>
      </w:r>
    </w:p>
    <w:p w14:paraId="1BEDDC6C" w14:textId="77777777" w:rsidR="00BE4F40" w:rsidRPr="00910028" w:rsidRDefault="00BE4F40" w:rsidP="00BE4F40">
      <w:pPr>
        <w:snapToGrid w:val="0"/>
        <w:spacing w:after="0" w:line="240" w:lineRule="auto"/>
        <w:ind w:left="709" w:right="709"/>
        <w:jc w:val="both"/>
        <w:rPr>
          <w:rFonts w:ascii="Verdana" w:eastAsia="Aptos" w:hAnsi="Verdana" w:cs="Times New Roman"/>
          <w:kern w:val="2"/>
          <w:lang w:val="es-MX"/>
          <w14:ligatures w14:val="standardContextual"/>
        </w:rPr>
      </w:pPr>
    </w:p>
    <w:p w14:paraId="0F2DD83B" w14:textId="77777777" w:rsidR="00BE4F40" w:rsidRPr="00910028" w:rsidRDefault="00BE4F40" w:rsidP="00BE4F40">
      <w:pPr>
        <w:snapToGrid w:val="0"/>
        <w:spacing w:after="120" w:line="276" w:lineRule="auto"/>
        <w:ind w:firstLine="709"/>
        <w:jc w:val="both"/>
        <w:rPr>
          <w:rFonts w:ascii="Verdana" w:eastAsia="Aptos" w:hAnsi="Verdana" w:cs="Times New Roman"/>
          <w:kern w:val="2"/>
          <w:lang w:val="es-MX"/>
          <w14:ligatures w14:val="standardContextual"/>
        </w:rPr>
      </w:pPr>
      <w:r w:rsidRPr="00ED2C72">
        <w:rPr>
          <w:rFonts w:ascii="Verdana" w:eastAsia="Aptos" w:hAnsi="Verdana" w:cs="Times New Roman"/>
          <w:kern w:val="2"/>
          <w:lang w:val="es-MX"/>
          <w14:ligatures w14:val="standardContextual"/>
        </w:rPr>
        <w:t>Así, la Entidad a partir del valor total corregido de las propuestas asignará el puntaje de conformidad con el proceso del numeral 4.1.4. A su vez, para evaluar la oferta económica, la Entidad tendrá en cuenta el valor total indicado en la propuesta económica o el obtenido de la corrección aritmética en alguno de los dos supuestos referidos en el numeral 4.1.2.</w:t>
      </w:r>
    </w:p>
    <w:p w14:paraId="6CCCFD5D" w14:textId="77777777" w:rsidR="00BE4F40" w:rsidRPr="00910028" w:rsidRDefault="00BE4F40" w:rsidP="00BE4F40">
      <w:pPr>
        <w:snapToGrid w:val="0"/>
        <w:spacing w:after="120" w:line="276" w:lineRule="auto"/>
        <w:ind w:firstLine="709"/>
        <w:jc w:val="both"/>
        <w:textAlignment w:val="baseline"/>
        <w:rPr>
          <w:rFonts w:ascii="Verdana" w:eastAsia="Times New Roman" w:hAnsi="Verdana" w:cs="Arial"/>
          <w:lang w:val="es-ES" w:eastAsia="es-CO"/>
        </w:rPr>
      </w:pPr>
      <w:r w:rsidRPr="00910028">
        <w:rPr>
          <w:rFonts w:ascii="Verdana" w:eastAsia="Times New Roman" w:hAnsi="Verdana" w:cs="Arial"/>
          <w:lang w:val="es-ES" w:eastAsia="es-CO"/>
        </w:rPr>
        <w:t>Agotado el procedimiento anterior, la entidad definirá el método de ponderación de las propuestas de acuerdo con las siguientes reglas:</w:t>
      </w:r>
    </w:p>
    <w:p w14:paraId="0F20BFE4" w14:textId="77777777" w:rsidR="00BE4F40" w:rsidRPr="00914FD5" w:rsidRDefault="00BE4F40" w:rsidP="00BE4F40">
      <w:pPr>
        <w:pStyle w:val="Prrafodelista"/>
        <w:numPr>
          <w:ilvl w:val="0"/>
          <w:numId w:val="21"/>
        </w:numPr>
        <w:snapToGrid w:val="0"/>
        <w:spacing w:after="120" w:line="276" w:lineRule="auto"/>
        <w:ind w:left="0" w:firstLine="709"/>
        <w:jc w:val="both"/>
        <w:textAlignment w:val="baseline"/>
        <w:rPr>
          <w:rFonts w:ascii="Verdana" w:eastAsia="Times New Roman" w:hAnsi="Verdana" w:cs="Arial"/>
          <w:lang w:eastAsia="es-CO"/>
        </w:rPr>
      </w:pPr>
      <w:r w:rsidRPr="00914FD5">
        <w:rPr>
          <w:rFonts w:ascii="Verdana" w:eastAsia="Calibri" w:hAnsi="Verdana" w:cs="Times New Roman"/>
        </w:rPr>
        <w:t>Deberá pronunciarse sobre las propuestas que han sido rechazadas y las que se encuentran válidas.</w:t>
      </w:r>
    </w:p>
    <w:p w14:paraId="766E3EE7" w14:textId="77777777" w:rsidR="00BE4F40" w:rsidRPr="00910028" w:rsidRDefault="00BE4F40" w:rsidP="00BE4F40">
      <w:pPr>
        <w:numPr>
          <w:ilvl w:val="0"/>
          <w:numId w:val="21"/>
        </w:numPr>
        <w:snapToGrid w:val="0"/>
        <w:spacing w:after="120" w:line="276" w:lineRule="auto"/>
        <w:ind w:left="0" w:firstLine="709"/>
        <w:jc w:val="both"/>
        <w:textAlignment w:val="baseline"/>
        <w:rPr>
          <w:rFonts w:ascii="Verdana" w:eastAsia="Times New Roman" w:hAnsi="Verdana" w:cs="Arial"/>
          <w:lang w:val="es-ES" w:eastAsia="es-CO"/>
        </w:rPr>
      </w:pPr>
      <w:r w:rsidRPr="00910028">
        <w:rPr>
          <w:rFonts w:ascii="Verdana" w:eastAsia="Calibri" w:hAnsi="Verdana" w:cs="Times New Roman"/>
          <w:lang w:val="es-ES"/>
        </w:rPr>
        <w:t>Si este pronunciamiento se realiza hasta las 3:00 pm, la entidad tomará la TRM que rija para el día hábil siguiente.</w:t>
      </w:r>
    </w:p>
    <w:p w14:paraId="7E702325" w14:textId="77777777" w:rsidR="00BE4F40" w:rsidRPr="00910028" w:rsidRDefault="00BE4F40" w:rsidP="00BE4F40">
      <w:pPr>
        <w:numPr>
          <w:ilvl w:val="0"/>
          <w:numId w:val="21"/>
        </w:numPr>
        <w:snapToGrid w:val="0"/>
        <w:spacing w:after="120" w:line="276" w:lineRule="auto"/>
        <w:ind w:left="0" w:firstLine="709"/>
        <w:jc w:val="both"/>
        <w:rPr>
          <w:rFonts w:ascii="Verdana" w:eastAsia="Calibri" w:hAnsi="Verdana" w:cs="Times New Roman"/>
          <w:lang w:val="es-MX"/>
        </w:rPr>
      </w:pPr>
      <w:r w:rsidRPr="00910028">
        <w:rPr>
          <w:rFonts w:ascii="Verdana" w:eastAsia="Calibri" w:hAnsi="Verdana" w:cs="Times New Roman"/>
          <w:lang w:val="es-ES"/>
        </w:rPr>
        <w:t>Si el pronunciamiento se da después de las 3:00 pm, la entidad tomará la TRM que rija para el segundo día hábil siguiente.</w:t>
      </w:r>
    </w:p>
    <w:p w14:paraId="2F012CC4" w14:textId="77777777" w:rsidR="00BE4F40" w:rsidRPr="00910028" w:rsidRDefault="00BE4F40" w:rsidP="00BE4F40">
      <w:pPr>
        <w:snapToGrid w:val="0"/>
        <w:spacing w:after="120" w:line="276" w:lineRule="auto"/>
        <w:ind w:firstLine="709"/>
        <w:jc w:val="both"/>
        <w:rPr>
          <w:rFonts w:ascii="Verdana" w:eastAsia="Calibri" w:hAnsi="Verdana" w:cs="Arial"/>
          <w:lang w:val="es-ES"/>
        </w:rPr>
      </w:pPr>
      <w:r w:rsidRPr="00910028">
        <w:rPr>
          <w:rFonts w:ascii="Verdana" w:eastAsia="Calibri" w:hAnsi="Verdana" w:cs="Arial"/>
          <w:lang w:val="es-ES"/>
        </w:rPr>
        <w:lastRenderedPageBreak/>
        <w:t xml:space="preserve">En este sentido, el numeral 4.1.4 al regular el mecanismo de escogencia del método de ponderación, dispone las reglas que debe seguir la entidad para determinarlo. Esto inicia con el pronunciamiento de la entidad sobre las propuestas u ofertas económicas rechazadas y las válidas. </w:t>
      </w:r>
    </w:p>
    <w:p w14:paraId="5B1F2B73" w14:textId="77777777" w:rsidR="00BE4F40" w:rsidRPr="00910028" w:rsidRDefault="00BE4F40" w:rsidP="00BE4F40">
      <w:pPr>
        <w:snapToGrid w:val="0"/>
        <w:spacing w:after="120" w:line="276" w:lineRule="auto"/>
        <w:ind w:firstLine="709"/>
        <w:jc w:val="both"/>
        <w:rPr>
          <w:rFonts w:ascii="Verdana" w:eastAsia="Calibri" w:hAnsi="Verdana" w:cs="Arial"/>
          <w:lang w:val="es-ES"/>
        </w:rPr>
      </w:pPr>
      <w:r w:rsidRPr="00910028">
        <w:rPr>
          <w:rFonts w:ascii="Verdana" w:eastAsia="Calibri" w:hAnsi="Verdana" w:cs="Arial"/>
          <w:lang w:val="es-ES"/>
        </w:rPr>
        <w:t>Ahora bien, si este pronunciamiento se realiza antes de las 3:00 p.m., la regla contenida en el numeral 4.1.4 establece que se tomará la TRM vigente 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55D2C938" w14:textId="77777777" w:rsidR="00BE4F40" w:rsidRPr="00910028" w:rsidRDefault="00BE4F40" w:rsidP="00BE4F40">
      <w:pPr>
        <w:snapToGrid w:val="0"/>
        <w:spacing w:after="120" w:line="276" w:lineRule="auto"/>
        <w:ind w:firstLine="709"/>
        <w:jc w:val="both"/>
        <w:rPr>
          <w:rFonts w:ascii="Verdana" w:eastAsia="Calibri" w:hAnsi="Verdana" w:cs="Arial"/>
          <w:lang w:val="es-ES"/>
        </w:rPr>
      </w:pPr>
      <w:r w:rsidRPr="00910028">
        <w:rPr>
          <w:rFonts w:ascii="Verdana" w:eastAsia="Calibri" w:hAnsi="Verdana" w:cs="Arial"/>
          <w:lang w:val="es-ES"/>
        </w:rPr>
        <w:t>No obstante, si el pronunciamiento de la entidad sobre las propuestas rechazadas y válidas se realiza después de las 3:00 p.m., la regla establece que se tomará la TRM vigente para el segundo día hábil siguiente. Esta disposición busca evitar que la entidad conozca previamente la TRM que determinará el método de ponderación de las ofertas, dado que la Superintendencia la publicaría antes del pronunciamiento de la entidad.</w:t>
      </w:r>
    </w:p>
    <w:p w14:paraId="127E5F82" w14:textId="77777777" w:rsidR="00BE4F40" w:rsidRPr="00910028" w:rsidRDefault="00BE4F40" w:rsidP="00BE4F40">
      <w:pPr>
        <w:snapToGrid w:val="0"/>
        <w:spacing w:after="120" w:line="276" w:lineRule="auto"/>
        <w:ind w:firstLine="709"/>
        <w:jc w:val="both"/>
        <w:textAlignment w:val="baseline"/>
        <w:rPr>
          <w:rFonts w:ascii="Verdana" w:eastAsia="Times New Roman" w:hAnsi="Verdana" w:cs="Arial"/>
          <w:lang w:val="es-ES" w:eastAsia="es-CO"/>
        </w:rPr>
      </w:pPr>
      <w:r w:rsidRPr="00910028">
        <w:rPr>
          <w:rFonts w:ascii="Verdana" w:eastAsia="Times New Roman" w:hAnsi="Verdana" w:cs="Arial"/>
          <w:lang w:val="es-ES" w:eastAsia="es-CO"/>
        </w:rPr>
        <w:t xml:space="preserve">En ese orden de ideas, el numeral 4.1.4 establece que, para poder cumplir con estos supuestos, atendiendo a las particularidades de cada proceso, la entidad podrá suspender la audiencia y reiniciarla cuando lo estime conveniente. Además, señala que definido el método de ponderación de la oferta este seguirá rigiendo aun cuando se suspenda la audiencia. </w:t>
      </w:r>
    </w:p>
    <w:p w14:paraId="1522C2DD" w14:textId="77777777" w:rsidR="00BE4F40" w:rsidRPr="00CE7DFB" w:rsidRDefault="00BE4F40" w:rsidP="00BE4F40">
      <w:pPr>
        <w:snapToGrid w:val="0"/>
        <w:spacing w:after="120" w:line="276" w:lineRule="auto"/>
        <w:ind w:firstLine="709"/>
        <w:jc w:val="both"/>
        <w:textAlignment w:val="baseline"/>
        <w:rPr>
          <w:rFonts w:ascii="Verdana" w:eastAsia="Times New Roman" w:hAnsi="Verdana" w:cs="Arial"/>
          <w:lang w:val="es-ES" w:eastAsia="es-CO"/>
        </w:rPr>
      </w:pPr>
      <w:r w:rsidRPr="00910028">
        <w:rPr>
          <w:rFonts w:ascii="Verdana" w:eastAsia="Times New Roman" w:hAnsi="Verdana" w:cs="Arial"/>
          <w:lang w:val="es-ES" w:eastAsia="es-CO"/>
        </w:rPr>
        <w:t>Sin perjuicio de lo anterior, corresponderá a cada entidad estatal tomar las medidas más adecuadas, de acuerdo con las circunstancias particulares relacionadas con cada proceso contractual, con la finalidad de adelantar de la mejor manera posible sus procedimientos de selección, optando por aquellas que mejor garanticen los principios de la contratación estatal</w:t>
      </w:r>
      <w:r>
        <w:rPr>
          <w:rFonts w:ascii="Verdana" w:eastAsia="Times New Roman" w:hAnsi="Verdana" w:cs="Arial"/>
          <w:lang w:val="es-ES" w:eastAsia="es-CO"/>
        </w:rPr>
        <w:t>.</w:t>
      </w:r>
    </w:p>
    <w:p w14:paraId="719A5A72" w14:textId="77777777" w:rsidR="00BE4F40" w:rsidRPr="00FE66BB" w:rsidRDefault="00BE4F40" w:rsidP="00BE4F40">
      <w:pPr>
        <w:spacing w:after="120" w:line="276" w:lineRule="auto"/>
        <w:jc w:val="both"/>
        <w:rPr>
          <w:rFonts w:ascii="Verdana" w:eastAsia="Times New Roman" w:hAnsi="Verdana" w:cs="Times New Roman"/>
          <w:lang w:eastAsia="es-MX"/>
        </w:rPr>
      </w:pPr>
      <w:r w:rsidRPr="00C13BAC">
        <w:rPr>
          <w:rFonts w:ascii="Verdana" w:eastAsia="Calibri" w:hAnsi="Verdana" w:cs="Times New Roman"/>
          <w:lang w:eastAsia="es-MX"/>
        </w:rPr>
        <w:t>III).</w:t>
      </w:r>
      <w:r>
        <w:rPr>
          <w:rFonts w:ascii="Verdana" w:eastAsia="Calibri" w:hAnsi="Verdana" w:cs="Times New Roman"/>
          <w:lang w:eastAsia="es-MX"/>
        </w:rPr>
        <w:t xml:space="preserve"> </w:t>
      </w:r>
      <w:r w:rsidRPr="00FE66BB">
        <w:rPr>
          <w:rFonts w:ascii="Verdana" w:eastAsia="Calibri" w:hAnsi="Verdana" w:cs="Arial"/>
          <w:bCs/>
          <w:color w:val="000000"/>
          <w:lang w:eastAsia="es-MX"/>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w:t>
      </w:r>
      <w:r w:rsidRPr="00FE66BB">
        <w:rPr>
          <w:rFonts w:ascii="Verdana" w:eastAsia="Calibri" w:hAnsi="Verdana" w:cs="Arial"/>
          <w:bCs/>
          <w:color w:val="000000"/>
          <w:lang w:eastAsia="es-MX"/>
        </w:rPr>
        <w:lastRenderedPageBreak/>
        <w:t>de situaciones particulares corresponde a los interesados adoptar la decisión correspondiente y, en caso de conflicto, a las autoridades judiciales, fiscales y disciplinarias.</w:t>
      </w:r>
    </w:p>
    <w:p w14:paraId="498CB02A" w14:textId="77777777" w:rsidR="00BE4F40" w:rsidRPr="002C01B4" w:rsidRDefault="00BE4F40" w:rsidP="00BE4F40">
      <w:pPr>
        <w:spacing w:after="120"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54F12B3" w14:textId="77777777" w:rsidR="00BE4F40" w:rsidRPr="004D7523" w:rsidRDefault="00BE4F40" w:rsidP="00BE4F40">
      <w:pPr>
        <w:numPr>
          <w:ilvl w:val="0"/>
          <w:numId w:val="17"/>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358D35E5" w14:textId="77777777" w:rsidR="00BE4F40" w:rsidRPr="004D7523" w:rsidRDefault="00BE4F40" w:rsidP="00BE4F40">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E4F40" w:rsidRPr="00D56B2A" w14:paraId="7FAB477C" w14:textId="77777777" w:rsidTr="006A0A66">
        <w:trPr>
          <w:trHeight w:val="242"/>
        </w:trPr>
        <w:tc>
          <w:tcPr>
            <w:tcW w:w="8647" w:type="dxa"/>
            <w:tcBorders>
              <w:top w:val="dotted" w:sz="4" w:space="0" w:color="auto"/>
              <w:left w:val="dotted" w:sz="4" w:space="0" w:color="auto"/>
              <w:bottom w:val="dotted" w:sz="4" w:space="0" w:color="auto"/>
              <w:right w:val="dotted" w:sz="4" w:space="0" w:color="auto"/>
            </w:tcBorders>
          </w:tcPr>
          <w:p w14:paraId="05595601" w14:textId="77777777" w:rsidR="00BE4F40" w:rsidRDefault="00BE4F40" w:rsidP="007909B9">
            <w:pPr>
              <w:pStyle w:val="Prrafodelista"/>
              <w:numPr>
                <w:ilvl w:val="0"/>
                <w:numId w:val="18"/>
              </w:numPr>
              <w:spacing w:before="240" w:line="276" w:lineRule="auto"/>
              <w:rPr>
                <w:rFonts w:ascii="Verdana" w:hAnsi="Verdana" w:cs="Arial"/>
              </w:rPr>
            </w:pPr>
            <w:r w:rsidRPr="0052590C">
              <w:rPr>
                <w:rFonts w:ascii="Verdana" w:hAnsi="Verdana" w:cs="Arial"/>
              </w:rPr>
              <w:t xml:space="preserve">Constitución Política </w:t>
            </w:r>
            <w:r>
              <w:rPr>
                <w:rFonts w:ascii="Verdana" w:hAnsi="Verdana" w:cs="Arial"/>
              </w:rPr>
              <w:t xml:space="preserve">de Colombia, </w:t>
            </w:r>
            <w:r w:rsidRPr="0052590C">
              <w:rPr>
                <w:rFonts w:ascii="Verdana" w:hAnsi="Verdana" w:cs="Arial"/>
              </w:rPr>
              <w:t>artículo 273</w:t>
            </w:r>
          </w:p>
          <w:p w14:paraId="4F452699" w14:textId="2C1D2593" w:rsidR="00BE4F40" w:rsidRDefault="00BE4F40" w:rsidP="00675B7F">
            <w:pPr>
              <w:pStyle w:val="Prrafodelista"/>
              <w:numPr>
                <w:ilvl w:val="0"/>
                <w:numId w:val="18"/>
              </w:numPr>
              <w:spacing w:before="240" w:line="276" w:lineRule="auto"/>
              <w:rPr>
                <w:rFonts w:ascii="Verdana" w:hAnsi="Verdana" w:cs="Arial"/>
              </w:rPr>
            </w:pPr>
            <w:r w:rsidRPr="0052590C">
              <w:rPr>
                <w:rFonts w:ascii="Verdana" w:hAnsi="Verdana" w:cs="Arial"/>
              </w:rPr>
              <w:t>Ley 80 de 1993,</w:t>
            </w:r>
            <w:r>
              <w:rPr>
                <w:rFonts w:ascii="Verdana" w:hAnsi="Verdana" w:cs="Arial"/>
              </w:rPr>
              <w:t xml:space="preserve"> artículo </w:t>
            </w:r>
            <w:proofErr w:type="gramStart"/>
            <w:r>
              <w:rPr>
                <w:rFonts w:ascii="Verdana" w:hAnsi="Verdana" w:cs="Arial"/>
              </w:rPr>
              <w:t>9</w:t>
            </w:r>
            <w:r w:rsidR="00675B7F">
              <w:rPr>
                <w:rFonts w:ascii="Verdana" w:hAnsi="Verdana" w:cs="Arial"/>
              </w:rPr>
              <w:t>,</w:t>
            </w:r>
            <w:r w:rsidRPr="0052590C">
              <w:rPr>
                <w:rFonts w:ascii="Verdana" w:hAnsi="Verdana" w:cs="Arial"/>
              </w:rPr>
              <w:t xml:space="preserve"> </w:t>
            </w:r>
            <w:r w:rsidR="00675B7F">
              <w:rPr>
                <w:rFonts w:ascii="Verdana" w:hAnsi="Verdana" w:cs="Arial"/>
              </w:rPr>
              <w:t xml:space="preserve"> </w:t>
            </w:r>
            <w:r w:rsidR="00675B7F" w:rsidRPr="007909B9">
              <w:rPr>
                <w:rFonts w:ascii="Verdana" w:eastAsia="Aptos" w:hAnsi="Verdana" w:cs="Arial"/>
                <w:lang w:val="es-ES_tradnl"/>
              </w:rPr>
              <w:t>artículo</w:t>
            </w:r>
            <w:proofErr w:type="gramEnd"/>
            <w:r w:rsidR="00675B7F" w:rsidRPr="007909B9">
              <w:rPr>
                <w:rFonts w:ascii="Verdana" w:eastAsia="Aptos" w:hAnsi="Verdana" w:cs="Arial"/>
                <w:lang w:val="es-ES_tradnl"/>
              </w:rPr>
              <w:t xml:space="preserve"> 26</w:t>
            </w:r>
            <w:r w:rsidR="00675B7F">
              <w:rPr>
                <w:rFonts w:ascii="Verdana" w:eastAsia="Aptos" w:hAnsi="Verdana" w:cs="Arial"/>
                <w:lang w:val="es-ES_tradnl"/>
              </w:rPr>
              <w:t xml:space="preserve"> y</w:t>
            </w:r>
            <w:r>
              <w:rPr>
                <w:rFonts w:ascii="Verdana" w:eastAsia="Aptos" w:hAnsi="Verdana" w:cs="Arial"/>
                <w:lang w:val="es-ES_tradnl"/>
              </w:rPr>
              <w:t xml:space="preserve"> </w:t>
            </w:r>
            <w:r w:rsidRPr="0052590C">
              <w:rPr>
                <w:rFonts w:ascii="Verdana" w:hAnsi="Verdana" w:cs="Arial"/>
              </w:rPr>
              <w:t xml:space="preserve">numeral 10 del artículo 30 </w:t>
            </w:r>
            <w:r w:rsidR="00675B7F" w:rsidRPr="00675B7F">
              <w:rPr>
                <w:rFonts w:ascii="Verdana" w:hAnsi="Verdana" w:cs="Arial"/>
              </w:rPr>
              <w:t xml:space="preserve">y </w:t>
            </w:r>
            <w:r w:rsidR="00675B7F" w:rsidRPr="00675B7F">
              <w:rPr>
                <w:rFonts w:ascii="Verdana" w:eastAsia="Aptos" w:hAnsi="Verdana" w:cs="Arial"/>
                <w:lang w:val="es-ES_tradnl"/>
              </w:rPr>
              <w:t>artículo 26.</w:t>
            </w:r>
          </w:p>
          <w:p w14:paraId="2AE6AB4D" w14:textId="77777777" w:rsidR="00BE4F40" w:rsidRPr="0052590C" w:rsidRDefault="00BE4F40" w:rsidP="007909B9">
            <w:pPr>
              <w:pStyle w:val="Prrafodelista"/>
              <w:numPr>
                <w:ilvl w:val="0"/>
                <w:numId w:val="18"/>
              </w:numPr>
              <w:spacing w:before="240" w:line="276" w:lineRule="auto"/>
              <w:rPr>
                <w:rFonts w:ascii="Verdana" w:hAnsi="Verdana" w:cs="Arial"/>
              </w:rPr>
            </w:pPr>
            <w:r>
              <w:rPr>
                <w:rFonts w:ascii="Verdana" w:hAnsi="Verdana" w:cs="Arial"/>
              </w:rPr>
              <w:t>Ley 1150 de 2007, artículo 9</w:t>
            </w:r>
          </w:p>
          <w:p w14:paraId="5FBCF4E1" w14:textId="3185EC6B" w:rsidR="00675B7F" w:rsidRPr="00675B7F" w:rsidRDefault="00675B7F" w:rsidP="00675B7F">
            <w:pPr>
              <w:pStyle w:val="Prrafodelista"/>
              <w:numPr>
                <w:ilvl w:val="0"/>
                <w:numId w:val="18"/>
              </w:numPr>
              <w:spacing w:before="240" w:line="276" w:lineRule="auto"/>
              <w:rPr>
                <w:rFonts w:ascii="Verdana" w:hAnsi="Verdana" w:cs="Arial"/>
              </w:rPr>
            </w:pPr>
            <w:r w:rsidRPr="007909B9">
              <w:rPr>
                <w:rFonts w:ascii="Verdana" w:eastAsia="Aptos" w:hAnsi="Verdana" w:cs="Arial"/>
                <w:lang w:val="es-ES_tradnl"/>
              </w:rPr>
              <w:t>Ley 2022 de 2020, artículo 1.</w:t>
            </w:r>
          </w:p>
          <w:p w14:paraId="2A67BEAF" w14:textId="582A8BF0" w:rsidR="007909B9" w:rsidRDefault="00BE4F40" w:rsidP="007909B9">
            <w:pPr>
              <w:pStyle w:val="Prrafodelista"/>
              <w:numPr>
                <w:ilvl w:val="0"/>
                <w:numId w:val="18"/>
              </w:numPr>
              <w:spacing w:before="240" w:line="276" w:lineRule="auto"/>
              <w:rPr>
                <w:rFonts w:ascii="Verdana" w:hAnsi="Verdana" w:cs="Arial"/>
              </w:rPr>
            </w:pPr>
            <w:r w:rsidRPr="002D2195">
              <w:rPr>
                <w:rFonts w:ascii="Verdana" w:hAnsi="Verdana" w:cs="Arial"/>
              </w:rPr>
              <w:t>Decreto Único Reglamentario 1082 de 2015</w:t>
            </w:r>
            <w:r>
              <w:rPr>
                <w:rFonts w:ascii="Verdana" w:hAnsi="Verdana" w:cs="Arial"/>
              </w:rPr>
              <w:t>,</w:t>
            </w:r>
            <w:r w:rsidRPr="00B860FF">
              <w:rPr>
                <w:rFonts w:ascii="Verdana" w:hAnsi="Verdana" w:cs="Arial"/>
              </w:rPr>
              <w:t xml:space="preserve"> artículo 2.2.1.2.1.1.2</w:t>
            </w:r>
            <w:r w:rsidR="00675B7F">
              <w:rPr>
                <w:rFonts w:ascii="Verdana" w:hAnsi="Verdana" w:cs="Arial"/>
              </w:rPr>
              <w:t xml:space="preserve">. y </w:t>
            </w:r>
            <w:r w:rsidR="00675B7F">
              <w:rPr>
                <w:rFonts w:ascii="Verdana" w:eastAsia="Aptos" w:hAnsi="Verdana" w:cs="Arial"/>
                <w:lang w:val="es-ES_tradnl"/>
              </w:rPr>
              <w:t xml:space="preserve">artículo </w:t>
            </w:r>
            <w:r w:rsidR="00675B7F" w:rsidRPr="007909B9">
              <w:rPr>
                <w:rFonts w:ascii="Verdana" w:eastAsia="Aptos" w:hAnsi="Verdana" w:cs="Times New Roman"/>
                <w:lang w:val="es-ES_tradnl"/>
              </w:rPr>
              <w:t>2.2.1.1.2.2.4.</w:t>
            </w:r>
          </w:p>
          <w:p w14:paraId="42B3946B" w14:textId="77777777" w:rsidR="00BE4F40" w:rsidRDefault="00BE4F40" w:rsidP="007909B9">
            <w:pPr>
              <w:pStyle w:val="Prrafodelista"/>
              <w:numPr>
                <w:ilvl w:val="0"/>
                <w:numId w:val="18"/>
              </w:numPr>
              <w:spacing w:before="240" w:line="276" w:lineRule="auto"/>
              <w:rPr>
                <w:rFonts w:ascii="Verdana" w:hAnsi="Verdana" w:cs="Arial"/>
                <w:lang w:bidi="es-ES"/>
              </w:rPr>
            </w:pPr>
            <w:r w:rsidRPr="00E2075E">
              <w:rPr>
                <w:rFonts w:ascii="Verdana" w:hAnsi="Verdana" w:cs="Arial"/>
                <w:lang w:val="pt-BR"/>
              </w:rPr>
              <w:t xml:space="preserve">Corte Constitucional. Sentencia C-380 de 2008. </w:t>
            </w:r>
            <w:r w:rsidRPr="002D2195">
              <w:rPr>
                <w:rFonts w:ascii="Verdana" w:hAnsi="Verdana" w:cs="Arial"/>
              </w:rPr>
              <w:t xml:space="preserve">M.P. Nilson Pinilla </w:t>
            </w:r>
            <w:proofErr w:type="spellStart"/>
            <w:r w:rsidRPr="002D2195">
              <w:rPr>
                <w:rFonts w:ascii="Verdana" w:hAnsi="Verdana" w:cs="Arial"/>
              </w:rPr>
              <w:t>Pinilla</w:t>
            </w:r>
            <w:proofErr w:type="spellEnd"/>
            <w:r>
              <w:rPr>
                <w:rFonts w:ascii="Verdana" w:hAnsi="Verdana" w:cs="Arial"/>
              </w:rPr>
              <w:t>.</w:t>
            </w:r>
          </w:p>
          <w:p w14:paraId="1A4EA4AC" w14:textId="56102304" w:rsidR="007909B9" w:rsidRPr="007909B9" w:rsidRDefault="000A230D" w:rsidP="007909B9">
            <w:pPr>
              <w:pStyle w:val="Prrafodelista"/>
              <w:numPr>
                <w:ilvl w:val="0"/>
                <w:numId w:val="18"/>
              </w:numPr>
              <w:spacing w:before="240" w:line="276" w:lineRule="auto"/>
              <w:rPr>
                <w:rFonts w:ascii="Verdana" w:hAnsi="Verdana" w:cs="Arial"/>
              </w:rPr>
            </w:pPr>
            <w:r w:rsidRPr="007909B9">
              <w:rPr>
                <w:rFonts w:ascii="Verdana" w:eastAsia="Arial" w:hAnsi="Verdana" w:cs="Arial"/>
                <w:lang w:eastAsia="es-ES" w:bidi="es-ES"/>
              </w:rPr>
              <w:t>Consejo de Estado, Sección Tercera, sentencia 4 de junio de 2008, radicado No. 17.783, M.P. Myriam Guerrero de Escobar</w:t>
            </w:r>
            <w:r w:rsidR="007909B9">
              <w:rPr>
                <w:rFonts w:ascii="Verdana" w:eastAsia="Arial" w:hAnsi="Verdana" w:cs="Arial"/>
                <w:lang w:eastAsia="es-ES" w:bidi="es-ES"/>
              </w:rPr>
              <w:t>.</w:t>
            </w:r>
          </w:p>
          <w:p w14:paraId="4C7A01FE" w14:textId="581FB40B" w:rsidR="00BE4F40" w:rsidRPr="00AC0F0C" w:rsidRDefault="000A230D" w:rsidP="00AC0F0C">
            <w:pPr>
              <w:pStyle w:val="Prrafodelista"/>
              <w:numPr>
                <w:ilvl w:val="0"/>
                <w:numId w:val="18"/>
              </w:numPr>
              <w:spacing w:before="240" w:line="276" w:lineRule="auto"/>
              <w:rPr>
                <w:rFonts w:ascii="Verdana" w:hAnsi="Verdana" w:cs="Arial"/>
                <w:lang w:bidi="es-ES"/>
              </w:rPr>
            </w:pPr>
            <w:r w:rsidRPr="007909B9">
              <w:rPr>
                <w:rFonts w:ascii="Verdana" w:eastAsia="Calibri" w:hAnsi="Verdana" w:cs="Arial"/>
              </w:rPr>
              <w:t xml:space="preserve">Guía para el manejo de ofertas artificialmente bajas en procesos de contratación expedida por la Agencia Nacional de Contratación Pública – Colombia Compra Eficiente. Disponible en: </w:t>
            </w:r>
            <w:hyperlink r:id="rId12" w:history="1">
              <w:r w:rsidRPr="007909B9">
                <w:rPr>
                  <w:rFonts w:ascii="Verdana" w:eastAsia="Calibri" w:hAnsi="Verdana" w:cs="Arial"/>
                  <w:color w:val="0000FF"/>
                  <w:u w:val="single"/>
                </w:rPr>
                <w:t>https://www.colombiacompra.gov.co/normativa-y-relatoria/guias-y-manuales</w:t>
              </w:r>
            </w:hyperlink>
            <w:r w:rsidRPr="007909B9">
              <w:rPr>
                <w:rFonts w:ascii="Verdana" w:eastAsia="Calibri" w:hAnsi="Verdana" w:cs="Arial"/>
              </w:rPr>
              <w:t>.</w:t>
            </w:r>
          </w:p>
        </w:tc>
      </w:tr>
    </w:tbl>
    <w:p w14:paraId="68E2548F" w14:textId="77777777" w:rsidR="00BE4F40" w:rsidRPr="00155CC1" w:rsidRDefault="00BE4F40" w:rsidP="00BE4F40">
      <w:pPr>
        <w:tabs>
          <w:tab w:val="left" w:pos="142"/>
          <w:tab w:val="left" w:pos="284"/>
        </w:tabs>
        <w:spacing w:after="0" w:line="276" w:lineRule="auto"/>
        <w:jc w:val="both"/>
        <w:rPr>
          <w:rFonts w:ascii="Verdana" w:eastAsia="Calibri" w:hAnsi="Verdana" w:cs="Arial"/>
          <w:color w:val="6699FF"/>
        </w:rPr>
      </w:pPr>
    </w:p>
    <w:p w14:paraId="4DD2DD2C" w14:textId="77777777" w:rsidR="00BE4F40" w:rsidRPr="0026211F" w:rsidRDefault="00BE4F40" w:rsidP="00BE4F40">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2D7BB80D" w14:textId="77777777" w:rsidR="00BE4F40" w:rsidRPr="00F41D65" w:rsidRDefault="00BE4F40" w:rsidP="00F41D65">
      <w:pPr>
        <w:spacing w:after="0" w:line="276" w:lineRule="auto"/>
        <w:jc w:val="both"/>
        <w:rPr>
          <w:rFonts w:ascii="Verdana" w:hAnsi="Verdana" w:cs="Arial"/>
          <w:shd w:val="clear" w:color="auto" w:fill="FFFFFF"/>
        </w:rPr>
      </w:pPr>
    </w:p>
    <w:p w14:paraId="3BF75BDF" w14:textId="77777777" w:rsidR="00077F68" w:rsidRPr="00F41D65" w:rsidRDefault="00BE4F40" w:rsidP="00F41D65">
      <w:pPr>
        <w:spacing w:after="0" w:line="276" w:lineRule="auto"/>
        <w:jc w:val="both"/>
        <w:rPr>
          <w:rFonts w:ascii="Verdana" w:eastAsia="Times New Roman" w:hAnsi="Verdana" w:cs="Arial"/>
          <w:shd w:val="clear" w:color="auto" w:fill="FFFFFF"/>
          <w:lang w:val="es-ES_tradnl"/>
        </w:rPr>
      </w:pPr>
      <w:r w:rsidRPr="00F41D65">
        <w:rPr>
          <w:rFonts w:ascii="Verdana" w:eastAsia="Calibri" w:hAnsi="Verdana" w:cs="Arial"/>
          <w:color w:val="000000"/>
          <w:kern w:val="2"/>
          <w:lang w:val="es-ES_tradnl"/>
          <w14:ligatures w14:val="standardContextual"/>
        </w:rPr>
        <w:t>La Agencia Nacional de Contratación Pública ‒ Colombia Compra Eficiente se pronunció sobre</w:t>
      </w:r>
      <w:r w:rsidRPr="00F41D65">
        <w:rPr>
          <w:rFonts w:ascii="Verdana" w:eastAsia="Aptos" w:hAnsi="Verdana" w:cs="Times New Roman"/>
          <w:kern w:val="2"/>
          <w:lang w:val="es-ES_tradnl"/>
          <w14:ligatures w14:val="standardContextual"/>
        </w:rPr>
        <w:t xml:space="preserve"> </w:t>
      </w:r>
      <w:r w:rsidRPr="00F41D65">
        <w:rPr>
          <w:rFonts w:ascii="Verdana" w:eastAsia="Times New Roman" w:hAnsi="Verdana" w:cs="Arial"/>
          <w:shd w:val="clear" w:color="auto" w:fill="FFFFFF"/>
          <w:lang w:val="es-ES_tradnl"/>
        </w:rPr>
        <w:t xml:space="preserve">el alcance de las ofertas artificialmente bajas en los procesos </w:t>
      </w:r>
      <w:r w:rsidRPr="00F41D65">
        <w:rPr>
          <w:rFonts w:ascii="Verdana" w:eastAsia="Times New Roman" w:hAnsi="Verdana" w:cs="Arial"/>
          <w:shd w:val="clear" w:color="auto" w:fill="FFFFFF"/>
          <w:lang w:val="es-ES_tradnl"/>
        </w:rPr>
        <w:lastRenderedPageBreak/>
        <w:t>de contratación, en los conceptos C–163 del 31 de marzo de 2020, C–200 del 14 de abril de 2020, C–767 del 7 de enero de 2021, C-205 del 7 de mayo de 2021, C-299 del 14 de mayo de 2022, C-484 de 2022, C-952 del 20 de enero de 2023, C-860 del 27 de diciembre de 2024, C-329 del 25 de abril de 2025 y C-594 del 9 de junio de 2025</w:t>
      </w:r>
      <w:r w:rsidR="00F4175A" w:rsidRPr="00F41D65">
        <w:rPr>
          <w:rFonts w:ascii="Verdana" w:eastAsia="Times New Roman" w:hAnsi="Verdana" w:cs="Arial"/>
          <w:shd w:val="clear" w:color="auto" w:fill="FFFFFF"/>
          <w:lang w:val="es-ES_tradnl"/>
        </w:rPr>
        <w:t>, C-850 de</w:t>
      </w:r>
      <w:r w:rsidR="00EE11C0" w:rsidRPr="00F41D65">
        <w:rPr>
          <w:rFonts w:ascii="Verdana" w:eastAsia="Times New Roman" w:hAnsi="Verdana" w:cs="Arial"/>
          <w:shd w:val="clear" w:color="auto" w:fill="FFFFFF"/>
          <w:lang w:val="es-ES_tradnl"/>
        </w:rPr>
        <w:t>l 08 de agosto de 2</w:t>
      </w:r>
      <w:r w:rsidR="00077F68" w:rsidRPr="00F41D65">
        <w:rPr>
          <w:rFonts w:ascii="Verdana" w:eastAsia="Times New Roman" w:hAnsi="Verdana" w:cs="Arial"/>
          <w:shd w:val="clear" w:color="auto" w:fill="FFFFFF"/>
          <w:lang w:val="es-ES_tradnl"/>
        </w:rPr>
        <w:t>025 y entre otros</w:t>
      </w:r>
      <w:r w:rsidRPr="00F41D65">
        <w:rPr>
          <w:rFonts w:ascii="Verdana" w:eastAsia="Times New Roman" w:hAnsi="Verdana" w:cs="Arial"/>
          <w:shd w:val="clear" w:color="auto" w:fill="FFFFFF"/>
          <w:lang w:val="es-ES_tradnl"/>
        </w:rPr>
        <w:t>.</w:t>
      </w:r>
    </w:p>
    <w:p w14:paraId="6DC7EE6A" w14:textId="77777777" w:rsidR="00077F68" w:rsidRPr="00F41D65" w:rsidRDefault="00077F68" w:rsidP="00F41D65">
      <w:pPr>
        <w:spacing w:after="0" w:line="276" w:lineRule="auto"/>
        <w:jc w:val="both"/>
        <w:rPr>
          <w:rFonts w:ascii="Verdana" w:eastAsia="Times New Roman" w:hAnsi="Verdana" w:cs="Arial"/>
          <w:shd w:val="clear" w:color="auto" w:fill="FFFFFF"/>
          <w:lang w:val="es-ES_tradnl"/>
        </w:rPr>
      </w:pPr>
    </w:p>
    <w:p w14:paraId="496E2238" w14:textId="1B8C3B34" w:rsidR="00BE4F40" w:rsidRPr="00F41D65" w:rsidRDefault="00BE4F40" w:rsidP="00F41D65">
      <w:pPr>
        <w:spacing w:after="0" w:line="276" w:lineRule="auto"/>
        <w:jc w:val="both"/>
        <w:rPr>
          <w:rFonts w:ascii="Verdana" w:eastAsia="Times New Roman" w:hAnsi="Verdana" w:cs="Arial"/>
          <w:shd w:val="clear" w:color="auto" w:fill="FFFFFF"/>
          <w:lang w:val="es-ES_tradnl"/>
        </w:rPr>
      </w:pPr>
      <w:r w:rsidRPr="00F41D65">
        <w:rPr>
          <w:rFonts w:ascii="Verdana" w:hAnsi="Verdana"/>
        </w:rPr>
        <w:t>Sobre las audiencias obligatorias de asignación de riesgos y de adjudicación en la licitación pública los conceptos con radicado No. 4201912000005935 del 25 de noviembre de 2019, reiterado y desarrollado en el concepto con radicado No. 4201912000007600 del 23 de diciembre de 2019, C-679 del 23 de noviembre de 2020, C-042 del 3 de marzo de 2021, C-472 del 18 de julio de 2022, C-512 del 10 de agosto de 2022, C-694 del 20 de octubre de 2022, C-368 del 25 de septiembre de 2023, C-003 de 2026, entre otros.</w:t>
      </w:r>
    </w:p>
    <w:p w14:paraId="21239962" w14:textId="77777777" w:rsidR="00BE4F40" w:rsidRDefault="00BE4F40" w:rsidP="00BE4F40">
      <w:pPr>
        <w:spacing w:after="0" w:line="240" w:lineRule="auto"/>
        <w:jc w:val="both"/>
        <w:rPr>
          <w:rFonts w:ascii="Verdana" w:eastAsia="Calibri" w:hAnsi="Verdana" w:cs="Arial"/>
          <w:color w:val="000000" w:themeColor="text1"/>
          <w:shd w:val="clear" w:color="auto" w:fill="FFFFFF"/>
        </w:rPr>
      </w:pPr>
    </w:p>
    <w:p w14:paraId="710C4B96" w14:textId="77777777" w:rsidR="001C6327" w:rsidRPr="006745D3" w:rsidRDefault="001C6327" w:rsidP="001C6327">
      <w:pPr>
        <w:widowControl w:val="0"/>
        <w:autoSpaceDE w:val="0"/>
        <w:autoSpaceDN w:val="0"/>
        <w:spacing w:after="0" w:line="276" w:lineRule="auto"/>
        <w:jc w:val="both"/>
        <w:rPr>
          <w:rFonts w:ascii="Verdana" w:eastAsia="Calibri" w:hAnsi="Verdana" w:cs="Arial"/>
          <w:b/>
          <w:bCs/>
          <w:lang w:val="es-ES" w:eastAsia="es-ES"/>
        </w:rPr>
      </w:pP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FBCA310" w14:textId="77777777" w:rsidR="001C6327" w:rsidRDefault="001C6327" w:rsidP="001C6327">
      <w:pPr>
        <w:spacing w:after="0" w:line="256" w:lineRule="auto"/>
        <w:jc w:val="both"/>
        <w:rPr>
          <w:rFonts w:ascii="Verdana" w:eastAsia="Calibri" w:hAnsi="Verdana" w:cs="Times New Roman"/>
        </w:rPr>
      </w:pPr>
      <w:hyperlink r:id="rId13"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02C89A79" w14:textId="77777777" w:rsidR="001C6327" w:rsidRPr="00EF54B1" w:rsidRDefault="001C6327" w:rsidP="001C6327">
      <w:pPr>
        <w:spacing w:after="0" w:line="240" w:lineRule="auto"/>
        <w:jc w:val="both"/>
        <w:rPr>
          <w:rFonts w:ascii="Verdana" w:eastAsia="Calibri" w:hAnsi="Verdana" w:cs="Arial"/>
          <w:color w:val="000000" w:themeColor="text1"/>
          <w:shd w:val="clear" w:color="auto" w:fill="FFFFFF"/>
        </w:rPr>
      </w:pPr>
    </w:p>
    <w:p w14:paraId="09CBF896" w14:textId="77777777" w:rsidR="001C6327" w:rsidRPr="00EF54B1" w:rsidRDefault="001C6327" w:rsidP="00BE4F40">
      <w:pPr>
        <w:spacing w:after="0" w:line="240" w:lineRule="auto"/>
        <w:jc w:val="both"/>
        <w:rPr>
          <w:rFonts w:ascii="Verdana" w:eastAsia="Calibri" w:hAnsi="Verdana" w:cs="Arial"/>
          <w:color w:val="000000" w:themeColor="text1"/>
          <w:shd w:val="clear" w:color="auto" w:fill="FFFFFF"/>
        </w:rPr>
      </w:pPr>
    </w:p>
    <w:p w14:paraId="6DC012AD" w14:textId="77777777" w:rsidR="00BE4F40" w:rsidRPr="00E15FD8" w:rsidRDefault="00BE4F40" w:rsidP="00BE4F40">
      <w:pPr>
        <w:spacing w:after="120" w:line="276" w:lineRule="auto"/>
        <w:jc w:val="both"/>
        <w:rPr>
          <w:rFonts w:ascii="Aptos" w:eastAsia="Aptos" w:hAnsi="Aptos" w:cs="Times New Roman"/>
          <w:kern w:val="2"/>
          <w:sz w:val="24"/>
          <w:szCs w:val="24"/>
          <w14:ligatures w14:val="standardContextual"/>
        </w:rPr>
      </w:pPr>
      <w:r w:rsidRPr="00E15FD8">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15FD8">
        <w:rPr>
          <w:rFonts w:ascii="Verdana" w:eastAsia="Aptos" w:hAnsi="Verdana" w:cs="Times New Roman"/>
          <w:b/>
          <w:bCs/>
          <w:color w:val="000000"/>
          <w:kern w:val="2"/>
          <w14:ligatures w14:val="standardContextual"/>
        </w:rPr>
        <w:t>Guía para la Exigencia y Constitución de Garantías en los Procesos de Contratación</w:t>
      </w:r>
      <w:r w:rsidRPr="00E15FD8">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B91265">
          <w:rPr>
            <w:rFonts w:ascii="Verdana" w:eastAsia="Aptos" w:hAnsi="Verdana" w:cs="Times New Roman"/>
            <w:color w:val="0000FF"/>
            <w:kern w:val="2"/>
            <w:u w:val="single"/>
            <w14:ligatures w14:val="standardContextual"/>
          </w:rPr>
          <w:t>https://www.colombiacompra.gov.co/archivos/manual/guia-de-garantias-en-procesos-de-contratacion</w:t>
        </w:r>
      </w:hyperlink>
    </w:p>
    <w:p w14:paraId="7C995B06" w14:textId="77777777" w:rsidR="00BE4F40" w:rsidRPr="00E15FD8" w:rsidRDefault="00BE4F40" w:rsidP="00BE4F40">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E15FD8">
        <w:rPr>
          <w:rFonts w:ascii="Verdana" w:eastAsia="Aptos" w:hAnsi="Verdana" w:cs="Times New Roman"/>
          <w:b/>
          <w:bCs/>
          <w:color w:val="000000"/>
          <w:kern w:val="2"/>
          <w14:ligatures w14:val="standardContextual"/>
        </w:rPr>
        <w:t xml:space="preserve">Sistema Integral de Preferencias en favor de las </w:t>
      </w:r>
      <w:r w:rsidRPr="00E15FD8">
        <w:rPr>
          <w:rFonts w:ascii="Verdana" w:eastAsia="Aptos" w:hAnsi="Verdana" w:cs="Times New Roman"/>
          <w:b/>
          <w:bCs/>
          <w:color w:val="000000"/>
          <w:kern w:val="2"/>
          <w14:ligatures w14:val="standardContextual"/>
        </w:rPr>
        <w:lastRenderedPageBreak/>
        <w:t>personas con discapacidad</w:t>
      </w:r>
      <w:r w:rsidRPr="00E15FD8">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E15FD8">
        <w:rPr>
          <w:rFonts w:ascii="Verdana" w:eastAsia="Aptos" w:hAnsi="Verdana" w:cs="Times New Roman"/>
          <w:b/>
          <w:bCs/>
          <w:color w:val="000000"/>
          <w:kern w:val="2"/>
          <w14:ligatures w14:val="standardContextual"/>
        </w:rPr>
        <w:t>Circular Externa 003 del 12 de mayo de 2026, </w:t>
      </w:r>
      <w:r w:rsidRPr="00E15FD8">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https://www.colombiacompra.gov.co/archivos/circular/circular-externa-003-de-2026</w:t>
        </w:r>
      </w:hyperlink>
    </w:p>
    <w:p w14:paraId="2245EFD7" w14:textId="77777777" w:rsidR="00BE4F40" w:rsidRPr="00E15FD8" w:rsidRDefault="00BE4F40" w:rsidP="00BE4F40">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Recuerda también que la</w:t>
      </w:r>
      <w:r w:rsidRPr="00E15FD8">
        <w:rPr>
          <w:rFonts w:ascii="Verdana" w:eastAsia="Aptos" w:hAnsi="Verdana" w:cs="Times New Roman"/>
          <w:b/>
          <w:bCs/>
          <w:color w:val="000000"/>
          <w:kern w:val="2"/>
          <w14:ligatures w14:val="standardContextual"/>
        </w:rPr>
        <w:t> información sobre sanciones e inhabilidades </w:t>
      </w:r>
      <w:r w:rsidRPr="00E15FD8">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E15FD8">
        <w:rPr>
          <w:rFonts w:ascii="Verdana" w:eastAsia="Aptos" w:hAnsi="Verdana" w:cs="Times New Roman"/>
          <w:b/>
          <w:bCs/>
          <w:color w:val="000000"/>
          <w:kern w:val="2"/>
          <w14:ligatures w14:val="standardContextual"/>
        </w:rPr>
        <w:t>Circular Externa 002 del 5 de mayo de 2026,</w:t>
      </w:r>
      <w:r w:rsidRPr="00E15FD8">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https://www.colombiacompra.gov.co/archivos/circular/circular-externa-002-de-2026</w:t>
        </w:r>
      </w:hyperlink>
    </w:p>
    <w:p w14:paraId="700ECBEA" w14:textId="77777777" w:rsidR="00BE4F40" w:rsidRPr="00B91265" w:rsidRDefault="00BE4F40" w:rsidP="00BE4F40">
      <w:pPr>
        <w:spacing w:after="120" w:line="276" w:lineRule="auto"/>
        <w:jc w:val="both"/>
        <w:rPr>
          <w:rFonts w:ascii="Verdana" w:eastAsia="Aptos" w:hAnsi="Verdana" w:cs="Times New Roman"/>
          <w:color w:val="0000FF"/>
          <w:kern w:val="2"/>
          <w14:ligatures w14:val="standardContextual"/>
        </w:rPr>
      </w:pPr>
      <w:r w:rsidRPr="00E15FD8">
        <w:rPr>
          <w:rFonts w:ascii="Verdana" w:eastAsia="Aptos" w:hAnsi="Verdana" w:cs="Times New Roman"/>
          <w:color w:val="000000"/>
          <w:kern w:val="2"/>
          <w14:ligatures w14:val="standardContextual"/>
        </w:rPr>
        <w:t>Finalmente, si quieres seguir de cerca la actividad de la Agencia, la tercera edición de 2026 del</w:t>
      </w:r>
      <w:r w:rsidRPr="00E15FD8">
        <w:rPr>
          <w:rFonts w:ascii="Verdana" w:eastAsia="Aptos" w:hAnsi="Verdana" w:cs="Times New Roman"/>
          <w:b/>
          <w:bCs/>
          <w:color w:val="000000"/>
          <w:kern w:val="2"/>
          <w14:ligatures w14:val="standardContextual"/>
        </w:rPr>
        <w:t> Radar de la Compra Pública</w:t>
      </w:r>
      <w:r w:rsidRPr="00E15FD8">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B91265">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02B1D4C9" w14:textId="77777777" w:rsidR="00BE4F40" w:rsidRPr="009552C8" w:rsidRDefault="00BE4F40" w:rsidP="00BE4F40">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7B3CD166" w14:textId="77777777" w:rsidR="00BE4F40" w:rsidRPr="009552C8" w:rsidRDefault="00BE4F40" w:rsidP="00BE4F40">
      <w:pPr>
        <w:spacing w:after="0" w:line="240" w:lineRule="auto"/>
        <w:jc w:val="both"/>
        <w:rPr>
          <w:rFonts w:ascii="Verdana" w:eastAsia="Aptos" w:hAnsi="Verdana" w:cs="Times New Roman"/>
          <w:kern w:val="2"/>
          <w14:ligatures w14:val="standardContextual"/>
        </w:rPr>
      </w:pPr>
    </w:p>
    <w:p w14:paraId="673A209A" w14:textId="77777777" w:rsidR="00BE4F40" w:rsidRPr="009552C8" w:rsidRDefault="00BE4F40" w:rsidP="00BE4F4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3C01B01A" w14:textId="77777777" w:rsidR="00BE4F40" w:rsidRPr="009552C8" w:rsidRDefault="00BE4F40" w:rsidP="00BE4F4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27CDAE76" w14:textId="662B625E" w:rsidR="00BE4F40" w:rsidRPr="009552C8" w:rsidRDefault="00BE4F40" w:rsidP="00BE4F4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18AAB69E" w14:textId="77777777" w:rsidR="00BE4F40" w:rsidRPr="005D21BF" w:rsidRDefault="00BE4F40" w:rsidP="00BE4F40">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682C8564" w14:textId="68189522" w:rsidR="00BE4F40" w:rsidRDefault="00BE4F40" w:rsidP="00BE4F40">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 xml:space="preserve">Este concepto tiene el alcance previsto en el artículo 28 del Código de </w:t>
      </w:r>
      <w:r w:rsidRPr="00EF54B1">
        <w:rPr>
          <w:rFonts w:ascii="Verdana" w:eastAsia="Calibri" w:hAnsi="Verdana" w:cs="Arial"/>
          <w:color w:val="000000" w:themeColor="text1"/>
          <w:kern w:val="2"/>
          <w:lang w:val="es-ES_tradnl"/>
          <w14:ligatures w14:val="standardContextual"/>
        </w:rPr>
        <w:lastRenderedPageBreak/>
        <w:t>Procedimiento Administrativo y de lo Contencioso Administrativo y las expresiones aquí utilizadas con mayúscula inicial deben ser entendidas con el significado que les otorga el artículo 2.2.1.1.1.3.1. del Decreto 1082 de 2015.</w:t>
      </w:r>
    </w:p>
    <w:p w14:paraId="0F063DCC" w14:textId="459B94F2" w:rsidR="00BE4F40" w:rsidRPr="00EF54B1" w:rsidRDefault="00BE4F40" w:rsidP="00BE4F40">
      <w:pPr>
        <w:widowControl w:val="0"/>
        <w:autoSpaceDE w:val="0"/>
        <w:autoSpaceDN w:val="0"/>
        <w:spacing w:after="0" w:line="276" w:lineRule="auto"/>
        <w:jc w:val="both"/>
        <w:rPr>
          <w:rFonts w:ascii="Verdana" w:eastAsia="Calibri" w:hAnsi="Verdana" w:cs="Arial"/>
          <w:color w:val="000000" w:themeColor="text1"/>
        </w:rPr>
      </w:pPr>
    </w:p>
    <w:p w14:paraId="7D7D873C" w14:textId="040A1BC3" w:rsidR="00BE4F40" w:rsidRPr="00EF54B1" w:rsidRDefault="00BE4F40" w:rsidP="00BE4F40">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53B9F79D" w14:textId="4AB4ACF1" w:rsidR="00BE4F40" w:rsidRDefault="00BE4F40" w:rsidP="00BE4F40">
      <w:pPr>
        <w:tabs>
          <w:tab w:val="left" w:pos="1320"/>
        </w:tabs>
        <w:rPr>
          <w:noProof/>
        </w:rPr>
      </w:pPr>
    </w:p>
    <w:p w14:paraId="16DB4669" w14:textId="4DE005E8" w:rsidR="00653916" w:rsidRPr="00897788" w:rsidRDefault="00897788" w:rsidP="00897788">
      <w:pPr>
        <w:tabs>
          <w:tab w:val="left" w:pos="1320"/>
        </w:tabs>
        <w:jc w:val="center"/>
        <w:rPr>
          <w:noProof/>
        </w:rPr>
      </w:pPr>
      <w:r>
        <w:rPr>
          <w:noProof/>
        </w:rPr>
        <w:drawing>
          <wp:inline distT="0" distB="0" distL="0" distR="0" wp14:anchorId="45836935" wp14:editId="5D67E5E7">
            <wp:extent cx="3637915" cy="1342390"/>
            <wp:effectExtent l="0" t="0" r="0" b="3810"/>
            <wp:docPr id="61977165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37915" cy="1342390"/>
                    </a:xfrm>
                    <a:prstGeom prst="rect">
                      <a:avLst/>
                    </a:prstGeom>
                    <a:noFill/>
                    <a:ln>
                      <a:noFill/>
                    </a:ln>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BE4F40" w14:paraId="53C8434A" w14:textId="77777777" w:rsidTr="006A0A66">
        <w:trPr>
          <w:trHeight w:val="315"/>
        </w:trPr>
        <w:tc>
          <w:tcPr>
            <w:tcW w:w="1185" w:type="dxa"/>
            <w:tcBorders>
              <w:top w:val="nil"/>
              <w:left w:val="nil"/>
              <w:bottom w:val="nil"/>
              <w:right w:val="nil"/>
            </w:tcBorders>
            <w:tcMar>
              <w:left w:w="105" w:type="dxa"/>
              <w:right w:w="105" w:type="dxa"/>
            </w:tcMar>
            <w:vAlign w:val="center"/>
          </w:tcPr>
          <w:p w14:paraId="07267F15" w14:textId="77777777" w:rsidR="00BE4F40" w:rsidRDefault="00BE4F40" w:rsidP="006A0A66">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o</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6AE60864" w14:textId="77777777" w:rsidR="00BE4F40" w:rsidRDefault="00BE4F40" w:rsidP="006A0A66">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15DCD446" w14:textId="77777777" w:rsidR="00BE4F40" w:rsidRPr="005F5CE0" w:rsidRDefault="00BE4F40" w:rsidP="006A0A66">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BE4F40" w14:paraId="5DB25EF3" w14:textId="77777777" w:rsidTr="006A0A66">
        <w:trPr>
          <w:trHeight w:val="315"/>
        </w:trPr>
        <w:tc>
          <w:tcPr>
            <w:tcW w:w="1185" w:type="dxa"/>
            <w:tcBorders>
              <w:top w:val="nil"/>
              <w:left w:val="nil"/>
              <w:bottom w:val="nil"/>
              <w:right w:val="nil"/>
            </w:tcBorders>
            <w:tcMar>
              <w:left w:w="105" w:type="dxa"/>
              <w:right w:w="105" w:type="dxa"/>
            </w:tcMar>
            <w:vAlign w:val="center"/>
          </w:tcPr>
          <w:p w14:paraId="44CA611F" w14:textId="77777777" w:rsidR="00BE4F40" w:rsidRDefault="00BE4F40" w:rsidP="006A0A66">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22FCCA0A" w14:textId="77777777" w:rsidR="00BE4F40" w:rsidRDefault="00BE4F40" w:rsidP="006A0A66">
            <w:pPr>
              <w:rPr>
                <w:rFonts w:ascii="Verdana" w:eastAsia="Verdana" w:hAnsi="Verdana" w:cs="Verdana"/>
                <w:sz w:val="16"/>
                <w:szCs w:val="16"/>
              </w:rPr>
            </w:pPr>
            <w:r>
              <w:rPr>
                <w:rFonts w:ascii="Verdana" w:eastAsia="Verdana" w:hAnsi="Verdana" w:cs="Verdana"/>
                <w:sz w:val="16"/>
                <w:szCs w:val="16"/>
              </w:rPr>
              <w:t>Juan David Cárdenas Cabezas</w:t>
            </w:r>
          </w:p>
          <w:p w14:paraId="56DFAB10" w14:textId="77777777" w:rsidR="00BE4F40" w:rsidRDefault="00BE4F40" w:rsidP="006A0A66">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BE4F40" w14:paraId="4DEC2383" w14:textId="77777777" w:rsidTr="006A0A66">
        <w:trPr>
          <w:trHeight w:val="300"/>
        </w:trPr>
        <w:tc>
          <w:tcPr>
            <w:tcW w:w="1185" w:type="dxa"/>
            <w:tcBorders>
              <w:top w:val="nil"/>
              <w:left w:val="nil"/>
              <w:bottom w:val="nil"/>
              <w:right w:val="nil"/>
            </w:tcBorders>
            <w:tcMar>
              <w:left w:w="105" w:type="dxa"/>
              <w:right w:w="105" w:type="dxa"/>
            </w:tcMar>
            <w:vAlign w:val="center"/>
          </w:tcPr>
          <w:p w14:paraId="1EF17DD3" w14:textId="77777777" w:rsidR="00BE4F40" w:rsidRDefault="00BE4F40" w:rsidP="006A0A66">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3174D08F" w14:textId="478BB28A" w:rsidR="00BE4F40" w:rsidRDefault="00BE4F40" w:rsidP="006A0A66">
            <w:pPr>
              <w:rPr>
                <w:rFonts w:ascii="Verdana" w:eastAsia="Verdana" w:hAnsi="Verdana" w:cs="Verdana"/>
                <w:sz w:val="16"/>
                <w:szCs w:val="16"/>
              </w:rPr>
            </w:pPr>
            <w:r w:rsidRPr="3F869DD7">
              <w:rPr>
                <w:rFonts w:ascii="Verdana" w:eastAsia="Verdana" w:hAnsi="Verdana" w:cs="Verdana"/>
                <w:sz w:val="16"/>
                <w:szCs w:val="16"/>
              </w:rPr>
              <w:t>Carolina Quintero Gacharná</w:t>
            </w:r>
          </w:p>
          <w:p w14:paraId="6971CDAC" w14:textId="77777777" w:rsidR="00BE4F40" w:rsidRDefault="00BE4F40" w:rsidP="006A0A66">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1006A388" w14:textId="24162B2D"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05B68D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E70AC" w14:textId="77777777" w:rsidR="00F305BA" w:rsidRDefault="00F305BA" w:rsidP="004A1847">
      <w:pPr>
        <w:spacing w:after="0" w:line="240" w:lineRule="auto"/>
      </w:pPr>
      <w:r>
        <w:separator/>
      </w:r>
    </w:p>
  </w:endnote>
  <w:endnote w:type="continuationSeparator" w:id="0">
    <w:p w14:paraId="63474BAC" w14:textId="77777777" w:rsidR="00F305BA" w:rsidRDefault="00F305B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Calibri">
    <w:altName w:val="Arial"/>
    <w:panose1 w:val="020B0604020202020204"/>
    <w:charset w:val="00"/>
    <w:family w:val="roman"/>
    <w:pitch w:val="default"/>
  </w:font>
  <w:font w:name="Arial,Times New Roman">
    <w:altName w:val="Arial"/>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E65C6" w14:textId="77777777" w:rsidR="00F305BA" w:rsidRDefault="00F305BA" w:rsidP="004A1847">
      <w:pPr>
        <w:spacing w:after="0" w:line="240" w:lineRule="auto"/>
      </w:pPr>
      <w:r>
        <w:separator/>
      </w:r>
    </w:p>
  </w:footnote>
  <w:footnote w:type="continuationSeparator" w:id="0">
    <w:p w14:paraId="64236542" w14:textId="77777777" w:rsidR="00F305BA" w:rsidRDefault="00F305BA" w:rsidP="004A1847">
      <w:pPr>
        <w:spacing w:after="0" w:line="240" w:lineRule="auto"/>
      </w:pPr>
      <w:r>
        <w:continuationSeparator/>
      </w:r>
    </w:p>
  </w:footnote>
  <w:footnote w:id="1">
    <w:p w14:paraId="78DFE353" w14:textId="77777777" w:rsidR="00BE4F40" w:rsidRPr="00B05F58" w:rsidRDefault="00BE4F40" w:rsidP="00BE4F40">
      <w:pPr>
        <w:spacing w:after="0" w:line="240" w:lineRule="auto"/>
        <w:ind w:firstLine="709"/>
        <w:jc w:val="both"/>
        <w:rPr>
          <w:rFonts w:ascii="Verdana" w:hAnsi="Verdana"/>
          <w:sz w:val="18"/>
          <w:szCs w:val="18"/>
        </w:rPr>
      </w:pPr>
      <w:r w:rsidRPr="00B05F58">
        <w:rPr>
          <w:rStyle w:val="Refdenotaalpie"/>
          <w:rFonts w:ascii="Verdana" w:hAnsi="Verdana"/>
          <w:sz w:val="18"/>
          <w:szCs w:val="18"/>
        </w:rPr>
        <w:footnoteRef/>
      </w:r>
      <w:r w:rsidRPr="00B05F58">
        <w:rPr>
          <w:rFonts w:ascii="Verdana" w:hAnsi="Verdana"/>
          <w:sz w:val="18"/>
          <w:szCs w:val="18"/>
        </w:rPr>
        <w:t xml:space="preserve"> Ley 80 de 1993: “Artículo 26. Del Principio de Responsabilidad. En virtud de este principio:</w:t>
      </w:r>
    </w:p>
    <w:p w14:paraId="4020E867" w14:textId="77777777" w:rsidR="00BE4F40" w:rsidRPr="00B05F58" w:rsidRDefault="00BE4F40" w:rsidP="00BE4F40">
      <w:pPr>
        <w:spacing w:after="0" w:line="240" w:lineRule="auto"/>
        <w:ind w:firstLine="709"/>
        <w:jc w:val="both"/>
        <w:rPr>
          <w:rFonts w:ascii="Verdana" w:hAnsi="Verdana"/>
          <w:sz w:val="18"/>
          <w:szCs w:val="18"/>
        </w:rPr>
      </w:pPr>
      <w:r w:rsidRPr="00B05F58">
        <w:rPr>
          <w:rFonts w:ascii="Verdana" w:hAnsi="Verdana"/>
          <w:sz w:val="18"/>
          <w:szCs w:val="18"/>
        </w:rPr>
        <w:t>[…]</w:t>
      </w:r>
    </w:p>
    <w:p w14:paraId="49809DFF" w14:textId="77777777" w:rsidR="00BE4F40" w:rsidRPr="00B05F58" w:rsidRDefault="00BE4F40" w:rsidP="00BE4F40">
      <w:pPr>
        <w:spacing w:after="0" w:line="240" w:lineRule="auto"/>
        <w:ind w:firstLine="709"/>
        <w:jc w:val="both"/>
        <w:rPr>
          <w:rFonts w:ascii="Verdana" w:hAnsi="Verdana"/>
          <w:sz w:val="18"/>
          <w:szCs w:val="18"/>
        </w:rPr>
      </w:pPr>
      <w:r w:rsidRPr="00B05F58">
        <w:rPr>
          <w:rFonts w:ascii="Verdana" w:hAnsi="Verdana"/>
          <w:sz w:val="18"/>
          <w:szCs w:val="18"/>
        </w:rPr>
        <w:t>6o. Los contratistas responderán cuando formulen propuestas en las que se fijen condiciones económicas y de contratación artificialmente bajas con el propósito de obtener la adjudicación del contrato”.</w:t>
      </w:r>
    </w:p>
    <w:p w14:paraId="663A0CA9" w14:textId="77777777" w:rsidR="00BE4F40" w:rsidRPr="00B05F58" w:rsidRDefault="00BE4F40" w:rsidP="00BE4F40">
      <w:pPr>
        <w:pStyle w:val="Textonotapie"/>
        <w:ind w:firstLine="709"/>
        <w:jc w:val="both"/>
        <w:rPr>
          <w:rFonts w:ascii="Verdana" w:hAnsi="Verdana"/>
          <w:sz w:val="18"/>
          <w:szCs w:val="18"/>
        </w:rPr>
      </w:pPr>
    </w:p>
  </w:footnote>
  <w:footnote w:id="2">
    <w:p w14:paraId="393EE45C" w14:textId="77777777" w:rsidR="00BE4F40" w:rsidRPr="00B05F58" w:rsidRDefault="00BE4F40" w:rsidP="00BE4F40">
      <w:pPr>
        <w:spacing w:after="0" w:line="240" w:lineRule="auto"/>
        <w:ind w:firstLine="709"/>
        <w:jc w:val="both"/>
        <w:rPr>
          <w:rFonts w:ascii="Verdana" w:hAnsi="Verdana"/>
          <w:sz w:val="18"/>
          <w:szCs w:val="18"/>
        </w:rPr>
      </w:pPr>
      <w:r w:rsidRPr="00B05F58">
        <w:rPr>
          <w:rStyle w:val="Refdenotaalpie"/>
          <w:rFonts w:ascii="Verdana" w:hAnsi="Verdana"/>
          <w:sz w:val="18"/>
          <w:szCs w:val="18"/>
        </w:rPr>
        <w:footnoteRef/>
      </w:r>
      <w:r w:rsidRPr="00B05F58">
        <w:rPr>
          <w:rFonts w:ascii="Verdana" w:hAnsi="Verdana"/>
          <w:sz w:val="18"/>
          <w:szCs w:val="18"/>
        </w:rPr>
        <w:t xml:space="preserve"> Decreto 1082 de 2015: “Artículo 2.2.1.1.2.2.4. Oferta con valor artificialmente bajo</w:t>
      </w:r>
      <w:r w:rsidRPr="00B05F58">
        <w:rPr>
          <w:rFonts w:ascii="Verdana" w:hAnsi="Verdana"/>
          <w:b/>
          <w:i/>
          <w:sz w:val="18"/>
          <w:szCs w:val="18"/>
        </w:rPr>
        <w:t xml:space="preserve">. </w:t>
      </w:r>
      <w:r w:rsidRPr="00B05F58">
        <w:rPr>
          <w:rFonts w:ascii="Verdana" w:hAnsi="Verdana"/>
          <w:sz w:val="18"/>
          <w:szCs w:val="18"/>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w:t>
      </w:r>
      <w:r w:rsidRPr="00B05F58">
        <w:rPr>
          <w:rFonts w:ascii="Verdana" w:hAnsi="Verdana"/>
          <w:spacing w:val="-21"/>
          <w:sz w:val="18"/>
          <w:szCs w:val="18"/>
        </w:rPr>
        <w:t xml:space="preserve"> </w:t>
      </w:r>
      <w:r w:rsidRPr="00B05F58">
        <w:rPr>
          <w:rFonts w:ascii="Verdana" w:hAnsi="Verdana"/>
          <w:sz w:val="18"/>
          <w:szCs w:val="18"/>
        </w:rPr>
        <w:t>ofertas.</w:t>
      </w:r>
    </w:p>
    <w:p w14:paraId="3CCB784F" w14:textId="77777777" w:rsidR="00BE4F40" w:rsidRPr="00B05F58" w:rsidRDefault="00BE4F40" w:rsidP="00BE4F40">
      <w:pPr>
        <w:spacing w:after="0" w:line="240" w:lineRule="auto"/>
        <w:ind w:firstLine="709"/>
        <w:jc w:val="both"/>
        <w:rPr>
          <w:rFonts w:ascii="Verdana" w:hAnsi="Verdana"/>
          <w:sz w:val="18"/>
          <w:szCs w:val="18"/>
        </w:rPr>
      </w:pPr>
      <w:r w:rsidRPr="00B05F58">
        <w:rPr>
          <w:rFonts w:ascii="Verdana" w:hAnsi="Verdana"/>
          <w:sz w:val="18"/>
          <w:szCs w:val="18"/>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64D35533" w14:textId="77777777" w:rsidR="00BE4F40" w:rsidRPr="00B05F58" w:rsidRDefault="00BE4F40" w:rsidP="00BE4F40">
      <w:pPr>
        <w:spacing w:after="0" w:line="240" w:lineRule="auto"/>
        <w:ind w:firstLine="709"/>
        <w:jc w:val="both"/>
        <w:rPr>
          <w:rFonts w:ascii="Verdana" w:hAnsi="Verdana"/>
          <w:sz w:val="18"/>
          <w:szCs w:val="18"/>
        </w:rPr>
      </w:pPr>
      <w:r w:rsidRPr="00B05F58">
        <w:rPr>
          <w:rFonts w:ascii="Verdana" w:hAnsi="Verdana"/>
          <w:sz w:val="18"/>
          <w:szCs w:val="18"/>
        </w:rPr>
        <w:t>En la subasta inversa esta disposición es aplicable sobre el precio obtenido al final de la misma”.</w:t>
      </w:r>
    </w:p>
    <w:p w14:paraId="1A7871F4" w14:textId="77777777" w:rsidR="00BE4F40" w:rsidRPr="00B05F58" w:rsidRDefault="00BE4F40" w:rsidP="00BE4F40">
      <w:pPr>
        <w:pStyle w:val="Textonotapie"/>
        <w:ind w:firstLine="709"/>
        <w:jc w:val="both"/>
        <w:rPr>
          <w:rFonts w:ascii="Verdana" w:hAnsi="Verdana"/>
          <w:sz w:val="18"/>
          <w:szCs w:val="18"/>
        </w:rPr>
      </w:pPr>
    </w:p>
  </w:footnote>
  <w:footnote w:id="3">
    <w:p w14:paraId="19B84AC0"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vertAlign w:val="superscript"/>
        </w:rPr>
        <w:footnoteRef/>
      </w:r>
      <w:r w:rsidRPr="00E2075E">
        <w:rPr>
          <w:rFonts w:ascii="Verdana" w:hAnsi="Verdana" w:cs="Arial"/>
          <w:sz w:val="16"/>
          <w:szCs w:val="16"/>
        </w:rPr>
        <w:t xml:space="preserve"> “Artículo 273. A solicitud de cualquiera de los proponentes, el Contralor General de la República y demás autoridades de control fiscal competentes, ordenarán que el acto de adjudicación de una licitación tenga lugar en audiencia pública.</w:t>
      </w:r>
    </w:p>
    <w:p w14:paraId="4E186890"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“Los casos en que se aplique el mecanismo de audiencia pública, la manera como se efectuará la evaluación de las propuestas y las condiciones bajo las cuales se realizará aquella, serán señalados por la ley”.</w:t>
      </w:r>
    </w:p>
    <w:p w14:paraId="19703ABA" w14:textId="77777777" w:rsidR="00BE4F40" w:rsidRPr="00E2075E" w:rsidRDefault="00BE4F40" w:rsidP="00BE4F40">
      <w:pPr>
        <w:pStyle w:val="Textonotapie"/>
        <w:ind w:firstLine="708"/>
        <w:jc w:val="both"/>
        <w:rPr>
          <w:rFonts w:ascii="Verdana" w:hAnsi="Verdana" w:cs="Arial"/>
          <w:sz w:val="16"/>
          <w:szCs w:val="16"/>
        </w:rPr>
      </w:pPr>
    </w:p>
  </w:footnote>
  <w:footnote w:id="4">
    <w:p w14:paraId="01899FF4"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vertAlign w:val="superscript"/>
        </w:rPr>
        <w:footnoteRef/>
      </w:r>
      <w:r w:rsidRPr="00E2075E">
        <w:rPr>
          <w:rFonts w:ascii="Verdana" w:hAnsi="Verdana" w:cs="Arial"/>
          <w:sz w:val="16"/>
          <w:szCs w:val="16"/>
        </w:rPr>
        <w:t xml:space="preserve"> Ley 80 de 1993: “Artículo 30. De la estructura de los procedimientos de selección. La licitación se efectuará conforme a las siguientes reglas:</w:t>
      </w:r>
    </w:p>
    <w:p w14:paraId="17CA17D4"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w:t>
      </w:r>
    </w:p>
    <w:p w14:paraId="3F00DEBB"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“10. En el evento previsto en el artículo 273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1F6D928D"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“De la audiencia se levantará un acta en la que se dejará constancia de las deliberaciones y decisiones que en el desarrollo de la misma se hubieren producido.</w:t>
      </w:r>
    </w:p>
    <w:p w14:paraId="499BE884"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w:t>
      </w:r>
    </w:p>
    <w:p w14:paraId="7D33D9C1" w14:textId="77777777" w:rsidR="00BE4F40" w:rsidRPr="00E2075E" w:rsidRDefault="00BE4F40" w:rsidP="00BE4F40">
      <w:pPr>
        <w:pStyle w:val="Textonotapie"/>
        <w:ind w:firstLine="708"/>
        <w:jc w:val="both"/>
        <w:rPr>
          <w:rFonts w:ascii="Verdana" w:hAnsi="Verdana" w:cs="Arial"/>
          <w:sz w:val="16"/>
          <w:szCs w:val="16"/>
        </w:rPr>
      </w:pPr>
    </w:p>
  </w:footnote>
  <w:footnote w:id="5">
    <w:p w14:paraId="4935BE18"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vertAlign w:val="superscript"/>
        </w:rPr>
        <w:footnoteRef/>
      </w:r>
      <w:r w:rsidRPr="00E2075E">
        <w:rPr>
          <w:rFonts w:ascii="Verdana" w:hAnsi="Verdana" w:cs="Arial"/>
          <w:sz w:val="16"/>
          <w:szCs w:val="16"/>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 </w:t>
      </w:r>
    </w:p>
    <w:p w14:paraId="2DCA77A9"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4B5D592C"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“El acto de adjudicación es irrevocable y obliga a la entidad y al adjudicatario.</w:t>
      </w:r>
    </w:p>
    <w:p w14:paraId="5732D176"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tooltip="Haga clic para abrir TODA la Ley 80 de 1993" w:history="1">
        <w:r w:rsidRPr="00E2075E">
          <w:rPr>
            <w:rFonts w:ascii="Verdana" w:hAnsi="Verdana" w:cs="Arial"/>
            <w:sz w:val="16"/>
            <w:szCs w:val="16"/>
          </w:rPr>
          <w:t>Ley 80 de 1993</w:t>
        </w:r>
      </w:hyperlink>
      <w:r w:rsidRPr="00E2075E">
        <w:rPr>
          <w:rFonts w:ascii="Verdana" w:hAnsi="Verdana" w:cs="Arial"/>
          <w:sz w:val="16"/>
          <w:szCs w:val="16"/>
        </w:rPr>
        <w:t>.</w:t>
      </w:r>
    </w:p>
    <w:p w14:paraId="539A8BF6"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“Sin perjuicio de las potestades a que se refiere el artículo 18 de la </w:t>
      </w:r>
      <w:hyperlink r:id="rId2" w:tooltip="Haga clic para abrir TODA la Ley 80 de 1993" w:history="1">
        <w:r w:rsidRPr="00E2075E">
          <w:rPr>
            <w:rFonts w:ascii="Verdana" w:hAnsi="Verdana" w:cs="Arial"/>
            <w:sz w:val="16"/>
            <w:szCs w:val="16"/>
          </w:rPr>
          <w:t>Ley 80 de 1993</w:t>
        </w:r>
      </w:hyperlink>
      <w:r w:rsidRPr="00E2075E">
        <w:rPr>
          <w:rFonts w:ascii="Verdana" w:hAnsi="Verdana" w:cs="Arial"/>
          <w:sz w:val="16"/>
          <w:szCs w:val="16"/>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6AF82C03" w14:textId="77777777" w:rsidR="00BE4F40" w:rsidRPr="00E2075E" w:rsidRDefault="00BE4F40" w:rsidP="00BE4F40">
      <w:pPr>
        <w:pStyle w:val="Textonotapie"/>
        <w:ind w:firstLine="708"/>
        <w:jc w:val="both"/>
        <w:rPr>
          <w:rFonts w:ascii="Verdana" w:hAnsi="Verdana" w:cs="Arial"/>
          <w:sz w:val="16"/>
          <w:szCs w:val="16"/>
        </w:rPr>
      </w:pPr>
    </w:p>
  </w:footnote>
  <w:footnote w:id="6">
    <w:p w14:paraId="4DBD7283" w14:textId="77777777" w:rsidR="00BE4F40" w:rsidRPr="00E2075E" w:rsidRDefault="00BE4F40" w:rsidP="00BE4F40">
      <w:pPr>
        <w:pStyle w:val="Textonotapie"/>
        <w:ind w:firstLine="709"/>
        <w:rPr>
          <w:rFonts w:ascii="Verdana" w:hAnsi="Verdana" w:cs="Arial"/>
          <w:sz w:val="16"/>
          <w:szCs w:val="16"/>
        </w:rPr>
      </w:pPr>
      <w:r w:rsidRPr="00E2075E">
        <w:rPr>
          <w:rStyle w:val="Refdenotaalpie"/>
          <w:rFonts w:ascii="Verdana" w:hAnsi="Verdana" w:cs="Arial"/>
          <w:sz w:val="16"/>
          <w:szCs w:val="16"/>
        </w:rPr>
        <w:footnoteRef/>
      </w:r>
      <w:r w:rsidRPr="00E2075E">
        <w:rPr>
          <w:rFonts w:ascii="Verdana" w:hAnsi="Verdana" w:cs="Arial"/>
          <w:sz w:val="16"/>
          <w:szCs w:val="16"/>
          <w:lang w:val="pt-BR"/>
        </w:rPr>
        <w:t xml:space="preserve"> Corte Constitucional. Sentencia C-380 de 2008. </w:t>
      </w:r>
      <w:r w:rsidRPr="00E2075E">
        <w:rPr>
          <w:rFonts w:ascii="Verdana" w:hAnsi="Verdana" w:cs="Arial"/>
          <w:sz w:val="16"/>
          <w:szCs w:val="16"/>
        </w:rPr>
        <w:t>M.P. Nilson Pinilla Pinilla.</w:t>
      </w:r>
    </w:p>
    <w:p w14:paraId="77DEFC81" w14:textId="77777777" w:rsidR="00BE4F40" w:rsidRPr="00E2075E" w:rsidRDefault="00BE4F40" w:rsidP="00BE4F40">
      <w:pPr>
        <w:pStyle w:val="Textonotapie"/>
        <w:ind w:firstLine="709"/>
        <w:rPr>
          <w:rFonts w:ascii="Verdana" w:hAnsi="Verdana" w:cs="Arial"/>
          <w:sz w:val="16"/>
          <w:szCs w:val="16"/>
          <w:lang w:val="es-ES"/>
        </w:rPr>
      </w:pPr>
    </w:p>
  </w:footnote>
  <w:footnote w:id="7">
    <w:p w14:paraId="4089D6CD" w14:textId="77777777" w:rsidR="00BE4F40" w:rsidRPr="00E2075E" w:rsidRDefault="00BE4F40" w:rsidP="00BE4F40">
      <w:pPr>
        <w:pStyle w:val="Textonotapie"/>
        <w:ind w:firstLine="708"/>
        <w:jc w:val="both"/>
        <w:rPr>
          <w:rFonts w:ascii="Verdana" w:hAnsi="Verdana" w:cs="Arial"/>
          <w:sz w:val="16"/>
          <w:szCs w:val="16"/>
          <w:lang w:val="es-CO"/>
        </w:rPr>
      </w:pPr>
      <w:r w:rsidRPr="00E2075E">
        <w:rPr>
          <w:rStyle w:val="Refdenotaalpie"/>
          <w:rFonts w:ascii="Verdana" w:hAnsi="Verdana" w:cs="Arial"/>
          <w:sz w:val="16"/>
          <w:szCs w:val="16"/>
        </w:rPr>
        <w:footnoteRef/>
      </w:r>
      <w:r w:rsidRPr="00E2075E">
        <w:rPr>
          <w:rFonts w:ascii="Verdana" w:hAnsi="Verdana" w:cs="Arial"/>
          <w:sz w:val="16"/>
          <w:szCs w:val="16"/>
        </w:rPr>
        <w:t xml:space="preserve"> Lo que se señala a continuación, sin perjuicio de las reglas especiales establecidas por el artículo 1 de la Ley 1882 de 2018, que modificó el artículo 30 de la Ley 80 de 1993, las cuales solo aplican para los procesos de licitación pública dirigidos a seleccionar contratistas de obra.</w:t>
      </w:r>
    </w:p>
  </w:footnote>
  <w:footnote w:id="8">
    <w:p w14:paraId="03024CB8" w14:textId="77777777" w:rsidR="00BE4F40" w:rsidRPr="00E2075E" w:rsidRDefault="00BE4F40" w:rsidP="00BE4F40">
      <w:pPr>
        <w:pStyle w:val="Textonotapie"/>
        <w:ind w:firstLine="708"/>
        <w:jc w:val="both"/>
        <w:rPr>
          <w:rFonts w:ascii="Verdana" w:hAnsi="Verdana" w:cs="Arial"/>
          <w:sz w:val="16"/>
          <w:szCs w:val="16"/>
        </w:rPr>
      </w:pPr>
      <w:r w:rsidRPr="00E2075E">
        <w:rPr>
          <w:rStyle w:val="Refdenotaalpie"/>
          <w:rFonts w:ascii="Verdana" w:hAnsi="Verdana" w:cs="Arial"/>
          <w:sz w:val="16"/>
          <w:szCs w:val="16"/>
        </w:rPr>
        <w:footnoteRef/>
      </w:r>
      <w:r w:rsidRPr="00E2075E">
        <w:rPr>
          <w:rFonts w:ascii="Verdana" w:hAnsi="Verdana" w:cs="Arial"/>
          <w:sz w:val="16"/>
          <w:szCs w:val="16"/>
        </w:rPr>
        <w:t xml:space="preserve"> Decreto 1082 de 2015: ““Artículo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0A45E4F2"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“En la audiencia de asignación de Riesgos, la Entidad Estatal debe presentar el análisis de Riesgos efectuado y hacer la asignación de Riesgos definitiva.</w:t>
      </w:r>
    </w:p>
    <w:p w14:paraId="366CD0F0"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“La Entidad Estatal debe realizar la audiencia de adjudicación en la fecha y hora establecida en el Cronograma, la cual se realizará de acuerdo con las reglas establecidas para el efecto en los mismos y las siguientes consideraciones:</w:t>
      </w:r>
    </w:p>
    <w:p w14:paraId="07985A6D"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7AD1CA95"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“2. La Entidad Estatal debe conceder el uso de la palabra por una única vez al oferente que así lo solicite, para que responda a las observaciones que sobre la evaluación de su oferta hayan hecho los intervinientes.</w:t>
      </w:r>
    </w:p>
    <w:p w14:paraId="5D559ECD"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“3. Toda intervención debe ser hecha por la persona o las personas previamente designadas por el oferente, y estar limitada a la duración máxima que la Entidad Estatal haya señalado con anterioridad.</w:t>
      </w:r>
    </w:p>
    <w:p w14:paraId="38BA153C" w14:textId="77777777" w:rsidR="00BE4F40" w:rsidRPr="00E2075E" w:rsidRDefault="00BE4F40" w:rsidP="00BE4F40">
      <w:pPr>
        <w:pStyle w:val="Textonotapie"/>
        <w:ind w:firstLine="708"/>
        <w:jc w:val="both"/>
        <w:rPr>
          <w:rFonts w:ascii="Verdana" w:hAnsi="Verdana" w:cs="Arial"/>
          <w:sz w:val="16"/>
          <w:szCs w:val="16"/>
        </w:rPr>
      </w:pPr>
      <w:r w:rsidRPr="00E2075E">
        <w:rPr>
          <w:rFonts w:ascii="Verdana" w:hAnsi="Verdana" w:cs="Arial"/>
          <w:sz w:val="16"/>
          <w:szCs w:val="16"/>
        </w:rPr>
        <w:t>“4. La Entidad Estatal puede prescindir de la lectura del borrador del acto administrativo de adjudicación siempre que lo haya publicado en el SECOP con antelación.</w:t>
      </w:r>
    </w:p>
    <w:p w14:paraId="55CD74D0" w14:textId="77777777" w:rsidR="00BE4F40" w:rsidRPr="00E2075E" w:rsidRDefault="00BE4F40" w:rsidP="00BE4F40">
      <w:pPr>
        <w:pStyle w:val="Textonotapie"/>
        <w:ind w:firstLine="708"/>
        <w:jc w:val="both"/>
        <w:rPr>
          <w:rFonts w:ascii="Verdana" w:hAnsi="Verdana" w:cs="Arial"/>
          <w:sz w:val="16"/>
          <w:szCs w:val="16"/>
          <w:lang w:val="es-ES"/>
        </w:rPr>
      </w:pPr>
      <w:r w:rsidRPr="00E2075E">
        <w:rPr>
          <w:rFonts w:ascii="Verdana" w:hAnsi="Verdana" w:cs="Arial"/>
          <w:sz w:val="16"/>
          <w:szCs w:val="16"/>
        </w:rPr>
        <w:t xml:space="preserve">“5. Terminadas las intervenciones de los asistentes a la audiencia, se procederá a adoptar la decisión que corresponda”. </w:t>
      </w:r>
    </w:p>
  </w:footnote>
  <w:footnote w:id="9">
    <w:p w14:paraId="46073D7B" w14:textId="77777777" w:rsidR="00BE4F40" w:rsidRPr="00B05F58" w:rsidRDefault="00BE4F40" w:rsidP="00BE4F40">
      <w:pPr>
        <w:pStyle w:val="Textonotapie"/>
        <w:ind w:firstLine="708"/>
        <w:jc w:val="both"/>
        <w:rPr>
          <w:rFonts w:ascii="Verdana" w:hAnsi="Verdana" w:cs="Arial"/>
          <w:color w:val="000000"/>
          <w:sz w:val="18"/>
          <w:szCs w:val="18"/>
        </w:rPr>
      </w:pPr>
      <w:r w:rsidRPr="00B05F58">
        <w:rPr>
          <w:rStyle w:val="Refdenotaalpie"/>
          <w:rFonts w:ascii="Verdana" w:hAnsi="Verdana" w:cs="Arial"/>
          <w:color w:val="000000"/>
          <w:sz w:val="18"/>
          <w:szCs w:val="18"/>
        </w:rPr>
        <w:footnoteRef/>
      </w:r>
      <w:r w:rsidRPr="00B05F58">
        <w:rPr>
          <w:rFonts w:ascii="Verdana" w:hAnsi="Verdana" w:cs="Arial"/>
          <w:color w:val="000000"/>
          <w:sz w:val="18"/>
          <w:szCs w:val="18"/>
        </w:rPr>
        <w:t xml:space="preserve"> Banco de la República. Circular Reglamentaria Externa – DOAM – 146 de 4 de noviembre de 2020.</w:t>
      </w:r>
    </w:p>
    <w:p w14:paraId="1ECE836F" w14:textId="77777777" w:rsidR="00BE4F40" w:rsidRPr="00B05F58" w:rsidRDefault="00BE4F40" w:rsidP="00BE4F40">
      <w:pPr>
        <w:pStyle w:val="Textonotapie"/>
        <w:ind w:firstLine="708"/>
        <w:jc w:val="both"/>
        <w:rPr>
          <w:rFonts w:ascii="Verdana" w:hAnsi="Verdana" w:cs="Arial"/>
          <w:color w:val="000000"/>
          <w:sz w:val="18"/>
          <w:szCs w:val="18"/>
        </w:rPr>
      </w:pPr>
    </w:p>
  </w:footnote>
  <w:footnote w:id="10">
    <w:p w14:paraId="7394F471" w14:textId="77777777" w:rsidR="00BE4F40" w:rsidRPr="00B05F58" w:rsidRDefault="00BE4F40" w:rsidP="00BE4F40">
      <w:pPr>
        <w:pStyle w:val="Textonotapie"/>
        <w:ind w:firstLine="708"/>
        <w:jc w:val="both"/>
        <w:rPr>
          <w:rFonts w:ascii="Verdana" w:hAnsi="Verdana" w:cs="Arial"/>
          <w:color w:val="000000"/>
          <w:sz w:val="18"/>
          <w:szCs w:val="18"/>
        </w:rPr>
      </w:pPr>
      <w:r w:rsidRPr="00B05F58">
        <w:rPr>
          <w:rStyle w:val="Refdenotaalpie"/>
          <w:rFonts w:ascii="Verdana" w:hAnsi="Verdana" w:cs="Arial"/>
          <w:color w:val="000000"/>
          <w:sz w:val="18"/>
          <w:szCs w:val="18"/>
        </w:rPr>
        <w:footnoteRef/>
      </w:r>
      <w:r w:rsidRPr="00B05F58">
        <w:rPr>
          <w:rFonts w:ascii="Verdana" w:hAnsi="Verdana" w:cs="Arial"/>
          <w:color w:val="000000"/>
          <w:sz w:val="18"/>
          <w:szCs w:val="18"/>
        </w:rPr>
        <w:t xml:space="preserve"> Banco de la República. Disponible en línea: </w:t>
      </w:r>
      <w:hyperlink r:id="rId3" w:history="1">
        <w:r w:rsidRPr="00B05F58">
          <w:rPr>
            <w:rStyle w:val="Hipervnculo"/>
            <w:rFonts w:ascii="Verdana" w:hAnsi="Verdana" w:cs="Arial"/>
            <w:color w:val="000000"/>
            <w:sz w:val="18"/>
            <w:szCs w:val="18"/>
          </w:rPr>
          <w:t>https://www.banrep.gov.co/es/estadisticas/trm</w:t>
        </w:r>
      </w:hyperlink>
      <w:r w:rsidRPr="00B05F58">
        <w:rPr>
          <w:rStyle w:val="Hipervnculo"/>
          <w:rFonts w:ascii="Verdana" w:hAnsi="Verdana" w:cs="Arial"/>
          <w:color w:val="000000"/>
          <w:sz w:val="18"/>
          <w:szCs w:val="18"/>
        </w:rPr>
        <w:t xml:space="preserve">. </w:t>
      </w:r>
      <w:r w:rsidRPr="00B05F58">
        <w:rPr>
          <w:rStyle w:val="Hipervnculo"/>
          <w:rFonts w:ascii="Verdana" w:hAnsi="Verdana" w:cs="Arial"/>
          <w:color w:val="000000"/>
          <w:sz w:val="18"/>
          <w:szCs w:val="18"/>
          <w:u w:val="none"/>
        </w:rPr>
        <w:t>Consultado el 5 de agosto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35" type="#_x0000_t75" style="width:12.1pt;height:12.1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C23E39"/>
    <w:multiLevelType w:val="hybridMultilevel"/>
    <w:tmpl w:val="A9BC1CE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185FA0"/>
    <w:multiLevelType w:val="hybridMultilevel"/>
    <w:tmpl w:val="3250ADE2"/>
    <w:lvl w:ilvl="0" w:tplc="C3146ED4">
      <w:start w:val="1"/>
      <w:numFmt w:val="lowerRoman"/>
      <w:lvlText w:val="%1)"/>
      <w:lvlJc w:val="left"/>
      <w:pPr>
        <w:ind w:left="1440" w:hanging="720"/>
      </w:pPr>
      <w:rPr>
        <w:rFonts w:eastAsia="Calibri" w:cs="Times New Roman"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8FF1356"/>
    <w:multiLevelType w:val="hybridMultilevel"/>
    <w:tmpl w:val="269A5CD4"/>
    <w:lvl w:ilvl="0" w:tplc="A0F69C14">
      <w:start w:val="1"/>
      <w:numFmt w:val="lowerRoman"/>
      <w:lvlText w:val="%1)"/>
      <w:lvlJc w:val="left"/>
      <w:pPr>
        <w:ind w:left="1080" w:hanging="360"/>
      </w:pPr>
      <w:rPr>
        <w:rFonts w:ascii="Verdana" w:eastAsiaTheme="minorHAnsi" w:hAnsi="Verdana" w:cstheme="minorBid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3" w15:restartNumberingAfterBreak="0">
    <w:nsid w:val="4BBC3C8F"/>
    <w:multiLevelType w:val="hybridMultilevel"/>
    <w:tmpl w:val="2F08A6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1274352">
    <w:abstractNumId w:val="0"/>
  </w:num>
  <w:num w:numId="18" w16cid:durableId="634795336">
    <w:abstractNumId w:val="19"/>
  </w:num>
  <w:num w:numId="19" w16cid:durableId="92014677">
    <w:abstractNumId w:val="13"/>
  </w:num>
  <w:num w:numId="20" w16cid:durableId="465978032">
    <w:abstractNumId w:val="3"/>
  </w:num>
  <w:num w:numId="21" w16cid:durableId="1472013740">
    <w:abstractNumId w:val="5"/>
  </w:num>
  <w:num w:numId="22" w16cid:durableId="1534684230">
    <w:abstractNumId w:val="12"/>
  </w:num>
  <w:num w:numId="23" w16cid:durableId="6790895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6FE"/>
    <w:rsid w:val="00016F78"/>
    <w:rsid w:val="0004178B"/>
    <w:rsid w:val="00046945"/>
    <w:rsid w:val="00061B2A"/>
    <w:rsid w:val="00077F68"/>
    <w:rsid w:val="00082362"/>
    <w:rsid w:val="00083A3B"/>
    <w:rsid w:val="000A230D"/>
    <w:rsid w:val="000A683E"/>
    <w:rsid w:val="000B19B9"/>
    <w:rsid w:val="000D0334"/>
    <w:rsid w:val="000D5DA7"/>
    <w:rsid w:val="000F6486"/>
    <w:rsid w:val="00116940"/>
    <w:rsid w:val="00125105"/>
    <w:rsid w:val="00127233"/>
    <w:rsid w:val="00135D7F"/>
    <w:rsid w:val="0015699B"/>
    <w:rsid w:val="001704DE"/>
    <w:rsid w:val="001775EA"/>
    <w:rsid w:val="001A33BF"/>
    <w:rsid w:val="001C6327"/>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32B52"/>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276D2"/>
    <w:rsid w:val="005566E8"/>
    <w:rsid w:val="00560BCE"/>
    <w:rsid w:val="00574867"/>
    <w:rsid w:val="00591460"/>
    <w:rsid w:val="005A65E0"/>
    <w:rsid w:val="005C3777"/>
    <w:rsid w:val="005C5CDC"/>
    <w:rsid w:val="005D476C"/>
    <w:rsid w:val="006200BF"/>
    <w:rsid w:val="006219F8"/>
    <w:rsid w:val="006302F7"/>
    <w:rsid w:val="00646B9F"/>
    <w:rsid w:val="00653916"/>
    <w:rsid w:val="00665D70"/>
    <w:rsid w:val="00675B7F"/>
    <w:rsid w:val="006900D9"/>
    <w:rsid w:val="006B18CD"/>
    <w:rsid w:val="006B3501"/>
    <w:rsid w:val="006F2682"/>
    <w:rsid w:val="00706C16"/>
    <w:rsid w:val="00732A79"/>
    <w:rsid w:val="007340C3"/>
    <w:rsid w:val="0075235A"/>
    <w:rsid w:val="00756841"/>
    <w:rsid w:val="007649AB"/>
    <w:rsid w:val="00771D0C"/>
    <w:rsid w:val="007833AC"/>
    <w:rsid w:val="007909B9"/>
    <w:rsid w:val="007B268C"/>
    <w:rsid w:val="007B7171"/>
    <w:rsid w:val="007C0C0F"/>
    <w:rsid w:val="007C3DC2"/>
    <w:rsid w:val="007E5497"/>
    <w:rsid w:val="00806F5F"/>
    <w:rsid w:val="00820278"/>
    <w:rsid w:val="008258C9"/>
    <w:rsid w:val="00844AE9"/>
    <w:rsid w:val="00867F95"/>
    <w:rsid w:val="008843B6"/>
    <w:rsid w:val="00891928"/>
    <w:rsid w:val="0089778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B1362"/>
    <w:rsid w:val="00AC0F0C"/>
    <w:rsid w:val="00AC3EC3"/>
    <w:rsid w:val="00B00C0E"/>
    <w:rsid w:val="00B01B1A"/>
    <w:rsid w:val="00B0381D"/>
    <w:rsid w:val="00B0471A"/>
    <w:rsid w:val="00B44A47"/>
    <w:rsid w:val="00B72CD3"/>
    <w:rsid w:val="00B72FFF"/>
    <w:rsid w:val="00BA7FBA"/>
    <w:rsid w:val="00BC3D36"/>
    <w:rsid w:val="00BD54A6"/>
    <w:rsid w:val="00BD7F72"/>
    <w:rsid w:val="00BE4F40"/>
    <w:rsid w:val="00BF7425"/>
    <w:rsid w:val="00C04FB3"/>
    <w:rsid w:val="00C11D8B"/>
    <w:rsid w:val="00C15139"/>
    <w:rsid w:val="00C1548F"/>
    <w:rsid w:val="00C330EB"/>
    <w:rsid w:val="00C41ACB"/>
    <w:rsid w:val="00C50D69"/>
    <w:rsid w:val="00C5365C"/>
    <w:rsid w:val="00C754BE"/>
    <w:rsid w:val="00C76B1C"/>
    <w:rsid w:val="00C925AC"/>
    <w:rsid w:val="00CB6357"/>
    <w:rsid w:val="00CC1B26"/>
    <w:rsid w:val="00CF00E1"/>
    <w:rsid w:val="00D30DE0"/>
    <w:rsid w:val="00D31A05"/>
    <w:rsid w:val="00D361FD"/>
    <w:rsid w:val="00D423A2"/>
    <w:rsid w:val="00D44E26"/>
    <w:rsid w:val="00D520D8"/>
    <w:rsid w:val="00D63AC2"/>
    <w:rsid w:val="00D7383B"/>
    <w:rsid w:val="00D7788A"/>
    <w:rsid w:val="00DA231B"/>
    <w:rsid w:val="00DB6B8B"/>
    <w:rsid w:val="00DC39FC"/>
    <w:rsid w:val="00DF5254"/>
    <w:rsid w:val="00DF70DB"/>
    <w:rsid w:val="00E02524"/>
    <w:rsid w:val="00E12B2B"/>
    <w:rsid w:val="00E16408"/>
    <w:rsid w:val="00E20894"/>
    <w:rsid w:val="00E245AB"/>
    <w:rsid w:val="00E2764C"/>
    <w:rsid w:val="00E27F2E"/>
    <w:rsid w:val="00E50AFE"/>
    <w:rsid w:val="00E75C92"/>
    <w:rsid w:val="00E771DC"/>
    <w:rsid w:val="00E8772A"/>
    <w:rsid w:val="00E90F6B"/>
    <w:rsid w:val="00E92C27"/>
    <w:rsid w:val="00EA0E3D"/>
    <w:rsid w:val="00EA3CEA"/>
    <w:rsid w:val="00EC38A7"/>
    <w:rsid w:val="00ED3498"/>
    <w:rsid w:val="00EE11C0"/>
    <w:rsid w:val="00EE1AA8"/>
    <w:rsid w:val="00F23FEA"/>
    <w:rsid w:val="00F305BA"/>
    <w:rsid w:val="00F317FF"/>
    <w:rsid w:val="00F31EDC"/>
    <w:rsid w:val="00F4175A"/>
    <w:rsid w:val="00F41D65"/>
    <w:rsid w:val="00F436FA"/>
    <w:rsid w:val="00F462B3"/>
    <w:rsid w:val="00F5664F"/>
    <w:rsid w:val="00F666C4"/>
    <w:rsid w:val="00F7624B"/>
    <w:rsid w:val="00F76AFC"/>
    <w:rsid w:val="00FA47C0"/>
    <w:rsid w:val="00FB5DD1"/>
    <w:rsid w:val="00FC2B5D"/>
    <w:rsid w:val="00FF1449"/>
    <w:rsid w:val="00FF7963"/>
    <w:rsid w:val="048330A9"/>
    <w:rsid w:val="06161233"/>
    <w:rsid w:val="071B8F93"/>
    <w:rsid w:val="07C73DD1"/>
    <w:rsid w:val="09908A09"/>
    <w:rsid w:val="0E0AF0F4"/>
    <w:rsid w:val="0EFE6349"/>
    <w:rsid w:val="0FBFA83D"/>
    <w:rsid w:val="0FF4CCA8"/>
    <w:rsid w:val="13CFC91B"/>
    <w:rsid w:val="19A2EC2C"/>
    <w:rsid w:val="21779BE6"/>
    <w:rsid w:val="2859CA1B"/>
    <w:rsid w:val="2C4D2425"/>
    <w:rsid w:val="2EE1E026"/>
    <w:rsid w:val="2F44F38F"/>
    <w:rsid w:val="30519F9C"/>
    <w:rsid w:val="30821638"/>
    <w:rsid w:val="32A4F9CF"/>
    <w:rsid w:val="33A1FF93"/>
    <w:rsid w:val="356CEDFD"/>
    <w:rsid w:val="3C117FE3"/>
    <w:rsid w:val="3C591AFD"/>
    <w:rsid w:val="42183F0A"/>
    <w:rsid w:val="44340535"/>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BE4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E4F4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E4F40"/>
    <w:rPr>
      <w:rFonts w:ascii="Geomanist Light" w:hAnsi="Geomanist Light"/>
      <w:lang w:val="es-ES"/>
    </w:rPr>
  </w:style>
  <w:style w:type="paragraph" w:styleId="Textocomentario">
    <w:name w:val="annotation text"/>
    <w:basedOn w:val="Normal"/>
    <w:link w:val="TextocomentarioCar"/>
    <w:uiPriority w:val="99"/>
    <w:semiHidden/>
    <w:unhideWhenUsed/>
    <w:rsid w:val="00C41AC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41ACB"/>
    <w:rPr>
      <w:sz w:val="20"/>
      <w:szCs w:val="20"/>
    </w:rPr>
  </w:style>
  <w:style w:type="character" w:styleId="Refdecomentario">
    <w:name w:val="annotation reference"/>
    <w:basedOn w:val="Fuentedeprrafopredeter"/>
    <w:uiPriority w:val="99"/>
    <w:semiHidden/>
    <w:unhideWhenUsed/>
    <w:rsid w:val="00C41AC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5181">
      <w:bodyDiv w:val="1"/>
      <w:marLeft w:val="0"/>
      <w:marRight w:val="0"/>
      <w:marTop w:val="0"/>
      <w:marBottom w:val="0"/>
      <w:divBdr>
        <w:top w:val="none" w:sz="0" w:space="0" w:color="auto"/>
        <w:left w:val="none" w:sz="0" w:space="0" w:color="auto"/>
        <w:bottom w:val="none" w:sz="0" w:space="0" w:color="auto"/>
        <w:right w:val="none" w:sz="0" w:space="0" w:color="auto"/>
      </w:divBdr>
    </w:div>
    <w:div w:id="44835844">
      <w:bodyDiv w:val="1"/>
      <w:marLeft w:val="0"/>
      <w:marRight w:val="0"/>
      <w:marTop w:val="0"/>
      <w:marBottom w:val="0"/>
      <w:divBdr>
        <w:top w:val="none" w:sz="0" w:space="0" w:color="auto"/>
        <w:left w:val="none" w:sz="0" w:space="0" w:color="auto"/>
        <w:bottom w:val="none" w:sz="0" w:space="0" w:color="auto"/>
        <w:right w:val="none" w:sz="0" w:space="0" w:color="auto"/>
      </w:divBdr>
    </w:div>
    <w:div w:id="47536877">
      <w:bodyDiv w:val="1"/>
      <w:marLeft w:val="0"/>
      <w:marRight w:val="0"/>
      <w:marTop w:val="0"/>
      <w:marBottom w:val="0"/>
      <w:divBdr>
        <w:top w:val="none" w:sz="0" w:space="0" w:color="auto"/>
        <w:left w:val="none" w:sz="0" w:space="0" w:color="auto"/>
        <w:bottom w:val="none" w:sz="0" w:space="0" w:color="auto"/>
        <w:right w:val="none" w:sz="0" w:space="0" w:color="auto"/>
      </w:divBdr>
    </w:div>
    <w:div w:id="186020941">
      <w:bodyDiv w:val="1"/>
      <w:marLeft w:val="0"/>
      <w:marRight w:val="0"/>
      <w:marTop w:val="0"/>
      <w:marBottom w:val="0"/>
      <w:divBdr>
        <w:top w:val="none" w:sz="0" w:space="0" w:color="auto"/>
        <w:left w:val="none" w:sz="0" w:space="0" w:color="auto"/>
        <w:bottom w:val="none" w:sz="0" w:space="0" w:color="auto"/>
        <w:right w:val="none" w:sz="0" w:space="0" w:color="auto"/>
      </w:divBdr>
    </w:div>
    <w:div w:id="324820565">
      <w:bodyDiv w:val="1"/>
      <w:marLeft w:val="0"/>
      <w:marRight w:val="0"/>
      <w:marTop w:val="0"/>
      <w:marBottom w:val="0"/>
      <w:divBdr>
        <w:top w:val="none" w:sz="0" w:space="0" w:color="auto"/>
        <w:left w:val="none" w:sz="0" w:space="0" w:color="auto"/>
        <w:bottom w:val="none" w:sz="0" w:space="0" w:color="auto"/>
        <w:right w:val="none" w:sz="0" w:space="0" w:color="auto"/>
      </w:divBdr>
    </w:div>
    <w:div w:id="50058046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19746836">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5642483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68492133">
      <w:bodyDiv w:val="1"/>
      <w:marLeft w:val="0"/>
      <w:marRight w:val="0"/>
      <w:marTop w:val="0"/>
      <w:marBottom w:val="0"/>
      <w:divBdr>
        <w:top w:val="none" w:sz="0" w:space="0" w:color="auto"/>
        <w:left w:val="none" w:sz="0" w:space="0" w:color="auto"/>
        <w:bottom w:val="none" w:sz="0" w:space="0" w:color="auto"/>
        <w:right w:val="none" w:sz="0" w:space="0" w:color="auto"/>
      </w:divBdr>
    </w:div>
    <w:div w:id="1631789449">
      <w:bodyDiv w:val="1"/>
      <w:marLeft w:val="0"/>
      <w:marRight w:val="0"/>
      <w:marTop w:val="0"/>
      <w:marBottom w:val="0"/>
      <w:divBdr>
        <w:top w:val="none" w:sz="0" w:space="0" w:color="auto"/>
        <w:left w:val="none" w:sz="0" w:space="0" w:color="auto"/>
        <w:bottom w:val="none" w:sz="0" w:space="0" w:color="auto"/>
        <w:right w:val="none" w:sz="0" w:space="0" w:color="auto"/>
      </w:divBdr>
    </w:div>
    <w:div w:id="1827014840">
      <w:bodyDiv w:val="1"/>
      <w:marLeft w:val="0"/>
      <w:marRight w:val="0"/>
      <w:marTop w:val="0"/>
      <w:marBottom w:val="0"/>
      <w:divBdr>
        <w:top w:val="none" w:sz="0" w:space="0" w:color="auto"/>
        <w:left w:val="none" w:sz="0" w:space="0" w:color="auto"/>
        <w:bottom w:val="none" w:sz="0" w:space="0" w:color="auto"/>
        <w:right w:val="none" w:sz="0" w:space="0" w:color="auto"/>
      </w:divBdr>
    </w:div>
    <w:div w:id="1961913024">
      <w:bodyDiv w:val="1"/>
      <w:marLeft w:val="0"/>
      <w:marRight w:val="0"/>
      <w:marTop w:val="0"/>
      <w:marBottom w:val="0"/>
      <w:divBdr>
        <w:top w:val="none" w:sz="0" w:space="0" w:color="auto"/>
        <w:left w:val="none" w:sz="0" w:space="0" w:color="auto"/>
        <w:bottom w:val="none" w:sz="0" w:space="0" w:color="auto"/>
        <w:right w:val="none" w:sz="0" w:space="0" w:color="auto"/>
      </w:divBdr>
    </w:div>
    <w:div w:id="203190836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normativa-y-relatoria/guias-y-manuales"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seolay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banrep.gov.co/es/estadisticas/trm" TargetMode="External"/><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80BD48-85D9-4B5E-A692-613ED0C6D22D}"/>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24</Pages>
  <Words>8034</Words>
  <Characters>44188</Characters>
  <Application>Microsoft Office Word</Application>
  <DocSecurity>0</DocSecurity>
  <Lines>368</Lines>
  <Paragraphs>104</Paragraphs>
  <ScaleCrop>false</ScaleCrop>
  <Company/>
  <LinksUpToDate>false</LinksUpToDate>
  <CharactersWithSpaces>52118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5</cp:revision>
  <cp:lastPrinted>2023-01-10T21:18:00Z</cp:lastPrinted>
  <dcterms:created xsi:type="dcterms:W3CDTF">2026-10-15T12:49:00Z</dcterms:created>
  <dcterms:modified xsi:type="dcterms:W3CDTF">2026-10-19T03:55:00Z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