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DD3855" w14:textId="73FE70F4" w:rsidR="00C87622" w:rsidRPr="00C87622" w:rsidRDefault="00C87622" w:rsidP="00C87622">
      <w:pPr>
        <w:spacing w:after="120" w:line="276" w:lineRule="auto"/>
        <w:jc w:val="both"/>
        <w:rPr>
          <w:rFonts w:ascii="Verdana" w:eastAsia="Times New Roman" w:hAnsi="Verdana" w:cs="Times New Roman"/>
          <w:b/>
          <w:bCs/>
          <w:lang w:eastAsia="es-CO"/>
        </w:rPr>
      </w:pPr>
      <w:r w:rsidRPr="00C87622">
        <w:rPr>
          <w:rFonts w:ascii="Verdana" w:eastAsia="Times New Roman" w:hAnsi="Verdana" w:cs="Times New Roman"/>
          <w:b/>
          <w:bCs/>
          <w:lang w:eastAsia="es-CO"/>
        </w:rPr>
        <w:t xml:space="preserve">CONTRATO DE PRESTACIÓN DE SERVICIOS – Concepto  </w:t>
      </w:r>
    </w:p>
    <w:p w14:paraId="2147C8EE" w14:textId="660F5DBE" w:rsidR="00C87622" w:rsidRPr="00C87622" w:rsidRDefault="00C87622" w:rsidP="00C87622">
      <w:pPr>
        <w:spacing w:after="120" w:line="276" w:lineRule="auto"/>
        <w:jc w:val="both"/>
        <w:rPr>
          <w:rFonts w:ascii="Verdana" w:eastAsia="Times New Roman" w:hAnsi="Verdana" w:cs="Times New Roman"/>
          <w:sz w:val="20"/>
          <w:szCs w:val="20"/>
          <w:lang w:eastAsia="es-CO"/>
        </w:rPr>
      </w:pPr>
      <w:r w:rsidRPr="00C87622">
        <w:rPr>
          <w:rFonts w:ascii="Verdana" w:eastAsia="Times New Roman" w:hAnsi="Verdana" w:cs="Times New Roman"/>
          <w:sz w:val="20"/>
          <w:szCs w:val="20"/>
          <w:lang w:eastAsia="es-CO"/>
        </w:rPr>
        <w:t>El contrato de prestación de</w:t>
      </w:r>
      <w:r w:rsidRPr="00C87622">
        <w:rPr>
          <w:rFonts w:ascii="Verdana" w:eastAsia="Calibri" w:hAnsi="Verdana" w:cs="Arial"/>
          <w:sz w:val="20"/>
          <w:szCs w:val="20"/>
        </w:rPr>
        <w:t xml:space="preserve"> servicios es uno de los tipos contractuales consagrados en el Estatuto General de Contratación de la Administración Pública, que pueden celebrar las entidades estatales. Se trata de un contrato típico, ya que se encuentra definido en la ley. Concretamente, el artículo 32, numeral 3º, de la Ley 80 de 1993, establece:</w:t>
      </w:r>
      <w:r w:rsidRPr="00C87622">
        <w:rPr>
          <w:rFonts w:ascii="Verdana" w:eastAsia="Calibri" w:hAnsi="Verdana" w:cs="Arial"/>
          <w:sz w:val="20"/>
          <w:szCs w:val="20"/>
          <w:lang w:val="es-ES_tradnl"/>
        </w:rPr>
        <w:t xml:space="preserve"> </w:t>
      </w:r>
      <w:r w:rsidRPr="00C87622">
        <w:rPr>
          <w:rFonts w:ascii="Verdana" w:eastAsia="Calibri" w:hAnsi="Verdana" w:cs="Arial"/>
          <w:sz w:val="20"/>
          <w:szCs w:val="20"/>
        </w:rPr>
        <w:t>Son contratos de prestación de servicios los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w:t>
      </w:r>
      <w:r w:rsidRPr="00C87622">
        <w:rPr>
          <w:rFonts w:ascii="Verdana" w:eastAsia="Calibri" w:hAnsi="Verdana" w:cs="Arial"/>
          <w:sz w:val="20"/>
          <w:szCs w:val="20"/>
          <w:lang w:val="es-ES_tradnl"/>
        </w:rPr>
        <w:t xml:space="preserve"> </w:t>
      </w:r>
      <w:r w:rsidRPr="00C87622">
        <w:rPr>
          <w:rFonts w:ascii="Verdana" w:eastAsia="Calibri" w:hAnsi="Verdana" w:cs="Arial"/>
          <w:sz w:val="20"/>
          <w:szCs w:val="20"/>
        </w:rPr>
        <w:t xml:space="preserve">En ningún caso estos contratos generan relación laboral ni prestaciones </w:t>
      </w:r>
      <w:r w:rsidRPr="00C87622">
        <w:rPr>
          <w:rFonts w:ascii="Verdana" w:eastAsia="Times New Roman" w:hAnsi="Verdana" w:cs="Times New Roman"/>
          <w:sz w:val="20"/>
          <w:szCs w:val="20"/>
          <w:lang w:eastAsia="es-CO"/>
        </w:rPr>
        <w:t>sociales y se celebrarán por el término estrictamente indispensable.</w:t>
      </w:r>
    </w:p>
    <w:p w14:paraId="03C240C6" w14:textId="5159718A" w:rsidR="00C87622" w:rsidRPr="00C87622" w:rsidRDefault="00C87622" w:rsidP="00C87622">
      <w:pPr>
        <w:spacing w:after="120" w:line="276" w:lineRule="auto"/>
        <w:jc w:val="both"/>
        <w:rPr>
          <w:rFonts w:ascii="Verdana" w:eastAsia="Times New Roman" w:hAnsi="Verdana" w:cs="Times New Roman"/>
          <w:b/>
          <w:bCs/>
          <w:lang w:eastAsia="es-CO"/>
        </w:rPr>
      </w:pPr>
      <w:r w:rsidRPr="00C87622">
        <w:rPr>
          <w:rFonts w:ascii="Verdana" w:eastAsia="Times New Roman" w:hAnsi="Verdana" w:cs="Times New Roman"/>
          <w:b/>
          <w:bCs/>
          <w:lang w:eastAsia="es-CO"/>
        </w:rPr>
        <w:t>CONTRATO DE PRESTACIÓN DE SERVICIOS – Características</w:t>
      </w:r>
    </w:p>
    <w:p w14:paraId="6139A09F" w14:textId="0802514C" w:rsidR="00C87622" w:rsidRPr="00DC4CF3" w:rsidRDefault="00C87622" w:rsidP="00C87622">
      <w:pPr>
        <w:spacing w:after="120" w:line="276" w:lineRule="auto"/>
        <w:jc w:val="both"/>
        <w:rPr>
          <w:rFonts w:ascii="Verdana" w:eastAsia="Verdana" w:hAnsi="Verdana" w:cs="Verdana"/>
          <w:color w:val="EE0000"/>
          <w:sz w:val="20"/>
          <w:szCs w:val="20"/>
          <w:lang w:val="es-MX"/>
        </w:rPr>
      </w:pPr>
      <w:r w:rsidRPr="00C87622">
        <w:rPr>
          <w:rFonts w:ascii="Verdana" w:eastAsia="Times New Roman" w:hAnsi="Verdana" w:cs="Times New Roman"/>
          <w:sz w:val="20"/>
          <w:szCs w:val="20"/>
          <w:lang w:eastAsia="es-CO"/>
        </w:rPr>
        <w:t>a) Solo puede celebrarse para realizar</w:t>
      </w:r>
      <w:r w:rsidRPr="00C87622">
        <w:rPr>
          <w:rFonts w:ascii="Verdana" w:eastAsia="Times New Roman" w:hAnsi="Verdana" w:cs="Times New Roman"/>
          <w:sz w:val="20"/>
          <w:szCs w:val="20"/>
          <w:lang w:val="es-ES_tradnl" w:eastAsia="es-ES_tradnl"/>
        </w:rPr>
        <w:t xml:space="preserve"> “actividades relacionadas con la administración o funcionamiento de la entidad”; b) Admite que se suscriba tanto con personas naturales, como con personas jurídicas; c) se diferencian del contrato de trabajo, de acuerdo con los argumentos expuesto en este concepto; d) Deben ser temporales, por lo que no puede referirse a un contrato de prestación de servicios indefinido que resulta contrario a su naturaleza; e) Como especies del género prestación de servicios, se incluyen los contratos de prestación de servicios profesionales, los contratos de prestación de servicios apoyo a la gestión y los contratos de prestación de servicios artísticos que solo pueden encomendarse a determinadas personas naturales; f) Su celebración debe realizarse a través de la modalidad de contratación directa; g) Para su celebración no se requiere la expedición del acto administrativo de justificación de la contratación directa; h) Admiten el pacto de cláusulas excepcionales; i) No es obligatoria la liquidación, sin perjuicio de que esta se pueda efectuar de manera facultativa cuando así se considere necesario; j) Para su celebración no se requiere inscripción en el Registro Único de Proponentes (RUP); k) No son necesarias las garantías.</w:t>
      </w:r>
    </w:p>
    <w:p w14:paraId="2F40680B" w14:textId="2CCD368C" w:rsidR="00C87622" w:rsidRPr="00C87622" w:rsidRDefault="00C87622" w:rsidP="00C87622">
      <w:pPr>
        <w:spacing w:after="120" w:line="276" w:lineRule="auto"/>
        <w:jc w:val="both"/>
        <w:rPr>
          <w:rFonts w:ascii="Verdana" w:eastAsia="Times New Roman" w:hAnsi="Verdana" w:cs="Times New Roman"/>
          <w:b/>
          <w:bCs/>
          <w:lang w:eastAsia="es-CO"/>
        </w:rPr>
      </w:pPr>
      <w:r w:rsidRPr="0030751E">
        <w:rPr>
          <w:rFonts w:ascii="Verdana" w:eastAsia="Aptos" w:hAnsi="Verdana" w:cs="Arial"/>
          <w:b/>
          <w:bCs/>
          <w:kern w:val="2"/>
          <w14:ligatures w14:val="standardContextual"/>
        </w:rPr>
        <w:t xml:space="preserve">VIGILANCIA DE LOS CONTRATOS ESTATALES – Marco jurídico – </w:t>
      </w:r>
      <w:r w:rsidRPr="00C87622">
        <w:rPr>
          <w:rFonts w:ascii="Verdana" w:eastAsia="Times New Roman" w:hAnsi="Verdana" w:cs="Times New Roman"/>
          <w:b/>
          <w:bCs/>
          <w:lang w:eastAsia="es-CO"/>
        </w:rPr>
        <w:t>Obligación de la entidad – Objetivo</w:t>
      </w:r>
    </w:p>
    <w:p w14:paraId="52AAC52D" w14:textId="75A60F78" w:rsidR="00C87622" w:rsidRPr="00C87622" w:rsidRDefault="00C87622" w:rsidP="00C87622">
      <w:pPr>
        <w:spacing w:after="120" w:line="276" w:lineRule="auto"/>
        <w:jc w:val="both"/>
        <w:rPr>
          <w:rFonts w:ascii="Verdana" w:eastAsia="Times New Roman" w:hAnsi="Verdana" w:cs="Times New Roman"/>
          <w:sz w:val="20"/>
          <w:szCs w:val="20"/>
          <w:lang w:eastAsia="es-CO"/>
        </w:rPr>
      </w:pPr>
      <w:r w:rsidRPr="00C87622">
        <w:rPr>
          <w:rFonts w:ascii="Verdana" w:eastAsia="Times New Roman" w:hAnsi="Verdana" w:cs="Times New Roman"/>
          <w:sz w:val="20"/>
          <w:szCs w:val="20"/>
          <w:lang w:eastAsia="es-CO"/>
        </w:rPr>
        <w:t>[…] en el marco de lo dispuesto</w:t>
      </w:r>
      <w:r w:rsidRPr="00C87622">
        <w:rPr>
          <w:rFonts w:ascii="Verdana" w:eastAsia="Aptos" w:hAnsi="Verdana" w:cs="Arial"/>
          <w:kern w:val="2"/>
          <w:sz w:val="20"/>
          <w:szCs w:val="20"/>
          <w14:ligatures w14:val="standardContextual"/>
        </w:rPr>
        <w:t xml:space="preserve"> en los</w:t>
      </w:r>
      <w:r w:rsidRPr="00C87622">
        <w:rPr>
          <w:rFonts w:ascii="Verdana" w:eastAsia="Aptos" w:hAnsi="Verdana" w:cs="Arial"/>
          <w:sz w:val="20"/>
          <w:szCs w:val="20"/>
        </w:rPr>
        <w:t xml:space="preserve"> artículos 4, 5, 12, 14 y 26 de la Ley 80 de 1993, las Entidades Estatales tienen la obligación de velar por el correcto y oportuno cumplimiento de las prestaciones del contrato,</w:t>
      </w:r>
      <w:r w:rsidRPr="00C87622">
        <w:rPr>
          <w:rFonts w:ascii="Aptos" w:eastAsia="Aptos" w:hAnsi="Aptos" w:cs="Arial"/>
          <w:sz w:val="20"/>
          <w:szCs w:val="20"/>
        </w:rPr>
        <w:t xml:space="preserve"> </w:t>
      </w:r>
      <w:r w:rsidRPr="00C87622">
        <w:rPr>
          <w:rFonts w:ascii="Verdana" w:eastAsia="Aptos" w:hAnsi="Verdana" w:cs="Arial"/>
          <w:sz w:val="20"/>
          <w:szCs w:val="20"/>
        </w:rPr>
        <w:t xml:space="preserve">las especificaciones de los bienes, obras y servicios de este, las condiciones de calidad ofrecidas, etc. Esta obligación se predica, en principio, del jefe o representante legal de la entidad, por tener la responsabilidad de la dirección y manejo de la actividad contractual, pero también de los servidores públicos que intervienen en ella. En ese sentido, las Entidades Estatales deben ejercer el control de la ejecución del contrato y, de ser el caso, tomar medidas para exigir su adecuado </w:t>
      </w:r>
      <w:r w:rsidRPr="00C87622">
        <w:rPr>
          <w:rFonts w:ascii="Verdana" w:eastAsia="Aptos" w:hAnsi="Verdana" w:cs="Arial"/>
          <w:sz w:val="20"/>
          <w:szCs w:val="20"/>
        </w:rPr>
        <w:lastRenderedPageBreak/>
        <w:t>cumplimiento. En ese sentido, las Leyes 1150 de 2007 y 1474 de 2011, complementan el régimen jurídico de la obligación de vigilar la correcta ejecución de los contratos estatales. En dichas normas se impone el debido proceso como principio rector en materia sancionatoria contractual, entre otros, para la imposición de multas y la decisión de hacer efectiva la cláusula penal, principio que se debe respetar en el ejercicio del control y vigilancia de la ejecución contractual</w:t>
      </w:r>
      <w:r w:rsidRPr="00C87622">
        <w:rPr>
          <w:rFonts w:ascii="Verdana" w:eastAsia="Aptos" w:hAnsi="Verdana" w:cs="Arial"/>
          <w:sz w:val="20"/>
          <w:szCs w:val="20"/>
          <w:lang w:val="es-ES_tradnl" w:eastAsia="es-MX"/>
        </w:rPr>
        <w:t>.</w:t>
      </w:r>
      <w:r w:rsidRPr="00C87622">
        <w:rPr>
          <w:rFonts w:ascii="Verdana" w:eastAsia="Aptos" w:hAnsi="Verdana" w:cs="Arial"/>
          <w:sz w:val="20"/>
          <w:szCs w:val="20"/>
        </w:rPr>
        <w:t xml:space="preserve"> También se establecen los límites de la responsabilidad del representante legal ante la delegación de sus funciones en materia </w:t>
      </w:r>
      <w:r w:rsidRPr="00C87622">
        <w:rPr>
          <w:rFonts w:ascii="Verdana" w:eastAsia="Times New Roman" w:hAnsi="Verdana" w:cs="Times New Roman"/>
          <w:sz w:val="20"/>
          <w:szCs w:val="20"/>
          <w:lang w:eastAsia="es-CO"/>
        </w:rPr>
        <w:t>contractual y se regula la supervisión y la interventoría de los contratos estatales. […]</w:t>
      </w:r>
    </w:p>
    <w:p w14:paraId="7C5B2523" w14:textId="4A56481C" w:rsidR="00C87622" w:rsidRPr="00C87622" w:rsidRDefault="00C87622" w:rsidP="00C87622">
      <w:pPr>
        <w:spacing w:after="120" w:line="276" w:lineRule="auto"/>
        <w:jc w:val="both"/>
        <w:rPr>
          <w:rFonts w:ascii="Verdana" w:eastAsia="Times New Roman" w:hAnsi="Verdana" w:cs="Times New Roman"/>
          <w:b/>
          <w:bCs/>
          <w:lang w:eastAsia="es-CO"/>
        </w:rPr>
      </w:pPr>
      <w:r w:rsidRPr="00C87622">
        <w:rPr>
          <w:rFonts w:ascii="Verdana" w:eastAsia="Times New Roman" w:hAnsi="Verdana" w:cs="Times New Roman"/>
          <w:b/>
          <w:bCs/>
          <w:lang w:eastAsia="es-CO"/>
        </w:rPr>
        <w:t>CONTRATO DE PRESTACIÓN</w:t>
      </w:r>
      <w:r w:rsidRPr="00AD596D">
        <w:rPr>
          <w:rFonts w:ascii="Verdana" w:hAnsi="Verdana"/>
          <w:b/>
          <w:bCs/>
          <w:lang w:val="es-ES_tradnl" w:eastAsia="es-ES_tradnl"/>
        </w:rPr>
        <w:t xml:space="preserve"> DE SERVICIOS – Estudios previos – </w:t>
      </w:r>
      <w:r w:rsidRPr="00C87622">
        <w:rPr>
          <w:rFonts w:ascii="Verdana" w:eastAsia="Times New Roman" w:hAnsi="Verdana" w:cs="Times New Roman"/>
          <w:b/>
          <w:bCs/>
          <w:lang w:eastAsia="es-CO"/>
        </w:rPr>
        <w:t xml:space="preserve">Condiciones del contrato - Principio </w:t>
      </w:r>
      <w:r w:rsidR="00892FBC">
        <w:rPr>
          <w:rFonts w:ascii="Verdana" w:eastAsia="Times New Roman" w:hAnsi="Verdana" w:cs="Times New Roman"/>
          <w:b/>
          <w:bCs/>
          <w:lang w:eastAsia="es-CO"/>
        </w:rPr>
        <w:t>d</w:t>
      </w:r>
      <w:r w:rsidRPr="00C87622">
        <w:rPr>
          <w:rFonts w:ascii="Verdana" w:eastAsia="Times New Roman" w:hAnsi="Verdana" w:cs="Times New Roman"/>
          <w:b/>
          <w:bCs/>
          <w:lang w:eastAsia="es-CO"/>
        </w:rPr>
        <w:t xml:space="preserve">e </w:t>
      </w:r>
      <w:r w:rsidR="00892FBC">
        <w:rPr>
          <w:rFonts w:ascii="Verdana" w:eastAsia="Times New Roman" w:hAnsi="Verdana" w:cs="Times New Roman"/>
          <w:b/>
          <w:bCs/>
          <w:lang w:eastAsia="es-CO"/>
        </w:rPr>
        <w:t>a</w:t>
      </w:r>
      <w:r w:rsidRPr="00C87622">
        <w:rPr>
          <w:rFonts w:ascii="Verdana" w:eastAsia="Times New Roman" w:hAnsi="Verdana" w:cs="Times New Roman"/>
          <w:b/>
          <w:bCs/>
          <w:lang w:eastAsia="es-CO"/>
        </w:rPr>
        <w:t xml:space="preserve">utonomía </w:t>
      </w:r>
    </w:p>
    <w:p w14:paraId="4FACAF18" w14:textId="77777777" w:rsidR="00C87622" w:rsidRPr="00C87622" w:rsidRDefault="00C87622" w:rsidP="00C87622">
      <w:pPr>
        <w:spacing w:after="120" w:line="276" w:lineRule="auto"/>
        <w:jc w:val="both"/>
        <w:rPr>
          <w:rFonts w:ascii="Verdana" w:eastAsia="Calibri" w:hAnsi="Verdana" w:cs="Arial"/>
          <w:color w:val="000000"/>
          <w:kern w:val="2"/>
          <w:sz w:val="20"/>
          <w:szCs w:val="20"/>
          <w14:ligatures w14:val="standardContextual"/>
        </w:rPr>
      </w:pPr>
      <w:r w:rsidRPr="00C87622">
        <w:rPr>
          <w:rFonts w:ascii="Verdana" w:eastAsia="Times New Roman" w:hAnsi="Verdana" w:cs="Times New Roman"/>
          <w:sz w:val="20"/>
          <w:szCs w:val="20"/>
          <w:lang w:eastAsia="es-CO"/>
        </w:rPr>
        <w:t>[…] las Entidades Públicas</w:t>
      </w:r>
      <w:r w:rsidRPr="00C87622">
        <w:rPr>
          <w:rFonts w:ascii="Verdana" w:eastAsia="Calibri" w:hAnsi="Verdana" w:cs="Arial"/>
          <w:color w:val="000000"/>
          <w:kern w:val="2"/>
          <w:sz w:val="20"/>
          <w:szCs w:val="20"/>
          <w14:ligatures w14:val="standardContextual"/>
        </w:rPr>
        <w:t xml:space="preserve"> desde los estudios previos definirán las condiciones del contrato de prestación de servicios a celebrar, plasmado en la minuta del contrato de prestación de servicios profesionales, de apoyo a la gestión y trabajos artísticos. Finalmente, se resalta que en la Ley 80 de 1993, Ley 1150 de 2007 y en el Decreto 1082 de 2015 no se encuentran disposiciones que establezcan la forma en que deben presentarse las cuentas de cobro, tales como el informe de ejecución o el informe y certificación de cumplimiento, así como las fechas para su presentación, por cuanto esto dependerá de las directrices fijadas al interior de la entidad estatal en su guías, circulares o manuales, que se verán reflejados en las cláusulas contenidas en la minuta del contrato de prestación de servicios. […]</w:t>
      </w:r>
    </w:p>
    <w:p w14:paraId="2EC5FD78" w14:textId="77777777" w:rsidR="00C87622" w:rsidRPr="00F47E2F" w:rsidRDefault="00C87622" w:rsidP="00C87622">
      <w:pPr>
        <w:spacing w:after="0"/>
        <w:jc w:val="both"/>
        <w:rPr>
          <w:rFonts w:ascii="Verdana" w:eastAsia="Verdana" w:hAnsi="Verdana" w:cs="Verdana"/>
          <w:color w:val="EE0000"/>
          <w:sz w:val="20"/>
          <w:szCs w:val="20"/>
        </w:rPr>
      </w:pPr>
    </w:p>
    <w:p w14:paraId="7C999E96" w14:textId="77777777" w:rsidR="00C87622" w:rsidRPr="00DC4CF3" w:rsidRDefault="00C87622" w:rsidP="00C87622">
      <w:pPr>
        <w:spacing w:after="0"/>
        <w:jc w:val="both"/>
        <w:rPr>
          <w:rFonts w:ascii="Verdana" w:eastAsia="Verdana" w:hAnsi="Verdana" w:cs="Verdana"/>
          <w:color w:val="EE0000"/>
          <w:sz w:val="20"/>
          <w:szCs w:val="20"/>
          <w:lang w:val="es-MX"/>
        </w:rPr>
      </w:pPr>
    </w:p>
    <w:p w14:paraId="22885E87" w14:textId="77777777" w:rsidR="00C87622" w:rsidRDefault="00C87622" w:rsidP="00814218">
      <w:pPr>
        <w:spacing w:after="0" w:line="240" w:lineRule="auto"/>
        <w:jc w:val="both"/>
        <w:rPr>
          <w:rFonts w:ascii="Verdana" w:hAnsi="Verdana"/>
        </w:rPr>
      </w:pPr>
    </w:p>
    <w:p w14:paraId="492A5E3A" w14:textId="77777777" w:rsidR="00C87622" w:rsidRDefault="00C87622" w:rsidP="00814218">
      <w:pPr>
        <w:spacing w:after="0" w:line="240" w:lineRule="auto"/>
        <w:jc w:val="both"/>
        <w:rPr>
          <w:rFonts w:ascii="Verdana" w:hAnsi="Verdana"/>
        </w:rPr>
      </w:pPr>
    </w:p>
    <w:p w14:paraId="7DFB0567" w14:textId="77777777" w:rsidR="00C87622" w:rsidRDefault="00C87622" w:rsidP="00814218">
      <w:pPr>
        <w:spacing w:after="0" w:line="240" w:lineRule="auto"/>
        <w:jc w:val="both"/>
        <w:rPr>
          <w:rFonts w:ascii="Verdana" w:hAnsi="Verdana"/>
        </w:rPr>
      </w:pPr>
    </w:p>
    <w:p w14:paraId="23BDF0E4" w14:textId="77777777" w:rsidR="00C87622" w:rsidRDefault="00C87622" w:rsidP="00814218">
      <w:pPr>
        <w:spacing w:after="0" w:line="240" w:lineRule="auto"/>
        <w:jc w:val="both"/>
        <w:rPr>
          <w:rFonts w:ascii="Verdana" w:hAnsi="Verdana"/>
        </w:rPr>
      </w:pPr>
    </w:p>
    <w:p w14:paraId="4DF98EC1" w14:textId="77777777" w:rsidR="00C87622" w:rsidRDefault="00C87622" w:rsidP="00814218">
      <w:pPr>
        <w:spacing w:after="0" w:line="240" w:lineRule="auto"/>
        <w:jc w:val="both"/>
        <w:rPr>
          <w:rFonts w:ascii="Verdana" w:hAnsi="Verdana"/>
        </w:rPr>
      </w:pPr>
    </w:p>
    <w:p w14:paraId="13C763CF" w14:textId="77777777" w:rsidR="00C87622" w:rsidRDefault="00C87622" w:rsidP="00814218">
      <w:pPr>
        <w:spacing w:after="0" w:line="240" w:lineRule="auto"/>
        <w:jc w:val="both"/>
        <w:rPr>
          <w:rFonts w:ascii="Verdana" w:hAnsi="Verdana"/>
        </w:rPr>
      </w:pPr>
    </w:p>
    <w:p w14:paraId="1201BA3E" w14:textId="77777777" w:rsidR="00C87622" w:rsidRDefault="00C87622" w:rsidP="00814218">
      <w:pPr>
        <w:spacing w:after="0" w:line="240" w:lineRule="auto"/>
        <w:jc w:val="both"/>
        <w:rPr>
          <w:rFonts w:ascii="Verdana" w:hAnsi="Verdana"/>
        </w:rPr>
      </w:pPr>
    </w:p>
    <w:p w14:paraId="692B367A" w14:textId="77777777" w:rsidR="00C87622" w:rsidRDefault="00C87622" w:rsidP="00814218">
      <w:pPr>
        <w:spacing w:after="0" w:line="240" w:lineRule="auto"/>
        <w:jc w:val="both"/>
        <w:rPr>
          <w:rFonts w:ascii="Verdana" w:hAnsi="Verdana"/>
        </w:rPr>
      </w:pPr>
    </w:p>
    <w:p w14:paraId="58DAAF53" w14:textId="77777777" w:rsidR="00C87622" w:rsidRDefault="00C87622" w:rsidP="00814218">
      <w:pPr>
        <w:spacing w:after="0" w:line="240" w:lineRule="auto"/>
        <w:jc w:val="both"/>
        <w:rPr>
          <w:rFonts w:ascii="Verdana" w:hAnsi="Verdana"/>
        </w:rPr>
      </w:pPr>
    </w:p>
    <w:p w14:paraId="7BF68FC1" w14:textId="77777777" w:rsidR="00C87622" w:rsidRDefault="00C87622" w:rsidP="00814218">
      <w:pPr>
        <w:spacing w:after="0" w:line="240" w:lineRule="auto"/>
        <w:jc w:val="both"/>
        <w:rPr>
          <w:rFonts w:ascii="Verdana" w:hAnsi="Verdana"/>
        </w:rPr>
      </w:pPr>
    </w:p>
    <w:p w14:paraId="3C9999CC" w14:textId="77777777" w:rsidR="00C87622" w:rsidRDefault="00C87622" w:rsidP="00814218">
      <w:pPr>
        <w:spacing w:after="0" w:line="240" w:lineRule="auto"/>
        <w:jc w:val="both"/>
        <w:rPr>
          <w:rFonts w:ascii="Verdana" w:hAnsi="Verdana"/>
        </w:rPr>
      </w:pPr>
    </w:p>
    <w:p w14:paraId="0DF9D55B" w14:textId="77777777" w:rsidR="00C87622" w:rsidRDefault="00C87622" w:rsidP="00814218">
      <w:pPr>
        <w:spacing w:after="0" w:line="240" w:lineRule="auto"/>
        <w:jc w:val="both"/>
        <w:rPr>
          <w:rFonts w:ascii="Verdana" w:hAnsi="Verdana"/>
        </w:rPr>
      </w:pPr>
    </w:p>
    <w:p w14:paraId="35D0F28F" w14:textId="77777777" w:rsidR="00C87622" w:rsidRDefault="00C87622" w:rsidP="00814218">
      <w:pPr>
        <w:spacing w:after="0" w:line="240" w:lineRule="auto"/>
        <w:jc w:val="both"/>
        <w:rPr>
          <w:rFonts w:ascii="Verdana" w:hAnsi="Verdana"/>
        </w:rPr>
      </w:pPr>
    </w:p>
    <w:p w14:paraId="1DFAEE67" w14:textId="77777777" w:rsidR="00C87622" w:rsidRDefault="00C87622" w:rsidP="00814218">
      <w:pPr>
        <w:spacing w:after="0" w:line="240" w:lineRule="auto"/>
        <w:jc w:val="both"/>
        <w:rPr>
          <w:rFonts w:ascii="Verdana" w:hAnsi="Verdana"/>
        </w:rPr>
      </w:pPr>
    </w:p>
    <w:p w14:paraId="0286F454" w14:textId="77777777" w:rsidR="00C87622" w:rsidRDefault="00C87622" w:rsidP="00814218">
      <w:pPr>
        <w:spacing w:after="0" w:line="240" w:lineRule="auto"/>
        <w:jc w:val="both"/>
        <w:rPr>
          <w:rFonts w:ascii="Verdana" w:hAnsi="Verdana"/>
        </w:rPr>
      </w:pPr>
    </w:p>
    <w:p w14:paraId="5E2F7C7F" w14:textId="77777777" w:rsidR="00C87622" w:rsidRDefault="00C87622" w:rsidP="00814218">
      <w:pPr>
        <w:spacing w:after="0" w:line="240" w:lineRule="auto"/>
        <w:jc w:val="both"/>
        <w:rPr>
          <w:rFonts w:ascii="Verdana" w:hAnsi="Verdana"/>
        </w:rPr>
      </w:pPr>
    </w:p>
    <w:p w14:paraId="3C0C076D" w14:textId="77777777" w:rsidR="00C87622" w:rsidRDefault="00C87622" w:rsidP="00814218">
      <w:pPr>
        <w:spacing w:after="0" w:line="240" w:lineRule="auto"/>
        <w:jc w:val="both"/>
        <w:rPr>
          <w:rFonts w:ascii="Verdana" w:hAnsi="Verdana"/>
        </w:rPr>
      </w:pPr>
    </w:p>
    <w:p w14:paraId="4FA163B4" w14:textId="5BB2B965" w:rsidR="00814218" w:rsidRDefault="001F4B98" w:rsidP="00EA2970">
      <w:pPr>
        <w:spacing w:after="0" w:line="240" w:lineRule="auto"/>
        <w:jc w:val="both"/>
        <w:rPr>
          <w:rFonts w:ascii="Verdana" w:hAnsi="Verdana"/>
        </w:rPr>
      </w:pPr>
      <w:bookmarkStart w:id="0" w:name="_Hlk197462763"/>
      <w:bookmarkStart w:id="1" w:name="_Hlk197529996"/>
      <w:r w:rsidRPr="001F4B98">
        <w:rPr>
          <w:rFonts w:ascii="Verdana" w:hAnsi="Verdana"/>
        </w:rPr>
        <w:lastRenderedPageBreak/>
        <w:t xml:space="preserve">Bogotá D.C., </w:t>
      </w:r>
      <w:r w:rsidR="00C17A0E">
        <w:rPr>
          <w:rFonts w:ascii="Verdana" w:hAnsi="Verdana"/>
        </w:rPr>
        <w:t>14 de octubre de 2026</w:t>
      </w:r>
    </w:p>
    <w:p w14:paraId="18A6E887" w14:textId="77777777" w:rsidR="00C17A0E" w:rsidRDefault="00C17A0E" w:rsidP="00EA2970">
      <w:pPr>
        <w:spacing w:after="0" w:line="240" w:lineRule="auto"/>
        <w:jc w:val="both"/>
        <w:rPr>
          <w:rFonts w:ascii="Verdana" w:hAnsi="Verdana"/>
        </w:rPr>
      </w:pPr>
    </w:p>
    <w:p w14:paraId="0638188F" w14:textId="68BDD972" w:rsidR="00C17A0E" w:rsidRPr="00EA2970" w:rsidRDefault="00C17A0E" w:rsidP="00C17A0E">
      <w:pPr>
        <w:spacing w:after="0" w:line="240" w:lineRule="auto"/>
        <w:jc w:val="right"/>
        <w:rPr>
          <w:rFonts w:ascii="Verdana" w:eastAsia="Calibri" w:hAnsi="Verdana" w:cs="Arial"/>
          <w:lang w:eastAsia="es-ES"/>
        </w:rPr>
      </w:pPr>
      <w:r w:rsidRPr="00C17A0E">
        <w:rPr>
          <w:rFonts w:ascii="Verdana" w:eastAsia="Calibri" w:hAnsi="Verdana" w:cs="Arial"/>
          <w:lang w:eastAsia="es-ES"/>
        </w:rPr>
        <w:drawing>
          <wp:inline distT="0" distB="0" distL="0" distR="0" wp14:anchorId="564BE179" wp14:editId="3815D0D9">
            <wp:extent cx="3791479" cy="1019317"/>
            <wp:effectExtent l="0" t="0" r="0" b="9525"/>
            <wp:docPr id="138067328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0673281" name=""/>
                    <pic:cNvPicPr/>
                  </pic:nvPicPr>
                  <pic:blipFill>
                    <a:blip r:embed="rId11"/>
                    <a:stretch>
                      <a:fillRect/>
                    </a:stretch>
                  </pic:blipFill>
                  <pic:spPr>
                    <a:xfrm>
                      <a:off x="0" y="0"/>
                      <a:ext cx="3791479" cy="1019317"/>
                    </a:xfrm>
                    <a:prstGeom prst="rect">
                      <a:avLst/>
                    </a:prstGeom>
                  </pic:spPr>
                </pic:pic>
              </a:graphicData>
            </a:graphic>
          </wp:inline>
        </w:drawing>
      </w:r>
    </w:p>
    <w:p w14:paraId="7D7AD2EB" w14:textId="4DB4DDFF" w:rsidR="00814218" w:rsidRDefault="00814218" w:rsidP="00EA2970">
      <w:pPr>
        <w:spacing w:after="0" w:line="240" w:lineRule="auto"/>
        <w:jc w:val="both"/>
        <w:rPr>
          <w:rFonts w:ascii="Verdana" w:eastAsia="Calibri" w:hAnsi="Verdana" w:cs="Arial"/>
          <w:lang w:eastAsia="es-ES"/>
        </w:rPr>
      </w:pPr>
    </w:p>
    <w:p w14:paraId="7A99EA32" w14:textId="6F7A8F57" w:rsidR="00C87622" w:rsidRDefault="00C87622" w:rsidP="00EA2970">
      <w:pPr>
        <w:spacing w:after="0" w:line="240" w:lineRule="auto"/>
        <w:jc w:val="both"/>
        <w:rPr>
          <w:rFonts w:ascii="Verdana" w:eastAsia="Calibri" w:hAnsi="Verdana" w:cs="Arial"/>
          <w:lang w:eastAsia="es-ES"/>
        </w:rPr>
      </w:pPr>
    </w:p>
    <w:p w14:paraId="7837382B" w14:textId="52D11EC1" w:rsidR="00C87622" w:rsidRPr="00EA2970" w:rsidRDefault="00C87622" w:rsidP="00EA2970">
      <w:pPr>
        <w:spacing w:after="0" w:line="240" w:lineRule="auto"/>
        <w:jc w:val="both"/>
        <w:rPr>
          <w:rFonts w:ascii="Verdana" w:eastAsia="Calibri" w:hAnsi="Verdana" w:cs="Arial"/>
          <w:lang w:eastAsia="es-ES"/>
        </w:rPr>
      </w:pPr>
    </w:p>
    <w:p w14:paraId="6BFA7C1A" w14:textId="3F2BFDDB" w:rsidR="00814218" w:rsidRPr="00EA2970" w:rsidRDefault="00814218" w:rsidP="00EA2970">
      <w:pPr>
        <w:spacing w:after="0" w:line="240" w:lineRule="auto"/>
        <w:jc w:val="both"/>
        <w:rPr>
          <w:rFonts w:ascii="Verdana" w:eastAsia="Calibri" w:hAnsi="Verdana" w:cs="Arial"/>
          <w:lang w:eastAsia="es-ES"/>
        </w:rPr>
      </w:pPr>
      <w:r w:rsidRPr="00EA2970">
        <w:rPr>
          <w:rFonts w:ascii="Verdana" w:eastAsia="Calibri" w:hAnsi="Verdana" w:cs="Arial"/>
          <w:lang w:eastAsia="es-ES"/>
        </w:rPr>
        <w:t>Señor</w:t>
      </w:r>
    </w:p>
    <w:p w14:paraId="00152A1F" w14:textId="77777777" w:rsidR="00C33B22" w:rsidRPr="00C17A0E" w:rsidRDefault="00C33B22" w:rsidP="00EA2970">
      <w:pPr>
        <w:spacing w:after="0" w:line="240" w:lineRule="auto"/>
        <w:jc w:val="both"/>
        <w:rPr>
          <w:rFonts w:ascii="Verdana" w:eastAsia="Calibri" w:hAnsi="Verdana" w:cs="Arial"/>
          <w:b/>
          <w:bCs/>
          <w:lang w:eastAsia="es-ES"/>
        </w:rPr>
      </w:pPr>
      <w:r w:rsidRPr="00C17A0E">
        <w:rPr>
          <w:rFonts w:ascii="Verdana" w:eastAsia="Calibri" w:hAnsi="Verdana" w:cs="Arial"/>
          <w:b/>
          <w:bCs/>
          <w:lang w:eastAsia="es-ES"/>
        </w:rPr>
        <w:t>Leonard David Garzon Martínez</w:t>
      </w:r>
    </w:p>
    <w:p w14:paraId="41DE4A55" w14:textId="431F46BD" w:rsidR="007B3231" w:rsidRPr="007B3231" w:rsidRDefault="007B3231" w:rsidP="00EA2970">
      <w:pPr>
        <w:spacing w:after="0" w:line="240" w:lineRule="auto"/>
        <w:jc w:val="both"/>
        <w:rPr>
          <w:rFonts w:ascii="Verdana" w:eastAsia="Calibri" w:hAnsi="Verdana" w:cs="Arial"/>
          <w:lang w:val="en-US" w:eastAsia="es-ES"/>
        </w:rPr>
      </w:pPr>
      <w:hyperlink r:id="rId12" w:history="1">
        <w:r w:rsidRPr="00D65594">
          <w:rPr>
            <w:rStyle w:val="Hipervnculo"/>
            <w:rFonts w:ascii="Verdana" w:eastAsia="Calibri" w:hAnsi="Verdana" w:cs="Arial"/>
            <w:lang w:val="en-US" w:eastAsia="es-ES"/>
          </w:rPr>
          <w:t>leonardgarzon46@gmail.com</w:t>
        </w:r>
      </w:hyperlink>
      <w:r>
        <w:rPr>
          <w:rFonts w:ascii="Verdana" w:eastAsia="Calibri" w:hAnsi="Verdana" w:cs="Arial"/>
          <w:lang w:val="en-US" w:eastAsia="es-ES"/>
        </w:rPr>
        <w:t xml:space="preserve"> </w:t>
      </w:r>
    </w:p>
    <w:p w14:paraId="43427052" w14:textId="77777777" w:rsidR="00814218" w:rsidRPr="00EA2970" w:rsidRDefault="00814218" w:rsidP="00EA2970">
      <w:pPr>
        <w:spacing w:after="0" w:line="240" w:lineRule="auto"/>
        <w:jc w:val="both"/>
        <w:rPr>
          <w:rFonts w:ascii="Verdana" w:eastAsia="Calibri" w:hAnsi="Verdana" w:cs="Arial"/>
          <w:bCs/>
          <w:lang w:eastAsia="es-ES_tradnl"/>
        </w:rPr>
      </w:pPr>
      <w:r w:rsidRPr="00EA2970">
        <w:rPr>
          <w:rFonts w:ascii="Verdana" w:eastAsia="Calibri" w:hAnsi="Verdana" w:cs="Arial"/>
          <w:bCs/>
          <w:lang w:eastAsia="es-ES_tradnl"/>
        </w:rPr>
        <w:t>Ciudad</w:t>
      </w:r>
    </w:p>
    <w:p w14:paraId="66DBDD11" w14:textId="77777777" w:rsidR="00814218" w:rsidRDefault="00814218" w:rsidP="00EA2970">
      <w:pPr>
        <w:spacing w:after="0" w:line="240" w:lineRule="auto"/>
        <w:jc w:val="both"/>
        <w:rPr>
          <w:rFonts w:ascii="Verdana" w:eastAsia="Calibri" w:hAnsi="Verdana" w:cs="Arial"/>
          <w:b/>
          <w:bCs/>
          <w:color w:val="000000"/>
          <w:lang w:eastAsia="es-ES_tradnl"/>
        </w:rPr>
      </w:pPr>
    </w:p>
    <w:p w14:paraId="5B683365" w14:textId="77777777" w:rsidR="00EA2970" w:rsidRPr="00B21417" w:rsidRDefault="00EA2970" w:rsidP="00EA2970">
      <w:pPr>
        <w:spacing w:after="0" w:line="240" w:lineRule="auto"/>
        <w:jc w:val="both"/>
        <w:rPr>
          <w:rFonts w:ascii="Verdana" w:eastAsia="Calibri" w:hAnsi="Verdana" w:cs="Arial"/>
          <w:b/>
          <w:bCs/>
          <w:color w:val="000000"/>
          <w:lang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5670"/>
      </w:tblGrid>
      <w:tr w:rsidR="00814218" w:rsidRPr="00EA2970" w14:paraId="2BBBDCA2" w14:textId="77777777" w:rsidTr="00F17D62">
        <w:trPr>
          <w:trHeight w:val="162"/>
        </w:trPr>
        <w:tc>
          <w:tcPr>
            <w:tcW w:w="3119" w:type="dxa"/>
          </w:tcPr>
          <w:p w14:paraId="1BBCC8DE" w14:textId="77777777" w:rsidR="00814218" w:rsidRPr="00B21417" w:rsidRDefault="00814218" w:rsidP="00EA2970">
            <w:pPr>
              <w:jc w:val="both"/>
              <w:rPr>
                <w:rFonts w:ascii="Verdana" w:eastAsia="Calibri" w:hAnsi="Verdana" w:cs="Arial"/>
                <w:b/>
                <w:bCs/>
                <w:color w:val="7030A0"/>
                <w:lang w:eastAsia="es-ES_tradnl"/>
              </w:rPr>
            </w:pPr>
          </w:p>
        </w:tc>
        <w:tc>
          <w:tcPr>
            <w:tcW w:w="5670" w:type="dxa"/>
          </w:tcPr>
          <w:p w14:paraId="3472B182" w14:textId="37055258" w:rsidR="00814218" w:rsidRPr="00EA2970" w:rsidRDefault="00814218" w:rsidP="00EA2970">
            <w:pPr>
              <w:jc w:val="both"/>
              <w:rPr>
                <w:rFonts w:ascii="Verdana" w:eastAsia="Calibri" w:hAnsi="Verdana" w:cs="Arial"/>
                <w:b/>
                <w:bCs/>
                <w:lang w:eastAsia="es-ES"/>
              </w:rPr>
            </w:pPr>
            <w:r w:rsidRPr="00EA2970">
              <w:rPr>
                <w:rFonts w:ascii="Verdana" w:eastAsia="Calibri" w:hAnsi="Verdana" w:cs="Arial"/>
                <w:b/>
                <w:bCs/>
                <w:lang w:eastAsia="es-ES"/>
              </w:rPr>
              <w:t xml:space="preserve">Concepto C- </w:t>
            </w:r>
            <w:r w:rsidR="001F4B98">
              <w:rPr>
                <w:rFonts w:ascii="Verdana" w:eastAsia="Calibri" w:hAnsi="Verdana" w:cs="Arial"/>
                <w:b/>
                <w:bCs/>
                <w:lang w:eastAsia="es-ES"/>
              </w:rPr>
              <w:t>1390</w:t>
            </w:r>
            <w:r w:rsidRPr="00EA2970">
              <w:rPr>
                <w:rFonts w:ascii="Verdana" w:eastAsia="Calibri" w:hAnsi="Verdana" w:cs="Arial"/>
                <w:b/>
                <w:bCs/>
                <w:lang w:eastAsia="es-ES"/>
              </w:rPr>
              <w:t xml:space="preserve"> de 2026</w:t>
            </w:r>
          </w:p>
          <w:p w14:paraId="2F109F4B" w14:textId="77777777" w:rsidR="00814218" w:rsidRPr="00EA2970" w:rsidRDefault="00814218" w:rsidP="00EA2970">
            <w:pPr>
              <w:jc w:val="both"/>
              <w:rPr>
                <w:rFonts w:ascii="Verdana" w:eastAsia="Calibri" w:hAnsi="Verdana" w:cs="Arial"/>
                <w:b/>
                <w:bCs/>
                <w:color w:val="7030A0"/>
                <w:lang w:eastAsia="es-ES"/>
              </w:rPr>
            </w:pPr>
          </w:p>
        </w:tc>
      </w:tr>
      <w:tr w:rsidR="00814218" w:rsidRPr="00EA2970" w14:paraId="288CCF35" w14:textId="77777777" w:rsidTr="00F17D62">
        <w:trPr>
          <w:trHeight w:val="884"/>
        </w:trPr>
        <w:tc>
          <w:tcPr>
            <w:tcW w:w="3119" w:type="dxa"/>
          </w:tcPr>
          <w:p w14:paraId="610C0B44" w14:textId="77777777" w:rsidR="00814218" w:rsidRPr="00EA2970" w:rsidRDefault="00814218" w:rsidP="00EA2970">
            <w:pPr>
              <w:jc w:val="both"/>
              <w:rPr>
                <w:rFonts w:ascii="Verdana" w:eastAsia="Calibri" w:hAnsi="Verdana" w:cs="Arial"/>
                <w:color w:val="000000"/>
                <w:lang w:eastAsia="es-ES_tradnl"/>
              </w:rPr>
            </w:pPr>
            <w:r w:rsidRPr="00EA2970">
              <w:rPr>
                <w:rFonts w:ascii="Verdana" w:eastAsia="Calibri" w:hAnsi="Verdana" w:cs="Arial"/>
                <w:b/>
                <w:color w:val="000000"/>
                <w:lang w:eastAsia="es-ES_tradnl"/>
              </w:rPr>
              <w:t>Temas:</w:t>
            </w:r>
            <w:r w:rsidRPr="00EA2970">
              <w:rPr>
                <w:rFonts w:ascii="Verdana" w:eastAsia="Calibri" w:hAnsi="Verdana" w:cs="Arial"/>
                <w:color w:val="000000"/>
                <w:lang w:eastAsia="es-ES_tradnl"/>
              </w:rPr>
              <w:t xml:space="preserve">                   </w:t>
            </w:r>
          </w:p>
        </w:tc>
        <w:tc>
          <w:tcPr>
            <w:tcW w:w="5670" w:type="dxa"/>
          </w:tcPr>
          <w:p w14:paraId="2619166F" w14:textId="1A0429FF" w:rsidR="00814218" w:rsidRPr="00EA2970" w:rsidRDefault="00814218" w:rsidP="00EA2970">
            <w:pPr>
              <w:jc w:val="both"/>
              <w:rPr>
                <w:rFonts w:ascii="Verdana" w:eastAsia="Verdana" w:hAnsi="Verdana" w:cs="Verdana"/>
                <w:lang w:val="es-ES"/>
              </w:rPr>
            </w:pPr>
            <w:r w:rsidRPr="00EA2970">
              <w:rPr>
                <w:rFonts w:ascii="Verdana" w:eastAsia="Verdana" w:hAnsi="Verdana" w:cs="Verdana"/>
                <w:lang w:val="es-ES"/>
              </w:rPr>
              <w:t xml:space="preserve">CONTRATO DE PRESTACIÓN DE SERVICIOS – Concepto / CONTRATO DE PRESTACIÓN DE SERVICIOS – Características / VIGILANCIA DE LOS CONTRATOS ESTATALES – Marco jurídico – Obligación de la entidad – Objetivo / CONTRATO DE PRESTACIÓN DE SERVICIOS – Estudios previos – Condiciones del contrato - Principio </w:t>
            </w:r>
            <w:r w:rsidR="00892FBC">
              <w:rPr>
                <w:rFonts w:ascii="Verdana" w:eastAsia="Verdana" w:hAnsi="Verdana" w:cs="Verdana"/>
                <w:lang w:val="es-ES"/>
              </w:rPr>
              <w:t>d</w:t>
            </w:r>
            <w:r w:rsidRPr="00EA2970">
              <w:rPr>
                <w:rFonts w:ascii="Verdana" w:eastAsia="Verdana" w:hAnsi="Verdana" w:cs="Verdana"/>
                <w:lang w:val="es-ES"/>
              </w:rPr>
              <w:t xml:space="preserve">e </w:t>
            </w:r>
            <w:r w:rsidR="00892FBC">
              <w:rPr>
                <w:rFonts w:ascii="Verdana" w:eastAsia="Verdana" w:hAnsi="Verdana" w:cs="Verdana"/>
                <w:lang w:val="es-ES"/>
              </w:rPr>
              <w:t>a</w:t>
            </w:r>
            <w:r w:rsidRPr="00EA2970">
              <w:rPr>
                <w:rFonts w:ascii="Verdana" w:eastAsia="Verdana" w:hAnsi="Verdana" w:cs="Verdana"/>
                <w:lang w:val="es-ES"/>
              </w:rPr>
              <w:t xml:space="preserve">utonomía </w:t>
            </w:r>
          </w:p>
          <w:p w14:paraId="2B7E54ED" w14:textId="77777777" w:rsidR="00814218" w:rsidRPr="00EA2970" w:rsidRDefault="00814218" w:rsidP="00EA2970">
            <w:pPr>
              <w:jc w:val="both"/>
              <w:rPr>
                <w:rFonts w:ascii="Verdana" w:eastAsia="Verdana" w:hAnsi="Verdana" w:cs="Verdana"/>
                <w:lang w:val="es-ES"/>
              </w:rPr>
            </w:pPr>
          </w:p>
        </w:tc>
      </w:tr>
      <w:tr w:rsidR="00814218" w:rsidRPr="00EA2970" w14:paraId="71BAD298" w14:textId="77777777" w:rsidTr="00F17D62">
        <w:tc>
          <w:tcPr>
            <w:tcW w:w="3119" w:type="dxa"/>
          </w:tcPr>
          <w:p w14:paraId="3CF5E631" w14:textId="77777777" w:rsidR="00814218" w:rsidRPr="00EA2970" w:rsidRDefault="00814218" w:rsidP="00EA2970">
            <w:pPr>
              <w:jc w:val="both"/>
              <w:rPr>
                <w:rFonts w:ascii="Verdana" w:eastAsia="Calibri" w:hAnsi="Verdana" w:cs="Arial"/>
                <w:b/>
                <w:lang w:eastAsia="es-ES_tradnl"/>
              </w:rPr>
            </w:pPr>
            <w:r w:rsidRPr="00EA2970">
              <w:rPr>
                <w:rFonts w:ascii="Verdana" w:eastAsia="Calibri" w:hAnsi="Verdana" w:cs="Arial"/>
                <w:b/>
                <w:lang w:eastAsia="es-ES_tradnl"/>
              </w:rPr>
              <w:t>Radicación:</w:t>
            </w:r>
            <w:r w:rsidRPr="00EA2970">
              <w:rPr>
                <w:rFonts w:ascii="Verdana" w:eastAsia="Calibri" w:hAnsi="Verdana" w:cs="Arial"/>
                <w:lang w:eastAsia="es-ES_tradnl"/>
              </w:rPr>
              <w:t xml:space="preserve">               </w:t>
            </w:r>
          </w:p>
        </w:tc>
        <w:tc>
          <w:tcPr>
            <w:tcW w:w="5670" w:type="dxa"/>
          </w:tcPr>
          <w:p w14:paraId="408CB9A5" w14:textId="379048AB" w:rsidR="00814218" w:rsidRPr="00EA2970" w:rsidRDefault="00814218" w:rsidP="00EA2970">
            <w:pPr>
              <w:jc w:val="both"/>
              <w:rPr>
                <w:rFonts w:ascii="Verdana" w:eastAsia="Calibri" w:hAnsi="Verdana" w:cs="Arial"/>
                <w:lang w:eastAsia="es-ES_tradnl"/>
              </w:rPr>
            </w:pPr>
            <w:r w:rsidRPr="00EA2970">
              <w:rPr>
                <w:rFonts w:ascii="Verdana" w:eastAsia="Calibri" w:hAnsi="Verdana" w:cs="Arial"/>
                <w:lang w:eastAsia="es-ES_tradnl"/>
              </w:rPr>
              <w:t xml:space="preserve">Respuesta a consulta con radicado </w:t>
            </w:r>
            <w:r w:rsidR="00DE2E2B" w:rsidRPr="00DE2E2B">
              <w:rPr>
                <w:rFonts w:ascii="Verdana" w:eastAsia="Calibri" w:hAnsi="Verdana" w:cs="Arial"/>
                <w:lang w:eastAsia="es-ES_tradnl"/>
              </w:rPr>
              <w:t>1_2026_09_04_011774</w:t>
            </w:r>
          </w:p>
        </w:tc>
      </w:tr>
    </w:tbl>
    <w:p w14:paraId="272E0163" w14:textId="77777777" w:rsidR="00814218" w:rsidRPr="00EA2970" w:rsidRDefault="00814218" w:rsidP="00B21417">
      <w:pPr>
        <w:spacing w:after="0" w:line="240" w:lineRule="auto"/>
        <w:jc w:val="both"/>
        <w:rPr>
          <w:rFonts w:ascii="Verdana" w:eastAsia="Calibri" w:hAnsi="Verdana" w:cs="Arial"/>
          <w:lang w:eastAsia="es-ES_tradnl"/>
        </w:rPr>
      </w:pPr>
    </w:p>
    <w:p w14:paraId="686D040B" w14:textId="77777777" w:rsidR="00EA2970" w:rsidRDefault="00EA2970" w:rsidP="00814218">
      <w:pPr>
        <w:spacing w:after="0" w:line="276" w:lineRule="auto"/>
        <w:jc w:val="both"/>
        <w:rPr>
          <w:rFonts w:ascii="Verdana" w:eastAsia="Calibri" w:hAnsi="Verdana" w:cs="Arial"/>
          <w:lang w:eastAsia="es-ES"/>
        </w:rPr>
      </w:pPr>
    </w:p>
    <w:p w14:paraId="2AF809A9" w14:textId="2F60EF00" w:rsidR="00814218" w:rsidRPr="008E4F36" w:rsidRDefault="00814218" w:rsidP="00EA2970">
      <w:pPr>
        <w:spacing w:after="0" w:line="276" w:lineRule="auto"/>
        <w:jc w:val="both"/>
        <w:rPr>
          <w:rFonts w:ascii="Verdana" w:eastAsia="Calibri" w:hAnsi="Verdana" w:cs="Arial"/>
          <w:lang w:eastAsia="es-ES"/>
        </w:rPr>
      </w:pPr>
      <w:r w:rsidRPr="00083AB6">
        <w:rPr>
          <w:rFonts w:ascii="Verdana" w:eastAsia="Calibri" w:hAnsi="Verdana" w:cs="Arial"/>
          <w:lang w:eastAsia="es-ES"/>
        </w:rPr>
        <w:t>Estimad</w:t>
      </w:r>
      <w:r w:rsidR="00C33B22">
        <w:rPr>
          <w:rFonts w:ascii="Verdana" w:eastAsia="Calibri" w:hAnsi="Verdana" w:cs="Arial"/>
          <w:lang w:eastAsia="es-ES"/>
        </w:rPr>
        <w:t>o</w:t>
      </w:r>
      <w:r w:rsidRPr="00083AB6">
        <w:rPr>
          <w:rFonts w:ascii="Verdana" w:eastAsia="Calibri" w:hAnsi="Verdana" w:cs="Arial"/>
          <w:lang w:eastAsia="es-ES"/>
        </w:rPr>
        <w:t xml:space="preserve"> señor</w:t>
      </w:r>
      <w:r w:rsidR="00C33B22">
        <w:rPr>
          <w:rFonts w:ascii="Verdana" w:eastAsia="Calibri" w:hAnsi="Verdana" w:cs="Arial"/>
          <w:lang w:eastAsia="es-ES"/>
        </w:rPr>
        <w:t xml:space="preserve"> Garzón</w:t>
      </w:r>
      <w:r w:rsidRPr="00083AB6">
        <w:rPr>
          <w:rFonts w:ascii="Verdana" w:eastAsia="Calibri" w:hAnsi="Verdana" w:cs="Arial"/>
          <w:lang w:eastAsia="es-ES"/>
        </w:rPr>
        <w:t>:</w:t>
      </w:r>
      <w:r w:rsidRPr="008E4F36">
        <w:rPr>
          <w:rFonts w:ascii="Verdana" w:eastAsia="Calibri" w:hAnsi="Verdana" w:cs="Arial"/>
          <w:lang w:eastAsia="es-ES"/>
        </w:rPr>
        <w:t xml:space="preserve"> </w:t>
      </w:r>
    </w:p>
    <w:p w14:paraId="089751F1" w14:textId="77777777" w:rsidR="00814218" w:rsidRDefault="00814218" w:rsidP="00B21417">
      <w:pPr>
        <w:tabs>
          <w:tab w:val="left" w:pos="3768"/>
        </w:tabs>
        <w:spacing w:after="0" w:line="276" w:lineRule="auto"/>
        <w:jc w:val="both"/>
        <w:rPr>
          <w:rFonts w:ascii="Verdana" w:eastAsia="Calibri" w:hAnsi="Verdana" w:cs="Arial"/>
          <w:lang w:eastAsia="es-ES"/>
        </w:rPr>
      </w:pPr>
    </w:p>
    <w:p w14:paraId="302F5136" w14:textId="7D7F8B71" w:rsidR="00814218" w:rsidRPr="008E4F36" w:rsidRDefault="00814218" w:rsidP="00EA2970">
      <w:pPr>
        <w:tabs>
          <w:tab w:val="left" w:pos="3768"/>
        </w:tabs>
        <w:spacing w:after="0" w:line="276" w:lineRule="auto"/>
        <w:jc w:val="both"/>
        <w:rPr>
          <w:rFonts w:ascii="Verdana" w:eastAsia="Calibri" w:hAnsi="Verdana" w:cs="Arial"/>
          <w:lang w:eastAsia="es-ES"/>
        </w:rPr>
      </w:pPr>
      <w:r w:rsidRPr="000F2158">
        <w:rPr>
          <w:rFonts w:ascii="Verdana" w:eastAsia="Calibri" w:hAnsi="Verdana" w:cs="Arial"/>
          <w:lang w:eastAsia="es-ES"/>
        </w:rPr>
        <w:t xml:space="preserve">En ejercicio de la competencia otorgada por los artículos 3, numeral 5º, y 11, numeral 8º, del Decreto Ley 4170 de 2011, así como lo establecido en la Resolución </w:t>
      </w:r>
      <w:r>
        <w:rPr>
          <w:rFonts w:ascii="Verdana" w:eastAsia="Calibri" w:hAnsi="Verdana" w:cs="Arial"/>
          <w:lang w:eastAsia="es-ES"/>
        </w:rPr>
        <w:t>469 de 2025</w:t>
      </w:r>
      <w:r w:rsidRPr="000F2158">
        <w:rPr>
          <w:rFonts w:ascii="Verdana" w:eastAsia="Calibri" w:hAnsi="Verdana" w:cs="Arial"/>
          <w:lang w:eastAsia="es-ES"/>
        </w:rPr>
        <w:t xml:space="preserve"> expedida por esta Entidad, la Agencia Nacional de Contratación Pública – Colombia Compra Eficiente– responde su solicitud de consulta de fecha </w:t>
      </w:r>
      <w:r>
        <w:rPr>
          <w:rFonts w:ascii="Verdana" w:eastAsia="Calibri" w:hAnsi="Verdana" w:cs="Arial"/>
          <w:lang w:eastAsia="es-ES"/>
        </w:rPr>
        <w:t>4</w:t>
      </w:r>
      <w:r w:rsidRPr="00AF6D58">
        <w:rPr>
          <w:rFonts w:ascii="Verdana" w:eastAsia="Calibri" w:hAnsi="Verdana" w:cs="Arial"/>
          <w:lang w:eastAsia="es-ES"/>
        </w:rPr>
        <w:t xml:space="preserve"> de </w:t>
      </w:r>
      <w:r w:rsidR="004B7774">
        <w:rPr>
          <w:rFonts w:ascii="Verdana" w:eastAsia="Calibri" w:hAnsi="Verdana" w:cs="Arial"/>
          <w:lang w:eastAsia="es-ES"/>
        </w:rPr>
        <w:t>septiembre</w:t>
      </w:r>
      <w:r w:rsidRPr="00AF6D58">
        <w:rPr>
          <w:rFonts w:ascii="Verdana" w:eastAsia="Calibri" w:hAnsi="Verdana" w:cs="Arial"/>
          <w:lang w:eastAsia="es-ES"/>
        </w:rPr>
        <w:t xml:space="preserve"> de 202</w:t>
      </w:r>
      <w:r>
        <w:rPr>
          <w:rFonts w:ascii="Verdana" w:eastAsia="Calibri" w:hAnsi="Verdana" w:cs="Arial"/>
          <w:lang w:eastAsia="es-ES"/>
        </w:rPr>
        <w:t>6</w:t>
      </w:r>
      <w:r w:rsidRPr="00AF6D58">
        <w:rPr>
          <w:rFonts w:ascii="Verdana" w:eastAsia="Calibri" w:hAnsi="Verdana" w:cs="Arial"/>
          <w:lang w:eastAsia="es-ES"/>
        </w:rPr>
        <w:t>,</w:t>
      </w:r>
      <w:r w:rsidR="004B7774">
        <w:rPr>
          <w:rFonts w:ascii="Verdana" w:eastAsia="Calibri" w:hAnsi="Verdana" w:cs="Arial"/>
          <w:lang w:eastAsia="es-ES"/>
        </w:rPr>
        <w:t xml:space="preserve"> remitida por el Departamento Administrativo de la Función Pública con oficio remisorio No. 2</w:t>
      </w:r>
      <w:r w:rsidR="004B7774" w:rsidRPr="004B7774">
        <w:rPr>
          <w:rFonts w:ascii="Verdana" w:eastAsia="Calibri" w:hAnsi="Verdana" w:cs="Arial"/>
          <w:lang w:eastAsia="es-ES"/>
        </w:rPr>
        <w:t>0262040335751</w:t>
      </w:r>
      <w:r w:rsidRPr="000F2158">
        <w:rPr>
          <w:rFonts w:ascii="Verdana" w:eastAsia="Calibri" w:hAnsi="Verdana" w:cs="Arial"/>
          <w:lang w:eastAsia="es-ES"/>
        </w:rPr>
        <w:t xml:space="preserve"> en la cual manifiesta lo siguiente:</w:t>
      </w:r>
    </w:p>
    <w:p w14:paraId="224B431C" w14:textId="77777777" w:rsidR="00814218" w:rsidRPr="008C54F3" w:rsidRDefault="00814218" w:rsidP="00B21417">
      <w:pPr>
        <w:spacing w:after="0" w:line="276" w:lineRule="auto"/>
        <w:ind w:left="709" w:right="709"/>
        <w:jc w:val="both"/>
        <w:rPr>
          <w:rFonts w:ascii="Verdana" w:eastAsia="Calibri" w:hAnsi="Verdana" w:cs="Arial"/>
          <w:color w:val="000000" w:themeColor="text1"/>
          <w:sz w:val="20"/>
          <w:szCs w:val="20"/>
        </w:rPr>
      </w:pPr>
    </w:p>
    <w:p w14:paraId="50CD870C" w14:textId="5FAC43B8" w:rsidR="00D03B4A" w:rsidRPr="00D03B4A" w:rsidRDefault="00814218" w:rsidP="00D03B4A">
      <w:pPr>
        <w:spacing w:after="0" w:line="240" w:lineRule="auto"/>
        <w:ind w:left="709" w:right="709"/>
        <w:jc w:val="both"/>
        <w:rPr>
          <w:rFonts w:ascii="Verdana" w:eastAsia="Century Gothic" w:hAnsi="Verdana" w:cs="Century Gothic"/>
          <w:i/>
          <w:iCs/>
          <w:sz w:val="20"/>
          <w:szCs w:val="20"/>
          <w:lang w:val="es-ES"/>
        </w:rPr>
      </w:pPr>
      <w:bookmarkStart w:id="2" w:name="_Hlk192699624"/>
      <w:bookmarkStart w:id="3" w:name="_Hlk199394899"/>
      <w:r w:rsidRPr="00F67E80">
        <w:rPr>
          <w:rFonts w:ascii="Verdana" w:eastAsia="Century Gothic" w:hAnsi="Verdana" w:cs="Century Gothic"/>
          <w:i/>
          <w:iCs/>
          <w:sz w:val="20"/>
          <w:szCs w:val="20"/>
          <w:lang w:val="es-ES"/>
        </w:rPr>
        <w:t>“</w:t>
      </w:r>
      <w:bookmarkEnd w:id="2"/>
      <w:bookmarkEnd w:id="3"/>
      <w:r w:rsidR="00D03B4A" w:rsidRPr="00D03B4A">
        <w:rPr>
          <w:rFonts w:ascii="Verdana" w:eastAsia="Century Gothic" w:hAnsi="Verdana" w:cs="Century Gothic"/>
          <w:i/>
          <w:iCs/>
          <w:sz w:val="20"/>
          <w:szCs w:val="20"/>
          <w:lang w:val="es-ES"/>
        </w:rPr>
        <w:t>1. ¿En un contrato estatal de prestación de servicios profesionales o de apoyo a la gestión,</w:t>
      </w:r>
      <w:r w:rsidR="00097579">
        <w:rPr>
          <w:rFonts w:ascii="Verdana" w:eastAsia="Century Gothic" w:hAnsi="Verdana" w:cs="Century Gothic"/>
          <w:i/>
          <w:iCs/>
          <w:sz w:val="20"/>
          <w:szCs w:val="20"/>
          <w:lang w:val="es-ES"/>
        </w:rPr>
        <w:t xml:space="preserve"> </w:t>
      </w:r>
      <w:r w:rsidR="00D03B4A" w:rsidRPr="00D03B4A">
        <w:rPr>
          <w:rFonts w:ascii="Verdana" w:eastAsia="Century Gothic" w:hAnsi="Verdana" w:cs="Century Gothic"/>
          <w:i/>
          <w:iCs/>
          <w:sz w:val="20"/>
          <w:szCs w:val="20"/>
          <w:lang w:val="es-ES"/>
        </w:rPr>
        <w:t>existe la obligación de que todas y cada una de las obligaciones contractuales pactadas sean</w:t>
      </w:r>
      <w:r w:rsidR="00097579">
        <w:rPr>
          <w:rFonts w:ascii="Verdana" w:eastAsia="Century Gothic" w:hAnsi="Verdana" w:cs="Century Gothic"/>
          <w:i/>
          <w:iCs/>
          <w:sz w:val="20"/>
          <w:szCs w:val="20"/>
          <w:lang w:val="es-ES"/>
        </w:rPr>
        <w:t xml:space="preserve"> </w:t>
      </w:r>
      <w:r w:rsidR="00D03B4A" w:rsidRPr="00D03B4A">
        <w:rPr>
          <w:rFonts w:ascii="Verdana" w:eastAsia="Century Gothic" w:hAnsi="Verdana" w:cs="Century Gothic"/>
          <w:i/>
          <w:iCs/>
          <w:sz w:val="20"/>
          <w:szCs w:val="20"/>
          <w:lang w:val="es-ES"/>
        </w:rPr>
        <w:t>ejecutadas necesariamente durante todos y cada uno de los meses de vigencia del contrato,</w:t>
      </w:r>
      <w:r w:rsidR="00097579">
        <w:rPr>
          <w:rFonts w:ascii="Verdana" w:eastAsia="Century Gothic" w:hAnsi="Verdana" w:cs="Century Gothic"/>
          <w:i/>
          <w:iCs/>
          <w:sz w:val="20"/>
          <w:szCs w:val="20"/>
          <w:lang w:val="es-ES"/>
        </w:rPr>
        <w:t xml:space="preserve"> </w:t>
      </w:r>
      <w:r w:rsidR="00D03B4A" w:rsidRPr="00D03B4A">
        <w:rPr>
          <w:rFonts w:ascii="Verdana" w:eastAsia="Century Gothic" w:hAnsi="Verdana" w:cs="Century Gothic"/>
          <w:i/>
          <w:iCs/>
          <w:sz w:val="20"/>
          <w:szCs w:val="20"/>
          <w:lang w:val="es-ES"/>
        </w:rPr>
        <w:t>independientemente de la naturaleza de cada obligación?</w:t>
      </w:r>
    </w:p>
    <w:p w14:paraId="104D4E30" w14:textId="28F2679E" w:rsidR="00D03B4A" w:rsidRDefault="00D03B4A" w:rsidP="00D03B4A">
      <w:pPr>
        <w:spacing w:after="0" w:line="240" w:lineRule="auto"/>
        <w:ind w:left="709" w:right="709"/>
        <w:jc w:val="both"/>
        <w:rPr>
          <w:rFonts w:ascii="Verdana" w:eastAsia="Century Gothic" w:hAnsi="Verdana" w:cs="Century Gothic"/>
          <w:i/>
          <w:iCs/>
          <w:sz w:val="20"/>
          <w:szCs w:val="20"/>
          <w:lang w:val="es-ES"/>
        </w:rPr>
      </w:pPr>
      <w:r w:rsidRPr="00D03B4A">
        <w:rPr>
          <w:rFonts w:ascii="Verdana" w:eastAsia="Century Gothic" w:hAnsi="Verdana" w:cs="Century Gothic"/>
          <w:i/>
          <w:iCs/>
          <w:sz w:val="20"/>
          <w:szCs w:val="20"/>
          <w:lang w:val="es-ES"/>
        </w:rPr>
        <w:t>2. Cuando una obligación contractual se encuentra pactada para ser desarrollada durante el</w:t>
      </w:r>
      <w:r w:rsidR="00097579">
        <w:rPr>
          <w:rFonts w:ascii="Verdana" w:eastAsia="Century Gothic" w:hAnsi="Verdana" w:cs="Century Gothic"/>
          <w:i/>
          <w:iCs/>
          <w:sz w:val="20"/>
          <w:szCs w:val="20"/>
          <w:lang w:val="es-ES"/>
        </w:rPr>
        <w:t xml:space="preserve"> </w:t>
      </w:r>
      <w:r w:rsidRPr="00D03B4A">
        <w:rPr>
          <w:rFonts w:ascii="Verdana" w:eastAsia="Century Gothic" w:hAnsi="Verdana" w:cs="Century Gothic"/>
          <w:i/>
          <w:iCs/>
          <w:sz w:val="20"/>
          <w:szCs w:val="20"/>
          <w:lang w:val="es-ES"/>
        </w:rPr>
        <w:t>plazo total del contrato, pero por su naturaleza no requiere una ejecución permanente o</w:t>
      </w:r>
      <w:r w:rsidR="00097579">
        <w:rPr>
          <w:rFonts w:ascii="Verdana" w:eastAsia="Century Gothic" w:hAnsi="Verdana" w:cs="Century Gothic"/>
          <w:i/>
          <w:iCs/>
          <w:sz w:val="20"/>
          <w:szCs w:val="20"/>
          <w:lang w:val="es-ES"/>
        </w:rPr>
        <w:t xml:space="preserve"> </w:t>
      </w:r>
      <w:r w:rsidRPr="00D03B4A">
        <w:rPr>
          <w:rFonts w:ascii="Verdana" w:eastAsia="Century Gothic" w:hAnsi="Verdana" w:cs="Century Gothic"/>
          <w:i/>
          <w:iCs/>
          <w:sz w:val="20"/>
          <w:szCs w:val="20"/>
          <w:lang w:val="es-ES"/>
        </w:rPr>
        <w:t>mensual, ¿es jurídicamente válido que existan meses en los cuales dicha obligación no</w:t>
      </w:r>
      <w:r w:rsidR="00097579">
        <w:rPr>
          <w:rFonts w:ascii="Verdana" w:eastAsia="Century Gothic" w:hAnsi="Verdana" w:cs="Century Gothic"/>
          <w:i/>
          <w:iCs/>
          <w:sz w:val="20"/>
          <w:szCs w:val="20"/>
          <w:lang w:val="es-ES"/>
        </w:rPr>
        <w:t xml:space="preserve"> </w:t>
      </w:r>
      <w:r w:rsidRPr="00D03B4A">
        <w:rPr>
          <w:rFonts w:ascii="Verdana" w:eastAsia="Century Gothic" w:hAnsi="Verdana" w:cs="Century Gothic"/>
          <w:i/>
          <w:iCs/>
          <w:sz w:val="20"/>
          <w:szCs w:val="20"/>
          <w:lang w:val="es-ES"/>
        </w:rPr>
        <w:t>registre una actividad específica, siempre que su ejecución corresponda al objeto y alcance</w:t>
      </w:r>
      <w:r w:rsidR="00097579">
        <w:rPr>
          <w:rFonts w:ascii="Verdana" w:eastAsia="Century Gothic" w:hAnsi="Verdana" w:cs="Century Gothic"/>
          <w:i/>
          <w:iCs/>
          <w:sz w:val="20"/>
          <w:szCs w:val="20"/>
          <w:lang w:val="es-ES"/>
        </w:rPr>
        <w:t xml:space="preserve"> </w:t>
      </w:r>
      <w:r w:rsidRPr="00D03B4A">
        <w:rPr>
          <w:rFonts w:ascii="Verdana" w:eastAsia="Century Gothic" w:hAnsi="Verdana" w:cs="Century Gothic"/>
          <w:i/>
          <w:iCs/>
          <w:sz w:val="20"/>
          <w:szCs w:val="20"/>
          <w:lang w:val="es-ES"/>
        </w:rPr>
        <w:t>contractual y pueda acreditarse dentro del periodo previsto?</w:t>
      </w:r>
    </w:p>
    <w:p w14:paraId="1CD6BB56" w14:textId="46A9EE86" w:rsidR="00D03B4A" w:rsidRPr="00D03B4A" w:rsidRDefault="00D03B4A" w:rsidP="00D03B4A">
      <w:pPr>
        <w:spacing w:after="0" w:line="240" w:lineRule="auto"/>
        <w:ind w:left="709" w:right="709"/>
        <w:jc w:val="both"/>
        <w:rPr>
          <w:rFonts w:ascii="Verdana" w:eastAsia="Century Gothic" w:hAnsi="Verdana" w:cs="Century Gothic"/>
          <w:i/>
          <w:iCs/>
          <w:sz w:val="20"/>
          <w:szCs w:val="20"/>
          <w:lang w:val="es-ES"/>
        </w:rPr>
      </w:pPr>
      <w:r w:rsidRPr="00D03B4A">
        <w:rPr>
          <w:rFonts w:ascii="Verdana" w:eastAsia="Century Gothic" w:hAnsi="Verdana" w:cs="Century Gothic"/>
          <w:i/>
          <w:iCs/>
          <w:sz w:val="20"/>
          <w:szCs w:val="20"/>
          <w:lang w:val="es-ES"/>
        </w:rPr>
        <w:t>3. ¿El hecho de que durante un determinado mes no se haya desarrollado una obligación</w:t>
      </w:r>
      <w:r w:rsidR="00097579">
        <w:rPr>
          <w:rFonts w:ascii="Verdana" w:eastAsia="Century Gothic" w:hAnsi="Verdana" w:cs="Century Gothic"/>
          <w:i/>
          <w:iCs/>
          <w:sz w:val="20"/>
          <w:szCs w:val="20"/>
          <w:lang w:val="es-ES"/>
        </w:rPr>
        <w:t xml:space="preserve"> </w:t>
      </w:r>
      <w:r w:rsidRPr="00D03B4A">
        <w:rPr>
          <w:rFonts w:ascii="Verdana" w:eastAsia="Century Gothic" w:hAnsi="Verdana" w:cs="Century Gothic"/>
          <w:i/>
          <w:iCs/>
          <w:sz w:val="20"/>
          <w:szCs w:val="20"/>
          <w:lang w:val="es-ES"/>
        </w:rPr>
        <w:t>contractual, por no haberse presentado una actividad, requerimiento o circunstancia que</w:t>
      </w:r>
      <w:r w:rsidR="00097579">
        <w:rPr>
          <w:rFonts w:ascii="Verdana" w:eastAsia="Century Gothic" w:hAnsi="Verdana" w:cs="Century Gothic"/>
          <w:i/>
          <w:iCs/>
          <w:sz w:val="20"/>
          <w:szCs w:val="20"/>
          <w:lang w:val="es-ES"/>
        </w:rPr>
        <w:t xml:space="preserve"> </w:t>
      </w:r>
      <w:r w:rsidRPr="00D03B4A">
        <w:rPr>
          <w:rFonts w:ascii="Verdana" w:eastAsia="Century Gothic" w:hAnsi="Verdana" w:cs="Century Gothic"/>
          <w:i/>
          <w:iCs/>
          <w:sz w:val="20"/>
          <w:szCs w:val="20"/>
          <w:lang w:val="es-ES"/>
        </w:rPr>
        <w:t>hiciera necesaria su ejecución, constituye por sí mismo un incumplimiento contractual, o es</w:t>
      </w:r>
      <w:r w:rsidR="00097579">
        <w:rPr>
          <w:rFonts w:ascii="Verdana" w:eastAsia="Century Gothic" w:hAnsi="Verdana" w:cs="Century Gothic"/>
          <w:i/>
          <w:iCs/>
          <w:sz w:val="20"/>
          <w:szCs w:val="20"/>
          <w:lang w:val="es-ES"/>
        </w:rPr>
        <w:t xml:space="preserve"> </w:t>
      </w:r>
      <w:r w:rsidRPr="00D03B4A">
        <w:rPr>
          <w:rFonts w:ascii="Verdana" w:eastAsia="Century Gothic" w:hAnsi="Verdana" w:cs="Century Gothic"/>
          <w:i/>
          <w:iCs/>
          <w:sz w:val="20"/>
          <w:szCs w:val="20"/>
          <w:lang w:val="es-ES"/>
        </w:rPr>
        <w:t>necesario analizar la naturaleza y condiciones específicas de dicha obligación?</w:t>
      </w:r>
    </w:p>
    <w:p w14:paraId="458FC374" w14:textId="578E33F3" w:rsidR="00D03B4A" w:rsidRPr="00D03B4A" w:rsidRDefault="00D03B4A" w:rsidP="00D03B4A">
      <w:pPr>
        <w:spacing w:after="0" w:line="240" w:lineRule="auto"/>
        <w:ind w:left="709" w:right="709"/>
        <w:jc w:val="both"/>
        <w:rPr>
          <w:rFonts w:ascii="Verdana" w:eastAsia="Century Gothic" w:hAnsi="Verdana" w:cs="Century Gothic"/>
          <w:i/>
          <w:iCs/>
          <w:sz w:val="20"/>
          <w:szCs w:val="20"/>
          <w:lang w:val="es-ES"/>
        </w:rPr>
      </w:pPr>
      <w:r w:rsidRPr="00D03B4A">
        <w:rPr>
          <w:rFonts w:ascii="Verdana" w:eastAsia="Century Gothic" w:hAnsi="Verdana" w:cs="Century Gothic"/>
          <w:i/>
          <w:iCs/>
          <w:sz w:val="20"/>
          <w:szCs w:val="20"/>
          <w:lang w:val="es-ES"/>
        </w:rPr>
        <w:t>4. Para determinar si existe incumplimiento de una obligación contractual cuya ejecución no</w:t>
      </w:r>
      <w:r w:rsidR="00097579">
        <w:rPr>
          <w:rFonts w:ascii="Verdana" w:eastAsia="Century Gothic" w:hAnsi="Verdana" w:cs="Century Gothic"/>
          <w:i/>
          <w:iCs/>
          <w:sz w:val="20"/>
          <w:szCs w:val="20"/>
          <w:lang w:val="es-ES"/>
        </w:rPr>
        <w:t xml:space="preserve"> </w:t>
      </w:r>
      <w:r w:rsidRPr="00D03B4A">
        <w:rPr>
          <w:rFonts w:ascii="Verdana" w:eastAsia="Century Gothic" w:hAnsi="Verdana" w:cs="Century Gothic"/>
          <w:i/>
          <w:iCs/>
          <w:sz w:val="20"/>
          <w:szCs w:val="20"/>
          <w:lang w:val="es-ES"/>
        </w:rPr>
        <w:t>tiene periodicidad mensual expresamente pactada, ¿debe analizarse necesariamente el</w:t>
      </w:r>
      <w:r w:rsidR="00097579">
        <w:rPr>
          <w:rFonts w:ascii="Verdana" w:eastAsia="Century Gothic" w:hAnsi="Verdana" w:cs="Century Gothic"/>
          <w:i/>
          <w:iCs/>
          <w:sz w:val="20"/>
          <w:szCs w:val="20"/>
          <w:lang w:val="es-ES"/>
        </w:rPr>
        <w:t xml:space="preserve"> </w:t>
      </w:r>
      <w:r w:rsidRPr="00D03B4A">
        <w:rPr>
          <w:rFonts w:ascii="Verdana" w:eastAsia="Century Gothic" w:hAnsi="Verdana" w:cs="Century Gothic"/>
          <w:i/>
          <w:iCs/>
          <w:sz w:val="20"/>
          <w:szCs w:val="20"/>
          <w:lang w:val="es-ES"/>
        </w:rPr>
        <w:t>cumplimiento mes a mes, o puede valorarse la ejecución durante el plazo contractual</w:t>
      </w:r>
      <w:r w:rsidR="00097579">
        <w:rPr>
          <w:rFonts w:ascii="Verdana" w:eastAsia="Century Gothic" w:hAnsi="Verdana" w:cs="Century Gothic"/>
          <w:i/>
          <w:iCs/>
          <w:sz w:val="20"/>
          <w:szCs w:val="20"/>
          <w:lang w:val="es-ES"/>
        </w:rPr>
        <w:t xml:space="preserve"> </w:t>
      </w:r>
      <w:r w:rsidRPr="00D03B4A">
        <w:rPr>
          <w:rFonts w:ascii="Verdana" w:eastAsia="Century Gothic" w:hAnsi="Verdana" w:cs="Century Gothic"/>
          <w:i/>
          <w:iCs/>
          <w:sz w:val="20"/>
          <w:szCs w:val="20"/>
          <w:lang w:val="es-ES"/>
        </w:rPr>
        <w:t>atendiendo a la naturaleza de la obligación, el objeto contractual, las actividades realizadas,</w:t>
      </w:r>
      <w:r w:rsidR="00097579">
        <w:rPr>
          <w:rFonts w:ascii="Verdana" w:eastAsia="Century Gothic" w:hAnsi="Verdana" w:cs="Century Gothic"/>
          <w:i/>
          <w:iCs/>
          <w:sz w:val="20"/>
          <w:szCs w:val="20"/>
          <w:lang w:val="es-ES"/>
        </w:rPr>
        <w:t xml:space="preserve"> </w:t>
      </w:r>
      <w:r w:rsidRPr="00D03B4A">
        <w:rPr>
          <w:rFonts w:ascii="Verdana" w:eastAsia="Century Gothic" w:hAnsi="Verdana" w:cs="Century Gothic"/>
          <w:i/>
          <w:iCs/>
          <w:sz w:val="20"/>
          <w:szCs w:val="20"/>
          <w:lang w:val="es-ES"/>
        </w:rPr>
        <w:t>los productos o resultados y las demás condiciones pactadas?</w:t>
      </w:r>
    </w:p>
    <w:p w14:paraId="7D8FAF41" w14:textId="3204A008" w:rsidR="00D03B4A" w:rsidRPr="00D03B4A" w:rsidRDefault="00D03B4A" w:rsidP="00D03B4A">
      <w:pPr>
        <w:spacing w:after="0" w:line="240" w:lineRule="auto"/>
        <w:ind w:left="709" w:right="709"/>
        <w:jc w:val="both"/>
        <w:rPr>
          <w:rFonts w:ascii="Verdana" w:eastAsia="Century Gothic" w:hAnsi="Verdana" w:cs="Century Gothic"/>
          <w:i/>
          <w:iCs/>
          <w:sz w:val="20"/>
          <w:szCs w:val="20"/>
          <w:lang w:val="es-ES"/>
        </w:rPr>
      </w:pPr>
      <w:r w:rsidRPr="00D03B4A">
        <w:rPr>
          <w:rFonts w:ascii="Verdana" w:eastAsia="Century Gothic" w:hAnsi="Verdana" w:cs="Century Gothic"/>
          <w:i/>
          <w:iCs/>
          <w:sz w:val="20"/>
          <w:szCs w:val="20"/>
          <w:lang w:val="es-ES"/>
        </w:rPr>
        <w:t>5. En contratos cuyo plazo de ejecución sea superior a un mes y en los cuales se establezca</w:t>
      </w:r>
      <w:r w:rsidR="00097579">
        <w:rPr>
          <w:rFonts w:ascii="Verdana" w:eastAsia="Century Gothic" w:hAnsi="Verdana" w:cs="Century Gothic"/>
          <w:i/>
          <w:iCs/>
          <w:sz w:val="20"/>
          <w:szCs w:val="20"/>
          <w:lang w:val="es-ES"/>
        </w:rPr>
        <w:t xml:space="preserve"> </w:t>
      </w:r>
      <w:r w:rsidRPr="00D03B4A">
        <w:rPr>
          <w:rFonts w:ascii="Verdana" w:eastAsia="Century Gothic" w:hAnsi="Verdana" w:cs="Century Gothic"/>
          <w:i/>
          <w:iCs/>
          <w:sz w:val="20"/>
          <w:szCs w:val="20"/>
          <w:lang w:val="es-ES"/>
        </w:rPr>
        <w:t>el pago periódico de honorarios, ¿el pago mensual implica jurídicamente que el contratista</w:t>
      </w:r>
      <w:r w:rsidR="00097579">
        <w:rPr>
          <w:rFonts w:ascii="Verdana" w:eastAsia="Century Gothic" w:hAnsi="Verdana" w:cs="Century Gothic"/>
          <w:i/>
          <w:iCs/>
          <w:sz w:val="20"/>
          <w:szCs w:val="20"/>
          <w:lang w:val="es-ES"/>
        </w:rPr>
        <w:t xml:space="preserve"> </w:t>
      </w:r>
      <w:r w:rsidRPr="00D03B4A">
        <w:rPr>
          <w:rFonts w:ascii="Verdana" w:eastAsia="Century Gothic" w:hAnsi="Verdana" w:cs="Century Gothic"/>
          <w:i/>
          <w:iCs/>
          <w:sz w:val="20"/>
          <w:szCs w:val="20"/>
          <w:lang w:val="es-ES"/>
        </w:rPr>
        <w:t>deba acreditar la ejecución de la totalidad de las obligaciones contractuales en cada periodo</w:t>
      </w:r>
      <w:r w:rsidR="00097579">
        <w:rPr>
          <w:rFonts w:ascii="Verdana" w:eastAsia="Century Gothic" w:hAnsi="Verdana" w:cs="Century Gothic"/>
          <w:i/>
          <w:iCs/>
          <w:sz w:val="20"/>
          <w:szCs w:val="20"/>
          <w:lang w:val="es-ES"/>
        </w:rPr>
        <w:t xml:space="preserve"> </w:t>
      </w:r>
      <w:r w:rsidRPr="00D03B4A">
        <w:rPr>
          <w:rFonts w:ascii="Verdana" w:eastAsia="Century Gothic" w:hAnsi="Verdana" w:cs="Century Gothic"/>
          <w:i/>
          <w:iCs/>
          <w:sz w:val="20"/>
          <w:szCs w:val="20"/>
          <w:lang w:val="es-ES"/>
        </w:rPr>
        <w:t>mensual, o ello depende de la naturaleza, alcance y forma de ejecución de cada obligación</w:t>
      </w:r>
    </w:p>
    <w:p w14:paraId="05BAB20B" w14:textId="77777777" w:rsidR="00C33B22" w:rsidRDefault="00D03B4A" w:rsidP="00D03B4A">
      <w:pPr>
        <w:spacing w:after="0" w:line="240" w:lineRule="auto"/>
        <w:ind w:left="709" w:right="709"/>
        <w:jc w:val="both"/>
        <w:rPr>
          <w:rFonts w:ascii="Verdana" w:eastAsia="Century Gothic" w:hAnsi="Verdana" w:cs="Century Gothic"/>
          <w:i/>
          <w:iCs/>
          <w:sz w:val="20"/>
          <w:szCs w:val="20"/>
          <w:lang w:val="es-ES"/>
        </w:rPr>
      </w:pPr>
      <w:r w:rsidRPr="00D03B4A">
        <w:rPr>
          <w:rFonts w:ascii="Verdana" w:eastAsia="Century Gothic" w:hAnsi="Verdana" w:cs="Century Gothic"/>
          <w:i/>
          <w:iCs/>
          <w:sz w:val="20"/>
          <w:szCs w:val="20"/>
          <w:lang w:val="es-ES"/>
        </w:rPr>
        <w:t>establecida en el contrato?</w:t>
      </w:r>
    </w:p>
    <w:p w14:paraId="39BF09BA" w14:textId="17B68A4B" w:rsidR="00C33B22" w:rsidRPr="00C33B22" w:rsidRDefault="00C33B22" w:rsidP="00C33B22">
      <w:pPr>
        <w:spacing w:after="0" w:line="240" w:lineRule="auto"/>
        <w:ind w:left="709" w:right="709"/>
        <w:jc w:val="both"/>
        <w:rPr>
          <w:rFonts w:ascii="Verdana" w:eastAsia="Century Gothic" w:hAnsi="Verdana" w:cs="Century Gothic"/>
          <w:i/>
          <w:iCs/>
          <w:sz w:val="20"/>
          <w:szCs w:val="20"/>
          <w:lang w:val="es-ES"/>
        </w:rPr>
      </w:pPr>
      <w:r w:rsidRPr="00C33B22">
        <w:rPr>
          <w:rFonts w:ascii="Verdana" w:eastAsia="Century Gothic" w:hAnsi="Verdana" w:cs="Century Gothic"/>
          <w:i/>
          <w:iCs/>
          <w:sz w:val="20"/>
          <w:szCs w:val="20"/>
          <w:lang w:val="es-ES"/>
        </w:rPr>
        <w:t>6. ¿Puede considerarse jurídicamente cumplida una obligación contractual cuando esta se</w:t>
      </w:r>
      <w:r w:rsidR="00097579">
        <w:rPr>
          <w:rFonts w:ascii="Verdana" w:eastAsia="Century Gothic" w:hAnsi="Verdana" w:cs="Century Gothic"/>
          <w:i/>
          <w:iCs/>
          <w:sz w:val="20"/>
          <w:szCs w:val="20"/>
          <w:lang w:val="es-ES"/>
        </w:rPr>
        <w:t xml:space="preserve"> </w:t>
      </w:r>
      <w:r w:rsidRPr="00C33B22">
        <w:rPr>
          <w:rFonts w:ascii="Verdana" w:eastAsia="Century Gothic" w:hAnsi="Verdana" w:cs="Century Gothic"/>
          <w:i/>
          <w:iCs/>
          <w:sz w:val="20"/>
          <w:szCs w:val="20"/>
          <w:lang w:val="es-ES"/>
        </w:rPr>
        <w:t>ejecuta de manera periódica, eventual o según las necesidades del servicio, y no</w:t>
      </w:r>
      <w:r w:rsidR="00097579">
        <w:rPr>
          <w:rFonts w:ascii="Verdana" w:eastAsia="Century Gothic" w:hAnsi="Verdana" w:cs="Century Gothic"/>
          <w:i/>
          <w:iCs/>
          <w:sz w:val="20"/>
          <w:szCs w:val="20"/>
          <w:lang w:val="es-ES"/>
        </w:rPr>
        <w:t xml:space="preserve"> </w:t>
      </w:r>
      <w:r w:rsidRPr="00C33B22">
        <w:rPr>
          <w:rFonts w:ascii="Verdana" w:eastAsia="Century Gothic" w:hAnsi="Verdana" w:cs="Century Gothic"/>
          <w:i/>
          <w:iCs/>
          <w:sz w:val="20"/>
          <w:szCs w:val="20"/>
          <w:lang w:val="es-ES"/>
        </w:rPr>
        <w:t>necesariamente todos los meses, siempre que su ejecución se encuentre dentro del plazo</w:t>
      </w:r>
      <w:r w:rsidR="00097579">
        <w:rPr>
          <w:rFonts w:ascii="Verdana" w:eastAsia="Century Gothic" w:hAnsi="Verdana" w:cs="Century Gothic"/>
          <w:i/>
          <w:iCs/>
          <w:sz w:val="20"/>
          <w:szCs w:val="20"/>
          <w:lang w:val="es-ES"/>
        </w:rPr>
        <w:t xml:space="preserve"> </w:t>
      </w:r>
      <w:r w:rsidRPr="00C33B22">
        <w:rPr>
          <w:rFonts w:ascii="Verdana" w:eastAsia="Century Gothic" w:hAnsi="Verdana" w:cs="Century Gothic"/>
          <w:i/>
          <w:iCs/>
          <w:sz w:val="20"/>
          <w:szCs w:val="20"/>
          <w:lang w:val="es-ES"/>
        </w:rPr>
        <w:t>contractual y corresponda al objeto y alcance pactados?</w:t>
      </w:r>
    </w:p>
    <w:p w14:paraId="161E9B11" w14:textId="5CBEA52A" w:rsidR="00C33B22" w:rsidRPr="00C33B22" w:rsidRDefault="00C33B22" w:rsidP="00C33B22">
      <w:pPr>
        <w:spacing w:after="0" w:line="240" w:lineRule="auto"/>
        <w:ind w:left="709" w:right="709"/>
        <w:jc w:val="both"/>
        <w:rPr>
          <w:rFonts w:ascii="Verdana" w:eastAsia="Century Gothic" w:hAnsi="Verdana" w:cs="Century Gothic"/>
          <w:i/>
          <w:iCs/>
          <w:sz w:val="20"/>
          <w:szCs w:val="20"/>
          <w:lang w:val="es-ES"/>
        </w:rPr>
      </w:pPr>
      <w:r w:rsidRPr="00C33B22">
        <w:rPr>
          <w:rFonts w:ascii="Verdana" w:eastAsia="Century Gothic" w:hAnsi="Verdana" w:cs="Century Gothic"/>
          <w:i/>
          <w:iCs/>
          <w:sz w:val="20"/>
          <w:szCs w:val="20"/>
          <w:lang w:val="es-ES"/>
        </w:rPr>
        <w:t>7. Cuando una obligación contractual tenga una naturaleza que permita su ejecución en</w:t>
      </w:r>
      <w:r w:rsidR="00097579">
        <w:rPr>
          <w:rFonts w:ascii="Verdana" w:eastAsia="Century Gothic" w:hAnsi="Verdana" w:cs="Century Gothic"/>
          <w:i/>
          <w:iCs/>
          <w:sz w:val="20"/>
          <w:szCs w:val="20"/>
          <w:lang w:val="es-ES"/>
        </w:rPr>
        <w:t xml:space="preserve"> </w:t>
      </w:r>
      <w:r w:rsidRPr="00C33B22">
        <w:rPr>
          <w:rFonts w:ascii="Verdana" w:eastAsia="Century Gothic" w:hAnsi="Verdana" w:cs="Century Gothic"/>
          <w:i/>
          <w:iCs/>
          <w:sz w:val="20"/>
          <w:szCs w:val="20"/>
          <w:lang w:val="es-ES"/>
        </w:rPr>
        <w:t>determinados momentos del contrato, ¿la ausencia de actividad relacionada con dicha</w:t>
      </w:r>
      <w:r w:rsidR="00097579">
        <w:rPr>
          <w:rFonts w:ascii="Verdana" w:eastAsia="Century Gothic" w:hAnsi="Verdana" w:cs="Century Gothic"/>
          <w:i/>
          <w:iCs/>
          <w:sz w:val="20"/>
          <w:szCs w:val="20"/>
          <w:lang w:val="es-ES"/>
        </w:rPr>
        <w:t xml:space="preserve"> </w:t>
      </w:r>
      <w:r w:rsidRPr="00C33B22">
        <w:rPr>
          <w:rFonts w:ascii="Verdana" w:eastAsia="Century Gothic" w:hAnsi="Verdana" w:cs="Century Gothic"/>
          <w:i/>
          <w:iCs/>
          <w:sz w:val="20"/>
          <w:szCs w:val="20"/>
          <w:lang w:val="es-ES"/>
        </w:rPr>
        <w:t>obligación durante uno o varios meses debe ser considerada automáticamente como</w:t>
      </w:r>
      <w:r w:rsidR="00097579">
        <w:rPr>
          <w:rFonts w:ascii="Verdana" w:eastAsia="Century Gothic" w:hAnsi="Verdana" w:cs="Century Gothic"/>
          <w:i/>
          <w:iCs/>
          <w:sz w:val="20"/>
          <w:szCs w:val="20"/>
          <w:lang w:val="es-ES"/>
        </w:rPr>
        <w:t xml:space="preserve"> </w:t>
      </w:r>
      <w:r w:rsidRPr="00C33B22">
        <w:rPr>
          <w:rFonts w:ascii="Verdana" w:eastAsia="Century Gothic" w:hAnsi="Verdana" w:cs="Century Gothic"/>
          <w:i/>
          <w:iCs/>
          <w:sz w:val="20"/>
          <w:szCs w:val="20"/>
          <w:lang w:val="es-ES"/>
        </w:rPr>
        <w:t>incumplimiento, o debe establecerse previamente que durante ese periodo existía una</w:t>
      </w:r>
      <w:r w:rsidR="00097579">
        <w:rPr>
          <w:rFonts w:ascii="Verdana" w:eastAsia="Century Gothic" w:hAnsi="Verdana" w:cs="Century Gothic"/>
          <w:i/>
          <w:iCs/>
          <w:sz w:val="20"/>
          <w:szCs w:val="20"/>
          <w:lang w:val="es-ES"/>
        </w:rPr>
        <w:t xml:space="preserve"> </w:t>
      </w:r>
      <w:r w:rsidRPr="00C33B22">
        <w:rPr>
          <w:rFonts w:ascii="Verdana" w:eastAsia="Century Gothic" w:hAnsi="Verdana" w:cs="Century Gothic"/>
          <w:i/>
          <w:iCs/>
          <w:sz w:val="20"/>
          <w:szCs w:val="20"/>
          <w:lang w:val="es-ES"/>
        </w:rPr>
        <w:t>prestación concreta exigible al contratista?</w:t>
      </w:r>
    </w:p>
    <w:p w14:paraId="45DB7172" w14:textId="2967DD0F" w:rsidR="00C33B22" w:rsidRPr="00C33B22" w:rsidRDefault="00C33B22" w:rsidP="00C33B22">
      <w:pPr>
        <w:spacing w:after="0" w:line="240" w:lineRule="auto"/>
        <w:ind w:left="709" w:right="709"/>
        <w:jc w:val="both"/>
        <w:rPr>
          <w:rFonts w:ascii="Verdana" w:eastAsia="Century Gothic" w:hAnsi="Verdana" w:cs="Century Gothic"/>
          <w:i/>
          <w:iCs/>
          <w:sz w:val="20"/>
          <w:szCs w:val="20"/>
          <w:lang w:val="es-ES"/>
        </w:rPr>
      </w:pPr>
      <w:r w:rsidRPr="00C33B22">
        <w:rPr>
          <w:rFonts w:ascii="Verdana" w:eastAsia="Century Gothic" w:hAnsi="Verdana" w:cs="Century Gothic"/>
          <w:i/>
          <w:iCs/>
          <w:sz w:val="20"/>
          <w:szCs w:val="20"/>
          <w:lang w:val="es-ES"/>
        </w:rPr>
        <w:t>8. ¿Qué criterios deberían aplicar las entidades estatales y los supervisores para determinar</w:t>
      </w:r>
      <w:r w:rsidR="00097579">
        <w:rPr>
          <w:rFonts w:ascii="Verdana" w:eastAsia="Century Gothic" w:hAnsi="Verdana" w:cs="Century Gothic"/>
          <w:i/>
          <w:iCs/>
          <w:sz w:val="20"/>
          <w:szCs w:val="20"/>
          <w:lang w:val="es-ES"/>
        </w:rPr>
        <w:t xml:space="preserve"> </w:t>
      </w:r>
      <w:r w:rsidRPr="00C33B22">
        <w:rPr>
          <w:rFonts w:ascii="Verdana" w:eastAsia="Century Gothic" w:hAnsi="Verdana" w:cs="Century Gothic"/>
          <w:i/>
          <w:iCs/>
          <w:sz w:val="20"/>
          <w:szCs w:val="20"/>
          <w:lang w:val="es-ES"/>
        </w:rPr>
        <w:t>objetivamente el cumplimiento de una obligación de un contrato de prestación de servicios</w:t>
      </w:r>
      <w:r w:rsidR="00097579">
        <w:rPr>
          <w:rFonts w:ascii="Verdana" w:eastAsia="Century Gothic" w:hAnsi="Verdana" w:cs="Century Gothic"/>
          <w:i/>
          <w:iCs/>
          <w:sz w:val="20"/>
          <w:szCs w:val="20"/>
          <w:lang w:val="es-ES"/>
        </w:rPr>
        <w:t xml:space="preserve"> </w:t>
      </w:r>
      <w:r w:rsidRPr="00C33B22">
        <w:rPr>
          <w:rFonts w:ascii="Verdana" w:eastAsia="Century Gothic" w:hAnsi="Verdana" w:cs="Century Gothic"/>
          <w:i/>
          <w:iCs/>
          <w:sz w:val="20"/>
          <w:szCs w:val="20"/>
          <w:lang w:val="es-ES"/>
        </w:rPr>
        <w:t>cuando su ejecución no tiene necesariamente una periodicidad mensual?</w:t>
      </w:r>
    </w:p>
    <w:p w14:paraId="0540103A" w14:textId="4C866461" w:rsidR="00814218" w:rsidRDefault="00C33B22" w:rsidP="00C33B22">
      <w:pPr>
        <w:spacing w:after="0" w:line="240" w:lineRule="auto"/>
        <w:ind w:left="709" w:right="709"/>
        <w:jc w:val="both"/>
        <w:rPr>
          <w:rFonts w:ascii="Verdana" w:eastAsia="Century Gothic" w:hAnsi="Verdana" w:cs="Century Gothic"/>
          <w:i/>
          <w:iCs/>
          <w:sz w:val="20"/>
          <w:szCs w:val="20"/>
          <w:lang w:val="es-ES"/>
        </w:rPr>
      </w:pPr>
      <w:r w:rsidRPr="00C33B22">
        <w:rPr>
          <w:rFonts w:ascii="Verdana" w:eastAsia="Century Gothic" w:hAnsi="Verdana" w:cs="Century Gothic"/>
          <w:i/>
          <w:iCs/>
          <w:sz w:val="20"/>
          <w:szCs w:val="20"/>
          <w:lang w:val="es-ES"/>
        </w:rPr>
        <w:t>9. ¿La exigencia de ejecutar mensualmente una actividad que, de acuerdo con la naturaleza</w:t>
      </w:r>
      <w:r w:rsidR="00097579">
        <w:rPr>
          <w:rFonts w:ascii="Verdana" w:eastAsia="Century Gothic" w:hAnsi="Verdana" w:cs="Century Gothic"/>
          <w:i/>
          <w:iCs/>
          <w:sz w:val="20"/>
          <w:szCs w:val="20"/>
          <w:lang w:val="es-ES"/>
        </w:rPr>
        <w:t xml:space="preserve"> </w:t>
      </w:r>
      <w:r w:rsidRPr="00C33B22">
        <w:rPr>
          <w:rFonts w:ascii="Verdana" w:eastAsia="Century Gothic" w:hAnsi="Verdana" w:cs="Century Gothic"/>
          <w:i/>
          <w:iCs/>
          <w:sz w:val="20"/>
          <w:szCs w:val="20"/>
          <w:lang w:val="es-ES"/>
        </w:rPr>
        <w:t xml:space="preserve">de la obligación y del objeto contractual, no tiene una </w:t>
      </w:r>
      <w:r w:rsidRPr="00C33B22">
        <w:rPr>
          <w:rFonts w:ascii="Verdana" w:eastAsia="Century Gothic" w:hAnsi="Verdana" w:cs="Century Gothic"/>
          <w:i/>
          <w:iCs/>
          <w:sz w:val="20"/>
          <w:szCs w:val="20"/>
          <w:lang w:val="es-ES"/>
        </w:rPr>
        <w:lastRenderedPageBreak/>
        <w:t>periodicidad mensual expresamente</w:t>
      </w:r>
      <w:r w:rsidR="00097579">
        <w:rPr>
          <w:rFonts w:ascii="Verdana" w:eastAsia="Century Gothic" w:hAnsi="Verdana" w:cs="Century Gothic"/>
          <w:i/>
          <w:iCs/>
          <w:sz w:val="20"/>
          <w:szCs w:val="20"/>
          <w:lang w:val="es-ES"/>
        </w:rPr>
        <w:t xml:space="preserve"> </w:t>
      </w:r>
      <w:r w:rsidRPr="00C33B22">
        <w:rPr>
          <w:rFonts w:ascii="Verdana" w:eastAsia="Century Gothic" w:hAnsi="Verdana" w:cs="Century Gothic"/>
          <w:i/>
          <w:iCs/>
          <w:sz w:val="20"/>
          <w:szCs w:val="20"/>
          <w:lang w:val="es-ES"/>
        </w:rPr>
        <w:t>establecida, podría constituir una exigencia adicional a las condiciones originalmente</w:t>
      </w:r>
      <w:r w:rsidR="00097579">
        <w:rPr>
          <w:rFonts w:ascii="Verdana" w:eastAsia="Century Gothic" w:hAnsi="Verdana" w:cs="Century Gothic"/>
          <w:i/>
          <w:iCs/>
          <w:sz w:val="20"/>
          <w:szCs w:val="20"/>
          <w:lang w:val="es-ES"/>
        </w:rPr>
        <w:t xml:space="preserve"> </w:t>
      </w:r>
      <w:r w:rsidRPr="00C33B22">
        <w:rPr>
          <w:rFonts w:ascii="Verdana" w:eastAsia="Century Gothic" w:hAnsi="Verdana" w:cs="Century Gothic"/>
          <w:i/>
          <w:iCs/>
          <w:sz w:val="20"/>
          <w:szCs w:val="20"/>
          <w:lang w:val="es-ES"/>
        </w:rPr>
        <w:t>pactadas, o dicha exigencia puede derivarse válidamente de la interpretación integral del</w:t>
      </w:r>
      <w:r w:rsidR="00097579">
        <w:rPr>
          <w:rFonts w:ascii="Verdana" w:eastAsia="Century Gothic" w:hAnsi="Verdana" w:cs="Century Gothic"/>
          <w:i/>
          <w:iCs/>
          <w:sz w:val="20"/>
          <w:szCs w:val="20"/>
          <w:lang w:val="es-ES"/>
        </w:rPr>
        <w:t xml:space="preserve"> </w:t>
      </w:r>
      <w:r w:rsidRPr="00C33B22">
        <w:rPr>
          <w:rFonts w:ascii="Verdana" w:eastAsia="Century Gothic" w:hAnsi="Verdana" w:cs="Century Gothic"/>
          <w:i/>
          <w:iCs/>
          <w:sz w:val="20"/>
          <w:szCs w:val="20"/>
          <w:lang w:val="es-ES"/>
        </w:rPr>
        <w:t>contrato?</w:t>
      </w:r>
      <w:r w:rsidR="00814218" w:rsidRPr="00F67E80">
        <w:rPr>
          <w:rFonts w:ascii="Verdana" w:eastAsia="Century Gothic" w:hAnsi="Verdana" w:cs="Century Gothic"/>
          <w:i/>
          <w:iCs/>
          <w:sz w:val="20"/>
          <w:szCs w:val="20"/>
          <w:lang w:val="es-ES"/>
        </w:rPr>
        <w:t>”</w:t>
      </w:r>
      <w:r w:rsidR="00814218">
        <w:rPr>
          <w:rFonts w:ascii="Verdana" w:eastAsia="Century Gothic" w:hAnsi="Verdana" w:cs="Century Gothic"/>
          <w:i/>
          <w:iCs/>
          <w:sz w:val="20"/>
          <w:szCs w:val="20"/>
          <w:lang w:val="es-ES"/>
        </w:rPr>
        <w:t>.</w:t>
      </w:r>
      <w:r w:rsidR="00814218" w:rsidRPr="00F67E80">
        <w:rPr>
          <w:rFonts w:ascii="Verdana" w:eastAsia="Century Gothic" w:hAnsi="Verdana" w:cs="Century Gothic"/>
          <w:i/>
          <w:iCs/>
          <w:sz w:val="20"/>
          <w:szCs w:val="20"/>
          <w:lang w:val="es-ES"/>
        </w:rPr>
        <w:t xml:space="preserve"> (Sic)</w:t>
      </w:r>
    </w:p>
    <w:p w14:paraId="05BB4004" w14:textId="77777777" w:rsidR="00814218" w:rsidRPr="00F67E80" w:rsidRDefault="00814218" w:rsidP="00814218">
      <w:pPr>
        <w:spacing w:after="0" w:line="240" w:lineRule="auto"/>
        <w:ind w:left="709" w:right="709"/>
        <w:jc w:val="both"/>
        <w:rPr>
          <w:rFonts w:ascii="Verdana" w:eastAsia="Century Gothic" w:hAnsi="Verdana" w:cs="Century Gothic"/>
          <w:sz w:val="20"/>
          <w:szCs w:val="20"/>
          <w:lang w:val="es-ES"/>
        </w:rPr>
      </w:pPr>
    </w:p>
    <w:p w14:paraId="7B937CBE" w14:textId="77777777" w:rsidR="00814218" w:rsidRPr="00107954" w:rsidRDefault="00814218" w:rsidP="00B21417">
      <w:pPr>
        <w:spacing w:after="120" w:line="276" w:lineRule="auto"/>
        <w:ind w:firstLine="709"/>
        <w:jc w:val="both"/>
        <w:rPr>
          <w:rFonts w:ascii="Verdana" w:eastAsia="Calibri" w:hAnsi="Verdana" w:cs="Arial"/>
          <w:color w:val="000000"/>
          <w:lang w:eastAsia="es-ES"/>
        </w:rPr>
      </w:pPr>
      <w:r w:rsidRPr="00107954">
        <w:rPr>
          <w:rFonts w:ascii="Verdana" w:eastAsia="Calibri" w:hAnsi="Verdana" w:cs="Arial"/>
          <w:color w:val="000000"/>
          <w:lang w:eastAsia="es-ES"/>
        </w:rPr>
        <w:t>De manera</w:t>
      </w:r>
      <w:r w:rsidRPr="008E4F36">
        <w:rPr>
          <w:rFonts w:ascii="Verdana" w:eastAsia="Calibri" w:hAnsi="Verdana" w:cs="Arial"/>
          <w:color w:val="000000"/>
          <w:lang w:eastAsia="es-ES"/>
        </w:rPr>
        <w:t xml:space="preserve">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64257411" w14:textId="77777777" w:rsidR="00814218" w:rsidRPr="00054383" w:rsidRDefault="00814218" w:rsidP="00B21417">
      <w:pPr>
        <w:spacing w:after="0" w:line="276" w:lineRule="auto"/>
        <w:ind w:firstLine="709"/>
        <w:jc w:val="both"/>
        <w:rPr>
          <w:rFonts w:ascii="Verdana" w:eastAsia="Calibri" w:hAnsi="Verdana" w:cs="Arial"/>
          <w:color w:val="000000"/>
          <w:szCs w:val="24"/>
          <w:lang w:eastAsia="es-ES_tradnl"/>
        </w:rPr>
      </w:pPr>
      <w:r w:rsidRPr="008E4F36">
        <w:rPr>
          <w:rFonts w:ascii="Verdana" w:eastAsia="Calibri" w:hAnsi="Verdana" w:cs="Arial"/>
          <w:color w:val="000000"/>
          <w:lang w:eastAsia="es-ES"/>
        </w:rPr>
        <w:t xml:space="preserve">Conforme lo expuesto, en aras de garantizar el derecho fundamental de petición, se resolverá su petición dentro de los límites de la referida competencia consultiva, esto es, haciendo abstracción del caso particular y concreto señalado en su petición, pero señalando algunas consideraciones sobre las normas generales relacionadas </w:t>
      </w:r>
      <w:r w:rsidRPr="002975A0">
        <w:rPr>
          <w:rFonts w:ascii="Verdana" w:eastAsia="Calibri" w:hAnsi="Verdana" w:cs="Arial"/>
          <w:color w:val="000000"/>
          <w:lang w:eastAsia="es-ES"/>
        </w:rPr>
        <w:t xml:space="preserve">con </w:t>
      </w:r>
      <w:r>
        <w:rPr>
          <w:rFonts w:ascii="Verdana" w:eastAsia="Calibri" w:hAnsi="Verdana" w:cs="Arial"/>
          <w:color w:val="000000"/>
          <w:lang w:eastAsia="es-ES"/>
        </w:rPr>
        <w:t xml:space="preserve">el </w:t>
      </w:r>
      <w:r w:rsidRPr="002975A0">
        <w:rPr>
          <w:rFonts w:ascii="Verdana" w:eastAsia="Calibri" w:hAnsi="Verdana" w:cs="Arial"/>
          <w:color w:val="000000"/>
          <w:lang w:eastAsia="es-ES"/>
        </w:rPr>
        <w:t>problema jurídico de su consulta.</w:t>
      </w:r>
      <w:r w:rsidRPr="008E4F36">
        <w:rPr>
          <w:rFonts w:ascii="Verdana" w:eastAsia="Calibri" w:hAnsi="Verdana" w:cs="Arial"/>
          <w:color w:val="000000"/>
          <w:lang w:eastAsia="es-ES"/>
        </w:rPr>
        <w:t xml:space="preserve">  </w:t>
      </w:r>
    </w:p>
    <w:p w14:paraId="0BE29183" w14:textId="77777777" w:rsidR="00814218" w:rsidRPr="008E4F36" w:rsidRDefault="00814218" w:rsidP="00B21417">
      <w:pPr>
        <w:spacing w:after="0" w:line="276" w:lineRule="auto"/>
        <w:ind w:firstLine="709"/>
        <w:jc w:val="both"/>
        <w:rPr>
          <w:rFonts w:ascii="Verdana" w:eastAsia="Calibri" w:hAnsi="Verdana" w:cs="Arial"/>
          <w:color w:val="000000"/>
          <w:lang w:eastAsia="es-ES"/>
        </w:rPr>
      </w:pPr>
    </w:p>
    <w:p w14:paraId="0DF50032" w14:textId="77777777" w:rsidR="00814218" w:rsidRDefault="00814218" w:rsidP="00EA2970">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8E4F36">
        <w:rPr>
          <w:rFonts w:ascii="Verdana" w:eastAsia="Century Gothic" w:hAnsi="Verdana" w:cs="Century Gothic"/>
          <w:b/>
          <w:bCs/>
        </w:rPr>
        <w:t>Problema planteado:</w:t>
      </w:r>
    </w:p>
    <w:p w14:paraId="0B153B16" w14:textId="77777777" w:rsidR="00814218" w:rsidRDefault="00814218" w:rsidP="00EA2970">
      <w:pPr>
        <w:spacing w:after="0" w:line="276" w:lineRule="auto"/>
        <w:jc w:val="both"/>
        <w:rPr>
          <w:rFonts w:ascii="Verdana" w:eastAsia="Calibri" w:hAnsi="Verdana" w:cs="Arial"/>
          <w:color w:val="000000"/>
          <w:highlight w:val="yellow"/>
          <w:lang w:eastAsia="es-ES"/>
        </w:rPr>
      </w:pPr>
    </w:p>
    <w:p w14:paraId="488861F4" w14:textId="185D4691" w:rsidR="00814218" w:rsidRPr="00FA74EC" w:rsidRDefault="00814218" w:rsidP="00EA2970">
      <w:pPr>
        <w:spacing w:after="0" w:line="276" w:lineRule="auto"/>
        <w:jc w:val="both"/>
        <w:rPr>
          <w:rFonts w:ascii="Verdana" w:eastAsia="Calibri" w:hAnsi="Verdana" w:cs="Arial"/>
          <w:color w:val="000000"/>
          <w:lang w:eastAsia="es-ES"/>
        </w:rPr>
      </w:pPr>
      <w:r w:rsidRPr="00005FE3">
        <w:rPr>
          <w:rFonts w:ascii="Verdana" w:eastAsia="Calibri" w:hAnsi="Verdana" w:cs="Arial"/>
          <w:color w:val="000000"/>
          <w:lang w:eastAsia="es-ES"/>
        </w:rPr>
        <w:t xml:space="preserve">De acuerdo con el contenido de su solicitud, esta Agencia resolverá </w:t>
      </w:r>
      <w:r>
        <w:rPr>
          <w:rFonts w:ascii="Verdana" w:eastAsia="Calibri" w:hAnsi="Verdana" w:cs="Arial"/>
          <w:color w:val="000000"/>
          <w:lang w:eastAsia="es-ES"/>
        </w:rPr>
        <w:t>el siguiente</w:t>
      </w:r>
      <w:r w:rsidRPr="00005FE3">
        <w:rPr>
          <w:rFonts w:ascii="Verdana" w:eastAsia="Calibri" w:hAnsi="Verdana" w:cs="Arial"/>
          <w:color w:val="000000"/>
          <w:lang w:eastAsia="es-ES"/>
        </w:rPr>
        <w:t xml:space="preserve"> problema jurídico: </w:t>
      </w:r>
      <w:r w:rsidRPr="00615C17">
        <w:rPr>
          <w:rFonts w:ascii="Verdana" w:eastAsia="Calibri" w:hAnsi="Verdana" w:cs="Arial"/>
          <w:color w:val="000000"/>
          <w:lang w:eastAsia="es-ES"/>
        </w:rPr>
        <w:t>¿Cuál es el alcance de las obligaciones y responsabilidades de un contratista vinculado mediante contrato de prestación de servicios con una entidad estatal, particularmente en relación con la autonomía en la ejecución contractual</w:t>
      </w:r>
      <w:r w:rsidR="006E5ABF">
        <w:rPr>
          <w:rFonts w:ascii="Verdana" w:eastAsia="Calibri" w:hAnsi="Verdana" w:cs="Arial"/>
          <w:color w:val="000000"/>
          <w:lang w:eastAsia="es-ES"/>
        </w:rPr>
        <w:t xml:space="preserve"> y</w:t>
      </w:r>
      <w:r w:rsidRPr="00615C17">
        <w:rPr>
          <w:rFonts w:ascii="Verdana" w:eastAsia="Calibri" w:hAnsi="Verdana" w:cs="Arial"/>
          <w:color w:val="000000"/>
          <w:lang w:eastAsia="es-ES"/>
        </w:rPr>
        <w:t xml:space="preserve"> los límites de la supervisión?</w:t>
      </w:r>
    </w:p>
    <w:p w14:paraId="3322B8DD" w14:textId="77777777" w:rsidR="00814218" w:rsidRPr="00D95785" w:rsidRDefault="00814218" w:rsidP="00EA2970">
      <w:pPr>
        <w:spacing w:after="0" w:line="276" w:lineRule="auto"/>
        <w:jc w:val="both"/>
        <w:rPr>
          <w:rFonts w:ascii="Verdana" w:eastAsia="Calibri" w:hAnsi="Verdana" w:cs="Times New Roman"/>
          <w:lang w:val="es-ES"/>
        </w:rPr>
      </w:pPr>
    </w:p>
    <w:p w14:paraId="561ACD5A" w14:textId="77777777" w:rsidR="00814218" w:rsidRPr="008E4F36" w:rsidRDefault="00814218" w:rsidP="00EA2970">
      <w:pPr>
        <w:spacing w:after="0" w:line="276" w:lineRule="auto"/>
        <w:jc w:val="both"/>
        <w:rPr>
          <w:rFonts w:ascii="Verdana" w:eastAsia="Century Gothic" w:hAnsi="Verdana" w:cs="Century Gothic"/>
          <w:b/>
          <w:bCs/>
        </w:rPr>
      </w:pPr>
      <w:r w:rsidRPr="008E4F36">
        <w:rPr>
          <w:rFonts w:ascii="Verdana" w:eastAsia="Century Gothic" w:hAnsi="Verdana" w:cs="Century Gothic"/>
          <w:b/>
          <w:bCs/>
        </w:rPr>
        <w:t>2. Respuesta:</w:t>
      </w:r>
    </w:p>
    <w:p w14:paraId="5D44D215" w14:textId="77777777" w:rsidR="00814218" w:rsidRPr="008E4F36" w:rsidRDefault="00814218" w:rsidP="00EA2970">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tblLook w:val="04A0" w:firstRow="1" w:lastRow="0" w:firstColumn="1" w:lastColumn="0" w:noHBand="0" w:noVBand="1"/>
      </w:tblPr>
      <w:tblGrid>
        <w:gridCol w:w="8828"/>
      </w:tblGrid>
      <w:tr w:rsidR="00814218" w:rsidRPr="008E4F36" w14:paraId="4C05473D" w14:textId="77777777" w:rsidTr="00F17D62">
        <w:tc>
          <w:tcPr>
            <w:tcW w:w="8828" w:type="dxa"/>
          </w:tcPr>
          <w:p w14:paraId="343C480C" w14:textId="611B1472" w:rsidR="00814218" w:rsidRPr="003E3670" w:rsidRDefault="00814218" w:rsidP="00B21417">
            <w:pPr>
              <w:spacing w:after="120" w:line="276" w:lineRule="auto"/>
              <w:jc w:val="both"/>
              <w:rPr>
                <w:rFonts w:ascii="Verdana" w:eastAsia="Calibri" w:hAnsi="Verdana" w:cs="Arial"/>
              </w:rPr>
            </w:pPr>
            <w:r w:rsidRPr="006625BA">
              <w:rPr>
                <w:rFonts w:ascii="Verdana" w:eastAsia="Calibri" w:hAnsi="Verdana" w:cs="Arial"/>
              </w:rPr>
              <w:t xml:space="preserve">Para dar respuesta al problema jurídico planteado, es importante señalar que, </w:t>
            </w:r>
            <w:r w:rsidRPr="001722E0">
              <w:rPr>
                <w:rFonts w:ascii="Verdana" w:eastAsia="Calibri" w:hAnsi="Verdana" w:cs="Arial"/>
              </w:rPr>
              <w:t>en relación con</w:t>
            </w:r>
            <w:r w:rsidR="007F023F">
              <w:rPr>
                <w:rFonts w:ascii="Verdana" w:eastAsia="Calibri" w:hAnsi="Verdana" w:cs="Arial"/>
              </w:rPr>
              <w:t xml:space="preserve"> la ejecución de las obligaciones en el periodo contractual</w:t>
            </w:r>
            <w:r w:rsidRPr="001722E0">
              <w:rPr>
                <w:rFonts w:ascii="Verdana" w:eastAsia="Calibri" w:hAnsi="Verdana" w:cs="Arial"/>
              </w:rPr>
              <w:t xml:space="preserve"> en los contratos de prestación de servicios no existe en el Sistema de Compra y Contratación Pública una disposición normativa que regule específicamente </w:t>
            </w:r>
            <w:r w:rsidRPr="001722E0">
              <w:rPr>
                <w:rFonts w:ascii="Verdana" w:eastAsia="Calibri" w:hAnsi="Verdana" w:cs="Arial"/>
              </w:rPr>
              <w:lastRenderedPageBreak/>
              <w:t>dichos aspectos. Lo anterior, en virtud del principio de autonomía de la voluntad, conforme al cual las partes pueden determinar el contenido de los contratos estatales e incorporar las condiciones, cláusulas y estipulaciones que consideren necesarias para el desarrollo del objeto contractual, la forma de ejecución, los documentos requeridos para el trámite de pago de honorarios,</w:t>
            </w:r>
            <w:r>
              <w:rPr>
                <w:rFonts w:ascii="Verdana" w:eastAsia="Calibri" w:hAnsi="Verdana" w:cs="Arial"/>
              </w:rPr>
              <w:t xml:space="preserve"> inclusos los procedimientos y tiempos para adelantar los pagos,</w:t>
            </w:r>
            <w:r w:rsidRPr="001722E0">
              <w:rPr>
                <w:rFonts w:ascii="Verdana" w:eastAsia="Calibri" w:hAnsi="Verdana" w:cs="Arial"/>
              </w:rPr>
              <w:t xml:space="preserve"> entre otros aspectos, de acuerdo con las necesidades identificadas en la etapa de planeación y reflejadas en los estudios y documentos previos.</w:t>
            </w:r>
            <w:r w:rsidRPr="009311AA">
              <w:rPr>
                <w:rFonts w:ascii="Verdana" w:eastAsia="Times New Roman" w:hAnsi="Verdana" w:cs="Times New Roman"/>
                <w:lang w:eastAsia="es-CO"/>
              </w:rPr>
              <w:t xml:space="preserve"> </w:t>
            </w:r>
          </w:p>
          <w:p w14:paraId="07A4B4BA" w14:textId="77777777" w:rsidR="00814218" w:rsidRPr="009311AA" w:rsidRDefault="00814218" w:rsidP="00F17D62">
            <w:pPr>
              <w:spacing w:after="120" w:line="276" w:lineRule="auto"/>
              <w:ind w:firstLine="709"/>
              <w:jc w:val="both"/>
              <w:rPr>
                <w:rFonts w:ascii="Verdana" w:eastAsia="Times New Roman" w:hAnsi="Verdana" w:cs="Times New Roman"/>
                <w:lang w:eastAsia="es-CO"/>
              </w:rPr>
            </w:pPr>
            <w:r>
              <w:rPr>
                <w:rFonts w:ascii="Verdana" w:eastAsia="Times New Roman" w:hAnsi="Verdana" w:cs="Times New Roman"/>
                <w:lang w:eastAsia="es-CO"/>
              </w:rPr>
              <w:t>En ese sentido, e</w:t>
            </w:r>
            <w:r w:rsidRPr="009311AA">
              <w:rPr>
                <w:rFonts w:ascii="Verdana" w:eastAsia="Times New Roman" w:hAnsi="Verdana" w:cs="Times New Roman"/>
                <w:lang w:eastAsia="es-CO"/>
              </w:rPr>
              <w:t>l contrato de prestación de servicios regulado en el numeral 3 del artículo 32 de la Ley 80 de 1993 se caracteriza por la autonomía e independencia del contratista, razón por la cual no genera relación laboral ni permite la existencia de subordinación frente a la entidad estatal contratante.</w:t>
            </w:r>
          </w:p>
          <w:p w14:paraId="54B5F82B" w14:textId="00BC2833" w:rsidR="00814218" w:rsidRPr="009311AA" w:rsidRDefault="00814218" w:rsidP="00F17D62">
            <w:pPr>
              <w:spacing w:after="120" w:line="276" w:lineRule="auto"/>
              <w:ind w:firstLine="709"/>
              <w:jc w:val="both"/>
              <w:rPr>
                <w:rFonts w:ascii="Verdana" w:eastAsia="Times New Roman" w:hAnsi="Verdana" w:cs="Times New Roman"/>
                <w:lang w:eastAsia="es-CO"/>
              </w:rPr>
            </w:pPr>
            <w:r w:rsidRPr="009311AA">
              <w:rPr>
                <w:rFonts w:ascii="Verdana" w:eastAsia="Times New Roman" w:hAnsi="Verdana" w:cs="Times New Roman"/>
                <w:lang w:eastAsia="es-CO"/>
              </w:rPr>
              <w:t>En este sentido, las obligaciones y responsabilidades del contratista se encuentran delimitadas por el objeto contractual, las obligaciones pactadas y los documentos que integran el contrato. Por tanto, el contratista únicamente está obligado a ejecutar las actividades convenidas y aquellas que resulten necesarias para el adecuado cumplimiento del objeto contratado</w:t>
            </w:r>
            <w:r w:rsidR="001923F6">
              <w:rPr>
                <w:rFonts w:ascii="Verdana" w:eastAsia="Times New Roman" w:hAnsi="Verdana" w:cs="Times New Roman"/>
                <w:lang w:eastAsia="es-CO"/>
              </w:rPr>
              <w:t>, en la periodicidad que se haya convenido para cada obligación o para todas las obligaciones</w:t>
            </w:r>
            <w:r w:rsidRPr="009311AA">
              <w:rPr>
                <w:rFonts w:ascii="Verdana" w:eastAsia="Times New Roman" w:hAnsi="Verdana" w:cs="Times New Roman"/>
                <w:lang w:eastAsia="es-CO"/>
              </w:rPr>
              <w:t>.</w:t>
            </w:r>
          </w:p>
          <w:p w14:paraId="63FE7717" w14:textId="15FC8FBF" w:rsidR="00814218" w:rsidRPr="009311AA" w:rsidRDefault="00814218" w:rsidP="00F17D62">
            <w:pPr>
              <w:spacing w:after="120" w:line="276" w:lineRule="auto"/>
              <w:ind w:firstLine="709"/>
              <w:jc w:val="both"/>
              <w:rPr>
                <w:rFonts w:ascii="Verdana" w:eastAsia="Times New Roman" w:hAnsi="Verdana" w:cs="Times New Roman"/>
                <w:lang w:eastAsia="es-CO"/>
              </w:rPr>
            </w:pPr>
            <w:r w:rsidRPr="009311AA">
              <w:rPr>
                <w:rFonts w:ascii="Verdana" w:eastAsia="Times New Roman" w:hAnsi="Verdana" w:cs="Times New Roman"/>
                <w:lang w:eastAsia="es-CO"/>
              </w:rPr>
              <w:t>Ahora bien, la entidad estatal tiene el deber legal de ejercer la supervisión y vigilancia de la ejecución contractual, de conformidad con los artículos 83 y 84 de la Ley 1474 de 2011. En ejercicio de esta función, el supervisor puede verificar el cumplimiento de las obligaciones, solicitar informes, requerir aclaraciones y formular observaciones relacionadas con la ejecución del contrato. Sin embargo, esta facultad no puede convertirse en subordinación, ni autoriza a la entidad para ejercer control disciplinario, asignar funciones propias de empleos públicos o dirigir permanentemente la actividad del contratista.</w:t>
            </w:r>
          </w:p>
          <w:p w14:paraId="342B95A8" w14:textId="1523614A" w:rsidR="00814218" w:rsidRPr="009311AA" w:rsidRDefault="00814218" w:rsidP="00F17D62">
            <w:pPr>
              <w:spacing w:after="120" w:line="276" w:lineRule="auto"/>
              <w:ind w:firstLine="709"/>
              <w:jc w:val="both"/>
              <w:rPr>
                <w:rFonts w:ascii="Verdana" w:eastAsia="Times New Roman" w:hAnsi="Verdana" w:cs="Times New Roman"/>
                <w:lang w:eastAsia="es-CO"/>
              </w:rPr>
            </w:pPr>
            <w:r w:rsidRPr="009311AA">
              <w:rPr>
                <w:rFonts w:ascii="Verdana" w:eastAsia="Times New Roman" w:hAnsi="Verdana" w:cs="Times New Roman"/>
                <w:lang w:eastAsia="es-CO"/>
              </w:rPr>
              <w:t>De igual manera, la entidad no puede exigir el cumplimiento de actividades o responsabilidades que no hayan sido previstas en el contrato o que no guarden relación con su objeto, salvo que exista una modificación contractual realizada conforme a las disposiciones legales aplicables.</w:t>
            </w:r>
          </w:p>
          <w:p w14:paraId="6A357207" w14:textId="2057CAD6" w:rsidR="00814218" w:rsidRDefault="00814218" w:rsidP="00F17D62">
            <w:pPr>
              <w:spacing w:after="120" w:line="276" w:lineRule="auto"/>
              <w:ind w:firstLine="709"/>
              <w:jc w:val="both"/>
              <w:rPr>
                <w:rFonts w:ascii="Verdana" w:eastAsia="Times New Roman" w:hAnsi="Verdana" w:cs="Times New Roman"/>
                <w:lang w:eastAsia="es-CO"/>
              </w:rPr>
            </w:pPr>
            <w:r w:rsidRPr="009311AA">
              <w:rPr>
                <w:rFonts w:ascii="Verdana" w:eastAsia="Times New Roman" w:hAnsi="Verdana" w:cs="Times New Roman"/>
                <w:lang w:eastAsia="es-CO"/>
              </w:rPr>
              <w:t>En consecuencia, el alcance de las obligaciones del contratista está determinado por lo expresamente pactado en el contrato;</w:t>
            </w:r>
            <w:r w:rsidR="00141283">
              <w:rPr>
                <w:rFonts w:ascii="Verdana" w:eastAsia="Times New Roman" w:hAnsi="Verdana" w:cs="Times New Roman"/>
                <w:lang w:eastAsia="es-CO"/>
              </w:rPr>
              <w:t xml:space="preserve"> y</w:t>
            </w:r>
            <w:r w:rsidRPr="009311AA">
              <w:rPr>
                <w:rFonts w:ascii="Verdana" w:eastAsia="Times New Roman" w:hAnsi="Verdana" w:cs="Times New Roman"/>
                <w:lang w:eastAsia="es-CO"/>
              </w:rPr>
              <w:t xml:space="preserve"> la supervisión </w:t>
            </w:r>
            <w:r w:rsidRPr="009311AA">
              <w:rPr>
                <w:rFonts w:ascii="Verdana" w:eastAsia="Times New Roman" w:hAnsi="Verdana" w:cs="Times New Roman"/>
                <w:lang w:eastAsia="es-CO"/>
              </w:rPr>
              <w:lastRenderedPageBreak/>
              <w:t>constituye un mecanismo legítimo de seguimiento y control, pero no de subordinación</w:t>
            </w:r>
            <w:r w:rsidR="00141283">
              <w:rPr>
                <w:rFonts w:ascii="Verdana" w:eastAsia="Times New Roman" w:hAnsi="Verdana" w:cs="Times New Roman"/>
                <w:lang w:eastAsia="es-CO"/>
              </w:rPr>
              <w:t>.</w:t>
            </w:r>
          </w:p>
          <w:p w14:paraId="1F6466B7" w14:textId="0280F942" w:rsidR="00814218" w:rsidRPr="0030751E" w:rsidRDefault="00814218" w:rsidP="00B21417">
            <w:pPr>
              <w:spacing w:before="120" w:after="120" w:line="276" w:lineRule="auto"/>
              <w:ind w:firstLine="708"/>
              <w:jc w:val="both"/>
              <w:rPr>
                <w:rFonts w:ascii="Verdana" w:eastAsia="Calibri" w:hAnsi="Verdana" w:cs="Arial"/>
              </w:rPr>
            </w:pPr>
            <w:r w:rsidRPr="0030751E">
              <w:rPr>
                <w:rFonts w:ascii="Verdana" w:eastAsia="Calibri" w:hAnsi="Verdana" w:cs="Arial"/>
              </w:rPr>
              <w:t xml:space="preserve">Finalmente, debe advertirse que el análisis requerido para resolver problemas específicos en torno a la </w:t>
            </w:r>
            <w:r w:rsidR="0023715F">
              <w:rPr>
                <w:rFonts w:ascii="Verdana" w:eastAsia="Calibri" w:hAnsi="Verdana" w:cs="Arial"/>
              </w:rPr>
              <w:t>ejecu</w:t>
            </w:r>
            <w:r w:rsidRPr="0030751E">
              <w:rPr>
                <w:rFonts w:ascii="Verdana" w:eastAsia="Calibri" w:hAnsi="Verdana" w:cs="Arial"/>
              </w:rPr>
              <w:t xml:space="preserve">ción contractual, supervisión de contratos y declaratorias de incumplimientos contractuales, debe ser realizado por quienes tengan interés en ello.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de adoptar la decisión y, en caso de conflicto, a las autoridades judiciales, fiscales y disciplinarias.  </w:t>
            </w:r>
          </w:p>
          <w:p w14:paraId="69C52ABB" w14:textId="77777777" w:rsidR="00814218" w:rsidRPr="009311AA" w:rsidRDefault="00814218" w:rsidP="00B21417">
            <w:pPr>
              <w:spacing w:line="276" w:lineRule="auto"/>
              <w:ind w:firstLine="709"/>
              <w:jc w:val="both"/>
              <w:rPr>
                <w:rFonts w:ascii="Times New Roman" w:eastAsia="Times New Roman" w:hAnsi="Times New Roman" w:cs="Times New Roman"/>
                <w:sz w:val="24"/>
                <w:szCs w:val="24"/>
                <w:lang w:eastAsia="es-CO"/>
              </w:rPr>
            </w:pPr>
            <w:r w:rsidRPr="0030751E">
              <w:rPr>
                <w:rFonts w:ascii="Verdana" w:eastAsia="Calibri" w:hAnsi="Verdana" w:cs="Arial"/>
              </w:rPr>
              <w:t xml:space="preserve">Dentro de este marco, la entidad contratante definirá en cada caso concreto lo relacionado con el tema objeto de consulta. Al tratarse de un análisis que debe realizarse a un asunto particular y concreto,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  </w:t>
            </w:r>
          </w:p>
        </w:tc>
      </w:tr>
    </w:tbl>
    <w:p w14:paraId="018AB9F1" w14:textId="77777777" w:rsidR="00814218" w:rsidRDefault="00814218" w:rsidP="00EA2970">
      <w:pPr>
        <w:tabs>
          <w:tab w:val="left" w:pos="142"/>
          <w:tab w:val="left" w:pos="284"/>
        </w:tabs>
        <w:spacing w:after="0" w:line="276" w:lineRule="auto"/>
        <w:jc w:val="both"/>
        <w:rPr>
          <w:rFonts w:ascii="Verdana" w:eastAsia="Century Gothic" w:hAnsi="Verdana" w:cs="Century Gothic"/>
          <w:b/>
          <w:bCs/>
        </w:rPr>
      </w:pPr>
    </w:p>
    <w:p w14:paraId="420C10AB" w14:textId="77777777" w:rsidR="00814218" w:rsidRPr="008E4F36" w:rsidRDefault="00814218" w:rsidP="00EA2970">
      <w:pPr>
        <w:tabs>
          <w:tab w:val="left" w:pos="142"/>
          <w:tab w:val="left" w:pos="284"/>
        </w:tabs>
        <w:spacing w:after="0" w:line="276" w:lineRule="auto"/>
        <w:jc w:val="both"/>
        <w:rPr>
          <w:rFonts w:ascii="Verdana" w:eastAsia="Century Gothic" w:hAnsi="Verdana" w:cs="Century Gothic"/>
          <w:b/>
          <w:bCs/>
        </w:rPr>
      </w:pPr>
      <w:r w:rsidRPr="008E4F36">
        <w:rPr>
          <w:rFonts w:ascii="Verdana" w:eastAsia="Century Gothic" w:hAnsi="Verdana" w:cs="Century Gothic"/>
          <w:b/>
          <w:bCs/>
        </w:rPr>
        <w:t>3. Razones de la respuesta:</w:t>
      </w:r>
    </w:p>
    <w:p w14:paraId="63E839DA" w14:textId="77777777" w:rsidR="00814218" w:rsidRDefault="00814218" w:rsidP="00EA2970">
      <w:pPr>
        <w:pStyle w:val="Prrafodelista"/>
        <w:tabs>
          <w:tab w:val="left" w:pos="142"/>
          <w:tab w:val="left" w:pos="284"/>
        </w:tabs>
        <w:spacing w:after="0" w:line="276" w:lineRule="auto"/>
        <w:ind w:left="0"/>
        <w:contextualSpacing w:val="0"/>
        <w:jc w:val="both"/>
        <w:rPr>
          <w:rFonts w:ascii="Verdana" w:eastAsia="Calibri" w:hAnsi="Verdana" w:cs="Arial"/>
        </w:rPr>
      </w:pPr>
    </w:p>
    <w:p w14:paraId="5F003B4E" w14:textId="77777777" w:rsidR="00814218" w:rsidRDefault="00814218" w:rsidP="00EA2970">
      <w:pPr>
        <w:pStyle w:val="Prrafodelista"/>
        <w:tabs>
          <w:tab w:val="left" w:pos="142"/>
          <w:tab w:val="left" w:pos="284"/>
        </w:tabs>
        <w:spacing w:after="0" w:line="276" w:lineRule="auto"/>
        <w:ind w:left="0"/>
        <w:contextualSpacing w:val="0"/>
        <w:jc w:val="both"/>
        <w:rPr>
          <w:rFonts w:ascii="Verdana" w:eastAsia="Calibri" w:hAnsi="Verdana" w:cs="Arial"/>
        </w:rPr>
      </w:pPr>
      <w:r w:rsidRPr="008E4F36">
        <w:rPr>
          <w:rFonts w:ascii="Verdana" w:eastAsia="Calibri" w:hAnsi="Verdana" w:cs="Arial"/>
        </w:rPr>
        <w:t xml:space="preserve">Lo anterior se sustenta en las siguientes consideraciones: </w:t>
      </w:r>
    </w:p>
    <w:p w14:paraId="26F01ABF" w14:textId="77777777" w:rsidR="00814218" w:rsidRDefault="00814218" w:rsidP="00B21417">
      <w:pPr>
        <w:spacing w:after="0" w:line="276" w:lineRule="auto"/>
        <w:jc w:val="both"/>
        <w:rPr>
          <w:rFonts w:ascii="Verdana" w:eastAsia="Calibri" w:hAnsi="Verdana" w:cs="Arial"/>
          <w:color w:val="000000"/>
          <w:shd w:val="clear" w:color="auto" w:fill="FFFFFF"/>
          <w:lang w:val="es-ES"/>
        </w:rPr>
      </w:pPr>
    </w:p>
    <w:p w14:paraId="643ECB14" w14:textId="77777777" w:rsidR="00814218" w:rsidRDefault="00814218" w:rsidP="00814218">
      <w:pPr>
        <w:spacing w:after="0" w:line="276" w:lineRule="auto"/>
        <w:jc w:val="both"/>
        <w:rPr>
          <w:rFonts w:ascii="Verdana" w:eastAsia="Calibri" w:hAnsi="Verdana" w:cs="Arial"/>
        </w:rPr>
      </w:pPr>
      <w:r w:rsidRPr="00666643">
        <w:rPr>
          <w:rFonts w:ascii="Verdana" w:hAnsi="Verdana" w:cs="Arial"/>
          <w:bCs/>
          <w:lang w:val="es-ES_tradnl" w:eastAsia="es-ES" w:bidi="es-ES"/>
        </w:rPr>
        <w:t>i</w:t>
      </w:r>
      <w:r>
        <w:rPr>
          <w:rFonts w:ascii="Verdana" w:hAnsi="Verdana" w:cs="Arial"/>
          <w:bCs/>
          <w:lang w:val="es-ES_tradnl" w:eastAsia="es-ES" w:bidi="es-ES"/>
        </w:rPr>
        <w:t>.</w:t>
      </w:r>
      <w:r w:rsidRPr="00121E43">
        <w:rPr>
          <w:rFonts w:ascii="Verdana" w:eastAsia="Calibri" w:hAnsi="Verdana" w:cs="Arial"/>
        </w:rPr>
        <w:t xml:space="preserve"> </w:t>
      </w:r>
      <w:r w:rsidRPr="006A4D62">
        <w:rPr>
          <w:rFonts w:ascii="Verdana" w:eastAsia="Calibri" w:hAnsi="Verdana" w:cs="Arial"/>
        </w:rPr>
        <w:t>El contrato de prestación de servicios es uno de los tipos contractuales consagrados en el Estatuto General de Contratación de la Administración Pública, que pueden celebrar las entidades estatales. Se trata de un contrato típico, ya que se encuentra definido en la ley. Concretamente, el artículo 32, numeral 3º, de la Ley 80 de 1993, establece:</w:t>
      </w:r>
    </w:p>
    <w:p w14:paraId="5801B939" w14:textId="77777777" w:rsidR="00814218" w:rsidRPr="006A4D62" w:rsidRDefault="00814218" w:rsidP="00814218">
      <w:pPr>
        <w:spacing w:after="0" w:line="276" w:lineRule="auto"/>
        <w:jc w:val="both"/>
        <w:rPr>
          <w:rFonts w:ascii="Verdana" w:eastAsia="Calibri" w:hAnsi="Verdana" w:cs="Arial"/>
        </w:rPr>
      </w:pPr>
    </w:p>
    <w:p w14:paraId="552B9C51" w14:textId="77777777" w:rsidR="00814218" w:rsidRPr="006A4D62" w:rsidRDefault="00814218" w:rsidP="00814218">
      <w:pPr>
        <w:spacing w:after="0" w:line="240" w:lineRule="auto"/>
        <w:ind w:left="709" w:right="709"/>
        <w:jc w:val="both"/>
        <w:rPr>
          <w:rFonts w:ascii="Verdana" w:eastAsia="Calibri" w:hAnsi="Verdana" w:cs="Arial"/>
          <w:sz w:val="20"/>
          <w:szCs w:val="20"/>
        </w:rPr>
      </w:pPr>
      <w:r w:rsidRPr="006A4D62">
        <w:rPr>
          <w:rFonts w:ascii="Verdana" w:eastAsia="Calibri" w:hAnsi="Verdana" w:cs="Arial"/>
          <w:sz w:val="20"/>
          <w:szCs w:val="20"/>
        </w:rPr>
        <w:t>“Son contratos de prestación de servicios los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w:t>
      </w:r>
    </w:p>
    <w:p w14:paraId="0518BCC0" w14:textId="77777777" w:rsidR="00814218" w:rsidRPr="006A4D62" w:rsidRDefault="00814218" w:rsidP="00814218">
      <w:pPr>
        <w:spacing w:after="0" w:line="240" w:lineRule="auto"/>
        <w:ind w:left="709" w:right="709"/>
        <w:jc w:val="both"/>
        <w:rPr>
          <w:rFonts w:ascii="Verdana" w:eastAsia="Calibri" w:hAnsi="Verdana" w:cs="Arial"/>
          <w:sz w:val="20"/>
          <w:szCs w:val="20"/>
        </w:rPr>
      </w:pPr>
    </w:p>
    <w:p w14:paraId="210DC5C1" w14:textId="77777777" w:rsidR="00814218" w:rsidRPr="006A4D62" w:rsidRDefault="00814218" w:rsidP="00814218">
      <w:pPr>
        <w:spacing w:after="0" w:line="240" w:lineRule="auto"/>
        <w:ind w:left="709" w:right="709"/>
        <w:jc w:val="both"/>
        <w:rPr>
          <w:rFonts w:ascii="Verdana" w:eastAsia="Calibri" w:hAnsi="Verdana" w:cs="Arial"/>
          <w:sz w:val="20"/>
          <w:szCs w:val="20"/>
        </w:rPr>
      </w:pPr>
      <w:r w:rsidRPr="006A4D62">
        <w:rPr>
          <w:rFonts w:ascii="Verdana" w:eastAsia="Calibri" w:hAnsi="Verdana" w:cs="Arial"/>
          <w:sz w:val="20"/>
          <w:szCs w:val="20"/>
        </w:rPr>
        <w:lastRenderedPageBreak/>
        <w:t>En ningún caso estos contratos generan relación laboral ni prestaciones sociales y se celebrarán por el término estrictamente indispensable.”</w:t>
      </w:r>
    </w:p>
    <w:p w14:paraId="286832D7" w14:textId="77777777" w:rsidR="00814218" w:rsidRPr="007E6742" w:rsidRDefault="00814218" w:rsidP="00814218">
      <w:pPr>
        <w:spacing w:after="0" w:line="276" w:lineRule="auto"/>
        <w:ind w:left="709" w:right="709"/>
        <w:jc w:val="both"/>
        <w:rPr>
          <w:rFonts w:ascii="Verdana" w:eastAsia="Calibri" w:hAnsi="Verdana" w:cs="Arial"/>
          <w:color w:val="ED7D31" w:themeColor="accent2"/>
          <w:sz w:val="20"/>
          <w:szCs w:val="20"/>
        </w:rPr>
      </w:pPr>
    </w:p>
    <w:p w14:paraId="40731EA6" w14:textId="77777777" w:rsidR="00814218" w:rsidRPr="00D2247B" w:rsidRDefault="00814218" w:rsidP="00814218">
      <w:pPr>
        <w:spacing w:after="0" w:line="276" w:lineRule="auto"/>
        <w:ind w:firstLine="709"/>
        <w:jc w:val="both"/>
        <w:rPr>
          <w:rFonts w:ascii="Verdana" w:eastAsia="Calibri" w:hAnsi="Verdana" w:cs="Arial"/>
        </w:rPr>
      </w:pPr>
      <w:r>
        <w:rPr>
          <w:rFonts w:ascii="Verdana" w:eastAsia="Calibri" w:hAnsi="Verdana" w:cs="Arial"/>
        </w:rPr>
        <w:t>L</w:t>
      </w:r>
      <w:r w:rsidRPr="00D2247B">
        <w:rPr>
          <w:rFonts w:ascii="Verdana" w:eastAsia="Calibri" w:hAnsi="Verdana" w:cs="Arial"/>
        </w:rPr>
        <w:t>a celebración de dicho contrato debe efectuarse mediante la modalidad de la contratación directa. Así lo prevé el artículo 2, numeral 4º, literal h) de la Ley 1150 de 2007, que dispone:</w:t>
      </w:r>
    </w:p>
    <w:p w14:paraId="1B6B9728" w14:textId="77777777" w:rsidR="00814218" w:rsidRPr="00D2247B" w:rsidRDefault="00814218" w:rsidP="00814218">
      <w:pPr>
        <w:spacing w:after="0" w:line="276" w:lineRule="auto"/>
        <w:ind w:firstLine="709"/>
        <w:jc w:val="both"/>
        <w:rPr>
          <w:rFonts w:ascii="Verdana" w:eastAsia="Calibri" w:hAnsi="Verdana" w:cs="Arial"/>
        </w:rPr>
      </w:pPr>
    </w:p>
    <w:p w14:paraId="09928CA3" w14:textId="77777777" w:rsidR="00814218" w:rsidRPr="00D2247B" w:rsidRDefault="00814218" w:rsidP="00814218">
      <w:pPr>
        <w:spacing w:after="0" w:line="240" w:lineRule="auto"/>
        <w:ind w:left="709" w:right="709"/>
        <w:jc w:val="both"/>
        <w:rPr>
          <w:rFonts w:ascii="Verdana" w:eastAsia="Calibri" w:hAnsi="Verdana" w:cs="Arial"/>
          <w:sz w:val="20"/>
          <w:szCs w:val="20"/>
        </w:rPr>
      </w:pPr>
      <w:r w:rsidRPr="00D2247B">
        <w:rPr>
          <w:rFonts w:ascii="Verdana" w:eastAsia="Calibri" w:hAnsi="Verdana" w:cs="Arial"/>
          <w:sz w:val="20"/>
          <w:szCs w:val="20"/>
        </w:rPr>
        <w:t>“[…]</w:t>
      </w:r>
      <w:r>
        <w:rPr>
          <w:rFonts w:ascii="Verdana" w:eastAsia="Calibri" w:hAnsi="Verdana" w:cs="Arial"/>
          <w:sz w:val="20"/>
          <w:szCs w:val="20"/>
        </w:rPr>
        <w:t xml:space="preserve"> </w:t>
      </w:r>
      <w:r w:rsidRPr="00D2247B">
        <w:rPr>
          <w:rFonts w:ascii="Verdana" w:eastAsia="Calibri" w:hAnsi="Verdana" w:cs="Arial"/>
          <w:sz w:val="20"/>
          <w:szCs w:val="20"/>
        </w:rPr>
        <w:t>Contratación directa. La modalidad de selección de contratación directa solamente procederá en los siguientes casos:</w:t>
      </w:r>
    </w:p>
    <w:p w14:paraId="5629F80B" w14:textId="77777777" w:rsidR="00814218" w:rsidRDefault="00814218" w:rsidP="00814218">
      <w:pPr>
        <w:spacing w:after="0" w:line="240" w:lineRule="auto"/>
        <w:ind w:left="709" w:right="709"/>
        <w:jc w:val="both"/>
        <w:rPr>
          <w:rFonts w:ascii="Verdana" w:eastAsia="Calibri" w:hAnsi="Verdana" w:cs="Arial"/>
          <w:sz w:val="20"/>
          <w:szCs w:val="20"/>
        </w:rPr>
      </w:pPr>
      <w:r w:rsidRPr="00D2247B">
        <w:rPr>
          <w:rFonts w:ascii="Verdana" w:eastAsia="Calibri" w:hAnsi="Verdana" w:cs="Arial"/>
          <w:sz w:val="20"/>
          <w:szCs w:val="20"/>
        </w:rPr>
        <w:t>[…]</w:t>
      </w:r>
    </w:p>
    <w:p w14:paraId="231DABFE" w14:textId="77777777" w:rsidR="00814218" w:rsidRPr="00D2247B" w:rsidRDefault="00814218" w:rsidP="00814218">
      <w:pPr>
        <w:spacing w:after="0" w:line="240" w:lineRule="auto"/>
        <w:ind w:left="709" w:right="709"/>
        <w:jc w:val="both"/>
        <w:rPr>
          <w:rFonts w:ascii="Verdana" w:eastAsia="Calibri" w:hAnsi="Verdana" w:cs="Arial"/>
          <w:sz w:val="20"/>
          <w:szCs w:val="20"/>
        </w:rPr>
      </w:pPr>
    </w:p>
    <w:p w14:paraId="445BFBA0" w14:textId="77777777" w:rsidR="00814218" w:rsidRPr="00D2247B" w:rsidRDefault="00814218" w:rsidP="00814218">
      <w:pPr>
        <w:spacing w:after="0" w:line="240" w:lineRule="auto"/>
        <w:ind w:left="709" w:right="709"/>
        <w:jc w:val="both"/>
        <w:rPr>
          <w:rFonts w:ascii="Verdana" w:eastAsia="Calibri" w:hAnsi="Verdana" w:cs="Arial"/>
          <w:sz w:val="20"/>
          <w:szCs w:val="20"/>
        </w:rPr>
      </w:pPr>
      <w:r w:rsidRPr="00D2247B">
        <w:rPr>
          <w:rFonts w:ascii="Verdana" w:eastAsia="Calibri" w:hAnsi="Verdana" w:cs="Arial"/>
          <w:sz w:val="20"/>
          <w:szCs w:val="20"/>
        </w:rPr>
        <w:t>h) Para la prestación de servicios profesionales y de apoyo a la gestión, o para la ejecución de trabajos artísticos que sólo puedan encomendarse a determinadas personas naturales;”</w:t>
      </w:r>
    </w:p>
    <w:p w14:paraId="17D1067D" w14:textId="77777777" w:rsidR="00814218" w:rsidRPr="004C0B72" w:rsidRDefault="00814218" w:rsidP="00814218">
      <w:pPr>
        <w:spacing w:after="0" w:line="276" w:lineRule="auto"/>
        <w:ind w:right="709"/>
        <w:jc w:val="both"/>
        <w:rPr>
          <w:rFonts w:ascii="Verdana" w:eastAsia="Calibri" w:hAnsi="Verdana" w:cs="Arial"/>
          <w:color w:val="ED7D31" w:themeColor="accent2"/>
        </w:rPr>
      </w:pPr>
    </w:p>
    <w:p w14:paraId="48F2A953" w14:textId="77777777" w:rsidR="00814218" w:rsidRPr="00D2247B" w:rsidRDefault="00814218" w:rsidP="00814218">
      <w:pPr>
        <w:spacing w:after="120" w:line="276" w:lineRule="auto"/>
        <w:ind w:firstLine="709"/>
        <w:jc w:val="both"/>
        <w:rPr>
          <w:rFonts w:ascii="Verdana" w:eastAsia="Calibri" w:hAnsi="Verdana" w:cs="Arial"/>
        </w:rPr>
      </w:pPr>
      <w:r w:rsidRPr="00D2247B">
        <w:rPr>
          <w:rFonts w:ascii="Verdana" w:eastAsia="Calibri" w:hAnsi="Verdana" w:cs="Arial"/>
        </w:rPr>
        <w:t>A partir de estos enunciados normativos, así como de otros, de carácter legal y reglamentario, que complementan su regulación, y de los pronunciamientos judiciales más destacados sobre el tema, es posible señalar las siguientes características del contrato de prestación de servicios:</w:t>
      </w:r>
    </w:p>
    <w:p w14:paraId="2056ACAC" w14:textId="77777777" w:rsidR="00814218" w:rsidRPr="00D2247B" w:rsidRDefault="00814218" w:rsidP="00814218">
      <w:pPr>
        <w:spacing w:after="120" w:line="276" w:lineRule="auto"/>
        <w:ind w:firstLine="709"/>
        <w:jc w:val="both"/>
        <w:rPr>
          <w:rFonts w:ascii="Verdana" w:eastAsia="Calibri" w:hAnsi="Verdana" w:cs="Arial"/>
        </w:rPr>
      </w:pPr>
      <w:r w:rsidRPr="00D2247B">
        <w:rPr>
          <w:rFonts w:ascii="Verdana" w:eastAsia="Calibri" w:hAnsi="Verdana" w:cs="Arial"/>
        </w:rPr>
        <w:t>a) Solo puede celebrarse para realizar “actividades relacionadas con la administración o funcionamiento de la entidad”, es decir, que hagan parte de su giro ordinario o quehacer cotidiano</w:t>
      </w:r>
      <w:r w:rsidRPr="008677DE">
        <w:rPr>
          <w:rStyle w:val="Refdenotaalpie"/>
          <w:rFonts w:ascii="Verdana" w:hAnsi="Verdana" w:cs="Arial"/>
          <w:noProof/>
          <w:lang w:val="es-ES_tradnl"/>
        </w:rPr>
        <w:footnoteReference w:id="1"/>
      </w:r>
      <w:r w:rsidRPr="00D2247B">
        <w:rPr>
          <w:rFonts w:ascii="Verdana" w:eastAsia="Calibri" w:hAnsi="Verdana" w:cs="Arial"/>
        </w:rPr>
        <w:t>.</w:t>
      </w:r>
    </w:p>
    <w:p w14:paraId="382AFBF5" w14:textId="77777777" w:rsidR="00814218" w:rsidRPr="00BE7986" w:rsidRDefault="00814218" w:rsidP="00814218">
      <w:pPr>
        <w:spacing w:after="120" w:line="276" w:lineRule="auto"/>
        <w:ind w:firstLine="709"/>
        <w:jc w:val="both"/>
        <w:rPr>
          <w:rFonts w:ascii="Verdana" w:eastAsia="Calibri" w:hAnsi="Verdana" w:cs="Arial"/>
        </w:rPr>
      </w:pPr>
      <w:r w:rsidRPr="00D2247B">
        <w:rPr>
          <w:rFonts w:ascii="Verdana" w:eastAsia="Calibri" w:hAnsi="Verdana" w:cs="Arial"/>
        </w:rPr>
        <w:t>b) Admite que se suscriba tanto con personas naturales, como con personas jurídicas. Sin embargo, cuando pretenda celebrarse con una persona natural, la entidad estatal debe justificar</w:t>
      </w:r>
      <w:r>
        <w:rPr>
          <w:rFonts w:ascii="Verdana" w:eastAsia="Calibri" w:hAnsi="Verdana" w:cs="Arial"/>
        </w:rPr>
        <w:t>,</w:t>
      </w:r>
      <w:r w:rsidRPr="00D2247B">
        <w:rPr>
          <w:rFonts w:ascii="Verdana" w:eastAsia="Calibri" w:hAnsi="Verdana" w:cs="Arial"/>
        </w:rPr>
        <w:t xml:space="preserve"> en los estudios previos</w:t>
      </w:r>
      <w:r>
        <w:rPr>
          <w:rFonts w:ascii="Verdana" w:eastAsia="Calibri" w:hAnsi="Verdana" w:cs="Arial"/>
        </w:rPr>
        <w:t>,</w:t>
      </w:r>
      <w:r w:rsidRPr="00D2247B">
        <w:rPr>
          <w:rFonts w:ascii="Verdana" w:eastAsia="Calibri" w:hAnsi="Verdana" w:cs="Arial"/>
        </w:rPr>
        <w:t xml:space="preserve"> que las actividades que buscan encomendarse a aquella “no puedan realizarse con personal de planta o requieran conocimientos especializados”. Esto puede suceder en varios eventos, por ejemplo, que, efectivamente, no exista el personal de planta para encargarse de dichas labores; que exista, pero que está sobrecargado de trabajo, requiriéndose, por tanto, un apoyo externo; o que haya personal de planta, pero no tenga la experticia o conocimiento especializado en la materia, y que, por esta razón, sea necesario contratar los servicios de una persona natural que posea conocimiento y experiencia en el </w:t>
      </w:r>
      <w:r w:rsidRPr="00BE7986">
        <w:rPr>
          <w:rFonts w:ascii="Verdana" w:eastAsia="Calibri" w:hAnsi="Verdana" w:cs="Arial"/>
        </w:rPr>
        <w:t>tema.</w:t>
      </w:r>
    </w:p>
    <w:p w14:paraId="6410A5B1" w14:textId="5BA3A777" w:rsidR="00814218" w:rsidRDefault="00814218" w:rsidP="00814218">
      <w:pPr>
        <w:spacing w:after="120" w:line="276" w:lineRule="auto"/>
        <w:ind w:firstLine="709"/>
        <w:jc w:val="both"/>
        <w:rPr>
          <w:rFonts w:ascii="Verdana" w:eastAsia="Calibri" w:hAnsi="Verdana" w:cs="Arial"/>
        </w:rPr>
      </w:pPr>
      <w:r w:rsidRPr="00BE7986">
        <w:rPr>
          <w:rFonts w:ascii="Verdana" w:eastAsia="Calibri" w:hAnsi="Verdana" w:cs="Arial"/>
        </w:rPr>
        <w:lastRenderedPageBreak/>
        <w:t>c) Si bien se celebran para obtener la prestación personal de un servicio, se diferencian del contrato de trabajo</w:t>
      </w:r>
      <w:r w:rsidRPr="00BE7986">
        <w:rPr>
          <w:rFonts w:ascii="Verdana" w:eastAsia="Calibri" w:hAnsi="Verdana" w:cs="Arial"/>
          <w:vertAlign w:val="superscript"/>
        </w:rPr>
        <w:footnoteReference w:id="2"/>
      </w:r>
      <w:r w:rsidRPr="00BE7986">
        <w:rPr>
          <w:rFonts w:ascii="Verdana" w:eastAsia="Calibri" w:hAnsi="Verdana" w:cs="Arial"/>
        </w:rPr>
        <w:t xml:space="preserve"> en que quien celebra el contrato de prestación de servicios profesionales debe mantener autonomía e independencia en la ejecución de la labor, lo que significa que no puede existir la </w:t>
      </w:r>
      <w:r w:rsidRPr="00BE7986">
        <w:rPr>
          <w:rFonts w:ascii="Verdana" w:eastAsia="Calibri" w:hAnsi="Verdana" w:cs="Arial"/>
          <w:i/>
        </w:rPr>
        <w:t>subordinación y dependencia</w:t>
      </w:r>
      <w:r w:rsidRPr="00BE7986">
        <w:rPr>
          <w:rFonts w:ascii="Verdana" w:eastAsia="Calibri" w:hAnsi="Verdana" w:cs="Arial"/>
          <w:iCs/>
        </w:rPr>
        <w:t>,</w:t>
      </w:r>
      <w:r w:rsidRPr="00BE7986">
        <w:rPr>
          <w:rFonts w:ascii="Verdana" w:eastAsia="Calibri" w:hAnsi="Verdana" w:cs="Arial"/>
        </w:rPr>
        <w:t xml:space="preserve"> que es uno de los elementos constitutivos del vínculo laboral. Por ello el artículo 32, numeral 3º, de la Ley 80 de 1993 establece que “En ningún caso estos contratos generan relación laboral ni prestaciones sociales”</w:t>
      </w:r>
      <w:r>
        <w:rPr>
          <w:rFonts w:ascii="Verdana" w:eastAsia="Calibri" w:hAnsi="Verdana" w:cs="Arial"/>
        </w:rPr>
        <w:t xml:space="preserve">. </w:t>
      </w:r>
      <w:r w:rsidR="00DB45F8">
        <w:rPr>
          <w:rFonts w:ascii="Verdana" w:eastAsia="Calibri" w:hAnsi="Verdana" w:cs="Arial"/>
        </w:rPr>
        <w:t xml:space="preserve">Así las cosas, de cara a la pregunta formulada, las funciones de supervisión </w:t>
      </w:r>
      <w:r w:rsidR="008F7628">
        <w:rPr>
          <w:rFonts w:ascii="Verdana" w:eastAsia="Calibri" w:hAnsi="Verdana" w:cs="Arial"/>
        </w:rPr>
        <w:t xml:space="preserve">no pueden crear una subordinación ni dependencia, pues esto implicaría la configuración de una relación laboral. </w:t>
      </w:r>
      <w:r w:rsidR="00DB45F8">
        <w:rPr>
          <w:rFonts w:ascii="Verdana" w:eastAsia="Calibri" w:hAnsi="Verdana" w:cs="Arial"/>
        </w:rPr>
        <w:t xml:space="preserve"> </w:t>
      </w:r>
    </w:p>
    <w:p w14:paraId="6DB16046" w14:textId="77777777" w:rsidR="00814218" w:rsidRPr="00BE7986" w:rsidRDefault="00814218" w:rsidP="00814218">
      <w:pPr>
        <w:spacing w:after="120" w:line="276" w:lineRule="auto"/>
        <w:ind w:firstLine="709"/>
        <w:jc w:val="both"/>
        <w:rPr>
          <w:rFonts w:ascii="Verdana" w:eastAsia="Calibri" w:hAnsi="Verdana" w:cs="Arial"/>
        </w:rPr>
      </w:pPr>
      <w:r>
        <w:rPr>
          <w:rFonts w:ascii="Verdana" w:eastAsia="Calibri" w:hAnsi="Verdana" w:cs="Arial"/>
        </w:rPr>
        <w:t xml:space="preserve">Este </w:t>
      </w:r>
      <w:r w:rsidRPr="00BE7986">
        <w:rPr>
          <w:rFonts w:ascii="Verdana" w:eastAsia="Calibri" w:hAnsi="Verdana" w:cs="Arial"/>
        </w:rPr>
        <w:t xml:space="preserve">inciso que más que un enunciado que aluda al “ser” se refiere al “deber ser”, pues debe interpretarse en el sentido de que los contratos de prestación de servicios profesionales </w:t>
      </w:r>
      <w:r w:rsidRPr="00BE7986">
        <w:rPr>
          <w:rFonts w:ascii="Verdana" w:eastAsia="Calibri" w:hAnsi="Verdana" w:cs="Arial"/>
          <w:i/>
        </w:rPr>
        <w:t>no pueden</w:t>
      </w:r>
      <w:r w:rsidRPr="00BE7986">
        <w:rPr>
          <w:rFonts w:ascii="Verdana" w:eastAsia="Calibri" w:hAnsi="Verdana" w:cs="Arial"/>
        </w:rPr>
        <w:t xml:space="preserve"> generar relación laboral, ni dar lugar a que las entidades estatales paguen por su cuenta los aportes al Sistema de Seguridad Social Integral del contratista. Ello por cuanto, según se indicó, en dichos contratos no puede existir subordinación y dependencia; entonces, la relación laboral está proscrita y es el contratista quien, como “trabajador independiente” –como lo califican las normas en materia de seguridad social– debe cotizar por su cuenta y riesgo al Sistema de Seguridad Social Integral</w:t>
      </w:r>
      <w:r w:rsidRPr="00BE7986">
        <w:rPr>
          <w:rFonts w:ascii="Verdana" w:eastAsia="Calibri" w:hAnsi="Verdana" w:cs="Arial"/>
          <w:vertAlign w:val="superscript"/>
        </w:rPr>
        <w:footnoteReference w:id="3"/>
      </w:r>
      <w:r w:rsidRPr="00BE7986">
        <w:rPr>
          <w:rFonts w:ascii="Verdana" w:eastAsia="Calibri" w:hAnsi="Verdana" w:cs="Arial"/>
        </w:rPr>
        <w:t xml:space="preserve">. Pero es posible que, a pesar de este mandato deontológico, en la práctica surja la relación laboral, pues, como se sabe, el contrato de trabajo es un </w:t>
      </w:r>
      <w:r w:rsidRPr="00BE7986">
        <w:rPr>
          <w:rFonts w:ascii="Verdana" w:eastAsia="Calibri" w:hAnsi="Verdana" w:cs="Arial"/>
          <w:i/>
        </w:rPr>
        <w:t>contrato realidad</w:t>
      </w:r>
      <w:r w:rsidRPr="00BE7986">
        <w:rPr>
          <w:rFonts w:ascii="Verdana" w:eastAsia="Calibri" w:hAnsi="Verdana" w:cs="Arial"/>
        </w:rPr>
        <w:t xml:space="preserve">, ya que para su perfeccionamiento rige el principio de la prevalencia de la realidad sobre las formalidades. </w:t>
      </w:r>
    </w:p>
    <w:p w14:paraId="48C749A0" w14:textId="77777777" w:rsidR="00814218" w:rsidRDefault="00814218" w:rsidP="00814218">
      <w:pPr>
        <w:tabs>
          <w:tab w:val="left" w:pos="3276"/>
        </w:tabs>
        <w:spacing w:after="120" w:line="276" w:lineRule="auto"/>
        <w:ind w:firstLine="709"/>
        <w:jc w:val="both"/>
        <w:rPr>
          <w:rFonts w:ascii="Verdana" w:eastAsia="Calibri" w:hAnsi="Verdana" w:cs="Arial"/>
        </w:rPr>
      </w:pPr>
      <w:r w:rsidRPr="006741FA">
        <w:rPr>
          <w:rFonts w:ascii="Verdana" w:eastAsia="Calibri" w:hAnsi="Verdana" w:cs="Arial"/>
        </w:rPr>
        <w:t xml:space="preserve">En esa perspectiva, la Corte Constitucional declaró la constitucionalidad condicionada del segundo inciso del numeral 3º del artículo 32, indicando que </w:t>
      </w:r>
      <w:r w:rsidRPr="006741FA">
        <w:rPr>
          <w:rFonts w:ascii="Verdana" w:eastAsia="Calibri" w:hAnsi="Verdana" w:cs="Arial"/>
        </w:rPr>
        <w:lastRenderedPageBreak/>
        <w:t>“las expresiones acusadas del numeral 3o. del artículo 32 de la Ley 80 de 1993, no vulneran los preceptos constitucionales, razón por la cual deberán ser declaradas exequibles, salvo que se acredite por parte del contratista la existencia de una relación laboral subordinada”</w:t>
      </w:r>
      <w:r w:rsidRPr="006741FA">
        <w:rPr>
          <w:rStyle w:val="Refdenotaalpie"/>
          <w:rFonts w:ascii="Verdana" w:eastAsia="Calibri" w:hAnsi="Verdana" w:cs="Arial"/>
        </w:rPr>
        <w:footnoteReference w:id="4"/>
      </w:r>
      <w:r w:rsidRPr="006741FA">
        <w:rPr>
          <w:rFonts w:ascii="Verdana" w:eastAsia="Calibri" w:hAnsi="Verdana" w:cs="Arial"/>
        </w:rPr>
        <w:t>. En esta misma línea, la Corte Constitucional en el control de constitucionalidad a un aparte del artículo 2° del Decreto Ley 2400 de 1968 modificado por el Decreto Ley 3074 de 1968 señaló que el indebido uso del contrato de prestación de servicios, constituye una violación del derecho a la igualdad, pues tratándose de funciones de carácter permanentes, los trabajadores que se presentan en esos supuestos, podrían encontrarse en la práctica, bajo una continuada dependencia o subordinación, características que eventualmente configurarían una vinculación legal y reglamentaria y/o un contrato de trabajo, según sea la naturaleza jurídica de la entidad pública y el tipo de cargo</w:t>
      </w:r>
      <w:r w:rsidRPr="006741FA">
        <w:rPr>
          <w:rFonts w:ascii="Verdana" w:eastAsia="Calibri" w:hAnsi="Verdana" w:cs="Arial"/>
          <w:vertAlign w:val="superscript"/>
        </w:rPr>
        <w:footnoteReference w:id="5"/>
      </w:r>
      <w:r w:rsidRPr="006741FA">
        <w:rPr>
          <w:rFonts w:ascii="Verdana" w:eastAsia="Calibri" w:hAnsi="Verdana" w:cs="Arial"/>
        </w:rPr>
        <w:t>. De modo que, bajo la perspectiva indicada, se podría invocar la presunción de la existencia de una relación laboral; siendo contrario a uno de los aspectos más relevantes del contrato de prestación de servicio, la autonomía e independencia en la ejecución de este.</w:t>
      </w:r>
    </w:p>
    <w:p w14:paraId="2060640E" w14:textId="77777777" w:rsidR="00814218" w:rsidRPr="004C0B72" w:rsidRDefault="00814218" w:rsidP="00814218">
      <w:pPr>
        <w:spacing w:after="120" w:line="276" w:lineRule="auto"/>
        <w:ind w:firstLine="709"/>
        <w:jc w:val="both"/>
        <w:rPr>
          <w:rFonts w:ascii="Verdana" w:hAnsi="Verdana" w:cs="Arial"/>
          <w:noProof/>
          <w:lang w:val="es-ES_tradnl"/>
        </w:rPr>
      </w:pPr>
      <w:r w:rsidRPr="008677DE">
        <w:rPr>
          <w:rFonts w:ascii="Verdana" w:hAnsi="Verdana" w:cs="Arial"/>
          <w:noProof/>
          <w:lang w:val="es-ES_tradnl"/>
        </w:rPr>
        <w:t>Por su parte, el Consejo de Estado</w:t>
      </w:r>
      <w:r>
        <w:rPr>
          <w:rFonts w:ascii="Verdana" w:hAnsi="Verdana" w:cs="Arial"/>
          <w:noProof/>
          <w:lang w:val="es-ES_tradnl"/>
        </w:rPr>
        <w:t>,</w:t>
      </w:r>
      <w:r w:rsidRPr="008677DE">
        <w:rPr>
          <w:rFonts w:ascii="Verdana" w:hAnsi="Verdana" w:cs="Arial"/>
          <w:noProof/>
          <w:lang w:val="es-ES_tradnl"/>
        </w:rPr>
        <w:t xml:space="preserve"> en sentencia de unificación jurisprudencial del 9 de septiembre de 2021</w:t>
      </w:r>
      <w:r>
        <w:rPr>
          <w:rFonts w:ascii="Verdana" w:hAnsi="Verdana" w:cs="Arial"/>
          <w:noProof/>
          <w:lang w:val="es-ES_tradnl"/>
        </w:rPr>
        <w:t>,</w:t>
      </w:r>
      <w:r w:rsidRPr="008677DE">
        <w:rPr>
          <w:rFonts w:ascii="Verdana" w:hAnsi="Verdana" w:cs="Arial"/>
          <w:noProof/>
          <w:lang w:val="es-ES_tradnl"/>
        </w:rPr>
        <w:t xml:space="preserve"> se pronunció respecto de los criterios para identificar la existencia de una relación laboral encubierta o subyacente por contratos de </w:t>
      </w:r>
      <w:r>
        <w:rPr>
          <w:rFonts w:ascii="Verdana" w:hAnsi="Verdana" w:cs="Arial"/>
          <w:noProof/>
          <w:lang w:val="es-ES_tradnl"/>
        </w:rPr>
        <w:t>p</w:t>
      </w:r>
      <w:r w:rsidRPr="008677DE">
        <w:rPr>
          <w:rFonts w:ascii="Verdana" w:hAnsi="Verdana" w:cs="Arial"/>
          <w:noProof/>
          <w:lang w:val="es-ES_tradnl"/>
        </w:rPr>
        <w:t>restación de servicios y definó tres reglas para el</w:t>
      </w:r>
      <w:r>
        <w:rPr>
          <w:rFonts w:ascii="Verdana" w:hAnsi="Verdana" w:cs="Arial"/>
          <w:noProof/>
          <w:lang w:val="es-ES_tradnl"/>
        </w:rPr>
        <w:t xml:space="preserve"> </w:t>
      </w:r>
      <w:r w:rsidRPr="008677DE">
        <w:rPr>
          <w:rFonts w:ascii="Verdana" w:hAnsi="Verdana" w:cs="Arial"/>
          <w:noProof/>
          <w:lang w:val="es-ES_tradnl"/>
        </w:rPr>
        <w:t>efecto</w:t>
      </w:r>
      <w:r w:rsidRPr="008677DE">
        <w:rPr>
          <w:rFonts w:ascii="Verdana" w:hAnsi="Verdana"/>
          <w:vertAlign w:val="superscript"/>
          <w:lang w:val="es-ES_tradnl"/>
        </w:rPr>
        <w:footnoteReference w:id="6"/>
      </w:r>
      <w:r w:rsidRPr="008677DE">
        <w:rPr>
          <w:rFonts w:ascii="Verdana" w:hAnsi="Verdana" w:cs="Arial"/>
          <w:noProof/>
          <w:lang w:val="es-ES_tradnl"/>
        </w:rPr>
        <w:t>, aspectos que fueron aclarados posteriormente por Auto del 11 de noviembre de 2021</w:t>
      </w:r>
      <w:r w:rsidRPr="008677DE">
        <w:rPr>
          <w:rStyle w:val="Refdenotaalpie"/>
          <w:rFonts w:ascii="Verdana" w:hAnsi="Verdana" w:cs="Arial"/>
          <w:noProof/>
          <w:lang w:val="es-ES_tradnl"/>
        </w:rPr>
        <w:footnoteReference w:id="7"/>
      </w:r>
      <w:r w:rsidRPr="008677DE">
        <w:rPr>
          <w:rFonts w:ascii="Verdana" w:hAnsi="Verdana" w:cs="Arial"/>
          <w:noProof/>
          <w:lang w:val="es-ES_tradnl"/>
        </w:rPr>
        <w:t>.</w:t>
      </w:r>
    </w:p>
    <w:p w14:paraId="2CEB3A43" w14:textId="77777777" w:rsidR="00814218" w:rsidRPr="004C0B72" w:rsidRDefault="00814218" w:rsidP="00814218">
      <w:pPr>
        <w:spacing w:after="120" w:line="276" w:lineRule="auto"/>
        <w:ind w:firstLine="709"/>
        <w:jc w:val="both"/>
        <w:rPr>
          <w:rFonts w:ascii="Verdana" w:hAnsi="Verdana" w:cs="Arial"/>
        </w:rPr>
      </w:pPr>
      <w:r w:rsidRPr="00E4437B">
        <w:rPr>
          <w:rFonts w:ascii="Verdana" w:eastAsia="Calibri" w:hAnsi="Verdana" w:cs="Arial"/>
        </w:rPr>
        <w:lastRenderedPageBreak/>
        <w:t xml:space="preserve">d) Deben ser temporales. </w:t>
      </w:r>
      <w:r w:rsidRPr="008677DE">
        <w:rPr>
          <w:rFonts w:ascii="Verdana" w:hAnsi="Verdana" w:cs="Arial"/>
          <w:noProof/>
          <w:lang w:val="es-ES_tradnl"/>
        </w:rPr>
        <w:t xml:space="preserve">La sentencia de unificacion jurisprudencial del Consejo de Estado mencionada, frente a la duración del contrato de prestación de servicios señaló que solo puede celebrarse por un </w:t>
      </w:r>
      <w:r>
        <w:rPr>
          <w:rFonts w:ascii="Verdana" w:hAnsi="Verdana" w:cs="Arial"/>
          <w:noProof/>
          <w:lang w:val="es-ES_tradnl"/>
        </w:rPr>
        <w:t>“</w:t>
      </w:r>
      <w:r w:rsidRPr="008677DE">
        <w:rPr>
          <w:rFonts w:ascii="Verdana" w:hAnsi="Verdana" w:cs="Arial"/>
          <w:noProof/>
          <w:lang w:val="es-ES_tradnl"/>
        </w:rPr>
        <w:t>término estrictamente indispensable</w:t>
      </w:r>
      <w:r>
        <w:rPr>
          <w:rFonts w:ascii="Verdana" w:hAnsi="Verdana" w:cs="Arial"/>
          <w:noProof/>
          <w:lang w:val="es-ES_tradnl"/>
        </w:rPr>
        <w:t>”</w:t>
      </w:r>
      <w:r w:rsidRPr="008677DE">
        <w:rPr>
          <w:rFonts w:ascii="Verdana" w:hAnsi="Verdana" w:cs="Arial"/>
          <w:noProof/>
          <w:lang w:val="es-ES_tradnl"/>
        </w:rPr>
        <w:t xml:space="preserve">. En ese entendido, unificó el sentido y alcance del término estrictamente indispensable como </w:t>
      </w:r>
      <w:r>
        <w:rPr>
          <w:rFonts w:ascii="Verdana" w:hAnsi="Verdana" w:cs="Arial"/>
          <w:noProof/>
          <w:lang w:val="es-ES_tradnl"/>
        </w:rPr>
        <w:t>“</w:t>
      </w:r>
      <w:r w:rsidRPr="008677DE">
        <w:rPr>
          <w:rFonts w:ascii="Verdana" w:hAnsi="Verdana" w:cs="Arial"/>
          <w:noProof/>
          <w:lang w:val="es-ES_tradnl"/>
        </w:rPr>
        <w:t>aquel que aparece expresamente estipulado en la minuta del contrato de prestación de servicios, que de acuerdo con los razonamientos contenidos en los estudios previos, representa el lapso durante el cual se espera que el contratista cumpla a cabalidad el objeto del contrato y las obligaciones que de él se derivan, sin perjuicio de las prórrogas excepcionales que puedan acordarse para garantizar su cumplimiento</w:t>
      </w:r>
      <w:r>
        <w:rPr>
          <w:rFonts w:ascii="Verdana" w:hAnsi="Verdana" w:cs="Arial"/>
          <w:noProof/>
          <w:lang w:val="es-ES_tradnl"/>
        </w:rPr>
        <w:t>”</w:t>
      </w:r>
      <w:r w:rsidRPr="008677DE">
        <w:rPr>
          <w:rFonts w:ascii="Verdana" w:hAnsi="Verdana" w:cs="Arial"/>
          <w:noProof/>
          <w:lang w:val="es-ES_tradnl"/>
        </w:rPr>
        <w:t>.</w:t>
      </w:r>
      <w:r w:rsidRPr="008677DE">
        <w:rPr>
          <w:rFonts w:ascii="Verdana" w:hAnsi="Verdana" w:cs="Arial"/>
        </w:rPr>
        <w:t xml:space="preserve"> </w:t>
      </w:r>
    </w:p>
    <w:p w14:paraId="5726F9A0" w14:textId="77777777" w:rsidR="00814218" w:rsidRPr="00E4437B" w:rsidRDefault="00814218" w:rsidP="00814218">
      <w:pPr>
        <w:spacing w:after="0" w:line="276" w:lineRule="auto"/>
        <w:ind w:firstLine="709"/>
        <w:jc w:val="both"/>
        <w:rPr>
          <w:rFonts w:ascii="Verdana" w:eastAsia="Calibri" w:hAnsi="Verdana" w:cs="Arial"/>
        </w:rPr>
      </w:pPr>
      <w:r>
        <w:rPr>
          <w:rFonts w:ascii="Verdana" w:eastAsia="Calibri" w:hAnsi="Verdana" w:cs="Arial"/>
        </w:rPr>
        <w:t>De igual manera,</w:t>
      </w:r>
      <w:r w:rsidRPr="00E4437B">
        <w:rPr>
          <w:rFonts w:ascii="Verdana" w:eastAsia="Calibri" w:hAnsi="Verdana" w:cs="Arial"/>
        </w:rPr>
        <w:t xml:space="preserve"> la Corte Constitucional</w:t>
      </w:r>
      <w:r>
        <w:rPr>
          <w:rFonts w:ascii="Verdana" w:eastAsia="Calibri" w:hAnsi="Verdana" w:cs="Arial"/>
        </w:rPr>
        <w:t>,</w:t>
      </w:r>
      <w:r w:rsidRPr="00E4437B">
        <w:rPr>
          <w:rFonts w:ascii="Verdana" w:eastAsia="Calibri" w:hAnsi="Verdana" w:cs="Arial"/>
        </w:rPr>
        <w:t xml:space="preserve"> en la </w:t>
      </w:r>
      <w:r>
        <w:rPr>
          <w:rFonts w:ascii="Verdana" w:eastAsia="Calibri" w:hAnsi="Verdana" w:cs="Arial"/>
        </w:rPr>
        <w:t xml:space="preserve">Sentencia C-154 de 1997 señaló </w:t>
      </w:r>
      <w:r w:rsidRPr="00E4437B">
        <w:rPr>
          <w:rFonts w:ascii="Verdana" w:eastAsia="Calibri" w:hAnsi="Verdana" w:cs="Arial"/>
        </w:rPr>
        <w:t>que:</w:t>
      </w:r>
    </w:p>
    <w:p w14:paraId="0D434E70" w14:textId="77777777" w:rsidR="00814218" w:rsidRPr="00E4437B" w:rsidRDefault="00814218" w:rsidP="00814218">
      <w:pPr>
        <w:spacing w:after="0" w:line="276" w:lineRule="auto"/>
        <w:ind w:firstLine="709"/>
        <w:jc w:val="both"/>
        <w:rPr>
          <w:rFonts w:ascii="Verdana" w:eastAsia="Calibri" w:hAnsi="Verdana" w:cs="Arial"/>
        </w:rPr>
      </w:pPr>
    </w:p>
    <w:p w14:paraId="6A24D3F6" w14:textId="77777777" w:rsidR="00814218" w:rsidRPr="004C0B72" w:rsidRDefault="00814218" w:rsidP="00814218">
      <w:pPr>
        <w:spacing w:after="0" w:line="240" w:lineRule="auto"/>
        <w:ind w:left="709" w:right="709"/>
        <w:jc w:val="both"/>
        <w:rPr>
          <w:rFonts w:ascii="Verdana" w:eastAsia="Calibri" w:hAnsi="Verdana" w:cs="Arial"/>
          <w:sz w:val="20"/>
          <w:szCs w:val="20"/>
        </w:rPr>
      </w:pPr>
      <w:r w:rsidRPr="0003707A">
        <w:rPr>
          <w:rFonts w:ascii="Verdana" w:eastAsia="Calibri" w:hAnsi="Verdana" w:cs="Arial"/>
          <w:sz w:val="20"/>
          <w:szCs w:val="20"/>
        </w:rPr>
        <w:t>“La vigencia del contrato es temporal y, por lo tanto, su duración debe ser por tiempo limitado y el indispensable para ejecutar el objeto contractual convenido. En el caso de que las actividades con ellos atendidas demanden una permanencia mayor e indefinida, e</w:t>
      </w:r>
      <w:r w:rsidRPr="00DD61C7">
        <w:rPr>
          <w:rFonts w:ascii="Verdana" w:eastAsia="Calibri" w:hAnsi="Verdana" w:cs="Arial"/>
          <w:sz w:val="20"/>
          <w:szCs w:val="20"/>
        </w:rPr>
        <w:t>xcediendo su carácter excepcional y temporal para convertirse en ordinario y permanente, será necesario que la respectiva entidad adopte las medidas y provisiones pertinentes a fin de que se dé cabal cumplimiento a lo previsto en el artículo 122 de la Cart</w:t>
      </w:r>
      <w:r w:rsidRPr="00255E89">
        <w:rPr>
          <w:rFonts w:ascii="Verdana" w:eastAsia="Calibri" w:hAnsi="Verdana" w:cs="Arial"/>
          <w:sz w:val="20"/>
          <w:szCs w:val="20"/>
        </w:rPr>
        <w:t>a Política, según el cual se requiere que el empleo público quede contemplado en la respectiva planta y previstos sus emolumentos en el presupuesto correspondiente</w:t>
      </w:r>
      <w:r w:rsidRPr="000940A2">
        <w:rPr>
          <w:rFonts w:ascii="Verdana" w:eastAsia="Calibri" w:hAnsi="Verdana" w:cs="Arial"/>
          <w:sz w:val="20"/>
          <w:szCs w:val="20"/>
        </w:rPr>
        <w:t>”</w:t>
      </w:r>
      <w:r w:rsidRPr="004C0B72">
        <w:rPr>
          <w:rFonts w:ascii="Verdana" w:eastAsia="Calibri" w:hAnsi="Verdana" w:cs="Arial"/>
          <w:sz w:val="20"/>
          <w:szCs w:val="20"/>
          <w:vertAlign w:val="superscript"/>
        </w:rPr>
        <w:footnoteReference w:id="8"/>
      </w:r>
      <w:r w:rsidRPr="004C0B72">
        <w:rPr>
          <w:rFonts w:ascii="Verdana" w:eastAsia="Calibri" w:hAnsi="Verdana" w:cs="Arial"/>
          <w:sz w:val="20"/>
          <w:szCs w:val="20"/>
        </w:rPr>
        <w:t>.</w:t>
      </w:r>
    </w:p>
    <w:p w14:paraId="21E463D4" w14:textId="77777777" w:rsidR="00814218" w:rsidRPr="00780417" w:rsidRDefault="00814218" w:rsidP="00814218">
      <w:pPr>
        <w:spacing w:after="0" w:line="276" w:lineRule="auto"/>
        <w:ind w:firstLine="709"/>
        <w:jc w:val="both"/>
        <w:rPr>
          <w:rFonts w:ascii="Verdana" w:eastAsia="Calibri" w:hAnsi="Verdana" w:cs="Arial"/>
        </w:rPr>
      </w:pPr>
    </w:p>
    <w:p w14:paraId="51D67F3A" w14:textId="77777777" w:rsidR="00814218" w:rsidRPr="009D6505" w:rsidRDefault="00814218" w:rsidP="00814218">
      <w:pPr>
        <w:tabs>
          <w:tab w:val="left" w:pos="3276"/>
        </w:tabs>
        <w:spacing w:after="120" w:line="276" w:lineRule="auto"/>
        <w:ind w:firstLine="709"/>
        <w:jc w:val="both"/>
        <w:rPr>
          <w:rFonts w:ascii="Verdana" w:eastAsia="Calibri" w:hAnsi="Verdana" w:cs="Arial"/>
          <w:lang w:val="es-ES_tradnl" w:eastAsia="es-ES_tradnl"/>
        </w:rPr>
      </w:pPr>
      <w:r w:rsidRPr="00780417">
        <w:rPr>
          <w:rFonts w:ascii="Verdana" w:eastAsia="Calibri" w:hAnsi="Verdana" w:cs="Arial"/>
          <w:lang w:eastAsia="es-ES"/>
        </w:rPr>
        <w:t>e</w:t>
      </w:r>
      <w:r w:rsidRPr="00780417">
        <w:rPr>
          <w:rFonts w:ascii="Verdana" w:eastAsia="Calibri" w:hAnsi="Verdana" w:cs="Arial"/>
          <w:lang w:val="es-ES" w:eastAsia="es-ES"/>
        </w:rPr>
        <w:t xml:space="preserve">) Los contratos de prestación de servicios constituyen un </w:t>
      </w:r>
      <w:r w:rsidRPr="00780417">
        <w:rPr>
          <w:rFonts w:ascii="Verdana" w:eastAsia="Calibri" w:hAnsi="Verdana" w:cs="Arial"/>
          <w:i/>
          <w:iCs/>
          <w:lang w:val="es-ES" w:eastAsia="es-ES"/>
        </w:rPr>
        <w:t>género</w:t>
      </w:r>
      <w:r w:rsidRPr="00780417">
        <w:rPr>
          <w:rFonts w:ascii="Verdana" w:eastAsia="Calibri" w:hAnsi="Verdana" w:cs="Arial"/>
          <w:lang w:val="es-ES" w:eastAsia="es-ES"/>
        </w:rPr>
        <w:t xml:space="preserve"> que incluye, como </w:t>
      </w:r>
      <w:r w:rsidRPr="00780417">
        <w:rPr>
          <w:rFonts w:ascii="Verdana" w:eastAsia="Calibri" w:hAnsi="Verdana" w:cs="Arial"/>
          <w:i/>
          <w:iCs/>
          <w:lang w:val="es-ES" w:eastAsia="es-ES"/>
        </w:rPr>
        <w:t>especies</w:t>
      </w:r>
      <w:r w:rsidRPr="00780417">
        <w:rPr>
          <w:rFonts w:ascii="Verdana" w:eastAsia="Calibri" w:hAnsi="Verdana" w:cs="Arial"/>
          <w:lang w:val="es-ES" w:eastAsia="es-ES"/>
        </w:rPr>
        <w:t>, los contratos de prestación de servicios profesionales, los contratos de prestación de servicios de apoyo a la gestión y los contratos de prestación de servicios artísticos que solo pueden encomendarse a determinadas personas naturales</w:t>
      </w:r>
      <w:r w:rsidRPr="00780417">
        <w:rPr>
          <w:rFonts w:ascii="Verdana" w:eastAsia="Calibri" w:hAnsi="Verdana" w:cs="Arial"/>
          <w:vertAlign w:val="superscript"/>
          <w:lang w:val="es-ES" w:eastAsia="es-ES"/>
        </w:rPr>
        <w:footnoteReference w:id="9"/>
      </w:r>
      <w:r w:rsidRPr="00780417">
        <w:rPr>
          <w:rFonts w:ascii="Verdana" w:eastAsia="Calibri" w:hAnsi="Verdana" w:cs="Arial"/>
          <w:lang w:val="es-ES" w:eastAsia="es-ES"/>
        </w:rPr>
        <w:t xml:space="preserve">. La diferencia entre el contrato de prestación de servicios </w:t>
      </w:r>
      <w:r w:rsidRPr="00780417">
        <w:rPr>
          <w:rFonts w:ascii="Verdana" w:eastAsia="Calibri" w:hAnsi="Verdana" w:cs="Arial"/>
          <w:i/>
          <w:iCs/>
          <w:lang w:val="es-ES" w:eastAsia="es-ES"/>
        </w:rPr>
        <w:lastRenderedPageBreak/>
        <w:t>profesionales</w:t>
      </w:r>
      <w:r w:rsidRPr="00780417">
        <w:rPr>
          <w:rFonts w:ascii="Verdana" w:eastAsia="Calibri" w:hAnsi="Verdana" w:cs="Arial"/>
          <w:lang w:val="es-ES" w:eastAsia="es-ES"/>
        </w:rPr>
        <w:t xml:space="preserve"> con las otras dos especies del género en el cual se ubican radica en su contenido intelectual intangible y, al mismo tiempo, en la formación profesional que se exige para desempeñar la labor</w:t>
      </w:r>
      <w:r w:rsidRPr="00780417">
        <w:rPr>
          <w:rFonts w:ascii="Verdana" w:eastAsia="Calibri" w:hAnsi="Verdana" w:cs="Arial"/>
          <w:vertAlign w:val="superscript"/>
          <w:lang w:val="es-ES" w:eastAsia="es-ES"/>
        </w:rPr>
        <w:footnoteReference w:id="10"/>
      </w:r>
      <w:r w:rsidRPr="00780417">
        <w:rPr>
          <w:rFonts w:ascii="Verdana" w:eastAsia="Calibri" w:hAnsi="Verdana" w:cs="Arial"/>
          <w:lang w:val="es-ES" w:eastAsia="es-ES"/>
        </w:rPr>
        <w:t>.</w:t>
      </w:r>
    </w:p>
    <w:p w14:paraId="2CDBAB4A" w14:textId="77777777" w:rsidR="00814218" w:rsidRDefault="00814218" w:rsidP="00814218">
      <w:pPr>
        <w:spacing w:after="120" w:line="276" w:lineRule="auto"/>
        <w:ind w:firstLine="709"/>
        <w:jc w:val="both"/>
        <w:rPr>
          <w:rFonts w:ascii="Verdana" w:eastAsia="Calibri" w:hAnsi="Verdana" w:cs="Arial"/>
        </w:rPr>
      </w:pPr>
      <w:r w:rsidRPr="009D6505">
        <w:rPr>
          <w:rFonts w:ascii="Verdana" w:eastAsia="Calibri" w:hAnsi="Verdana" w:cs="Arial"/>
        </w:rPr>
        <w:t>f) Su celebración debe realizarse a través de la modalidad de contratación directa, independientemente de la cuantía y del tipo de servicio profesional, siempre que este no ingrese dentro del objeto del contrato de consultoría</w:t>
      </w:r>
      <w:r>
        <w:rPr>
          <w:rFonts w:ascii="Verdana" w:eastAsia="Calibri" w:hAnsi="Verdana" w:cs="Arial"/>
        </w:rPr>
        <w:t>. Lo anterior, pues</w:t>
      </w:r>
      <w:r w:rsidRPr="009D6505">
        <w:rPr>
          <w:rFonts w:ascii="Verdana" w:eastAsia="Calibri" w:hAnsi="Verdana" w:cs="Arial"/>
        </w:rPr>
        <w:t xml:space="preserve"> como lo indicó el Consejo de Estado en la sentencia de unificación jurisprudencial a la que se hizo referencia, si bien en ambos existe un componente intelectual, profesional e intangible, el objeto del contrato de consultoría es especial y debe celebrarse, por regla general, precedido de un concurso de méritos</w:t>
      </w:r>
      <w:r w:rsidRPr="009D6505">
        <w:rPr>
          <w:rFonts w:ascii="Verdana" w:eastAsia="Calibri" w:hAnsi="Verdana" w:cs="Arial"/>
          <w:vertAlign w:val="superscript"/>
        </w:rPr>
        <w:footnoteReference w:id="11"/>
      </w:r>
      <w:r w:rsidRPr="009D6505">
        <w:rPr>
          <w:rFonts w:ascii="Verdana" w:eastAsia="Calibri" w:hAnsi="Verdana" w:cs="Arial"/>
        </w:rPr>
        <w:t>. Pero, tampoco puede suscribirse un contrato de prestación de servicios profesionales para que el contratista ejecute labores que se enmarcan en los otros contratos tipificados en el artículo 32 de la Ley 80 de 1993, como, por ejemplo, para que el contratista de prestación de servicios construya una obra.</w:t>
      </w:r>
    </w:p>
    <w:p w14:paraId="0246F9D9" w14:textId="77777777" w:rsidR="00814218" w:rsidRPr="0050628A" w:rsidRDefault="00814218" w:rsidP="00814218">
      <w:pPr>
        <w:spacing w:after="0" w:line="276" w:lineRule="auto"/>
        <w:ind w:firstLine="709"/>
        <w:jc w:val="both"/>
        <w:rPr>
          <w:rFonts w:ascii="Verdana" w:eastAsia="Calibri" w:hAnsi="Verdana" w:cs="Arial"/>
        </w:rPr>
      </w:pPr>
      <w:r w:rsidRPr="0050628A">
        <w:rPr>
          <w:rFonts w:ascii="Verdana" w:eastAsia="Calibri" w:hAnsi="Verdana" w:cs="Arial"/>
        </w:rPr>
        <w:t>g) Para su celebración no se requiere la expedición del acto administrativo de justificación de la contratación directa</w:t>
      </w:r>
      <w:r w:rsidRPr="0050628A">
        <w:rPr>
          <w:rFonts w:ascii="Verdana" w:eastAsia="Calibri" w:hAnsi="Verdana" w:cs="Arial"/>
          <w:vertAlign w:val="superscript"/>
        </w:rPr>
        <w:footnoteReference w:id="12"/>
      </w:r>
      <w:r w:rsidRPr="0050628A">
        <w:rPr>
          <w:rFonts w:ascii="Verdana" w:eastAsia="Calibri" w:hAnsi="Verdana" w:cs="Arial"/>
        </w:rPr>
        <w:t xml:space="preserve">. </w:t>
      </w:r>
    </w:p>
    <w:p w14:paraId="77EBA3A4" w14:textId="77777777" w:rsidR="00814218" w:rsidRPr="0050628A" w:rsidRDefault="00814218" w:rsidP="00814218">
      <w:pPr>
        <w:spacing w:before="120" w:after="120" w:line="276" w:lineRule="auto"/>
        <w:ind w:firstLine="709"/>
        <w:jc w:val="both"/>
        <w:rPr>
          <w:rFonts w:ascii="Verdana" w:eastAsia="Calibri" w:hAnsi="Verdana" w:cs="Arial"/>
        </w:rPr>
      </w:pPr>
      <w:r w:rsidRPr="0050628A">
        <w:rPr>
          <w:rFonts w:ascii="Verdana" w:eastAsia="Calibri" w:hAnsi="Verdana" w:cs="Arial"/>
        </w:rPr>
        <w:t xml:space="preserve">h) Admiten el pacto de cláusulas excepcionales. Es decir, en los contratos de prestación de servicios puede </w:t>
      </w:r>
      <w:r>
        <w:rPr>
          <w:rFonts w:ascii="Verdana" w:eastAsia="Calibri" w:hAnsi="Verdana" w:cs="Arial"/>
        </w:rPr>
        <w:t>pactar</w:t>
      </w:r>
      <w:r w:rsidRPr="0050628A">
        <w:rPr>
          <w:rFonts w:ascii="Verdana" w:eastAsia="Calibri" w:hAnsi="Verdana" w:cs="Arial"/>
        </w:rPr>
        <w:t>se la caducidad, así como la modificación, interpretación o terminación unilaterales, como</w:t>
      </w:r>
      <w:r>
        <w:rPr>
          <w:rFonts w:ascii="Verdana" w:eastAsia="Calibri" w:hAnsi="Verdana" w:cs="Arial"/>
        </w:rPr>
        <w:t xml:space="preserve"> acuerdos o</w:t>
      </w:r>
      <w:r w:rsidRPr="0050628A">
        <w:rPr>
          <w:rFonts w:ascii="Verdana" w:eastAsia="Calibri" w:hAnsi="Verdana" w:cs="Arial"/>
        </w:rPr>
        <w:t xml:space="preserve"> elementos accidentales</w:t>
      </w:r>
      <w:r>
        <w:rPr>
          <w:rFonts w:ascii="Verdana" w:eastAsia="Calibri" w:hAnsi="Verdana" w:cs="Arial"/>
        </w:rPr>
        <w:t>. O</w:t>
      </w:r>
      <w:r w:rsidRPr="0050628A">
        <w:rPr>
          <w:rFonts w:ascii="Verdana" w:eastAsia="Calibri" w:hAnsi="Verdana" w:cs="Arial"/>
        </w:rPr>
        <w:t xml:space="preserve"> sea que para que puedan ejercerse dichas exorbitancias han </w:t>
      </w:r>
      <w:r w:rsidRPr="0050628A">
        <w:rPr>
          <w:rFonts w:ascii="Verdana" w:eastAsia="Calibri" w:hAnsi="Verdana" w:cs="Arial"/>
        </w:rPr>
        <w:lastRenderedPageBreak/>
        <w:t>debido quedar incluidas expresamente en el contrato, ya que no se entienden pactadas por naturaleza. Así se infiere del artículo 14°, numeral 2º, de la Ley 80 de 1993</w:t>
      </w:r>
      <w:r w:rsidRPr="0050628A">
        <w:rPr>
          <w:rFonts w:ascii="Verdana" w:eastAsia="Calibri" w:hAnsi="Verdana" w:cs="Arial"/>
          <w:vertAlign w:val="superscript"/>
        </w:rPr>
        <w:footnoteReference w:id="13"/>
      </w:r>
      <w:r w:rsidRPr="0050628A">
        <w:rPr>
          <w:rFonts w:ascii="Verdana" w:eastAsia="Calibri" w:hAnsi="Verdana" w:cs="Arial"/>
        </w:rPr>
        <w:t>.</w:t>
      </w:r>
    </w:p>
    <w:p w14:paraId="25F1B20F" w14:textId="77777777" w:rsidR="00814218" w:rsidRPr="007A6EE5" w:rsidRDefault="00814218" w:rsidP="00814218">
      <w:pPr>
        <w:spacing w:before="120" w:after="120" w:line="276" w:lineRule="auto"/>
        <w:ind w:firstLine="709"/>
        <w:jc w:val="both"/>
        <w:rPr>
          <w:rFonts w:ascii="Verdana" w:eastAsia="Calibri" w:hAnsi="Verdana" w:cs="Arial"/>
        </w:rPr>
      </w:pPr>
      <w:r w:rsidRPr="007A6EE5">
        <w:rPr>
          <w:rFonts w:ascii="Verdana" w:eastAsia="Calibri" w:hAnsi="Verdana" w:cs="Arial"/>
        </w:rPr>
        <w:t>i) En ellos no es obligatoria la liquidación, pues así lo estableció el artículo 217 del Decreto 019 de 2012, que modificó el artículo 60 de la Ley 80 de 1993</w:t>
      </w:r>
      <w:r w:rsidRPr="007A6EE5">
        <w:rPr>
          <w:rFonts w:ascii="Verdana" w:eastAsia="Calibri" w:hAnsi="Verdana" w:cs="Arial"/>
          <w:vertAlign w:val="superscript"/>
        </w:rPr>
        <w:footnoteReference w:id="14"/>
      </w:r>
      <w:r w:rsidRPr="007A6EE5">
        <w:rPr>
          <w:rFonts w:ascii="Verdana" w:eastAsia="Calibri" w:hAnsi="Verdana" w:cs="Arial"/>
        </w:rPr>
        <w:t xml:space="preserve">, </w:t>
      </w:r>
      <w:r w:rsidRPr="007A6EE5">
        <w:rPr>
          <w:rFonts w:ascii="Verdana" w:eastAsia="Calibri" w:hAnsi="Verdana" w:cs="Arial"/>
          <w:lang w:val="es-ES" w:eastAsia="es-ES"/>
        </w:rPr>
        <w:t>refiriéndose expresamente a los contratos de prestación de servicios profesionales y de apoyo a la gestión.</w:t>
      </w:r>
    </w:p>
    <w:p w14:paraId="4448AE02" w14:textId="77777777" w:rsidR="00814218" w:rsidRPr="007A6EE5" w:rsidRDefault="00814218" w:rsidP="00814218">
      <w:pPr>
        <w:spacing w:after="120" w:line="276" w:lineRule="auto"/>
        <w:ind w:firstLine="709"/>
        <w:jc w:val="both"/>
        <w:rPr>
          <w:rFonts w:ascii="Verdana" w:eastAsia="Calibri" w:hAnsi="Verdana" w:cs="Arial"/>
        </w:rPr>
      </w:pPr>
      <w:r w:rsidRPr="007A6EE5">
        <w:rPr>
          <w:rFonts w:ascii="Verdana" w:eastAsia="Calibri" w:hAnsi="Verdana" w:cs="Arial"/>
        </w:rPr>
        <w:t>j) Para su celebración no se requiere inscripción en el Registro Único de Proponentes (RUP), según lo prevé el artículo 6 de la Ley 1150 de 2007</w:t>
      </w:r>
      <w:r w:rsidRPr="007A6EE5">
        <w:rPr>
          <w:rFonts w:ascii="Verdana" w:eastAsia="Calibri" w:hAnsi="Verdana" w:cs="Arial"/>
          <w:vertAlign w:val="superscript"/>
        </w:rPr>
        <w:footnoteReference w:id="15"/>
      </w:r>
      <w:r w:rsidRPr="007A6EE5">
        <w:rPr>
          <w:rFonts w:ascii="Verdana" w:eastAsia="Calibri" w:hAnsi="Verdana" w:cs="Arial"/>
        </w:rPr>
        <w:t>.</w:t>
      </w:r>
    </w:p>
    <w:p w14:paraId="33486449" w14:textId="77777777" w:rsidR="00814218" w:rsidRDefault="00814218" w:rsidP="00814218">
      <w:pPr>
        <w:spacing w:after="0" w:line="276" w:lineRule="auto"/>
        <w:ind w:firstLine="709"/>
        <w:jc w:val="both"/>
        <w:rPr>
          <w:rFonts w:ascii="Verdana" w:eastAsia="Calibri" w:hAnsi="Verdana" w:cs="Arial"/>
        </w:rPr>
      </w:pPr>
      <w:r w:rsidRPr="007A6EE5">
        <w:rPr>
          <w:rFonts w:ascii="Verdana" w:eastAsia="Calibri" w:hAnsi="Verdana" w:cs="Arial"/>
        </w:rPr>
        <w:t>k) En ellos no son necesarias las garantías</w:t>
      </w:r>
      <w:r w:rsidRPr="007A6EE5">
        <w:rPr>
          <w:rFonts w:ascii="Verdana" w:eastAsia="Calibri" w:hAnsi="Verdana" w:cs="Arial"/>
          <w:vertAlign w:val="superscript"/>
        </w:rPr>
        <w:footnoteReference w:id="16"/>
      </w:r>
      <w:r w:rsidRPr="007A6EE5">
        <w:rPr>
          <w:rFonts w:ascii="Verdana" w:eastAsia="Calibri" w:hAnsi="Verdana" w:cs="Arial"/>
        </w:rPr>
        <w:t>.</w:t>
      </w:r>
    </w:p>
    <w:p w14:paraId="7B3C0B06" w14:textId="77777777" w:rsidR="00814218" w:rsidRPr="00361222" w:rsidRDefault="00814218" w:rsidP="00814218">
      <w:pPr>
        <w:spacing w:after="0" w:line="276" w:lineRule="auto"/>
        <w:ind w:firstLine="709"/>
        <w:jc w:val="both"/>
        <w:rPr>
          <w:rFonts w:ascii="Verdana" w:eastAsia="Calibri" w:hAnsi="Verdana" w:cs="Arial"/>
        </w:rPr>
      </w:pPr>
    </w:p>
    <w:p w14:paraId="497FE276" w14:textId="77777777" w:rsidR="00814218" w:rsidRPr="00731AD6" w:rsidRDefault="00814218" w:rsidP="00814218">
      <w:pPr>
        <w:spacing w:after="0" w:line="276" w:lineRule="auto"/>
        <w:jc w:val="both"/>
        <w:rPr>
          <w:rFonts w:ascii="Verdana" w:eastAsia="Aptos" w:hAnsi="Verdana" w:cs="Arial"/>
        </w:rPr>
      </w:pPr>
      <w:proofErr w:type="spellStart"/>
      <w:r w:rsidRPr="007B228F">
        <w:rPr>
          <w:rFonts w:ascii="Verdana" w:eastAsia="Calibri" w:hAnsi="Verdana" w:cs="Arial"/>
        </w:rPr>
        <w:t>ii</w:t>
      </w:r>
      <w:proofErr w:type="spellEnd"/>
      <w:r w:rsidRPr="007B228F">
        <w:rPr>
          <w:rFonts w:ascii="Verdana" w:eastAsia="Calibri" w:hAnsi="Verdana" w:cs="Arial"/>
        </w:rPr>
        <w:t>.</w:t>
      </w:r>
      <w:r w:rsidRPr="007B228F">
        <w:rPr>
          <w:rFonts w:ascii="Verdana" w:eastAsia="Calibri" w:hAnsi="Verdana" w:cs="Arial"/>
          <w:color w:val="EE0000"/>
        </w:rPr>
        <w:t xml:space="preserve"> </w:t>
      </w:r>
      <w:r w:rsidRPr="007B228F">
        <w:rPr>
          <w:rFonts w:ascii="Verdana" w:eastAsia="Aptos" w:hAnsi="Verdana" w:cs="Arial"/>
        </w:rPr>
        <w:t>Por otra parte, en el marco de lo dispuesto en los artículos 4, 5, 12, 14 y 26 de la Ley 80 de 1993, las Entidades Estatales tienen la obligación de velar por</w:t>
      </w:r>
      <w:r w:rsidRPr="00731AD6">
        <w:rPr>
          <w:rFonts w:ascii="Verdana" w:eastAsia="Aptos" w:hAnsi="Verdana" w:cs="Arial"/>
        </w:rPr>
        <w:t xml:space="preserve"> el correcto y oportuno cumplimiento de las prestaciones del contrato,</w:t>
      </w:r>
      <w:r w:rsidRPr="00731AD6">
        <w:rPr>
          <w:rFonts w:ascii="Aptos" w:eastAsia="Aptos" w:hAnsi="Aptos" w:cs="Arial"/>
        </w:rPr>
        <w:t xml:space="preserve"> </w:t>
      </w:r>
      <w:r w:rsidRPr="00731AD6">
        <w:rPr>
          <w:rFonts w:ascii="Verdana" w:eastAsia="Aptos" w:hAnsi="Verdana" w:cs="Arial"/>
        </w:rPr>
        <w:t xml:space="preserve">las especificaciones de los bienes, obras y servicios de este, las condiciones de calidad ofrecidas, etc. Esta obligación se predica, en principio, del jefe o representante legal de la entidad, por tener la responsabilidad de la dirección y manejo de la actividad contractual, pero también de los servidores públicos que </w:t>
      </w:r>
      <w:r w:rsidRPr="00731AD6">
        <w:rPr>
          <w:rFonts w:ascii="Verdana" w:eastAsia="Aptos" w:hAnsi="Verdana" w:cs="Arial"/>
        </w:rPr>
        <w:lastRenderedPageBreak/>
        <w:t xml:space="preserve">intervienen en ella. En ese sentido, las Entidades Estatales deben ejercer el control de la ejecución del contrato y, de ser el caso, tomar medidas para exigir su adecuado cumplimiento. </w:t>
      </w:r>
    </w:p>
    <w:p w14:paraId="4A1F9751" w14:textId="77777777" w:rsidR="00814218" w:rsidRPr="00731AD6" w:rsidRDefault="00814218" w:rsidP="00814218">
      <w:pPr>
        <w:spacing w:before="120" w:after="0" w:line="276" w:lineRule="auto"/>
        <w:ind w:firstLine="709"/>
        <w:jc w:val="both"/>
        <w:rPr>
          <w:rFonts w:ascii="Verdana" w:eastAsia="Aptos" w:hAnsi="Verdana" w:cs="Arial"/>
          <w:lang w:val="es-ES_tradnl" w:eastAsia="es-MX"/>
        </w:rPr>
      </w:pPr>
      <w:r w:rsidRPr="00731AD6">
        <w:rPr>
          <w:rFonts w:ascii="Verdana" w:eastAsia="Aptos" w:hAnsi="Verdana" w:cs="Arial"/>
        </w:rPr>
        <w:t>En ese sentido, las Leyes 1150 de 2007 y 1474 de 2011, complementan el régimen jurídico de la obligación de vigilar la correcta ejecución de los contratos estatales. En dichas normas se impone el debido proceso como principio rector en materia sancionatoria contractual, entre otros, para la imposición de multas y la decisión de hacer efectiva la cláusula penal, principio que se debe respetar en el ejercicio del control y vigilancia de la ejecución contractual</w:t>
      </w:r>
      <w:r w:rsidRPr="00731AD6">
        <w:rPr>
          <w:rFonts w:ascii="Verdana" w:eastAsia="Aptos" w:hAnsi="Verdana" w:cs="Arial"/>
          <w:vertAlign w:val="superscript"/>
          <w:lang w:val="es-ES_tradnl" w:eastAsia="es-MX"/>
        </w:rPr>
        <w:footnoteReference w:id="17"/>
      </w:r>
      <w:r w:rsidRPr="00731AD6">
        <w:rPr>
          <w:rFonts w:ascii="Verdana" w:eastAsia="Aptos" w:hAnsi="Verdana" w:cs="Arial"/>
          <w:lang w:val="es-ES_tradnl" w:eastAsia="es-MX"/>
        </w:rPr>
        <w:t>.</w:t>
      </w:r>
      <w:r w:rsidRPr="00731AD6">
        <w:rPr>
          <w:rFonts w:ascii="Verdana" w:eastAsia="Aptos" w:hAnsi="Verdana" w:cs="Arial"/>
        </w:rPr>
        <w:t xml:space="preserve"> También se establecen los límites de la responsabilidad del representante legal ante la delegación de sus funciones en materia contractual</w:t>
      </w:r>
      <w:r w:rsidRPr="00731AD6">
        <w:rPr>
          <w:rFonts w:ascii="Verdana" w:eastAsia="Aptos" w:hAnsi="Verdana" w:cs="Arial"/>
          <w:vertAlign w:val="superscript"/>
          <w:lang w:val="es-ES_tradnl" w:eastAsia="es-MX"/>
        </w:rPr>
        <w:footnoteReference w:id="18"/>
      </w:r>
      <w:r w:rsidRPr="00731AD6">
        <w:rPr>
          <w:rFonts w:ascii="Verdana" w:eastAsia="Aptos" w:hAnsi="Verdana" w:cs="Arial"/>
        </w:rPr>
        <w:t xml:space="preserve"> </w:t>
      </w:r>
      <w:r w:rsidRPr="00731AD6">
        <w:rPr>
          <w:rFonts w:ascii="Verdana" w:eastAsia="Aptos" w:hAnsi="Verdana" w:cs="Arial"/>
          <w:lang w:val="es-ES_tradnl" w:eastAsia="es-MX"/>
        </w:rPr>
        <w:t>y se regula la supervisión y la interventoría de los contratos estatales</w:t>
      </w:r>
      <w:r w:rsidRPr="00731AD6">
        <w:rPr>
          <w:rFonts w:ascii="Verdana" w:eastAsia="Aptos" w:hAnsi="Verdana" w:cs="Arial"/>
          <w:vertAlign w:val="superscript"/>
          <w:lang w:val="es-ES_tradnl" w:eastAsia="es-MX"/>
        </w:rPr>
        <w:footnoteReference w:id="19"/>
      </w:r>
      <w:r w:rsidRPr="00731AD6">
        <w:rPr>
          <w:rFonts w:ascii="Verdana" w:eastAsia="Aptos" w:hAnsi="Verdana" w:cs="Arial"/>
          <w:lang w:val="es-ES_tradnl" w:eastAsia="es-MX"/>
        </w:rPr>
        <w:t>.</w:t>
      </w:r>
    </w:p>
    <w:p w14:paraId="38FCDF16" w14:textId="77777777" w:rsidR="00814218" w:rsidRPr="00731AD6" w:rsidRDefault="00814218" w:rsidP="00814218">
      <w:pPr>
        <w:spacing w:before="120" w:after="0" w:line="276" w:lineRule="auto"/>
        <w:ind w:firstLine="708"/>
        <w:jc w:val="both"/>
        <w:textAlignment w:val="baseline"/>
        <w:rPr>
          <w:rFonts w:ascii="Verdana" w:eastAsia="Aptos" w:hAnsi="Verdana" w:cs="Arial"/>
          <w:lang w:val="es-ES_tradnl" w:eastAsia="es-MX"/>
        </w:rPr>
      </w:pPr>
      <w:r w:rsidRPr="00731AD6">
        <w:rPr>
          <w:rFonts w:ascii="Verdana" w:eastAsia="Aptos" w:hAnsi="Verdana" w:cs="Arial"/>
        </w:rPr>
        <w:t xml:space="preserve">En consecuencia, </w:t>
      </w:r>
      <w:r w:rsidRPr="00731AD6">
        <w:rPr>
          <w:rFonts w:ascii="Verdana" w:eastAsia="Aptos" w:hAnsi="Verdana" w:cs="Arial"/>
          <w:lang w:val="es-ES_tradnl" w:eastAsia="es-MX"/>
        </w:rPr>
        <w:t xml:space="preserve">se tiene que, la jurisprudencia contencioso-administrativa, por su parte, ha considerado que la obligación de vigilar la correcta ejecución del objeto contractual es una función de la entidad contratante, en los siguientes términos: </w:t>
      </w:r>
    </w:p>
    <w:p w14:paraId="58070E9B" w14:textId="77777777" w:rsidR="00814218" w:rsidRPr="00731AD6" w:rsidRDefault="00814218" w:rsidP="00814218">
      <w:pPr>
        <w:spacing w:after="0"/>
        <w:ind w:left="709" w:rightChars="125" w:right="275"/>
        <w:contextualSpacing/>
        <w:jc w:val="both"/>
        <w:rPr>
          <w:rFonts w:ascii="Verdana" w:eastAsia="Aptos" w:hAnsi="Verdana" w:cs="Arial"/>
          <w:lang w:val="es-ES_tradnl" w:eastAsia="es-MX"/>
        </w:rPr>
      </w:pPr>
    </w:p>
    <w:p w14:paraId="21C83251" w14:textId="77777777" w:rsidR="00814218" w:rsidRPr="00731AD6" w:rsidRDefault="00814218" w:rsidP="00814218">
      <w:pPr>
        <w:spacing w:after="0" w:line="240" w:lineRule="auto"/>
        <w:ind w:left="709" w:right="709"/>
        <w:contextualSpacing/>
        <w:jc w:val="both"/>
        <w:rPr>
          <w:rFonts w:ascii="Verdana" w:eastAsia="Aptos" w:hAnsi="Verdana" w:cs="Arial"/>
          <w:sz w:val="20"/>
          <w:szCs w:val="20"/>
          <w:lang w:val="es-ES_tradnl" w:eastAsia="es-MX"/>
        </w:rPr>
      </w:pPr>
      <w:bookmarkStart w:id="4" w:name="_Hlk178671999"/>
      <w:r w:rsidRPr="00731AD6">
        <w:rPr>
          <w:rFonts w:ascii="Verdana" w:eastAsia="Aptos" w:hAnsi="Verdana" w:cs="Arial"/>
          <w:sz w:val="20"/>
          <w:szCs w:val="20"/>
          <w:lang w:val="es-ES_tradnl" w:eastAsia="es-MX"/>
        </w:rPr>
        <w:t>“La función de vigilancia y control del contrato estatal supone el cuidado y la supervisión, de forma tal que en ejercicio de esa función</w:t>
      </w:r>
      <w:bookmarkEnd w:id="4"/>
      <w:r w:rsidRPr="00731AD6">
        <w:rPr>
          <w:rFonts w:ascii="Verdana" w:eastAsia="Aptos" w:hAnsi="Verdana" w:cs="Arial"/>
          <w:sz w:val="20"/>
          <w:szCs w:val="20"/>
          <w:lang w:val="es-ES_tradnl" w:eastAsia="es-MX"/>
        </w:rPr>
        <w:t>, quien administra la adecuada y oportuna ejecución del contrato no sólo debe velar por que las partes den cumplimiento a las obligaciones contractuales, sino que el contrato se ejecute en el tiempo y la forma convenidos, para esta forma garantizar la satisfacción de las necesidades que la administración buscaba alcanzar con la celebración del respectivo contrato”</w:t>
      </w:r>
      <w:r w:rsidRPr="00731AD6">
        <w:rPr>
          <w:rFonts w:ascii="Verdana" w:eastAsia="Aptos" w:hAnsi="Verdana" w:cs="Arial"/>
          <w:sz w:val="20"/>
          <w:szCs w:val="20"/>
          <w:vertAlign w:val="superscript"/>
          <w:lang w:val="es-ES_tradnl" w:eastAsia="es-MX"/>
        </w:rPr>
        <w:footnoteReference w:id="20"/>
      </w:r>
      <w:r w:rsidRPr="00731AD6">
        <w:rPr>
          <w:rFonts w:ascii="Verdana" w:eastAsia="Aptos" w:hAnsi="Verdana" w:cs="Arial"/>
          <w:sz w:val="20"/>
          <w:szCs w:val="20"/>
          <w:lang w:val="es-ES_tradnl" w:eastAsia="es-MX"/>
        </w:rPr>
        <w:t>.</w:t>
      </w:r>
    </w:p>
    <w:p w14:paraId="183F1762" w14:textId="77777777" w:rsidR="00814218" w:rsidRPr="00731AD6" w:rsidRDefault="00814218" w:rsidP="00814218">
      <w:pPr>
        <w:spacing w:after="0" w:line="276" w:lineRule="auto"/>
        <w:ind w:firstLine="708"/>
        <w:jc w:val="both"/>
        <w:rPr>
          <w:rFonts w:ascii="Verdana" w:eastAsia="Aptos" w:hAnsi="Verdana" w:cs="Arial"/>
        </w:rPr>
      </w:pPr>
    </w:p>
    <w:p w14:paraId="4770C8CB" w14:textId="77777777" w:rsidR="00814218" w:rsidRDefault="00814218" w:rsidP="001A52E0">
      <w:pPr>
        <w:spacing w:after="0" w:line="276" w:lineRule="auto"/>
        <w:ind w:firstLine="708"/>
        <w:jc w:val="both"/>
        <w:rPr>
          <w:rFonts w:ascii="Verdana" w:eastAsia="Aptos" w:hAnsi="Verdana" w:cs="Arial"/>
          <w:lang w:eastAsia="es-MX"/>
        </w:rPr>
      </w:pPr>
      <w:r w:rsidRPr="00731AD6">
        <w:rPr>
          <w:rFonts w:ascii="Verdana" w:eastAsia="Aptos" w:hAnsi="Verdana" w:cs="Arial"/>
        </w:rPr>
        <w:t xml:space="preserve">De esta forma, </w:t>
      </w:r>
      <w:r w:rsidRPr="00731AD6">
        <w:rPr>
          <w:rFonts w:ascii="Verdana" w:eastAsia="Aptos" w:hAnsi="Verdana" w:cs="Arial"/>
          <w:lang w:eastAsia="es-MX"/>
        </w:rPr>
        <w:t xml:space="preserve">la Ley 1474 de 2011 enmarcó el seguimiento, control y vigilancia de la ejecución del contrato estatal dentro del principio de moralidad administrativa. El artículo 83 de la referida ley, establece que “con el fin de proteger la moralidad administrativa, de prevenir la ocurrencia de actos de corrupción y tutelar la transparencia de la actividad contractual, las entidades públicas están obligadas a vigilar permanentemente la correcta ejecución del </w:t>
      </w:r>
      <w:r w:rsidRPr="00731AD6">
        <w:rPr>
          <w:rFonts w:ascii="Verdana" w:eastAsia="Aptos" w:hAnsi="Verdana" w:cs="Arial"/>
          <w:lang w:eastAsia="es-MX"/>
        </w:rPr>
        <w:lastRenderedPageBreak/>
        <w:t>objeto contratado a través de un supervisor o un interventor, según corresponda”.</w:t>
      </w:r>
    </w:p>
    <w:p w14:paraId="4CD3E472" w14:textId="77777777" w:rsidR="00814218" w:rsidRDefault="00814218" w:rsidP="00814218">
      <w:pPr>
        <w:spacing w:after="0" w:line="276" w:lineRule="auto"/>
        <w:jc w:val="both"/>
        <w:rPr>
          <w:rFonts w:ascii="Verdana" w:eastAsia="Calibri" w:hAnsi="Verdana" w:cs="Arial"/>
          <w:color w:val="EE0000"/>
        </w:rPr>
      </w:pPr>
    </w:p>
    <w:p w14:paraId="77EFB4F0" w14:textId="0EEA80DE" w:rsidR="00814218" w:rsidRPr="00683384" w:rsidRDefault="00814218" w:rsidP="00814218">
      <w:pPr>
        <w:spacing w:after="120" w:line="276" w:lineRule="auto"/>
        <w:jc w:val="both"/>
        <w:rPr>
          <w:rFonts w:ascii="Verdana" w:eastAsia="Calibri" w:hAnsi="Verdana" w:cs="Arial"/>
          <w:color w:val="EE0000"/>
        </w:rPr>
      </w:pPr>
      <w:proofErr w:type="spellStart"/>
      <w:r w:rsidRPr="007B228F">
        <w:rPr>
          <w:rFonts w:ascii="Verdana" w:eastAsia="Calibri" w:hAnsi="Verdana" w:cs="Arial"/>
        </w:rPr>
        <w:t>iii</w:t>
      </w:r>
      <w:proofErr w:type="spellEnd"/>
      <w:r w:rsidRPr="007B228F">
        <w:rPr>
          <w:rFonts w:ascii="Verdana" w:eastAsia="Calibri" w:hAnsi="Verdana" w:cs="Arial"/>
        </w:rPr>
        <w:t xml:space="preserve">. Ahora bien, </w:t>
      </w:r>
      <w:r w:rsidRPr="007B228F">
        <w:rPr>
          <w:rFonts w:ascii="Verdana" w:eastAsia="Arial" w:hAnsi="Verdana" w:cs="Arial"/>
          <w:iCs/>
          <w:lang w:val="es-ES"/>
        </w:rPr>
        <w:t>e</w:t>
      </w:r>
      <w:r w:rsidRPr="00DD350F">
        <w:rPr>
          <w:rFonts w:ascii="Verdana" w:eastAsia="Arial" w:hAnsi="Verdana" w:cs="Arial"/>
          <w:iCs/>
          <w:lang w:val="es-ES"/>
        </w:rPr>
        <w:t xml:space="preserve">n relación </w:t>
      </w:r>
      <w:r w:rsidR="00E85901">
        <w:rPr>
          <w:rFonts w:ascii="Verdana" w:eastAsia="Arial" w:hAnsi="Verdana" w:cs="Arial"/>
          <w:iCs/>
          <w:lang w:val="es-ES"/>
        </w:rPr>
        <w:t xml:space="preserve">con </w:t>
      </w:r>
      <w:r w:rsidR="009404F0">
        <w:rPr>
          <w:rFonts w:ascii="Verdana" w:eastAsia="Arial" w:hAnsi="Verdana" w:cs="Arial"/>
          <w:iCs/>
          <w:lang w:val="es-ES"/>
        </w:rPr>
        <w:t>su pregunta sobre la ejecución de las obligaciones y el periodo en que cada una se deb</w:t>
      </w:r>
      <w:r w:rsidR="00743DF5">
        <w:rPr>
          <w:rFonts w:ascii="Verdana" w:eastAsia="Arial" w:hAnsi="Verdana" w:cs="Arial"/>
          <w:iCs/>
          <w:lang w:val="es-ES"/>
        </w:rPr>
        <w:t>e</w:t>
      </w:r>
      <w:r w:rsidR="009404F0">
        <w:rPr>
          <w:rFonts w:ascii="Verdana" w:eastAsia="Arial" w:hAnsi="Verdana" w:cs="Arial"/>
          <w:iCs/>
          <w:lang w:val="es-ES"/>
        </w:rPr>
        <w:t xml:space="preserve"> ejecutar</w:t>
      </w:r>
      <w:r w:rsidRPr="00DD350F">
        <w:rPr>
          <w:rFonts w:ascii="Verdana" w:eastAsia="Arial" w:hAnsi="Verdana" w:cs="Arial"/>
          <w:iCs/>
          <w:lang w:val="es-ES"/>
        </w:rPr>
        <w:t xml:space="preserve">, </w:t>
      </w:r>
      <w:r w:rsidRPr="00DD350F">
        <w:rPr>
          <w:rFonts w:ascii="Verdana" w:eastAsia="Calibri" w:hAnsi="Verdana" w:cs="Arial"/>
          <w:bCs/>
          <w:color w:val="000000"/>
          <w:kern w:val="2"/>
          <w14:ligatures w14:val="standardContextual"/>
        </w:rPr>
        <w:t xml:space="preserve">es pertinente precisar que no existe en el Sistema de Compra y Contratación Pública una disposición </w:t>
      </w:r>
      <w:r>
        <w:rPr>
          <w:rFonts w:ascii="Verdana" w:eastAsia="Calibri" w:hAnsi="Verdana" w:cs="Arial"/>
          <w:bCs/>
          <w:color w:val="000000"/>
          <w:kern w:val="2"/>
          <w14:ligatures w14:val="standardContextual"/>
        </w:rPr>
        <w:t>normativa que lo indique</w:t>
      </w:r>
      <w:r w:rsidRPr="00DD350F">
        <w:rPr>
          <w:rFonts w:ascii="Verdana" w:eastAsia="Calibri" w:hAnsi="Verdana" w:cs="Arial"/>
          <w:bCs/>
          <w:color w:val="000000"/>
          <w:kern w:val="2"/>
          <w14:ligatures w14:val="standardContextual"/>
        </w:rPr>
        <w:t xml:space="preserve">, pues en virtud del principio de autonomía de la voluntad, las partes pueden determinar el contenido de los contratos estatales e incluir las condiciones, cláusulas o estipulaciones que consideren necesarias para desarrollar el objeto contractual, </w:t>
      </w:r>
      <w:r>
        <w:rPr>
          <w:rFonts w:ascii="Verdana" w:eastAsia="Calibri" w:hAnsi="Verdana" w:cs="Arial"/>
          <w:bCs/>
          <w:color w:val="000000"/>
          <w:kern w:val="2"/>
          <w14:ligatures w14:val="standardContextual"/>
        </w:rPr>
        <w:t xml:space="preserve">la forma de ejecución, los documentos necesarios para cancelar los honorarios, entre otros aspectos, siempre en consideración de lo que arroja la etapa de planeación a través de los documentos previos. </w:t>
      </w:r>
    </w:p>
    <w:p w14:paraId="41FD5EFD" w14:textId="77777777" w:rsidR="00814218" w:rsidRPr="00F31A35" w:rsidRDefault="00814218" w:rsidP="00814218">
      <w:pPr>
        <w:spacing w:after="120" w:line="276" w:lineRule="auto"/>
        <w:ind w:firstLine="709"/>
        <w:jc w:val="both"/>
        <w:rPr>
          <w:rFonts w:ascii="Verdana" w:eastAsia="Calibri" w:hAnsi="Verdana" w:cs="Arial"/>
          <w:bCs/>
          <w:color w:val="000000"/>
          <w:kern w:val="2"/>
          <w14:ligatures w14:val="standardContextual"/>
        </w:rPr>
      </w:pPr>
      <w:r w:rsidRPr="00F31A35">
        <w:rPr>
          <w:rFonts w:ascii="Verdana" w:eastAsia="Calibri" w:hAnsi="Verdana" w:cs="Arial"/>
          <w:bCs/>
          <w:color w:val="000000"/>
          <w:kern w:val="2"/>
          <w14:ligatures w14:val="standardContextual"/>
        </w:rPr>
        <w:t>Los entes estatales durante la etapa de planeación, tienen el deber de realizar el análisis del sector y justificar la modalidad de contratación en los documentos del proceso, que para el caso de los procesos que impliquen una contratación directa y en lo concerniente a los contratos de prestación de servicios profesionales, de apoyo a la gestión y de trabajos artísticos, se constata en los estudios y documentos previos, los cuales deben indicar, entre otras, las condiciones mínimas exigidas para suplir la necesidad de la entidad así como los requisitos que debe acreditar el futuro contratista para el cumplimiento del objeto contractual.</w:t>
      </w:r>
    </w:p>
    <w:p w14:paraId="3031D6DE" w14:textId="6C7230CC" w:rsidR="00814218" w:rsidRDefault="00814218" w:rsidP="00814218">
      <w:pPr>
        <w:spacing w:after="120" w:line="276" w:lineRule="auto"/>
        <w:ind w:firstLine="709"/>
        <w:jc w:val="both"/>
        <w:rPr>
          <w:rFonts w:ascii="Verdana" w:eastAsia="Calibri" w:hAnsi="Verdana" w:cs="Arial"/>
          <w:bCs/>
          <w:color w:val="000000"/>
          <w:kern w:val="2"/>
          <w14:ligatures w14:val="standardContextual"/>
        </w:rPr>
      </w:pPr>
      <w:r w:rsidRPr="00F31A35">
        <w:rPr>
          <w:rFonts w:ascii="Verdana" w:eastAsia="Calibri" w:hAnsi="Verdana" w:cs="Arial"/>
          <w:bCs/>
          <w:color w:val="000000"/>
          <w:kern w:val="2"/>
          <w14:ligatures w14:val="standardContextual"/>
        </w:rPr>
        <w:t>Lo anterior, en razón a que, el EGCAP contiene disposiciones que exigen a las Entidades Estatales del deber de realizar planeación en la etapa precontractual, para que los Procesos de Contratación satisfagan las necesidades de la Administración, cumplan sus fines, logren la continua y eficiente prestación de los servicios y permitan la efectividad de los derechos e intereses de los administrados que colaborar</w:t>
      </w:r>
      <w:r w:rsidR="00A91787">
        <w:rPr>
          <w:rFonts w:ascii="Verdana" w:eastAsia="Calibri" w:hAnsi="Verdana" w:cs="Arial"/>
          <w:bCs/>
          <w:color w:val="000000"/>
          <w:kern w:val="2"/>
          <w14:ligatures w14:val="standardContextual"/>
        </w:rPr>
        <w:t>á</w:t>
      </w:r>
      <w:r w:rsidRPr="00F31A35">
        <w:rPr>
          <w:rFonts w:ascii="Verdana" w:eastAsia="Calibri" w:hAnsi="Verdana" w:cs="Arial"/>
          <w:bCs/>
          <w:color w:val="000000"/>
          <w:kern w:val="2"/>
          <w14:ligatures w14:val="standardContextual"/>
        </w:rPr>
        <w:t xml:space="preserve">n en la consecución. </w:t>
      </w:r>
    </w:p>
    <w:p w14:paraId="030CDD04" w14:textId="77777777" w:rsidR="00814218" w:rsidRDefault="00814218" w:rsidP="00814218">
      <w:pPr>
        <w:spacing w:after="120" w:line="276" w:lineRule="auto"/>
        <w:ind w:firstLine="709"/>
        <w:jc w:val="both"/>
        <w:rPr>
          <w:rFonts w:ascii="Verdana" w:hAnsi="Verdana" w:cs="Arial"/>
        </w:rPr>
      </w:pPr>
      <w:r w:rsidRPr="00F31A35">
        <w:rPr>
          <w:rFonts w:ascii="Verdana" w:hAnsi="Verdana" w:cs="Arial"/>
        </w:rPr>
        <w:t xml:space="preserve">Ahora bien, pese a que la normativa en materia de contratación estatal establece la obligatoriedad de realizar el análisis necesario para conocer el sector relativo al objeto del Proceso de Contratación, no determinan un procedimiento específico para efectuar dicho </w:t>
      </w:r>
      <w:r>
        <w:rPr>
          <w:rFonts w:ascii="Verdana" w:hAnsi="Verdana" w:cs="Arial"/>
        </w:rPr>
        <w:t>estudio,</w:t>
      </w:r>
      <w:r w:rsidRPr="00F31A35">
        <w:rPr>
          <w:rFonts w:ascii="Verdana" w:hAnsi="Verdana" w:cs="Arial"/>
        </w:rPr>
        <w:t xml:space="preserve"> por lo que las entidades son autónomas para estructurarlo, para lo cual deberán cumplir lo dispuesto en el artículo 2.2.1.1.1.6.1 del Decreto 1082 de 2015 y realizar un análisis integral de </w:t>
      </w:r>
      <w:r w:rsidRPr="00F31A35">
        <w:rPr>
          <w:rFonts w:ascii="Verdana" w:hAnsi="Verdana" w:cs="Arial"/>
        </w:rPr>
        <w:lastRenderedPageBreak/>
        <w:t xml:space="preserve">planeación que sirva de sustento a la decisión de realizar un Proceso de Contratación. </w:t>
      </w:r>
    </w:p>
    <w:p w14:paraId="1F87982E" w14:textId="77777777" w:rsidR="00814218" w:rsidRDefault="00814218" w:rsidP="00814218">
      <w:pPr>
        <w:spacing w:after="120" w:line="276" w:lineRule="auto"/>
        <w:ind w:firstLine="709"/>
        <w:jc w:val="both"/>
        <w:rPr>
          <w:rFonts w:ascii="Verdana" w:hAnsi="Verdana" w:cs="Arial"/>
        </w:rPr>
      </w:pPr>
      <w:r w:rsidRPr="00F31A35">
        <w:rPr>
          <w:rFonts w:ascii="Verdana" w:hAnsi="Verdana" w:cs="Arial"/>
        </w:rPr>
        <w:t>En línea con lo anterior, la Agencia Nacional de Contratación Pública – Colombia Compra Eficiente elaboró la “Guía para la Elaboración de Estudios del Sector”</w:t>
      </w:r>
      <w:r w:rsidRPr="00F31A35">
        <w:rPr>
          <w:rStyle w:val="Refdenotaalpie"/>
          <w:rFonts w:ascii="Verdana" w:hAnsi="Verdana" w:cs="Arial"/>
        </w:rPr>
        <w:footnoteReference w:id="21"/>
      </w:r>
      <w:r w:rsidRPr="00F31A35">
        <w:rPr>
          <w:rFonts w:ascii="Verdana" w:hAnsi="Verdana" w:cs="Arial"/>
        </w:rPr>
        <w:t>, instrumento que sirve de apoyo para entender el mercado del bien, obra o servicio que la Entidad Estatal pretende adquirir para diseñar el Proceso de Contratación con la información necesaria para alcanzar los objetivos de eficacia, eficiencia, economía, promoción de la competencia y manejo del riesgo. Esta Guía es un insumo para realizar el estudio del sector relativo al Proceso de Contratación, ya que comprende pautas sobre los aspectos generales del mercado, el análisis de la demanda y de la oferta y constituye un instrumento de orientación, por lo que –al carecer de fuerza vinculante– su aplicación no exime a las entidades de acatar las normas vigentes. De este modo, la Guía contiene recomendaciones generales por lo que no debe aplicarse de manera mecánica, pues la profundidad del estudio del sector depende de la complejidad y particularidades de cada Proceso de Contratación.</w:t>
      </w:r>
    </w:p>
    <w:p w14:paraId="2FE5D942" w14:textId="77777777" w:rsidR="00814218" w:rsidRPr="00F252D7" w:rsidRDefault="00814218" w:rsidP="00814218">
      <w:pPr>
        <w:spacing w:after="120" w:line="276" w:lineRule="auto"/>
        <w:ind w:firstLine="708"/>
        <w:contextualSpacing/>
        <w:jc w:val="both"/>
        <w:rPr>
          <w:rFonts w:ascii="Verdana" w:eastAsia="Calibri" w:hAnsi="Verdana" w:cs="Arial"/>
          <w:szCs w:val="24"/>
          <w:lang w:val="es-ES" w:eastAsia="es-ES_tradnl"/>
        </w:rPr>
      </w:pPr>
      <w:r w:rsidRPr="00F252D7">
        <w:rPr>
          <w:rFonts w:ascii="Verdana" w:eastAsia="Calibri" w:hAnsi="Verdana" w:cs="Arial"/>
          <w:bCs/>
          <w:lang w:val="es-ES_tradnl" w:eastAsia="es-MX"/>
        </w:rPr>
        <w:t xml:space="preserve">En este instrumento se recomienda, particularmente para la contratación directa y los contratos de prestación de servicios que: </w:t>
      </w:r>
    </w:p>
    <w:p w14:paraId="1FCC7A77" w14:textId="77777777" w:rsidR="00814218" w:rsidRPr="00F252D7" w:rsidRDefault="00814218" w:rsidP="00814218">
      <w:pPr>
        <w:ind w:left="720"/>
        <w:contextualSpacing/>
        <w:rPr>
          <w:rFonts w:ascii="Verdana" w:eastAsia="Calibri" w:hAnsi="Verdana" w:cs="Arial"/>
          <w:szCs w:val="24"/>
          <w:lang w:val="es-ES" w:eastAsia="es-ES_tradnl"/>
        </w:rPr>
      </w:pPr>
    </w:p>
    <w:p w14:paraId="0282F7A2" w14:textId="77777777" w:rsidR="00814218" w:rsidRPr="006B27A4" w:rsidRDefault="00814218" w:rsidP="00814218">
      <w:pPr>
        <w:spacing w:after="0" w:line="240" w:lineRule="auto"/>
        <w:ind w:left="709" w:right="709"/>
        <w:jc w:val="both"/>
        <w:rPr>
          <w:rFonts w:ascii="Verdana" w:eastAsia="Times New Roman" w:hAnsi="Verdana" w:cs="Arial"/>
          <w:sz w:val="20"/>
          <w:szCs w:val="20"/>
          <w:lang w:val="es-MX" w:eastAsia="es-ES_tradnl"/>
        </w:rPr>
      </w:pPr>
      <w:r w:rsidRPr="006B27A4">
        <w:rPr>
          <w:rFonts w:ascii="Verdana" w:eastAsia="Times New Roman" w:hAnsi="Verdana" w:cs="Arial"/>
          <w:sz w:val="20"/>
          <w:szCs w:val="20"/>
          <w:lang w:val="es-ES" w:eastAsia="es-ES_tradnl"/>
        </w:rPr>
        <w:t>“</w:t>
      </w:r>
      <w:r w:rsidRPr="006B27A4">
        <w:rPr>
          <w:rFonts w:ascii="Verdana" w:eastAsia="Times New Roman" w:hAnsi="Verdana" w:cs="Arial"/>
          <w:sz w:val="20"/>
          <w:szCs w:val="20"/>
          <w:lang w:val="es-MX" w:eastAsia="es-ES_tradnl"/>
        </w:rPr>
        <w:t>en la contratación directa, el estudio del sector debe tener en cuenta el objeto del proceso de contratación, particularmente las condiciones del contrato, como los plazos y formas de entrega y de pago. El estudio del sector debe permitir a la Entidad Estatal sustentar su decisión de hacer una contratación directa, la elección del proveedor y la forma en que se pacta el contrato desde el punto de vista de la eficiencia, eficacia y economía.</w:t>
      </w:r>
    </w:p>
    <w:p w14:paraId="7562B181" w14:textId="77777777" w:rsidR="00814218" w:rsidRPr="006B27A4" w:rsidRDefault="00814218" w:rsidP="00814218">
      <w:pPr>
        <w:spacing w:after="0" w:line="240" w:lineRule="auto"/>
        <w:ind w:left="709" w:right="709"/>
        <w:jc w:val="both"/>
        <w:rPr>
          <w:rFonts w:ascii="Verdana" w:eastAsia="Times New Roman" w:hAnsi="Verdana" w:cs="Arial"/>
          <w:sz w:val="20"/>
          <w:szCs w:val="20"/>
          <w:lang w:val="es-MX" w:eastAsia="es-ES_tradnl"/>
        </w:rPr>
      </w:pPr>
    </w:p>
    <w:p w14:paraId="66408FC9" w14:textId="77777777" w:rsidR="00814218" w:rsidRDefault="00814218" w:rsidP="00814218">
      <w:pPr>
        <w:spacing w:after="0" w:line="240" w:lineRule="auto"/>
        <w:ind w:left="709" w:right="709"/>
        <w:jc w:val="both"/>
        <w:rPr>
          <w:rFonts w:ascii="Verdana" w:eastAsia="Times New Roman" w:hAnsi="Verdana" w:cs="Arial"/>
          <w:sz w:val="20"/>
          <w:szCs w:val="20"/>
          <w:lang w:val="es-MX" w:eastAsia="es-ES_tradnl"/>
        </w:rPr>
      </w:pPr>
      <w:r w:rsidRPr="006B27A4">
        <w:rPr>
          <w:rFonts w:ascii="Verdana" w:eastAsia="Times New Roman" w:hAnsi="Verdana" w:cs="Arial"/>
          <w:sz w:val="20"/>
          <w:szCs w:val="20"/>
          <w:lang w:val="es-MX" w:eastAsia="es-ES_tradnl"/>
        </w:rPr>
        <w:t xml:space="preserve">La entidad debe consignar en los Documentos del Proceso, bien sea en los estudios previos o en la información de soporte de estos, los aspectos de que trata el artículo 2.2.1.1.1.6.1 del Decreto 1082 de 2015, esto es, el análisis desde la perspectiva legal, comercial, financiera, organizacional, técnica y de análisis de riesgo. En un contrato de prestación de servicios profesionales, el estudio del sector depende del objeto del contrato y de las condiciones de idoneidad y/o experiencia que llevan a contratar a la persona natural o jurídica que está en condiciones de desarrollar dicho objeto. Por ejemplo, si se trata de la contratación de un abogado para llevar un proceso judicial, la Entidad debe analizar la necesidad de </w:t>
      </w:r>
      <w:r w:rsidRPr="006B27A4">
        <w:rPr>
          <w:rFonts w:ascii="Verdana" w:eastAsia="Times New Roman" w:hAnsi="Verdana" w:cs="Arial"/>
          <w:sz w:val="20"/>
          <w:szCs w:val="20"/>
          <w:lang w:val="es-MX" w:eastAsia="es-ES_tradnl"/>
        </w:rPr>
        <w:lastRenderedPageBreak/>
        <w:t>contratar el servicio, de forma esencialmente temporal y las condiciones de los Procesos de Contratación que ha adelantado en el pasado para contratar este tipo de servicios, teniendo en cuenta plazos valor y forma de pago”</w:t>
      </w:r>
      <w:r w:rsidRPr="006B27A4">
        <w:rPr>
          <w:rFonts w:ascii="Verdana" w:eastAsia="Times New Roman" w:hAnsi="Verdana" w:cs="Arial"/>
          <w:sz w:val="20"/>
          <w:szCs w:val="20"/>
          <w:vertAlign w:val="superscript"/>
          <w:lang w:val="es-MX" w:eastAsia="es-ES_tradnl"/>
        </w:rPr>
        <w:footnoteReference w:id="22"/>
      </w:r>
      <w:r w:rsidRPr="006B27A4">
        <w:rPr>
          <w:rFonts w:ascii="Verdana" w:eastAsia="Times New Roman" w:hAnsi="Verdana" w:cs="Arial"/>
          <w:sz w:val="20"/>
          <w:szCs w:val="20"/>
          <w:lang w:val="es-MX" w:eastAsia="es-ES_tradnl"/>
        </w:rPr>
        <w:t>.</w:t>
      </w:r>
    </w:p>
    <w:p w14:paraId="55D8EE68" w14:textId="77777777" w:rsidR="00814218" w:rsidRPr="002D6661" w:rsidRDefault="00814218" w:rsidP="00814218">
      <w:pPr>
        <w:spacing w:after="0" w:line="276" w:lineRule="auto"/>
        <w:ind w:left="709" w:right="709"/>
        <w:jc w:val="both"/>
        <w:rPr>
          <w:rFonts w:ascii="Verdana" w:eastAsia="Times New Roman" w:hAnsi="Verdana" w:cs="Arial"/>
          <w:lang w:val="es-MX" w:eastAsia="es-ES_tradnl"/>
        </w:rPr>
      </w:pPr>
    </w:p>
    <w:p w14:paraId="7E3EE431" w14:textId="77777777" w:rsidR="00814218" w:rsidRPr="0088158A" w:rsidRDefault="00814218" w:rsidP="00814218">
      <w:pPr>
        <w:spacing w:after="0" w:line="276" w:lineRule="auto"/>
        <w:ind w:firstLine="709"/>
        <w:jc w:val="both"/>
        <w:rPr>
          <w:rFonts w:ascii="Verdana" w:eastAsia="Calibri" w:hAnsi="Verdana" w:cs="Arial"/>
          <w:bCs/>
          <w:color w:val="000000"/>
          <w:kern w:val="2"/>
          <w14:ligatures w14:val="standardContextual"/>
        </w:rPr>
      </w:pPr>
      <w:r w:rsidRPr="00F31A35">
        <w:rPr>
          <w:rFonts w:ascii="Verdana" w:eastAsia="Calibri" w:hAnsi="Verdana" w:cs="Arial"/>
          <w:bCs/>
          <w:color w:val="000000"/>
          <w:kern w:val="2"/>
          <w14:ligatures w14:val="standardContextual"/>
        </w:rPr>
        <w:t xml:space="preserve">En ese sentido, las Entidades Públicas </w:t>
      </w:r>
      <w:r>
        <w:rPr>
          <w:rFonts w:ascii="Verdana" w:eastAsia="Calibri" w:hAnsi="Verdana" w:cs="Arial"/>
          <w:bCs/>
          <w:color w:val="000000"/>
          <w:kern w:val="2"/>
          <w14:ligatures w14:val="standardContextual"/>
        </w:rPr>
        <w:t xml:space="preserve">desde los estudios previos definirán las condiciones del contrato de prestación de servicios a celebrar, plasmado en la minuta del contrato </w:t>
      </w:r>
      <w:r w:rsidRPr="00F31A35">
        <w:rPr>
          <w:rFonts w:ascii="Verdana" w:eastAsia="Calibri" w:hAnsi="Verdana" w:cs="Arial"/>
          <w:bCs/>
          <w:color w:val="000000"/>
          <w:kern w:val="2"/>
          <w14:ligatures w14:val="standardContextual"/>
        </w:rPr>
        <w:t xml:space="preserve">de prestación de servicios profesionales, de apoyo a la gestión y trabajos artísticos. </w:t>
      </w:r>
      <w:bookmarkStart w:id="5" w:name="_Hlk139612360"/>
      <w:r w:rsidRPr="00F31A35">
        <w:rPr>
          <w:rFonts w:ascii="Verdana" w:eastAsia="Calibri" w:hAnsi="Verdana" w:cs="Arial"/>
          <w:bCs/>
          <w:color w:val="000000"/>
          <w:kern w:val="2"/>
          <w14:ligatures w14:val="standardContextual"/>
        </w:rPr>
        <w:t xml:space="preserve">Finalmente, se resalta que en la Ley 80 de 1993, Ley 1150 de 2007 y en el Decreto 1082 de 2015 no se encuentran disposiciones que establezcan </w:t>
      </w:r>
      <w:r>
        <w:rPr>
          <w:rFonts w:ascii="Verdana" w:eastAsia="Calibri" w:hAnsi="Verdana" w:cs="Arial"/>
          <w:bCs/>
          <w:color w:val="000000"/>
          <w:kern w:val="2"/>
          <w14:ligatures w14:val="standardContextual"/>
        </w:rPr>
        <w:t xml:space="preserve">la forma en que deben presentarse las cuentas de cobro, tales como el informe de ejecución </w:t>
      </w:r>
      <w:r w:rsidRPr="001153C9">
        <w:rPr>
          <w:rFonts w:ascii="Verdana" w:eastAsia="Calibri" w:hAnsi="Verdana" w:cs="Arial"/>
          <w:bCs/>
          <w:color w:val="000000"/>
          <w:kern w:val="2"/>
          <w14:ligatures w14:val="standardContextual"/>
        </w:rPr>
        <w:t>o el informe y certificación de cumplimiento</w:t>
      </w:r>
      <w:r>
        <w:rPr>
          <w:rFonts w:ascii="Verdana" w:eastAsia="Calibri" w:hAnsi="Verdana" w:cs="Arial"/>
          <w:bCs/>
          <w:color w:val="000000"/>
          <w:kern w:val="2"/>
          <w14:ligatures w14:val="standardContextual"/>
        </w:rPr>
        <w:t>, así como las fechas para su presentación</w:t>
      </w:r>
      <w:r w:rsidRPr="0037766C">
        <w:rPr>
          <w:rFonts w:ascii="Verdana" w:eastAsia="Calibri" w:hAnsi="Verdana" w:cs="Arial"/>
          <w:bCs/>
          <w:color w:val="000000"/>
          <w:kern w:val="2"/>
          <w14:ligatures w14:val="standardContextual"/>
        </w:rPr>
        <w:t xml:space="preserve">, </w:t>
      </w:r>
      <w:r>
        <w:rPr>
          <w:rFonts w:ascii="Verdana" w:eastAsia="Calibri" w:hAnsi="Verdana" w:cs="Arial"/>
          <w:bCs/>
          <w:color w:val="000000"/>
          <w:kern w:val="2"/>
          <w14:ligatures w14:val="standardContextual"/>
        </w:rPr>
        <w:t>por cuanto esto dependerá de las directrices fijadas al interior de la entidad estatal en su guías, circulares o manuales, que se verán reflejados en las cláusulas contenidas en la minuta del contrato de prestación de servicios</w:t>
      </w:r>
      <w:r w:rsidRPr="00F31A35">
        <w:rPr>
          <w:rFonts w:ascii="Verdana" w:eastAsia="Calibri" w:hAnsi="Verdana" w:cs="Arial"/>
          <w:bCs/>
          <w:color w:val="000000"/>
          <w:kern w:val="2"/>
          <w14:ligatures w14:val="standardContextual"/>
        </w:rPr>
        <w:t>.</w:t>
      </w:r>
      <w:bookmarkEnd w:id="5"/>
    </w:p>
    <w:p w14:paraId="4DC538E4" w14:textId="46A17122" w:rsidR="00814218" w:rsidRPr="006F2A42" w:rsidRDefault="00814218" w:rsidP="00814218">
      <w:pPr>
        <w:spacing w:before="120" w:line="276" w:lineRule="auto"/>
        <w:ind w:firstLine="708"/>
        <w:jc w:val="both"/>
        <w:rPr>
          <w:rFonts w:ascii="Verdana" w:eastAsia="Calibri" w:hAnsi="Verdana" w:cs="Arial"/>
        </w:rPr>
      </w:pPr>
      <w:r>
        <w:rPr>
          <w:rFonts w:ascii="Verdana" w:eastAsia="Calibri" w:hAnsi="Verdana" w:cs="Arial"/>
        </w:rPr>
        <w:t>Ahora bien, r</w:t>
      </w:r>
      <w:r w:rsidRPr="006F2A42">
        <w:rPr>
          <w:rFonts w:ascii="Verdana" w:eastAsia="Calibri" w:hAnsi="Verdana" w:cs="Arial"/>
        </w:rPr>
        <w:t>especto del objeto de la consulta, es importante señalar que el alcance de las obligaciones y responsabilidades de un contratista vinculado mediante contrato de prestación de servicios se encuentra determinado por el objeto contractual, las obligaciones expresamente pactadas y los documentos que integran el proceso de contratación</w:t>
      </w:r>
      <w:r w:rsidR="0076504D">
        <w:rPr>
          <w:rFonts w:ascii="Verdana" w:eastAsia="Calibri" w:hAnsi="Verdana" w:cs="Arial"/>
        </w:rPr>
        <w:t>, entre ellos el estudio previo</w:t>
      </w:r>
      <w:r w:rsidRPr="006F2A42">
        <w:rPr>
          <w:rFonts w:ascii="Verdana" w:eastAsia="Calibri" w:hAnsi="Verdana" w:cs="Arial"/>
        </w:rPr>
        <w:t>. En consecuencia, el contratista debe ejecutar las actividades convenidas con autonomía e independencia, características esenciales de esta modalidad contractual.</w:t>
      </w:r>
    </w:p>
    <w:p w14:paraId="22245DDE" w14:textId="77777777" w:rsidR="00814218" w:rsidRPr="006F2A42" w:rsidRDefault="00814218" w:rsidP="00814218">
      <w:pPr>
        <w:spacing w:before="120" w:line="276" w:lineRule="auto"/>
        <w:ind w:firstLine="708"/>
        <w:jc w:val="both"/>
        <w:rPr>
          <w:rFonts w:ascii="Verdana" w:eastAsia="Calibri" w:hAnsi="Verdana" w:cs="Arial"/>
        </w:rPr>
      </w:pPr>
      <w:r>
        <w:rPr>
          <w:rFonts w:ascii="Verdana" w:eastAsia="Calibri" w:hAnsi="Verdana" w:cs="Arial"/>
        </w:rPr>
        <w:t>De este modo</w:t>
      </w:r>
      <w:r w:rsidRPr="006F2A42">
        <w:rPr>
          <w:rFonts w:ascii="Verdana" w:eastAsia="Calibri" w:hAnsi="Verdana" w:cs="Arial"/>
        </w:rPr>
        <w:t>, la entidad estatal tiene el deber de ejercer la supervisión y vigilancia de la ejecución contractual para verificar el cumplimiento de las obligaciones pactadas. Sin embargo, dicha facultad no puede traducirse en subordinación, dependencia o dirección permanente del contratista, pues ello desnaturalizaría el contrato de prestación de servicios y podría dar lugar a la configuración de una relación laboral.</w:t>
      </w:r>
    </w:p>
    <w:p w14:paraId="6831DBB9" w14:textId="0AC6F50C" w:rsidR="00814218" w:rsidRPr="006F2A42" w:rsidRDefault="00814218" w:rsidP="00814218">
      <w:pPr>
        <w:spacing w:before="120" w:line="276" w:lineRule="auto"/>
        <w:ind w:firstLine="708"/>
        <w:jc w:val="both"/>
        <w:rPr>
          <w:rFonts w:ascii="Verdana" w:eastAsia="Calibri" w:hAnsi="Verdana" w:cs="Arial"/>
        </w:rPr>
      </w:pPr>
      <w:r w:rsidRPr="006F2A42">
        <w:rPr>
          <w:rFonts w:ascii="Verdana" w:eastAsia="Calibri" w:hAnsi="Verdana" w:cs="Arial"/>
        </w:rPr>
        <w:t xml:space="preserve">De igual forma, la entidad no puede exigir el cumplimiento de funciones o actividades que no hayan sido previstas en el contrato o que no guarden relación </w:t>
      </w:r>
      <w:r w:rsidRPr="006F2A42">
        <w:rPr>
          <w:rFonts w:ascii="Verdana" w:eastAsia="Calibri" w:hAnsi="Verdana" w:cs="Arial"/>
        </w:rPr>
        <w:lastRenderedPageBreak/>
        <w:t xml:space="preserve">con su objeto, salvo que se adelanten las modificaciones contractuales legalmente procedentes. </w:t>
      </w:r>
    </w:p>
    <w:p w14:paraId="5BC72C63" w14:textId="77777777" w:rsidR="00814218" w:rsidRPr="006F2A42" w:rsidRDefault="00814218" w:rsidP="00814218">
      <w:pPr>
        <w:spacing w:before="120" w:line="276" w:lineRule="auto"/>
        <w:ind w:firstLine="708"/>
        <w:jc w:val="both"/>
        <w:rPr>
          <w:rFonts w:ascii="Verdana" w:eastAsia="Calibri" w:hAnsi="Verdana" w:cs="Arial"/>
        </w:rPr>
      </w:pPr>
      <w:r w:rsidRPr="006F2A42">
        <w:rPr>
          <w:rFonts w:ascii="Verdana" w:eastAsia="Calibri" w:hAnsi="Verdana" w:cs="Arial"/>
        </w:rPr>
        <w:t>En consecuencia, corresponde a cada entidad estatal determinar, a partir de las condiciones pactadas y de las circunstancias del caso concreto, el alcance de las obligaciones del contratista y de las facultades de supervisión, garantizando siempre el respeto por la autonomía e independencia que caracterizan el contrato de prestación de servicios.</w:t>
      </w:r>
    </w:p>
    <w:p w14:paraId="02FEA630" w14:textId="290AE848" w:rsidR="00814218" w:rsidRPr="0030751E" w:rsidRDefault="00814218" w:rsidP="00814218">
      <w:pPr>
        <w:spacing w:after="120" w:line="276" w:lineRule="auto"/>
        <w:jc w:val="both"/>
        <w:rPr>
          <w:rFonts w:ascii="Verdana" w:eastAsia="Calibri" w:hAnsi="Verdana" w:cs="Arial"/>
        </w:rPr>
      </w:pPr>
      <w:proofErr w:type="spellStart"/>
      <w:r w:rsidRPr="008D6288">
        <w:rPr>
          <w:rFonts w:ascii="Verdana" w:eastAsia="Calibri" w:hAnsi="Verdana" w:cs="Arial"/>
        </w:rPr>
        <w:t>iv</w:t>
      </w:r>
      <w:proofErr w:type="spellEnd"/>
      <w:r w:rsidRPr="008D6288">
        <w:rPr>
          <w:rFonts w:ascii="Verdana" w:eastAsia="Calibri" w:hAnsi="Verdana" w:cs="Arial"/>
        </w:rPr>
        <w:t xml:space="preserve">. </w:t>
      </w:r>
      <w:r w:rsidRPr="0030751E">
        <w:rPr>
          <w:rFonts w:ascii="Verdana" w:eastAsia="Calibri" w:hAnsi="Verdana" w:cs="Arial"/>
        </w:rPr>
        <w:t xml:space="preserve">Finalmente, debe advertirse que el análisis requerido para resolver problemas específicos en torno a la </w:t>
      </w:r>
      <w:r w:rsidR="00C244DE">
        <w:rPr>
          <w:rFonts w:ascii="Verdana" w:eastAsia="Calibri" w:hAnsi="Verdana" w:cs="Arial"/>
        </w:rPr>
        <w:t>ejecu</w:t>
      </w:r>
      <w:r w:rsidRPr="0030751E">
        <w:rPr>
          <w:rFonts w:ascii="Verdana" w:eastAsia="Calibri" w:hAnsi="Verdana" w:cs="Arial"/>
        </w:rPr>
        <w:t xml:space="preserve">ción contractual, supervisión de contratos y declaratorias de incumplimientos contractuales, debe ser realizado por quienes tengan interés en ello.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de adoptar la decisión y, en caso de conflicto, a las autoridades judiciales, fiscales y disciplinarias.  </w:t>
      </w:r>
    </w:p>
    <w:p w14:paraId="7E3A3934" w14:textId="77777777" w:rsidR="00814218" w:rsidRPr="00AC6A15" w:rsidRDefault="00814218" w:rsidP="00814218">
      <w:pPr>
        <w:spacing w:before="120" w:after="0" w:line="276" w:lineRule="auto"/>
        <w:ind w:firstLine="709"/>
        <w:jc w:val="both"/>
        <w:rPr>
          <w:rFonts w:ascii="Verdana" w:eastAsia="Calibri" w:hAnsi="Verdana" w:cs="Arial"/>
        </w:rPr>
      </w:pPr>
      <w:r w:rsidRPr="0030751E">
        <w:rPr>
          <w:rFonts w:ascii="Verdana" w:eastAsia="Calibri" w:hAnsi="Verdana" w:cs="Arial"/>
        </w:rPr>
        <w:t xml:space="preserve">Dentro de este marco, la entidad contratante definirá en cada caso concreto lo relacionado con el tema objeto de consulta. Al tratarse de un análisis que debe realizarse a un asunto particular y concreto,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  </w:t>
      </w:r>
    </w:p>
    <w:p w14:paraId="1AB181D2" w14:textId="77777777" w:rsidR="00814218" w:rsidRPr="00C54887" w:rsidRDefault="00814218" w:rsidP="00814218">
      <w:pPr>
        <w:widowControl w:val="0"/>
        <w:autoSpaceDE w:val="0"/>
        <w:autoSpaceDN w:val="0"/>
        <w:spacing w:after="0" w:line="276" w:lineRule="auto"/>
        <w:jc w:val="both"/>
        <w:rPr>
          <w:rFonts w:ascii="Verdana" w:hAnsi="Verdana" w:cs="Arial"/>
          <w:lang w:eastAsia="es-ES"/>
        </w:rPr>
      </w:pPr>
      <w:bookmarkStart w:id="6" w:name="_Hlk204856061"/>
      <w:bookmarkStart w:id="7" w:name="_Hlk78820161"/>
      <w:bookmarkStart w:id="8" w:name="_Hlk204854194"/>
    </w:p>
    <w:bookmarkEnd w:id="6"/>
    <w:bookmarkEnd w:id="7"/>
    <w:p w14:paraId="26CE1E7F" w14:textId="77777777" w:rsidR="00814218" w:rsidRPr="001F283D" w:rsidRDefault="00814218" w:rsidP="00814218">
      <w:pPr>
        <w:tabs>
          <w:tab w:val="left" w:pos="142"/>
          <w:tab w:val="left" w:pos="284"/>
        </w:tabs>
        <w:spacing w:after="0" w:line="276" w:lineRule="auto"/>
        <w:rPr>
          <w:rFonts w:ascii="Verdana" w:eastAsia="Century Gothic" w:hAnsi="Verdana" w:cs="Century Gothic"/>
          <w:b/>
          <w:bCs/>
        </w:rPr>
      </w:pPr>
      <w:r>
        <w:rPr>
          <w:rFonts w:ascii="Verdana" w:eastAsia="Century Gothic" w:hAnsi="Verdana" w:cs="Century Gothic"/>
          <w:b/>
          <w:bCs/>
        </w:rPr>
        <w:t xml:space="preserve">4. </w:t>
      </w:r>
      <w:r w:rsidRPr="001F283D">
        <w:rPr>
          <w:rFonts w:ascii="Verdana" w:eastAsia="Century Gothic" w:hAnsi="Verdana" w:cs="Century Gothic"/>
          <w:b/>
          <w:bCs/>
        </w:rPr>
        <w:t>Referencias normativas:</w:t>
      </w:r>
    </w:p>
    <w:bookmarkEnd w:id="8"/>
    <w:p w14:paraId="4C74B35F" w14:textId="77777777" w:rsidR="00814218" w:rsidRPr="00593A5F" w:rsidRDefault="00814218" w:rsidP="00814218">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814218" w:rsidRPr="002B1BDE" w14:paraId="53D0DE70" w14:textId="77777777" w:rsidTr="00F17D62">
        <w:trPr>
          <w:trHeight w:val="870"/>
          <w:jc w:val="center"/>
        </w:trPr>
        <w:tc>
          <w:tcPr>
            <w:tcW w:w="8647" w:type="dxa"/>
          </w:tcPr>
          <w:p w14:paraId="3412170F" w14:textId="77777777" w:rsidR="00814218" w:rsidRPr="002B1BDE" w:rsidRDefault="00814218" w:rsidP="002B1BDE">
            <w:pPr>
              <w:widowControl w:val="0"/>
              <w:numPr>
                <w:ilvl w:val="0"/>
                <w:numId w:val="17"/>
              </w:numPr>
              <w:autoSpaceDE w:val="0"/>
              <w:autoSpaceDN w:val="0"/>
              <w:spacing w:line="276" w:lineRule="auto"/>
              <w:jc w:val="both"/>
              <w:rPr>
                <w:rFonts w:ascii="Verdana" w:eastAsia="Arial MT" w:hAnsi="Verdana" w:cs="Arial"/>
                <w:bCs/>
                <w:lang w:eastAsia="es-ES" w:bidi="es-ES"/>
              </w:rPr>
            </w:pPr>
            <w:r w:rsidRPr="002B1BDE">
              <w:rPr>
                <w:rFonts w:ascii="Verdana" w:eastAsia="Arial MT" w:hAnsi="Verdana" w:cs="Arial"/>
                <w:bCs/>
                <w:lang w:eastAsia="es-ES" w:bidi="es-ES"/>
              </w:rPr>
              <w:t>Ley 80 de 1993. 4, 5, 12, 14, 26 y 32</w:t>
            </w:r>
          </w:p>
          <w:p w14:paraId="350B623B" w14:textId="77777777" w:rsidR="00814218" w:rsidRPr="002B1BDE" w:rsidRDefault="00814218" w:rsidP="002B1BDE">
            <w:pPr>
              <w:widowControl w:val="0"/>
              <w:numPr>
                <w:ilvl w:val="0"/>
                <w:numId w:val="17"/>
              </w:numPr>
              <w:autoSpaceDE w:val="0"/>
              <w:autoSpaceDN w:val="0"/>
              <w:spacing w:line="276" w:lineRule="auto"/>
              <w:jc w:val="both"/>
              <w:rPr>
                <w:rFonts w:ascii="Verdana" w:eastAsia="Arial MT" w:hAnsi="Verdana" w:cs="Arial"/>
                <w:bCs/>
                <w:lang w:eastAsia="es-ES" w:bidi="es-ES"/>
              </w:rPr>
            </w:pPr>
            <w:r w:rsidRPr="002B1BDE">
              <w:rPr>
                <w:rFonts w:ascii="Verdana" w:eastAsia="Arial MT" w:hAnsi="Verdana" w:cs="Arial"/>
                <w:bCs/>
                <w:lang w:eastAsia="es-ES" w:bidi="es-ES"/>
              </w:rPr>
              <w:t>Ley 1150 de 2007. Artículos 2, 17, 21</w:t>
            </w:r>
          </w:p>
          <w:p w14:paraId="10C44BBA" w14:textId="77777777" w:rsidR="00814218" w:rsidRPr="002B1BDE" w:rsidRDefault="00814218" w:rsidP="002B1BDE">
            <w:pPr>
              <w:widowControl w:val="0"/>
              <w:numPr>
                <w:ilvl w:val="0"/>
                <w:numId w:val="17"/>
              </w:numPr>
              <w:autoSpaceDE w:val="0"/>
              <w:autoSpaceDN w:val="0"/>
              <w:spacing w:line="276" w:lineRule="auto"/>
              <w:jc w:val="both"/>
              <w:rPr>
                <w:rFonts w:ascii="Verdana" w:eastAsia="Arial MT" w:hAnsi="Verdana" w:cs="Arial"/>
                <w:bCs/>
                <w:lang w:eastAsia="es-ES" w:bidi="es-ES"/>
              </w:rPr>
            </w:pPr>
            <w:r w:rsidRPr="002B1BDE">
              <w:rPr>
                <w:rFonts w:ascii="Verdana" w:eastAsia="Arial MT" w:hAnsi="Verdana" w:cs="Arial"/>
                <w:bCs/>
                <w:lang w:eastAsia="es-ES" w:bidi="es-ES"/>
              </w:rPr>
              <w:t>Ley 1474 de 2011. Artículos 83, 84, 85 y 86</w:t>
            </w:r>
          </w:p>
          <w:p w14:paraId="5599CD53" w14:textId="77777777" w:rsidR="00814218" w:rsidRPr="002B1BDE" w:rsidRDefault="00814218" w:rsidP="002B1BDE">
            <w:pPr>
              <w:widowControl w:val="0"/>
              <w:numPr>
                <w:ilvl w:val="0"/>
                <w:numId w:val="17"/>
              </w:numPr>
              <w:autoSpaceDE w:val="0"/>
              <w:autoSpaceDN w:val="0"/>
              <w:spacing w:line="276" w:lineRule="auto"/>
              <w:jc w:val="both"/>
              <w:rPr>
                <w:rFonts w:ascii="Verdana" w:eastAsia="Arial MT" w:hAnsi="Verdana" w:cs="Arial"/>
                <w:bCs/>
                <w:lang w:eastAsia="es-ES" w:bidi="es-ES"/>
              </w:rPr>
            </w:pPr>
            <w:r w:rsidRPr="002B1BDE">
              <w:rPr>
                <w:rFonts w:ascii="Verdana" w:eastAsia="Arial MT" w:hAnsi="Verdana" w:cs="Arial"/>
                <w:bCs/>
                <w:lang w:eastAsia="es-ES" w:bidi="es-ES"/>
              </w:rPr>
              <w:t>Decreto 1082 de 2015. Artículos 2.2.1.2.1.4.1, 2.2.1.2.1.4.5</w:t>
            </w:r>
          </w:p>
          <w:p w14:paraId="0866D02F" w14:textId="77777777" w:rsidR="00814218" w:rsidRPr="002B1BDE" w:rsidRDefault="00814218" w:rsidP="002B1BDE">
            <w:pPr>
              <w:widowControl w:val="0"/>
              <w:numPr>
                <w:ilvl w:val="0"/>
                <w:numId w:val="17"/>
              </w:numPr>
              <w:autoSpaceDE w:val="0"/>
              <w:autoSpaceDN w:val="0"/>
              <w:spacing w:line="276" w:lineRule="auto"/>
              <w:jc w:val="both"/>
              <w:rPr>
                <w:rFonts w:ascii="Verdana" w:eastAsia="Arial MT" w:hAnsi="Verdana" w:cs="Arial"/>
                <w:bCs/>
                <w:lang w:eastAsia="es-ES" w:bidi="es-ES"/>
              </w:rPr>
            </w:pPr>
            <w:r w:rsidRPr="002B1BDE">
              <w:rPr>
                <w:rFonts w:ascii="Verdana" w:eastAsia="Arial MT" w:hAnsi="Verdana" w:cs="Arial"/>
                <w:bCs/>
                <w:lang w:eastAsia="es-ES" w:bidi="es-ES"/>
              </w:rPr>
              <w:t>Corte Constitucional. Sentencia C-154 de 1997. M.P. Hernando Herrera Vergara.</w:t>
            </w:r>
          </w:p>
          <w:p w14:paraId="6B4D452E" w14:textId="77777777" w:rsidR="00814218" w:rsidRPr="002B1BDE" w:rsidRDefault="00814218" w:rsidP="002B1BDE">
            <w:pPr>
              <w:widowControl w:val="0"/>
              <w:numPr>
                <w:ilvl w:val="0"/>
                <w:numId w:val="17"/>
              </w:numPr>
              <w:autoSpaceDE w:val="0"/>
              <w:autoSpaceDN w:val="0"/>
              <w:spacing w:line="276" w:lineRule="auto"/>
              <w:jc w:val="both"/>
              <w:rPr>
                <w:rFonts w:ascii="Verdana" w:eastAsia="Arial MT" w:hAnsi="Verdana" w:cs="Arial"/>
                <w:bCs/>
                <w:lang w:eastAsia="es-ES" w:bidi="es-ES"/>
              </w:rPr>
            </w:pPr>
            <w:r w:rsidRPr="002B1BDE">
              <w:rPr>
                <w:rFonts w:ascii="Verdana" w:eastAsia="Arial MT" w:hAnsi="Verdana" w:cs="Arial"/>
                <w:bCs/>
                <w:lang w:eastAsia="es-ES" w:bidi="es-ES"/>
              </w:rPr>
              <w:t xml:space="preserve">Corte Constitucional. Sentencia C-614 de 2009. M.P. Jorge Ignacio </w:t>
            </w:r>
            <w:r w:rsidRPr="002B1BDE">
              <w:rPr>
                <w:rFonts w:ascii="Verdana" w:eastAsia="Arial MT" w:hAnsi="Verdana" w:cs="Arial"/>
                <w:bCs/>
                <w:lang w:eastAsia="es-ES" w:bidi="es-ES"/>
              </w:rPr>
              <w:lastRenderedPageBreak/>
              <w:t>Pretelt Chaljub.</w:t>
            </w:r>
          </w:p>
          <w:p w14:paraId="0E63F910" w14:textId="77777777" w:rsidR="00814218" w:rsidRPr="002B1BDE" w:rsidRDefault="00814218" w:rsidP="002B1BDE">
            <w:pPr>
              <w:widowControl w:val="0"/>
              <w:numPr>
                <w:ilvl w:val="0"/>
                <w:numId w:val="17"/>
              </w:numPr>
              <w:autoSpaceDE w:val="0"/>
              <w:autoSpaceDN w:val="0"/>
              <w:spacing w:line="276" w:lineRule="auto"/>
              <w:jc w:val="both"/>
              <w:rPr>
                <w:rFonts w:ascii="Verdana" w:eastAsia="Arial MT" w:hAnsi="Verdana" w:cs="Arial"/>
                <w:bCs/>
                <w:lang w:eastAsia="es-ES" w:bidi="es-ES"/>
              </w:rPr>
            </w:pPr>
            <w:r w:rsidRPr="002B1BDE">
              <w:rPr>
                <w:rFonts w:ascii="Verdana" w:eastAsia="Arial MT" w:hAnsi="Verdana" w:cs="Arial"/>
                <w:bCs/>
                <w:lang w:eastAsia="es-ES" w:bidi="es-ES"/>
              </w:rPr>
              <w:t>Corte Constitucional. Sentencia C-154 de 1997. Magistrado Ponente: Hernando Herrera Vergara.</w:t>
            </w:r>
          </w:p>
          <w:p w14:paraId="2C569E53" w14:textId="77777777" w:rsidR="00814218" w:rsidRPr="002B1BDE" w:rsidRDefault="00814218" w:rsidP="002B1BDE">
            <w:pPr>
              <w:widowControl w:val="0"/>
              <w:numPr>
                <w:ilvl w:val="0"/>
                <w:numId w:val="17"/>
              </w:numPr>
              <w:autoSpaceDE w:val="0"/>
              <w:autoSpaceDN w:val="0"/>
              <w:spacing w:line="276" w:lineRule="auto"/>
              <w:jc w:val="both"/>
              <w:rPr>
                <w:rFonts w:ascii="Verdana" w:eastAsia="Arial MT" w:hAnsi="Verdana" w:cs="Arial"/>
                <w:bCs/>
                <w:lang w:eastAsia="es-ES" w:bidi="es-ES"/>
              </w:rPr>
            </w:pPr>
            <w:r w:rsidRPr="002B1BDE">
              <w:rPr>
                <w:rFonts w:ascii="Verdana" w:eastAsia="Arial MT" w:hAnsi="Verdana" w:cs="Arial"/>
                <w:bCs/>
                <w:lang w:eastAsia="es-ES" w:bidi="es-ES"/>
              </w:rPr>
              <w:t xml:space="preserve">Consejo de Estado. Sección Segunda. Sentencia de Unificación Jurisprudencial SUJ-025-CE-S2-2021. Radicado (1317-2016). </w:t>
            </w:r>
          </w:p>
          <w:p w14:paraId="1204A2E2" w14:textId="77777777" w:rsidR="00814218" w:rsidRPr="00B21417" w:rsidRDefault="00814218" w:rsidP="002B1BDE">
            <w:pPr>
              <w:widowControl w:val="0"/>
              <w:numPr>
                <w:ilvl w:val="0"/>
                <w:numId w:val="17"/>
              </w:numPr>
              <w:autoSpaceDE w:val="0"/>
              <w:autoSpaceDN w:val="0"/>
              <w:spacing w:line="276" w:lineRule="auto"/>
              <w:jc w:val="both"/>
              <w:rPr>
                <w:rFonts w:ascii="Verdana" w:eastAsia="Arial MT" w:hAnsi="Verdana" w:cs="Arial"/>
                <w:bCs/>
                <w:lang w:eastAsia="es-ES" w:bidi="es-ES"/>
              </w:rPr>
            </w:pPr>
            <w:r w:rsidRPr="002B1BDE">
              <w:rPr>
                <w:rFonts w:ascii="Verdana" w:eastAsia="Arial MT" w:hAnsi="Verdana" w:cs="Arial"/>
                <w:bCs/>
                <w:lang w:eastAsia="es-ES" w:bidi="es-ES"/>
              </w:rPr>
              <w:t xml:space="preserve">Consejo de Estado. Sección Tercera. Subsección C. Sentencia del 2 de diciembre de 2013. </w:t>
            </w:r>
            <w:proofErr w:type="spellStart"/>
            <w:r w:rsidRPr="002B1BDE">
              <w:rPr>
                <w:rFonts w:ascii="Verdana" w:eastAsia="Arial MT" w:hAnsi="Verdana" w:cs="Arial"/>
                <w:bCs/>
                <w:lang w:eastAsia="es-ES" w:bidi="es-ES"/>
              </w:rPr>
              <w:t>Exp</w:t>
            </w:r>
            <w:proofErr w:type="spellEnd"/>
            <w:r w:rsidRPr="002B1BDE">
              <w:rPr>
                <w:rFonts w:ascii="Verdana" w:eastAsia="Arial MT" w:hAnsi="Verdana" w:cs="Arial"/>
                <w:bCs/>
                <w:lang w:eastAsia="es-ES" w:bidi="es-ES"/>
              </w:rPr>
              <w:t>. 41719. C.P. Jaime Orlando Santofimio Gamboa.</w:t>
            </w:r>
          </w:p>
          <w:p w14:paraId="56E96B94" w14:textId="77777777" w:rsidR="00814218" w:rsidRPr="00B21417" w:rsidRDefault="00814218" w:rsidP="00B21417">
            <w:pPr>
              <w:pStyle w:val="NormalWeb"/>
              <w:numPr>
                <w:ilvl w:val="0"/>
                <w:numId w:val="17"/>
              </w:numPr>
              <w:spacing w:before="0" w:beforeAutospacing="0" w:after="0" w:afterAutospacing="0" w:line="276" w:lineRule="auto"/>
              <w:jc w:val="both"/>
              <w:rPr>
                <w:rFonts w:ascii="Verdana" w:hAnsi="Verdana" w:cs="Arial"/>
                <w:sz w:val="22"/>
                <w:szCs w:val="22"/>
              </w:rPr>
            </w:pPr>
            <w:r w:rsidRPr="002B1BDE">
              <w:rPr>
                <w:rFonts w:ascii="Verdana" w:hAnsi="Verdana" w:cs="Arial"/>
              </w:rPr>
              <w:t xml:space="preserve">Agencia Nacional de Contratación Pública – Colombia Compra Eficiente. Guía de Elaboración de Estudios del Sector. Disponible en: </w:t>
            </w:r>
            <w:hyperlink r:id="rId13" w:history="1">
              <w:r w:rsidRPr="00B21417">
                <w:rPr>
                  <w:rStyle w:val="Hipervnculo"/>
                  <w:rFonts w:ascii="Verdana" w:hAnsi="Verdana" w:cs="Arial"/>
                  <w:color w:val="auto"/>
                </w:rPr>
                <w:t>https://www.colombiacompra.gov.co/manualesguias-y-pliegos-tipo/manuales-y-guias</w:t>
              </w:r>
            </w:hyperlink>
            <w:r w:rsidRPr="002B1BDE">
              <w:rPr>
                <w:rFonts w:ascii="Verdana" w:hAnsi="Verdana" w:cs="Arial"/>
                <w:sz w:val="14"/>
                <w:szCs w:val="14"/>
              </w:rPr>
              <w:t>.</w:t>
            </w:r>
          </w:p>
        </w:tc>
      </w:tr>
    </w:tbl>
    <w:p w14:paraId="0EF24815" w14:textId="77777777" w:rsidR="00814218" w:rsidRPr="002B1BDE" w:rsidRDefault="00814218" w:rsidP="002B1BDE">
      <w:pPr>
        <w:widowControl w:val="0"/>
        <w:autoSpaceDE w:val="0"/>
        <w:autoSpaceDN w:val="0"/>
        <w:spacing w:after="0" w:line="276" w:lineRule="auto"/>
        <w:jc w:val="both"/>
        <w:rPr>
          <w:rFonts w:ascii="Verdana" w:hAnsi="Verdana" w:cs="Arial"/>
        </w:rPr>
      </w:pPr>
    </w:p>
    <w:p w14:paraId="7FC3F57D" w14:textId="77777777" w:rsidR="00814218" w:rsidRPr="002B1BDE" w:rsidRDefault="00814218" w:rsidP="002B1BDE">
      <w:pPr>
        <w:tabs>
          <w:tab w:val="left" w:pos="142"/>
          <w:tab w:val="left" w:pos="284"/>
        </w:tabs>
        <w:spacing w:after="0" w:line="276" w:lineRule="auto"/>
        <w:jc w:val="both"/>
        <w:rPr>
          <w:rFonts w:ascii="Verdana" w:eastAsia="Century Gothic" w:hAnsi="Verdana" w:cs="Century Gothic"/>
          <w:b/>
          <w:bCs/>
        </w:rPr>
      </w:pPr>
      <w:r w:rsidRPr="002B1BDE">
        <w:rPr>
          <w:rFonts w:ascii="Verdana" w:eastAsia="Century Gothic" w:hAnsi="Verdana" w:cs="Century Gothic"/>
          <w:b/>
          <w:bCs/>
        </w:rPr>
        <w:t>5. Doctrina de la Agencia Nacional de Contratación Pública:</w:t>
      </w:r>
    </w:p>
    <w:p w14:paraId="1BADAE87" w14:textId="77777777" w:rsidR="00814218" w:rsidRPr="002B1BDE" w:rsidRDefault="00814218" w:rsidP="002B1BDE">
      <w:pPr>
        <w:widowControl w:val="0"/>
        <w:autoSpaceDE w:val="0"/>
        <w:autoSpaceDN w:val="0"/>
        <w:spacing w:after="0" w:line="276" w:lineRule="auto"/>
        <w:jc w:val="both"/>
        <w:rPr>
          <w:rStyle w:val="normaltextrun"/>
          <w:rFonts w:ascii="Verdana" w:hAnsi="Verdana" w:cs="Arial"/>
          <w:shd w:val="clear" w:color="auto" w:fill="FFFFFF"/>
          <w:lang w:val="es-ES"/>
        </w:rPr>
      </w:pPr>
    </w:p>
    <w:p w14:paraId="710D3D18" w14:textId="162E1E0C" w:rsidR="00814218" w:rsidRPr="002B1BDE" w:rsidRDefault="00814218" w:rsidP="002B1BDE">
      <w:pPr>
        <w:widowControl w:val="0"/>
        <w:autoSpaceDE w:val="0"/>
        <w:autoSpaceDN w:val="0"/>
        <w:spacing w:after="0" w:line="276" w:lineRule="auto"/>
        <w:jc w:val="both"/>
        <w:rPr>
          <w:rFonts w:ascii="Verdana" w:hAnsi="Verdana" w:cs="Arial"/>
          <w:shd w:val="clear" w:color="auto" w:fill="FFFFFF"/>
        </w:rPr>
      </w:pPr>
      <w:r w:rsidRPr="002B1BDE">
        <w:rPr>
          <w:rFonts w:ascii="Verdana" w:hAnsi="Verdana" w:cs="Arial"/>
          <w:shd w:val="clear" w:color="auto" w:fill="FFFFFF"/>
          <w:lang w:val="es-ES"/>
        </w:rPr>
        <w:t xml:space="preserve">La Subdirección de Gestión Contractual de la Agencia Nacional de Contratación Pública – Colombia Compra Eficiente ha analizado los contratos de prestación de servicios, así como los requisitos para su celebración, entre otros, en los conceptos con radicado: 4201913000006452 del 07 de octubre de 2019, 4201912000006434 del 30 de octubre de 2019, 4201913000006444 del 01 de noviembre de 2019, 4201913000006331 del 07 de noviembre de 2019, 4201912000006692 del 12 de noviembre de 2019 de noviembre de 2019, 4201912000006692 del 12 de noviembre  de 20194201912000007378 del 11 de diciembre de 2019, 4201912000007781 del 26 de diciembre de 2019, C−047 del 19 de febrero de 2020, C−105 del 12 de marzo de 2020, C−208 del 24 de marzo de 2020, C−005 del 11 de mayo de 2020, C−006 del 11 de mayo de 2020, C−018 del 11 de mayo de 2020, C−138 del 11 de mayo de 2020, C−053 del 12 de mayo de 2020, C−175 del 12 de mayo de 2020, C−320 del 12 de mayo de 2020, C−255 del 12 de mayo de 2020, C−282del 12 de mayo de 2020, C−238 del 18 de mayo de 2020, C−260 del 18 de mayo de 2020, C−288 del 21 de mayo de 2020, C−293 del 12 de mayo de 2020, C−313 del 21 de mayo de 2020, C−345 del 21 de mayo de 2020, C−359 del 04 de junio de 2020, C−379 del 30 de junio de 2020, C−414 del 30 de junio de 2020,C-661 del 17 de noviembre de 2020 C−685 del 18 de diciembre de 2020, C- 004 del 12 de febrero de 2021, C−106 del 7 de abril de 2021, C-181 del 07 de abril de 2022, C-214 del 22 de abril de 2022 y C-491 de 01 de agosto de 2022, C-008 del 20 de </w:t>
      </w:r>
      <w:r w:rsidRPr="002B1BDE">
        <w:rPr>
          <w:rFonts w:ascii="Verdana" w:hAnsi="Verdana" w:cs="Arial"/>
          <w:shd w:val="clear" w:color="auto" w:fill="FFFFFF"/>
          <w:lang w:val="es-ES"/>
        </w:rPr>
        <w:lastRenderedPageBreak/>
        <w:t xml:space="preserve">febrero de 2023, C-009 del 20 de febrero de 2023, C-286 del 2023, C-351 del 30 de agosto de 2024 y C-372 del 26 de Agosto 2024, C-904 del 9 de diciembre de 2024, C-227 del 27 de marzo de 2025, C-411 del 13 de mayo de 2025, C-800 del 23 de julio de 2025, C-935 del 1 de agosto de 2025, C-694 del 11 de agosto de 2025, </w:t>
      </w:r>
      <w:r w:rsidR="005C36D3" w:rsidRPr="005C36D3">
        <w:rPr>
          <w:rFonts w:ascii="Verdana" w:hAnsi="Verdana" w:cs="Arial"/>
          <w:shd w:val="clear" w:color="auto" w:fill="FFFFFF"/>
          <w:lang w:val="es-ES"/>
        </w:rPr>
        <w:t>C- 678 de</w:t>
      </w:r>
      <w:r w:rsidR="005C36D3">
        <w:rPr>
          <w:rFonts w:ascii="Verdana" w:hAnsi="Verdana" w:cs="Arial"/>
          <w:shd w:val="clear" w:color="auto" w:fill="FFFFFF"/>
          <w:lang w:val="es-ES"/>
        </w:rPr>
        <w:t>l 4 de junio de</w:t>
      </w:r>
      <w:r w:rsidR="005C36D3" w:rsidRPr="005C36D3">
        <w:rPr>
          <w:rFonts w:ascii="Verdana" w:hAnsi="Verdana" w:cs="Arial"/>
          <w:shd w:val="clear" w:color="auto" w:fill="FFFFFF"/>
          <w:lang w:val="es-ES"/>
        </w:rPr>
        <w:t xml:space="preserve"> 2026</w:t>
      </w:r>
      <w:r w:rsidR="005C36D3">
        <w:rPr>
          <w:rFonts w:ascii="Verdana" w:hAnsi="Verdana" w:cs="Arial"/>
          <w:shd w:val="clear" w:color="auto" w:fill="FFFFFF"/>
          <w:lang w:val="es-ES"/>
        </w:rPr>
        <w:t xml:space="preserve">, </w:t>
      </w:r>
      <w:r w:rsidRPr="002B1BDE">
        <w:rPr>
          <w:rFonts w:ascii="Verdana" w:hAnsi="Verdana" w:cs="Arial"/>
          <w:shd w:val="clear" w:color="auto" w:fill="FFFFFF"/>
          <w:lang w:val="es-ES"/>
        </w:rPr>
        <w:t>entre otros</w:t>
      </w:r>
      <w:r w:rsidRPr="002B1BDE">
        <w:rPr>
          <w:rFonts w:ascii="Verdana" w:hAnsi="Verdana" w:cs="Arial"/>
          <w:shd w:val="clear" w:color="auto" w:fill="FFFFFF"/>
        </w:rPr>
        <w:t xml:space="preserve">. </w:t>
      </w:r>
    </w:p>
    <w:p w14:paraId="23EDA992" w14:textId="77777777" w:rsidR="00814218" w:rsidRPr="002B1BDE" w:rsidRDefault="00814218" w:rsidP="002B1BDE">
      <w:pPr>
        <w:widowControl w:val="0"/>
        <w:autoSpaceDE w:val="0"/>
        <w:autoSpaceDN w:val="0"/>
        <w:spacing w:after="0" w:line="276" w:lineRule="auto"/>
        <w:jc w:val="both"/>
        <w:rPr>
          <w:rFonts w:ascii="Verdana" w:eastAsia="Calibri" w:hAnsi="Verdana" w:cs="Arial"/>
          <w:lang w:eastAsia="es-ES"/>
        </w:rPr>
      </w:pPr>
    </w:p>
    <w:p w14:paraId="6F8F1696" w14:textId="77777777" w:rsidR="00814218" w:rsidRPr="002B1BDE" w:rsidRDefault="00814218" w:rsidP="002B1BDE">
      <w:pPr>
        <w:widowControl w:val="0"/>
        <w:autoSpaceDE w:val="0"/>
        <w:autoSpaceDN w:val="0"/>
        <w:spacing w:after="0" w:line="276" w:lineRule="auto"/>
        <w:jc w:val="both"/>
        <w:rPr>
          <w:rFonts w:ascii="Verdana" w:hAnsi="Verdana"/>
        </w:rPr>
      </w:pPr>
      <w:r w:rsidRPr="002B1BDE">
        <w:rPr>
          <w:rFonts w:ascii="Verdana" w:eastAsia="Calibri" w:hAnsi="Verdana" w:cs="Arial"/>
          <w:lang w:eastAsia="es-ES"/>
        </w:rPr>
        <w:t xml:space="preserve">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p>
    <w:p w14:paraId="5F625C72" w14:textId="77777777" w:rsidR="00814218" w:rsidRPr="002B1BDE" w:rsidRDefault="00814218" w:rsidP="002B1BDE">
      <w:pPr>
        <w:widowControl w:val="0"/>
        <w:autoSpaceDE w:val="0"/>
        <w:autoSpaceDN w:val="0"/>
        <w:spacing w:after="0" w:line="276" w:lineRule="auto"/>
        <w:jc w:val="both"/>
        <w:rPr>
          <w:rStyle w:val="normaltextrun"/>
          <w:rFonts w:ascii="Verdana" w:hAnsi="Verdana"/>
          <w:color w:val="000000"/>
        </w:rPr>
      </w:pPr>
    </w:p>
    <w:p w14:paraId="5B81673E" w14:textId="77777777" w:rsidR="00814218" w:rsidRPr="002B1BDE" w:rsidRDefault="00814218" w:rsidP="002B1BDE">
      <w:pPr>
        <w:widowControl w:val="0"/>
        <w:autoSpaceDE w:val="0"/>
        <w:autoSpaceDN w:val="0"/>
        <w:spacing w:after="0" w:line="276" w:lineRule="auto"/>
        <w:jc w:val="both"/>
        <w:rPr>
          <w:rFonts w:ascii="Verdana" w:eastAsia="Calibri" w:hAnsi="Verdana" w:cs="Arial"/>
          <w:lang w:eastAsia="es-ES_tradnl"/>
        </w:rPr>
      </w:pPr>
      <w:hyperlink r:id="rId14" w:history="1">
        <w:r w:rsidRPr="002B1BDE">
          <w:rPr>
            <w:rStyle w:val="Hipervnculo"/>
            <w:rFonts w:ascii="Verdana" w:eastAsia="Calibri" w:hAnsi="Verdana" w:cs="Arial"/>
            <w:lang w:eastAsia="es-ES_tradnl"/>
          </w:rPr>
          <w:t>https://relatoria.colombiacompra.gov.co/</w:t>
        </w:r>
      </w:hyperlink>
      <w:r w:rsidRPr="002B1BDE">
        <w:rPr>
          <w:rFonts w:ascii="Verdana" w:eastAsia="Calibri" w:hAnsi="Verdana" w:cs="Arial"/>
          <w:lang w:eastAsia="es-ES_tradnl"/>
        </w:rPr>
        <w:t> </w:t>
      </w:r>
    </w:p>
    <w:p w14:paraId="0E628999" w14:textId="77777777" w:rsidR="00814218" w:rsidRPr="002B1BDE" w:rsidRDefault="00814218" w:rsidP="002B1BDE">
      <w:pPr>
        <w:widowControl w:val="0"/>
        <w:autoSpaceDE w:val="0"/>
        <w:autoSpaceDN w:val="0"/>
        <w:spacing w:after="0" w:line="276" w:lineRule="auto"/>
        <w:jc w:val="both"/>
        <w:rPr>
          <w:rFonts w:ascii="Verdana" w:hAnsi="Verdana" w:cs="Arial"/>
          <w:shd w:val="clear" w:color="auto" w:fill="FFFFFF"/>
        </w:rPr>
      </w:pPr>
      <w:r w:rsidRPr="002B1BDE">
        <w:rPr>
          <w:rStyle w:val="normaltextrun"/>
          <w:rFonts w:ascii="Verdana" w:hAnsi="Verdana" w:cs="Arial"/>
          <w:color w:val="FF0000"/>
          <w:shd w:val="clear" w:color="auto" w:fill="FFFFFF"/>
          <w:lang w:val="es-ES"/>
        </w:rPr>
        <w:t xml:space="preserve"> </w:t>
      </w:r>
    </w:p>
    <w:bookmarkEnd w:id="0"/>
    <w:bookmarkEnd w:id="1"/>
    <w:p w14:paraId="6EA562BD" w14:textId="77777777" w:rsidR="006831EE" w:rsidRPr="006831EE" w:rsidRDefault="006831EE" w:rsidP="006831EE">
      <w:pPr>
        <w:spacing w:after="0" w:line="276" w:lineRule="auto"/>
        <w:jc w:val="both"/>
        <w:rPr>
          <w:rFonts w:ascii="Verdana" w:eastAsia="Times New Roman" w:hAnsi="Verdana" w:cs="Times New Roman"/>
          <w:color w:val="000000"/>
          <w:lang w:eastAsia="es-MX"/>
        </w:rPr>
      </w:pPr>
      <w:r w:rsidRPr="006831EE">
        <w:rPr>
          <w:rFonts w:ascii="Verdana" w:eastAsia="Times New Roman" w:hAnsi="Verdana" w:cs="Times New Roman"/>
          <w:color w:val="000000"/>
          <w:lang w:eastAsia="es-MX"/>
        </w:rPr>
        <w:t>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06831EE">
        <w:rPr>
          <w:rFonts w:ascii="Verdana" w:eastAsia="Times New Roman" w:hAnsi="Verdana" w:cs="Times New Roman"/>
          <w:b/>
          <w:bCs/>
          <w:color w:val="000000"/>
          <w:lang w:eastAsia="es-MX"/>
        </w:rPr>
        <w:t>Guía para la Exigencia y Constitución de Garantías en los Procesos de Contratación</w:t>
      </w:r>
      <w:r w:rsidRPr="006831EE">
        <w:rPr>
          <w:rFonts w:ascii="Verdana" w:eastAsia="Times New Roman" w:hAnsi="Verdana" w:cs="Times New Roman"/>
          <w:color w:val="000000"/>
          <w:lang w:eastAsia="es-MX"/>
        </w:rPr>
        <w:t>,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Consúltala aquí: </w:t>
      </w:r>
      <w:hyperlink r:id="rId15" w:tooltip="Original URL:&#10;https://www.colombiacompra.gov.co/archivos/manual/guia-de-garantias-en-procesos-de-contratacion&#10;&#10;Click to follow link." w:history="1">
        <w:r w:rsidRPr="006831EE">
          <w:rPr>
            <w:rFonts w:ascii="Verdana" w:eastAsia="Times New Roman" w:hAnsi="Verdana" w:cs="Times New Roman"/>
            <w:color w:val="0086F0"/>
            <w:u w:val="single"/>
            <w:lang w:eastAsia="es-MX"/>
          </w:rPr>
          <w:t>https://www.colombiacompra.gov.co/archivos/manual/guia-de-garantias-en-procesos-de-contratacion</w:t>
        </w:r>
      </w:hyperlink>
    </w:p>
    <w:p w14:paraId="59C9DCC0" w14:textId="77777777" w:rsidR="006831EE" w:rsidRPr="006831EE" w:rsidRDefault="006831EE" w:rsidP="006831EE">
      <w:pPr>
        <w:spacing w:after="0" w:line="276" w:lineRule="auto"/>
        <w:jc w:val="both"/>
        <w:rPr>
          <w:rFonts w:ascii="Verdana" w:eastAsia="Times New Roman" w:hAnsi="Verdana" w:cs="Times New Roman"/>
          <w:color w:val="000000"/>
          <w:lang w:eastAsia="es-MX"/>
        </w:rPr>
      </w:pPr>
    </w:p>
    <w:p w14:paraId="3026A7C3" w14:textId="77777777" w:rsidR="006831EE" w:rsidRPr="006831EE" w:rsidRDefault="006831EE" w:rsidP="006831EE">
      <w:pPr>
        <w:spacing w:after="0" w:line="276" w:lineRule="auto"/>
        <w:jc w:val="both"/>
        <w:rPr>
          <w:rFonts w:ascii="Verdana" w:eastAsia="Times New Roman" w:hAnsi="Verdana" w:cs="Times New Roman"/>
          <w:color w:val="000000"/>
          <w:lang w:eastAsia="es-MX"/>
        </w:rPr>
      </w:pPr>
      <w:r w:rsidRPr="006831EE">
        <w:rPr>
          <w:rFonts w:ascii="Verdana" w:eastAsia="Times New Roman" w:hAnsi="Verdana" w:cs="Times New Roman"/>
          <w:color w:val="000000"/>
          <w:lang w:eastAsia="es-MX"/>
        </w:rPr>
        <w:t>De otro lado, te contamos que el Decreto 287 del 19 de marzo de 2026 sustituyó los artículos 2.2.1.2.4.2.6., 2.2.1.2.4.2.7. y 2.2.1.2.4.2.8. del Decreto 1082 de 2015 y estructuró el </w:t>
      </w:r>
      <w:r w:rsidRPr="006831EE">
        <w:rPr>
          <w:rFonts w:ascii="Verdana" w:eastAsia="Times New Roman" w:hAnsi="Verdana" w:cs="Times New Roman"/>
          <w:b/>
          <w:bCs/>
          <w:color w:val="000000"/>
          <w:lang w:eastAsia="es-MX"/>
        </w:rPr>
        <w:t>Sistema Integral de Preferencias en favor de las personas con discapacidad</w:t>
      </w:r>
      <w:r w:rsidRPr="006831EE">
        <w:rPr>
          <w:rFonts w:ascii="Verdana" w:eastAsia="Times New Roman" w:hAnsi="Verdana" w:cs="Times New Roman"/>
          <w:color w:val="000000"/>
          <w:lang w:eastAsia="es-MX"/>
        </w:rPr>
        <w:t>, en cumplimiento del artículo 13 de la Ley Estatutaria 1618 de 2013. Para orientar su aplicación, esta Agencia expidió la </w:t>
      </w:r>
      <w:r w:rsidRPr="006831EE">
        <w:rPr>
          <w:rFonts w:ascii="Verdana" w:eastAsia="Times New Roman" w:hAnsi="Verdana" w:cs="Times New Roman"/>
          <w:b/>
          <w:bCs/>
          <w:color w:val="000000"/>
          <w:lang w:eastAsia="es-MX"/>
        </w:rPr>
        <w:t>Circular Externa 003 del 12 de mayo de 2026, </w:t>
      </w:r>
      <w:r w:rsidRPr="006831EE">
        <w:rPr>
          <w:rFonts w:ascii="Verdana" w:eastAsia="Times New Roman" w:hAnsi="Verdana" w:cs="Times New Roman"/>
          <w:color w:val="000000"/>
          <w:lang w:eastAsia="es-MX"/>
        </w:rPr>
        <w:t xml:space="preserve">en la que precisa quiénes son los beneficiarios, las cinco medidas que integran el sistema y su obligatoriedad según la modalidad de selección, y el régimen de transición aplicable a los procesos en curso. Consúltala </w:t>
      </w:r>
      <w:r w:rsidRPr="006831EE">
        <w:rPr>
          <w:rFonts w:ascii="Verdana" w:eastAsia="Times New Roman" w:hAnsi="Verdana" w:cs="Times New Roman"/>
          <w:color w:val="000000"/>
          <w:lang w:eastAsia="es-MX"/>
        </w:rPr>
        <w:lastRenderedPageBreak/>
        <w:t>aquí: </w:t>
      </w:r>
      <w:hyperlink r:id="rId16" w:tooltip="Original URL:&#10;https://www.colombiacompra.gov.co/archivos/circular/circular-externa-003-de-2026&#10;&#10;Click to follow link." w:history="1">
        <w:r w:rsidRPr="006831EE">
          <w:rPr>
            <w:rFonts w:ascii="Verdana" w:eastAsia="Times New Roman" w:hAnsi="Verdana" w:cs="Times New Roman"/>
            <w:color w:val="0086F0"/>
            <w:u w:val="single"/>
            <w:lang w:eastAsia="es-MX"/>
          </w:rPr>
          <w:t>https://www.colombiacompra.gov.co/archivos/circular/circular-externa-003-de-2026</w:t>
        </w:r>
      </w:hyperlink>
    </w:p>
    <w:p w14:paraId="55FEC0E6" w14:textId="77777777" w:rsidR="006831EE" w:rsidRPr="006831EE" w:rsidRDefault="006831EE" w:rsidP="006831EE">
      <w:pPr>
        <w:spacing w:after="0" w:line="276" w:lineRule="auto"/>
        <w:jc w:val="both"/>
        <w:rPr>
          <w:rFonts w:ascii="Verdana" w:eastAsia="Times New Roman" w:hAnsi="Verdana" w:cs="Times New Roman"/>
          <w:color w:val="000000"/>
          <w:lang w:eastAsia="es-MX"/>
        </w:rPr>
      </w:pPr>
    </w:p>
    <w:p w14:paraId="293B2853" w14:textId="1B1A13A5" w:rsidR="006831EE" w:rsidRPr="006831EE" w:rsidRDefault="006831EE" w:rsidP="006831EE">
      <w:pPr>
        <w:spacing w:after="0" w:line="276" w:lineRule="auto"/>
        <w:jc w:val="both"/>
        <w:rPr>
          <w:rFonts w:ascii="Verdana" w:eastAsia="Times New Roman" w:hAnsi="Verdana" w:cs="Times New Roman"/>
          <w:color w:val="000000"/>
          <w:lang w:eastAsia="es-MX"/>
        </w:rPr>
      </w:pPr>
      <w:r w:rsidRPr="006831EE">
        <w:rPr>
          <w:rFonts w:ascii="Verdana" w:eastAsia="Times New Roman" w:hAnsi="Verdana" w:cs="Times New Roman"/>
          <w:color w:val="000000"/>
          <w:lang w:eastAsia="es-MX"/>
        </w:rPr>
        <w:t>Recuerda también que la</w:t>
      </w:r>
      <w:r w:rsidRPr="006831EE">
        <w:rPr>
          <w:rFonts w:ascii="Verdana" w:eastAsia="Times New Roman" w:hAnsi="Verdana" w:cs="Times New Roman"/>
          <w:b/>
          <w:bCs/>
          <w:color w:val="000000"/>
          <w:lang w:eastAsia="es-MX"/>
        </w:rPr>
        <w:t> información sobre sanciones e inhabilidades </w:t>
      </w:r>
      <w:r w:rsidRPr="006831EE">
        <w:rPr>
          <w:rFonts w:ascii="Verdana" w:eastAsia="Times New Roman" w:hAnsi="Verdana" w:cs="Times New Roman"/>
          <w:color w:val="000000"/>
          <w:lang w:eastAsia="es-MX"/>
        </w:rPr>
        <w:t>solo cumple su función preventiva si llega oportunamente a los registros públicos. Sobre este deber, esta Agencia expidió la </w:t>
      </w:r>
      <w:r w:rsidRPr="006831EE">
        <w:rPr>
          <w:rFonts w:ascii="Verdana" w:eastAsia="Times New Roman" w:hAnsi="Verdana" w:cs="Times New Roman"/>
          <w:b/>
          <w:bCs/>
          <w:color w:val="000000"/>
          <w:lang w:eastAsia="es-MX"/>
        </w:rPr>
        <w:t>Circular Externa 002 del 5 de mayo de 2026,</w:t>
      </w:r>
      <w:r w:rsidRPr="006831EE">
        <w:rPr>
          <w:rFonts w:ascii="Verdana" w:eastAsia="Times New Roman" w:hAnsi="Verdana" w:cs="Times New Roman"/>
          <w:color w:val="000000"/>
          <w:lang w:eastAsia="es-MX"/>
        </w:rPr>
        <w:t xml:space="preserve">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7" w:tooltip="Original URL:&#10;https://www.colombiacompra.gov.co/archivos/circular/circular-externa-002-de-2026&#10;&#10;Click to follow link." w:history="1">
        <w:r w:rsidRPr="006831EE">
          <w:rPr>
            <w:rFonts w:ascii="Verdana" w:eastAsia="Times New Roman" w:hAnsi="Verdana" w:cs="Times New Roman"/>
            <w:color w:val="0086F0"/>
            <w:u w:val="single"/>
            <w:lang w:eastAsia="es-MX"/>
          </w:rPr>
          <w:t>https://www.colombiacompra.gov.co/archivos/circular/circular-externa-002-de-2026</w:t>
        </w:r>
      </w:hyperlink>
    </w:p>
    <w:p w14:paraId="5D86B9CA" w14:textId="77777777" w:rsidR="006831EE" w:rsidRPr="006831EE" w:rsidRDefault="006831EE" w:rsidP="006831EE">
      <w:pPr>
        <w:spacing w:after="0" w:line="276" w:lineRule="auto"/>
        <w:jc w:val="both"/>
        <w:rPr>
          <w:rFonts w:ascii="Verdana" w:eastAsia="Times New Roman" w:hAnsi="Verdana" w:cs="Times New Roman"/>
          <w:color w:val="000000"/>
          <w:lang w:eastAsia="es-MX"/>
        </w:rPr>
      </w:pPr>
    </w:p>
    <w:p w14:paraId="149258B8" w14:textId="77777777" w:rsidR="006831EE" w:rsidRPr="006831EE" w:rsidRDefault="006831EE" w:rsidP="006831EE">
      <w:pPr>
        <w:spacing w:after="0" w:line="276" w:lineRule="auto"/>
        <w:jc w:val="both"/>
        <w:rPr>
          <w:rFonts w:ascii="Aptos" w:eastAsia="Times New Roman" w:hAnsi="Aptos" w:cs="Times New Roman"/>
          <w:color w:val="000000"/>
          <w:lang w:eastAsia="es-MX"/>
        </w:rPr>
      </w:pPr>
      <w:r w:rsidRPr="006831EE">
        <w:rPr>
          <w:rFonts w:ascii="Verdana" w:eastAsia="Times New Roman" w:hAnsi="Verdana" w:cs="Times New Roman"/>
          <w:color w:val="000000"/>
          <w:lang w:eastAsia="es-MX"/>
        </w:rPr>
        <w:t>Finalmente, si quieres seguir de cerca la actividad de la Agencia, la tercera edición de 2026 del</w:t>
      </w:r>
      <w:r w:rsidRPr="006831EE">
        <w:rPr>
          <w:rFonts w:ascii="Verdana" w:eastAsia="Times New Roman" w:hAnsi="Verdana" w:cs="Times New Roman"/>
          <w:b/>
          <w:bCs/>
          <w:color w:val="000000"/>
          <w:lang w:eastAsia="es-MX"/>
        </w:rPr>
        <w:t> Radar de la Compra Pública</w:t>
      </w:r>
      <w:r w:rsidRPr="006831EE">
        <w:rPr>
          <w:rFonts w:ascii="Verdana" w:eastAsia="Times New Roman" w:hAnsi="Verdana" w:cs="Times New Roman"/>
          <w:color w:val="000000"/>
          <w:lang w:eastAsia="es-MX"/>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Descárgalo aquí: </w:t>
      </w:r>
      <w:hyperlink r:id="rId18" w:tooltip="Original URL:&#10;https://www.colombiacompra.gov.co/archivos/boletin/boletin-edicion-n-3-de-2026-radar-de-la-compra-publica&#10;&#10;Click to follow link." w:history="1">
        <w:r w:rsidRPr="006831EE">
          <w:rPr>
            <w:rFonts w:ascii="Verdana" w:eastAsia="Times New Roman" w:hAnsi="Verdana" w:cs="Times New Roman"/>
            <w:color w:val="0086F0"/>
            <w:u w:val="single"/>
            <w:lang w:eastAsia="es-MX"/>
          </w:rPr>
          <w:t>https://www.colombiacompra.gov.co/archivos/boletin/boletin-edicion-n-3-de-2026-radar-de-la-compra-publica</w:t>
        </w:r>
      </w:hyperlink>
    </w:p>
    <w:p w14:paraId="4D62589E" w14:textId="77777777" w:rsidR="006831EE" w:rsidRPr="006831EE" w:rsidRDefault="006831EE" w:rsidP="006831EE">
      <w:pPr>
        <w:shd w:val="clear" w:color="auto" w:fill="FFFFFF"/>
        <w:spacing w:after="0" w:line="276" w:lineRule="auto"/>
        <w:jc w:val="both"/>
        <w:rPr>
          <w:rFonts w:ascii="Verdana" w:eastAsia="Calibri" w:hAnsi="Verdana" w:cs="Times New Roman"/>
          <w:color w:val="000000"/>
          <w:u w:val="single"/>
        </w:rPr>
      </w:pPr>
    </w:p>
    <w:p w14:paraId="50EE9411" w14:textId="77777777" w:rsidR="006831EE" w:rsidRPr="006831EE" w:rsidRDefault="006831EE" w:rsidP="006831EE">
      <w:pPr>
        <w:spacing w:after="0" w:line="252" w:lineRule="auto"/>
        <w:jc w:val="both"/>
        <w:rPr>
          <w:rFonts w:ascii="Verdana" w:eastAsia="Calibri" w:hAnsi="Verdana" w:cs="Times New Roman"/>
        </w:rPr>
      </w:pPr>
      <w:r w:rsidRPr="006831EE">
        <w:rPr>
          <w:rFonts w:ascii="Verdana" w:eastAsia="Calibri" w:hAnsi="Verdana" w:cs="Times New Roman"/>
        </w:rPr>
        <w:t xml:space="preserve">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6BB334E1" w14:textId="77777777" w:rsidR="006831EE" w:rsidRPr="006831EE" w:rsidRDefault="006831EE" w:rsidP="006831EE">
      <w:pPr>
        <w:spacing w:after="0" w:line="252" w:lineRule="auto"/>
        <w:jc w:val="both"/>
        <w:rPr>
          <w:rFonts w:ascii="Verdana" w:eastAsia="Calibri" w:hAnsi="Verdana" w:cs="Times New Roman"/>
        </w:rPr>
      </w:pPr>
    </w:p>
    <w:p w14:paraId="55007A5F" w14:textId="77777777" w:rsidR="006831EE" w:rsidRPr="006831EE" w:rsidRDefault="006831EE" w:rsidP="006831EE">
      <w:pPr>
        <w:numPr>
          <w:ilvl w:val="0"/>
          <w:numId w:val="19"/>
        </w:numPr>
        <w:spacing w:after="0" w:line="240" w:lineRule="auto"/>
        <w:contextualSpacing/>
        <w:jc w:val="both"/>
        <w:rPr>
          <w:rFonts w:ascii="Verdana" w:eastAsia="Verdana" w:hAnsi="Verdana" w:cs="Verdana"/>
          <w:color w:val="4472C4" w:themeColor="accent1"/>
          <w:u w:val="single"/>
          <w:lang w:val="es-MX"/>
        </w:rPr>
      </w:pPr>
      <w:r w:rsidRPr="006831EE">
        <w:rPr>
          <w:rFonts w:ascii="Verdana" w:eastAsia="Verdana" w:hAnsi="Verdana" w:cs="Verdana"/>
          <w:lang w:val="es-MX"/>
        </w:rPr>
        <w:t xml:space="preserve">Línea nacional gratuita o servicio a la ciudadanía (Mesa de servicio): </w:t>
      </w:r>
      <w:r w:rsidRPr="006831EE">
        <w:rPr>
          <w:rFonts w:ascii="Verdana" w:eastAsia="Calibri" w:hAnsi="Verdana" w:cs="Times New Roman"/>
          <w:color w:val="0000FF"/>
          <w:u w:val="single"/>
          <w:lang w:val="es-ES"/>
        </w:rPr>
        <w:t>01800 0520808</w:t>
      </w:r>
    </w:p>
    <w:p w14:paraId="0E63783D" w14:textId="77777777" w:rsidR="006831EE" w:rsidRPr="006831EE" w:rsidRDefault="006831EE" w:rsidP="006831EE">
      <w:pPr>
        <w:numPr>
          <w:ilvl w:val="0"/>
          <w:numId w:val="19"/>
        </w:numPr>
        <w:spacing w:after="0" w:line="252" w:lineRule="auto"/>
        <w:contextualSpacing/>
        <w:rPr>
          <w:rFonts w:ascii="Verdana" w:eastAsia="Verdana" w:hAnsi="Verdana" w:cs="Verdana"/>
          <w:color w:val="4472C4" w:themeColor="accent1"/>
          <w:u w:val="single"/>
          <w:lang w:val="es-MX"/>
        </w:rPr>
      </w:pPr>
      <w:r w:rsidRPr="006831EE">
        <w:rPr>
          <w:rFonts w:ascii="Verdana" w:eastAsia="Verdana" w:hAnsi="Verdana" w:cs="Verdana"/>
          <w:lang w:val="es-MX"/>
        </w:rPr>
        <w:t>Línea en Bogotá (Mesa de servicio</w:t>
      </w:r>
      <w:proofErr w:type="gramStart"/>
      <w:r w:rsidRPr="006831EE">
        <w:rPr>
          <w:rFonts w:ascii="Verdana" w:eastAsia="Verdana" w:hAnsi="Verdana" w:cs="Verdana"/>
          <w:lang w:val="es-MX"/>
        </w:rPr>
        <w:t>):</w:t>
      </w:r>
      <w:r w:rsidRPr="006831EE">
        <w:rPr>
          <w:rFonts w:ascii="Verdana" w:eastAsia="Calibri" w:hAnsi="Verdana" w:cs="Times New Roman"/>
          <w:color w:val="0000FF"/>
          <w:u w:val="single"/>
          <w:lang w:val="es-ES"/>
        </w:rPr>
        <w:t>+</w:t>
      </w:r>
      <w:proofErr w:type="gramEnd"/>
      <w:r w:rsidRPr="006831EE">
        <w:rPr>
          <w:rFonts w:ascii="Verdana" w:eastAsia="Calibri" w:hAnsi="Verdana" w:cs="Times New Roman"/>
          <w:color w:val="0000FF"/>
          <w:u w:val="single"/>
          <w:lang w:val="es-ES"/>
        </w:rPr>
        <w:t>57 601 7456788</w:t>
      </w:r>
    </w:p>
    <w:p w14:paraId="19087AF4" w14:textId="77777777" w:rsidR="006831EE" w:rsidRPr="006831EE" w:rsidRDefault="006831EE" w:rsidP="006831EE">
      <w:pPr>
        <w:numPr>
          <w:ilvl w:val="0"/>
          <w:numId w:val="19"/>
        </w:numPr>
        <w:spacing w:after="0" w:line="252" w:lineRule="auto"/>
        <w:contextualSpacing/>
        <w:rPr>
          <w:rFonts w:ascii="Verdana" w:eastAsia="Verdana" w:hAnsi="Verdana" w:cs="Verdana"/>
          <w:color w:val="0000FF"/>
          <w:u w:val="single"/>
          <w:lang w:val="es-MX"/>
        </w:rPr>
      </w:pPr>
      <w:r w:rsidRPr="006831EE">
        <w:rPr>
          <w:rFonts w:ascii="Verdana" w:eastAsia="Verdana" w:hAnsi="Verdana" w:cs="Verdana"/>
          <w:lang w:val="es-MX"/>
        </w:rPr>
        <w:t xml:space="preserve">Correo de radicación de correspondencia: </w:t>
      </w:r>
      <w:hyperlink r:id="rId19" w:history="1">
        <w:r w:rsidRPr="006831EE">
          <w:rPr>
            <w:rFonts w:ascii="Verdana" w:eastAsia="Verdana" w:hAnsi="Verdana" w:cs="Verdana"/>
            <w:color w:val="0000FF"/>
            <w:u w:val="single"/>
            <w:lang w:val="es-MX"/>
          </w:rPr>
          <w:t>ventanilladeradicacion@colombiacompra.gov.co</w:t>
        </w:r>
      </w:hyperlink>
    </w:p>
    <w:p w14:paraId="75619E5B" w14:textId="77777777" w:rsidR="006831EE" w:rsidRPr="006831EE" w:rsidRDefault="006831EE" w:rsidP="006831EE">
      <w:pPr>
        <w:numPr>
          <w:ilvl w:val="0"/>
          <w:numId w:val="19"/>
        </w:numPr>
        <w:spacing w:after="0" w:line="252" w:lineRule="auto"/>
        <w:contextualSpacing/>
        <w:rPr>
          <w:rFonts w:ascii="Verdana" w:eastAsia="Verdana" w:hAnsi="Verdana" w:cs="Verdana"/>
          <w:color w:val="0000FF"/>
          <w:u w:val="single"/>
          <w:lang w:val="es-MX"/>
        </w:rPr>
      </w:pPr>
      <w:r w:rsidRPr="006831EE">
        <w:rPr>
          <w:rFonts w:ascii="Verdana" w:eastAsia="Verdana" w:hAnsi="Verdana" w:cs="Verdana"/>
          <w:lang w:val="es-ES"/>
        </w:rPr>
        <w:t xml:space="preserve">Formulario web para PQRSD: </w:t>
      </w:r>
      <w:hyperlink r:id="rId20" w:history="1">
        <w:r w:rsidRPr="006831EE">
          <w:rPr>
            <w:rFonts w:ascii="Verdana" w:eastAsia="Verdana" w:hAnsi="Verdana" w:cs="Verdana"/>
            <w:color w:val="0000FF"/>
            <w:u w:val="single"/>
            <w:lang w:val="es-MX"/>
          </w:rPr>
          <w:t>https://www.colombiacompra.gov.co/pqrsd/informacion-importante-antes-de-formular-una-pqrsd</w:t>
        </w:r>
      </w:hyperlink>
    </w:p>
    <w:p w14:paraId="3D050058" w14:textId="77777777" w:rsidR="006831EE" w:rsidRPr="006831EE" w:rsidRDefault="006831EE" w:rsidP="006831EE">
      <w:pPr>
        <w:spacing w:after="0" w:line="240" w:lineRule="auto"/>
        <w:ind w:left="720"/>
        <w:jc w:val="both"/>
        <w:rPr>
          <w:rFonts w:ascii="Verdana" w:eastAsia="Calibri" w:hAnsi="Verdana" w:cs="Times New Roman"/>
        </w:rPr>
      </w:pPr>
    </w:p>
    <w:p w14:paraId="03EB1068" w14:textId="77777777" w:rsidR="006831EE" w:rsidRPr="006831EE" w:rsidRDefault="006831EE" w:rsidP="006831EE">
      <w:pPr>
        <w:spacing w:after="0" w:line="240" w:lineRule="auto"/>
        <w:rPr>
          <w:rFonts w:ascii="Verdana" w:eastAsia="Calibri" w:hAnsi="Verdana" w:cs="Times New Roman"/>
        </w:rPr>
      </w:pPr>
      <w:r w:rsidRPr="006831EE">
        <w:rPr>
          <w:rFonts w:ascii="Verdana" w:eastAsia="Calibri" w:hAnsi="Verdana" w:cs="Times New Roman"/>
        </w:rPr>
        <w:t xml:space="preserve">Evalúa el servicio que ofrece la Agencia por el canal de atención de PQRSD en el siguiente </w:t>
      </w:r>
      <w:proofErr w:type="gramStart"/>
      <w:r w:rsidRPr="006831EE">
        <w:rPr>
          <w:rFonts w:ascii="Verdana" w:eastAsia="Calibri" w:hAnsi="Verdana" w:cs="Times New Roman"/>
        </w:rPr>
        <w:t>enlace :</w:t>
      </w:r>
      <w:proofErr w:type="gramEnd"/>
      <w:hyperlink r:id="rId21" w:tgtFrame="_blank" w:tooltip="https://forms.office.com/r/pphywvs2sz" w:history="1">
        <w:r w:rsidRPr="006831EE">
          <w:rPr>
            <w:rFonts w:ascii="Verdana" w:eastAsia="Calibri" w:hAnsi="Verdana" w:cs="Times New Roman"/>
            <w:color w:val="0000FF"/>
            <w:u w:val="single"/>
          </w:rPr>
          <w:t>https://forms.office.com/r/pPHyWVs2SZ</w:t>
        </w:r>
      </w:hyperlink>
      <w:r w:rsidRPr="006831EE">
        <w:rPr>
          <w:rFonts w:ascii="Verdana" w:eastAsia="Calibri" w:hAnsi="Verdana" w:cs="Times New Roman"/>
        </w:rPr>
        <w:t xml:space="preserve"> .¡Ayúdanos a mejorar porque el compromiso es de todos!</w:t>
      </w:r>
    </w:p>
    <w:p w14:paraId="6BE1107D" w14:textId="77777777" w:rsidR="006831EE" w:rsidRPr="006831EE" w:rsidRDefault="006831EE" w:rsidP="006831EE">
      <w:pPr>
        <w:spacing w:after="0" w:line="240" w:lineRule="auto"/>
        <w:rPr>
          <w:rFonts w:ascii="Verdana" w:eastAsia="Calibri" w:hAnsi="Verdana" w:cs="Times New Roman"/>
        </w:rPr>
      </w:pPr>
    </w:p>
    <w:p w14:paraId="344279C8" w14:textId="77777777" w:rsidR="006831EE" w:rsidRPr="006831EE" w:rsidRDefault="006831EE" w:rsidP="006831EE">
      <w:pPr>
        <w:spacing w:after="0" w:line="240" w:lineRule="auto"/>
        <w:jc w:val="both"/>
        <w:rPr>
          <w:rFonts w:ascii="Verdana" w:eastAsia="Calibri" w:hAnsi="Verdana" w:cs="Times New Roman"/>
        </w:rPr>
      </w:pPr>
      <w:r w:rsidRPr="006831EE">
        <w:rPr>
          <w:rFonts w:ascii="Verdana" w:eastAsia="Calibri" w:hAnsi="Verdana" w:cs="Times New Roman"/>
        </w:rPr>
        <w:t xml:space="preserve">Por último, lo invitamos a seguirnos en las redes sociales en las cuales se difunde información institucional: </w:t>
      </w:r>
    </w:p>
    <w:p w14:paraId="7546B68F" w14:textId="77777777" w:rsidR="006831EE" w:rsidRPr="006831EE" w:rsidRDefault="006831EE" w:rsidP="006831EE">
      <w:pPr>
        <w:spacing w:after="0" w:line="240" w:lineRule="auto"/>
        <w:jc w:val="both"/>
        <w:rPr>
          <w:rFonts w:ascii="Verdana" w:eastAsia="Calibri" w:hAnsi="Verdana" w:cs="Times New Roman"/>
        </w:rPr>
      </w:pPr>
    </w:p>
    <w:p w14:paraId="34D6820A" w14:textId="77777777" w:rsidR="006831EE" w:rsidRPr="006831EE" w:rsidRDefault="006831EE" w:rsidP="006831EE">
      <w:pPr>
        <w:spacing w:after="0" w:line="240" w:lineRule="auto"/>
        <w:jc w:val="both"/>
        <w:rPr>
          <w:rFonts w:ascii="Verdana" w:eastAsia="Calibri" w:hAnsi="Verdana" w:cs="Times New Roman"/>
        </w:rPr>
      </w:pPr>
      <w:r w:rsidRPr="006831EE">
        <w:rPr>
          <w:rFonts w:ascii="Verdana" w:eastAsia="Calibri" w:hAnsi="Verdana" w:cs="Times New Roman"/>
        </w:rPr>
        <w:t xml:space="preserve">Twitter: </w:t>
      </w:r>
      <w:r w:rsidRPr="006831EE">
        <w:rPr>
          <w:rFonts w:ascii="Verdana" w:eastAsia="Calibri" w:hAnsi="Verdana" w:cs="Times New Roman"/>
          <w:color w:val="0000FF"/>
          <w:u w:val="single"/>
        </w:rPr>
        <w:t>@colombiacompra</w:t>
      </w:r>
      <w:r w:rsidRPr="006831EE">
        <w:rPr>
          <w:rFonts w:ascii="Verdana" w:eastAsia="Calibri" w:hAnsi="Verdana" w:cs="Times New Roman"/>
        </w:rPr>
        <w:t xml:space="preserve"> </w:t>
      </w:r>
    </w:p>
    <w:p w14:paraId="2447774D" w14:textId="77777777" w:rsidR="006831EE" w:rsidRPr="006831EE" w:rsidRDefault="006831EE" w:rsidP="006831EE">
      <w:pPr>
        <w:spacing w:after="0" w:line="240" w:lineRule="auto"/>
        <w:jc w:val="both"/>
        <w:rPr>
          <w:rFonts w:ascii="Verdana" w:eastAsia="Calibri" w:hAnsi="Verdana" w:cs="Times New Roman"/>
        </w:rPr>
      </w:pPr>
      <w:r w:rsidRPr="006831EE">
        <w:rPr>
          <w:rFonts w:ascii="Verdana" w:eastAsia="Calibri" w:hAnsi="Verdana" w:cs="Times New Roman"/>
        </w:rPr>
        <w:t xml:space="preserve">Facebook: </w:t>
      </w:r>
      <w:proofErr w:type="spellStart"/>
      <w:r w:rsidRPr="006831EE">
        <w:rPr>
          <w:rFonts w:ascii="Verdana" w:eastAsia="Calibri" w:hAnsi="Verdana" w:cs="Times New Roman"/>
          <w:color w:val="0000FF"/>
          <w:u w:val="single"/>
        </w:rPr>
        <w:t>ColombiaCompraEficiente</w:t>
      </w:r>
      <w:proofErr w:type="spellEnd"/>
    </w:p>
    <w:p w14:paraId="64B88B41" w14:textId="77777777" w:rsidR="006831EE" w:rsidRPr="006831EE" w:rsidRDefault="006831EE" w:rsidP="006831EE">
      <w:pPr>
        <w:spacing w:after="0" w:line="240" w:lineRule="auto"/>
        <w:jc w:val="both"/>
        <w:rPr>
          <w:rFonts w:ascii="Verdana" w:eastAsia="Calibri" w:hAnsi="Verdana" w:cs="Times New Roman"/>
        </w:rPr>
      </w:pPr>
      <w:r w:rsidRPr="006831EE">
        <w:rPr>
          <w:rFonts w:ascii="Verdana" w:eastAsia="Calibri" w:hAnsi="Verdana" w:cs="Times New Roman"/>
        </w:rPr>
        <w:t xml:space="preserve">LinkedIn: </w:t>
      </w:r>
      <w:r w:rsidRPr="006831EE">
        <w:rPr>
          <w:rFonts w:ascii="Verdana" w:eastAsia="Calibri" w:hAnsi="Verdana" w:cs="Times New Roman"/>
          <w:color w:val="0000FF"/>
          <w:u w:val="single"/>
        </w:rPr>
        <w:t>Agencia Nacional de Contratación Pública - Colombia Compra Eficiente</w:t>
      </w:r>
      <w:r w:rsidRPr="006831EE">
        <w:rPr>
          <w:rFonts w:ascii="Verdana" w:eastAsia="Calibri" w:hAnsi="Verdana" w:cs="Times New Roman"/>
        </w:rPr>
        <w:t xml:space="preserve"> Instagram: </w:t>
      </w:r>
      <w:r w:rsidRPr="006831EE">
        <w:rPr>
          <w:rFonts w:ascii="Verdana" w:eastAsia="Calibri" w:hAnsi="Verdana" w:cs="Times New Roman"/>
          <w:color w:val="0000FF"/>
          <w:u w:val="single"/>
        </w:rPr>
        <w:t>@colombiacompraeficiente_cce</w:t>
      </w:r>
    </w:p>
    <w:p w14:paraId="16C324FE" w14:textId="77777777" w:rsidR="006831EE" w:rsidRPr="006831EE" w:rsidRDefault="006831EE" w:rsidP="006831EE">
      <w:pPr>
        <w:widowControl w:val="0"/>
        <w:autoSpaceDE w:val="0"/>
        <w:autoSpaceDN w:val="0"/>
        <w:spacing w:after="120" w:line="276" w:lineRule="auto"/>
        <w:jc w:val="both"/>
        <w:rPr>
          <w:rFonts w:ascii="Verdana" w:eastAsia="Calibri" w:hAnsi="Verdana" w:cs="Arial"/>
          <w:color w:val="FF0000"/>
          <w:shd w:val="clear" w:color="auto" w:fill="FFFFFF"/>
          <w:lang w:val="es-ES_tradnl"/>
        </w:rPr>
      </w:pPr>
      <w:r w:rsidRPr="006831EE">
        <w:rPr>
          <w:rFonts w:ascii="Verdana" w:eastAsia="Calibri" w:hAnsi="Verdana" w:cs="Arial"/>
          <w:color w:val="FF0000"/>
          <w:shd w:val="clear" w:color="auto" w:fill="FFFFFF"/>
          <w:lang w:val="es-ES_tradnl"/>
        </w:rPr>
        <w:t xml:space="preserve">        </w:t>
      </w:r>
    </w:p>
    <w:p w14:paraId="576ED8B9" w14:textId="77777777" w:rsidR="006831EE" w:rsidRPr="006831EE" w:rsidRDefault="006831EE" w:rsidP="006831EE">
      <w:pPr>
        <w:widowControl w:val="0"/>
        <w:autoSpaceDE w:val="0"/>
        <w:autoSpaceDN w:val="0"/>
        <w:spacing w:after="0" w:line="276" w:lineRule="auto"/>
        <w:jc w:val="both"/>
        <w:rPr>
          <w:rFonts w:ascii="Verdana" w:eastAsia="Calibri" w:hAnsi="Verdana" w:cs="Arial"/>
          <w:lang w:val="es-ES_tradnl"/>
        </w:rPr>
      </w:pPr>
      <w:r w:rsidRPr="006831EE">
        <w:rPr>
          <w:rFonts w:ascii="Verdana" w:eastAsia="Calibri" w:hAnsi="Verdana" w:cs="Arial"/>
        </w:rPr>
        <w:t xml:space="preserve">Este concepto tiene el alcance previsto en el artículo 28 del Código de Procedimiento Administrativo y de lo Contencioso Administrativo </w:t>
      </w:r>
      <w:r w:rsidRPr="006831EE">
        <w:rPr>
          <w:rFonts w:ascii="Verdana" w:eastAsia="Calibri" w:hAnsi="Verdana" w:cs="Arial"/>
          <w:lang w:val="es-ES_tradnl"/>
        </w:rPr>
        <w:t>y las expresiones aquí utilizadas con mayúscula inicial deben ser entendidas con el significado que les otorga el artículo 2.2.1.1.1.3.1. del Decreto 1082 de 2015.</w:t>
      </w:r>
    </w:p>
    <w:p w14:paraId="527D10BD" w14:textId="77777777" w:rsidR="006831EE" w:rsidRPr="006831EE" w:rsidRDefault="006831EE" w:rsidP="006831EE">
      <w:pPr>
        <w:widowControl w:val="0"/>
        <w:autoSpaceDE w:val="0"/>
        <w:autoSpaceDN w:val="0"/>
        <w:spacing w:after="0" w:line="276" w:lineRule="auto"/>
        <w:jc w:val="both"/>
        <w:rPr>
          <w:rFonts w:ascii="Verdana" w:eastAsia="Calibri" w:hAnsi="Verdana" w:cs="Arial"/>
        </w:rPr>
      </w:pPr>
    </w:p>
    <w:p w14:paraId="22F81334" w14:textId="77777777" w:rsidR="006831EE" w:rsidRPr="006831EE" w:rsidRDefault="006831EE" w:rsidP="006831EE">
      <w:pPr>
        <w:spacing w:after="0" w:line="276" w:lineRule="auto"/>
        <w:rPr>
          <w:rFonts w:ascii="Verdana" w:eastAsia="Calibri" w:hAnsi="Verdana" w:cs="Arial"/>
          <w:lang w:val="es-ES" w:eastAsia="es-CO"/>
        </w:rPr>
      </w:pPr>
      <w:r w:rsidRPr="006831EE">
        <w:rPr>
          <w:rFonts w:ascii="Verdana" w:eastAsia="Times New Roman" w:hAnsi="Verdana" w:cs="Arial"/>
          <w:lang w:val="es-ES" w:eastAsia="es-CO"/>
        </w:rPr>
        <w:t>Atentamente,</w:t>
      </w:r>
      <w:r w:rsidRPr="006831EE">
        <w:rPr>
          <w:rFonts w:ascii="Verdana" w:eastAsia="Calibri" w:hAnsi="Verdana" w:cs="Arial"/>
          <w:lang w:val="es-ES" w:eastAsia="es-CO"/>
        </w:rPr>
        <w:t xml:space="preserve"> </w:t>
      </w:r>
    </w:p>
    <w:p w14:paraId="220584FD" w14:textId="77777777" w:rsidR="006831EE" w:rsidRPr="006831EE" w:rsidRDefault="006831EE" w:rsidP="006831EE">
      <w:pPr>
        <w:autoSpaceDE w:val="0"/>
        <w:autoSpaceDN w:val="0"/>
        <w:adjustRightInd w:val="0"/>
        <w:spacing w:after="0" w:line="276" w:lineRule="auto"/>
        <w:rPr>
          <w:rFonts w:ascii="Verdana" w:eastAsia="Calibri" w:hAnsi="Verdana" w:cs="Arial"/>
          <w:noProof/>
          <w:sz w:val="20"/>
          <w:szCs w:val="20"/>
        </w:rPr>
      </w:pPr>
    </w:p>
    <w:p w14:paraId="48CBA23F" w14:textId="3F5EE8AC" w:rsidR="006831EE" w:rsidRPr="006831EE" w:rsidRDefault="00C17A0E" w:rsidP="006831EE">
      <w:pPr>
        <w:spacing w:after="0" w:line="252" w:lineRule="auto"/>
        <w:jc w:val="center"/>
        <w:rPr>
          <w:rFonts w:ascii="Verdana" w:eastAsia="Times New Roman" w:hAnsi="Verdana" w:cs="Arial"/>
          <w:lang w:eastAsia="es-ES"/>
        </w:rPr>
      </w:pPr>
      <w:r>
        <w:rPr>
          <w:noProof/>
        </w:rPr>
        <w:drawing>
          <wp:inline distT="0" distB="0" distL="0" distR="0" wp14:anchorId="3710F5E3" wp14:editId="20B5D26B">
            <wp:extent cx="3771900" cy="1400175"/>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22"/>
                    <a:stretch>
                      <a:fillRect/>
                    </a:stretch>
                  </pic:blipFill>
                  <pic:spPr>
                    <a:xfrm>
                      <a:off x="0" y="0"/>
                      <a:ext cx="3771900" cy="1400175"/>
                    </a:xfrm>
                    <a:prstGeom prst="rect">
                      <a:avLst/>
                    </a:prstGeom>
                  </pic:spPr>
                </pic:pic>
              </a:graphicData>
            </a:graphic>
          </wp:inline>
        </w:drawing>
      </w:r>
    </w:p>
    <w:p w14:paraId="471C178A" w14:textId="77777777" w:rsidR="006831EE" w:rsidRPr="006831EE" w:rsidRDefault="006831EE" w:rsidP="006831EE">
      <w:pPr>
        <w:spacing w:after="0" w:line="240" w:lineRule="auto"/>
        <w:jc w:val="center"/>
        <w:rPr>
          <w:rFonts w:ascii="Verdana" w:eastAsia="Times New Roman" w:hAnsi="Verdana" w:cs="Arial"/>
          <w:lang w:eastAsia="es-ES"/>
        </w:rPr>
      </w:pPr>
    </w:p>
    <w:tbl>
      <w:tblPr>
        <w:tblW w:w="6570" w:type="dxa"/>
        <w:tblInd w:w="142"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733"/>
        <w:gridCol w:w="5837"/>
      </w:tblGrid>
      <w:tr w:rsidR="006831EE" w:rsidRPr="006831EE" w14:paraId="56C10F9B" w14:textId="77777777">
        <w:trPr>
          <w:trHeight w:val="322"/>
        </w:trPr>
        <w:tc>
          <w:tcPr>
            <w:tcW w:w="733" w:type="dxa"/>
            <w:tcBorders>
              <w:top w:val="nil"/>
              <w:left w:val="nil"/>
              <w:bottom w:val="nil"/>
              <w:right w:val="nil"/>
            </w:tcBorders>
            <w:vAlign w:val="center"/>
            <w:hideMark/>
          </w:tcPr>
          <w:p w14:paraId="1BBFDC02" w14:textId="77777777" w:rsidR="006831EE" w:rsidRPr="006831EE" w:rsidRDefault="006831EE" w:rsidP="006831EE">
            <w:pPr>
              <w:spacing w:after="0" w:line="240" w:lineRule="auto"/>
              <w:textAlignment w:val="baseline"/>
              <w:rPr>
                <w:rFonts w:ascii="Verdana" w:eastAsia="Times New Roman" w:hAnsi="Verdana" w:cs="Times New Roman"/>
                <w:sz w:val="16"/>
                <w:szCs w:val="16"/>
                <w:lang w:eastAsia="es-CO"/>
              </w:rPr>
            </w:pPr>
            <w:r w:rsidRPr="006831EE">
              <w:rPr>
                <w:rFonts w:ascii="Verdana" w:eastAsia="Times New Roman" w:hAnsi="Verdana" w:cs="Times New Roman"/>
                <w:sz w:val="16"/>
                <w:szCs w:val="16"/>
                <w:lang w:val="es-MX" w:eastAsia="es-CO"/>
              </w:rPr>
              <w:t>Elaboró:         </w:t>
            </w:r>
            <w:r w:rsidRPr="006831EE">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2A67E828" w14:textId="77777777" w:rsidR="006831EE" w:rsidRPr="006831EE" w:rsidRDefault="006831EE" w:rsidP="006831EE">
            <w:pPr>
              <w:spacing w:after="0" w:line="252" w:lineRule="auto"/>
              <w:rPr>
                <w:rFonts w:ascii="Verdana" w:eastAsia="Times New Roman" w:hAnsi="Verdana" w:cs="Arial"/>
                <w:sz w:val="16"/>
                <w:szCs w:val="16"/>
                <w:lang w:val="es-ES_tradnl" w:eastAsia="es-ES"/>
              </w:rPr>
            </w:pPr>
            <w:r w:rsidRPr="006831EE">
              <w:rPr>
                <w:rFonts w:ascii="Verdana" w:eastAsia="Times New Roman" w:hAnsi="Verdana" w:cs="Arial"/>
                <w:sz w:val="16"/>
                <w:szCs w:val="16"/>
                <w:lang w:val="es-ES_tradnl" w:eastAsia="es-ES"/>
              </w:rPr>
              <w:t>Ximena Ríos López</w:t>
            </w:r>
          </w:p>
          <w:p w14:paraId="6F421F8B" w14:textId="77777777" w:rsidR="006831EE" w:rsidRPr="006831EE" w:rsidRDefault="006831EE" w:rsidP="006831EE">
            <w:pPr>
              <w:autoSpaceDE w:val="0"/>
              <w:autoSpaceDN w:val="0"/>
              <w:adjustRightInd w:val="0"/>
              <w:spacing w:after="0" w:line="276" w:lineRule="auto"/>
              <w:rPr>
                <w:rFonts w:ascii="Verdana" w:eastAsia="Calibri" w:hAnsi="Verdana" w:cs="Arial"/>
              </w:rPr>
            </w:pPr>
            <w:r w:rsidRPr="006831EE">
              <w:rPr>
                <w:rFonts w:ascii="Verdana" w:eastAsia="Times New Roman" w:hAnsi="Verdana" w:cs="Arial"/>
                <w:sz w:val="16"/>
                <w:szCs w:val="16"/>
                <w:lang w:eastAsia="es-ES"/>
              </w:rPr>
              <w:t>Gestor T1-11 de la Subdirección de Gestión Contractual</w:t>
            </w:r>
          </w:p>
        </w:tc>
      </w:tr>
      <w:tr w:rsidR="006831EE" w:rsidRPr="006831EE" w14:paraId="73D3212F" w14:textId="77777777">
        <w:trPr>
          <w:trHeight w:val="322"/>
        </w:trPr>
        <w:tc>
          <w:tcPr>
            <w:tcW w:w="733" w:type="dxa"/>
            <w:tcBorders>
              <w:top w:val="nil"/>
              <w:left w:val="nil"/>
              <w:bottom w:val="nil"/>
              <w:right w:val="nil"/>
            </w:tcBorders>
            <w:vAlign w:val="center"/>
            <w:hideMark/>
          </w:tcPr>
          <w:p w14:paraId="47808DBE" w14:textId="77777777" w:rsidR="006831EE" w:rsidRPr="006831EE" w:rsidRDefault="006831EE" w:rsidP="006831EE">
            <w:pPr>
              <w:spacing w:after="0" w:line="240" w:lineRule="auto"/>
              <w:textAlignment w:val="baseline"/>
              <w:rPr>
                <w:rFonts w:ascii="Verdana" w:eastAsia="Times New Roman" w:hAnsi="Verdana" w:cs="Times New Roman"/>
                <w:sz w:val="16"/>
                <w:szCs w:val="16"/>
                <w:lang w:eastAsia="es-CO"/>
              </w:rPr>
            </w:pPr>
            <w:r w:rsidRPr="006831EE">
              <w:rPr>
                <w:rFonts w:ascii="Verdana" w:eastAsia="Times New Roman" w:hAnsi="Verdana" w:cs="Times New Roman"/>
                <w:sz w:val="16"/>
                <w:szCs w:val="16"/>
                <w:lang w:val="es-MX" w:eastAsia="es-CO"/>
              </w:rPr>
              <w:t>Revisó:</w:t>
            </w:r>
            <w:r w:rsidRPr="006831EE">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29CA8319" w14:textId="5ECCF349" w:rsidR="006831EE" w:rsidRPr="006831EE" w:rsidRDefault="00A25EA0" w:rsidP="006831EE">
            <w:pPr>
              <w:spacing w:after="0" w:line="252" w:lineRule="auto"/>
              <w:rPr>
                <w:rFonts w:ascii="Verdana" w:eastAsia="Times New Roman" w:hAnsi="Verdana" w:cs="Arial"/>
                <w:sz w:val="16"/>
                <w:szCs w:val="16"/>
                <w:lang w:val="es-ES_tradnl" w:eastAsia="es-ES"/>
              </w:rPr>
            </w:pPr>
            <w:r>
              <w:rPr>
                <w:rFonts w:ascii="Verdana" w:eastAsia="Times New Roman" w:hAnsi="Verdana" w:cs="Arial"/>
                <w:sz w:val="16"/>
                <w:szCs w:val="16"/>
                <w:lang w:val="es-ES_tradnl" w:eastAsia="es-ES"/>
              </w:rPr>
              <w:t>Juan Cárdenas</w:t>
            </w:r>
          </w:p>
          <w:p w14:paraId="59141E16" w14:textId="77777777" w:rsidR="006831EE" w:rsidRPr="006831EE" w:rsidRDefault="006831EE" w:rsidP="006831EE">
            <w:pPr>
              <w:autoSpaceDE w:val="0"/>
              <w:autoSpaceDN w:val="0"/>
              <w:adjustRightInd w:val="0"/>
              <w:spacing w:after="0" w:line="276" w:lineRule="auto"/>
              <w:rPr>
                <w:rFonts w:ascii="Verdana" w:eastAsia="Calibri" w:hAnsi="Verdana" w:cs="Arial"/>
              </w:rPr>
            </w:pPr>
            <w:r w:rsidRPr="006831EE">
              <w:rPr>
                <w:rFonts w:ascii="Verdana" w:eastAsia="Times New Roman" w:hAnsi="Verdana" w:cs="Arial"/>
                <w:sz w:val="16"/>
                <w:szCs w:val="16"/>
                <w:lang w:eastAsia="es-ES"/>
              </w:rPr>
              <w:t>Contratista de la Subdirección de Gestión Contractual</w:t>
            </w:r>
          </w:p>
        </w:tc>
      </w:tr>
      <w:tr w:rsidR="006831EE" w:rsidRPr="006831EE" w14:paraId="45D9D8A6" w14:textId="77777777">
        <w:trPr>
          <w:trHeight w:val="307"/>
        </w:trPr>
        <w:tc>
          <w:tcPr>
            <w:tcW w:w="733" w:type="dxa"/>
            <w:tcBorders>
              <w:top w:val="nil"/>
              <w:left w:val="nil"/>
              <w:bottom w:val="nil"/>
              <w:right w:val="nil"/>
            </w:tcBorders>
            <w:vAlign w:val="center"/>
            <w:hideMark/>
          </w:tcPr>
          <w:p w14:paraId="05ACF732" w14:textId="77777777" w:rsidR="006831EE" w:rsidRPr="006831EE" w:rsidRDefault="006831EE" w:rsidP="006831EE">
            <w:pPr>
              <w:spacing w:after="0" w:line="240" w:lineRule="auto"/>
              <w:textAlignment w:val="baseline"/>
              <w:rPr>
                <w:rFonts w:ascii="Verdana" w:eastAsia="Times New Roman" w:hAnsi="Verdana" w:cs="Times New Roman"/>
                <w:sz w:val="16"/>
                <w:szCs w:val="16"/>
                <w:lang w:eastAsia="es-CO"/>
              </w:rPr>
            </w:pPr>
            <w:r w:rsidRPr="006831EE">
              <w:rPr>
                <w:rFonts w:ascii="Verdana" w:eastAsia="Times New Roman" w:hAnsi="Verdana" w:cs="Times New Roman"/>
                <w:sz w:val="16"/>
                <w:szCs w:val="16"/>
                <w:lang w:val="es-MX" w:eastAsia="es-CO"/>
              </w:rPr>
              <w:t>Aprobó:</w:t>
            </w:r>
            <w:r w:rsidRPr="006831EE">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5793FB06" w14:textId="77777777" w:rsidR="006831EE" w:rsidRPr="006831EE" w:rsidRDefault="006831EE" w:rsidP="006831EE">
            <w:pPr>
              <w:spacing w:after="0" w:line="252" w:lineRule="auto"/>
              <w:rPr>
                <w:rFonts w:ascii="Verdana" w:eastAsia="Times New Roman" w:hAnsi="Verdana" w:cs="Arial"/>
                <w:sz w:val="16"/>
                <w:szCs w:val="16"/>
                <w:lang w:eastAsia="es-ES"/>
              </w:rPr>
            </w:pPr>
            <w:r w:rsidRPr="006831EE">
              <w:rPr>
                <w:rFonts w:ascii="Verdana" w:eastAsia="Times New Roman" w:hAnsi="Verdana" w:cs="Arial"/>
                <w:sz w:val="16"/>
                <w:szCs w:val="16"/>
                <w:lang w:eastAsia="es-ES"/>
              </w:rPr>
              <w:t>Carolina Quintero Gacharná</w:t>
            </w:r>
          </w:p>
          <w:p w14:paraId="6312086B" w14:textId="77777777" w:rsidR="006831EE" w:rsidRPr="006831EE" w:rsidRDefault="006831EE" w:rsidP="006831EE">
            <w:pPr>
              <w:spacing w:after="0" w:line="252" w:lineRule="auto"/>
              <w:rPr>
                <w:rFonts w:ascii="Verdana" w:eastAsia="Times New Roman" w:hAnsi="Verdana" w:cs="Arial"/>
                <w:sz w:val="16"/>
                <w:szCs w:val="16"/>
                <w:lang w:eastAsia="es-ES"/>
              </w:rPr>
            </w:pPr>
            <w:r w:rsidRPr="006831EE">
              <w:rPr>
                <w:rFonts w:ascii="Verdana" w:eastAsia="Times New Roman" w:hAnsi="Verdana" w:cs="Arial"/>
                <w:sz w:val="16"/>
                <w:szCs w:val="16"/>
                <w:lang w:eastAsia="es-ES"/>
              </w:rPr>
              <w:t>Subdirectora de Gestión Contractual ANCP – CCE</w:t>
            </w:r>
          </w:p>
        </w:tc>
      </w:tr>
    </w:tbl>
    <w:p w14:paraId="515921BC" w14:textId="37F9F245" w:rsidR="006831EE" w:rsidRPr="006831EE" w:rsidRDefault="006831EE" w:rsidP="006831EE">
      <w:pPr>
        <w:widowControl w:val="0"/>
        <w:autoSpaceDE w:val="0"/>
        <w:autoSpaceDN w:val="0"/>
        <w:spacing w:after="120" w:line="276" w:lineRule="auto"/>
        <w:jc w:val="both"/>
        <w:rPr>
          <w:rFonts w:ascii="Verdana" w:eastAsia="Calibri" w:hAnsi="Verdana" w:cs="Arial"/>
          <w:color w:val="000000" w:themeColor="text1"/>
          <w:shd w:val="clear" w:color="auto" w:fill="FFFFFF"/>
        </w:rPr>
      </w:pPr>
    </w:p>
    <w:p w14:paraId="6370036F" w14:textId="77777777" w:rsidR="006831EE" w:rsidRPr="006831EE" w:rsidRDefault="006831EE" w:rsidP="006831EE">
      <w:pPr>
        <w:widowControl w:val="0"/>
        <w:autoSpaceDE w:val="0"/>
        <w:autoSpaceDN w:val="0"/>
        <w:spacing w:after="0" w:line="276" w:lineRule="auto"/>
        <w:jc w:val="both"/>
        <w:rPr>
          <w:rFonts w:ascii="Verdana" w:eastAsia="Calibri" w:hAnsi="Verdana" w:cs="Arial"/>
        </w:rPr>
      </w:pPr>
    </w:p>
    <w:p w14:paraId="178D86BB" w14:textId="77777777" w:rsidR="00814218" w:rsidRDefault="00814218" w:rsidP="00814218"/>
    <w:p w14:paraId="0F293BF4" w14:textId="7B62D48C" w:rsidR="00127233" w:rsidRPr="001964D3" w:rsidRDefault="00127233" w:rsidP="001964D3"/>
    <w:sectPr w:rsidR="00127233" w:rsidRPr="001964D3" w:rsidSect="007C0C0F">
      <w:headerReference w:type="default" r:id="rId23"/>
      <w:footerReference w:type="default" r:id="rId24"/>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AB4A9D" w14:textId="77777777" w:rsidR="00471754" w:rsidRDefault="00471754" w:rsidP="004A1847">
      <w:pPr>
        <w:spacing w:after="0" w:line="240" w:lineRule="auto"/>
      </w:pPr>
      <w:r>
        <w:separator/>
      </w:r>
    </w:p>
  </w:endnote>
  <w:endnote w:type="continuationSeparator" w:id="0">
    <w:p w14:paraId="19B5FDB2" w14:textId="77777777" w:rsidR="00471754" w:rsidRDefault="00471754"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Arial Nova">
    <w:charset w:val="00"/>
    <w:family w:val="swiss"/>
    <w:pitch w:val="variable"/>
    <w:sig w:usb0="0000028F" w:usb1="00000002" w:usb2="00000000" w:usb3="00000000" w:csb0="0000019F" w:csb1="00000000"/>
  </w:font>
  <w:font w:name="Arial MT">
    <w:altName w:val="Arial"/>
    <w:charset w:val="01"/>
    <w:family w:val="swiss"/>
    <w:pitch w:val="variable"/>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746C55" w14:textId="77777777" w:rsidR="00471754" w:rsidRDefault="00471754" w:rsidP="004A1847">
      <w:pPr>
        <w:spacing w:after="0" w:line="240" w:lineRule="auto"/>
      </w:pPr>
      <w:r>
        <w:separator/>
      </w:r>
    </w:p>
  </w:footnote>
  <w:footnote w:type="continuationSeparator" w:id="0">
    <w:p w14:paraId="1AF0CD9D" w14:textId="77777777" w:rsidR="00471754" w:rsidRDefault="00471754" w:rsidP="004A1847">
      <w:pPr>
        <w:spacing w:after="0" w:line="240" w:lineRule="auto"/>
      </w:pPr>
      <w:r>
        <w:continuationSeparator/>
      </w:r>
    </w:p>
  </w:footnote>
  <w:footnote w:id="1">
    <w:p w14:paraId="7284B25E" w14:textId="77777777" w:rsidR="00814218" w:rsidRPr="00BB1D72" w:rsidRDefault="00814218" w:rsidP="00814218">
      <w:pPr>
        <w:pStyle w:val="Textonotapie"/>
        <w:ind w:firstLine="709"/>
        <w:jc w:val="both"/>
        <w:rPr>
          <w:rFonts w:ascii="Verdana" w:hAnsi="Verdana" w:cs="Arial"/>
          <w:sz w:val="14"/>
          <w:szCs w:val="14"/>
        </w:rPr>
      </w:pPr>
      <w:r w:rsidRPr="00BB1D72">
        <w:rPr>
          <w:rStyle w:val="Refdenotaalpie"/>
          <w:rFonts w:ascii="Verdana" w:hAnsi="Verdana" w:cs="Arial"/>
          <w:sz w:val="14"/>
          <w:szCs w:val="14"/>
        </w:rPr>
        <w:footnoteRef/>
      </w:r>
      <w:r w:rsidRPr="00BB1D72">
        <w:rPr>
          <w:rFonts w:ascii="Verdana" w:hAnsi="Verdana" w:cs="Arial"/>
          <w:sz w:val="14"/>
          <w:szCs w:val="14"/>
        </w:rPr>
        <w:t xml:space="preserve"> Así lo señaló el Consejo de Estado en la sentencia de unificación en mención, al indicar que “cualquier contrato de prestación de servicios tiene por objeto genérico “desarrollar actividades relacionadas con la administración o funcionamiento de la entidad”.</w:t>
      </w:r>
    </w:p>
    <w:p w14:paraId="67BBB842" w14:textId="77777777" w:rsidR="00814218" w:rsidRPr="00BB1D72" w:rsidRDefault="00814218" w:rsidP="00814218">
      <w:pPr>
        <w:pStyle w:val="Textonotapie"/>
        <w:ind w:firstLine="709"/>
        <w:jc w:val="both"/>
        <w:rPr>
          <w:rFonts w:ascii="Verdana" w:hAnsi="Verdana" w:cs="Arial"/>
          <w:sz w:val="14"/>
          <w:szCs w:val="14"/>
          <w:lang w:val="es-ES_tradnl"/>
        </w:rPr>
      </w:pPr>
    </w:p>
  </w:footnote>
  <w:footnote w:id="2">
    <w:p w14:paraId="27989C69" w14:textId="77777777" w:rsidR="00814218" w:rsidRPr="00BB1D72" w:rsidRDefault="00814218" w:rsidP="00814218">
      <w:pPr>
        <w:pStyle w:val="Textonotapie"/>
        <w:ind w:firstLine="709"/>
        <w:jc w:val="both"/>
        <w:rPr>
          <w:rFonts w:ascii="Verdana" w:hAnsi="Verdana" w:cs="Arial"/>
          <w:color w:val="000000"/>
          <w:sz w:val="14"/>
          <w:szCs w:val="14"/>
          <w:lang w:val="es-ES"/>
        </w:rPr>
      </w:pPr>
      <w:r w:rsidRPr="00BB1D72">
        <w:rPr>
          <w:rStyle w:val="Refdenotaalpie"/>
          <w:rFonts w:ascii="Verdana" w:hAnsi="Verdana"/>
          <w:sz w:val="14"/>
          <w:szCs w:val="14"/>
        </w:rPr>
        <w:footnoteRef/>
      </w:r>
      <w:r w:rsidRPr="00BB1D72">
        <w:rPr>
          <w:rFonts w:ascii="Verdana" w:hAnsi="Verdana"/>
          <w:sz w:val="14"/>
          <w:szCs w:val="14"/>
        </w:rPr>
        <w:t xml:space="preserve"> </w:t>
      </w:r>
      <w:r w:rsidRPr="00BB1D72">
        <w:rPr>
          <w:rFonts w:ascii="Verdana" w:hAnsi="Verdana" w:cs="Arial"/>
          <w:color w:val="000000"/>
          <w:sz w:val="14"/>
          <w:szCs w:val="14"/>
          <w:lang w:val="es-ES"/>
        </w:rPr>
        <w:t>El artículo 22 del Código Sustantivo del Trabajo establece: “1. Contrato de trabajo es aquel por el cual una persona natural se obliga a prestar un servicio personal a otra persona, natural o jurídica, bajo la continuada dependencia o subordinación de la segunda y mediante remuneración. Quien presta el servicio se denomina trabajador, quien lo recibe y remunera, empleador, y la remuneración, cualquiera que sea su forma, salario”.</w:t>
      </w:r>
    </w:p>
    <w:p w14:paraId="24B53938" w14:textId="77777777" w:rsidR="00814218" w:rsidRPr="00BB1D72" w:rsidRDefault="00814218" w:rsidP="00814218">
      <w:pPr>
        <w:pStyle w:val="Textonotapie"/>
        <w:ind w:firstLine="709"/>
        <w:jc w:val="both"/>
        <w:rPr>
          <w:rFonts w:ascii="Verdana" w:hAnsi="Verdana" w:cs="Arial"/>
          <w:color w:val="000000"/>
          <w:sz w:val="14"/>
          <w:szCs w:val="14"/>
          <w:lang w:val="es-ES"/>
        </w:rPr>
      </w:pPr>
    </w:p>
  </w:footnote>
  <w:footnote w:id="3">
    <w:p w14:paraId="5760E159" w14:textId="77777777" w:rsidR="00814218" w:rsidRPr="00BB1D72" w:rsidRDefault="00814218" w:rsidP="00814218">
      <w:pPr>
        <w:pStyle w:val="Textonotapie"/>
        <w:ind w:firstLine="709"/>
        <w:jc w:val="both"/>
        <w:rPr>
          <w:rFonts w:ascii="Verdana" w:hAnsi="Verdana" w:cs="Arial"/>
          <w:color w:val="000000"/>
          <w:sz w:val="14"/>
          <w:szCs w:val="14"/>
          <w:lang w:val="es-ES"/>
        </w:rPr>
      </w:pPr>
      <w:r w:rsidRPr="00BB1D72">
        <w:rPr>
          <w:rStyle w:val="Refdenotaalpie"/>
          <w:rFonts w:ascii="Verdana" w:hAnsi="Verdana"/>
          <w:sz w:val="14"/>
          <w:szCs w:val="14"/>
        </w:rPr>
        <w:footnoteRef/>
      </w:r>
      <w:r w:rsidRPr="00BB1D72">
        <w:rPr>
          <w:rFonts w:ascii="Verdana" w:hAnsi="Verdana"/>
          <w:sz w:val="14"/>
          <w:szCs w:val="14"/>
        </w:rPr>
        <w:t xml:space="preserve"> </w:t>
      </w:r>
      <w:r w:rsidRPr="00BB1D72">
        <w:rPr>
          <w:rFonts w:ascii="Verdana" w:hAnsi="Verdana" w:cs="Arial"/>
          <w:color w:val="000000"/>
          <w:sz w:val="14"/>
          <w:szCs w:val="14"/>
          <w:lang w:val="es-ES"/>
        </w:rPr>
        <w:t>En efecto, el artículo 244 de la Ley 1955 de 2015 dispone, en lo pertinente: “Los trabajadores independientes con ingresos netos iguales o superiores a 1 salario mínimo legal mensual vigente que celebren contratos de prestación de servicios personales, cotizarán mes vencido al Sistema de Seguridad Social Integral, sobre una base mínima del 40% del valor mensualizado del contrato, sin incluir el valor del Impuesto al Valor Agregado (IVA).</w:t>
      </w:r>
    </w:p>
    <w:p w14:paraId="3AB20287" w14:textId="77777777" w:rsidR="00814218" w:rsidRPr="00BB1D72" w:rsidRDefault="00814218" w:rsidP="00814218">
      <w:pPr>
        <w:pStyle w:val="Textonotapie"/>
        <w:ind w:firstLine="709"/>
        <w:jc w:val="both"/>
        <w:rPr>
          <w:rFonts w:ascii="Verdana" w:hAnsi="Verdana" w:cs="Arial"/>
          <w:color w:val="000000"/>
          <w:sz w:val="14"/>
          <w:szCs w:val="14"/>
          <w:lang w:val="es-ES"/>
        </w:rPr>
      </w:pPr>
      <w:r w:rsidRPr="00BB1D72">
        <w:rPr>
          <w:rFonts w:ascii="Verdana" w:hAnsi="Verdana" w:cs="Arial"/>
          <w:color w:val="000000"/>
          <w:sz w:val="14"/>
          <w:szCs w:val="14"/>
          <w:lang w:val="es-ES"/>
        </w:rPr>
        <w:t>Los independientes por cuenta propia y los trabajadores independientes con contratos diferentes a prestación de servicios personales con ingresos netos iguales o superiores a un (1) salario mínimo legal mensual vigente efectuarán su cotización mes vencido, sobre una base mínima de cotización del 40% del valor mensualizado de los ingresos, sin incluir el valor del Impuesto al Valor Agregado (IVA). En estos casos será procedente la imputación de costos y deducciones siempre que se cumplan los criterios determinados en el artículo 107 del Estatuto Tributario y sin exceder los valores incluidos en la declaración de renta de la respectiva vigencia.</w:t>
      </w:r>
    </w:p>
    <w:p w14:paraId="5A17BDCC" w14:textId="77777777" w:rsidR="00814218" w:rsidRPr="00BB1D72" w:rsidRDefault="00814218" w:rsidP="00814218">
      <w:pPr>
        <w:pStyle w:val="Textonotapie"/>
        <w:ind w:firstLine="709"/>
        <w:jc w:val="both"/>
        <w:rPr>
          <w:rFonts w:ascii="Verdana" w:hAnsi="Verdana" w:cs="Arial"/>
          <w:color w:val="000000"/>
          <w:sz w:val="14"/>
          <w:szCs w:val="14"/>
          <w:lang w:val="es-ES"/>
        </w:rPr>
      </w:pPr>
      <w:r w:rsidRPr="00BB1D72">
        <w:rPr>
          <w:rFonts w:ascii="Verdana" w:hAnsi="Verdana" w:cs="Arial"/>
          <w:color w:val="000000"/>
          <w:sz w:val="14"/>
          <w:szCs w:val="14"/>
          <w:lang w:val="es-ES"/>
        </w:rPr>
        <w:t>El Gobierno nacional reglamentará el mecanismo para realizar la mensualización de que trata el presente artículo.</w:t>
      </w:r>
    </w:p>
    <w:p w14:paraId="5BD92342" w14:textId="77777777" w:rsidR="00814218" w:rsidRPr="00BB1D72" w:rsidRDefault="00814218" w:rsidP="00814218">
      <w:pPr>
        <w:pStyle w:val="Textonotapie"/>
        <w:ind w:firstLine="709"/>
        <w:jc w:val="both"/>
        <w:rPr>
          <w:rFonts w:ascii="Verdana" w:hAnsi="Verdana" w:cs="Arial"/>
          <w:color w:val="000000"/>
          <w:sz w:val="14"/>
          <w:szCs w:val="14"/>
          <w:lang w:val="es-ES"/>
        </w:rPr>
      </w:pPr>
      <w:r w:rsidRPr="00BB1D72">
        <w:rPr>
          <w:rFonts w:ascii="Verdana" w:hAnsi="Verdana" w:cs="Arial"/>
          <w:color w:val="000000"/>
          <w:sz w:val="14"/>
          <w:szCs w:val="14"/>
          <w:lang w:val="es-ES"/>
        </w:rPr>
        <w:t>[…]”.</w:t>
      </w:r>
    </w:p>
    <w:p w14:paraId="342A8740" w14:textId="77777777" w:rsidR="00814218" w:rsidRPr="00BB1D72" w:rsidRDefault="00814218" w:rsidP="00814218">
      <w:pPr>
        <w:pStyle w:val="Textonotapie"/>
        <w:ind w:firstLine="709"/>
        <w:jc w:val="both"/>
        <w:rPr>
          <w:rFonts w:ascii="Verdana" w:hAnsi="Verdana" w:cs="Arial"/>
          <w:color w:val="000000"/>
          <w:sz w:val="14"/>
          <w:szCs w:val="14"/>
          <w:lang w:val="es-ES"/>
        </w:rPr>
      </w:pPr>
    </w:p>
  </w:footnote>
  <w:footnote w:id="4">
    <w:p w14:paraId="5E9367C8" w14:textId="77777777" w:rsidR="00814218" w:rsidRPr="00BB1D72" w:rsidRDefault="00814218" w:rsidP="00814218">
      <w:pPr>
        <w:pStyle w:val="Textonotapie"/>
        <w:ind w:firstLine="708"/>
        <w:rPr>
          <w:rFonts w:ascii="Verdana" w:hAnsi="Verdana" w:cs="Arial"/>
          <w:color w:val="000000"/>
          <w:sz w:val="14"/>
          <w:szCs w:val="14"/>
          <w:lang w:val="pt-BR"/>
        </w:rPr>
      </w:pPr>
      <w:r w:rsidRPr="00BB1D72">
        <w:rPr>
          <w:rStyle w:val="Refdenotaalpie"/>
          <w:rFonts w:ascii="Verdana" w:hAnsi="Verdana"/>
          <w:sz w:val="14"/>
          <w:szCs w:val="14"/>
        </w:rPr>
        <w:footnoteRef/>
      </w:r>
      <w:r w:rsidRPr="00BB1D72">
        <w:rPr>
          <w:rFonts w:ascii="Verdana" w:hAnsi="Verdana"/>
          <w:sz w:val="14"/>
          <w:szCs w:val="14"/>
          <w:lang w:val="pt-BR"/>
        </w:rPr>
        <w:t xml:space="preserve"> </w:t>
      </w:r>
      <w:r w:rsidRPr="00BB1D72">
        <w:rPr>
          <w:rFonts w:ascii="Verdana" w:hAnsi="Verdana" w:cs="Arial"/>
          <w:color w:val="000000"/>
          <w:sz w:val="14"/>
          <w:szCs w:val="14"/>
          <w:lang w:val="pt-BR"/>
        </w:rPr>
        <w:t>Corte Constitucional. Sentencia C-154 de 1997. M.P. Hernando Herrera Vergara.</w:t>
      </w:r>
    </w:p>
    <w:p w14:paraId="58015313" w14:textId="77777777" w:rsidR="00814218" w:rsidRPr="00BB1D72" w:rsidRDefault="00814218" w:rsidP="00814218">
      <w:pPr>
        <w:pStyle w:val="Textonotapie"/>
        <w:ind w:firstLine="708"/>
        <w:rPr>
          <w:rFonts w:ascii="Verdana" w:hAnsi="Verdana"/>
          <w:sz w:val="14"/>
          <w:szCs w:val="14"/>
          <w:lang w:val="pt-BR"/>
        </w:rPr>
      </w:pPr>
    </w:p>
  </w:footnote>
  <w:footnote w:id="5">
    <w:p w14:paraId="45DCDD90" w14:textId="77777777" w:rsidR="00814218" w:rsidRPr="00BB1D72" w:rsidRDefault="00814218" w:rsidP="00814218">
      <w:pPr>
        <w:spacing w:after="0" w:line="240" w:lineRule="auto"/>
        <w:ind w:firstLine="708"/>
        <w:jc w:val="both"/>
        <w:rPr>
          <w:rFonts w:ascii="Verdana" w:eastAsia="Arial Nova" w:hAnsi="Verdana" w:cs="Arial"/>
          <w:sz w:val="14"/>
          <w:szCs w:val="14"/>
          <w:lang w:val="pt-BR"/>
        </w:rPr>
      </w:pPr>
      <w:r w:rsidRPr="00BB1D72">
        <w:rPr>
          <w:rStyle w:val="Refdenotaalpie"/>
          <w:rFonts w:ascii="Verdana" w:hAnsi="Verdana" w:cs="Arial"/>
          <w:sz w:val="14"/>
          <w:szCs w:val="14"/>
        </w:rPr>
        <w:footnoteRef/>
      </w:r>
      <w:r w:rsidRPr="00BB1D72">
        <w:rPr>
          <w:rFonts w:ascii="Verdana" w:hAnsi="Verdana" w:cs="Arial"/>
          <w:sz w:val="14"/>
          <w:szCs w:val="14"/>
          <w:lang w:val="pt-BR"/>
        </w:rPr>
        <w:t xml:space="preserve"> </w:t>
      </w:r>
      <w:r w:rsidRPr="00BB1D72">
        <w:rPr>
          <w:rFonts w:ascii="Verdana" w:eastAsia="Arial Nova" w:hAnsi="Verdana" w:cs="Arial"/>
          <w:sz w:val="14"/>
          <w:szCs w:val="14"/>
          <w:lang w:val="pt-BR"/>
        </w:rPr>
        <w:t>Corte Constitucional. Sentencia C-614 de 2009. M.P. Jorge Ignacio Pretelt Chaljub.</w:t>
      </w:r>
    </w:p>
    <w:p w14:paraId="452CB91A" w14:textId="77777777" w:rsidR="00814218" w:rsidRPr="00BB1D72" w:rsidDel="00A37FEF" w:rsidRDefault="00814218" w:rsidP="00814218">
      <w:pPr>
        <w:spacing w:after="0" w:line="240" w:lineRule="auto"/>
        <w:ind w:firstLine="708"/>
        <w:jc w:val="both"/>
        <w:rPr>
          <w:rFonts w:ascii="Verdana" w:eastAsia="Arial Nova" w:hAnsi="Verdana" w:cs="Arial"/>
          <w:sz w:val="14"/>
          <w:szCs w:val="14"/>
          <w:lang w:val="pt-BR"/>
        </w:rPr>
      </w:pPr>
    </w:p>
  </w:footnote>
  <w:footnote w:id="6">
    <w:p w14:paraId="5FC5E17A" w14:textId="77777777" w:rsidR="00814218" w:rsidRPr="00BB1D72" w:rsidRDefault="00814218" w:rsidP="00814218">
      <w:pPr>
        <w:pStyle w:val="Textonotapie"/>
        <w:ind w:firstLine="709"/>
        <w:jc w:val="both"/>
        <w:rPr>
          <w:rFonts w:ascii="Verdana" w:hAnsi="Verdana" w:cs="Arial"/>
          <w:color w:val="000000" w:themeColor="text1"/>
          <w:sz w:val="14"/>
          <w:szCs w:val="14"/>
          <w:lang w:val="es-CO"/>
        </w:rPr>
      </w:pPr>
      <w:r w:rsidRPr="00BB1D72">
        <w:rPr>
          <w:rStyle w:val="Refdenotaalpie"/>
          <w:rFonts w:ascii="Verdana" w:hAnsi="Verdana"/>
          <w:sz w:val="14"/>
          <w:szCs w:val="14"/>
        </w:rPr>
        <w:footnoteRef/>
      </w:r>
      <w:r w:rsidRPr="00BB1D72">
        <w:rPr>
          <w:rFonts w:ascii="Verdana" w:hAnsi="Verdana"/>
          <w:sz w:val="14"/>
          <w:szCs w:val="14"/>
        </w:rPr>
        <w:t xml:space="preserve"> </w:t>
      </w:r>
      <w:r w:rsidRPr="00BB1D72">
        <w:rPr>
          <w:rFonts w:ascii="Verdana" w:hAnsi="Verdana" w:cs="Arial"/>
          <w:color w:val="000000" w:themeColor="text1"/>
          <w:sz w:val="14"/>
          <w:szCs w:val="14"/>
          <w:lang w:val="es-ES"/>
        </w:rPr>
        <w:t xml:space="preserve">Consejo de Estado. Sección Segunda. Sentencia de Unificación Jurisprudencial </w:t>
      </w:r>
      <w:r w:rsidRPr="00BB1D72">
        <w:rPr>
          <w:rFonts w:ascii="Verdana" w:hAnsi="Verdana" w:cs="Arial"/>
          <w:color w:val="000000" w:themeColor="text1"/>
          <w:sz w:val="14"/>
          <w:szCs w:val="14"/>
          <w:lang w:val="es-CO"/>
        </w:rPr>
        <w:t>SUJ-025-CE-S2-2021.</w:t>
      </w:r>
      <w:r w:rsidRPr="00BB1D72">
        <w:rPr>
          <w:rFonts w:ascii="Verdana" w:hAnsi="Verdana" w:cs="Arial"/>
          <w:color w:val="000000" w:themeColor="text1"/>
          <w:sz w:val="14"/>
          <w:szCs w:val="14"/>
          <w:lang w:val="es-ES"/>
        </w:rPr>
        <w:t xml:space="preserve"> Radicado (1317-2016). El numeral primero de la parte resolutiva de la sentencia señala lo siguiente:</w:t>
      </w:r>
      <w:r w:rsidRPr="00BB1D72">
        <w:rPr>
          <w:rFonts w:ascii="Verdana" w:eastAsia="Times New Roman" w:hAnsi="Verdana" w:cs="Times New Roman"/>
          <w:sz w:val="14"/>
          <w:szCs w:val="14"/>
          <w:lang w:val="es-CO" w:eastAsia="es-ES_tradnl"/>
        </w:rPr>
        <w:t xml:space="preserve"> </w:t>
      </w:r>
      <w:r w:rsidRPr="00BB1D72">
        <w:rPr>
          <w:rFonts w:ascii="Verdana" w:hAnsi="Verdana" w:cs="Arial"/>
          <w:noProof/>
          <w:sz w:val="14"/>
          <w:szCs w:val="14"/>
          <w:lang w:val="es-ES_tradnl"/>
        </w:rPr>
        <w:t>“</w:t>
      </w:r>
      <w:r w:rsidRPr="00BB1D72">
        <w:rPr>
          <w:rFonts w:ascii="Verdana" w:hAnsi="Verdana" w:cs="Arial"/>
          <w:color w:val="000000" w:themeColor="text1"/>
          <w:sz w:val="14"/>
          <w:szCs w:val="14"/>
          <w:lang w:val="es-CO"/>
        </w:rPr>
        <w:t xml:space="preserve">Unificar la jurisprudencia de la Sección Segunda del Consejo de Estado, en el sentido de precisar las siguientes reglas en las relaciones laborales encubiertas o subyacentes: </w:t>
      </w:r>
    </w:p>
    <w:p w14:paraId="4567E6A7" w14:textId="77777777" w:rsidR="00814218" w:rsidRPr="00BB1D72" w:rsidRDefault="00814218" w:rsidP="00814218">
      <w:pPr>
        <w:pStyle w:val="Textonotapie"/>
        <w:ind w:firstLine="709"/>
        <w:jc w:val="both"/>
        <w:rPr>
          <w:rFonts w:ascii="Verdana" w:hAnsi="Verdana" w:cs="Arial"/>
          <w:color w:val="000000" w:themeColor="text1"/>
          <w:sz w:val="14"/>
          <w:szCs w:val="14"/>
          <w:lang w:val="es-CO"/>
        </w:rPr>
      </w:pPr>
      <w:r w:rsidRPr="00BB1D72">
        <w:rPr>
          <w:rFonts w:ascii="Verdana" w:hAnsi="Verdana" w:cs="Arial"/>
          <w:color w:val="000000" w:themeColor="text1"/>
          <w:sz w:val="14"/>
          <w:szCs w:val="14"/>
          <w:lang w:val="es-CO"/>
        </w:rPr>
        <w:t xml:space="preserve">(i) La primera regla define que el concepto de “término estrictamente indispensable”, al que alude el numeral 3.º del artículo 32 de la Ley 80 de 1993, es el señalado en los estudios previos y en el objeto del contrato, el cual, de acuerdo con el principio de planeación, tiene que estar justificado en la necesidad de la prestación del servicio a favor de la Administración, de forma esencialmente temporal y, de ninguna manera, con ánimo de permanencia. </w:t>
      </w:r>
    </w:p>
    <w:p w14:paraId="3E086CA2" w14:textId="77777777" w:rsidR="00814218" w:rsidRPr="00BB1D72" w:rsidRDefault="00814218" w:rsidP="00814218">
      <w:pPr>
        <w:pStyle w:val="Textonotapie"/>
        <w:ind w:firstLine="709"/>
        <w:jc w:val="both"/>
        <w:rPr>
          <w:rFonts w:ascii="Verdana" w:hAnsi="Verdana" w:cs="Arial"/>
          <w:color w:val="000000" w:themeColor="text1"/>
          <w:sz w:val="14"/>
          <w:szCs w:val="14"/>
          <w:lang w:val="es-CO"/>
        </w:rPr>
      </w:pPr>
      <w:r w:rsidRPr="00BB1D72">
        <w:rPr>
          <w:rFonts w:ascii="Verdana" w:hAnsi="Verdana" w:cs="Arial"/>
          <w:color w:val="000000" w:themeColor="text1"/>
          <w:sz w:val="14"/>
          <w:szCs w:val="14"/>
          <w:lang w:val="es-CO"/>
        </w:rPr>
        <w:t xml:space="preserve">(ii) La segunda regla establece un periodo de treinta (30) días hábiles, entre la finalización de un contrato y la ejecución del siguiente, como término de la no solución de continuidad, el cual, en los casos que se exceda, podrá flexibilizarse en atención a las especiales circunstancias que el juez encuentre probadas dentro del expediente. </w:t>
      </w:r>
    </w:p>
    <w:p w14:paraId="643C6621" w14:textId="77777777" w:rsidR="00814218" w:rsidRPr="00BB1D72" w:rsidRDefault="00814218" w:rsidP="00814218">
      <w:pPr>
        <w:pStyle w:val="Textonotapie"/>
        <w:ind w:firstLine="709"/>
        <w:jc w:val="both"/>
        <w:rPr>
          <w:rFonts w:ascii="Verdana" w:hAnsi="Verdana" w:cs="Arial"/>
          <w:sz w:val="14"/>
          <w:szCs w:val="14"/>
          <w:lang w:val="pt-BR"/>
        </w:rPr>
      </w:pPr>
      <w:r w:rsidRPr="00BB1D72">
        <w:rPr>
          <w:rFonts w:ascii="Verdana" w:hAnsi="Verdana" w:cs="Arial"/>
          <w:color w:val="000000" w:themeColor="text1"/>
          <w:sz w:val="14"/>
          <w:szCs w:val="14"/>
          <w:lang w:val="es-CO"/>
        </w:rPr>
        <w:t>(iii) La tercera regla determina que frente a la no afiliación al sistema de la Seguridad Social en salud, por parte de la Administración, es improcedente la devolución de los valores que el contratista hubiese asumido de más, en tanto se recaudaron como recursos de naturaleza parafiscal</w:t>
      </w:r>
      <w:r w:rsidRPr="00BB1D72">
        <w:rPr>
          <w:rFonts w:ascii="Verdana" w:hAnsi="Verdana" w:cs="Arial"/>
          <w:sz w:val="14"/>
          <w:szCs w:val="14"/>
          <w:lang w:val="pt-BR"/>
        </w:rPr>
        <w:t>”.</w:t>
      </w:r>
    </w:p>
    <w:p w14:paraId="7C26F3AD" w14:textId="77777777" w:rsidR="00814218" w:rsidRPr="00BB1D72" w:rsidRDefault="00814218" w:rsidP="00814218">
      <w:pPr>
        <w:pStyle w:val="Textonotapie"/>
        <w:ind w:firstLine="709"/>
        <w:jc w:val="both"/>
        <w:rPr>
          <w:rFonts w:ascii="Verdana" w:hAnsi="Verdana"/>
          <w:sz w:val="14"/>
          <w:szCs w:val="14"/>
          <w:lang w:val="es-CO"/>
        </w:rPr>
      </w:pPr>
    </w:p>
  </w:footnote>
  <w:footnote w:id="7">
    <w:p w14:paraId="7D5F1F11" w14:textId="77777777" w:rsidR="00814218" w:rsidRPr="00BB1D72" w:rsidRDefault="00814218" w:rsidP="00814218">
      <w:pPr>
        <w:pStyle w:val="Textonotapie"/>
        <w:ind w:firstLine="709"/>
        <w:jc w:val="both"/>
        <w:rPr>
          <w:rFonts w:ascii="Verdana" w:hAnsi="Verdana" w:cs="Arial"/>
          <w:sz w:val="14"/>
          <w:szCs w:val="14"/>
        </w:rPr>
      </w:pPr>
      <w:r w:rsidRPr="00BB1D72">
        <w:rPr>
          <w:rStyle w:val="Refdenotaalpie"/>
          <w:rFonts w:ascii="Verdana" w:hAnsi="Verdana" w:cs="Arial"/>
          <w:sz w:val="14"/>
          <w:szCs w:val="14"/>
        </w:rPr>
        <w:footnoteRef/>
      </w:r>
      <w:r w:rsidRPr="00BB1D72">
        <w:rPr>
          <w:rFonts w:ascii="Verdana" w:hAnsi="Verdana" w:cs="Arial"/>
          <w:sz w:val="14"/>
          <w:szCs w:val="14"/>
        </w:rPr>
        <w:t xml:space="preserve"> Particularmente, sobre la regla de unificación número 2, el Consejo de Estado explica que “[…] si no están dados los presupuestos establecidos en el artículo 23 del Código Sustantivo del Trabajo, no puede hablarse de una relación laboral encubierta. Por lo tanto, el término de treinta (30) días hábiles, a que alude la segunda regla de unificación, tal como se dijo en la sentencia del 9 de septiembre de 2021, debe entenderse como un indicador temporal para inferir que no hay solución de continuidad entre un contrato y otro sucedáneo, y </w:t>
      </w:r>
      <w:r w:rsidRPr="00BB1D72">
        <w:rPr>
          <w:rFonts w:ascii="Verdana" w:hAnsi="Verdana" w:cs="Arial"/>
          <w:b/>
          <w:bCs/>
          <w:sz w:val="14"/>
          <w:szCs w:val="14"/>
        </w:rPr>
        <w:t>solo para efectos de la prescripción de derechos laborales</w:t>
      </w:r>
      <w:r w:rsidRPr="00BB1D72">
        <w:rPr>
          <w:rFonts w:ascii="Verdana" w:hAnsi="Verdana" w:cs="Arial"/>
          <w:sz w:val="14"/>
          <w:szCs w:val="14"/>
        </w:rPr>
        <w:t>” (Énfasis dentro del texto).</w:t>
      </w:r>
    </w:p>
    <w:p w14:paraId="4537CCAE" w14:textId="77777777" w:rsidR="00814218" w:rsidRPr="00BB1D72" w:rsidRDefault="00814218" w:rsidP="00814218">
      <w:pPr>
        <w:pStyle w:val="Textonotapie"/>
        <w:ind w:firstLine="709"/>
        <w:jc w:val="both"/>
        <w:rPr>
          <w:rFonts w:ascii="Verdana" w:hAnsi="Verdana"/>
          <w:sz w:val="14"/>
          <w:szCs w:val="14"/>
        </w:rPr>
      </w:pPr>
    </w:p>
  </w:footnote>
  <w:footnote w:id="8">
    <w:p w14:paraId="08B412A5" w14:textId="77777777" w:rsidR="00814218" w:rsidRPr="00BB1D72" w:rsidRDefault="00814218" w:rsidP="00814218">
      <w:pPr>
        <w:pStyle w:val="Textonotapie"/>
        <w:ind w:firstLine="708"/>
        <w:rPr>
          <w:rFonts w:ascii="Verdana" w:hAnsi="Verdana" w:cs="Arial"/>
          <w:color w:val="000000"/>
          <w:sz w:val="14"/>
          <w:szCs w:val="14"/>
          <w:lang w:val="es-ES"/>
        </w:rPr>
      </w:pPr>
      <w:r w:rsidRPr="00BB1D72">
        <w:rPr>
          <w:rStyle w:val="Refdenotaalpie"/>
          <w:rFonts w:ascii="Verdana" w:hAnsi="Verdana"/>
          <w:sz w:val="14"/>
          <w:szCs w:val="14"/>
        </w:rPr>
        <w:footnoteRef/>
      </w:r>
      <w:r w:rsidRPr="00BB1D72">
        <w:rPr>
          <w:rFonts w:ascii="Verdana" w:hAnsi="Verdana"/>
          <w:sz w:val="14"/>
          <w:szCs w:val="14"/>
        </w:rPr>
        <w:t xml:space="preserve"> </w:t>
      </w:r>
      <w:r w:rsidRPr="00BB1D72">
        <w:rPr>
          <w:rFonts w:ascii="Verdana" w:hAnsi="Verdana" w:cs="Arial"/>
          <w:color w:val="000000"/>
          <w:sz w:val="14"/>
          <w:szCs w:val="14"/>
          <w:lang w:val="es-ES"/>
        </w:rPr>
        <w:t>Corte Constitucional. Sentencia C-154 de 1997. Magistrado Ponente: Hernando Herrera Vergara.</w:t>
      </w:r>
    </w:p>
    <w:p w14:paraId="7F3BF8D6" w14:textId="77777777" w:rsidR="00814218" w:rsidRPr="00BB1D72" w:rsidRDefault="00814218" w:rsidP="00814218">
      <w:pPr>
        <w:pStyle w:val="Textonotapie"/>
        <w:ind w:firstLine="708"/>
        <w:rPr>
          <w:rFonts w:ascii="Verdana" w:hAnsi="Verdana" w:cs="Arial"/>
          <w:color w:val="000000"/>
          <w:sz w:val="14"/>
          <w:szCs w:val="14"/>
          <w:lang w:val="es-ES"/>
        </w:rPr>
      </w:pPr>
    </w:p>
  </w:footnote>
  <w:footnote w:id="9">
    <w:p w14:paraId="3AC63316" w14:textId="77777777" w:rsidR="00814218" w:rsidRPr="00BB1D72" w:rsidRDefault="00814218" w:rsidP="00814218">
      <w:pPr>
        <w:pStyle w:val="Textonotapie"/>
        <w:ind w:firstLine="709"/>
        <w:jc w:val="both"/>
        <w:rPr>
          <w:rFonts w:ascii="Verdana" w:hAnsi="Verdana" w:cs="Arial"/>
          <w:color w:val="000000"/>
          <w:sz w:val="14"/>
          <w:szCs w:val="14"/>
          <w:lang w:val="es-ES"/>
        </w:rPr>
      </w:pPr>
      <w:r w:rsidRPr="00BB1D72">
        <w:rPr>
          <w:rStyle w:val="Refdenotaalpie"/>
          <w:rFonts w:ascii="Verdana" w:hAnsi="Verdana" w:cs="Arial"/>
          <w:color w:val="000000"/>
          <w:sz w:val="14"/>
          <w:szCs w:val="14"/>
        </w:rPr>
        <w:footnoteRef/>
      </w:r>
      <w:r w:rsidRPr="00BB1D72">
        <w:rPr>
          <w:rFonts w:ascii="Verdana" w:hAnsi="Verdana" w:cs="Arial"/>
          <w:color w:val="000000"/>
          <w:sz w:val="14"/>
          <w:szCs w:val="14"/>
        </w:rPr>
        <w:t xml:space="preserve"> </w:t>
      </w:r>
      <w:r w:rsidRPr="00BB1D72">
        <w:rPr>
          <w:rFonts w:ascii="Verdana" w:hAnsi="Verdana" w:cs="Arial"/>
          <w:color w:val="000000"/>
          <w:sz w:val="14"/>
          <w:szCs w:val="14"/>
          <w:lang w:val="es-ES"/>
        </w:rPr>
        <w:t>El Decreto 1082 de 2015 lo establece así: “Artículo 2.2.1.2.1.4.9. Contratos de prestación de servicios profesionales y de apoyo a la gestión, o para la ejecución de trabajos artísticos que solo pueden encomendarse a determinadas personas naturales.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w:t>
      </w:r>
    </w:p>
    <w:p w14:paraId="60A2AAE2" w14:textId="77777777" w:rsidR="00814218" w:rsidRPr="00BB1D72" w:rsidRDefault="00814218" w:rsidP="00814218">
      <w:pPr>
        <w:pStyle w:val="Textonotapie"/>
        <w:ind w:firstLine="709"/>
        <w:jc w:val="both"/>
        <w:rPr>
          <w:rFonts w:ascii="Verdana" w:hAnsi="Verdana" w:cs="Arial"/>
          <w:color w:val="000000" w:themeColor="text1"/>
          <w:sz w:val="14"/>
          <w:szCs w:val="14"/>
          <w:lang w:val="es-ES"/>
        </w:rPr>
      </w:pPr>
      <w:r w:rsidRPr="00BB1D72">
        <w:rPr>
          <w:rFonts w:ascii="Verdana" w:hAnsi="Verdana" w:cs="Arial"/>
          <w:color w:val="000000"/>
          <w:sz w:val="14"/>
          <w:szCs w:val="14"/>
          <w:lang w:val="es-ES"/>
        </w:rPr>
        <w:t xml:space="preserve"> En este caso, no es necesario que la Entidad Estatal haya obtenido previamente varias ofertas, de lo cual el ordenador del gasto debe dejar constancia escrita. </w:t>
      </w:r>
      <w:r w:rsidRPr="00BB1D72">
        <w:rPr>
          <w:rFonts w:ascii="Verdana" w:hAnsi="Verdana" w:cs="Arial"/>
          <w:color w:val="000000" w:themeColor="text1"/>
          <w:sz w:val="14"/>
          <w:szCs w:val="14"/>
          <w:lang w:val="es-ES"/>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r w:rsidRPr="00BB1D72">
        <w:rPr>
          <w:rFonts w:ascii="Verdana" w:hAnsi="Verdana" w:cs="Arial"/>
          <w:color w:val="000000"/>
          <w:sz w:val="14"/>
          <w:szCs w:val="14"/>
          <w:lang w:val="es-ES"/>
        </w:rPr>
        <w:t xml:space="preserve"> </w:t>
      </w:r>
      <w:r w:rsidRPr="00BB1D72">
        <w:rPr>
          <w:rFonts w:ascii="Verdana" w:hAnsi="Verdana" w:cs="Arial"/>
          <w:color w:val="000000" w:themeColor="text1"/>
          <w:sz w:val="14"/>
          <w:szCs w:val="14"/>
          <w:lang w:val="es-ES"/>
        </w:rPr>
        <w:t>La Entidad Estatal, para la contratación de trabajos artísticos que solamente puedan en­comendarse a determinadas personas naturales, debe justificar esta situación en los estudios y documentos previos”.</w:t>
      </w:r>
    </w:p>
    <w:p w14:paraId="5B827C69" w14:textId="77777777" w:rsidR="00814218" w:rsidRPr="00BB1D72" w:rsidRDefault="00814218" w:rsidP="00814218">
      <w:pPr>
        <w:pStyle w:val="Textonotapie"/>
        <w:ind w:firstLine="709"/>
        <w:jc w:val="both"/>
        <w:rPr>
          <w:rFonts w:ascii="Verdana" w:hAnsi="Verdana" w:cs="Arial"/>
          <w:color w:val="000000"/>
          <w:sz w:val="14"/>
          <w:szCs w:val="14"/>
          <w:lang w:val="es-ES"/>
        </w:rPr>
      </w:pPr>
    </w:p>
  </w:footnote>
  <w:footnote w:id="10">
    <w:p w14:paraId="37EBBFF5" w14:textId="77777777" w:rsidR="00814218" w:rsidRPr="00BB1D72" w:rsidRDefault="00814218" w:rsidP="00814218">
      <w:pPr>
        <w:pStyle w:val="Textonotapie"/>
        <w:ind w:firstLine="709"/>
        <w:jc w:val="both"/>
        <w:rPr>
          <w:rFonts w:ascii="Verdana" w:hAnsi="Verdana" w:cs="Arial"/>
          <w:color w:val="000000"/>
          <w:sz w:val="14"/>
          <w:szCs w:val="14"/>
          <w:lang w:val="es-ES"/>
        </w:rPr>
      </w:pPr>
      <w:r w:rsidRPr="00BB1D72">
        <w:rPr>
          <w:rStyle w:val="Refdenotaalpie"/>
          <w:rFonts w:ascii="Verdana" w:hAnsi="Verdana" w:cs="Arial"/>
          <w:color w:val="000000"/>
          <w:sz w:val="14"/>
          <w:szCs w:val="14"/>
        </w:rPr>
        <w:footnoteRef/>
      </w:r>
      <w:r w:rsidRPr="00BB1D72">
        <w:rPr>
          <w:rFonts w:ascii="Verdana" w:hAnsi="Verdana" w:cs="Arial"/>
          <w:color w:val="000000"/>
          <w:sz w:val="14"/>
          <w:szCs w:val="14"/>
        </w:rPr>
        <w:t xml:space="preserve"> </w:t>
      </w:r>
      <w:r w:rsidRPr="00BB1D72">
        <w:rPr>
          <w:rFonts w:ascii="Verdana" w:hAnsi="Verdana" w:cs="Arial"/>
          <w:color w:val="000000"/>
          <w:sz w:val="14"/>
          <w:szCs w:val="14"/>
          <w:lang w:val="es-ES"/>
        </w:rPr>
        <w:t>Consejo de Estado. Sección Tercera. Subsección C. Sentencia del 2 de diciembre de 2013. Exp. 41719. C.P. Jaime Orlando Santofimio Gamboa.</w:t>
      </w:r>
    </w:p>
    <w:p w14:paraId="6A2FDE7C" w14:textId="77777777" w:rsidR="00814218" w:rsidRPr="00BB1D72" w:rsidDel="00A37FEF" w:rsidRDefault="00814218" w:rsidP="00814218">
      <w:pPr>
        <w:pStyle w:val="Textonotapie"/>
        <w:ind w:firstLine="709"/>
        <w:jc w:val="both"/>
        <w:rPr>
          <w:rFonts w:ascii="Verdana" w:hAnsi="Verdana" w:cs="Arial"/>
          <w:color w:val="000000"/>
          <w:sz w:val="14"/>
          <w:szCs w:val="14"/>
          <w:lang w:val="es-ES"/>
        </w:rPr>
      </w:pPr>
    </w:p>
  </w:footnote>
  <w:footnote w:id="11">
    <w:p w14:paraId="49773C00" w14:textId="77777777" w:rsidR="00814218" w:rsidRPr="00BB1D72" w:rsidRDefault="00814218" w:rsidP="00814218">
      <w:pPr>
        <w:pStyle w:val="Textonotapie"/>
        <w:ind w:firstLine="709"/>
        <w:jc w:val="both"/>
        <w:rPr>
          <w:rFonts w:ascii="Verdana" w:hAnsi="Verdana" w:cs="Arial"/>
          <w:color w:val="000000"/>
          <w:sz w:val="14"/>
          <w:szCs w:val="14"/>
          <w:lang w:val="es-ES"/>
        </w:rPr>
      </w:pPr>
      <w:r w:rsidRPr="00BB1D72">
        <w:rPr>
          <w:rStyle w:val="Refdenotaalpie"/>
          <w:rFonts w:ascii="Verdana" w:hAnsi="Verdana"/>
          <w:sz w:val="14"/>
          <w:szCs w:val="14"/>
        </w:rPr>
        <w:footnoteRef/>
      </w:r>
      <w:r w:rsidRPr="00BB1D72">
        <w:rPr>
          <w:rFonts w:ascii="Verdana" w:hAnsi="Verdana"/>
          <w:sz w:val="14"/>
          <w:szCs w:val="14"/>
        </w:rPr>
        <w:t xml:space="preserve"> </w:t>
      </w:r>
      <w:r w:rsidRPr="00BB1D72">
        <w:rPr>
          <w:rFonts w:ascii="Verdana" w:hAnsi="Verdana" w:cs="Arial"/>
          <w:color w:val="000000"/>
          <w:sz w:val="14"/>
          <w:szCs w:val="14"/>
          <w:lang w:val="es-ES"/>
        </w:rPr>
        <w:t>Ibid.- En efecto, el numeral 2º del artículo 32 de la Ley 80 de 1993 define el contrato de consultoría así: “Son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14:paraId="7E4596A0" w14:textId="77777777" w:rsidR="00814218" w:rsidRPr="00BB1D72" w:rsidRDefault="00814218" w:rsidP="00814218">
      <w:pPr>
        <w:pStyle w:val="Textonotapie"/>
        <w:ind w:firstLine="709"/>
        <w:jc w:val="both"/>
        <w:rPr>
          <w:rFonts w:ascii="Verdana" w:hAnsi="Verdana" w:cs="Arial"/>
          <w:color w:val="000000"/>
          <w:sz w:val="14"/>
          <w:szCs w:val="14"/>
          <w:lang w:val="es-ES"/>
        </w:rPr>
      </w:pPr>
      <w:r w:rsidRPr="00BB1D72">
        <w:rPr>
          <w:rFonts w:ascii="Verdana" w:hAnsi="Verdana" w:cs="Arial"/>
          <w:color w:val="000000"/>
          <w:sz w:val="14"/>
          <w:szCs w:val="14"/>
          <w:lang w:val="es-ES"/>
        </w:rPr>
        <w:t>Son también contratos de consultoría los que tienen por objeto la interventoría, asesoría, gerencia de obra o de proyectos, dirección, programación y la ejecución de diseños, planos, anteproyectos y proyectos.</w:t>
      </w:r>
    </w:p>
    <w:p w14:paraId="4EB07508" w14:textId="77777777" w:rsidR="00814218" w:rsidRPr="00BB1D72" w:rsidRDefault="00814218" w:rsidP="00814218">
      <w:pPr>
        <w:pStyle w:val="Textonotapie"/>
        <w:ind w:firstLine="709"/>
        <w:jc w:val="both"/>
        <w:rPr>
          <w:rFonts w:ascii="Verdana" w:hAnsi="Verdana" w:cs="Arial"/>
          <w:color w:val="000000"/>
          <w:sz w:val="14"/>
          <w:szCs w:val="14"/>
          <w:lang w:val="es-ES"/>
        </w:rPr>
      </w:pPr>
      <w:r w:rsidRPr="00BB1D72">
        <w:rPr>
          <w:rFonts w:ascii="Verdana" w:hAnsi="Verdana" w:cs="Arial"/>
          <w:color w:val="000000"/>
          <w:sz w:val="14"/>
          <w:szCs w:val="14"/>
          <w:lang w:val="es-ES"/>
        </w:rPr>
        <w:t xml:space="preserve">Ninguna orden del interventor de una obra podrá darse verbalmente. Es obligatorio para el interventor entregar por escrito sus órdenes o sugerencias y ellas deben enmarcarse dentro de los términos del respectivo contrato”. </w:t>
      </w:r>
    </w:p>
    <w:p w14:paraId="628685F3" w14:textId="77777777" w:rsidR="00814218" w:rsidRPr="00BB1D72" w:rsidRDefault="00814218" w:rsidP="00814218">
      <w:pPr>
        <w:pStyle w:val="Textonotapie"/>
        <w:ind w:firstLine="709"/>
        <w:jc w:val="both"/>
        <w:rPr>
          <w:rFonts w:ascii="Verdana" w:hAnsi="Verdana" w:cs="Arial"/>
          <w:color w:val="000000"/>
          <w:sz w:val="14"/>
          <w:szCs w:val="14"/>
          <w:lang w:val="es-ES"/>
        </w:rPr>
      </w:pPr>
    </w:p>
  </w:footnote>
  <w:footnote w:id="12">
    <w:p w14:paraId="5DCDB782" w14:textId="77777777" w:rsidR="00814218" w:rsidRPr="00BB1D72" w:rsidRDefault="00814218" w:rsidP="00814218">
      <w:pPr>
        <w:pStyle w:val="Textonotapie"/>
        <w:ind w:firstLine="709"/>
        <w:jc w:val="both"/>
        <w:rPr>
          <w:rFonts w:ascii="Verdana" w:hAnsi="Verdana" w:cs="Arial"/>
          <w:color w:val="000000"/>
          <w:sz w:val="14"/>
          <w:szCs w:val="14"/>
          <w:lang w:val="es-ES"/>
        </w:rPr>
      </w:pPr>
      <w:r w:rsidRPr="00BB1D72">
        <w:rPr>
          <w:rStyle w:val="Refdenotaalpie"/>
          <w:rFonts w:ascii="Verdana" w:hAnsi="Verdana"/>
          <w:sz w:val="14"/>
          <w:szCs w:val="14"/>
        </w:rPr>
        <w:footnoteRef/>
      </w:r>
      <w:r w:rsidRPr="00BB1D72">
        <w:rPr>
          <w:rFonts w:ascii="Verdana" w:hAnsi="Verdana"/>
          <w:sz w:val="14"/>
          <w:szCs w:val="14"/>
        </w:rPr>
        <w:t xml:space="preserve"> </w:t>
      </w:r>
      <w:r w:rsidRPr="00BB1D72">
        <w:rPr>
          <w:rFonts w:ascii="Verdana" w:hAnsi="Verdana" w:cs="Arial"/>
          <w:color w:val="000000"/>
          <w:sz w:val="14"/>
          <w:szCs w:val="14"/>
          <w:lang w:val="es-ES"/>
        </w:rPr>
        <w:t>Así lo prevé el artículo 2.2.1.2.1.4.1. del Decreto 1082 de 2015: “La Entidad Estatal debe señalar en un acto administrativo la justificación para contratar bajo la modalidad de contratación directa, el cual debe contener:</w:t>
      </w:r>
    </w:p>
    <w:p w14:paraId="3805D636" w14:textId="77777777" w:rsidR="00814218" w:rsidRPr="00BB1D72" w:rsidRDefault="00814218" w:rsidP="00814218">
      <w:pPr>
        <w:pStyle w:val="Textonotapie"/>
        <w:ind w:firstLine="709"/>
        <w:jc w:val="both"/>
        <w:rPr>
          <w:rFonts w:ascii="Verdana" w:hAnsi="Verdana" w:cs="Arial"/>
          <w:color w:val="000000"/>
          <w:sz w:val="14"/>
          <w:szCs w:val="14"/>
          <w:lang w:val="es-ES"/>
        </w:rPr>
      </w:pPr>
      <w:r w:rsidRPr="00BB1D72">
        <w:rPr>
          <w:rFonts w:ascii="Verdana" w:hAnsi="Verdana" w:cs="Arial"/>
          <w:color w:val="000000"/>
          <w:sz w:val="14"/>
          <w:szCs w:val="14"/>
          <w:lang w:val="es-ES"/>
        </w:rPr>
        <w:t>1. La causal que invoca para contratar directamente.</w:t>
      </w:r>
    </w:p>
    <w:p w14:paraId="52F7A33E" w14:textId="77777777" w:rsidR="00814218" w:rsidRPr="00BB1D72" w:rsidRDefault="00814218" w:rsidP="00814218">
      <w:pPr>
        <w:pStyle w:val="Textonotapie"/>
        <w:ind w:firstLine="709"/>
        <w:jc w:val="both"/>
        <w:rPr>
          <w:rFonts w:ascii="Verdana" w:hAnsi="Verdana" w:cs="Arial"/>
          <w:color w:val="000000"/>
          <w:sz w:val="14"/>
          <w:szCs w:val="14"/>
          <w:lang w:val="es-ES"/>
        </w:rPr>
      </w:pPr>
      <w:r w:rsidRPr="00BB1D72">
        <w:rPr>
          <w:rFonts w:ascii="Verdana" w:hAnsi="Verdana" w:cs="Arial"/>
          <w:color w:val="000000"/>
          <w:sz w:val="14"/>
          <w:szCs w:val="14"/>
          <w:lang w:val="es-ES"/>
        </w:rPr>
        <w:t>2. El objeto del contrato.</w:t>
      </w:r>
    </w:p>
    <w:p w14:paraId="013E6243" w14:textId="77777777" w:rsidR="00814218" w:rsidRPr="00BB1D72" w:rsidRDefault="00814218" w:rsidP="00814218">
      <w:pPr>
        <w:pStyle w:val="Textonotapie"/>
        <w:ind w:firstLine="709"/>
        <w:jc w:val="both"/>
        <w:rPr>
          <w:rFonts w:ascii="Verdana" w:hAnsi="Verdana" w:cs="Arial"/>
          <w:color w:val="000000"/>
          <w:sz w:val="14"/>
          <w:szCs w:val="14"/>
          <w:lang w:val="es-ES"/>
        </w:rPr>
      </w:pPr>
      <w:r w:rsidRPr="00BB1D72">
        <w:rPr>
          <w:rFonts w:ascii="Verdana" w:hAnsi="Verdana" w:cs="Arial"/>
          <w:color w:val="000000"/>
          <w:sz w:val="14"/>
          <w:szCs w:val="14"/>
          <w:lang w:val="es-ES"/>
        </w:rPr>
        <w:t>3. El presupuesto para la contratación y las condiciones que exigirá al contratista.</w:t>
      </w:r>
    </w:p>
    <w:p w14:paraId="514C448F" w14:textId="77777777" w:rsidR="00814218" w:rsidRPr="00BB1D72" w:rsidRDefault="00814218" w:rsidP="00814218">
      <w:pPr>
        <w:pStyle w:val="Textonotapie"/>
        <w:ind w:firstLine="709"/>
        <w:jc w:val="both"/>
        <w:rPr>
          <w:rFonts w:ascii="Verdana" w:hAnsi="Verdana" w:cs="Arial"/>
          <w:color w:val="000000"/>
          <w:sz w:val="14"/>
          <w:szCs w:val="14"/>
          <w:lang w:val="es-ES"/>
        </w:rPr>
      </w:pPr>
      <w:r w:rsidRPr="00BB1D72">
        <w:rPr>
          <w:rFonts w:ascii="Verdana" w:hAnsi="Verdana" w:cs="Arial"/>
          <w:color w:val="000000"/>
          <w:sz w:val="14"/>
          <w:szCs w:val="14"/>
          <w:lang w:val="es-ES"/>
        </w:rPr>
        <w:t>4. El lugar en el cual los interesados pueden consultar los estudios y documentos previos.</w:t>
      </w:r>
    </w:p>
    <w:p w14:paraId="75EEFFD5" w14:textId="77777777" w:rsidR="00814218" w:rsidRPr="00BB1D72" w:rsidRDefault="00814218" w:rsidP="00814218">
      <w:pPr>
        <w:pStyle w:val="Textonotapie"/>
        <w:ind w:firstLine="709"/>
        <w:jc w:val="both"/>
        <w:rPr>
          <w:rFonts w:ascii="Verdana" w:hAnsi="Verdana" w:cs="Arial"/>
          <w:color w:val="000000"/>
          <w:sz w:val="14"/>
          <w:szCs w:val="14"/>
          <w:lang w:val="es-ES"/>
        </w:rPr>
      </w:pPr>
      <w:r w:rsidRPr="00BB1D72">
        <w:rPr>
          <w:rFonts w:ascii="Verdana" w:hAnsi="Verdana" w:cs="Arial"/>
          <w:color w:val="000000"/>
          <w:sz w:val="14"/>
          <w:szCs w:val="14"/>
          <w:lang w:val="es-ES"/>
        </w:rPr>
        <w:t>Este acto administrativo no es necesario cuando el contrato a celebrar es de prestación de servicios profesionales y de apoyo a la gestión, y para los contratos de que tratan los literales (a) y (b) del artículo 2.2.1.2.1.4.3 del presente decreto”.</w:t>
      </w:r>
    </w:p>
    <w:p w14:paraId="6CD98A88" w14:textId="77777777" w:rsidR="00814218" w:rsidRPr="00BB1D72" w:rsidRDefault="00814218" w:rsidP="00814218">
      <w:pPr>
        <w:pStyle w:val="Textonotapie"/>
        <w:ind w:firstLine="709"/>
        <w:jc w:val="both"/>
        <w:rPr>
          <w:rFonts w:ascii="Verdana" w:hAnsi="Verdana" w:cs="Arial"/>
          <w:color w:val="000000"/>
          <w:sz w:val="14"/>
          <w:szCs w:val="14"/>
          <w:lang w:val="es-ES"/>
        </w:rPr>
      </w:pPr>
    </w:p>
  </w:footnote>
  <w:footnote w:id="13">
    <w:p w14:paraId="70A482DB" w14:textId="77777777" w:rsidR="00814218" w:rsidRPr="00BB1D72" w:rsidRDefault="00814218" w:rsidP="00814218">
      <w:pPr>
        <w:pStyle w:val="Textonotapie"/>
        <w:ind w:firstLine="709"/>
        <w:jc w:val="both"/>
        <w:rPr>
          <w:rFonts w:ascii="Verdana" w:hAnsi="Verdana" w:cs="Arial"/>
          <w:color w:val="000000"/>
          <w:sz w:val="14"/>
          <w:szCs w:val="14"/>
          <w:lang w:val="es-ES"/>
        </w:rPr>
      </w:pPr>
      <w:r w:rsidRPr="00BB1D72">
        <w:rPr>
          <w:rStyle w:val="Refdenotaalpie"/>
          <w:rFonts w:ascii="Verdana" w:hAnsi="Verdana"/>
          <w:sz w:val="14"/>
          <w:szCs w:val="14"/>
        </w:rPr>
        <w:footnoteRef/>
      </w:r>
      <w:r w:rsidRPr="00BB1D72">
        <w:rPr>
          <w:rFonts w:ascii="Verdana" w:hAnsi="Verdana"/>
          <w:sz w:val="14"/>
          <w:szCs w:val="14"/>
        </w:rPr>
        <w:t xml:space="preserve"> </w:t>
      </w:r>
      <w:r w:rsidRPr="00BB1D72">
        <w:rPr>
          <w:rFonts w:ascii="Verdana" w:hAnsi="Verdana" w:cs="Arial"/>
          <w:color w:val="000000"/>
          <w:sz w:val="14"/>
          <w:szCs w:val="14"/>
          <w:lang w:val="es-ES"/>
        </w:rPr>
        <w:t>Esta norma expresa: “</w:t>
      </w:r>
      <w:r w:rsidRPr="00BB1D72">
        <w:rPr>
          <w:rFonts w:ascii="Verdana" w:hAnsi="Verdana" w:cs="Arial"/>
          <w:color w:val="000000"/>
          <w:sz w:val="14"/>
          <w:szCs w:val="14"/>
        </w:rPr>
        <w:t>P</w:t>
      </w:r>
      <w:r w:rsidRPr="00BB1D72">
        <w:rPr>
          <w:rFonts w:ascii="Verdana" w:hAnsi="Verdana" w:cs="Arial"/>
          <w:color w:val="000000"/>
          <w:sz w:val="14"/>
          <w:szCs w:val="14"/>
          <w:lang w:val="es-ES"/>
        </w:rPr>
        <w:t>ara el cumplimiento de los fines de la contratación, las entidades estatales al celebrar un contrato:</w:t>
      </w:r>
    </w:p>
    <w:p w14:paraId="723D0AB6" w14:textId="77777777" w:rsidR="00814218" w:rsidRPr="00BB1D72" w:rsidRDefault="00814218" w:rsidP="00814218">
      <w:pPr>
        <w:pStyle w:val="Textonotapie"/>
        <w:ind w:firstLine="709"/>
        <w:jc w:val="both"/>
        <w:rPr>
          <w:rFonts w:ascii="Verdana" w:hAnsi="Verdana" w:cs="Arial"/>
          <w:color w:val="000000"/>
          <w:sz w:val="14"/>
          <w:szCs w:val="14"/>
          <w:lang w:val="es-ES"/>
        </w:rPr>
      </w:pPr>
      <w:r w:rsidRPr="00BB1D72">
        <w:rPr>
          <w:rFonts w:ascii="Verdana" w:hAnsi="Verdana" w:cs="Arial"/>
          <w:color w:val="000000"/>
          <w:sz w:val="14"/>
          <w:szCs w:val="14"/>
          <w:lang w:val="es-ES"/>
        </w:rPr>
        <w:t>[…]</w:t>
      </w:r>
    </w:p>
    <w:p w14:paraId="2AD0CB66" w14:textId="77777777" w:rsidR="00814218" w:rsidRPr="00BB1D72" w:rsidRDefault="00814218" w:rsidP="00814218">
      <w:pPr>
        <w:pStyle w:val="Textonotapie"/>
        <w:ind w:firstLine="709"/>
        <w:jc w:val="both"/>
        <w:rPr>
          <w:rFonts w:ascii="Verdana" w:hAnsi="Verdana" w:cs="Arial"/>
          <w:color w:val="000000"/>
          <w:sz w:val="14"/>
          <w:szCs w:val="14"/>
          <w:lang w:val="es-ES"/>
        </w:rPr>
      </w:pPr>
      <w:r w:rsidRPr="00BB1D72">
        <w:rPr>
          <w:rFonts w:ascii="Verdana" w:hAnsi="Verdana" w:cs="Arial"/>
          <w:color w:val="000000"/>
          <w:sz w:val="14"/>
          <w:szCs w:val="14"/>
          <w:lang w:val="es-ES"/>
        </w:rPr>
        <w:t>2o. Pactarán las cláusulas excepcionales al derecho común de terminación, interpretación y modificación unilaterales, de sometimiento a las leyes nacionales y de caducidad en los contratos que tengan por objeto el ejercicio de una actividad que constituya monopolio estatal, la prestación de servicios públicos o la explotación y concesión de bienes del Estado, así como en los contratos de obra. En los contratos de explotación y concesión de bienes del Estado se incluirá la cláusula de reversión.</w:t>
      </w:r>
    </w:p>
    <w:p w14:paraId="2717D575" w14:textId="77777777" w:rsidR="00814218" w:rsidRPr="00BB1D72" w:rsidRDefault="00814218" w:rsidP="00814218">
      <w:pPr>
        <w:pStyle w:val="Textonotapie"/>
        <w:ind w:firstLine="709"/>
        <w:jc w:val="both"/>
        <w:rPr>
          <w:rFonts w:ascii="Verdana" w:hAnsi="Verdana" w:cs="Arial"/>
          <w:color w:val="000000"/>
          <w:sz w:val="14"/>
          <w:szCs w:val="14"/>
          <w:lang w:val="es-ES"/>
        </w:rPr>
      </w:pPr>
      <w:r w:rsidRPr="00BB1D72">
        <w:rPr>
          <w:rFonts w:ascii="Verdana" w:hAnsi="Verdana" w:cs="Arial"/>
          <w:color w:val="000000"/>
          <w:sz w:val="14"/>
          <w:szCs w:val="14"/>
          <w:lang w:val="es-ES"/>
        </w:rPr>
        <w:t>Las entidades estatales podrán pactar estas cláusulas en los contratos de suministro y de prestación de servicios.</w:t>
      </w:r>
    </w:p>
    <w:p w14:paraId="5864B555" w14:textId="77777777" w:rsidR="00814218" w:rsidRPr="00BB1D72" w:rsidRDefault="00814218" w:rsidP="00814218">
      <w:pPr>
        <w:pStyle w:val="Textonotapie"/>
        <w:ind w:firstLine="709"/>
        <w:jc w:val="both"/>
        <w:rPr>
          <w:rFonts w:ascii="Verdana" w:hAnsi="Verdana" w:cs="Arial"/>
          <w:color w:val="000000"/>
          <w:sz w:val="14"/>
          <w:szCs w:val="14"/>
          <w:lang w:val="es-ES"/>
        </w:rPr>
      </w:pPr>
      <w:r w:rsidRPr="00BB1D72">
        <w:rPr>
          <w:rFonts w:ascii="Verdana" w:hAnsi="Verdana" w:cs="Arial"/>
          <w:color w:val="000000"/>
          <w:sz w:val="14"/>
          <w:szCs w:val="14"/>
          <w:lang w:val="es-ES"/>
        </w:rPr>
        <w:t>[…]”.</w:t>
      </w:r>
    </w:p>
    <w:p w14:paraId="2A8D50D3" w14:textId="77777777" w:rsidR="00814218" w:rsidRPr="00BB1D72" w:rsidRDefault="00814218" w:rsidP="00814218">
      <w:pPr>
        <w:pStyle w:val="Textonotapie"/>
        <w:ind w:firstLine="709"/>
        <w:jc w:val="both"/>
        <w:rPr>
          <w:rFonts w:ascii="Verdana" w:hAnsi="Verdana" w:cs="Arial"/>
          <w:color w:val="000000"/>
          <w:sz w:val="14"/>
          <w:szCs w:val="14"/>
          <w:lang w:val="es-ES"/>
        </w:rPr>
      </w:pPr>
    </w:p>
  </w:footnote>
  <w:footnote w:id="14">
    <w:p w14:paraId="0A628B6B" w14:textId="77777777" w:rsidR="00814218" w:rsidRPr="00BB1D72" w:rsidRDefault="00814218" w:rsidP="00814218">
      <w:pPr>
        <w:pStyle w:val="Textonotapie"/>
        <w:ind w:firstLine="708"/>
        <w:rPr>
          <w:rFonts w:ascii="Verdana" w:hAnsi="Verdana" w:cs="Arial"/>
          <w:color w:val="000000"/>
          <w:sz w:val="14"/>
          <w:szCs w:val="14"/>
          <w:lang w:val="es-ES"/>
        </w:rPr>
      </w:pPr>
      <w:r w:rsidRPr="00BB1D72">
        <w:rPr>
          <w:rStyle w:val="Refdenotaalpie"/>
          <w:rFonts w:ascii="Verdana" w:hAnsi="Verdana"/>
          <w:sz w:val="14"/>
          <w:szCs w:val="14"/>
        </w:rPr>
        <w:footnoteRef/>
      </w:r>
      <w:r w:rsidRPr="00BB1D72">
        <w:rPr>
          <w:rFonts w:ascii="Verdana" w:hAnsi="Verdana"/>
          <w:sz w:val="14"/>
          <w:szCs w:val="14"/>
        </w:rPr>
        <w:t xml:space="preserve"> </w:t>
      </w:r>
      <w:r w:rsidRPr="00BB1D72">
        <w:rPr>
          <w:rFonts w:ascii="Verdana" w:hAnsi="Verdana" w:cs="Arial"/>
          <w:color w:val="000000"/>
          <w:sz w:val="14"/>
          <w:szCs w:val="14"/>
          <w:lang w:val="es-ES"/>
        </w:rPr>
        <w:t>La norma dispone: “La liquidación a que se refiere el presente artículo no será obligatoria en los contratos de prestación de servicios profesionales y de apoyo a la gestión”.</w:t>
      </w:r>
    </w:p>
  </w:footnote>
  <w:footnote w:id="15">
    <w:p w14:paraId="018B3668" w14:textId="77777777" w:rsidR="00814218" w:rsidRPr="00BB1D72" w:rsidRDefault="00814218" w:rsidP="00814218">
      <w:pPr>
        <w:pStyle w:val="Textonotapie"/>
        <w:ind w:firstLine="709"/>
        <w:jc w:val="both"/>
        <w:rPr>
          <w:rFonts w:ascii="Verdana" w:hAnsi="Verdana" w:cs="Arial"/>
          <w:color w:val="000000"/>
          <w:sz w:val="14"/>
          <w:szCs w:val="14"/>
        </w:rPr>
      </w:pPr>
      <w:r w:rsidRPr="00BB1D72">
        <w:rPr>
          <w:rStyle w:val="Refdenotaalpie"/>
          <w:rFonts w:ascii="Verdana" w:hAnsi="Verdana"/>
          <w:sz w:val="14"/>
          <w:szCs w:val="14"/>
        </w:rPr>
        <w:footnoteRef/>
      </w:r>
      <w:r w:rsidRPr="00BB1D72">
        <w:rPr>
          <w:rFonts w:ascii="Verdana" w:hAnsi="Verdana"/>
          <w:sz w:val="14"/>
          <w:szCs w:val="14"/>
        </w:rPr>
        <w:t xml:space="preserve"> </w:t>
      </w:r>
      <w:r w:rsidRPr="00BB1D72">
        <w:rPr>
          <w:rFonts w:ascii="Verdana" w:hAnsi="Verdana" w:cs="Arial"/>
          <w:color w:val="000000"/>
          <w:sz w:val="14"/>
          <w:szCs w:val="14"/>
        </w:rPr>
        <w:t>Según dicho artículo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54B2DF8A" w14:textId="77777777" w:rsidR="00814218" w:rsidRPr="00BB1D72" w:rsidRDefault="00814218" w:rsidP="00814218">
      <w:pPr>
        <w:pStyle w:val="Textonotapie"/>
        <w:ind w:firstLine="709"/>
        <w:jc w:val="both"/>
        <w:rPr>
          <w:rFonts w:ascii="Verdana" w:hAnsi="Verdana" w:cs="Arial"/>
          <w:color w:val="000000"/>
          <w:sz w:val="14"/>
          <w:szCs w:val="14"/>
        </w:rPr>
      </w:pPr>
      <w:r w:rsidRPr="00BB1D72">
        <w:rPr>
          <w:rFonts w:ascii="Verdana" w:hAnsi="Verdana" w:cs="Arial"/>
          <w:color w:val="000000"/>
          <w:sz w:val="14"/>
          <w:szCs w:val="14"/>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6D368DF8" w14:textId="77777777" w:rsidR="00814218" w:rsidRPr="00BB1D72" w:rsidRDefault="00814218" w:rsidP="00814218">
      <w:pPr>
        <w:pStyle w:val="Textonotapie"/>
        <w:ind w:firstLine="709"/>
        <w:jc w:val="both"/>
        <w:rPr>
          <w:rFonts w:ascii="Verdana" w:hAnsi="Verdana" w:cs="Arial"/>
          <w:color w:val="000000"/>
          <w:sz w:val="14"/>
          <w:szCs w:val="14"/>
        </w:rPr>
      </w:pPr>
      <w:r w:rsidRPr="00BB1D72">
        <w:rPr>
          <w:rFonts w:ascii="Verdana" w:hAnsi="Verdana" w:cs="Arial"/>
          <w:color w:val="000000"/>
          <w:sz w:val="14"/>
          <w:szCs w:val="14"/>
        </w:rPr>
        <w:t>[…]”.</w:t>
      </w:r>
    </w:p>
    <w:p w14:paraId="60F14A6B" w14:textId="77777777" w:rsidR="00814218" w:rsidRPr="00BB1D72" w:rsidRDefault="00814218" w:rsidP="00814218">
      <w:pPr>
        <w:pStyle w:val="Textonotapie"/>
        <w:ind w:firstLine="709"/>
        <w:jc w:val="both"/>
        <w:rPr>
          <w:rFonts w:ascii="Verdana" w:hAnsi="Verdana" w:cs="Arial"/>
          <w:color w:val="000000"/>
          <w:sz w:val="14"/>
          <w:szCs w:val="14"/>
        </w:rPr>
      </w:pPr>
    </w:p>
  </w:footnote>
  <w:footnote w:id="16">
    <w:p w14:paraId="23C0D74B" w14:textId="77777777" w:rsidR="00814218" w:rsidRPr="00BB1D72" w:rsidRDefault="00814218" w:rsidP="00814218">
      <w:pPr>
        <w:pStyle w:val="Textonotapie"/>
        <w:ind w:firstLine="709"/>
        <w:jc w:val="both"/>
        <w:rPr>
          <w:rFonts w:ascii="Verdana" w:hAnsi="Verdana" w:cs="Arial"/>
          <w:color w:val="000000"/>
          <w:sz w:val="14"/>
          <w:szCs w:val="14"/>
          <w:lang w:val="es-ES"/>
        </w:rPr>
      </w:pPr>
      <w:r w:rsidRPr="00BB1D72">
        <w:rPr>
          <w:rStyle w:val="Refdenotaalpie"/>
          <w:rFonts w:ascii="Verdana" w:hAnsi="Verdana"/>
          <w:sz w:val="14"/>
          <w:szCs w:val="14"/>
        </w:rPr>
        <w:footnoteRef/>
      </w:r>
      <w:r w:rsidRPr="00BB1D72">
        <w:rPr>
          <w:rFonts w:ascii="Verdana" w:hAnsi="Verdana"/>
          <w:sz w:val="14"/>
          <w:szCs w:val="14"/>
        </w:rPr>
        <w:t xml:space="preserve"> </w:t>
      </w:r>
      <w:r w:rsidRPr="00BB1D72">
        <w:rPr>
          <w:rFonts w:ascii="Verdana" w:hAnsi="Verdana" w:cs="Arial"/>
          <w:color w:val="000000"/>
          <w:sz w:val="14"/>
          <w:szCs w:val="14"/>
          <w:lang w:val="es-ES"/>
        </w:rPr>
        <w:t>Es esto lo que establece el Decreto 1082 de 2015: “Artículo 2.2.1.2.1.4.5. No obligatoriedad de garantías. En la contratación directa la exigencia de garantías establecidas en la Sección 3, que comprende los artículos 2.2.1.2.3.1.1 al 2.2.1.2.3.5.1.del presente decreto no es obligatoria y la justificación para exigirlas o no debe estar en los estudios y documentos previos”.</w:t>
      </w:r>
    </w:p>
    <w:p w14:paraId="38102BB8" w14:textId="77777777" w:rsidR="00814218" w:rsidRPr="00BB1D72" w:rsidRDefault="00814218" w:rsidP="00814218">
      <w:pPr>
        <w:pStyle w:val="Textonotapie"/>
        <w:ind w:firstLine="709"/>
        <w:jc w:val="both"/>
        <w:rPr>
          <w:rFonts w:ascii="Verdana" w:hAnsi="Verdana" w:cs="Arial"/>
          <w:color w:val="000000"/>
          <w:sz w:val="14"/>
          <w:szCs w:val="14"/>
          <w:lang w:val="es-ES"/>
        </w:rPr>
      </w:pPr>
    </w:p>
  </w:footnote>
  <w:footnote w:id="17">
    <w:p w14:paraId="5F69F2A8" w14:textId="77777777" w:rsidR="00814218" w:rsidRPr="00BB1D72" w:rsidRDefault="00814218" w:rsidP="00814218">
      <w:pPr>
        <w:pStyle w:val="Textonotapie"/>
        <w:ind w:firstLine="708"/>
        <w:jc w:val="both"/>
        <w:rPr>
          <w:rFonts w:ascii="Verdana" w:hAnsi="Verdana"/>
          <w:sz w:val="14"/>
          <w:szCs w:val="14"/>
        </w:rPr>
      </w:pPr>
      <w:r w:rsidRPr="00BB1D72">
        <w:rPr>
          <w:rStyle w:val="Refdenotaalpie"/>
          <w:rFonts w:ascii="Verdana" w:hAnsi="Verdana"/>
          <w:sz w:val="14"/>
          <w:szCs w:val="14"/>
        </w:rPr>
        <w:footnoteRef/>
      </w:r>
      <w:r w:rsidRPr="00BB1D72">
        <w:rPr>
          <w:rFonts w:ascii="Verdana" w:hAnsi="Verdana"/>
          <w:sz w:val="14"/>
          <w:szCs w:val="14"/>
        </w:rPr>
        <w:t xml:space="preserve"> Artículo 17 de la Ley 1150 de 2007</w:t>
      </w:r>
    </w:p>
    <w:p w14:paraId="7E8EF570" w14:textId="77777777" w:rsidR="00814218" w:rsidRPr="00BB1D72" w:rsidRDefault="00814218" w:rsidP="00814218">
      <w:pPr>
        <w:pStyle w:val="Textonotapie"/>
        <w:ind w:firstLine="708"/>
        <w:jc w:val="both"/>
        <w:rPr>
          <w:rFonts w:ascii="Verdana" w:hAnsi="Verdana"/>
          <w:sz w:val="14"/>
          <w:szCs w:val="14"/>
          <w:lang w:val="es-CO"/>
        </w:rPr>
      </w:pPr>
    </w:p>
  </w:footnote>
  <w:footnote w:id="18">
    <w:p w14:paraId="4D6AC4CB" w14:textId="77777777" w:rsidR="00814218" w:rsidRPr="00BB1D72" w:rsidRDefault="00814218" w:rsidP="00814218">
      <w:pPr>
        <w:pStyle w:val="Textonotapie"/>
        <w:ind w:firstLine="708"/>
        <w:jc w:val="both"/>
        <w:rPr>
          <w:rFonts w:ascii="Verdana" w:hAnsi="Verdana"/>
          <w:sz w:val="14"/>
          <w:szCs w:val="14"/>
        </w:rPr>
      </w:pPr>
      <w:r w:rsidRPr="00BB1D72">
        <w:rPr>
          <w:rStyle w:val="Refdenotaalpie"/>
          <w:rFonts w:ascii="Verdana" w:hAnsi="Verdana"/>
          <w:sz w:val="14"/>
          <w:szCs w:val="14"/>
        </w:rPr>
        <w:footnoteRef/>
      </w:r>
      <w:r w:rsidRPr="00BB1D72">
        <w:rPr>
          <w:rFonts w:ascii="Verdana" w:hAnsi="Verdana"/>
          <w:sz w:val="14"/>
          <w:szCs w:val="14"/>
        </w:rPr>
        <w:t xml:space="preserve"> Artículo 21 de la Ley 1150 de 2007</w:t>
      </w:r>
    </w:p>
    <w:p w14:paraId="140C8A5F" w14:textId="77777777" w:rsidR="00814218" w:rsidRPr="00BB1D72" w:rsidRDefault="00814218" w:rsidP="00814218">
      <w:pPr>
        <w:pStyle w:val="Textonotapie"/>
        <w:ind w:firstLine="708"/>
        <w:jc w:val="both"/>
        <w:rPr>
          <w:rFonts w:ascii="Verdana" w:hAnsi="Verdana"/>
          <w:sz w:val="14"/>
          <w:szCs w:val="14"/>
          <w:lang w:val="es-CO"/>
        </w:rPr>
      </w:pPr>
    </w:p>
  </w:footnote>
  <w:footnote w:id="19">
    <w:p w14:paraId="40252432" w14:textId="77777777" w:rsidR="00814218" w:rsidRPr="00BB1D72" w:rsidRDefault="00814218" w:rsidP="00814218">
      <w:pPr>
        <w:pStyle w:val="Textonotapie"/>
        <w:ind w:firstLine="708"/>
        <w:jc w:val="both"/>
        <w:rPr>
          <w:rFonts w:ascii="Verdana" w:hAnsi="Verdana"/>
          <w:sz w:val="14"/>
          <w:szCs w:val="14"/>
        </w:rPr>
      </w:pPr>
      <w:r w:rsidRPr="00BB1D72">
        <w:rPr>
          <w:rStyle w:val="Refdenotaalpie"/>
          <w:rFonts w:ascii="Verdana" w:hAnsi="Verdana"/>
          <w:sz w:val="14"/>
          <w:szCs w:val="14"/>
        </w:rPr>
        <w:footnoteRef/>
      </w:r>
      <w:r w:rsidRPr="00BB1D72">
        <w:rPr>
          <w:rFonts w:ascii="Verdana" w:hAnsi="Verdana"/>
          <w:sz w:val="14"/>
          <w:szCs w:val="14"/>
        </w:rPr>
        <w:t xml:space="preserve"> Artículos 83 a 86 de la Ley 1474 de 2011</w:t>
      </w:r>
    </w:p>
    <w:p w14:paraId="6BEA6927" w14:textId="77777777" w:rsidR="00814218" w:rsidRPr="00BB1D72" w:rsidRDefault="00814218" w:rsidP="00814218">
      <w:pPr>
        <w:pStyle w:val="Textonotapie"/>
        <w:ind w:firstLine="708"/>
        <w:jc w:val="both"/>
        <w:rPr>
          <w:rFonts w:ascii="Verdana" w:hAnsi="Verdana"/>
          <w:sz w:val="14"/>
          <w:szCs w:val="14"/>
        </w:rPr>
      </w:pPr>
    </w:p>
  </w:footnote>
  <w:footnote w:id="20">
    <w:p w14:paraId="1AD0F8F4" w14:textId="77777777" w:rsidR="00814218" w:rsidRPr="00BB1D72" w:rsidRDefault="00814218" w:rsidP="00814218">
      <w:pPr>
        <w:pStyle w:val="Textonotapie"/>
        <w:ind w:firstLine="708"/>
        <w:jc w:val="both"/>
        <w:rPr>
          <w:rFonts w:ascii="Verdana" w:hAnsi="Verdana"/>
          <w:sz w:val="14"/>
          <w:szCs w:val="14"/>
        </w:rPr>
      </w:pPr>
      <w:r w:rsidRPr="00BB1D72">
        <w:rPr>
          <w:rStyle w:val="Refdenotaalpie"/>
          <w:rFonts w:ascii="Verdana" w:hAnsi="Verdana"/>
          <w:sz w:val="14"/>
          <w:szCs w:val="14"/>
        </w:rPr>
        <w:footnoteRef/>
      </w:r>
      <w:r w:rsidRPr="00BB1D72">
        <w:rPr>
          <w:rFonts w:ascii="Verdana" w:hAnsi="Verdana"/>
          <w:sz w:val="14"/>
          <w:szCs w:val="14"/>
        </w:rPr>
        <w:t xml:space="preserve"> Consejo de Estado. Sección 3ª. Sentencia del 27 de noviembre de 2017. M.P. Jaime Orlando Santofimio. Exp. 51.802</w:t>
      </w:r>
    </w:p>
  </w:footnote>
  <w:footnote w:id="21">
    <w:p w14:paraId="5DEB5ED0" w14:textId="77777777" w:rsidR="00814218" w:rsidRPr="00BB1D72" w:rsidRDefault="00814218" w:rsidP="00814218">
      <w:pPr>
        <w:pStyle w:val="Textonotapie"/>
        <w:ind w:firstLine="708"/>
        <w:jc w:val="both"/>
        <w:rPr>
          <w:rFonts w:ascii="Verdana" w:hAnsi="Verdana" w:cs="Arial"/>
          <w:sz w:val="14"/>
          <w:szCs w:val="14"/>
          <w:lang w:val="es-CO"/>
        </w:rPr>
      </w:pPr>
      <w:r w:rsidRPr="00BB1D72">
        <w:rPr>
          <w:rStyle w:val="Refdenotaalpie"/>
          <w:rFonts w:ascii="Verdana" w:hAnsi="Verdana" w:cs="Arial"/>
          <w:sz w:val="14"/>
          <w:szCs w:val="14"/>
        </w:rPr>
        <w:footnoteRef/>
      </w:r>
      <w:r w:rsidRPr="00BB1D72">
        <w:rPr>
          <w:rFonts w:ascii="Verdana" w:hAnsi="Verdana" w:cs="Arial"/>
          <w:sz w:val="14"/>
          <w:szCs w:val="14"/>
        </w:rPr>
        <w:t xml:space="preserve"> Agencia Nacional de Contratación Pública – Colombia Compra Eficiente. Guía de Elaboración de Estudios del Sector. Disponible en: </w:t>
      </w:r>
      <w:hyperlink r:id="rId1" w:history="1">
        <w:r w:rsidRPr="00BB1D72">
          <w:rPr>
            <w:rStyle w:val="Hipervnculo"/>
            <w:rFonts w:ascii="Verdana" w:hAnsi="Verdana" w:cs="Arial"/>
            <w:sz w:val="14"/>
            <w:szCs w:val="14"/>
          </w:rPr>
          <w:t>https://www.colombiacompra.gov.co/manualesguias-y-pliegos-tipo/manuales-y-guias</w:t>
        </w:r>
      </w:hyperlink>
      <w:r w:rsidRPr="00BB1D72">
        <w:rPr>
          <w:rFonts w:ascii="Verdana" w:hAnsi="Verdana" w:cs="Arial"/>
          <w:sz w:val="14"/>
          <w:szCs w:val="14"/>
        </w:rPr>
        <w:t xml:space="preserve">. </w:t>
      </w:r>
    </w:p>
  </w:footnote>
  <w:footnote w:id="22">
    <w:p w14:paraId="29A137EB" w14:textId="77777777" w:rsidR="00814218" w:rsidRPr="00BB1D72" w:rsidRDefault="00814218" w:rsidP="00814218">
      <w:pPr>
        <w:pStyle w:val="Textonotapie"/>
        <w:ind w:firstLine="708"/>
        <w:jc w:val="both"/>
        <w:rPr>
          <w:rFonts w:ascii="Verdana" w:hAnsi="Verdana"/>
          <w:sz w:val="14"/>
          <w:szCs w:val="14"/>
          <w:lang w:val="es-CO"/>
        </w:rPr>
      </w:pPr>
      <w:r w:rsidRPr="00BB1D72">
        <w:rPr>
          <w:rStyle w:val="Refdenotaalpie"/>
          <w:rFonts w:ascii="Verdana" w:hAnsi="Verdana"/>
          <w:sz w:val="14"/>
          <w:szCs w:val="14"/>
        </w:rPr>
        <w:footnoteRef/>
      </w:r>
      <w:r w:rsidRPr="00BB1D72">
        <w:rPr>
          <w:rFonts w:ascii="Verdana" w:hAnsi="Verdana"/>
          <w:sz w:val="14"/>
          <w:szCs w:val="14"/>
        </w:rPr>
        <w:t xml:space="preserve"> Colombia Compra Eficiente, Guía de Elaboración de Estudios de Sector. </w:t>
      </w:r>
      <w:hyperlink r:id="rId2" w:history="1">
        <w:r w:rsidRPr="00BB1D72">
          <w:rPr>
            <w:rStyle w:val="Hipervnculo"/>
            <w:rFonts w:ascii="Verdana" w:hAnsi="Verdana"/>
            <w:sz w:val="14"/>
            <w:szCs w:val="14"/>
            <w:lang w:val="es-CO"/>
          </w:rPr>
          <w:t>https://colombiacompra.gov.co/wp-content/uploads/2024/08/cce-eicp-gi-18._gees_v.2_2.pdf</w:t>
        </w:r>
      </w:hyperlink>
    </w:p>
    <w:p w14:paraId="28EAEA7E" w14:textId="77777777" w:rsidR="00814218" w:rsidRPr="00BB1D72" w:rsidRDefault="00814218" w:rsidP="00814218">
      <w:pPr>
        <w:pStyle w:val="Textonotapie"/>
        <w:ind w:firstLine="708"/>
        <w:jc w:val="both"/>
        <w:rPr>
          <w:rFonts w:ascii="Verdana" w:hAnsi="Verdana"/>
          <w:sz w:val="14"/>
          <w:szCs w:val="14"/>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85pt;height:11.8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360"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5191D1B"/>
    <w:multiLevelType w:val="hybridMultilevel"/>
    <w:tmpl w:val="210E7FFC"/>
    <w:lvl w:ilvl="0" w:tplc="E4B0DDD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2"/>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6"/>
  </w:num>
  <w:num w:numId="8" w16cid:durableId="152644682">
    <w:abstractNumId w:val="13"/>
  </w:num>
  <w:num w:numId="9" w16cid:durableId="1317221377">
    <w:abstractNumId w:val="8"/>
  </w:num>
  <w:num w:numId="10" w16cid:durableId="1471245386">
    <w:abstractNumId w:val="12"/>
  </w:num>
  <w:num w:numId="11" w16cid:durableId="289172385">
    <w:abstractNumId w:val="9"/>
  </w:num>
  <w:num w:numId="12" w16cid:durableId="1470781324">
    <w:abstractNumId w:val="1"/>
  </w:num>
  <w:num w:numId="13" w16cid:durableId="1512908409">
    <w:abstractNumId w:val="4"/>
  </w:num>
  <w:num w:numId="14" w16cid:durableId="895897244">
    <w:abstractNumId w:val="15"/>
  </w:num>
  <w:num w:numId="15" w16cid:durableId="390349800">
    <w:abstractNumId w:val="11"/>
  </w:num>
  <w:num w:numId="16" w16cid:durableId="341274352">
    <w:abstractNumId w:val="0"/>
  </w:num>
  <w:num w:numId="17" w16cid:durableId="679089576">
    <w:abstractNumId w:val="10"/>
  </w:num>
  <w:num w:numId="18" w16cid:durableId="413164813">
    <w:abstractNumId w:val="3"/>
  </w:num>
  <w:num w:numId="19" w16cid:durableId="129456137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97579"/>
    <w:rsid w:val="000A683E"/>
    <w:rsid w:val="000B19B9"/>
    <w:rsid w:val="000D0334"/>
    <w:rsid w:val="000D5DA7"/>
    <w:rsid w:val="000F6486"/>
    <w:rsid w:val="00116940"/>
    <w:rsid w:val="00125105"/>
    <w:rsid w:val="00127233"/>
    <w:rsid w:val="00141283"/>
    <w:rsid w:val="0015699B"/>
    <w:rsid w:val="001923F6"/>
    <w:rsid w:val="001964D3"/>
    <w:rsid w:val="001A33BF"/>
    <w:rsid w:val="001A52E0"/>
    <w:rsid w:val="001E4177"/>
    <w:rsid w:val="001F0B24"/>
    <w:rsid w:val="001F4B98"/>
    <w:rsid w:val="001F7DC6"/>
    <w:rsid w:val="0022400B"/>
    <w:rsid w:val="0023715F"/>
    <w:rsid w:val="002421BB"/>
    <w:rsid w:val="0025796E"/>
    <w:rsid w:val="002707A2"/>
    <w:rsid w:val="002951A0"/>
    <w:rsid w:val="002962BC"/>
    <w:rsid w:val="002A093D"/>
    <w:rsid w:val="002A0DD0"/>
    <w:rsid w:val="002A49AC"/>
    <w:rsid w:val="002A4D12"/>
    <w:rsid w:val="002A64FD"/>
    <w:rsid w:val="002B1BDE"/>
    <w:rsid w:val="002C7A84"/>
    <w:rsid w:val="002E2BF8"/>
    <w:rsid w:val="002E4FD9"/>
    <w:rsid w:val="002E6927"/>
    <w:rsid w:val="002F34E8"/>
    <w:rsid w:val="0030657A"/>
    <w:rsid w:val="0030744E"/>
    <w:rsid w:val="00322A85"/>
    <w:rsid w:val="00324168"/>
    <w:rsid w:val="00330834"/>
    <w:rsid w:val="003448F4"/>
    <w:rsid w:val="00374F5E"/>
    <w:rsid w:val="00377E3E"/>
    <w:rsid w:val="003A779E"/>
    <w:rsid w:val="003D0F4D"/>
    <w:rsid w:val="003D5B0D"/>
    <w:rsid w:val="003E0499"/>
    <w:rsid w:val="003E4F80"/>
    <w:rsid w:val="003E6439"/>
    <w:rsid w:val="003F3941"/>
    <w:rsid w:val="00406575"/>
    <w:rsid w:val="00414C74"/>
    <w:rsid w:val="0042722E"/>
    <w:rsid w:val="0044528D"/>
    <w:rsid w:val="00450013"/>
    <w:rsid w:val="00466E39"/>
    <w:rsid w:val="00471754"/>
    <w:rsid w:val="004A1847"/>
    <w:rsid w:val="004A305D"/>
    <w:rsid w:val="004B7774"/>
    <w:rsid w:val="004F21C4"/>
    <w:rsid w:val="004F685F"/>
    <w:rsid w:val="00505805"/>
    <w:rsid w:val="005566E8"/>
    <w:rsid w:val="00557A4D"/>
    <w:rsid w:val="00564577"/>
    <w:rsid w:val="00574867"/>
    <w:rsid w:val="00591460"/>
    <w:rsid w:val="005A5080"/>
    <w:rsid w:val="005A65E0"/>
    <w:rsid w:val="005C36D3"/>
    <w:rsid w:val="005C3777"/>
    <w:rsid w:val="005C5CDC"/>
    <w:rsid w:val="005D476C"/>
    <w:rsid w:val="006200BF"/>
    <w:rsid w:val="006219F8"/>
    <w:rsid w:val="006302F7"/>
    <w:rsid w:val="00646B9F"/>
    <w:rsid w:val="00665D70"/>
    <w:rsid w:val="006831EE"/>
    <w:rsid w:val="006900D9"/>
    <w:rsid w:val="00695D89"/>
    <w:rsid w:val="006A6355"/>
    <w:rsid w:val="006E5ABF"/>
    <w:rsid w:val="00706C16"/>
    <w:rsid w:val="00720297"/>
    <w:rsid w:val="007340C3"/>
    <w:rsid w:val="00743DF5"/>
    <w:rsid w:val="0075235A"/>
    <w:rsid w:val="00756841"/>
    <w:rsid w:val="007649AB"/>
    <w:rsid w:val="0076504D"/>
    <w:rsid w:val="00771D0C"/>
    <w:rsid w:val="007833AC"/>
    <w:rsid w:val="00783821"/>
    <w:rsid w:val="007B268C"/>
    <w:rsid w:val="007B3231"/>
    <w:rsid w:val="007B7171"/>
    <w:rsid w:val="007C0C0F"/>
    <w:rsid w:val="007C3DC2"/>
    <w:rsid w:val="007E5497"/>
    <w:rsid w:val="007F023F"/>
    <w:rsid w:val="00806F5F"/>
    <w:rsid w:val="00814218"/>
    <w:rsid w:val="00820278"/>
    <w:rsid w:val="008258C9"/>
    <w:rsid w:val="00844AE9"/>
    <w:rsid w:val="00867F95"/>
    <w:rsid w:val="008843B6"/>
    <w:rsid w:val="00891928"/>
    <w:rsid w:val="00892FBC"/>
    <w:rsid w:val="008A446D"/>
    <w:rsid w:val="008A6346"/>
    <w:rsid w:val="008B25F1"/>
    <w:rsid w:val="008D180B"/>
    <w:rsid w:val="008F0EA7"/>
    <w:rsid w:val="008F7628"/>
    <w:rsid w:val="00923EEF"/>
    <w:rsid w:val="009404F0"/>
    <w:rsid w:val="009419F9"/>
    <w:rsid w:val="0095685E"/>
    <w:rsid w:val="00961B09"/>
    <w:rsid w:val="00965334"/>
    <w:rsid w:val="0097093E"/>
    <w:rsid w:val="009A0DFA"/>
    <w:rsid w:val="009A1C6F"/>
    <w:rsid w:val="009B2D26"/>
    <w:rsid w:val="009C71FA"/>
    <w:rsid w:val="009C72E7"/>
    <w:rsid w:val="009C7F7E"/>
    <w:rsid w:val="009D3058"/>
    <w:rsid w:val="009F3A13"/>
    <w:rsid w:val="00A122D3"/>
    <w:rsid w:val="00A14468"/>
    <w:rsid w:val="00A17F13"/>
    <w:rsid w:val="00A20739"/>
    <w:rsid w:val="00A23AF9"/>
    <w:rsid w:val="00A25EA0"/>
    <w:rsid w:val="00A33C78"/>
    <w:rsid w:val="00A55EA3"/>
    <w:rsid w:val="00A6468B"/>
    <w:rsid w:val="00A91787"/>
    <w:rsid w:val="00AA0AED"/>
    <w:rsid w:val="00AB0ADB"/>
    <w:rsid w:val="00B00C0E"/>
    <w:rsid w:val="00B01B1A"/>
    <w:rsid w:val="00B0381D"/>
    <w:rsid w:val="00B21417"/>
    <w:rsid w:val="00B44A47"/>
    <w:rsid w:val="00B72CD3"/>
    <w:rsid w:val="00B72FFF"/>
    <w:rsid w:val="00BC3D36"/>
    <w:rsid w:val="00BC498B"/>
    <w:rsid w:val="00BD54A6"/>
    <w:rsid w:val="00BD7F72"/>
    <w:rsid w:val="00BF7425"/>
    <w:rsid w:val="00C02FF7"/>
    <w:rsid w:val="00C04FB3"/>
    <w:rsid w:val="00C11D8B"/>
    <w:rsid w:val="00C15139"/>
    <w:rsid w:val="00C17A0E"/>
    <w:rsid w:val="00C244DE"/>
    <w:rsid w:val="00C330EB"/>
    <w:rsid w:val="00C33B22"/>
    <w:rsid w:val="00C50D69"/>
    <w:rsid w:val="00C5365C"/>
    <w:rsid w:val="00C754BE"/>
    <w:rsid w:val="00C76B1C"/>
    <w:rsid w:val="00C87622"/>
    <w:rsid w:val="00C925AC"/>
    <w:rsid w:val="00CB6357"/>
    <w:rsid w:val="00CC1B26"/>
    <w:rsid w:val="00CF5E3D"/>
    <w:rsid w:val="00D03B4A"/>
    <w:rsid w:val="00D12ACE"/>
    <w:rsid w:val="00D31A64"/>
    <w:rsid w:val="00D361FD"/>
    <w:rsid w:val="00D423A2"/>
    <w:rsid w:val="00D44E26"/>
    <w:rsid w:val="00D520D8"/>
    <w:rsid w:val="00D63AC2"/>
    <w:rsid w:val="00D7383B"/>
    <w:rsid w:val="00D7788A"/>
    <w:rsid w:val="00DA231B"/>
    <w:rsid w:val="00DA7DF5"/>
    <w:rsid w:val="00DB45F8"/>
    <w:rsid w:val="00DC39FC"/>
    <w:rsid w:val="00DE2E2B"/>
    <w:rsid w:val="00DF5254"/>
    <w:rsid w:val="00E02524"/>
    <w:rsid w:val="00E16408"/>
    <w:rsid w:val="00E16894"/>
    <w:rsid w:val="00E20894"/>
    <w:rsid w:val="00E245AB"/>
    <w:rsid w:val="00E2764C"/>
    <w:rsid w:val="00E27F2E"/>
    <w:rsid w:val="00E50AFE"/>
    <w:rsid w:val="00E75C92"/>
    <w:rsid w:val="00E771DC"/>
    <w:rsid w:val="00E85901"/>
    <w:rsid w:val="00E8772A"/>
    <w:rsid w:val="00E90F6B"/>
    <w:rsid w:val="00E92C27"/>
    <w:rsid w:val="00EA0E3D"/>
    <w:rsid w:val="00EA2970"/>
    <w:rsid w:val="00EC38A7"/>
    <w:rsid w:val="00ED6221"/>
    <w:rsid w:val="00EE1AA8"/>
    <w:rsid w:val="00F23FEA"/>
    <w:rsid w:val="00F2686C"/>
    <w:rsid w:val="00F31EDC"/>
    <w:rsid w:val="00F462B3"/>
    <w:rsid w:val="00F5664F"/>
    <w:rsid w:val="00F642A8"/>
    <w:rsid w:val="00F666C4"/>
    <w:rsid w:val="00F76AFC"/>
    <w:rsid w:val="00F8207D"/>
    <w:rsid w:val="00FA47C0"/>
    <w:rsid w:val="00FB5DD1"/>
    <w:rsid w:val="00FC2B5D"/>
    <w:rsid w:val="00FF1449"/>
    <w:rsid w:val="00FF7963"/>
    <w:rsid w:val="071B8F93"/>
    <w:rsid w:val="07C73DD1"/>
    <w:rsid w:val="09908A09"/>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14218"/>
    <w:rPr>
      <w:rFonts w:ascii="Geomanist Light" w:hAnsi="Geomanist Light"/>
      <w:lang w:val="es-ES"/>
    </w:rPr>
  </w:style>
  <w:style w:type="character" w:customStyle="1" w:styleId="NormalWebCar">
    <w:name w:val="Normal (Web) Car"/>
    <w:link w:val="NormalWeb"/>
    <w:uiPriority w:val="99"/>
    <w:locked/>
    <w:rsid w:val="00814218"/>
    <w:rPr>
      <w:rFonts w:ascii="Times New Roman" w:eastAsia="Times New Roman" w:hAnsi="Times New Roman" w:cs="Times New Roman"/>
      <w:sz w:val="24"/>
      <w:szCs w:val="24"/>
      <w:lang w:eastAsia="es-CO"/>
    </w:rPr>
  </w:style>
  <w:style w:type="paragraph" w:customStyle="1" w:styleId="Appelnotedebasde">
    <w:name w:val="Appel note de bas de..."/>
    <w:basedOn w:val="Normal"/>
    <w:link w:val="Refdenotaalpie"/>
    <w:uiPriority w:val="99"/>
    <w:rsid w:val="00814218"/>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lombiacompra.gov.co/manualesguias-y-pliegos-tipo/manuales-y-guias" TargetMode="External"/><Relationship Id="rId18" Type="http://schemas.openxmlformats.org/officeDocument/2006/relationships/hyperlink" Target="https://nam02.safelinks.protection.outlook.com/?url=https%3A%2F%2Fwww.colombiacompra.gov.co%2Farchivos%2Fboletin%2Fboletin-edicion-n-3-de-2026-radar-de-la-compra-publica&amp;data=05%7C02%7Cjuan.montoya%40colombiacompra.gov.co%7C7128555136e04fa6887d08dee99e1b50%7C7b09041e245149d08cb179d5e3d8c1be%7C0%7C0%7C639205062451356630%7CUnknown%7CTWFpbGZsb3d8eyJFbXB0eU1hcGkiOnRydWUsIlYiOiIwLjAuMDAwMCIsIlAiOiJXaW4zMiIsIkFOIjoiTWFpbCIsIldUIjoyfQ%3D%3D%7C0%7C%7C%7C&amp;sdata=BAEerpr5LJv1S5EMjF4wsWYXvi5rJvYw5HldhbMOmZk%3D&amp;reserved=0"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forms.office.com/r/pPHyWVs2SZ" TargetMode="External"/><Relationship Id="rId7" Type="http://schemas.openxmlformats.org/officeDocument/2006/relationships/settings" Target="settings.xml"/><Relationship Id="rId12" Type="http://schemas.openxmlformats.org/officeDocument/2006/relationships/hyperlink" Target="mailto:leonardgarzon46@gmail.com" TargetMode="External"/><Relationship Id="rId17" Type="http://schemas.openxmlformats.org/officeDocument/2006/relationships/hyperlink" Target="https://nam02.safelinks.protection.outlook.com/?url=https%3A%2F%2Fwww.colombiacompra.gov.co%2Farchivos%2Fcircular%2Fcircular-externa-002-de-2026&amp;data=05%7C02%7Cjuan.montoya%40colombiacompra.gov.co%7C7128555136e04fa6887d08dee99e1b50%7C7b09041e245149d08cb179d5e3d8c1be%7C0%7C0%7C639205062451334414%7CUnknown%7CTWFpbGZsb3d8eyJFbXB0eU1hcGkiOnRydWUsIlYiOiIwLjAuMDAwMCIsIlAiOiJXaW4zMiIsIkFOIjoiTWFpbCIsIldUIjoyfQ%3D%3D%7C0%7C%7C%7C&amp;sdata=afoCV6jibHbTjlvaQik3Cm4faTAldy%2BPjeYD7F9ArKA%3D&amp;reserved=0"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circular%2Fcircular-externa-003-de-2026&amp;data=05%7C02%7Cjuan.montoya%40colombiacompra.gov.co%7C7128555136e04fa6887d08dee99e1b50%7C7b09041e245149d08cb179d5e3d8c1be%7C0%7C0%7C639205062451311236%7CUnknown%7CTWFpbGZsb3d8eyJFbXB0eU1hcGkiOnRydWUsIlYiOiIwLjAuMDAwMCIsIlAiOiJXaW4zMiIsIkFOIjoiTWFpbCIsIldUIjoyfQ%3D%3D%7C0%7C%7C%7C&amp;sdata=%2FIK%2BCWYsSGOFYBZnWf4YWtYLVNUxZLARHnAsDCfX018%3D&amp;reserved=0" TargetMode="External"/><Relationship Id="rId20" Type="http://schemas.openxmlformats.org/officeDocument/2006/relationships/hyperlink" Target="https://www.colombiacompra.gov.co/pqrsd/informacion-importante-antes-de-formular-una-pqrsd"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nam02.safelinks.protection.outlook.com/?url=https%3A%2F%2Fwww.colombiacompra.gov.co%2Farchivos%2Fmanual%2Fguia-de-garantias-en-procesos-de-contratacion&amp;data=05%7C02%7Cjuan.montoya%40colombiacompra.gov.co%7C7128555136e04fa6887d08dee99e1b50%7C7b09041e245149d08cb179d5e3d8c1be%7C0%7C0%7C639205062451279556%7CUnknown%7CTWFpbGZsb3d8eyJFbXB0eU1hcGkiOnRydWUsIlYiOiIwLjAuMDAwMCIsIlAiOiJXaW4zMiIsIkFOIjoiTWFpbCIsIldUIjoyfQ%3D%3D%7C0%7C%7C%7C&amp;sdata=i4ge%2BIRzNcFc6YLVHBS9VTZEZfbIWHprkVqyLu5AvlY%3D&amp;reserved=0" TargetMode="External"/><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mailto:ventanilladeradicacion@colombiacompra.gov.co"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 TargetMode="External"/><Relationship Id="rId22" Type="http://schemas.openxmlformats.org/officeDocument/2006/relationships/image" Target="media/image3.png"/></Relationships>
</file>

<file path=word/_rels/footnotes.xml.rels><?xml version="1.0" encoding="UTF-8" standalone="yes"?>
<Relationships xmlns="http://schemas.openxmlformats.org/package/2006/relationships"><Relationship Id="rId2" Type="http://schemas.openxmlformats.org/officeDocument/2006/relationships/hyperlink" Target="https://colombiacompra.gov.co/wp-content/uploads/2024/08/cce-eicp-gi-18._gees_v.2_2.pdf" TargetMode="External"/><Relationship Id="rId1" Type="http://schemas.openxmlformats.org/officeDocument/2006/relationships/hyperlink" Target="https://www.colombiacompra.gov.co/manualesguias-y-pliegos-tipo/manuales-y-guia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576DAC42-D36B-484C-BF12-4F5F15EEE3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9544965-8EC8-4C7B-A2DB-118A002EB68A}">
  <ds:schemaRefs>
    <ds:schemaRef ds:uri="http://schemas.openxmlformats.org/officeDocument/2006/bibliography"/>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Normal.dotm</Template>
  <TotalTime>663</TotalTime>
  <Pages>22</Pages>
  <Words>7283</Words>
  <Characters>40057</Characters>
  <Application>Microsoft Office Word</Application>
  <DocSecurity>0</DocSecurity>
  <Lines>333</Lines>
  <Paragraphs>94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Ximena Ríos López</cp:lastModifiedBy>
  <cp:revision>38</cp:revision>
  <cp:lastPrinted>2023-01-10T21:18:00Z</cp:lastPrinted>
  <dcterms:created xsi:type="dcterms:W3CDTF">2026-10-05T23:15:00Z</dcterms:created>
  <dcterms:modified xsi:type="dcterms:W3CDTF">2026-10-14T21:46:00Z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