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31FD8" w14:textId="77777777" w:rsidR="00EA5749" w:rsidRPr="002602F6" w:rsidRDefault="00EA5749" w:rsidP="00A56540">
      <w:pPr>
        <w:spacing w:after="0" w:line="240" w:lineRule="auto"/>
        <w:jc w:val="both"/>
        <w:rPr>
          <w:rFonts w:ascii="Verdana" w:eastAsia="Verdana" w:hAnsi="Verdana" w:cs="Verdana"/>
          <w:b/>
        </w:rPr>
      </w:pPr>
      <w:bookmarkStart w:id="0" w:name="_Hlk143780582"/>
      <w:r w:rsidRPr="002602F6">
        <w:rPr>
          <w:rFonts w:ascii="Verdana" w:eastAsia="Verdana" w:hAnsi="Verdana" w:cs="Verdana"/>
          <w:b/>
        </w:rPr>
        <w:t xml:space="preserve">ADICIÓN – Concepto – Distintos supuestos – Prohibición – Adición en más del 50% </w:t>
      </w:r>
    </w:p>
    <w:p w14:paraId="4ED95D69" w14:textId="77777777" w:rsidR="00EA5749" w:rsidRPr="00583346" w:rsidRDefault="00EA5749" w:rsidP="00A56540">
      <w:pPr>
        <w:spacing w:after="0" w:line="240" w:lineRule="auto"/>
        <w:jc w:val="both"/>
        <w:rPr>
          <w:rFonts w:ascii="Verdana" w:eastAsia="Verdana" w:hAnsi="Verdana" w:cs="Verdana"/>
          <w:bCs/>
          <w:sz w:val="20"/>
          <w:szCs w:val="20"/>
        </w:rPr>
      </w:pPr>
    </w:p>
    <w:p w14:paraId="03E16AFA" w14:textId="77777777" w:rsidR="00EA5749" w:rsidRPr="00583346" w:rsidRDefault="00EA5749" w:rsidP="00A56540">
      <w:pPr>
        <w:spacing w:after="0" w:line="240" w:lineRule="auto"/>
        <w:jc w:val="both"/>
        <w:rPr>
          <w:rFonts w:ascii="Verdana" w:eastAsia="Verdana" w:hAnsi="Verdana" w:cs="Verdana"/>
          <w:bCs/>
          <w:sz w:val="20"/>
          <w:szCs w:val="20"/>
        </w:rPr>
      </w:pPr>
      <w:r w:rsidRPr="00583346">
        <w:rPr>
          <w:rFonts w:ascii="Verdana" w:eastAsia="Verdana" w:hAnsi="Verdana" w:cs="Verdana"/>
          <w:bCs/>
          <w:sz w:val="20"/>
          <w:szCs w:val="20"/>
        </w:rPr>
        <w:t>Lo importante es que, frente a cualquier incremento del valor inicial del contrato</w:t>
      </w:r>
      <w:r w:rsidRPr="00583346">
        <w:rPr>
          <w:rFonts w:ascii="Verdana" w:eastAsia="Verdana" w:hAnsi="Verdana" w:cs="Verdana"/>
          <w:bCs/>
          <w:i/>
          <w:iCs/>
          <w:sz w:val="20"/>
          <w:szCs w:val="20"/>
        </w:rPr>
        <w:t xml:space="preserve"> </w:t>
      </w:r>
      <w:r w:rsidRPr="00583346">
        <w:rPr>
          <w:rFonts w:ascii="Verdana" w:eastAsia="Verdana" w:hAnsi="Verdana" w:cs="Verdana"/>
          <w:bCs/>
          <w:sz w:val="20"/>
          <w:szCs w:val="20"/>
        </w:rPr>
        <w:t>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 que aplica a los contratos estatales, cuyos destinatarios son entidades sujetas al EGCAP.</w:t>
      </w:r>
    </w:p>
    <w:p w14:paraId="79D1A686" w14:textId="77777777" w:rsidR="00EA5749" w:rsidRPr="00583346" w:rsidRDefault="00EA5749" w:rsidP="00A56540">
      <w:pPr>
        <w:spacing w:after="0" w:line="240" w:lineRule="auto"/>
        <w:jc w:val="both"/>
        <w:rPr>
          <w:rFonts w:ascii="Verdana" w:eastAsia="Verdana" w:hAnsi="Verdana" w:cs="Verdana"/>
          <w:bCs/>
          <w:sz w:val="20"/>
          <w:szCs w:val="20"/>
        </w:rPr>
      </w:pPr>
    </w:p>
    <w:p w14:paraId="7AEE5B3C" w14:textId="77777777" w:rsidR="00EA5749" w:rsidRPr="00583346" w:rsidRDefault="00EA5749" w:rsidP="00A56540">
      <w:pPr>
        <w:spacing w:after="0" w:line="240" w:lineRule="auto"/>
        <w:jc w:val="both"/>
        <w:rPr>
          <w:rFonts w:ascii="Verdana" w:eastAsia="Verdana" w:hAnsi="Verdana" w:cs="Verdana"/>
          <w:bCs/>
          <w:sz w:val="20"/>
          <w:szCs w:val="20"/>
        </w:rPr>
      </w:pPr>
      <w:r w:rsidRPr="00583346">
        <w:rPr>
          <w:rFonts w:ascii="Verdana" w:eastAsia="Verdana" w:hAnsi="Verdana" w:cs="Verdana"/>
          <w:bCs/>
          <w:sz w:val="20"/>
          <w:szCs w:val="20"/>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Para tales efectos, para adicionar un contrato debe dividirse el valor inicial por el salario mínimo legal mensual vigente – en adelante SMLMV – al momento de la suscripción del contrato, y luego dividirlo por dos (2); el resultado obtenido constituirá el número de SMLMV por los cuales podrá adicionarse el contrato. </w:t>
      </w:r>
    </w:p>
    <w:p w14:paraId="252F170B" w14:textId="77777777" w:rsidR="00EA5749" w:rsidRPr="002602F6" w:rsidRDefault="00EA5749" w:rsidP="00A56540">
      <w:pPr>
        <w:spacing w:after="0" w:line="240" w:lineRule="auto"/>
        <w:jc w:val="both"/>
        <w:rPr>
          <w:rFonts w:ascii="Verdana" w:eastAsia="Verdana" w:hAnsi="Verdana" w:cs="Verdana"/>
          <w:b/>
        </w:rPr>
      </w:pPr>
    </w:p>
    <w:p w14:paraId="1A93B96B" w14:textId="77777777" w:rsidR="00EA5749" w:rsidRPr="002602F6" w:rsidRDefault="00EA5749" w:rsidP="00A56540">
      <w:pPr>
        <w:spacing w:after="0" w:line="240" w:lineRule="auto"/>
        <w:jc w:val="both"/>
        <w:rPr>
          <w:rFonts w:ascii="Verdana" w:eastAsia="Verdana" w:hAnsi="Verdana" w:cs="Verdana"/>
          <w:b/>
        </w:rPr>
      </w:pPr>
      <w:r w:rsidRPr="002602F6">
        <w:rPr>
          <w:rFonts w:ascii="Verdana" w:eastAsia="Verdana" w:hAnsi="Verdana" w:cs="Verdana"/>
          <w:b/>
        </w:rPr>
        <w:t xml:space="preserve">ADICIÓN – Prohibición – Monto – Cálculo – Parágrafo artículo 40 – Ley 80 de 1993 </w:t>
      </w:r>
    </w:p>
    <w:p w14:paraId="303D0F18" w14:textId="77777777" w:rsidR="00EA5749" w:rsidRPr="0092278A" w:rsidRDefault="00EA5749" w:rsidP="00A56540">
      <w:pPr>
        <w:spacing w:after="0" w:line="240" w:lineRule="auto"/>
        <w:jc w:val="both"/>
        <w:rPr>
          <w:rFonts w:ascii="Verdana" w:eastAsia="Verdana" w:hAnsi="Verdana" w:cs="Verdana"/>
          <w:bCs/>
          <w:sz w:val="20"/>
          <w:szCs w:val="20"/>
        </w:rPr>
      </w:pPr>
    </w:p>
    <w:p w14:paraId="3178E1AA" w14:textId="77777777" w:rsidR="00EA5749" w:rsidRPr="0092278A" w:rsidRDefault="00EA5749" w:rsidP="00A56540">
      <w:pPr>
        <w:spacing w:after="0" w:line="240" w:lineRule="auto"/>
        <w:jc w:val="both"/>
        <w:rPr>
          <w:rFonts w:ascii="Verdana" w:eastAsia="Verdana" w:hAnsi="Verdana" w:cs="Verdana"/>
          <w:bCs/>
          <w:sz w:val="20"/>
          <w:szCs w:val="20"/>
        </w:rPr>
      </w:pPr>
      <w:r w:rsidRPr="0092278A">
        <w:rPr>
          <w:rFonts w:ascii="Verdana" w:eastAsia="Verdana" w:hAnsi="Verdana" w:cs="Verdana"/>
          <w:bCs/>
          <w:sz w:val="20"/>
          <w:szCs w:val="20"/>
        </w:rPr>
        <w:t xml:space="preserve">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De esta manera, el inciso segundo del parágrafo del artículo 40 de la Ley 80 de 1993 establece que los contratos estatales no podrán adicionarse en más del cincuenta por ciento (50%) de su valor inicial expresada en SMLMV, y valga la redundancia, el valor inicial es el contemplado en el contrato originario y cualquier alteración a ese valor constituirá, técnicamente, una adición, independientemente de cuál sea su causa. </w:t>
      </w:r>
    </w:p>
    <w:p w14:paraId="0575F75A" w14:textId="77777777" w:rsidR="00EA5749" w:rsidRPr="0092278A" w:rsidRDefault="00EA5749" w:rsidP="00A56540">
      <w:pPr>
        <w:spacing w:after="0" w:line="240" w:lineRule="auto"/>
        <w:jc w:val="both"/>
        <w:rPr>
          <w:rFonts w:ascii="Verdana" w:eastAsia="Verdana" w:hAnsi="Verdana" w:cs="Verdana"/>
          <w:bCs/>
          <w:sz w:val="20"/>
          <w:szCs w:val="20"/>
        </w:rPr>
      </w:pPr>
    </w:p>
    <w:p w14:paraId="199EDAD7" w14:textId="77777777" w:rsidR="00EA5749" w:rsidRPr="002602F6" w:rsidRDefault="00EA5749" w:rsidP="00A56540">
      <w:pPr>
        <w:spacing w:after="0" w:line="240" w:lineRule="auto"/>
        <w:jc w:val="both"/>
        <w:rPr>
          <w:rFonts w:ascii="Verdana" w:eastAsia="Verdana" w:hAnsi="Verdana" w:cs="Verdana"/>
          <w:b/>
        </w:rPr>
      </w:pPr>
      <w:r w:rsidRPr="002602F6">
        <w:rPr>
          <w:rFonts w:ascii="Verdana" w:eastAsia="Verdana" w:hAnsi="Verdana" w:cs="Verdana"/>
          <w:b/>
        </w:rPr>
        <w:t xml:space="preserve">MODIFICACIÓN DE LOS CONTRATOS ESTATALES – Procedencia – Condiciones – Limites </w:t>
      </w:r>
    </w:p>
    <w:p w14:paraId="7E3E24D9" w14:textId="77777777" w:rsidR="00EA5749" w:rsidRPr="00464AF4" w:rsidRDefault="00EA5749" w:rsidP="00A56540">
      <w:pPr>
        <w:spacing w:after="0" w:line="240" w:lineRule="auto"/>
        <w:jc w:val="both"/>
        <w:rPr>
          <w:rFonts w:ascii="Verdana" w:eastAsia="Verdana" w:hAnsi="Verdana" w:cs="Verdana"/>
          <w:bCs/>
          <w:sz w:val="20"/>
          <w:szCs w:val="20"/>
        </w:rPr>
      </w:pPr>
    </w:p>
    <w:p w14:paraId="31188242" w14:textId="77777777" w:rsidR="00EA5749" w:rsidRPr="00464AF4" w:rsidRDefault="00EA5749" w:rsidP="00A56540">
      <w:pPr>
        <w:spacing w:after="0" w:line="240" w:lineRule="auto"/>
        <w:jc w:val="both"/>
        <w:rPr>
          <w:rFonts w:ascii="Verdana" w:eastAsia="Verdana" w:hAnsi="Verdana" w:cs="Verdana"/>
          <w:bCs/>
          <w:sz w:val="20"/>
          <w:szCs w:val="20"/>
        </w:rPr>
      </w:pPr>
      <w:r w:rsidRPr="00464AF4">
        <w:rPr>
          <w:rFonts w:ascii="Verdana" w:eastAsia="Verdana" w:hAnsi="Verdana" w:cs="Verdana"/>
          <w:bCs/>
          <w:sz w:val="20"/>
          <w:szCs w:val="20"/>
        </w:rPr>
        <w:t xml:space="preserve">Ahora bien, también es importante mencionar que fuera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a preservar los principios </w:t>
      </w:r>
      <w:r w:rsidRPr="00464AF4">
        <w:rPr>
          <w:rFonts w:ascii="Verdana" w:eastAsia="Verdana" w:hAnsi="Verdana" w:cs="Verdana"/>
          <w:bCs/>
          <w:sz w:val="20"/>
          <w:szCs w:val="20"/>
        </w:rPr>
        <w:lastRenderedPageBreak/>
        <w:t>de origen legal como es el principio de planeación, de selección objetiva de libertad de concurrencia, de transparencia, de igualdad, entre otros, tal y como se explicará a continuación.</w:t>
      </w:r>
    </w:p>
    <w:p w14:paraId="1449E756" w14:textId="77777777" w:rsidR="00EA5749" w:rsidRPr="002602F6" w:rsidRDefault="00EA5749" w:rsidP="00A56540">
      <w:pPr>
        <w:spacing w:after="0" w:line="240" w:lineRule="auto"/>
        <w:jc w:val="both"/>
        <w:rPr>
          <w:rFonts w:ascii="Verdana" w:eastAsia="Verdana" w:hAnsi="Verdana" w:cs="Verdana"/>
          <w:b/>
        </w:rPr>
      </w:pPr>
    </w:p>
    <w:p w14:paraId="3D6204D5" w14:textId="77777777" w:rsidR="009A4998" w:rsidRDefault="009A4998" w:rsidP="00A56540">
      <w:pPr>
        <w:spacing w:after="0" w:line="240" w:lineRule="auto"/>
        <w:jc w:val="both"/>
        <w:rPr>
          <w:rFonts w:ascii="Verdana" w:eastAsia="Verdana" w:hAnsi="Verdana" w:cs="Verdana"/>
          <w:b/>
          <w:bCs/>
        </w:rPr>
      </w:pPr>
      <w:r w:rsidRPr="009A4998">
        <w:rPr>
          <w:rFonts w:ascii="Verdana" w:eastAsia="Verdana" w:hAnsi="Verdana" w:cs="Verdana"/>
          <w:b/>
          <w:bCs/>
        </w:rPr>
        <w:t xml:space="preserve">MODIFICACIÓN DE LOS CONTRATOS ESTATALES – Condiciones – Registro Presupuestal </w:t>
      </w:r>
    </w:p>
    <w:p w14:paraId="188534E7" w14:textId="77777777" w:rsidR="0017630C" w:rsidRPr="0017630C" w:rsidRDefault="0017630C" w:rsidP="00A56540">
      <w:pPr>
        <w:spacing w:after="0" w:line="240" w:lineRule="auto"/>
        <w:jc w:val="both"/>
        <w:rPr>
          <w:rFonts w:ascii="Verdana" w:eastAsia="Verdana" w:hAnsi="Verdana" w:cs="Verdana"/>
          <w:b/>
          <w:bCs/>
          <w:lang w:val="es-ES"/>
        </w:rPr>
      </w:pPr>
    </w:p>
    <w:p w14:paraId="7A826044" w14:textId="10F80DAD" w:rsidR="0017630C" w:rsidRPr="00A56540" w:rsidRDefault="0017630C" w:rsidP="00A56540">
      <w:pPr>
        <w:spacing w:after="0" w:line="240" w:lineRule="auto"/>
        <w:jc w:val="both"/>
        <w:rPr>
          <w:rFonts w:ascii="Verdana" w:eastAsia="Verdana" w:hAnsi="Verdana" w:cs="Verdana"/>
          <w:sz w:val="20"/>
          <w:szCs w:val="20"/>
          <w:lang w:val="es-ES"/>
        </w:rPr>
      </w:pPr>
      <w:r w:rsidRPr="00A56540">
        <w:rPr>
          <w:rFonts w:ascii="Verdana" w:eastAsia="Verdana" w:hAnsi="Verdana" w:cs="Verdana"/>
          <w:sz w:val="20"/>
          <w:szCs w:val="20"/>
        </w:rPr>
        <w:t xml:space="preserve">En el ámbito de las adiciones contractuales, el Registro Presupuestal conserva su carácter de requisito de ejecución y no de perfeccionamiento. La adición en valor se perfecciona con la suscripción del acto modificatorio -llámese otrosí, adición, entre otros- que cumpla las solemnidades legales, pero para que pueda desplegar efectos prácticos es indispensable que se expida el RP que comprometa los recursos adicionales. De esta manera, se asegura la coherencia entre el acto jurídico de modificación y la disponibilidad real de recursos, evitando que la entidad asuma obligaciones sin respaldo presupuestal. </w:t>
      </w:r>
    </w:p>
    <w:p w14:paraId="10DAA249" w14:textId="77777777" w:rsidR="009A4998" w:rsidRPr="00A56540" w:rsidRDefault="009A4998" w:rsidP="00A56540">
      <w:pPr>
        <w:spacing w:after="0" w:line="240" w:lineRule="auto"/>
        <w:jc w:val="both"/>
        <w:rPr>
          <w:rFonts w:ascii="Verdana" w:eastAsia="Verdana" w:hAnsi="Verdana" w:cs="Verdana"/>
          <w:sz w:val="20"/>
          <w:szCs w:val="20"/>
        </w:rPr>
      </w:pPr>
    </w:p>
    <w:p w14:paraId="1999D2FD" w14:textId="44E2D3E1" w:rsidR="009A4998" w:rsidRPr="009A4998" w:rsidRDefault="009A4998" w:rsidP="00A56540">
      <w:pPr>
        <w:spacing w:after="0" w:line="240" w:lineRule="auto"/>
        <w:jc w:val="both"/>
        <w:rPr>
          <w:rFonts w:ascii="Verdana" w:eastAsia="Verdana" w:hAnsi="Verdana" w:cs="Verdana"/>
          <w:b/>
          <w:bCs/>
          <w:lang w:bidi="es-ES"/>
        </w:rPr>
      </w:pPr>
      <w:r w:rsidRPr="009A4998">
        <w:rPr>
          <w:rFonts w:ascii="Verdana" w:eastAsia="Verdana" w:hAnsi="Verdana" w:cs="Verdana"/>
          <w:b/>
          <w:bCs/>
        </w:rPr>
        <w:t xml:space="preserve">REGISTRO PRESUPUESTAL – Ausencia de RP – Responsabilidad del Servidor </w:t>
      </w:r>
      <w:r w:rsidR="00D766B8" w:rsidRPr="00D766B8">
        <w:rPr>
          <w:rFonts w:ascii="Verdana" w:eastAsia="Verdana" w:hAnsi="Verdana" w:cs="Verdana"/>
          <w:b/>
          <w:bCs/>
          <w:lang w:val="es-ES"/>
        </w:rPr>
        <w:t>–</w:t>
      </w:r>
      <w:r w:rsidRPr="009A4998">
        <w:rPr>
          <w:rFonts w:ascii="Verdana" w:eastAsia="Verdana" w:hAnsi="Verdana" w:cs="Verdana"/>
          <w:b/>
          <w:bCs/>
        </w:rPr>
        <w:t xml:space="preserve"> Alternativas</w:t>
      </w:r>
    </w:p>
    <w:p w14:paraId="15496D07" w14:textId="77777777" w:rsidR="00EA5749" w:rsidRPr="00A56540" w:rsidRDefault="00EA5749" w:rsidP="00A56540">
      <w:pPr>
        <w:spacing w:after="0" w:line="240" w:lineRule="auto"/>
        <w:jc w:val="both"/>
        <w:rPr>
          <w:rFonts w:ascii="Verdana" w:eastAsia="Verdana" w:hAnsi="Verdana" w:cs="Verdana"/>
          <w:sz w:val="20"/>
          <w:szCs w:val="20"/>
        </w:rPr>
      </w:pPr>
    </w:p>
    <w:p w14:paraId="52968F10" w14:textId="77777777" w:rsidR="00A56540" w:rsidRDefault="00A56540" w:rsidP="00A56540">
      <w:pPr>
        <w:spacing w:after="0" w:line="240" w:lineRule="auto"/>
        <w:jc w:val="both"/>
        <w:rPr>
          <w:rFonts w:ascii="Verdana" w:eastAsia="Verdana" w:hAnsi="Verdana" w:cs="Verdana"/>
          <w:sz w:val="20"/>
          <w:szCs w:val="20"/>
        </w:rPr>
      </w:pPr>
      <w:r w:rsidRPr="00A56540">
        <w:rPr>
          <w:rFonts w:ascii="Verdana" w:eastAsia="Verdana" w:hAnsi="Verdana" w:cs="Verdana"/>
          <w:sz w:val="20"/>
          <w:szCs w:val="20"/>
        </w:rPr>
        <w:t>Ahora bien, cuando el acto modificatorio se ha perfeccionado y existe apropiación presupuestal disponible que lo respalde, la expedición del Registro Presupuestal no es un acto de mera liberalidad ni una facultad discrecional de la entidad, sino un acto debido o reglado que concreta el compromiso ya asumido y hace posible el pago. En esa medida, no puede calificarse como un simple trámite administrativo: constituye un deber de ejecución presupuestal cuya omisión o negativa injustificada contraría los principios de legalidad del gasto, buena fe, confianza legítima y responsabilidad, y compromete la responsabilidad disciplinaria y fiscal del servidor que la causa. Cuestión distinta es que, de no existir previamente la disponibilidad presupuestal, la irregularidad no se ubica solo en la falta del registro, sino en haber suscrito la modificación y permitido su ejecución sin el respaldo presupuestal exigido por los artículos 25, numeral 6, y 41 de la Ley 80 de 1993 y 71 del Decreto 111 de 1996, hipótesis en la cual la entidad debe acudir a las alternativas de reconocimiento que se exponen más adelante.</w:t>
      </w:r>
    </w:p>
    <w:p w14:paraId="5147F220" w14:textId="77777777" w:rsidR="00A56540" w:rsidRPr="00A56540" w:rsidRDefault="00A56540" w:rsidP="00A56540">
      <w:pPr>
        <w:spacing w:after="0" w:line="240" w:lineRule="auto"/>
        <w:jc w:val="both"/>
        <w:rPr>
          <w:rFonts w:ascii="Verdana" w:eastAsia="Verdana" w:hAnsi="Verdana" w:cs="Verdana"/>
          <w:sz w:val="20"/>
          <w:szCs w:val="20"/>
        </w:rPr>
      </w:pPr>
    </w:p>
    <w:p w14:paraId="74FB44B5" w14:textId="77777777" w:rsidR="00A56540" w:rsidRDefault="00A56540" w:rsidP="00A56540">
      <w:pPr>
        <w:spacing w:after="0" w:line="240" w:lineRule="auto"/>
        <w:jc w:val="both"/>
        <w:rPr>
          <w:rFonts w:ascii="Verdana" w:eastAsia="Verdana" w:hAnsi="Verdana" w:cs="Verdana"/>
          <w:sz w:val="20"/>
          <w:szCs w:val="20"/>
        </w:rPr>
      </w:pPr>
      <w:r w:rsidRPr="00A56540">
        <w:rPr>
          <w:rFonts w:ascii="Verdana" w:eastAsia="Verdana" w:hAnsi="Verdana" w:cs="Verdana"/>
          <w:sz w:val="20"/>
          <w:szCs w:val="20"/>
        </w:rPr>
        <w:t>Ahora bien, en los casos en que el contratista ejecuta efectivamente las obligaciones derivadas de una modificación contractual sin que la entidad haya expedido el Registro Presupuestal (RP), es pertinente señalar que, aunque el RP es requisito de ejecución y no de perfeccionamiento, la administración no puede desconocer la realidad de la prestación efectivamente cumplida, pues ello vulneraría principios como la buena fe, la confianza legítima. En consecuencia, la ausencia del RP no exonera a la entidad de reconocer el valor de los servicios recibidos, aunque sí genera responsabilidades internas por la omisión administrativa.</w:t>
      </w:r>
    </w:p>
    <w:p w14:paraId="0FCA3043" w14:textId="77777777" w:rsidR="00A56540" w:rsidRPr="00A56540" w:rsidRDefault="00A56540" w:rsidP="00A56540">
      <w:pPr>
        <w:spacing w:after="0" w:line="240" w:lineRule="auto"/>
        <w:jc w:val="both"/>
        <w:rPr>
          <w:rFonts w:ascii="Verdana" w:eastAsia="Verdana" w:hAnsi="Verdana" w:cs="Verdana"/>
          <w:sz w:val="20"/>
          <w:szCs w:val="20"/>
        </w:rPr>
      </w:pPr>
    </w:p>
    <w:p w14:paraId="6687C32C" w14:textId="77777777" w:rsidR="00A56540" w:rsidRDefault="00A56540" w:rsidP="00A56540">
      <w:pPr>
        <w:spacing w:after="0" w:line="240" w:lineRule="auto"/>
        <w:jc w:val="both"/>
        <w:rPr>
          <w:rFonts w:ascii="Verdana" w:eastAsia="Verdana" w:hAnsi="Verdana" w:cs="Verdana"/>
          <w:sz w:val="20"/>
          <w:szCs w:val="20"/>
        </w:rPr>
      </w:pPr>
      <w:r w:rsidRPr="00A56540">
        <w:rPr>
          <w:rFonts w:ascii="Verdana" w:eastAsia="Verdana" w:hAnsi="Verdana" w:cs="Verdana"/>
          <w:sz w:val="20"/>
          <w:szCs w:val="20"/>
        </w:rPr>
        <w:t xml:space="preserve">En este escenario, la entidad cuenta con diferentes alternativas para solucionar la omisión en la expedición del Registro Presupuestal (RP). La primera consiste en expedir el RP con fundamento en que las obligaciones ya estaban contenidas en la modificación contractual debidamente perfeccionada y publicada —sea adición, otrosí o cualquier otra </w:t>
      </w:r>
      <w:r w:rsidRPr="00A56540">
        <w:rPr>
          <w:rFonts w:ascii="Verdana" w:eastAsia="Verdana" w:hAnsi="Verdana" w:cs="Verdana"/>
          <w:sz w:val="20"/>
          <w:szCs w:val="20"/>
        </w:rPr>
        <w:lastRenderedPageBreak/>
        <w:t>figura—. Esta expedición tardía no exime de responsabilidad a los servidores públicos que omitieron el deber de registrar oportunamente el compromiso presupuestal, pero sí permite dar soporte legal al pago de las prestaciones ejecutadas, evitando que la administración se beneficie indebidamente de la labor del contratista.</w:t>
      </w:r>
    </w:p>
    <w:p w14:paraId="4FF6E237" w14:textId="77777777" w:rsidR="00A56540" w:rsidRPr="00A56540" w:rsidRDefault="00A56540" w:rsidP="00A56540">
      <w:pPr>
        <w:spacing w:after="0" w:line="240" w:lineRule="auto"/>
        <w:jc w:val="both"/>
        <w:rPr>
          <w:rFonts w:ascii="Verdana" w:eastAsia="Verdana" w:hAnsi="Verdana" w:cs="Verdana"/>
          <w:sz w:val="20"/>
          <w:szCs w:val="20"/>
        </w:rPr>
      </w:pPr>
    </w:p>
    <w:p w14:paraId="01574CB9" w14:textId="77777777" w:rsidR="00A56540" w:rsidRPr="00A56540" w:rsidRDefault="00A56540" w:rsidP="00A56540">
      <w:pPr>
        <w:spacing w:after="0" w:line="240" w:lineRule="auto"/>
        <w:jc w:val="both"/>
        <w:rPr>
          <w:rFonts w:ascii="Verdana" w:eastAsia="Verdana" w:hAnsi="Verdana" w:cs="Verdana"/>
          <w:sz w:val="20"/>
          <w:szCs w:val="20"/>
        </w:rPr>
      </w:pPr>
      <w:r w:rsidRPr="00A56540">
        <w:rPr>
          <w:rFonts w:ascii="Verdana" w:eastAsia="Verdana" w:hAnsi="Verdana" w:cs="Verdana"/>
          <w:sz w:val="20"/>
          <w:szCs w:val="20"/>
        </w:rPr>
        <w:t xml:space="preserve">La segunda alternativa se materializa en el acta de liquidación, en la cual las partes pueden llegar a un acuerdo para reconocer las prestaciones efectivamente cumplidas, pese a la omisión en la expedición del RP. Este mecanismo, sustentado en la autonomía de la voluntad y en la necesidad de realizar un ajuste de cuentas desde el punto de vista jurídico, económico, financiero y administrativo para el cierre del contrato, permite que la entidad reconozca y pague las obligaciones derivadas de la modificación contractual. </w:t>
      </w:r>
    </w:p>
    <w:p w14:paraId="0D27119A" w14:textId="77777777" w:rsidR="00A56540" w:rsidRPr="00A56540" w:rsidRDefault="00A56540" w:rsidP="00A56540">
      <w:pPr>
        <w:spacing w:after="0" w:line="240" w:lineRule="auto"/>
        <w:jc w:val="both"/>
        <w:rPr>
          <w:rFonts w:ascii="Verdana" w:eastAsia="Verdana" w:hAnsi="Verdana" w:cs="Verdana"/>
          <w:sz w:val="20"/>
          <w:szCs w:val="20"/>
        </w:rPr>
      </w:pPr>
      <w:r w:rsidRPr="00A56540">
        <w:rPr>
          <w:rFonts w:ascii="Verdana" w:eastAsia="Verdana" w:hAnsi="Verdana" w:cs="Verdana"/>
          <w:sz w:val="20"/>
          <w:szCs w:val="20"/>
        </w:rPr>
        <w:t>Para ello, es necesario precisar que la liquidación del contrato ya sea que se derive de cualquiera de sus manifestaciones -liquidación bilateral, liquidación unilateral o liquidación judicial- debe contar con el Certificado de Disponibilidad Presupuestal –CDP- y el Registro Presupuestal, ya que dichos documentos se constituyen en requisitos para la ejecución y pago de las obligaciones que se estipularon y reconocieron en esta. De esta forma, se asegura un balance técnico, administrativo, económico y jurídico que respete tanto los derechos del contratista como los principios de transparencia y responsabilidad en la gestión pública.</w:t>
      </w:r>
    </w:p>
    <w:p w14:paraId="65580798" w14:textId="77777777" w:rsidR="009A4998" w:rsidRDefault="009A4998" w:rsidP="00A56540">
      <w:pPr>
        <w:spacing w:after="0" w:line="240" w:lineRule="auto"/>
        <w:rPr>
          <w:rFonts w:ascii="Verdana" w:eastAsia="Verdana" w:hAnsi="Verdana" w:cs="Verdana"/>
          <w:bCs/>
          <w:sz w:val="20"/>
          <w:szCs w:val="20"/>
        </w:rPr>
      </w:pPr>
    </w:p>
    <w:p w14:paraId="0A799E41" w14:textId="77777777" w:rsidR="009A4998" w:rsidRDefault="009A4998" w:rsidP="00216796">
      <w:pPr>
        <w:spacing w:after="0"/>
        <w:rPr>
          <w:rFonts w:ascii="Verdana" w:eastAsia="Verdana" w:hAnsi="Verdana" w:cs="Verdana"/>
          <w:bCs/>
          <w:sz w:val="20"/>
          <w:szCs w:val="20"/>
        </w:rPr>
      </w:pPr>
    </w:p>
    <w:p w14:paraId="2A09B715" w14:textId="77777777" w:rsidR="009A4998" w:rsidRDefault="009A4998" w:rsidP="00216796">
      <w:pPr>
        <w:spacing w:after="0"/>
        <w:rPr>
          <w:rFonts w:ascii="Verdana" w:eastAsia="Verdana" w:hAnsi="Verdana" w:cs="Verdana"/>
          <w:bCs/>
          <w:sz w:val="20"/>
          <w:szCs w:val="20"/>
        </w:rPr>
      </w:pPr>
    </w:p>
    <w:p w14:paraId="06562157" w14:textId="77777777" w:rsidR="009A4998" w:rsidRDefault="009A4998" w:rsidP="00216796">
      <w:pPr>
        <w:spacing w:after="0"/>
        <w:rPr>
          <w:rFonts w:ascii="Verdana" w:eastAsia="Verdana" w:hAnsi="Verdana" w:cs="Verdana"/>
          <w:bCs/>
          <w:sz w:val="20"/>
          <w:szCs w:val="20"/>
        </w:rPr>
      </w:pPr>
    </w:p>
    <w:p w14:paraId="72C55CB2" w14:textId="77777777" w:rsidR="009A4998" w:rsidRDefault="009A4998" w:rsidP="00216796">
      <w:pPr>
        <w:spacing w:after="0"/>
        <w:rPr>
          <w:rFonts w:ascii="Verdana" w:eastAsia="Verdana" w:hAnsi="Verdana" w:cs="Verdana"/>
          <w:bCs/>
          <w:sz w:val="20"/>
          <w:szCs w:val="20"/>
        </w:rPr>
      </w:pPr>
    </w:p>
    <w:p w14:paraId="529647AB" w14:textId="77777777" w:rsidR="009A4998" w:rsidRDefault="009A4998" w:rsidP="00216796">
      <w:pPr>
        <w:spacing w:after="0"/>
        <w:rPr>
          <w:rFonts w:ascii="Verdana" w:eastAsia="Verdana" w:hAnsi="Verdana" w:cs="Verdana"/>
          <w:bCs/>
          <w:sz w:val="20"/>
          <w:szCs w:val="20"/>
        </w:rPr>
      </w:pPr>
    </w:p>
    <w:p w14:paraId="74E5DC5E" w14:textId="77777777" w:rsidR="009A4998" w:rsidRDefault="009A4998" w:rsidP="00216796">
      <w:pPr>
        <w:spacing w:after="0"/>
        <w:rPr>
          <w:rFonts w:ascii="Verdana" w:eastAsia="Verdana" w:hAnsi="Verdana" w:cs="Verdana"/>
          <w:bCs/>
          <w:sz w:val="20"/>
          <w:szCs w:val="20"/>
        </w:rPr>
      </w:pPr>
    </w:p>
    <w:p w14:paraId="185A7109" w14:textId="77777777" w:rsidR="009A4998" w:rsidRDefault="009A4998" w:rsidP="00216796">
      <w:pPr>
        <w:spacing w:after="0"/>
        <w:rPr>
          <w:rFonts w:ascii="Verdana" w:eastAsia="Verdana" w:hAnsi="Verdana" w:cs="Verdana"/>
          <w:bCs/>
          <w:sz w:val="20"/>
          <w:szCs w:val="20"/>
        </w:rPr>
      </w:pPr>
    </w:p>
    <w:p w14:paraId="398C99C6" w14:textId="77777777" w:rsidR="009A4998" w:rsidRDefault="009A4998" w:rsidP="00216796">
      <w:pPr>
        <w:spacing w:after="0"/>
        <w:rPr>
          <w:rFonts w:ascii="Verdana" w:eastAsia="Verdana" w:hAnsi="Verdana" w:cs="Verdana"/>
          <w:bCs/>
          <w:sz w:val="20"/>
          <w:szCs w:val="20"/>
        </w:rPr>
      </w:pPr>
    </w:p>
    <w:p w14:paraId="6B74B797" w14:textId="77777777" w:rsidR="009A4998" w:rsidRDefault="009A4998" w:rsidP="00216796">
      <w:pPr>
        <w:spacing w:after="0"/>
        <w:rPr>
          <w:rFonts w:ascii="Verdana" w:eastAsia="Verdana" w:hAnsi="Verdana" w:cs="Verdana"/>
          <w:bCs/>
          <w:sz w:val="20"/>
          <w:szCs w:val="20"/>
        </w:rPr>
      </w:pPr>
    </w:p>
    <w:p w14:paraId="5323E317" w14:textId="77777777" w:rsidR="009A4998" w:rsidRDefault="009A4998" w:rsidP="00216796">
      <w:pPr>
        <w:spacing w:after="0"/>
        <w:rPr>
          <w:rFonts w:ascii="Verdana" w:eastAsia="Verdana" w:hAnsi="Verdana" w:cs="Verdana"/>
          <w:bCs/>
          <w:sz w:val="20"/>
          <w:szCs w:val="20"/>
        </w:rPr>
      </w:pPr>
    </w:p>
    <w:p w14:paraId="7F201A6B" w14:textId="77777777" w:rsidR="009A4998" w:rsidRDefault="009A4998" w:rsidP="00216796">
      <w:pPr>
        <w:spacing w:after="0"/>
        <w:rPr>
          <w:rFonts w:ascii="Verdana" w:eastAsia="Verdana" w:hAnsi="Verdana" w:cs="Verdana"/>
          <w:bCs/>
          <w:sz w:val="20"/>
          <w:szCs w:val="20"/>
        </w:rPr>
      </w:pPr>
    </w:p>
    <w:p w14:paraId="2B7B2F1E" w14:textId="77777777" w:rsidR="009A4998" w:rsidRDefault="009A4998" w:rsidP="00216796">
      <w:pPr>
        <w:spacing w:after="0"/>
        <w:rPr>
          <w:rFonts w:ascii="Verdana" w:eastAsia="Verdana" w:hAnsi="Verdana" w:cs="Verdana"/>
          <w:bCs/>
          <w:sz w:val="20"/>
          <w:szCs w:val="20"/>
        </w:rPr>
      </w:pPr>
    </w:p>
    <w:p w14:paraId="29F3E334" w14:textId="77777777" w:rsidR="009A4998" w:rsidRDefault="009A4998" w:rsidP="00216796">
      <w:pPr>
        <w:spacing w:after="0"/>
        <w:rPr>
          <w:rFonts w:ascii="Verdana" w:eastAsia="Verdana" w:hAnsi="Verdana" w:cs="Verdana"/>
          <w:bCs/>
          <w:sz w:val="20"/>
          <w:szCs w:val="20"/>
        </w:rPr>
      </w:pPr>
    </w:p>
    <w:p w14:paraId="5D654E7E" w14:textId="77777777" w:rsidR="009A4998" w:rsidRDefault="009A4998" w:rsidP="00216796">
      <w:pPr>
        <w:spacing w:after="0"/>
        <w:rPr>
          <w:rFonts w:ascii="Verdana" w:eastAsia="Verdana" w:hAnsi="Verdana" w:cs="Verdana"/>
          <w:bCs/>
          <w:sz w:val="20"/>
          <w:szCs w:val="20"/>
        </w:rPr>
      </w:pPr>
    </w:p>
    <w:p w14:paraId="7FA9C1E1" w14:textId="77777777" w:rsidR="009A4998" w:rsidRDefault="009A4998" w:rsidP="00216796">
      <w:pPr>
        <w:spacing w:after="0"/>
        <w:rPr>
          <w:rFonts w:ascii="Verdana" w:eastAsia="Verdana" w:hAnsi="Verdana" w:cs="Verdana"/>
          <w:bCs/>
          <w:sz w:val="20"/>
          <w:szCs w:val="20"/>
        </w:rPr>
      </w:pPr>
    </w:p>
    <w:p w14:paraId="7A6F03FB" w14:textId="77777777" w:rsidR="009A4998" w:rsidRDefault="009A4998" w:rsidP="00216796">
      <w:pPr>
        <w:spacing w:after="0"/>
        <w:rPr>
          <w:rFonts w:ascii="Verdana" w:eastAsia="Verdana" w:hAnsi="Verdana" w:cs="Verdana"/>
          <w:bCs/>
          <w:sz w:val="20"/>
          <w:szCs w:val="20"/>
        </w:rPr>
      </w:pPr>
    </w:p>
    <w:p w14:paraId="50B1C85E" w14:textId="77777777" w:rsidR="009A4998" w:rsidRDefault="009A4998" w:rsidP="00216796">
      <w:pPr>
        <w:spacing w:after="0"/>
        <w:rPr>
          <w:rFonts w:ascii="Verdana" w:eastAsia="Verdana" w:hAnsi="Verdana" w:cs="Verdana"/>
          <w:bCs/>
          <w:sz w:val="20"/>
          <w:szCs w:val="20"/>
        </w:rPr>
      </w:pPr>
    </w:p>
    <w:p w14:paraId="483AB081" w14:textId="77777777" w:rsidR="009A4998" w:rsidRDefault="009A4998" w:rsidP="00216796">
      <w:pPr>
        <w:spacing w:after="0"/>
        <w:rPr>
          <w:rFonts w:ascii="Verdana" w:eastAsia="Verdana" w:hAnsi="Verdana" w:cs="Verdana"/>
          <w:bCs/>
          <w:sz w:val="20"/>
          <w:szCs w:val="20"/>
        </w:rPr>
      </w:pPr>
    </w:p>
    <w:p w14:paraId="16579513" w14:textId="77777777" w:rsidR="009A4998" w:rsidRDefault="009A4998" w:rsidP="00216796">
      <w:pPr>
        <w:spacing w:after="0"/>
        <w:rPr>
          <w:rFonts w:ascii="Verdana" w:eastAsia="Verdana" w:hAnsi="Verdana" w:cs="Verdana"/>
          <w:bCs/>
          <w:sz w:val="20"/>
          <w:szCs w:val="20"/>
        </w:rPr>
      </w:pPr>
    </w:p>
    <w:p w14:paraId="1F22BED5" w14:textId="77777777" w:rsidR="009A4998" w:rsidRDefault="009A4998" w:rsidP="00216796">
      <w:pPr>
        <w:spacing w:after="0"/>
        <w:rPr>
          <w:rFonts w:ascii="Verdana" w:eastAsia="Verdana" w:hAnsi="Verdana" w:cs="Verdana"/>
          <w:bCs/>
          <w:sz w:val="20"/>
          <w:szCs w:val="20"/>
        </w:rPr>
      </w:pPr>
    </w:p>
    <w:p w14:paraId="7724778B" w14:textId="77777777" w:rsidR="009A4998" w:rsidRDefault="009A4998" w:rsidP="00216796">
      <w:pPr>
        <w:spacing w:after="0"/>
        <w:rPr>
          <w:rFonts w:ascii="Verdana" w:eastAsia="Verdana" w:hAnsi="Verdana" w:cs="Verdana"/>
          <w:bCs/>
          <w:sz w:val="20"/>
          <w:szCs w:val="20"/>
        </w:rPr>
      </w:pPr>
    </w:p>
    <w:p w14:paraId="3A804DB5" w14:textId="77777777" w:rsidR="009A4998" w:rsidRDefault="009A4998" w:rsidP="00216796">
      <w:pPr>
        <w:spacing w:after="0"/>
        <w:rPr>
          <w:rFonts w:ascii="Verdana" w:eastAsia="Verdana" w:hAnsi="Verdana" w:cs="Verdana"/>
          <w:bCs/>
          <w:sz w:val="20"/>
          <w:szCs w:val="20"/>
        </w:rPr>
      </w:pPr>
    </w:p>
    <w:p w14:paraId="7F5D439B" w14:textId="77777777" w:rsidR="009A4998" w:rsidRDefault="009A4998" w:rsidP="00216796">
      <w:pPr>
        <w:spacing w:after="0"/>
        <w:rPr>
          <w:rFonts w:ascii="Verdana" w:eastAsia="Verdana" w:hAnsi="Verdana" w:cs="Verdana"/>
          <w:bCs/>
          <w:sz w:val="20"/>
          <w:szCs w:val="20"/>
        </w:rPr>
      </w:pPr>
    </w:p>
    <w:p w14:paraId="33015F5D" w14:textId="77777777" w:rsidR="009A4998" w:rsidRDefault="009A4998" w:rsidP="00216796">
      <w:pPr>
        <w:spacing w:after="0"/>
        <w:rPr>
          <w:rFonts w:ascii="Verdana" w:eastAsia="Verdana" w:hAnsi="Verdana" w:cs="Verdana"/>
          <w:bCs/>
          <w:sz w:val="20"/>
          <w:szCs w:val="20"/>
        </w:rPr>
      </w:pPr>
    </w:p>
    <w:p w14:paraId="0F356BB0" w14:textId="5076E68D" w:rsidR="00216796" w:rsidRPr="003E4CC9" w:rsidRDefault="00216796" w:rsidP="00216796">
      <w:pPr>
        <w:spacing w:after="0"/>
        <w:rPr>
          <w:rFonts w:ascii="Verdana" w:hAnsi="Verdana" w:cs="Arial"/>
          <w:bCs/>
          <w:lang w:eastAsia="es-ES" w:bidi="es-ES"/>
        </w:rPr>
      </w:pPr>
      <w:r w:rsidRPr="30821638">
        <w:rPr>
          <w:rFonts w:ascii="Verdana" w:eastAsia="Verdana" w:hAnsi="Verdana" w:cs="Verdana"/>
        </w:rPr>
        <w:lastRenderedPageBreak/>
        <w:t xml:space="preserve">Bogotá D.C., </w:t>
      </w:r>
      <w:r w:rsidR="00A94A5D">
        <w:rPr>
          <w:rFonts w:ascii="Verdana" w:eastAsia="Verdana" w:hAnsi="Verdana" w:cs="Verdana"/>
        </w:rPr>
        <w:t>13 de octubre de 2026</w:t>
      </w:r>
      <w:r>
        <w:tab/>
      </w:r>
      <w:r>
        <w:br/>
      </w:r>
    </w:p>
    <w:p w14:paraId="0F710932" w14:textId="7B2B7283" w:rsidR="00216796" w:rsidRPr="003E4CC9" w:rsidRDefault="00216796" w:rsidP="00216796">
      <w:pPr>
        <w:spacing w:after="0" w:line="240" w:lineRule="auto"/>
        <w:rPr>
          <w:rFonts w:ascii="Verdana" w:hAnsi="Verdana" w:cs="Arial"/>
          <w:bCs/>
          <w:lang w:eastAsia="es-ES" w:bidi="es-ES"/>
        </w:rPr>
      </w:pPr>
    </w:p>
    <w:p w14:paraId="7E7A76DC" w14:textId="7C779AD1" w:rsidR="00216796" w:rsidRPr="003E4CC9" w:rsidRDefault="00D766B8" w:rsidP="00216796">
      <w:pPr>
        <w:spacing w:after="0" w:line="240" w:lineRule="auto"/>
        <w:jc w:val="both"/>
        <w:rPr>
          <w:rFonts w:ascii="Verdana" w:hAnsi="Verdana" w:cs="Arial"/>
          <w:bCs/>
          <w:lang w:eastAsia="es-ES" w:bidi="es-ES"/>
        </w:rPr>
      </w:pPr>
      <w:r w:rsidRPr="00E22F70">
        <w:rPr>
          <w:noProof/>
        </w:rPr>
        <w:drawing>
          <wp:anchor distT="0" distB="0" distL="114300" distR="114300" simplePos="0" relativeHeight="251658240" behindDoc="0" locked="0" layoutInCell="1" allowOverlap="1" wp14:anchorId="3A06A52D" wp14:editId="137B3DD6">
            <wp:simplePos x="0" y="0"/>
            <wp:positionH relativeFrom="margin">
              <wp:align>right</wp:align>
            </wp:positionH>
            <wp:positionV relativeFrom="paragraph">
              <wp:posOffset>10104</wp:posOffset>
            </wp:positionV>
            <wp:extent cx="2628900" cy="727075"/>
            <wp:effectExtent l="0" t="0" r="0" b="0"/>
            <wp:wrapSquare wrapText="bothSides"/>
            <wp:docPr id="17085653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8900"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6796" w:rsidRPr="003E4CC9">
        <w:rPr>
          <w:rFonts w:ascii="Verdana" w:hAnsi="Verdana" w:cs="Arial"/>
          <w:bCs/>
          <w:lang w:eastAsia="es-ES" w:bidi="es-ES"/>
        </w:rPr>
        <w:t>Señor</w:t>
      </w:r>
    </w:p>
    <w:p w14:paraId="3B2EE2DD" w14:textId="77777777" w:rsidR="00216796" w:rsidRDefault="00216796" w:rsidP="00216796">
      <w:pPr>
        <w:spacing w:after="0" w:line="240" w:lineRule="auto"/>
        <w:jc w:val="both"/>
        <w:rPr>
          <w:rFonts w:ascii="Verdana" w:hAnsi="Verdana" w:cs="Arial"/>
          <w:b/>
          <w:bCs/>
          <w:lang w:eastAsia="es-ES" w:bidi="es-ES"/>
        </w:rPr>
      </w:pPr>
      <w:r>
        <w:rPr>
          <w:rFonts w:ascii="Verdana" w:hAnsi="Verdana" w:cs="Arial"/>
          <w:b/>
          <w:bCs/>
          <w:lang w:eastAsia="es-ES" w:bidi="es-ES"/>
        </w:rPr>
        <w:t>Ciudadano</w:t>
      </w:r>
    </w:p>
    <w:p w14:paraId="10C20564" w14:textId="77777777" w:rsidR="00216796" w:rsidRPr="003E4CC9" w:rsidRDefault="00216796" w:rsidP="00216796">
      <w:pPr>
        <w:spacing w:after="0" w:line="240" w:lineRule="auto"/>
        <w:jc w:val="both"/>
        <w:rPr>
          <w:rFonts w:ascii="Verdana" w:hAnsi="Verdana" w:cs="Arial"/>
          <w:bCs/>
          <w:lang w:val="es-MX" w:eastAsia="es-ES" w:bidi="es-ES"/>
        </w:rPr>
      </w:pPr>
      <w:r w:rsidRPr="003E4CC9">
        <w:rPr>
          <w:rFonts w:ascii="Verdana" w:hAnsi="Verdana" w:cs="Arial"/>
          <w:bCs/>
          <w:lang w:val="es-MX" w:eastAsia="es-ES" w:bidi="es-ES"/>
        </w:rPr>
        <w:t xml:space="preserve">Bogotá D.C. </w:t>
      </w:r>
    </w:p>
    <w:p w14:paraId="7E557D47" w14:textId="77777777" w:rsidR="00216796" w:rsidRPr="003E4CC9" w:rsidRDefault="00216796" w:rsidP="00216796">
      <w:pPr>
        <w:spacing w:after="0" w:line="240" w:lineRule="auto"/>
        <w:jc w:val="both"/>
        <w:rPr>
          <w:rFonts w:ascii="Verdana" w:hAnsi="Verdana" w:cs="Arial"/>
          <w:b/>
          <w:bCs/>
          <w:lang w:val="es-ES_tradnl" w:eastAsia="es-ES" w:bidi="es-ES"/>
        </w:rPr>
      </w:pPr>
    </w:p>
    <w:p w14:paraId="30B41696" w14:textId="77777777" w:rsidR="00216796" w:rsidRPr="003E4CC9" w:rsidRDefault="00216796" w:rsidP="00216796">
      <w:pPr>
        <w:tabs>
          <w:tab w:val="left" w:pos="7184"/>
        </w:tabs>
        <w:spacing w:after="0" w:line="240" w:lineRule="auto"/>
        <w:jc w:val="both"/>
        <w:rPr>
          <w:rFonts w:ascii="Verdana" w:hAnsi="Verdana" w:cs="Arial"/>
          <w:b/>
          <w:bCs/>
          <w:lang w:val="es-ES_tradnl" w:eastAsia="es-ES" w:bidi="es-ES"/>
        </w:rPr>
      </w:pPr>
      <w:r w:rsidRPr="003E4CC9">
        <w:rPr>
          <w:rFonts w:ascii="Verdana" w:hAnsi="Verdana" w:cs="Arial"/>
          <w:b/>
          <w:bCs/>
          <w:lang w:val="es-ES_tradnl" w:eastAsia="es-ES" w:bidi="es-ES"/>
        </w:rPr>
        <w:tab/>
      </w:r>
    </w:p>
    <w:tbl>
      <w:tblPr>
        <w:tblStyle w:val="Tablaconcuadrcula1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216796" w:rsidRPr="003E4CC9" w14:paraId="2FA58351" w14:textId="77777777" w:rsidTr="001361E0">
        <w:trPr>
          <w:trHeight w:val="312"/>
        </w:trPr>
        <w:tc>
          <w:tcPr>
            <w:tcW w:w="2689" w:type="dxa"/>
          </w:tcPr>
          <w:p w14:paraId="07D353D5" w14:textId="77777777" w:rsidR="00216796" w:rsidRPr="003E4CC9" w:rsidRDefault="00216796" w:rsidP="001361E0">
            <w:pPr>
              <w:jc w:val="both"/>
              <w:rPr>
                <w:rFonts w:ascii="Verdana" w:hAnsi="Verdana" w:cs="Arial"/>
                <w:b/>
                <w:bCs/>
                <w:lang w:val="es-ES_tradnl" w:eastAsia="es-ES" w:bidi="es-ES"/>
              </w:rPr>
            </w:pPr>
          </w:p>
        </w:tc>
        <w:tc>
          <w:tcPr>
            <w:tcW w:w="6242" w:type="dxa"/>
          </w:tcPr>
          <w:p w14:paraId="5143D5F7" w14:textId="77777777" w:rsidR="00216796" w:rsidRPr="003E4CC9" w:rsidRDefault="00216796" w:rsidP="001361E0">
            <w:pPr>
              <w:tabs>
                <w:tab w:val="right" w:pos="6242"/>
              </w:tabs>
              <w:jc w:val="both"/>
              <w:rPr>
                <w:rFonts w:ascii="Verdana" w:hAnsi="Verdana" w:cs="Arial"/>
                <w:b/>
                <w:bCs/>
                <w:lang w:val="es-MX" w:eastAsia="es-ES" w:bidi="es-ES"/>
              </w:rPr>
            </w:pPr>
            <w:r w:rsidRPr="003E4CC9">
              <w:rPr>
                <w:rFonts w:ascii="Verdana" w:hAnsi="Verdana" w:cs="Arial"/>
                <w:b/>
                <w:bCs/>
                <w:lang w:val="es-MX" w:eastAsia="es-ES" w:bidi="es-ES"/>
              </w:rPr>
              <w:t>Concepto C-</w:t>
            </w:r>
            <w:r>
              <w:rPr>
                <w:rFonts w:ascii="Verdana" w:hAnsi="Verdana" w:cs="Arial"/>
                <w:b/>
                <w:bCs/>
                <w:lang w:val="es-MX" w:eastAsia="es-ES" w:bidi="es-ES"/>
              </w:rPr>
              <w:t>1391 de 2026</w:t>
            </w:r>
            <w:r w:rsidRPr="003E4CC9">
              <w:rPr>
                <w:rFonts w:ascii="Verdana" w:hAnsi="Verdana" w:cs="Arial"/>
                <w:b/>
                <w:bCs/>
                <w:lang w:val="es-MX" w:eastAsia="es-ES" w:bidi="es-ES"/>
              </w:rPr>
              <w:tab/>
            </w:r>
          </w:p>
          <w:p w14:paraId="3274386D" w14:textId="77777777" w:rsidR="00216796" w:rsidRPr="003E4CC9" w:rsidRDefault="00216796" w:rsidP="001361E0">
            <w:pPr>
              <w:jc w:val="both"/>
              <w:rPr>
                <w:rFonts w:ascii="Verdana" w:hAnsi="Verdana" w:cs="Arial"/>
                <w:b/>
                <w:bCs/>
                <w:lang w:val="es-MX" w:eastAsia="es-ES" w:bidi="es-ES"/>
              </w:rPr>
            </w:pPr>
          </w:p>
        </w:tc>
      </w:tr>
      <w:tr w:rsidR="00216796" w:rsidRPr="003E4CC9" w14:paraId="55C7EB7D" w14:textId="77777777" w:rsidTr="001361E0">
        <w:trPr>
          <w:trHeight w:val="884"/>
        </w:trPr>
        <w:tc>
          <w:tcPr>
            <w:tcW w:w="2689" w:type="dxa"/>
          </w:tcPr>
          <w:p w14:paraId="7BAB8C78" w14:textId="77777777" w:rsidR="00216796" w:rsidRPr="00BF58C7" w:rsidRDefault="00216796" w:rsidP="001361E0">
            <w:pPr>
              <w:jc w:val="both"/>
              <w:rPr>
                <w:rFonts w:ascii="Verdana" w:hAnsi="Verdana" w:cs="Arial"/>
                <w:b/>
                <w:lang w:val="es-MX" w:eastAsia="es-ES" w:bidi="es-ES"/>
              </w:rPr>
            </w:pPr>
            <w:r w:rsidRPr="00BF58C7">
              <w:rPr>
                <w:rFonts w:ascii="Verdana" w:hAnsi="Verdana" w:cs="Arial"/>
                <w:b/>
                <w:lang w:val="es-MX" w:eastAsia="es-ES" w:bidi="es-ES"/>
              </w:rPr>
              <w:t xml:space="preserve">Temas:                   </w:t>
            </w:r>
          </w:p>
        </w:tc>
        <w:tc>
          <w:tcPr>
            <w:tcW w:w="6242" w:type="dxa"/>
          </w:tcPr>
          <w:p w14:paraId="7F38D3D2" w14:textId="6563E9C9" w:rsidR="00216796" w:rsidRPr="00C92578" w:rsidRDefault="00216796" w:rsidP="001361E0">
            <w:pPr>
              <w:spacing w:line="276" w:lineRule="auto"/>
              <w:jc w:val="both"/>
              <w:rPr>
                <w:rFonts w:ascii="Verdana" w:hAnsi="Verdana" w:cs="Arial"/>
                <w:bCs/>
                <w:lang w:val="es-ES" w:eastAsia="es-ES" w:bidi="es-ES"/>
              </w:rPr>
            </w:pPr>
            <w:r w:rsidRPr="003E4CC9">
              <w:rPr>
                <w:rFonts w:ascii="Verdana" w:hAnsi="Verdana" w:cs="Arial"/>
                <w:bCs/>
                <w:lang w:eastAsia="es-ES" w:bidi="es-ES"/>
              </w:rPr>
              <w:t>ADICIÓN – Concepto – Distintos supuestos – Prohibición – Adición en más del 50% / ADICIÓN – Prohibición – Monto – Cálculo – Parágrafo artículo 40 – Ley 80 de 1993 / MODIFICACIÓN DE LOS CONTRATOS ESTATALES – Procedencia –</w:t>
            </w:r>
            <w:r>
              <w:rPr>
                <w:rFonts w:ascii="Verdana" w:hAnsi="Verdana" w:cs="Arial"/>
                <w:bCs/>
                <w:lang w:eastAsia="es-ES" w:bidi="es-ES"/>
              </w:rPr>
              <w:t xml:space="preserve"> Condiciones – Limites / MODIFICACIÓN DE LOS CONTRATOS ESTATALES – Condiciones – Registro Presupuestal / REGISTRO PRESUPUESTAL – Ausencia de RP – Responsabilidad del Servidor - Alternativas</w:t>
            </w:r>
          </w:p>
          <w:p w14:paraId="422325C9" w14:textId="77777777" w:rsidR="00216796" w:rsidRPr="003E4CC9" w:rsidRDefault="00216796" w:rsidP="001361E0">
            <w:pPr>
              <w:spacing w:line="276" w:lineRule="auto"/>
              <w:jc w:val="both"/>
              <w:rPr>
                <w:rFonts w:ascii="Verdana" w:hAnsi="Verdana" w:cs="Arial"/>
                <w:bCs/>
                <w:lang w:eastAsia="es-ES" w:bidi="es-ES"/>
              </w:rPr>
            </w:pPr>
          </w:p>
          <w:p w14:paraId="596D6BA8" w14:textId="77777777" w:rsidR="00216796" w:rsidRPr="003E4CC9" w:rsidRDefault="00216796" w:rsidP="001361E0">
            <w:pPr>
              <w:spacing w:line="276" w:lineRule="auto"/>
              <w:jc w:val="both"/>
              <w:rPr>
                <w:rFonts w:ascii="Verdana" w:hAnsi="Verdana" w:cs="Arial"/>
                <w:bCs/>
                <w:highlight w:val="yellow"/>
                <w:lang w:val="es-MX" w:eastAsia="es-ES" w:bidi="es-ES"/>
              </w:rPr>
            </w:pPr>
          </w:p>
        </w:tc>
      </w:tr>
      <w:tr w:rsidR="00216796" w:rsidRPr="003E4CC9" w14:paraId="1A82CB82" w14:textId="77777777" w:rsidTr="001361E0">
        <w:tc>
          <w:tcPr>
            <w:tcW w:w="2689" w:type="dxa"/>
          </w:tcPr>
          <w:p w14:paraId="71A203FB" w14:textId="77777777" w:rsidR="00216796" w:rsidRPr="00BF58C7" w:rsidRDefault="00216796" w:rsidP="001361E0">
            <w:pPr>
              <w:jc w:val="both"/>
              <w:rPr>
                <w:rFonts w:ascii="Verdana" w:hAnsi="Verdana" w:cs="Arial"/>
                <w:b/>
                <w:lang w:val="es-MX" w:eastAsia="es-ES" w:bidi="es-ES"/>
              </w:rPr>
            </w:pPr>
            <w:r w:rsidRPr="00BF58C7">
              <w:rPr>
                <w:rFonts w:ascii="Verdana" w:hAnsi="Verdana" w:cs="Arial"/>
                <w:b/>
                <w:lang w:val="es-MX" w:eastAsia="es-ES" w:bidi="es-ES"/>
              </w:rPr>
              <w:t xml:space="preserve">Radicación:               </w:t>
            </w:r>
          </w:p>
        </w:tc>
        <w:tc>
          <w:tcPr>
            <w:tcW w:w="6242" w:type="dxa"/>
          </w:tcPr>
          <w:p w14:paraId="6F7FB1C3" w14:textId="77777777" w:rsidR="00216796" w:rsidRPr="00BF58C7" w:rsidRDefault="00216796" w:rsidP="001361E0">
            <w:pPr>
              <w:jc w:val="both"/>
              <w:rPr>
                <w:rFonts w:ascii="Verdana" w:hAnsi="Verdana" w:cs="Arial"/>
                <w:bCs/>
                <w:lang w:eastAsia="es-ES" w:bidi="es-ES"/>
              </w:rPr>
            </w:pPr>
            <w:r w:rsidRPr="003E4CC9">
              <w:rPr>
                <w:rFonts w:ascii="Verdana" w:hAnsi="Verdana" w:cs="Arial"/>
                <w:bCs/>
                <w:lang w:val="es-MX" w:eastAsia="es-ES" w:bidi="es-ES"/>
              </w:rPr>
              <w:t xml:space="preserve">Respuesta a consulta con radicado No. </w:t>
            </w:r>
            <w:r w:rsidRPr="00A4039C">
              <w:rPr>
                <w:rFonts w:ascii="Verdana" w:hAnsi="Verdana" w:cs="Arial"/>
                <w:lang w:eastAsia="es-ES" w:bidi="es-ES"/>
              </w:rPr>
              <w:t>1_2026_09_04_011817</w:t>
            </w:r>
          </w:p>
          <w:p w14:paraId="10D3702B" w14:textId="77777777" w:rsidR="00216796" w:rsidRPr="00BF58C7" w:rsidRDefault="00216796" w:rsidP="001361E0">
            <w:pPr>
              <w:jc w:val="both"/>
              <w:rPr>
                <w:rFonts w:ascii="Verdana" w:hAnsi="Verdana" w:cs="Arial"/>
                <w:bCs/>
                <w:lang w:eastAsia="es-ES" w:bidi="es-ES"/>
              </w:rPr>
            </w:pPr>
          </w:p>
        </w:tc>
      </w:tr>
    </w:tbl>
    <w:p w14:paraId="26C6024F" w14:textId="77777777" w:rsidR="00216796" w:rsidRPr="003E4CC9" w:rsidRDefault="00216796" w:rsidP="00216796">
      <w:pPr>
        <w:spacing w:after="0" w:line="240" w:lineRule="auto"/>
        <w:jc w:val="both"/>
        <w:rPr>
          <w:rFonts w:ascii="Verdana" w:hAnsi="Verdana" w:cs="Arial"/>
          <w:bCs/>
          <w:lang w:val="es-ES_tradnl" w:eastAsia="es-ES" w:bidi="es-ES"/>
        </w:rPr>
      </w:pPr>
    </w:p>
    <w:p w14:paraId="15536080" w14:textId="77777777" w:rsidR="00216796" w:rsidRPr="003E4CC9" w:rsidRDefault="00216796" w:rsidP="00216796">
      <w:pPr>
        <w:spacing w:after="0" w:line="276" w:lineRule="auto"/>
        <w:jc w:val="both"/>
        <w:rPr>
          <w:rFonts w:ascii="Verdana" w:hAnsi="Verdana" w:cs="Arial"/>
          <w:bCs/>
          <w:lang w:val="es-MX" w:eastAsia="es-ES" w:bidi="es-ES"/>
        </w:rPr>
      </w:pPr>
      <w:r w:rsidRPr="003E4CC9">
        <w:rPr>
          <w:rFonts w:ascii="Verdana" w:hAnsi="Verdana" w:cs="Arial"/>
          <w:bCs/>
          <w:lang w:val="es-MX" w:eastAsia="es-ES" w:bidi="es-ES"/>
        </w:rPr>
        <w:t xml:space="preserve">Estimado </w:t>
      </w:r>
      <w:r>
        <w:rPr>
          <w:rFonts w:ascii="Verdana" w:hAnsi="Verdana" w:cs="Arial"/>
          <w:bCs/>
          <w:lang w:val="es-MX" w:eastAsia="es-ES" w:bidi="es-ES"/>
        </w:rPr>
        <w:t>Ciudadano</w:t>
      </w:r>
      <w:r w:rsidRPr="003E4CC9">
        <w:rPr>
          <w:rFonts w:ascii="Verdana" w:hAnsi="Verdana" w:cs="Arial"/>
          <w:bCs/>
          <w:lang w:val="es-MX" w:eastAsia="es-ES" w:bidi="es-ES"/>
        </w:rPr>
        <w:t>:</w:t>
      </w:r>
    </w:p>
    <w:p w14:paraId="3AA9D323" w14:textId="77777777" w:rsidR="00216796" w:rsidRPr="003E4CC9" w:rsidRDefault="00216796" w:rsidP="00216796">
      <w:pPr>
        <w:spacing w:after="0" w:line="276" w:lineRule="auto"/>
        <w:jc w:val="both"/>
        <w:rPr>
          <w:rFonts w:ascii="Verdana" w:hAnsi="Verdana" w:cs="Arial"/>
          <w:bCs/>
          <w:lang w:val="es-ES" w:eastAsia="es-ES" w:bidi="es-ES"/>
        </w:rPr>
      </w:pPr>
      <w:r w:rsidRPr="003E4CC9">
        <w:rPr>
          <w:rFonts w:ascii="Verdana" w:hAnsi="Verdana" w:cs="Arial"/>
          <w:bCs/>
          <w:lang w:val="es-ES" w:eastAsia="es-ES" w:bidi="es-ES"/>
        </w:rPr>
        <w:tab/>
      </w:r>
    </w:p>
    <w:p w14:paraId="2015A7E1" w14:textId="77777777" w:rsidR="00216796" w:rsidRPr="003E4CC9" w:rsidRDefault="00216796" w:rsidP="00216796">
      <w:pPr>
        <w:spacing w:after="0" w:line="276" w:lineRule="auto"/>
        <w:jc w:val="both"/>
        <w:rPr>
          <w:rFonts w:ascii="Verdana" w:hAnsi="Verdana" w:cs="Arial"/>
          <w:bCs/>
          <w:lang w:val="es-ES" w:eastAsia="es-ES" w:bidi="es-ES"/>
        </w:rPr>
      </w:pPr>
      <w:r w:rsidRPr="003E4CC9">
        <w:rPr>
          <w:rFonts w:ascii="Verdana" w:hAnsi="Verdana" w:cs="Arial"/>
          <w:bCs/>
          <w:lang w:val="es-ES" w:eastAsia="es-ES" w:bidi="es-ES"/>
        </w:rPr>
        <w:t xml:space="preserve">En ejercicio de la competencia otorgada por los artículos 3, numeral 5º, y 11, numeral 8º, del Decreto Ley 4170 de 2011, </w:t>
      </w:r>
      <w:r w:rsidRPr="003E4CC9">
        <w:rPr>
          <w:rFonts w:ascii="Verdana" w:hAnsi="Verdana" w:cs="Arial"/>
          <w:lang w:val="es-ES_tradnl"/>
        </w:rPr>
        <w:t>así como lo establecido en</w:t>
      </w:r>
      <w:r w:rsidRPr="003E4CC9">
        <w:rPr>
          <w:rFonts w:ascii="Verdana" w:hAnsi="Verdana" w:cs="Arial"/>
        </w:rPr>
        <w:t xml:space="preserve"> la Resolución 469 de 2025 expedida por esta Entidad</w:t>
      </w:r>
      <w:r w:rsidRPr="003E4CC9">
        <w:rPr>
          <w:rFonts w:ascii="Verdana" w:hAnsi="Verdana" w:cs="Arial"/>
          <w:bCs/>
          <w:lang w:eastAsia="es-ES" w:bidi="es-ES"/>
        </w:rPr>
        <w:t xml:space="preserve">, </w:t>
      </w:r>
      <w:r w:rsidRPr="003E4CC9">
        <w:rPr>
          <w:rFonts w:ascii="Verdana" w:hAnsi="Verdana" w:cs="Arial"/>
          <w:bCs/>
          <w:lang w:val="es-ES" w:eastAsia="es-ES" w:bidi="es-ES"/>
        </w:rPr>
        <w:t>la Agencia Nacional de Contratación Pública – Colombia Compra Eficiente– responde su solicitud de consulta de</w:t>
      </w:r>
      <w:r>
        <w:rPr>
          <w:rFonts w:ascii="Verdana" w:hAnsi="Verdana" w:cs="Arial"/>
          <w:bCs/>
          <w:lang w:val="es-ES" w:eastAsia="es-ES" w:bidi="es-ES"/>
        </w:rPr>
        <w:t>l 4 de septiembre de 2026</w:t>
      </w:r>
      <w:r w:rsidRPr="003E4CC9">
        <w:rPr>
          <w:rFonts w:ascii="Verdana" w:hAnsi="Verdana" w:cs="Arial"/>
          <w:bCs/>
          <w:lang w:val="es-ES" w:eastAsia="es-ES" w:bidi="es-ES"/>
        </w:rPr>
        <w:t xml:space="preserve">, en la cual manifiesta: </w:t>
      </w:r>
    </w:p>
    <w:p w14:paraId="79D6251F" w14:textId="77777777" w:rsidR="00216796" w:rsidRPr="002E418D" w:rsidRDefault="00216796" w:rsidP="00216796">
      <w:pPr>
        <w:spacing w:after="0" w:line="240" w:lineRule="auto"/>
        <w:ind w:right="709"/>
        <w:jc w:val="both"/>
        <w:rPr>
          <w:rFonts w:ascii="Verdana" w:hAnsi="Verdana" w:cs="Arial"/>
          <w:bCs/>
          <w:sz w:val="20"/>
          <w:szCs w:val="20"/>
          <w:lang w:eastAsia="es-ES" w:bidi="es-ES"/>
        </w:rPr>
      </w:pPr>
    </w:p>
    <w:p w14:paraId="275B13EB" w14:textId="77777777" w:rsidR="00216796" w:rsidRPr="00C84865" w:rsidRDefault="00216796" w:rsidP="00216796">
      <w:pPr>
        <w:spacing w:after="0" w:line="240" w:lineRule="auto"/>
        <w:ind w:left="709" w:right="709"/>
        <w:jc w:val="both"/>
        <w:rPr>
          <w:rFonts w:ascii="Verdana" w:hAnsi="Verdana" w:cs="Arial"/>
          <w:sz w:val="20"/>
          <w:szCs w:val="20"/>
          <w:lang w:eastAsia="es-ES" w:bidi="es-ES"/>
        </w:rPr>
      </w:pPr>
      <w:r>
        <w:rPr>
          <w:rFonts w:ascii="Verdana" w:hAnsi="Verdana" w:cs="Arial"/>
          <w:bCs/>
          <w:sz w:val="20"/>
          <w:szCs w:val="20"/>
          <w:lang w:eastAsia="es-ES" w:bidi="es-ES"/>
        </w:rPr>
        <w:t>”1.</w:t>
      </w:r>
      <w:r w:rsidRPr="002E0D89">
        <w:rPr>
          <w:rFonts w:ascii="Liberation-Serif-Bold" w:hAnsi="Liberation-Serif-Bold" w:cs="Liberation-Serif-Bold"/>
          <w:b/>
          <w:bCs/>
          <w:color w:val="2D3748"/>
          <w:sz w:val="21"/>
          <w:szCs w:val="21"/>
        </w:rPr>
        <w:t xml:space="preserve"> </w:t>
      </w:r>
      <w:r w:rsidRPr="00C84865">
        <w:rPr>
          <w:rFonts w:ascii="Verdana" w:hAnsi="Verdana" w:cs="Arial"/>
          <w:sz w:val="20"/>
          <w:szCs w:val="20"/>
          <w:lang w:eastAsia="es-ES" w:bidi="es-ES"/>
        </w:rPr>
        <w:t>¿Es legalmente procedente que una entidad estatal se abstenga o niegue de manera injustificada la expedición del Registro Presupuestal (RP) de una modificación contractual (prórroga/adición) que ya ha sido perfeccionada, suscrita por las partes, con póliza aprobada y publicada en estado "En Ejecución" en SECOP II?</w:t>
      </w:r>
    </w:p>
    <w:p w14:paraId="6C17E95F" w14:textId="77777777" w:rsidR="00216796" w:rsidRPr="00C84865" w:rsidRDefault="00216796" w:rsidP="00216796">
      <w:pPr>
        <w:spacing w:after="0" w:line="240" w:lineRule="auto"/>
        <w:ind w:left="709" w:right="709"/>
        <w:jc w:val="both"/>
        <w:rPr>
          <w:rFonts w:ascii="Verdana" w:hAnsi="Verdana" w:cs="Arial"/>
          <w:sz w:val="20"/>
          <w:szCs w:val="20"/>
          <w:lang w:eastAsia="es-ES" w:bidi="es-ES"/>
        </w:rPr>
      </w:pPr>
      <w:r w:rsidRPr="00C84865">
        <w:rPr>
          <w:rFonts w:ascii="Verdana" w:hAnsi="Verdana" w:cs="Arial"/>
          <w:sz w:val="20"/>
          <w:szCs w:val="20"/>
          <w:lang w:eastAsia="es-ES" w:bidi="es-ES"/>
        </w:rPr>
        <w:lastRenderedPageBreak/>
        <w:t>2. ¿Surtidos todos los trámites de perfeccionamiento y aprobación de garantías en la plataforma SECOP II, constituye la expedición del Registro Presupuestal un acto de mero trámite administrativo o un deber de la administración para garantizar la legalidad de la ejecución que ya se encuentra en marcha?</w:t>
      </w:r>
    </w:p>
    <w:p w14:paraId="6C60DAE5" w14:textId="77777777" w:rsidR="00216796" w:rsidRPr="00C84865" w:rsidRDefault="00216796" w:rsidP="00216796">
      <w:pPr>
        <w:spacing w:after="0" w:line="240" w:lineRule="auto"/>
        <w:ind w:left="709" w:right="709"/>
        <w:jc w:val="both"/>
        <w:rPr>
          <w:rFonts w:ascii="Verdana" w:hAnsi="Verdana" w:cs="Arial"/>
          <w:sz w:val="20"/>
          <w:szCs w:val="20"/>
          <w:lang w:eastAsia="es-ES" w:bidi="es-ES"/>
        </w:rPr>
      </w:pPr>
      <w:r w:rsidRPr="00C84865">
        <w:rPr>
          <w:rFonts w:ascii="Verdana" w:hAnsi="Verdana" w:cs="Arial"/>
          <w:sz w:val="20"/>
          <w:szCs w:val="20"/>
          <w:lang w:eastAsia="es-ES" w:bidi="es-ES"/>
        </w:rPr>
        <w:t>3. ¿Puede la falta de expedición del Registro Presupuestal por causas imputables a la entidad configurar una vulneración a los principios de buena fe contractual, confianza legítima, planeación y responsabilidad previstos en el estatuto general de contratación pública?</w:t>
      </w:r>
    </w:p>
    <w:p w14:paraId="5ABA66EB" w14:textId="77777777" w:rsidR="00216796" w:rsidRPr="00C84865" w:rsidRDefault="00216796" w:rsidP="00216796">
      <w:pPr>
        <w:spacing w:after="0" w:line="240" w:lineRule="auto"/>
        <w:ind w:left="709" w:right="709"/>
        <w:jc w:val="both"/>
        <w:rPr>
          <w:rFonts w:ascii="Verdana" w:hAnsi="Verdana" w:cs="Arial"/>
          <w:sz w:val="20"/>
          <w:szCs w:val="20"/>
          <w:lang w:eastAsia="es-ES" w:bidi="es-ES"/>
        </w:rPr>
      </w:pPr>
      <w:r w:rsidRPr="00C84865">
        <w:rPr>
          <w:rFonts w:ascii="Verdana" w:hAnsi="Verdana" w:cs="Arial"/>
          <w:sz w:val="20"/>
          <w:szCs w:val="20"/>
          <w:lang w:eastAsia="es-ES" w:bidi="es-ES"/>
        </w:rPr>
        <w:t xml:space="preserve">4. En los eventos en que el contratista ha prestado efectivamente el servicio en virtud de la prórroga cargada y aprobada en SECOP II, pero no se expidió el RP por omisión de la entidad, ¿cuál es el mecanismo o figura idónea para garantizar el reconocimiento económico y pago de los servicios efectivamente ejecutados?” </w:t>
      </w:r>
    </w:p>
    <w:p w14:paraId="3C0B3C95" w14:textId="77777777" w:rsidR="00216796" w:rsidRPr="003E4CC9" w:rsidRDefault="00216796" w:rsidP="00216796">
      <w:pPr>
        <w:spacing w:after="0" w:line="276" w:lineRule="auto"/>
        <w:jc w:val="both"/>
        <w:rPr>
          <w:rFonts w:ascii="Verdana" w:hAnsi="Verdana" w:cs="Arial"/>
          <w:bCs/>
          <w:lang w:eastAsia="es-ES" w:bidi="es-ES"/>
        </w:rPr>
      </w:pPr>
    </w:p>
    <w:p w14:paraId="161FF999" w14:textId="77777777" w:rsidR="00216796" w:rsidRPr="003E4CC9" w:rsidRDefault="00216796" w:rsidP="00216796">
      <w:pPr>
        <w:spacing w:after="120" w:line="276" w:lineRule="auto"/>
        <w:ind w:firstLine="709"/>
        <w:jc w:val="both"/>
        <w:rPr>
          <w:rFonts w:ascii="Verdana" w:eastAsia="Calibri" w:hAnsi="Verdana" w:cs="Times New Roman"/>
          <w:lang w:val="es-ES"/>
        </w:rPr>
      </w:pPr>
      <w:r w:rsidRPr="003E4CC9">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3B71169" w14:textId="77777777" w:rsidR="00216796" w:rsidRPr="00A04CE7" w:rsidRDefault="00216796" w:rsidP="00216796">
      <w:pPr>
        <w:spacing w:after="0" w:line="276" w:lineRule="auto"/>
        <w:ind w:firstLine="708"/>
        <w:jc w:val="both"/>
        <w:rPr>
          <w:rFonts w:ascii="Verdana" w:eastAsia="Calibri" w:hAnsi="Verdana" w:cs="Times New Roman"/>
        </w:rPr>
      </w:pPr>
      <w:r w:rsidRPr="00A04CE7">
        <w:rPr>
          <w:rFonts w:ascii="Verdana" w:eastAsia="Calibri" w:hAnsi="Verdana" w:cs="Times New Roman"/>
        </w:rPr>
        <w:t>Conforme a lo expuesto, y con el propósito de dar cumplimiento al derecho fundamental de petición, la presente consulta se resolverá dentro de los límites de la competencia consultiva que corresponde a esta instancia. Ello implica que el análisis se realizará en términos generales, sin entrar en la valoración de hechos particulares ni en la definición de responsabilidades específicas, pues tales aspectos exceden el alcance de este pronunciamiento.</w:t>
      </w:r>
      <w:r>
        <w:rPr>
          <w:rFonts w:ascii="Verdana" w:eastAsia="Calibri" w:hAnsi="Verdana" w:cs="Times New Roman"/>
        </w:rPr>
        <w:t xml:space="preserve"> </w:t>
      </w:r>
      <w:r w:rsidRPr="00A04CE7">
        <w:rPr>
          <w:rFonts w:ascii="Verdana" w:eastAsia="Calibri" w:hAnsi="Verdana" w:cs="Times New Roman"/>
        </w:rPr>
        <w:t xml:space="preserve">En ese sentido, las consideraciones aquí planteadas se circunscriben a señalar el marco normativo y doctrinal aplicable a los problemas jurídicos relacionados con la gestión contractual de las entidades públicas, en especial lo referente a las adiciones contractuales y la expedición del Registro Presupuestal (RP). Se trata, por tanto, </w:t>
      </w:r>
      <w:r w:rsidRPr="00A04CE7">
        <w:rPr>
          <w:rFonts w:ascii="Verdana" w:eastAsia="Calibri" w:hAnsi="Verdana" w:cs="Times New Roman"/>
        </w:rPr>
        <w:lastRenderedPageBreak/>
        <w:t>de orientaciones de carácter general que buscan ilustrar el alcance de las disposiciones legales y los principios que rigen la contratación estatal.</w:t>
      </w:r>
    </w:p>
    <w:p w14:paraId="0123D725" w14:textId="77777777" w:rsidR="00216796" w:rsidRPr="003E4CC9" w:rsidRDefault="00216796" w:rsidP="00216796">
      <w:pPr>
        <w:spacing w:after="0" w:line="256" w:lineRule="auto"/>
        <w:rPr>
          <w:rFonts w:ascii="Verdana" w:eastAsia="Calibri" w:hAnsi="Verdana" w:cs="Times New Roman"/>
          <w:lang w:val="es-ES"/>
        </w:rPr>
      </w:pPr>
    </w:p>
    <w:p w14:paraId="57014C6E" w14:textId="77777777" w:rsidR="00216796" w:rsidRPr="003E4CC9" w:rsidRDefault="00216796" w:rsidP="00216796">
      <w:pPr>
        <w:numPr>
          <w:ilvl w:val="0"/>
          <w:numId w:val="16"/>
        </w:numPr>
        <w:spacing w:after="0" w:line="256" w:lineRule="auto"/>
        <w:contextualSpacing/>
        <w:rPr>
          <w:rFonts w:ascii="Verdana" w:eastAsia="Calibri" w:hAnsi="Verdana" w:cs="Times New Roman"/>
          <w:b/>
          <w:bCs/>
          <w:lang w:val="es-ES"/>
        </w:rPr>
      </w:pPr>
      <w:r w:rsidRPr="003E4CC9">
        <w:rPr>
          <w:rFonts w:ascii="Verdana" w:eastAsia="Calibri" w:hAnsi="Verdana" w:cs="Times New Roman"/>
          <w:b/>
          <w:bCs/>
          <w:lang w:val="es-ES"/>
        </w:rPr>
        <w:t>Problema planteado:</w:t>
      </w:r>
    </w:p>
    <w:p w14:paraId="67DDF552" w14:textId="77777777" w:rsidR="00216796" w:rsidRPr="003E4CC9" w:rsidRDefault="00216796" w:rsidP="00216796">
      <w:pPr>
        <w:spacing w:after="0" w:line="256" w:lineRule="auto"/>
        <w:rPr>
          <w:rFonts w:ascii="Verdana" w:eastAsia="Calibri" w:hAnsi="Verdana" w:cs="Times New Roman"/>
        </w:rPr>
      </w:pPr>
    </w:p>
    <w:p w14:paraId="49193C88" w14:textId="77777777" w:rsidR="00216796" w:rsidRPr="001C6ADE" w:rsidRDefault="00216796" w:rsidP="00216796">
      <w:pPr>
        <w:spacing w:after="0" w:line="276" w:lineRule="auto"/>
        <w:jc w:val="both"/>
        <w:rPr>
          <w:rFonts w:ascii="Verdana" w:eastAsia="Calibri" w:hAnsi="Verdana"/>
        </w:rPr>
      </w:pPr>
      <w:r w:rsidRPr="003E4CC9">
        <w:rPr>
          <w:rFonts w:ascii="Verdana" w:eastAsia="Calibri" w:hAnsi="Verdana" w:cs="Times New Roman"/>
        </w:rPr>
        <w:t>De acuerdo con el contenido de su solicitud, se presenta</w:t>
      </w:r>
      <w:r>
        <w:rPr>
          <w:rFonts w:ascii="Verdana" w:eastAsia="Calibri" w:hAnsi="Verdana" w:cs="Times New Roman"/>
        </w:rPr>
        <w:t>n los siguientes problemas jurídicos</w:t>
      </w:r>
      <w:r w:rsidRPr="003E4CC9">
        <w:rPr>
          <w:rFonts w:ascii="Verdana" w:eastAsia="Calibri" w:hAnsi="Verdana" w:cs="Times New Roman"/>
        </w:rPr>
        <w:t>:</w:t>
      </w:r>
      <w:r>
        <w:rPr>
          <w:rFonts w:ascii="Verdana" w:eastAsia="Calibri" w:hAnsi="Verdana" w:cs="Times New Roman"/>
        </w:rPr>
        <w:t xml:space="preserve"> i) </w:t>
      </w:r>
      <w:r w:rsidRPr="001C6ADE">
        <w:rPr>
          <w:rFonts w:ascii="Verdana" w:eastAsia="Calibri" w:hAnsi="Verdana"/>
        </w:rPr>
        <w:t>¿Cuál es la naturaleza jurídica y el alcance del Registro Presupuestal (RP) en las modificaciones contractuales —c</w:t>
      </w:r>
      <w:r>
        <w:rPr>
          <w:rFonts w:ascii="Verdana" w:eastAsia="Calibri" w:hAnsi="Verdana"/>
        </w:rPr>
        <w:t>omo es el caso de las</w:t>
      </w:r>
      <w:r w:rsidRPr="001C6ADE">
        <w:rPr>
          <w:rFonts w:ascii="Verdana" w:eastAsia="Calibri" w:hAnsi="Verdana"/>
        </w:rPr>
        <w:t xml:space="preserve"> adiciones— ya perfeccionadas y publicadas en SECOP II, y puede la entidad abstenerse de expedirlo sin vulnerar los principios de legalidad, buena fe y confianza legítima?</w:t>
      </w:r>
      <w:r>
        <w:rPr>
          <w:rFonts w:ascii="Verdana" w:eastAsia="Calibri" w:hAnsi="Verdana"/>
        </w:rPr>
        <w:t xml:space="preserve">; </w:t>
      </w:r>
      <w:proofErr w:type="spellStart"/>
      <w:r>
        <w:rPr>
          <w:rFonts w:ascii="Verdana" w:eastAsia="Calibri" w:hAnsi="Verdana"/>
        </w:rPr>
        <w:t>ii</w:t>
      </w:r>
      <w:proofErr w:type="spellEnd"/>
      <w:r>
        <w:rPr>
          <w:rFonts w:ascii="Verdana" w:eastAsia="Calibri" w:hAnsi="Verdana"/>
        </w:rPr>
        <w:t xml:space="preserve">) </w:t>
      </w:r>
      <w:r w:rsidRPr="00CD635D">
        <w:rPr>
          <w:rFonts w:ascii="Verdana" w:eastAsia="Calibri" w:hAnsi="Verdana"/>
        </w:rPr>
        <w:t xml:space="preserve">En los casos en que el contratista ejecuta efectivamente las obligaciones derivadas de una modificación contractual sin que la entidad haya expedido el RP, </w:t>
      </w:r>
      <w:r>
        <w:rPr>
          <w:rFonts w:ascii="Verdana" w:eastAsia="Calibri" w:hAnsi="Verdana"/>
        </w:rPr>
        <w:t>¿</w:t>
      </w:r>
      <w:r w:rsidRPr="00CD635D">
        <w:rPr>
          <w:rFonts w:ascii="Verdana" w:eastAsia="Calibri" w:hAnsi="Verdana"/>
        </w:rPr>
        <w:t>cuál es el mecanismo idóneo para garantizar el reconocimiento económico y el pago de los servicios prestados, evitando afectaciones a la planeación y responsabilidad de la administración pública?</w:t>
      </w:r>
      <w:r>
        <w:rPr>
          <w:rFonts w:ascii="Verdana" w:eastAsia="Calibri" w:hAnsi="Verdana"/>
        </w:rPr>
        <w:t xml:space="preserve"> </w:t>
      </w:r>
    </w:p>
    <w:p w14:paraId="6833FCE7" w14:textId="77777777" w:rsidR="00216796" w:rsidRPr="003E4CC9" w:rsidRDefault="00216796" w:rsidP="00216796">
      <w:pPr>
        <w:spacing w:after="0" w:line="276" w:lineRule="auto"/>
        <w:jc w:val="both"/>
        <w:rPr>
          <w:rFonts w:ascii="Verdana" w:eastAsia="Calibri" w:hAnsi="Verdana" w:cs="Times New Roman"/>
        </w:rPr>
      </w:pPr>
    </w:p>
    <w:p w14:paraId="2D7A1F68" w14:textId="77777777" w:rsidR="00216796" w:rsidRPr="003E4CC9" w:rsidRDefault="00216796" w:rsidP="00216796">
      <w:pPr>
        <w:numPr>
          <w:ilvl w:val="0"/>
          <w:numId w:val="16"/>
        </w:numPr>
        <w:spacing w:after="0" w:line="256" w:lineRule="auto"/>
        <w:contextualSpacing/>
        <w:rPr>
          <w:rFonts w:ascii="Verdana" w:eastAsia="Calibri" w:hAnsi="Verdana" w:cs="Times New Roman"/>
          <w:b/>
          <w:bCs/>
          <w:lang w:val="es-ES"/>
        </w:rPr>
      </w:pPr>
      <w:r w:rsidRPr="003E4CC9">
        <w:rPr>
          <w:rFonts w:ascii="Verdana" w:eastAsia="Calibri" w:hAnsi="Verdana" w:cs="Times New Roman"/>
          <w:b/>
          <w:bCs/>
          <w:lang w:val="es-ES"/>
        </w:rPr>
        <w:t>Respuesta:</w:t>
      </w:r>
    </w:p>
    <w:p w14:paraId="4113AB6D" w14:textId="77777777" w:rsidR="00216796" w:rsidRPr="003E4CC9" w:rsidRDefault="00216796" w:rsidP="00216796">
      <w:pPr>
        <w:spacing w:after="0" w:line="240" w:lineRule="auto"/>
        <w:jc w:val="both"/>
        <w:rPr>
          <w:rFonts w:ascii="Verdana" w:hAnsi="Verdana" w:cs="Arial"/>
          <w:bCs/>
          <w:lang w:val="es-ES" w:eastAsia="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16796" w:rsidRPr="003E4CC9" w14:paraId="56F7C307" w14:textId="77777777" w:rsidTr="001361E0">
        <w:trPr>
          <w:trHeight w:val="870"/>
          <w:jc w:val="center"/>
        </w:trPr>
        <w:tc>
          <w:tcPr>
            <w:tcW w:w="8647" w:type="dxa"/>
          </w:tcPr>
          <w:p w14:paraId="2AA45BDA" w14:textId="77777777" w:rsidR="00216796" w:rsidRDefault="00216796" w:rsidP="001361E0">
            <w:pPr>
              <w:spacing w:line="276" w:lineRule="auto"/>
              <w:jc w:val="both"/>
              <w:rPr>
                <w:rFonts w:ascii="Verdana" w:eastAsiaTheme="minorEastAsia" w:hAnsi="Verdana"/>
                <w:lang w:eastAsia="es-CO"/>
              </w:rPr>
            </w:pPr>
            <w:r>
              <w:rPr>
                <w:rFonts w:ascii="Verdana" w:eastAsiaTheme="minorEastAsia" w:hAnsi="Verdana"/>
                <w:lang w:eastAsia="es-CO"/>
              </w:rPr>
              <w:t>En relación con los dos problemas jurídicos de su consulta, se expresa lo siguiente:</w:t>
            </w:r>
          </w:p>
          <w:p w14:paraId="7E647935" w14:textId="77777777" w:rsidR="00216796" w:rsidRDefault="00216796" w:rsidP="001361E0">
            <w:pPr>
              <w:spacing w:line="276" w:lineRule="auto"/>
              <w:jc w:val="both"/>
              <w:rPr>
                <w:rFonts w:ascii="Verdana" w:eastAsiaTheme="minorEastAsia" w:hAnsi="Verdana"/>
                <w:lang w:eastAsia="es-CO"/>
              </w:rPr>
            </w:pPr>
          </w:p>
          <w:p w14:paraId="6F8ADD3D" w14:textId="77777777" w:rsidR="00216796" w:rsidRDefault="00216796" w:rsidP="001361E0">
            <w:pPr>
              <w:spacing w:after="120" w:line="276" w:lineRule="auto"/>
              <w:jc w:val="both"/>
              <w:rPr>
                <w:rFonts w:ascii="Verdana" w:eastAsia="Times New Roman" w:hAnsi="Verdana" w:cs="Arial"/>
                <w:lang w:eastAsia="es-ES_tradnl"/>
              </w:rPr>
            </w:pPr>
            <w:r>
              <w:rPr>
                <w:rFonts w:ascii="Verdana" w:eastAsiaTheme="minorEastAsia" w:hAnsi="Verdana"/>
                <w:lang w:eastAsia="es-CO"/>
              </w:rPr>
              <w:t>i</w:t>
            </w:r>
            <w:r w:rsidRPr="007A074E">
              <w:rPr>
                <w:rFonts w:ascii="Verdana" w:eastAsiaTheme="minorEastAsia" w:hAnsi="Verdana"/>
                <w:lang w:eastAsia="es-CO"/>
              </w:rPr>
              <w:t xml:space="preserve">. En relación con el primer problema jurídico de su consulta, se </w:t>
            </w:r>
            <w:r>
              <w:rPr>
                <w:rFonts w:ascii="Verdana" w:eastAsiaTheme="minorEastAsia" w:hAnsi="Verdana"/>
              </w:rPr>
              <w:t>expresa que,</w:t>
            </w:r>
            <w:r w:rsidRPr="007A074E">
              <w:rPr>
                <w:rFonts w:ascii="Verdana" w:eastAsiaTheme="minorEastAsia" w:hAnsi="Verdana"/>
              </w:rPr>
              <w:t xml:space="preserve"> Ley 80 de 1993, en su artículo 41, establece que el Registro Presupuestal (RP) es un requisito </w:t>
            </w:r>
            <w:r>
              <w:rPr>
                <w:rFonts w:ascii="Verdana" w:eastAsiaTheme="minorEastAsia" w:hAnsi="Verdana"/>
              </w:rPr>
              <w:t>sine qua non</w:t>
            </w:r>
            <w:r w:rsidRPr="007A074E">
              <w:rPr>
                <w:rFonts w:ascii="Verdana" w:eastAsiaTheme="minorEastAsia" w:hAnsi="Verdana"/>
              </w:rPr>
              <w:t xml:space="preserve"> para iniciar la ejecución de los contratos estatales, una vez definidos su valor y plazo. </w:t>
            </w:r>
            <w:r w:rsidRPr="00BF48AB">
              <w:rPr>
                <w:rFonts w:ascii="Verdana" w:eastAsia="Times New Roman" w:hAnsi="Verdana" w:cs="Arial"/>
                <w:lang w:eastAsia="es-ES_tradnl"/>
              </w:rPr>
              <w:t>En aplicación del mismo principio, dicho registro resulta igualmente necesario frente a una eventual adición contractual, pues esta implica nuevas obligaciones económicas por parte de la entidad</w:t>
            </w:r>
            <w:r>
              <w:rPr>
                <w:rFonts w:ascii="Verdana" w:eastAsia="Times New Roman" w:hAnsi="Verdana" w:cs="Arial"/>
                <w:lang w:eastAsia="es-ES_tradnl"/>
              </w:rPr>
              <w:t>, por lo que no puede considerarse como un simple acto de la Administración</w:t>
            </w:r>
            <w:r w:rsidRPr="00BF48AB">
              <w:rPr>
                <w:rFonts w:ascii="Verdana" w:eastAsia="Times New Roman" w:hAnsi="Verdana" w:cs="Arial"/>
                <w:lang w:eastAsia="es-ES_tradnl"/>
              </w:rPr>
              <w:t xml:space="preserve">. </w:t>
            </w:r>
          </w:p>
          <w:p w14:paraId="3D565815" w14:textId="77777777" w:rsidR="00216796" w:rsidRDefault="00216796" w:rsidP="001361E0">
            <w:pPr>
              <w:spacing w:after="120" w:line="276" w:lineRule="auto"/>
              <w:ind w:firstLine="709"/>
              <w:jc w:val="both"/>
              <w:rPr>
                <w:rStyle w:val="Refdecomentario"/>
                <w:rFonts w:ascii="Verdana" w:eastAsiaTheme="minorEastAsia" w:hAnsi="Verdana"/>
                <w:sz w:val="22"/>
                <w:szCs w:val="22"/>
              </w:rPr>
            </w:pPr>
            <w:r w:rsidRPr="00625198">
              <w:rPr>
                <w:rStyle w:val="Refdecomentario"/>
                <w:rFonts w:ascii="Verdana" w:eastAsiaTheme="minorEastAsia" w:hAnsi="Verdana"/>
                <w:sz w:val="22"/>
                <w:szCs w:val="22"/>
              </w:rPr>
              <w:t xml:space="preserve">En armonía con lo anterior, el Consejo de Estado mediante sentencia del </w:t>
            </w:r>
            <w:r>
              <w:rPr>
                <w:rStyle w:val="Refdecomentario"/>
                <w:rFonts w:ascii="Verdana" w:eastAsiaTheme="minorEastAsia" w:hAnsi="Verdana"/>
                <w:sz w:val="22"/>
                <w:szCs w:val="22"/>
              </w:rPr>
              <w:t>24</w:t>
            </w:r>
            <w:r w:rsidRPr="00625198">
              <w:rPr>
                <w:rStyle w:val="Refdecomentario"/>
                <w:rFonts w:ascii="Verdana" w:eastAsiaTheme="minorEastAsia" w:hAnsi="Verdana"/>
                <w:sz w:val="22"/>
                <w:szCs w:val="22"/>
              </w:rPr>
              <w:t xml:space="preserve"> de </w:t>
            </w:r>
            <w:r>
              <w:rPr>
                <w:rStyle w:val="Refdecomentario"/>
                <w:rFonts w:ascii="Verdana" w:eastAsiaTheme="minorEastAsia" w:hAnsi="Verdana"/>
                <w:sz w:val="22"/>
                <w:szCs w:val="22"/>
              </w:rPr>
              <w:t>febrero</w:t>
            </w:r>
            <w:r w:rsidRPr="00625198">
              <w:rPr>
                <w:rStyle w:val="Refdecomentario"/>
                <w:rFonts w:ascii="Verdana" w:eastAsiaTheme="minorEastAsia" w:hAnsi="Verdana"/>
                <w:sz w:val="22"/>
                <w:szCs w:val="22"/>
              </w:rPr>
              <w:t xml:space="preserve"> de 2016, expedida en el marco del expediente No. 46.185, precisó que tanto la disponibilidad presupuestal (CDP) como el compromiso presupuestal (RP) son condiciones que inciden en la legalidad del gasto público y en la regularidad de la ejecución de los contratos estatales, en la medida en que garantizan la existencia de recursos suficientes para respaldar las obligaciones a cargo de la entidad. En este sentido, cuando se trata de </w:t>
            </w:r>
            <w:r w:rsidRPr="00625198">
              <w:rPr>
                <w:rStyle w:val="Refdecomentario"/>
                <w:rFonts w:ascii="Verdana" w:eastAsiaTheme="minorEastAsia" w:hAnsi="Verdana"/>
                <w:sz w:val="22"/>
                <w:szCs w:val="22"/>
              </w:rPr>
              <w:lastRenderedPageBreak/>
              <w:t xml:space="preserve">una adición del valor del contrato, el acto modificatorio se perfecciona con la suscripción del documento correspondiente –otrosí, acta de modificación, adición, </w:t>
            </w:r>
            <w:r>
              <w:rPr>
                <w:rStyle w:val="Refdecomentario"/>
                <w:rFonts w:ascii="Verdana" w:eastAsiaTheme="minorEastAsia" w:hAnsi="Verdana"/>
                <w:sz w:val="22"/>
                <w:szCs w:val="22"/>
              </w:rPr>
              <w:t>entre otros</w:t>
            </w:r>
            <w:r w:rsidRPr="00625198">
              <w:rPr>
                <w:rStyle w:val="Refdecomentario"/>
                <w:rFonts w:ascii="Verdana" w:eastAsiaTheme="minorEastAsia" w:hAnsi="Verdana"/>
                <w:sz w:val="22"/>
                <w:szCs w:val="22"/>
              </w:rPr>
              <w:t xml:space="preserve">–. Sin </w:t>
            </w:r>
            <w:r w:rsidRPr="00205EB0">
              <w:rPr>
                <w:rStyle w:val="Refdecomentario"/>
                <w:rFonts w:ascii="Verdana" w:eastAsiaTheme="minorEastAsia" w:hAnsi="Verdana"/>
                <w:sz w:val="22"/>
                <w:szCs w:val="22"/>
              </w:rPr>
              <w:t>embargo,</w:t>
            </w:r>
            <w:r w:rsidRPr="00625198">
              <w:rPr>
                <w:rStyle w:val="Refdecomentario"/>
                <w:rFonts w:ascii="Verdana" w:eastAsiaTheme="minorEastAsia" w:hAnsi="Verdana"/>
                <w:sz w:val="22"/>
                <w:szCs w:val="22"/>
              </w:rPr>
              <w:t xml:space="preserve"> la ejecución material de las prestaciones que de él se deriven es una cuestión de hecho, que depende de las condiciones reales de la relación contractual y no de la expedición del RP.</w:t>
            </w:r>
          </w:p>
          <w:p w14:paraId="347DFF43" w14:textId="77777777" w:rsidR="00216796" w:rsidRPr="009D4B18" w:rsidRDefault="00216796" w:rsidP="001361E0">
            <w:pPr>
              <w:spacing w:line="276" w:lineRule="auto"/>
              <w:ind w:firstLine="709"/>
              <w:jc w:val="both"/>
              <w:rPr>
                <w:rFonts w:ascii="Verdana" w:eastAsiaTheme="minorEastAsia" w:hAnsi="Verdana"/>
              </w:rPr>
            </w:pPr>
            <w:r w:rsidRPr="00625198">
              <w:rPr>
                <w:rStyle w:val="Refdecomentario"/>
                <w:rFonts w:ascii="Verdana" w:eastAsiaTheme="minorEastAsia" w:hAnsi="Verdana"/>
                <w:sz w:val="22"/>
                <w:szCs w:val="22"/>
              </w:rPr>
              <w:t xml:space="preserve">Lo que exige el ordenamiento es que la entidad cuente con el respaldo presupuestal correspondiente antes de suscribir el acto modificatorio y de dar inicio a la ejecución de las prestaciones adicionales; de no hacerlo, podría dar lugar a la configuración de los denominados hechos cumplidos, esto es, la asunción de obligaciones o la materialización de prestaciones sin el previo cumplimiento de </w:t>
            </w:r>
            <w:r>
              <w:rPr>
                <w:rStyle w:val="Refdecomentario"/>
                <w:rFonts w:ascii="Verdana" w:eastAsiaTheme="minorEastAsia" w:hAnsi="Verdana"/>
                <w:sz w:val="22"/>
                <w:szCs w:val="22"/>
              </w:rPr>
              <w:t>determinados requisitos o condiciones, como son las</w:t>
            </w:r>
            <w:r w:rsidRPr="00625198">
              <w:rPr>
                <w:rStyle w:val="Refdecomentario"/>
                <w:rFonts w:ascii="Verdana" w:eastAsiaTheme="minorEastAsia" w:hAnsi="Verdana"/>
                <w:sz w:val="22"/>
                <w:szCs w:val="22"/>
              </w:rPr>
              <w:t xml:space="preserve"> apropiaciones presupuestales, </w:t>
            </w:r>
            <w:r>
              <w:rPr>
                <w:rStyle w:val="Refdecomentario"/>
                <w:rFonts w:ascii="Verdana" w:eastAsiaTheme="minorEastAsia" w:hAnsi="Verdana"/>
                <w:sz w:val="22"/>
                <w:szCs w:val="22"/>
              </w:rPr>
              <w:t xml:space="preserve">lo cual en principio, </w:t>
            </w:r>
            <w:r w:rsidRPr="00625198">
              <w:rPr>
                <w:rStyle w:val="Refdecomentario"/>
                <w:rFonts w:ascii="Verdana" w:eastAsiaTheme="minorEastAsia" w:hAnsi="Verdana"/>
                <w:sz w:val="22"/>
                <w:szCs w:val="22"/>
              </w:rPr>
              <w:t>no afecta la validez de la adición, pero sí genera consecuencias fiscales y disciplinarias para los servidores responsables y puede constituir un incumplimiento imputable a la propia entidad, por no haber dispuesto oportunamente de los recursos necesarios para que el contratista ejecute y sea remunerado con regularidad.</w:t>
            </w:r>
            <w:r>
              <w:rPr>
                <w:rFonts w:ascii="Verdana" w:eastAsia="Calibri" w:hAnsi="Verdana"/>
              </w:rPr>
              <w:t xml:space="preserve"> (Respuesta a preguntas 1, 2 y 3)</w:t>
            </w:r>
          </w:p>
          <w:p w14:paraId="60B67AD0" w14:textId="77777777" w:rsidR="00216796" w:rsidRPr="00C82B0E" w:rsidRDefault="00216796" w:rsidP="001361E0">
            <w:pPr>
              <w:spacing w:line="276" w:lineRule="auto"/>
              <w:ind w:firstLine="709"/>
              <w:jc w:val="both"/>
              <w:rPr>
                <w:rFonts w:ascii="Verdana" w:eastAsia="Aptos" w:hAnsi="Verdana" w:cs="Arial"/>
                <w:lang w:val="es-ES"/>
              </w:rPr>
            </w:pPr>
          </w:p>
          <w:p w14:paraId="539276B8" w14:textId="77777777" w:rsidR="00216796" w:rsidRDefault="00216796" w:rsidP="001361E0">
            <w:pPr>
              <w:spacing w:after="120" w:line="276" w:lineRule="auto"/>
              <w:jc w:val="both"/>
              <w:rPr>
                <w:rFonts w:ascii="Verdana" w:eastAsiaTheme="minorEastAsia" w:hAnsi="Verdana"/>
              </w:rPr>
            </w:pPr>
            <w:proofErr w:type="spellStart"/>
            <w:r w:rsidRPr="00625198">
              <w:rPr>
                <w:rFonts w:ascii="Verdana" w:eastAsiaTheme="minorEastAsia" w:hAnsi="Verdana"/>
              </w:rPr>
              <w:t>ii</w:t>
            </w:r>
            <w:proofErr w:type="spellEnd"/>
            <w:r w:rsidRPr="00625198">
              <w:rPr>
                <w:rFonts w:ascii="Verdana" w:eastAsiaTheme="minorEastAsia" w:hAnsi="Verdana"/>
              </w:rPr>
              <w:t xml:space="preserve">. En torno al segundo problema jurídico de su consulta, </w:t>
            </w:r>
            <w:r>
              <w:rPr>
                <w:rFonts w:ascii="Verdana" w:eastAsiaTheme="minorEastAsia" w:hAnsi="Verdana"/>
              </w:rPr>
              <w:t xml:space="preserve">en los supuestos en que </w:t>
            </w:r>
            <w:r w:rsidRPr="003449BB">
              <w:rPr>
                <w:rFonts w:ascii="Verdana" w:eastAsiaTheme="minorEastAsia" w:hAnsi="Verdana"/>
              </w:rPr>
              <w:t>el contratista ejecuta efectivamente las obligaciones derivadas de una modificación contractual sin que la entidad haya expedido el Registro Presupuestal (RP), resulta claro que, aunque este constituye un requisito de ejecución y no de perfeccionamiento, la administración no puede desconocer la realidad de la prestación cumplida.</w:t>
            </w:r>
            <w:r>
              <w:rPr>
                <w:rFonts w:ascii="Verdana" w:eastAsiaTheme="minorEastAsia" w:hAnsi="Verdana"/>
              </w:rPr>
              <w:t xml:space="preserve"> </w:t>
            </w:r>
            <w:r w:rsidRPr="003449BB">
              <w:rPr>
                <w:rFonts w:ascii="Verdana" w:eastAsiaTheme="minorEastAsia" w:hAnsi="Verdana"/>
              </w:rPr>
              <w:t>En este escenario, la primera alternativa consiste en expedir el RP de manera tardía, sustentado en que las obligaciones ya estaban contenidas en la modificación contractual debidamente perfeccionada y publicada —sea adición, otrosí o cualquier otra figura—. Si bien esta expedición extemporánea no exonera de responsabilidad disciplinaria o fiscal a los servidores públicos que omitieron el deber de registrar oportunamente el compromiso presupuestal, sí permite dar legalidad al gasto y evitar que la administración se beneficie indebidamente de la labor del contratista.</w:t>
            </w:r>
          </w:p>
          <w:p w14:paraId="34E16608" w14:textId="77777777" w:rsidR="00216796" w:rsidRPr="003449BB" w:rsidRDefault="00216796" w:rsidP="001361E0">
            <w:pPr>
              <w:spacing w:after="120" w:line="276" w:lineRule="auto"/>
              <w:ind w:firstLine="709"/>
              <w:jc w:val="both"/>
              <w:rPr>
                <w:rFonts w:ascii="Verdana" w:eastAsiaTheme="minorEastAsia" w:hAnsi="Verdana"/>
              </w:rPr>
            </w:pPr>
            <w:r w:rsidRPr="003449BB">
              <w:rPr>
                <w:rFonts w:ascii="Verdana" w:eastAsiaTheme="minorEastAsia" w:hAnsi="Verdana"/>
              </w:rPr>
              <w:t xml:space="preserve">La segunda alternativa se materializa en el acta de liquidación, donde las partes pueden llegar a un acuerdo para reconocer las prestaciones efectivamente cumplidas. Este mecanismo, sustentado en la autonomía de </w:t>
            </w:r>
            <w:r w:rsidRPr="003449BB">
              <w:rPr>
                <w:rFonts w:ascii="Verdana" w:eastAsiaTheme="minorEastAsia" w:hAnsi="Verdana"/>
              </w:rPr>
              <w:lastRenderedPageBreak/>
              <w:t>la voluntad y en la necesidad de realizar un ajuste integral de cuentas —jurídico, económico, financiero y administrativo—, permite que la entidad reconozca y pague las obligaciones derivadas de la modificación contractual. No obstante, debe precisarse que la liquidación, ya sea bilateral, unilateral o judicial, requiere contar con el Certificado de Disponibilidad Presupuestal (CDP) y el RP, pues ambos documentos constituyen requisitos indispensables para la ejecución y pago de las obligaciones reconocidas en dicha etapa.</w:t>
            </w:r>
          </w:p>
          <w:p w14:paraId="46141E0B" w14:textId="77777777" w:rsidR="00216796" w:rsidRDefault="00216796" w:rsidP="001361E0">
            <w:pPr>
              <w:spacing w:after="120" w:line="276" w:lineRule="auto"/>
              <w:ind w:firstLine="709"/>
              <w:jc w:val="both"/>
              <w:rPr>
                <w:rFonts w:ascii="Verdana" w:eastAsiaTheme="minorEastAsia" w:hAnsi="Verdana"/>
              </w:rPr>
            </w:pPr>
            <w:r>
              <w:rPr>
                <w:rFonts w:ascii="Verdana" w:eastAsiaTheme="minorEastAsia" w:hAnsi="Verdana"/>
              </w:rPr>
              <w:t>Por último</w:t>
            </w:r>
            <w:r w:rsidRPr="003449BB">
              <w:rPr>
                <w:rFonts w:ascii="Verdana" w:eastAsiaTheme="minorEastAsia" w:hAnsi="Verdana"/>
              </w:rPr>
              <w:t xml:space="preserve">, el contratista conserva la facultad de presentar una reclamación formal ante la entidad o, en caso de persistir la negativa, acudir al medio de control de controversias contractuales para que se declare el </w:t>
            </w:r>
            <w:r>
              <w:rPr>
                <w:rFonts w:ascii="Verdana" w:eastAsiaTheme="minorEastAsia" w:hAnsi="Verdana"/>
              </w:rPr>
              <w:t>in</w:t>
            </w:r>
            <w:r w:rsidRPr="003449BB">
              <w:rPr>
                <w:rFonts w:ascii="Verdana" w:eastAsiaTheme="minorEastAsia" w:hAnsi="Verdana"/>
              </w:rPr>
              <w:t>cumplimiento de las obligaciones y el deber de la entidad de efectuar el pago</w:t>
            </w:r>
            <w:r>
              <w:rPr>
                <w:rFonts w:ascii="Verdana" w:eastAsiaTheme="minorEastAsia" w:hAnsi="Verdana"/>
              </w:rPr>
              <w:t>, conforme al artículo 141 de la Ley 1437 de 2011</w:t>
            </w:r>
            <w:r w:rsidRPr="003449BB">
              <w:rPr>
                <w:rFonts w:ascii="Verdana" w:eastAsiaTheme="minorEastAsia" w:hAnsi="Verdana"/>
              </w:rPr>
              <w:t>. En todo caso, la solución que adopte la administración debe armonizar la responsabilidad fiscal y disciplinaria de los servidores públicos con la garantía de los derechos del contratista, lo cual exige fortalecer la planeación y los controles internos para evitar la ejecución de obligaciones sin respaldo presupuestal, asegurando así la legalidad del gasto público y la confianza en la contratación estatal.</w:t>
            </w:r>
            <w:r>
              <w:rPr>
                <w:rFonts w:ascii="Verdana" w:eastAsia="Calibri" w:hAnsi="Verdana"/>
              </w:rPr>
              <w:t xml:space="preserve"> (Respuesta a pregunta 4).</w:t>
            </w:r>
          </w:p>
          <w:p w14:paraId="0CD15D5F" w14:textId="77777777" w:rsidR="00216796" w:rsidRPr="003E4CC9" w:rsidRDefault="00216796" w:rsidP="001361E0">
            <w:pPr>
              <w:spacing w:after="120" w:line="276" w:lineRule="auto"/>
              <w:ind w:firstLine="709"/>
              <w:jc w:val="both"/>
              <w:rPr>
                <w:rFonts w:ascii="Verdana" w:eastAsiaTheme="minorEastAsia" w:hAnsi="Verdana"/>
              </w:rPr>
            </w:pPr>
            <w:r w:rsidRPr="00A4739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185EE9">
              <w:rPr>
                <w:rFonts w:ascii="Verdana" w:eastAsia="Calibri" w:hAnsi="Verdana" w:cs="Arial"/>
                <w:bCs/>
                <w:color w:val="000000" w:themeColor="text1"/>
              </w:rPr>
              <w:t xml:space="preserve"> </w:t>
            </w:r>
          </w:p>
        </w:tc>
      </w:tr>
    </w:tbl>
    <w:p w14:paraId="7A01C240" w14:textId="77777777" w:rsidR="00216796" w:rsidRPr="003E4CC9" w:rsidRDefault="00216796" w:rsidP="00216796">
      <w:pPr>
        <w:spacing w:after="0" w:line="276" w:lineRule="auto"/>
        <w:jc w:val="both"/>
        <w:rPr>
          <w:rFonts w:ascii="Verdana" w:eastAsia="Calibri" w:hAnsi="Verdana" w:cs="Arial"/>
          <w:bCs/>
          <w:color w:val="000000" w:themeColor="text1"/>
        </w:rPr>
      </w:pPr>
    </w:p>
    <w:p w14:paraId="308601DE" w14:textId="77777777" w:rsidR="00216796" w:rsidRPr="003E4CC9" w:rsidRDefault="00216796" w:rsidP="00216796">
      <w:pPr>
        <w:numPr>
          <w:ilvl w:val="0"/>
          <w:numId w:val="16"/>
        </w:numPr>
        <w:spacing w:after="0" w:line="276" w:lineRule="auto"/>
        <w:rPr>
          <w:rFonts w:ascii="Verdana" w:eastAsia="Calibri" w:hAnsi="Verdana" w:cs="Times New Roman"/>
          <w:b/>
          <w:bCs/>
          <w:lang w:val="es-ES"/>
        </w:rPr>
      </w:pPr>
      <w:r w:rsidRPr="003E4CC9">
        <w:rPr>
          <w:rFonts w:ascii="Verdana" w:eastAsia="Calibri" w:hAnsi="Verdana" w:cs="Times New Roman"/>
          <w:b/>
          <w:bCs/>
          <w:lang w:val="es-ES"/>
        </w:rPr>
        <w:t>Razones de la respuesta:</w:t>
      </w:r>
    </w:p>
    <w:p w14:paraId="20027BCA" w14:textId="77777777" w:rsidR="00216796" w:rsidRPr="003E4CC9" w:rsidRDefault="00216796" w:rsidP="00216796">
      <w:pPr>
        <w:spacing w:after="0" w:line="276" w:lineRule="auto"/>
        <w:rPr>
          <w:rFonts w:ascii="Verdana" w:eastAsia="Calibri" w:hAnsi="Verdana" w:cs="Times New Roman"/>
          <w:b/>
          <w:bCs/>
          <w:lang w:val="es-ES"/>
        </w:rPr>
      </w:pPr>
    </w:p>
    <w:p w14:paraId="1A53BB91" w14:textId="77777777" w:rsidR="00216796" w:rsidRPr="003E4CC9" w:rsidRDefault="00216796" w:rsidP="00216796">
      <w:pPr>
        <w:spacing w:after="0" w:line="276" w:lineRule="auto"/>
        <w:jc w:val="both"/>
        <w:rPr>
          <w:rFonts w:ascii="Verdana" w:eastAsia="Calibri" w:hAnsi="Verdana" w:cs="Arial"/>
          <w:lang w:val="es-ES"/>
        </w:rPr>
      </w:pPr>
      <w:r w:rsidRPr="003E4CC9">
        <w:rPr>
          <w:rFonts w:ascii="Verdana" w:eastAsia="Calibri" w:hAnsi="Verdana" w:cs="Arial"/>
          <w:lang w:val="es-ES"/>
        </w:rPr>
        <w:t xml:space="preserve">Lo anterior se sustenta en las siguientes consideraciones: </w:t>
      </w:r>
    </w:p>
    <w:p w14:paraId="194F7295" w14:textId="77777777" w:rsidR="00216796" w:rsidRPr="003E4CC9" w:rsidRDefault="00216796" w:rsidP="00216796">
      <w:pPr>
        <w:spacing w:after="0" w:line="276" w:lineRule="auto"/>
        <w:jc w:val="both"/>
        <w:rPr>
          <w:rFonts w:ascii="Verdana" w:hAnsi="Verdana" w:cs="Arial"/>
          <w:bCs/>
          <w:lang w:val="es-ES" w:eastAsia="es-ES" w:bidi="es-ES"/>
        </w:rPr>
      </w:pPr>
    </w:p>
    <w:p w14:paraId="17EB8DDB" w14:textId="77777777" w:rsidR="00216796" w:rsidRPr="003E4CC9" w:rsidRDefault="00216796" w:rsidP="00216796">
      <w:pPr>
        <w:tabs>
          <w:tab w:val="left" w:pos="284"/>
        </w:tabs>
        <w:spacing w:after="120" w:line="276" w:lineRule="auto"/>
        <w:jc w:val="both"/>
        <w:rPr>
          <w:rFonts w:ascii="Verdana" w:eastAsia="Arial" w:hAnsi="Verdana" w:cs="Arial"/>
          <w:color w:val="000000"/>
          <w:lang w:eastAsia="es-ES" w:bidi="es-ES"/>
        </w:rPr>
      </w:pPr>
      <w:r w:rsidRPr="003E4CC9">
        <w:rPr>
          <w:rFonts w:ascii="Verdana" w:hAnsi="Verdana" w:cs="Arial"/>
          <w:bCs/>
          <w:lang w:val="es-ES" w:eastAsia="es-ES" w:bidi="es-ES"/>
        </w:rPr>
        <w:t xml:space="preserve">i. </w:t>
      </w:r>
      <w:r w:rsidRPr="003E4CC9">
        <w:rPr>
          <w:rFonts w:ascii="Verdana" w:eastAsia="Arial" w:hAnsi="Verdana" w:cs="Arial"/>
          <w:color w:val="000000"/>
          <w:lang w:eastAsia="es-ES" w:bidi="es-ES"/>
        </w:rPr>
        <w:t xml:space="preserve">Una de las manifestaciones de modificación de los contratos es mediante la adición. Al respecto, es oportuno explicar que la palabra </w:t>
      </w:r>
      <w:r w:rsidRPr="003E4CC9">
        <w:rPr>
          <w:rFonts w:ascii="Verdana" w:eastAsia="Arial" w:hAnsi="Verdana" w:cs="Arial"/>
          <w:i/>
          <w:iCs/>
          <w:color w:val="000000"/>
          <w:lang w:eastAsia="es-ES" w:bidi="es-ES"/>
        </w:rPr>
        <w:t xml:space="preserve">adición </w:t>
      </w:r>
      <w:r w:rsidRPr="003E4CC9">
        <w:rPr>
          <w:rFonts w:ascii="Verdana" w:eastAsia="Arial" w:hAnsi="Verdana" w:cs="Arial"/>
          <w:color w:val="000000"/>
          <w:lang w:eastAsia="es-ES" w:bidi="es-ES"/>
        </w:rPr>
        <w:t xml:space="preserve">significa “acción y efecto de añadir o agregar”. Los contratos estatales pueden ser objeto de </w:t>
      </w:r>
      <w:r w:rsidRPr="003E4CC9">
        <w:rPr>
          <w:rFonts w:ascii="Verdana" w:eastAsia="Arial" w:hAnsi="Verdana" w:cs="Arial"/>
          <w:color w:val="000000"/>
          <w:lang w:eastAsia="es-ES" w:bidi="es-ES"/>
        </w:rPr>
        <w:lastRenderedPageBreak/>
        <w:t xml:space="preserve">situaciones que impliquen la necesidad de adicionar o modificar las condiciones inicialmente pactadas, conforme lo prescribe el artículo 40 de la Ley 80 de 1993, pudiendo incluirse las modalidades, condiciones y, en general las cláusulas o estipulaciones que las partes consideren necesarias para el cabal cumplimiento del objeto contractual. </w:t>
      </w:r>
    </w:p>
    <w:p w14:paraId="42ADC83A" w14:textId="77777777" w:rsidR="00216796" w:rsidRPr="003E4CC9" w:rsidRDefault="00216796" w:rsidP="00216796">
      <w:pPr>
        <w:spacing w:after="120" w:line="276" w:lineRule="auto"/>
        <w:ind w:firstLine="708"/>
        <w:jc w:val="both"/>
        <w:rPr>
          <w:rFonts w:ascii="Verdana" w:eastAsia="Calibri" w:hAnsi="Verdana" w:cs="Arial"/>
          <w:color w:val="000000"/>
          <w:szCs w:val="24"/>
          <w:lang w:eastAsia="es-ES_tradnl"/>
        </w:rPr>
      </w:pPr>
      <w:r w:rsidRPr="003E4CC9">
        <w:rPr>
          <w:rFonts w:ascii="Verdana" w:eastAsia="Calibri" w:hAnsi="Verdana" w:cs="Arial"/>
          <w:color w:val="000000"/>
          <w:szCs w:val="24"/>
          <w:lang w:eastAsia="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3E4CC9">
        <w:rPr>
          <w:rFonts w:ascii="Verdana" w:eastAsia="Calibri" w:hAnsi="Verdana" w:cs="Arial"/>
          <w:color w:val="000000"/>
          <w:szCs w:val="24"/>
          <w:lang w:eastAsia="es-ES_tradnl"/>
        </w:rPr>
        <w:t>ii</w:t>
      </w:r>
      <w:proofErr w:type="spellEnd"/>
      <w:r w:rsidRPr="003E4CC9">
        <w:rPr>
          <w:rFonts w:ascii="Verdana" w:eastAsia="Calibri" w:hAnsi="Verdana" w:cs="Arial"/>
          <w:color w:val="000000"/>
          <w:szCs w:val="24"/>
          <w:lang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1FE71F5B" w14:textId="77777777" w:rsidR="00216796" w:rsidRPr="003E4CC9" w:rsidRDefault="00216796" w:rsidP="00216796">
      <w:pPr>
        <w:spacing w:after="120" w:line="276" w:lineRule="auto"/>
        <w:ind w:firstLine="709"/>
        <w:jc w:val="both"/>
        <w:rPr>
          <w:rFonts w:ascii="Verdana" w:eastAsia="Calibri" w:hAnsi="Verdana" w:cs="Arial"/>
          <w:color w:val="000000"/>
          <w:szCs w:val="24"/>
          <w:lang w:eastAsia="es-ES_tradnl"/>
        </w:rPr>
      </w:pPr>
      <w:r w:rsidRPr="003E4CC9">
        <w:rPr>
          <w:rFonts w:ascii="Verdana" w:eastAsia="Calibri" w:hAnsi="Verdana" w:cs="Arial"/>
          <w:color w:val="000000"/>
          <w:szCs w:val="24"/>
          <w:lang w:eastAsia="es-ES_tradnl"/>
        </w:rPr>
        <w:t>Lo importante es que, frente a cualquier incremento del valor inicial del contrato</w:t>
      </w:r>
      <w:r w:rsidRPr="003E4CC9">
        <w:rPr>
          <w:rFonts w:ascii="Verdana" w:eastAsia="Calibri" w:hAnsi="Verdana" w:cs="Arial"/>
          <w:i/>
          <w:iCs/>
          <w:color w:val="000000"/>
          <w:szCs w:val="24"/>
          <w:lang w:eastAsia="es-ES_tradnl"/>
        </w:rPr>
        <w:t xml:space="preserve"> </w:t>
      </w:r>
      <w:r w:rsidRPr="003E4CC9">
        <w:rPr>
          <w:rFonts w:ascii="Verdana" w:eastAsia="Calibri" w:hAnsi="Verdana" w:cs="Arial"/>
          <w:color w:val="000000"/>
          <w:szCs w:val="24"/>
          <w:lang w:eastAsia="es-ES_tradnl"/>
        </w:rPr>
        <w:t>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 que aplica a los contratos estatales, cuyos destinatarios son entidades sujetas al EGCAP.</w:t>
      </w:r>
    </w:p>
    <w:p w14:paraId="00AAA813" w14:textId="77777777" w:rsidR="00216796" w:rsidRPr="003E4CC9" w:rsidRDefault="00216796" w:rsidP="00216796">
      <w:pPr>
        <w:spacing w:after="120" w:line="276" w:lineRule="auto"/>
        <w:ind w:firstLine="709"/>
        <w:jc w:val="both"/>
        <w:rPr>
          <w:rFonts w:ascii="Verdana" w:hAnsi="Verdana" w:cs="Arial"/>
          <w:color w:val="000000"/>
          <w:szCs w:val="24"/>
          <w:lang w:eastAsia="es-ES_tradnl"/>
        </w:rPr>
      </w:pPr>
      <w:r w:rsidRPr="003E4CC9">
        <w:rPr>
          <w:rFonts w:ascii="Verdana" w:eastAsia="Calibri" w:hAnsi="Verdana" w:cs="Arial"/>
          <w:color w:val="000000"/>
          <w:szCs w:val="24"/>
          <w:lang w:eastAsia="es-ES_tradnl"/>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w:t>
      </w:r>
      <w:r w:rsidRPr="003E4CC9">
        <w:rPr>
          <w:rFonts w:ascii="Verdana" w:eastAsia="Calibri" w:hAnsi="Verdana" w:cs="Arial"/>
          <w:color w:val="000000"/>
          <w:szCs w:val="24"/>
          <w:lang w:eastAsia="es-ES_tradnl"/>
        </w:rPr>
        <w:lastRenderedPageBreak/>
        <w:t xml:space="preserve">preciso. </w:t>
      </w:r>
      <w:r w:rsidRPr="003E4CC9">
        <w:rPr>
          <w:rFonts w:ascii="Verdana" w:hAnsi="Verdana" w:cs="Arial"/>
          <w:color w:val="000000"/>
          <w:szCs w:val="24"/>
          <w:lang w:eastAsia="es-ES_tradnl"/>
        </w:rPr>
        <w:t xml:space="preserve">Para tales efectos, para adicionar un contrato debe dividirse el valor inicial por el salario mínimo legal mensual vigente – en adelante SMLMV – al momento de la suscripción del contrato, y luego dividirlo por dos (2); el resultado obtenido constituirá el número de SMLMV por los cuales podrá adicionarse el contrato. </w:t>
      </w:r>
    </w:p>
    <w:p w14:paraId="2DFE955B" w14:textId="77777777" w:rsidR="00216796" w:rsidRPr="003E4CC9" w:rsidRDefault="00216796" w:rsidP="00216796">
      <w:pPr>
        <w:spacing w:after="120" w:line="276" w:lineRule="auto"/>
        <w:ind w:firstLine="709"/>
        <w:jc w:val="both"/>
        <w:rPr>
          <w:rFonts w:ascii="Verdana" w:hAnsi="Verdana" w:cs="Arial"/>
          <w:color w:val="000000"/>
          <w:szCs w:val="24"/>
          <w:lang w:eastAsia="es-ES_tradnl"/>
        </w:rPr>
      </w:pPr>
      <w:r w:rsidRPr="003E4CC9">
        <w:rPr>
          <w:rFonts w:ascii="Verdana" w:hAnsi="Verdana" w:cs="Arial"/>
          <w:color w:val="000000"/>
          <w:szCs w:val="24"/>
          <w:lang w:eastAsia="es-ES_tradnl"/>
        </w:rPr>
        <w:t xml:space="preserve">En este sentido, para evitar equivocaciones, lo ideal es que cada vez que se efectúe una adición, se estime su valor en SMLMV, </w:t>
      </w:r>
      <w:r w:rsidRPr="003E4CC9">
        <w:rPr>
          <w:rFonts w:ascii="Verdana" w:hAnsi="Verdana" w:cs="Arial"/>
          <w:i/>
          <w:iCs/>
          <w:color w:val="000000"/>
          <w:szCs w:val="24"/>
          <w:lang w:eastAsia="es-ES_tradnl"/>
        </w:rPr>
        <w:t>que se calcularán con base en el vigente al momento de la adición</w:t>
      </w:r>
      <w:r w:rsidRPr="003E4CC9">
        <w:rPr>
          <w:rFonts w:ascii="Verdana" w:hAnsi="Verdana" w:cs="Arial"/>
          <w:color w:val="000000"/>
          <w:szCs w:val="24"/>
          <w:lang w:eastAsia="es-ES_tradnl"/>
        </w:rPr>
        <w:t xml:space="preserve">, de manera que se descuenten estos de los salarios mínimos que restan por adicionar, ya que las adiciones podrían hacerse en diferentes vigencias fiscales, porque si el contrato se ejecuta sin existir variación en el valor del SMMLV la operación sería la misma si se toma el monto en pesos. </w:t>
      </w:r>
    </w:p>
    <w:p w14:paraId="1AB47D3C" w14:textId="77777777" w:rsidR="00216796" w:rsidRPr="003E4CC9" w:rsidRDefault="00216796" w:rsidP="00216796">
      <w:pPr>
        <w:widowControl w:val="0"/>
        <w:autoSpaceDE w:val="0"/>
        <w:autoSpaceDN w:val="0"/>
        <w:spacing w:after="120" w:line="276" w:lineRule="auto"/>
        <w:ind w:firstLine="709"/>
        <w:jc w:val="both"/>
        <w:rPr>
          <w:rFonts w:ascii="Verdana" w:eastAsia="Arial MT" w:hAnsi="Verdana" w:cs="Arial"/>
          <w:lang w:eastAsia="es-ES" w:bidi="es-ES"/>
        </w:rPr>
      </w:pPr>
      <w:r w:rsidRPr="003E4CC9">
        <w:rPr>
          <w:rFonts w:ascii="Verdana" w:eastAsia="Arial MT" w:hAnsi="Verdana" w:cs="Arial"/>
          <w:lang w:eastAsia="es-ES" w:bidi="es-ES"/>
        </w:rPr>
        <w:t>A modo ilustrativo, y con fines netamente pedagógicos, exponemos a continuación el siguiente ejemplo: la entidad estatal celebra un contrato de prestación de servicios por un valor de $10.000.000 en vigencia 2022. Para esa vigencia el valor del SMLMV era de $1.000.000. Para efectos del cálculo del 50%</w:t>
      </w:r>
      <w:r w:rsidRPr="003E4CC9">
        <w:t xml:space="preserve"> </w:t>
      </w:r>
      <w:r w:rsidRPr="003E4CC9">
        <w:rPr>
          <w:rFonts w:ascii="Verdana" w:eastAsia="Arial MT" w:hAnsi="Verdana" w:cs="Arial"/>
          <w:lang w:eastAsia="es-ES" w:bidi="es-ES"/>
        </w:rPr>
        <w:t>límite para llevar a cabo la adición del contrato, necesariamente debemos dividir el valor del contrato (10.000.000) por el salario mínimo vigente al momento de la suscripción del contrato (1.000.000). El resultado de la operación anterior (10) pasa a dividirse por 2, por cuanto es claro que la adición debe ser por, máximo, el 50 % del valor del contrato. En ese orden, el resultado de la segunda operación (5) constituye el número de salarios mínimos por los cuales podrá adicionarse el contrato. Supongamos que, en nuestro ejemplo, la adición se llevará a cabo en la vigencia 2026 y el valor será de $6.500.000. En el año 2026, el SMLMV es de $</w:t>
      </w:r>
      <w:r w:rsidRPr="003E4CC9">
        <w:t xml:space="preserve"> </w:t>
      </w:r>
      <w:r w:rsidRPr="003E4CC9">
        <w:rPr>
          <w:rFonts w:ascii="Verdana" w:eastAsia="Arial MT" w:hAnsi="Verdana" w:cs="Arial"/>
          <w:lang w:eastAsia="es-ES" w:bidi="es-ES"/>
        </w:rPr>
        <w:t>1.750.905</w:t>
      </w:r>
      <w:r w:rsidRPr="003E4CC9">
        <w:rPr>
          <w:rFonts w:ascii="Verdana" w:eastAsia="Arial MT" w:hAnsi="Verdana" w:cs="Arial"/>
          <w:vertAlign w:val="superscript"/>
          <w:lang w:eastAsia="es-ES" w:bidi="es-ES"/>
        </w:rPr>
        <w:footnoteReference w:id="1"/>
      </w:r>
      <w:r w:rsidRPr="003E4CC9">
        <w:rPr>
          <w:rFonts w:ascii="Verdana" w:eastAsia="Arial MT" w:hAnsi="Verdana" w:cs="Arial"/>
          <w:lang w:eastAsia="es-ES" w:bidi="es-ES"/>
        </w:rPr>
        <w:t>, lo que supone que la adición corresponde a 3,71 SMLMV al momento de la adición, en la medida en que la división del valor de la adición 6.500.000 y el valor del SMLMV al momento de la adición arroja 3,71 SMLMV. Por lo tanto, la adición que se pretende en el contrato ejemplo es válida y se ajusta a la prohibición contenida en el parágrafo del artículo 40, toda vez que será de 3,71 SMLMV, sin superar el 50% del valor inicialmente pactado que fue de 5 SMLMV en el año 2022.</w:t>
      </w:r>
    </w:p>
    <w:p w14:paraId="1935161E" w14:textId="77777777" w:rsidR="00216796" w:rsidRPr="003E4CC9" w:rsidRDefault="00216796" w:rsidP="00216796">
      <w:pPr>
        <w:spacing w:after="120" w:line="276" w:lineRule="auto"/>
        <w:ind w:firstLine="708"/>
        <w:jc w:val="both"/>
        <w:rPr>
          <w:rFonts w:ascii="Verdana" w:eastAsia="Calibri" w:hAnsi="Verdana" w:cs="Arial"/>
          <w:color w:val="000000"/>
          <w:szCs w:val="24"/>
          <w:lang w:eastAsia="es-ES_tradnl"/>
        </w:rPr>
      </w:pPr>
      <w:r w:rsidRPr="003E4CC9">
        <w:rPr>
          <w:rFonts w:ascii="Verdana" w:eastAsia="Calibri" w:hAnsi="Verdana" w:cs="Arial"/>
          <w:color w:val="000000"/>
          <w:szCs w:val="24"/>
          <w:lang w:eastAsia="es-ES_tradnl"/>
        </w:rPr>
        <w:lastRenderedPageBreak/>
        <w:t xml:space="preserve">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De esta manera, el inciso segundo del parágrafo del artículo 40 de la Ley 80 de 1993 establece que los contratos estatales no podrán adicionarse en más del cincuenta por ciento (50%) de su valor inicial expresada en SMLMV, y valga la redundancia, el valor inicial es el contemplado en el contrato originario y cualquier alteración a ese valor constituirá, técnicamente, una adición, independientemente de cuál sea su causa. </w:t>
      </w:r>
    </w:p>
    <w:p w14:paraId="249E3848" w14:textId="77777777" w:rsidR="00216796" w:rsidRPr="003E4CC9" w:rsidRDefault="00216796" w:rsidP="00216796">
      <w:pPr>
        <w:spacing w:after="120" w:line="276" w:lineRule="auto"/>
        <w:ind w:firstLine="708"/>
        <w:jc w:val="both"/>
        <w:rPr>
          <w:rFonts w:ascii="Verdana" w:eastAsia="Calibri" w:hAnsi="Verdana" w:cs="Arial"/>
          <w:color w:val="000000"/>
          <w:szCs w:val="24"/>
          <w:lang w:eastAsia="es-ES_tradnl"/>
        </w:rPr>
      </w:pPr>
      <w:r w:rsidRPr="003E4CC9">
        <w:rPr>
          <w:rFonts w:ascii="Verdana" w:eastAsia="Calibri" w:hAnsi="Verdana" w:cs="Arial"/>
          <w:color w:val="000000"/>
          <w:szCs w:val="24"/>
          <w:lang w:eastAsia="es-ES_tradnl"/>
        </w:rPr>
        <w:t xml:space="preserve">Sin perjuicio de lo anterior, actualmente existe una posibilidad para adicionar contratos en más del cincuenta por ciento (50%) del valor inicial del contrato expresado en SMLMV y es la contenida en el artículo 85 de la Ley 1474 de 2011, para los contratos de interventoría que, por su naturaleza de seguimiento técnico, deberá someterse al plazo en que haya sido prorrogado el contrato objeto de vigilancia. Esta disposición, cumple con el objetivo de fortalecer la figura de la interventoría, como una herramienta integral, para proteger los intereses públicos y no causar un daño antijurídico al abandonar la vigilancia del contrato principal, por limitaciones presupuestales. </w:t>
      </w:r>
    </w:p>
    <w:p w14:paraId="64E1E6E7" w14:textId="77777777" w:rsidR="00216796" w:rsidRPr="003E4CC9" w:rsidRDefault="00216796" w:rsidP="00216796">
      <w:pPr>
        <w:spacing w:after="0" w:line="276" w:lineRule="auto"/>
        <w:ind w:firstLine="709"/>
        <w:jc w:val="both"/>
        <w:rPr>
          <w:rFonts w:ascii="Verdana" w:eastAsia="Calibri" w:hAnsi="Verdana" w:cs="Arial"/>
          <w:color w:val="000000"/>
          <w:szCs w:val="24"/>
          <w:lang w:eastAsia="es-ES_tradnl"/>
        </w:rPr>
      </w:pPr>
      <w:r w:rsidRPr="003E4CC9">
        <w:rPr>
          <w:rFonts w:ascii="Verdana" w:eastAsia="Calibri" w:hAnsi="Verdana" w:cs="Arial"/>
          <w:color w:val="000000"/>
          <w:szCs w:val="24"/>
          <w:lang w:eastAsia="es-ES_tradnl"/>
        </w:rPr>
        <w:t xml:space="preserve">Así las cosas, </w:t>
      </w:r>
      <w:r w:rsidRPr="003E4CC9">
        <w:rPr>
          <w:rFonts w:ascii="Verdana" w:hAnsi="Verdana"/>
        </w:rPr>
        <w:t>la regla establecida en el parágrafo de dicha norma aplica a todos los contratos estatales regidos por el Estatuto General de Contratación de la Administración Pública – EGCAP –, independientemente de la modalidad de selección, de la tipología contractual del negocio jurídico que se considere necesario adicionar o del sistema de precios pactados. Lo anterior, salvo lo prescrito por la Ley 1474 de 2011 en su artículo 85 sobre los contratos de interventoría.</w:t>
      </w:r>
    </w:p>
    <w:p w14:paraId="49640BB7" w14:textId="77777777" w:rsidR="00216796" w:rsidRPr="003E4CC9" w:rsidRDefault="00216796" w:rsidP="00216796">
      <w:pPr>
        <w:widowControl w:val="0"/>
        <w:autoSpaceDE w:val="0"/>
        <w:autoSpaceDN w:val="0"/>
        <w:spacing w:after="0" w:line="276" w:lineRule="auto"/>
        <w:jc w:val="both"/>
        <w:rPr>
          <w:rFonts w:ascii="Verdana" w:eastAsia="Calibri" w:hAnsi="Verdana" w:cs="Arial"/>
        </w:rPr>
      </w:pPr>
    </w:p>
    <w:p w14:paraId="1E223AE8" w14:textId="77777777" w:rsidR="00216796" w:rsidRPr="003E4CC9" w:rsidRDefault="00216796" w:rsidP="00216796">
      <w:pPr>
        <w:widowControl w:val="0"/>
        <w:autoSpaceDE w:val="0"/>
        <w:autoSpaceDN w:val="0"/>
        <w:spacing w:after="120" w:line="276" w:lineRule="auto"/>
        <w:jc w:val="both"/>
        <w:rPr>
          <w:rFonts w:ascii="Verdana" w:hAnsi="Verdana"/>
        </w:rPr>
      </w:pPr>
      <w:proofErr w:type="spellStart"/>
      <w:r w:rsidRPr="003E4CC9">
        <w:rPr>
          <w:rFonts w:ascii="Verdana" w:eastAsia="Calibri" w:hAnsi="Verdana" w:cs="Arial"/>
        </w:rPr>
        <w:t>ii</w:t>
      </w:r>
      <w:proofErr w:type="spellEnd"/>
      <w:r w:rsidRPr="003E4CC9">
        <w:rPr>
          <w:rFonts w:ascii="Verdana" w:eastAsia="Calibri" w:hAnsi="Verdana" w:cs="Arial"/>
        </w:rPr>
        <w:t xml:space="preserve">. Ahora bien, también es importante mencionar que </w:t>
      </w:r>
      <w:r w:rsidRPr="003E4CC9">
        <w:rPr>
          <w:rFonts w:ascii="Verdana" w:hAnsi="Verdana"/>
        </w:rPr>
        <w:t xml:space="preserve">fuera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w:t>
      </w:r>
      <w:r w:rsidRPr="003E4CC9">
        <w:rPr>
          <w:rFonts w:ascii="Verdana" w:hAnsi="Verdana"/>
        </w:rPr>
        <w:lastRenderedPageBreak/>
        <w:t>respetados por la entidad contratante a preservar los principios de origen legal como es el principio de planeación, de selección objetiva de libertad de concurrencia, de transparencia, de igualdad, entre otros, tal y como se explicará a continuación</w:t>
      </w:r>
      <w:r w:rsidRPr="003E4CC9">
        <w:rPr>
          <w:rFonts w:ascii="Verdana" w:hAnsi="Verdana"/>
          <w:vertAlign w:val="superscript"/>
        </w:rPr>
        <w:footnoteReference w:id="2"/>
      </w:r>
      <w:r w:rsidRPr="003E4CC9">
        <w:rPr>
          <w:rFonts w:ascii="Verdana" w:hAnsi="Verdana"/>
        </w:rPr>
        <w:t xml:space="preserve">. </w:t>
      </w:r>
    </w:p>
    <w:p w14:paraId="223A9E70" w14:textId="77777777" w:rsidR="00216796" w:rsidRPr="00B001E4" w:rsidRDefault="00216796" w:rsidP="00216796">
      <w:pPr>
        <w:widowControl w:val="0"/>
        <w:autoSpaceDE w:val="0"/>
        <w:autoSpaceDN w:val="0"/>
        <w:spacing w:after="120" w:line="276" w:lineRule="auto"/>
        <w:ind w:firstLine="709"/>
        <w:jc w:val="both"/>
        <w:rPr>
          <w:rFonts w:ascii="Verdana" w:eastAsia="Arial" w:hAnsi="Verdana" w:cs="Arial"/>
          <w:lang w:eastAsia="es-ES" w:bidi="es-ES"/>
        </w:rPr>
      </w:pPr>
      <w:r w:rsidRPr="003E4CC9">
        <w:rPr>
          <w:rFonts w:ascii="Verdana" w:hAnsi="Verdana"/>
        </w:rPr>
        <w:t xml:space="preserve">Dentro de los límites de </w:t>
      </w:r>
      <w:r w:rsidRPr="003E4CC9">
        <w:rPr>
          <w:rFonts w:ascii="Verdana" w:hAnsi="Verdana"/>
          <w:i/>
        </w:rPr>
        <w:t xml:space="preserve">orden temporal </w:t>
      </w:r>
      <w:r w:rsidRPr="003E4CC9">
        <w:rPr>
          <w:rFonts w:ascii="Verdana" w:hAnsi="Verdana"/>
        </w:rPr>
        <w:t xml:space="preserve">están comprendidos: </w:t>
      </w:r>
      <w:r w:rsidRPr="003E4CC9">
        <w:rPr>
          <w:rFonts w:ascii="Verdana" w:eastAsia="Arial" w:hAnsi="Verdana" w:cs="Arial"/>
          <w:lang w:val="es-MX" w:eastAsia="es-ES" w:bidi="es-ES"/>
        </w:rPr>
        <w:t xml:space="preserve">i) la vigencia del contrato, pues no podría modificarse un contrato cuyo plazo ha culminado y; </w:t>
      </w:r>
      <w:proofErr w:type="spellStart"/>
      <w:r w:rsidRPr="003E4CC9">
        <w:rPr>
          <w:rFonts w:ascii="Verdana" w:eastAsia="Arial" w:hAnsi="Verdana" w:cs="Arial"/>
          <w:lang w:val="es-MX" w:eastAsia="es-ES" w:bidi="es-ES"/>
        </w:rPr>
        <w:t>ii</w:t>
      </w:r>
      <w:proofErr w:type="spellEnd"/>
      <w:r w:rsidRPr="003E4CC9">
        <w:rPr>
          <w:rFonts w:ascii="Verdana" w:eastAsia="Arial" w:hAnsi="Verdana" w:cs="Arial"/>
          <w:lang w:val="es-MX" w:eastAsia="es-ES" w:bidi="es-ES"/>
        </w:rPr>
        <w:t>) la prohibición de consagrar prórrogas automáticas, sucesivas o indefinidas, en tanto resultan contrarias al derecho esencial de la libertad de competencia.</w:t>
      </w:r>
      <w:r w:rsidRPr="003E4CC9">
        <w:rPr>
          <w:rFonts w:ascii="Verdana" w:eastAsia="Calibri" w:hAnsi="Verdana" w:cs="Arial"/>
        </w:rPr>
        <w:t xml:space="preserve"> En torno a los límites de </w:t>
      </w:r>
      <w:r w:rsidRPr="003E4CC9">
        <w:rPr>
          <w:rFonts w:ascii="Verdana" w:eastAsia="Calibri" w:hAnsi="Verdana" w:cs="Arial"/>
          <w:i/>
        </w:rPr>
        <w:t>orden formal</w:t>
      </w:r>
      <w:r w:rsidRPr="003E4CC9">
        <w:rPr>
          <w:rFonts w:ascii="Verdana" w:eastAsia="Calibri" w:hAnsi="Verdana" w:cs="Arial"/>
        </w:rPr>
        <w:t xml:space="preserve">, debe señalarse que, por un lado, es necesario que, la </w:t>
      </w:r>
      <w:r w:rsidRPr="003E4CC9">
        <w:rPr>
          <w:rFonts w:ascii="Verdana" w:eastAsia="Arial" w:hAnsi="Verdana" w:cs="Arial"/>
          <w:lang w:val="es-MX" w:eastAsia="es-ES" w:bidi="es-ES"/>
        </w:rPr>
        <w:t>modificación de los contratos conste por escrito, dado el carácter solemne del contrato estatal y que sea suscrito por el jefe o representante legal o su delegado, de conformidad con los artículos 11</w:t>
      </w:r>
      <w:r w:rsidRPr="003E4CC9">
        <w:rPr>
          <w:rFonts w:ascii="Verdana" w:eastAsia="Arial" w:hAnsi="Verdana" w:cs="Arial"/>
          <w:vertAlign w:val="superscript"/>
          <w:lang w:val="es-MX" w:eastAsia="es-ES" w:bidi="es-ES"/>
        </w:rPr>
        <w:footnoteReference w:id="3"/>
      </w:r>
      <w:r w:rsidRPr="003E4CC9">
        <w:rPr>
          <w:rFonts w:ascii="Verdana" w:eastAsia="Arial" w:hAnsi="Verdana" w:cs="Arial"/>
          <w:lang w:val="es-MX" w:eastAsia="es-ES" w:bidi="es-ES"/>
        </w:rPr>
        <w:t xml:space="preserve"> y 12 de la Ley 80 de 1993</w:t>
      </w:r>
      <w:r w:rsidRPr="003E4CC9">
        <w:rPr>
          <w:rFonts w:ascii="Verdana" w:eastAsia="Arial" w:hAnsi="Verdana" w:cs="Arial"/>
          <w:vertAlign w:val="superscript"/>
          <w:lang w:val="es-MX" w:eastAsia="es-ES" w:bidi="es-ES"/>
        </w:rPr>
        <w:footnoteReference w:id="4"/>
      </w:r>
      <w:r>
        <w:rPr>
          <w:rFonts w:ascii="Verdana" w:eastAsia="Arial" w:hAnsi="Verdana" w:cs="Arial"/>
          <w:lang w:val="es-MX" w:eastAsia="es-ES" w:bidi="es-ES"/>
        </w:rPr>
        <w:t xml:space="preserve">. </w:t>
      </w:r>
      <w:r w:rsidRPr="00B001E4">
        <w:rPr>
          <w:rFonts w:ascii="Verdana" w:eastAsia="Arial" w:hAnsi="Verdana" w:cs="Arial"/>
          <w:lang w:eastAsia="es-ES" w:bidi="es-ES"/>
        </w:rPr>
        <w:t>Asimismo, resulta indispensable la existencia de las disponibilidades presupuestales que respalden el cumplimiento de las obligaciones derivadas de la modificación, así como la expedición del respectivo compromiso presupuestal.</w:t>
      </w:r>
    </w:p>
    <w:p w14:paraId="3DDD0574" w14:textId="77777777" w:rsidR="00216796" w:rsidRPr="00B001E4" w:rsidRDefault="00216796" w:rsidP="00216796">
      <w:pPr>
        <w:widowControl w:val="0"/>
        <w:autoSpaceDE w:val="0"/>
        <w:autoSpaceDN w:val="0"/>
        <w:spacing w:after="120" w:line="276" w:lineRule="auto"/>
        <w:ind w:firstLine="709"/>
        <w:jc w:val="both"/>
        <w:rPr>
          <w:rFonts w:ascii="Verdana" w:eastAsia="Arial" w:hAnsi="Verdana" w:cs="Arial"/>
          <w:lang w:eastAsia="es-ES" w:bidi="es-ES"/>
        </w:rPr>
      </w:pPr>
      <w:r w:rsidRPr="00B001E4">
        <w:rPr>
          <w:rFonts w:ascii="Verdana" w:eastAsia="Arial" w:hAnsi="Verdana" w:cs="Arial"/>
          <w:lang w:eastAsia="es-ES" w:bidi="es-ES"/>
        </w:rPr>
        <w:lastRenderedPageBreak/>
        <w:t xml:space="preserve">En este sentido, el artículo 25, numeral 6, de la Ley 80 de 1993 establece que “las entidades estatales abrirán licitaciones </w:t>
      </w:r>
      <w:r w:rsidRPr="005F2DC9">
        <w:rPr>
          <w:rFonts w:ascii="Verdana" w:eastAsia="Arial" w:hAnsi="Verdana" w:cs="Arial"/>
          <w:lang w:eastAsia="es-ES" w:bidi="es-ES"/>
        </w:rPr>
        <w:t xml:space="preserve">o concursos </w:t>
      </w:r>
      <w:r w:rsidRPr="00B001E4">
        <w:rPr>
          <w:rFonts w:ascii="Verdana" w:eastAsia="Arial" w:hAnsi="Verdana" w:cs="Arial"/>
          <w:lang w:eastAsia="es-ES" w:bidi="es-ES"/>
        </w:rPr>
        <w:t>e iniciarán procesos de suscripción de contratos, cuando existan las respectivas partidas o disponibilidades presupuestales”. De allí se desprende que el Certificado de Disponibilidad Presupuestal (CDP) debe expedirse de manera previa al inicio del proceso de selección o de la negociación en los casos de contratación directa.</w:t>
      </w:r>
      <w:r>
        <w:rPr>
          <w:rFonts w:ascii="Verdana" w:eastAsia="Arial" w:hAnsi="Verdana" w:cs="Arial"/>
          <w:lang w:eastAsia="es-ES" w:bidi="es-ES"/>
        </w:rPr>
        <w:t xml:space="preserve"> </w:t>
      </w:r>
      <w:r w:rsidRPr="00B001E4">
        <w:rPr>
          <w:rFonts w:ascii="Verdana" w:eastAsia="Arial" w:hAnsi="Verdana" w:cs="Arial"/>
          <w:lang w:eastAsia="es-ES" w:bidi="es-ES"/>
        </w:rPr>
        <w:t xml:space="preserve">En consecuencia, tanto la disponibilidad como el registro presupuestal </w:t>
      </w:r>
      <w:r>
        <w:rPr>
          <w:rFonts w:ascii="Verdana" w:eastAsia="Arial" w:hAnsi="Verdana" w:cs="Arial"/>
          <w:lang w:eastAsia="es-ES" w:bidi="es-ES"/>
        </w:rPr>
        <w:t xml:space="preserve">son necesarios para poder ejecutar las actividades propias que </w:t>
      </w:r>
      <w:r w:rsidRPr="005F2DC9">
        <w:rPr>
          <w:rFonts w:ascii="Verdana" w:eastAsia="Arial" w:hAnsi="Verdana" w:cs="Arial"/>
          <w:lang w:eastAsia="es-ES" w:bidi="es-ES"/>
        </w:rPr>
        <w:t>justifiquen</w:t>
      </w:r>
      <w:r>
        <w:rPr>
          <w:rFonts w:ascii="Verdana" w:eastAsia="Arial" w:hAnsi="Verdana" w:cs="Arial"/>
          <w:lang w:eastAsia="es-ES" w:bidi="es-ES"/>
        </w:rPr>
        <w:t xml:space="preserve"> la adición contractual</w:t>
      </w:r>
      <w:r w:rsidRPr="00625198">
        <w:rPr>
          <w:rStyle w:val="Refdenotaalpie"/>
          <w:rFonts w:ascii="Verdana" w:eastAsia="Times New Roman" w:hAnsi="Verdana" w:cs="Arial"/>
          <w:color w:val="1A1A1A" w:themeColor="background1" w:themeShade="1A"/>
          <w:sz w:val="20"/>
          <w:szCs w:val="20"/>
          <w:lang w:eastAsia="es-ES_tradnl"/>
        </w:rPr>
        <w:footnoteReference w:id="5"/>
      </w:r>
      <w:r>
        <w:rPr>
          <w:rFonts w:ascii="Verdana" w:eastAsia="Arial" w:hAnsi="Verdana" w:cs="Arial"/>
          <w:lang w:eastAsia="es-ES" w:bidi="es-ES"/>
        </w:rPr>
        <w:t xml:space="preserve">. </w:t>
      </w:r>
    </w:p>
    <w:p w14:paraId="63271A04" w14:textId="77777777" w:rsidR="00216796" w:rsidRDefault="00216796" w:rsidP="00216796">
      <w:pPr>
        <w:widowControl w:val="0"/>
        <w:autoSpaceDE w:val="0"/>
        <w:autoSpaceDN w:val="0"/>
        <w:spacing w:after="120" w:line="276" w:lineRule="auto"/>
        <w:ind w:firstLine="709"/>
        <w:jc w:val="both"/>
        <w:rPr>
          <w:rFonts w:ascii="Verdana" w:eastAsia="Arial" w:hAnsi="Verdana" w:cs="Arial"/>
          <w:lang w:eastAsia="es-ES" w:bidi="es-ES"/>
        </w:rPr>
      </w:pPr>
      <w:r w:rsidRPr="00B001E4">
        <w:rPr>
          <w:rFonts w:ascii="Verdana" w:eastAsia="Arial" w:hAnsi="Verdana" w:cs="Arial"/>
          <w:lang w:eastAsia="es-ES" w:bidi="es-ES"/>
        </w:rPr>
        <w:t>Por su parte, el artículo 71 del Decreto 111 de 1996 – Estatuto Orgánico del Presupuesto dispone que todos los actos que afecten apropiaciones “deberán contar con certificados de disponibilidad previos”. En consecuencia, “ninguna autoridad podrá contraer obligaciones” sin que exista previamente el respaldo presupuestal correspondiente, lo cual reafirma el principio de legalidad del gasto público</w:t>
      </w:r>
      <w:r w:rsidRPr="00625198">
        <w:rPr>
          <w:rStyle w:val="Refdenotaalpie"/>
          <w:rFonts w:ascii="Verdana" w:eastAsia="Times New Roman" w:hAnsi="Verdana" w:cs="Arial"/>
          <w:color w:val="1A1A1A" w:themeColor="background1" w:themeShade="1A"/>
          <w:sz w:val="20"/>
          <w:szCs w:val="20"/>
          <w:lang w:eastAsia="es-ES_tradnl"/>
        </w:rPr>
        <w:footnoteReference w:id="6"/>
      </w:r>
      <w:r w:rsidRPr="00B001E4">
        <w:rPr>
          <w:rFonts w:ascii="Verdana" w:eastAsia="Arial" w:hAnsi="Verdana" w:cs="Arial"/>
          <w:lang w:eastAsia="es-ES" w:bidi="es-ES"/>
        </w:rPr>
        <w:t xml:space="preserve"> y la necesidad de que toda modificación contractual esté acompañada de los soportes presupuestales pertinentes.</w:t>
      </w:r>
      <w:r>
        <w:rPr>
          <w:rFonts w:ascii="Verdana" w:eastAsia="Arial" w:hAnsi="Verdana" w:cs="Arial"/>
          <w:lang w:eastAsia="es-ES" w:bidi="es-ES"/>
        </w:rPr>
        <w:t xml:space="preserve"> En este sentido, no es posible ejecutar las obligaciones que se amparan en la adición contractual si no se ha expedido las disponibilidades presupuestales y el respectivo registro presupuestal. </w:t>
      </w:r>
    </w:p>
    <w:p w14:paraId="6E1DF45A" w14:textId="77777777" w:rsidR="00216796" w:rsidRPr="00BF48AB" w:rsidRDefault="00216796" w:rsidP="00216796">
      <w:pPr>
        <w:widowControl w:val="0"/>
        <w:autoSpaceDE w:val="0"/>
        <w:autoSpaceDN w:val="0"/>
        <w:spacing w:after="0" w:line="276" w:lineRule="auto"/>
        <w:ind w:firstLine="709"/>
        <w:jc w:val="both"/>
        <w:rPr>
          <w:rFonts w:ascii="Verdana" w:eastAsia="Times New Roman" w:hAnsi="Verdana" w:cs="Arial"/>
          <w:lang w:eastAsia="es-ES_tradnl"/>
        </w:rPr>
      </w:pPr>
      <w:r w:rsidRPr="00625198">
        <w:rPr>
          <w:rFonts w:ascii="Verdana" w:eastAsia="Times New Roman" w:hAnsi="Verdana" w:cs="Arial"/>
          <w:lang w:eastAsia="es-ES_tradnl"/>
        </w:rPr>
        <w:t>Conforme al artículo 41 de la Ley 80 de 1993, el Registro Presupuestal (RP) constituye un requisito indispensable para iniciar la ejecución del contrato, una vez se haya definido su valor y plazo. En aplicación del mismo principio, dicho registro resulta igualmente necesario frente a una eventual adición contractual, pues esta implica la asunción de nuevas obligaciones económicas por parte de la entidad. Esta es, además, la posición consolidada de esta Agencia, que ha señalado que, a partir del año 2006</w:t>
      </w:r>
      <w:r w:rsidRPr="0032284E">
        <w:rPr>
          <w:rFonts w:ascii="Verdana" w:eastAsia="Times New Roman" w:hAnsi="Verdana" w:cs="Arial"/>
          <w:lang w:eastAsia="es-ES_tradnl"/>
        </w:rPr>
        <w:t xml:space="preserve">—en la sentencia de la Sección Tercera del 28 de septiembre de 2006, </w:t>
      </w:r>
      <w:proofErr w:type="spellStart"/>
      <w:r w:rsidRPr="0032284E">
        <w:rPr>
          <w:rFonts w:ascii="Verdana" w:eastAsia="Times New Roman" w:hAnsi="Verdana" w:cs="Arial"/>
          <w:lang w:eastAsia="es-ES_tradnl"/>
        </w:rPr>
        <w:t>Exp</w:t>
      </w:r>
      <w:proofErr w:type="spellEnd"/>
      <w:r w:rsidRPr="0032284E">
        <w:rPr>
          <w:rFonts w:ascii="Verdana" w:eastAsia="Times New Roman" w:hAnsi="Verdana" w:cs="Arial"/>
          <w:lang w:eastAsia="es-ES_tradnl"/>
        </w:rPr>
        <w:t>. 15.307, C.P. Ramiro Saavedra Becerra—,</w:t>
      </w:r>
      <w:r w:rsidRPr="00625198">
        <w:rPr>
          <w:rFonts w:ascii="Verdana" w:eastAsia="Times New Roman" w:hAnsi="Verdana" w:cs="Arial"/>
          <w:lang w:eastAsia="es-ES_tradnl"/>
        </w:rPr>
        <w:t xml:space="preserve"> el Consejo de Estado modificó su primera posición jurisprudencial, que consideraba al RP como requisito de perfeccionamiento, </w:t>
      </w:r>
      <w:r w:rsidRPr="00625198">
        <w:rPr>
          <w:rFonts w:ascii="Verdana" w:eastAsia="Times New Roman" w:hAnsi="Verdana" w:cs="Arial"/>
          <w:lang w:eastAsia="es-ES_tradnl"/>
        </w:rPr>
        <w:lastRenderedPageBreak/>
        <w:t xml:space="preserve">para en adelante considerarlo un requisito de ejecución –en línea con los Conceptos C-1039 del 23 de diciembre de 2024 y C-844 del 9 de diciembre de 2024 de esta Agencia–. En armonía con lo anterior, el Consejo de Estado ha precisado que tanto la disponibilidad presupuestal (CDP) como el compromiso presupuestal (RP) son condiciones esenciales para la legalidad del gasto público y la eficacia de la ejecución de los contratos estatales, mas no para su perfeccionamiento o validez, en la medida en que garantizan la existencia de recursos suficientes para respaldar las obligaciones a cargo de la entidad. Al respecto, el Consejo de Estado expresa: </w:t>
      </w:r>
    </w:p>
    <w:p w14:paraId="0E3405ED" w14:textId="77777777" w:rsidR="00216796" w:rsidRPr="005671C4" w:rsidRDefault="00216796" w:rsidP="00216796">
      <w:pPr>
        <w:pStyle w:val="Prrafodelista"/>
        <w:spacing w:after="0" w:line="276" w:lineRule="auto"/>
        <w:ind w:left="709" w:right="709"/>
        <w:jc w:val="both"/>
        <w:rPr>
          <w:rFonts w:ascii="Verdana" w:eastAsia="Times New Roman" w:hAnsi="Verdana" w:cs="Arial"/>
          <w:color w:val="1A1A1A" w:themeColor="background1" w:themeShade="1A"/>
          <w:lang w:eastAsia="es-ES_tradnl"/>
        </w:rPr>
      </w:pPr>
    </w:p>
    <w:p w14:paraId="7CD417DB" w14:textId="77777777" w:rsidR="00216796" w:rsidRPr="00BF48AB" w:rsidRDefault="00216796" w:rsidP="00216796">
      <w:pPr>
        <w:pStyle w:val="Prrafodelista"/>
        <w:spacing w:after="0" w:line="240" w:lineRule="auto"/>
        <w:ind w:left="709" w:right="709"/>
        <w:jc w:val="both"/>
        <w:rPr>
          <w:rFonts w:ascii="Verdana" w:eastAsia="Times New Roman" w:hAnsi="Verdana" w:cs="Arial"/>
          <w:color w:val="000000" w:themeColor="text1"/>
          <w:sz w:val="20"/>
          <w:szCs w:val="20"/>
          <w:lang w:eastAsia="es-ES_tradnl"/>
        </w:rPr>
      </w:pPr>
      <w:r w:rsidRPr="005671C4">
        <w:rPr>
          <w:rFonts w:ascii="Verdana" w:eastAsia="Times New Roman" w:hAnsi="Verdana" w:cs="Arial"/>
          <w:color w:val="000000" w:themeColor="text1"/>
          <w:sz w:val="20"/>
          <w:szCs w:val="20"/>
          <w:lang w:eastAsia="es-ES_tradnl"/>
        </w:rPr>
        <w:t>“En virtud de la expedición del certificado de disponibilidad presupuestal la entidad imprime fe de que existen los fondos necesarios para contraer determinadas obligaciones. Sin embargo, en virtud del certificado no se afecta de manera inmediata la respectiva apropiación, simplemente la aparta de forma transitoria mientras se lleva a cabo el perfeccionamiento del compromiso presupuestal, lo cual se logra a través del registro presupuestal. En otras palabras, el registro presupuestal es el mecanismo mediante el cual se afecta la apropiación de forma definitiva, acto que si bien a su turno se traduce en el perfeccionamiento del compromiso presupuestal no es lo mismo que el perfeccionamiento del contrato en tanto el registro se obtiene luego de que el contrato nace a la vida jurídica y no antes y además no consulta un consenso entre las</w:t>
      </w:r>
      <w:r w:rsidRPr="005671C4">
        <w:rPr>
          <w:rFonts w:ascii="Verdana" w:eastAsia="Times New Roman" w:hAnsi="Verdana" w:cs="Arial"/>
          <w:color w:val="000000" w:themeColor="text1"/>
          <w:spacing w:val="-3"/>
          <w:sz w:val="20"/>
          <w:szCs w:val="20"/>
          <w:lang w:eastAsia="es-ES_tradnl"/>
        </w:rPr>
        <w:t xml:space="preserve"> </w:t>
      </w:r>
      <w:r w:rsidRPr="005671C4">
        <w:rPr>
          <w:rFonts w:ascii="Verdana" w:eastAsia="Times New Roman" w:hAnsi="Verdana" w:cs="Arial"/>
          <w:color w:val="000000" w:themeColor="text1"/>
          <w:sz w:val="20"/>
          <w:szCs w:val="20"/>
          <w:lang w:eastAsia="es-ES_tradnl"/>
        </w:rPr>
        <w:t>partes.</w:t>
      </w:r>
    </w:p>
    <w:p w14:paraId="6FA426B0" w14:textId="77777777" w:rsidR="00216796" w:rsidRPr="00BF48AB" w:rsidRDefault="00216796" w:rsidP="00216796">
      <w:pPr>
        <w:pStyle w:val="Prrafodelista"/>
        <w:spacing w:after="0" w:line="240" w:lineRule="auto"/>
        <w:ind w:left="709" w:right="709"/>
        <w:rPr>
          <w:rFonts w:ascii="Verdana" w:eastAsia="Times New Roman" w:hAnsi="Verdana" w:cs="Arial"/>
          <w:color w:val="000000" w:themeColor="text1"/>
          <w:sz w:val="20"/>
          <w:szCs w:val="20"/>
          <w:lang w:eastAsia="es-ES_tradnl"/>
        </w:rPr>
      </w:pPr>
      <w:r w:rsidRPr="005671C4">
        <w:rPr>
          <w:rFonts w:ascii="Verdana" w:eastAsia="Times New Roman" w:hAnsi="Verdana" w:cs="Arial"/>
          <w:sz w:val="20"/>
          <w:szCs w:val="20"/>
          <w:lang w:eastAsia="es-ES_tradnl"/>
        </w:rPr>
        <w:t>[…]</w:t>
      </w:r>
    </w:p>
    <w:p w14:paraId="076D3124" w14:textId="77777777" w:rsidR="00216796" w:rsidRPr="005671C4" w:rsidRDefault="00216796" w:rsidP="00216796">
      <w:pPr>
        <w:pStyle w:val="Prrafodelista"/>
        <w:spacing w:after="0" w:line="240" w:lineRule="auto"/>
        <w:ind w:left="709" w:right="709"/>
        <w:jc w:val="both"/>
        <w:rPr>
          <w:rFonts w:ascii="Verdana" w:eastAsia="Times New Roman" w:hAnsi="Verdana" w:cs="Arial"/>
          <w:color w:val="000000" w:themeColor="text1"/>
          <w:sz w:val="20"/>
          <w:szCs w:val="20"/>
          <w:lang w:eastAsia="es-ES_tradnl"/>
        </w:rPr>
      </w:pPr>
      <w:r w:rsidRPr="005671C4">
        <w:rPr>
          <w:rFonts w:ascii="Verdana" w:eastAsia="Times New Roman" w:hAnsi="Verdana" w:cs="Arial"/>
          <w:color w:val="000000" w:themeColor="text1"/>
          <w:sz w:val="20"/>
          <w:szCs w:val="20"/>
          <w:lang w:eastAsia="es-ES_tradnl"/>
        </w:rPr>
        <w:t>Conviene recordarse que el certificado de disponibilidad presupuestal, en el terreno de lo contratos estatales sometidos al imperio de la Ley 80, no corresponde a un requisito de perfeccionamiento del negocio jurídico, pues su exigencia se circunscribe a una etapa previa a su ocurrencia, esto es, debe obtenerse con anterioridad a la apertura al procedimiento de selección que habrá de dar origen a la relación contractual. Lo mismo puede decirse del registro presupuestal en el ámbito de cobertura del Estatuto de Contratación Estatal, habida consideración de que su implementación constituye una exigencia para la ejecución del contrato y no para su</w:t>
      </w:r>
      <w:r w:rsidRPr="005671C4">
        <w:rPr>
          <w:rFonts w:ascii="Verdana" w:eastAsia="Times New Roman" w:hAnsi="Verdana" w:cs="Arial"/>
          <w:color w:val="000000" w:themeColor="text1"/>
          <w:spacing w:val="-19"/>
          <w:sz w:val="20"/>
          <w:szCs w:val="20"/>
          <w:lang w:eastAsia="es-ES_tradnl"/>
        </w:rPr>
        <w:t xml:space="preserve"> </w:t>
      </w:r>
      <w:r w:rsidRPr="005671C4">
        <w:rPr>
          <w:rFonts w:ascii="Verdana" w:eastAsia="Times New Roman" w:hAnsi="Verdana" w:cs="Arial"/>
          <w:color w:val="000000" w:themeColor="text1"/>
          <w:sz w:val="20"/>
          <w:szCs w:val="20"/>
          <w:lang w:eastAsia="es-ES_tradnl"/>
        </w:rPr>
        <w:t>existencia”</w:t>
      </w:r>
      <w:r w:rsidRPr="005671C4">
        <w:rPr>
          <w:rFonts w:ascii="Verdana" w:hAnsi="Verdana"/>
          <w:sz w:val="20"/>
          <w:szCs w:val="20"/>
          <w:vertAlign w:val="superscript"/>
          <w:lang w:eastAsia="es-ES_tradnl"/>
        </w:rPr>
        <w:footnoteReference w:id="7"/>
      </w:r>
      <w:r w:rsidRPr="005671C4">
        <w:rPr>
          <w:rFonts w:ascii="Verdana" w:eastAsia="Times New Roman" w:hAnsi="Verdana" w:cs="Arial"/>
          <w:color w:val="000000" w:themeColor="text1"/>
          <w:sz w:val="20"/>
          <w:szCs w:val="20"/>
          <w:lang w:eastAsia="es-ES_tradnl"/>
        </w:rPr>
        <w:t>.</w:t>
      </w:r>
    </w:p>
    <w:p w14:paraId="0302E7A8" w14:textId="77777777" w:rsidR="00216796" w:rsidRPr="005671C4" w:rsidRDefault="00216796" w:rsidP="00216796">
      <w:pPr>
        <w:pStyle w:val="Prrafodelista"/>
        <w:spacing w:after="0" w:line="276" w:lineRule="auto"/>
        <w:ind w:right="709"/>
        <w:jc w:val="both"/>
        <w:rPr>
          <w:rFonts w:ascii="Verdana" w:eastAsia="Times New Roman" w:hAnsi="Verdana" w:cs="Arial"/>
          <w:color w:val="000000" w:themeColor="text1"/>
          <w:lang w:eastAsia="es-ES_tradnl"/>
        </w:rPr>
      </w:pPr>
    </w:p>
    <w:p w14:paraId="217DC6A4" w14:textId="77777777" w:rsidR="00216796" w:rsidRPr="00A12DE3" w:rsidRDefault="00216796" w:rsidP="00216796">
      <w:pPr>
        <w:spacing w:after="0" w:line="276" w:lineRule="auto"/>
        <w:ind w:firstLine="708"/>
        <w:jc w:val="both"/>
        <w:rPr>
          <w:rFonts w:ascii="Verdana" w:eastAsia="Times New Roman" w:hAnsi="Verdana" w:cs="Arial"/>
          <w:color w:val="1A1A1A" w:themeColor="background1" w:themeShade="1A"/>
          <w:lang w:eastAsia="es-ES_tradnl"/>
        </w:rPr>
      </w:pPr>
      <w:r w:rsidRPr="00A12DE3">
        <w:rPr>
          <w:rFonts w:ascii="Verdana" w:eastAsia="Arial" w:hAnsi="Verdana" w:cs="Arial"/>
          <w:lang w:eastAsia="es-ES" w:bidi="es-ES"/>
        </w:rPr>
        <w:t xml:space="preserve">En el ámbito de las adiciones contractuales, el Registro Presupuestal conserva su carácter de requisito de ejecución y no de perfeccionamiento. La adición en valor se perfecciona con la suscripción del acto modificatorio -llámese otrosí, adición, entre otros- que cumpla las solemnidades legales, pero para que pueda desplegar efectos prácticos es indispensable que se expida el RP que </w:t>
      </w:r>
      <w:r w:rsidRPr="00A12DE3">
        <w:rPr>
          <w:rFonts w:ascii="Verdana" w:eastAsia="Arial" w:hAnsi="Verdana" w:cs="Arial"/>
          <w:lang w:eastAsia="es-ES" w:bidi="es-ES"/>
        </w:rPr>
        <w:lastRenderedPageBreak/>
        <w:t>comprometa los recursos adicionales. De esta manera, se asegura la coherencia entre el acto jurídico de modificación y la disponibilidad real de recursos, evitando que la entidad asuma obligaciones sin respaldo presupuestal.</w:t>
      </w:r>
      <w:r>
        <w:rPr>
          <w:rFonts w:ascii="Verdana" w:eastAsia="Arial" w:hAnsi="Verdana" w:cs="Arial"/>
          <w:lang w:eastAsia="es-ES" w:bidi="es-ES"/>
        </w:rPr>
        <w:t xml:space="preserve"> En torno a la ausencia de Registro Presupuestal, e</w:t>
      </w:r>
      <w:r w:rsidRPr="00A12DE3">
        <w:rPr>
          <w:rFonts w:ascii="Verdana" w:eastAsia="Times New Roman" w:hAnsi="Verdana" w:cs="Arial"/>
          <w:color w:val="1A1A1A" w:themeColor="background1" w:themeShade="1A"/>
          <w:lang w:eastAsia="es-ES_tradnl"/>
        </w:rPr>
        <w:t>l Consejo de Estado en sentencia del 6 de julio de 2022, señaló:</w:t>
      </w:r>
    </w:p>
    <w:p w14:paraId="713A344E" w14:textId="77777777" w:rsidR="00216796" w:rsidRPr="000C67A7" w:rsidRDefault="00216796" w:rsidP="00216796">
      <w:pPr>
        <w:pStyle w:val="Prrafodelista"/>
        <w:rPr>
          <w:rFonts w:ascii="Verdana" w:eastAsia="Times New Roman" w:hAnsi="Verdana" w:cs="Arial"/>
          <w:color w:val="1A1A1A" w:themeColor="background1" w:themeShade="1A"/>
          <w:lang w:eastAsia="es-ES_tradnl"/>
        </w:rPr>
      </w:pPr>
    </w:p>
    <w:p w14:paraId="60F5840D" w14:textId="77777777" w:rsidR="00216796" w:rsidRPr="00284914" w:rsidRDefault="00216796" w:rsidP="00216796">
      <w:pPr>
        <w:pStyle w:val="Prrafodelista"/>
        <w:spacing w:after="0" w:line="240" w:lineRule="auto"/>
        <w:ind w:left="709" w:right="709"/>
        <w:jc w:val="both"/>
        <w:rPr>
          <w:rFonts w:ascii="Verdana" w:eastAsia="Times New Roman" w:hAnsi="Verdana" w:cs="Arial"/>
          <w:color w:val="1A1A1A" w:themeColor="background1" w:themeShade="1A"/>
          <w:sz w:val="20"/>
          <w:szCs w:val="20"/>
          <w:lang w:eastAsia="es-ES_tradnl"/>
        </w:rPr>
      </w:pPr>
      <w:r w:rsidRPr="00284914">
        <w:rPr>
          <w:rFonts w:ascii="Verdana" w:eastAsia="Times New Roman" w:hAnsi="Verdana" w:cs="Arial"/>
          <w:color w:val="1A1A1A" w:themeColor="background1" w:themeShade="1A"/>
          <w:sz w:val="20"/>
          <w:szCs w:val="20"/>
          <w:lang w:eastAsia="es-ES_tradnl"/>
        </w:rPr>
        <w:t xml:space="preserve">“En efecto, la ausencia de la disponibilidad o registro presupuestal no denota un juicio de invalidez por la constatación de irregularidades o vicios que inciden en el valor del acto o contrato, pues su carencia lo que produce es una afectación a la viabilidad y legalidad del pago y puede comprometer la responsabilidad disciplinaria de los funcionarios por los perjuicios que se ocasionen con el desconocimiento de las normas presupuestales y contractuales antes citadas. De modo que, es evidente que la falta de dicho requisito de ejecución genera una alteración que puede perjudicar el pago del negocio jurídico, en términos de su determinación presupuestal –lo que además sería imputable exclusivamente a la </w:t>
      </w:r>
      <w:proofErr w:type="gramStart"/>
      <w:r w:rsidRPr="00284914">
        <w:rPr>
          <w:rFonts w:ascii="Verdana" w:eastAsia="Times New Roman" w:hAnsi="Verdana" w:cs="Arial"/>
          <w:color w:val="1A1A1A" w:themeColor="background1" w:themeShade="1A"/>
          <w:sz w:val="20"/>
          <w:szCs w:val="20"/>
          <w:lang w:eastAsia="es-ES_tradnl"/>
        </w:rPr>
        <w:t>autoridad pública</w:t>
      </w:r>
      <w:proofErr w:type="gramEnd"/>
      <w:r w:rsidRPr="00284914">
        <w:rPr>
          <w:rFonts w:ascii="Verdana" w:eastAsia="Times New Roman" w:hAnsi="Verdana" w:cs="Arial"/>
          <w:color w:val="1A1A1A" w:themeColor="background1" w:themeShade="1A"/>
          <w:sz w:val="20"/>
          <w:szCs w:val="20"/>
          <w:lang w:eastAsia="es-ES_tradnl"/>
        </w:rPr>
        <w:t xml:space="preserve"> contratante–, mas no da lugar a la declaración de nulidad absoluta del contrato estatal”</w:t>
      </w:r>
      <w:r>
        <w:rPr>
          <w:rStyle w:val="Refdenotaalpie"/>
          <w:rFonts w:ascii="Verdana" w:eastAsia="Times New Roman" w:hAnsi="Verdana" w:cs="Arial"/>
          <w:color w:val="1A1A1A" w:themeColor="background1" w:themeShade="1A"/>
          <w:sz w:val="20"/>
          <w:szCs w:val="20"/>
          <w:lang w:eastAsia="es-ES_tradnl"/>
        </w:rPr>
        <w:footnoteReference w:id="8"/>
      </w:r>
      <w:r w:rsidRPr="00284914">
        <w:rPr>
          <w:rFonts w:ascii="Verdana" w:eastAsia="Times New Roman" w:hAnsi="Verdana" w:cs="Arial"/>
          <w:color w:val="1A1A1A" w:themeColor="background1" w:themeShade="1A"/>
          <w:sz w:val="20"/>
          <w:szCs w:val="20"/>
          <w:lang w:eastAsia="es-ES_tradnl"/>
        </w:rPr>
        <w:t>.</w:t>
      </w:r>
    </w:p>
    <w:p w14:paraId="45D7E055" w14:textId="77777777" w:rsidR="00216796" w:rsidRPr="00A12DE3" w:rsidRDefault="00216796" w:rsidP="00216796">
      <w:pPr>
        <w:widowControl w:val="0"/>
        <w:autoSpaceDE w:val="0"/>
        <w:autoSpaceDN w:val="0"/>
        <w:spacing w:after="0" w:line="276" w:lineRule="auto"/>
        <w:ind w:firstLine="709"/>
        <w:jc w:val="both"/>
        <w:rPr>
          <w:rFonts w:ascii="Verdana" w:eastAsia="Arial" w:hAnsi="Verdana" w:cs="Arial"/>
          <w:lang w:val="es-ES" w:eastAsia="es-ES" w:bidi="es-ES"/>
        </w:rPr>
      </w:pPr>
    </w:p>
    <w:p w14:paraId="05C5EF27" w14:textId="77777777" w:rsidR="00216796" w:rsidRDefault="00216796" w:rsidP="00216796">
      <w:pPr>
        <w:widowControl w:val="0"/>
        <w:autoSpaceDE w:val="0"/>
        <w:autoSpaceDN w:val="0"/>
        <w:spacing w:after="120" w:line="276" w:lineRule="auto"/>
        <w:ind w:firstLine="709"/>
        <w:jc w:val="both"/>
        <w:rPr>
          <w:rFonts w:ascii="Verdana" w:eastAsia="Arial" w:hAnsi="Verdana" w:cs="Arial"/>
          <w:lang w:eastAsia="es-ES" w:bidi="es-ES"/>
        </w:rPr>
      </w:pPr>
      <w:r w:rsidRPr="00625198">
        <w:rPr>
          <w:rFonts w:ascii="Verdana" w:eastAsia="Arial" w:hAnsi="Verdana" w:cs="Arial"/>
          <w:lang w:eastAsia="es-ES" w:bidi="es-ES"/>
        </w:rPr>
        <w:t>Por lo tanto, la expedición tardía o la omisión del RP no afecta la validez de la adición ni suspende, por sí misma, la ejecución material de las prestaciones adicionales, la cual depende de las condiciones reales en que se desenvuelve la relación contractual. Lo que la falta de RP compromete es la legalidad de la actuación de la entidad, ya que si esta celebra la adición o permite la ejecución de las prestaciones adicionales sin contar previamente con el respaldo presupuestal, podría dar lugar a la configuración de los denominados hechos cumplidos, esto es, la asunción de obligaciones o la materialización de prestaciones sin el previo cumplimiento de las apropiaciones presupuestales,</w:t>
      </w:r>
      <w:r w:rsidRPr="00625198">
        <w:rPr>
          <w:rStyle w:val="Refdenotaalpie"/>
          <w:rFonts w:ascii="Verdana" w:eastAsia="Times New Roman" w:hAnsi="Verdana" w:cs="Arial"/>
          <w:color w:val="1A1A1A" w:themeColor="background1" w:themeShade="1A"/>
          <w:sz w:val="20"/>
          <w:szCs w:val="20"/>
          <w:lang w:eastAsia="es-ES_tradnl"/>
        </w:rPr>
        <w:footnoteReference w:id="9"/>
      </w:r>
      <w:r w:rsidRPr="00625198">
        <w:rPr>
          <w:rFonts w:ascii="Verdana" w:eastAsia="Arial" w:hAnsi="Verdana" w:cs="Arial"/>
          <w:lang w:eastAsia="es-ES" w:bidi="es-ES"/>
        </w:rPr>
        <w:t xml:space="preserve"> </w:t>
      </w:r>
      <w:r>
        <w:rPr>
          <w:rFonts w:ascii="Verdana" w:eastAsia="Arial" w:hAnsi="Verdana" w:cs="Arial"/>
          <w:lang w:eastAsia="es-ES" w:bidi="es-ES"/>
        </w:rPr>
        <w:t xml:space="preserve">lo cual no afecta, en principio, </w:t>
      </w:r>
      <w:r w:rsidRPr="00625198">
        <w:rPr>
          <w:rFonts w:ascii="Verdana" w:eastAsia="Arial" w:hAnsi="Verdana" w:cs="Arial"/>
          <w:lang w:eastAsia="es-ES" w:bidi="es-ES"/>
        </w:rPr>
        <w:t xml:space="preserve">la validez del negocio jurídico, pero que genera consecuencias de orden fiscal, disciplinario y, eventualmente, contractual para los servidores y para la entidad que adelanten la ejecución sin contar con el </w:t>
      </w:r>
      <w:r w:rsidRPr="00625198">
        <w:rPr>
          <w:rFonts w:ascii="Verdana" w:eastAsia="Arial" w:hAnsi="Verdana" w:cs="Arial"/>
          <w:lang w:eastAsia="es-ES" w:bidi="es-ES"/>
        </w:rPr>
        <w:lastRenderedPageBreak/>
        <w:t xml:space="preserve">registro. </w:t>
      </w:r>
    </w:p>
    <w:p w14:paraId="15746F95" w14:textId="77777777" w:rsidR="00216796" w:rsidRDefault="00216796" w:rsidP="00216796">
      <w:pPr>
        <w:widowControl w:val="0"/>
        <w:autoSpaceDE w:val="0"/>
        <w:autoSpaceDN w:val="0"/>
        <w:spacing w:after="120" w:line="276" w:lineRule="auto"/>
        <w:ind w:firstLine="709"/>
        <w:jc w:val="both"/>
        <w:rPr>
          <w:rFonts w:ascii="Verdana" w:eastAsia="Arial" w:hAnsi="Verdana" w:cs="Arial"/>
          <w:lang w:eastAsia="es-ES" w:bidi="es-ES"/>
        </w:rPr>
      </w:pPr>
      <w:r w:rsidRPr="00625198">
        <w:rPr>
          <w:rFonts w:ascii="Verdana" w:eastAsia="Arial" w:hAnsi="Verdana" w:cs="Arial"/>
          <w:lang w:eastAsia="es-ES" w:bidi="es-ES"/>
        </w:rPr>
        <w:t>El Registro Presupuestal, al ser un requisito de ejecución del contrato, normalmente se expide después de celebrado el contrato, tal como se desprende de lo establecido en el inciso segundo del artículo 41 de la Ley 80 de 1993. Aplicado este razonamiento a las adiciones contractuales, la oportunidad del RP adquiere especial importancia: debe estar expedido antes de que la entidad celebre el acto modificatorio y dé inicio o permita la ejecución de las obligaciones adicionales derivadas de él. De esta forma, se garantiza que la entidad cuente con el respaldo presupuestal suficiente para atender las nuevas cargas económicas, se evita la configuración de hechos cumplidos</w:t>
      </w:r>
      <w:r w:rsidRPr="00625198">
        <w:rPr>
          <w:rStyle w:val="Refdenotaalpie"/>
          <w:rFonts w:ascii="Verdana" w:eastAsia="Times New Roman" w:hAnsi="Verdana" w:cs="Arial"/>
          <w:color w:val="1A1A1A" w:themeColor="background1" w:themeShade="1A"/>
          <w:sz w:val="20"/>
          <w:szCs w:val="20"/>
          <w:lang w:eastAsia="es-ES_tradnl"/>
        </w:rPr>
        <w:footnoteReference w:id="10"/>
      </w:r>
      <w:r w:rsidRPr="00625198">
        <w:rPr>
          <w:rFonts w:ascii="Verdana" w:eastAsia="Arial" w:hAnsi="Verdana" w:cs="Arial"/>
          <w:lang w:eastAsia="es-ES" w:bidi="es-ES"/>
        </w:rPr>
        <w:t xml:space="preserve"> y se preserva la legalidad del gasto público, sin que la ausencia inicial del RP afecte la validez de la adición.</w:t>
      </w:r>
    </w:p>
    <w:p w14:paraId="2EE95463" w14:textId="77777777" w:rsidR="00216796" w:rsidRDefault="00216796" w:rsidP="00216796">
      <w:pPr>
        <w:widowControl w:val="0"/>
        <w:autoSpaceDE w:val="0"/>
        <w:autoSpaceDN w:val="0"/>
        <w:spacing w:after="120" w:line="276" w:lineRule="auto"/>
        <w:ind w:firstLine="709"/>
        <w:jc w:val="both"/>
        <w:rPr>
          <w:rFonts w:ascii="Verdana" w:eastAsia="Arial" w:hAnsi="Verdana" w:cs="Arial"/>
          <w:lang w:eastAsia="es-ES" w:bidi="es-ES"/>
        </w:rPr>
      </w:pPr>
      <w:r w:rsidRPr="00B50363">
        <w:rPr>
          <w:rFonts w:ascii="Verdana" w:eastAsia="Arial" w:hAnsi="Verdana" w:cs="Arial"/>
          <w:lang w:eastAsia="es-ES" w:bidi="es-ES"/>
        </w:rPr>
        <w:t>Ahora bien, cuando el acto modificatorio se ha perfeccionado y existe apropiación presupuestal disponible que lo respalde, la expedición del Registro Presupuestal no es un acto de mera liberalidad ni una facultad discrecional de la entidad, sino un acto debido o reglado que concreta el compromiso ya asumido y hace posible el pago. En esa medida, no puede calificarse como un simple trámite administrativo: constituye un deber de ejecución presupuestal cuya omisión o negativa injustificada contraría los principios de legalidad del gasto, buena fe, confianza legítima y responsabilidad, y compromete la responsabilidad disciplinaria y fiscal del servidor que la causa. Cuestión distinta es que, de no existir previamente la disponibilidad presupuestal, la irregularidad no se ubica solo en la falta del registro, sino en haber suscrito la modificación y permitido su ejecución sin el respaldo presupuestal exigido por los artículos 25, numeral 6, y 41 de la Ley 80 de 1993 y 71 del Decreto 111 de 1996, hipótesis en la cual la entidad debe acudir a las alternativas de reconocimiento que se exponen más adelante.</w:t>
      </w:r>
    </w:p>
    <w:p w14:paraId="485728B7" w14:textId="77777777" w:rsidR="00216796" w:rsidRDefault="00216796" w:rsidP="00216796">
      <w:pPr>
        <w:widowControl w:val="0"/>
        <w:autoSpaceDE w:val="0"/>
        <w:autoSpaceDN w:val="0"/>
        <w:spacing w:after="120" w:line="276" w:lineRule="auto"/>
        <w:ind w:firstLine="709"/>
        <w:jc w:val="both"/>
        <w:rPr>
          <w:rFonts w:ascii="Verdana" w:eastAsia="Arial" w:hAnsi="Verdana" w:cs="Arial"/>
          <w:lang w:eastAsia="es-ES" w:bidi="es-ES"/>
        </w:rPr>
      </w:pPr>
      <w:r>
        <w:rPr>
          <w:rFonts w:ascii="Verdana" w:eastAsia="Arial" w:hAnsi="Verdana" w:cs="Arial"/>
          <w:lang w:eastAsia="es-ES" w:bidi="es-ES"/>
        </w:rPr>
        <w:t>Ahora bien, e</w:t>
      </w:r>
      <w:r w:rsidRPr="007E69C2">
        <w:rPr>
          <w:rFonts w:ascii="Verdana" w:eastAsia="Arial" w:hAnsi="Verdana" w:cs="Arial"/>
          <w:lang w:eastAsia="es-ES" w:bidi="es-ES"/>
        </w:rPr>
        <w:t xml:space="preserve">n los casos en que el contratista ejecuta efectivamente las obligaciones derivadas de una modificación contractual sin que la entidad haya expedido el Registro Presupuestal (RP), </w:t>
      </w:r>
      <w:r>
        <w:rPr>
          <w:rFonts w:ascii="Verdana" w:eastAsia="Arial" w:hAnsi="Verdana" w:cs="Arial"/>
          <w:lang w:eastAsia="es-ES" w:bidi="es-ES"/>
        </w:rPr>
        <w:t>es pertinente señalar que</w:t>
      </w:r>
      <w:r w:rsidRPr="007E69C2">
        <w:rPr>
          <w:rFonts w:ascii="Verdana" w:eastAsia="Arial" w:hAnsi="Verdana" w:cs="Arial"/>
          <w:lang w:eastAsia="es-ES" w:bidi="es-ES"/>
        </w:rPr>
        <w:t xml:space="preserve">, aunque el RP es requisito de ejecución y no de perfeccionamiento, la administración no puede </w:t>
      </w:r>
      <w:r w:rsidRPr="007E69C2">
        <w:rPr>
          <w:rFonts w:ascii="Verdana" w:eastAsia="Arial" w:hAnsi="Verdana" w:cs="Arial"/>
          <w:lang w:eastAsia="es-ES" w:bidi="es-ES"/>
        </w:rPr>
        <w:lastRenderedPageBreak/>
        <w:t>desconocer la realidad de la prestación efectivamente cumplida, pues ello vulneraría principios como la buena fe, la confianza legítima. En consecuencia, la ausencia del RP no exonera a la entidad de reconocer el valor de los servicios recibidos, aunque sí genera responsabilidades internas por la omisión administrativa.</w:t>
      </w:r>
    </w:p>
    <w:p w14:paraId="52C1CAA6" w14:textId="77777777" w:rsidR="00216796" w:rsidRPr="00865477" w:rsidRDefault="00216796" w:rsidP="00216796">
      <w:pPr>
        <w:widowControl w:val="0"/>
        <w:autoSpaceDE w:val="0"/>
        <w:autoSpaceDN w:val="0"/>
        <w:spacing w:after="120" w:line="276" w:lineRule="auto"/>
        <w:ind w:firstLine="709"/>
        <w:jc w:val="both"/>
        <w:rPr>
          <w:rFonts w:ascii="Verdana" w:eastAsia="Arial" w:hAnsi="Verdana" w:cs="Arial"/>
          <w:lang w:eastAsia="es-ES" w:bidi="es-ES"/>
        </w:rPr>
      </w:pPr>
      <w:r>
        <w:rPr>
          <w:rFonts w:ascii="Verdana" w:eastAsia="Arial" w:hAnsi="Verdana" w:cs="Arial"/>
          <w:lang w:eastAsia="es-ES" w:bidi="es-ES"/>
        </w:rPr>
        <w:t xml:space="preserve">En este escenario, </w:t>
      </w:r>
      <w:r w:rsidRPr="00865477">
        <w:rPr>
          <w:rFonts w:ascii="Verdana" w:eastAsia="Arial" w:hAnsi="Verdana" w:cs="Arial"/>
          <w:lang w:eastAsia="es-ES" w:bidi="es-ES"/>
        </w:rPr>
        <w:t xml:space="preserve">la entidad cuenta con </w:t>
      </w:r>
      <w:r>
        <w:rPr>
          <w:rFonts w:ascii="Verdana" w:eastAsia="Arial" w:hAnsi="Verdana" w:cs="Arial"/>
          <w:lang w:eastAsia="es-ES" w:bidi="es-ES"/>
        </w:rPr>
        <w:t xml:space="preserve">diferentes alternativas </w:t>
      </w:r>
      <w:r w:rsidRPr="00865477">
        <w:rPr>
          <w:rFonts w:ascii="Verdana" w:eastAsia="Arial" w:hAnsi="Verdana" w:cs="Arial"/>
          <w:lang w:eastAsia="es-ES" w:bidi="es-ES"/>
        </w:rPr>
        <w:t xml:space="preserve">para </w:t>
      </w:r>
      <w:r>
        <w:rPr>
          <w:rFonts w:ascii="Verdana" w:eastAsia="Arial" w:hAnsi="Verdana" w:cs="Arial"/>
          <w:lang w:eastAsia="es-ES" w:bidi="es-ES"/>
        </w:rPr>
        <w:t xml:space="preserve">solucionar </w:t>
      </w:r>
      <w:r w:rsidRPr="00865477">
        <w:rPr>
          <w:rFonts w:ascii="Verdana" w:eastAsia="Arial" w:hAnsi="Verdana" w:cs="Arial"/>
          <w:lang w:eastAsia="es-ES" w:bidi="es-ES"/>
        </w:rPr>
        <w:t>la omisión en la expedición del Registro Presupuestal (RP). La primera consiste en expedir el RP con fundamento en que las obligaciones ya estaban contenidas en la modificación contractual debidamente perfeccionada y publicada —sea adición, otrosí o cualquier otra figura—. Esta expedición tardía no exime de responsabilidad a los servidores públicos que omitieron el deber de registrar oportunamente el compromiso presupuestal, pero sí permite dar soporte legal al pago de las prestaciones ejecutadas, evitando que la administración se beneficie indebidamente de la labor del contratista.</w:t>
      </w:r>
    </w:p>
    <w:p w14:paraId="6F8817CC" w14:textId="77777777" w:rsidR="00216796" w:rsidRDefault="00216796" w:rsidP="00216796">
      <w:pPr>
        <w:widowControl w:val="0"/>
        <w:autoSpaceDE w:val="0"/>
        <w:autoSpaceDN w:val="0"/>
        <w:spacing w:after="120" w:line="276" w:lineRule="auto"/>
        <w:ind w:firstLine="709"/>
        <w:jc w:val="both"/>
        <w:rPr>
          <w:rFonts w:ascii="Verdana" w:eastAsia="Arial" w:hAnsi="Verdana" w:cs="Arial"/>
          <w:lang w:eastAsia="es-ES" w:bidi="es-ES"/>
        </w:rPr>
      </w:pPr>
      <w:r w:rsidRPr="00865477">
        <w:rPr>
          <w:rFonts w:ascii="Verdana" w:eastAsia="Arial" w:hAnsi="Verdana" w:cs="Arial"/>
          <w:lang w:eastAsia="es-ES" w:bidi="es-ES"/>
        </w:rPr>
        <w:t xml:space="preserve">La segunda alternativa se materializa en el acta de liquidación, en la cual las partes pueden llegar a un acuerdo para reconocer las prestaciones efectivamente cumplidas, pese a la omisión en la expedición del RP. Este mecanismo, sustentado en la autonomía de la voluntad y en la necesidad de </w:t>
      </w:r>
      <w:r>
        <w:rPr>
          <w:rFonts w:ascii="Verdana" w:eastAsia="Arial" w:hAnsi="Verdana" w:cs="Arial"/>
          <w:lang w:eastAsia="es-ES" w:bidi="es-ES"/>
        </w:rPr>
        <w:t xml:space="preserve">realizar un ajuste de cuentas desde el punto de vista jurídico, económico, financiero y </w:t>
      </w:r>
      <w:r w:rsidRPr="006159A1">
        <w:rPr>
          <w:rFonts w:ascii="Verdana" w:eastAsia="Arial" w:hAnsi="Verdana" w:cs="Arial"/>
          <w:lang w:eastAsia="es-ES" w:bidi="es-ES"/>
        </w:rPr>
        <w:t>administrativo</w:t>
      </w:r>
      <w:r>
        <w:rPr>
          <w:rFonts w:ascii="Verdana" w:eastAsia="Arial" w:hAnsi="Verdana" w:cs="Arial"/>
          <w:lang w:eastAsia="es-ES" w:bidi="es-ES"/>
        </w:rPr>
        <w:t xml:space="preserve"> para el</w:t>
      </w:r>
      <w:r w:rsidRPr="00865477">
        <w:rPr>
          <w:rFonts w:ascii="Verdana" w:eastAsia="Arial" w:hAnsi="Verdana" w:cs="Arial"/>
          <w:lang w:eastAsia="es-ES" w:bidi="es-ES"/>
        </w:rPr>
        <w:t xml:space="preserve"> cierre del contrato, </w:t>
      </w:r>
      <w:r>
        <w:rPr>
          <w:rFonts w:ascii="Verdana" w:eastAsia="Arial" w:hAnsi="Verdana" w:cs="Arial"/>
          <w:lang w:eastAsia="es-ES" w:bidi="es-ES"/>
        </w:rPr>
        <w:t>permite</w:t>
      </w:r>
      <w:r w:rsidRPr="00865477">
        <w:rPr>
          <w:rFonts w:ascii="Verdana" w:eastAsia="Arial" w:hAnsi="Verdana" w:cs="Arial"/>
          <w:lang w:eastAsia="es-ES" w:bidi="es-ES"/>
        </w:rPr>
        <w:t xml:space="preserve"> que la entidad reconozca y pague las obligaciones derivadas de la modificación contractual. </w:t>
      </w:r>
    </w:p>
    <w:p w14:paraId="5305D09D" w14:textId="77777777" w:rsidR="00216796" w:rsidRPr="00865477" w:rsidRDefault="00216796" w:rsidP="00216796">
      <w:pPr>
        <w:widowControl w:val="0"/>
        <w:autoSpaceDE w:val="0"/>
        <w:autoSpaceDN w:val="0"/>
        <w:spacing w:after="120" w:line="276" w:lineRule="auto"/>
        <w:ind w:firstLine="709"/>
        <w:jc w:val="both"/>
        <w:rPr>
          <w:rFonts w:ascii="Verdana" w:eastAsia="Arial" w:hAnsi="Verdana" w:cs="Arial"/>
          <w:lang w:eastAsia="es-ES" w:bidi="es-ES"/>
        </w:rPr>
      </w:pPr>
      <w:r>
        <w:rPr>
          <w:rFonts w:ascii="Verdana" w:eastAsia="Arial" w:hAnsi="Verdana" w:cs="Arial"/>
          <w:lang w:eastAsia="es-ES" w:bidi="es-ES"/>
        </w:rPr>
        <w:t xml:space="preserve">Para ello, </w:t>
      </w:r>
      <w:r>
        <w:rPr>
          <w:rFonts w:ascii="Verdana" w:eastAsia="Times New Roman" w:hAnsi="Verdana" w:cs="Arial"/>
          <w:color w:val="000000"/>
          <w:bdr w:val="none" w:sz="0" w:space="0" w:color="auto" w:frame="1"/>
          <w:shd w:val="clear" w:color="auto" w:fill="FFFFFF"/>
          <w:lang w:eastAsia="es-ES_tradnl"/>
        </w:rPr>
        <w:t xml:space="preserve">es necesario precisar que la liquidación del contrato ya sea que se derive de cualquiera de sus manifestaciones -liquidación bilateral, liquidación unilateral o liquidación judicial- debe contar con el Certificado de Disponibilidad Presupuestal –CDP- y el Registro Presupuestal, ya que dichos documentos se constituyen en requisitos para la ejecución y pago de las obligaciones que se estipularon y reconocieron en esta. </w:t>
      </w:r>
      <w:r w:rsidRPr="00865477">
        <w:rPr>
          <w:rFonts w:ascii="Verdana" w:eastAsia="Arial" w:hAnsi="Verdana" w:cs="Arial"/>
          <w:lang w:eastAsia="es-ES" w:bidi="es-ES"/>
        </w:rPr>
        <w:t>De esta forma, se asegura un balance</w:t>
      </w:r>
      <w:r>
        <w:rPr>
          <w:rFonts w:ascii="Verdana" w:eastAsia="Arial" w:hAnsi="Verdana" w:cs="Arial"/>
          <w:lang w:eastAsia="es-ES" w:bidi="es-ES"/>
        </w:rPr>
        <w:t xml:space="preserve"> técnico, administrativo,</w:t>
      </w:r>
      <w:r w:rsidRPr="00865477">
        <w:rPr>
          <w:rFonts w:ascii="Verdana" w:eastAsia="Arial" w:hAnsi="Verdana" w:cs="Arial"/>
          <w:lang w:eastAsia="es-ES" w:bidi="es-ES"/>
        </w:rPr>
        <w:t xml:space="preserve"> económico y jurídico que respete tanto los derechos del contratista como los principios de transparencia y responsabilidad en la gestión pública.</w:t>
      </w:r>
    </w:p>
    <w:p w14:paraId="2120F945" w14:textId="77777777" w:rsidR="00216796" w:rsidRPr="00865477" w:rsidRDefault="00216796" w:rsidP="00216796">
      <w:pPr>
        <w:widowControl w:val="0"/>
        <w:autoSpaceDE w:val="0"/>
        <w:autoSpaceDN w:val="0"/>
        <w:spacing w:after="120" w:line="276" w:lineRule="auto"/>
        <w:ind w:firstLine="709"/>
        <w:jc w:val="both"/>
        <w:rPr>
          <w:rFonts w:ascii="Verdana" w:eastAsia="Arial" w:hAnsi="Verdana" w:cs="Arial"/>
          <w:lang w:eastAsia="es-ES" w:bidi="es-ES"/>
        </w:rPr>
      </w:pPr>
      <w:r w:rsidRPr="00865477">
        <w:rPr>
          <w:rFonts w:ascii="Verdana" w:eastAsia="Arial" w:hAnsi="Verdana" w:cs="Arial"/>
          <w:lang w:eastAsia="es-ES" w:bidi="es-ES"/>
        </w:rPr>
        <w:t xml:space="preserve">Sin perjuicio de lo anterior, el contratista conserva la facultad de presentar una reclamación formal ante la entidad para exigir el pago de las prestaciones ejecutadas. En caso de persistir la negativa, puede acudir al medio de control de </w:t>
      </w:r>
      <w:r w:rsidRPr="00865477">
        <w:rPr>
          <w:rFonts w:ascii="Verdana" w:eastAsia="Arial" w:hAnsi="Verdana" w:cs="Arial"/>
          <w:lang w:eastAsia="es-ES" w:bidi="es-ES"/>
        </w:rPr>
        <w:lastRenderedPageBreak/>
        <w:t>controversias contractuales</w:t>
      </w:r>
      <w:r>
        <w:rPr>
          <w:rStyle w:val="Refdenotaalpie"/>
          <w:rFonts w:ascii="Verdana" w:eastAsia="Arial" w:hAnsi="Verdana" w:cs="Arial"/>
          <w:lang w:eastAsia="es-ES" w:bidi="es-ES"/>
        </w:rPr>
        <w:footnoteReference w:id="11"/>
      </w:r>
      <w:r w:rsidRPr="00865477">
        <w:rPr>
          <w:rFonts w:ascii="Verdana" w:eastAsia="Arial" w:hAnsi="Verdana" w:cs="Arial"/>
          <w:lang w:eastAsia="es-ES" w:bidi="es-ES"/>
        </w:rPr>
        <w:t xml:space="preserve">, solicitando que se declare el </w:t>
      </w:r>
      <w:r>
        <w:rPr>
          <w:rFonts w:ascii="Verdana" w:eastAsia="Arial" w:hAnsi="Verdana" w:cs="Arial"/>
          <w:lang w:eastAsia="es-ES" w:bidi="es-ES"/>
        </w:rPr>
        <w:t>in</w:t>
      </w:r>
      <w:r w:rsidRPr="00865477">
        <w:rPr>
          <w:rFonts w:ascii="Verdana" w:eastAsia="Arial" w:hAnsi="Verdana" w:cs="Arial"/>
          <w:lang w:eastAsia="es-ES" w:bidi="es-ES"/>
        </w:rPr>
        <w:t>cumplimiento de las obligaciones y, en consecuencia, el deber de la entidad de efectuar el pago. Este camino judicial garantiza la protección de los derechos del contratista y refuerza la obligación de la administración de actuar conforme a la legalidad, la buena fe y la prohibición del enriquecimiento sin causa, preservando al mismo tiempo la planeación y responsabilidad en el manejo de los recursos públicos.</w:t>
      </w:r>
    </w:p>
    <w:p w14:paraId="09078491" w14:textId="77777777" w:rsidR="00216796" w:rsidRDefault="00216796" w:rsidP="00216796">
      <w:pPr>
        <w:widowControl w:val="0"/>
        <w:autoSpaceDE w:val="0"/>
        <w:autoSpaceDN w:val="0"/>
        <w:spacing w:after="120" w:line="276" w:lineRule="auto"/>
        <w:ind w:firstLine="709"/>
        <w:jc w:val="both"/>
        <w:rPr>
          <w:rFonts w:ascii="Verdana" w:eastAsia="Arial" w:hAnsi="Verdana" w:cs="Arial"/>
          <w:lang w:eastAsia="es-ES" w:bidi="es-ES"/>
        </w:rPr>
      </w:pPr>
      <w:r w:rsidRPr="00C90794">
        <w:rPr>
          <w:rFonts w:ascii="Verdana" w:eastAsia="Arial" w:hAnsi="Verdana" w:cs="Arial"/>
          <w:lang w:eastAsia="es-ES" w:bidi="es-ES"/>
        </w:rPr>
        <w:t>Conviene precisar el deslinde entre estos mecanismos. Como en el supuesto consultado existe un título contractual —la modificación perfeccionada y publicada—, el cauce idóneo para el reconocimiento y pago es el propio de la relación contractual: la expedición del registro, el acta de liquidación o el medio de control de controversias contractuales. La acción de enriquecimiento sin causa (</w:t>
      </w:r>
      <w:proofErr w:type="spellStart"/>
      <w:r w:rsidRPr="00C90794">
        <w:rPr>
          <w:rFonts w:ascii="Verdana" w:eastAsia="Arial" w:hAnsi="Verdana" w:cs="Arial"/>
          <w:lang w:eastAsia="es-ES" w:bidi="es-ES"/>
        </w:rPr>
        <w:t>actio</w:t>
      </w:r>
      <w:proofErr w:type="spellEnd"/>
      <w:r w:rsidRPr="00C90794">
        <w:rPr>
          <w:rFonts w:ascii="Verdana" w:eastAsia="Arial" w:hAnsi="Verdana" w:cs="Arial"/>
          <w:lang w:eastAsia="es-ES" w:bidi="es-ES"/>
        </w:rPr>
        <w:t xml:space="preserve"> de in rem verso), que se tramita por la vía de la reparación directa, tiene carácter excepcional y subsidiario: según la jurisprudencia de unificación de la Sección Tercera del Consejo de Estado (sentencia de unificación del 19 de noviembre de 2012), solo procede de manera residual, cuando el desplazamiento patrimonial carece de una causa jurídica que lo justifique —esto es, ante la ausencia de título contractual— y no puede emplearse para sortear las exigencias de la contratación estatal ni como vía alterna al título existente. Por ello, cuando la modificación se ha perfeccionado, el reconocimiento se gobierna por las reglas del contrato y no por el enriquecimiento sin causa.</w:t>
      </w:r>
    </w:p>
    <w:p w14:paraId="00756082" w14:textId="77777777" w:rsidR="00216796" w:rsidRPr="00F02749" w:rsidRDefault="00216796" w:rsidP="00216796">
      <w:pPr>
        <w:widowControl w:val="0"/>
        <w:autoSpaceDE w:val="0"/>
        <w:autoSpaceDN w:val="0"/>
        <w:spacing w:after="120" w:line="276" w:lineRule="auto"/>
        <w:ind w:firstLine="709"/>
        <w:jc w:val="both"/>
        <w:rPr>
          <w:rFonts w:ascii="Verdana" w:eastAsia="Arial" w:hAnsi="Verdana" w:cs="Arial"/>
          <w:lang w:eastAsia="es-ES" w:bidi="es-ES"/>
        </w:rPr>
      </w:pPr>
      <w:r>
        <w:rPr>
          <w:rFonts w:ascii="Verdana" w:eastAsia="Arial" w:hAnsi="Verdana" w:cs="Arial"/>
          <w:lang w:eastAsia="es-ES" w:bidi="es-ES"/>
        </w:rPr>
        <w:t>En todo caso, la</w:t>
      </w:r>
      <w:r w:rsidRPr="00287415">
        <w:rPr>
          <w:rFonts w:ascii="Verdana" w:eastAsia="Arial" w:hAnsi="Verdana" w:cs="Arial"/>
          <w:lang w:eastAsia="es-ES" w:bidi="es-ES"/>
        </w:rPr>
        <w:t xml:space="preserve"> solución</w:t>
      </w:r>
      <w:r>
        <w:rPr>
          <w:rFonts w:ascii="Verdana" w:eastAsia="Arial" w:hAnsi="Verdana" w:cs="Arial"/>
          <w:lang w:eastAsia="es-ES" w:bidi="es-ES"/>
        </w:rPr>
        <w:t xml:space="preserve"> que tome la entidad</w:t>
      </w:r>
      <w:r w:rsidRPr="00287415">
        <w:rPr>
          <w:rFonts w:ascii="Verdana" w:eastAsia="Arial" w:hAnsi="Verdana" w:cs="Arial"/>
          <w:lang w:eastAsia="es-ES" w:bidi="es-ES"/>
        </w:rPr>
        <w:t xml:space="preserve"> debe armonizar la responsabilidad fiscal y disciplinaria de los servidores públicos con la garantía de los derechos del contratista. Por ello, además de los mecanismos judiciales y administrativos mencionados, resulta fundamental que la entidad adopte medidas de planeación y control interno que eviten la ejecución de obligaciones sin respaldo presupuestal. De est</w:t>
      </w:r>
      <w:r>
        <w:rPr>
          <w:rFonts w:ascii="Verdana" w:eastAsia="Arial" w:hAnsi="Verdana" w:cs="Arial"/>
          <w:lang w:eastAsia="es-ES" w:bidi="es-ES"/>
        </w:rPr>
        <w:t>e modo</w:t>
      </w:r>
      <w:r w:rsidRPr="00287415">
        <w:rPr>
          <w:rFonts w:ascii="Verdana" w:eastAsia="Arial" w:hAnsi="Verdana" w:cs="Arial"/>
          <w:lang w:eastAsia="es-ES" w:bidi="es-ES"/>
        </w:rPr>
        <w:t xml:space="preserve">, se asegura tanto la legalidad del gasto </w:t>
      </w:r>
      <w:r w:rsidRPr="00287415">
        <w:rPr>
          <w:rFonts w:ascii="Verdana" w:eastAsia="Arial" w:hAnsi="Verdana" w:cs="Arial"/>
          <w:lang w:eastAsia="es-ES" w:bidi="es-ES"/>
        </w:rPr>
        <w:lastRenderedPageBreak/>
        <w:t>público como la confianza en la contratación estatal, preservando la responsabilidad de la administración y la seguridad jurídica de los contratistas.</w:t>
      </w:r>
    </w:p>
    <w:p w14:paraId="320406B0" w14:textId="77777777" w:rsidR="00216796" w:rsidRPr="003E4CC9" w:rsidRDefault="00216796" w:rsidP="00216796">
      <w:pPr>
        <w:widowControl w:val="0"/>
        <w:autoSpaceDE w:val="0"/>
        <w:autoSpaceDN w:val="0"/>
        <w:spacing w:after="0" w:line="276" w:lineRule="auto"/>
        <w:ind w:firstLine="708"/>
        <w:jc w:val="both"/>
        <w:rPr>
          <w:rFonts w:ascii="Verdana" w:hAnsi="Verdana"/>
          <w:b/>
          <w:i/>
        </w:rPr>
      </w:pPr>
      <w:r w:rsidRPr="003E4CC9">
        <w:rPr>
          <w:rFonts w:ascii="Verdana" w:eastAsia="Arial" w:hAnsi="Verdana" w:cs="Arial"/>
          <w:lang w:val="es-MX" w:eastAsia="es-ES" w:bidi="es-ES"/>
        </w:rPr>
        <w:t>Por otro lado,</w:t>
      </w:r>
      <w:r>
        <w:rPr>
          <w:rFonts w:ascii="Verdana" w:eastAsia="Arial" w:hAnsi="Verdana" w:cs="Arial"/>
          <w:lang w:val="es-MX" w:eastAsia="es-ES" w:bidi="es-ES"/>
        </w:rPr>
        <w:t xml:space="preserve"> dentro de los límites de orden formal, también se encuentra que</w:t>
      </w:r>
      <w:r w:rsidRPr="003E4CC9">
        <w:rPr>
          <w:rFonts w:ascii="Verdana" w:eastAsia="Arial" w:hAnsi="Verdana" w:cs="Arial"/>
          <w:lang w:val="es-MX" w:eastAsia="es-ES" w:bidi="es-ES"/>
        </w:rPr>
        <w:t xml:space="preserve"> </w:t>
      </w:r>
      <w:r w:rsidRPr="003E4CC9">
        <w:rPr>
          <w:rFonts w:ascii="Verdana" w:eastAsia="Calibri" w:hAnsi="Verdana" w:cs="Arial"/>
        </w:rPr>
        <w:t>la entidad debe motivar y justificar la modificación. Al respecto el Consejo de Estado ha señalado:</w:t>
      </w:r>
    </w:p>
    <w:p w14:paraId="5F814EE6" w14:textId="77777777" w:rsidR="00216796" w:rsidRPr="003E4CC9" w:rsidRDefault="00216796" w:rsidP="00216796">
      <w:pPr>
        <w:spacing w:after="0" w:line="276" w:lineRule="auto"/>
        <w:jc w:val="both"/>
        <w:rPr>
          <w:rFonts w:ascii="Verdana" w:hAnsi="Verdana"/>
          <w:i/>
        </w:rPr>
      </w:pPr>
    </w:p>
    <w:p w14:paraId="7EBCC566" w14:textId="77777777" w:rsidR="00216796" w:rsidRPr="003E4CC9" w:rsidRDefault="00216796" w:rsidP="00216796">
      <w:pPr>
        <w:spacing w:after="0" w:line="240" w:lineRule="auto"/>
        <w:ind w:left="709" w:right="709"/>
        <w:jc w:val="both"/>
        <w:rPr>
          <w:rFonts w:ascii="Verdana" w:hAnsi="Verdana"/>
          <w:sz w:val="20"/>
          <w:szCs w:val="20"/>
        </w:rPr>
      </w:pPr>
      <w:r w:rsidRPr="003E4CC9">
        <w:rPr>
          <w:rFonts w:ascii="Verdana" w:hAnsi="Verdana"/>
          <w:sz w:val="20"/>
          <w:szCs w:val="20"/>
        </w:rPr>
        <w:t xml:space="preserve">“El expediente de contratación y la actuación administrativa inicial que comprende los estudios previos, el análisis de riesgos y el presupuesto oficial o estimativo de costos necesario para la modificación del contrato, deberán dar cuenta de las razones de interés público que hacen necesario afectar lo inicialmente pactado. Como regla general, las mismas razones del deber de planeación para el contrato inicial se imponen como requisito previo del contrato modificatorio. </w:t>
      </w:r>
    </w:p>
    <w:p w14:paraId="2AEDDB88" w14:textId="77777777" w:rsidR="00216796" w:rsidRPr="003E4CC9" w:rsidRDefault="00216796" w:rsidP="00216796">
      <w:pPr>
        <w:spacing w:after="0" w:line="240" w:lineRule="auto"/>
        <w:ind w:left="709" w:right="709"/>
        <w:jc w:val="both"/>
        <w:rPr>
          <w:rFonts w:ascii="Verdana" w:hAnsi="Verdana"/>
          <w:sz w:val="20"/>
          <w:szCs w:val="20"/>
        </w:rPr>
      </w:pPr>
    </w:p>
    <w:p w14:paraId="020BC574" w14:textId="77777777" w:rsidR="00216796" w:rsidRPr="003E4CC9" w:rsidRDefault="00216796" w:rsidP="00216796">
      <w:pPr>
        <w:spacing w:after="0" w:line="240" w:lineRule="auto"/>
        <w:ind w:left="709" w:right="709"/>
        <w:jc w:val="both"/>
        <w:rPr>
          <w:rFonts w:ascii="Verdana" w:hAnsi="Verdana"/>
          <w:sz w:val="20"/>
          <w:szCs w:val="20"/>
        </w:rPr>
      </w:pPr>
      <w:r w:rsidRPr="003E4CC9">
        <w:rPr>
          <w:rFonts w:ascii="Verdana" w:hAnsi="Verdana"/>
          <w:sz w:val="20"/>
          <w:szCs w:val="20"/>
        </w:rPr>
        <w:t>La motivación del contrato modificatorio resulta un elemento esencial que permita determinar su juridicidad, la justificación de su necesidad, su racionalidad y la proporcionalidad de su contenido, en especial cuando se alteran los aspectos técnicos y financieros iniciales. Se trata de un requisito indispensable para el control de legalidad del contrato o del acto de modificación.</w:t>
      </w:r>
    </w:p>
    <w:p w14:paraId="18A2ACD7" w14:textId="77777777" w:rsidR="00216796" w:rsidRPr="003E4CC9" w:rsidRDefault="00216796" w:rsidP="00216796">
      <w:pPr>
        <w:spacing w:after="0" w:line="240" w:lineRule="auto"/>
        <w:ind w:left="709" w:right="709"/>
        <w:jc w:val="both"/>
        <w:rPr>
          <w:rFonts w:ascii="Verdana" w:hAnsi="Verdana"/>
          <w:sz w:val="20"/>
          <w:szCs w:val="20"/>
        </w:rPr>
      </w:pPr>
    </w:p>
    <w:p w14:paraId="33CD6257" w14:textId="77777777" w:rsidR="00216796" w:rsidRPr="003E4CC9" w:rsidRDefault="00216796" w:rsidP="00216796">
      <w:pPr>
        <w:spacing w:after="0" w:line="240" w:lineRule="auto"/>
        <w:ind w:left="709" w:right="709"/>
        <w:jc w:val="both"/>
        <w:rPr>
          <w:rFonts w:ascii="Verdana" w:hAnsi="Verdana"/>
          <w:sz w:val="20"/>
          <w:szCs w:val="20"/>
        </w:rPr>
      </w:pPr>
      <w:r w:rsidRPr="003E4CC9">
        <w:rPr>
          <w:rFonts w:ascii="Verdana" w:hAnsi="Verdana"/>
          <w:sz w:val="20"/>
          <w:szCs w:val="20"/>
        </w:rPr>
        <w:t>La modificación no es una facultad discrecional, cuyo ejercicio penda de criterios de mera conveniencia o de utilidad para la entidad estatal o para su contratista, ni puede servir como instrumento ilegal para mejorar o hacer más favorables las condiciones económicas del adjudicatario. A diferencia del contrato privado, solo procederá por necesidades de interés general que sustenten y justifiquen la legalidad de la modificación”</w:t>
      </w:r>
      <w:r w:rsidRPr="003E4CC9">
        <w:rPr>
          <w:rFonts w:ascii="Verdana" w:hAnsi="Verdana"/>
          <w:sz w:val="20"/>
          <w:szCs w:val="20"/>
          <w:vertAlign w:val="superscript"/>
        </w:rPr>
        <w:footnoteReference w:id="12"/>
      </w:r>
      <w:r w:rsidRPr="003E4CC9">
        <w:rPr>
          <w:rFonts w:ascii="Verdana" w:hAnsi="Verdana"/>
          <w:sz w:val="20"/>
          <w:szCs w:val="20"/>
        </w:rPr>
        <w:t>.</w:t>
      </w:r>
    </w:p>
    <w:p w14:paraId="694270DB" w14:textId="77777777" w:rsidR="00216796" w:rsidRPr="003E4CC9" w:rsidRDefault="00216796" w:rsidP="00216796">
      <w:pPr>
        <w:widowControl w:val="0"/>
        <w:autoSpaceDE w:val="0"/>
        <w:autoSpaceDN w:val="0"/>
        <w:spacing w:after="0" w:line="276" w:lineRule="auto"/>
        <w:jc w:val="both"/>
        <w:rPr>
          <w:rFonts w:ascii="Verdana" w:eastAsia="Calibri" w:hAnsi="Verdana" w:cs="Arial"/>
        </w:rPr>
      </w:pPr>
      <w:r w:rsidRPr="003E4CC9">
        <w:rPr>
          <w:rFonts w:ascii="Verdana" w:eastAsia="Calibri" w:hAnsi="Verdana" w:cs="Arial"/>
        </w:rPr>
        <w:t xml:space="preserve"> </w:t>
      </w:r>
    </w:p>
    <w:p w14:paraId="34F065D0" w14:textId="77777777" w:rsidR="00216796" w:rsidRPr="003E4CC9" w:rsidRDefault="00216796" w:rsidP="00216796">
      <w:pPr>
        <w:widowControl w:val="0"/>
        <w:autoSpaceDE w:val="0"/>
        <w:autoSpaceDN w:val="0"/>
        <w:spacing w:after="120" w:line="276" w:lineRule="auto"/>
        <w:ind w:firstLine="708"/>
        <w:jc w:val="both"/>
        <w:rPr>
          <w:rFonts w:ascii="Verdana" w:eastAsia="Arial" w:hAnsi="Verdana" w:cs="Arial"/>
          <w:i/>
          <w:lang w:val="es-MX" w:eastAsia="es-ES" w:bidi="es-ES"/>
        </w:rPr>
      </w:pPr>
      <w:r w:rsidRPr="003E4CC9">
        <w:rPr>
          <w:rFonts w:ascii="Verdana" w:eastAsia="Calibri" w:hAnsi="Verdana" w:cs="Arial"/>
        </w:rPr>
        <w:t xml:space="preserve">Los </w:t>
      </w:r>
      <w:r w:rsidRPr="003E4CC9">
        <w:rPr>
          <w:rFonts w:ascii="Verdana" w:eastAsia="Calibri" w:hAnsi="Verdana" w:cs="Arial"/>
          <w:i/>
        </w:rPr>
        <w:t>límites materiales</w:t>
      </w:r>
      <w:r w:rsidRPr="003E4CC9">
        <w:rPr>
          <w:rFonts w:ascii="Verdana" w:eastAsia="Calibri" w:hAnsi="Verdana" w:cs="Arial"/>
        </w:rPr>
        <w:t xml:space="preserve"> </w:t>
      </w:r>
      <w:r w:rsidRPr="003E4CC9">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3E4CC9">
        <w:rPr>
          <w:rFonts w:ascii="Verdana" w:eastAsia="Arial" w:hAnsi="Verdana" w:cs="Arial"/>
          <w:i/>
          <w:lang w:val="es-MX" w:eastAsia="es-ES" w:bidi="es-ES"/>
        </w:rPr>
        <w:t>“habiendo figurado en el procedimiento inicial, hubiera permitido la participación de otros interesados aparte de los inicialmente admitidos, o seleccionar una oferta distinta de la inicialmente seleccionada”</w:t>
      </w:r>
      <w:r w:rsidRPr="003E4CC9">
        <w:rPr>
          <w:rFonts w:ascii="Verdana" w:eastAsia="Arial" w:hAnsi="Verdana" w:cs="Arial"/>
          <w:i/>
          <w:vertAlign w:val="superscript"/>
          <w:lang w:val="es-MX" w:eastAsia="es-ES" w:bidi="es-ES"/>
        </w:rPr>
        <w:footnoteReference w:id="13"/>
      </w:r>
      <w:r w:rsidRPr="003E4CC9">
        <w:rPr>
          <w:rFonts w:ascii="Verdana" w:eastAsia="Arial" w:hAnsi="Verdana" w:cs="Arial"/>
          <w:i/>
          <w:lang w:val="es-MX" w:eastAsia="es-ES" w:bidi="es-ES"/>
        </w:rPr>
        <w:t xml:space="preserve">. </w:t>
      </w:r>
      <w:r w:rsidRPr="003E4CC9">
        <w:rPr>
          <w:rFonts w:ascii="Verdana" w:eastAsia="Arial" w:hAnsi="Verdana" w:cs="Arial"/>
          <w:lang w:val="es-MX" w:eastAsia="es-ES" w:bidi="es-ES"/>
        </w:rPr>
        <w:t xml:space="preserve">Finalmente, se encuentran los </w:t>
      </w:r>
      <w:r w:rsidRPr="003E4CC9">
        <w:rPr>
          <w:rFonts w:ascii="Verdana" w:eastAsia="Arial" w:hAnsi="Verdana" w:cs="Arial"/>
          <w:i/>
          <w:lang w:val="es-MX" w:eastAsia="es-ES" w:bidi="es-ES"/>
        </w:rPr>
        <w:t>límites axiológicos</w:t>
      </w:r>
      <w:r w:rsidRPr="003E4CC9">
        <w:rPr>
          <w:rFonts w:ascii="Verdana" w:eastAsia="Arial" w:hAnsi="Verdana" w:cs="Arial"/>
          <w:lang w:val="es-MX" w:eastAsia="es-ES" w:bidi="es-ES"/>
        </w:rPr>
        <w:t xml:space="preserve">, los cuales se fundan en la necesidad de preservar los principios de igualdad, transparencia, libertad de concurrencia, selección objetiva y planeación. </w:t>
      </w:r>
      <w:r w:rsidRPr="003E4CC9">
        <w:rPr>
          <w:rFonts w:ascii="Verdana" w:eastAsia="Calibri" w:hAnsi="Verdana" w:cs="Arial"/>
          <w:lang w:eastAsia="es-ES_tradnl"/>
        </w:rPr>
        <w:t xml:space="preserve">Lo anterior, con la finalidad de realizar la escogencia diligente de la mejor oferta, para beneficiar los intereses </w:t>
      </w:r>
      <w:r w:rsidRPr="003E4CC9">
        <w:rPr>
          <w:rFonts w:ascii="Verdana" w:eastAsia="Calibri" w:hAnsi="Verdana" w:cs="Arial"/>
          <w:lang w:eastAsia="es-ES_tradnl"/>
        </w:rPr>
        <w:lastRenderedPageBreak/>
        <w:t>y fines públicos inmersos en la contratación de las Entidades Estatales. A modo de ejemplo, l</w:t>
      </w:r>
      <w:r w:rsidRPr="003E4CC9">
        <w:rPr>
          <w:rFonts w:ascii="Verdana" w:eastAsia="Calibri" w:hAnsi="Verdana" w:cs="Arial"/>
        </w:rPr>
        <w:t xml:space="preserve">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057EB7C1" w14:textId="77777777" w:rsidR="00216796" w:rsidRPr="003E4CC9" w:rsidRDefault="00216796" w:rsidP="00216796">
      <w:pPr>
        <w:widowControl w:val="0"/>
        <w:autoSpaceDE w:val="0"/>
        <w:autoSpaceDN w:val="0"/>
        <w:spacing w:after="120" w:line="276" w:lineRule="auto"/>
        <w:ind w:firstLine="708"/>
        <w:jc w:val="both"/>
        <w:rPr>
          <w:rFonts w:ascii="Verdana" w:eastAsia="Calibri" w:hAnsi="Verdana" w:cs="Arial"/>
          <w:lang w:val="es-MX" w:eastAsia="es-ES_tradnl"/>
        </w:rPr>
      </w:pPr>
      <w:r w:rsidRPr="003E4CC9">
        <w:rPr>
          <w:rFonts w:ascii="Verdana" w:eastAsia="Arial" w:hAnsi="Verdana" w:cs="Arial"/>
          <w:lang w:val="es-MX" w:eastAsia="es-ES" w:bidi="es-ES"/>
        </w:rPr>
        <w:t>Este límite encuentra sustento en el hecho de que, para celebrar contratos estatales las Entidades Públicas eligen, dentro de un “régimen de concurrencia y de igualdad, las mejores condiciones de costo, calidad e idoneidad de la prestación requerida</w:t>
      </w:r>
      <w:r w:rsidRPr="003E4CC9">
        <w:rPr>
          <w:rFonts w:ascii="Verdana" w:eastAsia="Arial" w:hAnsi="Verdana" w:cs="Arial"/>
          <w:lang w:val="es-ES_tradnl" w:eastAsia="es-ES" w:bidi="es-ES"/>
        </w:rPr>
        <w:t>”</w:t>
      </w:r>
      <w:r w:rsidRPr="003E4CC9">
        <w:rPr>
          <w:rFonts w:ascii="Verdana" w:eastAsia="Arial" w:hAnsi="Verdana" w:cs="Arial"/>
          <w:lang w:val="es-MX" w:eastAsia="es-ES" w:bidi="es-ES"/>
        </w:rPr>
        <w:t>. Esto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r w:rsidRPr="003E4CC9">
        <w:rPr>
          <w:rFonts w:ascii="Verdana" w:eastAsia="Calibri" w:hAnsi="Verdana" w:cs="Arial"/>
          <w:lang w:val="es-MX" w:eastAsia="es-ES_tradnl"/>
        </w:rPr>
        <w:t xml:space="preserve"> </w:t>
      </w:r>
    </w:p>
    <w:p w14:paraId="695C1CC2" w14:textId="77777777" w:rsidR="00216796" w:rsidRPr="003E4CC9" w:rsidRDefault="00216796" w:rsidP="00216796">
      <w:pPr>
        <w:widowControl w:val="0"/>
        <w:autoSpaceDE w:val="0"/>
        <w:autoSpaceDN w:val="0"/>
        <w:spacing w:after="0" w:line="276" w:lineRule="auto"/>
        <w:ind w:firstLine="709"/>
        <w:jc w:val="both"/>
        <w:rPr>
          <w:rFonts w:ascii="Verdana" w:eastAsia="Calibri" w:hAnsi="Verdana" w:cs="Arial"/>
          <w:bCs/>
          <w:lang w:eastAsia="es-ES_tradnl"/>
        </w:rPr>
      </w:pPr>
      <w:r w:rsidRPr="003E4CC9">
        <w:rPr>
          <w:rFonts w:ascii="Verdana" w:eastAsia="Calibri" w:hAnsi="Verdana" w:cs="Arial"/>
          <w:lang w:val="es-MX" w:eastAsia="es-ES_tradnl"/>
        </w:rPr>
        <w:t>E</w:t>
      </w:r>
      <w:r w:rsidRPr="003E4CC9">
        <w:rPr>
          <w:rFonts w:ascii="Verdana" w:eastAsia="Arial" w:hAnsi="Verdana" w:cs="Arial"/>
          <w:lang w:val="es-MX" w:eastAsia="es-ES" w:bidi="es-ES"/>
        </w:rPr>
        <w:t>n virtud de la aplicación de los principios de transparencia, libertad de concurrencia e igualdad, consagrados en el EGCAP, y las reglas sustanciales del Pliego de Condiciones, que permitieron elegir la mejor oferta, previo cumplimiento de unos requisitos con base en los cuales la oferta del contratista fue considerada la más favorable, estos deben ser de estricta observancia y deben mantenerse durante la ejecución del contrato y en su liquidación, como garantía de inalterabilidad de lo pactado y de acatamiento a la legalidad de las reglas aplicadas en la actuación previa</w:t>
      </w:r>
      <w:r w:rsidRPr="003E4CC9">
        <w:rPr>
          <w:rFonts w:ascii="Verdana" w:eastAsia="Arial" w:hAnsi="Verdana" w:cs="Arial"/>
          <w:lang w:val="es-ES_tradnl" w:eastAsia="es-ES" w:bidi="es-ES"/>
        </w:rPr>
        <w:t>.</w:t>
      </w:r>
      <w:r w:rsidRPr="003E4CC9">
        <w:rPr>
          <w:rFonts w:ascii="Verdana" w:eastAsia="Calibri" w:hAnsi="Verdana" w:cs="Arial"/>
          <w:bCs/>
          <w:lang w:eastAsia="es-ES_tradnl"/>
        </w:rPr>
        <w:t xml:space="preserve"> </w:t>
      </w:r>
    </w:p>
    <w:p w14:paraId="0DC840C8" w14:textId="77777777" w:rsidR="00216796" w:rsidRDefault="00216796" w:rsidP="00216796">
      <w:pPr>
        <w:tabs>
          <w:tab w:val="left" w:pos="709"/>
        </w:tabs>
        <w:spacing w:after="0" w:line="276" w:lineRule="auto"/>
        <w:jc w:val="both"/>
        <w:rPr>
          <w:rFonts w:ascii="Verdana" w:eastAsia="Calibri" w:hAnsi="Verdana" w:cs="Arial"/>
          <w:color w:val="000000" w:themeColor="text1"/>
        </w:rPr>
      </w:pPr>
    </w:p>
    <w:p w14:paraId="5669E743" w14:textId="77777777" w:rsidR="00216796" w:rsidRPr="00CB7DC1" w:rsidRDefault="00216796" w:rsidP="00216796">
      <w:pPr>
        <w:tabs>
          <w:tab w:val="left" w:pos="709"/>
        </w:tabs>
        <w:spacing w:after="12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iii</w:t>
      </w:r>
      <w:proofErr w:type="spellEnd"/>
      <w:r>
        <w:rPr>
          <w:rFonts w:ascii="Verdana" w:eastAsia="Calibri" w:hAnsi="Verdana" w:cs="Arial"/>
          <w:bCs/>
          <w:color w:val="000000" w:themeColor="text1"/>
        </w:rPr>
        <w:t xml:space="preserve">. </w:t>
      </w:r>
      <w:r w:rsidRPr="00CB7DC1">
        <w:rPr>
          <w:rFonts w:ascii="Verdana" w:eastAsia="Calibri" w:hAnsi="Verdana" w:cs="Arial"/>
          <w:bCs/>
          <w:color w:val="000000" w:themeColor="text1"/>
        </w:rPr>
        <w:t>Al margen de la explicación precedente, es necesario advertir que el análisis requerido para resolver problemas específicos en torno a la gestión contractual de las entidades públicas —en particular sobre las adiciones contractuales y la expedición del Registro Presupuestal (RP)— debe ser realizado por quienes tengan interés directo en el asunto. Tal como se indicó en la aclaración preliminar del presente oficio, las consideraciones expuestas tienen un carácter general y no pueden entenderse como pronunciamientos vinculantes sobre situaciones concretas.</w:t>
      </w:r>
      <w:r>
        <w:rPr>
          <w:rFonts w:ascii="Verdana" w:eastAsia="Calibri" w:hAnsi="Verdana" w:cs="Arial"/>
          <w:bCs/>
          <w:color w:val="000000" w:themeColor="text1"/>
        </w:rPr>
        <w:t xml:space="preserve"> En tal sentido</w:t>
      </w:r>
      <w:r w:rsidRPr="00CB7DC1">
        <w:rPr>
          <w:rFonts w:ascii="Verdana" w:eastAsia="Calibri" w:hAnsi="Verdana" w:cs="Arial"/>
          <w:bCs/>
          <w:color w:val="000000" w:themeColor="text1"/>
        </w:rPr>
        <w:t xml:space="preserve">, las afirmaciones aquí desarrolladas no constituyen juicios de valor sobre hechos determinados, sino orientaciones de carácter doctrinal y normativo que buscan ilustrar el alcance de las reglas aplicables. La solución de casos particulares corresponde a los interesados, quienes deben evaluar las circunstancias específicas con el apoyo de sus asesores jurídicos y </w:t>
      </w:r>
      <w:r w:rsidRPr="00CB7DC1">
        <w:rPr>
          <w:rFonts w:ascii="Verdana" w:eastAsia="Calibri" w:hAnsi="Verdana" w:cs="Arial"/>
          <w:bCs/>
          <w:color w:val="000000" w:themeColor="text1"/>
        </w:rPr>
        <w:lastRenderedPageBreak/>
        <w:t>financieros, garantizando que las decisiones adoptadas se ajusten a la legalidad y a los principios de la contratación estatal.</w:t>
      </w:r>
    </w:p>
    <w:p w14:paraId="37D9CE6E" w14:textId="77777777" w:rsidR="00216796" w:rsidRDefault="00216796" w:rsidP="00216796">
      <w:pPr>
        <w:tabs>
          <w:tab w:val="left" w:pos="709"/>
        </w:tabs>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B02D22">
        <w:rPr>
          <w:rFonts w:ascii="Verdana" w:eastAsia="Calibri" w:hAnsi="Verdana" w:cs="Arial"/>
          <w:bCs/>
          <w:color w:val="000000" w:themeColor="text1"/>
        </w:rPr>
        <w:t>Por lo anterior, cualquier decisión sobre la expedición tardía del RP, el reconocimiento de obligaciones en el acta de liquidación o la eventual reclamación judicial debe ser asumida por los responsables de la gestión contractual de la entidad, previa valoración técnica y jurídica. De igual forma, en caso de conflicto, la competencia para dirimir las controversias recae en las autoridades judiciales, fiscales y disciplinarias, quienes cuentan con las herramientas para determinar responsabilidades y efectos jurídicos.</w:t>
      </w:r>
    </w:p>
    <w:p w14:paraId="39D12AAD" w14:textId="77777777" w:rsidR="00216796" w:rsidRPr="00185EE9" w:rsidRDefault="00216796" w:rsidP="00216796">
      <w:pPr>
        <w:tabs>
          <w:tab w:val="left" w:pos="709"/>
        </w:tabs>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185EE9">
        <w:rPr>
          <w:rFonts w:ascii="Verdana" w:eastAsia="Calibri" w:hAnsi="Verdana" w:cs="Arial"/>
          <w:bCs/>
          <w:color w:val="000000" w:themeColor="text1"/>
        </w:rPr>
        <w:t xml:space="preserve"> </w:t>
      </w:r>
    </w:p>
    <w:p w14:paraId="285F0B16" w14:textId="77777777" w:rsidR="00216796" w:rsidRPr="003E4CC9" w:rsidRDefault="00216796" w:rsidP="00216796">
      <w:pPr>
        <w:spacing w:after="0" w:line="276" w:lineRule="auto"/>
        <w:jc w:val="both"/>
        <w:rPr>
          <w:rFonts w:ascii="Verdana" w:eastAsia="Calibri" w:hAnsi="Verdana" w:cs="Arial"/>
          <w:lang w:val="es-ES_tradnl" w:eastAsia="es-ES_tradnl"/>
        </w:rPr>
      </w:pPr>
    </w:p>
    <w:p w14:paraId="61391578" w14:textId="77777777" w:rsidR="00216796" w:rsidRPr="003E4CC9" w:rsidRDefault="00216796" w:rsidP="00216796">
      <w:pPr>
        <w:numPr>
          <w:ilvl w:val="0"/>
          <w:numId w:val="16"/>
        </w:numPr>
        <w:spacing w:after="0" w:line="276" w:lineRule="auto"/>
        <w:rPr>
          <w:rFonts w:ascii="Verdana" w:eastAsia="Calibri" w:hAnsi="Verdana" w:cs="Times New Roman"/>
          <w:b/>
          <w:bCs/>
          <w:lang w:val="es-ES"/>
        </w:rPr>
      </w:pPr>
      <w:r w:rsidRPr="003E4CC9">
        <w:rPr>
          <w:rFonts w:ascii="Verdana" w:eastAsia="Calibri" w:hAnsi="Verdana" w:cs="Times New Roman"/>
          <w:b/>
          <w:bCs/>
          <w:lang w:val="es-ES"/>
        </w:rPr>
        <w:t>Referencias normativas:</w:t>
      </w:r>
    </w:p>
    <w:p w14:paraId="65F98B90" w14:textId="77777777" w:rsidR="00216796" w:rsidRPr="003E4CC9" w:rsidRDefault="00216796" w:rsidP="00216796">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16796" w:rsidRPr="003E4CC9" w14:paraId="61F074A4" w14:textId="77777777" w:rsidTr="001361E0">
        <w:trPr>
          <w:trHeight w:val="501"/>
          <w:jc w:val="center"/>
        </w:trPr>
        <w:tc>
          <w:tcPr>
            <w:tcW w:w="8647" w:type="dxa"/>
          </w:tcPr>
          <w:p w14:paraId="316BED87" w14:textId="77777777" w:rsidR="00216796" w:rsidRPr="008E1619" w:rsidRDefault="00216796" w:rsidP="001361E0">
            <w:pPr>
              <w:widowControl w:val="0"/>
              <w:numPr>
                <w:ilvl w:val="0"/>
                <w:numId w:val="17"/>
              </w:numPr>
              <w:autoSpaceDE w:val="0"/>
              <w:autoSpaceDN w:val="0"/>
              <w:spacing w:before="120" w:after="120" w:line="276" w:lineRule="auto"/>
              <w:jc w:val="both"/>
              <w:rPr>
                <w:rFonts w:ascii="Verdana" w:hAnsi="Verdana" w:cs="Arial"/>
                <w:color w:val="000000" w:themeColor="text1"/>
                <w:lang w:val="es-ES"/>
              </w:rPr>
            </w:pPr>
            <w:r w:rsidRPr="008E1619">
              <w:rPr>
                <w:rFonts w:ascii="Verdana" w:hAnsi="Verdana" w:cs="Arial"/>
                <w:color w:val="000000" w:themeColor="text1"/>
                <w:lang w:val="es-ES"/>
              </w:rPr>
              <w:t>Código Civil, artículos 1501, 1959 y ss.</w:t>
            </w:r>
          </w:p>
          <w:p w14:paraId="14842232" w14:textId="77777777" w:rsidR="00216796" w:rsidRPr="003E4CC9" w:rsidRDefault="00216796" w:rsidP="001361E0">
            <w:pPr>
              <w:widowControl w:val="0"/>
              <w:numPr>
                <w:ilvl w:val="0"/>
                <w:numId w:val="17"/>
              </w:numPr>
              <w:autoSpaceDE w:val="0"/>
              <w:autoSpaceDN w:val="0"/>
              <w:spacing w:before="120" w:after="120" w:line="276" w:lineRule="auto"/>
              <w:jc w:val="both"/>
              <w:rPr>
                <w:rFonts w:ascii="Verdana" w:hAnsi="Verdana" w:cs="Arial"/>
                <w:color w:val="000000" w:themeColor="text1"/>
                <w:lang w:val="es-ES"/>
              </w:rPr>
            </w:pPr>
            <w:r w:rsidRPr="003E4CC9">
              <w:rPr>
                <w:rFonts w:ascii="Verdana" w:hAnsi="Verdana" w:cs="Arial"/>
                <w:color w:val="000000" w:themeColor="text1"/>
                <w:lang w:val="es-ES"/>
              </w:rPr>
              <w:t>Ley 80 de 1993, artículo 11, 12</w:t>
            </w:r>
            <w:r>
              <w:rPr>
                <w:rFonts w:ascii="Verdana" w:hAnsi="Verdana" w:cs="Arial"/>
                <w:color w:val="000000" w:themeColor="text1"/>
                <w:lang w:val="es-ES"/>
              </w:rPr>
              <w:t>,13, 25, 32, 40 y 41</w:t>
            </w:r>
            <w:r w:rsidRPr="003E4CC9">
              <w:rPr>
                <w:rFonts w:ascii="Verdana" w:hAnsi="Verdana" w:cs="Arial"/>
                <w:color w:val="000000" w:themeColor="text1"/>
                <w:lang w:val="es-ES"/>
              </w:rPr>
              <w:t>.</w:t>
            </w:r>
          </w:p>
          <w:p w14:paraId="2C209CF3" w14:textId="77777777" w:rsidR="00216796" w:rsidRDefault="00216796" w:rsidP="001361E0">
            <w:pPr>
              <w:widowControl w:val="0"/>
              <w:numPr>
                <w:ilvl w:val="0"/>
                <w:numId w:val="17"/>
              </w:numPr>
              <w:autoSpaceDE w:val="0"/>
              <w:autoSpaceDN w:val="0"/>
              <w:spacing w:before="120" w:after="120" w:line="276" w:lineRule="auto"/>
              <w:ind w:left="714" w:hanging="357"/>
              <w:jc w:val="both"/>
              <w:rPr>
                <w:rFonts w:ascii="Verdana" w:hAnsi="Verdana" w:cs="Arial"/>
                <w:color w:val="000000" w:themeColor="text1"/>
                <w:lang w:val="es-ES"/>
              </w:rPr>
            </w:pPr>
            <w:r>
              <w:rPr>
                <w:rFonts w:ascii="Verdana" w:hAnsi="Verdana" w:cs="Arial"/>
                <w:color w:val="000000" w:themeColor="text1"/>
                <w:lang w:val="es-ES"/>
              </w:rPr>
              <w:t>Decreto ley 111 de 1996, artículo 71.</w:t>
            </w:r>
          </w:p>
          <w:p w14:paraId="7A31E65F" w14:textId="77777777" w:rsidR="00216796" w:rsidRDefault="00216796" w:rsidP="001361E0">
            <w:pPr>
              <w:widowControl w:val="0"/>
              <w:numPr>
                <w:ilvl w:val="0"/>
                <w:numId w:val="17"/>
              </w:numPr>
              <w:autoSpaceDE w:val="0"/>
              <w:autoSpaceDN w:val="0"/>
              <w:spacing w:before="120" w:after="120" w:line="276" w:lineRule="auto"/>
              <w:ind w:left="714" w:hanging="357"/>
              <w:jc w:val="both"/>
              <w:rPr>
                <w:rFonts w:ascii="Verdana" w:hAnsi="Verdana" w:cs="Arial"/>
                <w:color w:val="000000" w:themeColor="text1"/>
                <w:lang w:val="es-ES"/>
              </w:rPr>
            </w:pPr>
            <w:r>
              <w:rPr>
                <w:rFonts w:ascii="Verdana" w:hAnsi="Verdana" w:cs="Arial"/>
                <w:color w:val="000000" w:themeColor="text1"/>
                <w:lang w:val="es-ES"/>
              </w:rPr>
              <w:t xml:space="preserve">Ley 1437 de 2011, artículo 141. </w:t>
            </w:r>
          </w:p>
          <w:p w14:paraId="675FD161" w14:textId="77777777" w:rsidR="00216796" w:rsidRPr="008E1619" w:rsidRDefault="00216796" w:rsidP="001361E0">
            <w:pPr>
              <w:widowControl w:val="0"/>
              <w:numPr>
                <w:ilvl w:val="0"/>
                <w:numId w:val="17"/>
              </w:numPr>
              <w:autoSpaceDE w:val="0"/>
              <w:autoSpaceDN w:val="0"/>
              <w:spacing w:before="120" w:after="120" w:line="276" w:lineRule="auto"/>
              <w:ind w:left="714" w:hanging="357"/>
              <w:jc w:val="both"/>
              <w:rPr>
                <w:rFonts w:ascii="Verdana" w:hAnsi="Verdana" w:cs="Arial"/>
                <w:color w:val="000000" w:themeColor="text1"/>
                <w:lang w:val="es-ES"/>
              </w:rPr>
            </w:pPr>
            <w:r w:rsidRPr="003E4CC9">
              <w:rPr>
                <w:rFonts w:ascii="Verdana" w:hAnsi="Verdana" w:cs="Arial"/>
                <w:color w:val="000000" w:themeColor="text1"/>
                <w:lang w:val="es-ES"/>
              </w:rPr>
              <w:t>Ley 1474, artículo 85</w:t>
            </w:r>
            <w:r>
              <w:rPr>
                <w:rFonts w:ascii="Verdana" w:hAnsi="Verdana" w:cs="Arial"/>
                <w:color w:val="000000" w:themeColor="text1"/>
                <w:lang w:val="es-ES"/>
              </w:rPr>
              <w:t xml:space="preserve">. </w:t>
            </w:r>
          </w:p>
        </w:tc>
      </w:tr>
    </w:tbl>
    <w:p w14:paraId="60B7A1D3" w14:textId="77777777" w:rsidR="00216796" w:rsidRPr="003E4CC9" w:rsidRDefault="00216796" w:rsidP="00216796">
      <w:pPr>
        <w:spacing w:after="0" w:line="276" w:lineRule="auto"/>
        <w:ind w:right="709"/>
        <w:jc w:val="both"/>
        <w:rPr>
          <w:rFonts w:ascii="Verdana" w:hAnsi="Verdana" w:cs="Arial"/>
          <w:color w:val="000000" w:themeColor="text1"/>
          <w:lang w:val="es-ES_tradnl"/>
        </w:rPr>
      </w:pPr>
    </w:p>
    <w:p w14:paraId="7FC80B38" w14:textId="77777777" w:rsidR="00216796" w:rsidRPr="003E4CC9" w:rsidRDefault="00216796" w:rsidP="00216796">
      <w:pPr>
        <w:numPr>
          <w:ilvl w:val="0"/>
          <w:numId w:val="16"/>
        </w:numPr>
        <w:spacing w:after="0" w:line="276" w:lineRule="auto"/>
        <w:rPr>
          <w:rFonts w:ascii="Verdana" w:eastAsia="Calibri" w:hAnsi="Verdana" w:cs="Times New Roman"/>
          <w:b/>
          <w:bCs/>
          <w:lang w:val="es-ES"/>
        </w:rPr>
      </w:pPr>
      <w:r w:rsidRPr="003E4CC9">
        <w:rPr>
          <w:rFonts w:ascii="Verdana" w:eastAsia="Calibri" w:hAnsi="Verdana" w:cs="Times New Roman"/>
          <w:b/>
          <w:bCs/>
          <w:lang w:val="es-ES"/>
        </w:rPr>
        <w:t>Doctrina de la Agencia Nacional de Contratación Pública:</w:t>
      </w:r>
    </w:p>
    <w:p w14:paraId="38634EF1" w14:textId="77777777" w:rsidR="00216796" w:rsidRPr="003E4CC9" w:rsidRDefault="00216796" w:rsidP="00216796">
      <w:pPr>
        <w:widowControl w:val="0"/>
        <w:autoSpaceDE w:val="0"/>
        <w:autoSpaceDN w:val="0"/>
        <w:spacing w:after="0" w:line="276" w:lineRule="auto"/>
        <w:jc w:val="both"/>
        <w:rPr>
          <w:rFonts w:ascii="Verdana" w:hAnsi="Verdana" w:cs="Arial"/>
          <w:bCs/>
          <w:shd w:val="clear" w:color="auto" w:fill="FFFFFF"/>
        </w:rPr>
      </w:pPr>
    </w:p>
    <w:p w14:paraId="54D84718" w14:textId="77777777" w:rsidR="00216796" w:rsidRPr="003E4CC9" w:rsidRDefault="00216796" w:rsidP="00216796">
      <w:pPr>
        <w:widowControl w:val="0"/>
        <w:autoSpaceDE w:val="0"/>
        <w:autoSpaceDN w:val="0"/>
        <w:spacing w:after="0" w:line="276" w:lineRule="auto"/>
        <w:jc w:val="both"/>
        <w:rPr>
          <w:rFonts w:ascii="Verdana" w:hAnsi="Verdana" w:cs="Arial"/>
          <w:bCs/>
          <w:shd w:val="clear" w:color="auto" w:fill="FFFFFF"/>
        </w:rPr>
      </w:pPr>
      <w:r w:rsidRPr="00E116FA">
        <w:rPr>
          <w:rFonts w:ascii="Verdana" w:hAnsi="Verdana" w:cs="Arial"/>
          <w:bCs/>
          <w:shd w:val="clear" w:color="auto" w:fill="FFFFFF"/>
        </w:rPr>
        <w:t xml:space="preserve">La Agencia Nacional de Contratación Pública – Colombia Compra Eficiente se ha pronunciado, a través de diversos conceptos, sobre las modificaciones y adiciones a los contratos estatales, entre los que se encuentran los Conceptos Nro. C-277 del 21 de junio de 2021, C-644 del 18 de noviembre de 2021, C-755 </w:t>
      </w:r>
      <w:r w:rsidRPr="00E116FA">
        <w:rPr>
          <w:rFonts w:ascii="Verdana" w:hAnsi="Verdana" w:cs="Arial"/>
          <w:bCs/>
          <w:shd w:val="clear" w:color="auto" w:fill="FFFFFF"/>
        </w:rPr>
        <w:lastRenderedPageBreak/>
        <w:t xml:space="preserve">del 21 de enero de 2022, C-152 del 1 de abril de 2022, C-267 del 5 de mayo de 2022, C-432 del 13 de julio de 2022, C-630 del 29 de septiembre de 2022, C-784 del 21 de noviembre de 2022, C-398 del 27 de septiembre de 2023, C-452 del 7 de noviembre de 2023, C-463 del 22 de noviembre de 2023, C-471 del 25 de enero de 2024, C-903 del 2 de enero de 2024, C-329 del 22 de agosto de 2024, C-563 del 21 de octubre de 2024, C-844 del 9 de diciembre de 2024, C-1039 del 23 de diciembre de 2024, C-1008 del 30 de enero de 2025, C-308 del 28 de abril de 2025, C-451 del 19 de mayo de 2025, C-491 del 3 de junio de 2025 y C-165 del 26 de febrero de 2026, </w:t>
      </w:r>
      <w:r>
        <w:rPr>
          <w:rFonts w:ascii="Verdana" w:hAnsi="Verdana" w:cs="Arial"/>
          <w:bCs/>
          <w:shd w:val="clear" w:color="auto" w:fill="FFFFFF"/>
        </w:rPr>
        <w:t xml:space="preserve">C-1172 del 27 de agosto de 2026, </w:t>
      </w:r>
      <w:r w:rsidRPr="00E116FA">
        <w:rPr>
          <w:rFonts w:ascii="Verdana" w:hAnsi="Verdana" w:cs="Arial"/>
          <w:bCs/>
          <w:shd w:val="clear" w:color="auto" w:fill="FFFFFF"/>
        </w:rPr>
        <w:t xml:space="preserve">entre otros. Estos y otros conceptos se encuentran disponibles para consulta en el Sistema de Relatoría de la Agencia, en el cual también se puede acceder a jurisprudencia del Consejo de Estado, laudos arbitrales y normativa de contratación concordada con la doctrina de la Subdirección de Gestión Contractual, a través del siguiente enlace: </w:t>
      </w:r>
      <w:hyperlink r:id="rId12" w:history="1">
        <w:r w:rsidRPr="00E116FA">
          <w:rPr>
            <w:rStyle w:val="Hipervnculo"/>
            <w:rFonts w:ascii="Verdana" w:hAnsi="Verdana" w:cs="Arial"/>
            <w:bCs/>
            <w:shd w:val="clear" w:color="auto" w:fill="FFFFFF"/>
          </w:rPr>
          <w:t>https://relatoria.colombiacompra.gov.co/busqueda/conceptos</w:t>
        </w:r>
      </w:hyperlink>
      <w:r w:rsidRPr="00E116FA">
        <w:rPr>
          <w:rFonts w:ascii="Verdana" w:hAnsi="Verdana" w:cs="Arial"/>
          <w:bCs/>
          <w:shd w:val="clear" w:color="auto" w:fill="FFFFFF"/>
        </w:rPr>
        <w:t>.</w:t>
      </w:r>
    </w:p>
    <w:p w14:paraId="082C51DE" w14:textId="77777777" w:rsidR="00216796" w:rsidRDefault="00216796" w:rsidP="00216796">
      <w:pPr>
        <w:spacing w:after="0" w:line="240" w:lineRule="auto"/>
        <w:textAlignment w:val="baseline"/>
        <w:rPr>
          <w:rFonts w:ascii="Verdana" w:eastAsia="Verdana" w:hAnsi="Verdana" w:cs="Verdana"/>
          <w:lang w:eastAsia="es-CO"/>
        </w:rPr>
      </w:pPr>
    </w:p>
    <w:p w14:paraId="274D6593" w14:textId="77777777" w:rsidR="00216796" w:rsidRPr="003D5C91" w:rsidRDefault="00216796" w:rsidP="00216796">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3D5C91">
        <w:rPr>
          <w:rFonts w:ascii="Verdana" w:eastAsia="Calibri" w:hAnsi="Verdana" w:cs="Arial"/>
          <w:b/>
          <w:bCs/>
          <w:color w:val="000000"/>
          <w:lang w:eastAsia="es-ES_tradnl"/>
        </w:rPr>
        <w:t>Guía para la Exigencia y Constitución de Garantías en los Procesos de Contratación</w:t>
      </w:r>
      <w:r w:rsidRPr="003D5C91">
        <w:rPr>
          <w:rFonts w:ascii="Verdana" w:eastAsia="Calibri" w:hAnsi="Verdana" w:cs="Arial"/>
          <w:color w:val="000000"/>
          <w:lang w:eastAsia="es-ES_tradn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gtFrame="_blank" w:tooltip="https://www.colombiacompra.gov.co/archivos/manual/guia-de-garantias-en-procesos-de-contratacion" w:history="1">
        <w:r w:rsidRPr="003D5C91">
          <w:rPr>
            <w:rStyle w:val="Hipervnculo"/>
            <w:rFonts w:ascii="Verdana" w:eastAsia="Calibri" w:hAnsi="Verdana" w:cs="Arial"/>
            <w:lang w:eastAsia="es-ES_tradnl"/>
          </w:rPr>
          <w:t>https://www.colombiacompra.gov.co/archivos/manual/guia-de-garantias-en-procesos-de-contratacion</w:t>
        </w:r>
      </w:hyperlink>
    </w:p>
    <w:p w14:paraId="5F3E8D85" w14:textId="77777777" w:rsidR="00216796" w:rsidRDefault="00216796" w:rsidP="00216796">
      <w:pPr>
        <w:spacing w:after="0" w:line="276" w:lineRule="auto"/>
        <w:jc w:val="both"/>
        <w:rPr>
          <w:rFonts w:ascii="Verdana" w:eastAsia="Calibri" w:hAnsi="Verdana" w:cs="Arial"/>
          <w:color w:val="000000"/>
          <w:lang w:eastAsia="es-ES_tradnl"/>
        </w:rPr>
      </w:pPr>
    </w:p>
    <w:p w14:paraId="7DC80E57" w14:textId="77777777" w:rsidR="00216796" w:rsidRPr="003D5C91" w:rsidRDefault="00216796" w:rsidP="00216796">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De otro lado, te contamos que el Decreto 287 del 19 de marzo de 2026 sustituyó los artículos 2.2.1.2.4.2.6., 2.2.1.2.4.2.7. y 2.2.1.2.4.2.8. del Decreto 1082 de 2015 y estructuró el </w:t>
      </w:r>
      <w:r w:rsidRPr="003D5C91">
        <w:rPr>
          <w:rFonts w:ascii="Verdana" w:eastAsia="Calibri" w:hAnsi="Verdana" w:cs="Arial"/>
          <w:b/>
          <w:bCs/>
          <w:color w:val="000000"/>
          <w:lang w:eastAsia="es-ES_tradnl"/>
        </w:rPr>
        <w:t>Sistema Integral de Preferencias en favor de las personas con discapacidad</w:t>
      </w:r>
      <w:r w:rsidRPr="003D5C91">
        <w:rPr>
          <w:rFonts w:ascii="Verdana" w:eastAsia="Calibri" w:hAnsi="Verdana" w:cs="Arial"/>
          <w:color w:val="000000"/>
          <w:lang w:eastAsia="es-ES_tradnl"/>
        </w:rPr>
        <w:t>, en cumplimiento del artículo 13 de la Ley Estatutaria 1618 de 2013. Para orientar su aplicación, esta Agencia expidió la </w:t>
      </w:r>
      <w:r w:rsidRPr="003D5C91">
        <w:rPr>
          <w:rFonts w:ascii="Verdana" w:eastAsia="Calibri" w:hAnsi="Verdana" w:cs="Arial"/>
          <w:b/>
          <w:bCs/>
          <w:color w:val="000000"/>
          <w:lang w:eastAsia="es-ES_tradnl"/>
        </w:rPr>
        <w:t>Circular Externa 003 del 12 de mayo de 2026, </w:t>
      </w:r>
      <w:r w:rsidRPr="003D5C91">
        <w:rPr>
          <w:rFonts w:ascii="Verdana" w:eastAsia="Calibri" w:hAnsi="Verdana" w:cs="Arial"/>
          <w:color w:val="000000"/>
          <w:lang w:eastAsia="es-ES_tradnl"/>
        </w:rPr>
        <w:t xml:space="preserve">en la que precisa quiénes son los beneficiarios, las cinco medidas que integran el sistema y su obligatoriedad según la modalidad de selección, y el régimen de transición </w:t>
      </w:r>
      <w:r w:rsidRPr="003D5C91">
        <w:rPr>
          <w:rFonts w:ascii="Verdana" w:eastAsia="Calibri" w:hAnsi="Verdana" w:cs="Arial"/>
          <w:color w:val="000000"/>
          <w:lang w:eastAsia="es-ES_tradnl"/>
        </w:rPr>
        <w:lastRenderedPageBreak/>
        <w:t>aplicable a los procesos en curso. Consúltala aquí: </w:t>
      </w:r>
      <w:hyperlink r:id="rId14" w:tgtFrame="_blank" w:tooltip="https://www.colombiacompra.gov.co/archivos/circular/circular-externa-003-de-2026" w:history="1">
        <w:r w:rsidRPr="003D5C91">
          <w:rPr>
            <w:rStyle w:val="Hipervnculo"/>
            <w:rFonts w:ascii="Verdana" w:eastAsia="Calibri" w:hAnsi="Verdana" w:cs="Arial"/>
            <w:lang w:eastAsia="es-ES_tradnl"/>
          </w:rPr>
          <w:t>https://www.colombiacompra.gov.co/archivos/circular/circular-externa-003-de-2026</w:t>
        </w:r>
      </w:hyperlink>
    </w:p>
    <w:p w14:paraId="7EDB1670" w14:textId="77777777" w:rsidR="00216796" w:rsidRDefault="00216796" w:rsidP="00216796">
      <w:pPr>
        <w:spacing w:after="0" w:line="276" w:lineRule="auto"/>
        <w:jc w:val="both"/>
        <w:rPr>
          <w:rFonts w:ascii="Verdana" w:eastAsia="Calibri" w:hAnsi="Verdana" w:cs="Arial"/>
          <w:color w:val="000000"/>
          <w:lang w:eastAsia="es-ES_tradnl"/>
        </w:rPr>
      </w:pPr>
    </w:p>
    <w:p w14:paraId="35F8CA30" w14:textId="77777777" w:rsidR="00216796" w:rsidRDefault="00216796" w:rsidP="00216796">
      <w:pPr>
        <w:spacing w:after="0" w:line="276" w:lineRule="auto"/>
        <w:jc w:val="both"/>
      </w:pPr>
      <w:r w:rsidRPr="003D5C91">
        <w:rPr>
          <w:rFonts w:ascii="Verdana" w:eastAsia="Calibri" w:hAnsi="Verdana" w:cs="Arial"/>
          <w:color w:val="000000"/>
          <w:lang w:eastAsia="es-ES_tradnl"/>
        </w:rPr>
        <w:t>Recuerda también que la</w:t>
      </w:r>
      <w:r w:rsidRPr="003D5C91">
        <w:rPr>
          <w:rFonts w:ascii="Verdana" w:eastAsia="Calibri" w:hAnsi="Verdana" w:cs="Arial"/>
          <w:b/>
          <w:bCs/>
          <w:color w:val="000000"/>
          <w:lang w:eastAsia="es-ES_tradnl"/>
        </w:rPr>
        <w:t> información sobre sanciones e inhabilidades </w:t>
      </w:r>
      <w:r w:rsidRPr="003D5C91">
        <w:rPr>
          <w:rFonts w:ascii="Verdana" w:eastAsia="Calibri" w:hAnsi="Verdana" w:cs="Arial"/>
          <w:color w:val="000000"/>
          <w:lang w:eastAsia="es-ES_tradnl"/>
        </w:rPr>
        <w:t>solo cumple su función preventiva si llega oportunamente a los registros públicos. Sobre este deber, esta Agencia expidió la </w:t>
      </w:r>
      <w:r w:rsidRPr="003D5C91">
        <w:rPr>
          <w:rFonts w:ascii="Verdana" w:eastAsia="Calibri" w:hAnsi="Verdana" w:cs="Arial"/>
          <w:b/>
          <w:bCs/>
          <w:color w:val="000000"/>
          <w:lang w:eastAsia="es-ES_tradnl"/>
        </w:rPr>
        <w:t>Circular Externa 002 del 5 de mayo de 2026,</w:t>
      </w:r>
      <w:r w:rsidRPr="003D5C91">
        <w:rPr>
          <w:rFonts w:ascii="Verdana" w:eastAsia="Calibri" w:hAnsi="Verdana" w:cs="Arial"/>
          <w:color w:val="000000"/>
          <w:lang w:eastAsia="es-ES_tradn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https://www.colombiacompra.gov.co/archivos/circular/circular-externa-002-de-2026" w:history="1">
        <w:r w:rsidRPr="003D5C91">
          <w:rPr>
            <w:rStyle w:val="Hipervnculo"/>
            <w:rFonts w:ascii="Verdana" w:eastAsia="Calibri" w:hAnsi="Verdana" w:cs="Arial"/>
            <w:lang w:eastAsia="es-ES_tradnl"/>
          </w:rPr>
          <w:t>https://www.colombiacompra.gov.co/archivos/circular/circular-externa-002-de-2026</w:t>
        </w:r>
      </w:hyperlink>
    </w:p>
    <w:p w14:paraId="247164E3" w14:textId="77777777" w:rsidR="00216796" w:rsidRPr="003D5C91" w:rsidRDefault="00216796" w:rsidP="00216796">
      <w:pPr>
        <w:spacing w:after="0" w:line="276" w:lineRule="auto"/>
        <w:jc w:val="both"/>
        <w:rPr>
          <w:rFonts w:ascii="Verdana" w:eastAsia="Calibri" w:hAnsi="Verdana" w:cs="Arial"/>
          <w:color w:val="000000"/>
          <w:lang w:eastAsia="es-ES_tradnl"/>
        </w:rPr>
      </w:pPr>
    </w:p>
    <w:p w14:paraId="2D381CF3" w14:textId="77777777" w:rsidR="00216796" w:rsidRPr="003D5C91" w:rsidRDefault="00216796" w:rsidP="00216796">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Finalmente, si quieres seguir de cerca la actividad de la Agencia, la tercera edición de 2026 del</w:t>
      </w:r>
      <w:r w:rsidRPr="003D5C91">
        <w:rPr>
          <w:rFonts w:ascii="Verdana" w:eastAsia="Calibri" w:hAnsi="Verdana" w:cs="Arial"/>
          <w:b/>
          <w:bCs/>
          <w:color w:val="000000"/>
          <w:lang w:eastAsia="es-ES_tradnl"/>
        </w:rPr>
        <w:t> Radar de la Compra Pública</w:t>
      </w:r>
      <w:r w:rsidRPr="003D5C91">
        <w:rPr>
          <w:rFonts w:ascii="Verdana" w:eastAsia="Calibri" w:hAnsi="Verdana" w:cs="Arial"/>
          <w:color w:val="000000"/>
          <w:lang w:eastAsia="es-ES_tradn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gtFrame="_blank" w:tooltip="https://www.colombiacompra.gov.co/archivos/boletin/boletin-edicion-n-3-de-2026-radar-de-la-compra-publica" w:history="1">
        <w:r w:rsidRPr="003D5C91">
          <w:rPr>
            <w:rStyle w:val="Hipervnculo"/>
            <w:rFonts w:ascii="Verdana" w:eastAsia="Calibri" w:hAnsi="Verdana" w:cs="Arial"/>
            <w:lang w:eastAsia="es-ES_tradnl"/>
          </w:rPr>
          <w:t>https://www.colombiacompra.gov.co/archivos/boletin/boletin-edicion-n-3-de-2026-radar-de-la-compra-publica</w:t>
        </w:r>
      </w:hyperlink>
    </w:p>
    <w:p w14:paraId="5CBB70DD" w14:textId="77777777" w:rsidR="00216796" w:rsidRDefault="00216796" w:rsidP="00216796">
      <w:pPr>
        <w:spacing w:after="0"/>
        <w:jc w:val="both"/>
        <w:rPr>
          <w:rFonts w:ascii="Verdana" w:hAnsi="Verdana"/>
        </w:rPr>
      </w:pPr>
    </w:p>
    <w:p w14:paraId="1DE5BF48" w14:textId="77777777" w:rsidR="00216796" w:rsidRPr="00116940" w:rsidRDefault="00216796" w:rsidP="00216796">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11E7DD57" w14:textId="77777777" w:rsidR="00216796" w:rsidRPr="00116940" w:rsidRDefault="00216796" w:rsidP="00216796">
      <w:pPr>
        <w:spacing w:after="0"/>
        <w:jc w:val="both"/>
        <w:rPr>
          <w:rFonts w:ascii="Verdana" w:hAnsi="Verdana"/>
        </w:rPr>
      </w:pPr>
    </w:p>
    <w:p w14:paraId="0722FE38" w14:textId="77777777" w:rsidR="00216796" w:rsidRPr="00116940" w:rsidRDefault="00216796" w:rsidP="00216796">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647F52E1" w14:textId="77777777" w:rsidR="00216796" w:rsidRPr="00116940" w:rsidRDefault="00216796" w:rsidP="00216796">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039B65D9" w14:textId="77777777" w:rsidR="00216796" w:rsidRPr="00116940" w:rsidRDefault="00216796" w:rsidP="00216796">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7">
        <w:r w:rsidRPr="00116940">
          <w:rPr>
            <w:rStyle w:val="Hipervnculo"/>
            <w:rFonts w:ascii="Verdana" w:eastAsia="Verdana" w:hAnsi="Verdana" w:cs="Verdana"/>
            <w:lang w:val="es-MX"/>
          </w:rPr>
          <w:t>ventanilladeradicacion@colombiacompra.gov.co</w:t>
        </w:r>
      </w:hyperlink>
    </w:p>
    <w:p w14:paraId="7B9EDCB7" w14:textId="77777777" w:rsidR="00216796" w:rsidRPr="00116940" w:rsidRDefault="00216796" w:rsidP="00216796">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lastRenderedPageBreak/>
        <w:t>Formulario web para</w:t>
      </w:r>
      <w:r w:rsidRPr="00116940">
        <w:rPr>
          <w:rFonts w:ascii="Verdana" w:eastAsia="Verdana" w:hAnsi="Verdana" w:cs="Verdana"/>
          <w:lang w:val="es"/>
        </w:rPr>
        <w:t xml:space="preserve"> PQRSD: </w:t>
      </w:r>
      <w:hyperlink r:id="rId18">
        <w:r w:rsidRPr="00116940">
          <w:rPr>
            <w:rStyle w:val="Hipervnculo"/>
            <w:rFonts w:ascii="Verdana" w:eastAsia="Verdana" w:hAnsi="Verdana" w:cs="Verdana"/>
            <w:lang w:val="es-MX"/>
          </w:rPr>
          <w:t>https://www.colombiacompra.gov.co/pqrsd/informacion-importante-antes-de-formular-una-pqrsd</w:t>
        </w:r>
      </w:hyperlink>
    </w:p>
    <w:p w14:paraId="1886631A" w14:textId="77777777" w:rsidR="00216796" w:rsidRPr="00116940" w:rsidRDefault="00216796" w:rsidP="00216796">
      <w:pPr>
        <w:spacing w:after="0" w:line="240" w:lineRule="auto"/>
        <w:ind w:left="720"/>
        <w:jc w:val="both"/>
        <w:rPr>
          <w:rFonts w:ascii="Verdana" w:hAnsi="Verdana"/>
        </w:rPr>
      </w:pPr>
    </w:p>
    <w:p w14:paraId="7694916B" w14:textId="77777777" w:rsidR="00216796" w:rsidRPr="00116940" w:rsidRDefault="00216796" w:rsidP="00216796">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19"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3C9B9FD2" w14:textId="77777777" w:rsidR="00216796" w:rsidRPr="00116940" w:rsidRDefault="00216796" w:rsidP="00216796">
      <w:pPr>
        <w:spacing w:after="0" w:line="240" w:lineRule="auto"/>
        <w:rPr>
          <w:rFonts w:ascii="Verdana" w:hAnsi="Verdana"/>
        </w:rPr>
      </w:pPr>
    </w:p>
    <w:p w14:paraId="394F0F22" w14:textId="77777777" w:rsidR="00216796" w:rsidRPr="00116940" w:rsidRDefault="00216796" w:rsidP="00216796">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29046F02" w14:textId="77777777" w:rsidR="00216796" w:rsidRPr="00116940" w:rsidRDefault="00216796" w:rsidP="00216796">
      <w:pPr>
        <w:spacing w:after="0" w:line="240" w:lineRule="auto"/>
        <w:jc w:val="both"/>
        <w:rPr>
          <w:rFonts w:ascii="Verdana" w:hAnsi="Verdana"/>
        </w:rPr>
      </w:pPr>
    </w:p>
    <w:p w14:paraId="2A236988" w14:textId="77777777" w:rsidR="00216796" w:rsidRPr="00116940" w:rsidRDefault="00216796" w:rsidP="00216796">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2B945D06" w14:textId="77777777" w:rsidR="00216796" w:rsidRPr="00116940" w:rsidRDefault="00216796" w:rsidP="00216796">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75C1881E" w14:textId="77777777" w:rsidR="00216796" w:rsidRPr="00116940" w:rsidRDefault="00216796" w:rsidP="00216796">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C8FD80B" w14:textId="77777777" w:rsidR="00216796" w:rsidRPr="00116940" w:rsidRDefault="00216796" w:rsidP="00216796">
      <w:pPr>
        <w:spacing w:after="0" w:line="240" w:lineRule="auto"/>
        <w:jc w:val="both"/>
        <w:rPr>
          <w:rFonts w:ascii="Verdana" w:hAnsi="Verdana"/>
        </w:rPr>
      </w:pPr>
    </w:p>
    <w:p w14:paraId="555FDC43" w14:textId="77777777" w:rsidR="00216796" w:rsidRPr="009037F6" w:rsidRDefault="00216796" w:rsidP="00216796">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991CE01" w14:textId="77777777" w:rsidR="00216796" w:rsidRPr="00492C4A" w:rsidRDefault="00216796" w:rsidP="00216796">
      <w:pPr>
        <w:spacing w:after="0" w:line="256" w:lineRule="auto"/>
        <w:jc w:val="both"/>
        <w:rPr>
          <w:rFonts w:ascii="Verdana" w:eastAsia="Calibri" w:hAnsi="Verdana" w:cs="Times New Roman"/>
          <w:lang w:val="es-ES_tradnl"/>
        </w:rPr>
      </w:pPr>
    </w:p>
    <w:p w14:paraId="4998EA22" w14:textId="77777777" w:rsidR="00216796" w:rsidRDefault="00216796" w:rsidP="00216796">
      <w:pPr>
        <w:spacing w:after="0" w:line="256" w:lineRule="auto"/>
        <w:jc w:val="both"/>
        <w:rPr>
          <w:rFonts w:ascii="Verdana" w:eastAsia="Calibri" w:hAnsi="Verdana" w:cs="Times New Roman"/>
        </w:rPr>
      </w:pPr>
      <w:r w:rsidRPr="009037F6">
        <w:rPr>
          <w:rFonts w:ascii="Verdana" w:eastAsia="Calibri" w:hAnsi="Verdana" w:cs="Times New Roman"/>
        </w:rPr>
        <w:t>Atentamente,</w:t>
      </w:r>
    </w:p>
    <w:p w14:paraId="0A5AF82A" w14:textId="77777777" w:rsidR="00216796" w:rsidRPr="005B7C68" w:rsidRDefault="00216796" w:rsidP="00216796">
      <w:pPr>
        <w:spacing w:after="0" w:line="256" w:lineRule="auto"/>
        <w:jc w:val="both"/>
        <w:rPr>
          <w:rFonts w:ascii="Verdana" w:eastAsia="Calibri" w:hAnsi="Verdana" w:cs="Times New Roman"/>
        </w:rPr>
      </w:pPr>
    </w:p>
    <w:p w14:paraId="5EEF269E" w14:textId="4F292F77" w:rsidR="00216796" w:rsidRDefault="00B44F3E" w:rsidP="00216796">
      <w:pPr>
        <w:spacing w:after="0" w:line="256" w:lineRule="auto"/>
        <w:jc w:val="center"/>
        <w:rPr>
          <w:rFonts w:ascii="Verdana" w:eastAsia="Times New Roman" w:hAnsi="Verdana" w:cs="Arial"/>
          <w:noProof/>
          <w:sz w:val="24"/>
          <w:szCs w:val="24"/>
          <w:lang w:val="en-US"/>
        </w:rPr>
      </w:pPr>
      <w:r w:rsidRPr="002C3AD6">
        <w:rPr>
          <w:rFonts w:ascii="Century Gothic" w:hAnsi="Century Gothic"/>
          <w:noProof/>
          <w:lang w:val="en-US"/>
        </w:rPr>
        <w:drawing>
          <wp:inline distT="0" distB="0" distL="0" distR="0" wp14:anchorId="7A0EBBFF" wp14:editId="37F9C1D4">
            <wp:extent cx="3291840" cy="1276765"/>
            <wp:effectExtent l="0" t="0" r="3810" b="0"/>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497080" cy="1356369"/>
                    </a:xfrm>
                    <a:prstGeom prst="rect">
                      <a:avLst/>
                    </a:prstGeom>
                  </pic:spPr>
                </pic:pic>
              </a:graphicData>
            </a:graphic>
          </wp:inline>
        </w:drawing>
      </w:r>
    </w:p>
    <w:p w14:paraId="17A9608E" w14:textId="77777777" w:rsidR="00216796" w:rsidRPr="00A04C35" w:rsidRDefault="00216796" w:rsidP="00216796">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216796" w:rsidRPr="00A04C35" w14:paraId="79DD7937" w14:textId="77777777" w:rsidTr="001361E0">
        <w:trPr>
          <w:trHeight w:val="409"/>
        </w:trPr>
        <w:tc>
          <w:tcPr>
            <w:tcW w:w="817" w:type="dxa"/>
            <w:tcBorders>
              <w:top w:val="nil"/>
              <w:left w:val="nil"/>
              <w:bottom w:val="nil"/>
              <w:right w:val="nil"/>
            </w:tcBorders>
            <w:vAlign w:val="center"/>
            <w:hideMark/>
          </w:tcPr>
          <w:p w14:paraId="57E9E34D" w14:textId="77777777" w:rsidR="00216796" w:rsidRPr="00A04C35" w:rsidRDefault="00216796" w:rsidP="001361E0">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42C1F842" w14:textId="77777777" w:rsidR="00216796" w:rsidRPr="00A04C35" w:rsidRDefault="00216796" w:rsidP="001361E0">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José Luis Sánchez Cardona</w:t>
            </w:r>
          </w:p>
          <w:p w14:paraId="265DDC69" w14:textId="77777777" w:rsidR="00216796" w:rsidRPr="00A04C35" w:rsidRDefault="00216796" w:rsidP="001361E0">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Contratista de la Subdirección de Gestión Contractual</w:t>
            </w:r>
          </w:p>
        </w:tc>
      </w:tr>
      <w:tr w:rsidR="00216796" w:rsidRPr="00A04C35" w14:paraId="01BBCD28" w14:textId="77777777" w:rsidTr="001361E0">
        <w:trPr>
          <w:trHeight w:val="409"/>
        </w:trPr>
        <w:tc>
          <w:tcPr>
            <w:tcW w:w="817" w:type="dxa"/>
            <w:tcBorders>
              <w:top w:val="nil"/>
              <w:left w:val="nil"/>
              <w:bottom w:val="nil"/>
              <w:right w:val="nil"/>
            </w:tcBorders>
            <w:vAlign w:val="center"/>
            <w:hideMark/>
          </w:tcPr>
          <w:p w14:paraId="4080215A" w14:textId="77777777" w:rsidR="00216796" w:rsidRPr="00A04C35" w:rsidRDefault="00216796" w:rsidP="001361E0">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E8C429B" w14:textId="77777777" w:rsidR="00216796" w:rsidRPr="00A04C35" w:rsidRDefault="00216796" w:rsidP="001361E0">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 xml:space="preserve">Alejandro </w:t>
            </w:r>
            <w:r>
              <w:rPr>
                <w:rFonts w:ascii="Verdana" w:eastAsia="Calibri" w:hAnsi="Verdana" w:cs="Times New Roman"/>
                <w:sz w:val="16"/>
                <w:szCs w:val="16"/>
              </w:rPr>
              <w:t xml:space="preserve">Raúl </w:t>
            </w:r>
            <w:r w:rsidRPr="00A04C35">
              <w:rPr>
                <w:rFonts w:ascii="Verdana" w:eastAsia="Calibri" w:hAnsi="Verdana" w:cs="Times New Roman"/>
                <w:sz w:val="16"/>
                <w:szCs w:val="16"/>
              </w:rPr>
              <w:t>Sarmiento Cantillo</w:t>
            </w:r>
          </w:p>
          <w:p w14:paraId="35E3DDAC" w14:textId="77777777" w:rsidR="00216796" w:rsidRPr="00A04C35" w:rsidRDefault="00216796" w:rsidP="001361E0">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Gestor T1-15 de la Subdirección de Gestión Contractual </w:t>
            </w:r>
          </w:p>
        </w:tc>
      </w:tr>
      <w:tr w:rsidR="00216796" w:rsidRPr="00A04C35" w14:paraId="08B45605" w14:textId="77777777" w:rsidTr="001361E0">
        <w:trPr>
          <w:trHeight w:val="389"/>
        </w:trPr>
        <w:tc>
          <w:tcPr>
            <w:tcW w:w="817" w:type="dxa"/>
            <w:tcBorders>
              <w:top w:val="nil"/>
              <w:left w:val="nil"/>
              <w:bottom w:val="nil"/>
              <w:right w:val="nil"/>
            </w:tcBorders>
            <w:vAlign w:val="center"/>
            <w:hideMark/>
          </w:tcPr>
          <w:p w14:paraId="1CBA1774" w14:textId="77777777" w:rsidR="00216796" w:rsidRPr="00A04C35" w:rsidRDefault="00216796" w:rsidP="001361E0">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A227F28" w14:textId="77777777" w:rsidR="00216796" w:rsidRPr="00A04C35" w:rsidRDefault="00216796" w:rsidP="001361E0">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Carolina Quintero Gacharná</w:t>
            </w:r>
          </w:p>
          <w:p w14:paraId="0874ECFD" w14:textId="77777777" w:rsidR="00216796" w:rsidRPr="00A04C35" w:rsidRDefault="00216796" w:rsidP="001361E0">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Subdirectora de Gestión Contractual ANCP – CCE</w:t>
            </w:r>
          </w:p>
        </w:tc>
      </w:tr>
      <w:bookmarkEnd w:id="0"/>
    </w:tbl>
    <w:p w14:paraId="5908846E" w14:textId="29644F28" w:rsidR="00D534FB" w:rsidRPr="00B44F3E" w:rsidRDefault="00D534FB" w:rsidP="00B44F3E">
      <w:pPr>
        <w:spacing w:after="0" w:line="240" w:lineRule="auto"/>
        <w:textAlignment w:val="baseline"/>
        <w:rPr>
          <w:rFonts w:ascii="Verdana" w:eastAsia="Verdana" w:hAnsi="Verdana" w:cs="Verdana"/>
          <w:lang w:eastAsia="es-CO"/>
        </w:rPr>
      </w:pPr>
    </w:p>
    <w:sectPr w:rsidR="00D534FB" w:rsidRPr="00B44F3E"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EE592" w14:textId="77777777" w:rsidR="008D2EC1" w:rsidRDefault="008D2EC1" w:rsidP="004A1847">
      <w:pPr>
        <w:spacing w:after="0" w:line="240" w:lineRule="auto"/>
      </w:pPr>
      <w:r>
        <w:separator/>
      </w:r>
    </w:p>
  </w:endnote>
  <w:endnote w:type="continuationSeparator" w:id="0">
    <w:p w14:paraId="3E60A200" w14:textId="77777777" w:rsidR="008D2EC1" w:rsidRDefault="008D2EC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Serif-Bold">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BE429B" w:rsidRDefault="00BE429B">
    <w:pPr>
      <w:pStyle w:val="Piedepgina"/>
    </w:pPr>
  </w:p>
  <w:p w14:paraId="594D6D9F" w14:textId="4827F3E8" w:rsidR="00BE429B" w:rsidRPr="00174B77" w:rsidRDefault="00BE429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D8371D" w:rsidRPr="00D8371D">
      <w:rPr>
        <w:rFonts w:ascii="Verdana" w:eastAsiaTheme="minorEastAsia" w:hAnsi="Verdana"/>
        <w:b/>
        <w:bCs/>
        <w:noProof/>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BE429B" w:rsidRDefault="00BE429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BE429B" w:rsidRPr="00E41027" w:rsidRDefault="00BE429B"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BE429B" w:rsidRDefault="00BE429B"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A9E2E" w14:textId="77777777" w:rsidR="008D2EC1" w:rsidRDefault="008D2EC1" w:rsidP="004A1847">
      <w:pPr>
        <w:spacing w:after="0" w:line="240" w:lineRule="auto"/>
      </w:pPr>
      <w:r>
        <w:separator/>
      </w:r>
    </w:p>
  </w:footnote>
  <w:footnote w:type="continuationSeparator" w:id="0">
    <w:p w14:paraId="1011C8E5" w14:textId="77777777" w:rsidR="008D2EC1" w:rsidRDefault="008D2EC1" w:rsidP="004A1847">
      <w:pPr>
        <w:spacing w:after="0" w:line="240" w:lineRule="auto"/>
      </w:pPr>
      <w:r>
        <w:continuationSeparator/>
      </w:r>
    </w:p>
  </w:footnote>
  <w:footnote w:id="1">
    <w:p w14:paraId="130FA9FE" w14:textId="77777777" w:rsidR="00216796" w:rsidRPr="001947A2" w:rsidRDefault="00216796" w:rsidP="00216796">
      <w:pPr>
        <w:pStyle w:val="Textonotapie"/>
        <w:ind w:firstLine="709"/>
        <w:jc w:val="both"/>
        <w:rPr>
          <w:rFonts w:ascii="Verdana" w:hAnsi="Verdana"/>
          <w:sz w:val="16"/>
          <w:szCs w:val="16"/>
          <w:lang w:val="es-CO"/>
        </w:rPr>
      </w:pPr>
      <w:r w:rsidRPr="001947A2">
        <w:rPr>
          <w:rStyle w:val="Refdenotaalpie"/>
          <w:rFonts w:ascii="Verdana" w:hAnsi="Verdana"/>
          <w:sz w:val="16"/>
          <w:szCs w:val="16"/>
        </w:rPr>
        <w:footnoteRef/>
      </w:r>
      <w:r w:rsidRPr="001947A2">
        <w:rPr>
          <w:rFonts w:ascii="Verdana" w:hAnsi="Verdana"/>
          <w:sz w:val="16"/>
          <w:szCs w:val="16"/>
        </w:rPr>
        <w:t xml:space="preserve"> Debe tenerse en cuenta que </w:t>
      </w:r>
      <w:r w:rsidRPr="001947A2">
        <w:rPr>
          <w:rFonts w:ascii="Verdana" w:hAnsi="Verdana"/>
          <w:sz w:val="16"/>
          <w:szCs w:val="16"/>
          <w:lang w:val="es-CO"/>
        </w:rPr>
        <w:t xml:space="preserve">de conformidad con el Decreto 0159 del 19 de febrero de 2026 se fijó transitoriamente el SMLMV en $ 1.750.905, el cual se encontrará vigente hasta que </w:t>
      </w:r>
      <w:r w:rsidRPr="001947A2">
        <w:rPr>
          <w:rFonts w:ascii="Verdana" w:hAnsi="Verdana"/>
          <w:sz w:val="16"/>
          <w:szCs w:val="16"/>
        </w:rPr>
        <w:t>se dicte sentencia en el proceso de nulidad radicado 11001-03-25-000-2026-00004-00 (0004-2026) que cursa en la Sección Segunda, Subsección A, de la Sala de lo Contencioso Administrativo del Consejo de Estado.</w:t>
      </w:r>
    </w:p>
  </w:footnote>
  <w:footnote w:id="2">
    <w:p w14:paraId="221ED0A0" w14:textId="77777777" w:rsidR="00216796" w:rsidRPr="003E4CC9" w:rsidRDefault="00216796" w:rsidP="00216796">
      <w:pPr>
        <w:spacing w:after="0" w:line="240" w:lineRule="auto"/>
        <w:ind w:firstLine="709"/>
        <w:jc w:val="both"/>
        <w:rPr>
          <w:rFonts w:ascii="Verdana" w:hAnsi="Verdana"/>
          <w:sz w:val="16"/>
          <w:szCs w:val="16"/>
        </w:rPr>
      </w:pPr>
      <w:r w:rsidRPr="001947A2">
        <w:rPr>
          <w:rStyle w:val="Refdenotaalpie"/>
          <w:rFonts w:ascii="Verdana" w:hAnsi="Verdana"/>
          <w:sz w:val="16"/>
          <w:szCs w:val="16"/>
        </w:rPr>
        <w:footnoteRef/>
      </w:r>
      <w:r w:rsidRPr="001947A2">
        <w:rPr>
          <w:rFonts w:ascii="Verdana" w:hAnsi="Verdana"/>
          <w:sz w:val="16"/>
          <w:szCs w:val="16"/>
        </w:rPr>
        <w:t xml:space="preserve"> </w:t>
      </w:r>
      <w:r>
        <w:rPr>
          <w:rFonts w:ascii="Verdana" w:hAnsi="Verdana"/>
          <w:sz w:val="16"/>
          <w:szCs w:val="16"/>
        </w:rPr>
        <w:t>Consejo d</w:t>
      </w:r>
      <w:r w:rsidRPr="001947A2">
        <w:rPr>
          <w:rFonts w:ascii="Verdana" w:hAnsi="Verdana"/>
          <w:sz w:val="16"/>
          <w:szCs w:val="16"/>
        </w:rPr>
        <w:t>e Estado. Sala de Consulta y Servicio Civil.</w:t>
      </w:r>
      <w:r w:rsidRPr="001947A2">
        <w:rPr>
          <w:rFonts w:ascii="Verdana" w:hAnsi="Verdana"/>
          <w:i/>
          <w:iCs/>
          <w:sz w:val="16"/>
          <w:szCs w:val="16"/>
        </w:rPr>
        <w:t xml:space="preserve"> </w:t>
      </w:r>
      <w:r w:rsidRPr="001947A2">
        <w:rPr>
          <w:rFonts w:ascii="Verdana" w:hAnsi="Verdana"/>
          <w:sz w:val="16"/>
          <w:szCs w:val="16"/>
        </w:rPr>
        <w:t>C.P.: Óscar Darí</w:t>
      </w:r>
      <w:r>
        <w:rPr>
          <w:rFonts w:ascii="Verdana" w:hAnsi="Verdana"/>
          <w:sz w:val="16"/>
          <w:szCs w:val="16"/>
        </w:rPr>
        <w:t>o</w:t>
      </w:r>
      <w:r w:rsidRPr="001947A2">
        <w:rPr>
          <w:rFonts w:ascii="Verdana" w:hAnsi="Verdana"/>
          <w:sz w:val="16"/>
          <w:szCs w:val="16"/>
        </w:rPr>
        <w:t xml:space="preserve"> Amaya Navas. Concepto</w:t>
      </w:r>
      <w:r>
        <w:rPr>
          <w:rFonts w:ascii="Verdana" w:hAnsi="Verdana"/>
          <w:sz w:val="16"/>
          <w:szCs w:val="16"/>
        </w:rPr>
        <w:t xml:space="preserve"> del 06 de junio 2018. Rad.</w:t>
      </w:r>
      <w:r w:rsidRPr="001947A2">
        <w:rPr>
          <w:rFonts w:ascii="Verdana" w:hAnsi="Verdana"/>
          <w:sz w:val="16"/>
          <w:szCs w:val="16"/>
        </w:rPr>
        <w:t xml:space="preserve"> 2369.</w:t>
      </w:r>
    </w:p>
  </w:footnote>
  <w:footnote w:id="3">
    <w:p w14:paraId="1336482B" w14:textId="77777777" w:rsidR="00216796" w:rsidRPr="001947A2" w:rsidRDefault="00216796" w:rsidP="00216796">
      <w:pPr>
        <w:pStyle w:val="Textonotapie"/>
        <w:ind w:firstLine="709"/>
        <w:jc w:val="both"/>
        <w:rPr>
          <w:rFonts w:ascii="Verdana" w:hAnsi="Verdana"/>
          <w:sz w:val="16"/>
          <w:szCs w:val="16"/>
          <w:lang w:val="es-CO"/>
        </w:rPr>
      </w:pPr>
      <w:r w:rsidRPr="001947A2">
        <w:rPr>
          <w:rStyle w:val="Refdenotaalpie"/>
          <w:rFonts w:ascii="Verdana" w:hAnsi="Verdana"/>
          <w:sz w:val="16"/>
          <w:szCs w:val="16"/>
        </w:rPr>
        <w:footnoteRef/>
      </w:r>
      <w:r w:rsidRPr="001947A2">
        <w:rPr>
          <w:rFonts w:ascii="Verdana" w:hAnsi="Verdana"/>
          <w:sz w:val="16"/>
          <w:szCs w:val="16"/>
        </w:rPr>
        <w:t xml:space="preserve"> </w:t>
      </w:r>
      <w:r w:rsidRPr="001947A2">
        <w:rPr>
          <w:rFonts w:ascii="Verdana" w:hAnsi="Verdana"/>
          <w:bCs/>
          <w:sz w:val="16"/>
          <w:szCs w:val="16"/>
          <w:lang w:val="es-CO"/>
        </w:rPr>
        <w:t>ARTICULO 11. DE LA COMPETENCIA PARA DIRIGIR LICITACIONES O CONCURSOS Y PARA CELEBRAR CONTRATOS ESTATALES. </w:t>
      </w:r>
      <w:r w:rsidRPr="001947A2">
        <w:rPr>
          <w:rFonts w:ascii="Verdana" w:hAnsi="Verdana"/>
          <w:sz w:val="16"/>
          <w:szCs w:val="16"/>
          <w:lang w:val="es-CO"/>
        </w:rPr>
        <w:t>En las entidades estatales a que se refiere el artículo 2o.: </w:t>
      </w:r>
    </w:p>
    <w:p w14:paraId="247B5C62" w14:textId="77777777" w:rsidR="00216796" w:rsidRPr="001947A2" w:rsidRDefault="00216796" w:rsidP="00216796">
      <w:pPr>
        <w:pStyle w:val="Textonotapie"/>
        <w:ind w:firstLine="709"/>
        <w:jc w:val="both"/>
        <w:rPr>
          <w:rFonts w:ascii="Verdana" w:hAnsi="Verdana"/>
          <w:sz w:val="16"/>
          <w:szCs w:val="16"/>
          <w:lang w:val="es-CO"/>
        </w:rPr>
      </w:pPr>
      <w:r w:rsidRPr="001947A2">
        <w:rPr>
          <w:rFonts w:ascii="Verdana" w:hAnsi="Verdana"/>
          <w:sz w:val="16"/>
          <w:szCs w:val="16"/>
          <w:lang w:val="es-CO"/>
        </w:rPr>
        <w:t>1o. La competencia para ordenar y dirigir la celebración de licitaciones o concursos y para escoger contratistas será del jefe o representante de la entidad, según el caso. </w:t>
      </w:r>
    </w:p>
    <w:p w14:paraId="2B93EF5F" w14:textId="77777777" w:rsidR="00216796" w:rsidRPr="001947A2" w:rsidRDefault="00216796" w:rsidP="00216796">
      <w:pPr>
        <w:pStyle w:val="Textonotapie"/>
        <w:ind w:firstLine="709"/>
        <w:jc w:val="both"/>
        <w:rPr>
          <w:rFonts w:ascii="Verdana" w:hAnsi="Verdana"/>
          <w:sz w:val="16"/>
          <w:szCs w:val="16"/>
          <w:lang w:val="es-CO"/>
        </w:rPr>
      </w:pPr>
      <w:r w:rsidRPr="001947A2">
        <w:rPr>
          <w:rFonts w:ascii="Verdana" w:hAnsi="Verdana"/>
          <w:sz w:val="16"/>
          <w:szCs w:val="16"/>
          <w:lang w:val="es-CO"/>
        </w:rPr>
        <w:t xml:space="preserve">2o. Tiene competencia para celebrar contratos a nombre de la Nación, el </w:t>
      </w:r>
      <w:r w:rsidRPr="001947A2">
        <w:rPr>
          <w:rFonts w:ascii="Verdana" w:hAnsi="Verdana"/>
          <w:sz w:val="16"/>
          <w:szCs w:val="16"/>
          <w:lang w:val="es-CO"/>
        </w:rPr>
        <w:t>Presidente de la República. </w:t>
      </w:r>
    </w:p>
    <w:p w14:paraId="6552EC32" w14:textId="77777777" w:rsidR="00216796" w:rsidRPr="001947A2" w:rsidRDefault="00216796" w:rsidP="00216796">
      <w:pPr>
        <w:pStyle w:val="Textonotapie"/>
        <w:ind w:firstLine="709"/>
        <w:jc w:val="both"/>
        <w:rPr>
          <w:rFonts w:ascii="Verdana" w:hAnsi="Verdana"/>
          <w:sz w:val="16"/>
          <w:szCs w:val="16"/>
          <w:lang w:val="es-CO"/>
        </w:rPr>
      </w:pPr>
      <w:r w:rsidRPr="001947A2">
        <w:rPr>
          <w:rFonts w:ascii="Verdana" w:hAnsi="Verdana"/>
          <w:sz w:val="16"/>
          <w:szCs w:val="16"/>
          <w:lang w:val="es-CO"/>
        </w:rPr>
        <w:t>3o. Tienen competencia para celebrar contratos a nombre de la entidad respectiva: </w:t>
      </w:r>
    </w:p>
    <w:p w14:paraId="393C2E74" w14:textId="77777777" w:rsidR="00216796" w:rsidRPr="001947A2" w:rsidRDefault="00216796" w:rsidP="00216796">
      <w:pPr>
        <w:pStyle w:val="Textonotapie"/>
        <w:ind w:firstLine="709"/>
        <w:jc w:val="both"/>
        <w:rPr>
          <w:rFonts w:ascii="Verdana" w:hAnsi="Verdana"/>
          <w:sz w:val="16"/>
          <w:szCs w:val="16"/>
          <w:lang w:val="es-CO"/>
        </w:rPr>
      </w:pPr>
      <w:r w:rsidRPr="001947A2">
        <w:rPr>
          <w:rFonts w:ascii="Verdana" w:hAnsi="Verdana"/>
          <w:sz w:val="16"/>
          <w:szCs w:val="16"/>
          <w:lang w:val="es-CO"/>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 </w:t>
      </w:r>
    </w:p>
    <w:p w14:paraId="54CEEE62" w14:textId="77777777" w:rsidR="00216796" w:rsidRPr="001947A2" w:rsidRDefault="00216796" w:rsidP="00216796">
      <w:pPr>
        <w:pStyle w:val="Textonotapie"/>
        <w:ind w:firstLine="709"/>
        <w:jc w:val="both"/>
        <w:rPr>
          <w:rFonts w:ascii="Verdana" w:hAnsi="Verdana"/>
          <w:sz w:val="16"/>
          <w:szCs w:val="16"/>
          <w:lang w:val="es-CO"/>
        </w:rPr>
      </w:pPr>
      <w:r w:rsidRPr="001947A2">
        <w:rPr>
          <w:rFonts w:ascii="Verdana" w:hAnsi="Verdana"/>
          <w:sz w:val="16"/>
          <w:szCs w:val="16"/>
          <w:lang w:val="es-CO"/>
        </w:rPr>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219C0211" w14:textId="77777777" w:rsidR="00216796" w:rsidRPr="001947A2" w:rsidRDefault="00216796" w:rsidP="00216796">
      <w:pPr>
        <w:pStyle w:val="Textonotapie"/>
        <w:ind w:firstLine="709"/>
        <w:jc w:val="both"/>
        <w:rPr>
          <w:rFonts w:ascii="Verdana" w:hAnsi="Verdana"/>
          <w:sz w:val="16"/>
          <w:szCs w:val="16"/>
          <w:lang w:val="es-CO"/>
        </w:rPr>
      </w:pPr>
      <w:r w:rsidRPr="001947A2">
        <w:rPr>
          <w:rFonts w:ascii="Verdana" w:hAnsi="Verdana"/>
          <w:sz w:val="16"/>
          <w:szCs w:val="16"/>
          <w:lang w:val="es-CO"/>
        </w:rPr>
        <w:t>c) Los representantes legales de las entidades descentralizadas en todos los órdenes y niveles. </w:t>
      </w:r>
    </w:p>
  </w:footnote>
  <w:footnote w:id="4">
    <w:p w14:paraId="7907FF31" w14:textId="77777777" w:rsidR="00216796" w:rsidRPr="001947A2" w:rsidRDefault="00216796" w:rsidP="00216796">
      <w:pPr>
        <w:pStyle w:val="Textonotapie"/>
        <w:ind w:firstLine="709"/>
        <w:jc w:val="both"/>
        <w:rPr>
          <w:rFonts w:ascii="Verdana" w:hAnsi="Verdana"/>
          <w:sz w:val="16"/>
          <w:szCs w:val="16"/>
          <w:lang w:val="es-CO"/>
        </w:rPr>
      </w:pPr>
      <w:r w:rsidRPr="001947A2">
        <w:rPr>
          <w:rStyle w:val="Refdenotaalpie"/>
          <w:rFonts w:ascii="Verdana" w:hAnsi="Verdana"/>
          <w:sz w:val="16"/>
          <w:szCs w:val="16"/>
        </w:rPr>
        <w:footnoteRef/>
      </w:r>
      <w:r w:rsidRPr="001947A2">
        <w:rPr>
          <w:rFonts w:ascii="Verdana" w:hAnsi="Verdana"/>
          <w:sz w:val="16"/>
          <w:szCs w:val="16"/>
        </w:rPr>
        <w:t xml:space="preserve"> </w:t>
      </w:r>
      <w:r w:rsidRPr="001947A2">
        <w:rPr>
          <w:rFonts w:ascii="Verdana" w:hAnsi="Verdana"/>
          <w:bCs/>
          <w:sz w:val="16"/>
          <w:szCs w:val="16"/>
          <w:lang w:val="es-CO"/>
        </w:rPr>
        <w:t>ARTICULO 12. DE LA DELEGACION PARA CONTRATAR.</w:t>
      </w:r>
      <w:r w:rsidRPr="001947A2">
        <w:rPr>
          <w:rFonts w:ascii="Verdana" w:hAnsi="Verdana"/>
          <w:sz w:val="16"/>
          <w:szCs w:val="16"/>
          <w:lang w:val="es-CO"/>
        </w:rPr>
        <w:t> 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 </w:t>
      </w:r>
    </w:p>
    <w:p w14:paraId="42D603C5" w14:textId="77777777" w:rsidR="00216796" w:rsidRPr="001947A2" w:rsidRDefault="00216796" w:rsidP="00216796">
      <w:pPr>
        <w:pStyle w:val="Textonotapie"/>
        <w:ind w:firstLine="709"/>
        <w:jc w:val="both"/>
        <w:rPr>
          <w:rFonts w:ascii="Verdana" w:hAnsi="Verdana"/>
          <w:sz w:val="16"/>
          <w:szCs w:val="16"/>
          <w:lang w:val="es-CO"/>
        </w:rPr>
      </w:pPr>
      <w:r w:rsidRPr="001947A2">
        <w:rPr>
          <w:rFonts w:ascii="Verdana" w:hAnsi="Verdana"/>
          <w:sz w:val="16"/>
          <w:szCs w:val="16"/>
          <w:lang w:val="es-CO"/>
        </w:rPr>
        <w:t>En ningún caso, los jefes y representantes legales de las entidades estatales quedarán exonerados por virtud de la delegación de sus deberes de control y vigilancia de la actividad precontractual y contractual.  </w:t>
      </w:r>
    </w:p>
    <w:p w14:paraId="275B77E8" w14:textId="77777777" w:rsidR="00216796" w:rsidRPr="001947A2" w:rsidRDefault="00216796" w:rsidP="00216796">
      <w:pPr>
        <w:pStyle w:val="Textonotapie"/>
        <w:ind w:firstLine="708"/>
        <w:jc w:val="both"/>
        <w:rPr>
          <w:rFonts w:ascii="Verdana" w:hAnsi="Verdana"/>
          <w:sz w:val="16"/>
          <w:szCs w:val="16"/>
          <w:lang w:val="es-ES"/>
        </w:rPr>
      </w:pPr>
      <w:r w:rsidRPr="001947A2">
        <w:rPr>
          <w:rFonts w:ascii="Verdana" w:hAnsi="Verdana"/>
          <w:bCs/>
          <w:sz w:val="16"/>
          <w:szCs w:val="16"/>
          <w:lang w:val="es-CO"/>
        </w:rPr>
        <w:t>Parágrafo. </w:t>
      </w:r>
      <w:r w:rsidRPr="001947A2">
        <w:rPr>
          <w:rFonts w:ascii="Verdana" w:hAnsi="Verdana"/>
          <w:sz w:val="16"/>
          <w:szCs w:val="16"/>
          <w:lang w:val="es-CO"/>
        </w:rPr>
        <w:t>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administrativa no procederá ningún recurso.  </w:t>
      </w:r>
    </w:p>
  </w:footnote>
  <w:footnote w:id="5">
    <w:p w14:paraId="7B13C2DD" w14:textId="77777777" w:rsidR="00216796" w:rsidRPr="009D6AF2" w:rsidRDefault="00216796" w:rsidP="00216796">
      <w:pPr>
        <w:pStyle w:val="Textonotapie"/>
        <w:ind w:firstLine="708"/>
        <w:jc w:val="both"/>
        <w:rPr>
          <w:rFonts w:ascii="Verdana" w:hAnsi="Verdana"/>
          <w:sz w:val="16"/>
          <w:szCs w:val="16"/>
          <w:lang w:val="es-ES"/>
        </w:rPr>
      </w:pPr>
      <w:r w:rsidRPr="006F77F4">
        <w:rPr>
          <w:rStyle w:val="Refdenotaalpie"/>
          <w:rFonts w:ascii="Verdana" w:hAnsi="Verdana"/>
          <w:sz w:val="16"/>
          <w:szCs w:val="16"/>
        </w:rPr>
        <w:footnoteRef/>
      </w:r>
      <w:r w:rsidRPr="006F77F4">
        <w:rPr>
          <w:rFonts w:ascii="Verdana" w:hAnsi="Verdana"/>
          <w:sz w:val="16"/>
          <w:szCs w:val="16"/>
        </w:rPr>
        <w:t xml:space="preserve"> </w:t>
      </w:r>
      <w:r w:rsidRPr="006F77F4">
        <w:rPr>
          <w:rFonts w:ascii="Verdana" w:hAnsi="Verdana"/>
          <w:sz w:val="16"/>
          <w:szCs w:val="16"/>
          <w:lang w:val="es-ES"/>
        </w:rPr>
        <w:t>AGENCIA NACIONAL DE CONTRATACIÓN PÚBLICA – COLOMBIA COMPRA EFICIENTE. Concepto C-566 del 19 de junio de 2025: la regla presupuestal del numeral 6 del artículo 25 de la Ley 80 de 1993 “aplica incluso en los contratos que tienen la modalidad de pago de cuota litis, primas o comisiones de éxito, toda vez que la Ley no hizo ninguna exclusión”; en el mismo sentido, Concepto C-641 del 11 de octubre de 2024.</w:t>
      </w:r>
    </w:p>
  </w:footnote>
  <w:footnote w:id="6">
    <w:p w14:paraId="40279258" w14:textId="77777777" w:rsidR="00216796" w:rsidRPr="006F77F4" w:rsidRDefault="00216796" w:rsidP="00216796">
      <w:pPr>
        <w:pStyle w:val="Textonotapie"/>
        <w:ind w:firstLine="708"/>
        <w:jc w:val="both"/>
        <w:rPr>
          <w:rFonts w:ascii="Verdana" w:hAnsi="Verdana"/>
          <w:sz w:val="16"/>
          <w:szCs w:val="16"/>
          <w:lang w:val="es-ES"/>
        </w:rPr>
      </w:pPr>
      <w:r w:rsidRPr="006F77F4">
        <w:rPr>
          <w:rStyle w:val="Refdenotaalpie"/>
          <w:rFonts w:ascii="Verdana" w:hAnsi="Verdana"/>
          <w:sz w:val="16"/>
          <w:szCs w:val="16"/>
        </w:rPr>
        <w:footnoteRef/>
      </w:r>
      <w:r w:rsidRPr="006F77F4">
        <w:rPr>
          <w:rFonts w:ascii="Verdana" w:hAnsi="Verdana"/>
          <w:sz w:val="16"/>
          <w:szCs w:val="16"/>
        </w:rPr>
        <w:t xml:space="preserve"> </w:t>
      </w:r>
      <w:r w:rsidRPr="006F77F4">
        <w:rPr>
          <w:rFonts w:ascii="Verdana" w:hAnsi="Verdana"/>
          <w:sz w:val="16"/>
          <w:szCs w:val="16"/>
          <w:lang w:val="es-ES"/>
        </w:rPr>
        <w:t>Constitución Política, artículos 345, 346 y 347. Véase también CORTE CONSTITUCIONAL. Sentencia C-073 de 1993. M.P. Alejandro Martínez Caballero, que identifica la disponibilidad presupuestal como instrumento protector del principio de legalidad del gasto público.</w:t>
      </w:r>
    </w:p>
    <w:p w14:paraId="49260FC3" w14:textId="77777777" w:rsidR="00216796" w:rsidRPr="006F77F4" w:rsidRDefault="00216796" w:rsidP="00216796">
      <w:pPr>
        <w:pStyle w:val="Textonotapie"/>
        <w:rPr>
          <w:lang w:val="es-CO"/>
        </w:rPr>
      </w:pPr>
    </w:p>
  </w:footnote>
  <w:footnote w:id="7">
    <w:p w14:paraId="543784DB" w14:textId="77777777" w:rsidR="00216796" w:rsidRPr="00D33448" w:rsidRDefault="00216796" w:rsidP="00216796">
      <w:pPr>
        <w:pStyle w:val="Textonotapie"/>
        <w:ind w:firstLine="708"/>
        <w:jc w:val="both"/>
        <w:rPr>
          <w:rFonts w:ascii="Verdana" w:hAnsi="Verdana"/>
          <w:sz w:val="14"/>
          <w:szCs w:val="14"/>
          <w:lang w:val="es-CO"/>
        </w:rPr>
      </w:pPr>
      <w:r w:rsidRPr="00D33448">
        <w:rPr>
          <w:rStyle w:val="Refdenotaalpie"/>
          <w:rFonts w:ascii="Verdana" w:hAnsi="Verdana"/>
          <w:sz w:val="14"/>
          <w:szCs w:val="14"/>
        </w:rPr>
        <w:footnoteRef/>
      </w:r>
      <w:r w:rsidRPr="00D33448">
        <w:rPr>
          <w:rFonts w:ascii="Verdana" w:hAnsi="Verdana"/>
          <w:sz w:val="14"/>
          <w:szCs w:val="14"/>
        </w:rPr>
        <w:t xml:space="preserve"> </w:t>
      </w:r>
      <w:r w:rsidRPr="00D33448">
        <w:rPr>
          <w:rFonts w:ascii="Verdana" w:hAnsi="Verdana" w:cs="Arial"/>
          <w:color w:val="1A1A1A" w:themeColor="background1" w:themeShade="1A"/>
          <w:sz w:val="14"/>
          <w:szCs w:val="14"/>
        </w:rPr>
        <w:t xml:space="preserve">CONSEJO DE ESTADO. Sección Tercera. Subsección A. Sentencia del del 24 de febrero de 2016. </w:t>
      </w:r>
      <w:r w:rsidRPr="00D33448">
        <w:rPr>
          <w:rFonts w:ascii="Verdana" w:hAnsi="Verdana" w:cs="Arial"/>
          <w:color w:val="1A1A1A" w:themeColor="background1" w:themeShade="1A"/>
          <w:sz w:val="14"/>
          <w:szCs w:val="14"/>
        </w:rPr>
        <w:t>Exp. 46.185. C.P. Marta Nubia Velásquez Rico.</w:t>
      </w:r>
    </w:p>
  </w:footnote>
  <w:footnote w:id="8">
    <w:p w14:paraId="70F0974D" w14:textId="77777777" w:rsidR="00216796" w:rsidRPr="009D6AF2" w:rsidRDefault="00216796" w:rsidP="00216796">
      <w:pPr>
        <w:pStyle w:val="Textonotapie"/>
        <w:ind w:firstLine="708"/>
        <w:jc w:val="both"/>
        <w:rPr>
          <w:rFonts w:ascii="Verdana" w:hAnsi="Verdana"/>
          <w:sz w:val="16"/>
          <w:szCs w:val="16"/>
          <w:lang w:val="es-ES"/>
        </w:rPr>
      </w:pPr>
      <w:r w:rsidRPr="006F77F4">
        <w:rPr>
          <w:rStyle w:val="Refdenotaalpie"/>
          <w:rFonts w:ascii="Verdana" w:hAnsi="Verdana"/>
          <w:sz w:val="16"/>
          <w:szCs w:val="16"/>
        </w:rPr>
        <w:footnoteRef/>
      </w:r>
      <w:r w:rsidRPr="006F77F4">
        <w:rPr>
          <w:rFonts w:ascii="Verdana" w:hAnsi="Verdana"/>
          <w:sz w:val="16"/>
          <w:szCs w:val="16"/>
        </w:rPr>
        <w:t xml:space="preserve"> </w:t>
      </w:r>
      <w:r w:rsidRPr="006F77F4">
        <w:rPr>
          <w:rFonts w:ascii="Verdana" w:hAnsi="Verdana"/>
          <w:sz w:val="16"/>
          <w:szCs w:val="16"/>
          <w:lang w:val="es-ES"/>
        </w:rPr>
        <w:t>Consejo de Estado. Sección tercera. Sentencia del 6 de julio de 2022. Exp. 54.711. C.P. José Roberto Sáchica Méndez.</w:t>
      </w:r>
    </w:p>
  </w:footnote>
  <w:footnote w:id="9">
    <w:p w14:paraId="58E96BB1" w14:textId="77777777" w:rsidR="00216796" w:rsidRPr="006F77F4" w:rsidRDefault="00216796" w:rsidP="00216796">
      <w:pPr>
        <w:pStyle w:val="Textonotapie"/>
        <w:ind w:firstLine="708"/>
        <w:jc w:val="both"/>
        <w:rPr>
          <w:rFonts w:ascii="Verdana" w:hAnsi="Verdana"/>
          <w:sz w:val="16"/>
          <w:szCs w:val="16"/>
          <w:lang w:val="es-ES"/>
        </w:rPr>
      </w:pPr>
      <w:r w:rsidRPr="006F77F4">
        <w:rPr>
          <w:rStyle w:val="Refdenotaalpie"/>
          <w:rFonts w:ascii="Verdana" w:hAnsi="Verdana"/>
          <w:sz w:val="16"/>
          <w:szCs w:val="16"/>
        </w:rPr>
        <w:footnoteRef/>
      </w:r>
      <w:r w:rsidRPr="006F77F4">
        <w:rPr>
          <w:rFonts w:ascii="Verdana" w:hAnsi="Verdana"/>
          <w:sz w:val="16"/>
          <w:szCs w:val="16"/>
        </w:rPr>
        <w:t xml:space="preserve"> </w:t>
      </w:r>
      <w:r w:rsidRPr="006F77F4">
        <w:rPr>
          <w:rFonts w:ascii="Verdana" w:hAnsi="Verdana"/>
          <w:sz w:val="16"/>
          <w:szCs w:val="16"/>
          <w:lang w:val="es-ES"/>
        </w:rPr>
        <w:t>CONTRALORÍA GENERAL DE LA REPÚBLICA. Concepto 2013EE0066330 del 12 de julio de 2013, Oficina Jurídica: “aquellos negocios jurídicos materializados y que pueden generar obligaciones o erogaciones que afecten recursos públicos, sin que previamente hayan cumplido de lleno con las apropiaciones presupuestales”. En el mismo sentido, Decreto 1068 de 2015, artículos 2.6.6.2.10, 2.10.1.5.3.10 y 2.8.3.2.9, que prohíben tramitar o legalizar actos administrativos u obligaciones que afecten el presupuesto de gastos cuando no reúnan los requisitos legales o se configuren como hechos cumplidos, y hacen responder disciplinaria, fiscal y penalmente a los ordenadores del gasto que incurran en ella.</w:t>
      </w:r>
    </w:p>
    <w:p w14:paraId="0DD555EC" w14:textId="77777777" w:rsidR="00216796" w:rsidRPr="006F77F4" w:rsidRDefault="00216796" w:rsidP="00216796">
      <w:pPr>
        <w:pStyle w:val="Textonotapie"/>
        <w:rPr>
          <w:lang w:val="es-CO"/>
        </w:rPr>
      </w:pPr>
    </w:p>
  </w:footnote>
  <w:footnote w:id="10">
    <w:p w14:paraId="4C4DF26F" w14:textId="77777777" w:rsidR="00216796" w:rsidRPr="006F77F4" w:rsidRDefault="00216796" w:rsidP="00216796">
      <w:pPr>
        <w:pStyle w:val="Textonotapie"/>
        <w:ind w:firstLine="708"/>
        <w:jc w:val="both"/>
        <w:rPr>
          <w:rFonts w:ascii="Verdana" w:hAnsi="Verdana"/>
          <w:sz w:val="16"/>
          <w:szCs w:val="16"/>
          <w:lang w:val="es-ES"/>
        </w:rPr>
      </w:pPr>
      <w:r w:rsidRPr="006F77F4">
        <w:rPr>
          <w:rStyle w:val="Refdenotaalpie"/>
          <w:rFonts w:ascii="Verdana" w:hAnsi="Verdana"/>
          <w:sz w:val="16"/>
          <w:szCs w:val="16"/>
        </w:rPr>
        <w:footnoteRef/>
      </w:r>
      <w:r w:rsidRPr="006F77F4">
        <w:rPr>
          <w:rFonts w:ascii="Verdana" w:hAnsi="Verdana"/>
          <w:sz w:val="16"/>
          <w:szCs w:val="16"/>
        </w:rPr>
        <w:t xml:space="preserve"> </w:t>
      </w:r>
      <w:r w:rsidRPr="006F77F4">
        <w:rPr>
          <w:rFonts w:ascii="Verdana" w:hAnsi="Verdana"/>
          <w:sz w:val="16"/>
          <w:szCs w:val="16"/>
          <w:lang w:val="es-ES"/>
        </w:rPr>
        <w:t>AGENCIA NACIONAL DE CONTRATACIÓN PÚBLICA – COLOMBIA COMPRA EFICIENTE. Concepto C-1140 del 11 de agosto de 2026: “el hecho cumplido tiene un origen eminentemente presupuestal, aunque produzca efectos directos en la contratación estatal”.</w:t>
      </w:r>
    </w:p>
    <w:p w14:paraId="655A72E6" w14:textId="77777777" w:rsidR="00216796" w:rsidRPr="006F77F4" w:rsidRDefault="00216796" w:rsidP="00216796">
      <w:pPr>
        <w:pStyle w:val="Textonotapie"/>
        <w:rPr>
          <w:lang w:val="es-CO"/>
        </w:rPr>
      </w:pPr>
    </w:p>
  </w:footnote>
  <w:footnote w:id="11">
    <w:p w14:paraId="59F6D4F1" w14:textId="77777777" w:rsidR="00216796" w:rsidRPr="00A8590F" w:rsidRDefault="00216796" w:rsidP="00216796">
      <w:pPr>
        <w:pStyle w:val="Textonotapie"/>
        <w:ind w:firstLine="708"/>
        <w:jc w:val="both"/>
        <w:rPr>
          <w:rFonts w:ascii="Verdana" w:hAnsi="Verdana"/>
          <w:sz w:val="16"/>
          <w:szCs w:val="16"/>
          <w:lang w:val="es-CO"/>
        </w:rPr>
      </w:pPr>
      <w:r w:rsidRPr="00A8590F">
        <w:rPr>
          <w:rStyle w:val="Refdenotaalpie"/>
          <w:rFonts w:ascii="Verdana" w:hAnsi="Verdana"/>
          <w:sz w:val="16"/>
          <w:szCs w:val="16"/>
        </w:rPr>
        <w:footnoteRef/>
      </w:r>
      <w:r w:rsidRPr="00A8590F">
        <w:rPr>
          <w:rFonts w:ascii="Verdana" w:hAnsi="Verdana"/>
          <w:sz w:val="16"/>
          <w:szCs w:val="16"/>
        </w:rPr>
        <w:t xml:space="preserve"> </w:t>
      </w:r>
      <w:bookmarkStart w:id="1" w:name="141"/>
      <w:r w:rsidRPr="00A8590F">
        <w:rPr>
          <w:rFonts w:ascii="Verdana" w:hAnsi="Verdana"/>
          <w:sz w:val="16"/>
          <w:szCs w:val="16"/>
          <w:lang w:val="es-CO"/>
        </w:rPr>
        <w:t>ARTÍCULO 141. CONTROVERSIAS CONTRACTUALES.</w:t>
      </w:r>
      <w:bookmarkEnd w:id="1"/>
      <w:r w:rsidRPr="00A8590F">
        <w:rPr>
          <w:rFonts w:ascii="Verdana" w:hAnsi="Verdana"/>
          <w:sz w:val="16"/>
          <w:szCs w:val="16"/>
          <w:lang w:val="es-CO"/>
        </w:rPr>
        <w:t xml:space="preserve"> Cualquiera de las partes de un contrato del Estado podrá pedir que se declare su existencia o su nulidad, que se ordene su revisión, que se declare su incumplimiento, que se declare la nulidad de los actos administrativos contractuales, que se condene al responsable a indemnizar los perjuicios, y que se hagan otras declaraciones y condenas. Así mismo, el interesado podrá solicitar la liquidación judicial del contrato cuando esta no se haya logrado de mutuo acuerdo y la entidad estatal no lo haya liquidado unilateralmente dentro de los dos (2) meses siguientes al vencimiento del plazo convenido para liquidar de mutuo acuerdo o, en su defecto, del término establecido por la ley.</w:t>
      </w:r>
    </w:p>
    <w:p w14:paraId="6D541743" w14:textId="77777777" w:rsidR="00216796" w:rsidRPr="00A8590F" w:rsidRDefault="00216796" w:rsidP="00216796">
      <w:pPr>
        <w:pStyle w:val="Textonotapie"/>
        <w:ind w:firstLine="708"/>
        <w:jc w:val="both"/>
        <w:rPr>
          <w:rFonts w:ascii="Verdana" w:hAnsi="Verdana"/>
          <w:sz w:val="16"/>
          <w:szCs w:val="16"/>
          <w:lang w:val="es-CO"/>
        </w:rPr>
      </w:pPr>
      <w:r w:rsidRPr="00A8590F">
        <w:rPr>
          <w:rFonts w:ascii="Verdana" w:hAnsi="Verdana"/>
          <w:sz w:val="16"/>
          <w:szCs w:val="16"/>
          <w:lang w:val="es-CO"/>
        </w:rPr>
        <w:t xml:space="preserve">Los actos proferidos antes de la celebración del contrato, con ocasión de la actividad contractual, podrán demandarse en los términos de los artículos </w:t>
      </w:r>
      <w:hyperlink r:id="rId1" w:anchor="137" w:history="1">
        <w:r w:rsidRPr="00A8590F">
          <w:rPr>
            <w:rStyle w:val="Hipervnculo"/>
            <w:rFonts w:ascii="Verdana" w:hAnsi="Verdana"/>
            <w:color w:val="auto"/>
            <w:sz w:val="16"/>
            <w:szCs w:val="16"/>
            <w:lang w:val="es-CO"/>
          </w:rPr>
          <w:t>137</w:t>
        </w:r>
      </w:hyperlink>
      <w:r w:rsidRPr="00A8590F">
        <w:rPr>
          <w:rFonts w:ascii="Verdana" w:hAnsi="Verdana"/>
          <w:sz w:val="16"/>
          <w:szCs w:val="16"/>
          <w:lang w:val="es-CO"/>
        </w:rPr>
        <w:t xml:space="preserve"> y </w:t>
      </w:r>
      <w:hyperlink r:id="rId2" w:anchor="138" w:history="1">
        <w:r w:rsidRPr="00A8590F">
          <w:rPr>
            <w:rStyle w:val="Hipervnculo"/>
            <w:rFonts w:ascii="Verdana" w:hAnsi="Verdana"/>
            <w:color w:val="auto"/>
            <w:sz w:val="16"/>
            <w:szCs w:val="16"/>
            <w:lang w:val="es-CO"/>
          </w:rPr>
          <w:t>138</w:t>
        </w:r>
      </w:hyperlink>
      <w:r w:rsidRPr="00A8590F">
        <w:rPr>
          <w:rFonts w:ascii="Verdana" w:hAnsi="Verdana"/>
          <w:sz w:val="16"/>
          <w:szCs w:val="16"/>
          <w:lang w:val="es-CO"/>
        </w:rPr>
        <w:t xml:space="preserve"> de este Código, según el caso.</w:t>
      </w:r>
    </w:p>
    <w:p w14:paraId="4E0D4CE4" w14:textId="77777777" w:rsidR="00216796" w:rsidRPr="00A8590F" w:rsidRDefault="00216796" w:rsidP="00216796">
      <w:pPr>
        <w:pStyle w:val="Textonotapie"/>
        <w:ind w:firstLine="708"/>
        <w:jc w:val="both"/>
        <w:rPr>
          <w:rFonts w:ascii="Verdana" w:hAnsi="Verdana"/>
          <w:sz w:val="16"/>
          <w:szCs w:val="16"/>
          <w:lang w:val="es-CO"/>
        </w:rPr>
      </w:pPr>
      <w:r w:rsidRPr="00A8590F">
        <w:rPr>
          <w:rFonts w:ascii="Verdana" w:hAnsi="Verdana"/>
          <w:sz w:val="16"/>
          <w:szCs w:val="16"/>
          <w:lang w:val="es-CO"/>
        </w:rPr>
        <w:t>El Ministerio Público o un tercero que acredite un interés directo podrán pedir que se declare la nulidad absoluta del contrato. El juez administrativo podrá declararla de oficio cuando esté plenamente demostrada en el proceso, siempre y cuando en él hayan intervenido las partes contratantes o sus causahabientes.</w:t>
      </w:r>
    </w:p>
    <w:p w14:paraId="6F4BA1DD" w14:textId="77777777" w:rsidR="00216796" w:rsidRPr="000736A9" w:rsidRDefault="00216796" w:rsidP="00216796">
      <w:pPr>
        <w:pStyle w:val="Textonotapie"/>
        <w:ind w:firstLine="708"/>
        <w:rPr>
          <w:lang w:val="es-CO"/>
        </w:rPr>
      </w:pPr>
    </w:p>
  </w:footnote>
  <w:footnote w:id="12">
    <w:p w14:paraId="438D8FB9" w14:textId="77777777" w:rsidR="00216796" w:rsidRPr="001947A2" w:rsidRDefault="00216796" w:rsidP="00216796">
      <w:pPr>
        <w:spacing w:after="0" w:line="240" w:lineRule="auto"/>
        <w:ind w:firstLine="708"/>
        <w:jc w:val="both"/>
        <w:rPr>
          <w:rFonts w:ascii="Verdana" w:hAnsi="Verdana"/>
          <w:sz w:val="16"/>
          <w:szCs w:val="16"/>
        </w:rPr>
      </w:pPr>
      <w:r w:rsidRPr="001947A2">
        <w:rPr>
          <w:rStyle w:val="Refdenotaalpie"/>
          <w:rFonts w:ascii="Verdana" w:hAnsi="Verdana"/>
          <w:sz w:val="16"/>
          <w:szCs w:val="16"/>
        </w:rPr>
        <w:footnoteRef/>
      </w:r>
      <w:r w:rsidRPr="001947A2">
        <w:rPr>
          <w:rFonts w:ascii="Verdana" w:hAnsi="Verdana"/>
          <w:sz w:val="16"/>
          <w:szCs w:val="16"/>
        </w:rPr>
        <w:t xml:space="preserve"> </w:t>
      </w:r>
      <w:r>
        <w:rPr>
          <w:rFonts w:ascii="Verdana" w:hAnsi="Verdana"/>
          <w:sz w:val="16"/>
          <w:szCs w:val="16"/>
        </w:rPr>
        <w:t>CONSEJO D</w:t>
      </w:r>
      <w:r w:rsidRPr="001947A2">
        <w:rPr>
          <w:rFonts w:ascii="Verdana" w:hAnsi="Verdana"/>
          <w:sz w:val="16"/>
          <w:szCs w:val="16"/>
        </w:rPr>
        <w:t>E ESTADO. Sala de Consulta y Servicio Civil. C.P.: Óscar Darí</w:t>
      </w:r>
      <w:r>
        <w:rPr>
          <w:rFonts w:ascii="Verdana" w:hAnsi="Verdana"/>
          <w:sz w:val="16"/>
          <w:szCs w:val="16"/>
        </w:rPr>
        <w:t>o</w:t>
      </w:r>
      <w:r w:rsidRPr="001947A2">
        <w:rPr>
          <w:rFonts w:ascii="Verdana" w:hAnsi="Verdana"/>
          <w:sz w:val="16"/>
          <w:szCs w:val="16"/>
        </w:rPr>
        <w:t xml:space="preserve"> Amaya Navas. Concepto del 6 de j</w:t>
      </w:r>
      <w:r>
        <w:rPr>
          <w:rFonts w:ascii="Verdana" w:hAnsi="Verdana"/>
          <w:sz w:val="16"/>
          <w:szCs w:val="16"/>
        </w:rPr>
        <w:t>unio de 2018. Rad.</w:t>
      </w:r>
      <w:r w:rsidRPr="001947A2">
        <w:rPr>
          <w:rFonts w:ascii="Verdana" w:hAnsi="Verdana"/>
          <w:sz w:val="16"/>
          <w:szCs w:val="16"/>
        </w:rPr>
        <w:t xml:space="preserve"> 2369.</w:t>
      </w:r>
    </w:p>
    <w:p w14:paraId="28CF908A" w14:textId="77777777" w:rsidR="00216796" w:rsidRPr="001947A2" w:rsidRDefault="00216796" w:rsidP="00216796">
      <w:pPr>
        <w:pStyle w:val="Textonotapie"/>
        <w:jc w:val="both"/>
        <w:rPr>
          <w:rFonts w:ascii="Verdana" w:hAnsi="Verdana"/>
          <w:sz w:val="16"/>
          <w:szCs w:val="16"/>
        </w:rPr>
      </w:pPr>
    </w:p>
  </w:footnote>
  <w:footnote w:id="13">
    <w:p w14:paraId="3DE8B9ED" w14:textId="77777777" w:rsidR="00216796" w:rsidRPr="001947A2" w:rsidRDefault="00216796" w:rsidP="00216796">
      <w:pPr>
        <w:pStyle w:val="Textonotapie"/>
        <w:ind w:firstLine="708"/>
        <w:jc w:val="both"/>
        <w:rPr>
          <w:rFonts w:ascii="Verdana" w:hAnsi="Verdana"/>
          <w:sz w:val="16"/>
          <w:szCs w:val="16"/>
        </w:rPr>
      </w:pPr>
      <w:r w:rsidRPr="001947A2">
        <w:rPr>
          <w:rStyle w:val="Refdenotaalpie"/>
          <w:rFonts w:ascii="Verdana" w:hAnsi="Verdana"/>
          <w:sz w:val="16"/>
          <w:szCs w:val="16"/>
        </w:rPr>
        <w:footnoteRef/>
      </w:r>
      <w:r w:rsidRPr="001947A2">
        <w:rPr>
          <w:rFonts w:ascii="Verdana" w:hAnsi="Verdana"/>
          <w:sz w:val="16"/>
          <w:szCs w:val="16"/>
        </w:rPr>
        <w:t xml:space="preserve"> Ibidem.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BE429B" w:rsidRDefault="00BE429B"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BE429B" w:rsidRDefault="00BE429B">
    <w:pPr>
      <w:pStyle w:val="Encabezado"/>
    </w:pPr>
  </w:p>
  <w:p w14:paraId="5E18350A" w14:textId="705F7B76" w:rsidR="00BE429B" w:rsidRPr="004A305D" w:rsidRDefault="00BE429B" w:rsidP="00B01B1A">
    <w:pPr>
      <w:spacing w:after="0" w:line="120" w:lineRule="auto"/>
      <w:rPr>
        <w:rFonts w:ascii="Century Gothic" w:eastAsia="Geo" w:hAnsi="Century Gothic" w:cs="Geo"/>
        <w:sz w:val="16"/>
        <w:szCs w:val="16"/>
        <w:lang w:eastAsia="es-CO"/>
      </w:rPr>
    </w:pPr>
  </w:p>
  <w:p w14:paraId="211B7F5D" w14:textId="77777777" w:rsidR="00BE429B" w:rsidRDefault="00BE429B" w:rsidP="00844AE9">
    <w:pPr>
      <w:spacing w:after="0" w:line="240" w:lineRule="auto"/>
      <w:rPr>
        <w:rFonts w:ascii="Verdana" w:hAnsi="Verdana"/>
        <w:sz w:val="24"/>
        <w:szCs w:val="24"/>
      </w:rPr>
    </w:pPr>
  </w:p>
  <w:p w14:paraId="5A0054B1" w14:textId="77777777" w:rsidR="00BE429B" w:rsidRPr="00C925AC" w:rsidRDefault="00BE429B" w:rsidP="00844AE9">
    <w:pPr>
      <w:spacing w:after="0" w:line="240" w:lineRule="auto"/>
      <w:rPr>
        <w:rFonts w:ascii="Verdana" w:hAnsi="Verdana"/>
        <w:sz w:val="24"/>
        <w:szCs w:val="24"/>
      </w:rPr>
    </w:pPr>
  </w:p>
  <w:p w14:paraId="1FD1C243" w14:textId="37C5500A" w:rsidR="00BE429B" w:rsidRPr="00C925AC" w:rsidRDefault="00BE429B"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10.65pt" o:bullet="t">
        <v:imagedata r:id="rId1" o:title="mso1B13"/>
      </v:shape>
    </w:pict>
  </w:numPicBullet>
  <w:abstractNum w:abstractNumId="0" w15:restartNumberingAfterBreak="0">
    <w:nsid w:val="E527D73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56F4012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A58319A"/>
    <w:multiLevelType w:val="hybridMultilevel"/>
    <w:tmpl w:val="DC06961A"/>
    <w:lvl w:ilvl="0" w:tplc="F9F2639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9D133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468161">
    <w:abstractNumId w:val="8"/>
  </w:num>
  <w:num w:numId="2" w16cid:durableId="374351543">
    <w:abstractNumId w:val="2"/>
  </w:num>
  <w:num w:numId="3" w16cid:durableId="1152529079">
    <w:abstractNumId w:val="5"/>
  </w:num>
  <w:num w:numId="4" w16cid:durableId="16604289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556058">
    <w:abstractNumId w:val="2"/>
  </w:num>
  <w:num w:numId="6" w16cid:durableId="1124035714">
    <w:abstractNumId w:val="18"/>
  </w:num>
  <w:num w:numId="7" w16cid:durableId="382825845">
    <w:abstractNumId w:val="7"/>
  </w:num>
  <w:num w:numId="8" w16cid:durableId="1947342167">
    <w:abstractNumId w:val="16"/>
  </w:num>
  <w:num w:numId="9" w16cid:durableId="2096123706">
    <w:abstractNumId w:val="9"/>
  </w:num>
  <w:num w:numId="10" w16cid:durableId="24258392">
    <w:abstractNumId w:val="15"/>
  </w:num>
  <w:num w:numId="11" w16cid:durableId="1664354151">
    <w:abstractNumId w:val="10"/>
  </w:num>
  <w:num w:numId="12" w16cid:durableId="1521818467">
    <w:abstractNumId w:val="1"/>
  </w:num>
  <w:num w:numId="13" w16cid:durableId="742069231">
    <w:abstractNumId w:val="3"/>
  </w:num>
  <w:num w:numId="14" w16cid:durableId="1786463676">
    <w:abstractNumId w:val="19"/>
  </w:num>
  <w:num w:numId="15" w16cid:durableId="515383840">
    <w:abstractNumId w:val="14"/>
  </w:num>
  <w:num w:numId="16" w16cid:durableId="74788305">
    <w:abstractNumId w:val="4"/>
  </w:num>
  <w:num w:numId="17" w16cid:durableId="1309940973">
    <w:abstractNumId w:val="11"/>
  </w:num>
  <w:num w:numId="18" w16cid:durableId="49884031">
    <w:abstractNumId w:val="20"/>
  </w:num>
  <w:num w:numId="19" w16cid:durableId="1916627832">
    <w:abstractNumId w:val="0"/>
  </w:num>
  <w:num w:numId="20" w16cid:durableId="916481850">
    <w:abstractNumId w:val="17"/>
  </w:num>
  <w:num w:numId="21" w16cid:durableId="1464810940">
    <w:abstractNumId w:val="12"/>
  </w:num>
  <w:num w:numId="22" w16cid:durableId="1492209491">
    <w:abstractNumId w:val="6"/>
  </w:num>
  <w:num w:numId="23" w16cid:durableId="13155983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0276"/>
    <w:rsid w:val="000130CF"/>
    <w:rsid w:val="00016F78"/>
    <w:rsid w:val="000277FD"/>
    <w:rsid w:val="00033D6D"/>
    <w:rsid w:val="00046945"/>
    <w:rsid w:val="00051C15"/>
    <w:rsid w:val="00055945"/>
    <w:rsid w:val="00061B2A"/>
    <w:rsid w:val="000736A9"/>
    <w:rsid w:val="000750A5"/>
    <w:rsid w:val="00081489"/>
    <w:rsid w:val="00082362"/>
    <w:rsid w:val="000A0001"/>
    <w:rsid w:val="000A683E"/>
    <w:rsid w:val="000B13C6"/>
    <w:rsid w:val="000B1586"/>
    <w:rsid w:val="000B19B9"/>
    <w:rsid w:val="000C7D33"/>
    <w:rsid w:val="000D0334"/>
    <w:rsid w:val="000D079C"/>
    <w:rsid w:val="000D0844"/>
    <w:rsid w:val="000D3981"/>
    <w:rsid w:val="000D5DA7"/>
    <w:rsid w:val="000E300E"/>
    <w:rsid w:val="000E4662"/>
    <w:rsid w:val="000F073E"/>
    <w:rsid w:val="000F5033"/>
    <w:rsid w:val="000F6486"/>
    <w:rsid w:val="001058F7"/>
    <w:rsid w:val="00116940"/>
    <w:rsid w:val="00125105"/>
    <w:rsid w:val="00127233"/>
    <w:rsid w:val="00127E5C"/>
    <w:rsid w:val="001316B2"/>
    <w:rsid w:val="0013361C"/>
    <w:rsid w:val="00133C0F"/>
    <w:rsid w:val="001402C9"/>
    <w:rsid w:val="0015527C"/>
    <w:rsid w:val="0015699B"/>
    <w:rsid w:val="001743CA"/>
    <w:rsid w:val="0017630C"/>
    <w:rsid w:val="00193EAE"/>
    <w:rsid w:val="001A33BF"/>
    <w:rsid w:val="001B0572"/>
    <w:rsid w:val="001B4736"/>
    <w:rsid w:val="001B5AFF"/>
    <w:rsid w:val="001C6ADE"/>
    <w:rsid w:val="001E4177"/>
    <w:rsid w:val="001E4784"/>
    <w:rsid w:val="001F0B24"/>
    <w:rsid w:val="001F7DC6"/>
    <w:rsid w:val="0020550F"/>
    <w:rsid w:val="00211230"/>
    <w:rsid w:val="00214A62"/>
    <w:rsid w:val="002153D5"/>
    <w:rsid w:val="00216796"/>
    <w:rsid w:val="0022400B"/>
    <w:rsid w:val="00226271"/>
    <w:rsid w:val="002421BB"/>
    <w:rsid w:val="00242525"/>
    <w:rsid w:val="00246CBB"/>
    <w:rsid w:val="00252059"/>
    <w:rsid w:val="0025796E"/>
    <w:rsid w:val="002602F6"/>
    <w:rsid w:val="00267BBE"/>
    <w:rsid w:val="002707A2"/>
    <w:rsid w:val="002753C0"/>
    <w:rsid w:val="00284D6E"/>
    <w:rsid w:val="00287415"/>
    <w:rsid w:val="002951A0"/>
    <w:rsid w:val="002962BC"/>
    <w:rsid w:val="002A093D"/>
    <w:rsid w:val="002A0DD0"/>
    <w:rsid w:val="002A27D1"/>
    <w:rsid w:val="002A2C2C"/>
    <w:rsid w:val="002A49AC"/>
    <w:rsid w:val="002A58CD"/>
    <w:rsid w:val="002A64FD"/>
    <w:rsid w:val="002A6F3F"/>
    <w:rsid w:val="002B730F"/>
    <w:rsid w:val="002B76E5"/>
    <w:rsid w:val="002C0DE5"/>
    <w:rsid w:val="002C680E"/>
    <w:rsid w:val="002C7A84"/>
    <w:rsid w:val="002E0D89"/>
    <w:rsid w:val="002E1503"/>
    <w:rsid w:val="002E2BF8"/>
    <w:rsid w:val="002E418D"/>
    <w:rsid w:val="002E4FD9"/>
    <w:rsid w:val="003004D2"/>
    <w:rsid w:val="003046D0"/>
    <w:rsid w:val="0030657A"/>
    <w:rsid w:val="0030689F"/>
    <w:rsid w:val="00311C94"/>
    <w:rsid w:val="00320F77"/>
    <w:rsid w:val="003210A8"/>
    <w:rsid w:val="00322A85"/>
    <w:rsid w:val="00324168"/>
    <w:rsid w:val="00325055"/>
    <w:rsid w:val="00327120"/>
    <w:rsid w:val="00330834"/>
    <w:rsid w:val="0033657F"/>
    <w:rsid w:val="003448F4"/>
    <w:rsid w:val="003449BB"/>
    <w:rsid w:val="0036053B"/>
    <w:rsid w:val="00367B6D"/>
    <w:rsid w:val="0037015E"/>
    <w:rsid w:val="00374F5E"/>
    <w:rsid w:val="0037721D"/>
    <w:rsid w:val="00377407"/>
    <w:rsid w:val="00377E3E"/>
    <w:rsid w:val="00390A05"/>
    <w:rsid w:val="003A4D80"/>
    <w:rsid w:val="003A779E"/>
    <w:rsid w:val="003C5FD9"/>
    <w:rsid w:val="003D0F4D"/>
    <w:rsid w:val="003D48B0"/>
    <w:rsid w:val="003D4B5D"/>
    <w:rsid w:val="003D5B0D"/>
    <w:rsid w:val="003E0499"/>
    <w:rsid w:val="003E4F80"/>
    <w:rsid w:val="003E6439"/>
    <w:rsid w:val="003F3941"/>
    <w:rsid w:val="00406575"/>
    <w:rsid w:val="00410A05"/>
    <w:rsid w:val="00414C74"/>
    <w:rsid w:val="00417DF8"/>
    <w:rsid w:val="00426779"/>
    <w:rsid w:val="0042722E"/>
    <w:rsid w:val="004329B4"/>
    <w:rsid w:val="00442203"/>
    <w:rsid w:val="0044528D"/>
    <w:rsid w:val="00446009"/>
    <w:rsid w:val="00464AF4"/>
    <w:rsid w:val="00466E39"/>
    <w:rsid w:val="00470178"/>
    <w:rsid w:val="004707E2"/>
    <w:rsid w:val="00472D05"/>
    <w:rsid w:val="00474655"/>
    <w:rsid w:val="004A1847"/>
    <w:rsid w:val="004A305D"/>
    <w:rsid w:val="004D3709"/>
    <w:rsid w:val="004D5664"/>
    <w:rsid w:val="004D5C33"/>
    <w:rsid w:val="004E24D3"/>
    <w:rsid w:val="004F21C4"/>
    <w:rsid w:val="004F64E1"/>
    <w:rsid w:val="004F685F"/>
    <w:rsid w:val="004F7A91"/>
    <w:rsid w:val="00502B4C"/>
    <w:rsid w:val="00504C73"/>
    <w:rsid w:val="0052648D"/>
    <w:rsid w:val="005330A9"/>
    <w:rsid w:val="00551AF3"/>
    <w:rsid w:val="005566E8"/>
    <w:rsid w:val="00560ECB"/>
    <w:rsid w:val="00563377"/>
    <w:rsid w:val="005720E3"/>
    <w:rsid w:val="0057428E"/>
    <w:rsid w:val="00574867"/>
    <w:rsid w:val="00583346"/>
    <w:rsid w:val="0059001F"/>
    <w:rsid w:val="00591460"/>
    <w:rsid w:val="005919E8"/>
    <w:rsid w:val="005A65E0"/>
    <w:rsid w:val="005C3777"/>
    <w:rsid w:val="005C47DD"/>
    <w:rsid w:val="005C5CDC"/>
    <w:rsid w:val="005D476C"/>
    <w:rsid w:val="005E7C99"/>
    <w:rsid w:val="005F1A8F"/>
    <w:rsid w:val="005F51C5"/>
    <w:rsid w:val="005F6B50"/>
    <w:rsid w:val="005F7D5F"/>
    <w:rsid w:val="00603964"/>
    <w:rsid w:val="006200BF"/>
    <w:rsid w:val="006219F8"/>
    <w:rsid w:val="006302F7"/>
    <w:rsid w:val="00632508"/>
    <w:rsid w:val="00646B9F"/>
    <w:rsid w:val="006506D8"/>
    <w:rsid w:val="006571B8"/>
    <w:rsid w:val="00663F30"/>
    <w:rsid w:val="00665D70"/>
    <w:rsid w:val="00671542"/>
    <w:rsid w:val="006900D9"/>
    <w:rsid w:val="006C66D2"/>
    <w:rsid w:val="006E16A7"/>
    <w:rsid w:val="006E4680"/>
    <w:rsid w:val="006F30F8"/>
    <w:rsid w:val="006F77F4"/>
    <w:rsid w:val="0070084B"/>
    <w:rsid w:val="00706C16"/>
    <w:rsid w:val="0071632A"/>
    <w:rsid w:val="007203DD"/>
    <w:rsid w:val="00720735"/>
    <w:rsid w:val="00730E86"/>
    <w:rsid w:val="007340C3"/>
    <w:rsid w:val="007368AD"/>
    <w:rsid w:val="00744DC2"/>
    <w:rsid w:val="00747A86"/>
    <w:rsid w:val="0075235A"/>
    <w:rsid w:val="0075273E"/>
    <w:rsid w:val="00756841"/>
    <w:rsid w:val="007649AB"/>
    <w:rsid w:val="00771D0C"/>
    <w:rsid w:val="007833AC"/>
    <w:rsid w:val="00790E65"/>
    <w:rsid w:val="007A074E"/>
    <w:rsid w:val="007A1830"/>
    <w:rsid w:val="007B1C3A"/>
    <w:rsid w:val="007B268C"/>
    <w:rsid w:val="007B68A4"/>
    <w:rsid w:val="007B7171"/>
    <w:rsid w:val="007C0C0F"/>
    <w:rsid w:val="007C3DC2"/>
    <w:rsid w:val="007D0BAB"/>
    <w:rsid w:val="007D1AA3"/>
    <w:rsid w:val="007D2356"/>
    <w:rsid w:val="007E5497"/>
    <w:rsid w:val="007E69C2"/>
    <w:rsid w:val="00806F5F"/>
    <w:rsid w:val="00813A5F"/>
    <w:rsid w:val="00814FD2"/>
    <w:rsid w:val="00820278"/>
    <w:rsid w:val="008258C9"/>
    <w:rsid w:val="008316FF"/>
    <w:rsid w:val="00844AE9"/>
    <w:rsid w:val="00855445"/>
    <w:rsid w:val="00864FA6"/>
    <w:rsid w:val="008652E9"/>
    <w:rsid w:val="00865477"/>
    <w:rsid w:val="008668C8"/>
    <w:rsid w:val="00867F95"/>
    <w:rsid w:val="008839F0"/>
    <w:rsid w:val="008843B6"/>
    <w:rsid w:val="00884EA3"/>
    <w:rsid w:val="008853C8"/>
    <w:rsid w:val="00891928"/>
    <w:rsid w:val="008A37D6"/>
    <w:rsid w:val="008A3E33"/>
    <w:rsid w:val="008A446D"/>
    <w:rsid w:val="008B21F6"/>
    <w:rsid w:val="008B25F1"/>
    <w:rsid w:val="008D180B"/>
    <w:rsid w:val="008D2EC1"/>
    <w:rsid w:val="008E1619"/>
    <w:rsid w:val="008F0EA7"/>
    <w:rsid w:val="008F3654"/>
    <w:rsid w:val="00907B57"/>
    <w:rsid w:val="009223B1"/>
    <w:rsid w:val="0092278A"/>
    <w:rsid w:val="00923EEF"/>
    <w:rsid w:val="00934D02"/>
    <w:rsid w:val="0094007A"/>
    <w:rsid w:val="009419F9"/>
    <w:rsid w:val="00945E3D"/>
    <w:rsid w:val="00953718"/>
    <w:rsid w:val="0095685E"/>
    <w:rsid w:val="00960BFE"/>
    <w:rsid w:val="00961B09"/>
    <w:rsid w:val="00965334"/>
    <w:rsid w:val="00965AD9"/>
    <w:rsid w:val="00967EF6"/>
    <w:rsid w:val="0097093E"/>
    <w:rsid w:val="00976B55"/>
    <w:rsid w:val="00982C6E"/>
    <w:rsid w:val="0099043B"/>
    <w:rsid w:val="009A0177"/>
    <w:rsid w:val="009A0DFA"/>
    <w:rsid w:val="009A4998"/>
    <w:rsid w:val="009B27CB"/>
    <w:rsid w:val="009B2D26"/>
    <w:rsid w:val="009C03C0"/>
    <w:rsid w:val="009C71FA"/>
    <w:rsid w:val="009C72E7"/>
    <w:rsid w:val="009C7F7E"/>
    <w:rsid w:val="009D3058"/>
    <w:rsid w:val="009D53A2"/>
    <w:rsid w:val="009D6AF2"/>
    <w:rsid w:val="009E3321"/>
    <w:rsid w:val="009F27CD"/>
    <w:rsid w:val="009F3263"/>
    <w:rsid w:val="009F3A13"/>
    <w:rsid w:val="00A0223C"/>
    <w:rsid w:val="00A02AB0"/>
    <w:rsid w:val="00A04CE7"/>
    <w:rsid w:val="00A05272"/>
    <w:rsid w:val="00A0761A"/>
    <w:rsid w:val="00A122D3"/>
    <w:rsid w:val="00A12DE3"/>
    <w:rsid w:val="00A13298"/>
    <w:rsid w:val="00A14468"/>
    <w:rsid w:val="00A17F13"/>
    <w:rsid w:val="00A20739"/>
    <w:rsid w:val="00A23AF9"/>
    <w:rsid w:val="00A25125"/>
    <w:rsid w:val="00A2655B"/>
    <w:rsid w:val="00A33C78"/>
    <w:rsid w:val="00A4039C"/>
    <w:rsid w:val="00A47149"/>
    <w:rsid w:val="00A56540"/>
    <w:rsid w:val="00A60D8F"/>
    <w:rsid w:val="00A7153D"/>
    <w:rsid w:val="00A8590F"/>
    <w:rsid w:val="00A85C59"/>
    <w:rsid w:val="00A94A5D"/>
    <w:rsid w:val="00A96668"/>
    <w:rsid w:val="00AB00A7"/>
    <w:rsid w:val="00AB0ADB"/>
    <w:rsid w:val="00AB3ED7"/>
    <w:rsid w:val="00AC271C"/>
    <w:rsid w:val="00AF7433"/>
    <w:rsid w:val="00B001E4"/>
    <w:rsid w:val="00B00412"/>
    <w:rsid w:val="00B00C0E"/>
    <w:rsid w:val="00B01B1A"/>
    <w:rsid w:val="00B02D22"/>
    <w:rsid w:val="00B10DF8"/>
    <w:rsid w:val="00B13E8B"/>
    <w:rsid w:val="00B1464A"/>
    <w:rsid w:val="00B230A7"/>
    <w:rsid w:val="00B4014F"/>
    <w:rsid w:val="00B44A47"/>
    <w:rsid w:val="00B44F3E"/>
    <w:rsid w:val="00B478FC"/>
    <w:rsid w:val="00B640DB"/>
    <w:rsid w:val="00B72CD3"/>
    <w:rsid w:val="00B72FFF"/>
    <w:rsid w:val="00B77287"/>
    <w:rsid w:val="00B84666"/>
    <w:rsid w:val="00B87FFD"/>
    <w:rsid w:val="00BB4134"/>
    <w:rsid w:val="00BB7A9F"/>
    <w:rsid w:val="00BC3D36"/>
    <w:rsid w:val="00BD54A6"/>
    <w:rsid w:val="00BD7F72"/>
    <w:rsid w:val="00BE429B"/>
    <w:rsid w:val="00BE6284"/>
    <w:rsid w:val="00BF1FB2"/>
    <w:rsid w:val="00BF48AB"/>
    <w:rsid w:val="00BF58C7"/>
    <w:rsid w:val="00BF7425"/>
    <w:rsid w:val="00C04FB3"/>
    <w:rsid w:val="00C06D13"/>
    <w:rsid w:val="00C11D8B"/>
    <w:rsid w:val="00C16B03"/>
    <w:rsid w:val="00C16B06"/>
    <w:rsid w:val="00C330EB"/>
    <w:rsid w:val="00C50D69"/>
    <w:rsid w:val="00C5365C"/>
    <w:rsid w:val="00C57150"/>
    <w:rsid w:val="00C723BE"/>
    <w:rsid w:val="00C72D3A"/>
    <w:rsid w:val="00C754BE"/>
    <w:rsid w:val="00C76B1C"/>
    <w:rsid w:val="00C82B0E"/>
    <w:rsid w:val="00C839F1"/>
    <w:rsid w:val="00C84865"/>
    <w:rsid w:val="00C92578"/>
    <w:rsid w:val="00C925AC"/>
    <w:rsid w:val="00CA400E"/>
    <w:rsid w:val="00CB56C2"/>
    <w:rsid w:val="00CB6357"/>
    <w:rsid w:val="00CB7DC1"/>
    <w:rsid w:val="00CC1B26"/>
    <w:rsid w:val="00CC41EB"/>
    <w:rsid w:val="00CC6745"/>
    <w:rsid w:val="00CD635D"/>
    <w:rsid w:val="00CE2A4D"/>
    <w:rsid w:val="00CF2A81"/>
    <w:rsid w:val="00CF5B6F"/>
    <w:rsid w:val="00D01973"/>
    <w:rsid w:val="00D01B7D"/>
    <w:rsid w:val="00D11ED6"/>
    <w:rsid w:val="00D24E1B"/>
    <w:rsid w:val="00D2630C"/>
    <w:rsid w:val="00D314C4"/>
    <w:rsid w:val="00D31DAC"/>
    <w:rsid w:val="00D361FD"/>
    <w:rsid w:val="00D40EE0"/>
    <w:rsid w:val="00D423A2"/>
    <w:rsid w:val="00D44E26"/>
    <w:rsid w:val="00D46910"/>
    <w:rsid w:val="00D516EE"/>
    <w:rsid w:val="00D520D8"/>
    <w:rsid w:val="00D532F2"/>
    <w:rsid w:val="00D534FB"/>
    <w:rsid w:val="00D63712"/>
    <w:rsid w:val="00D63AC2"/>
    <w:rsid w:val="00D73839"/>
    <w:rsid w:val="00D7383B"/>
    <w:rsid w:val="00D766B8"/>
    <w:rsid w:val="00D7788A"/>
    <w:rsid w:val="00D8371D"/>
    <w:rsid w:val="00D87653"/>
    <w:rsid w:val="00DA01E5"/>
    <w:rsid w:val="00DA1236"/>
    <w:rsid w:val="00DA231B"/>
    <w:rsid w:val="00DA607D"/>
    <w:rsid w:val="00DC39FC"/>
    <w:rsid w:val="00DF3306"/>
    <w:rsid w:val="00DF3FFE"/>
    <w:rsid w:val="00DF5254"/>
    <w:rsid w:val="00E02524"/>
    <w:rsid w:val="00E16408"/>
    <w:rsid w:val="00E20685"/>
    <w:rsid w:val="00E20894"/>
    <w:rsid w:val="00E22F70"/>
    <w:rsid w:val="00E245AB"/>
    <w:rsid w:val="00E2764C"/>
    <w:rsid w:val="00E27F2E"/>
    <w:rsid w:val="00E31945"/>
    <w:rsid w:val="00E335FD"/>
    <w:rsid w:val="00E36953"/>
    <w:rsid w:val="00E50AFE"/>
    <w:rsid w:val="00E748B9"/>
    <w:rsid w:val="00E75C92"/>
    <w:rsid w:val="00E771DC"/>
    <w:rsid w:val="00E807F2"/>
    <w:rsid w:val="00E841A0"/>
    <w:rsid w:val="00E8772A"/>
    <w:rsid w:val="00E90F6B"/>
    <w:rsid w:val="00E92C27"/>
    <w:rsid w:val="00E94B76"/>
    <w:rsid w:val="00EA0E3D"/>
    <w:rsid w:val="00EA5749"/>
    <w:rsid w:val="00EB08D2"/>
    <w:rsid w:val="00EB44B9"/>
    <w:rsid w:val="00EB7691"/>
    <w:rsid w:val="00EC2733"/>
    <w:rsid w:val="00EC38A7"/>
    <w:rsid w:val="00ED0AD9"/>
    <w:rsid w:val="00EE1AA8"/>
    <w:rsid w:val="00F02749"/>
    <w:rsid w:val="00F12E8F"/>
    <w:rsid w:val="00F23FEA"/>
    <w:rsid w:val="00F25AFD"/>
    <w:rsid w:val="00F27B7B"/>
    <w:rsid w:val="00F31EDC"/>
    <w:rsid w:val="00F3319B"/>
    <w:rsid w:val="00F462B3"/>
    <w:rsid w:val="00F46EDD"/>
    <w:rsid w:val="00F5007B"/>
    <w:rsid w:val="00F5664F"/>
    <w:rsid w:val="00F63D25"/>
    <w:rsid w:val="00F666C4"/>
    <w:rsid w:val="00F67EC4"/>
    <w:rsid w:val="00F7501A"/>
    <w:rsid w:val="00F76AFC"/>
    <w:rsid w:val="00F92290"/>
    <w:rsid w:val="00F97153"/>
    <w:rsid w:val="00FA4768"/>
    <w:rsid w:val="00FA47C0"/>
    <w:rsid w:val="00FB448C"/>
    <w:rsid w:val="00FB5DD1"/>
    <w:rsid w:val="00FC27F2"/>
    <w:rsid w:val="00FC2B5D"/>
    <w:rsid w:val="00FC596A"/>
    <w:rsid w:val="00FD2581"/>
    <w:rsid w:val="00FD7439"/>
    <w:rsid w:val="00FE18B1"/>
    <w:rsid w:val="00FE7F80"/>
    <w:rsid w:val="00FF1449"/>
    <w:rsid w:val="00FF3D97"/>
    <w:rsid w:val="00FF6AA5"/>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1E5"/>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FF3D97"/>
    <w:rPr>
      <w:rFonts w:ascii="Geomanist Light" w:hAnsi="Geomanist Light"/>
      <w:lang w:val="es-ES"/>
    </w:rPr>
  </w:style>
  <w:style w:type="character" w:customStyle="1" w:styleId="NormalWebCar">
    <w:name w:val="Normal (Web) Car"/>
    <w:link w:val="NormalWeb"/>
    <w:uiPriority w:val="99"/>
    <w:locked/>
    <w:rsid w:val="00A7153D"/>
    <w:rPr>
      <w:rFonts w:ascii="Times New Roman" w:eastAsia="Times New Roman" w:hAnsi="Times New Roman" w:cs="Times New Roman"/>
      <w:sz w:val="24"/>
      <w:szCs w:val="24"/>
      <w:lang w:eastAsia="es-CO"/>
    </w:rPr>
  </w:style>
  <w:style w:type="character" w:customStyle="1" w:styleId="baj">
    <w:name w:val="b_aj"/>
    <w:basedOn w:val="Fuentedeprrafopredeter"/>
    <w:rsid w:val="00A7153D"/>
  </w:style>
  <w:style w:type="character" w:styleId="Refdecomentario">
    <w:name w:val="annotation reference"/>
    <w:basedOn w:val="Fuentedeprrafopredeter"/>
    <w:uiPriority w:val="99"/>
    <w:semiHidden/>
    <w:unhideWhenUsed/>
    <w:rsid w:val="009B27CB"/>
    <w:rPr>
      <w:sz w:val="16"/>
      <w:szCs w:val="16"/>
    </w:rPr>
  </w:style>
  <w:style w:type="paragraph" w:styleId="Textocomentario">
    <w:name w:val="annotation text"/>
    <w:basedOn w:val="Normal"/>
    <w:link w:val="TextocomentarioCar"/>
    <w:uiPriority w:val="99"/>
    <w:unhideWhenUsed/>
    <w:rsid w:val="009B27CB"/>
    <w:pPr>
      <w:spacing w:line="240" w:lineRule="auto"/>
    </w:pPr>
    <w:rPr>
      <w:sz w:val="20"/>
      <w:szCs w:val="20"/>
    </w:rPr>
  </w:style>
  <w:style w:type="character" w:customStyle="1" w:styleId="TextocomentarioCar">
    <w:name w:val="Texto comentario Car"/>
    <w:basedOn w:val="Fuentedeprrafopredeter"/>
    <w:link w:val="Textocomentario"/>
    <w:uiPriority w:val="99"/>
    <w:rsid w:val="009B27CB"/>
    <w:rPr>
      <w:sz w:val="20"/>
      <w:szCs w:val="20"/>
    </w:rPr>
  </w:style>
  <w:style w:type="table" w:customStyle="1" w:styleId="Tablaconcuadrcula11">
    <w:name w:val="Tabla con cuadrícula11"/>
    <w:basedOn w:val="Tablanormal"/>
    <w:next w:val="Tablaconcuadrcula"/>
    <w:uiPriority w:val="39"/>
    <w:qFormat/>
    <w:rsid w:val="009B2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8371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371D"/>
    <w:rPr>
      <w:rFonts w:ascii="Segoe UI" w:hAnsi="Segoe UI" w:cs="Segoe UI"/>
      <w:sz w:val="18"/>
      <w:szCs w:val="18"/>
    </w:rPr>
  </w:style>
  <w:style w:type="character" w:styleId="Mencinsinresolver">
    <w:name w:val="Unresolved Mention"/>
    <w:basedOn w:val="Fuentedeprrafopredeter"/>
    <w:uiPriority w:val="99"/>
    <w:semiHidden/>
    <w:unhideWhenUsed/>
    <w:rsid w:val="00B87F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7703">
      <w:bodyDiv w:val="1"/>
      <w:marLeft w:val="0"/>
      <w:marRight w:val="0"/>
      <w:marTop w:val="0"/>
      <w:marBottom w:val="0"/>
      <w:divBdr>
        <w:top w:val="none" w:sz="0" w:space="0" w:color="auto"/>
        <w:left w:val="none" w:sz="0" w:space="0" w:color="auto"/>
        <w:bottom w:val="none" w:sz="0" w:space="0" w:color="auto"/>
        <w:right w:val="none" w:sz="0" w:space="0" w:color="auto"/>
      </w:divBdr>
    </w:div>
    <w:div w:id="362830511">
      <w:bodyDiv w:val="1"/>
      <w:marLeft w:val="0"/>
      <w:marRight w:val="0"/>
      <w:marTop w:val="0"/>
      <w:marBottom w:val="0"/>
      <w:divBdr>
        <w:top w:val="none" w:sz="0" w:space="0" w:color="auto"/>
        <w:left w:val="none" w:sz="0" w:space="0" w:color="auto"/>
        <w:bottom w:val="none" w:sz="0" w:space="0" w:color="auto"/>
        <w:right w:val="none" w:sz="0" w:space="0" w:color="auto"/>
      </w:divBdr>
    </w:div>
    <w:div w:id="364061825">
      <w:bodyDiv w:val="1"/>
      <w:marLeft w:val="0"/>
      <w:marRight w:val="0"/>
      <w:marTop w:val="0"/>
      <w:marBottom w:val="0"/>
      <w:divBdr>
        <w:top w:val="none" w:sz="0" w:space="0" w:color="auto"/>
        <w:left w:val="none" w:sz="0" w:space="0" w:color="auto"/>
        <w:bottom w:val="none" w:sz="0" w:space="0" w:color="auto"/>
        <w:right w:val="none" w:sz="0" w:space="0" w:color="auto"/>
      </w:divBdr>
    </w:div>
    <w:div w:id="55589833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94171352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de-garantias-en-procesos-de-contratacion"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boletin/boletin-edicion-n-3-de-2026-radar-de-la-compra-publica"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archivos/circular/circular-externa-002-de-202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archivos/circular/circular-externa-003-de-2026"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1437_2011_pr003.html" TargetMode="External"/><Relationship Id="rId1" Type="http://schemas.openxmlformats.org/officeDocument/2006/relationships/hyperlink" Target="http://www.secretariasenado.gov.co/senado/basedoc/ley_1437_2011_pr003.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A98E1D93-B7A5-40FC-8151-0B15E22FC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DC843E3-D620-4881-8440-74CA2CD00A2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24</Pages>
  <Words>8280</Words>
  <Characters>45543</Characters>
  <Application>Microsoft Office Word</Application>
  <DocSecurity>0</DocSecurity>
  <Lines>379</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12</cp:revision>
  <cp:lastPrinted>2023-01-10T21:18:00Z</cp:lastPrinted>
  <dcterms:created xsi:type="dcterms:W3CDTF">2026-10-13T17:10:00Z</dcterms:created>
  <dcterms:modified xsi:type="dcterms:W3CDTF">2026-10-13T23:49:00Z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