
<file path=[Content_Types].xml><?xml version="1.0" encoding="utf-8"?>
<Types xmlns="http://schemas.openxmlformats.org/package/2006/content-types">
  <Default Extension="gif" ContentType="image/gi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161EAD7" w14:textId="77777777" w:rsidR="00E25D52" w:rsidRPr="00B54B1E" w:rsidRDefault="00E25D52" w:rsidP="00E25D52">
      <w:pPr>
        <w:contextualSpacing/>
        <w:jc w:val="both"/>
        <w:rPr>
          <w:rFonts w:ascii="Verdana" w:eastAsia="Calibri" w:hAnsi="Verdana" w:cs="Arial"/>
          <w:b/>
          <w:bCs/>
          <w:sz w:val="22"/>
          <w:szCs w:val="22"/>
          <w:lang w:eastAsia="es-ES"/>
        </w:rPr>
      </w:pPr>
      <w:bookmarkStart w:id="0" w:name="_Hlk143780582"/>
      <w:r w:rsidRPr="00B54B1E">
        <w:rPr>
          <w:rFonts w:ascii="Verdana" w:eastAsia="Calibri" w:hAnsi="Verdana" w:cs="Arial"/>
          <w:b/>
          <w:bCs/>
          <w:sz w:val="22"/>
          <w:szCs w:val="22"/>
          <w:lang w:eastAsia="es-ES"/>
        </w:rPr>
        <w:t>CONTRATACIÓN DIRECTA ‒ Deber de planeación ‒ Estudios y documentos previos ‒ Exigibilidad</w:t>
      </w:r>
    </w:p>
    <w:p w14:paraId="347B1359" w14:textId="77777777" w:rsidR="00E25D52" w:rsidRDefault="00E25D52" w:rsidP="00E25D52">
      <w:pPr>
        <w:contextualSpacing/>
        <w:jc w:val="both"/>
        <w:rPr>
          <w:rFonts w:ascii="Verdana" w:eastAsia="Calibri" w:hAnsi="Verdana" w:cs="Arial"/>
          <w:b/>
          <w:bCs/>
          <w:lang w:eastAsia="es-ES"/>
        </w:rPr>
      </w:pPr>
    </w:p>
    <w:p w14:paraId="70A1FD9E" w14:textId="77777777" w:rsidR="00E25D52" w:rsidRDefault="00E25D52" w:rsidP="00E25D52">
      <w:pPr>
        <w:contextualSpacing/>
        <w:jc w:val="both"/>
        <w:rPr>
          <w:rFonts w:ascii="Verdana" w:eastAsia="Calibri" w:hAnsi="Verdana" w:cs="Arial"/>
          <w:sz w:val="20"/>
          <w:szCs w:val="20"/>
          <w:lang w:eastAsia="es-ES"/>
        </w:rPr>
      </w:pPr>
      <w:r>
        <w:rPr>
          <w:rFonts w:ascii="Verdana" w:eastAsia="Calibri" w:hAnsi="Verdana" w:cs="Arial"/>
          <w:sz w:val="20"/>
          <w:szCs w:val="20"/>
          <w:lang w:eastAsia="es-ES"/>
        </w:rPr>
        <w:t>La contratación directa no está exenta del deber de planeación. El artículo 2.2.1.1.2.1.1 del Decreto 1082 de 2015 exige los estudios y documentos previos en todas las modalidades de selección, con la única salvedad de la mínima cuantía, de modo que también en la contratación directa la entidad debe describir la necesidad, el objeto con sus especificaciones, la modalidad y su justificación, el valor estimado, el análisis de riesgo y las garantías. La ausencia de evaluación comparativa de ofertas no suprime ese deber, sino que se limita a excluir los instrumentos que suponen ponderación.</w:t>
      </w:r>
    </w:p>
    <w:p w14:paraId="118B90C2" w14:textId="77777777" w:rsidR="00E25D52" w:rsidRDefault="00E25D52" w:rsidP="00E25D52">
      <w:pPr>
        <w:contextualSpacing/>
        <w:jc w:val="both"/>
        <w:rPr>
          <w:rFonts w:ascii="Verdana" w:eastAsia="Calibri" w:hAnsi="Verdana" w:cs="Arial"/>
          <w:b/>
          <w:bCs/>
          <w:lang w:eastAsia="es-ES"/>
        </w:rPr>
      </w:pPr>
    </w:p>
    <w:p w14:paraId="323D2DC8" w14:textId="77777777" w:rsidR="00E25D52" w:rsidRPr="00B54B1E" w:rsidRDefault="00E25D52" w:rsidP="00E25D52">
      <w:pPr>
        <w:contextualSpacing/>
        <w:jc w:val="both"/>
        <w:rPr>
          <w:rFonts w:ascii="Verdana" w:eastAsia="Calibri" w:hAnsi="Verdana" w:cs="Arial"/>
          <w:b/>
          <w:bCs/>
          <w:sz w:val="22"/>
          <w:szCs w:val="22"/>
          <w:lang w:eastAsia="es-ES"/>
        </w:rPr>
      </w:pPr>
      <w:r w:rsidRPr="00B54B1E">
        <w:rPr>
          <w:rFonts w:ascii="Verdana" w:eastAsia="Calibri" w:hAnsi="Verdana" w:cs="Arial"/>
          <w:b/>
          <w:bCs/>
          <w:sz w:val="22"/>
          <w:szCs w:val="22"/>
          <w:lang w:eastAsia="es-ES"/>
        </w:rPr>
        <w:t>SISTEMA INTEGRAL DE PREFERENCIAS ‒ Decreto 0287 de 2026 ‒ Cinco medidas ‒ Aplicación diferenciada según la modalidad de selección</w:t>
      </w:r>
    </w:p>
    <w:p w14:paraId="70121A2F" w14:textId="77777777" w:rsidR="00E25D52" w:rsidRDefault="00E25D52" w:rsidP="00E25D52">
      <w:pPr>
        <w:contextualSpacing/>
        <w:jc w:val="both"/>
        <w:rPr>
          <w:rFonts w:ascii="Verdana" w:eastAsia="Calibri" w:hAnsi="Verdana" w:cs="Arial"/>
          <w:b/>
          <w:bCs/>
          <w:lang w:eastAsia="es-ES"/>
        </w:rPr>
      </w:pPr>
    </w:p>
    <w:p w14:paraId="018376B0" w14:textId="77777777" w:rsidR="00E25D52" w:rsidRDefault="00E25D52" w:rsidP="00E25D52">
      <w:pPr>
        <w:contextualSpacing/>
        <w:jc w:val="both"/>
        <w:rPr>
          <w:rFonts w:ascii="Verdana" w:eastAsia="Calibri" w:hAnsi="Verdana" w:cs="Arial"/>
          <w:sz w:val="20"/>
          <w:szCs w:val="20"/>
          <w:lang w:eastAsia="es-ES"/>
        </w:rPr>
      </w:pPr>
      <w:r>
        <w:rPr>
          <w:rFonts w:ascii="Verdana" w:eastAsia="Calibri" w:hAnsi="Verdana" w:cs="Arial"/>
          <w:sz w:val="20"/>
          <w:szCs w:val="20"/>
          <w:lang w:eastAsia="es-ES"/>
        </w:rPr>
        <w:t>El Sistema Integral de Preferencias no se agota en el puntaje adicional. Conforme a la Circular Externa No. 003 de 2026, está compuesto por cinco medidas, cuya aplicación varía según el régimen y la modalidad: las herramientas de planeación, los criterios habilitantes diferenciales y el puntaje adicional no operan en la contratación directa, mientras que las compras públicas accesibles y las condiciones especiales de ejecución sí le resultan aplicables, y la inclusión de personas con discapacidad en contratos de prestación de servicios es, precisamente, una medida propia de esa modalidad.</w:t>
      </w:r>
    </w:p>
    <w:p w14:paraId="2B6CE9EC" w14:textId="77777777" w:rsidR="00E25D52" w:rsidRDefault="00E25D52" w:rsidP="00E25D52">
      <w:pPr>
        <w:contextualSpacing/>
        <w:jc w:val="both"/>
        <w:rPr>
          <w:rFonts w:ascii="Verdana" w:eastAsia="Calibri" w:hAnsi="Verdana" w:cs="Arial"/>
          <w:b/>
          <w:bCs/>
          <w:lang w:eastAsia="es-ES"/>
        </w:rPr>
      </w:pPr>
    </w:p>
    <w:p w14:paraId="0C56CE1E" w14:textId="77777777" w:rsidR="00E25D52" w:rsidRPr="00B54B1E" w:rsidRDefault="00E25D52" w:rsidP="00E25D52">
      <w:pPr>
        <w:contextualSpacing/>
        <w:jc w:val="both"/>
        <w:rPr>
          <w:rFonts w:ascii="Verdana" w:eastAsia="Calibri" w:hAnsi="Verdana" w:cs="Arial"/>
          <w:b/>
          <w:bCs/>
          <w:sz w:val="22"/>
          <w:szCs w:val="22"/>
          <w:lang w:eastAsia="es-ES"/>
        </w:rPr>
      </w:pPr>
      <w:r w:rsidRPr="00B54B1E">
        <w:rPr>
          <w:rFonts w:ascii="Verdana" w:eastAsia="Calibri" w:hAnsi="Verdana" w:cs="Arial"/>
          <w:b/>
          <w:bCs/>
          <w:sz w:val="22"/>
          <w:szCs w:val="22"/>
          <w:lang w:eastAsia="es-ES"/>
        </w:rPr>
        <w:t>COMPRAS PÚBLICAS ACCESIBLES ‒ Artículo 2.2.1.2.4.2.7.1 ‒ Todas las modalidades y regímenes ‒ Criterios de accesibilidad en los estudios previos</w:t>
      </w:r>
    </w:p>
    <w:p w14:paraId="792E0988" w14:textId="77777777" w:rsidR="00E25D52" w:rsidRDefault="00E25D52" w:rsidP="00E25D52">
      <w:pPr>
        <w:contextualSpacing/>
        <w:jc w:val="both"/>
        <w:rPr>
          <w:rFonts w:ascii="Verdana" w:eastAsia="Calibri" w:hAnsi="Verdana" w:cs="Arial"/>
          <w:b/>
          <w:bCs/>
          <w:lang w:eastAsia="es-ES"/>
        </w:rPr>
      </w:pPr>
    </w:p>
    <w:p w14:paraId="7630AA8A" w14:textId="77777777" w:rsidR="00E25D52" w:rsidRDefault="00E25D52" w:rsidP="00E25D52">
      <w:pPr>
        <w:contextualSpacing/>
        <w:jc w:val="both"/>
        <w:rPr>
          <w:rFonts w:ascii="Verdana" w:eastAsia="Calibri" w:hAnsi="Verdana" w:cs="Arial"/>
          <w:sz w:val="20"/>
          <w:szCs w:val="20"/>
          <w:lang w:eastAsia="es-ES"/>
        </w:rPr>
      </w:pPr>
      <w:r>
        <w:rPr>
          <w:rFonts w:ascii="Verdana" w:eastAsia="Calibri" w:hAnsi="Verdana" w:cs="Arial"/>
          <w:sz w:val="20"/>
          <w:szCs w:val="20"/>
          <w:lang w:eastAsia="es-ES"/>
        </w:rPr>
        <w:t>La obligación de incorporar criterios de accesibilidad se predica de toda compra de bienes, obras o servicios que realicen los entes del Estado, se rijan por el Estatuto General de Contratación de la Administración Pública o por régimen especial, y en todas las modalidades de selección. Dichos criterios se definen en la etapa de planeación, puntualmente en los estudios y documentos previos, y cuando no existan normas legales, reglamentarias o técnicas aplicables al objeto, la entidad no se exonera de incorporarlos: debe fijar una ficha técnica propia.</w:t>
      </w:r>
    </w:p>
    <w:p w14:paraId="440B6997" w14:textId="77777777" w:rsidR="00E25D52" w:rsidRDefault="00E25D52" w:rsidP="00E25D52">
      <w:pPr>
        <w:contextualSpacing/>
        <w:jc w:val="both"/>
        <w:rPr>
          <w:rFonts w:ascii="Verdana" w:eastAsia="Calibri" w:hAnsi="Verdana" w:cs="Arial"/>
          <w:b/>
          <w:bCs/>
          <w:lang w:eastAsia="es-ES"/>
        </w:rPr>
      </w:pPr>
    </w:p>
    <w:p w14:paraId="04DEB0A2" w14:textId="77777777" w:rsidR="00E25D52" w:rsidRPr="00B54B1E" w:rsidRDefault="00E25D52" w:rsidP="00E25D52">
      <w:pPr>
        <w:contextualSpacing/>
        <w:jc w:val="both"/>
        <w:rPr>
          <w:rFonts w:ascii="Verdana" w:eastAsia="Calibri" w:hAnsi="Verdana" w:cs="Arial"/>
          <w:b/>
          <w:bCs/>
          <w:sz w:val="22"/>
          <w:szCs w:val="22"/>
          <w:lang w:eastAsia="es-ES"/>
        </w:rPr>
      </w:pPr>
      <w:r w:rsidRPr="00B54B1E">
        <w:rPr>
          <w:rFonts w:ascii="Verdana" w:eastAsia="Calibri" w:hAnsi="Verdana" w:cs="Arial"/>
          <w:b/>
          <w:bCs/>
          <w:sz w:val="22"/>
          <w:szCs w:val="22"/>
          <w:lang w:eastAsia="es-ES"/>
        </w:rPr>
        <w:t>CONDICIONES ESPECIALES DE EJECUCIÓN ‒ Artículo 2.2.1.2.4.2.7.5 ‒ Obligación contractual ‒ Subcontratación inclusiva e integración del equipo de trabajo</w:t>
      </w:r>
    </w:p>
    <w:p w14:paraId="6E2AE41B" w14:textId="77777777" w:rsidR="00E25D52" w:rsidRDefault="00E25D52" w:rsidP="00E25D52">
      <w:pPr>
        <w:contextualSpacing/>
        <w:jc w:val="both"/>
        <w:rPr>
          <w:rFonts w:ascii="Verdana" w:eastAsia="Calibri" w:hAnsi="Verdana" w:cs="Arial"/>
          <w:b/>
          <w:bCs/>
          <w:lang w:eastAsia="es-ES"/>
        </w:rPr>
      </w:pPr>
    </w:p>
    <w:p w14:paraId="7E7DD4EB" w14:textId="77777777" w:rsidR="00E25D52" w:rsidRDefault="00E25D52" w:rsidP="00E25D52">
      <w:pPr>
        <w:contextualSpacing/>
        <w:jc w:val="both"/>
        <w:rPr>
          <w:rFonts w:ascii="Verdana" w:eastAsia="Calibri" w:hAnsi="Verdana" w:cs="Arial"/>
          <w:sz w:val="20"/>
          <w:szCs w:val="20"/>
          <w:lang w:eastAsia="es-ES"/>
        </w:rPr>
      </w:pPr>
      <w:r>
        <w:rPr>
          <w:rFonts w:ascii="Verdana" w:eastAsia="Calibri" w:hAnsi="Verdana" w:cs="Arial"/>
          <w:sz w:val="20"/>
          <w:szCs w:val="20"/>
          <w:lang w:eastAsia="es-ES"/>
        </w:rPr>
        <w:t>Las condiciones especiales de ejecución aplican a las entidades regidas por la Ley 80 de 1993 en todas las modalidades de selección, incluida la contratación directa. Se concretan en dos opciones —subcontratación inclusiva e integración del equipo de trabajo—, de las cuales debe incorporarse al menos una como obligación contractual en la minuta que hace parte de los documentos del proceso, salvo que la entidad justifique lo contrario en los estudios previos.</w:t>
      </w:r>
    </w:p>
    <w:p w14:paraId="3C5E37FA" w14:textId="77777777" w:rsidR="00E25D52" w:rsidRDefault="00E25D52" w:rsidP="00E25D52">
      <w:pPr>
        <w:contextualSpacing/>
        <w:jc w:val="both"/>
        <w:rPr>
          <w:rFonts w:ascii="Verdana" w:eastAsia="Calibri" w:hAnsi="Verdana" w:cs="Arial"/>
          <w:b/>
          <w:bCs/>
          <w:lang w:eastAsia="es-ES"/>
        </w:rPr>
      </w:pPr>
    </w:p>
    <w:p w14:paraId="05964E5C" w14:textId="77777777" w:rsidR="00E25D52" w:rsidRPr="00B54B1E" w:rsidRDefault="00E25D52" w:rsidP="00E25D52">
      <w:pPr>
        <w:contextualSpacing/>
        <w:jc w:val="both"/>
        <w:rPr>
          <w:rFonts w:ascii="Verdana" w:eastAsia="Calibri" w:hAnsi="Verdana" w:cs="Arial"/>
          <w:b/>
          <w:bCs/>
          <w:sz w:val="22"/>
          <w:szCs w:val="22"/>
          <w:lang w:eastAsia="es-ES"/>
        </w:rPr>
      </w:pPr>
      <w:r w:rsidRPr="00B54B1E">
        <w:rPr>
          <w:rFonts w:ascii="Verdana" w:eastAsia="Calibri" w:hAnsi="Verdana" w:cs="Arial"/>
          <w:b/>
          <w:bCs/>
          <w:sz w:val="22"/>
          <w:szCs w:val="22"/>
          <w:lang w:eastAsia="es-ES"/>
        </w:rPr>
        <w:t>PUNTAJE ADICIONAL Y CRITERIOS HABILITANTES DIFERENCIALES ‒ Modalidades con evaluación comparativa ‒ Improcedencia en contratación directa</w:t>
      </w:r>
    </w:p>
    <w:p w14:paraId="7248DF68" w14:textId="77777777" w:rsidR="00E25D52" w:rsidRDefault="00E25D52" w:rsidP="00E25D52">
      <w:pPr>
        <w:contextualSpacing/>
        <w:jc w:val="both"/>
        <w:rPr>
          <w:rFonts w:ascii="Verdana" w:eastAsia="Calibri" w:hAnsi="Verdana" w:cs="Arial"/>
          <w:b/>
          <w:bCs/>
          <w:lang w:eastAsia="es-ES"/>
        </w:rPr>
      </w:pPr>
    </w:p>
    <w:p w14:paraId="70AF9DA0" w14:textId="77777777" w:rsidR="00E25D52" w:rsidRDefault="00E25D52" w:rsidP="00E25D52">
      <w:pPr>
        <w:contextualSpacing/>
        <w:jc w:val="both"/>
        <w:rPr>
          <w:rFonts w:ascii="Verdana" w:eastAsia="Calibri" w:hAnsi="Verdana" w:cs="Arial"/>
          <w:sz w:val="20"/>
          <w:szCs w:val="20"/>
          <w:lang w:eastAsia="es-ES"/>
        </w:rPr>
      </w:pPr>
      <w:r>
        <w:rPr>
          <w:rFonts w:ascii="Verdana" w:eastAsia="Calibri" w:hAnsi="Verdana" w:cs="Arial"/>
          <w:sz w:val="20"/>
          <w:szCs w:val="20"/>
          <w:lang w:eastAsia="es-ES"/>
        </w:rPr>
        <w:t>El puntaje adicional del artículo 2.2.1.2.4.2.7.4 opera únicamente en las modalidades de licitación pública y concurso de méritos, y los criterios habilitantes diferenciales del artículo 2.2.1.2.4.2.7.3 no aplican a la contratación directa ni a la mínima cuantía. Ello obedece a que ambos instrumentos presuponen pluralidad de oferentes y comparación de propuestas, presupuesto que no concurre en la contratación directa, sin que de esa exclusión pueda inferirse la inaplicabilidad de las demás medidas del sistema.</w:t>
      </w:r>
    </w:p>
    <w:p w14:paraId="1C3F0547" w14:textId="77777777" w:rsidR="00E25D52" w:rsidRDefault="00E25D52" w:rsidP="00E25D52">
      <w:pPr>
        <w:contextualSpacing/>
        <w:jc w:val="both"/>
        <w:rPr>
          <w:rFonts w:ascii="Verdana" w:eastAsia="Calibri" w:hAnsi="Verdana" w:cs="Arial"/>
          <w:b/>
          <w:bCs/>
          <w:lang w:eastAsia="es-ES"/>
        </w:rPr>
      </w:pPr>
    </w:p>
    <w:p w14:paraId="38BA3BE7" w14:textId="77777777" w:rsidR="00E25D52" w:rsidRPr="00B54B1E" w:rsidRDefault="00E25D52" w:rsidP="00E25D52">
      <w:pPr>
        <w:contextualSpacing/>
        <w:jc w:val="both"/>
        <w:rPr>
          <w:rFonts w:ascii="Verdana" w:eastAsia="Calibri" w:hAnsi="Verdana" w:cs="Arial"/>
          <w:b/>
          <w:bCs/>
          <w:sz w:val="22"/>
          <w:szCs w:val="22"/>
          <w:lang w:eastAsia="es-ES"/>
        </w:rPr>
      </w:pPr>
      <w:r w:rsidRPr="00B54B1E">
        <w:rPr>
          <w:rFonts w:ascii="Verdana" w:eastAsia="Calibri" w:hAnsi="Verdana" w:cs="Arial"/>
          <w:b/>
          <w:bCs/>
          <w:sz w:val="22"/>
          <w:szCs w:val="22"/>
          <w:lang w:eastAsia="es-ES"/>
        </w:rPr>
        <w:t>CRITERIOS AMBIENTALES Y SOCIALES ‒ Factores de evaluación ‒ Especificaciones técnicas y obligaciones contractuales ‒ Distinción</w:t>
      </w:r>
    </w:p>
    <w:p w14:paraId="5B98CEDA" w14:textId="77777777" w:rsidR="00E25D52" w:rsidRDefault="00E25D52" w:rsidP="00E25D52">
      <w:pPr>
        <w:contextualSpacing/>
        <w:jc w:val="both"/>
        <w:rPr>
          <w:rFonts w:ascii="Verdana" w:eastAsia="Calibri" w:hAnsi="Verdana" w:cs="Arial"/>
          <w:b/>
          <w:bCs/>
          <w:lang w:eastAsia="es-ES"/>
        </w:rPr>
      </w:pPr>
    </w:p>
    <w:p w14:paraId="10447B68" w14:textId="77777777" w:rsidR="00E25D52" w:rsidRDefault="00E25D52" w:rsidP="00E25D52">
      <w:pPr>
        <w:contextualSpacing/>
        <w:jc w:val="both"/>
        <w:rPr>
          <w:rFonts w:ascii="Verdana" w:eastAsia="Calibri" w:hAnsi="Verdana" w:cs="Arial"/>
          <w:sz w:val="20"/>
          <w:szCs w:val="20"/>
          <w:lang w:eastAsia="es-ES"/>
        </w:rPr>
      </w:pPr>
      <w:r>
        <w:rPr>
          <w:rFonts w:ascii="Verdana" w:eastAsia="Calibri" w:hAnsi="Verdana" w:cs="Arial"/>
          <w:sz w:val="20"/>
          <w:szCs w:val="20"/>
          <w:lang w:eastAsia="es-ES"/>
        </w:rPr>
        <w:t>Debe distinguirse entre los criterios que operan como factores de evaluación de las ofertas —que suponen comparación y, por tanto, no tienen cabida en la contratación directa— y aquellos que se incorporan en la definición técnica del objeto o como obligaciones del contrato, que derivan del deber de planeación y de las normas sustanciales aplicables —entre ellas las introducidas por el Decreto 0997 de 2026 en materia de Compra Pública Sostenible, cuyo artículo 7 incorporó el análisis del Ciclo de Vida a los estudios y documentos previos, con un régimen de vigencia inmediata para unos artículos y progresiva para otros— y resultan procedentes con independencia de la modalidad, siempre que guarden relación con el objeto contractual y respeten los principios de proporcionalidad y de selección objetiva.</w:t>
      </w:r>
    </w:p>
    <w:p w14:paraId="2E3F0213" w14:textId="77777777" w:rsidR="00E25D52" w:rsidRDefault="00E25D52" w:rsidP="00E25D52">
      <w:pPr>
        <w:contextualSpacing/>
        <w:jc w:val="both"/>
        <w:rPr>
          <w:rFonts w:ascii="Verdana" w:eastAsia="Calibri" w:hAnsi="Verdana" w:cs="Arial"/>
          <w:b/>
          <w:bCs/>
          <w:lang w:eastAsia="es-ES"/>
        </w:rPr>
      </w:pPr>
    </w:p>
    <w:p w14:paraId="423F5CB5" w14:textId="77777777" w:rsidR="00E25D52" w:rsidRDefault="00E25D52" w:rsidP="00E25D52">
      <w:pPr>
        <w:contextualSpacing/>
        <w:jc w:val="both"/>
        <w:rPr>
          <w:rFonts w:ascii="Verdana" w:eastAsia="Calibri" w:hAnsi="Verdana" w:cs="Arial"/>
          <w:sz w:val="20"/>
          <w:szCs w:val="20"/>
          <w:lang w:eastAsia="es-ES"/>
        </w:rPr>
      </w:pPr>
      <w:r>
        <w:rPr>
          <w:rFonts w:ascii="Verdana" w:eastAsia="Calibri" w:hAnsi="Verdana" w:cs="Arial"/>
          <w:sz w:val="20"/>
          <w:szCs w:val="20"/>
          <w:lang w:eastAsia="es-ES"/>
        </w:rPr>
        <w:t xml:space="preserve">En ejercicio de la función de absolver consultas sobre normas de carácter general, la Agencia interpreta el reglamento vigente, pero no puede </w:t>
      </w:r>
      <w:proofErr w:type="spellStart"/>
      <w:r>
        <w:rPr>
          <w:rFonts w:ascii="Verdana" w:eastAsia="Calibri" w:hAnsi="Verdana" w:cs="Arial"/>
          <w:sz w:val="20"/>
          <w:szCs w:val="20"/>
          <w:lang w:eastAsia="es-ES"/>
        </w:rPr>
        <w:t>inaplicarlo</w:t>
      </w:r>
      <w:proofErr w:type="spellEnd"/>
      <w:r>
        <w:rPr>
          <w:rFonts w:ascii="Verdana" w:eastAsia="Calibri" w:hAnsi="Verdana" w:cs="Arial"/>
          <w:sz w:val="20"/>
          <w:szCs w:val="20"/>
          <w:lang w:eastAsia="es-ES"/>
        </w:rPr>
        <w:t>, exceptuarlo ni sustituir sus reglas por criterios distintos con fundamento en consideraciones de razonabilidad o proporcionalidad, pues ello desconocería el principio de legalidad. El control de legalidad de los decretos reglamentarios corresponde a la Jurisdicción de lo Contencioso Administrativo.</w:t>
      </w:r>
    </w:p>
    <w:p w14:paraId="13D46260" w14:textId="77777777" w:rsidR="00E25D52" w:rsidRDefault="00E25D52" w:rsidP="00E25D52">
      <w:pPr>
        <w:contextualSpacing/>
        <w:jc w:val="both"/>
        <w:rPr>
          <w:rFonts w:ascii="Verdana" w:eastAsia="Calibri" w:hAnsi="Verdana" w:cs="Arial"/>
          <w:sz w:val="20"/>
          <w:szCs w:val="20"/>
          <w:lang w:eastAsia="es-ES"/>
        </w:rPr>
      </w:pPr>
    </w:p>
    <w:p w14:paraId="55CEAF73" w14:textId="77777777" w:rsidR="00E25D52" w:rsidRPr="005544FB" w:rsidRDefault="00E25D52" w:rsidP="00E25D52">
      <w:pPr>
        <w:contextualSpacing/>
        <w:jc w:val="both"/>
        <w:rPr>
          <w:rFonts w:ascii="Verdana" w:eastAsia="Calibri" w:hAnsi="Verdana" w:cs="Arial"/>
          <w:sz w:val="20"/>
          <w:szCs w:val="20"/>
          <w:lang w:eastAsia="es-ES"/>
        </w:rPr>
      </w:pPr>
    </w:p>
    <w:p w14:paraId="752DBFEB" w14:textId="77777777" w:rsidR="00E25D52" w:rsidRDefault="00E25D52" w:rsidP="00E25D52">
      <w:pPr>
        <w:contextualSpacing/>
        <w:jc w:val="both"/>
        <w:rPr>
          <w:rFonts w:ascii="Verdana" w:eastAsia="Calibri" w:hAnsi="Verdana" w:cs="Arial"/>
          <w:sz w:val="20"/>
          <w:szCs w:val="20"/>
          <w:lang w:eastAsia="es-ES"/>
        </w:rPr>
      </w:pPr>
    </w:p>
    <w:p w14:paraId="77287ED9" w14:textId="77777777" w:rsidR="00E25D52" w:rsidRDefault="00E25D52" w:rsidP="00E25D52">
      <w:pPr>
        <w:contextualSpacing/>
        <w:jc w:val="both"/>
        <w:rPr>
          <w:rFonts w:ascii="Verdana" w:eastAsia="Calibri" w:hAnsi="Verdana" w:cs="Arial"/>
          <w:sz w:val="20"/>
          <w:szCs w:val="20"/>
          <w:lang w:eastAsia="es-ES"/>
        </w:rPr>
      </w:pPr>
    </w:p>
    <w:p w14:paraId="67973AFF" w14:textId="77777777" w:rsidR="00E25D52" w:rsidRDefault="00E25D52" w:rsidP="00E25D52">
      <w:pPr>
        <w:contextualSpacing/>
        <w:jc w:val="both"/>
        <w:rPr>
          <w:rFonts w:ascii="Verdana" w:eastAsia="Calibri" w:hAnsi="Verdana" w:cs="Arial"/>
          <w:sz w:val="20"/>
          <w:szCs w:val="20"/>
          <w:lang w:eastAsia="es-ES"/>
        </w:rPr>
      </w:pPr>
    </w:p>
    <w:p w14:paraId="2FBF45B1" w14:textId="77777777" w:rsidR="00E25D52" w:rsidRDefault="00E25D52" w:rsidP="00E25D52">
      <w:pPr>
        <w:contextualSpacing/>
        <w:jc w:val="both"/>
        <w:rPr>
          <w:rFonts w:ascii="Verdana" w:eastAsia="Calibri" w:hAnsi="Verdana" w:cs="Arial"/>
          <w:sz w:val="20"/>
          <w:szCs w:val="20"/>
          <w:lang w:eastAsia="es-ES"/>
        </w:rPr>
      </w:pPr>
    </w:p>
    <w:p w14:paraId="57E17735" w14:textId="77777777" w:rsidR="00E25D52" w:rsidRDefault="00E25D52" w:rsidP="00E25D52">
      <w:pPr>
        <w:contextualSpacing/>
        <w:jc w:val="both"/>
        <w:rPr>
          <w:rFonts w:ascii="Verdana" w:eastAsia="Calibri" w:hAnsi="Verdana" w:cs="Arial"/>
          <w:sz w:val="20"/>
          <w:szCs w:val="20"/>
          <w:lang w:eastAsia="es-ES"/>
        </w:rPr>
      </w:pPr>
    </w:p>
    <w:p w14:paraId="7FA71945" w14:textId="77777777" w:rsidR="00E25D52" w:rsidRDefault="00E25D52" w:rsidP="00E25D52">
      <w:pPr>
        <w:contextualSpacing/>
        <w:jc w:val="both"/>
        <w:rPr>
          <w:rFonts w:ascii="Verdana" w:eastAsia="Calibri" w:hAnsi="Verdana" w:cs="Arial"/>
          <w:sz w:val="20"/>
          <w:szCs w:val="20"/>
          <w:lang w:eastAsia="es-ES"/>
        </w:rPr>
      </w:pPr>
    </w:p>
    <w:p w14:paraId="48817748" w14:textId="77777777" w:rsidR="00E25D52" w:rsidRDefault="00E25D52" w:rsidP="00E25D52">
      <w:pPr>
        <w:contextualSpacing/>
        <w:jc w:val="both"/>
        <w:rPr>
          <w:rFonts w:ascii="Verdana" w:eastAsia="Calibri" w:hAnsi="Verdana" w:cs="Arial"/>
          <w:sz w:val="20"/>
          <w:szCs w:val="20"/>
          <w:lang w:eastAsia="es-ES"/>
        </w:rPr>
      </w:pPr>
    </w:p>
    <w:p w14:paraId="129234B8" w14:textId="77777777" w:rsidR="00B54B1E" w:rsidRDefault="00B54B1E" w:rsidP="00957C49">
      <w:pPr>
        <w:rPr>
          <w:rFonts w:ascii="Verdana" w:eastAsia="Calibri" w:hAnsi="Verdana" w:cs="Arial"/>
          <w:bCs/>
          <w:sz w:val="22"/>
          <w:szCs w:val="22"/>
        </w:rPr>
      </w:pPr>
    </w:p>
    <w:p w14:paraId="43D782C3" w14:textId="77777777" w:rsidR="00B54B1E" w:rsidRDefault="00B54B1E" w:rsidP="00957C49">
      <w:pPr>
        <w:rPr>
          <w:rFonts w:ascii="Verdana" w:eastAsia="Calibri" w:hAnsi="Verdana" w:cs="Arial"/>
          <w:bCs/>
          <w:sz w:val="22"/>
          <w:szCs w:val="22"/>
        </w:rPr>
      </w:pPr>
    </w:p>
    <w:p w14:paraId="178C46E4" w14:textId="77777777" w:rsidR="00B54B1E" w:rsidRDefault="00B54B1E" w:rsidP="00957C49">
      <w:pPr>
        <w:rPr>
          <w:rFonts w:ascii="Verdana" w:eastAsia="Calibri" w:hAnsi="Verdana" w:cs="Arial"/>
          <w:bCs/>
          <w:sz w:val="22"/>
          <w:szCs w:val="22"/>
        </w:rPr>
      </w:pPr>
    </w:p>
    <w:p w14:paraId="448FF6DE" w14:textId="473E70BD" w:rsidR="00E25D52" w:rsidRPr="00DB2DA5" w:rsidRDefault="00E25D52" w:rsidP="00957C49">
      <w:pPr>
        <w:rPr>
          <w:rFonts w:ascii="Verdana" w:eastAsia="Calibri" w:hAnsi="Verdana" w:cs="Arial"/>
          <w:bCs/>
          <w:sz w:val="22"/>
          <w:szCs w:val="22"/>
        </w:rPr>
      </w:pPr>
      <w:r w:rsidRPr="00DB2DA5">
        <w:rPr>
          <w:rFonts w:ascii="Verdana" w:eastAsia="Calibri" w:hAnsi="Verdana" w:cs="Arial"/>
          <w:bCs/>
          <w:sz w:val="22"/>
          <w:szCs w:val="22"/>
        </w:rPr>
        <w:lastRenderedPageBreak/>
        <w:t xml:space="preserve">Bogotá D.C., </w:t>
      </w:r>
      <w:r w:rsidR="00526C93">
        <w:rPr>
          <w:rFonts w:ascii="Verdana" w:eastAsia="Calibri" w:hAnsi="Verdana" w:cs="Arial"/>
          <w:bCs/>
          <w:sz w:val="22"/>
          <w:szCs w:val="22"/>
        </w:rPr>
        <w:t>14</w:t>
      </w:r>
      <w:r w:rsidRPr="00DB2DA5">
        <w:rPr>
          <w:rFonts w:ascii="Verdana" w:eastAsia="Calibri" w:hAnsi="Verdana" w:cs="Arial"/>
          <w:bCs/>
          <w:sz w:val="22"/>
          <w:szCs w:val="22"/>
        </w:rPr>
        <w:t xml:space="preserve"> de </w:t>
      </w:r>
      <w:r w:rsidR="00526C93">
        <w:rPr>
          <w:rFonts w:ascii="Verdana" w:eastAsia="Calibri" w:hAnsi="Verdana" w:cs="Arial"/>
          <w:bCs/>
          <w:sz w:val="22"/>
          <w:szCs w:val="22"/>
        </w:rPr>
        <w:t>octubre</w:t>
      </w:r>
      <w:r w:rsidRPr="00DB2DA5">
        <w:rPr>
          <w:rFonts w:ascii="Verdana" w:eastAsia="Calibri" w:hAnsi="Verdana" w:cs="Arial"/>
          <w:bCs/>
          <w:sz w:val="22"/>
          <w:szCs w:val="22"/>
        </w:rPr>
        <w:t xml:space="preserve"> de 2026</w:t>
      </w:r>
    </w:p>
    <w:p w14:paraId="61FE8780" w14:textId="77777777" w:rsidR="00E25D52" w:rsidRPr="00957C49" w:rsidRDefault="00E25D52" w:rsidP="00957C49">
      <w:pPr>
        <w:rPr>
          <w:rFonts w:ascii="Verdana" w:hAnsi="Verdana"/>
          <w:sz w:val="22"/>
          <w:szCs w:val="22"/>
        </w:rPr>
      </w:pPr>
    </w:p>
    <w:p w14:paraId="7CA12611" w14:textId="3EF437A0" w:rsidR="00E25D52" w:rsidRPr="00957C49" w:rsidRDefault="00526C93" w:rsidP="00D87FE0">
      <w:pPr>
        <w:rPr>
          <w:rFonts w:ascii="Verdana" w:hAnsi="Verdana"/>
          <w:sz w:val="22"/>
          <w:szCs w:val="22"/>
          <w:lang w:val="es-ES_tradnl"/>
        </w:rPr>
      </w:pPr>
      <w:r w:rsidRPr="00526C93">
        <w:rPr>
          <w:rFonts w:ascii="Verdana" w:eastAsia="Calibri" w:hAnsi="Verdana" w:cs="Arial"/>
          <w:b/>
          <w:bCs/>
          <w:sz w:val="22"/>
          <w:szCs w:val="22"/>
          <w:lang w:val="es-ES" w:eastAsia="es-ES"/>
        </w:rPr>
        <w:drawing>
          <wp:anchor distT="0" distB="0" distL="114300" distR="114300" simplePos="0" relativeHeight="251658240" behindDoc="0" locked="0" layoutInCell="1" allowOverlap="1" wp14:anchorId="386996C7" wp14:editId="4507BA7D">
            <wp:simplePos x="0" y="0"/>
            <wp:positionH relativeFrom="margin">
              <wp:posOffset>3141980</wp:posOffset>
            </wp:positionH>
            <wp:positionV relativeFrom="paragraph">
              <wp:posOffset>12065</wp:posOffset>
            </wp:positionV>
            <wp:extent cx="2458085" cy="786765"/>
            <wp:effectExtent l="0" t="0" r="0" b="0"/>
            <wp:wrapSquare wrapText="bothSides"/>
            <wp:docPr id="246581154"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6581154" name=""/>
                    <pic:cNvPicPr/>
                  </pic:nvPicPr>
                  <pic:blipFill>
                    <a:blip r:embed="rId11">
                      <a:extLst>
                        <a:ext uri="{28A0092B-C50C-407E-A947-70E740481C1C}">
                          <a14:useLocalDpi xmlns:a14="http://schemas.microsoft.com/office/drawing/2010/main" val="0"/>
                        </a:ext>
                      </a:extLst>
                    </a:blip>
                    <a:stretch>
                      <a:fillRect/>
                    </a:stretch>
                  </pic:blipFill>
                  <pic:spPr>
                    <a:xfrm>
                      <a:off x="0" y="0"/>
                      <a:ext cx="2458085" cy="786765"/>
                    </a:xfrm>
                    <a:prstGeom prst="rect">
                      <a:avLst/>
                    </a:prstGeom>
                  </pic:spPr>
                </pic:pic>
              </a:graphicData>
            </a:graphic>
            <wp14:sizeRelH relativeFrom="margin">
              <wp14:pctWidth>0</wp14:pctWidth>
            </wp14:sizeRelH>
            <wp14:sizeRelV relativeFrom="margin">
              <wp14:pctHeight>0</wp14:pctHeight>
            </wp14:sizeRelV>
          </wp:anchor>
        </w:drawing>
      </w:r>
    </w:p>
    <w:p w14:paraId="4D3E61F2" w14:textId="77777777" w:rsidR="00E25D52" w:rsidRPr="00957C49" w:rsidRDefault="00E25D52" w:rsidP="00797D22">
      <w:pPr>
        <w:rPr>
          <w:rFonts w:ascii="Verdana" w:hAnsi="Verdana"/>
          <w:sz w:val="22"/>
          <w:szCs w:val="22"/>
          <w:lang w:val="es-ES"/>
        </w:rPr>
      </w:pPr>
      <w:r w:rsidRPr="00957C49">
        <w:rPr>
          <w:rFonts w:ascii="Verdana" w:eastAsia="Calibri" w:hAnsi="Verdana" w:cs="Arial"/>
          <w:sz w:val="22"/>
          <w:szCs w:val="22"/>
          <w:lang w:val="es-ES" w:eastAsia="es-ES"/>
        </w:rPr>
        <w:t>Señor</w:t>
      </w:r>
    </w:p>
    <w:p w14:paraId="6D405FD9" w14:textId="3A8B5A89" w:rsidR="00E25D52" w:rsidRPr="00957C49" w:rsidRDefault="00E25D52" w:rsidP="00EA3A4F">
      <w:pPr>
        <w:rPr>
          <w:rFonts w:ascii="Verdana" w:hAnsi="Verdana"/>
          <w:b/>
          <w:bCs/>
          <w:sz w:val="22"/>
          <w:szCs w:val="22"/>
          <w:lang w:val="es-ES"/>
        </w:rPr>
      </w:pPr>
      <w:r w:rsidRPr="00957C49">
        <w:rPr>
          <w:rFonts w:ascii="Verdana" w:eastAsia="Calibri" w:hAnsi="Verdana" w:cs="Arial"/>
          <w:b/>
          <w:bCs/>
          <w:sz w:val="22"/>
          <w:szCs w:val="22"/>
          <w:lang w:val="es-ES" w:eastAsia="es-ES"/>
        </w:rPr>
        <w:t>Juan Sebastián Olaya Perdomo</w:t>
      </w:r>
      <w:r w:rsidR="00526C93" w:rsidRPr="00526C93">
        <w:rPr>
          <w:noProof/>
        </w:rPr>
        <w:t xml:space="preserve"> </w:t>
      </w:r>
    </w:p>
    <w:p w14:paraId="59A9E6FD" w14:textId="08C5FE3A" w:rsidR="00E25D52" w:rsidRPr="00D87FE0" w:rsidRDefault="00E25D52" w:rsidP="00EA3A4F">
      <w:pPr>
        <w:rPr>
          <w:rFonts w:ascii="Verdana" w:hAnsi="Verdana"/>
          <w:sz w:val="22"/>
          <w:szCs w:val="22"/>
          <w:lang w:val="es-ES"/>
        </w:rPr>
      </w:pPr>
      <w:r w:rsidRPr="00D87FE0">
        <w:rPr>
          <w:rFonts w:ascii="Verdana" w:eastAsia="Calibri" w:hAnsi="Verdana" w:cs="Arial"/>
          <w:sz w:val="22"/>
          <w:szCs w:val="22"/>
          <w:lang w:val="es-ES" w:eastAsia="es-ES"/>
        </w:rPr>
        <w:t>juanseolaya@gmail.com</w:t>
      </w:r>
    </w:p>
    <w:p w14:paraId="660F6C1F" w14:textId="4900CE39" w:rsidR="00E25D52" w:rsidRPr="00797D22" w:rsidRDefault="00E25D52" w:rsidP="00A95FBF">
      <w:pPr>
        <w:rPr>
          <w:rFonts w:ascii="Verdana" w:hAnsi="Verdana"/>
          <w:sz w:val="22"/>
          <w:szCs w:val="22"/>
          <w:lang w:val="es-ES"/>
        </w:rPr>
      </w:pPr>
      <w:r w:rsidRPr="00797D22">
        <w:rPr>
          <w:rFonts w:ascii="Verdana" w:eastAsia="Calibri" w:hAnsi="Verdana" w:cs="Arial"/>
          <w:sz w:val="22"/>
          <w:szCs w:val="22"/>
          <w:lang w:val="es-ES" w:eastAsia="es-ES"/>
        </w:rPr>
        <w:t>Cali, Valle del Cauca</w:t>
      </w:r>
    </w:p>
    <w:p w14:paraId="78B3D6E5" w14:textId="77777777" w:rsidR="00E25D52" w:rsidRPr="00EA3A4F" w:rsidRDefault="00E25D52" w:rsidP="00A95FBF">
      <w:pPr>
        <w:rPr>
          <w:rFonts w:ascii="Verdana" w:eastAsia="Calibri" w:hAnsi="Verdana" w:cs="Arial"/>
          <w:sz w:val="22"/>
          <w:szCs w:val="22"/>
          <w:lang w:eastAsia="es-ES"/>
        </w:rPr>
      </w:pPr>
    </w:p>
    <w:tbl>
      <w:tblPr>
        <w:tblStyle w:val="Tablaconcuadrcula"/>
        <w:tblW w:w="878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689"/>
        <w:gridCol w:w="6100"/>
      </w:tblGrid>
      <w:tr w:rsidR="00E25D52" w:rsidRPr="00957C49" w14:paraId="4E528A91" w14:textId="77777777" w:rsidTr="00005D22">
        <w:trPr>
          <w:trHeight w:val="190"/>
        </w:trPr>
        <w:tc>
          <w:tcPr>
            <w:tcW w:w="2689" w:type="dxa"/>
          </w:tcPr>
          <w:p w14:paraId="26481624" w14:textId="77777777" w:rsidR="00E25D52" w:rsidRPr="00DB2DA5" w:rsidRDefault="00E25D52">
            <w:pPr>
              <w:jc w:val="both"/>
              <w:rPr>
                <w:rFonts w:ascii="Verdana" w:eastAsia="Calibri" w:hAnsi="Verdana" w:cs="Arial"/>
                <w:b/>
                <w:bCs/>
                <w:sz w:val="22"/>
                <w:szCs w:val="22"/>
              </w:rPr>
            </w:pPr>
          </w:p>
          <w:p w14:paraId="36861BCD" w14:textId="77777777" w:rsidR="00E25D52" w:rsidRPr="00DB2DA5" w:rsidRDefault="00E25D52">
            <w:pPr>
              <w:jc w:val="both"/>
              <w:rPr>
                <w:rFonts w:ascii="Verdana" w:eastAsia="Calibri" w:hAnsi="Verdana" w:cs="Arial"/>
                <w:b/>
                <w:bCs/>
                <w:sz w:val="22"/>
                <w:szCs w:val="22"/>
              </w:rPr>
            </w:pPr>
          </w:p>
        </w:tc>
        <w:tc>
          <w:tcPr>
            <w:tcW w:w="6100" w:type="dxa"/>
          </w:tcPr>
          <w:p w14:paraId="51E54E34" w14:textId="7B885B83" w:rsidR="00E25D52" w:rsidRPr="00DB2DA5" w:rsidRDefault="00E25D52">
            <w:pPr>
              <w:jc w:val="both"/>
              <w:rPr>
                <w:rFonts w:ascii="Verdana" w:eastAsia="Calibri" w:hAnsi="Verdana" w:cs="Arial"/>
                <w:b/>
                <w:bCs/>
                <w:sz w:val="22"/>
                <w:szCs w:val="22"/>
                <w:lang w:eastAsia="es-ES"/>
              </w:rPr>
            </w:pPr>
            <w:r w:rsidRPr="00DB2DA5">
              <w:rPr>
                <w:rFonts w:ascii="Verdana" w:eastAsia="Calibri" w:hAnsi="Verdana" w:cs="Arial"/>
                <w:b/>
                <w:bCs/>
                <w:sz w:val="22"/>
                <w:szCs w:val="22"/>
                <w:lang w:eastAsia="es-ES"/>
              </w:rPr>
              <w:t>Concepto C-1394 de 2026</w:t>
            </w:r>
          </w:p>
          <w:p w14:paraId="64F60CB6" w14:textId="77777777" w:rsidR="00E25D52" w:rsidRPr="00DB2DA5" w:rsidRDefault="00E25D52">
            <w:pPr>
              <w:jc w:val="both"/>
              <w:rPr>
                <w:rFonts w:ascii="Verdana" w:eastAsia="Calibri" w:hAnsi="Verdana" w:cs="Arial"/>
                <w:b/>
                <w:bCs/>
                <w:sz w:val="22"/>
                <w:szCs w:val="22"/>
                <w:lang w:eastAsia="es-ES"/>
              </w:rPr>
            </w:pPr>
          </w:p>
        </w:tc>
      </w:tr>
      <w:tr w:rsidR="00E25D52" w:rsidRPr="00957C49" w14:paraId="3F2F21BF" w14:textId="77777777" w:rsidTr="00005D22">
        <w:trPr>
          <w:trHeight w:val="884"/>
        </w:trPr>
        <w:tc>
          <w:tcPr>
            <w:tcW w:w="2689" w:type="dxa"/>
          </w:tcPr>
          <w:p w14:paraId="4F9ABE75" w14:textId="77777777" w:rsidR="00E25D52" w:rsidRPr="00DB2DA5" w:rsidRDefault="00E25D52" w:rsidP="00957C49">
            <w:pPr>
              <w:jc w:val="both"/>
              <w:rPr>
                <w:rFonts w:ascii="Verdana" w:eastAsia="Calibri" w:hAnsi="Verdana" w:cs="Arial"/>
                <w:sz w:val="22"/>
                <w:szCs w:val="22"/>
              </w:rPr>
            </w:pPr>
            <w:r w:rsidRPr="00DB2DA5">
              <w:rPr>
                <w:rFonts w:ascii="Verdana" w:eastAsia="Calibri" w:hAnsi="Verdana" w:cs="Arial"/>
                <w:b/>
                <w:sz w:val="22"/>
                <w:szCs w:val="22"/>
              </w:rPr>
              <w:t>Tema:</w:t>
            </w:r>
            <w:r w:rsidRPr="00DB2DA5">
              <w:rPr>
                <w:rFonts w:ascii="Verdana" w:eastAsia="Calibri" w:hAnsi="Verdana" w:cs="Arial"/>
                <w:sz w:val="22"/>
                <w:szCs w:val="22"/>
              </w:rPr>
              <w:t xml:space="preserve">                   </w:t>
            </w:r>
          </w:p>
        </w:tc>
        <w:tc>
          <w:tcPr>
            <w:tcW w:w="6100" w:type="dxa"/>
          </w:tcPr>
          <w:p w14:paraId="7E8969EA" w14:textId="77777777" w:rsidR="00E25D52" w:rsidRPr="00DB2DA5" w:rsidRDefault="00E25D52" w:rsidP="00DB2DA5">
            <w:pPr>
              <w:jc w:val="both"/>
              <w:rPr>
                <w:rFonts w:ascii="Verdana" w:eastAsia="Calibri" w:hAnsi="Verdana" w:cs="Arial"/>
                <w:sz w:val="22"/>
                <w:szCs w:val="22"/>
                <w:lang w:eastAsia="es-ES"/>
              </w:rPr>
            </w:pPr>
            <w:r w:rsidRPr="00DB2DA5">
              <w:rPr>
                <w:rFonts w:ascii="Verdana" w:eastAsia="Calibri" w:hAnsi="Verdana" w:cs="Arial"/>
                <w:sz w:val="22"/>
                <w:szCs w:val="22"/>
                <w:lang w:eastAsia="es-ES"/>
              </w:rPr>
              <w:t>CONTRATACIÓN DIRECTA ‒ Deber de planeación ‒ Estudios y documentos previos ‒ Exigibilidad / SISTEMA INTEGRAL DE PREFERENCIAS ‒ Decreto 0287 de 2026 ‒ Cinco medidas ‒ Aplicación diferenciada según la modalidad de selección / COMPRAS PÚBLICAS ACCESIBLES ‒ Artículo 2.2.1.2.4.2.7.1 ‒ Todas las modalidades y regímenes ‒ Criterios de accesibilidad en los estudios previos / CONDICIONES ESPECIALES DE EJECUCIÓN ‒ Artículo 2.2.1.2.4.2.7.5 ‒ Obligación contractual ‒ Subcontratación inclusiva e integración del equipo de trabajo / PUNTAJE ADICIONAL Y CRITERIOS HABILITANTES DIFERENCIALES ‒ Modalidades con evaluación comparativa ‒ Improcedencia en contratación directa / CRITERIOS AMBIENTALES Y SOCIALES ‒ Factores de evaluación ‒ Especificaciones técnicas y obligaciones contractuales ‒ Distinción</w:t>
            </w:r>
          </w:p>
          <w:p w14:paraId="78B126EC" w14:textId="77777777" w:rsidR="00E25D52" w:rsidRPr="00DB2DA5" w:rsidRDefault="00E25D52" w:rsidP="00DB2DA5">
            <w:pPr>
              <w:jc w:val="both"/>
              <w:rPr>
                <w:rFonts w:ascii="Verdana" w:eastAsia="Calibri" w:hAnsi="Verdana" w:cs="Arial"/>
                <w:sz w:val="22"/>
                <w:szCs w:val="22"/>
                <w:lang w:eastAsia="es-ES"/>
              </w:rPr>
            </w:pPr>
          </w:p>
        </w:tc>
      </w:tr>
      <w:tr w:rsidR="00E25D52" w:rsidRPr="00957C49" w14:paraId="10F8659B" w14:textId="77777777" w:rsidTr="00005D22">
        <w:tc>
          <w:tcPr>
            <w:tcW w:w="2689" w:type="dxa"/>
          </w:tcPr>
          <w:p w14:paraId="0E2E7987" w14:textId="77777777" w:rsidR="00E25D52" w:rsidRPr="00DB2DA5" w:rsidRDefault="00E25D52" w:rsidP="00957C49">
            <w:pPr>
              <w:jc w:val="both"/>
              <w:rPr>
                <w:rFonts w:ascii="Verdana" w:eastAsia="Calibri" w:hAnsi="Verdana" w:cs="Arial"/>
                <w:b/>
                <w:sz w:val="22"/>
                <w:szCs w:val="22"/>
              </w:rPr>
            </w:pPr>
            <w:r w:rsidRPr="00DB2DA5">
              <w:rPr>
                <w:rFonts w:ascii="Verdana" w:eastAsia="Calibri" w:hAnsi="Verdana" w:cs="Arial"/>
                <w:b/>
                <w:sz w:val="22"/>
                <w:szCs w:val="22"/>
              </w:rPr>
              <w:t>Radicación:</w:t>
            </w:r>
            <w:r w:rsidRPr="00DB2DA5">
              <w:rPr>
                <w:rFonts w:ascii="Verdana" w:eastAsia="Calibri" w:hAnsi="Verdana" w:cs="Arial"/>
                <w:sz w:val="22"/>
                <w:szCs w:val="22"/>
              </w:rPr>
              <w:t xml:space="preserve">               </w:t>
            </w:r>
          </w:p>
        </w:tc>
        <w:tc>
          <w:tcPr>
            <w:tcW w:w="6100" w:type="dxa"/>
          </w:tcPr>
          <w:p w14:paraId="27F8DB0E" w14:textId="77777777" w:rsidR="00E25D52" w:rsidRPr="00957C49" w:rsidRDefault="00E25D52" w:rsidP="00957C49">
            <w:pPr>
              <w:jc w:val="both"/>
              <w:rPr>
                <w:rFonts w:ascii="Verdana" w:eastAsia="Calibri" w:hAnsi="Verdana" w:cs="Arial"/>
                <w:sz w:val="22"/>
                <w:szCs w:val="22"/>
              </w:rPr>
            </w:pPr>
            <w:r w:rsidRPr="00DB2DA5">
              <w:rPr>
                <w:rFonts w:ascii="Verdana" w:eastAsia="Calibri" w:hAnsi="Verdana" w:cs="Arial"/>
                <w:sz w:val="22"/>
                <w:szCs w:val="22"/>
              </w:rPr>
              <w:t>Respuesta a consulta con radicado No.</w:t>
            </w:r>
            <w:r w:rsidRPr="00DB2DA5">
              <w:rPr>
                <w:rFonts w:ascii="Roboto" w:hAnsi="Roboto"/>
                <w:color w:val="242424"/>
                <w:sz w:val="22"/>
                <w:szCs w:val="22"/>
                <w:shd w:val="clear" w:color="auto" w:fill="FFFFFF"/>
              </w:rPr>
              <w:t xml:space="preserve"> </w:t>
            </w:r>
            <w:r w:rsidRPr="00957C49">
              <w:rPr>
                <w:rFonts w:ascii="Verdana" w:hAnsi="Verdana"/>
                <w:color w:val="242424"/>
                <w:sz w:val="22"/>
                <w:szCs w:val="22"/>
                <w:shd w:val="clear" w:color="auto" w:fill="FFFFFF"/>
              </w:rPr>
              <w:t>1_2026_09_06_011822</w:t>
            </w:r>
          </w:p>
        </w:tc>
      </w:tr>
    </w:tbl>
    <w:p w14:paraId="245EA3A8" w14:textId="77777777" w:rsidR="00E25D52" w:rsidRPr="00DB2DA5" w:rsidRDefault="00E25D52" w:rsidP="00DB2DA5">
      <w:pPr>
        <w:tabs>
          <w:tab w:val="left" w:pos="1520"/>
        </w:tabs>
        <w:jc w:val="both"/>
        <w:rPr>
          <w:rFonts w:ascii="Verdana" w:eastAsia="Calibri" w:hAnsi="Verdana" w:cs="Arial"/>
          <w:color w:val="ED7D31" w:themeColor="accent2"/>
          <w:sz w:val="22"/>
          <w:szCs w:val="22"/>
          <w:lang w:val="es-ES" w:eastAsia="es-ES"/>
        </w:rPr>
      </w:pPr>
    </w:p>
    <w:p w14:paraId="5DB92E49" w14:textId="77777777" w:rsidR="00E25D52" w:rsidRPr="00957C49" w:rsidRDefault="00E25D52" w:rsidP="00DB2DA5">
      <w:pPr>
        <w:jc w:val="both"/>
        <w:rPr>
          <w:rFonts w:ascii="Verdana" w:eastAsia="Calibri" w:hAnsi="Verdana" w:cs="Arial"/>
          <w:color w:val="ED7D31" w:themeColor="accent2"/>
          <w:sz w:val="22"/>
          <w:szCs w:val="22"/>
          <w:lang w:val="es-ES" w:eastAsia="es-ES"/>
        </w:rPr>
      </w:pPr>
    </w:p>
    <w:p w14:paraId="24318096" w14:textId="77777777" w:rsidR="00E25D52" w:rsidRPr="00B54B1E" w:rsidRDefault="00E25D52" w:rsidP="00957C49">
      <w:pPr>
        <w:spacing w:line="276" w:lineRule="auto"/>
        <w:jc w:val="both"/>
        <w:rPr>
          <w:rFonts w:ascii="Verdana" w:eastAsia="Calibri" w:hAnsi="Verdana" w:cs="Arial"/>
          <w:sz w:val="22"/>
          <w:szCs w:val="22"/>
          <w:lang w:val="es-ES" w:eastAsia="es-ES"/>
        </w:rPr>
      </w:pPr>
      <w:r w:rsidRPr="00B54B1E">
        <w:rPr>
          <w:rFonts w:ascii="Verdana" w:eastAsia="Calibri" w:hAnsi="Verdana" w:cs="Arial"/>
          <w:sz w:val="22"/>
          <w:szCs w:val="22"/>
          <w:lang w:val="es-ES" w:eastAsia="es-ES"/>
        </w:rPr>
        <w:t>Estimado señor Olaya:</w:t>
      </w:r>
    </w:p>
    <w:p w14:paraId="1A1EBAB5" w14:textId="77777777" w:rsidR="00E25D52" w:rsidRPr="00206556" w:rsidRDefault="00E25D52" w:rsidP="00957C49">
      <w:pPr>
        <w:tabs>
          <w:tab w:val="left" w:pos="3768"/>
        </w:tabs>
        <w:spacing w:line="276" w:lineRule="auto"/>
        <w:jc w:val="both"/>
        <w:rPr>
          <w:rFonts w:ascii="Verdana" w:eastAsia="Calibri" w:hAnsi="Verdana" w:cs="Arial"/>
          <w:lang w:val="es-ES" w:eastAsia="es-ES"/>
        </w:rPr>
      </w:pPr>
      <w:r>
        <w:rPr>
          <w:rFonts w:ascii="Verdana" w:eastAsia="Calibri" w:hAnsi="Verdana" w:cs="Arial"/>
          <w:lang w:val="es-ES" w:eastAsia="es-ES"/>
        </w:rPr>
        <w:tab/>
      </w:r>
    </w:p>
    <w:p w14:paraId="27ED7EC8" w14:textId="77777777" w:rsidR="00E25D52" w:rsidRPr="00B54B1E" w:rsidRDefault="00E25D52" w:rsidP="00D87FE0">
      <w:pPr>
        <w:spacing w:line="276" w:lineRule="auto"/>
        <w:jc w:val="both"/>
        <w:rPr>
          <w:rFonts w:ascii="Verdana" w:eastAsia="Calibri" w:hAnsi="Verdana" w:cs="Arial"/>
          <w:sz w:val="22"/>
          <w:szCs w:val="22"/>
          <w:lang w:val="es-ES" w:eastAsia="es-ES"/>
        </w:rPr>
      </w:pPr>
      <w:r w:rsidRPr="00B54B1E">
        <w:rPr>
          <w:rFonts w:ascii="Verdana" w:eastAsia="Calibri" w:hAnsi="Verdana" w:cs="Arial"/>
          <w:sz w:val="22"/>
          <w:szCs w:val="22"/>
          <w:lang w:val="es-ES" w:eastAsia="es-ES"/>
        </w:rPr>
        <w:t>En ejercicio de la competencia otorgada por los artículos 3, numeral 5º, y 11, numeral 8º, del Decreto Ley 4170 de 2011,</w:t>
      </w:r>
      <w:r w:rsidRPr="00B54B1E">
        <w:rPr>
          <w:rFonts w:ascii="Verdana" w:eastAsia="Arial MT" w:hAnsi="Verdana" w:cs="Arial MT"/>
          <w:sz w:val="22"/>
          <w:szCs w:val="22"/>
          <w:lang w:val="es-ES" w:eastAsia="es-ES"/>
        </w:rPr>
        <w:t xml:space="preserve"> </w:t>
      </w:r>
      <w:r w:rsidRPr="00B54B1E">
        <w:rPr>
          <w:rFonts w:ascii="Verdana" w:hAnsi="Verdana" w:cs="Arial"/>
          <w:sz w:val="22"/>
          <w:szCs w:val="22"/>
          <w:lang w:val="es-ES"/>
        </w:rPr>
        <w:t xml:space="preserve">así como lo establecido en la Resolución 469 de 2025 expedida por esta Entidad, </w:t>
      </w:r>
      <w:r w:rsidRPr="00B54B1E">
        <w:rPr>
          <w:rFonts w:ascii="Verdana" w:eastAsia="Calibri" w:hAnsi="Verdana" w:cs="Arial"/>
          <w:sz w:val="22"/>
          <w:szCs w:val="22"/>
          <w:lang w:val="es-ES" w:eastAsia="es-ES"/>
        </w:rPr>
        <w:t xml:space="preserve">la Agencia Nacional de Contratación Pública – Colombia Compra Eficiente– responde su solicitud de consulta del 6 de septiembre de 2026, en la cual manifiesta lo siguiente: </w:t>
      </w:r>
    </w:p>
    <w:p w14:paraId="5D258E01" w14:textId="77777777" w:rsidR="00E25D52" w:rsidRPr="006A0794" w:rsidRDefault="00E25D52" w:rsidP="00797D22">
      <w:pPr>
        <w:spacing w:line="276" w:lineRule="auto"/>
        <w:ind w:right="709"/>
        <w:jc w:val="both"/>
        <w:rPr>
          <w:rFonts w:ascii="Verdana" w:eastAsia="Century Gothic" w:hAnsi="Verdana" w:cs="Century Gothic"/>
          <w:i/>
          <w:iCs/>
          <w:sz w:val="20"/>
          <w:szCs w:val="20"/>
          <w:lang w:val="es-ES"/>
        </w:rPr>
      </w:pPr>
    </w:p>
    <w:p w14:paraId="04C5A3EB" w14:textId="2759CB47" w:rsidR="00E25D52" w:rsidRDefault="00E25D52" w:rsidP="00957C49">
      <w:pPr>
        <w:ind w:left="709" w:right="709"/>
        <w:jc w:val="both"/>
        <w:rPr>
          <w:rFonts w:ascii="Verdana" w:eastAsia="Century Gothic" w:hAnsi="Verdana" w:cs="Century Gothic"/>
          <w:sz w:val="20"/>
          <w:szCs w:val="20"/>
        </w:rPr>
      </w:pPr>
      <w:r>
        <w:rPr>
          <w:rFonts w:ascii="Verdana" w:eastAsia="Century Gothic" w:hAnsi="Verdana" w:cs="Century Gothic"/>
          <w:sz w:val="20"/>
          <w:szCs w:val="20"/>
        </w:rPr>
        <w:lastRenderedPageBreak/>
        <w:t>“El artículo 2.2.1.2.4.2.6 del Decreto 1082 de 2015 prevé puntaje adicional por vinculación de trabajadores con discapacidad solo en licitación pública y concurso de méritos, y los artículos 31 y 32 de la Ley 2069 de 2020 asocian los requisitos diferenciales y puntajes adicionales a procesos con evaluación comparativa de ofertas. En la contratación directa no hay pluralidad de oferentes ni ponderación.</w:t>
      </w:r>
    </w:p>
    <w:p w14:paraId="3AD81C90" w14:textId="77777777" w:rsidR="00957C49" w:rsidRDefault="00957C49" w:rsidP="00DB2DA5">
      <w:pPr>
        <w:ind w:left="709" w:right="709"/>
        <w:jc w:val="both"/>
        <w:rPr>
          <w:rFonts w:ascii="Verdana" w:eastAsia="Century Gothic" w:hAnsi="Verdana" w:cs="Century Gothic"/>
          <w:sz w:val="20"/>
          <w:szCs w:val="20"/>
        </w:rPr>
      </w:pPr>
    </w:p>
    <w:p w14:paraId="2D2E22E6" w14:textId="5BAECED1" w:rsidR="00E25D52" w:rsidRDefault="00E25D52" w:rsidP="00957C49">
      <w:pPr>
        <w:ind w:left="709" w:right="709"/>
        <w:jc w:val="both"/>
        <w:rPr>
          <w:rFonts w:ascii="Verdana" w:eastAsia="Century Gothic" w:hAnsi="Verdana" w:cs="Century Gothic"/>
          <w:sz w:val="20"/>
          <w:szCs w:val="20"/>
        </w:rPr>
      </w:pPr>
      <w:r>
        <w:rPr>
          <w:rFonts w:ascii="Verdana" w:eastAsia="Century Gothic" w:hAnsi="Verdana" w:cs="Century Gothic"/>
          <w:sz w:val="20"/>
          <w:szCs w:val="20"/>
        </w:rPr>
        <w:t>Se consulta:</w:t>
      </w:r>
    </w:p>
    <w:p w14:paraId="5C410BF4" w14:textId="77777777" w:rsidR="00957C49" w:rsidRDefault="00957C49" w:rsidP="00DB2DA5">
      <w:pPr>
        <w:ind w:left="709" w:right="709"/>
        <w:jc w:val="both"/>
        <w:rPr>
          <w:rFonts w:ascii="Verdana" w:eastAsia="Century Gothic" w:hAnsi="Verdana" w:cs="Century Gothic"/>
          <w:sz w:val="20"/>
          <w:szCs w:val="20"/>
        </w:rPr>
      </w:pPr>
    </w:p>
    <w:p w14:paraId="5DFD91B1" w14:textId="0FCC9BE1" w:rsidR="00E25D52" w:rsidRDefault="00E25D52" w:rsidP="00957C49">
      <w:pPr>
        <w:ind w:left="709" w:right="709"/>
        <w:jc w:val="both"/>
        <w:rPr>
          <w:rFonts w:ascii="Verdana" w:eastAsia="Century Gothic" w:hAnsi="Verdana" w:cs="Century Gothic"/>
          <w:sz w:val="20"/>
          <w:szCs w:val="20"/>
        </w:rPr>
      </w:pPr>
      <w:r>
        <w:rPr>
          <w:rFonts w:ascii="Verdana" w:eastAsia="Century Gothic" w:hAnsi="Verdana" w:cs="Century Gothic"/>
          <w:sz w:val="20"/>
          <w:szCs w:val="20"/>
        </w:rPr>
        <w:t>1. ¿Puede la Entidad Estatal incorporar criterios ambientales, sociales o de inclusión de personas con discapacidad y de población vulnerable en la contratación directa, como especificaciones técnicas, requisitos habilitantes u obligaciones contractuales?</w:t>
      </w:r>
    </w:p>
    <w:p w14:paraId="3784B8DE" w14:textId="77777777" w:rsidR="00957C49" w:rsidRDefault="00957C49" w:rsidP="00DB2DA5">
      <w:pPr>
        <w:ind w:left="709" w:right="709"/>
        <w:jc w:val="both"/>
        <w:rPr>
          <w:rFonts w:ascii="Verdana" w:eastAsia="Century Gothic" w:hAnsi="Verdana" w:cs="Century Gothic"/>
          <w:sz w:val="20"/>
          <w:szCs w:val="20"/>
        </w:rPr>
      </w:pPr>
    </w:p>
    <w:p w14:paraId="63CB1FB8" w14:textId="46747C49" w:rsidR="00E25D52" w:rsidRDefault="00E25D52" w:rsidP="00957C49">
      <w:pPr>
        <w:ind w:left="709" w:right="709"/>
        <w:jc w:val="both"/>
        <w:rPr>
          <w:rFonts w:ascii="Verdana" w:eastAsia="Century Gothic" w:hAnsi="Verdana" w:cs="Century Gothic"/>
          <w:sz w:val="20"/>
          <w:szCs w:val="20"/>
        </w:rPr>
      </w:pPr>
      <w:r>
        <w:rPr>
          <w:rFonts w:ascii="Verdana" w:eastAsia="Century Gothic" w:hAnsi="Verdana" w:cs="Century Gothic"/>
          <w:sz w:val="20"/>
          <w:szCs w:val="20"/>
        </w:rPr>
        <w:t>2. ¿Debe analizar y motivar su procedencia en los estudios previos, aunque no se otorgue puntaje?</w:t>
      </w:r>
    </w:p>
    <w:p w14:paraId="7DD0E4E4" w14:textId="77777777" w:rsidR="00957C49" w:rsidRDefault="00957C49" w:rsidP="00DB2DA5">
      <w:pPr>
        <w:ind w:left="709" w:right="709"/>
        <w:jc w:val="both"/>
        <w:rPr>
          <w:rFonts w:ascii="Verdana" w:eastAsia="Century Gothic" w:hAnsi="Verdana" w:cs="Century Gothic"/>
          <w:sz w:val="20"/>
          <w:szCs w:val="20"/>
        </w:rPr>
      </w:pPr>
    </w:p>
    <w:p w14:paraId="028CCFAE" w14:textId="77777777" w:rsidR="00E25D52" w:rsidRDefault="00E25D52" w:rsidP="00DB2DA5">
      <w:pPr>
        <w:ind w:left="709" w:right="709"/>
        <w:jc w:val="both"/>
        <w:rPr>
          <w:rFonts w:ascii="Verdana" w:eastAsia="Century Gothic" w:hAnsi="Verdana" w:cs="Century Gothic"/>
          <w:sz w:val="20"/>
          <w:szCs w:val="20"/>
        </w:rPr>
      </w:pPr>
      <w:r>
        <w:rPr>
          <w:rFonts w:ascii="Verdana" w:eastAsia="Century Gothic" w:hAnsi="Verdana" w:cs="Century Gothic"/>
          <w:sz w:val="20"/>
          <w:szCs w:val="20"/>
        </w:rPr>
        <w:t>3. ¿El que esas normas se refieran a modalidades con evaluación de ofertas excluye toda aplicación de tales criterios en la contratación directa?”</w:t>
      </w:r>
    </w:p>
    <w:p w14:paraId="6F080705" w14:textId="77777777" w:rsidR="00E25D52" w:rsidRPr="00DB2DA5" w:rsidRDefault="00E25D52" w:rsidP="00A355E9">
      <w:pPr>
        <w:spacing w:before="120" w:after="120" w:line="276" w:lineRule="auto"/>
        <w:ind w:left="709" w:right="709"/>
        <w:contextualSpacing/>
        <w:rPr>
          <w:rFonts w:ascii="Verdana" w:eastAsia="Century Gothic" w:hAnsi="Verdana" w:cs="Century Gothic"/>
          <w:sz w:val="22"/>
          <w:szCs w:val="22"/>
          <w:lang w:val="es-ES"/>
        </w:rPr>
      </w:pPr>
    </w:p>
    <w:p w14:paraId="22024F98" w14:textId="77777777" w:rsidR="00E25D52" w:rsidRPr="00DB2DA5" w:rsidRDefault="00E25D52" w:rsidP="00A95FBF">
      <w:pPr>
        <w:spacing w:after="120" w:line="276" w:lineRule="auto"/>
        <w:ind w:firstLine="708"/>
        <w:jc w:val="both"/>
        <w:rPr>
          <w:rFonts w:ascii="Verdana" w:eastAsia="Calibri" w:hAnsi="Verdana" w:cs="Arial"/>
          <w:sz w:val="22"/>
          <w:szCs w:val="22"/>
          <w:lang w:val="es-ES" w:eastAsia="es-ES"/>
        </w:rPr>
      </w:pPr>
      <w:r w:rsidRPr="00DB2DA5">
        <w:rPr>
          <w:rFonts w:ascii="Verdana" w:eastAsia="Calibri" w:hAnsi="Verdana" w:cs="Arial"/>
          <w:sz w:val="22"/>
          <w:szCs w:val="22"/>
          <w:lang w:val="es-ES" w:eastAsia="es-ES"/>
        </w:rPr>
        <w:t xml:space="preserve">De manera preliminar, resulta necesario acotar que esta entidad solo tiene competencia para responder consultas sobre la aplicación de normas de carácter general en materia de compras y contratación pública. En ese sentido, resolver casos particulares desborda las atribuciones asignadas por el legislador extraordinario, que no concibió a la Agencia Nacional de Contratación Pública - Colombia Compra Eficiente como una autoridad para solucionar problemas jurídicos particulares de todos los partícipes del sistema de compra pública. La competencia de esta entidad se fija con límites claros, con el objeto de evitar que la Agencia actúe como una instancia de validación de las actuaciones de las entidades sujetas al </w:t>
      </w:r>
      <w:r w:rsidRPr="00DB2DA5">
        <w:rPr>
          <w:rFonts w:ascii="Verdana" w:hAnsi="Verdana"/>
          <w:sz w:val="22"/>
          <w:szCs w:val="22"/>
        </w:rPr>
        <w:t>Estatuto General de Contratación Pública</w:t>
      </w:r>
      <w:r w:rsidRPr="00DB2DA5">
        <w:rPr>
          <w:rFonts w:ascii="Verdana" w:eastAsia="Calibri" w:hAnsi="Verdana" w:cs="Arial"/>
          <w:sz w:val="22"/>
          <w:szCs w:val="22"/>
          <w:lang w:val="es-ES" w:eastAsia="es-ES"/>
        </w:rPr>
        <w:t xml:space="preserve"> o de los demás participantes de la contratación pública. Esta competencia de interpretación de normas generales, por definición, no puede extenderse a la resolución de controversias, ni a brindar asesorías sobre casos puntuales.  </w:t>
      </w:r>
      <w:r w:rsidRPr="00DB2DA5">
        <w:rPr>
          <w:rFonts w:ascii="Verdana" w:hAnsi="Verdana"/>
          <w:sz w:val="22"/>
          <w:szCs w:val="22"/>
          <w:lang w:val="es-ES"/>
        </w:rPr>
        <w:tab/>
      </w:r>
    </w:p>
    <w:p w14:paraId="4DB43FAD" w14:textId="77777777" w:rsidR="00E25D52" w:rsidRPr="00DB2DA5" w:rsidRDefault="00E25D52" w:rsidP="00A95FBF">
      <w:pPr>
        <w:spacing w:line="276" w:lineRule="auto"/>
        <w:ind w:firstLine="709"/>
        <w:jc w:val="both"/>
        <w:rPr>
          <w:rFonts w:ascii="Verdana" w:eastAsia="Calibri" w:hAnsi="Verdana" w:cs="Arial"/>
          <w:sz w:val="22"/>
          <w:szCs w:val="22"/>
          <w:lang w:val="es-ES" w:eastAsia="es-ES"/>
        </w:rPr>
      </w:pPr>
      <w:r w:rsidRPr="00DB2DA5">
        <w:rPr>
          <w:rFonts w:ascii="Verdana" w:eastAsia="Calibri" w:hAnsi="Verdana" w:cs="Arial"/>
          <w:sz w:val="22"/>
          <w:szCs w:val="22"/>
          <w:lang w:val="es-ES" w:eastAsia="es-ES"/>
        </w:rPr>
        <w:t xml:space="preserve">Conforme lo expuesto, en aras de satisfacer el derecho fundamental de petición se resolverá su consulta dentro de los límites de la referida competencia consultiva, esto es, haciendo abstracción de las circunstancias particulares y concretas mencionadas en su petición, pero haciendo unas consideraciones sobre las normas generales relacionadas con el problema jurídico de su consulta. </w:t>
      </w:r>
    </w:p>
    <w:p w14:paraId="16FBB84D" w14:textId="77777777" w:rsidR="00E25D52" w:rsidRPr="00DB2DA5" w:rsidRDefault="00E25D52" w:rsidP="00A95FBF">
      <w:pPr>
        <w:spacing w:line="276" w:lineRule="auto"/>
        <w:ind w:firstLine="709"/>
        <w:jc w:val="both"/>
        <w:rPr>
          <w:rFonts w:ascii="Verdana" w:eastAsia="Calibri" w:hAnsi="Verdana" w:cs="Arial"/>
          <w:sz w:val="22"/>
          <w:szCs w:val="22"/>
          <w:lang w:val="es-ES" w:eastAsia="es-ES"/>
        </w:rPr>
      </w:pPr>
    </w:p>
    <w:p w14:paraId="51DA1D64" w14:textId="77777777" w:rsidR="00E25D52" w:rsidRPr="00DB2DA5" w:rsidRDefault="00E25D52">
      <w:pPr>
        <w:tabs>
          <w:tab w:val="left" w:pos="142"/>
          <w:tab w:val="left" w:pos="284"/>
        </w:tabs>
        <w:spacing w:line="276" w:lineRule="auto"/>
        <w:jc w:val="both"/>
        <w:rPr>
          <w:rFonts w:ascii="Verdana" w:eastAsia="Century Gothic" w:hAnsi="Verdana" w:cs="Century Gothic"/>
          <w:b/>
          <w:sz w:val="22"/>
          <w:szCs w:val="22"/>
          <w:lang w:val="es-ES"/>
        </w:rPr>
      </w:pPr>
      <w:r w:rsidRPr="00DB2DA5">
        <w:rPr>
          <w:rFonts w:ascii="Verdana" w:eastAsia="Century Gothic" w:hAnsi="Verdana" w:cs="Century Gothic"/>
          <w:b/>
          <w:sz w:val="22"/>
          <w:szCs w:val="22"/>
          <w:lang w:val="es-ES"/>
        </w:rPr>
        <w:lastRenderedPageBreak/>
        <w:t>1. Problema planteado:</w:t>
      </w:r>
    </w:p>
    <w:p w14:paraId="37A660BE" w14:textId="77777777" w:rsidR="00E25D52" w:rsidRPr="00DB2DA5" w:rsidRDefault="00E25D52">
      <w:pPr>
        <w:tabs>
          <w:tab w:val="left" w:pos="426"/>
        </w:tabs>
        <w:spacing w:line="276" w:lineRule="auto"/>
        <w:jc w:val="both"/>
        <w:rPr>
          <w:rFonts w:ascii="Verdana" w:eastAsia="Century Gothic" w:hAnsi="Verdana" w:cs="Century Gothic"/>
          <w:color w:val="ED7D31" w:themeColor="accent2"/>
          <w:sz w:val="22"/>
          <w:szCs w:val="22"/>
          <w:lang w:val="es-ES"/>
        </w:rPr>
      </w:pPr>
    </w:p>
    <w:p w14:paraId="0C739E0E" w14:textId="35D7706B" w:rsidR="00A95FBF" w:rsidRPr="00DB2DA5" w:rsidRDefault="00E25D52" w:rsidP="00DB2DA5">
      <w:pPr>
        <w:pStyle w:val="NormalWeb"/>
        <w:spacing w:before="0" w:beforeAutospacing="0" w:after="0" w:afterAutospacing="0" w:line="276" w:lineRule="auto"/>
        <w:jc w:val="both"/>
        <w:rPr>
          <w:rFonts w:ascii="Verdana" w:hAnsi="Verdana" w:cs="Segoe UI"/>
          <w:sz w:val="22"/>
          <w:szCs w:val="22"/>
        </w:rPr>
      </w:pPr>
      <w:r w:rsidRPr="00DB2DA5">
        <w:rPr>
          <w:rFonts w:ascii="Verdana" w:hAnsi="Verdana"/>
          <w:sz w:val="22"/>
          <w:szCs w:val="22"/>
        </w:rPr>
        <w:t>De acuerdo con el contenido de su solicitud, esta Agencia resolverá el siguiente problema jurídico:</w:t>
      </w:r>
      <w:r w:rsidR="00A95FBF">
        <w:rPr>
          <w:rFonts w:ascii="Verdana" w:hAnsi="Verdana" w:cs="Segoe UI"/>
          <w:sz w:val="22"/>
          <w:szCs w:val="22"/>
          <w:lang w:eastAsia="es-ES_tradnl"/>
        </w:rPr>
        <w:t xml:space="preserve"> i) </w:t>
      </w:r>
      <w:r w:rsidR="00A95FBF" w:rsidRPr="00DB2DA5">
        <w:rPr>
          <w:rFonts w:ascii="Verdana" w:hAnsi="Verdana" w:cs="Segoe UI"/>
          <w:sz w:val="22"/>
          <w:szCs w:val="22"/>
          <w:lang w:eastAsia="es-ES_tradnl"/>
        </w:rPr>
        <w:t>¿Es jurídicamente procedente que las entidades estatales incorporen criterios ambientales, sociales, de inclusión de personas con discapacidad o de población vulnerable en los procesos de contratación directa, mediante especificaciones técnicas, requisitos relacionados con la idoneidad del contratista o obligaciones de ejecución contractual?</w:t>
      </w:r>
      <w:r w:rsidR="00A95FBF">
        <w:rPr>
          <w:rFonts w:ascii="Verdana" w:hAnsi="Verdana" w:cs="Segoe UI"/>
          <w:sz w:val="22"/>
          <w:szCs w:val="22"/>
          <w:lang w:eastAsia="es-ES_tradnl"/>
        </w:rPr>
        <w:t xml:space="preserve">; ii) </w:t>
      </w:r>
      <w:r w:rsidR="00A95FBF" w:rsidRPr="00DB2DA5">
        <w:rPr>
          <w:rFonts w:ascii="Verdana" w:hAnsi="Verdana" w:cs="Segoe UI"/>
          <w:sz w:val="22"/>
          <w:szCs w:val="22"/>
        </w:rPr>
        <w:t>En caso de ser procedente la incorporación de tales criterios en la contratación directa, ¿debe la entidad estatal justificar y motivar su inclusión en la etapa de planeación y en los documentos que soportan el proceso contractual, aun cuando no exista una fase de evaluación comparativa de ofertas ni la asignación de puntajes?</w:t>
      </w:r>
      <w:r w:rsidR="00A95FBF">
        <w:rPr>
          <w:rFonts w:ascii="Verdana" w:hAnsi="Verdana" w:cs="Segoe UI"/>
          <w:sz w:val="22"/>
          <w:szCs w:val="22"/>
        </w:rPr>
        <w:t xml:space="preserve"> y; iii) </w:t>
      </w:r>
      <w:r w:rsidR="00A95FBF" w:rsidRPr="00DB2DA5">
        <w:rPr>
          <w:rFonts w:ascii="Verdana" w:hAnsi="Verdana" w:cs="Segoe UI"/>
          <w:sz w:val="22"/>
          <w:szCs w:val="22"/>
        </w:rPr>
        <w:t>¿Las disposiciones legales y reglamentarias que prevén criterios ambientales, sociales o de fomento para modalidades de selección con evaluación de ofertas impiden su aplicación en la contratación directa, o, por el contrario, permiten su incorporación como instrumentos de planeación y ejecución contractual cuando guardan relación con el objeto del contrato y los fines de la contratación estatal?</w:t>
      </w:r>
    </w:p>
    <w:p w14:paraId="3F93B457" w14:textId="77777777" w:rsidR="00E25D52" w:rsidRPr="00DB2DA5" w:rsidRDefault="00E25D52" w:rsidP="00DB2DA5">
      <w:pPr>
        <w:widowControl w:val="0"/>
        <w:autoSpaceDE w:val="0"/>
        <w:autoSpaceDN w:val="0"/>
        <w:spacing w:line="276" w:lineRule="auto"/>
        <w:jc w:val="both"/>
        <w:rPr>
          <w:rFonts w:ascii="Verdana" w:eastAsia="Century Gothic" w:hAnsi="Verdana" w:cs="Century Gothic"/>
          <w:color w:val="ED7D31" w:themeColor="accent2"/>
          <w:sz w:val="22"/>
          <w:szCs w:val="22"/>
        </w:rPr>
      </w:pPr>
    </w:p>
    <w:p w14:paraId="207A43B3" w14:textId="77777777" w:rsidR="00E25D52" w:rsidRPr="00DB2DA5" w:rsidRDefault="00E25D52" w:rsidP="00A95FBF">
      <w:pPr>
        <w:tabs>
          <w:tab w:val="left" w:pos="142"/>
          <w:tab w:val="left" w:pos="284"/>
        </w:tabs>
        <w:spacing w:line="276" w:lineRule="auto"/>
        <w:jc w:val="both"/>
        <w:rPr>
          <w:rFonts w:ascii="Verdana" w:eastAsia="Century Gothic" w:hAnsi="Verdana" w:cs="Century Gothic"/>
          <w:b/>
          <w:sz w:val="22"/>
          <w:szCs w:val="22"/>
          <w:lang w:val="es-ES"/>
        </w:rPr>
      </w:pPr>
      <w:r w:rsidRPr="00DB2DA5">
        <w:rPr>
          <w:rFonts w:ascii="Verdana" w:eastAsia="Century Gothic" w:hAnsi="Verdana" w:cs="Century Gothic"/>
          <w:b/>
          <w:sz w:val="22"/>
          <w:szCs w:val="22"/>
          <w:lang w:val="es-ES"/>
        </w:rPr>
        <w:t>2. Respuesta:</w:t>
      </w:r>
    </w:p>
    <w:p w14:paraId="0D83F88E" w14:textId="77777777" w:rsidR="00E25D52" w:rsidRPr="00DB2DA5" w:rsidRDefault="00E25D52" w:rsidP="00A95FBF">
      <w:pPr>
        <w:tabs>
          <w:tab w:val="left" w:pos="142"/>
          <w:tab w:val="left" w:pos="284"/>
        </w:tabs>
        <w:spacing w:line="276" w:lineRule="auto"/>
        <w:jc w:val="both"/>
        <w:rPr>
          <w:rFonts w:ascii="Verdana" w:eastAsia="Century Gothic" w:hAnsi="Verdana" w:cs="Century Gothic"/>
          <w:b/>
          <w:sz w:val="22"/>
          <w:szCs w:val="22"/>
          <w:lang w:val="es-ES"/>
        </w:rPr>
      </w:pPr>
    </w:p>
    <w:tbl>
      <w:tblPr>
        <w:tblStyle w:val="Tablaconcuadrcula"/>
        <w:tblW w:w="0" w:type="auto"/>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8828"/>
      </w:tblGrid>
      <w:tr w:rsidR="00E25D52" w:rsidRPr="00A355E9" w14:paraId="6BE64E0B" w14:textId="77777777" w:rsidTr="00005D22">
        <w:tc>
          <w:tcPr>
            <w:tcW w:w="8828" w:type="dxa"/>
          </w:tcPr>
          <w:p w14:paraId="167006B1" w14:textId="301B8A88" w:rsidR="00E25D52" w:rsidRPr="00DB2DA5" w:rsidRDefault="00E25D52" w:rsidP="00DB2DA5">
            <w:pPr>
              <w:spacing w:line="276" w:lineRule="auto"/>
              <w:jc w:val="both"/>
              <w:rPr>
                <w:rFonts w:ascii="Verdana" w:eastAsia="Calibri" w:hAnsi="Verdana" w:cs="Arial"/>
                <w:sz w:val="22"/>
                <w:szCs w:val="22"/>
              </w:rPr>
            </w:pPr>
            <w:r w:rsidRPr="00DB2DA5">
              <w:rPr>
                <w:rFonts w:ascii="Verdana" w:eastAsia="Calibri" w:hAnsi="Verdana" w:cs="Arial"/>
                <w:sz w:val="22"/>
                <w:szCs w:val="22"/>
              </w:rPr>
              <w:t xml:space="preserve">En atención a los problemas jurídicos planteados, conviene precisar, en primer lugar, que el puntaje adicional por vinculación de personas con discapacidad (en adelante, </w:t>
            </w:r>
            <w:proofErr w:type="spellStart"/>
            <w:r w:rsidRPr="00DB2DA5">
              <w:rPr>
                <w:rFonts w:ascii="Verdana" w:eastAsia="Calibri" w:hAnsi="Verdana" w:cs="Arial"/>
                <w:sz w:val="22"/>
                <w:szCs w:val="22"/>
              </w:rPr>
              <w:t>PcD</w:t>
            </w:r>
            <w:proofErr w:type="spellEnd"/>
            <w:r w:rsidRPr="00DB2DA5">
              <w:rPr>
                <w:rFonts w:ascii="Verdana" w:eastAsia="Calibri" w:hAnsi="Verdana" w:cs="Arial"/>
                <w:sz w:val="22"/>
                <w:szCs w:val="22"/>
              </w:rPr>
              <w:t xml:space="preserve">) se encuentra regulado en el artículo 2.2.1.2.4.2.7.4 del Decreto 1082 de 2015, modificado por el Decreto 0287 de 2026, y no en el artículo 2.2.1.2.4.2.6, que define los emprendimientos y empresas de </w:t>
            </w:r>
            <w:proofErr w:type="spellStart"/>
            <w:r w:rsidRPr="00DB2DA5">
              <w:rPr>
                <w:rFonts w:ascii="Verdana" w:eastAsia="Calibri" w:hAnsi="Verdana" w:cs="Arial"/>
                <w:sz w:val="22"/>
                <w:szCs w:val="22"/>
              </w:rPr>
              <w:t>PcD</w:t>
            </w:r>
            <w:proofErr w:type="spellEnd"/>
            <w:r w:rsidRPr="00DB2DA5">
              <w:rPr>
                <w:rFonts w:ascii="Verdana" w:eastAsia="Calibri" w:hAnsi="Verdana" w:cs="Arial"/>
                <w:sz w:val="22"/>
                <w:szCs w:val="22"/>
              </w:rPr>
              <w:t>. Hecha esa precisión, la premisa de la que parte su consulta, que el puntaje adicional y los criterios habilitantes diferenciales suponen comparación de ofertas y, por ello, no operan en la contratación directa, es correcta; pero de ella no se sigue que los criterios ambientales, sociales o de inclusión queden excluidos de esa modalidad.</w:t>
            </w:r>
          </w:p>
          <w:p w14:paraId="7045BB7A" w14:textId="77777777" w:rsidR="00A95FBF" w:rsidRPr="00A95FBF" w:rsidRDefault="00A95FBF" w:rsidP="00DB2DA5">
            <w:pPr>
              <w:spacing w:line="276" w:lineRule="auto"/>
              <w:ind w:firstLine="709"/>
              <w:jc w:val="both"/>
              <w:rPr>
                <w:rFonts w:ascii="Verdana" w:eastAsia="Calibri" w:hAnsi="Verdana" w:cs="Arial"/>
                <w:sz w:val="22"/>
                <w:szCs w:val="22"/>
              </w:rPr>
            </w:pPr>
          </w:p>
          <w:p w14:paraId="188AC039" w14:textId="5029A2FC" w:rsidR="00E25D52" w:rsidRPr="00DB2DA5" w:rsidRDefault="00E25D52" w:rsidP="00DB2DA5">
            <w:pPr>
              <w:spacing w:after="120" w:line="276" w:lineRule="auto"/>
              <w:jc w:val="both"/>
              <w:rPr>
                <w:rFonts w:ascii="Verdana" w:eastAsia="Calibri" w:hAnsi="Verdana" w:cs="Arial"/>
                <w:sz w:val="22"/>
                <w:szCs w:val="22"/>
              </w:rPr>
            </w:pPr>
            <w:r w:rsidRPr="00DB2DA5">
              <w:rPr>
                <w:rFonts w:ascii="Verdana" w:eastAsia="Calibri" w:hAnsi="Verdana" w:cs="Arial"/>
                <w:b/>
                <w:bCs/>
                <w:sz w:val="22"/>
                <w:szCs w:val="22"/>
              </w:rPr>
              <w:t>(i)</w:t>
            </w:r>
            <w:r w:rsidRPr="00DB2DA5">
              <w:rPr>
                <w:rFonts w:ascii="Verdana" w:eastAsia="Calibri" w:hAnsi="Verdana" w:cs="Arial"/>
                <w:sz w:val="22"/>
                <w:szCs w:val="22"/>
              </w:rPr>
              <w:t xml:space="preserve"> La respuesta al primer interrogante es afirmativa, y conviene distinguir las tres vías por las que indaga. Como especificaciones técnicas del objeto, la incorporación de tales criterios no solo es procedente sino que, en materia de accesibilidad, resulta obligatoria: el artículo 2.2.1.2.4.2.7.1 del Decreto 1082 de 2015 dispone que toda compra de bienes, obras o servicios que realicen los </w:t>
            </w:r>
            <w:r w:rsidRPr="00DB2DA5">
              <w:rPr>
                <w:rFonts w:ascii="Verdana" w:eastAsia="Calibri" w:hAnsi="Verdana" w:cs="Arial"/>
                <w:sz w:val="22"/>
                <w:szCs w:val="22"/>
              </w:rPr>
              <w:lastRenderedPageBreak/>
              <w:t xml:space="preserve">entes del Estado, se rijan por el Estatuto General de Contratación de la Administración Pública o por régimen especial, e incluidos los patrimonios autónomos constituidos por entidades estatales y los particulares que ejecuten recursos públicos, incorpore criterios de accesibilidad, en todas las modalidades de selección, sin excluir la contratación directa. </w:t>
            </w:r>
          </w:p>
          <w:p w14:paraId="1DFD1AA8" w14:textId="0D5A7A4D" w:rsidR="00E25D52" w:rsidRPr="00A95FBF" w:rsidRDefault="00E25D52" w:rsidP="00DB2DA5">
            <w:pPr>
              <w:spacing w:after="120" w:line="276" w:lineRule="auto"/>
              <w:ind w:firstLine="709"/>
              <w:jc w:val="both"/>
              <w:rPr>
                <w:rFonts w:ascii="Verdana" w:eastAsia="Calibri" w:hAnsi="Verdana" w:cs="Arial"/>
                <w:sz w:val="22"/>
                <w:szCs w:val="22"/>
              </w:rPr>
            </w:pPr>
            <w:r w:rsidRPr="00DB2DA5">
              <w:rPr>
                <w:rFonts w:ascii="Verdana" w:eastAsia="Calibri" w:hAnsi="Verdana" w:cs="Arial"/>
                <w:sz w:val="22"/>
                <w:szCs w:val="22"/>
              </w:rPr>
              <w:t>En cuanto a los requisitos habilitantes, la respuesta exige un matiz. Los criterios habilitantes diferenciales del artículo 2.2.1.2.4.2.7.3 están expresamente excluidos de la contratación directa y de la mínima cuantía, pues consisten en morigerar exigencias fijadas en el pliego frente a otros proponentes, lo que presupone concurrencia. Ello no significa, sin embargo, que en la contratación directa desaparezca la verificación de las condiciones del contratista: la entidad conserva el deber de constatar su capacidad e idoneidad y de definir las exigencias técnicas que el objeto demande, entre las cuales pueden figurar las relativas a accesibilidad, sostenibilidad o inclusión, siempre que guarden relación directa con el objeto y respeten el principio de proporcionalidad.</w:t>
            </w:r>
          </w:p>
          <w:p w14:paraId="6312A134" w14:textId="28BA8C0B" w:rsidR="00A95FBF" w:rsidRPr="00A95FBF" w:rsidRDefault="00A95FBF" w:rsidP="00DB2DA5">
            <w:pPr>
              <w:spacing w:after="120" w:line="276" w:lineRule="auto"/>
              <w:ind w:firstLine="709"/>
              <w:jc w:val="both"/>
              <w:rPr>
                <w:rFonts w:ascii="Verdana" w:eastAsia="Calibri" w:hAnsi="Verdana" w:cs="Arial"/>
                <w:sz w:val="22"/>
                <w:szCs w:val="22"/>
              </w:rPr>
            </w:pPr>
            <w:r w:rsidRPr="00A95FBF">
              <w:rPr>
                <w:rFonts w:ascii="Verdana" w:eastAsia="Calibri" w:hAnsi="Verdana" w:cs="Arial"/>
                <w:sz w:val="22"/>
                <w:szCs w:val="22"/>
              </w:rPr>
              <w:t>En relación con la inclusión de criterios ambientales y sociales debe tenerse en cuenta, además, el Decreto 0997 de 2026, cuyo artículo 7 incorporó al contenido de los estudios y documentos previos el análisis de los impactos económicos, sociales y ambientales asociados a cada etapa del Ciclo de Vida del bien, obra o servicio, exigencia que alcanza a la contratación directa por regir el artículo 2.2.1.1.2.1.1 en todas las modalidades salvo la mínima cuantía; debiendo advertirse que el régimen de vigencia de ese decreto no es uniforme, pues sus artículos 2, 3, 8 y 11 rigen desde el día siguiente a su publicación y los demás de manera progresiva según la naturaleza y categoría de la entidad, a la que corresponde verificar cuáles le son exigibles al estructurar el proceso. Como obligaciones contractuales, las condiciones especiales de ejecución del artículo 2.2.1.2.4.2.7.5 aplican a las entidades regidas por la Ley 80 de 1993 en todas las modalidades de selección, de manera que también deben incorporarse en los contratos celebrados de forma directa, mediante alguna de las dos opciones que la norma contempla: la subcontratación inclusiva o la integración del equipo de trabajo.</w:t>
            </w:r>
          </w:p>
          <w:p w14:paraId="179B4F53" w14:textId="7CC08A5B" w:rsidR="00A95FBF" w:rsidRPr="00DB2DA5" w:rsidRDefault="00A95FBF" w:rsidP="00A95FBF">
            <w:pPr>
              <w:spacing w:line="276" w:lineRule="auto"/>
              <w:ind w:firstLine="709"/>
              <w:jc w:val="both"/>
              <w:rPr>
                <w:rFonts w:ascii="Verdana" w:hAnsi="Verdana" w:cs="Segoe UI"/>
                <w:sz w:val="22"/>
                <w:szCs w:val="22"/>
              </w:rPr>
            </w:pPr>
            <w:r w:rsidRPr="00DB2DA5">
              <w:rPr>
                <w:rFonts w:ascii="Verdana" w:hAnsi="Verdana" w:cs="Arial"/>
                <w:color w:val="000000" w:themeColor="text1"/>
                <w:sz w:val="22"/>
                <w:szCs w:val="22"/>
                <w:lang w:val="es-ES"/>
              </w:rPr>
              <w:t xml:space="preserve">Igualmente, se resalta la Guía de Contratación Pública Sostenible y Socialmente Responsable adoptada conjuntamente por Colombia Compra Eficiente y el Ministerio de Ambiente y Desarrollo Sostenible, en la cual se </w:t>
            </w:r>
            <w:r w:rsidRPr="00DB2DA5">
              <w:rPr>
                <w:rFonts w:ascii="Verdana" w:hAnsi="Verdana" w:cs="Arial"/>
                <w:color w:val="000000" w:themeColor="text1"/>
                <w:sz w:val="22"/>
                <w:szCs w:val="22"/>
                <w:lang w:val="es-ES"/>
              </w:rPr>
              <w:lastRenderedPageBreak/>
              <w:t xml:space="preserve">establecen lineamientos de buenas prácticas para la integración de criterios ambientales y sociales en todas las etapas del Proceso de Contratación. Dicho instrumento sobre la contratación directa, a la que se </w:t>
            </w:r>
            <w:proofErr w:type="spellStart"/>
            <w:r w:rsidRPr="00DB2DA5">
              <w:rPr>
                <w:rFonts w:ascii="Verdana" w:hAnsi="Verdana" w:cs="Arial"/>
                <w:color w:val="000000" w:themeColor="text1"/>
                <w:sz w:val="22"/>
                <w:szCs w:val="22"/>
                <w:lang w:val="es-ES"/>
              </w:rPr>
              <w:t>efiere</w:t>
            </w:r>
            <w:proofErr w:type="spellEnd"/>
            <w:r w:rsidRPr="00DB2DA5">
              <w:rPr>
                <w:rFonts w:ascii="Verdana" w:hAnsi="Verdana" w:cs="Arial"/>
                <w:color w:val="000000" w:themeColor="text1"/>
                <w:sz w:val="22"/>
                <w:szCs w:val="22"/>
                <w:lang w:val="es-ES"/>
              </w:rPr>
              <w:t xml:space="preserve"> en su consulta señala que, </w:t>
            </w:r>
            <w:r w:rsidRPr="00DB2DA5">
              <w:rPr>
                <w:rFonts w:ascii="Verdana" w:hAnsi="Verdana" w:cs="Segoe UI"/>
                <w:sz w:val="22"/>
                <w:szCs w:val="22"/>
              </w:rPr>
              <w:t>Aunque en la contratación directa no procede la asignación de puntajes ni la comparación de múltiples ofertas, ello no releva a la entidad del deber de planeación. En consecuencia, deben realizarse los análisis y estudios necesarios que justifiquen la selección del contratista y permitan definir las condiciones técnicas, económicas, ambientales y sociales asociadas al objeto contractual. Estos elementos sirven de fundamento para estructurar las cláusulas de ejecución del contrato y para incorporar medidas orientadas al cumplimiento de políticas públicas y de los fines de la contratación estatal.</w:t>
            </w:r>
          </w:p>
          <w:p w14:paraId="11F4719B" w14:textId="77777777" w:rsidR="00E25D52" w:rsidRPr="00DB2DA5" w:rsidRDefault="00E25D52" w:rsidP="00A95FBF">
            <w:pPr>
              <w:spacing w:line="276" w:lineRule="auto"/>
              <w:ind w:firstLine="709"/>
              <w:jc w:val="both"/>
              <w:rPr>
                <w:rFonts w:ascii="Verdana" w:eastAsia="Calibri" w:hAnsi="Verdana" w:cs="Arial"/>
                <w:sz w:val="22"/>
                <w:szCs w:val="22"/>
              </w:rPr>
            </w:pPr>
          </w:p>
          <w:p w14:paraId="69B7013A" w14:textId="77777777" w:rsidR="00E25D52" w:rsidRPr="00DB2DA5" w:rsidRDefault="00E25D52" w:rsidP="00DB2DA5">
            <w:pPr>
              <w:spacing w:line="276" w:lineRule="auto"/>
              <w:jc w:val="both"/>
              <w:rPr>
                <w:rFonts w:ascii="Verdana" w:eastAsia="Calibri" w:hAnsi="Verdana" w:cs="Arial"/>
                <w:sz w:val="22"/>
                <w:szCs w:val="22"/>
              </w:rPr>
            </w:pPr>
            <w:r w:rsidRPr="00DB2DA5">
              <w:rPr>
                <w:rFonts w:ascii="Verdana" w:eastAsia="Calibri" w:hAnsi="Verdana" w:cs="Arial"/>
                <w:b/>
                <w:bCs/>
                <w:sz w:val="22"/>
                <w:szCs w:val="22"/>
              </w:rPr>
              <w:t>(ii)</w:t>
            </w:r>
            <w:r w:rsidRPr="00DB2DA5">
              <w:rPr>
                <w:rFonts w:ascii="Verdana" w:eastAsia="Calibri" w:hAnsi="Verdana" w:cs="Arial"/>
                <w:sz w:val="22"/>
                <w:szCs w:val="22"/>
              </w:rPr>
              <w:t xml:space="preserve"> La respuesta al segundo interrogante también es afirmativa. La contratación directa no está exenta del deber de planeación: el artículo 2.2.1.1.2.1.1 del Decreto 1082 de 2015 exige los estudios y documentos previos en todas las modalidades, con la única salvedad de la mínima cuantía. Es precisamente en esos documentos donde deben definirse los criterios de accesibilidad, teniendo en cuenta el bien, obra o servicio a contratar, y donde debe justificarse la incorporación, o la no incorporación, de las condiciones especiales de ejecución, previo análisis de su conveniencia y oportunidad. La motivación, por tanto, no depende de que se otorgue puntaje: deriva del deber de planeación y del principio de economía, y permite acreditar que la decisión de la entidad obedece a un análisis y no a una omisión.</w:t>
            </w:r>
          </w:p>
          <w:p w14:paraId="2CB6F792" w14:textId="77777777" w:rsidR="00E25D52" w:rsidRPr="00DB2DA5" w:rsidRDefault="00E25D52" w:rsidP="00A355E9">
            <w:pPr>
              <w:spacing w:line="276" w:lineRule="auto"/>
              <w:ind w:firstLine="709"/>
              <w:jc w:val="both"/>
              <w:rPr>
                <w:rFonts w:ascii="Verdana" w:eastAsia="Calibri" w:hAnsi="Verdana" w:cs="Arial"/>
                <w:sz w:val="22"/>
                <w:szCs w:val="22"/>
              </w:rPr>
            </w:pPr>
          </w:p>
          <w:p w14:paraId="02446C4B" w14:textId="77777777" w:rsidR="00E25D52" w:rsidRPr="00DB2DA5" w:rsidRDefault="00E25D52" w:rsidP="00DB2DA5">
            <w:pPr>
              <w:spacing w:line="276" w:lineRule="auto"/>
              <w:jc w:val="both"/>
              <w:rPr>
                <w:rFonts w:ascii="Verdana" w:eastAsia="Calibri" w:hAnsi="Verdana" w:cs="Arial"/>
                <w:sz w:val="22"/>
                <w:szCs w:val="22"/>
              </w:rPr>
            </w:pPr>
            <w:r w:rsidRPr="00DB2DA5">
              <w:rPr>
                <w:rFonts w:ascii="Verdana" w:eastAsia="Calibri" w:hAnsi="Verdana" w:cs="Arial"/>
                <w:b/>
                <w:bCs/>
                <w:sz w:val="22"/>
                <w:szCs w:val="22"/>
              </w:rPr>
              <w:t>(iii)</w:t>
            </w:r>
            <w:r w:rsidRPr="00DB2DA5">
              <w:rPr>
                <w:rFonts w:ascii="Verdana" w:eastAsia="Calibri" w:hAnsi="Verdana" w:cs="Arial"/>
                <w:sz w:val="22"/>
                <w:szCs w:val="22"/>
              </w:rPr>
              <w:t xml:space="preserve"> La respuesta al tercer interrogante es negativa. Que determinadas disposiciones asocien los requisitos diferenciales y los puntajes adicionales a modalidades con evaluación comparativa no excluye toda aplicación de los criterios ambientales, sociales o de inclusión en la contratación directa. El Sistema Integral de Preferencias no se agota en el puntaje: conforme a la Circular Externa No. 003 de 2026, está compuesto por cinco medidas, de las cuales las compras públicas accesibles y las condiciones especiales de ejecución aplican a la contratación directa, y la inclusión de </w:t>
            </w:r>
            <w:proofErr w:type="spellStart"/>
            <w:r w:rsidRPr="00DB2DA5">
              <w:rPr>
                <w:rFonts w:ascii="Verdana" w:eastAsia="Calibri" w:hAnsi="Verdana" w:cs="Arial"/>
                <w:sz w:val="22"/>
                <w:szCs w:val="22"/>
              </w:rPr>
              <w:t>PcD</w:t>
            </w:r>
            <w:proofErr w:type="spellEnd"/>
            <w:r w:rsidRPr="00DB2DA5">
              <w:rPr>
                <w:rFonts w:ascii="Verdana" w:eastAsia="Calibri" w:hAnsi="Verdana" w:cs="Arial"/>
                <w:sz w:val="22"/>
                <w:szCs w:val="22"/>
              </w:rPr>
              <w:t xml:space="preserve"> a través de contratos de prestación de servicios profesionales y de apoyo a la gestión es una medida cuya modalidad es, precisamente, la contratación directa, aunque de carácter potestativo y progresivo. Lo que la ausencia de comparación de ofertas excluye son los instrumentos que operan como factores de </w:t>
            </w:r>
            <w:r w:rsidRPr="00DB2DA5">
              <w:rPr>
                <w:rFonts w:ascii="Verdana" w:eastAsia="Calibri" w:hAnsi="Verdana" w:cs="Arial"/>
                <w:sz w:val="22"/>
                <w:szCs w:val="22"/>
              </w:rPr>
              <w:lastRenderedPageBreak/>
              <w:t>ponderación, no aquellos que se expresan en la definición del objeto o en las obligaciones del contrato.</w:t>
            </w:r>
          </w:p>
          <w:p w14:paraId="15FB1AF7" w14:textId="77777777" w:rsidR="00E25D52" w:rsidRPr="00DB2DA5" w:rsidRDefault="00E25D52" w:rsidP="00A355E9">
            <w:pPr>
              <w:spacing w:line="276" w:lineRule="auto"/>
              <w:ind w:firstLine="709"/>
              <w:jc w:val="both"/>
              <w:rPr>
                <w:rFonts w:ascii="Verdana" w:eastAsia="Calibri" w:hAnsi="Verdana" w:cs="Arial"/>
                <w:sz w:val="22"/>
                <w:szCs w:val="22"/>
              </w:rPr>
            </w:pPr>
          </w:p>
          <w:p w14:paraId="5D464588" w14:textId="77777777" w:rsidR="00E25D52" w:rsidRPr="00DB2DA5" w:rsidRDefault="00E25D52" w:rsidP="00DB2DA5">
            <w:pPr>
              <w:spacing w:line="276" w:lineRule="auto"/>
              <w:jc w:val="both"/>
              <w:rPr>
                <w:rFonts w:ascii="Verdana" w:eastAsia="Calibri" w:hAnsi="Verdana" w:cs="Arial"/>
                <w:sz w:val="22"/>
                <w:szCs w:val="22"/>
              </w:rPr>
            </w:pPr>
            <w:r w:rsidRPr="00DB2DA5">
              <w:rPr>
                <w:rFonts w:ascii="Verdana" w:eastAsia="Calibri" w:hAnsi="Verdana" w:cs="Arial"/>
                <w:sz w:val="22"/>
                <w:szCs w:val="22"/>
              </w:rPr>
              <w:t>En todo caso, corresponde a cada entidad estatal, en ejercicio de su competencia y previa valoración de los elementos fácticos y jurídicos de su proceso, determinar los criterios que incorpora y su alcance, justificándolos en los estudios y documentos previos, sin que sea atribución de Colombia Compra Eficiente validar sus actuaciones ni pronunciarse sobre casos particulares.</w:t>
            </w:r>
          </w:p>
        </w:tc>
      </w:tr>
    </w:tbl>
    <w:p w14:paraId="7D4CDB74" w14:textId="77777777" w:rsidR="00E25D52" w:rsidRPr="00DB2DA5" w:rsidRDefault="00E25D52" w:rsidP="00A355E9">
      <w:pPr>
        <w:tabs>
          <w:tab w:val="left" w:pos="142"/>
          <w:tab w:val="left" w:pos="284"/>
        </w:tabs>
        <w:spacing w:line="276" w:lineRule="auto"/>
        <w:jc w:val="both"/>
        <w:rPr>
          <w:rFonts w:ascii="Verdana" w:eastAsia="Century Gothic" w:hAnsi="Verdana" w:cs="Century Gothic"/>
          <w:b/>
          <w:bCs/>
          <w:color w:val="ED7D31" w:themeColor="accent2"/>
          <w:sz w:val="22"/>
          <w:szCs w:val="22"/>
          <w:lang w:val="es-ES"/>
        </w:rPr>
      </w:pPr>
    </w:p>
    <w:p w14:paraId="088BDADE" w14:textId="77777777" w:rsidR="00E25D52" w:rsidRPr="00DB2DA5" w:rsidRDefault="00E25D52" w:rsidP="00A95FBF">
      <w:pPr>
        <w:tabs>
          <w:tab w:val="left" w:pos="142"/>
          <w:tab w:val="left" w:pos="284"/>
        </w:tabs>
        <w:spacing w:line="276" w:lineRule="auto"/>
        <w:jc w:val="both"/>
        <w:rPr>
          <w:rFonts w:ascii="Verdana" w:eastAsia="Century Gothic" w:hAnsi="Verdana" w:cs="Century Gothic"/>
          <w:b/>
          <w:sz w:val="22"/>
          <w:szCs w:val="22"/>
          <w:lang w:val="es-ES"/>
        </w:rPr>
      </w:pPr>
      <w:r w:rsidRPr="00DB2DA5">
        <w:rPr>
          <w:rFonts w:ascii="Verdana" w:eastAsia="Century Gothic" w:hAnsi="Verdana" w:cs="Century Gothic"/>
          <w:b/>
          <w:sz w:val="22"/>
          <w:szCs w:val="22"/>
          <w:lang w:val="es-ES"/>
        </w:rPr>
        <w:t>3. Razones de la respuesta:</w:t>
      </w:r>
    </w:p>
    <w:p w14:paraId="78583583" w14:textId="77777777" w:rsidR="00E25D52" w:rsidRPr="00DB2DA5" w:rsidRDefault="00E25D52" w:rsidP="00A95FBF">
      <w:pPr>
        <w:tabs>
          <w:tab w:val="left" w:pos="142"/>
          <w:tab w:val="left" w:pos="284"/>
        </w:tabs>
        <w:spacing w:line="276" w:lineRule="auto"/>
        <w:jc w:val="both"/>
        <w:rPr>
          <w:rFonts w:ascii="Verdana" w:eastAsia="Century Gothic" w:hAnsi="Verdana" w:cs="Century Gothic"/>
          <w:b/>
          <w:color w:val="ED7D31" w:themeColor="accent2"/>
          <w:sz w:val="22"/>
          <w:szCs w:val="22"/>
          <w:lang w:val="es-ES"/>
        </w:rPr>
      </w:pPr>
    </w:p>
    <w:p w14:paraId="6B09CBA3" w14:textId="77777777" w:rsidR="00E25D52" w:rsidRPr="00DB2DA5" w:rsidRDefault="00E25D52" w:rsidP="00A95FBF">
      <w:pPr>
        <w:spacing w:line="276" w:lineRule="auto"/>
        <w:jc w:val="both"/>
        <w:rPr>
          <w:rFonts w:ascii="Verdana" w:eastAsia="Calibri" w:hAnsi="Verdana" w:cs="Arial"/>
          <w:sz w:val="22"/>
          <w:szCs w:val="22"/>
          <w:lang w:val="es-ES"/>
        </w:rPr>
      </w:pPr>
      <w:r w:rsidRPr="00DB2DA5">
        <w:rPr>
          <w:rFonts w:ascii="Verdana" w:eastAsia="Calibri" w:hAnsi="Verdana" w:cs="Arial"/>
          <w:sz w:val="22"/>
          <w:szCs w:val="22"/>
          <w:lang w:val="es-ES"/>
        </w:rPr>
        <w:t>Lo anterior se sustenta en las siguientes consideraciones:</w:t>
      </w:r>
    </w:p>
    <w:p w14:paraId="71D61F87" w14:textId="77777777" w:rsidR="00E25D52" w:rsidRPr="00DB2DA5" w:rsidRDefault="00E25D52" w:rsidP="00A95FBF">
      <w:pPr>
        <w:spacing w:line="276" w:lineRule="auto"/>
        <w:jc w:val="both"/>
        <w:rPr>
          <w:rFonts w:ascii="Verdana" w:eastAsia="Calibri" w:hAnsi="Verdana" w:cs="Arial"/>
          <w:sz w:val="22"/>
          <w:szCs w:val="22"/>
          <w:lang w:val="es-ES"/>
        </w:rPr>
      </w:pPr>
    </w:p>
    <w:p w14:paraId="3E846CDD" w14:textId="77777777" w:rsidR="00E25D52" w:rsidRPr="00DB2DA5" w:rsidRDefault="00E25D52" w:rsidP="00DB2DA5">
      <w:pPr>
        <w:widowControl w:val="0"/>
        <w:autoSpaceDE w:val="0"/>
        <w:autoSpaceDN w:val="0"/>
        <w:spacing w:after="120" w:line="276" w:lineRule="auto"/>
        <w:jc w:val="both"/>
        <w:rPr>
          <w:rFonts w:ascii="Verdana" w:hAnsi="Verdana"/>
          <w:sz w:val="22"/>
          <w:szCs w:val="22"/>
        </w:rPr>
      </w:pPr>
      <w:r w:rsidRPr="00DB2DA5">
        <w:rPr>
          <w:rFonts w:ascii="Verdana" w:hAnsi="Verdana"/>
          <w:b/>
          <w:bCs/>
          <w:sz w:val="22"/>
          <w:szCs w:val="22"/>
        </w:rPr>
        <w:t>(i)</w:t>
      </w:r>
      <w:r w:rsidRPr="00DB2DA5">
        <w:rPr>
          <w:rFonts w:ascii="Verdana" w:hAnsi="Verdana"/>
          <w:sz w:val="22"/>
          <w:szCs w:val="22"/>
        </w:rPr>
        <w:t xml:space="preserve"> Para resolver los problemas jurídicos planteados es necesario partir de una precisión normativa. El puntaje adicional por vinculación de </w:t>
      </w:r>
      <w:proofErr w:type="spellStart"/>
      <w:r w:rsidRPr="00DB2DA5">
        <w:rPr>
          <w:rFonts w:ascii="Verdana" w:hAnsi="Verdana"/>
          <w:sz w:val="22"/>
          <w:szCs w:val="22"/>
        </w:rPr>
        <w:t>PcD</w:t>
      </w:r>
      <w:proofErr w:type="spellEnd"/>
      <w:r w:rsidRPr="00DB2DA5">
        <w:rPr>
          <w:rFonts w:ascii="Verdana" w:hAnsi="Verdana"/>
          <w:sz w:val="22"/>
          <w:szCs w:val="22"/>
        </w:rPr>
        <w:t xml:space="preserve"> al que alude su consulta se encuentra previsto en el artículo 2.2.1.2.4.2.7.4 del Decreto 1082 de 2015, modificado por el Decreto 0287 de 2026, y no en el artículo 2.2.1.2.4.2.6, que corresponde a la definición de los emprendimientos y empresas de </w:t>
      </w:r>
      <w:proofErr w:type="spellStart"/>
      <w:r w:rsidRPr="00DB2DA5">
        <w:rPr>
          <w:rFonts w:ascii="Verdana" w:hAnsi="Verdana"/>
          <w:sz w:val="22"/>
          <w:szCs w:val="22"/>
        </w:rPr>
        <w:t>PcD</w:t>
      </w:r>
      <w:proofErr w:type="spellEnd"/>
      <w:r w:rsidRPr="00DB2DA5">
        <w:rPr>
          <w:rFonts w:ascii="Verdana" w:hAnsi="Verdana"/>
          <w:sz w:val="22"/>
          <w:szCs w:val="22"/>
        </w:rPr>
        <w:t xml:space="preserve"> y a la tarifa legal para su acreditación. Hecha esa salvedad, es exacto que dicho puntaje opera únicamente en las modalidades de licitación pública y concurso de méritos, y que los criterios habilitantes diferenciales del artículo 2.2.1.2.4.2.7.3 no aplican a la contratación directa ni a la mínima cuantía</w:t>
      </w:r>
      <w:r w:rsidRPr="00DB2DA5">
        <w:rPr>
          <w:rStyle w:val="Refdenotaalpie"/>
          <w:rFonts w:ascii="Verdana" w:hAnsi="Verdana"/>
          <w:sz w:val="22"/>
          <w:szCs w:val="22"/>
        </w:rPr>
        <w:footnoteReference w:id="1"/>
      </w:r>
      <w:r w:rsidRPr="00DB2DA5">
        <w:rPr>
          <w:rFonts w:ascii="Verdana" w:hAnsi="Verdana"/>
          <w:sz w:val="22"/>
          <w:szCs w:val="22"/>
        </w:rPr>
        <w:t>. La razón es estructural: ambos instrumentos presuponen pluralidad de oferentes y comparación de propuestas, presupuesto que no concurre en una modalidad en la que la entidad selecciona directamente a su contratista.</w:t>
      </w:r>
    </w:p>
    <w:p w14:paraId="4C679796" w14:textId="59CB605D" w:rsidR="00646B95" w:rsidRPr="00DB2DA5" w:rsidRDefault="00E25D52" w:rsidP="00622AC2">
      <w:pPr>
        <w:widowControl w:val="0"/>
        <w:autoSpaceDE w:val="0"/>
        <w:autoSpaceDN w:val="0"/>
        <w:spacing w:after="120" w:line="276" w:lineRule="auto"/>
        <w:ind w:firstLine="708"/>
        <w:jc w:val="both"/>
        <w:rPr>
          <w:rFonts w:ascii="Verdana" w:hAnsi="Verdana"/>
          <w:sz w:val="22"/>
          <w:szCs w:val="22"/>
        </w:rPr>
      </w:pPr>
      <w:r w:rsidRPr="00DB2DA5">
        <w:rPr>
          <w:rFonts w:ascii="Verdana" w:hAnsi="Verdana"/>
          <w:sz w:val="22"/>
          <w:szCs w:val="22"/>
        </w:rPr>
        <w:t>Ahora bien, de esa exclusión no puede inferirse una conclusión general sobre los criterios ambientales, sociales</w:t>
      </w:r>
      <w:r w:rsidR="00646B95" w:rsidRPr="00DB2DA5">
        <w:rPr>
          <w:rFonts w:ascii="Verdana" w:hAnsi="Verdana"/>
          <w:sz w:val="22"/>
          <w:szCs w:val="22"/>
        </w:rPr>
        <w:t>, dentro de estos últimos</w:t>
      </w:r>
      <w:r w:rsidRPr="00DB2DA5">
        <w:rPr>
          <w:rFonts w:ascii="Verdana" w:hAnsi="Verdana"/>
          <w:sz w:val="22"/>
          <w:szCs w:val="22"/>
        </w:rPr>
        <w:t xml:space="preserve"> de inclusión</w:t>
      </w:r>
      <w:r w:rsidR="00646B95" w:rsidRPr="00DB2DA5">
        <w:rPr>
          <w:rFonts w:ascii="Verdana" w:hAnsi="Verdana"/>
          <w:sz w:val="22"/>
          <w:szCs w:val="22"/>
        </w:rPr>
        <w:t xml:space="preserve"> de ciertos grupos poblacionales como las personas en condición de discapacidad</w:t>
      </w:r>
      <w:r w:rsidRPr="00DB2DA5">
        <w:rPr>
          <w:rFonts w:ascii="Verdana" w:hAnsi="Verdana"/>
          <w:sz w:val="22"/>
          <w:szCs w:val="22"/>
        </w:rPr>
        <w:t xml:space="preserve">. La inferencia solo sería válida si tales criterios se manifestaran exclusivamente como factores de ponderación, lo que no ocurre. En el ordenamiento, esos </w:t>
      </w:r>
      <w:r w:rsidRPr="00DB2DA5">
        <w:rPr>
          <w:rFonts w:ascii="Verdana" w:hAnsi="Verdana"/>
          <w:sz w:val="22"/>
          <w:szCs w:val="22"/>
        </w:rPr>
        <w:lastRenderedPageBreak/>
        <w:t xml:space="preserve">criterios se expresan al menos de tres maneras distintas: </w:t>
      </w:r>
      <w:r w:rsidR="00646B95" w:rsidRPr="00DB2DA5">
        <w:rPr>
          <w:rFonts w:ascii="Verdana" w:hAnsi="Verdana"/>
          <w:sz w:val="22"/>
          <w:szCs w:val="22"/>
        </w:rPr>
        <w:t xml:space="preserve">a) </w:t>
      </w:r>
      <w:r w:rsidRPr="00DB2DA5">
        <w:rPr>
          <w:rFonts w:ascii="Verdana" w:hAnsi="Verdana"/>
          <w:sz w:val="22"/>
          <w:szCs w:val="22"/>
        </w:rPr>
        <w:t xml:space="preserve">como factores de evaluación y desempate, que en efecto suponen comparación; </w:t>
      </w:r>
      <w:r w:rsidR="00646B95" w:rsidRPr="00DB2DA5">
        <w:rPr>
          <w:rFonts w:ascii="Verdana" w:hAnsi="Verdana"/>
          <w:sz w:val="22"/>
          <w:szCs w:val="22"/>
        </w:rPr>
        <w:t xml:space="preserve">b) </w:t>
      </w:r>
      <w:r w:rsidRPr="00DB2DA5">
        <w:rPr>
          <w:rFonts w:ascii="Verdana" w:hAnsi="Verdana"/>
          <w:sz w:val="22"/>
          <w:szCs w:val="22"/>
        </w:rPr>
        <w:t xml:space="preserve">como exigencias técnicas incorporadas en la definición del objeto contractual; y </w:t>
      </w:r>
      <w:r w:rsidR="00646B95" w:rsidRPr="00DB2DA5">
        <w:rPr>
          <w:rFonts w:ascii="Verdana" w:hAnsi="Verdana"/>
          <w:sz w:val="22"/>
          <w:szCs w:val="22"/>
        </w:rPr>
        <w:t xml:space="preserve">c) </w:t>
      </w:r>
      <w:r w:rsidRPr="00DB2DA5">
        <w:rPr>
          <w:rFonts w:ascii="Verdana" w:hAnsi="Verdana"/>
          <w:sz w:val="22"/>
          <w:szCs w:val="22"/>
        </w:rPr>
        <w:t>como obligaciones a cargo del contratista durante la ejecución. Solo la primera de esas manifestaciones resulta incompatible con la contratación directa; las otras dos son plenamente compatibles y, en ciertos casos, obligatorias.</w:t>
      </w:r>
    </w:p>
    <w:p w14:paraId="39441894" w14:textId="24BBB3DB" w:rsidR="00E25D52" w:rsidRPr="00DB2DA5" w:rsidRDefault="00E25D52" w:rsidP="00622AC2">
      <w:pPr>
        <w:widowControl w:val="0"/>
        <w:autoSpaceDE w:val="0"/>
        <w:autoSpaceDN w:val="0"/>
        <w:spacing w:after="120" w:line="276" w:lineRule="auto"/>
        <w:ind w:firstLine="708"/>
        <w:jc w:val="both"/>
        <w:rPr>
          <w:rFonts w:ascii="Verdana" w:hAnsi="Verdana"/>
          <w:sz w:val="22"/>
          <w:szCs w:val="22"/>
        </w:rPr>
      </w:pPr>
      <w:r w:rsidRPr="00DB2DA5">
        <w:rPr>
          <w:rFonts w:ascii="Verdana" w:hAnsi="Verdana"/>
          <w:sz w:val="22"/>
          <w:szCs w:val="22"/>
        </w:rPr>
        <w:t>En efecto, y respondiendo el primer interrogante, el propio Decreto 0287 de 2026 contempla medidas que operan en la contratación directa. La primera es la de compras públicas accesibles del artículo 2.2.1.2.4.2.7.1 del Decreto 1082 de 2015, cuya finalidad es que toda compra de bienes, obras o servicios que realicen los entes del Estado en general,</w:t>
      </w:r>
      <w:r w:rsidR="00C036C1" w:rsidRPr="00DB2DA5">
        <w:rPr>
          <w:rFonts w:ascii="Verdana" w:hAnsi="Verdana"/>
          <w:sz w:val="22"/>
          <w:szCs w:val="22"/>
        </w:rPr>
        <w:t xml:space="preserve"> lo que incluye</w:t>
      </w:r>
      <w:r w:rsidRPr="00DB2DA5">
        <w:rPr>
          <w:rFonts w:ascii="Verdana" w:hAnsi="Verdana"/>
          <w:sz w:val="22"/>
          <w:szCs w:val="22"/>
        </w:rPr>
        <w:t xml:space="preserve"> los regidos por el Estatuto General de Contratación de la Administración Pública </w:t>
      </w:r>
      <w:r w:rsidR="00C036C1" w:rsidRPr="00DB2DA5">
        <w:rPr>
          <w:rFonts w:ascii="Verdana" w:hAnsi="Verdana"/>
          <w:sz w:val="22"/>
          <w:szCs w:val="22"/>
        </w:rPr>
        <w:t>y los regidos</w:t>
      </w:r>
      <w:r w:rsidRPr="00DB2DA5">
        <w:rPr>
          <w:rFonts w:ascii="Verdana" w:hAnsi="Verdana"/>
          <w:sz w:val="22"/>
          <w:szCs w:val="22"/>
        </w:rPr>
        <w:t xml:space="preserve"> por régimen especial, y en particular los patrimonios autónomos constituidos por entidades estatales y los particulares que ejecuten recursos públicos, incorpore criterios de accesibilidad en todas las modalidades de selección</w:t>
      </w:r>
      <w:r w:rsidRPr="00DB2DA5">
        <w:rPr>
          <w:rStyle w:val="Refdenotaalpie"/>
          <w:rFonts w:ascii="Verdana" w:hAnsi="Verdana"/>
          <w:sz w:val="22"/>
          <w:szCs w:val="22"/>
        </w:rPr>
        <w:footnoteReference w:id="2"/>
      </w:r>
      <w:r w:rsidRPr="00DB2DA5">
        <w:rPr>
          <w:rFonts w:ascii="Verdana" w:hAnsi="Verdana"/>
          <w:sz w:val="22"/>
          <w:szCs w:val="22"/>
        </w:rPr>
        <w:t>. Estos criterios se traducen en exigencias técnicas del bien, obra o servicio, de manera que su vehículo natural es la definición del objeto y no la evaluación de ofertas; por ello su aplicación en la contratación directa no ofrece dificultad conceptual alguna.</w:t>
      </w:r>
    </w:p>
    <w:p w14:paraId="046FA5D5" w14:textId="77777777" w:rsidR="00E25D52" w:rsidRPr="00DB2DA5" w:rsidRDefault="00E25D52" w:rsidP="00A355E9">
      <w:pPr>
        <w:widowControl w:val="0"/>
        <w:autoSpaceDE w:val="0"/>
        <w:autoSpaceDN w:val="0"/>
        <w:spacing w:after="120" w:line="276" w:lineRule="auto"/>
        <w:ind w:firstLine="708"/>
        <w:jc w:val="both"/>
        <w:rPr>
          <w:rFonts w:ascii="Verdana" w:hAnsi="Verdana"/>
          <w:sz w:val="22"/>
          <w:szCs w:val="22"/>
        </w:rPr>
      </w:pPr>
      <w:r w:rsidRPr="00DB2DA5">
        <w:rPr>
          <w:rFonts w:ascii="Verdana" w:hAnsi="Verdana"/>
          <w:sz w:val="22"/>
          <w:szCs w:val="22"/>
        </w:rPr>
        <w:t xml:space="preserve">La segunda es la de condiciones especiales de ejecución del artículo 2.2.1.2.4.2.7.5, aplicable a las entidades regidas por la Ley 80 de 1993 en todas las modalidades de selección. Esta medida se concreta en dos opciones —la subcontratación inclusiva, conforme a la cual el contratista, cuando requiera subcontratar, prioriza a personas naturales con discapacidad o a emprendimientos y empresas de </w:t>
      </w:r>
      <w:proofErr w:type="spellStart"/>
      <w:r w:rsidRPr="00DB2DA5">
        <w:rPr>
          <w:rFonts w:ascii="Verdana" w:hAnsi="Verdana"/>
          <w:sz w:val="22"/>
          <w:szCs w:val="22"/>
        </w:rPr>
        <w:t>PcD</w:t>
      </w:r>
      <w:proofErr w:type="spellEnd"/>
      <w:r w:rsidRPr="00DB2DA5">
        <w:rPr>
          <w:rFonts w:ascii="Verdana" w:hAnsi="Verdana"/>
          <w:sz w:val="22"/>
          <w:szCs w:val="22"/>
        </w:rPr>
        <w:t>; y la integración del equipo de trabajo, que prioriza la vinculación de personas naturales con discapacidad, de las cuales debe incorporarse al menos una como obligación contractual en la minuta que hace parte de los documentos del proceso, cuyo cumplimiento verifican el supervisor o el interventor durante la ejecución. Se trata, entonces, de criterios que operan como obligaciones del contrato y no como factores de comparación, lo que explica su procedencia en la contratación directa.</w:t>
      </w:r>
    </w:p>
    <w:p w14:paraId="4A399B78" w14:textId="77777777" w:rsidR="00E25D52" w:rsidRPr="00DB2DA5" w:rsidRDefault="00E25D52" w:rsidP="00A95FBF">
      <w:pPr>
        <w:widowControl w:val="0"/>
        <w:autoSpaceDE w:val="0"/>
        <w:autoSpaceDN w:val="0"/>
        <w:spacing w:after="120" w:line="276" w:lineRule="auto"/>
        <w:ind w:firstLine="708"/>
        <w:jc w:val="both"/>
        <w:rPr>
          <w:rFonts w:ascii="Verdana" w:hAnsi="Verdana"/>
          <w:sz w:val="22"/>
          <w:szCs w:val="22"/>
        </w:rPr>
      </w:pPr>
      <w:r w:rsidRPr="00DB2DA5">
        <w:rPr>
          <w:rFonts w:ascii="Verdana" w:hAnsi="Verdana"/>
          <w:sz w:val="22"/>
          <w:szCs w:val="22"/>
        </w:rPr>
        <w:t xml:space="preserve">A ello se agrega una tercera medida que confirma la conclusión: la </w:t>
      </w:r>
      <w:r w:rsidRPr="00DB2DA5">
        <w:rPr>
          <w:rFonts w:ascii="Verdana" w:hAnsi="Verdana"/>
          <w:sz w:val="22"/>
          <w:szCs w:val="22"/>
        </w:rPr>
        <w:lastRenderedPageBreak/>
        <w:t xml:space="preserve">inclusión de </w:t>
      </w:r>
      <w:proofErr w:type="spellStart"/>
      <w:r w:rsidRPr="00DB2DA5">
        <w:rPr>
          <w:rFonts w:ascii="Verdana" w:hAnsi="Verdana"/>
          <w:sz w:val="22"/>
          <w:szCs w:val="22"/>
        </w:rPr>
        <w:t>PcD</w:t>
      </w:r>
      <w:proofErr w:type="spellEnd"/>
      <w:r w:rsidRPr="00DB2DA5">
        <w:rPr>
          <w:rFonts w:ascii="Verdana" w:hAnsi="Verdana"/>
          <w:sz w:val="22"/>
          <w:szCs w:val="22"/>
        </w:rPr>
        <w:t xml:space="preserve"> a través de contratos de prestación de servicios profesionales y de apoyo a la gestión, prevista en el artículo 2.2.1.2.4.2.7.6, cuya modalidad es justamente la contratación directa. Conviene precisar que esta medida no es de carácter obligatorio para las entidades regidas por la Ley 80 de 1993, pues la norma dispone que deben propender por realizar esa contratación, lo que supone desplegar los esfuerzos necesarios para posibilitarla de manera progresiva, sin que ello sea imperativo; y que no modifica la naturaleza civil del contrato de prestación de servicios ni exonera a la entidad de verificar la idoneidad, la experiencia y las condiciones exigidas al contratista.</w:t>
      </w:r>
    </w:p>
    <w:p w14:paraId="567643C2" w14:textId="699C5E7D" w:rsidR="00E25D52" w:rsidRPr="00DB2DA5" w:rsidRDefault="00E25D52" w:rsidP="00A95FBF">
      <w:pPr>
        <w:widowControl w:val="0"/>
        <w:autoSpaceDE w:val="0"/>
        <w:autoSpaceDN w:val="0"/>
        <w:spacing w:line="276" w:lineRule="auto"/>
        <w:ind w:firstLine="708"/>
        <w:jc w:val="both"/>
        <w:rPr>
          <w:rFonts w:ascii="Verdana" w:hAnsi="Verdana"/>
          <w:sz w:val="22"/>
          <w:szCs w:val="22"/>
        </w:rPr>
      </w:pPr>
      <w:r w:rsidRPr="00DB2DA5">
        <w:rPr>
          <w:rFonts w:ascii="Verdana" w:hAnsi="Verdana"/>
          <w:sz w:val="22"/>
          <w:szCs w:val="22"/>
        </w:rPr>
        <w:t xml:space="preserve">En cuanto a los requisitos habilitantes, es preciso un matiz. Los criterios habilitantes diferenciales del artículo 2.2.1.2.4.2.7.3 consisten en morigerar las exigencias de experiencia, capacidad financiera, capacidad organizacional o el valor de la garantía de seriedad de la oferta en favor de los emprendimientos y empresas de </w:t>
      </w:r>
      <w:proofErr w:type="spellStart"/>
      <w:r w:rsidRPr="00DB2DA5">
        <w:rPr>
          <w:rFonts w:ascii="Verdana" w:hAnsi="Verdana"/>
          <w:sz w:val="22"/>
          <w:szCs w:val="22"/>
        </w:rPr>
        <w:t>PcD</w:t>
      </w:r>
      <w:proofErr w:type="spellEnd"/>
      <w:r w:rsidRPr="00DB2DA5">
        <w:rPr>
          <w:rFonts w:ascii="Verdana" w:hAnsi="Verdana"/>
          <w:sz w:val="22"/>
          <w:szCs w:val="22"/>
        </w:rPr>
        <w:t>, de modo que su sentido es comparativo y por ello la norma los excluye de la contratación directa y de la mínima cuantía. Ahora bien, esa exclusión no suprime el deber de la entidad de verificar la capacidad y la idoneidad de quien será su contratista, ni le impide definir las exigencias técnicas que el objeto demande; de manera que, por esta última vía, criterios de accesibilidad, sostenibilidad o inclusión pueden y deben incorporarse cuando el objeto lo requiera, siempre que guarden relación directa con este y respeten los principios de proporcionalidad y de selección objetiva, que rigen también en la contratación directa.</w:t>
      </w:r>
    </w:p>
    <w:p w14:paraId="1D5BBA2F" w14:textId="77777777" w:rsidR="00622AC2" w:rsidRDefault="00622AC2" w:rsidP="00DB2DA5">
      <w:pPr>
        <w:widowControl w:val="0"/>
        <w:autoSpaceDE w:val="0"/>
        <w:autoSpaceDN w:val="0"/>
        <w:spacing w:line="276" w:lineRule="auto"/>
        <w:jc w:val="both"/>
        <w:rPr>
          <w:rFonts w:ascii="Verdana" w:hAnsi="Verdana"/>
          <w:sz w:val="22"/>
          <w:szCs w:val="22"/>
          <w:highlight w:val="yellow"/>
        </w:rPr>
      </w:pPr>
    </w:p>
    <w:p w14:paraId="2557DDB3" w14:textId="179FB747" w:rsidR="00D87FE0" w:rsidRPr="00741C4A" w:rsidRDefault="00622AC2" w:rsidP="00DB2DA5">
      <w:pPr>
        <w:widowControl w:val="0"/>
        <w:autoSpaceDE w:val="0"/>
        <w:autoSpaceDN w:val="0"/>
        <w:spacing w:after="120" w:line="276" w:lineRule="auto"/>
        <w:jc w:val="both"/>
        <w:rPr>
          <w:rFonts w:ascii="Verdana" w:hAnsi="Verdana"/>
          <w:sz w:val="22"/>
          <w:szCs w:val="22"/>
        </w:rPr>
      </w:pPr>
      <w:r w:rsidRPr="00A77489">
        <w:rPr>
          <w:rFonts w:ascii="Verdana" w:hAnsi="Verdana"/>
          <w:b/>
          <w:bCs/>
          <w:sz w:val="22"/>
          <w:szCs w:val="22"/>
        </w:rPr>
        <w:t>(ii)</w:t>
      </w:r>
      <w:r w:rsidRPr="00A77489">
        <w:rPr>
          <w:rFonts w:ascii="Verdana" w:hAnsi="Verdana"/>
          <w:sz w:val="22"/>
          <w:szCs w:val="22"/>
        </w:rPr>
        <w:t xml:space="preserve"> </w:t>
      </w:r>
      <w:r w:rsidR="00D87FE0" w:rsidRPr="00741C4A">
        <w:rPr>
          <w:rFonts w:ascii="Verdana" w:hAnsi="Verdana"/>
          <w:sz w:val="22"/>
          <w:szCs w:val="22"/>
        </w:rPr>
        <w:t xml:space="preserve">Ahora bien, la inclusión de criterios ambientales y sociales en </w:t>
      </w:r>
      <w:proofErr w:type="gramStart"/>
      <w:r w:rsidR="00D87FE0" w:rsidRPr="00741C4A">
        <w:rPr>
          <w:rFonts w:ascii="Verdana" w:hAnsi="Verdana"/>
          <w:sz w:val="22"/>
          <w:szCs w:val="22"/>
        </w:rPr>
        <w:t>las contratación estatal</w:t>
      </w:r>
      <w:proofErr w:type="gramEnd"/>
      <w:r w:rsidR="00D87FE0" w:rsidRPr="00741C4A">
        <w:rPr>
          <w:rFonts w:ascii="Verdana" w:hAnsi="Verdana"/>
          <w:sz w:val="22"/>
          <w:szCs w:val="22"/>
        </w:rPr>
        <w:t xml:space="preserve"> se robusteció con el Decreto 0997 del 4 de agosto de 2026, que modificó y adicionó el Decreto 1082 de 2015 en lo relacionado con la</w:t>
      </w:r>
      <w:r w:rsidR="00797D22" w:rsidRPr="00741C4A">
        <w:rPr>
          <w:rFonts w:ascii="Verdana" w:hAnsi="Verdana"/>
          <w:sz w:val="22"/>
          <w:szCs w:val="22"/>
        </w:rPr>
        <w:t>s</w:t>
      </w:r>
      <w:r w:rsidR="00D87FE0" w:rsidRPr="00741C4A">
        <w:rPr>
          <w:rFonts w:ascii="Verdana" w:hAnsi="Verdana"/>
          <w:sz w:val="22"/>
          <w:szCs w:val="22"/>
        </w:rPr>
        <w:t xml:space="preserve"> Compra</w:t>
      </w:r>
      <w:r w:rsidR="00797D22" w:rsidRPr="00741C4A">
        <w:rPr>
          <w:rFonts w:ascii="Verdana" w:hAnsi="Verdana"/>
          <w:sz w:val="22"/>
          <w:szCs w:val="22"/>
        </w:rPr>
        <w:t>s</w:t>
      </w:r>
      <w:r w:rsidR="00D87FE0" w:rsidRPr="00741C4A">
        <w:rPr>
          <w:rFonts w:ascii="Verdana" w:hAnsi="Verdana"/>
          <w:sz w:val="22"/>
          <w:szCs w:val="22"/>
        </w:rPr>
        <w:t xml:space="preserve"> Pública</w:t>
      </w:r>
      <w:r w:rsidR="00797D22" w:rsidRPr="00741C4A">
        <w:rPr>
          <w:rFonts w:ascii="Verdana" w:hAnsi="Verdana"/>
          <w:sz w:val="22"/>
          <w:szCs w:val="22"/>
        </w:rPr>
        <w:t>s</w:t>
      </w:r>
      <w:r w:rsidR="00D87FE0" w:rsidRPr="00741C4A">
        <w:rPr>
          <w:rFonts w:ascii="Verdana" w:hAnsi="Verdana"/>
          <w:sz w:val="22"/>
          <w:szCs w:val="22"/>
        </w:rPr>
        <w:t xml:space="preserve"> Sostenible</w:t>
      </w:r>
      <w:r w:rsidR="00797D22" w:rsidRPr="00741C4A">
        <w:rPr>
          <w:rFonts w:ascii="Verdana" w:hAnsi="Verdana"/>
          <w:sz w:val="22"/>
          <w:szCs w:val="22"/>
        </w:rPr>
        <w:t>s</w:t>
      </w:r>
      <w:r w:rsidR="00D87FE0" w:rsidRPr="00741C4A">
        <w:rPr>
          <w:rFonts w:ascii="Verdana" w:hAnsi="Verdana"/>
          <w:sz w:val="22"/>
          <w:szCs w:val="22"/>
        </w:rPr>
        <w:t xml:space="preserve">, entre otras materias. Para efectos de su consulta interesa destacar cuatro de sus disposiciones. </w:t>
      </w:r>
      <w:r w:rsidR="00797D22" w:rsidRPr="00741C4A">
        <w:rPr>
          <w:rFonts w:ascii="Verdana" w:hAnsi="Verdana"/>
          <w:sz w:val="22"/>
          <w:szCs w:val="22"/>
        </w:rPr>
        <w:t xml:space="preserve">El artículo 1 adicionó el artículo 2.2.1.1.1.4.5, conforme al cual las entidades deben elaborar el Plan Anual de Adquisiciones realizando una planeación estratégica y adoptar Programas Institucionales de Compra Pública Sostenible, considerando los impactos asociados a las distintas etapas del Ciclo de Vida. </w:t>
      </w:r>
      <w:r w:rsidR="00D87FE0" w:rsidRPr="00741C4A">
        <w:rPr>
          <w:rFonts w:ascii="Verdana" w:hAnsi="Verdana"/>
          <w:sz w:val="22"/>
          <w:szCs w:val="22"/>
        </w:rPr>
        <w:t xml:space="preserve">El artículo 7 modificó el artículo 2.2.1.1.2.1.1 del Decreto 1082 de 2015 e incorporó, dentro del contenido de los estudios y documentos previos, el análisis de los impactos económicos, sociales y ambientales, directos e indirectos, asociados a cada etapa del Ciclo de Vida del bien, obra o servicio a contratar, así como el análisis e identificación de las </w:t>
      </w:r>
      <w:r w:rsidR="00D87FE0" w:rsidRPr="00741C4A">
        <w:rPr>
          <w:rFonts w:ascii="Verdana" w:hAnsi="Verdana"/>
          <w:sz w:val="22"/>
          <w:szCs w:val="22"/>
        </w:rPr>
        <w:lastRenderedPageBreak/>
        <w:t>alternativas que promuevan la sostenibilidad. El artículo 8 modificó el artículo 2.2.1.1.2.1.3 y precisó que los pliegos de condiciones deben contener los criterios de selección, incluyendo los criterios ambientales y sociales que sean procedentes, los factores de desempate y los incentivos cuando a ello haya lugar. Y el artículo 11 adicionó el artículo 2.2.1.1.2.2.10, sobre verificación de listas internacionales, que impone a las entidades dejar constancia de dichas consultas en los Documentos del Proceso.</w:t>
      </w:r>
    </w:p>
    <w:p w14:paraId="36E0D187" w14:textId="77777777" w:rsidR="00D87FE0" w:rsidRPr="00741C4A" w:rsidRDefault="00D87FE0" w:rsidP="00622AC2">
      <w:pPr>
        <w:widowControl w:val="0"/>
        <w:autoSpaceDE w:val="0"/>
        <w:autoSpaceDN w:val="0"/>
        <w:spacing w:after="120" w:line="276" w:lineRule="auto"/>
        <w:ind w:firstLine="708"/>
        <w:jc w:val="both"/>
        <w:rPr>
          <w:rFonts w:ascii="Verdana" w:hAnsi="Verdana"/>
          <w:sz w:val="22"/>
          <w:szCs w:val="22"/>
        </w:rPr>
      </w:pPr>
      <w:r w:rsidRPr="00741C4A">
        <w:rPr>
          <w:rFonts w:ascii="Verdana" w:hAnsi="Verdana"/>
          <w:sz w:val="22"/>
          <w:szCs w:val="22"/>
        </w:rPr>
        <w:t>Trasladadas estas disposiciones a la modalidad por la que usted consulta, la conclusión es coherente con lo expuesto. Las exigencias que se expresan en los estudios y documentos previos resultan aplicables a la contratación directa, pues, como ya se indicó, el artículo 2.2.1.1.2.1.1 rige en todas las modalidades con la sola salvedad de la mínima cuantía; de manera que el análisis de los impactos del Ciclo de Vida y la identificación de alternativas sostenibles deben efectuarse también cuando la entidad contrata directamente. Lo propio ocurre con la constancia de verificación de listas internacionales, que debe obrar en los Documentos del Proceso cualquiera sea la modalidad. En cambio, el artículo 8 se refiere al contenido de los pliegos de condiciones, documento que no se expide en la contratación directa, y el artículo 9, que modificó el artículo 2.2.1.1.2.2.2 sobre el ofrecimiento más favorable, opera como factor de evaluación y presupone comparación de ofertas, razón por la cual tampoco tiene cabida en esa modalidad. Se confirma así el criterio de distinción expuesto: lo que se manifiesta en la planeación, en la definición del objeto o en las obligaciones del contrato opera en la contratación directa; lo que se manifiesta como ponderación, no.</w:t>
      </w:r>
    </w:p>
    <w:p w14:paraId="39D46EDC" w14:textId="39F9BB31" w:rsidR="00797D22" w:rsidRPr="00DB2DA5" w:rsidRDefault="00D87FE0" w:rsidP="00DB2DA5">
      <w:pPr>
        <w:widowControl w:val="0"/>
        <w:autoSpaceDE w:val="0"/>
        <w:autoSpaceDN w:val="0"/>
        <w:spacing w:after="120" w:line="276" w:lineRule="auto"/>
        <w:ind w:firstLine="708"/>
        <w:jc w:val="both"/>
        <w:rPr>
          <w:rFonts w:ascii="Verdana" w:hAnsi="Verdana"/>
          <w:sz w:val="22"/>
          <w:szCs w:val="22"/>
        </w:rPr>
      </w:pPr>
      <w:r w:rsidRPr="00741C4A">
        <w:rPr>
          <w:rFonts w:ascii="Verdana" w:hAnsi="Verdana"/>
          <w:sz w:val="22"/>
          <w:szCs w:val="22"/>
        </w:rPr>
        <w:t xml:space="preserve">Finalmente, debe atenderse el régimen de vigencia previsto en el artículo 14 del mismo decreto, que no es uniforme. Los artículos 2, 3, 8 y 11 </w:t>
      </w:r>
      <w:proofErr w:type="gramStart"/>
      <w:r w:rsidRPr="00741C4A">
        <w:rPr>
          <w:rFonts w:ascii="Verdana" w:hAnsi="Verdana"/>
          <w:sz w:val="22"/>
          <w:szCs w:val="22"/>
        </w:rPr>
        <w:t>entraron en vigencia</w:t>
      </w:r>
      <w:proofErr w:type="gramEnd"/>
      <w:r w:rsidRPr="00741C4A">
        <w:rPr>
          <w:rFonts w:ascii="Verdana" w:hAnsi="Verdana"/>
          <w:sz w:val="22"/>
          <w:szCs w:val="22"/>
        </w:rPr>
        <w:t xml:space="preserve"> a partir del día siguiente a su publicación en el Diario Oficial, mientras que los artículos 1, 4, 5, 6, 7, 9, 10, 12 y 13 rigen de manera progresiva conforme a un esquema de implementación escalonado en seis (6), nueve (9), doce (12) y quince (15) meses siguientes a la publicación, según la naturaleza y la categoría de la entidad estatal, determinada esta última conforme a la Ley 617 de 2000. Dichas disposiciones se aplican a los procedimientos de selección cuya invitación, aviso de convocatoria o documento equivalente se publique con posterioridad a la </w:t>
      </w:r>
      <w:proofErr w:type="gramStart"/>
      <w:r w:rsidRPr="00741C4A">
        <w:rPr>
          <w:rFonts w:ascii="Verdana" w:hAnsi="Verdana"/>
          <w:sz w:val="22"/>
          <w:szCs w:val="22"/>
        </w:rPr>
        <w:t>entrada en vigencia</w:t>
      </w:r>
      <w:proofErr w:type="gramEnd"/>
      <w:r w:rsidRPr="00741C4A">
        <w:rPr>
          <w:rFonts w:ascii="Verdana" w:hAnsi="Verdana"/>
          <w:sz w:val="22"/>
          <w:szCs w:val="22"/>
        </w:rPr>
        <w:t xml:space="preserve"> de las reglas respectivas, sin perjuicio de que las entidades puedan adoptarlas anticipadamente desde la fecha de publicación, caso en el cual deben hacerlo en su integridad. Además, los </w:t>
      </w:r>
      <w:r w:rsidRPr="00741C4A">
        <w:rPr>
          <w:rFonts w:ascii="Verdana" w:hAnsi="Verdana"/>
          <w:sz w:val="22"/>
          <w:szCs w:val="22"/>
        </w:rPr>
        <w:lastRenderedPageBreak/>
        <w:t>procesos que se rijan por Documentos Tipo continúan aplicando estos instrumentos y las normas anteriores hasta que esta Agencia expida las modificaciones o nuevas versiones a que haya lugar, supuesto en el que no operan las reglas de gradualidad; y las entidades sometidas a regímenes especiales de contratación pueden adoptar sus disposiciones como buena práctica institucional en sus manuales de contratación, en cuanto resulten compatibles con su marco jurídico. Corresponde, por tanto, a cada entidad verificar cuáles disposiciones le resultan exigibles al momento de estructurar el proceso.</w:t>
      </w:r>
    </w:p>
    <w:p w14:paraId="25ADB4F5" w14:textId="72360F38" w:rsidR="00797D22" w:rsidRPr="00DB2DA5" w:rsidRDefault="00797D22" w:rsidP="00A355E9">
      <w:pPr>
        <w:spacing w:after="120" w:line="276" w:lineRule="auto"/>
        <w:ind w:firstLine="709"/>
        <w:jc w:val="both"/>
        <w:rPr>
          <w:rFonts w:ascii="Verdana" w:hAnsi="Verdana" w:cs="Arial"/>
          <w:color w:val="000000" w:themeColor="text1"/>
          <w:sz w:val="22"/>
          <w:szCs w:val="22"/>
          <w:shd w:val="clear" w:color="auto" w:fill="FFFFFF"/>
        </w:rPr>
      </w:pPr>
      <w:r w:rsidRPr="00DB2DA5">
        <w:rPr>
          <w:rFonts w:ascii="Verdana" w:hAnsi="Verdana" w:cs="Arial"/>
          <w:color w:val="000000" w:themeColor="text1"/>
          <w:sz w:val="22"/>
          <w:szCs w:val="22"/>
          <w:lang w:val="es-ES"/>
        </w:rPr>
        <w:t xml:space="preserve">De igual manera, en relación con la incorporación de los criterios sociales y ambientales, </w:t>
      </w:r>
      <w:r w:rsidRPr="00DB2DA5">
        <w:rPr>
          <w:rFonts w:ascii="Verdana" w:hAnsi="Verdana" w:cs="Arial"/>
          <w:sz w:val="22"/>
          <w:szCs w:val="22"/>
        </w:rPr>
        <w:t xml:space="preserve">se expidió el Decreto 142 de 2023, que modificó y adicionó el Decreto 1082 de 2015, para promover el acceso al sistema de Compras Públicas de las </w:t>
      </w:r>
      <w:proofErr w:type="spellStart"/>
      <w:r w:rsidRPr="00DB2DA5">
        <w:rPr>
          <w:rFonts w:ascii="Verdana" w:hAnsi="Verdana" w:cs="Arial"/>
          <w:sz w:val="22"/>
          <w:szCs w:val="22"/>
        </w:rPr>
        <w:t>Mipymes</w:t>
      </w:r>
      <w:proofErr w:type="spellEnd"/>
      <w:r w:rsidRPr="00DB2DA5">
        <w:rPr>
          <w:rFonts w:ascii="Verdana" w:hAnsi="Verdana" w:cs="Arial"/>
          <w:sz w:val="22"/>
          <w:szCs w:val="22"/>
        </w:rPr>
        <w:t xml:space="preserve">, las Cooperativas y demás entidades de la economía solidaria, incorporar criterios sociales y ambientales en los Procesos de Contratación de las Entidades Estatales, y establecer el emprendimiento comunal. Sobre los criterios sociales y ambientales, se indicó en la parte considerativa de dicha norma que </w:t>
      </w:r>
      <w:r w:rsidRPr="00DB2DA5">
        <w:rPr>
          <w:rFonts w:ascii="Verdana" w:hAnsi="Verdana" w:cs="Arial"/>
          <w:color w:val="000000" w:themeColor="text1"/>
          <w:sz w:val="22"/>
          <w:szCs w:val="22"/>
        </w:rPr>
        <w:t>“</w:t>
      </w:r>
      <w:r w:rsidRPr="00DB2DA5">
        <w:rPr>
          <w:rFonts w:ascii="Verdana" w:hAnsi="Verdana" w:cs="Arial"/>
          <w:color w:val="000000" w:themeColor="text1"/>
          <w:sz w:val="22"/>
          <w:szCs w:val="22"/>
          <w:shd w:val="clear" w:color="auto" w:fill="FFFFFF"/>
        </w:rPr>
        <w:t>el sistema de compras y contratación pública tiene una función estratégica para la promoción de objetivos sociales y ambientales, pues representa un porcentaje considerable del gasto público, razón por la cual, se requiere integrar estos criterios a la valoración de la oferta más favorable en función de criterios cualitativos vinculados al objeto del contrato, en los términos establecidos en el literal </w:t>
      </w:r>
      <w:hyperlink r:id="rId12" w:anchor="2.2.1.1.2.2.2.l" w:history="1">
        <w:r w:rsidRPr="00DB2DA5">
          <w:rPr>
            <w:rFonts w:ascii="Verdana" w:hAnsi="Verdana" w:cs="Arial"/>
            <w:color w:val="000000" w:themeColor="text1"/>
            <w:sz w:val="22"/>
            <w:szCs w:val="22"/>
            <w:u w:val="single"/>
            <w:shd w:val="clear" w:color="auto" w:fill="FFFFFF"/>
          </w:rPr>
          <w:t>b)</w:t>
        </w:r>
      </w:hyperlink>
      <w:r w:rsidRPr="00DB2DA5">
        <w:rPr>
          <w:rFonts w:ascii="Verdana" w:hAnsi="Verdana" w:cs="Arial"/>
          <w:color w:val="000000" w:themeColor="text1"/>
          <w:sz w:val="22"/>
          <w:szCs w:val="22"/>
          <w:shd w:val="clear" w:color="auto" w:fill="FFFFFF"/>
        </w:rPr>
        <w:t> del artículo 2.2.1.1.2.2.2. del Decreto 1082 de 2015”. </w:t>
      </w:r>
    </w:p>
    <w:p w14:paraId="1403D5FA" w14:textId="77777777" w:rsidR="00797D22" w:rsidRPr="00DB2DA5" w:rsidRDefault="00797D22" w:rsidP="00A355E9">
      <w:pPr>
        <w:spacing w:after="120" w:line="276" w:lineRule="auto"/>
        <w:ind w:firstLine="709"/>
        <w:jc w:val="both"/>
        <w:rPr>
          <w:rFonts w:ascii="Verdana" w:hAnsi="Verdana" w:cs="Arial"/>
          <w:color w:val="000000" w:themeColor="text1"/>
          <w:sz w:val="22"/>
          <w:szCs w:val="22"/>
          <w:shd w:val="clear" w:color="auto" w:fill="FFFFFF"/>
        </w:rPr>
      </w:pPr>
      <w:r w:rsidRPr="00DB2DA5">
        <w:rPr>
          <w:rFonts w:ascii="Verdana" w:hAnsi="Verdana" w:cs="Arial"/>
          <w:color w:val="000000" w:themeColor="text1"/>
          <w:sz w:val="22"/>
          <w:szCs w:val="22"/>
          <w:shd w:val="clear" w:color="auto" w:fill="FFFFFF"/>
        </w:rPr>
        <w:t xml:space="preserve">En este contexto, el artículo 4 </w:t>
      </w:r>
      <w:r w:rsidRPr="00DB2DA5">
        <w:rPr>
          <w:rFonts w:ascii="Verdana" w:hAnsi="Verdana" w:cs="Arial"/>
          <w:i/>
          <w:color w:val="000000" w:themeColor="text1"/>
          <w:sz w:val="22"/>
          <w:szCs w:val="22"/>
          <w:shd w:val="clear" w:color="auto" w:fill="FFFFFF"/>
        </w:rPr>
        <w:t>ibidem</w:t>
      </w:r>
      <w:r w:rsidRPr="00DB2DA5">
        <w:rPr>
          <w:rFonts w:ascii="Verdana" w:hAnsi="Verdana" w:cs="Arial"/>
          <w:color w:val="000000" w:themeColor="text1"/>
          <w:sz w:val="22"/>
          <w:szCs w:val="22"/>
          <w:shd w:val="clear" w:color="auto" w:fill="FFFFFF"/>
        </w:rPr>
        <w:t xml:space="preserve"> modificó el artículo 2.2.1.1.2.2.2 del Decreto 1082 de 2015 y estableció que los criterios de calidad para evaluar la mejor relación calidad - precio podrán incluir criterios ambientales o sociales vinculados al objeto del contrato</w:t>
      </w:r>
      <w:r w:rsidRPr="00DB2DA5">
        <w:rPr>
          <w:rFonts w:ascii="Verdana" w:hAnsi="Verdana" w:cs="Arial"/>
          <w:color w:val="000000" w:themeColor="text1"/>
          <w:sz w:val="22"/>
          <w:szCs w:val="22"/>
          <w:shd w:val="clear" w:color="auto" w:fill="FFFFFF"/>
          <w:vertAlign w:val="superscript"/>
        </w:rPr>
        <w:footnoteReference w:id="3"/>
      </w:r>
      <w:r w:rsidRPr="00DB2DA5">
        <w:rPr>
          <w:rFonts w:ascii="Verdana" w:hAnsi="Verdana" w:cs="Arial"/>
          <w:color w:val="000000" w:themeColor="text1"/>
          <w:sz w:val="22"/>
          <w:szCs w:val="22"/>
          <w:shd w:val="clear" w:color="auto" w:fill="FFFFFF"/>
        </w:rPr>
        <w:t xml:space="preserve">. Así mismo, el artículo 5 modificó el artículo </w:t>
      </w:r>
      <w:r w:rsidRPr="00DB2DA5">
        <w:rPr>
          <w:rFonts w:ascii="Verdana" w:hAnsi="Verdana" w:cs="Arial"/>
          <w:color w:val="000000" w:themeColor="text1"/>
          <w:sz w:val="22"/>
          <w:szCs w:val="22"/>
          <w:shd w:val="clear" w:color="auto" w:fill="FFFFFF"/>
        </w:rPr>
        <w:lastRenderedPageBreak/>
        <w:t>2.2.1.2.1.5.1 del Decreto 1082 de 2015</w:t>
      </w:r>
      <w:r w:rsidRPr="00DB2DA5">
        <w:rPr>
          <w:rFonts w:ascii="Verdana" w:hAnsi="Verdana" w:cs="Arial"/>
          <w:b/>
          <w:bCs/>
          <w:i/>
          <w:iCs/>
          <w:color w:val="000000" w:themeColor="text1"/>
          <w:sz w:val="22"/>
          <w:szCs w:val="22"/>
          <w:shd w:val="clear" w:color="auto" w:fill="FFFFFF"/>
        </w:rPr>
        <w:t xml:space="preserve"> </w:t>
      </w:r>
      <w:r w:rsidRPr="00DB2DA5">
        <w:rPr>
          <w:rFonts w:ascii="Verdana" w:hAnsi="Verdana" w:cs="Arial"/>
          <w:color w:val="000000" w:themeColor="text1"/>
          <w:sz w:val="22"/>
          <w:szCs w:val="22"/>
          <w:shd w:val="clear" w:color="auto" w:fill="FFFFFF"/>
        </w:rPr>
        <w:t>referente a los estudios previos para la contratación de mínima cuantía, en el que se</w:t>
      </w:r>
      <w:r w:rsidRPr="00DB2DA5">
        <w:rPr>
          <w:rFonts w:ascii="Verdana" w:hAnsi="Verdana" w:cs="Arial"/>
          <w:b/>
          <w:bCs/>
          <w:i/>
          <w:iCs/>
          <w:color w:val="000000" w:themeColor="text1"/>
          <w:sz w:val="22"/>
          <w:szCs w:val="22"/>
          <w:shd w:val="clear" w:color="auto" w:fill="FFFFFF"/>
        </w:rPr>
        <w:t xml:space="preserve"> </w:t>
      </w:r>
      <w:r w:rsidRPr="00DB2DA5">
        <w:rPr>
          <w:rFonts w:ascii="Verdana" w:hAnsi="Verdana" w:cs="Arial"/>
          <w:color w:val="000000" w:themeColor="text1"/>
          <w:sz w:val="22"/>
          <w:szCs w:val="22"/>
          <w:shd w:val="clear" w:color="auto" w:fill="FFFFFF"/>
        </w:rPr>
        <w:t xml:space="preserve">incluye un parágrafo que dispone que dentro de las condiciones técnicas exigidas se podrán incluir aspectos ambientales y sociales. De esta manera, conforme a esta normativa antes expuesta, las entidades podrán incorporar criterios ambientales o sociales relacionados con el objeto del contrato como parte de los criterios de calidad, en los procesos de contratación que aplique, así como en las condiciones técnicas mínimas. </w:t>
      </w:r>
    </w:p>
    <w:p w14:paraId="6446F2FC" w14:textId="1E6C3A69" w:rsidR="00797D22" w:rsidRPr="00DB2DA5" w:rsidRDefault="00797D22" w:rsidP="00622AC2">
      <w:pPr>
        <w:spacing w:after="120" w:line="276" w:lineRule="auto"/>
        <w:ind w:firstLine="709"/>
        <w:jc w:val="both"/>
        <w:rPr>
          <w:rFonts w:ascii="Verdana" w:hAnsi="Verdana"/>
          <w:sz w:val="22"/>
          <w:szCs w:val="22"/>
        </w:rPr>
      </w:pPr>
      <w:r w:rsidRPr="00DB2DA5">
        <w:rPr>
          <w:rFonts w:ascii="Verdana" w:hAnsi="Verdana" w:cs="Arial"/>
          <w:color w:val="000000" w:themeColor="text1"/>
          <w:sz w:val="22"/>
          <w:szCs w:val="22"/>
        </w:rPr>
        <w:t>En desarrollo de lo anterior</w:t>
      </w:r>
      <w:r w:rsidRPr="00DB2DA5">
        <w:rPr>
          <w:rFonts w:ascii="Verdana" w:hAnsi="Verdana" w:cs="Arial"/>
          <w:color w:val="000000" w:themeColor="text1"/>
          <w:sz w:val="22"/>
          <w:szCs w:val="22"/>
          <w:lang w:val="es-ES"/>
        </w:rPr>
        <w:t xml:space="preserve">, la Agencia Nacional de Contratación Pública – Colombia Compra Eficiente y </w:t>
      </w:r>
      <w:r w:rsidRPr="00DB2DA5">
        <w:rPr>
          <w:rFonts w:ascii="Verdana" w:hAnsi="Verdana" w:cs="Arial"/>
          <w:color w:val="000000" w:themeColor="text1"/>
          <w:sz w:val="22"/>
          <w:szCs w:val="22"/>
        </w:rPr>
        <w:t>el Ministerio de Ambiente y Desarrollo Sostenible</w:t>
      </w:r>
      <w:r w:rsidRPr="00DB2DA5">
        <w:rPr>
          <w:rFonts w:ascii="Verdana" w:hAnsi="Verdana"/>
          <w:sz w:val="22"/>
          <w:szCs w:val="22"/>
        </w:rPr>
        <w:t xml:space="preserve"> adoptaron en conjunto la “Guía de Contratación Pública Sostenible y Socialmente Responsable”</w:t>
      </w:r>
      <w:r w:rsidR="00EA3A4F" w:rsidRPr="00DB2DA5">
        <w:rPr>
          <w:rStyle w:val="Refdenotaalpie"/>
          <w:rFonts w:ascii="Verdana" w:hAnsi="Verdana"/>
          <w:sz w:val="22"/>
          <w:szCs w:val="22"/>
        </w:rPr>
        <w:footnoteReference w:id="4"/>
      </w:r>
      <w:r w:rsidRPr="00DB2DA5">
        <w:rPr>
          <w:rFonts w:ascii="Verdana" w:hAnsi="Verdana"/>
          <w:sz w:val="22"/>
          <w:szCs w:val="22"/>
        </w:rPr>
        <w:t>, con el objetivo de brindar a los partícipes del sistema de compra pública directrices para la implementación de cláusulas ambientales y sociales en su gestión contractual. Mediante esta Guía se establecen lineamientos que constituyen un instrumento de buenas prácticas para garantizar la consecución de Objetivos de Desarrollo Sostenible en el ámbito de la contratación estatal, mediante la implementación de criterios y obligaciones ambientales y sociales en todas las etapas del Proceso de Contratación.</w:t>
      </w:r>
    </w:p>
    <w:p w14:paraId="56CA239F" w14:textId="41FA0F4C" w:rsidR="00797D22" w:rsidRPr="00DB2DA5" w:rsidRDefault="00797D22" w:rsidP="00622AC2">
      <w:pPr>
        <w:spacing w:after="120" w:line="276" w:lineRule="auto"/>
        <w:ind w:firstLine="709"/>
        <w:jc w:val="both"/>
        <w:rPr>
          <w:rFonts w:ascii="Verdana" w:hAnsi="Verdana"/>
          <w:sz w:val="22"/>
          <w:szCs w:val="22"/>
        </w:rPr>
      </w:pPr>
      <w:r w:rsidRPr="00DB2DA5">
        <w:rPr>
          <w:rFonts w:ascii="Verdana" w:hAnsi="Verdana"/>
          <w:sz w:val="22"/>
          <w:szCs w:val="22"/>
        </w:rPr>
        <w:t xml:space="preserve">Particularmente, sobre la fase correspondiente a la determinación de las especificaciones técnicas mínimas, el numeral 5.2.5 de la Guía indica que estas especificaciones constituyen requisitos mínimos que se les exigirán a los </w:t>
      </w:r>
      <w:r w:rsidRPr="00DB2DA5">
        <w:rPr>
          <w:rFonts w:ascii="Verdana" w:hAnsi="Verdana"/>
          <w:sz w:val="22"/>
          <w:szCs w:val="22"/>
        </w:rPr>
        <w:lastRenderedPageBreak/>
        <w:t xml:space="preserve">contratistas, los cuales deben estar relacionados con las características específicas del bien, obra o servicio que se comprará, no con las características del proveedor. </w:t>
      </w:r>
      <w:r w:rsidRPr="00DB2DA5">
        <w:rPr>
          <w:rFonts w:ascii="Verdana" w:hAnsi="Verdana" w:cs="Arial"/>
          <w:color w:val="000000" w:themeColor="text1"/>
          <w:sz w:val="22"/>
          <w:szCs w:val="22"/>
        </w:rPr>
        <w:t>Para la definición de las especificaciones técnicas de tipo ambiental y social, las entidades deberán proporcionar a los proveedores acceso en condiciones de igualdad al procedimiento de contratación y asegurarse de que la mayoría de los potenciales proveedores puedan cumplir las especificaciones técnicas incluidas, con el fin de que reciban suficientes ofertas y no comprometer la selección de la oferta que represente la mejor relación calidad-precio, de acuerdo con sus características y desempeño ambiental.</w:t>
      </w:r>
    </w:p>
    <w:p w14:paraId="23C57B28" w14:textId="77777777" w:rsidR="00797D22" w:rsidRPr="00DB2DA5" w:rsidRDefault="00797D22" w:rsidP="00622AC2">
      <w:pPr>
        <w:spacing w:after="120" w:line="276" w:lineRule="auto"/>
        <w:ind w:firstLine="709"/>
        <w:jc w:val="both"/>
        <w:rPr>
          <w:rFonts w:ascii="Verdana" w:hAnsi="Verdana" w:cs="Arial"/>
          <w:bCs/>
          <w:color w:val="000000" w:themeColor="text1"/>
          <w:sz w:val="22"/>
          <w:szCs w:val="22"/>
        </w:rPr>
      </w:pPr>
      <w:r w:rsidRPr="00DB2DA5">
        <w:rPr>
          <w:rFonts w:ascii="Verdana" w:hAnsi="Verdana" w:cs="Arial"/>
          <w:color w:val="000000" w:themeColor="text1"/>
          <w:sz w:val="22"/>
          <w:szCs w:val="22"/>
        </w:rPr>
        <w:t xml:space="preserve">En este sentido, </w:t>
      </w:r>
      <w:r w:rsidRPr="00DB2DA5">
        <w:rPr>
          <w:rFonts w:ascii="Verdana" w:hAnsi="Verdana" w:cs="Arial"/>
          <w:bCs/>
          <w:color w:val="000000" w:themeColor="text1"/>
          <w:sz w:val="22"/>
          <w:szCs w:val="22"/>
        </w:rPr>
        <w:t xml:space="preserve">según lo señala la Guía, se pueden establecer criterios de sostenibilidad ambiental y social de carácter habilitante en las especificaciones técnicas a exigir en un Proceso de Contratación. Sin embargo, se precisa que </w:t>
      </w:r>
      <w:r w:rsidRPr="00DB2DA5">
        <w:rPr>
          <w:rFonts w:ascii="Verdana" w:hAnsi="Verdana" w:cs="Arial"/>
          <w:color w:val="000000" w:themeColor="text1"/>
          <w:sz w:val="22"/>
          <w:szCs w:val="22"/>
        </w:rPr>
        <w:t xml:space="preserve">los criterios que se determinen por parte de la entidad deberán guardar relación con el objeto del contrato y encontrarse acorde con las condiciones del mercado, de tal suerte que solo se podrán incorporar criterios que tengan conexión con la necesidad, con el bien o servicio a adquirir y que asegure la pluralidad de oferentes. </w:t>
      </w:r>
      <w:r w:rsidRPr="00DB2DA5">
        <w:rPr>
          <w:rFonts w:ascii="Verdana" w:hAnsi="Verdana"/>
          <w:sz w:val="22"/>
          <w:szCs w:val="22"/>
        </w:rPr>
        <w:t>Además, la incorporación de criterios ambientales y sociales debe estar acompañada de una justificación adecuada y suficiente en los documentos del proceso.</w:t>
      </w:r>
    </w:p>
    <w:p w14:paraId="6A1272B0" w14:textId="77777777" w:rsidR="00797D22" w:rsidRPr="00DB2DA5" w:rsidRDefault="00797D22" w:rsidP="00A95FBF">
      <w:pPr>
        <w:spacing w:after="120" w:line="276" w:lineRule="auto"/>
        <w:ind w:firstLine="709"/>
        <w:jc w:val="both"/>
        <w:rPr>
          <w:rFonts w:ascii="Verdana" w:hAnsi="Verdana" w:cs="Arial"/>
          <w:color w:val="000000" w:themeColor="text1"/>
          <w:sz w:val="22"/>
          <w:szCs w:val="22"/>
          <w:lang w:val="es-ES"/>
        </w:rPr>
      </w:pPr>
      <w:r w:rsidRPr="00DB2DA5">
        <w:rPr>
          <w:rFonts w:ascii="Verdana" w:hAnsi="Verdana" w:cs="Arial"/>
          <w:color w:val="000000" w:themeColor="text1"/>
          <w:sz w:val="22"/>
          <w:szCs w:val="22"/>
          <w:lang w:val="es-ES"/>
        </w:rPr>
        <w:t>Lo anterior resulta de especial importancia, pues para la determinación de las especificaciones técnicas de tipo ambiental o social la entidad deberá tener en cuenta todos aquellos aspectos que tengan conexión con el objeto, la necesidad y el bien o servicio que pretende suplir, así como lo determinado en el análisis del sector. No obstante, se resalta que la identificación de dichos criterios no podrá omitir la aplicación de los criterios obligatorios de acuerdo con la normativa. Adicionalmente, su determinación deberá ser adecuada, proporcional y pertinente, desprovista de cualquier carácter discriminatorio que afecte la libre competencia y el principio de igualdad</w:t>
      </w:r>
    </w:p>
    <w:p w14:paraId="60C6BCE0" w14:textId="3129B7DE" w:rsidR="00797D22" w:rsidRPr="00DB2DA5" w:rsidRDefault="00797D22" w:rsidP="00A95FBF">
      <w:pPr>
        <w:spacing w:after="120" w:line="276" w:lineRule="auto"/>
        <w:ind w:firstLine="709"/>
        <w:jc w:val="both"/>
        <w:rPr>
          <w:rFonts w:ascii="Verdana" w:hAnsi="Verdana" w:cs="Arial"/>
          <w:color w:val="000000" w:themeColor="text1"/>
          <w:sz w:val="22"/>
          <w:szCs w:val="22"/>
          <w:lang w:val="es-ES"/>
        </w:rPr>
      </w:pPr>
      <w:r w:rsidRPr="00DB2DA5">
        <w:rPr>
          <w:rFonts w:ascii="Verdana" w:hAnsi="Verdana" w:cs="Arial"/>
          <w:color w:val="000000" w:themeColor="text1"/>
          <w:sz w:val="22"/>
          <w:szCs w:val="22"/>
          <w:lang w:val="es-ES"/>
        </w:rPr>
        <w:t xml:space="preserve">En este contexto, la inclusión de los criterios sociales y ambientales como parte de los requisitos mínimos técnicos en cada Proceso de Contratación dependerá de la identificación de la necesidad, de acuerdo con las particularidades propias de cada proyecto. En este sentido, no se restringe para una modalidad de contratación o una tipología contractual específica, en la medida en que la determinación de la incorporación de dichos criterios deberá obedecer al análisis que realice la entidad, de manera que podrá ser empleada </w:t>
      </w:r>
      <w:r w:rsidRPr="00DB2DA5">
        <w:rPr>
          <w:rFonts w:ascii="Verdana" w:hAnsi="Verdana" w:cs="Arial"/>
          <w:color w:val="000000" w:themeColor="text1"/>
          <w:sz w:val="22"/>
          <w:szCs w:val="22"/>
          <w:lang w:val="es-ES"/>
        </w:rPr>
        <w:lastRenderedPageBreak/>
        <w:t xml:space="preserve">en cualquiera de ellas. Por tanto, independientemente de la modalidad contractual a adelantar o el tipo de contrato a ejecutar lo importante es que la entidad analice las necesidades que pretende satisfacer, los posibles impactos medio ambientales y sociales del contrato, las condiciones del mercado y demás aspectos necesarios y, con base en esta información, identifique los criterios de sostenibilidad que puedan ser incorporados a los Procesos de Contratación. </w:t>
      </w:r>
    </w:p>
    <w:p w14:paraId="287F90A6" w14:textId="389CB937" w:rsidR="00EA3A4F" w:rsidRPr="00DB2DA5" w:rsidRDefault="00EA3A4F" w:rsidP="00DB2DA5">
      <w:pPr>
        <w:spacing w:after="120" w:line="276" w:lineRule="auto"/>
        <w:ind w:firstLine="708"/>
        <w:jc w:val="both"/>
        <w:rPr>
          <w:rFonts w:ascii="Verdana" w:hAnsi="Verdana" w:cs="Segoe UI"/>
          <w:sz w:val="22"/>
          <w:szCs w:val="22"/>
        </w:rPr>
      </w:pPr>
      <w:r w:rsidRPr="00DB2DA5">
        <w:rPr>
          <w:rFonts w:ascii="Verdana" w:hAnsi="Verdana" w:cs="Arial"/>
          <w:color w:val="000000" w:themeColor="text1"/>
          <w:sz w:val="22"/>
          <w:szCs w:val="22"/>
          <w:lang w:val="es-ES"/>
        </w:rPr>
        <w:t xml:space="preserve">Respecto de la contratación directa la Guía señala </w:t>
      </w:r>
      <w:proofErr w:type="gramStart"/>
      <w:r w:rsidRPr="00DB2DA5">
        <w:rPr>
          <w:rFonts w:ascii="Verdana" w:hAnsi="Verdana" w:cs="Arial"/>
          <w:color w:val="000000" w:themeColor="text1"/>
          <w:sz w:val="22"/>
          <w:szCs w:val="22"/>
          <w:lang w:val="es-ES"/>
        </w:rPr>
        <w:t>que</w:t>
      </w:r>
      <w:proofErr w:type="gramEnd"/>
      <w:r w:rsidRPr="00DB2DA5">
        <w:rPr>
          <w:rFonts w:ascii="Verdana" w:hAnsi="Verdana" w:cs="Arial"/>
          <w:color w:val="000000" w:themeColor="text1"/>
          <w:sz w:val="22"/>
          <w:szCs w:val="22"/>
          <w:lang w:val="es-ES"/>
        </w:rPr>
        <w:t xml:space="preserve"> </w:t>
      </w:r>
      <w:r w:rsidRPr="00DB2DA5">
        <w:rPr>
          <w:rFonts w:ascii="Verdana" w:hAnsi="Verdana" w:cs="Segoe UI"/>
          <w:sz w:val="22"/>
          <w:szCs w:val="22"/>
        </w:rPr>
        <w:t>Aunque en la contratación directa no procede la asignación de puntajes ni la comparación de múltiples ofertas, ello no releva a la entidad del deber de planeación. En consecuencia, deben realizarse los análisis y estudios necesarios que justifiquen la selección del contratista y permitan definir las condiciones técnicas, económicas, ambientales y sociales asociadas al objeto contractual. Estos elementos sirven de fundamento para estructurar las cláusulas de ejecución del contrato y para incorporar medidas orientadas al cumplimiento de políticas públicas y de los fines de la contratación estatal.</w:t>
      </w:r>
    </w:p>
    <w:p w14:paraId="4348CFA4" w14:textId="77777777" w:rsidR="00797D22" w:rsidRPr="00DB2DA5" w:rsidRDefault="00797D22" w:rsidP="00A355E9">
      <w:pPr>
        <w:spacing w:line="276" w:lineRule="auto"/>
        <w:ind w:firstLine="709"/>
        <w:jc w:val="both"/>
        <w:rPr>
          <w:rFonts w:ascii="Verdana" w:hAnsi="Verdana" w:cs="Arial"/>
          <w:color w:val="000000" w:themeColor="text1"/>
          <w:sz w:val="22"/>
          <w:szCs w:val="22"/>
        </w:rPr>
      </w:pPr>
      <w:r w:rsidRPr="00DB2DA5">
        <w:rPr>
          <w:rFonts w:ascii="Verdana" w:hAnsi="Verdana" w:cs="Arial"/>
          <w:color w:val="000000" w:themeColor="text1"/>
          <w:sz w:val="22"/>
          <w:szCs w:val="22"/>
          <w:lang w:val="es-ES"/>
        </w:rPr>
        <w:t>En este punto, es pertinente señalar que, en el Anexo I de la “Guía</w:t>
      </w:r>
      <w:r w:rsidRPr="00DB2DA5">
        <w:rPr>
          <w:rFonts w:ascii="Verdana" w:hAnsi="Verdana"/>
          <w:sz w:val="22"/>
          <w:szCs w:val="22"/>
        </w:rPr>
        <w:t xml:space="preserve"> de Contratación Pública Sostenible y Socialmente Responsable”, </w:t>
      </w:r>
      <w:r w:rsidRPr="00DB2DA5">
        <w:rPr>
          <w:rFonts w:ascii="Verdana" w:hAnsi="Verdana" w:cs="Arial"/>
          <w:color w:val="000000" w:themeColor="text1"/>
          <w:sz w:val="22"/>
          <w:szCs w:val="22"/>
          <w:lang w:val="es-ES"/>
        </w:rPr>
        <w:t xml:space="preserve">se relacionan, </w:t>
      </w:r>
      <w:r w:rsidRPr="00DB2DA5">
        <w:rPr>
          <w:rFonts w:ascii="Verdana" w:hAnsi="Verdana" w:cs="Arial"/>
          <w:color w:val="000000" w:themeColor="text1"/>
          <w:sz w:val="22"/>
          <w:szCs w:val="22"/>
        </w:rPr>
        <w:t xml:space="preserve">a modo enunciativo, una serie de criterios ambientales y sociales, que pueden ser incorporados como factores de evaluación, </w:t>
      </w:r>
      <w:r w:rsidRPr="00DB2DA5">
        <w:rPr>
          <w:rFonts w:ascii="Verdana" w:hAnsi="Verdana" w:cs="Arial"/>
          <w:i/>
          <w:iCs/>
          <w:color w:val="000000" w:themeColor="text1"/>
          <w:sz w:val="22"/>
          <w:szCs w:val="22"/>
        </w:rPr>
        <w:t>especificaciones técnicas</w:t>
      </w:r>
      <w:r w:rsidRPr="00DB2DA5">
        <w:rPr>
          <w:rFonts w:ascii="Verdana" w:hAnsi="Verdana" w:cs="Arial"/>
          <w:color w:val="000000" w:themeColor="text1"/>
          <w:sz w:val="22"/>
          <w:szCs w:val="22"/>
        </w:rPr>
        <w:t xml:space="preserve"> u </w:t>
      </w:r>
      <w:r w:rsidRPr="00DB2DA5">
        <w:rPr>
          <w:rFonts w:ascii="Verdana" w:hAnsi="Verdana" w:cs="Arial"/>
          <w:i/>
          <w:iCs/>
          <w:color w:val="000000" w:themeColor="text1"/>
          <w:sz w:val="22"/>
          <w:szCs w:val="22"/>
        </w:rPr>
        <w:t>obligaciones contractuales</w:t>
      </w:r>
      <w:r w:rsidRPr="00DB2DA5">
        <w:rPr>
          <w:rFonts w:ascii="Verdana" w:hAnsi="Verdana" w:cs="Arial"/>
          <w:color w:val="000000" w:themeColor="text1"/>
          <w:sz w:val="22"/>
          <w:szCs w:val="22"/>
        </w:rPr>
        <w:t>. Para tales efectos, se recomienda implementar las pautas allí señaladas con el fin de determinar su conveniencia, así como la manera más adecuada de incorporarlos en el respectivo Proceso de Contratación. Particularmente, el numeral 1 del literal A señala lo siguiente:</w:t>
      </w:r>
    </w:p>
    <w:p w14:paraId="5B52A07E" w14:textId="77777777" w:rsidR="00797D22" w:rsidRPr="00DB2DA5" w:rsidRDefault="00797D22" w:rsidP="00622AC2">
      <w:pPr>
        <w:spacing w:line="276" w:lineRule="auto"/>
        <w:ind w:firstLine="709"/>
        <w:jc w:val="both"/>
        <w:rPr>
          <w:rFonts w:ascii="Verdana" w:hAnsi="Verdana" w:cs="Arial"/>
          <w:color w:val="000000" w:themeColor="text1"/>
          <w:sz w:val="22"/>
          <w:szCs w:val="22"/>
        </w:rPr>
      </w:pPr>
    </w:p>
    <w:p w14:paraId="0BE3DA6B" w14:textId="77777777" w:rsidR="00797D22" w:rsidRPr="007E747C" w:rsidRDefault="00797D22" w:rsidP="00797D22">
      <w:pPr>
        <w:ind w:left="709" w:right="709"/>
        <w:jc w:val="both"/>
        <w:rPr>
          <w:rFonts w:ascii="Verdana" w:eastAsia="Calibri" w:hAnsi="Verdana" w:cs="Arial"/>
          <w:sz w:val="20"/>
          <w:szCs w:val="20"/>
          <w:lang w:val="es-MX"/>
        </w:rPr>
      </w:pPr>
      <w:r w:rsidRPr="007E747C">
        <w:rPr>
          <w:rFonts w:ascii="Verdana" w:eastAsia="Calibri" w:hAnsi="Verdana" w:cs="Arial"/>
          <w:sz w:val="20"/>
          <w:szCs w:val="20"/>
          <w:lang w:val="es-MX"/>
        </w:rPr>
        <w:t xml:space="preserve">“La aplicación de las </w:t>
      </w:r>
      <w:r w:rsidRPr="007E747C">
        <w:rPr>
          <w:rFonts w:ascii="Verdana" w:eastAsia="Calibri" w:hAnsi="Verdana" w:cs="Arial"/>
          <w:i/>
          <w:iCs/>
          <w:sz w:val="20"/>
          <w:szCs w:val="20"/>
          <w:lang w:val="es-MX"/>
        </w:rPr>
        <w:t>condiciones técnicas,</w:t>
      </w:r>
      <w:r w:rsidRPr="007E747C">
        <w:rPr>
          <w:rFonts w:ascii="Verdana" w:eastAsia="Calibri" w:hAnsi="Verdana" w:cs="Arial"/>
          <w:sz w:val="20"/>
          <w:szCs w:val="20"/>
          <w:lang w:val="es-MX"/>
        </w:rPr>
        <w:t xml:space="preserve"> de evaluación y de ejecución señaladas dependerá de la modalidad de contratación específica utilizada. </w:t>
      </w:r>
      <w:bookmarkStart w:id="1" w:name="_Hlk193397499"/>
      <w:r w:rsidRPr="007E747C">
        <w:rPr>
          <w:rFonts w:ascii="Verdana" w:eastAsia="Calibri" w:hAnsi="Verdana" w:cs="Arial"/>
          <w:sz w:val="20"/>
          <w:szCs w:val="20"/>
          <w:lang w:val="es-MX"/>
        </w:rPr>
        <w:t xml:space="preserve">En las modalidades que otorgan puntaje, como la licitación pública, la selección abreviada de menor cuantía y el concurso de méritos, la entidad revisará si estas pautas se pueden establecer como </w:t>
      </w:r>
      <w:r w:rsidRPr="007E747C">
        <w:rPr>
          <w:rFonts w:ascii="Verdana" w:eastAsia="Calibri" w:hAnsi="Verdana" w:cs="Arial"/>
          <w:i/>
          <w:iCs/>
          <w:sz w:val="20"/>
          <w:szCs w:val="20"/>
          <w:lang w:val="es-MX"/>
        </w:rPr>
        <w:t>criterios técnicos</w:t>
      </w:r>
      <w:r w:rsidRPr="007E747C">
        <w:rPr>
          <w:rFonts w:ascii="Verdana" w:eastAsia="Calibri" w:hAnsi="Verdana" w:cs="Arial"/>
          <w:sz w:val="20"/>
          <w:szCs w:val="20"/>
          <w:lang w:val="es-MX"/>
        </w:rPr>
        <w:t xml:space="preserve"> o como condición de calificación, </w:t>
      </w:r>
      <w:bookmarkEnd w:id="1"/>
      <w:r w:rsidRPr="007E747C">
        <w:rPr>
          <w:rFonts w:ascii="Verdana" w:eastAsia="Calibri" w:hAnsi="Verdana" w:cs="Arial"/>
          <w:sz w:val="20"/>
          <w:szCs w:val="20"/>
          <w:lang w:val="es-MX"/>
        </w:rPr>
        <w:t>de modo que los proponentes puedan ser evaluados en función de su compromiso con la sostenibilidad. En las modalidades de contratación que no incluyen la evaluación por puntaje, como la mínima cuantía y la selección abreviada por subasta inversa, estas condiciones pueden ser incorporadas en las e</w:t>
      </w:r>
      <w:r w:rsidRPr="007E747C">
        <w:rPr>
          <w:rFonts w:ascii="Verdana" w:eastAsia="Calibri" w:hAnsi="Verdana" w:cs="Arial"/>
          <w:i/>
          <w:iCs/>
          <w:sz w:val="20"/>
          <w:szCs w:val="20"/>
          <w:lang w:val="es-MX"/>
        </w:rPr>
        <w:t xml:space="preserve">specificaciones técnicas como requisitos habilitantes </w:t>
      </w:r>
      <w:r w:rsidRPr="007E747C">
        <w:rPr>
          <w:rFonts w:ascii="Verdana" w:eastAsia="Calibri" w:hAnsi="Verdana" w:cs="Arial"/>
          <w:sz w:val="20"/>
          <w:szCs w:val="20"/>
          <w:lang w:val="es-MX"/>
        </w:rPr>
        <w:t xml:space="preserve">y/o de ejecución. </w:t>
      </w:r>
    </w:p>
    <w:p w14:paraId="3F3EE9C7" w14:textId="77777777" w:rsidR="00797D22" w:rsidRPr="007E747C" w:rsidRDefault="00797D22" w:rsidP="00797D22">
      <w:pPr>
        <w:ind w:left="709" w:right="709"/>
        <w:jc w:val="both"/>
        <w:rPr>
          <w:rFonts w:ascii="Verdana" w:eastAsia="Calibri" w:hAnsi="Verdana" w:cs="Arial"/>
          <w:sz w:val="20"/>
          <w:szCs w:val="20"/>
          <w:lang w:val="es-MX"/>
        </w:rPr>
      </w:pPr>
    </w:p>
    <w:p w14:paraId="6B9B45E4" w14:textId="77777777" w:rsidR="00797D22" w:rsidRPr="007E747C" w:rsidRDefault="00797D22" w:rsidP="00797D22">
      <w:pPr>
        <w:ind w:left="709" w:right="709"/>
        <w:jc w:val="both"/>
        <w:rPr>
          <w:rFonts w:ascii="Verdana" w:eastAsia="Calibri" w:hAnsi="Verdana" w:cs="Arial"/>
          <w:sz w:val="20"/>
          <w:szCs w:val="20"/>
          <w:lang w:val="es-MX"/>
        </w:rPr>
      </w:pPr>
      <w:r w:rsidRPr="007E747C">
        <w:rPr>
          <w:rFonts w:ascii="Verdana" w:eastAsia="Calibri" w:hAnsi="Verdana" w:cs="Arial"/>
          <w:sz w:val="20"/>
          <w:szCs w:val="20"/>
          <w:lang w:val="es-MX"/>
        </w:rPr>
        <w:t xml:space="preserve">En todo caso, para su establecimiento como requisitos habilitantes o de calificación, las Entidades Estatales deben analizar su procedencia </w:t>
      </w:r>
      <w:proofErr w:type="gramStart"/>
      <w:r w:rsidRPr="007E747C">
        <w:rPr>
          <w:rFonts w:ascii="Verdana" w:eastAsia="Calibri" w:hAnsi="Verdana" w:cs="Arial"/>
          <w:sz w:val="20"/>
          <w:szCs w:val="20"/>
          <w:lang w:val="es-MX"/>
        </w:rPr>
        <w:t>de acuerdo al</w:t>
      </w:r>
      <w:proofErr w:type="gramEnd"/>
      <w:r w:rsidRPr="007E747C">
        <w:rPr>
          <w:rFonts w:ascii="Verdana" w:eastAsia="Calibri" w:hAnsi="Verdana" w:cs="Arial"/>
          <w:sz w:val="20"/>
          <w:szCs w:val="20"/>
          <w:lang w:val="es-MX"/>
        </w:rPr>
        <w:t xml:space="preserve"> objeto contractual, valor, plazo y demás condiciones de </w:t>
      </w:r>
      <w:r w:rsidRPr="007E747C">
        <w:rPr>
          <w:rFonts w:ascii="Verdana" w:eastAsia="Calibri" w:hAnsi="Verdana" w:cs="Arial"/>
          <w:sz w:val="20"/>
          <w:szCs w:val="20"/>
          <w:lang w:val="es-MX"/>
        </w:rPr>
        <w:lastRenderedPageBreak/>
        <w:t>ejecución, de tal forma que sean proporcionales y adecuadas al proceso de contratación que se desarrollará. Además, al tratarse de condiciones que reúnen aspectos ambientales y sociales generales, la Entidad Estatal ajustará la forma en la que se incorporará al Proceso de Contratación y su medio de verificación”. (Énfasis por fuera de texto).</w:t>
      </w:r>
    </w:p>
    <w:p w14:paraId="5D325269" w14:textId="77777777" w:rsidR="00B61055" w:rsidRPr="00DB2DA5" w:rsidRDefault="00B61055" w:rsidP="00DB2DA5">
      <w:pPr>
        <w:widowControl w:val="0"/>
        <w:autoSpaceDE w:val="0"/>
        <w:autoSpaceDN w:val="0"/>
        <w:spacing w:line="276" w:lineRule="auto"/>
        <w:jc w:val="both"/>
        <w:rPr>
          <w:rFonts w:ascii="Verdana" w:hAnsi="Verdana"/>
          <w:b/>
          <w:bCs/>
          <w:sz w:val="22"/>
          <w:szCs w:val="22"/>
        </w:rPr>
      </w:pPr>
    </w:p>
    <w:p w14:paraId="1212591F" w14:textId="4F1E6C6C" w:rsidR="00E25D52" w:rsidRPr="00DB2DA5" w:rsidRDefault="00E25D52" w:rsidP="00DB2DA5">
      <w:pPr>
        <w:widowControl w:val="0"/>
        <w:autoSpaceDE w:val="0"/>
        <w:autoSpaceDN w:val="0"/>
        <w:spacing w:after="120" w:line="276" w:lineRule="auto"/>
        <w:jc w:val="both"/>
        <w:rPr>
          <w:rFonts w:ascii="Verdana" w:hAnsi="Verdana"/>
          <w:sz w:val="22"/>
          <w:szCs w:val="22"/>
        </w:rPr>
      </w:pPr>
      <w:r w:rsidRPr="00DB2DA5">
        <w:rPr>
          <w:rFonts w:ascii="Verdana" w:hAnsi="Verdana"/>
          <w:b/>
          <w:bCs/>
          <w:sz w:val="22"/>
          <w:szCs w:val="22"/>
        </w:rPr>
        <w:t>(iii)</w:t>
      </w:r>
      <w:r w:rsidRPr="00DB2DA5">
        <w:rPr>
          <w:rFonts w:ascii="Verdana" w:hAnsi="Verdana"/>
          <w:sz w:val="22"/>
          <w:szCs w:val="22"/>
        </w:rPr>
        <w:t xml:space="preserve"> Respecto del segundo interrogante, debe afirmarse que la contratación directa no se encuentra exenta del deber de planeación. El artículo 2.2.1.1.2.1.1 del Decreto 1082 de 2015 exige que los estudios y documentos previos contengan, entre otros elementos, la descripción de la necesidad, el objeto a contratar con sus especificaciones, la modalidad de selección y su justificación, el valor estimado y su justificación, el análisis de riesgo y la forma de mitigarlo y las garantías, y precisa que dicho artículo no es aplicable únicamente a la contratación de mínima cuantía</w:t>
      </w:r>
      <w:r w:rsidRPr="00DB2DA5">
        <w:rPr>
          <w:rStyle w:val="Refdenotaalpie"/>
          <w:rFonts w:ascii="Verdana" w:hAnsi="Verdana"/>
          <w:sz w:val="22"/>
          <w:szCs w:val="22"/>
        </w:rPr>
        <w:footnoteReference w:id="5"/>
      </w:r>
      <w:r w:rsidRPr="00DB2DA5">
        <w:rPr>
          <w:rFonts w:ascii="Verdana" w:hAnsi="Verdana"/>
          <w:sz w:val="22"/>
          <w:szCs w:val="22"/>
        </w:rPr>
        <w:t>. De ello se sigue que en la contratación directa los estudios previos son exigibles y constituyen el escenario en el que la entidad debe motivar sus decisiones técnicas y jurídicas.</w:t>
      </w:r>
    </w:p>
    <w:p w14:paraId="64F1C676" w14:textId="19AA2844" w:rsidR="00E25D52" w:rsidRPr="00DB2DA5" w:rsidRDefault="00E25D52" w:rsidP="00DB2DA5">
      <w:pPr>
        <w:widowControl w:val="0"/>
        <w:autoSpaceDE w:val="0"/>
        <w:autoSpaceDN w:val="0"/>
        <w:spacing w:line="276" w:lineRule="auto"/>
        <w:ind w:firstLine="709"/>
        <w:jc w:val="both"/>
        <w:rPr>
          <w:rFonts w:ascii="Verdana" w:hAnsi="Verdana"/>
          <w:sz w:val="22"/>
          <w:szCs w:val="22"/>
        </w:rPr>
      </w:pPr>
      <w:r w:rsidRPr="00DB2DA5">
        <w:rPr>
          <w:rFonts w:ascii="Verdana" w:hAnsi="Verdana"/>
          <w:sz w:val="22"/>
          <w:szCs w:val="22"/>
        </w:rPr>
        <w:t>Esa exigencia se refuerza tratándose de los criterios por los que usted indaga. De una parte, los criterios de accesibilidad</w:t>
      </w:r>
      <w:r w:rsidR="00E45B31" w:rsidRPr="00DB2DA5">
        <w:rPr>
          <w:rFonts w:ascii="Verdana" w:hAnsi="Verdana"/>
          <w:sz w:val="22"/>
          <w:szCs w:val="22"/>
        </w:rPr>
        <w:t>, los sociales y ambientales</w:t>
      </w:r>
      <w:r w:rsidRPr="00DB2DA5">
        <w:rPr>
          <w:rFonts w:ascii="Verdana" w:hAnsi="Verdana"/>
          <w:sz w:val="22"/>
          <w:szCs w:val="22"/>
        </w:rPr>
        <w:t xml:space="preserve"> se definen en la etapa de planeación, puntualmente en los estudios y documentos previos, teniendo en cuenta el bien, obra o servicio a contratar, y cuando no existan normas legales, reglamentarias o técnicas aplicables la entidad no se exonera de incorporarlos, debiendo fijar una ficha técnica propia determinada con su equipo interdisciplinario de contratación. De otra, la incorporación de las condiciones especiales de ejecución debe corresponder a un juicioso ejercicio de la entidad en la fase de planeación, soportado en estudios y documentos previos debidamente justificados, de manera que incluso la decisión de no incorporar ninguna debe justificarse analizando su conveniencia y oportunidad. La motivación, por tanto, no depende de que exista o no asignación de puntaje: es </w:t>
      </w:r>
      <w:r w:rsidRPr="00DB2DA5">
        <w:rPr>
          <w:rFonts w:ascii="Verdana" w:hAnsi="Verdana"/>
          <w:sz w:val="22"/>
          <w:szCs w:val="22"/>
        </w:rPr>
        <w:lastRenderedPageBreak/>
        <w:t>una exigencia del deber de planeación y del principio de economía previsto en el numeral 12 del artículo 25 de la Ley 80 de 1993, y permite acreditar que la decisión obedece a un análisis y no a una omisión.</w:t>
      </w:r>
    </w:p>
    <w:p w14:paraId="2FD77240" w14:textId="77777777" w:rsidR="00E45B31" w:rsidRPr="00DB2DA5" w:rsidRDefault="00E45B31" w:rsidP="00DB2DA5">
      <w:pPr>
        <w:widowControl w:val="0"/>
        <w:autoSpaceDE w:val="0"/>
        <w:autoSpaceDN w:val="0"/>
        <w:spacing w:line="276" w:lineRule="auto"/>
        <w:ind w:firstLine="708"/>
        <w:jc w:val="both"/>
        <w:rPr>
          <w:rFonts w:ascii="Verdana" w:hAnsi="Verdana"/>
          <w:sz w:val="22"/>
          <w:szCs w:val="22"/>
        </w:rPr>
      </w:pPr>
    </w:p>
    <w:p w14:paraId="2A5792A8" w14:textId="77777777" w:rsidR="00E25D52" w:rsidRPr="00DB2DA5" w:rsidRDefault="00E25D52" w:rsidP="00DB2DA5">
      <w:pPr>
        <w:widowControl w:val="0"/>
        <w:autoSpaceDE w:val="0"/>
        <w:autoSpaceDN w:val="0"/>
        <w:spacing w:after="120" w:line="276" w:lineRule="auto"/>
        <w:jc w:val="both"/>
        <w:rPr>
          <w:rFonts w:ascii="Verdana" w:hAnsi="Verdana"/>
          <w:sz w:val="22"/>
          <w:szCs w:val="22"/>
        </w:rPr>
      </w:pPr>
      <w:r w:rsidRPr="00DB2DA5">
        <w:rPr>
          <w:rFonts w:ascii="Verdana" w:hAnsi="Verdana"/>
          <w:b/>
          <w:bCs/>
          <w:sz w:val="22"/>
          <w:szCs w:val="22"/>
        </w:rPr>
        <w:t>(iv)</w:t>
      </w:r>
      <w:r w:rsidRPr="00DB2DA5">
        <w:rPr>
          <w:rFonts w:ascii="Verdana" w:hAnsi="Verdana"/>
          <w:sz w:val="22"/>
          <w:szCs w:val="22"/>
        </w:rPr>
        <w:t xml:space="preserve"> Finalmente, el tercer interrogante se responde negativamente por las razones ya expuestas. La circunstancia de que ciertas disposiciones asocien los requisitos diferenciales y los puntajes adicionales a procedimientos con evaluación comparativa de ofertas delimita el ámbito de esos dos instrumentos, pero no permite concluir que los criterios ambientales, sociales o de inclusión carezcan de toda aplicación en la contratación directa. Una lectura semejante confundiría el instrumento con la finalidad: lo que la ausencia de pluralidad de oferentes impide es ponderar ofertas, no perseguir los objetivos de accesibilidad, sostenibilidad e inclusión por los medios que resultan compatibles con la modalidad, esto es, la definición técnica del objeto y las obligaciones contractuales.</w:t>
      </w:r>
    </w:p>
    <w:p w14:paraId="7CA1FF2F" w14:textId="77777777" w:rsidR="00E25D52" w:rsidRPr="00DB2DA5" w:rsidRDefault="00E25D52" w:rsidP="00E45B31">
      <w:pPr>
        <w:widowControl w:val="0"/>
        <w:autoSpaceDE w:val="0"/>
        <w:autoSpaceDN w:val="0"/>
        <w:spacing w:after="120" w:line="276" w:lineRule="auto"/>
        <w:ind w:firstLine="708"/>
        <w:jc w:val="both"/>
        <w:rPr>
          <w:rFonts w:ascii="Verdana" w:hAnsi="Verdana"/>
          <w:sz w:val="22"/>
          <w:szCs w:val="22"/>
        </w:rPr>
      </w:pPr>
      <w:r w:rsidRPr="00DB2DA5">
        <w:rPr>
          <w:rFonts w:ascii="Verdana" w:hAnsi="Verdana"/>
          <w:sz w:val="22"/>
          <w:szCs w:val="22"/>
        </w:rPr>
        <w:t>A la misma conclusión conduce el diseño del Sistema Integral de Preferencias, que fue concebido como un conjunto estructurado de medidas afirmativas que las entidades estatales deben adoptar en todas las fases del proceso contractual, y no como una única medida. Precisamente por ello la Circular Externa No. 003 de 2026 identificó cinco medidas y precisó el régimen y las modalidades a las que cada una resulta aplicable, distinguiendo las que operan en la contratación directa de las que no</w:t>
      </w:r>
      <w:r w:rsidRPr="00DB2DA5">
        <w:rPr>
          <w:rStyle w:val="Refdenotaalpie"/>
          <w:rFonts w:ascii="Verdana" w:hAnsi="Verdana"/>
          <w:sz w:val="22"/>
          <w:szCs w:val="22"/>
        </w:rPr>
        <w:footnoteReference w:id="6"/>
      </w:r>
      <w:r w:rsidRPr="00DB2DA5">
        <w:rPr>
          <w:rFonts w:ascii="Verdana" w:hAnsi="Verdana"/>
          <w:sz w:val="22"/>
          <w:szCs w:val="22"/>
        </w:rPr>
        <w:t>. Interpretar que la exclusión del puntaje arrastra consigo la de las demás medidas contrariaría esa estructura y la finalidad del sistema, que es remover barreras de acceso en todas las fases de la contratación.</w:t>
      </w:r>
    </w:p>
    <w:p w14:paraId="6DC7AB34" w14:textId="77777777" w:rsidR="00E25D52" w:rsidRPr="00DB2DA5" w:rsidRDefault="00E25D52" w:rsidP="00DB2DA5">
      <w:pPr>
        <w:widowControl w:val="0"/>
        <w:autoSpaceDE w:val="0"/>
        <w:autoSpaceDN w:val="0"/>
        <w:spacing w:line="276" w:lineRule="auto"/>
        <w:ind w:firstLine="708"/>
        <w:jc w:val="both"/>
        <w:rPr>
          <w:rFonts w:ascii="Verdana" w:hAnsi="Verdana"/>
          <w:sz w:val="22"/>
          <w:szCs w:val="22"/>
        </w:rPr>
      </w:pPr>
      <w:r w:rsidRPr="00DB2DA5">
        <w:rPr>
          <w:rFonts w:ascii="Verdana" w:hAnsi="Verdana"/>
          <w:sz w:val="22"/>
          <w:szCs w:val="22"/>
        </w:rPr>
        <w:t xml:space="preserve">Finalmente, debe advertirse que el análisis requerido para resolver situaciones concretas relacionadas con la contratación de las entidades estatales corresponde a quienes tengan interés en ello, de modo que las afirmaciones aquí realizadas no pueden interpretarse como juicios de valor sobre circunstancias particulares. Al tratarse de decisiones que deben adoptarse en cada procedimiento contractual, la Agencia no puede definir un criterio universal y absoluto por vía consultiva, sino que brinda elementos de carácter general para </w:t>
      </w:r>
      <w:r w:rsidRPr="00DB2DA5">
        <w:rPr>
          <w:rFonts w:ascii="Verdana" w:hAnsi="Verdana"/>
          <w:sz w:val="22"/>
          <w:szCs w:val="22"/>
        </w:rPr>
        <w:lastRenderedPageBreak/>
        <w:t>que los partícipes del sistema de compras y contratación pública adopten la decisión que corresponda, lo cual es acorde con el principio de juridicidad.</w:t>
      </w:r>
    </w:p>
    <w:p w14:paraId="1FFFD0EB" w14:textId="77777777" w:rsidR="00E25D52" w:rsidRPr="00DB2DA5" w:rsidRDefault="00E25D52" w:rsidP="00E45B31">
      <w:pPr>
        <w:spacing w:line="276" w:lineRule="auto"/>
        <w:jc w:val="both"/>
        <w:rPr>
          <w:rFonts w:ascii="Verdana" w:eastAsia="Calibri" w:hAnsi="Verdana" w:cs="Arial"/>
          <w:sz w:val="22"/>
          <w:szCs w:val="22"/>
        </w:rPr>
      </w:pPr>
    </w:p>
    <w:p w14:paraId="33FE97EC" w14:textId="77777777" w:rsidR="00E25D52" w:rsidRPr="00DB2DA5" w:rsidRDefault="00E25D52" w:rsidP="00A95FBF">
      <w:pPr>
        <w:spacing w:line="276" w:lineRule="auto"/>
        <w:jc w:val="both"/>
        <w:rPr>
          <w:rFonts w:ascii="Verdana" w:eastAsia="Century Gothic" w:hAnsi="Verdana" w:cs="Century Gothic"/>
          <w:b/>
          <w:sz w:val="22"/>
          <w:szCs w:val="22"/>
          <w:lang w:val="es-ES"/>
        </w:rPr>
      </w:pPr>
      <w:r w:rsidRPr="00DB2DA5">
        <w:rPr>
          <w:rFonts w:ascii="Verdana" w:eastAsia="Century Gothic" w:hAnsi="Verdana" w:cs="Century Gothic"/>
          <w:b/>
          <w:sz w:val="22"/>
          <w:szCs w:val="22"/>
          <w:lang w:val="es-ES"/>
        </w:rPr>
        <w:t>4. Referencias normativas, jurisprudenciales y otras fuentes:</w:t>
      </w:r>
    </w:p>
    <w:p w14:paraId="4916F653" w14:textId="77777777" w:rsidR="00E25D52" w:rsidRPr="00DB2DA5" w:rsidRDefault="00E25D52" w:rsidP="00A95FBF">
      <w:pPr>
        <w:spacing w:line="276" w:lineRule="auto"/>
        <w:jc w:val="both"/>
        <w:rPr>
          <w:rFonts w:ascii="Verdana" w:eastAsia="Century Gothic" w:hAnsi="Verdana" w:cs="Century Gothic"/>
          <w:b/>
          <w:sz w:val="22"/>
          <w:szCs w:val="22"/>
          <w:lang w:val="es-ES"/>
        </w:rPr>
      </w:pPr>
    </w:p>
    <w:tbl>
      <w:tblPr>
        <w:tblStyle w:val="Tablaconcuadrcula"/>
        <w:tblW w:w="8647" w:type="dxa"/>
        <w:tblInd w:w="137"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4A0" w:firstRow="1" w:lastRow="0" w:firstColumn="1" w:lastColumn="0" w:noHBand="0" w:noVBand="1"/>
      </w:tblPr>
      <w:tblGrid>
        <w:gridCol w:w="8647"/>
      </w:tblGrid>
      <w:tr w:rsidR="00E25D52" w:rsidRPr="00E45B31" w14:paraId="62BBB6C9" w14:textId="77777777" w:rsidTr="00005D22">
        <w:trPr>
          <w:trHeight w:val="297"/>
        </w:trPr>
        <w:tc>
          <w:tcPr>
            <w:tcW w:w="8647" w:type="dxa"/>
          </w:tcPr>
          <w:p w14:paraId="10F4B3D5" w14:textId="77777777" w:rsidR="00E25D52" w:rsidRPr="00E45B31" w:rsidRDefault="00E25D52" w:rsidP="00DB2DA5">
            <w:pPr>
              <w:pStyle w:val="Prrafodelista"/>
              <w:widowControl w:val="0"/>
              <w:numPr>
                <w:ilvl w:val="0"/>
                <w:numId w:val="16"/>
              </w:numPr>
              <w:autoSpaceDE w:val="0"/>
              <w:autoSpaceDN w:val="0"/>
              <w:spacing w:line="276" w:lineRule="auto"/>
              <w:contextualSpacing w:val="0"/>
              <w:jc w:val="both"/>
              <w:rPr>
                <w:rFonts w:ascii="Verdana" w:eastAsia="Arial MT" w:hAnsi="Verdana" w:cs="Arial"/>
                <w:lang w:eastAsia="es-ES" w:bidi="es-ES"/>
              </w:rPr>
            </w:pPr>
            <w:r w:rsidRPr="00E45B31">
              <w:rPr>
                <w:rFonts w:ascii="Verdana" w:eastAsia="Arial MT" w:hAnsi="Verdana" w:cs="Arial"/>
                <w:lang w:eastAsia="es-ES" w:bidi="es-ES"/>
              </w:rPr>
              <w:t>Constitución Política de Colombia. Artículos 13, 209 y 333.</w:t>
            </w:r>
          </w:p>
          <w:p w14:paraId="16A3B884" w14:textId="77777777" w:rsidR="00E25D52" w:rsidRPr="00E45B31" w:rsidRDefault="00E25D52" w:rsidP="00DB2DA5">
            <w:pPr>
              <w:pStyle w:val="Prrafodelista"/>
              <w:widowControl w:val="0"/>
              <w:numPr>
                <w:ilvl w:val="0"/>
                <w:numId w:val="16"/>
              </w:numPr>
              <w:autoSpaceDE w:val="0"/>
              <w:autoSpaceDN w:val="0"/>
              <w:spacing w:line="276" w:lineRule="auto"/>
              <w:contextualSpacing w:val="0"/>
              <w:jc w:val="both"/>
              <w:rPr>
                <w:rFonts w:ascii="Verdana" w:eastAsia="Arial MT" w:hAnsi="Verdana" w:cs="Arial"/>
                <w:lang w:eastAsia="es-ES" w:bidi="es-ES"/>
              </w:rPr>
            </w:pPr>
            <w:r w:rsidRPr="00E45B31">
              <w:rPr>
                <w:rFonts w:ascii="Verdana" w:eastAsia="Arial MT" w:hAnsi="Verdana" w:cs="Arial"/>
                <w:lang w:eastAsia="es-ES" w:bidi="es-ES"/>
              </w:rPr>
              <w:t>Ley 80 de 1993. Artículos 24, 25 y 26.</w:t>
            </w:r>
          </w:p>
          <w:p w14:paraId="21EA5408" w14:textId="77777777" w:rsidR="00E25D52" w:rsidRPr="00E45B31" w:rsidRDefault="00E25D52" w:rsidP="00DB2DA5">
            <w:pPr>
              <w:pStyle w:val="Prrafodelista"/>
              <w:widowControl w:val="0"/>
              <w:numPr>
                <w:ilvl w:val="0"/>
                <w:numId w:val="16"/>
              </w:numPr>
              <w:autoSpaceDE w:val="0"/>
              <w:autoSpaceDN w:val="0"/>
              <w:spacing w:line="276" w:lineRule="auto"/>
              <w:contextualSpacing w:val="0"/>
              <w:jc w:val="both"/>
              <w:rPr>
                <w:rFonts w:ascii="Verdana" w:eastAsia="Arial MT" w:hAnsi="Verdana" w:cs="Arial"/>
                <w:lang w:eastAsia="es-ES" w:bidi="es-ES"/>
              </w:rPr>
            </w:pPr>
            <w:r w:rsidRPr="00E45B31">
              <w:rPr>
                <w:rFonts w:ascii="Verdana" w:eastAsia="Arial MT" w:hAnsi="Verdana" w:cs="Arial"/>
                <w:lang w:eastAsia="es-ES" w:bidi="es-ES"/>
              </w:rPr>
              <w:t>Ley 1150 de 2007. Artículos 2, 5 y 12.</w:t>
            </w:r>
          </w:p>
          <w:p w14:paraId="35A67399" w14:textId="77777777" w:rsidR="00E25D52" w:rsidRPr="00E45B31" w:rsidRDefault="00E25D52" w:rsidP="00DB2DA5">
            <w:pPr>
              <w:pStyle w:val="Prrafodelista"/>
              <w:widowControl w:val="0"/>
              <w:numPr>
                <w:ilvl w:val="0"/>
                <w:numId w:val="16"/>
              </w:numPr>
              <w:autoSpaceDE w:val="0"/>
              <w:autoSpaceDN w:val="0"/>
              <w:spacing w:line="276" w:lineRule="auto"/>
              <w:contextualSpacing w:val="0"/>
              <w:jc w:val="both"/>
              <w:rPr>
                <w:rFonts w:ascii="Verdana" w:eastAsia="Arial MT" w:hAnsi="Verdana" w:cs="Arial"/>
                <w:lang w:eastAsia="es-ES" w:bidi="es-ES"/>
              </w:rPr>
            </w:pPr>
            <w:r w:rsidRPr="00E45B31">
              <w:rPr>
                <w:rFonts w:ascii="Verdana" w:eastAsia="Arial MT" w:hAnsi="Verdana" w:cs="Arial"/>
                <w:lang w:eastAsia="es-ES" w:bidi="es-ES"/>
              </w:rPr>
              <w:t>Ley 1346 de 2009.</w:t>
            </w:r>
          </w:p>
          <w:p w14:paraId="4DAD935E" w14:textId="77777777" w:rsidR="00E25D52" w:rsidRPr="00E45B31" w:rsidRDefault="00E25D52" w:rsidP="00DB2DA5">
            <w:pPr>
              <w:pStyle w:val="Prrafodelista"/>
              <w:widowControl w:val="0"/>
              <w:numPr>
                <w:ilvl w:val="0"/>
                <w:numId w:val="16"/>
              </w:numPr>
              <w:autoSpaceDE w:val="0"/>
              <w:autoSpaceDN w:val="0"/>
              <w:spacing w:line="276" w:lineRule="auto"/>
              <w:contextualSpacing w:val="0"/>
              <w:jc w:val="both"/>
              <w:rPr>
                <w:rFonts w:ascii="Verdana" w:eastAsia="Arial MT" w:hAnsi="Verdana" w:cs="Arial"/>
                <w:lang w:eastAsia="es-ES" w:bidi="es-ES"/>
              </w:rPr>
            </w:pPr>
            <w:r w:rsidRPr="00E45B31">
              <w:rPr>
                <w:rFonts w:ascii="Verdana" w:eastAsia="Arial MT" w:hAnsi="Verdana" w:cs="Arial"/>
                <w:lang w:eastAsia="es-ES" w:bidi="es-ES"/>
              </w:rPr>
              <w:t>Ley Estatutaria 1618 de 2013. Artículo 2 y artículo 13, numerales 1, 7 y 8.</w:t>
            </w:r>
          </w:p>
          <w:p w14:paraId="16FB4E60" w14:textId="77777777" w:rsidR="00E25D52" w:rsidRPr="00E45B31" w:rsidRDefault="00E25D52" w:rsidP="00DB2DA5">
            <w:pPr>
              <w:pStyle w:val="Prrafodelista"/>
              <w:widowControl w:val="0"/>
              <w:numPr>
                <w:ilvl w:val="0"/>
                <w:numId w:val="16"/>
              </w:numPr>
              <w:autoSpaceDE w:val="0"/>
              <w:autoSpaceDN w:val="0"/>
              <w:spacing w:line="276" w:lineRule="auto"/>
              <w:contextualSpacing w:val="0"/>
              <w:jc w:val="both"/>
              <w:rPr>
                <w:rFonts w:ascii="Verdana" w:eastAsia="Arial MT" w:hAnsi="Verdana" w:cs="Arial"/>
                <w:lang w:eastAsia="es-ES" w:bidi="es-ES"/>
              </w:rPr>
            </w:pPr>
            <w:r w:rsidRPr="00E45B31">
              <w:rPr>
                <w:rFonts w:ascii="Verdana" w:eastAsia="Arial MT" w:hAnsi="Verdana" w:cs="Arial"/>
                <w:lang w:eastAsia="es-ES" w:bidi="es-ES"/>
              </w:rPr>
              <w:t>Ley 2069 de 2020. Artículos 31, 32 y 35.</w:t>
            </w:r>
          </w:p>
          <w:p w14:paraId="41FA6874" w14:textId="77777777" w:rsidR="00E25D52" w:rsidRPr="00E45B31" w:rsidRDefault="00E25D52" w:rsidP="00DB2DA5">
            <w:pPr>
              <w:pStyle w:val="Prrafodelista"/>
              <w:widowControl w:val="0"/>
              <w:numPr>
                <w:ilvl w:val="0"/>
                <w:numId w:val="16"/>
              </w:numPr>
              <w:autoSpaceDE w:val="0"/>
              <w:autoSpaceDN w:val="0"/>
              <w:spacing w:line="276" w:lineRule="auto"/>
              <w:contextualSpacing w:val="0"/>
              <w:jc w:val="both"/>
              <w:rPr>
                <w:rFonts w:ascii="Verdana" w:eastAsia="Arial MT" w:hAnsi="Verdana" w:cs="Arial"/>
                <w:lang w:eastAsia="es-ES" w:bidi="es-ES"/>
              </w:rPr>
            </w:pPr>
            <w:r w:rsidRPr="00E45B31">
              <w:rPr>
                <w:rFonts w:ascii="Verdana" w:eastAsia="Arial MT" w:hAnsi="Verdana" w:cs="Arial"/>
                <w:lang w:eastAsia="es-ES" w:bidi="es-ES"/>
              </w:rPr>
              <w:t>Decreto Ley 4170 de 2011. Artículo 3, numerales 2 y 5, y artículo 11, numeral 8.</w:t>
            </w:r>
          </w:p>
          <w:p w14:paraId="3E861118" w14:textId="77777777" w:rsidR="00E25D52" w:rsidRPr="00E45B31" w:rsidRDefault="00E25D52" w:rsidP="00DB2DA5">
            <w:pPr>
              <w:pStyle w:val="Prrafodelista"/>
              <w:widowControl w:val="0"/>
              <w:numPr>
                <w:ilvl w:val="0"/>
                <w:numId w:val="16"/>
              </w:numPr>
              <w:autoSpaceDE w:val="0"/>
              <w:autoSpaceDN w:val="0"/>
              <w:spacing w:line="276" w:lineRule="auto"/>
              <w:contextualSpacing w:val="0"/>
              <w:jc w:val="both"/>
              <w:rPr>
                <w:rFonts w:ascii="Verdana" w:eastAsia="Arial MT" w:hAnsi="Verdana" w:cs="Arial"/>
                <w:lang w:eastAsia="es-ES" w:bidi="es-ES"/>
              </w:rPr>
            </w:pPr>
            <w:r w:rsidRPr="00E45B31">
              <w:rPr>
                <w:rFonts w:ascii="Verdana" w:eastAsia="Arial MT" w:hAnsi="Verdana" w:cs="Arial"/>
                <w:lang w:eastAsia="es-ES" w:bidi="es-ES"/>
              </w:rPr>
              <w:t>Decreto 1082 de 2015. Artículos 2.2.1.1.2.1.1, 2.2.1.1.2.2.2, 2.2.1.2.4.2.6, 2.2.1.2.4.2.7.1, 2.2.1.2.4.2.7.2, 2.2.1.2.4.2.7.3, 2.2.1.2.4.2.7.4, 2.2.1.2.4.2.7.5 y 2.2.1.2.4.2.7.6.</w:t>
            </w:r>
          </w:p>
          <w:p w14:paraId="384A8F39" w14:textId="77777777" w:rsidR="00E25D52" w:rsidRPr="00E45B31" w:rsidRDefault="00E25D52" w:rsidP="00DB2DA5">
            <w:pPr>
              <w:pStyle w:val="Prrafodelista"/>
              <w:widowControl w:val="0"/>
              <w:numPr>
                <w:ilvl w:val="0"/>
                <w:numId w:val="16"/>
              </w:numPr>
              <w:autoSpaceDE w:val="0"/>
              <w:autoSpaceDN w:val="0"/>
              <w:spacing w:line="276" w:lineRule="auto"/>
              <w:contextualSpacing w:val="0"/>
              <w:jc w:val="both"/>
              <w:rPr>
                <w:rFonts w:ascii="Verdana" w:eastAsia="Arial MT" w:hAnsi="Verdana" w:cs="Arial"/>
                <w:lang w:eastAsia="es-ES" w:bidi="es-ES"/>
              </w:rPr>
            </w:pPr>
            <w:r w:rsidRPr="00E45B31">
              <w:rPr>
                <w:rFonts w:ascii="Verdana" w:eastAsia="Arial MT" w:hAnsi="Verdana" w:cs="Arial"/>
                <w:lang w:eastAsia="es-ES" w:bidi="es-ES"/>
              </w:rPr>
              <w:t>Decreto 0287 de 2026.</w:t>
            </w:r>
          </w:p>
          <w:p w14:paraId="1F655ED1" w14:textId="77777777" w:rsidR="00E25D52" w:rsidRPr="00E45B31" w:rsidRDefault="00E25D52" w:rsidP="00DB2DA5">
            <w:pPr>
              <w:pStyle w:val="Prrafodelista"/>
              <w:widowControl w:val="0"/>
              <w:numPr>
                <w:ilvl w:val="0"/>
                <w:numId w:val="16"/>
              </w:numPr>
              <w:autoSpaceDE w:val="0"/>
              <w:autoSpaceDN w:val="0"/>
              <w:spacing w:line="276" w:lineRule="auto"/>
              <w:contextualSpacing w:val="0"/>
              <w:jc w:val="both"/>
              <w:rPr>
                <w:rFonts w:ascii="Verdana" w:eastAsia="Arial MT" w:hAnsi="Verdana" w:cs="Arial"/>
                <w:lang w:eastAsia="es-ES" w:bidi="es-ES"/>
              </w:rPr>
            </w:pPr>
            <w:r w:rsidRPr="00E45B31">
              <w:rPr>
                <w:rFonts w:ascii="Verdana" w:eastAsia="Arial MT" w:hAnsi="Verdana" w:cs="Arial"/>
                <w:lang w:eastAsia="es-ES" w:bidi="es-ES"/>
              </w:rPr>
              <w:t>Decreto 0997 de 2026.</w:t>
            </w:r>
          </w:p>
          <w:p w14:paraId="0EF33AFD" w14:textId="77777777" w:rsidR="00E25D52" w:rsidRPr="00E45B31" w:rsidRDefault="00E25D52" w:rsidP="00DB2DA5">
            <w:pPr>
              <w:pStyle w:val="Prrafodelista"/>
              <w:widowControl w:val="0"/>
              <w:numPr>
                <w:ilvl w:val="0"/>
                <w:numId w:val="16"/>
              </w:numPr>
              <w:autoSpaceDE w:val="0"/>
              <w:autoSpaceDN w:val="0"/>
              <w:spacing w:line="276" w:lineRule="auto"/>
              <w:contextualSpacing w:val="0"/>
              <w:jc w:val="both"/>
              <w:rPr>
                <w:rFonts w:ascii="Verdana" w:eastAsia="Arial MT" w:hAnsi="Verdana" w:cs="Arial"/>
                <w:lang w:eastAsia="es-ES" w:bidi="es-ES"/>
              </w:rPr>
            </w:pPr>
            <w:r w:rsidRPr="00E45B31">
              <w:rPr>
                <w:rFonts w:ascii="Verdana" w:eastAsia="Arial MT" w:hAnsi="Verdana" w:cs="Arial"/>
                <w:lang w:eastAsia="es-ES" w:bidi="es-ES"/>
              </w:rPr>
              <w:t>Agencia Nacional de Contratación Pública – Colombia Compra Eficiente. Resolución 469 de 2025.</w:t>
            </w:r>
          </w:p>
          <w:p w14:paraId="242AC531" w14:textId="77777777" w:rsidR="00E25D52" w:rsidRPr="00E45B31" w:rsidRDefault="00E25D52" w:rsidP="00DB2DA5">
            <w:pPr>
              <w:pStyle w:val="Prrafodelista"/>
              <w:widowControl w:val="0"/>
              <w:numPr>
                <w:ilvl w:val="0"/>
                <w:numId w:val="16"/>
              </w:numPr>
              <w:autoSpaceDE w:val="0"/>
              <w:autoSpaceDN w:val="0"/>
              <w:spacing w:line="276" w:lineRule="auto"/>
              <w:contextualSpacing w:val="0"/>
              <w:jc w:val="both"/>
              <w:rPr>
                <w:rFonts w:ascii="Verdana" w:eastAsia="Arial MT" w:hAnsi="Verdana" w:cs="Arial"/>
                <w:lang w:eastAsia="es-ES" w:bidi="es-ES"/>
              </w:rPr>
            </w:pPr>
            <w:r w:rsidRPr="00E45B31">
              <w:rPr>
                <w:rFonts w:ascii="Verdana" w:eastAsia="Arial MT" w:hAnsi="Verdana" w:cs="Arial"/>
                <w:lang w:eastAsia="es-ES" w:bidi="es-ES"/>
              </w:rPr>
              <w:t>Agencia Nacional de Contratación Pública – Colombia Compra Eficiente. Circular Externa No. 003 del 12 de mayo de 2026.</w:t>
            </w:r>
          </w:p>
          <w:p w14:paraId="17DBB501" w14:textId="77777777" w:rsidR="00E25D52" w:rsidRPr="00E45B31" w:rsidRDefault="00E25D52" w:rsidP="00DB2DA5">
            <w:pPr>
              <w:pStyle w:val="Prrafodelista"/>
              <w:widowControl w:val="0"/>
              <w:numPr>
                <w:ilvl w:val="0"/>
                <w:numId w:val="16"/>
              </w:numPr>
              <w:autoSpaceDE w:val="0"/>
              <w:autoSpaceDN w:val="0"/>
              <w:spacing w:line="276" w:lineRule="auto"/>
              <w:contextualSpacing w:val="0"/>
              <w:jc w:val="both"/>
              <w:rPr>
                <w:rFonts w:ascii="Verdana" w:eastAsia="Arial MT" w:hAnsi="Verdana" w:cs="Arial"/>
                <w:lang w:eastAsia="es-ES" w:bidi="es-ES"/>
              </w:rPr>
            </w:pPr>
            <w:r w:rsidRPr="00E45B31">
              <w:rPr>
                <w:rFonts w:ascii="Verdana" w:eastAsia="Arial MT" w:hAnsi="Verdana" w:cs="Arial"/>
                <w:lang w:eastAsia="es-ES" w:bidi="es-ES"/>
              </w:rPr>
              <w:t>Agencia Nacional de Contratación Pública – Colombia Compra Eficiente. Guía de Compras Públicas Sostenibles y Socialmente Responsables.</w:t>
            </w:r>
          </w:p>
        </w:tc>
      </w:tr>
    </w:tbl>
    <w:p w14:paraId="56602B8A" w14:textId="77777777" w:rsidR="00E25D52" w:rsidRPr="00DB2DA5" w:rsidRDefault="00E25D52" w:rsidP="00E45B31">
      <w:pPr>
        <w:widowControl w:val="0"/>
        <w:autoSpaceDE w:val="0"/>
        <w:autoSpaceDN w:val="0"/>
        <w:spacing w:line="276" w:lineRule="auto"/>
        <w:jc w:val="both"/>
        <w:rPr>
          <w:rFonts w:ascii="Verdana" w:hAnsi="Verdana" w:cs="Arial"/>
          <w:color w:val="ED7D31" w:themeColor="accent2"/>
          <w:sz w:val="22"/>
          <w:szCs w:val="22"/>
          <w:lang w:val="es-ES"/>
        </w:rPr>
      </w:pPr>
    </w:p>
    <w:p w14:paraId="427323E6" w14:textId="77777777" w:rsidR="00E25D52" w:rsidRPr="00DB2DA5" w:rsidRDefault="00E25D52" w:rsidP="00A95FBF">
      <w:pPr>
        <w:tabs>
          <w:tab w:val="left" w:pos="142"/>
          <w:tab w:val="left" w:pos="284"/>
        </w:tabs>
        <w:spacing w:line="276" w:lineRule="auto"/>
        <w:jc w:val="both"/>
        <w:rPr>
          <w:rFonts w:ascii="Verdana" w:eastAsia="Century Gothic" w:hAnsi="Verdana" w:cs="Century Gothic"/>
          <w:b/>
          <w:sz w:val="22"/>
          <w:szCs w:val="22"/>
          <w:lang w:val="es-ES"/>
        </w:rPr>
      </w:pPr>
      <w:r w:rsidRPr="00DB2DA5">
        <w:rPr>
          <w:rFonts w:ascii="Verdana" w:eastAsia="Century Gothic" w:hAnsi="Verdana" w:cs="Century Gothic"/>
          <w:b/>
          <w:sz w:val="22"/>
          <w:szCs w:val="22"/>
          <w:lang w:val="es-ES"/>
        </w:rPr>
        <w:t>5. Doctrina de la Agencia Nacional de Contratación Pública:</w:t>
      </w:r>
    </w:p>
    <w:p w14:paraId="5635156E" w14:textId="77777777" w:rsidR="00E25D52" w:rsidRPr="00DB2DA5" w:rsidRDefault="00E25D52" w:rsidP="00A95FBF">
      <w:pPr>
        <w:tabs>
          <w:tab w:val="left" w:pos="142"/>
          <w:tab w:val="left" w:pos="284"/>
        </w:tabs>
        <w:spacing w:line="276" w:lineRule="auto"/>
        <w:jc w:val="both"/>
        <w:rPr>
          <w:rFonts w:ascii="Verdana" w:eastAsia="Century Gothic" w:hAnsi="Verdana" w:cs="Century Gothic"/>
          <w:b/>
          <w:sz w:val="22"/>
          <w:szCs w:val="22"/>
          <w:lang w:val="es-ES"/>
        </w:rPr>
      </w:pPr>
    </w:p>
    <w:p w14:paraId="4D8405DC" w14:textId="77777777" w:rsidR="00E25D52" w:rsidRPr="00DB2DA5" w:rsidRDefault="00E25D52" w:rsidP="00DB2DA5">
      <w:pPr>
        <w:spacing w:line="276" w:lineRule="auto"/>
        <w:jc w:val="both"/>
        <w:rPr>
          <w:rFonts w:ascii="Verdana" w:hAnsi="Verdana"/>
          <w:sz w:val="22"/>
          <w:szCs w:val="22"/>
        </w:rPr>
      </w:pPr>
      <w:r w:rsidRPr="00DB2DA5">
        <w:rPr>
          <w:rFonts w:ascii="Verdana" w:hAnsi="Verdana"/>
          <w:sz w:val="22"/>
          <w:szCs w:val="22"/>
        </w:rPr>
        <w:lastRenderedPageBreak/>
        <w:t>La Agencia Nacional de Contratación Pública – Colombia Compra Eficiente se ha pronunciado sobre el alcance del Decreto 0287 de 2026 y sobre la incorporación de criterios sociales y ambientales en los procesos de contratación en diversos conceptos. Estos se encuentran disponibles para consulta en el Sistema de relatoría de la Agencia, al cual se puede acceder a través del siguiente enlace: https://relatoria.colombiacompra.gov.co/busqueda/conceptos</w:t>
      </w:r>
    </w:p>
    <w:p w14:paraId="5CE1AE26" w14:textId="77777777" w:rsidR="00E25D52" w:rsidRPr="00DB2DA5" w:rsidRDefault="00E25D52" w:rsidP="00E45B31">
      <w:pPr>
        <w:spacing w:line="276" w:lineRule="auto"/>
        <w:jc w:val="both"/>
        <w:rPr>
          <w:rFonts w:ascii="Verdana" w:hAnsi="Verdana" w:cs="Arial"/>
          <w:color w:val="ED7D31" w:themeColor="accent2"/>
          <w:sz w:val="22"/>
          <w:szCs w:val="22"/>
          <w:shd w:val="clear" w:color="auto" w:fill="FFFFFF"/>
          <w:lang w:val="es-ES"/>
        </w:rPr>
      </w:pPr>
    </w:p>
    <w:p w14:paraId="58E2D0DA" w14:textId="77777777" w:rsidR="00E25D52" w:rsidRPr="00DB2DA5" w:rsidRDefault="00E25D52" w:rsidP="00A95FBF">
      <w:pPr>
        <w:spacing w:line="276" w:lineRule="auto"/>
        <w:jc w:val="both"/>
        <w:rPr>
          <w:rFonts w:ascii="Verdana" w:hAnsi="Verdana" w:cs="Arial"/>
          <w:sz w:val="22"/>
          <w:szCs w:val="22"/>
          <w:shd w:val="clear" w:color="auto" w:fill="FFFFFF"/>
        </w:rPr>
      </w:pPr>
      <w:r w:rsidRPr="00DB2DA5">
        <w:rPr>
          <w:rFonts w:ascii="Verdana" w:hAnsi="Verdana" w:cs="Arial"/>
          <w:sz w:val="22"/>
          <w:szCs w:val="22"/>
          <w:shd w:val="clear" w:color="auto" w:fill="FFFFFF"/>
        </w:rPr>
        <w:t xml:space="preserve">La sostenibilidad no es una opción, es una obligación. Por ello, la Agencia Nacional de Contratación Pública –Colombia Compra Eficiente– te invita a realizar el Curso de Contratación Pública Sostenible y Socialmente Responsable, una herramienta clave para fortalecer las capacidades de todos los compradores públicos, proveedores, servidores públicos v para generar mayor valor público. Accede al curso y aprende como implementar criterios sociales y ambientales en las diferentes etapas del proceso de contratación: </w:t>
      </w:r>
      <w:hyperlink r:id="rId13" w:history="1">
        <w:r w:rsidRPr="00DB2DA5">
          <w:rPr>
            <w:rStyle w:val="Hipervnculo"/>
            <w:rFonts w:ascii="Verdana" w:hAnsi="Verdana" w:cs="Arial"/>
            <w:sz w:val="22"/>
            <w:szCs w:val="22"/>
            <w:shd w:val="clear" w:color="auto" w:fill="FFFFFF"/>
          </w:rPr>
          <w:t>https://formacionvirtual.colombiacompra.gov.co/mod/page/view.php?id=3718</w:t>
        </w:r>
      </w:hyperlink>
      <w:r w:rsidRPr="00DB2DA5">
        <w:rPr>
          <w:rFonts w:ascii="Verdana" w:hAnsi="Verdana" w:cs="Arial"/>
          <w:sz w:val="22"/>
          <w:szCs w:val="22"/>
          <w:shd w:val="clear" w:color="auto" w:fill="FFFFFF"/>
        </w:rPr>
        <w:t xml:space="preserve"> </w:t>
      </w:r>
    </w:p>
    <w:p w14:paraId="10732E5D" w14:textId="77777777" w:rsidR="00E25D52" w:rsidRPr="00DB2DA5" w:rsidRDefault="00E25D52" w:rsidP="00A95FBF">
      <w:pPr>
        <w:spacing w:line="276" w:lineRule="auto"/>
        <w:jc w:val="both"/>
        <w:rPr>
          <w:rFonts w:ascii="Verdana" w:hAnsi="Verdana" w:cs="Arial"/>
          <w:sz w:val="22"/>
          <w:szCs w:val="22"/>
          <w:shd w:val="clear" w:color="auto" w:fill="FFFFFF"/>
        </w:rPr>
      </w:pPr>
    </w:p>
    <w:p w14:paraId="2DC6603B" w14:textId="77777777" w:rsidR="00E25D52" w:rsidRPr="00DB2DA5" w:rsidRDefault="00E25D52">
      <w:pPr>
        <w:spacing w:line="276" w:lineRule="auto"/>
        <w:jc w:val="both"/>
        <w:rPr>
          <w:rFonts w:ascii="Verdana" w:hAnsi="Verdana" w:cs="Arial"/>
          <w:sz w:val="22"/>
          <w:szCs w:val="22"/>
          <w:shd w:val="clear" w:color="auto" w:fill="FFFFFF"/>
        </w:rPr>
      </w:pPr>
      <w:r w:rsidRPr="00DB2DA5">
        <w:rPr>
          <w:rFonts w:ascii="Verdana" w:hAnsi="Verdana" w:cs="Arial"/>
          <w:sz w:val="22"/>
          <w:szCs w:val="22"/>
          <w:shd w:val="clear" w:color="auto" w:fill="FFFFFF"/>
        </w:rPr>
        <w:t xml:space="preserve">De otro lado, te contamos que esta Agencia ha da un paso decisivo en la estandarización y modernización del sector social con la expedición de las Resoluciones 539, 540, 541, 952 y 953 de 2025, mediante las cuales adoptó Documentos Tipo para las modalidades de selección de licitación pública (versión 2), selección abreviada de menor cuantía, mínima cuantía, consultoría e interventoría, promoviendo procesos más transparentes, eficientes competitivos y sostenibles en sectores estratégicos como educación, salud, cultura, recreación, deporte, institucional y vivienda. Consulta y descarga los documentos aquí: </w:t>
      </w:r>
      <w:hyperlink r:id="rId14" w:history="1">
        <w:r w:rsidRPr="00DB2DA5">
          <w:rPr>
            <w:rStyle w:val="Hipervnculo"/>
            <w:rFonts w:ascii="Verdana" w:hAnsi="Verdana" w:cs="Arial"/>
            <w:sz w:val="22"/>
            <w:szCs w:val="22"/>
            <w:shd w:val="clear" w:color="auto" w:fill="FFFFFF"/>
          </w:rPr>
          <w:t>https://www.colombiacompra.gov.co/normativa-y-relatoria/documentos-tipo</w:t>
        </w:r>
      </w:hyperlink>
    </w:p>
    <w:p w14:paraId="2E6684FC" w14:textId="77777777" w:rsidR="00E25D52" w:rsidRPr="00DB2DA5" w:rsidRDefault="00E25D52">
      <w:pPr>
        <w:spacing w:line="276" w:lineRule="auto"/>
        <w:jc w:val="both"/>
        <w:rPr>
          <w:rFonts w:ascii="Verdana" w:hAnsi="Verdana" w:cs="Arial"/>
          <w:sz w:val="22"/>
          <w:szCs w:val="22"/>
          <w:shd w:val="clear" w:color="auto" w:fill="FFFFFF"/>
        </w:rPr>
      </w:pPr>
    </w:p>
    <w:p w14:paraId="2E089150" w14:textId="77777777" w:rsidR="00E25D52" w:rsidRPr="00DB2DA5" w:rsidRDefault="00E25D52">
      <w:pPr>
        <w:spacing w:line="276" w:lineRule="auto"/>
        <w:jc w:val="both"/>
        <w:rPr>
          <w:rFonts w:ascii="Verdana" w:hAnsi="Verdana" w:cs="Arial"/>
          <w:sz w:val="22"/>
          <w:szCs w:val="22"/>
          <w:shd w:val="clear" w:color="auto" w:fill="FFFFFF"/>
        </w:rPr>
      </w:pPr>
      <w:r w:rsidRPr="00DB2DA5">
        <w:rPr>
          <w:rFonts w:ascii="Verdana" w:hAnsi="Verdana" w:cs="Arial"/>
          <w:sz w:val="22"/>
          <w:szCs w:val="22"/>
          <w:shd w:val="clear" w:color="auto" w:fill="FFFFFF"/>
        </w:rPr>
        <w:t>Si quieres conocer más sobre la aplicación de Documentos Tipo puedes consultar la última versión de la Guía para la comprensión e implementación de los Documentos Tipo de obra pública de infraestructura de transporte. En esta actualización se incorporaron orientaciones prácticas dirigidas a entidades públicas, proveedores, organismos de control y demás interesados, con el propósito de facilitar la adecuada implementación de estos instrumentos en los procesos contractuales. Además se incluyeron lineamientos que orientan la implementación de los criterios ambientales y sociales incluidos en los documentos tipo: Consulta la guía aquí: https://www.colombiacompra.gov.co/archivos/manual/guia-para-la-</w:t>
      </w:r>
      <w:r w:rsidRPr="00DB2DA5">
        <w:rPr>
          <w:rFonts w:ascii="Verdana" w:hAnsi="Verdana" w:cs="Arial"/>
          <w:sz w:val="22"/>
          <w:szCs w:val="22"/>
          <w:shd w:val="clear" w:color="auto" w:fill="FFFFFF"/>
        </w:rPr>
        <w:lastRenderedPageBreak/>
        <w:t>comprension-e-implementacion-de-los-documentos-tipo-de-obra-publica-de-infraestructura-de-transporte-bajo-las-diferentes-modalidades-de-contratacion-vigentes</w:t>
      </w:r>
    </w:p>
    <w:p w14:paraId="19BB74C5" w14:textId="77777777" w:rsidR="00E25D52" w:rsidRPr="00DB2DA5" w:rsidRDefault="00E25D52">
      <w:pPr>
        <w:spacing w:line="276" w:lineRule="auto"/>
        <w:jc w:val="both"/>
        <w:rPr>
          <w:rFonts w:ascii="Verdana" w:hAnsi="Verdana" w:cs="Arial"/>
          <w:color w:val="ED7D31" w:themeColor="accent2"/>
          <w:sz w:val="22"/>
          <w:szCs w:val="22"/>
          <w:shd w:val="clear" w:color="auto" w:fill="FFFFFF"/>
        </w:rPr>
      </w:pPr>
    </w:p>
    <w:p w14:paraId="477B60B7" w14:textId="77777777" w:rsidR="00E25D52" w:rsidRPr="00DB2DA5" w:rsidRDefault="00E25D52">
      <w:pPr>
        <w:spacing w:line="276" w:lineRule="auto"/>
        <w:jc w:val="both"/>
        <w:rPr>
          <w:rFonts w:ascii="Verdana" w:hAnsi="Verdana" w:cs="Arial"/>
          <w:sz w:val="22"/>
          <w:szCs w:val="22"/>
          <w:shd w:val="clear" w:color="auto" w:fill="FFFFFF"/>
        </w:rPr>
      </w:pPr>
      <w:r w:rsidRPr="00DB2DA5">
        <w:rPr>
          <w:rFonts w:ascii="Verdana" w:hAnsi="Verdana" w:cs="Arial"/>
          <w:sz w:val="22"/>
          <w:szCs w:val="22"/>
          <w:shd w:val="clear" w:color="auto" w:fill="FFFFFF"/>
        </w:rPr>
        <w:t xml:space="preserve">Por último, lo invitamos a seguirnos en las redes sociales en las cuales se difunde información institucional: </w:t>
      </w:r>
    </w:p>
    <w:p w14:paraId="633A1A54" w14:textId="77777777" w:rsidR="00E25D52" w:rsidRPr="00DB2DA5" w:rsidRDefault="00E25D52">
      <w:pPr>
        <w:spacing w:line="276" w:lineRule="auto"/>
        <w:jc w:val="both"/>
        <w:rPr>
          <w:rFonts w:ascii="Verdana" w:hAnsi="Verdana" w:cs="Arial"/>
          <w:sz w:val="22"/>
          <w:szCs w:val="22"/>
          <w:shd w:val="clear" w:color="auto" w:fill="FFFFFF"/>
        </w:rPr>
      </w:pPr>
    </w:p>
    <w:p w14:paraId="4710FE27" w14:textId="77777777" w:rsidR="00E25D52" w:rsidRPr="00DB2DA5" w:rsidRDefault="00E25D52">
      <w:pPr>
        <w:spacing w:line="276" w:lineRule="auto"/>
        <w:jc w:val="both"/>
        <w:rPr>
          <w:rFonts w:ascii="Verdana" w:hAnsi="Verdana" w:cs="Arial"/>
          <w:sz w:val="22"/>
          <w:szCs w:val="22"/>
          <w:shd w:val="clear" w:color="auto" w:fill="FFFFFF"/>
        </w:rPr>
      </w:pPr>
      <w:r w:rsidRPr="00DB2DA5">
        <w:rPr>
          <w:rFonts w:ascii="Verdana" w:hAnsi="Verdana" w:cs="Arial"/>
          <w:sz w:val="22"/>
          <w:szCs w:val="22"/>
          <w:shd w:val="clear" w:color="auto" w:fill="FFFFFF"/>
        </w:rPr>
        <w:t xml:space="preserve">Twitter: </w:t>
      </w:r>
      <w:r w:rsidRPr="00DB2DA5">
        <w:rPr>
          <w:rStyle w:val="Hipervnculo"/>
          <w:rFonts w:ascii="Verdana" w:hAnsi="Verdana"/>
          <w:sz w:val="22"/>
          <w:szCs w:val="22"/>
          <w:lang w:val="es-ES"/>
        </w:rPr>
        <w:t>@colombiacompra</w:t>
      </w:r>
      <w:r w:rsidRPr="00DB2DA5">
        <w:rPr>
          <w:rStyle w:val="Hipervnculo"/>
          <w:rFonts w:ascii="Verdana" w:hAnsi="Verdana"/>
          <w:color w:val="auto"/>
          <w:sz w:val="22"/>
          <w:szCs w:val="22"/>
          <w:lang w:val="es-ES"/>
        </w:rPr>
        <w:t xml:space="preserve"> </w:t>
      </w:r>
    </w:p>
    <w:p w14:paraId="71F2FEBF" w14:textId="77777777" w:rsidR="00E25D52" w:rsidRPr="00DB2DA5" w:rsidRDefault="00E25D52">
      <w:pPr>
        <w:spacing w:line="276" w:lineRule="auto"/>
        <w:jc w:val="both"/>
        <w:rPr>
          <w:rFonts w:ascii="Verdana" w:hAnsi="Verdana" w:cs="Arial"/>
          <w:sz w:val="22"/>
          <w:szCs w:val="22"/>
          <w:shd w:val="clear" w:color="auto" w:fill="FFFFFF"/>
        </w:rPr>
      </w:pPr>
      <w:r w:rsidRPr="00DB2DA5">
        <w:rPr>
          <w:rFonts w:ascii="Verdana" w:hAnsi="Verdana" w:cs="Arial"/>
          <w:sz w:val="22"/>
          <w:szCs w:val="22"/>
          <w:shd w:val="clear" w:color="auto" w:fill="FFFFFF"/>
        </w:rPr>
        <w:t>Facebook:</w:t>
      </w:r>
      <w:r w:rsidRPr="00DB2DA5">
        <w:rPr>
          <w:rStyle w:val="Hipervnculo"/>
          <w:rFonts w:ascii="Verdana" w:hAnsi="Verdana"/>
          <w:sz w:val="22"/>
          <w:szCs w:val="22"/>
          <w:lang w:val="es-ES"/>
        </w:rPr>
        <w:t xml:space="preserve"> </w:t>
      </w:r>
      <w:proofErr w:type="spellStart"/>
      <w:r w:rsidRPr="00DB2DA5">
        <w:rPr>
          <w:rStyle w:val="Hipervnculo"/>
          <w:rFonts w:ascii="Verdana" w:hAnsi="Verdana"/>
          <w:sz w:val="22"/>
          <w:szCs w:val="22"/>
          <w:lang w:val="es-ES"/>
        </w:rPr>
        <w:t>ColombiaCompraEficiente</w:t>
      </w:r>
      <w:proofErr w:type="spellEnd"/>
    </w:p>
    <w:p w14:paraId="1223EAC3" w14:textId="77777777" w:rsidR="00E25D52" w:rsidRPr="00DB2DA5" w:rsidRDefault="00E25D52">
      <w:pPr>
        <w:spacing w:line="276" w:lineRule="auto"/>
        <w:jc w:val="both"/>
        <w:rPr>
          <w:rFonts w:ascii="Verdana" w:hAnsi="Verdana" w:cs="Arial"/>
          <w:sz w:val="22"/>
          <w:szCs w:val="22"/>
          <w:shd w:val="clear" w:color="auto" w:fill="FFFFFF"/>
        </w:rPr>
      </w:pPr>
      <w:r w:rsidRPr="00DB2DA5">
        <w:rPr>
          <w:rFonts w:ascii="Verdana" w:hAnsi="Verdana" w:cs="Arial"/>
          <w:sz w:val="22"/>
          <w:szCs w:val="22"/>
          <w:shd w:val="clear" w:color="auto" w:fill="FFFFFF"/>
        </w:rPr>
        <w:t xml:space="preserve">LinkedIn: </w:t>
      </w:r>
      <w:r w:rsidRPr="00DB2DA5">
        <w:rPr>
          <w:rStyle w:val="Hipervnculo"/>
          <w:rFonts w:ascii="Verdana" w:hAnsi="Verdana"/>
          <w:sz w:val="22"/>
          <w:szCs w:val="22"/>
          <w:lang w:val="es-ES"/>
        </w:rPr>
        <w:t>Agencia Nacional de Contratación Pública - Colombia Compra Eficiente</w:t>
      </w:r>
      <w:r w:rsidRPr="00DB2DA5">
        <w:rPr>
          <w:rFonts w:ascii="Verdana" w:hAnsi="Verdana" w:cs="Arial"/>
          <w:color w:val="0000FF"/>
          <w:sz w:val="22"/>
          <w:szCs w:val="22"/>
          <w:shd w:val="clear" w:color="auto" w:fill="FFFFFF"/>
        </w:rPr>
        <w:t xml:space="preserve"> </w:t>
      </w:r>
    </w:p>
    <w:p w14:paraId="06F1FA9C" w14:textId="77777777" w:rsidR="00E25D52" w:rsidRPr="00DB2DA5" w:rsidRDefault="00E25D52">
      <w:pPr>
        <w:spacing w:line="276" w:lineRule="auto"/>
        <w:jc w:val="both"/>
        <w:rPr>
          <w:rFonts w:ascii="Verdana" w:hAnsi="Verdana" w:cs="Arial"/>
          <w:sz w:val="22"/>
          <w:szCs w:val="22"/>
          <w:shd w:val="clear" w:color="auto" w:fill="FFFFFF"/>
        </w:rPr>
      </w:pPr>
      <w:r w:rsidRPr="00DB2DA5">
        <w:rPr>
          <w:rFonts w:ascii="Verdana" w:hAnsi="Verdana" w:cs="Arial"/>
          <w:sz w:val="22"/>
          <w:szCs w:val="22"/>
          <w:shd w:val="clear" w:color="auto" w:fill="FFFFFF"/>
        </w:rPr>
        <w:t xml:space="preserve">Instagram: </w:t>
      </w:r>
      <w:r w:rsidRPr="00DB2DA5">
        <w:rPr>
          <w:rStyle w:val="Hipervnculo"/>
          <w:rFonts w:ascii="Verdana" w:hAnsi="Verdana"/>
          <w:sz w:val="22"/>
          <w:szCs w:val="22"/>
          <w:lang w:val="es-ES"/>
        </w:rPr>
        <w:t>@colombiacompraeficiente_cce</w:t>
      </w:r>
    </w:p>
    <w:p w14:paraId="0C27D5E4" w14:textId="77777777" w:rsidR="00E25D52" w:rsidRPr="00DB2DA5" w:rsidRDefault="00E25D52">
      <w:pPr>
        <w:widowControl w:val="0"/>
        <w:autoSpaceDE w:val="0"/>
        <w:autoSpaceDN w:val="0"/>
        <w:spacing w:line="276" w:lineRule="auto"/>
        <w:jc w:val="both"/>
        <w:rPr>
          <w:rFonts w:ascii="Verdana" w:hAnsi="Verdana" w:cs="Arial"/>
          <w:color w:val="ED7D31" w:themeColor="accent2"/>
          <w:sz w:val="22"/>
          <w:szCs w:val="22"/>
          <w:lang w:val="es-ES"/>
        </w:rPr>
      </w:pPr>
    </w:p>
    <w:p w14:paraId="6F454D8A" w14:textId="77777777" w:rsidR="00E25D52" w:rsidRPr="00DB2DA5" w:rsidRDefault="00E25D52">
      <w:pPr>
        <w:widowControl w:val="0"/>
        <w:autoSpaceDE w:val="0"/>
        <w:autoSpaceDN w:val="0"/>
        <w:spacing w:line="276" w:lineRule="auto"/>
        <w:jc w:val="both"/>
        <w:rPr>
          <w:rFonts w:ascii="Verdana" w:hAnsi="Verdana" w:cs="Arial"/>
          <w:sz w:val="22"/>
          <w:szCs w:val="22"/>
          <w:lang w:val="es-ES"/>
        </w:rPr>
      </w:pPr>
      <w:r w:rsidRPr="00DB2DA5">
        <w:rPr>
          <w:rFonts w:ascii="Verdana" w:hAnsi="Verdana" w:cs="Arial"/>
          <w:sz w:val="22"/>
          <w:szCs w:val="22"/>
          <w:lang w:val="es-ES"/>
        </w:rPr>
        <w:t>Este concepto tiene el alcance previsto en el artículo 28 del Código de Procedimiento Administrativo y de lo Contencioso Administrativo y las expresiones aquí utilizadas con mayúscula inicial deben ser entendidas con el significado que les otorga el artículo 2.2.1.1.1.3.1. del Decreto 1082 de 2015.</w:t>
      </w:r>
    </w:p>
    <w:p w14:paraId="50BC8C6F" w14:textId="77777777" w:rsidR="00E25D52" w:rsidRPr="00DB2DA5" w:rsidRDefault="00E25D52">
      <w:pPr>
        <w:widowControl w:val="0"/>
        <w:autoSpaceDE w:val="0"/>
        <w:autoSpaceDN w:val="0"/>
        <w:spacing w:line="276" w:lineRule="auto"/>
        <w:jc w:val="both"/>
        <w:rPr>
          <w:rFonts w:ascii="Verdana" w:hAnsi="Verdana" w:cs="Arial"/>
          <w:sz w:val="22"/>
          <w:szCs w:val="22"/>
          <w:lang w:val="es-ES"/>
        </w:rPr>
      </w:pPr>
    </w:p>
    <w:p w14:paraId="6C646E57" w14:textId="77777777" w:rsidR="00E25D52" w:rsidRPr="00DB2DA5" w:rsidRDefault="00E25D52">
      <w:pPr>
        <w:spacing w:line="276" w:lineRule="auto"/>
        <w:rPr>
          <w:rFonts w:ascii="Verdana" w:hAnsi="Verdana" w:cs="Arial"/>
          <w:sz w:val="22"/>
          <w:szCs w:val="22"/>
          <w:lang w:val="es-ES" w:eastAsia="es-CO"/>
        </w:rPr>
      </w:pPr>
      <w:r w:rsidRPr="00DB2DA5">
        <w:rPr>
          <w:rFonts w:ascii="Verdana" w:hAnsi="Verdana" w:cs="Arial"/>
          <w:sz w:val="22"/>
          <w:szCs w:val="22"/>
          <w:lang w:val="es-ES" w:eastAsia="es-CO"/>
        </w:rPr>
        <w:t xml:space="preserve">Atentamente, </w:t>
      </w:r>
    </w:p>
    <w:p w14:paraId="63E9EEA6" w14:textId="3E8408B9" w:rsidR="00E25D52" w:rsidRPr="00206556" w:rsidRDefault="0029749F" w:rsidP="00E25D52">
      <w:pPr>
        <w:spacing w:line="256" w:lineRule="auto"/>
        <w:jc w:val="center"/>
        <w:rPr>
          <w:rFonts w:ascii="Verdana" w:hAnsi="Verdana" w:cs="Arial"/>
          <w:lang w:eastAsia="es-ES"/>
        </w:rPr>
      </w:pPr>
      <w:r>
        <w:rPr>
          <w:rFonts w:ascii="Verdana" w:hAnsi="Verdana" w:cs="Arial"/>
          <w:noProof/>
          <w:lang w:eastAsia="es-ES"/>
        </w:rPr>
        <w:drawing>
          <wp:inline distT="0" distB="0" distL="0" distR="0" wp14:anchorId="6A4F79D8" wp14:editId="47FAFF97">
            <wp:extent cx="3771900" cy="1400175"/>
            <wp:effectExtent l="0" t="0" r="0" b="9525"/>
            <wp:docPr id="1573596787"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73596787" name="Imagen 1573596787"/>
                    <pic:cNvPicPr/>
                  </pic:nvPicPr>
                  <pic:blipFill>
                    <a:blip r:embed="rId15">
                      <a:extLst>
                        <a:ext uri="{28A0092B-C50C-407E-A947-70E740481C1C}">
                          <a14:useLocalDpi xmlns:a14="http://schemas.microsoft.com/office/drawing/2010/main" val="0"/>
                        </a:ext>
                      </a:extLst>
                    </a:blip>
                    <a:stretch>
                      <a:fillRect/>
                    </a:stretch>
                  </pic:blipFill>
                  <pic:spPr>
                    <a:xfrm>
                      <a:off x="0" y="0"/>
                      <a:ext cx="3771900" cy="1400175"/>
                    </a:xfrm>
                    <a:prstGeom prst="rect">
                      <a:avLst/>
                    </a:prstGeom>
                  </pic:spPr>
                </pic:pic>
              </a:graphicData>
            </a:graphic>
          </wp:inline>
        </w:drawing>
      </w:r>
    </w:p>
    <w:p w14:paraId="207537A4" w14:textId="77777777" w:rsidR="00E25D52" w:rsidRPr="00206556" w:rsidRDefault="00E25D52" w:rsidP="00E25D52">
      <w:pPr>
        <w:rPr>
          <w:rFonts w:ascii="Verdana" w:hAnsi="Verdana" w:cs="Arial"/>
          <w:lang w:eastAsia="es-ES"/>
        </w:rPr>
      </w:pPr>
    </w:p>
    <w:tbl>
      <w:tblPr>
        <w:tblW w:w="6570" w:type="dxa"/>
        <w:tblInd w:w="142" w:type="dxa"/>
        <w:tblBorders>
          <w:top w:val="outset" w:sz="6" w:space="0" w:color="auto"/>
          <w:left w:val="outset" w:sz="6" w:space="0" w:color="auto"/>
          <w:bottom w:val="outset" w:sz="6" w:space="0" w:color="auto"/>
          <w:right w:val="outset" w:sz="6" w:space="0" w:color="auto"/>
        </w:tblBorders>
        <w:tblLayout w:type="fixed"/>
        <w:tblCellMar>
          <w:left w:w="0" w:type="dxa"/>
          <w:right w:w="0" w:type="dxa"/>
        </w:tblCellMar>
        <w:tblLook w:val="04A0" w:firstRow="1" w:lastRow="0" w:firstColumn="1" w:lastColumn="0" w:noHBand="0" w:noVBand="1"/>
      </w:tblPr>
      <w:tblGrid>
        <w:gridCol w:w="733"/>
        <w:gridCol w:w="5837"/>
      </w:tblGrid>
      <w:tr w:rsidR="00E25D52" w:rsidRPr="00206556" w14:paraId="6C53A0CD" w14:textId="77777777" w:rsidTr="00005D22">
        <w:trPr>
          <w:trHeight w:val="322"/>
        </w:trPr>
        <w:tc>
          <w:tcPr>
            <w:tcW w:w="733" w:type="dxa"/>
            <w:tcBorders>
              <w:top w:val="nil"/>
              <w:left w:val="nil"/>
              <w:bottom w:val="nil"/>
              <w:right w:val="nil"/>
            </w:tcBorders>
            <w:vAlign w:val="center"/>
            <w:hideMark/>
          </w:tcPr>
          <w:p w14:paraId="4BE4402E" w14:textId="77777777" w:rsidR="00E25D52" w:rsidRPr="00206556" w:rsidRDefault="00E25D52" w:rsidP="00005D22">
            <w:pPr>
              <w:textAlignment w:val="baseline"/>
              <w:rPr>
                <w:rFonts w:ascii="Verdana" w:hAnsi="Verdana"/>
                <w:sz w:val="16"/>
                <w:szCs w:val="16"/>
                <w:lang w:eastAsia="es-CO"/>
              </w:rPr>
            </w:pPr>
            <w:r>
              <w:rPr>
                <w:rFonts w:ascii="Verdana" w:hAnsi="Verdana"/>
                <w:sz w:val="16"/>
                <w:szCs w:val="16"/>
                <w:lang w:val="es-MX" w:eastAsia="es-CO"/>
              </w:rPr>
              <w:t>Elaboró:         </w:t>
            </w:r>
            <w:r>
              <w:rPr>
                <w:rFonts w:ascii="Verdana" w:hAnsi="Verdana"/>
                <w:sz w:val="16"/>
                <w:szCs w:val="16"/>
                <w:lang w:eastAsia="es-CO"/>
              </w:rPr>
              <w:t> </w:t>
            </w:r>
          </w:p>
        </w:tc>
        <w:tc>
          <w:tcPr>
            <w:tcW w:w="5837" w:type="dxa"/>
            <w:tcBorders>
              <w:top w:val="dotted" w:sz="6" w:space="0" w:color="7F7F7F"/>
              <w:left w:val="nil"/>
              <w:bottom w:val="dotted" w:sz="6" w:space="0" w:color="7F7F7F"/>
              <w:right w:val="nil"/>
            </w:tcBorders>
            <w:vAlign w:val="center"/>
            <w:hideMark/>
          </w:tcPr>
          <w:p w14:paraId="0E7F07FF" w14:textId="77777777" w:rsidR="00E25D52" w:rsidRPr="00206556" w:rsidRDefault="00E25D52" w:rsidP="00005D22">
            <w:pPr>
              <w:textAlignment w:val="baseline"/>
              <w:rPr>
                <w:rFonts w:ascii="Verdana" w:hAnsi="Verdana"/>
                <w:sz w:val="16"/>
                <w:szCs w:val="16"/>
                <w:lang w:eastAsia="es-CO"/>
              </w:rPr>
            </w:pPr>
            <w:r>
              <w:rPr>
                <w:rFonts w:ascii="Verdana" w:hAnsi="Verdana"/>
                <w:sz w:val="16"/>
                <w:szCs w:val="16"/>
                <w:lang w:eastAsia="es-CO"/>
              </w:rPr>
              <w:t>Gloria Elizabeth Arango Builes</w:t>
            </w:r>
          </w:p>
          <w:p w14:paraId="3A62689A" w14:textId="77777777" w:rsidR="00E25D52" w:rsidRPr="00206556" w:rsidRDefault="00E25D52" w:rsidP="00005D22">
            <w:pPr>
              <w:spacing w:line="256" w:lineRule="auto"/>
              <w:rPr>
                <w:rFonts w:ascii="Verdana" w:hAnsi="Verdana" w:cs="Arial"/>
                <w:sz w:val="16"/>
                <w:szCs w:val="16"/>
                <w:lang w:val="es-ES_tradnl" w:eastAsia="es-ES"/>
              </w:rPr>
            </w:pPr>
            <w:r>
              <w:rPr>
                <w:rFonts w:ascii="Verdana" w:hAnsi="Verdana" w:cs="Arial"/>
                <w:sz w:val="16"/>
                <w:szCs w:val="16"/>
                <w:lang w:eastAsia="es-ES"/>
              </w:rPr>
              <w:t xml:space="preserve">Contratista </w:t>
            </w:r>
            <w:r>
              <w:rPr>
                <w:rFonts w:ascii="Verdana" w:hAnsi="Verdana"/>
                <w:sz w:val="16"/>
                <w:szCs w:val="16"/>
                <w:lang w:eastAsia="es-CO"/>
              </w:rPr>
              <w:t>de la Subdirección de Gestión Contractual</w:t>
            </w:r>
          </w:p>
        </w:tc>
      </w:tr>
      <w:tr w:rsidR="00E25D52" w:rsidRPr="00206556" w14:paraId="5110DB42" w14:textId="77777777" w:rsidTr="00005D22">
        <w:trPr>
          <w:trHeight w:val="322"/>
        </w:trPr>
        <w:tc>
          <w:tcPr>
            <w:tcW w:w="733" w:type="dxa"/>
            <w:tcBorders>
              <w:top w:val="nil"/>
              <w:left w:val="nil"/>
              <w:bottom w:val="nil"/>
              <w:right w:val="nil"/>
            </w:tcBorders>
            <w:vAlign w:val="center"/>
            <w:hideMark/>
          </w:tcPr>
          <w:p w14:paraId="5F4CD5E7" w14:textId="77777777" w:rsidR="00E25D52" w:rsidRPr="00206556" w:rsidRDefault="00E25D52" w:rsidP="00005D22">
            <w:pPr>
              <w:textAlignment w:val="baseline"/>
              <w:rPr>
                <w:rFonts w:ascii="Verdana" w:hAnsi="Verdana"/>
                <w:sz w:val="16"/>
                <w:szCs w:val="16"/>
                <w:lang w:eastAsia="es-CO"/>
              </w:rPr>
            </w:pPr>
            <w:r>
              <w:rPr>
                <w:rFonts w:ascii="Verdana" w:hAnsi="Verdana"/>
                <w:sz w:val="16"/>
                <w:szCs w:val="16"/>
                <w:lang w:val="es-MX" w:eastAsia="es-CO"/>
              </w:rPr>
              <w:t>Revisó:</w:t>
            </w:r>
            <w:r>
              <w:rPr>
                <w:rFonts w:ascii="Verdana" w:hAnsi="Verdana"/>
                <w:sz w:val="16"/>
                <w:szCs w:val="16"/>
                <w:lang w:eastAsia="es-CO"/>
              </w:rPr>
              <w:t> </w:t>
            </w:r>
          </w:p>
        </w:tc>
        <w:tc>
          <w:tcPr>
            <w:tcW w:w="5837" w:type="dxa"/>
            <w:tcBorders>
              <w:top w:val="dotted" w:sz="6" w:space="0" w:color="7F7F7F"/>
              <w:left w:val="nil"/>
              <w:bottom w:val="dotted" w:sz="6" w:space="0" w:color="7F7F7F"/>
              <w:right w:val="nil"/>
            </w:tcBorders>
            <w:vAlign w:val="center"/>
            <w:hideMark/>
          </w:tcPr>
          <w:p w14:paraId="21B6DB75" w14:textId="77777777" w:rsidR="00E25D52" w:rsidRPr="00206556" w:rsidRDefault="00E25D52" w:rsidP="00005D22">
            <w:pPr>
              <w:spacing w:line="256" w:lineRule="auto"/>
              <w:rPr>
                <w:rFonts w:ascii="Verdana" w:hAnsi="Verdana" w:cs="Arial"/>
                <w:sz w:val="16"/>
                <w:szCs w:val="16"/>
                <w:lang w:val="es-ES_tradnl" w:eastAsia="es-ES"/>
              </w:rPr>
            </w:pPr>
            <w:r>
              <w:rPr>
                <w:rFonts w:ascii="Verdana" w:hAnsi="Verdana" w:cs="Arial"/>
                <w:sz w:val="16"/>
                <w:szCs w:val="16"/>
                <w:lang w:val="es-ES_tradnl" w:eastAsia="es-ES"/>
              </w:rPr>
              <w:t>Diana Lucía Saavedra Castañeda</w:t>
            </w:r>
          </w:p>
          <w:p w14:paraId="7F0DD77D" w14:textId="77777777" w:rsidR="00E25D52" w:rsidRPr="00206556" w:rsidRDefault="00E25D52" w:rsidP="00005D22">
            <w:pPr>
              <w:autoSpaceDE w:val="0"/>
              <w:autoSpaceDN w:val="0"/>
              <w:adjustRightInd w:val="0"/>
              <w:spacing w:line="276" w:lineRule="auto"/>
              <w:rPr>
                <w:rFonts w:ascii="Verdana" w:hAnsi="Verdana"/>
                <w:sz w:val="16"/>
                <w:szCs w:val="16"/>
                <w:lang w:eastAsia="es-CO"/>
              </w:rPr>
            </w:pPr>
            <w:r>
              <w:rPr>
                <w:rFonts w:ascii="Verdana" w:hAnsi="Verdana" w:cs="Arial"/>
                <w:sz w:val="16"/>
                <w:szCs w:val="16"/>
                <w:lang w:eastAsia="es-ES"/>
              </w:rPr>
              <w:t>Contratista de la Subdirección de Gestión Contractual</w:t>
            </w:r>
          </w:p>
        </w:tc>
      </w:tr>
      <w:tr w:rsidR="00E25D52" w:rsidRPr="00206556" w14:paraId="0DCD28F5" w14:textId="77777777" w:rsidTr="00005D22">
        <w:trPr>
          <w:trHeight w:val="307"/>
        </w:trPr>
        <w:tc>
          <w:tcPr>
            <w:tcW w:w="733" w:type="dxa"/>
            <w:tcBorders>
              <w:top w:val="nil"/>
              <w:left w:val="nil"/>
              <w:bottom w:val="nil"/>
              <w:right w:val="nil"/>
            </w:tcBorders>
            <w:vAlign w:val="center"/>
            <w:hideMark/>
          </w:tcPr>
          <w:p w14:paraId="0EB84EC4" w14:textId="77777777" w:rsidR="00E25D52" w:rsidRPr="00206556" w:rsidRDefault="00E25D52" w:rsidP="00005D22">
            <w:pPr>
              <w:textAlignment w:val="baseline"/>
              <w:rPr>
                <w:rFonts w:ascii="Verdana" w:hAnsi="Verdana"/>
                <w:sz w:val="16"/>
                <w:szCs w:val="16"/>
                <w:lang w:eastAsia="es-CO"/>
              </w:rPr>
            </w:pPr>
            <w:r>
              <w:rPr>
                <w:rFonts w:ascii="Verdana" w:hAnsi="Verdana"/>
                <w:sz w:val="16"/>
                <w:szCs w:val="16"/>
                <w:lang w:val="es-MX" w:eastAsia="es-CO"/>
              </w:rPr>
              <w:t>Aprobó:</w:t>
            </w:r>
            <w:r>
              <w:rPr>
                <w:rFonts w:ascii="Verdana" w:hAnsi="Verdana"/>
                <w:sz w:val="16"/>
                <w:szCs w:val="16"/>
                <w:lang w:eastAsia="es-CO"/>
              </w:rPr>
              <w:t> </w:t>
            </w:r>
          </w:p>
        </w:tc>
        <w:tc>
          <w:tcPr>
            <w:tcW w:w="5837" w:type="dxa"/>
            <w:tcBorders>
              <w:top w:val="dotted" w:sz="6" w:space="0" w:color="7F7F7F"/>
              <w:left w:val="nil"/>
              <w:bottom w:val="dotted" w:sz="6" w:space="0" w:color="7F7F7F"/>
              <w:right w:val="nil"/>
            </w:tcBorders>
            <w:vAlign w:val="center"/>
            <w:hideMark/>
          </w:tcPr>
          <w:p w14:paraId="4FB27C3C" w14:textId="77777777" w:rsidR="00E25D52" w:rsidRPr="00206556" w:rsidRDefault="00E25D52" w:rsidP="00005D22">
            <w:pPr>
              <w:spacing w:line="256" w:lineRule="auto"/>
              <w:rPr>
                <w:rFonts w:ascii="Verdana" w:hAnsi="Verdana" w:cs="Arial"/>
                <w:sz w:val="16"/>
                <w:szCs w:val="16"/>
                <w:lang w:eastAsia="es-ES"/>
              </w:rPr>
            </w:pPr>
            <w:r>
              <w:rPr>
                <w:rFonts w:ascii="Verdana" w:hAnsi="Verdana" w:cs="Arial"/>
                <w:sz w:val="16"/>
                <w:szCs w:val="16"/>
                <w:lang w:eastAsia="es-ES"/>
              </w:rPr>
              <w:t>Carolina Quintero Gacharná</w:t>
            </w:r>
          </w:p>
          <w:p w14:paraId="0D54EB22" w14:textId="77777777" w:rsidR="00E25D52" w:rsidRPr="00206556" w:rsidRDefault="00E25D52" w:rsidP="00005D22">
            <w:pPr>
              <w:spacing w:line="256" w:lineRule="auto"/>
              <w:rPr>
                <w:rFonts w:ascii="Verdana" w:hAnsi="Verdana" w:cs="Arial"/>
                <w:sz w:val="16"/>
                <w:szCs w:val="16"/>
                <w:lang w:eastAsia="es-ES"/>
              </w:rPr>
            </w:pPr>
            <w:r>
              <w:rPr>
                <w:rFonts w:ascii="Verdana" w:hAnsi="Verdana" w:cs="Arial"/>
                <w:sz w:val="16"/>
                <w:szCs w:val="16"/>
                <w:lang w:eastAsia="es-ES"/>
              </w:rPr>
              <w:t>Subdirectora de Gestión Contractual ANCP – CCE</w:t>
            </w:r>
          </w:p>
        </w:tc>
      </w:tr>
    </w:tbl>
    <w:p w14:paraId="69BC4D14" w14:textId="52D9A66F" w:rsidR="00C15139" w:rsidRPr="000E2B93" w:rsidRDefault="00C15139" w:rsidP="30821638">
      <w:pPr>
        <w:textAlignment w:val="baseline"/>
        <w:rPr>
          <w:rFonts w:ascii="Verdana" w:eastAsia="Verdana" w:hAnsi="Verdana" w:cs="Verdana"/>
          <w:lang w:eastAsia="es-CO"/>
        </w:rPr>
      </w:pPr>
      <w:r w:rsidRPr="30821638">
        <w:rPr>
          <w:rFonts w:ascii="Verdana" w:eastAsia="Verdana" w:hAnsi="Verdana" w:cs="Verdana"/>
          <w:lang w:eastAsia="es-CO"/>
        </w:rPr>
        <w:t> </w:t>
      </w:r>
      <w:bookmarkEnd w:id="0"/>
    </w:p>
    <w:sectPr w:rsidR="00C15139" w:rsidRPr="000E2B93" w:rsidSect="007C0C0F">
      <w:headerReference w:type="default" r:id="rId16"/>
      <w:footerReference w:type="default" r:id="rId17"/>
      <w:pgSz w:w="12240" w:h="15840" w:code="1"/>
      <w:pgMar w:top="1417" w:right="1701" w:bottom="1417"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9B21C78" w14:textId="77777777" w:rsidR="007C77B6" w:rsidRDefault="007C77B6" w:rsidP="004A1847">
      <w:r>
        <w:separator/>
      </w:r>
    </w:p>
  </w:endnote>
  <w:endnote w:type="continuationSeparator" w:id="0">
    <w:p w14:paraId="58C34D60" w14:textId="77777777" w:rsidR="007C77B6" w:rsidRDefault="007C77B6" w:rsidP="004A184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MT">
    <w:altName w:val="Arial"/>
    <w:charset w:val="01"/>
    <w:family w:val="swiss"/>
    <w:pitch w:val="variable"/>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Geomanist Light">
    <w:altName w:val="Calibri"/>
    <w:panose1 w:val="00000000000000000000"/>
    <w:charset w:val="00"/>
    <w:family w:val="modern"/>
    <w:notTrueType/>
    <w:pitch w:val="variable"/>
    <w:sig w:usb0="A000002F" w:usb1="1000004A" w:usb2="00000000" w:usb3="00000000" w:csb0="00000193" w:csb1="00000000"/>
  </w:font>
  <w:font w:name="Geomanist">
    <w:altName w:val="Calibri"/>
    <w:panose1 w:val="00000000000000000000"/>
    <w:charset w:val="00"/>
    <w:family w:val="modern"/>
    <w:notTrueType/>
    <w:pitch w:val="variable"/>
    <w:sig w:usb0="A000002F" w:usb1="1000004A" w:usb2="00000000" w:usb3="00000000" w:csb0="00000193" w:csb1="00000000"/>
  </w:font>
  <w:font w:name="Verdana">
    <w:panose1 w:val="020B0604030504040204"/>
    <w:charset w:val="00"/>
    <w:family w:val="swiss"/>
    <w:pitch w:val="variable"/>
    <w:sig w:usb0="A00006FF" w:usb1="4000205B" w:usb2="00000010" w:usb3="00000000" w:csb0="0000019F" w:csb1="00000000"/>
  </w:font>
  <w:font w:name="Roboto">
    <w:charset w:val="00"/>
    <w:family w:val="auto"/>
    <w:pitch w:val="variable"/>
    <w:sig w:usb0="E0000AFF" w:usb1="5000217F" w:usb2="00000021" w:usb3="00000000" w:csb0="0000019F" w:csb1="00000000"/>
  </w:font>
  <w:font w:name="Century Gothic">
    <w:panose1 w:val="020B0502020202020204"/>
    <w:charset w:val="00"/>
    <w:family w:val="swiss"/>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Geomanist Bold">
    <w:altName w:val="Calibri"/>
    <w:panose1 w:val="00000000000000000000"/>
    <w:charset w:val="00"/>
    <w:family w:val="modern"/>
    <w:notTrueType/>
    <w:pitch w:val="variable"/>
    <w:sig w:usb0="A000002F" w:usb1="1000004A" w:usb2="00000000" w:usb3="00000000" w:csb0="00000193" w:csb1="00000000"/>
  </w:font>
  <w:font w:name="Geo">
    <w:altName w:val="Calibri"/>
    <w:charset w:val="00"/>
    <w:family w:val="auto"/>
    <w:pitch w:val="variable"/>
    <w:sig w:usb0="8000002F" w:usb1="40000048"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911A32" w14:textId="6CE791A4" w:rsidR="004A1847" w:rsidRDefault="004A1847">
    <w:pPr>
      <w:pStyle w:val="Piedepgina"/>
    </w:pPr>
  </w:p>
  <w:p w14:paraId="594D6D9F" w14:textId="77777777" w:rsidR="00D520D8" w:rsidRPr="00174B77" w:rsidRDefault="07C73DD1" w:rsidP="07C73DD1">
    <w:pPr>
      <w:pBdr>
        <w:top w:val="single" w:sz="4" w:space="1" w:color="000000"/>
      </w:pBdr>
      <w:rPr>
        <w:rFonts w:ascii="Verdana" w:eastAsia="Verdana" w:hAnsi="Verdana" w:cs="Verdana"/>
        <w:b/>
        <w:bCs/>
        <w:sz w:val="18"/>
        <w:szCs w:val="18"/>
      </w:rPr>
    </w:pPr>
    <w:r w:rsidRPr="07C73DD1">
      <w:rPr>
        <w:rFonts w:ascii="Verdana" w:eastAsia="Verdana" w:hAnsi="Verdana" w:cs="Verdana"/>
        <w:b/>
        <w:bCs/>
        <w:sz w:val="18"/>
        <w:szCs w:val="18"/>
      </w:rPr>
      <w:t xml:space="preserve">Agencia Nacional de Contratación Pública                                              </w:t>
    </w:r>
    <w:r w:rsidRPr="07C73DD1">
      <w:rPr>
        <w:rFonts w:ascii="Verdana" w:eastAsia="Verdana" w:hAnsi="Verdana" w:cs="Verdana"/>
        <w:b/>
        <w:bCs/>
        <w:sz w:val="18"/>
        <w:szCs w:val="18"/>
        <w:lang w:val="es-ES"/>
      </w:rPr>
      <w:t xml:space="preserve">pág. </w:t>
    </w:r>
    <w:r w:rsidR="00D520D8" w:rsidRPr="07C73DD1">
      <w:rPr>
        <w:rFonts w:ascii="Verdana" w:eastAsia="Verdana" w:hAnsi="Verdana" w:cs="Verdana"/>
        <w:b/>
        <w:bCs/>
        <w:sz w:val="18"/>
        <w:szCs w:val="18"/>
      </w:rPr>
      <w:fldChar w:fldCharType="begin"/>
    </w:r>
    <w:r w:rsidR="00D520D8" w:rsidRPr="07C73DD1">
      <w:rPr>
        <w:rFonts w:ascii="Verdana" w:hAnsi="Verdana"/>
        <w:b/>
        <w:bCs/>
        <w:sz w:val="16"/>
        <w:szCs w:val="16"/>
      </w:rPr>
      <w:instrText>PAGE    \* MERGEFORMAT</w:instrText>
    </w:r>
    <w:r w:rsidR="00D520D8" w:rsidRPr="07C73DD1">
      <w:rPr>
        <w:rFonts w:ascii="Verdana" w:eastAsiaTheme="minorEastAsia" w:hAnsi="Verdana" w:cstheme="minorBidi"/>
        <w:b/>
        <w:bCs/>
        <w:sz w:val="16"/>
        <w:szCs w:val="16"/>
      </w:rPr>
      <w:fldChar w:fldCharType="separate"/>
    </w:r>
    <w:r w:rsidRPr="07C73DD1">
      <w:rPr>
        <w:rFonts w:ascii="Verdana" w:eastAsia="Verdana" w:hAnsi="Verdana" w:cs="Verdana"/>
        <w:b/>
        <w:bCs/>
        <w:sz w:val="18"/>
        <w:szCs w:val="18"/>
      </w:rPr>
      <w:t>1</w:t>
    </w:r>
    <w:r w:rsidR="00D520D8" w:rsidRPr="07C73DD1">
      <w:rPr>
        <w:rFonts w:ascii="Verdana" w:eastAsia="Verdana" w:hAnsi="Verdana" w:cs="Verdana"/>
        <w:b/>
        <w:bCs/>
        <w:sz w:val="18"/>
        <w:szCs w:val="18"/>
      </w:rPr>
      <w:fldChar w:fldCharType="end"/>
    </w:r>
    <w:r w:rsidRPr="07C73DD1">
      <w:rPr>
        <w:rFonts w:ascii="Verdana" w:eastAsia="Verdana" w:hAnsi="Verdana" w:cs="Verdana"/>
        <w:b/>
        <w:bCs/>
        <w:sz w:val="18"/>
        <w:szCs w:val="18"/>
      </w:rPr>
      <w:t xml:space="preserve">              Colombia Compra Eficiente         </w:t>
    </w:r>
    <w:r w:rsidRPr="07C73DD1">
      <w:rPr>
        <w:rFonts w:ascii="Verdana" w:eastAsia="Verdana" w:hAnsi="Verdana" w:cs="Verdana"/>
        <w:b/>
        <w:bCs/>
        <w:sz w:val="18"/>
        <w:szCs w:val="18"/>
        <w:lang w:val="es-ES"/>
      </w:rPr>
      <w:t xml:space="preserve"> </w:t>
    </w:r>
    <w:r w:rsidRPr="07C73DD1">
      <w:rPr>
        <w:rFonts w:ascii="Verdana" w:eastAsia="Verdana" w:hAnsi="Verdana" w:cs="Verdana"/>
        <w:b/>
        <w:bCs/>
        <w:sz w:val="18"/>
        <w:szCs w:val="18"/>
      </w:rPr>
      <w:t xml:space="preserve">                                                  </w:t>
    </w:r>
  </w:p>
  <w:p w14:paraId="0A735DD5" w14:textId="77777777" w:rsidR="00D520D8" w:rsidRDefault="07C73DD1" w:rsidP="07C73DD1">
    <w:pPr>
      <w:jc w:val="both"/>
      <w:rPr>
        <w:rFonts w:ascii="Verdana" w:eastAsia="Verdana" w:hAnsi="Verdana" w:cs="Verdana"/>
        <w:sz w:val="18"/>
        <w:szCs w:val="18"/>
      </w:rPr>
    </w:pPr>
    <w:r w:rsidRPr="07C73DD1">
      <w:rPr>
        <w:rFonts w:ascii="Verdana" w:eastAsia="Verdana" w:hAnsi="Verdana" w:cs="Verdana"/>
        <w:sz w:val="18"/>
        <w:szCs w:val="18"/>
      </w:rPr>
      <w:t>Dirección: Carrera 7 # 26 – 20 - Bogotá, Colombia</w:t>
    </w:r>
  </w:p>
  <w:p w14:paraId="06E36B88" w14:textId="77777777" w:rsidR="00D520D8" w:rsidRPr="00E41027" w:rsidRDefault="07C73DD1" w:rsidP="07C73DD1">
    <w:pPr>
      <w:jc w:val="both"/>
      <w:rPr>
        <w:rFonts w:ascii="Verdana" w:eastAsia="Verdana" w:hAnsi="Verdana" w:cs="Verdana"/>
        <w:sz w:val="18"/>
        <w:szCs w:val="18"/>
      </w:rPr>
    </w:pPr>
    <w:r w:rsidRPr="07C73DD1">
      <w:rPr>
        <w:rFonts w:ascii="Verdana" w:eastAsia="Verdana" w:hAnsi="Verdana" w:cs="Verdana"/>
        <w:sz w:val="18"/>
        <w:szCs w:val="18"/>
      </w:rPr>
      <w:t>Mesa de servicio: (+57) 601 7456788</w:t>
    </w:r>
  </w:p>
  <w:p w14:paraId="744661F5" w14:textId="22B9E88F" w:rsidR="006219F8" w:rsidRDefault="07C73DD1" w:rsidP="07C73DD1">
    <w:pPr>
      <w:pBdr>
        <w:top w:val="nil"/>
        <w:left w:val="nil"/>
        <w:bottom w:val="nil"/>
        <w:right w:val="nil"/>
        <w:between w:val="nil"/>
      </w:pBdr>
      <w:tabs>
        <w:tab w:val="center" w:pos="4419"/>
        <w:tab w:val="right" w:pos="8838"/>
        <w:tab w:val="center" w:pos="5400"/>
      </w:tabs>
      <w:jc w:val="right"/>
      <w:rPr>
        <w:rFonts w:ascii="Verdana" w:eastAsia="Verdana" w:hAnsi="Verdana" w:cs="Verdana"/>
        <w:sz w:val="18"/>
        <w:szCs w:val="18"/>
        <w:lang w:eastAsia="es-CO"/>
      </w:rPr>
    </w:pPr>
    <w:r w:rsidRPr="07C73DD1">
      <w:rPr>
        <w:rFonts w:ascii="Verdana" w:eastAsia="Verdana" w:hAnsi="Verdana" w:cs="Verdana"/>
        <w:b/>
        <w:bCs/>
        <w:color w:val="000000" w:themeColor="text1"/>
        <w:sz w:val="18"/>
        <w:szCs w:val="18"/>
        <w:lang w:eastAsia="es-CO"/>
      </w:rPr>
      <w:t xml:space="preserve">Código: </w:t>
    </w:r>
    <w:r w:rsidRPr="07C73DD1">
      <w:rPr>
        <w:rFonts w:ascii="Verdana" w:eastAsia="Verdana" w:hAnsi="Verdana" w:cs="Verdana"/>
        <w:color w:val="000000" w:themeColor="text1"/>
        <w:sz w:val="18"/>
        <w:szCs w:val="18"/>
        <w:lang w:eastAsia="es-CO"/>
      </w:rPr>
      <w:t xml:space="preserve">CCE-REC-FM-17 </w:t>
    </w:r>
    <w:r w:rsidRPr="07C73DD1">
      <w:rPr>
        <w:rFonts w:ascii="Verdana" w:eastAsia="Verdana" w:hAnsi="Verdana" w:cs="Verdana"/>
        <w:b/>
        <w:bCs/>
        <w:color w:val="000000" w:themeColor="text1"/>
        <w:sz w:val="18"/>
        <w:szCs w:val="18"/>
        <w:lang w:eastAsia="es-CO"/>
      </w:rPr>
      <w:t xml:space="preserve">V: </w:t>
    </w:r>
    <w:r w:rsidRPr="07C73DD1">
      <w:rPr>
        <w:rFonts w:ascii="Verdana" w:eastAsia="Verdana" w:hAnsi="Verdana" w:cs="Verdana"/>
        <w:sz w:val="18"/>
        <w:szCs w:val="18"/>
        <w:lang w:eastAsia="es-CO"/>
      </w:rPr>
      <w:t>03 Fecha: 21-10-2025</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54995AA" w14:textId="77777777" w:rsidR="007C77B6" w:rsidRDefault="007C77B6" w:rsidP="004A1847">
      <w:r>
        <w:separator/>
      </w:r>
    </w:p>
  </w:footnote>
  <w:footnote w:type="continuationSeparator" w:id="0">
    <w:p w14:paraId="0FEC0371" w14:textId="77777777" w:rsidR="007C77B6" w:rsidRDefault="007C77B6" w:rsidP="004A1847">
      <w:r>
        <w:continuationSeparator/>
      </w:r>
    </w:p>
  </w:footnote>
  <w:footnote w:id="1">
    <w:p w14:paraId="355E099E" w14:textId="2898D049" w:rsidR="00E25D52" w:rsidRDefault="00E25D52" w:rsidP="00A95FBF">
      <w:pPr>
        <w:pStyle w:val="Textonotapie"/>
        <w:ind w:firstLine="708"/>
        <w:jc w:val="both"/>
        <w:rPr>
          <w:rFonts w:ascii="Verdana" w:hAnsi="Verdana"/>
          <w:sz w:val="16"/>
          <w:szCs w:val="16"/>
        </w:rPr>
      </w:pPr>
      <w:r w:rsidRPr="00EA3A4F">
        <w:rPr>
          <w:rStyle w:val="Refdenotaalpie"/>
          <w:rFonts w:ascii="Verdana" w:hAnsi="Verdana"/>
          <w:sz w:val="16"/>
          <w:szCs w:val="16"/>
        </w:rPr>
        <w:footnoteRef/>
      </w:r>
      <w:r w:rsidRPr="00EA3A4F">
        <w:rPr>
          <w:rFonts w:ascii="Verdana" w:hAnsi="Verdana"/>
          <w:sz w:val="16"/>
          <w:szCs w:val="16"/>
        </w:rPr>
        <w:t xml:space="preserve"> Agencia Nacional de Contratación Pública – Colombia Compra Eficiente. Circular Externa No. 003 del 12 de mayo de 2026, en la que se precisa que el puntaje adicional “únicamente le resulta vinculante a las entidades regidas por la Ley 80 de 1993, en las modalidades de licitación pública y concurso de méritos”, y que los criterios habilitantes diferenciales deben incorporarse “en las modalidades de licitación pública, selección abreviada y concurso de méritos para las entidades regidas por la Ley 80 de 1993, y en los procesos competitivos de las entidades de régimen especial, lo que significa que las modalidades de mínima cuantía y contratación directa están excluidas de esta medida”.</w:t>
      </w:r>
    </w:p>
    <w:p w14:paraId="097B417C" w14:textId="77777777" w:rsidR="00A95FBF" w:rsidRPr="00EA3A4F" w:rsidRDefault="00A95FBF" w:rsidP="00A95FBF">
      <w:pPr>
        <w:pStyle w:val="Textonotapie"/>
        <w:ind w:firstLine="708"/>
        <w:jc w:val="both"/>
        <w:rPr>
          <w:rFonts w:ascii="Verdana" w:hAnsi="Verdana"/>
          <w:sz w:val="16"/>
          <w:szCs w:val="16"/>
        </w:rPr>
      </w:pPr>
    </w:p>
  </w:footnote>
  <w:footnote w:id="2">
    <w:p w14:paraId="73A3D587" w14:textId="588BF807" w:rsidR="00E25D52" w:rsidRDefault="00E25D52" w:rsidP="00A95FBF">
      <w:pPr>
        <w:pStyle w:val="Textonotapie"/>
        <w:ind w:firstLine="708"/>
        <w:jc w:val="both"/>
        <w:rPr>
          <w:rFonts w:ascii="Verdana" w:hAnsi="Verdana"/>
          <w:sz w:val="16"/>
          <w:szCs w:val="16"/>
        </w:rPr>
      </w:pPr>
      <w:r w:rsidRPr="00EA3A4F">
        <w:rPr>
          <w:rStyle w:val="Refdenotaalpie"/>
          <w:rFonts w:ascii="Verdana" w:hAnsi="Verdana"/>
          <w:sz w:val="16"/>
          <w:szCs w:val="16"/>
        </w:rPr>
        <w:footnoteRef/>
      </w:r>
      <w:r w:rsidRPr="00EA3A4F">
        <w:rPr>
          <w:rFonts w:ascii="Verdana" w:hAnsi="Verdana"/>
          <w:sz w:val="16"/>
          <w:szCs w:val="16"/>
        </w:rPr>
        <w:t xml:space="preserve"> Ibidem. La Circular precisa que las compras públicas accesibles tienen por finalidad “que toda compra de bienes, obras o servicios que realicen todos los entes del Estado en general, esto es, los que se rigen por el Estatuto General de Contratación de la Administración Pública (EGCAP) o por régimen especial, y en particular los patrimonios autónomos constituidos por entidades estatales y los particulares que ejecuten recursos públicos, en todas las modalidades de selección, incorporen criterios de accesibilidad”.</w:t>
      </w:r>
    </w:p>
    <w:p w14:paraId="0CB71769" w14:textId="77777777" w:rsidR="00A95FBF" w:rsidRPr="00EA3A4F" w:rsidRDefault="00A95FBF" w:rsidP="00A95FBF">
      <w:pPr>
        <w:pStyle w:val="Textonotapie"/>
        <w:ind w:firstLine="708"/>
        <w:jc w:val="both"/>
        <w:rPr>
          <w:rFonts w:ascii="Verdana" w:hAnsi="Verdana"/>
          <w:sz w:val="16"/>
          <w:szCs w:val="16"/>
        </w:rPr>
      </w:pPr>
    </w:p>
  </w:footnote>
  <w:footnote w:id="3">
    <w:p w14:paraId="7234896C" w14:textId="77777777" w:rsidR="00797D22" w:rsidRPr="00EA3A4F" w:rsidRDefault="00797D22" w:rsidP="00DB2DA5">
      <w:pPr>
        <w:pStyle w:val="NormalWeb"/>
        <w:shd w:val="clear" w:color="auto" w:fill="FFFFFF"/>
        <w:spacing w:before="0" w:beforeAutospacing="0" w:after="0" w:afterAutospacing="0"/>
        <w:ind w:firstLine="851"/>
        <w:jc w:val="both"/>
        <w:rPr>
          <w:rFonts w:ascii="Verdana" w:hAnsi="Verdana"/>
          <w:color w:val="000000" w:themeColor="text1"/>
          <w:sz w:val="16"/>
          <w:szCs w:val="16"/>
        </w:rPr>
      </w:pPr>
      <w:r w:rsidRPr="00EA3A4F">
        <w:rPr>
          <w:rStyle w:val="Refdenotaalpie"/>
          <w:rFonts w:ascii="Verdana" w:hAnsi="Verdana"/>
          <w:color w:val="000000" w:themeColor="text1"/>
          <w:sz w:val="16"/>
          <w:szCs w:val="16"/>
        </w:rPr>
        <w:footnoteRef/>
      </w:r>
      <w:r w:rsidRPr="00EA3A4F">
        <w:rPr>
          <w:rFonts w:ascii="Verdana" w:hAnsi="Verdana"/>
          <w:color w:val="000000" w:themeColor="text1"/>
          <w:sz w:val="16"/>
          <w:szCs w:val="16"/>
        </w:rPr>
        <w:t xml:space="preserve"> </w:t>
      </w:r>
      <w:r w:rsidRPr="00EA3A4F">
        <w:rPr>
          <w:rFonts w:ascii="Verdana" w:hAnsi="Verdana"/>
          <w:b/>
          <w:bCs/>
          <w:color w:val="000000" w:themeColor="text1"/>
          <w:sz w:val="16"/>
          <w:szCs w:val="16"/>
        </w:rPr>
        <w:t>ARTÍCULO 4. Modificación del artículo </w:t>
      </w:r>
      <w:hyperlink r:id="rId1" w:anchor="2.2.1.1.2.2.2" w:tooltip="vinculo" w:history="1">
        <w:r w:rsidRPr="00EA3A4F">
          <w:rPr>
            <w:rFonts w:ascii="Verdana" w:hAnsi="Verdana"/>
            <w:b/>
            <w:bCs/>
            <w:color w:val="000000" w:themeColor="text1"/>
            <w:sz w:val="16"/>
            <w:szCs w:val="16"/>
          </w:rPr>
          <w:t>2.2.1.1.2.2.2</w:t>
        </w:r>
      </w:hyperlink>
      <w:r w:rsidRPr="00EA3A4F">
        <w:rPr>
          <w:rFonts w:ascii="Verdana" w:hAnsi="Verdana"/>
          <w:b/>
          <w:bCs/>
          <w:color w:val="000000" w:themeColor="text1"/>
          <w:sz w:val="16"/>
          <w:szCs w:val="16"/>
        </w:rPr>
        <w:t> de la Subsección 2 de la Sección 2 del Capítulo 1 del Título 1 de la Parte 2 del Libro 2 del Decreto </w:t>
      </w:r>
      <w:hyperlink r:id="rId2" w:anchor="1082" w:tooltip="vinculo" w:history="1">
        <w:r w:rsidRPr="00EA3A4F">
          <w:rPr>
            <w:rFonts w:ascii="Verdana" w:hAnsi="Verdana"/>
            <w:b/>
            <w:bCs/>
            <w:color w:val="000000" w:themeColor="text1"/>
            <w:sz w:val="16"/>
            <w:szCs w:val="16"/>
          </w:rPr>
          <w:t>1082</w:t>
        </w:r>
      </w:hyperlink>
      <w:r w:rsidRPr="00EA3A4F">
        <w:rPr>
          <w:rFonts w:ascii="Verdana" w:hAnsi="Verdana"/>
          <w:b/>
          <w:bCs/>
          <w:color w:val="000000" w:themeColor="text1"/>
          <w:sz w:val="16"/>
          <w:szCs w:val="16"/>
        </w:rPr>
        <w:t> de 2015. </w:t>
      </w:r>
      <w:r w:rsidRPr="00EA3A4F">
        <w:rPr>
          <w:rFonts w:ascii="Verdana" w:hAnsi="Verdana"/>
          <w:color w:val="000000" w:themeColor="text1"/>
          <w:sz w:val="16"/>
          <w:szCs w:val="16"/>
        </w:rPr>
        <w:t>Modifíquese el artículo </w:t>
      </w:r>
      <w:hyperlink r:id="rId3" w:anchor="2.2.1.1.2.2.2" w:tooltip="vinculo" w:history="1">
        <w:r w:rsidRPr="00EA3A4F">
          <w:rPr>
            <w:rFonts w:ascii="Verdana" w:hAnsi="Verdana"/>
            <w:color w:val="000000" w:themeColor="text1"/>
            <w:sz w:val="16"/>
            <w:szCs w:val="16"/>
          </w:rPr>
          <w:t>2.2.1.1.2.2.2</w:t>
        </w:r>
      </w:hyperlink>
      <w:r w:rsidRPr="00EA3A4F">
        <w:rPr>
          <w:rFonts w:ascii="Verdana" w:hAnsi="Verdana"/>
          <w:color w:val="000000" w:themeColor="text1"/>
          <w:sz w:val="16"/>
          <w:szCs w:val="16"/>
        </w:rPr>
        <w:t>. de la Subsección 2 de la Sección 2 del Capítulo 1 del Título 1 de la Parte 2 del Libro 2 del Decreto 1082 de 2015, el cual quedará así:</w:t>
      </w:r>
    </w:p>
    <w:p w14:paraId="6488D783" w14:textId="77777777" w:rsidR="00797D22" w:rsidRPr="00A95FBF" w:rsidRDefault="00797D22" w:rsidP="00A95FBF">
      <w:pPr>
        <w:shd w:val="clear" w:color="auto" w:fill="FFFFFF"/>
        <w:ind w:firstLine="851"/>
        <w:jc w:val="both"/>
        <w:rPr>
          <w:rFonts w:ascii="Verdana" w:hAnsi="Verdana"/>
          <w:color w:val="000000" w:themeColor="text1"/>
          <w:sz w:val="16"/>
          <w:szCs w:val="16"/>
          <w:lang w:eastAsia="es-CO"/>
        </w:rPr>
      </w:pPr>
      <w:r w:rsidRPr="00A95FBF">
        <w:rPr>
          <w:rFonts w:ascii="Verdana" w:hAnsi="Verdana"/>
          <w:color w:val="000000" w:themeColor="text1"/>
          <w:sz w:val="16"/>
          <w:szCs w:val="16"/>
          <w:lang w:eastAsia="es-CO"/>
        </w:rPr>
        <w:t> </w:t>
      </w:r>
    </w:p>
    <w:p w14:paraId="70C0B05A" w14:textId="77777777" w:rsidR="00797D22" w:rsidRPr="00EA3A4F" w:rsidRDefault="00797D22" w:rsidP="00A95FBF">
      <w:pPr>
        <w:shd w:val="clear" w:color="auto" w:fill="FFFFFF"/>
        <w:ind w:firstLine="851"/>
        <w:jc w:val="both"/>
        <w:rPr>
          <w:rFonts w:ascii="Verdana" w:hAnsi="Verdana"/>
          <w:color w:val="000000" w:themeColor="text1"/>
          <w:sz w:val="16"/>
          <w:szCs w:val="16"/>
          <w:lang w:eastAsia="es-CO"/>
        </w:rPr>
      </w:pPr>
      <w:r w:rsidRPr="00A95FBF">
        <w:rPr>
          <w:rFonts w:ascii="Verdana" w:hAnsi="Verdana"/>
          <w:b/>
          <w:bCs/>
          <w:color w:val="000000" w:themeColor="text1"/>
          <w:sz w:val="16"/>
          <w:szCs w:val="16"/>
          <w:lang w:eastAsia="es-CO"/>
        </w:rPr>
        <w:t>"ARTÍCULO </w:t>
      </w:r>
      <w:hyperlink r:id="rId4" w:anchor="2.2.1.1.2.2.2" w:tooltip="vinculo" w:history="1">
        <w:r w:rsidRPr="00EA3A4F">
          <w:rPr>
            <w:rFonts w:ascii="Verdana" w:hAnsi="Verdana"/>
            <w:b/>
            <w:bCs/>
            <w:color w:val="000000" w:themeColor="text1"/>
            <w:sz w:val="16"/>
            <w:szCs w:val="16"/>
            <w:lang w:eastAsia="es-CO"/>
          </w:rPr>
          <w:t>2.2.1.1.2.2.2</w:t>
        </w:r>
      </w:hyperlink>
      <w:r w:rsidRPr="00EA3A4F">
        <w:rPr>
          <w:rFonts w:ascii="Verdana" w:hAnsi="Verdana"/>
          <w:b/>
          <w:bCs/>
          <w:color w:val="000000" w:themeColor="text1"/>
          <w:sz w:val="16"/>
          <w:szCs w:val="16"/>
          <w:lang w:eastAsia="es-CO"/>
        </w:rPr>
        <w:t>. Ofrecimiento más favorable. </w:t>
      </w:r>
      <w:r w:rsidRPr="00EA3A4F">
        <w:rPr>
          <w:rFonts w:ascii="Verdana" w:hAnsi="Verdana"/>
          <w:color w:val="000000" w:themeColor="text1"/>
          <w:sz w:val="16"/>
          <w:szCs w:val="16"/>
          <w:lang w:eastAsia="es-CO"/>
        </w:rPr>
        <w:t>La Entidad Estatal debe determinar la oferta más favorable teniendo en cuenta las normas aplicables a cada modalidad de selección del contratista.</w:t>
      </w:r>
    </w:p>
    <w:p w14:paraId="2B3A5EE3" w14:textId="77777777" w:rsidR="00797D22" w:rsidRPr="00A95FBF" w:rsidRDefault="00797D22">
      <w:pPr>
        <w:shd w:val="clear" w:color="auto" w:fill="FFFFFF"/>
        <w:ind w:firstLine="851"/>
        <w:jc w:val="both"/>
        <w:rPr>
          <w:rFonts w:ascii="Verdana" w:hAnsi="Verdana"/>
          <w:color w:val="000000" w:themeColor="text1"/>
          <w:sz w:val="16"/>
          <w:szCs w:val="16"/>
          <w:lang w:eastAsia="es-CO"/>
        </w:rPr>
      </w:pPr>
      <w:r w:rsidRPr="00A95FBF">
        <w:rPr>
          <w:rFonts w:ascii="Verdana" w:hAnsi="Verdana"/>
          <w:color w:val="000000" w:themeColor="text1"/>
          <w:sz w:val="16"/>
          <w:szCs w:val="16"/>
          <w:lang w:eastAsia="es-CO"/>
        </w:rPr>
        <w:t>En la licitación y la selección abreviada de menor cuantía, la Entidad Estatal debe determinar la oferta más favorable teniendo en cuenta: (a) la ponderación de los elementos de calidad y precio soportados en puntajes o fórmulas; o (b) la ponderación de los elementos de calidad y precio que representen la mejor relación de costo-beneficio.</w:t>
      </w:r>
    </w:p>
    <w:p w14:paraId="7956FD68" w14:textId="77777777" w:rsidR="00797D22" w:rsidRPr="00EA3A4F" w:rsidRDefault="00797D22">
      <w:pPr>
        <w:shd w:val="clear" w:color="auto" w:fill="FFFFFF"/>
        <w:ind w:firstLine="851"/>
        <w:jc w:val="both"/>
        <w:rPr>
          <w:rFonts w:ascii="Verdana" w:hAnsi="Verdana"/>
          <w:color w:val="000000" w:themeColor="text1"/>
          <w:sz w:val="16"/>
          <w:szCs w:val="16"/>
          <w:lang w:eastAsia="es-CO"/>
        </w:rPr>
      </w:pPr>
      <w:r w:rsidRPr="00EA3A4F">
        <w:rPr>
          <w:rFonts w:ascii="Verdana" w:hAnsi="Verdana"/>
          <w:color w:val="000000" w:themeColor="text1"/>
          <w:sz w:val="16"/>
          <w:szCs w:val="16"/>
          <w:lang w:eastAsia="es-CO"/>
        </w:rPr>
        <w:t>Si la Entidad Estatal decide determinar la oferta de acuerdo con el literal (b) anterior debe señalar en los pliegos de condiciones:</w:t>
      </w:r>
    </w:p>
    <w:p w14:paraId="194481E9" w14:textId="77777777" w:rsidR="00797D22" w:rsidRPr="00EA3A4F" w:rsidRDefault="00797D22">
      <w:pPr>
        <w:shd w:val="clear" w:color="auto" w:fill="FFFFFF"/>
        <w:ind w:firstLine="851"/>
        <w:jc w:val="both"/>
        <w:rPr>
          <w:rFonts w:ascii="Verdana" w:hAnsi="Verdana"/>
          <w:color w:val="000000" w:themeColor="text1"/>
          <w:sz w:val="16"/>
          <w:szCs w:val="16"/>
          <w:lang w:eastAsia="es-CO"/>
        </w:rPr>
      </w:pPr>
      <w:r w:rsidRPr="00EA3A4F">
        <w:rPr>
          <w:rFonts w:ascii="Verdana" w:hAnsi="Verdana"/>
          <w:color w:val="000000" w:themeColor="text1"/>
          <w:sz w:val="16"/>
          <w:szCs w:val="16"/>
          <w:lang w:eastAsia="es-CO"/>
        </w:rPr>
        <w:t>(…)</w:t>
      </w:r>
    </w:p>
    <w:p w14:paraId="74387652" w14:textId="77777777" w:rsidR="00797D22" w:rsidRPr="00EA3A4F" w:rsidRDefault="00797D22">
      <w:pPr>
        <w:shd w:val="clear" w:color="auto" w:fill="FFFFFF"/>
        <w:ind w:firstLine="851"/>
        <w:jc w:val="both"/>
        <w:rPr>
          <w:rFonts w:ascii="Verdana" w:hAnsi="Verdana"/>
          <w:color w:val="000000" w:themeColor="text1"/>
          <w:sz w:val="16"/>
          <w:szCs w:val="16"/>
          <w:lang w:eastAsia="es-CO"/>
        </w:rPr>
      </w:pPr>
      <w:r w:rsidRPr="00EA3A4F">
        <w:rPr>
          <w:rFonts w:ascii="Verdana" w:hAnsi="Verdana"/>
          <w:b/>
          <w:bCs/>
          <w:color w:val="000000" w:themeColor="text1"/>
          <w:sz w:val="16"/>
          <w:szCs w:val="16"/>
          <w:lang w:eastAsia="es-CO"/>
        </w:rPr>
        <w:t>PARÁGRAFO. </w:t>
      </w:r>
      <w:r w:rsidRPr="00EA3A4F">
        <w:rPr>
          <w:rFonts w:ascii="Verdana" w:hAnsi="Verdana"/>
          <w:color w:val="000000" w:themeColor="text1"/>
          <w:sz w:val="16"/>
          <w:szCs w:val="16"/>
          <w:lang w:eastAsia="es-CO"/>
        </w:rPr>
        <w:t>Los criterios de calidad para evaluar la mejor relación calidad precio podrán incluir criterios ambientales o sociales vinculados al objeto del contrato.</w:t>
      </w:r>
    </w:p>
    <w:p w14:paraId="35202E36" w14:textId="77777777" w:rsidR="00797D22" w:rsidRPr="00EA3A4F" w:rsidRDefault="00797D22">
      <w:pPr>
        <w:shd w:val="clear" w:color="auto" w:fill="FFFFFF"/>
        <w:ind w:firstLine="851"/>
        <w:jc w:val="both"/>
        <w:rPr>
          <w:rFonts w:ascii="Verdana" w:hAnsi="Verdana"/>
          <w:color w:val="000000" w:themeColor="text1"/>
          <w:sz w:val="16"/>
          <w:szCs w:val="16"/>
          <w:lang w:eastAsia="es-CO"/>
        </w:rPr>
      </w:pPr>
      <w:r w:rsidRPr="00EA3A4F">
        <w:rPr>
          <w:rFonts w:ascii="Verdana" w:hAnsi="Verdana"/>
          <w:color w:val="000000" w:themeColor="text1"/>
          <w:sz w:val="16"/>
          <w:szCs w:val="16"/>
          <w:lang w:eastAsia="es-CO"/>
        </w:rPr>
        <w:t>Los criterios ambientales podrán referirse, entre otras, a variables como la reducción del nivel de emisión de gases de efecto invernadero; el empleo de medidas de eficiencia energética y la utilización de energía procedente de fuentes renovables durante la ejecución del contrato.</w:t>
      </w:r>
    </w:p>
    <w:p w14:paraId="2E99A25D" w14:textId="77777777" w:rsidR="00797D22" w:rsidRPr="00EA3A4F" w:rsidRDefault="00797D22">
      <w:pPr>
        <w:shd w:val="clear" w:color="auto" w:fill="FFFFFF"/>
        <w:ind w:firstLine="851"/>
        <w:jc w:val="both"/>
        <w:rPr>
          <w:rFonts w:ascii="Verdana" w:hAnsi="Verdana"/>
          <w:color w:val="000000" w:themeColor="text1"/>
          <w:sz w:val="16"/>
          <w:szCs w:val="16"/>
          <w:lang w:eastAsia="es-CO"/>
        </w:rPr>
      </w:pPr>
      <w:r w:rsidRPr="00EA3A4F">
        <w:rPr>
          <w:rFonts w:ascii="Verdana" w:hAnsi="Verdana"/>
          <w:color w:val="000000" w:themeColor="text1"/>
          <w:sz w:val="16"/>
          <w:szCs w:val="16"/>
          <w:lang w:eastAsia="es-CO"/>
        </w:rPr>
        <w:t> Los criterios sociales se referirán, entre otras, a las siguientes finalidades: fomento de la integración social de personas con discapacidad, inclusión de personas pertenecientes a grupos vulnerables en la ejecución del contrato y, en general, la inserción sociolaboral de personas en situación de riesgo de exclusión social y la eliminación de criterios sospechosos de discriminación; el fomento de la contratación femenina o población LGTBIQ+; madres cabeza de hogar; personas que no cuenten con cualificaciones educativas de formación secundaria o profesional superior,; víctimas del conflicto armado; criterios referidos al suministro o a la utilización de productos basados en un comercio justo durante la ejecución del contrato, en los términos definidos por el artículo 4 de la Ley 2046 de 2020.</w:t>
      </w:r>
    </w:p>
    <w:p w14:paraId="56F68DF8" w14:textId="6709DC14" w:rsidR="00797D22" w:rsidRDefault="00797D22" w:rsidP="00A95FBF">
      <w:pPr>
        <w:shd w:val="clear" w:color="auto" w:fill="FFFFFF"/>
        <w:ind w:firstLine="851"/>
        <w:jc w:val="both"/>
        <w:rPr>
          <w:rFonts w:ascii="Verdana" w:hAnsi="Verdana"/>
          <w:color w:val="000000" w:themeColor="text1"/>
          <w:sz w:val="16"/>
          <w:szCs w:val="16"/>
          <w:lang w:eastAsia="es-CO"/>
        </w:rPr>
      </w:pPr>
      <w:r w:rsidRPr="00EA3A4F">
        <w:rPr>
          <w:rFonts w:ascii="Verdana" w:hAnsi="Verdana"/>
          <w:color w:val="000000" w:themeColor="text1"/>
          <w:sz w:val="16"/>
          <w:szCs w:val="16"/>
          <w:lang w:eastAsia="es-CO"/>
        </w:rPr>
        <w:t>En el marco de las competencias atribuidas por el Decreto Ley </w:t>
      </w:r>
      <w:hyperlink r:id="rId5" w:anchor="4170" w:tooltip="vinculo" w:history="1">
        <w:r w:rsidRPr="00EA3A4F">
          <w:rPr>
            <w:rFonts w:ascii="Verdana" w:hAnsi="Verdana"/>
            <w:color w:val="000000" w:themeColor="text1"/>
            <w:sz w:val="16"/>
            <w:szCs w:val="16"/>
            <w:lang w:eastAsia="es-CO"/>
          </w:rPr>
          <w:t>4170</w:t>
        </w:r>
      </w:hyperlink>
      <w:r w:rsidRPr="00EA3A4F">
        <w:rPr>
          <w:rFonts w:ascii="Verdana" w:hAnsi="Verdana"/>
          <w:color w:val="000000" w:themeColor="text1"/>
          <w:sz w:val="16"/>
          <w:szCs w:val="16"/>
          <w:lang w:eastAsia="es-CO"/>
        </w:rPr>
        <w:t> de 2011, la Agencia Nacional de Contratación Pública -Colombia Compra Eficiente adoptará instrumentos dirigidos a orientar a las Entidades Estatales en la aplicación de estos criterios sociales y ambientales."</w:t>
      </w:r>
    </w:p>
    <w:p w14:paraId="004CC94E" w14:textId="77777777" w:rsidR="00A95FBF" w:rsidRPr="00EA3A4F" w:rsidRDefault="00A95FBF" w:rsidP="00A95FBF">
      <w:pPr>
        <w:shd w:val="clear" w:color="auto" w:fill="FFFFFF"/>
        <w:ind w:firstLine="851"/>
        <w:jc w:val="both"/>
        <w:rPr>
          <w:rFonts w:ascii="Verdana" w:hAnsi="Verdana"/>
          <w:color w:val="333333"/>
          <w:sz w:val="16"/>
          <w:szCs w:val="16"/>
          <w:lang w:eastAsia="es-CO"/>
        </w:rPr>
      </w:pPr>
    </w:p>
  </w:footnote>
  <w:footnote w:id="4">
    <w:p w14:paraId="39099F84" w14:textId="012039DC" w:rsidR="00EA3A4F" w:rsidRDefault="00EA3A4F" w:rsidP="00A95FBF">
      <w:pPr>
        <w:pStyle w:val="Textonotapie"/>
        <w:ind w:firstLine="708"/>
        <w:jc w:val="both"/>
        <w:rPr>
          <w:rFonts w:ascii="Verdana" w:hAnsi="Verdana"/>
          <w:sz w:val="16"/>
          <w:szCs w:val="16"/>
        </w:rPr>
      </w:pPr>
      <w:r w:rsidRPr="00DB2DA5">
        <w:rPr>
          <w:rStyle w:val="Refdenotaalpie"/>
          <w:rFonts w:ascii="Verdana" w:hAnsi="Verdana"/>
          <w:sz w:val="16"/>
          <w:szCs w:val="16"/>
        </w:rPr>
        <w:footnoteRef/>
      </w:r>
      <w:r w:rsidRPr="00DB2DA5">
        <w:rPr>
          <w:rFonts w:ascii="Verdana" w:hAnsi="Verdana"/>
          <w:sz w:val="16"/>
          <w:szCs w:val="16"/>
        </w:rPr>
        <w:t xml:space="preserve"> Agencia Nacional de Contratación Pública – Colombia Compra Eficiente. “Guía de Contratación Pública Sostenible y Socialmente Responsable” Disponible en: </w:t>
      </w:r>
      <w:hyperlink r:id="rId6" w:history="1">
        <w:r w:rsidR="00A95FBF" w:rsidRPr="00DB2DA5">
          <w:rPr>
            <w:rStyle w:val="Hipervnculo"/>
            <w:sz w:val="16"/>
            <w:szCs w:val="16"/>
          </w:rPr>
          <w:t>https://www.colombiacompra.gov.co/wp-content/uploads/2025/06/Guia-de-Compras-Publicas-Sostenibles-y-Socialmente-Responsables-2025.pdf</w:t>
        </w:r>
      </w:hyperlink>
      <w:r w:rsidRPr="00DB2DA5">
        <w:rPr>
          <w:rFonts w:ascii="Verdana" w:hAnsi="Verdana"/>
          <w:sz w:val="16"/>
          <w:szCs w:val="16"/>
        </w:rPr>
        <w:t xml:space="preserve"> </w:t>
      </w:r>
    </w:p>
    <w:p w14:paraId="752C67F3" w14:textId="77777777" w:rsidR="00A95FBF" w:rsidRPr="00DB2DA5" w:rsidRDefault="00A95FBF" w:rsidP="00DB2DA5">
      <w:pPr>
        <w:pStyle w:val="Textonotapie"/>
        <w:ind w:firstLine="708"/>
        <w:jc w:val="both"/>
        <w:rPr>
          <w:rFonts w:ascii="Verdana" w:hAnsi="Verdana"/>
          <w:sz w:val="16"/>
          <w:szCs w:val="16"/>
          <w:lang w:val="es-ES"/>
        </w:rPr>
      </w:pPr>
    </w:p>
  </w:footnote>
  <w:footnote w:id="5">
    <w:p w14:paraId="6F4381CB" w14:textId="4C586904" w:rsidR="00E25D52" w:rsidRDefault="00E25D52" w:rsidP="00A95FBF">
      <w:pPr>
        <w:pStyle w:val="Textonotapie"/>
        <w:ind w:firstLine="708"/>
        <w:jc w:val="both"/>
        <w:rPr>
          <w:rFonts w:ascii="Verdana" w:hAnsi="Verdana"/>
          <w:sz w:val="16"/>
          <w:szCs w:val="16"/>
        </w:rPr>
      </w:pPr>
      <w:r w:rsidRPr="00EA3A4F">
        <w:rPr>
          <w:rStyle w:val="Refdenotaalpie"/>
          <w:rFonts w:ascii="Verdana" w:hAnsi="Verdana"/>
          <w:sz w:val="16"/>
          <w:szCs w:val="16"/>
        </w:rPr>
        <w:footnoteRef/>
      </w:r>
      <w:r w:rsidRPr="00EA3A4F">
        <w:rPr>
          <w:rFonts w:ascii="Verdana" w:hAnsi="Verdana"/>
          <w:sz w:val="16"/>
          <w:szCs w:val="16"/>
        </w:rPr>
        <w:t xml:space="preserve"> Decreto 1082 de 2015: “Artículo 2.2.1.1.2.1.1. Estudios y documentos previos. Los estudios y documentos previos son el soporte para elaborar el proyecto de pliegos, los pliegos de condiciones, y el contrato. Deben permanecer a disposición del público durante el desarrollo del Proceso de Contratación y contener los siguientes elementos, además de los indicados para cada modalidad de selección: 1. La descripción de la necesidad que la Entidad Estatal pretende satisfacer con el Proceso de Contratación. 2. El objeto a contratar, con sus especificaciones, las autorizaciones,</w:t>
      </w:r>
      <w:r w:rsidRPr="00A95FBF">
        <w:rPr>
          <w:rFonts w:ascii="Verdana" w:hAnsi="Verdana"/>
          <w:sz w:val="16"/>
          <w:szCs w:val="16"/>
        </w:rPr>
        <w:t xml:space="preserve"> permisos y licencias requeridos para su ejecución, y cuando el contrato incluye diseño y construcción, los documentos técnicos para el desarrollo del proyecto. 3. La modalidad de selección del contratista y su justificación, incluyendo los fundamentos jurídicos. 4. El valor estimado del contrato y la justificación </w:t>
      </w:r>
      <w:proofErr w:type="gramStart"/>
      <w:r w:rsidRPr="00A95FBF">
        <w:rPr>
          <w:rFonts w:ascii="Verdana" w:hAnsi="Verdana"/>
          <w:sz w:val="16"/>
          <w:szCs w:val="16"/>
        </w:rPr>
        <w:t>del mismo</w:t>
      </w:r>
      <w:proofErr w:type="gramEnd"/>
      <w:r w:rsidRPr="00A95FBF">
        <w:rPr>
          <w:rFonts w:ascii="Verdana" w:hAnsi="Verdana"/>
          <w:sz w:val="16"/>
          <w:szCs w:val="16"/>
        </w:rPr>
        <w:t xml:space="preserve"> […] 5. Los criterios para seleccionar la oferta más favorable. 6. El análisis de Riesgo y la forma de mitigarlo. 7. Las garantías que la Entidad Estatal contempla exigir en el Proceso de Contratación. 8. La indicación de si el Proceso de Contratación está cobijado por un Acuerdo Comercial. El presente artículo no es aplicable a la contratación por mínima cuantía”.</w:t>
      </w:r>
    </w:p>
    <w:p w14:paraId="76C18BDA" w14:textId="77777777" w:rsidR="00A95FBF" w:rsidRPr="00A95FBF" w:rsidRDefault="00A95FBF" w:rsidP="00A95FBF">
      <w:pPr>
        <w:pStyle w:val="Textonotapie"/>
        <w:ind w:firstLine="708"/>
        <w:jc w:val="both"/>
        <w:rPr>
          <w:rFonts w:ascii="Verdana" w:hAnsi="Verdana"/>
          <w:sz w:val="16"/>
          <w:szCs w:val="16"/>
        </w:rPr>
      </w:pPr>
    </w:p>
  </w:footnote>
  <w:footnote w:id="6">
    <w:p w14:paraId="0BD73C5D" w14:textId="7A1F27D9" w:rsidR="00E25D52" w:rsidRDefault="00E25D52" w:rsidP="00A95FBF">
      <w:pPr>
        <w:pStyle w:val="Textonotapie"/>
        <w:ind w:firstLine="708"/>
        <w:jc w:val="both"/>
        <w:rPr>
          <w:rFonts w:ascii="Verdana" w:hAnsi="Verdana"/>
          <w:sz w:val="16"/>
          <w:szCs w:val="16"/>
        </w:rPr>
      </w:pPr>
      <w:r w:rsidRPr="00EA3A4F">
        <w:rPr>
          <w:rStyle w:val="Refdenotaalpie"/>
          <w:rFonts w:ascii="Verdana" w:hAnsi="Verdana"/>
          <w:sz w:val="16"/>
          <w:szCs w:val="16"/>
        </w:rPr>
        <w:footnoteRef/>
      </w:r>
      <w:r w:rsidRPr="00EA3A4F">
        <w:rPr>
          <w:rFonts w:ascii="Verdana" w:hAnsi="Verdana"/>
          <w:sz w:val="16"/>
          <w:szCs w:val="16"/>
        </w:rPr>
        <w:t xml:space="preserve"> La Circular Externa No. 003 de 2026 incorpora un cuadro de aplicación de las medidas por régimen de contratación y modalidad de selección, en el que se identifican las que resultan aplicables a la contratación directa.</w:t>
      </w:r>
    </w:p>
    <w:p w14:paraId="1848A134" w14:textId="77777777" w:rsidR="00A95FBF" w:rsidRPr="00EA3A4F" w:rsidRDefault="00A95FBF" w:rsidP="00A95FBF">
      <w:pPr>
        <w:pStyle w:val="Textonotapie"/>
        <w:ind w:firstLine="708"/>
        <w:jc w:val="both"/>
        <w:rPr>
          <w:rFonts w:ascii="Verdana" w:hAnsi="Verdana"/>
          <w:sz w:val="16"/>
          <w:szCs w:val="16"/>
        </w:rPr>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5F4D03" w14:textId="0903BF04" w:rsidR="00756841" w:rsidRDefault="009D3058" w:rsidP="00844AE9">
    <w:pPr>
      <w:pStyle w:val="Encabezado"/>
      <w:spacing w:line="120" w:lineRule="auto"/>
    </w:pPr>
    <w:r>
      <w:rPr>
        <w:rFonts w:ascii="Geomanist Bold" w:hAnsi="Geomanist Bold"/>
        <w:b/>
        <w:bCs/>
        <w:noProof/>
        <w:color w:val="002060"/>
        <w:sz w:val="24"/>
        <w:szCs w:val="24"/>
      </w:rPr>
      <w:drawing>
        <wp:anchor distT="0" distB="0" distL="114300" distR="114300" simplePos="0" relativeHeight="251665408" behindDoc="1" locked="0" layoutInCell="1" allowOverlap="1" wp14:anchorId="6FC3B35F" wp14:editId="51872E67">
          <wp:simplePos x="0" y="0"/>
          <wp:positionH relativeFrom="margin">
            <wp:align>center</wp:align>
          </wp:positionH>
          <wp:positionV relativeFrom="paragraph">
            <wp:posOffset>-256388</wp:posOffset>
          </wp:positionV>
          <wp:extent cx="1924050" cy="856004"/>
          <wp:effectExtent l="0" t="0" r="0" b="1270"/>
          <wp:wrapNone/>
          <wp:docPr id="1309089902" name="Imagen 1" descr="Imagen que contiene Interfaz de usuario gráfic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9089902" name="Imagen 1" descr="Imagen que contiene Interfaz de usuario gráfica&#10;&#10;Descripción generada automáticamente"/>
                  <pic:cNvPicPr/>
                </pic:nvPicPr>
                <pic:blipFill>
                  <a:blip r:embed="rId1">
                    <a:extLst>
                      <a:ext uri="{28A0092B-C50C-407E-A947-70E740481C1C}">
                        <a14:useLocalDpi xmlns:a14="http://schemas.microsoft.com/office/drawing/2010/main" val="0"/>
                      </a:ext>
                    </a:extLst>
                  </a:blip>
                  <a:stretch>
                    <a:fillRect/>
                  </a:stretch>
                </pic:blipFill>
                <pic:spPr>
                  <a:xfrm>
                    <a:off x="0" y="0"/>
                    <a:ext cx="1924050" cy="856004"/>
                  </a:xfrm>
                  <a:prstGeom prst="rect">
                    <a:avLst/>
                  </a:prstGeom>
                </pic:spPr>
              </pic:pic>
            </a:graphicData>
          </a:graphic>
          <wp14:sizeRelH relativeFrom="margin">
            <wp14:pctWidth>0</wp14:pctWidth>
          </wp14:sizeRelH>
          <wp14:sizeRelV relativeFrom="margin">
            <wp14:pctHeight>0</wp14:pctHeight>
          </wp14:sizeRelV>
        </wp:anchor>
      </w:drawing>
    </w:r>
    <w:r w:rsidR="00E90F6B">
      <w:rPr>
        <w:rFonts w:ascii="Geomanist Bold" w:hAnsi="Geomanist Bold"/>
        <w:b/>
        <w:bCs/>
        <w:noProof/>
        <w:color w:val="002060"/>
        <w:sz w:val="24"/>
        <w:szCs w:val="24"/>
      </w:rPr>
      <w:drawing>
        <wp:anchor distT="0" distB="0" distL="114300" distR="114300" simplePos="0" relativeHeight="251663360" behindDoc="0" locked="0" layoutInCell="1" allowOverlap="1" wp14:anchorId="4F745D08" wp14:editId="02405FCC">
          <wp:simplePos x="0" y="0"/>
          <wp:positionH relativeFrom="margin">
            <wp:posOffset>8420100</wp:posOffset>
          </wp:positionH>
          <wp:positionV relativeFrom="margin">
            <wp:posOffset>-1377950</wp:posOffset>
          </wp:positionV>
          <wp:extent cx="665480" cy="3098800"/>
          <wp:effectExtent l="0" t="0" r="0" b="0"/>
          <wp:wrapThrough wrapText="bothSides">
            <wp:wrapPolygon edited="0">
              <wp:start x="6183" y="0"/>
              <wp:lineTo x="0" y="1416"/>
              <wp:lineTo x="5359" y="2833"/>
              <wp:lineTo x="2061" y="4249"/>
              <wp:lineTo x="412" y="4780"/>
              <wp:lineTo x="824" y="5134"/>
              <wp:lineTo x="3298" y="5666"/>
              <wp:lineTo x="4534" y="7082"/>
              <wp:lineTo x="412" y="7967"/>
              <wp:lineTo x="0" y="8233"/>
              <wp:lineTo x="5771" y="9915"/>
              <wp:lineTo x="0" y="11508"/>
              <wp:lineTo x="0" y="11685"/>
              <wp:lineTo x="4122" y="12748"/>
              <wp:lineTo x="2061" y="14164"/>
              <wp:lineTo x="0" y="14872"/>
              <wp:lineTo x="0" y="15049"/>
              <wp:lineTo x="2061" y="15580"/>
              <wp:lineTo x="4534" y="16997"/>
              <wp:lineTo x="0" y="18059"/>
              <wp:lineTo x="0" y="18413"/>
              <wp:lineTo x="10718" y="21246"/>
              <wp:lineTo x="12366" y="21511"/>
              <wp:lineTo x="14427" y="21511"/>
              <wp:lineTo x="14840" y="21511"/>
              <wp:lineTo x="17313" y="20980"/>
              <wp:lineTo x="20611" y="20007"/>
              <wp:lineTo x="20198" y="19830"/>
              <wp:lineTo x="13603" y="18413"/>
              <wp:lineTo x="21023" y="16643"/>
              <wp:lineTo x="16489" y="15580"/>
              <wp:lineTo x="17313" y="14164"/>
              <wp:lineTo x="21023" y="13279"/>
              <wp:lineTo x="18962" y="12748"/>
              <wp:lineTo x="15664" y="11331"/>
              <wp:lineTo x="21023" y="10003"/>
              <wp:lineTo x="21023" y="9826"/>
              <wp:lineTo x="18137" y="9207"/>
              <wp:lineTo x="15664" y="8498"/>
              <wp:lineTo x="19374" y="7082"/>
              <wp:lineTo x="21023" y="6639"/>
              <wp:lineTo x="21023" y="6374"/>
              <wp:lineTo x="18137" y="5666"/>
              <wp:lineTo x="16901" y="4249"/>
              <wp:lineTo x="21023" y="3275"/>
              <wp:lineTo x="21023" y="3098"/>
              <wp:lineTo x="20611" y="2833"/>
              <wp:lineTo x="8244" y="0"/>
              <wp:lineTo x="6183" y="0"/>
            </wp:wrapPolygon>
          </wp:wrapThrough>
          <wp:docPr id="962149914" name="Imagen 9621499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7974706" name="Imagen 1987974706"/>
                  <pic:cNvPicPr/>
                </pic:nvPicPr>
                <pic:blipFill>
                  <a:blip r:embed="rId2" cstate="print">
                    <a:extLst>
                      <a:ext uri="{28A0092B-C50C-407E-A947-70E740481C1C}">
                        <a14:useLocalDpi xmlns:a14="http://schemas.microsoft.com/office/drawing/2010/main" val="0"/>
                      </a:ext>
                    </a:extLst>
                  </a:blip>
                  <a:stretch>
                    <a:fillRect/>
                  </a:stretch>
                </pic:blipFill>
                <pic:spPr>
                  <a:xfrm>
                    <a:off x="0" y="0"/>
                    <a:ext cx="665480" cy="3098800"/>
                  </a:xfrm>
                  <a:prstGeom prst="rect">
                    <a:avLst/>
                  </a:prstGeom>
                </pic:spPr>
              </pic:pic>
            </a:graphicData>
          </a:graphic>
          <wp14:sizeRelH relativeFrom="margin">
            <wp14:pctWidth>0</wp14:pctWidth>
          </wp14:sizeRelH>
          <wp14:sizeRelV relativeFrom="margin">
            <wp14:pctHeight>0</wp14:pctHeight>
          </wp14:sizeRelV>
        </wp:anchor>
      </w:drawing>
    </w:r>
  </w:p>
  <w:p w14:paraId="1BE2B9AE" w14:textId="4B94DB3B" w:rsidR="00756841" w:rsidRDefault="00756841">
    <w:pPr>
      <w:pStyle w:val="Encabezado"/>
    </w:pPr>
  </w:p>
  <w:p w14:paraId="5E18350A" w14:textId="705F7B76" w:rsidR="004A305D" w:rsidRPr="004A305D" w:rsidRDefault="004A305D" w:rsidP="00B01B1A">
    <w:pPr>
      <w:spacing w:line="120" w:lineRule="auto"/>
      <w:rPr>
        <w:rFonts w:ascii="Century Gothic" w:eastAsia="Geo" w:hAnsi="Century Gothic" w:cs="Geo"/>
        <w:sz w:val="16"/>
        <w:szCs w:val="16"/>
        <w:lang w:eastAsia="es-CO"/>
      </w:rPr>
    </w:pPr>
  </w:p>
  <w:p w14:paraId="211B7F5D" w14:textId="77777777" w:rsidR="00C925AC" w:rsidRDefault="00C925AC" w:rsidP="00844AE9">
    <w:pPr>
      <w:rPr>
        <w:rFonts w:ascii="Verdana" w:hAnsi="Verdana"/>
      </w:rPr>
    </w:pPr>
  </w:p>
  <w:p w14:paraId="5A0054B1" w14:textId="77777777" w:rsidR="00A14468" w:rsidRPr="00C925AC" w:rsidRDefault="00A14468" w:rsidP="00844AE9">
    <w:pPr>
      <w:rPr>
        <w:rFonts w:ascii="Verdana" w:hAnsi="Verdana"/>
      </w:rPr>
    </w:pPr>
  </w:p>
  <w:p w14:paraId="1FD1C243" w14:textId="37C5500A" w:rsidR="008A446D" w:rsidRPr="00C925AC" w:rsidRDefault="00C925AC" w:rsidP="000D5DA7">
    <w:pPr>
      <w:spacing w:line="480" w:lineRule="auto"/>
      <w:rPr>
        <w:rFonts w:ascii="Verdana" w:hAnsi="Verdana"/>
        <w:b/>
        <w:bCs/>
      </w:rPr>
    </w:pPr>
    <w:r w:rsidRPr="00C925AC">
      <w:rPr>
        <w:rFonts w:ascii="Verdana" w:hAnsi="Verdana"/>
        <w:b/>
        <w:bCs/>
      </w:rPr>
      <w:t>FORMATO</w:t>
    </w:r>
    <w:r w:rsidR="00BF7425">
      <w:rPr>
        <w:rFonts w:ascii="Verdana" w:hAnsi="Verdana"/>
        <w:b/>
        <w:bCs/>
      </w:rPr>
      <w:t xml:space="preserve"> DE RESPUESTA </w:t>
    </w:r>
    <w:r w:rsidRPr="00C925AC">
      <w:rPr>
        <w:rFonts w:ascii="Verdana" w:hAnsi="Verdana"/>
        <w:b/>
        <w:bCs/>
      </w:rPr>
      <w:t>PQRSD</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2.5pt;height:12.5pt" o:bullet="t">
        <v:imagedata r:id="rId1" o:title="mso1B13"/>
      </v:shape>
    </w:pict>
  </w:numPicBullet>
  <w:abstractNum w:abstractNumId="0" w15:restartNumberingAfterBreak="0">
    <w:nsid w:val="0337782A"/>
    <w:multiLevelType w:val="multilevel"/>
    <w:tmpl w:val="90D242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040733F7"/>
    <w:multiLevelType w:val="hybridMultilevel"/>
    <w:tmpl w:val="AF12C2B6"/>
    <w:lvl w:ilvl="0" w:tplc="672EB6E4">
      <w:start w:val="4"/>
      <w:numFmt w:val="bullet"/>
      <w:lvlText w:val=""/>
      <w:lvlJc w:val="left"/>
      <w:pPr>
        <w:ind w:left="720" w:hanging="360"/>
      </w:pPr>
      <w:rPr>
        <w:rFonts w:ascii="Symbol" w:eastAsia="Arial MT" w:hAnsi="Symbol" w:cs="Arial" w:hint="default"/>
        <w:b/>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2" w15:restartNumberingAfterBreak="0">
    <w:nsid w:val="06D30BDC"/>
    <w:multiLevelType w:val="hybridMultilevel"/>
    <w:tmpl w:val="734ED3EC"/>
    <w:lvl w:ilvl="0" w:tplc="834431CA">
      <w:numFmt w:val="bullet"/>
      <w:lvlText w:val="-"/>
      <w:lvlJc w:val="left"/>
      <w:pPr>
        <w:ind w:left="1080" w:hanging="360"/>
      </w:pPr>
      <w:rPr>
        <w:rFonts w:ascii="Arial" w:eastAsia="Times New Roman" w:hAnsi="Arial" w:cs="Arial" w:hint="default"/>
        <w:b/>
      </w:rPr>
    </w:lvl>
    <w:lvl w:ilvl="1" w:tplc="0C0A0003" w:tentative="1">
      <w:start w:val="1"/>
      <w:numFmt w:val="bullet"/>
      <w:lvlText w:val="o"/>
      <w:lvlJc w:val="left"/>
      <w:pPr>
        <w:ind w:left="1800" w:hanging="360"/>
      </w:pPr>
      <w:rPr>
        <w:rFonts w:ascii="Courier New" w:hAnsi="Courier New" w:cs="Courier New" w:hint="default"/>
      </w:rPr>
    </w:lvl>
    <w:lvl w:ilvl="2" w:tplc="0C0A0005" w:tentative="1">
      <w:start w:val="1"/>
      <w:numFmt w:val="bullet"/>
      <w:lvlText w:val=""/>
      <w:lvlJc w:val="left"/>
      <w:pPr>
        <w:ind w:left="2520" w:hanging="360"/>
      </w:pPr>
      <w:rPr>
        <w:rFonts w:ascii="Wingdings" w:hAnsi="Wingdings" w:hint="default"/>
      </w:rPr>
    </w:lvl>
    <w:lvl w:ilvl="3" w:tplc="0C0A0001" w:tentative="1">
      <w:start w:val="1"/>
      <w:numFmt w:val="bullet"/>
      <w:lvlText w:val=""/>
      <w:lvlJc w:val="left"/>
      <w:pPr>
        <w:ind w:left="3240" w:hanging="360"/>
      </w:pPr>
      <w:rPr>
        <w:rFonts w:ascii="Symbol" w:hAnsi="Symbol" w:hint="default"/>
      </w:rPr>
    </w:lvl>
    <w:lvl w:ilvl="4" w:tplc="0C0A0003" w:tentative="1">
      <w:start w:val="1"/>
      <w:numFmt w:val="bullet"/>
      <w:lvlText w:val="o"/>
      <w:lvlJc w:val="left"/>
      <w:pPr>
        <w:ind w:left="3960" w:hanging="360"/>
      </w:pPr>
      <w:rPr>
        <w:rFonts w:ascii="Courier New" w:hAnsi="Courier New" w:cs="Courier New" w:hint="default"/>
      </w:rPr>
    </w:lvl>
    <w:lvl w:ilvl="5" w:tplc="0C0A0005" w:tentative="1">
      <w:start w:val="1"/>
      <w:numFmt w:val="bullet"/>
      <w:lvlText w:val=""/>
      <w:lvlJc w:val="left"/>
      <w:pPr>
        <w:ind w:left="4680" w:hanging="360"/>
      </w:pPr>
      <w:rPr>
        <w:rFonts w:ascii="Wingdings" w:hAnsi="Wingdings" w:hint="default"/>
      </w:rPr>
    </w:lvl>
    <w:lvl w:ilvl="6" w:tplc="0C0A0001" w:tentative="1">
      <w:start w:val="1"/>
      <w:numFmt w:val="bullet"/>
      <w:lvlText w:val=""/>
      <w:lvlJc w:val="left"/>
      <w:pPr>
        <w:ind w:left="5400" w:hanging="360"/>
      </w:pPr>
      <w:rPr>
        <w:rFonts w:ascii="Symbol" w:hAnsi="Symbol" w:hint="default"/>
      </w:rPr>
    </w:lvl>
    <w:lvl w:ilvl="7" w:tplc="0C0A0003" w:tentative="1">
      <w:start w:val="1"/>
      <w:numFmt w:val="bullet"/>
      <w:lvlText w:val="o"/>
      <w:lvlJc w:val="left"/>
      <w:pPr>
        <w:ind w:left="6120" w:hanging="360"/>
      </w:pPr>
      <w:rPr>
        <w:rFonts w:ascii="Courier New" w:hAnsi="Courier New" w:cs="Courier New" w:hint="default"/>
      </w:rPr>
    </w:lvl>
    <w:lvl w:ilvl="8" w:tplc="0C0A0005" w:tentative="1">
      <w:start w:val="1"/>
      <w:numFmt w:val="bullet"/>
      <w:lvlText w:val=""/>
      <w:lvlJc w:val="left"/>
      <w:pPr>
        <w:ind w:left="6840" w:hanging="360"/>
      </w:pPr>
      <w:rPr>
        <w:rFonts w:ascii="Wingdings" w:hAnsi="Wingdings" w:hint="default"/>
      </w:rPr>
    </w:lvl>
  </w:abstractNum>
  <w:abstractNum w:abstractNumId="3" w15:restartNumberingAfterBreak="0">
    <w:nsid w:val="25352E86"/>
    <w:multiLevelType w:val="multilevel"/>
    <w:tmpl w:val="E81277DA"/>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31280020"/>
    <w:multiLevelType w:val="hybridMultilevel"/>
    <w:tmpl w:val="DA8CAD24"/>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5" w15:restartNumberingAfterBreak="0">
    <w:nsid w:val="320B0C74"/>
    <w:multiLevelType w:val="multilevel"/>
    <w:tmpl w:val="FCE0A7DE"/>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33614460"/>
    <w:multiLevelType w:val="hybridMultilevel"/>
    <w:tmpl w:val="7FC88522"/>
    <w:lvl w:ilvl="0" w:tplc="A22AAB2E">
      <w:start w:val="1"/>
      <w:numFmt w:val="decimal"/>
      <w:lvlText w:val="%1)"/>
      <w:lvlJc w:val="left"/>
      <w:pPr>
        <w:ind w:left="720" w:hanging="360"/>
      </w:pPr>
      <w:rPr>
        <w:rFonts w:hint="default"/>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7" w15:restartNumberingAfterBreak="0">
    <w:nsid w:val="370F0516"/>
    <w:multiLevelType w:val="multilevel"/>
    <w:tmpl w:val="BAD28BB2"/>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37D933EA"/>
    <w:multiLevelType w:val="multilevel"/>
    <w:tmpl w:val="8BFCD550"/>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636C03B0"/>
    <w:multiLevelType w:val="hybridMultilevel"/>
    <w:tmpl w:val="53AC8484"/>
    <w:lvl w:ilvl="0" w:tplc="1F14B5D2">
      <w:start w:val="1"/>
      <w:numFmt w:val="bullet"/>
      <w:lvlText w:val="·"/>
      <w:lvlJc w:val="left"/>
      <w:pPr>
        <w:ind w:left="785" w:hanging="360"/>
      </w:pPr>
      <w:rPr>
        <w:rFonts w:ascii="Symbol" w:hAnsi="Symbol" w:hint="default"/>
        <w:color w:val="auto"/>
      </w:rPr>
    </w:lvl>
    <w:lvl w:ilvl="1" w:tplc="240A0003" w:tentative="1">
      <w:start w:val="1"/>
      <w:numFmt w:val="bullet"/>
      <w:lvlText w:val="o"/>
      <w:lvlJc w:val="left"/>
      <w:pPr>
        <w:ind w:left="1505" w:hanging="360"/>
      </w:pPr>
      <w:rPr>
        <w:rFonts w:ascii="Courier New" w:hAnsi="Courier New" w:cs="Courier New" w:hint="default"/>
      </w:rPr>
    </w:lvl>
    <w:lvl w:ilvl="2" w:tplc="240A0005" w:tentative="1">
      <w:start w:val="1"/>
      <w:numFmt w:val="bullet"/>
      <w:lvlText w:val=""/>
      <w:lvlJc w:val="left"/>
      <w:pPr>
        <w:ind w:left="2225" w:hanging="360"/>
      </w:pPr>
      <w:rPr>
        <w:rFonts w:ascii="Wingdings" w:hAnsi="Wingdings" w:hint="default"/>
      </w:rPr>
    </w:lvl>
    <w:lvl w:ilvl="3" w:tplc="240A0001" w:tentative="1">
      <w:start w:val="1"/>
      <w:numFmt w:val="bullet"/>
      <w:lvlText w:val=""/>
      <w:lvlJc w:val="left"/>
      <w:pPr>
        <w:ind w:left="2945" w:hanging="360"/>
      </w:pPr>
      <w:rPr>
        <w:rFonts w:ascii="Symbol" w:hAnsi="Symbol" w:hint="default"/>
      </w:rPr>
    </w:lvl>
    <w:lvl w:ilvl="4" w:tplc="240A0003" w:tentative="1">
      <w:start w:val="1"/>
      <w:numFmt w:val="bullet"/>
      <w:lvlText w:val="o"/>
      <w:lvlJc w:val="left"/>
      <w:pPr>
        <w:ind w:left="3665" w:hanging="360"/>
      </w:pPr>
      <w:rPr>
        <w:rFonts w:ascii="Courier New" w:hAnsi="Courier New" w:cs="Courier New" w:hint="default"/>
      </w:rPr>
    </w:lvl>
    <w:lvl w:ilvl="5" w:tplc="240A0005" w:tentative="1">
      <w:start w:val="1"/>
      <w:numFmt w:val="bullet"/>
      <w:lvlText w:val=""/>
      <w:lvlJc w:val="left"/>
      <w:pPr>
        <w:ind w:left="4385" w:hanging="360"/>
      </w:pPr>
      <w:rPr>
        <w:rFonts w:ascii="Wingdings" w:hAnsi="Wingdings" w:hint="default"/>
      </w:rPr>
    </w:lvl>
    <w:lvl w:ilvl="6" w:tplc="240A0001" w:tentative="1">
      <w:start w:val="1"/>
      <w:numFmt w:val="bullet"/>
      <w:lvlText w:val=""/>
      <w:lvlJc w:val="left"/>
      <w:pPr>
        <w:ind w:left="5105" w:hanging="360"/>
      </w:pPr>
      <w:rPr>
        <w:rFonts w:ascii="Symbol" w:hAnsi="Symbol" w:hint="default"/>
      </w:rPr>
    </w:lvl>
    <w:lvl w:ilvl="7" w:tplc="240A0003" w:tentative="1">
      <w:start w:val="1"/>
      <w:numFmt w:val="bullet"/>
      <w:lvlText w:val="o"/>
      <w:lvlJc w:val="left"/>
      <w:pPr>
        <w:ind w:left="5825" w:hanging="360"/>
      </w:pPr>
      <w:rPr>
        <w:rFonts w:ascii="Courier New" w:hAnsi="Courier New" w:cs="Courier New" w:hint="default"/>
      </w:rPr>
    </w:lvl>
    <w:lvl w:ilvl="8" w:tplc="240A0005" w:tentative="1">
      <w:start w:val="1"/>
      <w:numFmt w:val="bullet"/>
      <w:lvlText w:val=""/>
      <w:lvlJc w:val="left"/>
      <w:pPr>
        <w:ind w:left="6545" w:hanging="360"/>
      </w:pPr>
      <w:rPr>
        <w:rFonts w:ascii="Wingdings" w:hAnsi="Wingdings" w:hint="default"/>
      </w:rPr>
    </w:lvl>
  </w:abstractNum>
  <w:abstractNum w:abstractNumId="10" w15:restartNumberingAfterBreak="0">
    <w:nsid w:val="6BF97060"/>
    <w:multiLevelType w:val="multilevel"/>
    <w:tmpl w:val="B3E004E0"/>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6C3C082A"/>
    <w:multiLevelType w:val="multilevel"/>
    <w:tmpl w:val="A80420EA"/>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6F4922CE"/>
    <w:multiLevelType w:val="multilevel"/>
    <w:tmpl w:val="E5E6373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6FB367B7"/>
    <w:multiLevelType w:val="multilevel"/>
    <w:tmpl w:val="4E0EF642"/>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1067722772">
    <w:abstractNumId w:val="6"/>
  </w:num>
  <w:num w:numId="2" w16cid:durableId="1514569002">
    <w:abstractNumId w:val="2"/>
  </w:num>
  <w:num w:numId="3" w16cid:durableId="24717908">
    <w:abstractNumId w:val="4"/>
  </w:num>
  <w:num w:numId="4" w16cid:durableId="222524930">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138107922">
    <w:abstractNumId w:val="2"/>
  </w:num>
  <w:num w:numId="6" w16cid:durableId="1748653345">
    <w:abstractNumId w:val="12"/>
  </w:num>
  <w:num w:numId="7" w16cid:durableId="1074815919">
    <w:abstractNumId w:val="5"/>
  </w:num>
  <w:num w:numId="8" w16cid:durableId="1812598761">
    <w:abstractNumId w:val="11"/>
  </w:num>
  <w:num w:numId="9" w16cid:durableId="1582908357">
    <w:abstractNumId w:val="7"/>
  </w:num>
  <w:num w:numId="10" w16cid:durableId="1579293394">
    <w:abstractNumId w:val="10"/>
  </w:num>
  <w:num w:numId="11" w16cid:durableId="675576901">
    <w:abstractNumId w:val="8"/>
  </w:num>
  <w:num w:numId="12" w16cid:durableId="1813672647">
    <w:abstractNumId w:val="0"/>
  </w:num>
  <w:num w:numId="13" w16cid:durableId="827746201">
    <w:abstractNumId w:val="3"/>
  </w:num>
  <w:num w:numId="14" w16cid:durableId="1408187749">
    <w:abstractNumId w:val="13"/>
  </w:num>
  <w:num w:numId="15" w16cid:durableId="494106688">
    <w:abstractNumId w:val="9"/>
  </w:num>
  <w:num w:numId="16" w16cid:durableId="103627413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A1847"/>
    <w:rsid w:val="00016F78"/>
    <w:rsid w:val="00046945"/>
    <w:rsid w:val="00061B2A"/>
    <w:rsid w:val="00082362"/>
    <w:rsid w:val="000A683E"/>
    <w:rsid w:val="000B19B9"/>
    <w:rsid w:val="000D0334"/>
    <w:rsid w:val="000D5DA7"/>
    <w:rsid w:val="000F6486"/>
    <w:rsid w:val="00116940"/>
    <w:rsid w:val="00125105"/>
    <w:rsid w:val="00127233"/>
    <w:rsid w:val="0015699B"/>
    <w:rsid w:val="001A33BF"/>
    <w:rsid w:val="001E4177"/>
    <w:rsid w:val="001F0B24"/>
    <w:rsid w:val="001F7DC6"/>
    <w:rsid w:val="0022400B"/>
    <w:rsid w:val="002421BB"/>
    <w:rsid w:val="0025230E"/>
    <w:rsid w:val="0025796E"/>
    <w:rsid w:val="002707A2"/>
    <w:rsid w:val="002951A0"/>
    <w:rsid w:val="002962BC"/>
    <w:rsid w:val="0029749F"/>
    <w:rsid w:val="002A093D"/>
    <w:rsid w:val="002A0DD0"/>
    <w:rsid w:val="002A49AC"/>
    <w:rsid w:val="002A64FD"/>
    <w:rsid w:val="002C7A84"/>
    <w:rsid w:val="002E2BF8"/>
    <w:rsid w:val="002E4FD9"/>
    <w:rsid w:val="0030657A"/>
    <w:rsid w:val="00322A85"/>
    <w:rsid w:val="00324168"/>
    <w:rsid w:val="00330834"/>
    <w:rsid w:val="003448F4"/>
    <w:rsid w:val="00374F5E"/>
    <w:rsid w:val="00377E3E"/>
    <w:rsid w:val="003A779E"/>
    <w:rsid w:val="003D0F4D"/>
    <w:rsid w:val="003D5B0D"/>
    <w:rsid w:val="003E0499"/>
    <w:rsid w:val="003E4F80"/>
    <w:rsid w:val="003E6439"/>
    <w:rsid w:val="003F3941"/>
    <w:rsid w:val="00406575"/>
    <w:rsid w:val="004071C1"/>
    <w:rsid w:val="00414C74"/>
    <w:rsid w:val="0042722E"/>
    <w:rsid w:val="0044528D"/>
    <w:rsid w:val="00466E39"/>
    <w:rsid w:val="004A1847"/>
    <w:rsid w:val="004A305D"/>
    <w:rsid w:val="004F21C4"/>
    <w:rsid w:val="004F685F"/>
    <w:rsid w:val="00526C93"/>
    <w:rsid w:val="005566E8"/>
    <w:rsid w:val="00574867"/>
    <w:rsid w:val="00591460"/>
    <w:rsid w:val="005A65E0"/>
    <w:rsid w:val="005C3777"/>
    <w:rsid w:val="005C5CDC"/>
    <w:rsid w:val="005D476C"/>
    <w:rsid w:val="006200BF"/>
    <w:rsid w:val="006219F8"/>
    <w:rsid w:val="00622AC2"/>
    <w:rsid w:val="006302F7"/>
    <w:rsid w:val="00646B95"/>
    <w:rsid w:val="00646B9F"/>
    <w:rsid w:val="00656F31"/>
    <w:rsid w:val="00665D70"/>
    <w:rsid w:val="006900D9"/>
    <w:rsid w:val="006D2CBC"/>
    <w:rsid w:val="00706C16"/>
    <w:rsid w:val="007340C3"/>
    <w:rsid w:val="00741C4A"/>
    <w:rsid w:val="0075235A"/>
    <w:rsid w:val="00756841"/>
    <w:rsid w:val="007649AB"/>
    <w:rsid w:val="00771D0C"/>
    <w:rsid w:val="007833AC"/>
    <w:rsid w:val="00797D22"/>
    <w:rsid w:val="007B268C"/>
    <w:rsid w:val="007B7171"/>
    <w:rsid w:val="007C0C0F"/>
    <w:rsid w:val="007C3DC2"/>
    <w:rsid w:val="007C77B6"/>
    <w:rsid w:val="007E5497"/>
    <w:rsid w:val="00806F5F"/>
    <w:rsid w:val="00820278"/>
    <w:rsid w:val="00821E7A"/>
    <w:rsid w:val="008258C9"/>
    <w:rsid w:val="00844AE9"/>
    <w:rsid w:val="00867F95"/>
    <w:rsid w:val="008843B6"/>
    <w:rsid w:val="00891928"/>
    <w:rsid w:val="008A446D"/>
    <w:rsid w:val="008B25F1"/>
    <w:rsid w:val="008D180B"/>
    <w:rsid w:val="008F0EA7"/>
    <w:rsid w:val="00923EEF"/>
    <w:rsid w:val="009419F9"/>
    <w:rsid w:val="0095685E"/>
    <w:rsid w:val="00957C49"/>
    <w:rsid w:val="00961B09"/>
    <w:rsid w:val="00965334"/>
    <w:rsid w:val="0097093E"/>
    <w:rsid w:val="009A0DFA"/>
    <w:rsid w:val="009A1C6F"/>
    <w:rsid w:val="009B2D26"/>
    <w:rsid w:val="009C503F"/>
    <w:rsid w:val="009C71FA"/>
    <w:rsid w:val="009C72E7"/>
    <w:rsid w:val="009C7F7E"/>
    <w:rsid w:val="009D3058"/>
    <w:rsid w:val="009F3A13"/>
    <w:rsid w:val="00A122D3"/>
    <w:rsid w:val="00A14468"/>
    <w:rsid w:val="00A17F13"/>
    <w:rsid w:val="00A20739"/>
    <w:rsid w:val="00A23AF9"/>
    <w:rsid w:val="00A33C78"/>
    <w:rsid w:val="00A355E9"/>
    <w:rsid w:val="00A47D64"/>
    <w:rsid w:val="00A95FBF"/>
    <w:rsid w:val="00AB0ADB"/>
    <w:rsid w:val="00B00C0E"/>
    <w:rsid w:val="00B01B1A"/>
    <w:rsid w:val="00B0381D"/>
    <w:rsid w:val="00B44A47"/>
    <w:rsid w:val="00B54B1E"/>
    <w:rsid w:val="00B61055"/>
    <w:rsid w:val="00B72CD3"/>
    <w:rsid w:val="00B72FFF"/>
    <w:rsid w:val="00BC3D36"/>
    <w:rsid w:val="00BD54A6"/>
    <w:rsid w:val="00BD7F72"/>
    <w:rsid w:val="00BF7425"/>
    <w:rsid w:val="00C036C1"/>
    <w:rsid w:val="00C04FB3"/>
    <w:rsid w:val="00C11D8B"/>
    <w:rsid w:val="00C15139"/>
    <w:rsid w:val="00C330EB"/>
    <w:rsid w:val="00C50D69"/>
    <w:rsid w:val="00C5365C"/>
    <w:rsid w:val="00C754BE"/>
    <w:rsid w:val="00C76B1C"/>
    <w:rsid w:val="00C925AC"/>
    <w:rsid w:val="00CB6357"/>
    <w:rsid w:val="00CC1B26"/>
    <w:rsid w:val="00D361FD"/>
    <w:rsid w:val="00D423A2"/>
    <w:rsid w:val="00D44E26"/>
    <w:rsid w:val="00D520D8"/>
    <w:rsid w:val="00D63AC2"/>
    <w:rsid w:val="00D7383B"/>
    <w:rsid w:val="00D7788A"/>
    <w:rsid w:val="00D87FE0"/>
    <w:rsid w:val="00DA231B"/>
    <w:rsid w:val="00DB2DA5"/>
    <w:rsid w:val="00DC39FC"/>
    <w:rsid w:val="00DD19AE"/>
    <w:rsid w:val="00DF5254"/>
    <w:rsid w:val="00E02524"/>
    <w:rsid w:val="00E04AF0"/>
    <w:rsid w:val="00E16408"/>
    <w:rsid w:val="00E20894"/>
    <w:rsid w:val="00E245AB"/>
    <w:rsid w:val="00E25D52"/>
    <w:rsid w:val="00E2764C"/>
    <w:rsid w:val="00E27F2E"/>
    <w:rsid w:val="00E45B31"/>
    <w:rsid w:val="00E50AFE"/>
    <w:rsid w:val="00E63CBD"/>
    <w:rsid w:val="00E75C92"/>
    <w:rsid w:val="00E771DC"/>
    <w:rsid w:val="00E82689"/>
    <w:rsid w:val="00E8772A"/>
    <w:rsid w:val="00E90F6B"/>
    <w:rsid w:val="00E92C27"/>
    <w:rsid w:val="00EA0E3D"/>
    <w:rsid w:val="00EA3A4F"/>
    <w:rsid w:val="00EC38A7"/>
    <w:rsid w:val="00EE1AA8"/>
    <w:rsid w:val="00F01F56"/>
    <w:rsid w:val="00F23FEA"/>
    <w:rsid w:val="00F31EDC"/>
    <w:rsid w:val="00F462B3"/>
    <w:rsid w:val="00F5664F"/>
    <w:rsid w:val="00F666C4"/>
    <w:rsid w:val="00F76AFC"/>
    <w:rsid w:val="00FA47C0"/>
    <w:rsid w:val="00FB5DD1"/>
    <w:rsid w:val="00FC2B5D"/>
    <w:rsid w:val="00FF1449"/>
    <w:rsid w:val="00FF7963"/>
    <w:rsid w:val="071B8F93"/>
    <w:rsid w:val="07C73DD1"/>
    <w:rsid w:val="09908A09"/>
    <w:rsid w:val="0E0AF0F4"/>
    <w:rsid w:val="0EFE6349"/>
    <w:rsid w:val="0FF4CCA8"/>
    <w:rsid w:val="13CFC91B"/>
    <w:rsid w:val="19A2EC2C"/>
    <w:rsid w:val="21779BE6"/>
    <w:rsid w:val="2859CA1B"/>
    <w:rsid w:val="2C4D2425"/>
    <w:rsid w:val="2EE1E026"/>
    <w:rsid w:val="2F44F38F"/>
    <w:rsid w:val="30821638"/>
    <w:rsid w:val="32A4F9CF"/>
    <w:rsid w:val="33A1FF93"/>
    <w:rsid w:val="356CEDFD"/>
    <w:rsid w:val="3C591AFD"/>
    <w:rsid w:val="42183F0A"/>
    <w:rsid w:val="545B112A"/>
    <w:rsid w:val="5BEB1497"/>
    <w:rsid w:val="69614A15"/>
    <w:rsid w:val="74BA017B"/>
    <w:rsid w:val="7677286E"/>
    <w:rsid w:val="79A64A20"/>
    <w:rsid w:val="7BB183BC"/>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79607BD"/>
  <w15:chartTrackingRefBased/>
  <w15:docId w15:val="{AA18BD11-F4B5-4A67-BA3F-63EFCCB41A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A3A4F"/>
    <w:pPr>
      <w:spacing w:after="0" w:line="240" w:lineRule="auto"/>
    </w:pPr>
    <w:rPr>
      <w:rFonts w:ascii="Times New Roman" w:eastAsia="Times New Roman" w:hAnsi="Times New Roman" w:cs="Times New Roman"/>
      <w:sz w:val="24"/>
      <w:szCs w:val="24"/>
      <w:lang w:eastAsia="es-ES_tradnl"/>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4A1847"/>
    <w:pPr>
      <w:tabs>
        <w:tab w:val="center" w:pos="4419"/>
        <w:tab w:val="right" w:pos="8838"/>
      </w:tabs>
    </w:pPr>
    <w:rPr>
      <w:rFonts w:asciiTheme="minorHAnsi" w:eastAsiaTheme="minorHAnsi" w:hAnsiTheme="minorHAnsi" w:cstheme="minorBidi"/>
      <w:sz w:val="22"/>
      <w:szCs w:val="22"/>
      <w:lang w:eastAsia="en-US"/>
    </w:rPr>
  </w:style>
  <w:style w:type="character" w:customStyle="1" w:styleId="EncabezadoCar">
    <w:name w:val="Encabezado Car"/>
    <w:basedOn w:val="Fuentedeprrafopredeter"/>
    <w:link w:val="Encabezado"/>
    <w:uiPriority w:val="99"/>
    <w:rsid w:val="004A1847"/>
  </w:style>
  <w:style w:type="paragraph" w:styleId="Piedepgina">
    <w:name w:val="footer"/>
    <w:basedOn w:val="Normal"/>
    <w:link w:val="PiedepginaCar"/>
    <w:uiPriority w:val="99"/>
    <w:unhideWhenUsed/>
    <w:rsid w:val="004A1847"/>
    <w:pPr>
      <w:tabs>
        <w:tab w:val="center" w:pos="4419"/>
        <w:tab w:val="right" w:pos="8838"/>
      </w:tabs>
    </w:pPr>
    <w:rPr>
      <w:rFonts w:asciiTheme="minorHAnsi" w:eastAsiaTheme="minorHAnsi" w:hAnsiTheme="minorHAnsi" w:cstheme="minorBidi"/>
      <w:sz w:val="22"/>
      <w:szCs w:val="22"/>
      <w:lang w:eastAsia="en-US"/>
    </w:rPr>
  </w:style>
  <w:style w:type="character" w:customStyle="1" w:styleId="PiedepginaCar">
    <w:name w:val="Pie de página Car"/>
    <w:basedOn w:val="Fuentedeprrafopredeter"/>
    <w:link w:val="Piedepgina"/>
    <w:uiPriority w:val="99"/>
    <w:rsid w:val="004A1847"/>
  </w:style>
  <w:style w:type="paragraph" w:customStyle="1" w:styleId="Default">
    <w:name w:val="Default"/>
    <w:rsid w:val="006219F8"/>
    <w:pPr>
      <w:autoSpaceDE w:val="0"/>
      <w:autoSpaceDN w:val="0"/>
      <w:adjustRightInd w:val="0"/>
      <w:spacing w:after="0" w:line="240" w:lineRule="auto"/>
    </w:pPr>
    <w:rPr>
      <w:rFonts w:ascii="Arial" w:hAnsi="Arial" w:cs="Arial"/>
      <w:color w:val="000000"/>
      <w:sz w:val="24"/>
      <w:szCs w:val="24"/>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6219F8"/>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fn,Car"/>
    <w:basedOn w:val="Normal"/>
    <w:link w:val="TextonotapieCar"/>
    <w:uiPriority w:val="99"/>
    <w:unhideWhenUsed/>
    <w:qFormat/>
    <w:rsid w:val="006219F8"/>
    <w:rPr>
      <w:rFonts w:asciiTheme="minorHAnsi" w:eastAsiaTheme="minorHAnsi" w:hAnsiTheme="minorHAnsi" w:cstheme="minorBidi"/>
      <w:sz w:val="20"/>
      <w:szCs w:val="20"/>
      <w:lang w:val="es-MX" w:eastAsia="en-US"/>
    </w:rPr>
  </w:style>
  <w:style w:type="character" w:customStyle="1" w:styleId="TextonotapieCar1">
    <w:name w:val="Texto nota pie Car1"/>
    <w:basedOn w:val="Fuentedeprrafopredeter"/>
    <w:uiPriority w:val="99"/>
    <w:semiHidden/>
    <w:rsid w:val="006219F8"/>
    <w:rPr>
      <w:sz w:val="20"/>
      <w:szCs w:val="20"/>
    </w:rPr>
  </w:style>
  <w:style w:type="character" w:styleId="Refdenotaalpie">
    <w:name w:val="footnote reference"/>
    <w:aliases w:val="Ref. de nota al pie 2,Ref,de nota al pie,FC,Appel note de bas de p,f,4_G,16 Point,Superscript 6 Point,Texto nota al pie,Pie de Página,Texto de nota al pi,Nota de pie,Texto de nota al p,Footnote Reference Char3,Texto nota pie Car2,F,R"/>
    <w:basedOn w:val="Fuentedeprrafopredeter"/>
    <w:link w:val="Appelnotedebasde"/>
    <w:uiPriority w:val="99"/>
    <w:unhideWhenUsed/>
    <w:qFormat/>
    <w:rsid w:val="006219F8"/>
    <w:rPr>
      <w:vertAlign w:val="superscript"/>
    </w:rPr>
  </w:style>
  <w:style w:type="character" w:customStyle="1" w:styleId="normaltextrun">
    <w:name w:val="normaltextrun"/>
    <w:basedOn w:val="Fuentedeprrafopredeter"/>
    <w:rsid w:val="006219F8"/>
  </w:style>
  <w:style w:type="table" w:styleId="Tablaconcuadrcula">
    <w:name w:val="Table Grid"/>
    <w:basedOn w:val="Tablanormal"/>
    <w:uiPriority w:val="39"/>
    <w:qFormat/>
    <w:rsid w:val="006219F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basedOn w:val="Normal"/>
    <w:uiPriority w:val="34"/>
    <w:qFormat/>
    <w:rsid w:val="005566E8"/>
    <w:pPr>
      <w:spacing w:after="160" w:line="259" w:lineRule="auto"/>
      <w:ind w:left="720"/>
      <w:contextualSpacing/>
    </w:pPr>
    <w:rPr>
      <w:rFonts w:ascii="Geomanist Light" w:eastAsiaTheme="minorHAnsi" w:hAnsi="Geomanist Light" w:cstheme="minorBidi"/>
      <w:sz w:val="22"/>
      <w:szCs w:val="22"/>
      <w:lang w:val="es-ES" w:eastAsia="en-US"/>
    </w:rPr>
  </w:style>
  <w:style w:type="paragraph" w:styleId="Ttulo">
    <w:name w:val="Title"/>
    <w:basedOn w:val="Normal"/>
    <w:next w:val="Normal"/>
    <w:link w:val="TtuloCar"/>
    <w:uiPriority w:val="10"/>
    <w:qFormat/>
    <w:rsid w:val="005566E8"/>
    <w:pPr>
      <w:contextualSpacing/>
    </w:pPr>
    <w:rPr>
      <w:rFonts w:ascii="Geomanist" w:eastAsiaTheme="majorEastAsia" w:hAnsi="Geomanist" w:cstheme="majorBidi"/>
      <w:spacing w:val="-10"/>
      <w:kern w:val="28"/>
      <w:sz w:val="22"/>
      <w:szCs w:val="56"/>
      <w:lang w:val="es-ES" w:eastAsia="en-US"/>
    </w:rPr>
  </w:style>
  <w:style w:type="character" w:customStyle="1" w:styleId="TtuloCar">
    <w:name w:val="Título Car"/>
    <w:basedOn w:val="Fuentedeprrafopredeter"/>
    <w:link w:val="Ttulo"/>
    <w:uiPriority w:val="10"/>
    <w:rsid w:val="005566E8"/>
    <w:rPr>
      <w:rFonts w:ascii="Geomanist" w:eastAsiaTheme="majorEastAsia" w:hAnsi="Geomanist" w:cstheme="majorBidi"/>
      <w:spacing w:val="-10"/>
      <w:kern w:val="28"/>
      <w:szCs w:val="56"/>
      <w:lang w:val="es-ES"/>
    </w:rPr>
  </w:style>
  <w:style w:type="character" w:customStyle="1" w:styleId="ui-provider">
    <w:name w:val="ui-provider"/>
    <w:basedOn w:val="Fuentedeprrafopredeter"/>
    <w:rsid w:val="00DA231B"/>
  </w:style>
  <w:style w:type="character" w:styleId="Hipervnculo">
    <w:name w:val="Hyperlink"/>
    <w:basedOn w:val="Fuentedeprrafopredeter"/>
    <w:uiPriority w:val="99"/>
    <w:unhideWhenUsed/>
    <w:rsid w:val="00125105"/>
    <w:rPr>
      <w:color w:val="0000FF"/>
      <w:u w:val="single"/>
    </w:rPr>
  </w:style>
  <w:style w:type="character" w:styleId="Hipervnculovisitado">
    <w:name w:val="FollowedHyperlink"/>
    <w:basedOn w:val="Fuentedeprrafopredeter"/>
    <w:uiPriority w:val="99"/>
    <w:semiHidden/>
    <w:unhideWhenUsed/>
    <w:rsid w:val="00125105"/>
    <w:rPr>
      <w:color w:val="954F72" w:themeColor="followedHyperlink"/>
      <w:u w:val="single"/>
    </w:rPr>
  </w:style>
  <w:style w:type="paragraph" w:customStyle="1" w:styleId="paragraph">
    <w:name w:val="paragraph"/>
    <w:basedOn w:val="Normal"/>
    <w:rsid w:val="00322A85"/>
    <w:pPr>
      <w:spacing w:before="100" w:beforeAutospacing="1" w:after="100" w:afterAutospacing="1"/>
    </w:pPr>
    <w:rPr>
      <w:lang w:eastAsia="es-CO"/>
    </w:rPr>
  </w:style>
  <w:style w:type="character" w:customStyle="1" w:styleId="tabchar">
    <w:name w:val="tabchar"/>
    <w:basedOn w:val="Fuentedeprrafopredeter"/>
    <w:rsid w:val="00322A85"/>
  </w:style>
  <w:style w:type="character" w:customStyle="1" w:styleId="eop">
    <w:name w:val="eop"/>
    <w:basedOn w:val="Fuentedeprrafopredeter"/>
    <w:rsid w:val="00322A85"/>
  </w:style>
  <w:style w:type="character" w:styleId="Mencinsinresolver">
    <w:name w:val="Unresolved Mention"/>
    <w:basedOn w:val="Fuentedeprrafopredeter"/>
    <w:uiPriority w:val="99"/>
    <w:semiHidden/>
    <w:unhideWhenUsed/>
    <w:rsid w:val="001F7DC6"/>
    <w:rPr>
      <w:color w:val="605E5C"/>
      <w:shd w:val="clear" w:color="auto" w:fill="E1DFDD"/>
    </w:rPr>
  </w:style>
  <w:style w:type="paragraph" w:styleId="NormalWeb">
    <w:name w:val="Normal (Web)"/>
    <w:basedOn w:val="Normal"/>
    <w:uiPriority w:val="99"/>
    <w:unhideWhenUsed/>
    <w:rsid w:val="00DF5254"/>
    <w:pPr>
      <w:spacing w:before="100" w:beforeAutospacing="1" w:after="100" w:afterAutospacing="1"/>
    </w:pPr>
    <w:rPr>
      <w:lang w:eastAsia="es-CO"/>
    </w:rPr>
  </w:style>
  <w:style w:type="paragraph" w:customStyle="1" w:styleId="blanco">
    <w:name w:val="blanco"/>
    <w:basedOn w:val="Normal"/>
    <w:rsid w:val="00C76B1C"/>
    <w:pPr>
      <w:spacing w:before="100" w:beforeAutospacing="1" w:after="100" w:afterAutospacing="1"/>
    </w:pPr>
    <w:rPr>
      <w:lang w:eastAsia="es-CO"/>
    </w:rPr>
  </w:style>
  <w:style w:type="paragraph" w:styleId="Revisin">
    <w:name w:val="Revision"/>
    <w:hidden/>
    <w:uiPriority w:val="99"/>
    <w:semiHidden/>
    <w:rsid w:val="009F3A13"/>
    <w:pPr>
      <w:spacing w:after="0" w:line="240" w:lineRule="auto"/>
    </w:pPr>
  </w:style>
  <w:style w:type="paragraph" w:customStyle="1" w:styleId="Appelnotedebasde">
    <w:name w:val="Appel note de bas de..."/>
    <w:basedOn w:val="Normal"/>
    <w:link w:val="Refdenotaalpie"/>
    <w:uiPriority w:val="99"/>
    <w:rsid w:val="00E25D52"/>
    <w:pPr>
      <w:spacing w:after="160" w:line="240" w:lineRule="exact"/>
    </w:pPr>
    <w:rPr>
      <w:rFonts w:asciiTheme="minorHAnsi" w:eastAsiaTheme="minorHAnsi" w:hAnsiTheme="minorHAnsi" w:cstheme="minorBidi"/>
      <w:sz w:val="22"/>
      <w:szCs w:val="22"/>
      <w:vertAlign w:val="superscript"/>
      <w:lang w:eastAsia="en-US"/>
    </w:rPr>
  </w:style>
  <w:style w:type="character" w:styleId="Fuerte">
    <w:name w:val="Strong"/>
    <w:basedOn w:val="Fuentedeprrafopredeter"/>
    <w:uiPriority w:val="22"/>
    <w:qFormat/>
    <w:rsid w:val="00A95FBF"/>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98498384">
      <w:bodyDiv w:val="1"/>
      <w:marLeft w:val="0"/>
      <w:marRight w:val="0"/>
      <w:marTop w:val="0"/>
      <w:marBottom w:val="0"/>
      <w:divBdr>
        <w:top w:val="none" w:sz="0" w:space="0" w:color="auto"/>
        <w:left w:val="none" w:sz="0" w:space="0" w:color="auto"/>
        <w:bottom w:val="none" w:sz="0" w:space="0" w:color="auto"/>
        <w:right w:val="none" w:sz="0" w:space="0" w:color="auto"/>
      </w:divBdr>
      <w:divsChild>
        <w:div w:id="687368310">
          <w:marLeft w:val="0"/>
          <w:marRight w:val="0"/>
          <w:marTop w:val="0"/>
          <w:marBottom w:val="0"/>
          <w:divBdr>
            <w:top w:val="none" w:sz="0" w:space="0" w:color="auto"/>
            <w:left w:val="none" w:sz="0" w:space="0" w:color="auto"/>
            <w:bottom w:val="none" w:sz="0" w:space="0" w:color="auto"/>
            <w:right w:val="none" w:sz="0" w:space="0" w:color="auto"/>
          </w:divBdr>
        </w:div>
      </w:divsChild>
    </w:div>
    <w:div w:id="621767828">
      <w:bodyDiv w:val="1"/>
      <w:marLeft w:val="0"/>
      <w:marRight w:val="0"/>
      <w:marTop w:val="0"/>
      <w:marBottom w:val="0"/>
      <w:divBdr>
        <w:top w:val="none" w:sz="0" w:space="0" w:color="auto"/>
        <w:left w:val="none" w:sz="0" w:space="0" w:color="auto"/>
        <w:bottom w:val="none" w:sz="0" w:space="0" w:color="auto"/>
        <w:right w:val="none" w:sz="0" w:space="0" w:color="auto"/>
      </w:divBdr>
    </w:div>
    <w:div w:id="755788902">
      <w:bodyDiv w:val="1"/>
      <w:marLeft w:val="0"/>
      <w:marRight w:val="0"/>
      <w:marTop w:val="0"/>
      <w:marBottom w:val="0"/>
      <w:divBdr>
        <w:top w:val="none" w:sz="0" w:space="0" w:color="auto"/>
        <w:left w:val="none" w:sz="0" w:space="0" w:color="auto"/>
        <w:bottom w:val="none" w:sz="0" w:space="0" w:color="auto"/>
        <w:right w:val="none" w:sz="0" w:space="0" w:color="auto"/>
      </w:divBdr>
    </w:div>
    <w:div w:id="1071778732">
      <w:bodyDiv w:val="1"/>
      <w:marLeft w:val="0"/>
      <w:marRight w:val="0"/>
      <w:marTop w:val="0"/>
      <w:marBottom w:val="0"/>
      <w:divBdr>
        <w:top w:val="none" w:sz="0" w:space="0" w:color="auto"/>
        <w:left w:val="none" w:sz="0" w:space="0" w:color="auto"/>
        <w:bottom w:val="none" w:sz="0" w:space="0" w:color="auto"/>
        <w:right w:val="none" w:sz="0" w:space="0" w:color="auto"/>
      </w:divBdr>
      <w:divsChild>
        <w:div w:id="1178277090">
          <w:marLeft w:val="0"/>
          <w:marRight w:val="0"/>
          <w:marTop w:val="0"/>
          <w:marBottom w:val="0"/>
          <w:divBdr>
            <w:top w:val="none" w:sz="0" w:space="0" w:color="auto"/>
            <w:left w:val="none" w:sz="0" w:space="0" w:color="auto"/>
            <w:bottom w:val="none" w:sz="0" w:space="0" w:color="auto"/>
            <w:right w:val="none" w:sz="0" w:space="0" w:color="auto"/>
          </w:divBdr>
        </w:div>
      </w:divsChild>
    </w:div>
    <w:div w:id="1132796275">
      <w:bodyDiv w:val="1"/>
      <w:marLeft w:val="0"/>
      <w:marRight w:val="0"/>
      <w:marTop w:val="0"/>
      <w:marBottom w:val="0"/>
      <w:divBdr>
        <w:top w:val="none" w:sz="0" w:space="0" w:color="auto"/>
        <w:left w:val="none" w:sz="0" w:space="0" w:color="auto"/>
        <w:bottom w:val="none" w:sz="0" w:space="0" w:color="auto"/>
        <w:right w:val="none" w:sz="0" w:space="0" w:color="auto"/>
      </w:divBdr>
    </w:div>
    <w:div w:id="1270429918">
      <w:bodyDiv w:val="1"/>
      <w:marLeft w:val="0"/>
      <w:marRight w:val="0"/>
      <w:marTop w:val="0"/>
      <w:marBottom w:val="0"/>
      <w:divBdr>
        <w:top w:val="none" w:sz="0" w:space="0" w:color="auto"/>
        <w:left w:val="none" w:sz="0" w:space="0" w:color="auto"/>
        <w:bottom w:val="none" w:sz="0" w:space="0" w:color="auto"/>
        <w:right w:val="none" w:sz="0" w:space="0" w:color="auto"/>
      </w:divBdr>
    </w:div>
    <w:div w:id="1291863859">
      <w:bodyDiv w:val="1"/>
      <w:marLeft w:val="0"/>
      <w:marRight w:val="0"/>
      <w:marTop w:val="0"/>
      <w:marBottom w:val="0"/>
      <w:divBdr>
        <w:top w:val="none" w:sz="0" w:space="0" w:color="auto"/>
        <w:left w:val="none" w:sz="0" w:space="0" w:color="auto"/>
        <w:bottom w:val="none" w:sz="0" w:space="0" w:color="auto"/>
        <w:right w:val="none" w:sz="0" w:space="0" w:color="auto"/>
      </w:divBdr>
      <w:divsChild>
        <w:div w:id="1814251553">
          <w:marLeft w:val="0"/>
          <w:marRight w:val="0"/>
          <w:marTop w:val="0"/>
          <w:marBottom w:val="0"/>
          <w:divBdr>
            <w:top w:val="none" w:sz="0" w:space="0" w:color="auto"/>
            <w:left w:val="none" w:sz="0" w:space="0" w:color="auto"/>
            <w:bottom w:val="none" w:sz="0" w:space="0" w:color="auto"/>
            <w:right w:val="none" w:sz="0" w:space="0" w:color="auto"/>
          </w:divBdr>
        </w:div>
        <w:div w:id="1098216012">
          <w:marLeft w:val="0"/>
          <w:marRight w:val="0"/>
          <w:marTop w:val="0"/>
          <w:marBottom w:val="0"/>
          <w:divBdr>
            <w:top w:val="none" w:sz="0" w:space="0" w:color="auto"/>
            <w:left w:val="none" w:sz="0" w:space="0" w:color="auto"/>
            <w:bottom w:val="none" w:sz="0" w:space="0" w:color="auto"/>
            <w:right w:val="none" w:sz="0" w:space="0" w:color="auto"/>
          </w:divBdr>
        </w:div>
        <w:div w:id="2036272205">
          <w:marLeft w:val="0"/>
          <w:marRight w:val="0"/>
          <w:marTop w:val="0"/>
          <w:marBottom w:val="0"/>
          <w:divBdr>
            <w:top w:val="none" w:sz="0" w:space="0" w:color="auto"/>
            <w:left w:val="none" w:sz="0" w:space="0" w:color="auto"/>
            <w:bottom w:val="none" w:sz="0" w:space="0" w:color="auto"/>
            <w:right w:val="none" w:sz="0" w:space="0" w:color="auto"/>
          </w:divBdr>
        </w:div>
        <w:div w:id="1963534490">
          <w:marLeft w:val="0"/>
          <w:marRight w:val="0"/>
          <w:marTop w:val="0"/>
          <w:marBottom w:val="0"/>
          <w:divBdr>
            <w:top w:val="none" w:sz="0" w:space="0" w:color="auto"/>
            <w:left w:val="none" w:sz="0" w:space="0" w:color="auto"/>
            <w:bottom w:val="none" w:sz="0" w:space="0" w:color="auto"/>
            <w:right w:val="none" w:sz="0" w:space="0" w:color="auto"/>
          </w:divBdr>
        </w:div>
        <w:div w:id="1009718320">
          <w:marLeft w:val="0"/>
          <w:marRight w:val="0"/>
          <w:marTop w:val="0"/>
          <w:marBottom w:val="0"/>
          <w:divBdr>
            <w:top w:val="none" w:sz="0" w:space="0" w:color="auto"/>
            <w:left w:val="none" w:sz="0" w:space="0" w:color="auto"/>
            <w:bottom w:val="none" w:sz="0" w:space="0" w:color="auto"/>
            <w:right w:val="none" w:sz="0" w:space="0" w:color="auto"/>
          </w:divBdr>
        </w:div>
        <w:div w:id="2075656958">
          <w:marLeft w:val="0"/>
          <w:marRight w:val="0"/>
          <w:marTop w:val="0"/>
          <w:marBottom w:val="0"/>
          <w:divBdr>
            <w:top w:val="none" w:sz="0" w:space="0" w:color="auto"/>
            <w:left w:val="none" w:sz="0" w:space="0" w:color="auto"/>
            <w:bottom w:val="none" w:sz="0" w:space="0" w:color="auto"/>
            <w:right w:val="none" w:sz="0" w:space="0" w:color="auto"/>
          </w:divBdr>
        </w:div>
        <w:div w:id="1227495006">
          <w:marLeft w:val="0"/>
          <w:marRight w:val="0"/>
          <w:marTop w:val="0"/>
          <w:marBottom w:val="0"/>
          <w:divBdr>
            <w:top w:val="none" w:sz="0" w:space="0" w:color="auto"/>
            <w:left w:val="none" w:sz="0" w:space="0" w:color="auto"/>
            <w:bottom w:val="none" w:sz="0" w:space="0" w:color="auto"/>
            <w:right w:val="none" w:sz="0" w:space="0" w:color="auto"/>
          </w:divBdr>
        </w:div>
        <w:div w:id="390231839">
          <w:marLeft w:val="0"/>
          <w:marRight w:val="0"/>
          <w:marTop w:val="0"/>
          <w:marBottom w:val="0"/>
          <w:divBdr>
            <w:top w:val="none" w:sz="0" w:space="0" w:color="auto"/>
            <w:left w:val="none" w:sz="0" w:space="0" w:color="auto"/>
            <w:bottom w:val="none" w:sz="0" w:space="0" w:color="auto"/>
            <w:right w:val="none" w:sz="0" w:space="0" w:color="auto"/>
          </w:divBdr>
        </w:div>
        <w:div w:id="117142684">
          <w:marLeft w:val="0"/>
          <w:marRight w:val="0"/>
          <w:marTop w:val="0"/>
          <w:marBottom w:val="0"/>
          <w:divBdr>
            <w:top w:val="none" w:sz="0" w:space="0" w:color="auto"/>
            <w:left w:val="none" w:sz="0" w:space="0" w:color="auto"/>
            <w:bottom w:val="none" w:sz="0" w:space="0" w:color="auto"/>
            <w:right w:val="none" w:sz="0" w:space="0" w:color="auto"/>
          </w:divBdr>
        </w:div>
        <w:div w:id="882060613">
          <w:marLeft w:val="0"/>
          <w:marRight w:val="0"/>
          <w:marTop w:val="0"/>
          <w:marBottom w:val="0"/>
          <w:divBdr>
            <w:top w:val="none" w:sz="0" w:space="0" w:color="auto"/>
            <w:left w:val="none" w:sz="0" w:space="0" w:color="auto"/>
            <w:bottom w:val="none" w:sz="0" w:space="0" w:color="auto"/>
            <w:right w:val="none" w:sz="0" w:space="0" w:color="auto"/>
          </w:divBdr>
        </w:div>
        <w:div w:id="1343312156">
          <w:marLeft w:val="0"/>
          <w:marRight w:val="0"/>
          <w:marTop w:val="0"/>
          <w:marBottom w:val="0"/>
          <w:divBdr>
            <w:top w:val="none" w:sz="0" w:space="0" w:color="auto"/>
            <w:left w:val="none" w:sz="0" w:space="0" w:color="auto"/>
            <w:bottom w:val="none" w:sz="0" w:space="0" w:color="auto"/>
            <w:right w:val="none" w:sz="0" w:space="0" w:color="auto"/>
          </w:divBdr>
        </w:div>
        <w:div w:id="807745514">
          <w:marLeft w:val="0"/>
          <w:marRight w:val="0"/>
          <w:marTop w:val="0"/>
          <w:marBottom w:val="0"/>
          <w:divBdr>
            <w:top w:val="none" w:sz="0" w:space="0" w:color="auto"/>
            <w:left w:val="none" w:sz="0" w:space="0" w:color="auto"/>
            <w:bottom w:val="none" w:sz="0" w:space="0" w:color="auto"/>
            <w:right w:val="none" w:sz="0" w:space="0" w:color="auto"/>
          </w:divBdr>
        </w:div>
        <w:div w:id="688798703">
          <w:marLeft w:val="0"/>
          <w:marRight w:val="0"/>
          <w:marTop w:val="0"/>
          <w:marBottom w:val="0"/>
          <w:divBdr>
            <w:top w:val="none" w:sz="0" w:space="0" w:color="auto"/>
            <w:left w:val="none" w:sz="0" w:space="0" w:color="auto"/>
            <w:bottom w:val="none" w:sz="0" w:space="0" w:color="auto"/>
            <w:right w:val="none" w:sz="0" w:space="0" w:color="auto"/>
          </w:divBdr>
        </w:div>
        <w:div w:id="1324310022">
          <w:marLeft w:val="0"/>
          <w:marRight w:val="0"/>
          <w:marTop w:val="0"/>
          <w:marBottom w:val="0"/>
          <w:divBdr>
            <w:top w:val="none" w:sz="0" w:space="0" w:color="auto"/>
            <w:left w:val="none" w:sz="0" w:space="0" w:color="auto"/>
            <w:bottom w:val="none" w:sz="0" w:space="0" w:color="auto"/>
            <w:right w:val="none" w:sz="0" w:space="0" w:color="auto"/>
          </w:divBdr>
        </w:div>
        <w:div w:id="715542045">
          <w:marLeft w:val="0"/>
          <w:marRight w:val="0"/>
          <w:marTop w:val="0"/>
          <w:marBottom w:val="0"/>
          <w:divBdr>
            <w:top w:val="none" w:sz="0" w:space="0" w:color="auto"/>
            <w:left w:val="none" w:sz="0" w:space="0" w:color="auto"/>
            <w:bottom w:val="none" w:sz="0" w:space="0" w:color="auto"/>
            <w:right w:val="none" w:sz="0" w:space="0" w:color="auto"/>
          </w:divBdr>
        </w:div>
        <w:div w:id="1065952338">
          <w:marLeft w:val="0"/>
          <w:marRight w:val="0"/>
          <w:marTop w:val="0"/>
          <w:marBottom w:val="0"/>
          <w:divBdr>
            <w:top w:val="none" w:sz="0" w:space="0" w:color="auto"/>
            <w:left w:val="none" w:sz="0" w:space="0" w:color="auto"/>
            <w:bottom w:val="none" w:sz="0" w:space="0" w:color="auto"/>
            <w:right w:val="none" w:sz="0" w:space="0" w:color="auto"/>
          </w:divBdr>
        </w:div>
        <w:div w:id="2092659859">
          <w:marLeft w:val="0"/>
          <w:marRight w:val="0"/>
          <w:marTop w:val="0"/>
          <w:marBottom w:val="0"/>
          <w:divBdr>
            <w:top w:val="none" w:sz="0" w:space="0" w:color="auto"/>
            <w:left w:val="none" w:sz="0" w:space="0" w:color="auto"/>
            <w:bottom w:val="none" w:sz="0" w:space="0" w:color="auto"/>
            <w:right w:val="none" w:sz="0" w:space="0" w:color="auto"/>
          </w:divBdr>
        </w:div>
        <w:div w:id="1134103737">
          <w:marLeft w:val="0"/>
          <w:marRight w:val="0"/>
          <w:marTop w:val="0"/>
          <w:marBottom w:val="0"/>
          <w:divBdr>
            <w:top w:val="none" w:sz="0" w:space="0" w:color="auto"/>
            <w:left w:val="none" w:sz="0" w:space="0" w:color="auto"/>
            <w:bottom w:val="none" w:sz="0" w:space="0" w:color="auto"/>
            <w:right w:val="none" w:sz="0" w:space="0" w:color="auto"/>
          </w:divBdr>
        </w:div>
        <w:div w:id="511727059">
          <w:marLeft w:val="0"/>
          <w:marRight w:val="0"/>
          <w:marTop w:val="0"/>
          <w:marBottom w:val="0"/>
          <w:divBdr>
            <w:top w:val="none" w:sz="0" w:space="0" w:color="auto"/>
            <w:left w:val="none" w:sz="0" w:space="0" w:color="auto"/>
            <w:bottom w:val="none" w:sz="0" w:space="0" w:color="auto"/>
            <w:right w:val="none" w:sz="0" w:space="0" w:color="auto"/>
          </w:divBdr>
        </w:div>
        <w:div w:id="860240521">
          <w:marLeft w:val="0"/>
          <w:marRight w:val="0"/>
          <w:marTop w:val="0"/>
          <w:marBottom w:val="0"/>
          <w:divBdr>
            <w:top w:val="none" w:sz="0" w:space="0" w:color="auto"/>
            <w:left w:val="none" w:sz="0" w:space="0" w:color="auto"/>
            <w:bottom w:val="none" w:sz="0" w:space="0" w:color="auto"/>
            <w:right w:val="none" w:sz="0" w:space="0" w:color="auto"/>
          </w:divBdr>
        </w:div>
        <w:div w:id="892691556">
          <w:marLeft w:val="0"/>
          <w:marRight w:val="0"/>
          <w:marTop w:val="0"/>
          <w:marBottom w:val="0"/>
          <w:divBdr>
            <w:top w:val="none" w:sz="0" w:space="0" w:color="auto"/>
            <w:left w:val="none" w:sz="0" w:space="0" w:color="auto"/>
            <w:bottom w:val="none" w:sz="0" w:space="0" w:color="auto"/>
            <w:right w:val="none" w:sz="0" w:space="0" w:color="auto"/>
          </w:divBdr>
        </w:div>
        <w:div w:id="24454764">
          <w:marLeft w:val="0"/>
          <w:marRight w:val="0"/>
          <w:marTop w:val="0"/>
          <w:marBottom w:val="0"/>
          <w:divBdr>
            <w:top w:val="none" w:sz="0" w:space="0" w:color="auto"/>
            <w:left w:val="none" w:sz="0" w:space="0" w:color="auto"/>
            <w:bottom w:val="none" w:sz="0" w:space="0" w:color="auto"/>
            <w:right w:val="none" w:sz="0" w:space="0" w:color="auto"/>
          </w:divBdr>
        </w:div>
        <w:div w:id="541678020">
          <w:marLeft w:val="0"/>
          <w:marRight w:val="0"/>
          <w:marTop w:val="0"/>
          <w:marBottom w:val="0"/>
          <w:divBdr>
            <w:top w:val="none" w:sz="0" w:space="0" w:color="auto"/>
            <w:left w:val="none" w:sz="0" w:space="0" w:color="auto"/>
            <w:bottom w:val="none" w:sz="0" w:space="0" w:color="auto"/>
            <w:right w:val="none" w:sz="0" w:space="0" w:color="auto"/>
          </w:divBdr>
        </w:div>
        <w:div w:id="1404261026">
          <w:marLeft w:val="0"/>
          <w:marRight w:val="0"/>
          <w:marTop w:val="0"/>
          <w:marBottom w:val="0"/>
          <w:divBdr>
            <w:top w:val="none" w:sz="0" w:space="0" w:color="auto"/>
            <w:left w:val="none" w:sz="0" w:space="0" w:color="auto"/>
            <w:bottom w:val="none" w:sz="0" w:space="0" w:color="auto"/>
            <w:right w:val="none" w:sz="0" w:space="0" w:color="auto"/>
          </w:divBdr>
        </w:div>
        <w:div w:id="638808706">
          <w:marLeft w:val="0"/>
          <w:marRight w:val="0"/>
          <w:marTop w:val="0"/>
          <w:marBottom w:val="0"/>
          <w:divBdr>
            <w:top w:val="none" w:sz="0" w:space="0" w:color="auto"/>
            <w:left w:val="none" w:sz="0" w:space="0" w:color="auto"/>
            <w:bottom w:val="none" w:sz="0" w:space="0" w:color="auto"/>
            <w:right w:val="none" w:sz="0" w:space="0" w:color="auto"/>
          </w:divBdr>
        </w:div>
        <w:div w:id="238516275">
          <w:marLeft w:val="0"/>
          <w:marRight w:val="0"/>
          <w:marTop w:val="0"/>
          <w:marBottom w:val="0"/>
          <w:divBdr>
            <w:top w:val="none" w:sz="0" w:space="0" w:color="auto"/>
            <w:left w:val="none" w:sz="0" w:space="0" w:color="auto"/>
            <w:bottom w:val="none" w:sz="0" w:space="0" w:color="auto"/>
            <w:right w:val="none" w:sz="0" w:space="0" w:color="auto"/>
          </w:divBdr>
        </w:div>
        <w:div w:id="1694109704">
          <w:marLeft w:val="0"/>
          <w:marRight w:val="0"/>
          <w:marTop w:val="0"/>
          <w:marBottom w:val="0"/>
          <w:divBdr>
            <w:top w:val="none" w:sz="0" w:space="0" w:color="auto"/>
            <w:left w:val="none" w:sz="0" w:space="0" w:color="auto"/>
            <w:bottom w:val="none" w:sz="0" w:space="0" w:color="auto"/>
            <w:right w:val="none" w:sz="0" w:space="0" w:color="auto"/>
          </w:divBdr>
        </w:div>
        <w:div w:id="2120836280">
          <w:marLeft w:val="0"/>
          <w:marRight w:val="0"/>
          <w:marTop w:val="0"/>
          <w:marBottom w:val="0"/>
          <w:divBdr>
            <w:top w:val="none" w:sz="0" w:space="0" w:color="auto"/>
            <w:left w:val="none" w:sz="0" w:space="0" w:color="auto"/>
            <w:bottom w:val="none" w:sz="0" w:space="0" w:color="auto"/>
            <w:right w:val="none" w:sz="0" w:space="0" w:color="auto"/>
          </w:divBdr>
        </w:div>
        <w:div w:id="455296425">
          <w:marLeft w:val="0"/>
          <w:marRight w:val="0"/>
          <w:marTop w:val="0"/>
          <w:marBottom w:val="0"/>
          <w:divBdr>
            <w:top w:val="none" w:sz="0" w:space="0" w:color="auto"/>
            <w:left w:val="none" w:sz="0" w:space="0" w:color="auto"/>
            <w:bottom w:val="none" w:sz="0" w:space="0" w:color="auto"/>
            <w:right w:val="none" w:sz="0" w:space="0" w:color="auto"/>
          </w:divBdr>
        </w:div>
        <w:div w:id="1932930429">
          <w:marLeft w:val="0"/>
          <w:marRight w:val="0"/>
          <w:marTop w:val="0"/>
          <w:marBottom w:val="0"/>
          <w:divBdr>
            <w:top w:val="none" w:sz="0" w:space="0" w:color="auto"/>
            <w:left w:val="none" w:sz="0" w:space="0" w:color="auto"/>
            <w:bottom w:val="none" w:sz="0" w:space="0" w:color="auto"/>
            <w:right w:val="none" w:sz="0" w:space="0" w:color="auto"/>
          </w:divBdr>
        </w:div>
        <w:div w:id="538082317">
          <w:marLeft w:val="0"/>
          <w:marRight w:val="0"/>
          <w:marTop w:val="0"/>
          <w:marBottom w:val="0"/>
          <w:divBdr>
            <w:top w:val="none" w:sz="0" w:space="0" w:color="auto"/>
            <w:left w:val="none" w:sz="0" w:space="0" w:color="auto"/>
            <w:bottom w:val="none" w:sz="0" w:space="0" w:color="auto"/>
            <w:right w:val="none" w:sz="0" w:space="0" w:color="auto"/>
          </w:divBdr>
        </w:div>
        <w:div w:id="679356651">
          <w:marLeft w:val="0"/>
          <w:marRight w:val="0"/>
          <w:marTop w:val="0"/>
          <w:marBottom w:val="0"/>
          <w:divBdr>
            <w:top w:val="none" w:sz="0" w:space="0" w:color="auto"/>
            <w:left w:val="none" w:sz="0" w:space="0" w:color="auto"/>
            <w:bottom w:val="none" w:sz="0" w:space="0" w:color="auto"/>
            <w:right w:val="none" w:sz="0" w:space="0" w:color="auto"/>
          </w:divBdr>
        </w:div>
        <w:div w:id="1638532409">
          <w:marLeft w:val="0"/>
          <w:marRight w:val="0"/>
          <w:marTop w:val="0"/>
          <w:marBottom w:val="0"/>
          <w:divBdr>
            <w:top w:val="none" w:sz="0" w:space="0" w:color="auto"/>
            <w:left w:val="none" w:sz="0" w:space="0" w:color="auto"/>
            <w:bottom w:val="none" w:sz="0" w:space="0" w:color="auto"/>
            <w:right w:val="none" w:sz="0" w:space="0" w:color="auto"/>
          </w:divBdr>
        </w:div>
        <w:div w:id="1464275602">
          <w:marLeft w:val="0"/>
          <w:marRight w:val="0"/>
          <w:marTop w:val="0"/>
          <w:marBottom w:val="0"/>
          <w:divBdr>
            <w:top w:val="none" w:sz="0" w:space="0" w:color="auto"/>
            <w:left w:val="none" w:sz="0" w:space="0" w:color="auto"/>
            <w:bottom w:val="none" w:sz="0" w:space="0" w:color="auto"/>
            <w:right w:val="none" w:sz="0" w:space="0" w:color="auto"/>
          </w:divBdr>
        </w:div>
        <w:div w:id="1916237550">
          <w:marLeft w:val="0"/>
          <w:marRight w:val="0"/>
          <w:marTop w:val="0"/>
          <w:marBottom w:val="0"/>
          <w:divBdr>
            <w:top w:val="none" w:sz="0" w:space="0" w:color="auto"/>
            <w:left w:val="none" w:sz="0" w:space="0" w:color="auto"/>
            <w:bottom w:val="none" w:sz="0" w:space="0" w:color="auto"/>
            <w:right w:val="none" w:sz="0" w:space="0" w:color="auto"/>
          </w:divBdr>
        </w:div>
        <w:div w:id="2095541977">
          <w:marLeft w:val="0"/>
          <w:marRight w:val="0"/>
          <w:marTop w:val="0"/>
          <w:marBottom w:val="0"/>
          <w:divBdr>
            <w:top w:val="none" w:sz="0" w:space="0" w:color="auto"/>
            <w:left w:val="none" w:sz="0" w:space="0" w:color="auto"/>
            <w:bottom w:val="none" w:sz="0" w:space="0" w:color="auto"/>
            <w:right w:val="none" w:sz="0" w:space="0" w:color="auto"/>
          </w:divBdr>
          <w:divsChild>
            <w:div w:id="1488938398">
              <w:marLeft w:val="-75"/>
              <w:marRight w:val="0"/>
              <w:marTop w:val="30"/>
              <w:marBottom w:val="30"/>
              <w:divBdr>
                <w:top w:val="none" w:sz="0" w:space="0" w:color="auto"/>
                <w:left w:val="none" w:sz="0" w:space="0" w:color="auto"/>
                <w:bottom w:val="none" w:sz="0" w:space="0" w:color="auto"/>
                <w:right w:val="none" w:sz="0" w:space="0" w:color="auto"/>
              </w:divBdr>
              <w:divsChild>
                <w:div w:id="283007184">
                  <w:marLeft w:val="0"/>
                  <w:marRight w:val="0"/>
                  <w:marTop w:val="0"/>
                  <w:marBottom w:val="0"/>
                  <w:divBdr>
                    <w:top w:val="none" w:sz="0" w:space="0" w:color="auto"/>
                    <w:left w:val="none" w:sz="0" w:space="0" w:color="auto"/>
                    <w:bottom w:val="none" w:sz="0" w:space="0" w:color="auto"/>
                    <w:right w:val="none" w:sz="0" w:space="0" w:color="auto"/>
                  </w:divBdr>
                  <w:divsChild>
                    <w:div w:id="928538327">
                      <w:marLeft w:val="0"/>
                      <w:marRight w:val="0"/>
                      <w:marTop w:val="0"/>
                      <w:marBottom w:val="0"/>
                      <w:divBdr>
                        <w:top w:val="none" w:sz="0" w:space="0" w:color="auto"/>
                        <w:left w:val="none" w:sz="0" w:space="0" w:color="auto"/>
                        <w:bottom w:val="none" w:sz="0" w:space="0" w:color="auto"/>
                        <w:right w:val="none" w:sz="0" w:space="0" w:color="auto"/>
                      </w:divBdr>
                    </w:div>
                  </w:divsChild>
                </w:div>
                <w:div w:id="1080567943">
                  <w:marLeft w:val="0"/>
                  <w:marRight w:val="0"/>
                  <w:marTop w:val="0"/>
                  <w:marBottom w:val="0"/>
                  <w:divBdr>
                    <w:top w:val="none" w:sz="0" w:space="0" w:color="auto"/>
                    <w:left w:val="none" w:sz="0" w:space="0" w:color="auto"/>
                    <w:bottom w:val="none" w:sz="0" w:space="0" w:color="auto"/>
                    <w:right w:val="none" w:sz="0" w:space="0" w:color="auto"/>
                  </w:divBdr>
                  <w:divsChild>
                    <w:div w:id="1112624978">
                      <w:marLeft w:val="0"/>
                      <w:marRight w:val="0"/>
                      <w:marTop w:val="0"/>
                      <w:marBottom w:val="0"/>
                      <w:divBdr>
                        <w:top w:val="none" w:sz="0" w:space="0" w:color="auto"/>
                        <w:left w:val="none" w:sz="0" w:space="0" w:color="auto"/>
                        <w:bottom w:val="none" w:sz="0" w:space="0" w:color="auto"/>
                        <w:right w:val="none" w:sz="0" w:space="0" w:color="auto"/>
                      </w:divBdr>
                    </w:div>
                    <w:div w:id="539319864">
                      <w:marLeft w:val="0"/>
                      <w:marRight w:val="0"/>
                      <w:marTop w:val="0"/>
                      <w:marBottom w:val="0"/>
                      <w:divBdr>
                        <w:top w:val="none" w:sz="0" w:space="0" w:color="auto"/>
                        <w:left w:val="none" w:sz="0" w:space="0" w:color="auto"/>
                        <w:bottom w:val="none" w:sz="0" w:space="0" w:color="auto"/>
                        <w:right w:val="none" w:sz="0" w:space="0" w:color="auto"/>
                      </w:divBdr>
                    </w:div>
                  </w:divsChild>
                </w:div>
                <w:div w:id="344208591">
                  <w:marLeft w:val="0"/>
                  <w:marRight w:val="0"/>
                  <w:marTop w:val="0"/>
                  <w:marBottom w:val="0"/>
                  <w:divBdr>
                    <w:top w:val="none" w:sz="0" w:space="0" w:color="auto"/>
                    <w:left w:val="none" w:sz="0" w:space="0" w:color="auto"/>
                    <w:bottom w:val="none" w:sz="0" w:space="0" w:color="auto"/>
                    <w:right w:val="none" w:sz="0" w:space="0" w:color="auto"/>
                  </w:divBdr>
                  <w:divsChild>
                    <w:div w:id="1723020549">
                      <w:marLeft w:val="0"/>
                      <w:marRight w:val="0"/>
                      <w:marTop w:val="0"/>
                      <w:marBottom w:val="0"/>
                      <w:divBdr>
                        <w:top w:val="none" w:sz="0" w:space="0" w:color="auto"/>
                        <w:left w:val="none" w:sz="0" w:space="0" w:color="auto"/>
                        <w:bottom w:val="none" w:sz="0" w:space="0" w:color="auto"/>
                        <w:right w:val="none" w:sz="0" w:space="0" w:color="auto"/>
                      </w:divBdr>
                    </w:div>
                  </w:divsChild>
                </w:div>
                <w:div w:id="233929418">
                  <w:marLeft w:val="0"/>
                  <w:marRight w:val="0"/>
                  <w:marTop w:val="0"/>
                  <w:marBottom w:val="0"/>
                  <w:divBdr>
                    <w:top w:val="none" w:sz="0" w:space="0" w:color="auto"/>
                    <w:left w:val="none" w:sz="0" w:space="0" w:color="auto"/>
                    <w:bottom w:val="none" w:sz="0" w:space="0" w:color="auto"/>
                    <w:right w:val="none" w:sz="0" w:space="0" w:color="auto"/>
                  </w:divBdr>
                  <w:divsChild>
                    <w:div w:id="193542531">
                      <w:marLeft w:val="0"/>
                      <w:marRight w:val="0"/>
                      <w:marTop w:val="0"/>
                      <w:marBottom w:val="0"/>
                      <w:divBdr>
                        <w:top w:val="none" w:sz="0" w:space="0" w:color="auto"/>
                        <w:left w:val="none" w:sz="0" w:space="0" w:color="auto"/>
                        <w:bottom w:val="none" w:sz="0" w:space="0" w:color="auto"/>
                        <w:right w:val="none" w:sz="0" w:space="0" w:color="auto"/>
                      </w:divBdr>
                    </w:div>
                    <w:div w:id="2029217062">
                      <w:marLeft w:val="0"/>
                      <w:marRight w:val="0"/>
                      <w:marTop w:val="0"/>
                      <w:marBottom w:val="0"/>
                      <w:divBdr>
                        <w:top w:val="none" w:sz="0" w:space="0" w:color="auto"/>
                        <w:left w:val="none" w:sz="0" w:space="0" w:color="auto"/>
                        <w:bottom w:val="none" w:sz="0" w:space="0" w:color="auto"/>
                        <w:right w:val="none" w:sz="0" w:space="0" w:color="auto"/>
                      </w:divBdr>
                    </w:div>
                  </w:divsChild>
                </w:div>
                <w:div w:id="231042282">
                  <w:marLeft w:val="0"/>
                  <w:marRight w:val="0"/>
                  <w:marTop w:val="0"/>
                  <w:marBottom w:val="0"/>
                  <w:divBdr>
                    <w:top w:val="none" w:sz="0" w:space="0" w:color="auto"/>
                    <w:left w:val="none" w:sz="0" w:space="0" w:color="auto"/>
                    <w:bottom w:val="none" w:sz="0" w:space="0" w:color="auto"/>
                    <w:right w:val="none" w:sz="0" w:space="0" w:color="auto"/>
                  </w:divBdr>
                  <w:divsChild>
                    <w:div w:id="1200582818">
                      <w:marLeft w:val="0"/>
                      <w:marRight w:val="0"/>
                      <w:marTop w:val="0"/>
                      <w:marBottom w:val="0"/>
                      <w:divBdr>
                        <w:top w:val="none" w:sz="0" w:space="0" w:color="auto"/>
                        <w:left w:val="none" w:sz="0" w:space="0" w:color="auto"/>
                        <w:bottom w:val="none" w:sz="0" w:space="0" w:color="auto"/>
                        <w:right w:val="none" w:sz="0" w:space="0" w:color="auto"/>
                      </w:divBdr>
                    </w:div>
                  </w:divsChild>
                </w:div>
                <w:div w:id="431166015">
                  <w:marLeft w:val="0"/>
                  <w:marRight w:val="0"/>
                  <w:marTop w:val="0"/>
                  <w:marBottom w:val="0"/>
                  <w:divBdr>
                    <w:top w:val="none" w:sz="0" w:space="0" w:color="auto"/>
                    <w:left w:val="none" w:sz="0" w:space="0" w:color="auto"/>
                    <w:bottom w:val="none" w:sz="0" w:space="0" w:color="auto"/>
                    <w:right w:val="none" w:sz="0" w:space="0" w:color="auto"/>
                  </w:divBdr>
                  <w:divsChild>
                    <w:div w:id="633837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16871884">
          <w:marLeft w:val="0"/>
          <w:marRight w:val="0"/>
          <w:marTop w:val="0"/>
          <w:marBottom w:val="0"/>
          <w:divBdr>
            <w:top w:val="none" w:sz="0" w:space="0" w:color="auto"/>
            <w:left w:val="none" w:sz="0" w:space="0" w:color="auto"/>
            <w:bottom w:val="none" w:sz="0" w:space="0" w:color="auto"/>
            <w:right w:val="none" w:sz="0" w:space="0" w:color="auto"/>
          </w:divBdr>
        </w:div>
        <w:div w:id="1002320289">
          <w:marLeft w:val="0"/>
          <w:marRight w:val="0"/>
          <w:marTop w:val="0"/>
          <w:marBottom w:val="0"/>
          <w:divBdr>
            <w:top w:val="none" w:sz="0" w:space="0" w:color="auto"/>
            <w:left w:val="none" w:sz="0" w:space="0" w:color="auto"/>
            <w:bottom w:val="none" w:sz="0" w:space="0" w:color="auto"/>
            <w:right w:val="none" w:sz="0" w:space="0" w:color="auto"/>
          </w:divBdr>
        </w:div>
        <w:div w:id="2033648475">
          <w:marLeft w:val="0"/>
          <w:marRight w:val="0"/>
          <w:marTop w:val="0"/>
          <w:marBottom w:val="0"/>
          <w:divBdr>
            <w:top w:val="none" w:sz="0" w:space="0" w:color="auto"/>
            <w:left w:val="none" w:sz="0" w:space="0" w:color="auto"/>
            <w:bottom w:val="none" w:sz="0" w:space="0" w:color="auto"/>
            <w:right w:val="none" w:sz="0" w:space="0" w:color="auto"/>
          </w:divBdr>
        </w:div>
        <w:div w:id="1053582647">
          <w:marLeft w:val="0"/>
          <w:marRight w:val="0"/>
          <w:marTop w:val="0"/>
          <w:marBottom w:val="0"/>
          <w:divBdr>
            <w:top w:val="none" w:sz="0" w:space="0" w:color="auto"/>
            <w:left w:val="none" w:sz="0" w:space="0" w:color="auto"/>
            <w:bottom w:val="none" w:sz="0" w:space="0" w:color="auto"/>
            <w:right w:val="none" w:sz="0" w:space="0" w:color="auto"/>
          </w:divBdr>
        </w:div>
        <w:div w:id="165822881">
          <w:marLeft w:val="0"/>
          <w:marRight w:val="0"/>
          <w:marTop w:val="0"/>
          <w:marBottom w:val="0"/>
          <w:divBdr>
            <w:top w:val="none" w:sz="0" w:space="0" w:color="auto"/>
            <w:left w:val="none" w:sz="0" w:space="0" w:color="auto"/>
            <w:bottom w:val="none" w:sz="0" w:space="0" w:color="auto"/>
            <w:right w:val="none" w:sz="0" w:space="0" w:color="auto"/>
          </w:divBdr>
        </w:div>
        <w:div w:id="1919947877">
          <w:marLeft w:val="0"/>
          <w:marRight w:val="0"/>
          <w:marTop w:val="0"/>
          <w:marBottom w:val="0"/>
          <w:divBdr>
            <w:top w:val="none" w:sz="0" w:space="0" w:color="auto"/>
            <w:left w:val="none" w:sz="0" w:space="0" w:color="auto"/>
            <w:bottom w:val="none" w:sz="0" w:space="0" w:color="auto"/>
            <w:right w:val="none" w:sz="0" w:space="0" w:color="auto"/>
          </w:divBdr>
          <w:divsChild>
            <w:div w:id="1192113255">
              <w:marLeft w:val="0"/>
              <w:marRight w:val="0"/>
              <w:marTop w:val="0"/>
              <w:marBottom w:val="0"/>
              <w:divBdr>
                <w:top w:val="none" w:sz="0" w:space="0" w:color="auto"/>
                <w:left w:val="none" w:sz="0" w:space="0" w:color="auto"/>
                <w:bottom w:val="none" w:sz="0" w:space="0" w:color="auto"/>
                <w:right w:val="none" w:sz="0" w:space="0" w:color="auto"/>
              </w:divBdr>
            </w:div>
            <w:div w:id="524707673">
              <w:marLeft w:val="0"/>
              <w:marRight w:val="0"/>
              <w:marTop w:val="0"/>
              <w:marBottom w:val="0"/>
              <w:divBdr>
                <w:top w:val="none" w:sz="0" w:space="0" w:color="auto"/>
                <w:left w:val="none" w:sz="0" w:space="0" w:color="auto"/>
                <w:bottom w:val="none" w:sz="0" w:space="0" w:color="auto"/>
                <w:right w:val="none" w:sz="0" w:space="0" w:color="auto"/>
              </w:divBdr>
            </w:div>
            <w:div w:id="1477457551">
              <w:marLeft w:val="0"/>
              <w:marRight w:val="0"/>
              <w:marTop w:val="0"/>
              <w:marBottom w:val="0"/>
              <w:divBdr>
                <w:top w:val="none" w:sz="0" w:space="0" w:color="auto"/>
                <w:left w:val="none" w:sz="0" w:space="0" w:color="auto"/>
                <w:bottom w:val="none" w:sz="0" w:space="0" w:color="auto"/>
                <w:right w:val="none" w:sz="0" w:space="0" w:color="auto"/>
              </w:divBdr>
            </w:div>
            <w:div w:id="1905212490">
              <w:marLeft w:val="0"/>
              <w:marRight w:val="0"/>
              <w:marTop w:val="0"/>
              <w:marBottom w:val="0"/>
              <w:divBdr>
                <w:top w:val="none" w:sz="0" w:space="0" w:color="auto"/>
                <w:left w:val="none" w:sz="0" w:space="0" w:color="auto"/>
                <w:bottom w:val="none" w:sz="0" w:space="0" w:color="auto"/>
                <w:right w:val="none" w:sz="0" w:space="0" w:color="auto"/>
              </w:divBdr>
            </w:div>
            <w:div w:id="1960529064">
              <w:marLeft w:val="0"/>
              <w:marRight w:val="0"/>
              <w:marTop w:val="0"/>
              <w:marBottom w:val="0"/>
              <w:divBdr>
                <w:top w:val="none" w:sz="0" w:space="0" w:color="auto"/>
                <w:left w:val="none" w:sz="0" w:space="0" w:color="auto"/>
                <w:bottom w:val="none" w:sz="0" w:space="0" w:color="auto"/>
                <w:right w:val="none" w:sz="0" w:space="0" w:color="auto"/>
              </w:divBdr>
            </w:div>
          </w:divsChild>
        </w:div>
        <w:div w:id="1791318772">
          <w:marLeft w:val="0"/>
          <w:marRight w:val="0"/>
          <w:marTop w:val="0"/>
          <w:marBottom w:val="0"/>
          <w:divBdr>
            <w:top w:val="none" w:sz="0" w:space="0" w:color="auto"/>
            <w:left w:val="none" w:sz="0" w:space="0" w:color="auto"/>
            <w:bottom w:val="none" w:sz="0" w:space="0" w:color="auto"/>
            <w:right w:val="none" w:sz="0" w:space="0" w:color="auto"/>
          </w:divBdr>
        </w:div>
        <w:div w:id="1672679863">
          <w:marLeft w:val="0"/>
          <w:marRight w:val="0"/>
          <w:marTop w:val="0"/>
          <w:marBottom w:val="0"/>
          <w:divBdr>
            <w:top w:val="none" w:sz="0" w:space="0" w:color="auto"/>
            <w:left w:val="none" w:sz="0" w:space="0" w:color="auto"/>
            <w:bottom w:val="none" w:sz="0" w:space="0" w:color="auto"/>
            <w:right w:val="none" w:sz="0" w:space="0" w:color="auto"/>
          </w:divBdr>
        </w:div>
        <w:div w:id="896629501">
          <w:marLeft w:val="0"/>
          <w:marRight w:val="0"/>
          <w:marTop w:val="0"/>
          <w:marBottom w:val="0"/>
          <w:divBdr>
            <w:top w:val="none" w:sz="0" w:space="0" w:color="auto"/>
            <w:left w:val="none" w:sz="0" w:space="0" w:color="auto"/>
            <w:bottom w:val="none" w:sz="0" w:space="0" w:color="auto"/>
            <w:right w:val="none" w:sz="0" w:space="0" w:color="auto"/>
          </w:divBdr>
        </w:div>
        <w:div w:id="1492059971">
          <w:marLeft w:val="0"/>
          <w:marRight w:val="0"/>
          <w:marTop w:val="0"/>
          <w:marBottom w:val="0"/>
          <w:divBdr>
            <w:top w:val="none" w:sz="0" w:space="0" w:color="auto"/>
            <w:left w:val="none" w:sz="0" w:space="0" w:color="auto"/>
            <w:bottom w:val="none" w:sz="0" w:space="0" w:color="auto"/>
            <w:right w:val="none" w:sz="0" w:space="0" w:color="auto"/>
          </w:divBdr>
        </w:div>
        <w:div w:id="743262102">
          <w:marLeft w:val="0"/>
          <w:marRight w:val="0"/>
          <w:marTop w:val="0"/>
          <w:marBottom w:val="0"/>
          <w:divBdr>
            <w:top w:val="none" w:sz="0" w:space="0" w:color="auto"/>
            <w:left w:val="none" w:sz="0" w:space="0" w:color="auto"/>
            <w:bottom w:val="none" w:sz="0" w:space="0" w:color="auto"/>
            <w:right w:val="none" w:sz="0" w:space="0" w:color="auto"/>
          </w:divBdr>
        </w:div>
        <w:div w:id="1966614619">
          <w:marLeft w:val="0"/>
          <w:marRight w:val="0"/>
          <w:marTop w:val="0"/>
          <w:marBottom w:val="0"/>
          <w:divBdr>
            <w:top w:val="none" w:sz="0" w:space="0" w:color="auto"/>
            <w:left w:val="none" w:sz="0" w:space="0" w:color="auto"/>
            <w:bottom w:val="none" w:sz="0" w:space="0" w:color="auto"/>
            <w:right w:val="none" w:sz="0" w:space="0" w:color="auto"/>
          </w:divBdr>
          <w:divsChild>
            <w:div w:id="1375154655">
              <w:marLeft w:val="0"/>
              <w:marRight w:val="0"/>
              <w:marTop w:val="0"/>
              <w:marBottom w:val="0"/>
              <w:divBdr>
                <w:top w:val="none" w:sz="0" w:space="0" w:color="auto"/>
                <w:left w:val="none" w:sz="0" w:space="0" w:color="auto"/>
                <w:bottom w:val="none" w:sz="0" w:space="0" w:color="auto"/>
                <w:right w:val="none" w:sz="0" w:space="0" w:color="auto"/>
              </w:divBdr>
            </w:div>
            <w:div w:id="1193155926">
              <w:marLeft w:val="0"/>
              <w:marRight w:val="0"/>
              <w:marTop w:val="0"/>
              <w:marBottom w:val="0"/>
              <w:divBdr>
                <w:top w:val="none" w:sz="0" w:space="0" w:color="auto"/>
                <w:left w:val="none" w:sz="0" w:space="0" w:color="auto"/>
                <w:bottom w:val="none" w:sz="0" w:space="0" w:color="auto"/>
                <w:right w:val="none" w:sz="0" w:space="0" w:color="auto"/>
              </w:divBdr>
            </w:div>
            <w:div w:id="152644634">
              <w:marLeft w:val="0"/>
              <w:marRight w:val="0"/>
              <w:marTop w:val="0"/>
              <w:marBottom w:val="0"/>
              <w:divBdr>
                <w:top w:val="none" w:sz="0" w:space="0" w:color="auto"/>
                <w:left w:val="none" w:sz="0" w:space="0" w:color="auto"/>
                <w:bottom w:val="none" w:sz="0" w:space="0" w:color="auto"/>
                <w:right w:val="none" w:sz="0" w:space="0" w:color="auto"/>
              </w:divBdr>
            </w:div>
            <w:div w:id="1745906066">
              <w:marLeft w:val="0"/>
              <w:marRight w:val="0"/>
              <w:marTop w:val="0"/>
              <w:marBottom w:val="0"/>
              <w:divBdr>
                <w:top w:val="none" w:sz="0" w:space="0" w:color="auto"/>
                <w:left w:val="none" w:sz="0" w:space="0" w:color="auto"/>
                <w:bottom w:val="none" w:sz="0" w:space="0" w:color="auto"/>
                <w:right w:val="none" w:sz="0" w:space="0" w:color="auto"/>
              </w:divBdr>
            </w:div>
            <w:div w:id="293171294">
              <w:marLeft w:val="0"/>
              <w:marRight w:val="0"/>
              <w:marTop w:val="0"/>
              <w:marBottom w:val="0"/>
              <w:divBdr>
                <w:top w:val="none" w:sz="0" w:space="0" w:color="auto"/>
                <w:left w:val="none" w:sz="0" w:space="0" w:color="auto"/>
                <w:bottom w:val="none" w:sz="0" w:space="0" w:color="auto"/>
                <w:right w:val="none" w:sz="0" w:space="0" w:color="auto"/>
              </w:divBdr>
            </w:div>
          </w:divsChild>
        </w:div>
        <w:div w:id="1836526458">
          <w:marLeft w:val="0"/>
          <w:marRight w:val="0"/>
          <w:marTop w:val="0"/>
          <w:marBottom w:val="0"/>
          <w:divBdr>
            <w:top w:val="none" w:sz="0" w:space="0" w:color="auto"/>
            <w:left w:val="none" w:sz="0" w:space="0" w:color="auto"/>
            <w:bottom w:val="none" w:sz="0" w:space="0" w:color="auto"/>
            <w:right w:val="none" w:sz="0" w:space="0" w:color="auto"/>
          </w:divBdr>
          <w:divsChild>
            <w:div w:id="1153059618">
              <w:marLeft w:val="0"/>
              <w:marRight w:val="0"/>
              <w:marTop w:val="0"/>
              <w:marBottom w:val="0"/>
              <w:divBdr>
                <w:top w:val="none" w:sz="0" w:space="0" w:color="auto"/>
                <w:left w:val="none" w:sz="0" w:space="0" w:color="auto"/>
                <w:bottom w:val="none" w:sz="0" w:space="0" w:color="auto"/>
                <w:right w:val="none" w:sz="0" w:space="0" w:color="auto"/>
              </w:divBdr>
            </w:div>
            <w:div w:id="252974095">
              <w:marLeft w:val="0"/>
              <w:marRight w:val="0"/>
              <w:marTop w:val="0"/>
              <w:marBottom w:val="0"/>
              <w:divBdr>
                <w:top w:val="none" w:sz="0" w:space="0" w:color="auto"/>
                <w:left w:val="none" w:sz="0" w:space="0" w:color="auto"/>
                <w:bottom w:val="none" w:sz="0" w:space="0" w:color="auto"/>
                <w:right w:val="none" w:sz="0" w:space="0" w:color="auto"/>
              </w:divBdr>
            </w:div>
            <w:div w:id="465974370">
              <w:marLeft w:val="0"/>
              <w:marRight w:val="0"/>
              <w:marTop w:val="0"/>
              <w:marBottom w:val="0"/>
              <w:divBdr>
                <w:top w:val="none" w:sz="0" w:space="0" w:color="auto"/>
                <w:left w:val="none" w:sz="0" w:space="0" w:color="auto"/>
                <w:bottom w:val="none" w:sz="0" w:space="0" w:color="auto"/>
                <w:right w:val="none" w:sz="0" w:space="0" w:color="auto"/>
              </w:divBdr>
            </w:div>
            <w:div w:id="762535188">
              <w:marLeft w:val="0"/>
              <w:marRight w:val="0"/>
              <w:marTop w:val="0"/>
              <w:marBottom w:val="0"/>
              <w:divBdr>
                <w:top w:val="none" w:sz="0" w:space="0" w:color="auto"/>
                <w:left w:val="none" w:sz="0" w:space="0" w:color="auto"/>
                <w:bottom w:val="none" w:sz="0" w:space="0" w:color="auto"/>
                <w:right w:val="none" w:sz="0" w:space="0" w:color="auto"/>
              </w:divBdr>
            </w:div>
            <w:div w:id="1513228375">
              <w:marLeft w:val="0"/>
              <w:marRight w:val="0"/>
              <w:marTop w:val="0"/>
              <w:marBottom w:val="0"/>
              <w:divBdr>
                <w:top w:val="none" w:sz="0" w:space="0" w:color="auto"/>
                <w:left w:val="none" w:sz="0" w:space="0" w:color="auto"/>
                <w:bottom w:val="none" w:sz="0" w:space="0" w:color="auto"/>
                <w:right w:val="none" w:sz="0" w:space="0" w:color="auto"/>
              </w:divBdr>
            </w:div>
          </w:divsChild>
        </w:div>
        <w:div w:id="1128550095">
          <w:marLeft w:val="0"/>
          <w:marRight w:val="0"/>
          <w:marTop w:val="0"/>
          <w:marBottom w:val="0"/>
          <w:divBdr>
            <w:top w:val="none" w:sz="0" w:space="0" w:color="auto"/>
            <w:left w:val="none" w:sz="0" w:space="0" w:color="auto"/>
            <w:bottom w:val="none" w:sz="0" w:space="0" w:color="auto"/>
            <w:right w:val="none" w:sz="0" w:space="0" w:color="auto"/>
          </w:divBdr>
          <w:divsChild>
            <w:div w:id="407390849">
              <w:marLeft w:val="0"/>
              <w:marRight w:val="0"/>
              <w:marTop w:val="0"/>
              <w:marBottom w:val="0"/>
              <w:divBdr>
                <w:top w:val="none" w:sz="0" w:space="0" w:color="auto"/>
                <w:left w:val="none" w:sz="0" w:space="0" w:color="auto"/>
                <w:bottom w:val="none" w:sz="0" w:space="0" w:color="auto"/>
                <w:right w:val="none" w:sz="0" w:space="0" w:color="auto"/>
              </w:divBdr>
            </w:div>
            <w:div w:id="1142380584">
              <w:marLeft w:val="0"/>
              <w:marRight w:val="0"/>
              <w:marTop w:val="0"/>
              <w:marBottom w:val="0"/>
              <w:divBdr>
                <w:top w:val="none" w:sz="0" w:space="0" w:color="auto"/>
                <w:left w:val="none" w:sz="0" w:space="0" w:color="auto"/>
                <w:bottom w:val="none" w:sz="0" w:space="0" w:color="auto"/>
                <w:right w:val="none" w:sz="0" w:space="0" w:color="auto"/>
              </w:divBdr>
            </w:div>
            <w:div w:id="1192953861">
              <w:marLeft w:val="0"/>
              <w:marRight w:val="0"/>
              <w:marTop w:val="0"/>
              <w:marBottom w:val="0"/>
              <w:divBdr>
                <w:top w:val="none" w:sz="0" w:space="0" w:color="auto"/>
                <w:left w:val="none" w:sz="0" w:space="0" w:color="auto"/>
                <w:bottom w:val="none" w:sz="0" w:space="0" w:color="auto"/>
                <w:right w:val="none" w:sz="0" w:space="0" w:color="auto"/>
              </w:divBdr>
            </w:div>
          </w:divsChild>
        </w:div>
        <w:div w:id="953637238">
          <w:marLeft w:val="0"/>
          <w:marRight w:val="0"/>
          <w:marTop w:val="0"/>
          <w:marBottom w:val="0"/>
          <w:divBdr>
            <w:top w:val="none" w:sz="0" w:space="0" w:color="auto"/>
            <w:left w:val="none" w:sz="0" w:space="0" w:color="auto"/>
            <w:bottom w:val="none" w:sz="0" w:space="0" w:color="auto"/>
            <w:right w:val="none" w:sz="0" w:space="0" w:color="auto"/>
          </w:divBdr>
          <w:divsChild>
            <w:div w:id="330067371">
              <w:marLeft w:val="0"/>
              <w:marRight w:val="0"/>
              <w:marTop w:val="0"/>
              <w:marBottom w:val="0"/>
              <w:divBdr>
                <w:top w:val="none" w:sz="0" w:space="0" w:color="auto"/>
                <w:left w:val="none" w:sz="0" w:space="0" w:color="auto"/>
                <w:bottom w:val="none" w:sz="0" w:space="0" w:color="auto"/>
                <w:right w:val="none" w:sz="0" w:space="0" w:color="auto"/>
              </w:divBdr>
            </w:div>
            <w:div w:id="1721204122">
              <w:marLeft w:val="0"/>
              <w:marRight w:val="0"/>
              <w:marTop w:val="0"/>
              <w:marBottom w:val="0"/>
              <w:divBdr>
                <w:top w:val="none" w:sz="0" w:space="0" w:color="auto"/>
                <w:left w:val="none" w:sz="0" w:space="0" w:color="auto"/>
                <w:bottom w:val="none" w:sz="0" w:space="0" w:color="auto"/>
                <w:right w:val="none" w:sz="0" w:space="0" w:color="auto"/>
              </w:divBdr>
            </w:div>
            <w:div w:id="543758897">
              <w:marLeft w:val="0"/>
              <w:marRight w:val="0"/>
              <w:marTop w:val="0"/>
              <w:marBottom w:val="0"/>
              <w:divBdr>
                <w:top w:val="none" w:sz="0" w:space="0" w:color="auto"/>
                <w:left w:val="none" w:sz="0" w:space="0" w:color="auto"/>
                <w:bottom w:val="none" w:sz="0" w:space="0" w:color="auto"/>
                <w:right w:val="none" w:sz="0" w:space="0" w:color="auto"/>
              </w:divBdr>
            </w:div>
            <w:div w:id="1286548090">
              <w:marLeft w:val="0"/>
              <w:marRight w:val="0"/>
              <w:marTop w:val="0"/>
              <w:marBottom w:val="0"/>
              <w:divBdr>
                <w:top w:val="none" w:sz="0" w:space="0" w:color="auto"/>
                <w:left w:val="none" w:sz="0" w:space="0" w:color="auto"/>
                <w:bottom w:val="none" w:sz="0" w:space="0" w:color="auto"/>
                <w:right w:val="none" w:sz="0" w:space="0" w:color="auto"/>
              </w:divBdr>
            </w:div>
            <w:div w:id="220364327">
              <w:marLeft w:val="0"/>
              <w:marRight w:val="0"/>
              <w:marTop w:val="0"/>
              <w:marBottom w:val="0"/>
              <w:divBdr>
                <w:top w:val="none" w:sz="0" w:space="0" w:color="auto"/>
                <w:left w:val="none" w:sz="0" w:space="0" w:color="auto"/>
                <w:bottom w:val="none" w:sz="0" w:space="0" w:color="auto"/>
                <w:right w:val="none" w:sz="0" w:space="0" w:color="auto"/>
              </w:divBdr>
            </w:div>
          </w:divsChild>
        </w:div>
        <w:div w:id="568075362">
          <w:marLeft w:val="0"/>
          <w:marRight w:val="0"/>
          <w:marTop w:val="0"/>
          <w:marBottom w:val="0"/>
          <w:divBdr>
            <w:top w:val="none" w:sz="0" w:space="0" w:color="auto"/>
            <w:left w:val="none" w:sz="0" w:space="0" w:color="auto"/>
            <w:bottom w:val="none" w:sz="0" w:space="0" w:color="auto"/>
            <w:right w:val="none" w:sz="0" w:space="0" w:color="auto"/>
          </w:divBdr>
        </w:div>
        <w:div w:id="1538200560">
          <w:marLeft w:val="0"/>
          <w:marRight w:val="0"/>
          <w:marTop w:val="0"/>
          <w:marBottom w:val="0"/>
          <w:divBdr>
            <w:top w:val="none" w:sz="0" w:space="0" w:color="auto"/>
            <w:left w:val="none" w:sz="0" w:space="0" w:color="auto"/>
            <w:bottom w:val="none" w:sz="0" w:space="0" w:color="auto"/>
            <w:right w:val="none" w:sz="0" w:space="0" w:color="auto"/>
          </w:divBdr>
          <w:divsChild>
            <w:div w:id="1030690503">
              <w:marLeft w:val="-75"/>
              <w:marRight w:val="0"/>
              <w:marTop w:val="30"/>
              <w:marBottom w:val="30"/>
              <w:divBdr>
                <w:top w:val="none" w:sz="0" w:space="0" w:color="auto"/>
                <w:left w:val="none" w:sz="0" w:space="0" w:color="auto"/>
                <w:bottom w:val="none" w:sz="0" w:space="0" w:color="auto"/>
                <w:right w:val="none" w:sz="0" w:space="0" w:color="auto"/>
              </w:divBdr>
              <w:divsChild>
                <w:div w:id="439450645">
                  <w:marLeft w:val="0"/>
                  <w:marRight w:val="0"/>
                  <w:marTop w:val="0"/>
                  <w:marBottom w:val="0"/>
                  <w:divBdr>
                    <w:top w:val="none" w:sz="0" w:space="0" w:color="auto"/>
                    <w:left w:val="none" w:sz="0" w:space="0" w:color="auto"/>
                    <w:bottom w:val="none" w:sz="0" w:space="0" w:color="auto"/>
                    <w:right w:val="none" w:sz="0" w:space="0" w:color="auto"/>
                  </w:divBdr>
                  <w:divsChild>
                    <w:div w:id="1359618204">
                      <w:marLeft w:val="0"/>
                      <w:marRight w:val="0"/>
                      <w:marTop w:val="0"/>
                      <w:marBottom w:val="0"/>
                      <w:divBdr>
                        <w:top w:val="none" w:sz="0" w:space="0" w:color="auto"/>
                        <w:left w:val="none" w:sz="0" w:space="0" w:color="auto"/>
                        <w:bottom w:val="none" w:sz="0" w:space="0" w:color="auto"/>
                        <w:right w:val="none" w:sz="0" w:space="0" w:color="auto"/>
                      </w:divBdr>
                    </w:div>
                  </w:divsChild>
                </w:div>
                <w:div w:id="835262197">
                  <w:marLeft w:val="0"/>
                  <w:marRight w:val="0"/>
                  <w:marTop w:val="0"/>
                  <w:marBottom w:val="0"/>
                  <w:divBdr>
                    <w:top w:val="none" w:sz="0" w:space="0" w:color="auto"/>
                    <w:left w:val="none" w:sz="0" w:space="0" w:color="auto"/>
                    <w:bottom w:val="none" w:sz="0" w:space="0" w:color="auto"/>
                    <w:right w:val="none" w:sz="0" w:space="0" w:color="auto"/>
                  </w:divBdr>
                  <w:divsChild>
                    <w:div w:id="1468469984">
                      <w:marLeft w:val="0"/>
                      <w:marRight w:val="0"/>
                      <w:marTop w:val="0"/>
                      <w:marBottom w:val="0"/>
                      <w:divBdr>
                        <w:top w:val="none" w:sz="0" w:space="0" w:color="auto"/>
                        <w:left w:val="none" w:sz="0" w:space="0" w:color="auto"/>
                        <w:bottom w:val="none" w:sz="0" w:space="0" w:color="auto"/>
                        <w:right w:val="none" w:sz="0" w:space="0" w:color="auto"/>
                      </w:divBdr>
                    </w:div>
                  </w:divsChild>
                </w:div>
                <w:div w:id="1874032042">
                  <w:marLeft w:val="0"/>
                  <w:marRight w:val="0"/>
                  <w:marTop w:val="0"/>
                  <w:marBottom w:val="0"/>
                  <w:divBdr>
                    <w:top w:val="none" w:sz="0" w:space="0" w:color="auto"/>
                    <w:left w:val="none" w:sz="0" w:space="0" w:color="auto"/>
                    <w:bottom w:val="none" w:sz="0" w:space="0" w:color="auto"/>
                    <w:right w:val="none" w:sz="0" w:space="0" w:color="auto"/>
                  </w:divBdr>
                  <w:divsChild>
                    <w:div w:id="1346664389">
                      <w:marLeft w:val="0"/>
                      <w:marRight w:val="0"/>
                      <w:marTop w:val="0"/>
                      <w:marBottom w:val="0"/>
                      <w:divBdr>
                        <w:top w:val="none" w:sz="0" w:space="0" w:color="auto"/>
                        <w:left w:val="none" w:sz="0" w:space="0" w:color="auto"/>
                        <w:bottom w:val="none" w:sz="0" w:space="0" w:color="auto"/>
                        <w:right w:val="none" w:sz="0" w:space="0" w:color="auto"/>
                      </w:divBdr>
                    </w:div>
                  </w:divsChild>
                </w:div>
                <w:div w:id="1896239809">
                  <w:marLeft w:val="0"/>
                  <w:marRight w:val="0"/>
                  <w:marTop w:val="0"/>
                  <w:marBottom w:val="0"/>
                  <w:divBdr>
                    <w:top w:val="none" w:sz="0" w:space="0" w:color="auto"/>
                    <w:left w:val="none" w:sz="0" w:space="0" w:color="auto"/>
                    <w:bottom w:val="none" w:sz="0" w:space="0" w:color="auto"/>
                    <w:right w:val="none" w:sz="0" w:space="0" w:color="auto"/>
                  </w:divBdr>
                  <w:divsChild>
                    <w:div w:id="385639604">
                      <w:marLeft w:val="0"/>
                      <w:marRight w:val="0"/>
                      <w:marTop w:val="0"/>
                      <w:marBottom w:val="0"/>
                      <w:divBdr>
                        <w:top w:val="none" w:sz="0" w:space="0" w:color="auto"/>
                        <w:left w:val="none" w:sz="0" w:space="0" w:color="auto"/>
                        <w:bottom w:val="none" w:sz="0" w:space="0" w:color="auto"/>
                        <w:right w:val="none" w:sz="0" w:space="0" w:color="auto"/>
                      </w:divBdr>
                    </w:div>
                  </w:divsChild>
                </w:div>
                <w:div w:id="738094220">
                  <w:marLeft w:val="0"/>
                  <w:marRight w:val="0"/>
                  <w:marTop w:val="0"/>
                  <w:marBottom w:val="0"/>
                  <w:divBdr>
                    <w:top w:val="none" w:sz="0" w:space="0" w:color="auto"/>
                    <w:left w:val="none" w:sz="0" w:space="0" w:color="auto"/>
                    <w:bottom w:val="none" w:sz="0" w:space="0" w:color="auto"/>
                    <w:right w:val="none" w:sz="0" w:space="0" w:color="auto"/>
                  </w:divBdr>
                  <w:divsChild>
                    <w:div w:id="1453859116">
                      <w:marLeft w:val="0"/>
                      <w:marRight w:val="0"/>
                      <w:marTop w:val="0"/>
                      <w:marBottom w:val="0"/>
                      <w:divBdr>
                        <w:top w:val="none" w:sz="0" w:space="0" w:color="auto"/>
                        <w:left w:val="none" w:sz="0" w:space="0" w:color="auto"/>
                        <w:bottom w:val="none" w:sz="0" w:space="0" w:color="auto"/>
                        <w:right w:val="none" w:sz="0" w:space="0" w:color="auto"/>
                      </w:divBdr>
                    </w:div>
                  </w:divsChild>
                </w:div>
                <w:div w:id="1785539217">
                  <w:marLeft w:val="0"/>
                  <w:marRight w:val="0"/>
                  <w:marTop w:val="0"/>
                  <w:marBottom w:val="0"/>
                  <w:divBdr>
                    <w:top w:val="none" w:sz="0" w:space="0" w:color="auto"/>
                    <w:left w:val="none" w:sz="0" w:space="0" w:color="auto"/>
                    <w:bottom w:val="none" w:sz="0" w:space="0" w:color="auto"/>
                    <w:right w:val="none" w:sz="0" w:space="0" w:color="auto"/>
                  </w:divBdr>
                  <w:divsChild>
                    <w:div w:id="1682002375">
                      <w:marLeft w:val="0"/>
                      <w:marRight w:val="0"/>
                      <w:marTop w:val="0"/>
                      <w:marBottom w:val="0"/>
                      <w:divBdr>
                        <w:top w:val="none" w:sz="0" w:space="0" w:color="auto"/>
                        <w:left w:val="none" w:sz="0" w:space="0" w:color="auto"/>
                        <w:bottom w:val="none" w:sz="0" w:space="0" w:color="auto"/>
                        <w:right w:val="none" w:sz="0" w:space="0" w:color="auto"/>
                      </w:divBdr>
                    </w:div>
                  </w:divsChild>
                </w:div>
                <w:div w:id="618798070">
                  <w:marLeft w:val="0"/>
                  <w:marRight w:val="0"/>
                  <w:marTop w:val="0"/>
                  <w:marBottom w:val="0"/>
                  <w:divBdr>
                    <w:top w:val="none" w:sz="0" w:space="0" w:color="auto"/>
                    <w:left w:val="none" w:sz="0" w:space="0" w:color="auto"/>
                    <w:bottom w:val="none" w:sz="0" w:space="0" w:color="auto"/>
                    <w:right w:val="none" w:sz="0" w:space="0" w:color="auto"/>
                  </w:divBdr>
                  <w:divsChild>
                    <w:div w:id="429785129">
                      <w:marLeft w:val="0"/>
                      <w:marRight w:val="0"/>
                      <w:marTop w:val="0"/>
                      <w:marBottom w:val="0"/>
                      <w:divBdr>
                        <w:top w:val="none" w:sz="0" w:space="0" w:color="auto"/>
                        <w:left w:val="none" w:sz="0" w:space="0" w:color="auto"/>
                        <w:bottom w:val="none" w:sz="0" w:space="0" w:color="auto"/>
                        <w:right w:val="none" w:sz="0" w:space="0" w:color="auto"/>
                      </w:divBdr>
                    </w:div>
                  </w:divsChild>
                </w:div>
                <w:div w:id="252473224">
                  <w:marLeft w:val="0"/>
                  <w:marRight w:val="0"/>
                  <w:marTop w:val="0"/>
                  <w:marBottom w:val="0"/>
                  <w:divBdr>
                    <w:top w:val="none" w:sz="0" w:space="0" w:color="auto"/>
                    <w:left w:val="none" w:sz="0" w:space="0" w:color="auto"/>
                    <w:bottom w:val="none" w:sz="0" w:space="0" w:color="auto"/>
                    <w:right w:val="none" w:sz="0" w:space="0" w:color="auto"/>
                  </w:divBdr>
                  <w:divsChild>
                    <w:div w:id="1209220644">
                      <w:marLeft w:val="0"/>
                      <w:marRight w:val="0"/>
                      <w:marTop w:val="0"/>
                      <w:marBottom w:val="0"/>
                      <w:divBdr>
                        <w:top w:val="none" w:sz="0" w:space="0" w:color="auto"/>
                        <w:left w:val="none" w:sz="0" w:space="0" w:color="auto"/>
                        <w:bottom w:val="none" w:sz="0" w:space="0" w:color="auto"/>
                        <w:right w:val="none" w:sz="0" w:space="0" w:color="auto"/>
                      </w:divBdr>
                    </w:div>
                  </w:divsChild>
                </w:div>
                <w:div w:id="837228363">
                  <w:marLeft w:val="0"/>
                  <w:marRight w:val="0"/>
                  <w:marTop w:val="0"/>
                  <w:marBottom w:val="0"/>
                  <w:divBdr>
                    <w:top w:val="none" w:sz="0" w:space="0" w:color="auto"/>
                    <w:left w:val="none" w:sz="0" w:space="0" w:color="auto"/>
                    <w:bottom w:val="none" w:sz="0" w:space="0" w:color="auto"/>
                    <w:right w:val="none" w:sz="0" w:space="0" w:color="auto"/>
                  </w:divBdr>
                  <w:divsChild>
                    <w:div w:id="1391149772">
                      <w:marLeft w:val="0"/>
                      <w:marRight w:val="0"/>
                      <w:marTop w:val="0"/>
                      <w:marBottom w:val="0"/>
                      <w:divBdr>
                        <w:top w:val="none" w:sz="0" w:space="0" w:color="auto"/>
                        <w:left w:val="none" w:sz="0" w:space="0" w:color="auto"/>
                        <w:bottom w:val="none" w:sz="0" w:space="0" w:color="auto"/>
                        <w:right w:val="none" w:sz="0" w:space="0" w:color="auto"/>
                      </w:divBdr>
                    </w:div>
                  </w:divsChild>
                </w:div>
                <w:div w:id="1081558220">
                  <w:marLeft w:val="0"/>
                  <w:marRight w:val="0"/>
                  <w:marTop w:val="0"/>
                  <w:marBottom w:val="0"/>
                  <w:divBdr>
                    <w:top w:val="none" w:sz="0" w:space="0" w:color="auto"/>
                    <w:left w:val="none" w:sz="0" w:space="0" w:color="auto"/>
                    <w:bottom w:val="none" w:sz="0" w:space="0" w:color="auto"/>
                    <w:right w:val="none" w:sz="0" w:space="0" w:color="auto"/>
                  </w:divBdr>
                  <w:divsChild>
                    <w:div w:id="520363348">
                      <w:marLeft w:val="0"/>
                      <w:marRight w:val="0"/>
                      <w:marTop w:val="0"/>
                      <w:marBottom w:val="0"/>
                      <w:divBdr>
                        <w:top w:val="none" w:sz="0" w:space="0" w:color="auto"/>
                        <w:left w:val="none" w:sz="0" w:space="0" w:color="auto"/>
                        <w:bottom w:val="none" w:sz="0" w:space="0" w:color="auto"/>
                        <w:right w:val="none" w:sz="0" w:space="0" w:color="auto"/>
                      </w:divBdr>
                    </w:div>
                  </w:divsChild>
                </w:div>
                <w:div w:id="784075614">
                  <w:marLeft w:val="0"/>
                  <w:marRight w:val="0"/>
                  <w:marTop w:val="0"/>
                  <w:marBottom w:val="0"/>
                  <w:divBdr>
                    <w:top w:val="none" w:sz="0" w:space="0" w:color="auto"/>
                    <w:left w:val="none" w:sz="0" w:space="0" w:color="auto"/>
                    <w:bottom w:val="none" w:sz="0" w:space="0" w:color="auto"/>
                    <w:right w:val="none" w:sz="0" w:space="0" w:color="auto"/>
                  </w:divBdr>
                  <w:divsChild>
                    <w:div w:id="1669867117">
                      <w:marLeft w:val="0"/>
                      <w:marRight w:val="0"/>
                      <w:marTop w:val="0"/>
                      <w:marBottom w:val="0"/>
                      <w:divBdr>
                        <w:top w:val="none" w:sz="0" w:space="0" w:color="auto"/>
                        <w:left w:val="none" w:sz="0" w:space="0" w:color="auto"/>
                        <w:bottom w:val="none" w:sz="0" w:space="0" w:color="auto"/>
                        <w:right w:val="none" w:sz="0" w:space="0" w:color="auto"/>
                      </w:divBdr>
                    </w:div>
                    <w:div w:id="1061059177">
                      <w:marLeft w:val="0"/>
                      <w:marRight w:val="0"/>
                      <w:marTop w:val="0"/>
                      <w:marBottom w:val="0"/>
                      <w:divBdr>
                        <w:top w:val="none" w:sz="0" w:space="0" w:color="auto"/>
                        <w:left w:val="none" w:sz="0" w:space="0" w:color="auto"/>
                        <w:bottom w:val="none" w:sz="0" w:space="0" w:color="auto"/>
                        <w:right w:val="none" w:sz="0" w:space="0" w:color="auto"/>
                      </w:divBdr>
                    </w:div>
                  </w:divsChild>
                </w:div>
                <w:div w:id="1620144540">
                  <w:marLeft w:val="0"/>
                  <w:marRight w:val="0"/>
                  <w:marTop w:val="0"/>
                  <w:marBottom w:val="0"/>
                  <w:divBdr>
                    <w:top w:val="none" w:sz="0" w:space="0" w:color="auto"/>
                    <w:left w:val="none" w:sz="0" w:space="0" w:color="auto"/>
                    <w:bottom w:val="none" w:sz="0" w:space="0" w:color="auto"/>
                    <w:right w:val="none" w:sz="0" w:space="0" w:color="auto"/>
                  </w:divBdr>
                  <w:divsChild>
                    <w:div w:id="419764345">
                      <w:marLeft w:val="0"/>
                      <w:marRight w:val="0"/>
                      <w:marTop w:val="0"/>
                      <w:marBottom w:val="0"/>
                      <w:divBdr>
                        <w:top w:val="none" w:sz="0" w:space="0" w:color="auto"/>
                        <w:left w:val="none" w:sz="0" w:space="0" w:color="auto"/>
                        <w:bottom w:val="none" w:sz="0" w:space="0" w:color="auto"/>
                        <w:right w:val="none" w:sz="0" w:space="0" w:color="auto"/>
                      </w:divBdr>
                    </w:div>
                  </w:divsChild>
                </w:div>
                <w:div w:id="851533023">
                  <w:marLeft w:val="0"/>
                  <w:marRight w:val="0"/>
                  <w:marTop w:val="0"/>
                  <w:marBottom w:val="0"/>
                  <w:divBdr>
                    <w:top w:val="none" w:sz="0" w:space="0" w:color="auto"/>
                    <w:left w:val="none" w:sz="0" w:space="0" w:color="auto"/>
                    <w:bottom w:val="none" w:sz="0" w:space="0" w:color="auto"/>
                    <w:right w:val="none" w:sz="0" w:space="0" w:color="auto"/>
                  </w:divBdr>
                  <w:divsChild>
                    <w:div w:id="421223715">
                      <w:marLeft w:val="0"/>
                      <w:marRight w:val="0"/>
                      <w:marTop w:val="0"/>
                      <w:marBottom w:val="0"/>
                      <w:divBdr>
                        <w:top w:val="none" w:sz="0" w:space="0" w:color="auto"/>
                        <w:left w:val="none" w:sz="0" w:space="0" w:color="auto"/>
                        <w:bottom w:val="none" w:sz="0" w:space="0" w:color="auto"/>
                        <w:right w:val="none" w:sz="0" w:space="0" w:color="auto"/>
                      </w:divBdr>
                    </w:div>
                  </w:divsChild>
                </w:div>
                <w:div w:id="300615503">
                  <w:marLeft w:val="0"/>
                  <w:marRight w:val="0"/>
                  <w:marTop w:val="0"/>
                  <w:marBottom w:val="0"/>
                  <w:divBdr>
                    <w:top w:val="none" w:sz="0" w:space="0" w:color="auto"/>
                    <w:left w:val="none" w:sz="0" w:space="0" w:color="auto"/>
                    <w:bottom w:val="none" w:sz="0" w:space="0" w:color="auto"/>
                    <w:right w:val="none" w:sz="0" w:space="0" w:color="auto"/>
                  </w:divBdr>
                  <w:divsChild>
                    <w:div w:id="1767268462">
                      <w:marLeft w:val="0"/>
                      <w:marRight w:val="0"/>
                      <w:marTop w:val="0"/>
                      <w:marBottom w:val="0"/>
                      <w:divBdr>
                        <w:top w:val="none" w:sz="0" w:space="0" w:color="auto"/>
                        <w:left w:val="none" w:sz="0" w:space="0" w:color="auto"/>
                        <w:bottom w:val="none" w:sz="0" w:space="0" w:color="auto"/>
                        <w:right w:val="none" w:sz="0" w:space="0" w:color="auto"/>
                      </w:divBdr>
                    </w:div>
                    <w:div w:id="2067948171">
                      <w:marLeft w:val="0"/>
                      <w:marRight w:val="0"/>
                      <w:marTop w:val="0"/>
                      <w:marBottom w:val="0"/>
                      <w:divBdr>
                        <w:top w:val="none" w:sz="0" w:space="0" w:color="auto"/>
                        <w:left w:val="none" w:sz="0" w:space="0" w:color="auto"/>
                        <w:bottom w:val="none" w:sz="0" w:space="0" w:color="auto"/>
                        <w:right w:val="none" w:sz="0" w:space="0" w:color="auto"/>
                      </w:divBdr>
                    </w:div>
                  </w:divsChild>
                </w:div>
                <w:div w:id="1439057601">
                  <w:marLeft w:val="0"/>
                  <w:marRight w:val="0"/>
                  <w:marTop w:val="0"/>
                  <w:marBottom w:val="0"/>
                  <w:divBdr>
                    <w:top w:val="none" w:sz="0" w:space="0" w:color="auto"/>
                    <w:left w:val="none" w:sz="0" w:space="0" w:color="auto"/>
                    <w:bottom w:val="none" w:sz="0" w:space="0" w:color="auto"/>
                    <w:right w:val="none" w:sz="0" w:space="0" w:color="auto"/>
                  </w:divBdr>
                  <w:divsChild>
                    <w:div w:id="1578132383">
                      <w:marLeft w:val="0"/>
                      <w:marRight w:val="0"/>
                      <w:marTop w:val="0"/>
                      <w:marBottom w:val="0"/>
                      <w:divBdr>
                        <w:top w:val="none" w:sz="0" w:space="0" w:color="auto"/>
                        <w:left w:val="none" w:sz="0" w:space="0" w:color="auto"/>
                        <w:bottom w:val="none" w:sz="0" w:space="0" w:color="auto"/>
                        <w:right w:val="none" w:sz="0" w:space="0" w:color="auto"/>
                      </w:divBdr>
                    </w:div>
                    <w:div w:id="1578437451">
                      <w:marLeft w:val="0"/>
                      <w:marRight w:val="0"/>
                      <w:marTop w:val="0"/>
                      <w:marBottom w:val="0"/>
                      <w:divBdr>
                        <w:top w:val="none" w:sz="0" w:space="0" w:color="auto"/>
                        <w:left w:val="none" w:sz="0" w:space="0" w:color="auto"/>
                        <w:bottom w:val="none" w:sz="0" w:space="0" w:color="auto"/>
                        <w:right w:val="none" w:sz="0" w:space="0" w:color="auto"/>
                      </w:divBdr>
                    </w:div>
                  </w:divsChild>
                </w:div>
                <w:div w:id="1259679740">
                  <w:marLeft w:val="0"/>
                  <w:marRight w:val="0"/>
                  <w:marTop w:val="0"/>
                  <w:marBottom w:val="0"/>
                  <w:divBdr>
                    <w:top w:val="none" w:sz="0" w:space="0" w:color="auto"/>
                    <w:left w:val="none" w:sz="0" w:space="0" w:color="auto"/>
                    <w:bottom w:val="none" w:sz="0" w:space="0" w:color="auto"/>
                    <w:right w:val="none" w:sz="0" w:space="0" w:color="auto"/>
                  </w:divBdr>
                  <w:divsChild>
                    <w:div w:id="54084858">
                      <w:marLeft w:val="0"/>
                      <w:marRight w:val="0"/>
                      <w:marTop w:val="0"/>
                      <w:marBottom w:val="0"/>
                      <w:divBdr>
                        <w:top w:val="none" w:sz="0" w:space="0" w:color="auto"/>
                        <w:left w:val="none" w:sz="0" w:space="0" w:color="auto"/>
                        <w:bottom w:val="none" w:sz="0" w:space="0" w:color="auto"/>
                        <w:right w:val="none" w:sz="0" w:space="0" w:color="auto"/>
                      </w:divBdr>
                    </w:div>
                  </w:divsChild>
                </w:div>
                <w:div w:id="440225636">
                  <w:marLeft w:val="0"/>
                  <w:marRight w:val="0"/>
                  <w:marTop w:val="0"/>
                  <w:marBottom w:val="0"/>
                  <w:divBdr>
                    <w:top w:val="none" w:sz="0" w:space="0" w:color="auto"/>
                    <w:left w:val="none" w:sz="0" w:space="0" w:color="auto"/>
                    <w:bottom w:val="none" w:sz="0" w:space="0" w:color="auto"/>
                    <w:right w:val="none" w:sz="0" w:space="0" w:color="auto"/>
                  </w:divBdr>
                  <w:divsChild>
                    <w:div w:id="1617329362">
                      <w:marLeft w:val="0"/>
                      <w:marRight w:val="0"/>
                      <w:marTop w:val="0"/>
                      <w:marBottom w:val="0"/>
                      <w:divBdr>
                        <w:top w:val="none" w:sz="0" w:space="0" w:color="auto"/>
                        <w:left w:val="none" w:sz="0" w:space="0" w:color="auto"/>
                        <w:bottom w:val="none" w:sz="0" w:space="0" w:color="auto"/>
                        <w:right w:val="none" w:sz="0" w:space="0" w:color="auto"/>
                      </w:divBdr>
                    </w:div>
                    <w:div w:id="521668105">
                      <w:marLeft w:val="0"/>
                      <w:marRight w:val="0"/>
                      <w:marTop w:val="0"/>
                      <w:marBottom w:val="0"/>
                      <w:divBdr>
                        <w:top w:val="none" w:sz="0" w:space="0" w:color="auto"/>
                        <w:left w:val="none" w:sz="0" w:space="0" w:color="auto"/>
                        <w:bottom w:val="none" w:sz="0" w:space="0" w:color="auto"/>
                        <w:right w:val="none" w:sz="0" w:space="0" w:color="auto"/>
                      </w:divBdr>
                    </w:div>
                  </w:divsChild>
                </w:div>
                <w:div w:id="1393964384">
                  <w:marLeft w:val="0"/>
                  <w:marRight w:val="0"/>
                  <w:marTop w:val="0"/>
                  <w:marBottom w:val="0"/>
                  <w:divBdr>
                    <w:top w:val="none" w:sz="0" w:space="0" w:color="auto"/>
                    <w:left w:val="none" w:sz="0" w:space="0" w:color="auto"/>
                    <w:bottom w:val="none" w:sz="0" w:space="0" w:color="auto"/>
                    <w:right w:val="none" w:sz="0" w:space="0" w:color="auto"/>
                  </w:divBdr>
                  <w:divsChild>
                    <w:div w:id="12248765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02491009">
          <w:marLeft w:val="0"/>
          <w:marRight w:val="0"/>
          <w:marTop w:val="0"/>
          <w:marBottom w:val="0"/>
          <w:divBdr>
            <w:top w:val="none" w:sz="0" w:space="0" w:color="auto"/>
            <w:left w:val="none" w:sz="0" w:space="0" w:color="auto"/>
            <w:bottom w:val="none" w:sz="0" w:space="0" w:color="auto"/>
            <w:right w:val="none" w:sz="0" w:space="0" w:color="auto"/>
          </w:divBdr>
        </w:div>
        <w:div w:id="1668825297">
          <w:marLeft w:val="0"/>
          <w:marRight w:val="0"/>
          <w:marTop w:val="0"/>
          <w:marBottom w:val="0"/>
          <w:divBdr>
            <w:top w:val="none" w:sz="0" w:space="0" w:color="auto"/>
            <w:left w:val="none" w:sz="0" w:space="0" w:color="auto"/>
            <w:bottom w:val="none" w:sz="0" w:space="0" w:color="auto"/>
            <w:right w:val="none" w:sz="0" w:space="0" w:color="auto"/>
          </w:divBdr>
        </w:div>
        <w:div w:id="596713425">
          <w:marLeft w:val="0"/>
          <w:marRight w:val="0"/>
          <w:marTop w:val="0"/>
          <w:marBottom w:val="0"/>
          <w:divBdr>
            <w:top w:val="none" w:sz="0" w:space="0" w:color="auto"/>
            <w:left w:val="none" w:sz="0" w:space="0" w:color="auto"/>
            <w:bottom w:val="none" w:sz="0" w:space="0" w:color="auto"/>
            <w:right w:val="none" w:sz="0" w:space="0" w:color="auto"/>
          </w:divBdr>
        </w:div>
        <w:div w:id="355544057">
          <w:marLeft w:val="0"/>
          <w:marRight w:val="0"/>
          <w:marTop w:val="0"/>
          <w:marBottom w:val="0"/>
          <w:divBdr>
            <w:top w:val="none" w:sz="0" w:space="0" w:color="auto"/>
            <w:left w:val="none" w:sz="0" w:space="0" w:color="auto"/>
            <w:bottom w:val="none" w:sz="0" w:space="0" w:color="auto"/>
            <w:right w:val="none" w:sz="0" w:space="0" w:color="auto"/>
          </w:divBdr>
        </w:div>
        <w:div w:id="210045895">
          <w:marLeft w:val="0"/>
          <w:marRight w:val="0"/>
          <w:marTop w:val="0"/>
          <w:marBottom w:val="0"/>
          <w:divBdr>
            <w:top w:val="none" w:sz="0" w:space="0" w:color="auto"/>
            <w:left w:val="none" w:sz="0" w:space="0" w:color="auto"/>
            <w:bottom w:val="none" w:sz="0" w:space="0" w:color="auto"/>
            <w:right w:val="none" w:sz="0" w:space="0" w:color="auto"/>
          </w:divBdr>
        </w:div>
        <w:div w:id="1252810003">
          <w:marLeft w:val="0"/>
          <w:marRight w:val="0"/>
          <w:marTop w:val="0"/>
          <w:marBottom w:val="0"/>
          <w:divBdr>
            <w:top w:val="none" w:sz="0" w:space="0" w:color="auto"/>
            <w:left w:val="none" w:sz="0" w:space="0" w:color="auto"/>
            <w:bottom w:val="none" w:sz="0" w:space="0" w:color="auto"/>
            <w:right w:val="none" w:sz="0" w:space="0" w:color="auto"/>
          </w:divBdr>
        </w:div>
      </w:divsChild>
    </w:div>
    <w:div w:id="1517233974">
      <w:bodyDiv w:val="1"/>
      <w:marLeft w:val="0"/>
      <w:marRight w:val="0"/>
      <w:marTop w:val="0"/>
      <w:marBottom w:val="0"/>
      <w:divBdr>
        <w:top w:val="none" w:sz="0" w:space="0" w:color="auto"/>
        <w:left w:val="none" w:sz="0" w:space="0" w:color="auto"/>
        <w:bottom w:val="none" w:sz="0" w:space="0" w:color="auto"/>
        <w:right w:val="none" w:sz="0" w:space="0" w:color="auto"/>
      </w:divBdr>
      <w:divsChild>
        <w:div w:id="218979934">
          <w:marLeft w:val="0"/>
          <w:marRight w:val="0"/>
          <w:marTop w:val="0"/>
          <w:marBottom w:val="0"/>
          <w:divBdr>
            <w:top w:val="none" w:sz="0" w:space="0" w:color="auto"/>
            <w:left w:val="none" w:sz="0" w:space="0" w:color="auto"/>
            <w:bottom w:val="none" w:sz="0" w:space="0" w:color="auto"/>
            <w:right w:val="none" w:sz="0" w:space="0" w:color="auto"/>
          </w:divBdr>
        </w:div>
      </w:divsChild>
    </w:div>
    <w:div w:id="21342538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formacionvirtual.colombiacompra.gov.co/mod/page/view.php?id=3718" TargetMode="Externa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www.alcaldiabogota.gov.co/sisjur/normas/Norma1.jsp?dt=S&amp;i=71552" TargetMode="External"/><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2.png"/><Relationship Id="rId5" Type="http://schemas.openxmlformats.org/officeDocument/2006/relationships/numbering" Target="numbering.xml"/><Relationship Id="rId15" Type="http://schemas.openxmlformats.org/officeDocument/2006/relationships/image" Target="media/image3.png"/><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colombiacompra.gov.co/normativa-y-relatoria/documentos-tipo" TargetMode="External"/></Relationships>
</file>

<file path=word/_rels/footnotes.xml.rels><?xml version="1.0" encoding="UTF-8" standalone="yes"?>
<Relationships xmlns="http://schemas.openxmlformats.org/package/2006/relationships"><Relationship Id="rId3" Type="http://schemas.openxmlformats.org/officeDocument/2006/relationships/hyperlink" Target="https://www.funcionpublica.gov.co/eva/gestornormativo/norma.php?i=77653" TargetMode="External"/><Relationship Id="rId2" Type="http://schemas.openxmlformats.org/officeDocument/2006/relationships/hyperlink" Target="https://www.funcionpublica.gov.co/eva/gestornormativo/norma.php?i=77653" TargetMode="External"/><Relationship Id="rId1" Type="http://schemas.openxmlformats.org/officeDocument/2006/relationships/hyperlink" Target="https://www.funcionpublica.gov.co/eva/gestornormativo/norma.php?i=77653" TargetMode="External"/><Relationship Id="rId6" Type="http://schemas.openxmlformats.org/officeDocument/2006/relationships/hyperlink" Target="https://www.colombiacompra.gov.co/wp-content/uploads/2025/06/Guia-de-Compras-Publicas-Sostenibles-y-Socialmente-Responsables-2025.pdf" TargetMode="External"/><Relationship Id="rId5" Type="http://schemas.openxmlformats.org/officeDocument/2006/relationships/hyperlink" Target="https://www.funcionpublica.gov.co/eva/gestornormativo/norma.php?i=44643" TargetMode="External"/><Relationship Id="rId4" Type="http://schemas.openxmlformats.org/officeDocument/2006/relationships/hyperlink" Target="https://www.funcionpublica.gov.co/eva/gestornormativo/norma.php?i=77653"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5.png"/><Relationship Id="rId1" Type="http://schemas.openxmlformats.org/officeDocument/2006/relationships/image" Target="media/image4.png"/></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20" ma:contentTypeDescription="Crear nuevo documento." ma:contentTypeScope="" ma:versionID="3aa158c1e2510b50ba9620437d74e4ff">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41aa8ca4bdcfc2e304923d637cfc37a1"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element ref="ns2:lcf76f155ced4ddcb4097134ff3c332f" minOccurs="0"/>
                <xsd:element ref="ns3:TaxCatchAll" minOccurs="0"/>
                <xsd:element ref="ns2:MediaServiceObjectDetectorVersions" minOccurs="0"/>
                <xsd:element ref="ns2:_Flow_SignoffStatus" minOccurs="0"/>
                <xsd:element ref="ns2:MediaServiceLoca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Etiquetas de imagen" ma:readOnly="false" ma:fieldId="{5cf76f15-5ced-4ddc-b409-7134ff3c332f}" ma:taxonomyMulti="true" ma:sspId="d11a0eb6-ad86-4071-a759-4f0356bdcc6a"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_Flow_SignoffStatus" ma:index="25" nillable="true" ma:displayName="Estado de aprobación" ma:internalName="Estado_x0020_de_x0020_aprobaci_x00f3_n">
      <xsd:simpleType>
        <xsd:restriction base="dms:Text"/>
      </xsd:simpleType>
    </xsd:element>
    <xsd:element name="MediaServiceLocation" ma:index="26" nillable="true" ma:displayName="Location" ma:description="" ma:indexed="true" ma:internalName="MediaServiceLocation" ma:readOnly="true">
      <xsd:simpleType>
        <xsd:restriction base="dms:Text"/>
      </xsd:simpleType>
    </xsd:element>
    <xsd:element name="MediaServiceSearchProperties" ma:index="27"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element name="TaxCatchAll" ma:index="23" nillable="true" ma:displayName="Taxonomy Catch All Column" ma:hidden="true" ma:list="{1105a6f2-09f1-4f7d-bab9-e03f1dc4ac6e}" ma:internalName="TaxCatchAll" ma:showField="CatchAllData" ma:web="a6cb9e4b-f1d1-4245-83ec-6cad768d538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No xmlns="9d85dbaf-23eb-4e57-a637-93dcacc8b1a1" xsi:nil="true"/>
    <TaxCatchAll xmlns="a6cb9e4b-f1d1-4245-83ec-6cad768d538a" xsi:nil="true"/>
    <_Flow_SignoffStatus xmlns="9d85dbaf-23eb-4e57-a637-93dcacc8b1a1" xsi:nil="true"/>
    <lcf76f155ced4ddcb4097134ff3c332f xmlns="9d85dbaf-23eb-4e57-a637-93dcacc8b1a1">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C1A433B1-6227-4DE2-B27D-B2130E8B9B3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01EC1CE2-D3D8-8041-B0BF-4A6D0D4D826E}">
  <ds:schemaRefs>
    <ds:schemaRef ds:uri="http://schemas.openxmlformats.org/officeDocument/2006/bibliography"/>
  </ds:schemaRefs>
</ds:datastoreItem>
</file>

<file path=customXml/itemProps3.xml><?xml version="1.0" encoding="utf-8"?>
<ds:datastoreItem xmlns:ds="http://schemas.openxmlformats.org/officeDocument/2006/customXml" ds:itemID="{19B0637E-D058-473B-8FE7-AA861F69C797}">
  <ds:schemaRefs>
    <ds:schemaRef ds:uri="http://schemas.microsoft.com/sharepoint/v3/contenttype/forms"/>
  </ds:schemaRefs>
</ds:datastoreItem>
</file>

<file path=customXml/itemProps4.xml><?xml version="1.0" encoding="utf-8"?>
<ds:datastoreItem xmlns:ds="http://schemas.openxmlformats.org/officeDocument/2006/customXml" ds:itemID="{163618BE-28CB-4D69-955E-CDA788483BED}">
  <ds:schemaRefs>
    <ds:schemaRef ds:uri="http://schemas.microsoft.com/office/2006/metadata/properties"/>
    <ds:schemaRef ds:uri="http://schemas.microsoft.com/office/infopath/2007/PartnerControls"/>
    <ds:schemaRef ds:uri="9d85dbaf-23eb-4e57-a637-93dcacc8b1a1"/>
    <ds:schemaRef ds:uri="a6cb9e4b-f1d1-4245-83ec-6cad768d538a"/>
  </ds:schemaRefs>
</ds:datastoreItem>
</file>

<file path=docMetadata/LabelInfo.xml><?xml version="1.0" encoding="utf-8"?>
<clbl:labelList xmlns:clbl="http://schemas.microsoft.com/office/2020/mipLabelMetadata">
  <clbl:label id="{7b09041e-2451-49d0-8cb1-79d5e3d8c1be}" enabled="0" method="" siteId="{7b09041e-2451-49d0-8cb1-79d5e3d8c1be}" removed="1"/>
</clbl:labelList>
</file>

<file path=docProps/app.xml><?xml version="1.0" encoding="utf-8"?>
<Properties xmlns="http://schemas.openxmlformats.org/officeDocument/2006/extended-properties" xmlns:vt="http://schemas.openxmlformats.org/officeDocument/2006/docPropsVTypes">
  <Template>Normal</Template>
  <TotalTime>14</TotalTime>
  <Pages>20</Pages>
  <Words>6720</Words>
  <Characters>36962</Characters>
  <Application>Microsoft Office Word</Application>
  <DocSecurity>0</DocSecurity>
  <Lines>308</Lines>
  <Paragraphs>87</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43595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Andrés Felipe Ospina Acosta</dc:creator>
  <cp:keywords/>
  <dc:description/>
  <cp:lastModifiedBy>Sergio Andrés Rivera Cano</cp:lastModifiedBy>
  <cp:revision>5</cp:revision>
  <cp:lastPrinted>2023-01-10T21:18:00Z</cp:lastPrinted>
  <dcterms:created xsi:type="dcterms:W3CDTF">2026-10-22T00:06:00Z</dcterms:created>
  <dcterms:modified xsi:type="dcterms:W3CDTF">2026-10-22T23:00:00Z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y fmtid="{D5CDD505-2E9C-101B-9397-08002B2CF9AE}" pid="3" name="MediaServiceImageTags">
    <vt:lpwstr/>
  </property>
</Properties>
</file>