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62380C" w14:textId="77777777" w:rsidR="00EB6354" w:rsidRPr="006263D8" w:rsidRDefault="00EB6354" w:rsidP="00EB6354">
      <w:pPr>
        <w:spacing w:after="0"/>
        <w:rPr>
          <w:rFonts w:ascii="Verdana" w:eastAsia="Calibri" w:hAnsi="Verdana" w:cs="Arial"/>
          <w:b/>
          <w:bCs/>
          <w:lang w:val="es-MX" w:eastAsia="es-ES_tradnl"/>
          <w14:ligatures w14:val="standardContextual"/>
        </w:rPr>
      </w:pPr>
      <w:r w:rsidRPr="006263D8">
        <w:rPr>
          <w:rFonts w:ascii="Verdana" w:eastAsia="Calibri" w:hAnsi="Verdana" w:cs="Arial"/>
          <w:b/>
          <w:bCs/>
          <w:lang w:val="es-MX" w:eastAsia="es-ES_tradnl"/>
          <w14:ligatures w14:val="standardContextual"/>
        </w:rPr>
        <w:t>URGENCIA MANIFIESTA – Causal de contratación directa – Definición</w:t>
      </w:r>
    </w:p>
    <w:p w14:paraId="330D11AE" w14:textId="77777777" w:rsidR="00EB6354" w:rsidRPr="006263D8" w:rsidRDefault="00EB6354" w:rsidP="00EB6354">
      <w:pPr>
        <w:spacing w:after="0" w:line="240" w:lineRule="auto"/>
        <w:contextualSpacing/>
        <w:jc w:val="both"/>
        <w:rPr>
          <w:rFonts w:ascii="Verdana" w:eastAsia="Calibri" w:hAnsi="Verdana" w:cs="Arial"/>
          <w:b/>
          <w:bCs/>
          <w:lang w:val="es-MX" w:eastAsia="es-ES_tradnl"/>
          <w14:ligatures w14:val="standardContextual"/>
        </w:rPr>
      </w:pPr>
    </w:p>
    <w:p w14:paraId="176C1A94" w14:textId="77777777" w:rsidR="00EB6354" w:rsidRPr="006263D8" w:rsidRDefault="00EB6354" w:rsidP="00EB6354">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263D8">
        <w:rPr>
          <w:rFonts w:ascii="Verdana" w:eastAsia="Times New Roman" w:hAnsi="Verdana" w:cs="Arial"/>
          <w:noProof/>
          <w:sz w:val="20"/>
          <w:szCs w:val="20"/>
          <w:lang w:val="es-ES_tradnl" w:eastAsia="es-ES_tradnl"/>
          <w14:ligatures w14:val="standardContextual"/>
        </w:rPr>
        <w:t>Si bien la licitación pública es la modalidad de selección que constituye la regla general para las entidades regidas por el Estatuto General de Contratación de la Administración Pública,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w:t>
      </w:r>
    </w:p>
    <w:p w14:paraId="2944557E" w14:textId="77777777" w:rsidR="00EB6354" w:rsidRPr="006263D8" w:rsidRDefault="00EB6354" w:rsidP="00EB6354">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3D907F51" w14:textId="77777777" w:rsidR="00EB6354" w:rsidRPr="006263D8" w:rsidRDefault="00EB6354" w:rsidP="00EB6354">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263D8">
        <w:rPr>
          <w:rFonts w:ascii="Verdana" w:eastAsia="Times New Roman" w:hAnsi="Verdana" w:cs="Arial"/>
          <w:noProof/>
          <w:sz w:val="20"/>
          <w:szCs w:val="20"/>
          <w:lang w:val="es-ES_tradnl" w:eastAsia="es-ES_tradnl"/>
          <w14:ligatures w14:val="standardContextua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056506AE" w14:textId="77777777" w:rsidR="00EB6354" w:rsidRDefault="00EB6354" w:rsidP="00EB6354">
      <w:pPr>
        <w:spacing w:after="0" w:line="240" w:lineRule="auto"/>
        <w:jc w:val="both"/>
        <w:rPr>
          <w:rFonts w:ascii="Verdana" w:eastAsia="Calibri" w:hAnsi="Verdana" w:cs="Arial"/>
          <w:b/>
          <w:color w:val="000000" w:themeColor="text1"/>
          <w:lang w:val="es-ES_tradnl"/>
        </w:rPr>
      </w:pPr>
      <w:bookmarkStart w:id="0" w:name="_Hlk109118876"/>
    </w:p>
    <w:p w14:paraId="725CE1E6" w14:textId="77777777" w:rsidR="00EB6354" w:rsidRPr="003B5FFB" w:rsidRDefault="00EB6354" w:rsidP="00EB6354">
      <w:pPr>
        <w:spacing w:after="0" w:line="240" w:lineRule="auto"/>
        <w:jc w:val="both"/>
        <w:rPr>
          <w:rFonts w:ascii="Verdana" w:eastAsia="Calibri" w:hAnsi="Verdana" w:cs="Arial"/>
          <w:b/>
          <w:color w:val="000000" w:themeColor="text1"/>
          <w:lang w:val="es-ES_tradnl"/>
        </w:rPr>
      </w:pPr>
      <w:r w:rsidRPr="003B5FFB">
        <w:rPr>
          <w:rFonts w:ascii="Verdana" w:eastAsia="Calibri" w:hAnsi="Verdana" w:cs="Arial"/>
          <w:b/>
          <w:color w:val="000000" w:themeColor="text1"/>
          <w:lang w:val="es-ES_tradnl"/>
        </w:rPr>
        <w:t xml:space="preserve">CONTRATACIÓN CON ESAL – Contrato de colaboración – Objeto – Alcance </w:t>
      </w:r>
    </w:p>
    <w:p w14:paraId="70532552" w14:textId="77777777" w:rsidR="00EB6354" w:rsidRPr="003B5FFB" w:rsidRDefault="00EB6354" w:rsidP="00EB6354">
      <w:pPr>
        <w:spacing w:after="0" w:line="240" w:lineRule="auto"/>
        <w:jc w:val="both"/>
        <w:rPr>
          <w:rFonts w:ascii="Verdana" w:eastAsia="Calibri" w:hAnsi="Verdana" w:cs="Arial"/>
          <w:bCs/>
          <w:color w:val="000000" w:themeColor="text1"/>
          <w:sz w:val="20"/>
          <w:szCs w:val="20"/>
          <w:lang w:val="es-ES_tradnl"/>
        </w:rPr>
      </w:pPr>
    </w:p>
    <w:p w14:paraId="40CBA2DD" w14:textId="77777777" w:rsidR="00EB6354" w:rsidRPr="003B5FFB" w:rsidRDefault="00EB6354" w:rsidP="00EB6354">
      <w:pPr>
        <w:spacing w:after="0" w:line="240" w:lineRule="auto"/>
        <w:jc w:val="both"/>
        <w:rPr>
          <w:rFonts w:ascii="Verdana" w:hAnsi="Verdana" w:cs="Arial"/>
          <w:color w:val="000000" w:themeColor="text1"/>
          <w:sz w:val="20"/>
          <w:szCs w:val="20"/>
          <w:lang w:val="es-ES_tradnl"/>
        </w:rPr>
      </w:pPr>
      <w:r w:rsidRPr="003B5FFB">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768F4BD3" w14:textId="77777777" w:rsidR="00EB6354" w:rsidRDefault="00EB6354" w:rsidP="00EB6354">
      <w:pPr>
        <w:spacing w:after="0" w:line="240" w:lineRule="auto"/>
        <w:jc w:val="both"/>
        <w:rPr>
          <w:rFonts w:ascii="Verdana" w:eastAsia="Calibri" w:hAnsi="Verdana" w:cs="Arial"/>
          <w:b/>
          <w:color w:val="000000" w:themeColor="text1"/>
          <w:lang w:val="es-ES_tradnl"/>
        </w:rPr>
      </w:pPr>
    </w:p>
    <w:p w14:paraId="604EEC80" w14:textId="4A4FE84A" w:rsidR="00EB6354" w:rsidRPr="003B5FFB" w:rsidRDefault="00EB6354" w:rsidP="00EB6354">
      <w:pPr>
        <w:spacing w:after="0" w:line="240" w:lineRule="auto"/>
        <w:jc w:val="both"/>
        <w:rPr>
          <w:rFonts w:ascii="Verdana" w:eastAsia="Calibri" w:hAnsi="Verdana" w:cs="Arial"/>
          <w:b/>
          <w:color w:val="000000" w:themeColor="text1"/>
          <w:lang w:val="es-ES_tradnl"/>
        </w:rPr>
      </w:pPr>
      <w:r w:rsidRPr="003B5FFB">
        <w:rPr>
          <w:rFonts w:ascii="Verdana" w:eastAsia="Calibri" w:hAnsi="Verdana" w:cs="Arial"/>
          <w:b/>
          <w:color w:val="000000" w:themeColor="text1"/>
          <w:lang w:val="es-ES_tradnl"/>
        </w:rPr>
        <w:t>CONTRATACIÓN CON ESAL –</w:t>
      </w:r>
      <w:bookmarkEnd w:id="0"/>
      <w:r w:rsidRPr="003B5FFB">
        <w:rPr>
          <w:rFonts w:ascii="Verdana" w:eastAsia="Calibri" w:hAnsi="Verdana" w:cs="Arial"/>
          <w:b/>
          <w:color w:val="000000" w:themeColor="text1"/>
          <w:lang w:val="es-ES_tradnl"/>
        </w:rPr>
        <w:t xml:space="preserve"> Convenios de asociación – Objeto – Alcance </w:t>
      </w:r>
    </w:p>
    <w:p w14:paraId="4ED3C949" w14:textId="77777777" w:rsidR="00EB6354" w:rsidRPr="003B5FFB" w:rsidRDefault="00EB6354" w:rsidP="00EB6354">
      <w:pPr>
        <w:spacing w:after="0" w:line="240" w:lineRule="auto"/>
        <w:jc w:val="both"/>
        <w:rPr>
          <w:rFonts w:ascii="Verdana" w:eastAsia="Calibri" w:hAnsi="Verdana" w:cs="Arial"/>
          <w:b/>
          <w:color w:val="000000" w:themeColor="text1"/>
          <w:lang w:val="es-ES_tradnl"/>
        </w:rPr>
      </w:pPr>
    </w:p>
    <w:p w14:paraId="2DDDC6BE" w14:textId="77777777" w:rsidR="00EB6354" w:rsidRDefault="00EB6354" w:rsidP="00EB6354">
      <w:pPr>
        <w:spacing w:after="0" w:line="240" w:lineRule="auto"/>
        <w:jc w:val="both"/>
        <w:rPr>
          <w:rFonts w:ascii="Verdana" w:hAnsi="Verdana" w:cs="Arial"/>
          <w:color w:val="000000" w:themeColor="text1"/>
          <w:sz w:val="20"/>
          <w:szCs w:val="20"/>
          <w:lang w:val="es-ES"/>
        </w:rPr>
      </w:pPr>
      <w:r w:rsidRPr="003B5FFB">
        <w:rPr>
          <w:rFonts w:ascii="Verdana" w:hAnsi="Verdana" w:cs="Arial"/>
          <w:color w:val="000000" w:themeColor="text1"/>
          <w:sz w:val="20"/>
          <w:szCs w:val="20"/>
          <w:lang w:val="es-ES"/>
        </w:rPr>
        <w:t>De otro lado, los convenios de asociación “[t]</w:t>
      </w:r>
      <w:proofErr w:type="spellStart"/>
      <w:r w:rsidRPr="003B5FFB">
        <w:rPr>
          <w:rFonts w:ascii="Verdana" w:hAnsi="Verdana" w:cs="Arial"/>
          <w:color w:val="000000" w:themeColor="text1"/>
          <w:sz w:val="20"/>
          <w:szCs w:val="20"/>
          <w:lang w:val="es-ES"/>
        </w:rPr>
        <w:t>ienen</w:t>
      </w:r>
      <w:proofErr w:type="spellEnd"/>
      <w:r w:rsidRPr="003B5FFB">
        <w:rPr>
          <w:rFonts w:ascii="Verdana" w:hAnsi="Verdana" w:cs="Arial"/>
          <w:color w:val="000000" w:themeColor="text1"/>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w:t>
      </w:r>
      <w:r w:rsidRPr="003B5FFB">
        <w:rPr>
          <w:rFonts w:ascii="Verdana" w:hAnsi="Verdana" w:cs="Arial"/>
          <w:color w:val="000000" w:themeColor="text1"/>
          <w:sz w:val="20"/>
          <w:szCs w:val="20"/>
          <w:lang w:val="es-ES"/>
        </w:rPr>
        <w:lastRenderedPageBreak/>
        <w:t>desarrollar los programas o actividades previstas, sino que se asocia con él para el cumplimiento de objetivos comunes.</w:t>
      </w:r>
    </w:p>
    <w:p w14:paraId="27F2C2C8" w14:textId="77777777" w:rsidR="00EB6354" w:rsidRDefault="00EB6354" w:rsidP="00EB6354">
      <w:pPr>
        <w:spacing w:after="0" w:line="240" w:lineRule="auto"/>
        <w:jc w:val="both"/>
        <w:rPr>
          <w:rFonts w:ascii="Verdana" w:hAnsi="Verdana" w:cs="Arial"/>
          <w:color w:val="000000" w:themeColor="text1"/>
          <w:sz w:val="20"/>
          <w:szCs w:val="20"/>
          <w:lang w:val="es-ES"/>
        </w:rPr>
      </w:pPr>
    </w:p>
    <w:p w14:paraId="21990BE4" w14:textId="77777777" w:rsidR="00EB6354" w:rsidRPr="00EB6354" w:rsidRDefault="00EB6354" w:rsidP="00EB6354">
      <w:pPr>
        <w:spacing w:line="276" w:lineRule="auto"/>
        <w:jc w:val="both"/>
        <w:rPr>
          <w:rFonts w:ascii="Verdana" w:eastAsia="Calibri" w:hAnsi="Verdana" w:cs="Arial"/>
          <w:b/>
          <w:bCs/>
          <w:color w:val="000000" w:themeColor="text1"/>
          <w:lang w:val="es-ES" w:eastAsia="es-ES"/>
        </w:rPr>
      </w:pPr>
      <w:r w:rsidRPr="00EB6354">
        <w:rPr>
          <w:rFonts w:ascii="Verdana" w:eastAsia="Calibri" w:hAnsi="Verdana" w:cs="Arial"/>
          <w:b/>
          <w:bCs/>
          <w:lang w:val="es-ES" w:eastAsia="es-ES"/>
        </w:rPr>
        <w:t xml:space="preserve">URGENCIA MANIFIESTA </w:t>
      </w:r>
      <w:r w:rsidRPr="00EB6354">
        <w:rPr>
          <w:rFonts w:ascii="Verdana" w:eastAsia="Calibri" w:hAnsi="Verdana" w:cs="Arial"/>
          <w:b/>
          <w:bCs/>
          <w:lang w:val="es-ES" w:eastAsia="es-ES_tradnl"/>
          <w14:ligatures w14:val="standardContextual"/>
        </w:rPr>
        <w:t>– Convenios y contratos del Decreto 092 – Contratación directa – Ámbito de aplicación</w:t>
      </w:r>
    </w:p>
    <w:p w14:paraId="6EF0625A" w14:textId="77777777" w:rsidR="00EB6354" w:rsidRPr="00EB6354" w:rsidRDefault="00EB6354" w:rsidP="00EB6354">
      <w:pPr>
        <w:snapToGrid w:val="0"/>
        <w:spacing w:after="0" w:line="240" w:lineRule="auto"/>
        <w:contextualSpacing/>
        <w:jc w:val="both"/>
        <w:rPr>
          <w:rFonts w:ascii="Verdana" w:hAnsi="Verdana" w:cs="Arial"/>
          <w:color w:val="000000" w:themeColor="text1"/>
          <w:sz w:val="20"/>
          <w:szCs w:val="20"/>
          <w:lang w:val="es-ES"/>
        </w:rPr>
      </w:pPr>
      <w:r w:rsidRPr="00EB6354">
        <w:rPr>
          <w:rFonts w:ascii="Verdana" w:hAnsi="Verdana" w:cs="Arial"/>
          <w:color w:val="000000" w:themeColor="text1"/>
          <w:sz w:val="20"/>
          <w:szCs w:val="20"/>
          <w:lang w:val="es-ES"/>
        </w:rPr>
        <w:t xml:space="preserve">La urgencia manifiesta no habilita a las Entidades Estatales para prescindir del proceso competitivo exigido en el marco del Decreto 092 de 2017, pues se trata de supuestos jurídicos distintos cuya aplicación depende de que se cumplan los requisitos y el ámbito de aplicación establecido en la normativa de cada uno. </w:t>
      </w:r>
    </w:p>
    <w:p w14:paraId="1CF82C4F" w14:textId="77777777" w:rsidR="00EB6354" w:rsidRDefault="00EB6354" w:rsidP="00EB6354">
      <w:pPr>
        <w:snapToGrid w:val="0"/>
        <w:contextualSpacing/>
        <w:jc w:val="both"/>
        <w:rPr>
          <w:rFonts w:ascii="Verdana" w:hAnsi="Verdana" w:cs="Arial"/>
          <w:color w:val="000000" w:themeColor="text1"/>
          <w:sz w:val="20"/>
          <w:szCs w:val="20"/>
          <w:lang w:val="es-ES"/>
        </w:rPr>
      </w:pPr>
    </w:p>
    <w:p w14:paraId="16FA036B" w14:textId="7C13C1A1" w:rsidR="00EB6354" w:rsidRPr="00EB6354" w:rsidRDefault="00EB6354" w:rsidP="00EB6354">
      <w:pPr>
        <w:snapToGrid w:val="0"/>
        <w:spacing w:after="0" w:line="240" w:lineRule="auto"/>
        <w:contextualSpacing/>
        <w:jc w:val="both"/>
        <w:rPr>
          <w:rFonts w:ascii="Verdana" w:hAnsi="Verdana" w:cs="Arial"/>
          <w:color w:val="000000" w:themeColor="text1"/>
          <w:sz w:val="20"/>
          <w:szCs w:val="20"/>
          <w:lang w:val="es-ES"/>
        </w:rPr>
      </w:pPr>
      <w:r w:rsidRPr="00EB6354">
        <w:rPr>
          <w:rFonts w:ascii="Verdana" w:hAnsi="Verdana" w:cs="Arial"/>
          <w:color w:val="000000" w:themeColor="text1"/>
          <w:sz w:val="20"/>
          <w:szCs w:val="20"/>
          <w:lang w:val="es-ES"/>
        </w:rPr>
        <w:t>La causal prevista en el artículo 42 de la Ley 80 de 1993 es una excepción a las modalidades de selección competitivas del Estatuto General de Contratación de la Administración Pública, que es procedente para celebrar contratos en los que la entidad recibe una prestación a cambio de un precio. Por su parte, los contratos de colaboración y los convenios de asociación del Decreto 092 de 2017 son esencialmente distintos a los contratos para la adquisición y aprovisionamiento de bienes, obras o servicios regulados por el Estatuto, por lo que la norma previó sus propias reglas de selección y tipologías. En consecuencia, si lo que la Entidad Estatal pretende celebrar es un contrato de colaboración o un convenio de asociación porque se cumplen los requisitos y supuestos que para ello dispone la norma, debe aplicar las reglas de selección y utilizar las tipologías del Decreto 092 de 2017, aun cuando exista una declaratoria de urgencia manifiesta.</w:t>
      </w:r>
    </w:p>
    <w:p w14:paraId="6EBBE1B6" w14:textId="77777777" w:rsidR="00EB6354" w:rsidRDefault="00EB6354" w:rsidP="00EB6354">
      <w:pPr>
        <w:snapToGrid w:val="0"/>
        <w:contextualSpacing/>
        <w:jc w:val="both"/>
        <w:rPr>
          <w:rFonts w:ascii="Verdana" w:hAnsi="Verdana" w:cs="Arial"/>
          <w:color w:val="000000" w:themeColor="text1"/>
          <w:sz w:val="20"/>
          <w:szCs w:val="20"/>
          <w:lang w:val="es-ES"/>
        </w:rPr>
      </w:pPr>
    </w:p>
    <w:p w14:paraId="1061E8EE" w14:textId="2E5ADC22" w:rsidR="00EB6354" w:rsidRPr="00EB6354" w:rsidRDefault="00EB6354" w:rsidP="00EB6354">
      <w:pPr>
        <w:snapToGrid w:val="0"/>
        <w:spacing w:after="0" w:line="240" w:lineRule="auto"/>
        <w:contextualSpacing/>
        <w:jc w:val="both"/>
        <w:rPr>
          <w:rFonts w:ascii="Verdana" w:hAnsi="Verdana" w:cs="Arial"/>
          <w:color w:val="000000" w:themeColor="text1"/>
          <w:sz w:val="20"/>
          <w:szCs w:val="20"/>
          <w:lang w:val="es-ES"/>
        </w:rPr>
      </w:pPr>
      <w:r w:rsidRPr="00EB6354">
        <w:rPr>
          <w:rFonts w:ascii="Verdana" w:hAnsi="Verdana" w:cs="Arial"/>
          <w:color w:val="000000" w:themeColor="text1"/>
          <w:sz w:val="20"/>
          <w:szCs w:val="20"/>
          <w:lang w:val="es-ES"/>
        </w:rPr>
        <w:t xml:space="preserve">Se sigue de lo anterior que la calidad de entidad sin ánimo de lucro –en adelante ESAL– del contratista no somete automáticamente a un contrato estatal conmutativo al régimen previsto en el Decreto 092 de 2017, pues lo que determina la aplicación de este decreto no es únicamente el carácter de las ESAL, sino el objeto del contrato o convenio que la entidad pretende adelantar. Cuando la entidad contrata un servicio que ella misma define y remunera, existe una relación conmutativa en la que recibe una prestación a cambio de un precio, aunque la contraparte resulte ser una ESAL, por lo que se trata de una relación que debe regirse por las leyes 80 de 1993 y 1150 de 2007, y no por el Decreto 092 de 2017. </w:t>
      </w:r>
    </w:p>
    <w:p w14:paraId="74DC9F48" w14:textId="77777777" w:rsidR="00EB6354" w:rsidRDefault="00EB6354" w:rsidP="00EB6354">
      <w:pPr>
        <w:snapToGrid w:val="0"/>
        <w:contextualSpacing/>
        <w:jc w:val="both"/>
        <w:rPr>
          <w:rFonts w:ascii="Verdana" w:hAnsi="Verdana" w:cs="Arial"/>
          <w:color w:val="000000" w:themeColor="text1"/>
          <w:sz w:val="20"/>
          <w:szCs w:val="20"/>
          <w:lang w:val="es-ES"/>
        </w:rPr>
      </w:pPr>
    </w:p>
    <w:p w14:paraId="024414B7" w14:textId="272BDC91" w:rsidR="00EB6354" w:rsidRDefault="00EB6354" w:rsidP="00EB6354">
      <w:pPr>
        <w:snapToGrid w:val="0"/>
        <w:contextualSpacing/>
        <w:jc w:val="both"/>
        <w:rPr>
          <w:rFonts w:ascii="Verdana" w:hAnsi="Verdana" w:cs="Arial"/>
          <w:color w:val="000000" w:themeColor="text1"/>
          <w:sz w:val="20"/>
          <w:szCs w:val="20"/>
          <w:lang w:val="es-ES"/>
        </w:rPr>
      </w:pPr>
      <w:r w:rsidRPr="00EB6354">
        <w:rPr>
          <w:rFonts w:ascii="Verdana" w:hAnsi="Verdana" w:cs="Arial"/>
          <w:color w:val="000000" w:themeColor="text1"/>
          <w:sz w:val="20"/>
          <w:szCs w:val="20"/>
          <w:lang w:val="es-ES"/>
        </w:rPr>
        <w:t>Así, cuando una Entidad Estatal declara la urgencia manifiesta y contrata directamente con una ESAL un servicio en una relación materialmente conmutativa, el contrato se rige por el EGCAP, y</w:t>
      </w:r>
      <w:r w:rsidRPr="00EB6354">
        <w:rPr>
          <w:sz w:val="20"/>
          <w:szCs w:val="20"/>
        </w:rPr>
        <w:t xml:space="preserve"> </w:t>
      </w:r>
      <w:r w:rsidRPr="00EB6354">
        <w:rPr>
          <w:rFonts w:ascii="Verdana" w:hAnsi="Verdana" w:cs="Arial"/>
          <w:color w:val="000000" w:themeColor="text1"/>
          <w:sz w:val="20"/>
          <w:szCs w:val="20"/>
        </w:rPr>
        <w:t>podrá acudirse a la urgencia manifiesta siempre que se cumplan los requisitos del artículo 42 de la Ley 80 de 1993</w:t>
      </w:r>
      <w:r w:rsidRPr="00EB6354">
        <w:rPr>
          <w:rFonts w:ascii="Verdana" w:hAnsi="Verdana" w:cs="Arial"/>
          <w:color w:val="000000" w:themeColor="text1"/>
          <w:sz w:val="20"/>
          <w:szCs w:val="20"/>
          <w:lang w:val="es-ES"/>
        </w:rPr>
        <w:t>. En todo caso, corresponde a la entidad verificar que la denominación del negocio corresponda a su contenido real, pues no puede acudirse a la figura del contrato conmutativo para eludir las reglas del Decreto 092 de 2017, ni a los contratos de colaboración o convenios de asociación para eludir los procedimientos de selección del Estatuto General de Contratación.</w:t>
      </w:r>
    </w:p>
    <w:p w14:paraId="5C2E6009" w14:textId="77777777" w:rsidR="00EB6354" w:rsidRDefault="00EB6354" w:rsidP="00EB6354">
      <w:pPr>
        <w:snapToGrid w:val="0"/>
        <w:contextualSpacing/>
        <w:jc w:val="both"/>
        <w:rPr>
          <w:rFonts w:ascii="Verdana" w:hAnsi="Verdana" w:cs="Arial"/>
          <w:color w:val="000000" w:themeColor="text1"/>
          <w:sz w:val="20"/>
          <w:szCs w:val="20"/>
          <w:lang w:val="es-ES"/>
        </w:rPr>
      </w:pPr>
    </w:p>
    <w:p w14:paraId="4776D1F5" w14:textId="77777777" w:rsidR="00EB6354" w:rsidRPr="00EB6354" w:rsidRDefault="00EB6354" w:rsidP="00EB6354">
      <w:pPr>
        <w:snapToGrid w:val="0"/>
        <w:spacing w:after="0" w:line="240" w:lineRule="auto"/>
        <w:contextualSpacing/>
        <w:jc w:val="both"/>
        <w:rPr>
          <w:rFonts w:ascii="Verdana" w:hAnsi="Verdana" w:cs="Arial"/>
          <w:color w:val="000000" w:themeColor="text1"/>
          <w:sz w:val="20"/>
          <w:szCs w:val="20"/>
          <w:lang w:val="es-ES"/>
        </w:rPr>
      </w:pPr>
    </w:p>
    <w:p w14:paraId="653FEC89" w14:textId="77777777" w:rsidR="00EB6354" w:rsidRDefault="00EB6354" w:rsidP="00887898">
      <w:pPr>
        <w:widowControl w:val="0"/>
        <w:spacing w:after="0" w:line="276" w:lineRule="auto"/>
        <w:jc w:val="both"/>
        <w:rPr>
          <w:rFonts w:ascii="Verdana" w:hAnsi="Verdana"/>
          <w:lang w:val="es-ES"/>
        </w:rPr>
      </w:pPr>
    </w:p>
    <w:p w14:paraId="759B5D6A" w14:textId="08DB6F0D" w:rsidR="00887898" w:rsidRPr="00E20784" w:rsidRDefault="00887898" w:rsidP="00887898">
      <w:pPr>
        <w:widowControl w:val="0"/>
        <w:spacing w:after="0" w:line="276" w:lineRule="auto"/>
        <w:jc w:val="both"/>
        <w:rPr>
          <w:rFonts w:ascii="Verdana" w:hAnsi="Verdana"/>
          <w:lang w:val="es-ES"/>
        </w:rPr>
      </w:pPr>
      <w:r w:rsidRPr="00E20784">
        <w:rPr>
          <w:rFonts w:ascii="Verdana" w:hAnsi="Verdana"/>
          <w:lang w:val="es-ES"/>
        </w:rPr>
        <w:lastRenderedPageBreak/>
        <w:t xml:space="preserve">Bogotá D.C., </w:t>
      </w:r>
      <w:r w:rsidR="000B3B52">
        <w:rPr>
          <w:rFonts w:ascii="Verdana" w:hAnsi="Verdana"/>
          <w:lang w:val="es-ES"/>
        </w:rPr>
        <w:t>14 de octubre de 2026</w:t>
      </w:r>
    </w:p>
    <w:p w14:paraId="645BB4A0" w14:textId="13647605" w:rsidR="00887898" w:rsidRPr="00E20784" w:rsidRDefault="00D6417D" w:rsidP="00887898">
      <w:pPr>
        <w:spacing w:after="0"/>
        <w:rPr>
          <w:rFonts w:ascii="Verdana" w:hAnsi="Verdana"/>
          <w:lang w:val="es-ES"/>
        </w:rPr>
      </w:pPr>
      <w:r>
        <w:rPr>
          <w:rFonts w:ascii="Verdana" w:eastAsia="Calibri" w:hAnsi="Verdana" w:cs="Arial"/>
          <w:b/>
          <w:bCs/>
          <w:noProof/>
          <w:color w:val="000000" w:themeColor="text1"/>
          <w:lang w:val="es-ES" w:eastAsia="es-ES"/>
        </w:rPr>
        <w:drawing>
          <wp:anchor distT="0" distB="0" distL="114300" distR="114300" simplePos="0" relativeHeight="251660288" behindDoc="0" locked="0" layoutInCell="1" allowOverlap="1" wp14:anchorId="3C3A2307" wp14:editId="28E51653">
            <wp:simplePos x="0" y="0"/>
            <wp:positionH relativeFrom="column">
              <wp:posOffset>3381375</wp:posOffset>
            </wp:positionH>
            <wp:positionV relativeFrom="paragraph">
              <wp:posOffset>132715</wp:posOffset>
            </wp:positionV>
            <wp:extent cx="1972310" cy="582295"/>
            <wp:effectExtent l="0" t="0" r="0" b="1905"/>
            <wp:wrapSquare wrapText="bothSides"/>
            <wp:docPr id="67893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3235" name="Picture 67893235"/>
                    <pic:cNvPicPr/>
                  </pic:nvPicPr>
                  <pic:blipFill>
                    <a:blip r:embed="rId10">
                      <a:extLst>
                        <a:ext uri="{28A0092B-C50C-407E-A947-70E740481C1C}">
                          <a14:useLocalDpi xmlns:a14="http://schemas.microsoft.com/office/drawing/2010/main" val="0"/>
                        </a:ext>
                      </a:extLst>
                    </a:blip>
                    <a:stretch>
                      <a:fillRect/>
                    </a:stretch>
                  </pic:blipFill>
                  <pic:spPr>
                    <a:xfrm>
                      <a:off x="0" y="0"/>
                      <a:ext cx="1972310" cy="582295"/>
                    </a:xfrm>
                    <a:prstGeom prst="rect">
                      <a:avLst/>
                    </a:prstGeom>
                  </pic:spPr>
                </pic:pic>
              </a:graphicData>
            </a:graphic>
            <wp14:sizeRelH relativeFrom="page">
              <wp14:pctWidth>0</wp14:pctWidth>
            </wp14:sizeRelH>
            <wp14:sizeRelV relativeFrom="page">
              <wp14:pctHeight>0</wp14:pctHeight>
            </wp14:sizeRelV>
          </wp:anchor>
        </w:drawing>
      </w:r>
    </w:p>
    <w:p w14:paraId="2D2D478D" w14:textId="5B640D0A" w:rsidR="00887898" w:rsidRPr="00E20784" w:rsidRDefault="00887898" w:rsidP="00887898">
      <w:pPr>
        <w:spacing w:after="0" w:line="240" w:lineRule="auto"/>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Señor</w:t>
      </w:r>
    </w:p>
    <w:p w14:paraId="3D1EB581" w14:textId="3A34B730" w:rsidR="00887898" w:rsidRPr="001F370B" w:rsidRDefault="00887898" w:rsidP="00887898">
      <w:pPr>
        <w:spacing w:after="0" w:line="240" w:lineRule="auto"/>
        <w:rPr>
          <w:rFonts w:ascii="Verdana" w:eastAsia="Calibri" w:hAnsi="Verdana" w:cs="Arial"/>
          <w:b/>
          <w:bCs/>
          <w:color w:val="000000" w:themeColor="text1"/>
          <w:lang w:val="es-ES" w:eastAsia="es-ES"/>
        </w:rPr>
      </w:pPr>
      <w:r w:rsidRPr="00E20784">
        <w:rPr>
          <w:rFonts w:ascii="Verdana" w:eastAsia="Calibri" w:hAnsi="Verdana" w:cs="Arial"/>
          <w:b/>
          <w:bCs/>
          <w:color w:val="000000" w:themeColor="text1"/>
          <w:lang w:val="es-ES" w:eastAsia="es-ES"/>
        </w:rPr>
        <w:t xml:space="preserve">Juan Sebastián Olaya Perdomo </w:t>
      </w:r>
    </w:p>
    <w:p w14:paraId="5E25E210" w14:textId="3F249D85" w:rsidR="00887898" w:rsidRPr="001F370B" w:rsidRDefault="00E16DF4" w:rsidP="00887898">
      <w:pPr>
        <w:spacing w:after="0" w:line="240" w:lineRule="auto"/>
        <w:rPr>
          <w:rFonts w:ascii="Verdana" w:eastAsia="Calibri" w:hAnsi="Verdana" w:cs="Arial"/>
          <w:color w:val="000000" w:themeColor="text1"/>
          <w:lang w:val="es-ES" w:eastAsia="es-ES"/>
        </w:rPr>
      </w:pPr>
      <w:hyperlink r:id="rId11" w:history="1">
        <w:r w:rsidRPr="001F370B">
          <w:rPr>
            <w:rStyle w:val="Hyperlink"/>
            <w:rFonts w:ascii="Verdana" w:eastAsia="Calibri" w:hAnsi="Verdana" w:cs="Arial"/>
            <w:lang w:val="es-ES" w:eastAsia="es-ES"/>
          </w:rPr>
          <w:t>juanseolaya@gmail.com</w:t>
        </w:r>
      </w:hyperlink>
      <w:r>
        <w:rPr>
          <w:rFonts w:ascii="Verdana" w:eastAsia="Calibri" w:hAnsi="Verdana" w:cs="Arial"/>
          <w:color w:val="000000" w:themeColor="text1"/>
          <w:lang w:val="es-ES" w:eastAsia="es-ES"/>
        </w:rPr>
        <w:t xml:space="preserve"> </w:t>
      </w:r>
      <w:r w:rsidR="00887898" w:rsidRPr="001F370B">
        <w:rPr>
          <w:rFonts w:ascii="Verdana" w:eastAsia="Calibri" w:hAnsi="Verdana" w:cs="Arial"/>
          <w:color w:val="000000" w:themeColor="text1"/>
          <w:lang w:val="es-ES" w:eastAsia="es-ES"/>
        </w:rPr>
        <w:t xml:space="preserve"> </w:t>
      </w:r>
    </w:p>
    <w:p w14:paraId="6E5E7599" w14:textId="77777777" w:rsidR="00887898" w:rsidRPr="00E20784" w:rsidRDefault="00887898" w:rsidP="00887898">
      <w:pPr>
        <w:spacing w:after="0" w:line="240" w:lineRule="auto"/>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Cali, Valle del Cauca</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87898" w:rsidRPr="00E20784" w14:paraId="2B5F24A9" w14:textId="77777777" w:rsidTr="00EA0EB1">
        <w:trPr>
          <w:trHeight w:val="300"/>
        </w:trPr>
        <w:tc>
          <w:tcPr>
            <w:tcW w:w="2410" w:type="dxa"/>
          </w:tcPr>
          <w:p w14:paraId="38D25D1A" w14:textId="77777777" w:rsidR="00887898" w:rsidRPr="00E20784" w:rsidRDefault="00887898" w:rsidP="00EA0EB1">
            <w:pPr>
              <w:ind w:left="-142"/>
              <w:jc w:val="both"/>
              <w:rPr>
                <w:rFonts w:ascii="Verdana" w:eastAsia="Calibri" w:hAnsi="Verdana" w:cs="Arial"/>
                <w:b/>
                <w:bCs/>
                <w:color w:val="000000" w:themeColor="text1"/>
                <w:lang w:val="es-ES" w:eastAsia="es-ES_tradnl"/>
              </w:rPr>
            </w:pPr>
          </w:p>
        </w:tc>
        <w:tc>
          <w:tcPr>
            <w:tcW w:w="6100" w:type="dxa"/>
          </w:tcPr>
          <w:p w14:paraId="794A8549" w14:textId="77777777" w:rsidR="00887898" w:rsidRPr="00E20784" w:rsidRDefault="00887898" w:rsidP="00EA0EB1">
            <w:pPr>
              <w:ind w:left="3"/>
              <w:jc w:val="both"/>
              <w:rPr>
                <w:rFonts w:ascii="Verdana" w:eastAsia="Calibri" w:hAnsi="Verdana" w:cs="Arial"/>
                <w:b/>
                <w:bCs/>
                <w:color w:val="000000" w:themeColor="text1"/>
                <w:lang w:val="es-ES" w:eastAsia="es-ES"/>
              </w:rPr>
            </w:pPr>
          </w:p>
          <w:p w14:paraId="3AE82F5D" w14:textId="77777777" w:rsidR="00887898" w:rsidRPr="00E20784" w:rsidRDefault="00887898" w:rsidP="00EA0EB1">
            <w:pPr>
              <w:ind w:left="3"/>
              <w:jc w:val="both"/>
              <w:rPr>
                <w:rFonts w:ascii="Verdana" w:eastAsia="Calibri" w:hAnsi="Verdana" w:cs="Arial"/>
                <w:b/>
                <w:bCs/>
                <w:color w:val="000000" w:themeColor="text1"/>
                <w:lang w:val="es-ES" w:eastAsia="es-ES"/>
              </w:rPr>
            </w:pPr>
            <w:r w:rsidRPr="00E2078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1395</w:t>
            </w:r>
            <w:r w:rsidRPr="00E20784">
              <w:rPr>
                <w:rFonts w:ascii="Verdana" w:eastAsia="Calibri" w:hAnsi="Verdana" w:cs="Arial"/>
                <w:b/>
                <w:bCs/>
                <w:color w:val="000000" w:themeColor="text1"/>
                <w:lang w:val="es-ES" w:eastAsia="es-ES"/>
              </w:rPr>
              <w:t xml:space="preserve"> de 2026</w:t>
            </w:r>
          </w:p>
          <w:p w14:paraId="786DE7B6" w14:textId="77777777" w:rsidR="00887898" w:rsidRPr="00E20784" w:rsidRDefault="00887898" w:rsidP="00EA0EB1">
            <w:pPr>
              <w:ind w:left="3"/>
              <w:jc w:val="both"/>
              <w:rPr>
                <w:rFonts w:ascii="Verdana" w:eastAsia="Calibri" w:hAnsi="Verdana" w:cs="Arial"/>
                <w:b/>
                <w:bCs/>
                <w:color w:val="000000" w:themeColor="text1"/>
                <w:lang w:val="es-ES" w:eastAsia="es-ES"/>
              </w:rPr>
            </w:pPr>
          </w:p>
        </w:tc>
      </w:tr>
      <w:tr w:rsidR="00887898" w:rsidRPr="00E20784" w14:paraId="7F93C36D" w14:textId="77777777" w:rsidTr="00EA0EB1">
        <w:trPr>
          <w:trHeight w:val="300"/>
        </w:trPr>
        <w:tc>
          <w:tcPr>
            <w:tcW w:w="2410" w:type="dxa"/>
          </w:tcPr>
          <w:p w14:paraId="7C0E1E77" w14:textId="77777777" w:rsidR="00887898" w:rsidRPr="00E20784" w:rsidRDefault="00887898" w:rsidP="00EA0EB1">
            <w:pPr>
              <w:ind w:left="424" w:firstLine="142"/>
              <w:jc w:val="both"/>
              <w:rPr>
                <w:rFonts w:ascii="Verdana" w:eastAsia="Calibri" w:hAnsi="Verdana" w:cs="Arial"/>
                <w:color w:val="000000" w:themeColor="text1"/>
                <w:lang w:val="es-ES" w:eastAsia="es-ES_tradnl"/>
              </w:rPr>
            </w:pPr>
            <w:r w:rsidRPr="00E20784">
              <w:rPr>
                <w:rFonts w:ascii="Verdana" w:eastAsia="Calibri" w:hAnsi="Verdana" w:cs="Arial"/>
                <w:b/>
                <w:color w:val="000000" w:themeColor="text1"/>
                <w:lang w:val="es-ES" w:eastAsia="es-ES_tradnl"/>
              </w:rPr>
              <w:t>Temas:</w:t>
            </w:r>
            <w:r w:rsidRPr="00E20784">
              <w:rPr>
                <w:rFonts w:ascii="Verdana" w:eastAsia="Calibri" w:hAnsi="Verdana" w:cs="Arial"/>
                <w:color w:val="000000" w:themeColor="text1"/>
                <w:lang w:val="es-ES" w:eastAsia="es-ES_tradnl"/>
              </w:rPr>
              <w:t xml:space="preserve">                  </w:t>
            </w:r>
          </w:p>
        </w:tc>
        <w:tc>
          <w:tcPr>
            <w:tcW w:w="6100" w:type="dxa"/>
          </w:tcPr>
          <w:p w14:paraId="44B3A87A" w14:textId="10377AA0" w:rsidR="00887898" w:rsidRPr="00E20784" w:rsidRDefault="00887898" w:rsidP="00EA0EB1">
            <w:pPr>
              <w:spacing w:line="276" w:lineRule="auto"/>
              <w:jc w:val="both"/>
              <w:rPr>
                <w:rFonts w:ascii="Verdana" w:eastAsia="Calibri" w:hAnsi="Verdana" w:cs="Arial"/>
                <w:color w:val="000000" w:themeColor="text1"/>
                <w:lang w:val="es-ES" w:eastAsia="es-ES"/>
              </w:rPr>
            </w:pPr>
            <w:r w:rsidRPr="00E20784">
              <w:rPr>
                <w:rFonts w:ascii="Verdana" w:eastAsia="Calibri" w:hAnsi="Verdana" w:cs="Arial"/>
                <w:lang w:val="es-ES" w:eastAsia="es-ES"/>
              </w:rPr>
              <w:t xml:space="preserve">URGENCIA MANIFIESTA – Causal de contratación directa – Definición / </w:t>
            </w:r>
            <w:r w:rsidRPr="00E20784">
              <w:rPr>
                <w:rFonts w:ascii="Verdana" w:eastAsia="Calibri" w:hAnsi="Verdana" w:cs="Arial"/>
                <w:lang w:val="es-ES" w:eastAsia="es-ES_tradnl"/>
                <w14:ligatures w14:val="standardContextual"/>
              </w:rPr>
              <w:t>CONTRATACIÓN CON ESAL – Contrato de colaboración – Objeto – Alcance / CONTRATACIÓN CON ESAL – Convenios de asociación – Objeto – Alcance</w:t>
            </w:r>
            <w:r w:rsidR="00EB6354">
              <w:rPr>
                <w:rFonts w:ascii="Verdana" w:eastAsia="Calibri" w:hAnsi="Verdana" w:cs="Arial"/>
                <w:lang w:val="es-ES" w:eastAsia="es-ES_tradnl"/>
                <w14:ligatures w14:val="standardContextual"/>
              </w:rPr>
              <w:t xml:space="preserve"> /</w:t>
            </w:r>
            <w:r w:rsidR="00EB6354" w:rsidRPr="00E20784">
              <w:rPr>
                <w:rFonts w:ascii="Verdana" w:eastAsia="Calibri" w:hAnsi="Verdana" w:cs="Arial"/>
                <w:lang w:val="es-ES" w:eastAsia="es-ES"/>
              </w:rPr>
              <w:t xml:space="preserve"> </w:t>
            </w:r>
            <w:r w:rsidR="00EB6354" w:rsidRPr="00E20784">
              <w:rPr>
                <w:rFonts w:ascii="Verdana" w:eastAsia="Calibri" w:hAnsi="Verdana" w:cs="Arial"/>
                <w:lang w:val="es-ES" w:eastAsia="es-ES"/>
              </w:rPr>
              <w:t>URGENCIA MANIFIESTA</w:t>
            </w:r>
            <w:r w:rsidR="00EB6354">
              <w:rPr>
                <w:rFonts w:ascii="Verdana" w:eastAsia="Calibri" w:hAnsi="Verdana" w:cs="Arial"/>
                <w:lang w:val="es-ES" w:eastAsia="es-ES"/>
              </w:rPr>
              <w:t xml:space="preserve"> </w:t>
            </w:r>
            <w:r w:rsidR="00EB6354" w:rsidRPr="00E20784">
              <w:rPr>
                <w:rFonts w:ascii="Verdana" w:eastAsia="Calibri" w:hAnsi="Verdana" w:cs="Arial"/>
                <w:lang w:val="es-ES" w:eastAsia="es-ES_tradnl"/>
                <w14:ligatures w14:val="standardContextual"/>
              </w:rPr>
              <w:t>–</w:t>
            </w:r>
            <w:r w:rsidR="00EB6354">
              <w:rPr>
                <w:rFonts w:ascii="Verdana" w:eastAsia="Calibri" w:hAnsi="Verdana" w:cs="Arial"/>
                <w:lang w:val="es-ES" w:eastAsia="es-ES_tradnl"/>
                <w14:ligatures w14:val="standardContextual"/>
              </w:rPr>
              <w:t xml:space="preserve"> Convenios y contratos del Decreto 092 </w:t>
            </w:r>
            <w:r w:rsidR="00EB6354" w:rsidRPr="00E20784">
              <w:rPr>
                <w:rFonts w:ascii="Verdana" w:eastAsia="Calibri" w:hAnsi="Verdana" w:cs="Arial"/>
                <w:lang w:val="es-ES" w:eastAsia="es-ES_tradnl"/>
                <w14:ligatures w14:val="standardContextual"/>
              </w:rPr>
              <w:t>–</w:t>
            </w:r>
            <w:r w:rsidR="00EB6354">
              <w:rPr>
                <w:rFonts w:ascii="Verdana" w:eastAsia="Calibri" w:hAnsi="Verdana" w:cs="Arial"/>
                <w:lang w:val="es-ES" w:eastAsia="es-ES_tradnl"/>
                <w14:ligatures w14:val="standardContextual"/>
              </w:rPr>
              <w:t xml:space="preserve"> Contratación directa </w:t>
            </w:r>
            <w:r w:rsidR="00EB6354" w:rsidRPr="00E20784">
              <w:rPr>
                <w:rFonts w:ascii="Verdana" w:eastAsia="Calibri" w:hAnsi="Verdana" w:cs="Arial"/>
                <w:lang w:val="es-ES" w:eastAsia="es-ES_tradnl"/>
                <w14:ligatures w14:val="standardContextual"/>
              </w:rPr>
              <w:t>–</w:t>
            </w:r>
            <w:r w:rsidR="00EB6354">
              <w:rPr>
                <w:rFonts w:ascii="Verdana" w:eastAsia="Calibri" w:hAnsi="Verdana" w:cs="Arial"/>
                <w:lang w:val="es-ES" w:eastAsia="es-ES_tradnl"/>
                <w14:ligatures w14:val="standardContextual"/>
              </w:rPr>
              <w:t xml:space="preserve"> Ámbito de aplicación</w:t>
            </w:r>
          </w:p>
          <w:p w14:paraId="3B5323DE" w14:textId="77777777" w:rsidR="00887898" w:rsidRPr="00E20784" w:rsidRDefault="00887898" w:rsidP="00EA0EB1">
            <w:pPr>
              <w:spacing w:line="276" w:lineRule="auto"/>
              <w:jc w:val="both"/>
              <w:rPr>
                <w:rFonts w:ascii="Verdana" w:eastAsia="Calibri" w:hAnsi="Verdana" w:cs="Arial"/>
                <w:color w:val="000000" w:themeColor="text1"/>
                <w:lang w:val="es-ES" w:eastAsia="es-ES"/>
              </w:rPr>
            </w:pPr>
          </w:p>
        </w:tc>
      </w:tr>
      <w:tr w:rsidR="00887898" w:rsidRPr="00E20784" w14:paraId="0A0C6E0D" w14:textId="77777777" w:rsidTr="00EA0EB1">
        <w:trPr>
          <w:trHeight w:val="300"/>
        </w:trPr>
        <w:tc>
          <w:tcPr>
            <w:tcW w:w="2410" w:type="dxa"/>
          </w:tcPr>
          <w:p w14:paraId="62BD2D3F" w14:textId="77777777" w:rsidR="00887898" w:rsidRPr="00E20784" w:rsidRDefault="00887898" w:rsidP="00EA0EB1">
            <w:pPr>
              <w:ind w:left="561"/>
              <w:jc w:val="both"/>
              <w:rPr>
                <w:rFonts w:ascii="Verdana" w:eastAsia="Calibri" w:hAnsi="Verdana" w:cs="Arial"/>
                <w:b/>
                <w:color w:val="000000" w:themeColor="text1"/>
                <w:lang w:val="es-ES" w:eastAsia="es-ES_tradnl"/>
              </w:rPr>
            </w:pPr>
            <w:r w:rsidRPr="00E20784">
              <w:rPr>
                <w:rFonts w:ascii="Verdana" w:eastAsia="Calibri" w:hAnsi="Verdana" w:cs="Arial"/>
                <w:b/>
                <w:color w:val="000000" w:themeColor="text1"/>
                <w:lang w:val="es-ES" w:eastAsia="es-ES_tradnl"/>
              </w:rPr>
              <w:t xml:space="preserve">Radicación:              </w:t>
            </w:r>
          </w:p>
        </w:tc>
        <w:tc>
          <w:tcPr>
            <w:tcW w:w="6100" w:type="dxa"/>
          </w:tcPr>
          <w:p w14:paraId="0E7DC572" w14:textId="77777777" w:rsidR="00887898" w:rsidRPr="00E20784" w:rsidRDefault="00887898" w:rsidP="00EA0EB1">
            <w:pPr>
              <w:ind w:left="3"/>
              <w:jc w:val="both"/>
              <w:rPr>
                <w:rFonts w:ascii="Verdana" w:hAnsi="Verdana"/>
                <w:bCs/>
                <w:color w:val="000000"/>
                <w:lang w:val="es-ES"/>
              </w:rPr>
            </w:pPr>
            <w:r w:rsidRPr="00E20784">
              <w:rPr>
                <w:rFonts w:ascii="Verdana" w:eastAsia="Calibri" w:hAnsi="Verdana" w:cs="Arial"/>
                <w:bCs/>
                <w:color w:val="000000" w:themeColor="text1"/>
                <w:lang w:val="es-ES" w:eastAsia="es-ES"/>
              </w:rPr>
              <w:t>Respuesta a consulta con radicado No.</w:t>
            </w:r>
            <w:r w:rsidRPr="00E20784">
              <w:rPr>
                <w:rFonts w:ascii="Verdana" w:hAnsi="Verdana" w:cs="Segoe UI"/>
                <w:bCs/>
                <w:color w:val="242424"/>
                <w:shd w:val="clear" w:color="auto" w:fill="FFFFFF"/>
                <w:lang w:val="es-ES"/>
              </w:rPr>
              <w:t xml:space="preserve"> 1_2026_09_06_011823</w:t>
            </w:r>
          </w:p>
        </w:tc>
      </w:tr>
    </w:tbl>
    <w:p w14:paraId="19E68EB7" w14:textId="77777777" w:rsidR="00887898" w:rsidRPr="00E20784" w:rsidRDefault="00887898" w:rsidP="00887898">
      <w:pPr>
        <w:spacing w:after="0" w:line="276" w:lineRule="auto"/>
        <w:jc w:val="both"/>
        <w:rPr>
          <w:rFonts w:ascii="Verdana" w:eastAsia="Calibri" w:hAnsi="Verdana" w:cs="Arial"/>
          <w:color w:val="000000" w:themeColor="text1"/>
          <w:lang w:val="es-ES" w:eastAsia="es-ES"/>
        </w:rPr>
      </w:pPr>
    </w:p>
    <w:p w14:paraId="3CFDB97A" w14:textId="77777777" w:rsidR="00887898" w:rsidRPr="00E20784" w:rsidRDefault="00887898" w:rsidP="00887898">
      <w:pPr>
        <w:spacing w:after="0" w:line="276" w:lineRule="auto"/>
        <w:jc w:val="both"/>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 xml:space="preserve">Estimado señor Olaya: </w:t>
      </w:r>
    </w:p>
    <w:p w14:paraId="6CC16398" w14:textId="77777777" w:rsidR="00887898" w:rsidRPr="00E20784" w:rsidRDefault="00887898" w:rsidP="00887898">
      <w:pPr>
        <w:tabs>
          <w:tab w:val="left" w:pos="3768"/>
        </w:tabs>
        <w:spacing w:after="0" w:line="276" w:lineRule="auto"/>
        <w:jc w:val="both"/>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ab/>
      </w:r>
    </w:p>
    <w:p w14:paraId="5216BC19" w14:textId="77777777" w:rsidR="00887898" w:rsidRPr="00E20784" w:rsidRDefault="00887898" w:rsidP="00887898">
      <w:pPr>
        <w:spacing w:after="0" w:line="276" w:lineRule="auto"/>
        <w:jc w:val="both"/>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En ejercicio de la competencia otorgada por los artículos 3, numeral 5º, y 11, numeral 8º, del Decreto Ley 4170 de 2011,</w:t>
      </w:r>
      <w:r w:rsidRPr="00E20784">
        <w:rPr>
          <w:rFonts w:ascii="Verdana" w:eastAsia="Arial MT" w:hAnsi="Verdana" w:cs="Arial MT"/>
          <w:color w:val="000000" w:themeColor="text1"/>
          <w:lang w:val="es-ES" w:eastAsia="es-ES"/>
        </w:rPr>
        <w:t xml:space="preserve"> </w:t>
      </w:r>
      <w:r w:rsidRPr="00E20784">
        <w:rPr>
          <w:rFonts w:ascii="Verdana" w:hAnsi="Verdana" w:cs="Arial"/>
          <w:color w:val="000000" w:themeColor="text1"/>
          <w:lang w:val="es-ES"/>
        </w:rPr>
        <w:t xml:space="preserve">así como lo establecido en el artículo 4 de la Resolución 1707 de 2018 expedida por esta Entidad, </w:t>
      </w:r>
      <w:r w:rsidRPr="00E20784">
        <w:rPr>
          <w:rFonts w:ascii="Verdana" w:eastAsia="Calibri" w:hAnsi="Verdana" w:cs="Arial"/>
          <w:color w:val="000000" w:themeColor="text1"/>
          <w:lang w:val="es-ES" w:eastAsia="es-ES"/>
        </w:rPr>
        <w:t xml:space="preserve">la Agencia Nacional de Contratación Pública – Colombia Compra Eficiente– responde su solicitud de consulta del 06 de septiembre de 2026, en la cual manifiesta lo siguiente: </w:t>
      </w:r>
    </w:p>
    <w:p w14:paraId="4D3AEAEA" w14:textId="77777777" w:rsidR="00887898" w:rsidRPr="00E20784" w:rsidRDefault="00887898" w:rsidP="00887898">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852F90F" w14:textId="77777777" w:rsidR="00887898" w:rsidRPr="00E20784" w:rsidRDefault="00887898" w:rsidP="00887898">
      <w:pPr>
        <w:ind w:left="709" w:right="709"/>
        <w:jc w:val="both"/>
        <w:rPr>
          <w:rFonts w:ascii="Verdana" w:eastAsia="Calibri" w:hAnsi="Verdana" w:cs="Arial"/>
          <w:i/>
          <w:iCs/>
          <w:sz w:val="20"/>
          <w:szCs w:val="20"/>
          <w:lang w:val="es-ES"/>
        </w:rPr>
      </w:pPr>
      <w:r w:rsidRPr="00E20784">
        <w:rPr>
          <w:rFonts w:ascii="Verdana" w:eastAsia="Calibri" w:hAnsi="Verdana" w:cs="Arial"/>
          <w:i/>
          <w:iCs/>
          <w:sz w:val="20"/>
          <w:szCs w:val="20"/>
          <w:lang w:val="es-ES"/>
        </w:rPr>
        <w:t xml:space="preserve">“[…] El art. 42 de la Ley 80 de 1993 y el </w:t>
      </w:r>
      <w:proofErr w:type="spellStart"/>
      <w:r w:rsidRPr="00E20784">
        <w:rPr>
          <w:rFonts w:ascii="Verdana" w:eastAsia="Calibri" w:hAnsi="Verdana" w:cs="Arial"/>
          <w:i/>
          <w:iCs/>
          <w:sz w:val="20"/>
          <w:szCs w:val="20"/>
          <w:lang w:val="es-ES"/>
        </w:rPr>
        <w:t>lit.</w:t>
      </w:r>
      <w:proofErr w:type="spellEnd"/>
      <w:r w:rsidRPr="00E20784">
        <w:rPr>
          <w:rFonts w:ascii="Verdana" w:eastAsia="Calibri" w:hAnsi="Verdana" w:cs="Arial"/>
          <w:i/>
          <w:iCs/>
          <w:sz w:val="20"/>
          <w:szCs w:val="20"/>
          <w:lang w:val="es-ES"/>
        </w:rPr>
        <w:t xml:space="preserve"> a) del </w:t>
      </w:r>
      <w:proofErr w:type="spellStart"/>
      <w:r w:rsidRPr="00E20784">
        <w:rPr>
          <w:rFonts w:ascii="Verdana" w:eastAsia="Calibri" w:hAnsi="Verdana" w:cs="Arial"/>
          <w:i/>
          <w:iCs/>
          <w:sz w:val="20"/>
          <w:szCs w:val="20"/>
          <w:lang w:val="es-ES"/>
        </w:rPr>
        <w:t>num</w:t>
      </w:r>
      <w:proofErr w:type="spellEnd"/>
      <w:r w:rsidRPr="00E20784">
        <w:rPr>
          <w:rFonts w:ascii="Verdana" w:eastAsia="Calibri" w:hAnsi="Verdana" w:cs="Arial"/>
          <w:i/>
          <w:iCs/>
          <w:sz w:val="20"/>
          <w:szCs w:val="20"/>
          <w:lang w:val="es-ES"/>
        </w:rPr>
        <w:t xml:space="preserve">. 4 del art. 2 de la Ley 1150 de 2007 consagran la urgencia manifiesta como causal de contratación directa. El Decreto 092 de 2017 excluye de su </w:t>
      </w:r>
      <w:proofErr w:type="spellStart"/>
      <w:r w:rsidRPr="00E20784">
        <w:rPr>
          <w:rFonts w:ascii="Verdana" w:eastAsia="Calibri" w:hAnsi="Verdana" w:cs="Arial"/>
          <w:i/>
          <w:iCs/>
          <w:sz w:val="20"/>
          <w:szCs w:val="20"/>
          <w:lang w:val="es-ES"/>
        </w:rPr>
        <w:t>ámbito</w:t>
      </w:r>
      <w:proofErr w:type="spellEnd"/>
      <w:r w:rsidRPr="00E20784">
        <w:rPr>
          <w:rFonts w:ascii="Verdana" w:eastAsia="Calibri" w:hAnsi="Verdana" w:cs="Arial"/>
          <w:i/>
          <w:iCs/>
          <w:sz w:val="20"/>
          <w:szCs w:val="20"/>
          <w:lang w:val="es-ES"/>
        </w:rPr>
        <w:t xml:space="preserve"> los negocios con relación conmutativa (art. 3), exige proceso competitivo (arts. 4 y 5) y remite al EGCAP (art. 8). </w:t>
      </w:r>
    </w:p>
    <w:p w14:paraId="52299D6C" w14:textId="77777777" w:rsidR="00887898" w:rsidRPr="002A7EBB" w:rsidRDefault="00887898" w:rsidP="00887898">
      <w:pPr>
        <w:ind w:left="709" w:right="709"/>
        <w:jc w:val="both"/>
        <w:rPr>
          <w:rFonts w:ascii="Verdana" w:eastAsia="Calibri" w:hAnsi="Verdana" w:cs="Arial"/>
          <w:i/>
          <w:iCs/>
          <w:sz w:val="20"/>
          <w:szCs w:val="20"/>
          <w:lang w:val="es-ES"/>
        </w:rPr>
      </w:pPr>
      <w:r w:rsidRPr="002A7EBB">
        <w:rPr>
          <w:rFonts w:ascii="Verdana" w:eastAsia="Calibri" w:hAnsi="Verdana" w:cs="Arial"/>
          <w:i/>
          <w:iCs/>
          <w:sz w:val="20"/>
          <w:szCs w:val="20"/>
          <w:lang w:val="es-ES"/>
        </w:rPr>
        <w:t xml:space="preserve">Supuesto: una Entidad Estatal con urgencia manifiesta declarada contrata directamente con una entidad sin </w:t>
      </w:r>
      <w:proofErr w:type="spellStart"/>
      <w:r w:rsidRPr="002A7EBB">
        <w:rPr>
          <w:rFonts w:ascii="Verdana" w:eastAsia="Calibri" w:hAnsi="Verdana" w:cs="Arial"/>
          <w:i/>
          <w:iCs/>
          <w:sz w:val="20"/>
          <w:szCs w:val="20"/>
          <w:lang w:val="es-ES"/>
        </w:rPr>
        <w:t>ánimo</w:t>
      </w:r>
      <w:proofErr w:type="spellEnd"/>
      <w:r w:rsidRPr="002A7EBB">
        <w:rPr>
          <w:rFonts w:ascii="Verdana" w:eastAsia="Calibri" w:hAnsi="Verdana" w:cs="Arial"/>
          <w:i/>
          <w:iCs/>
          <w:sz w:val="20"/>
          <w:szCs w:val="20"/>
          <w:lang w:val="es-ES"/>
        </w:rPr>
        <w:t xml:space="preserve"> de lucro (ESAL) un servicio definido y remunerado por ella.</w:t>
      </w:r>
      <w:r w:rsidRPr="002A7EBB">
        <w:rPr>
          <w:rFonts w:ascii="Verdana" w:eastAsia="Calibri" w:hAnsi="Verdana" w:cs="Arial"/>
          <w:i/>
          <w:iCs/>
          <w:sz w:val="20"/>
          <w:szCs w:val="20"/>
          <w:lang w:val="es-ES"/>
        </w:rPr>
        <w:br/>
        <w:t xml:space="preserve">Se consulta: </w:t>
      </w:r>
    </w:p>
    <w:p w14:paraId="2189246F" w14:textId="77777777" w:rsidR="00887898" w:rsidRPr="002A7EBB" w:rsidRDefault="00887898" w:rsidP="00887898">
      <w:pPr>
        <w:ind w:left="709" w:right="709"/>
        <w:jc w:val="both"/>
        <w:rPr>
          <w:rFonts w:ascii="Verdana" w:eastAsia="Calibri" w:hAnsi="Verdana" w:cs="Arial"/>
          <w:i/>
          <w:iCs/>
          <w:sz w:val="20"/>
          <w:szCs w:val="20"/>
          <w:lang w:val="es-ES"/>
        </w:rPr>
      </w:pPr>
      <w:r w:rsidRPr="002A7EBB">
        <w:rPr>
          <w:rFonts w:ascii="Verdana" w:eastAsia="Calibri" w:hAnsi="Verdana" w:cs="Arial"/>
          <w:i/>
          <w:iCs/>
          <w:sz w:val="20"/>
          <w:szCs w:val="20"/>
          <w:lang w:val="es-ES"/>
        </w:rPr>
        <w:lastRenderedPageBreak/>
        <w:t>¿Habilita la urgencia manifiesta celebrar sin proceso competitivo los negocios regulados por el Decreto 092 de 2017?</w:t>
      </w:r>
      <w:r w:rsidRPr="002A7EBB">
        <w:rPr>
          <w:rFonts w:ascii="Verdana" w:eastAsia="Calibri" w:hAnsi="Verdana" w:cs="Arial"/>
          <w:i/>
          <w:iCs/>
          <w:sz w:val="20"/>
          <w:szCs w:val="20"/>
          <w:lang w:val="es-ES"/>
        </w:rPr>
        <w:br/>
        <w:t xml:space="preserve">¿La calidad de ESAL del contratista somete al Decreto 092 un contrato estatal conmutativo celebrado por urgencia manifiesta? </w:t>
      </w:r>
    </w:p>
    <w:p w14:paraId="254774E4" w14:textId="77777777" w:rsidR="00887898" w:rsidRPr="00E20784" w:rsidRDefault="00887898" w:rsidP="00887898">
      <w:pPr>
        <w:ind w:left="709" w:right="709"/>
        <w:jc w:val="both"/>
        <w:rPr>
          <w:rFonts w:ascii="Verdana" w:eastAsia="Calibri" w:hAnsi="Verdana" w:cs="Arial"/>
          <w:i/>
          <w:iCs/>
          <w:sz w:val="20"/>
          <w:szCs w:val="20"/>
          <w:lang w:val="es-ES"/>
        </w:rPr>
      </w:pPr>
      <w:r w:rsidRPr="002A7EBB">
        <w:rPr>
          <w:rFonts w:ascii="Verdana" w:eastAsia="Calibri" w:hAnsi="Verdana" w:cs="Arial"/>
          <w:i/>
          <w:iCs/>
          <w:sz w:val="20"/>
          <w:szCs w:val="20"/>
          <w:lang w:val="es-ES"/>
        </w:rPr>
        <w:t>¿El aporte de recursos o capacidades propias del contratista, pactado como obligación contractual, somete ese contrato al Decreto 092 o exige el aporte en dinero del art. 5?</w:t>
      </w:r>
      <w:r w:rsidRPr="00E20784">
        <w:rPr>
          <w:rFonts w:ascii="Verdana" w:eastAsia="Calibri" w:hAnsi="Verdana" w:cs="Arial"/>
          <w:i/>
          <w:iCs/>
          <w:sz w:val="20"/>
          <w:szCs w:val="20"/>
          <w:lang w:val="es-ES"/>
        </w:rPr>
        <w:t>”.</w:t>
      </w:r>
    </w:p>
    <w:p w14:paraId="415C1C01" w14:textId="77777777" w:rsidR="00887898" w:rsidRPr="00E20784" w:rsidRDefault="00887898" w:rsidP="00887898">
      <w:pPr>
        <w:spacing w:after="120" w:line="276" w:lineRule="auto"/>
        <w:ind w:firstLine="708"/>
        <w:jc w:val="both"/>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20784">
        <w:rPr>
          <w:lang w:val="es-ES"/>
        </w:rPr>
        <w:tab/>
      </w:r>
    </w:p>
    <w:p w14:paraId="05AB2FA7" w14:textId="77777777" w:rsidR="00887898" w:rsidRPr="00E20784" w:rsidRDefault="00887898" w:rsidP="00887898">
      <w:pPr>
        <w:spacing w:after="0" w:line="276" w:lineRule="auto"/>
        <w:ind w:firstLine="709"/>
        <w:jc w:val="both"/>
        <w:rPr>
          <w:rFonts w:ascii="Verdana" w:eastAsia="Calibri" w:hAnsi="Verdana" w:cs="Arial"/>
          <w:color w:val="000000" w:themeColor="text1"/>
          <w:lang w:val="es-ES" w:eastAsia="es-ES"/>
        </w:rPr>
      </w:pPr>
      <w:r w:rsidRPr="00E2078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34FD29E" w14:textId="77777777" w:rsidR="00887898" w:rsidRPr="00E20784" w:rsidRDefault="00887898" w:rsidP="00887898">
      <w:pPr>
        <w:spacing w:after="0" w:line="276" w:lineRule="auto"/>
        <w:jc w:val="both"/>
        <w:rPr>
          <w:rFonts w:ascii="Verdana" w:eastAsia="Calibri" w:hAnsi="Verdana" w:cs="Arial"/>
          <w:color w:val="000000" w:themeColor="text1"/>
          <w:lang w:val="es-ES" w:eastAsia="es-ES"/>
        </w:rPr>
      </w:pPr>
    </w:p>
    <w:p w14:paraId="784FACAB" w14:textId="77777777" w:rsidR="00887898" w:rsidRPr="00E20784" w:rsidRDefault="00887898" w:rsidP="00887898">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E20784">
        <w:rPr>
          <w:rFonts w:ascii="Verdana" w:eastAsia="Century Gothic" w:hAnsi="Verdana" w:cs="Century Gothic"/>
          <w:b/>
          <w:bCs/>
          <w:color w:val="000000" w:themeColor="text1"/>
        </w:rPr>
        <w:t>Problema planteado:</w:t>
      </w:r>
    </w:p>
    <w:p w14:paraId="23A021F2" w14:textId="77777777" w:rsidR="00887898" w:rsidRPr="00E20784" w:rsidRDefault="00887898" w:rsidP="00887898">
      <w:pPr>
        <w:tabs>
          <w:tab w:val="left" w:pos="426"/>
        </w:tabs>
        <w:spacing w:after="0" w:line="276" w:lineRule="auto"/>
        <w:jc w:val="both"/>
        <w:rPr>
          <w:rFonts w:ascii="Verdana" w:eastAsia="Century Gothic" w:hAnsi="Verdana" w:cs="Century Gothic"/>
          <w:color w:val="000000" w:themeColor="text1"/>
          <w:lang w:val="es-ES"/>
        </w:rPr>
      </w:pPr>
    </w:p>
    <w:p w14:paraId="51430446" w14:textId="77777777" w:rsidR="00887898" w:rsidRPr="00E20784" w:rsidRDefault="00887898" w:rsidP="00887898">
      <w:pPr>
        <w:spacing w:after="140" w:line="276" w:lineRule="auto"/>
        <w:jc w:val="both"/>
        <w:rPr>
          <w:rFonts w:ascii="Verdana" w:eastAsia="Century Gothic" w:hAnsi="Verdana" w:cs="Century Gothic"/>
          <w:color w:val="000000" w:themeColor="text1"/>
          <w:lang w:val="es-ES"/>
        </w:rPr>
      </w:pPr>
      <w:r w:rsidRPr="00E20784">
        <w:rPr>
          <w:rFonts w:ascii="Verdana" w:eastAsia="Century Gothic" w:hAnsi="Verdana" w:cs="Century Gothic"/>
          <w:color w:val="000000" w:themeColor="text1"/>
          <w:lang w:val="es-ES"/>
        </w:rPr>
        <w:t xml:space="preserve">De acuerdo con el contenido de su solicitud, esta Agencia resolverá los siguientes problemas jurídicos: </w:t>
      </w:r>
      <w:r w:rsidRPr="00E20784">
        <w:rPr>
          <w:rFonts w:ascii="Verdana" w:hAnsi="Verdana" w:cs="Arial"/>
          <w:color w:val="000000" w:themeColor="text1"/>
          <w:lang w:val="es-ES"/>
        </w:rPr>
        <w:t xml:space="preserve">i) ¿la declaratoria de urgencia manifiesta habilita a las Entidades Estatales para celebrar directamente los contratos de colaboración y los convenios de asociación regulados por el Decreto 092 de 2017?; </w:t>
      </w:r>
      <w:proofErr w:type="spellStart"/>
      <w:r w:rsidRPr="00E20784">
        <w:rPr>
          <w:rFonts w:ascii="Verdana" w:hAnsi="Verdana" w:cs="Arial"/>
          <w:color w:val="000000" w:themeColor="text1"/>
          <w:lang w:val="es-ES"/>
        </w:rPr>
        <w:t>ii</w:t>
      </w:r>
      <w:proofErr w:type="spellEnd"/>
      <w:r w:rsidRPr="00E20784">
        <w:rPr>
          <w:rFonts w:ascii="Verdana" w:hAnsi="Verdana" w:cs="Arial"/>
          <w:color w:val="000000" w:themeColor="text1"/>
          <w:lang w:val="es-ES"/>
        </w:rPr>
        <w:t xml:space="preserve">) ¿la condición de entidad sin ánimo de lucro del contratista determina que un contrato estatal conmutativo, celebrado directamente con fundamento en la urgencia manifiesta, se rija por el Decreto 092 de 2017?; y </w:t>
      </w:r>
      <w:proofErr w:type="spellStart"/>
      <w:r w:rsidRPr="00E20784">
        <w:rPr>
          <w:rFonts w:ascii="Verdana" w:hAnsi="Verdana" w:cs="Arial"/>
          <w:color w:val="000000" w:themeColor="text1"/>
          <w:lang w:val="es-ES"/>
        </w:rPr>
        <w:t>iii</w:t>
      </w:r>
      <w:proofErr w:type="spellEnd"/>
      <w:r w:rsidRPr="00E20784">
        <w:rPr>
          <w:rFonts w:ascii="Verdana" w:hAnsi="Verdana" w:cs="Arial"/>
          <w:color w:val="000000" w:themeColor="text1"/>
          <w:lang w:val="es-ES"/>
        </w:rPr>
        <w:t xml:space="preserve">) ¿el compromiso </w:t>
      </w:r>
      <w:r w:rsidRPr="00E20784">
        <w:rPr>
          <w:rFonts w:ascii="Verdana" w:hAnsi="Verdana" w:cs="Arial"/>
          <w:color w:val="000000" w:themeColor="text1"/>
          <w:lang w:val="es-ES"/>
        </w:rPr>
        <w:lastRenderedPageBreak/>
        <w:t>del contratista de aportar recursos o capacidades propias, pactado como una obligación contractual, somete ese contrato al Decreto 092 de 2017?</w:t>
      </w:r>
    </w:p>
    <w:p w14:paraId="1307D696" w14:textId="77777777" w:rsidR="00887898" w:rsidRPr="00E20784" w:rsidRDefault="00887898" w:rsidP="00887898">
      <w:pPr>
        <w:pStyle w:val="ListParagraph"/>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E20784">
        <w:rPr>
          <w:rFonts w:ascii="Verdana" w:eastAsia="Century Gothic" w:hAnsi="Verdana" w:cs="Century Gothic"/>
          <w:b/>
          <w:bCs/>
          <w:color w:val="000000" w:themeColor="text1"/>
        </w:rPr>
        <w:t>Respuesta:</w:t>
      </w:r>
    </w:p>
    <w:p w14:paraId="2EBFF436" w14:textId="77777777" w:rsidR="00887898" w:rsidRPr="00E20784" w:rsidRDefault="00887898" w:rsidP="00887898">
      <w:pPr>
        <w:spacing w:after="0" w:line="276" w:lineRule="auto"/>
        <w:jc w:val="both"/>
        <w:rPr>
          <w:rFonts w:ascii="Verdana" w:eastAsia="Calibri" w:hAnsi="Verdana" w:cs="Arial"/>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87898" w:rsidRPr="00E20784" w14:paraId="5E3C5E4A" w14:textId="77777777" w:rsidTr="00EA0EB1">
        <w:trPr>
          <w:trHeight w:val="300"/>
        </w:trPr>
        <w:tc>
          <w:tcPr>
            <w:tcW w:w="8828" w:type="dxa"/>
          </w:tcPr>
          <w:p w14:paraId="15088C8B" w14:textId="77777777" w:rsidR="00887898" w:rsidRDefault="00887898" w:rsidP="00EA0EB1">
            <w:pPr>
              <w:spacing w:before="120" w:after="120" w:line="276" w:lineRule="auto"/>
              <w:jc w:val="both"/>
              <w:rPr>
                <w:rFonts w:ascii="Verdana" w:hAnsi="Verdana" w:cs="Arial"/>
                <w:color w:val="000000" w:themeColor="text1"/>
                <w:lang w:val="es-ES"/>
              </w:rPr>
            </w:pPr>
            <w:r w:rsidRPr="00E20784">
              <w:rPr>
                <w:rFonts w:ascii="Verdana" w:hAnsi="Verdana" w:cs="Arial"/>
                <w:color w:val="000000" w:themeColor="text1"/>
                <w:lang w:val="es-ES"/>
              </w:rPr>
              <w:t xml:space="preserve">i. </w:t>
            </w:r>
            <w:r>
              <w:rPr>
                <w:rFonts w:ascii="Verdana" w:hAnsi="Verdana" w:cs="Arial"/>
                <w:color w:val="000000" w:themeColor="text1"/>
                <w:lang w:val="es-ES"/>
              </w:rPr>
              <w:t xml:space="preserve">La urgencia manifiesta no habilita a las Entidades Estatales para prescindir del proceso competitivo exigido en el marco del Decreto 092 de 2017, pues se trata de supuestos jurídicos distintos cuya aplicación depende de que se cumplan los requisitos y el ámbito de aplicación establecido en la normativa de cada uno. </w:t>
            </w:r>
          </w:p>
          <w:p w14:paraId="04046A92" w14:textId="77777777" w:rsidR="00887898" w:rsidRDefault="00887898" w:rsidP="00EA0EB1">
            <w:pPr>
              <w:spacing w:before="120" w:after="120" w:line="276" w:lineRule="auto"/>
              <w:ind w:firstLine="744"/>
              <w:jc w:val="both"/>
              <w:rPr>
                <w:rFonts w:ascii="Verdana" w:hAnsi="Verdana" w:cs="Arial"/>
                <w:color w:val="000000" w:themeColor="text1"/>
                <w:lang w:val="es-ES"/>
              </w:rPr>
            </w:pPr>
            <w:r>
              <w:rPr>
                <w:rFonts w:ascii="Verdana" w:hAnsi="Verdana" w:cs="Arial"/>
                <w:color w:val="000000" w:themeColor="text1"/>
                <w:lang w:val="es-ES"/>
              </w:rPr>
              <w:t>La causal prevista en el artículo 42 de la Ley 80 de 1993 es una excepción a las modalidades de selección competitivas del Estatuto General de Contratación de la Administración Pública, que es procedente para celebrar contratos en los que la entidad recibe una prestación a cambio de un precio. Por su parte, los contratos de colaboración y los convenios de asociación del Decreto 092 de 2017 son esencialmente distintos a los contratos para la adquisición y aprovisionamiento de bienes, obras o servicios regulados por el Estatuto, por lo que la norma previó sus propias reglas de selección y tipologías. En consecuencia, si lo que la Entidad Estatal pretende celebrar es un contrato de colaboración o un convenio de asociación porque se cumplen los requisitos y supuestos que para ello dispone la norma, debe aplicar las reglas de selección y utilizar las tipologías del Decreto 092 de 2017, aun cuando exista una declaratoria de urgencia manifiesta.</w:t>
            </w:r>
          </w:p>
          <w:p w14:paraId="38790DC0" w14:textId="77777777" w:rsidR="00887898" w:rsidRDefault="00887898" w:rsidP="00EA0EB1">
            <w:pPr>
              <w:spacing w:before="120" w:after="120" w:line="276" w:lineRule="auto"/>
              <w:jc w:val="both"/>
              <w:rPr>
                <w:rFonts w:ascii="Verdana" w:hAnsi="Verdana" w:cs="Arial"/>
                <w:color w:val="000000" w:themeColor="text1"/>
                <w:lang w:val="es-ES"/>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xml:space="preserve">. Se sigue de lo anterior que la calidad de entidad sin ánimo de lucro –en adelante ESAL– del contratista no somete automáticamente a un contrato estatal conmutativo al régimen previsto en el Decreto 092 de 2017, pues lo que determina la aplicación de este decreto no es únicamente el carácter de las ESAL, sino el objeto del contrato o convenio que la entidad pretende adelantar. Cuando la entidad contrata un servicio que ella misma define y remunera, existe una relación conmutativa en la que recibe una prestación a cambio de un precio, aunque la contraparte resulte ser una ESAL, por lo que se trata de una relación que debe regirse por las leyes 80 de 1993 y 1150 de 2007, y no por el Decreto 092 de 2017. </w:t>
            </w:r>
          </w:p>
          <w:p w14:paraId="171146C2" w14:textId="77777777" w:rsidR="00887898" w:rsidRDefault="00887898" w:rsidP="00EA0EB1">
            <w:pPr>
              <w:spacing w:before="120" w:after="120" w:line="276" w:lineRule="auto"/>
              <w:ind w:firstLine="744"/>
              <w:jc w:val="both"/>
              <w:rPr>
                <w:rFonts w:ascii="Verdana" w:hAnsi="Verdana" w:cs="Arial"/>
                <w:color w:val="000000" w:themeColor="text1"/>
                <w:lang w:val="es-ES"/>
              </w:rPr>
            </w:pPr>
            <w:r>
              <w:rPr>
                <w:rFonts w:ascii="Verdana" w:hAnsi="Verdana" w:cs="Arial"/>
                <w:color w:val="000000" w:themeColor="text1"/>
                <w:lang w:val="es-ES"/>
              </w:rPr>
              <w:t xml:space="preserve">Así, cuando una Entidad Estatal declara la urgencia manifiesta y contrata directamente con una ESAL un servicio en una relación materialmente </w:t>
            </w:r>
            <w:r>
              <w:rPr>
                <w:rFonts w:ascii="Verdana" w:hAnsi="Verdana" w:cs="Arial"/>
                <w:color w:val="000000" w:themeColor="text1"/>
                <w:lang w:val="es-ES"/>
              </w:rPr>
              <w:lastRenderedPageBreak/>
              <w:t xml:space="preserve">conmutativa, el contrato se rige por el EGCAP, </w:t>
            </w:r>
            <w:r w:rsidRPr="00E20784">
              <w:rPr>
                <w:rFonts w:ascii="Verdana" w:hAnsi="Verdana" w:cs="Arial"/>
                <w:color w:val="000000" w:themeColor="text1"/>
                <w:lang w:val="es-ES"/>
              </w:rPr>
              <w:t>y</w:t>
            </w:r>
            <w:r w:rsidRPr="00513B5B">
              <w:t xml:space="preserve"> </w:t>
            </w:r>
            <w:r w:rsidRPr="00513B5B">
              <w:rPr>
                <w:rFonts w:ascii="Verdana" w:hAnsi="Verdana" w:cs="Arial"/>
                <w:color w:val="000000" w:themeColor="text1"/>
              </w:rPr>
              <w:t>podrá acudirse a la urgencia manifiesta siempre que se cumplan los requisitos del artículo 42 de la Ley 80 de 1993</w:t>
            </w:r>
            <w:r>
              <w:rPr>
                <w:rFonts w:ascii="Verdana" w:hAnsi="Verdana" w:cs="Arial"/>
                <w:color w:val="000000" w:themeColor="text1"/>
                <w:lang w:val="es-ES"/>
              </w:rPr>
              <w:t>. En todo caso, corresponde a la entidad verificar que la denominación del negocio corresponda a su contenido real, pues no puede acudirse a la figura del contrato conmutativo para eludir las reglas del Decreto 092 de 2017, ni a los contratos de colaboración o convenios de asociación para eludir los procedimientos de selección del Estatuto General de Contratación.</w:t>
            </w:r>
          </w:p>
          <w:p w14:paraId="0CD4494F" w14:textId="77777777" w:rsidR="00887898" w:rsidRDefault="00887898" w:rsidP="00EA0EB1">
            <w:pPr>
              <w:spacing w:before="120" w:after="120" w:line="276" w:lineRule="auto"/>
              <w:jc w:val="both"/>
              <w:rPr>
                <w:rFonts w:ascii="Verdana" w:hAnsi="Verdana" w:cs="Arial"/>
                <w:color w:val="000000" w:themeColor="text1"/>
                <w:lang w:val="es-ES"/>
              </w:rPr>
            </w:pP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 xml:space="preserve">. De igual forma, el compromiso del contratista de aportar recursos o capacidades propias, pactado como una obligación del contrato, no somete por sí solo ese negocio jurídico al Decreto 092 de 2017, ni hace exigible el aporte en dinero previsto en el artículo 5 ibidem. La naturaleza del negocio no depende de que el contratista ponga a disposición medios propios, sino de si existe una relación conmutativa o un propósito común, y de si se cumplen los presupuestos jurídicos que determinan la aplicación de dicho régimen de contratación. Si la entidad paga un precio por un servicio en el marco de una relación conmutativa, los recursos y capacidades que emplea el contratista hacen parte de la prestación a su cargo y el negocio conserva su carácter, de modo que se somete al EGCAP. Así, un aporte pactado formalmente no transforma en convenio de asociación un negocio en el que la entidad remunera una prestación en el marco de una relación conmutativa. </w:t>
            </w:r>
          </w:p>
          <w:p w14:paraId="470D2474" w14:textId="77777777" w:rsidR="00887898" w:rsidRPr="00E20784" w:rsidRDefault="00887898" w:rsidP="00EA0EB1">
            <w:pPr>
              <w:spacing w:before="120" w:after="120" w:line="276" w:lineRule="auto"/>
              <w:ind w:firstLine="744"/>
              <w:jc w:val="both"/>
              <w:rPr>
                <w:rFonts w:ascii="Verdana" w:eastAsia="Times New Roman" w:hAnsi="Verdana" w:cs="Arial"/>
                <w:color w:val="000000" w:themeColor="text1"/>
                <w:lang w:val="es-ES"/>
              </w:rPr>
            </w:pPr>
            <w:r w:rsidRPr="00E20784">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4CFA2927" w14:textId="77777777" w:rsidR="00887898" w:rsidRPr="00E20784" w:rsidRDefault="00887898" w:rsidP="00887898">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409A911" w14:textId="77777777" w:rsidR="00887898" w:rsidRPr="00E20784" w:rsidRDefault="00887898" w:rsidP="00887898">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20784">
        <w:rPr>
          <w:rFonts w:ascii="Verdana" w:eastAsia="Century Gothic" w:hAnsi="Verdana" w:cs="Century Gothic"/>
          <w:b/>
          <w:color w:val="000000" w:themeColor="text1"/>
        </w:rPr>
        <w:t>Razones de la respuesta:</w:t>
      </w:r>
    </w:p>
    <w:p w14:paraId="71A7BA3A" w14:textId="77777777" w:rsidR="00887898" w:rsidRPr="00E20784" w:rsidRDefault="00887898" w:rsidP="00887898">
      <w:pPr>
        <w:spacing w:after="0" w:line="276" w:lineRule="auto"/>
        <w:jc w:val="both"/>
        <w:rPr>
          <w:rFonts w:ascii="Verdana" w:eastAsia="Calibri" w:hAnsi="Verdana" w:cs="Arial"/>
          <w:color w:val="000000" w:themeColor="text1"/>
          <w:lang w:val="es-ES"/>
        </w:rPr>
      </w:pPr>
    </w:p>
    <w:p w14:paraId="4AA04718" w14:textId="77777777" w:rsidR="00887898" w:rsidRPr="00E20784" w:rsidRDefault="00887898" w:rsidP="00887898">
      <w:pPr>
        <w:spacing w:after="0" w:line="276" w:lineRule="auto"/>
        <w:jc w:val="both"/>
        <w:rPr>
          <w:rFonts w:ascii="Verdana" w:eastAsia="Calibri" w:hAnsi="Verdana" w:cs="Arial"/>
          <w:lang w:val="es-ES"/>
        </w:rPr>
      </w:pPr>
      <w:r w:rsidRPr="00E20784">
        <w:rPr>
          <w:rFonts w:ascii="Verdana" w:eastAsia="Verdana" w:hAnsi="Verdana" w:cs="Verdana"/>
          <w:lang w:val="es-ES"/>
        </w:rPr>
        <w:t xml:space="preserve">i. </w:t>
      </w:r>
      <w:r w:rsidRPr="00E20784">
        <w:rPr>
          <w:rFonts w:ascii="Verdana" w:eastAsia="Calibri" w:hAnsi="Verdana" w:cs="Arial"/>
          <w:lang w:val="es-ES"/>
        </w:rPr>
        <w:t xml:space="preserve">Si bien la licitación pública es la modalidad de selección que constituye la regla general para las entidades regidas por el Estatuto General de Contratación de la </w:t>
      </w:r>
      <w:r w:rsidRPr="00E20784">
        <w:rPr>
          <w:rFonts w:ascii="Verdana" w:eastAsia="Calibri" w:hAnsi="Verdana" w:cs="Arial"/>
          <w:lang w:val="es-ES"/>
        </w:rPr>
        <w:lastRenderedPageBreak/>
        <w:t xml:space="preserve">Administración Pública,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w:t>
      </w:r>
      <w:r>
        <w:rPr>
          <w:rFonts w:ascii="Verdana" w:eastAsia="Calibri" w:hAnsi="Verdana" w:cs="Arial"/>
          <w:lang w:val="es-ES"/>
        </w:rPr>
        <w:t xml:space="preserve">el </w:t>
      </w:r>
      <w:r w:rsidRPr="00E20784">
        <w:rPr>
          <w:rFonts w:ascii="Verdana" w:eastAsia="Calibri" w:hAnsi="Verdana" w:cs="Arial"/>
          <w:lang w:val="es-ES"/>
        </w:rPr>
        <w:t>artículo 42 de la Ley 80 de 1993, que define el concepto y establece el procedimiento para su declaratoria, así como para la celebración de los contratos que se derivan de aquella. Esta norma dispone lo siguiente:</w:t>
      </w:r>
    </w:p>
    <w:p w14:paraId="01D43FA9" w14:textId="77777777" w:rsidR="00887898" w:rsidRPr="00E20784" w:rsidRDefault="00887898" w:rsidP="00887898">
      <w:pPr>
        <w:spacing w:after="0" w:line="276" w:lineRule="auto"/>
        <w:jc w:val="both"/>
        <w:rPr>
          <w:rFonts w:ascii="Verdana" w:eastAsia="Calibri" w:hAnsi="Verdana" w:cs="Arial"/>
          <w:lang w:val="es-ES"/>
        </w:rPr>
      </w:pPr>
    </w:p>
    <w:p w14:paraId="469AE500" w14:textId="77777777" w:rsidR="00887898" w:rsidRPr="00E20784" w:rsidRDefault="00887898" w:rsidP="00887898">
      <w:pPr>
        <w:spacing w:after="120" w:line="240" w:lineRule="auto"/>
        <w:ind w:left="709" w:right="709"/>
        <w:jc w:val="both"/>
        <w:rPr>
          <w:rFonts w:ascii="Verdana" w:eastAsia="Calibri" w:hAnsi="Verdana" w:cs="Arial"/>
          <w:sz w:val="21"/>
          <w:szCs w:val="21"/>
          <w:lang w:val="es-ES"/>
        </w:rPr>
      </w:pPr>
      <w:r w:rsidRPr="00E20784">
        <w:rPr>
          <w:rFonts w:ascii="Verdana" w:eastAsia="Calibri" w:hAnsi="Verdana" w:cs="Arial"/>
          <w:sz w:val="21"/>
          <w:szCs w:val="21"/>
          <w:lang w:val="es-ES"/>
        </w:rPr>
        <w:t xml:space="preserve">“Artículo 42. De la urgencia manifiesta. Existe urgencia manifiesta </w:t>
      </w:r>
      <w:bookmarkStart w:id="1" w:name="_Hlk35851184"/>
      <w:r w:rsidRPr="00E20784">
        <w:rPr>
          <w:rFonts w:ascii="Verdana" w:eastAsia="Calibri" w:hAnsi="Verdana" w:cs="Arial"/>
          <w:sz w:val="21"/>
          <w:szCs w:val="21"/>
          <w:lang w:val="es-ES"/>
        </w:rPr>
        <w:t>cuando la continuidad del servicio exige el suministro de bienes, o la prestación de servicios, o la ejecución de obras en el inmediato futuro</w:t>
      </w:r>
      <w:bookmarkEnd w:id="1"/>
      <w:r w:rsidRPr="00E20784">
        <w:rPr>
          <w:rFonts w:ascii="Verdana" w:eastAsia="Calibri" w:hAnsi="Verdana" w:cs="Arial"/>
          <w:sz w:val="21"/>
          <w:szCs w:val="21"/>
          <w:lang w:val="es-ES"/>
        </w:rPr>
        <w:t xml:space="preserve">; </w:t>
      </w:r>
      <w:bookmarkStart w:id="2" w:name="_Hlk35857288"/>
      <w:r w:rsidRPr="00E20784">
        <w:rPr>
          <w:rFonts w:ascii="Verdana" w:eastAsia="Calibri" w:hAnsi="Verdana" w:cs="Arial"/>
          <w:sz w:val="21"/>
          <w:szCs w:val="21"/>
          <w:lang w:val="es-ES"/>
        </w:rPr>
        <w:t xml:space="preserve">cuando se presenten </w:t>
      </w:r>
      <w:bookmarkStart w:id="3" w:name="_Hlk35857424"/>
      <w:r w:rsidRPr="00E20784">
        <w:rPr>
          <w:rFonts w:ascii="Verdana" w:eastAsia="Calibri" w:hAnsi="Verdana" w:cs="Arial"/>
          <w:sz w:val="21"/>
          <w:szCs w:val="21"/>
          <w:lang w:val="es-ES"/>
        </w:rPr>
        <w:t>situaciones relacionadas con los estados de excepción</w:t>
      </w:r>
      <w:bookmarkEnd w:id="2"/>
      <w:bookmarkEnd w:id="3"/>
      <w:r w:rsidRPr="00E20784">
        <w:rPr>
          <w:rFonts w:ascii="Verdana" w:eastAsia="Calibri" w:hAnsi="Verdana" w:cs="Arial"/>
          <w:sz w:val="21"/>
          <w:szCs w:val="21"/>
          <w:lang w:val="es-ES"/>
        </w:rPr>
        <w:t xml:space="preserve">; </w:t>
      </w:r>
      <w:bookmarkStart w:id="4" w:name="_Hlk35865550"/>
      <w:r w:rsidRPr="00E20784">
        <w:rPr>
          <w:rFonts w:ascii="Verdana" w:eastAsia="Calibri" w:hAnsi="Verdana" w:cs="Arial"/>
          <w:sz w:val="21"/>
          <w:szCs w:val="21"/>
          <w:lang w:val="es-ES"/>
        </w:rPr>
        <w:t xml:space="preserve">cuando se trate de conjurar situaciones excepcionales relacionadas con hechos de calamidad o constitutivos de fuerza mayor o desastre que demanden actuaciones inmediatas </w:t>
      </w:r>
      <w:bookmarkEnd w:id="4"/>
      <w:r w:rsidRPr="00E20784">
        <w:rPr>
          <w:rFonts w:ascii="Verdana" w:eastAsia="Calibri" w:hAnsi="Verdana" w:cs="Arial"/>
          <w:sz w:val="21"/>
          <w:szCs w:val="21"/>
          <w:lang w:val="es-ES"/>
        </w:rPr>
        <w:t>y, en general, cuando se trate de situaciones similares que imposibiliten acudir a los procedimientos de selección o concurso públicos.</w:t>
      </w:r>
    </w:p>
    <w:p w14:paraId="3F500A18" w14:textId="77777777" w:rsidR="00887898" w:rsidRPr="00E20784" w:rsidRDefault="00887898" w:rsidP="00887898">
      <w:pPr>
        <w:spacing w:after="120" w:line="240" w:lineRule="auto"/>
        <w:ind w:left="709" w:right="709"/>
        <w:jc w:val="both"/>
        <w:rPr>
          <w:rFonts w:ascii="Verdana" w:eastAsia="Calibri" w:hAnsi="Verdana" w:cs="Arial"/>
          <w:sz w:val="21"/>
          <w:szCs w:val="21"/>
          <w:lang w:val="es-ES"/>
        </w:rPr>
      </w:pPr>
      <w:r w:rsidRPr="00E20784">
        <w:rPr>
          <w:rFonts w:ascii="Verdana" w:eastAsia="Calibri" w:hAnsi="Verdana" w:cs="Arial"/>
          <w:sz w:val="21"/>
          <w:szCs w:val="21"/>
          <w:lang w:val="es-ES"/>
        </w:rPr>
        <w:t>La urgencia manifiesta se declarará mediante acto administrativo motivado.</w:t>
      </w:r>
    </w:p>
    <w:p w14:paraId="7CA00412" w14:textId="77777777" w:rsidR="00887898" w:rsidRPr="00E20784" w:rsidRDefault="00887898" w:rsidP="00887898">
      <w:pPr>
        <w:spacing w:before="120" w:after="0" w:line="240" w:lineRule="auto"/>
        <w:ind w:left="709" w:right="709"/>
        <w:jc w:val="both"/>
        <w:rPr>
          <w:rFonts w:ascii="Verdana" w:eastAsia="Calibri" w:hAnsi="Verdana" w:cs="Arial"/>
          <w:sz w:val="21"/>
          <w:szCs w:val="21"/>
          <w:lang w:val="es-ES"/>
        </w:rPr>
      </w:pPr>
      <w:r w:rsidRPr="00E20784">
        <w:rPr>
          <w:rFonts w:ascii="Verdana" w:eastAsia="Calibri" w:hAnsi="Verdana" w:cs="Arial"/>
          <w:sz w:val="21"/>
          <w:szCs w:val="21"/>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21C92013" w14:textId="77777777" w:rsidR="00887898" w:rsidRPr="00E20784" w:rsidRDefault="00887898" w:rsidP="00887898">
      <w:pPr>
        <w:spacing w:after="0" w:line="276" w:lineRule="auto"/>
        <w:ind w:left="709" w:right="709"/>
        <w:jc w:val="both"/>
        <w:rPr>
          <w:rFonts w:ascii="Verdana" w:eastAsia="Calibri" w:hAnsi="Verdana" w:cs="Arial"/>
          <w:lang w:val="es-ES"/>
        </w:rPr>
      </w:pPr>
    </w:p>
    <w:p w14:paraId="3BE0445B" w14:textId="77777777" w:rsidR="00887898" w:rsidRPr="00E20784" w:rsidRDefault="00887898" w:rsidP="00887898">
      <w:pPr>
        <w:spacing w:after="120" w:line="276" w:lineRule="auto"/>
        <w:ind w:firstLine="708"/>
        <w:jc w:val="both"/>
        <w:rPr>
          <w:rFonts w:ascii="Verdana" w:eastAsia="Calibri" w:hAnsi="Verdana" w:cs="Arial"/>
          <w:sz w:val="21"/>
          <w:szCs w:val="21"/>
          <w:lang w:val="es-ES"/>
        </w:rPr>
      </w:pPr>
      <w:r w:rsidRPr="00E20784">
        <w:rPr>
          <w:rFonts w:ascii="Verdana" w:eastAsia="Calibri" w:hAnsi="Verdana" w:cs="Arial"/>
          <w:lang w:val="es-ES"/>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E20784">
        <w:rPr>
          <w:rFonts w:ascii="Verdana" w:hAnsi="Verdana"/>
          <w:lang w:val="es-ES"/>
        </w:rPr>
        <w:t xml:space="preserve"> </w:t>
      </w:r>
      <w:r w:rsidRPr="00E20784">
        <w:rPr>
          <w:rFonts w:ascii="Verdana" w:eastAsia="Calibri" w:hAnsi="Verdana" w:cs="Arial"/>
          <w:lang w:val="es-ES"/>
        </w:rPr>
        <w:t>necesidades actuales o previsibles de orden público, seguridad nacional o calamidad pública”; razón por la cual, los controles para su utilización eran tan evidentes que al declara</w:t>
      </w:r>
      <w:r>
        <w:rPr>
          <w:rFonts w:ascii="Verdana" w:eastAsia="Calibri" w:hAnsi="Verdana" w:cs="Arial"/>
          <w:lang w:val="es-ES"/>
        </w:rPr>
        <w:t>r</w:t>
      </w:r>
      <w:r w:rsidRPr="00E20784">
        <w:rPr>
          <w:rFonts w:ascii="Verdana" w:eastAsia="Calibri" w:hAnsi="Verdana" w:cs="Arial"/>
          <w:lang w:val="es-ES"/>
        </w:rPr>
        <w:t>se por un órgano distinto, el juez debía declarar la nulidad absoluta del contrato, por la falta de competencia</w:t>
      </w:r>
      <w:r w:rsidRPr="00E20784">
        <w:rPr>
          <w:rStyle w:val="FootnoteReference"/>
          <w:rFonts w:ascii="Verdana" w:eastAsia="Calibri" w:hAnsi="Verdana" w:cs="Arial"/>
          <w:lang w:val="es-ES"/>
        </w:rPr>
        <w:footnoteReference w:id="1"/>
      </w:r>
      <w:r w:rsidRPr="00E20784">
        <w:rPr>
          <w:rFonts w:ascii="Verdana" w:eastAsia="Calibri" w:hAnsi="Verdana" w:cs="Arial"/>
          <w:lang w:val="es-ES"/>
        </w:rPr>
        <w:t xml:space="preserve">. En contraste, el Estatuto General de Contratación de la Administración Pública, interpretando de manera más realista las necesidades de la Administración, autoriza al jefe o </w:t>
      </w:r>
      <w:r w:rsidRPr="00E20784">
        <w:rPr>
          <w:rFonts w:ascii="Verdana" w:eastAsia="Calibri" w:hAnsi="Verdana" w:cs="Arial"/>
          <w:lang w:val="es-ES"/>
        </w:rPr>
        <w:lastRenderedPageBreak/>
        <w:t xml:space="preserve">representante legal de la entidad estatal para declarar la urgencia, siempre que tenga el carácter de </w:t>
      </w:r>
      <w:r w:rsidRPr="00E20784">
        <w:rPr>
          <w:rFonts w:ascii="Verdana" w:eastAsia="Calibri" w:hAnsi="Verdana" w:cs="Arial"/>
          <w:i/>
          <w:iCs/>
          <w:lang w:val="es-ES"/>
        </w:rPr>
        <w:t>manifiesta</w:t>
      </w:r>
      <w:r w:rsidRPr="00E20784">
        <w:rPr>
          <w:rStyle w:val="FootnoteReference"/>
          <w:rFonts w:ascii="Verdana" w:eastAsia="Calibri" w:hAnsi="Verdana" w:cs="Arial"/>
          <w:sz w:val="21"/>
          <w:szCs w:val="21"/>
          <w:lang w:val="es-ES"/>
        </w:rPr>
        <w:footnoteReference w:id="2"/>
      </w:r>
      <w:r w:rsidRPr="00E20784">
        <w:rPr>
          <w:rFonts w:ascii="Verdana" w:eastAsia="Calibri" w:hAnsi="Verdana" w:cs="Arial"/>
          <w:sz w:val="21"/>
          <w:szCs w:val="21"/>
          <w:lang w:val="es-ES"/>
        </w:rPr>
        <w:t>.</w:t>
      </w:r>
    </w:p>
    <w:p w14:paraId="25AB2D87" w14:textId="77777777" w:rsidR="00887898" w:rsidRPr="00E20784" w:rsidRDefault="00887898" w:rsidP="00887898">
      <w:pPr>
        <w:spacing w:after="0" w:line="276" w:lineRule="auto"/>
        <w:contextualSpacing/>
        <w:jc w:val="both"/>
        <w:rPr>
          <w:rFonts w:ascii="Verdana" w:eastAsia="Calibri" w:hAnsi="Verdana" w:cs="Arial"/>
          <w:lang w:val="es-ES"/>
        </w:rPr>
      </w:pPr>
      <w:r w:rsidRPr="00E20784">
        <w:rPr>
          <w:rFonts w:ascii="Verdana" w:eastAsia="Calibri" w:hAnsi="Verdana" w:cs="Arial"/>
          <w:lang w:val="es-ES"/>
        </w:rPr>
        <w:tab/>
        <w:t>De esta manera, el artículo 42 de la Ley 80 de 1993 define la urgencia manifiesta como una circunstancia que exige, con carácter apremiante, preservar la continuidad del servicio, cuando se afecta por situaciones de fuerza mayor, desastres, calamidades o hechos relacionados con los estados de excepción. Por lo que, para la doctrina, las situaciones de urgencia manifiesta deben ser concretas, inmediatas, objetivas y probadas, pues deberá tratarse de circunstancias de hecho actuales, debidamente acreditadas y fundadas por estudios técnicos, verificadas por la autoridad competente</w:t>
      </w:r>
      <w:r w:rsidRPr="00E20784">
        <w:rPr>
          <w:rStyle w:val="FootnoteReference"/>
          <w:rFonts w:ascii="Verdana" w:eastAsia="Calibri" w:hAnsi="Verdana" w:cs="Arial"/>
          <w:lang w:val="es-ES"/>
        </w:rPr>
        <w:footnoteReference w:id="3"/>
      </w:r>
      <w:r w:rsidRPr="00E20784">
        <w:rPr>
          <w:rFonts w:ascii="Verdana" w:eastAsia="Calibri" w:hAnsi="Verdana" w:cs="Arial"/>
          <w:lang w:val="es-ES"/>
        </w:rPr>
        <w:t>.</w:t>
      </w:r>
    </w:p>
    <w:p w14:paraId="32FE5F0C" w14:textId="77777777" w:rsidR="00887898" w:rsidRPr="00E20784" w:rsidRDefault="00887898" w:rsidP="00887898">
      <w:pPr>
        <w:spacing w:before="120" w:after="120" w:line="276" w:lineRule="auto"/>
        <w:ind w:firstLine="709"/>
        <w:jc w:val="both"/>
        <w:rPr>
          <w:rFonts w:ascii="Verdana" w:eastAsia="Calibri" w:hAnsi="Verdana" w:cs="Arial"/>
          <w:lang w:val="es-ES"/>
        </w:rPr>
      </w:pPr>
      <w:r w:rsidRPr="00E20784">
        <w:rPr>
          <w:rFonts w:ascii="Verdana" w:eastAsia="Calibri" w:hAnsi="Verdana" w:cs="Arial"/>
          <w:lang w:val="es-ES"/>
        </w:rPr>
        <w:t>En dichos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E20784">
        <w:rPr>
          <w:rStyle w:val="FootnoteReference"/>
          <w:rFonts w:ascii="Verdana" w:eastAsia="Calibri" w:hAnsi="Verdana" w:cs="Arial"/>
          <w:lang w:val="es-ES"/>
        </w:rPr>
        <w:footnoteReference w:id="4"/>
      </w:r>
      <w:r w:rsidRPr="00E20784">
        <w:rPr>
          <w:rFonts w:ascii="Verdana" w:eastAsia="Calibri" w:hAnsi="Verdana" w:cs="Arial"/>
          <w:lang w:val="es-ES"/>
        </w:rPr>
        <w:t>.</w:t>
      </w:r>
    </w:p>
    <w:p w14:paraId="63912261" w14:textId="77777777" w:rsidR="00887898" w:rsidRPr="00E20784" w:rsidRDefault="00887898" w:rsidP="00887898">
      <w:pPr>
        <w:spacing w:after="120" w:line="276" w:lineRule="auto"/>
        <w:ind w:firstLine="709"/>
        <w:jc w:val="both"/>
        <w:rPr>
          <w:rFonts w:ascii="Verdana" w:eastAsia="Calibri" w:hAnsi="Verdana" w:cs="Arial"/>
          <w:lang w:val="es-ES"/>
        </w:rPr>
      </w:pPr>
      <w:r w:rsidRPr="00E20784">
        <w:rPr>
          <w:rFonts w:ascii="Verdana" w:eastAsia="Calibri" w:hAnsi="Verdana" w:cs="Arial"/>
          <w:lang w:val="es-ES"/>
        </w:rPr>
        <w:t xml:space="preserve">En esta medida, el precitado artículo 42 de la Ley 80 de 1993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E20784">
        <w:rPr>
          <w:rFonts w:ascii="Verdana" w:eastAsia="Calibri" w:hAnsi="Verdana" w:cs="Arial"/>
          <w:lang w:val="es-ES"/>
        </w:rPr>
        <w:t>ii</w:t>
      </w:r>
      <w:proofErr w:type="spellEnd"/>
      <w:r w:rsidRPr="00E20784">
        <w:rPr>
          <w:rFonts w:ascii="Verdana" w:eastAsia="Calibri" w:hAnsi="Verdana" w:cs="Arial"/>
          <w:lang w:val="es-ES"/>
        </w:rPr>
        <w:t xml:space="preserve">) cuando se presenten situaciones relacionadas con los estados de excepción; </w:t>
      </w:r>
      <w:proofErr w:type="spellStart"/>
      <w:r w:rsidRPr="00E20784">
        <w:rPr>
          <w:rFonts w:ascii="Verdana" w:eastAsia="Calibri" w:hAnsi="Verdana" w:cs="Arial"/>
          <w:lang w:val="es-ES"/>
        </w:rPr>
        <w:t>iii</w:t>
      </w:r>
      <w:proofErr w:type="spellEnd"/>
      <w:r w:rsidRPr="00E20784">
        <w:rPr>
          <w:rFonts w:ascii="Verdana" w:eastAsia="Calibri" w:hAnsi="Verdana" w:cs="Arial"/>
          <w:lang w:val="es-ES"/>
        </w:rPr>
        <w:t xml:space="preserve">) cuando se trate de conjurar situaciones excepcionales relacionadas con hechos de calamidad o constitutivos de fuerza mayor o desastre </w:t>
      </w:r>
      <w:r w:rsidRPr="00E20784">
        <w:rPr>
          <w:rFonts w:ascii="Verdana" w:eastAsia="Calibri" w:hAnsi="Verdana" w:cs="Arial"/>
          <w:lang w:val="es-ES"/>
        </w:rPr>
        <w:lastRenderedPageBreak/>
        <w:t xml:space="preserve">que demanden actuaciones inmediatas; y </w:t>
      </w:r>
      <w:proofErr w:type="spellStart"/>
      <w:r w:rsidRPr="00E20784">
        <w:rPr>
          <w:rFonts w:ascii="Verdana" w:eastAsia="Calibri" w:hAnsi="Verdana" w:cs="Arial"/>
          <w:lang w:val="es-ES"/>
        </w:rPr>
        <w:t>iv</w:t>
      </w:r>
      <w:proofErr w:type="spellEnd"/>
      <w:r w:rsidRPr="00E20784">
        <w:rPr>
          <w:rFonts w:ascii="Verdana" w:eastAsia="Calibri" w:hAnsi="Verdana" w:cs="Arial"/>
          <w:lang w:val="es-ES"/>
        </w:rPr>
        <w:t>) en general, cuando se trate de situaciones similares que imposibiliten acudir a los procedimientos de selección o concurso públicos.</w:t>
      </w:r>
    </w:p>
    <w:p w14:paraId="51E0C6F8" w14:textId="77777777" w:rsidR="00887898" w:rsidRPr="00E20784" w:rsidRDefault="00887898" w:rsidP="00887898">
      <w:pPr>
        <w:spacing w:before="120" w:after="0" w:line="276" w:lineRule="auto"/>
        <w:ind w:firstLine="709"/>
        <w:jc w:val="both"/>
        <w:rPr>
          <w:rFonts w:ascii="Verdana" w:eastAsia="Calibri" w:hAnsi="Verdana" w:cs="Arial"/>
          <w:lang w:val="es-ES"/>
        </w:rPr>
      </w:pPr>
      <w:r w:rsidRPr="00E20784">
        <w:rPr>
          <w:rFonts w:ascii="Verdana" w:eastAsia="Calibri" w:hAnsi="Verdana" w:cs="Arial"/>
          <w:lang w:val="es-ES"/>
        </w:rPr>
        <w:t xml:space="preserve">Cuando se configure alguna de las cuatro (4) situaciones expuestas en el artículo 42 de la Ley 80 de 1993, dicha norma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E20784">
        <w:rPr>
          <w:rFonts w:ascii="Verdana" w:eastAsia="Calibri" w:hAnsi="Verdana" w:cs="Arial"/>
          <w:i/>
          <w:iCs/>
          <w:lang w:val="es-ES"/>
        </w:rPr>
        <w:t>ibidem</w:t>
      </w:r>
      <w:r w:rsidRPr="00E20784">
        <w:rPr>
          <w:rFonts w:ascii="Verdana" w:eastAsia="Calibri" w:hAnsi="Verdana" w:cs="Arial"/>
          <w:lang w:val="es-ES"/>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373DE8DE" w14:textId="77777777" w:rsidR="00887898" w:rsidRPr="00E20784" w:rsidRDefault="00887898" w:rsidP="00887898">
      <w:pPr>
        <w:spacing w:before="120" w:after="0" w:line="276" w:lineRule="auto"/>
        <w:ind w:firstLine="709"/>
        <w:jc w:val="both"/>
        <w:rPr>
          <w:rFonts w:ascii="Verdana" w:eastAsia="Calibri" w:hAnsi="Verdana" w:cs="Arial"/>
          <w:lang w:val="es-ES"/>
        </w:rPr>
      </w:pPr>
      <w:r w:rsidRPr="00E20784">
        <w:rPr>
          <w:rFonts w:ascii="Verdana" w:eastAsia="Verdana" w:hAnsi="Verdana" w:cs="Verdana"/>
          <w:lang w:val="es-ES"/>
        </w:rPr>
        <w:t>Sin embargo, la existencia de dichas situaciones no excluye automáticamente las demás modalidades de selección previstas en el Estatuto General de Contratación. El artículo 2 de la Ley 1150 de 2007 mantiene como regla general la licitación pública y contempla, según las características del objeto, las circunstancias de la contratación, la cuantía o la destinación del bien, obra o servicio, modalidades como la selección abreviada y el concurso de méritos. Por tanto, cuando las circunstancias concretas permitan adelantar oportunamente un procedimiento ordinario y se configuren sus respectivos presupuestos legales, la entidad deberá acudir a la modalidad de selección que corresponda.</w:t>
      </w:r>
    </w:p>
    <w:p w14:paraId="5D1B5F25" w14:textId="77777777" w:rsidR="00887898" w:rsidRPr="00E20784" w:rsidRDefault="00887898" w:rsidP="00887898">
      <w:pPr>
        <w:spacing w:after="120" w:line="276" w:lineRule="auto"/>
        <w:jc w:val="both"/>
        <w:rPr>
          <w:rFonts w:ascii="Verdana" w:eastAsia="Verdana" w:hAnsi="Verdana" w:cs="Verdana"/>
          <w:lang w:val="es-ES"/>
        </w:rPr>
      </w:pPr>
      <w:r w:rsidRPr="00E20784">
        <w:rPr>
          <w:rFonts w:ascii="Verdana" w:eastAsia="Verdana" w:hAnsi="Verdana" w:cs="Verdana"/>
          <w:lang w:val="es-ES"/>
        </w:rPr>
        <w:t xml:space="preserve">         Lo anterior permite distinguir dos situaciones. Si la situación debe ser atendida de manera inmediata </w:t>
      </w:r>
      <w:r>
        <w:rPr>
          <w:rFonts w:ascii="Verdana" w:eastAsia="Verdana" w:hAnsi="Verdana" w:cs="Verdana"/>
          <w:lang w:val="es-ES"/>
        </w:rPr>
        <w:t xml:space="preserve">e </w:t>
      </w:r>
      <w:r w:rsidRPr="00E20784">
        <w:rPr>
          <w:rFonts w:ascii="Verdana" w:eastAsia="Verdana" w:hAnsi="Verdana" w:cs="Verdana"/>
          <w:lang w:val="es-ES"/>
        </w:rPr>
        <w:t xml:space="preserve">imposibilita acudir a los procedimientos ordinarios de selección, podrá configurarse la urgencia manifiesta, siempre que se cumplan los requisitos establecidos en el artículo 42 de la Ley 80 de 1993. En cambio, si las circunstancias permiten desarrollar un procedimiento de selección sin comprometer la atención oportuna de la necesidad pública, la entidad no queda obligada a utilizar la contratación directa por urgencia manifiesta, sino que deberá aplicar la modalidad de selección que corresponda conforme al objeto y demás condiciones de la contratación. Lo anterior, pues la urgencia manifiesta constituye una causal excepcional de contratación directa. La aplicación de cualquier otra causal de contratación directa o modalidad de selección deberá </w:t>
      </w:r>
      <w:r w:rsidRPr="00E20784">
        <w:rPr>
          <w:rFonts w:ascii="Verdana" w:eastAsia="Verdana" w:hAnsi="Verdana" w:cs="Verdana"/>
          <w:lang w:val="es-ES"/>
        </w:rPr>
        <w:lastRenderedPageBreak/>
        <w:t>sustentarse, en todo caso, en los requisitos específicos que el ordenamiento jurídico establece para cada una.</w:t>
      </w:r>
    </w:p>
    <w:p w14:paraId="7E1DE7C1" w14:textId="77777777" w:rsidR="00887898" w:rsidRPr="00E20784" w:rsidRDefault="00887898" w:rsidP="00887898">
      <w:pPr>
        <w:spacing w:after="120" w:line="276" w:lineRule="auto"/>
        <w:jc w:val="both"/>
        <w:rPr>
          <w:rFonts w:ascii="Verdana" w:eastAsia="Calibri" w:hAnsi="Verdana" w:cs="Arial"/>
          <w:lang w:val="es-ES"/>
        </w:rPr>
      </w:pPr>
      <w:proofErr w:type="spellStart"/>
      <w:r w:rsidRPr="00E20784">
        <w:rPr>
          <w:rFonts w:ascii="Verdana" w:eastAsia="Verdana" w:hAnsi="Verdana" w:cs="Verdana"/>
          <w:lang w:val="es-ES"/>
        </w:rPr>
        <w:t>ii</w:t>
      </w:r>
      <w:proofErr w:type="spellEnd"/>
      <w:r w:rsidRPr="00E20784">
        <w:rPr>
          <w:rFonts w:ascii="Verdana" w:eastAsia="Verdana" w:hAnsi="Verdana" w:cs="Verdana"/>
          <w:lang w:val="es-ES"/>
        </w:rPr>
        <w:t xml:space="preserve">. </w:t>
      </w:r>
      <w:r w:rsidRPr="00E20784">
        <w:rPr>
          <w:rFonts w:ascii="Verdana" w:hAnsi="Verdana" w:cs="Arial"/>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20784">
        <w:rPr>
          <w:rFonts w:ascii="Verdana" w:hAnsi="Verdana" w:cs="Arial"/>
          <w:vertAlign w:val="superscript"/>
          <w:lang w:val="es-ES"/>
        </w:rPr>
        <w:footnoteReference w:id="5"/>
      </w:r>
      <w:r w:rsidRPr="00E20784">
        <w:rPr>
          <w:rFonts w:ascii="Verdana" w:hAnsi="Verdana" w:cs="Arial"/>
          <w:lang w:val="es-ES"/>
        </w:rPr>
        <w:t xml:space="preserve">. </w:t>
      </w:r>
      <w:bookmarkStart w:id="5" w:name="_Hlk164688501"/>
      <w:r w:rsidRPr="00E20784">
        <w:rPr>
          <w:rFonts w:ascii="Verdana" w:hAnsi="Verdana" w:cs="Arial"/>
          <w:lang w:val="es-ES"/>
        </w:rPr>
        <w:t>Por otra parte, el artículo 96 de la Ley 489 de 1998</w:t>
      </w:r>
      <w:r w:rsidRPr="00E20784">
        <w:rPr>
          <w:rFonts w:ascii="Verdana" w:hAnsi="Verdana" w:cs="Arial"/>
          <w:vertAlign w:val="superscript"/>
          <w:lang w:val="es-ES"/>
        </w:rPr>
        <w:footnoteReference w:id="6"/>
      </w:r>
      <w:r w:rsidRPr="00E20784">
        <w:rPr>
          <w:rFonts w:ascii="Verdana" w:hAnsi="Verdana" w:cs="Arial"/>
          <w:lang w:val="es-ES"/>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5"/>
      <w:r w:rsidRPr="00E20784">
        <w:rPr>
          <w:rFonts w:ascii="Verdana" w:hAnsi="Verdana" w:cs="Arial"/>
          <w:lang w:val="es-ES"/>
        </w:rPr>
        <w:t>.</w:t>
      </w:r>
      <w:bookmarkStart w:id="7" w:name="_Hlk171946092"/>
      <w:bookmarkStart w:id="8" w:name="_Hlk38819155"/>
    </w:p>
    <w:p w14:paraId="5C50C4BB" w14:textId="77777777" w:rsidR="00887898" w:rsidRPr="00E20784" w:rsidRDefault="00887898" w:rsidP="00887898">
      <w:pPr>
        <w:spacing w:after="120" w:line="276" w:lineRule="auto"/>
        <w:ind w:firstLine="709"/>
        <w:jc w:val="both"/>
        <w:rPr>
          <w:rFonts w:ascii="Verdana" w:eastAsia="Calibri" w:hAnsi="Verdana" w:cs="Arial"/>
          <w:lang w:val="es-ES"/>
        </w:rPr>
      </w:pPr>
      <w:r w:rsidRPr="00E20784">
        <w:rPr>
          <w:rFonts w:ascii="Verdana" w:hAnsi="Verdana" w:cs="Arial"/>
          <w:lang w:val="es-ES"/>
        </w:rPr>
        <w:t xml:space="preserve">El Gobierno Nacional, en desarrollo del artículo 355 de la Constitución Política, expidió el Decreto 092 de 2017, que dispone las reglas para las contrataciones que realicen las Entidades Estatales con las ESAL. El Decreto regula dos (2) eventos: i) </w:t>
      </w:r>
      <w:r w:rsidRPr="00E20784">
        <w:rPr>
          <w:rFonts w:ascii="Verdana" w:hAnsi="Verdana" w:cs="Arial"/>
          <w:lang w:val="es-ES" w:eastAsia="es-ES_tradnl"/>
        </w:rPr>
        <w:t xml:space="preserve">los </w:t>
      </w:r>
      <w:r w:rsidRPr="00E20784">
        <w:rPr>
          <w:rFonts w:ascii="Verdana" w:hAnsi="Verdana" w:cs="Arial"/>
          <w:i/>
          <w:iCs/>
          <w:lang w:val="es-ES" w:eastAsia="es-ES_tradnl"/>
        </w:rPr>
        <w:t>contratos de colaboración</w:t>
      </w:r>
      <w:r w:rsidRPr="00E20784">
        <w:rPr>
          <w:rFonts w:ascii="Verdana" w:hAnsi="Verdana" w:cs="Arial"/>
          <w:lang w:val="es-ES" w:eastAsia="es-ES_tradnl"/>
        </w:rPr>
        <w:t xml:space="preserve"> o de interés público, con el fin</w:t>
      </w:r>
      <w:r>
        <w:rPr>
          <w:rFonts w:ascii="Verdana" w:hAnsi="Verdana" w:cs="Arial"/>
          <w:lang w:val="es-ES" w:eastAsia="es-ES_tradnl"/>
        </w:rPr>
        <w:t xml:space="preserve"> de</w:t>
      </w:r>
      <w:r w:rsidRPr="00E20784">
        <w:rPr>
          <w:rFonts w:ascii="Verdana" w:hAnsi="Verdana" w:cs="Arial"/>
          <w:lang w:val="es-ES" w:eastAsia="es-ES_tradnl"/>
        </w:rPr>
        <w:t xml:space="preserve"> impulsar programas y actividades de interés público de acuerdo con el Plan Nacional o los planes seccionales de desarrollo, en los términos del artículo 355 de la Constitución Política</w:t>
      </w:r>
      <w:r>
        <w:rPr>
          <w:rFonts w:ascii="Verdana" w:hAnsi="Verdana" w:cs="Arial"/>
          <w:lang w:val="es-ES" w:eastAsia="es-ES_tradnl"/>
        </w:rPr>
        <w:t>;</w:t>
      </w:r>
      <w:r w:rsidRPr="00E20784">
        <w:rPr>
          <w:rFonts w:ascii="Verdana" w:hAnsi="Verdana" w:cs="Arial"/>
          <w:lang w:val="es-ES"/>
        </w:rPr>
        <w:t xml:space="preserve"> y </w:t>
      </w:r>
      <w:proofErr w:type="spellStart"/>
      <w:r w:rsidRPr="00E20784">
        <w:rPr>
          <w:rFonts w:ascii="Verdana" w:hAnsi="Verdana" w:cs="Arial"/>
          <w:lang w:val="es-ES"/>
        </w:rPr>
        <w:t>ii</w:t>
      </w:r>
      <w:proofErr w:type="spellEnd"/>
      <w:r w:rsidRPr="00E20784">
        <w:rPr>
          <w:rFonts w:ascii="Verdana" w:hAnsi="Verdana" w:cs="Arial"/>
          <w:lang w:val="es-ES"/>
        </w:rPr>
        <w:t xml:space="preserve">) los </w:t>
      </w:r>
      <w:r w:rsidRPr="00E20784">
        <w:rPr>
          <w:rFonts w:ascii="Verdana" w:hAnsi="Verdana" w:cs="Arial"/>
          <w:i/>
          <w:iCs/>
          <w:lang w:val="es-ES"/>
        </w:rPr>
        <w:t>convenios de asociación</w:t>
      </w:r>
      <w:r w:rsidRPr="00E20784">
        <w:rPr>
          <w:rFonts w:ascii="Verdana" w:hAnsi="Verdana" w:cs="Arial"/>
          <w:lang w:val="es-ES"/>
        </w:rPr>
        <w:t xml:space="preserve">, para el desarrollo conjunto de actividades relacionadas con las funciones de las Entidades Estatales, en desarrollo del artículo 96 de la Ley 489 de 1998. </w:t>
      </w:r>
      <w:r w:rsidRPr="00E20784">
        <w:rPr>
          <w:rFonts w:ascii="Verdana" w:hAnsi="Verdana" w:cs="Arial"/>
          <w:lang w:val="es-ES" w:eastAsia="es-ES_tradnl"/>
        </w:rPr>
        <w:t xml:space="preserve">Los primeros están regulados en el artículo 2 del Decreto 092 de 2017, mientras que los segundos en los artículos 5, 6, 7 y 8 </w:t>
      </w:r>
      <w:r w:rsidRPr="00E20784">
        <w:rPr>
          <w:rFonts w:ascii="Verdana" w:hAnsi="Verdana" w:cs="Arial"/>
          <w:i/>
          <w:iCs/>
          <w:lang w:val="es-ES" w:eastAsia="es-ES_tradnl"/>
        </w:rPr>
        <w:t>ibidem</w:t>
      </w:r>
      <w:bookmarkEnd w:id="7"/>
      <w:r w:rsidRPr="00E20784">
        <w:rPr>
          <w:rFonts w:ascii="Verdana" w:hAnsi="Verdana"/>
          <w:vertAlign w:val="superscript"/>
          <w:lang w:val="es-ES" w:eastAsia="es-ES_tradnl"/>
        </w:rPr>
        <w:footnoteReference w:id="7"/>
      </w:r>
      <w:r w:rsidRPr="00E20784">
        <w:rPr>
          <w:rFonts w:ascii="Verdana" w:hAnsi="Verdana" w:cs="Arial"/>
          <w:lang w:val="es-ES" w:eastAsia="es-ES_tradnl"/>
        </w:rPr>
        <w:t>.</w:t>
      </w:r>
      <w:bookmarkStart w:id="9" w:name="_Hlk171946110"/>
      <w:bookmarkEnd w:id="8"/>
    </w:p>
    <w:p w14:paraId="2198303F"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lastRenderedPageBreak/>
        <w:t xml:space="preserve">De un lado, los </w:t>
      </w:r>
      <w:r w:rsidRPr="00E20784">
        <w:rPr>
          <w:rFonts w:ascii="Verdana" w:hAnsi="Verdana" w:cs="Arial"/>
          <w:i/>
          <w:iCs/>
          <w:lang w:val="es-ES"/>
        </w:rPr>
        <w:t>contratos del artículo 355 de la Constitución Política</w:t>
      </w:r>
      <w:r w:rsidRPr="00E20784">
        <w:rPr>
          <w:rFonts w:ascii="Verdana"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bookmarkEnd w:id="9"/>
    </w:p>
    <w:p w14:paraId="667FB375"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En relación con el objeto de los contratos de colaboración, es pertinente señalar que una característica esencial de estos es que su objeto esté determinado por la realización de programas y actividades de interés público acordes con el Plan Nacional de Desarrollo y los planes seccionales de desarrollo</w:t>
      </w:r>
      <w:r w:rsidRPr="00E20784">
        <w:rPr>
          <w:rFonts w:ascii="Verdana" w:hAnsi="Verdana" w:cs="Arial"/>
          <w:vertAlign w:val="superscript"/>
          <w:lang w:val="es-ES"/>
        </w:rPr>
        <w:footnoteReference w:id="8"/>
      </w:r>
      <w:r w:rsidRPr="00E20784">
        <w:rPr>
          <w:rFonts w:ascii="Verdana" w:hAnsi="Verdana" w:cs="Arial"/>
          <w:lang w:val="es-ES"/>
        </w:rPr>
        <w:t xml:space="preserve">, los cuales se encuentran regulados en los artículos 339 a 344 de la Constitución Política. Sobre este aspecto, la Corte Constitucional ha indicado que el objeto de estos </w:t>
      </w:r>
      <w:r>
        <w:rPr>
          <w:rFonts w:ascii="Verdana" w:hAnsi="Verdana" w:cs="Arial"/>
          <w:lang w:val="es-ES"/>
        </w:rPr>
        <w:t xml:space="preserve">contratos </w:t>
      </w:r>
      <w:r w:rsidRPr="00E20784">
        <w:rPr>
          <w:rFonts w:ascii="Verdana" w:hAnsi="Verdana" w:cs="Arial"/>
          <w:lang w:val="es-ES"/>
        </w:rPr>
        <w:t>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E20784">
        <w:rPr>
          <w:rFonts w:ascii="Verdana" w:hAnsi="Verdana" w:cs="Arial"/>
          <w:vertAlign w:val="superscript"/>
          <w:lang w:val="es-ES"/>
        </w:rPr>
        <w:footnoteReference w:id="9"/>
      </w:r>
      <w:r w:rsidRPr="00E20784">
        <w:rPr>
          <w:rFonts w:ascii="Verdana" w:hAnsi="Verdana" w:cs="Arial"/>
          <w:lang w:val="es-ES"/>
        </w:rPr>
        <w:t>.</w:t>
      </w:r>
    </w:p>
    <w:p w14:paraId="4C146FC9"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Al respecto, el Consejo de Estado, en el auto del 6 de agosto de 2019,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E20784">
        <w:rPr>
          <w:rFonts w:ascii="Verdana" w:hAnsi="Verdana" w:cs="Arial"/>
          <w:vertAlign w:val="superscript"/>
          <w:lang w:val="es-ES"/>
        </w:rPr>
        <w:footnoteReference w:id="10"/>
      </w:r>
      <w:r w:rsidRPr="00E20784">
        <w:rPr>
          <w:rFonts w:ascii="Verdana" w:hAnsi="Verdana" w:cs="Arial"/>
          <w:lang w:val="es-ES"/>
        </w:rPr>
        <w:t xml:space="preserve">. </w:t>
      </w:r>
      <w:bookmarkStart w:id="11" w:name="_Hlk95756502"/>
      <w:r w:rsidRPr="00E20784">
        <w:rPr>
          <w:rFonts w:ascii="Verdana" w:hAnsi="Verdana" w:cs="Arial"/>
          <w:lang w:val="es-ES"/>
        </w:rPr>
        <w:t xml:space="preserve"> </w:t>
      </w:r>
    </w:p>
    <w:p w14:paraId="47115B85" w14:textId="77777777" w:rsidR="00887898" w:rsidRPr="00E20784" w:rsidRDefault="00887898" w:rsidP="00887898">
      <w:pPr>
        <w:spacing w:after="0" w:line="276" w:lineRule="auto"/>
        <w:ind w:firstLine="709"/>
        <w:jc w:val="both"/>
        <w:rPr>
          <w:rFonts w:ascii="Verdana" w:hAnsi="Verdana" w:cs="Arial"/>
          <w:lang w:val="es-ES"/>
        </w:rPr>
      </w:pPr>
      <w:r w:rsidRPr="00E20784">
        <w:rPr>
          <w:rFonts w:ascii="Verdana" w:hAnsi="Verdana" w:cs="Arial"/>
          <w:lang w:val="es-ES"/>
        </w:rPr>
        <w:lastRenderedPageBreak/>
        <w:t xml:space="preserve">En relación con esta norma, encontró que el literal a) del artículo 2 establece dos (2)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1"/>
      <w:r w:rsidRPr="00E20784">
        <w:rPr>
          <w:rFonts w:ascii="Verdana" w:hAnsi="Verdana" w:cs="Arial"/>
          <w:lang w:val="es-ES"/>
        </w:rPr>
        <w:t xml:space="preserve">En relación con lo anterior, el auto del Consejo de Estado explica que: </w:t>
      </w:r>
    </w:p>
    <w:p w14:paraId="7FF0CD90" w14:textId="77777777" w:rsidR="00887898" w:rsidRPr="00E20784" w:rsidRDefault="00887898" w:rsidP="00887898">
      <w:pPr>
        <w:spacing w:after="0" w:line="276" w:lineRule="auto"/>
        <w:ind w:left="360"/>
        <w:contextualSpacing/>
        <w:jc w:val="both"/>
        <w:rPr>
          <w:rFonts w:ascii="Verdana" w:hAnsi="Verdana" w:cs="Arial"/>
          <w:lang w:val="es-ES"/>
        </w:rPr>
      </w:pPr>
    </w:p>
    <w:p w14:paraId="540AFBC2"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r w:rsidRPr="00E20784">
        <w:rPr>
          <w:rFonts w:ascii="Verdana" w:eastAsia="Calibri" w:hAnsi="Verdana" w:cs="Arial"/>
          <w:sz w:val="20"/>
          <w:szCs w:val="20"/>
          <w:lang w:val="es-ES"/>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4469116D" w14:textId="77777777" w:rsidR="00887898" w:rsidRPr="00E20784" w:rsidRDefault="00887898" w:rsidP="00887898">
      <w:pPr>
        <w:spacing w:after="0" w:line="276" w:lineRule="auto"/>
        <w:jc w:val="both"/>
        <w:rPr>
          <w:rFonts w:ascii="Verdana" w:eastAsia="Calibri" w:hAnsi="Verdana" w:cs="Arial"/>
          <w:lang w:val="es-ES"/>
        </w:rPr>
      </w:pPr>
    </w:p>
    <w:p w14:paraId="0DCE552C" w14:textId="77777777" w:rsidR="00887898" w:rsidRPr="00E20784" w:rsidRDefault="00887898" w:rsidP="00887898">
      <w:pPr>
        <w:spacing w:after="120" w:line="276" w:lineRule="auto"/>
        <w:ind w:firstLine="709"/>
        <w:contextualSpacing/>
        <w:jc w:val="both"/>
        <w:rPr>
          <w:rFonts w:ascii="Verdana" w:hAnsi="Verdana" w:cs="Arial"/>
          <w:lang w:val="es-ES"/>
        </w:rPr>
      </w:pPr>
      <w:r>
        <w:rPr>
          <w:rFonts w:ascii="Verdana" w:hAnsi="Verdana" w:cs="Arial"/>
          <w:lang w:val="es-ES"/>
        </w:rPr>
        <w:t>Segundo</w:t>
      </w:r>
      <w:r w:rsidRPr="00E20784">
        <w:rPr>
          <w:rFonts w:ascii="Verdana" w:hAnsi="Verdana" w:cs="Arial"/>
          <w:lang w:val="es-ES"/>
        </w:rPr>
        <w:t xml:space="preserve">,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3FA632E7" w14:textId="77777777" w:rsidR="00887898" w:rsidRPr="00E20784" w:rsidRDefault="00887898" w:rsidP="00887898">
      <w:pPr>
        <w:spacing w:after="0" w:line="276" w:lineRule="auto"/>
        <w:jc w:val="both"/>
        <w:rPr>
          <w:rFonts w:ascii="Verdana" w:eastAsia="Calibri" w:hAnsi="Verdana" w:cs="Arial"/>
          <w:lang w:val="es-ES"/>
        </w:rPr>
      </w:pPr>
    </w:p>
    <w:p w14:paraId="65FBB16A" w14:textId="77777777" w:rsidR="00887898" w:rsidRPr="00E20784" w:rsidRDefault="00887898" w:rsidP="00887898">
      <w:pPr>
        <w:tabs>
          <w:tab w:val="left" w:pos="8080"/>
        </w:tabs>
        <w:spacing w:after="0" w:line="240" w:lineRule="auto"/>
        <w:ind w:left="709" w:right="709"/>
        <w:jc w:val="both"/>
        <w:rPr>
          <w:rFonts w:ascii="Verdana" w:eastAsia="Calibri" w:hAnsi="Verdana" w:cs="Arial"/>
          <w:sz w:val="20"/>
          <w:szCs w:val="20"/>
          <w:lang w:val="es-ES"/>
        </w:rPr>
      </w:pPr>
      <w:r w:rsidRPr="00E20784">
        <w:rPr>
          <w:rFonts w:ascii="Verdana" w:eastAsia="Calibri" w:hAnsi="Verdana" w:cs="Arial"/>
          <w:sz w:val="20"/>
          <w:szCs w:val="20"/>
          <w:lang w:val="es-ES"/>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w:t>
      </w:r>
      <w:r w:rsidRPr="00E20784">
        <w:rPr>
          <w:rFonts w:ascii="Verdana" w:eastAsia="Calibri" w:hAnsi="Verdana" w:cs="Arial"/>
          <w:sz w:val="20"/>
          <w:szCs w:val="20"/>
          <w:lang w:val="es-ES"/>
        </w:rPr>
        <w:lastRenderedPageBreak/>
        <w:t xml:space="preserve">su causa sea “acorde” con los planes de desarrollo, que es, en últimas, el propósito de la norma constitucional”. </w:t>
      </w:r>
    </w:p>
    <w:p w14:paraId="03D22620" w14:textId="77777777" w:rsidR="00887898" w:rsidRPr="00E20784" w:rsidRDefault="00887898" w:rsidP="00887898">
      <w:pPr>
        <w:spacing w:after="0" w:line="276" w:lineRule="auto"/>
        <w:jc w:val="both"/>
        <w:rPr>
          <w:rFonts w:ascii="Verdana" w:eastAsia="Calibri" w:hAnsi="Verdana" w:cs="Arial"/>
          <w:lang w:val="es-ES"/>
        </w:rPr>
      </w:pPr>
      <w:r w:rsidRPr="00E20784">
        <w:rPr>
          <w:rFonts w:ascii="Verdana" w:eastAsia="Calibri" w:hAnsi="Verdana" w:cs="Arial"/>
          <w:lang w:val="es-ES"/>
        </w:rPr>
        <w:t xml:space="preserve"> </w:t>
      </w:r>
    </w:p>
    <w:p w14:paraId="300D3B58"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Por las anteriores razones, el Consejo de Estado suspendió provisionalmente el literal a), </w:t>
      </w:r>
      <w:r w:rsidRPr="00E20784">
        <w:rPr>
          <w:rFonts w:ascii="Verdana" w:hAnsi="Verdana" w:cs="Arial"/>
          <w:i/>
          <w:lang w:val="es-ES"/>
        </w:rPr>
        <w:t>por lo cual el objeto de los contratos debe ser acorde con los planes nacionales o seccionales de desarrollo</w:t>
      </w:r>
      <w:r w:rsidRPr="00E20784">
        <w:rPr>
          <w:rFonts w:ascii="Verdana" w:hAnsi="Verdana" w:cs="Arial"/>
          <w:lang w:val="es-ES"/>
        </w:rPr>
        <w:t>; y no necesariamente estar previstos directamente en ellos. Por lo demás, no solo se pueden celebrar contratos para los objetos específicos señalados en el Decreto 092 de 2017.</w:t>
      </w:r>
    </w:p>
    <w:p w14:paraId="06AA6EC5" w14:textId="77777777" w:rsidR="00887898" w:rsidRPr="00E20784" w:rsidRDefault="00887898" w:rsidP="00887898">
      <w:pPr>
        <w:spacing w:line="276" w:lineRule="auto"/>
        <w:ind w:firstLine="709"/>
        <w:jc w:val="both"/>
        <w:rPr>
          <w:rFonts w:ascii="Verdana" w:eastAsia="Calibri" w:hAnsi="Verdana" w:cs="Arial"/>
          <w:color w:val="000000" w:themeColor="text1"/>
          <w:lang w:val="es-ES"/>
        </w:rPr>
      </w:pPr>
      <w:r w:rsidRPr="00E20784">
        <w:rPr>
          <w:rFonts w:ascii="Verdana" w:hAnsi="Verdana" w:cs="Arial"/>
          <w:color w:val="000000" w:themeColor="text1"/>
          <w:lang w:val="es-ES"/>
        </w:rPr>
        <w:t>Así las cosas, la contratación con entidades sin ánimo de lucro se sigue rigiendo por el Decreto 092 de 2017, salvo lo que fue objeto de suspensión provisional por parte del Consejo de Estado. Por lo tanto, las entidades públicas que desean celebrar contratos de interés público, en los términos del artículo 355 de la Constitución Política, deberán contratar</w:t>
      </w:r>
      <w:r>
        <w:rPr>
          <w:rFonts w:ascii="Verdana" w:hAnsi="Verdana" w:cs="Arial"/>
          <w:color w:val="000000" w:themeColor="text1"/>
          <w:lang w:val="es-ES"/>
        </w:rPr>
        <w:t xml:space="preserve">, </w:t>
      </w:r>
      <w:r w:rsidRPr="00E20784">
        <w:rPr>
          <w:rFonts w:ascii="Verdana" w:hAnsi="Verdana" w:cs="Arial"/>
          <w:color w:val="000000" w:themeColor="text1"/>
          <w:lang w:val="es-ES"/>
        </w:rPr>
        <w:t xml:space="preserve">con ESAL de reconocida idoneidad, como ya se dijo, </w:t>
      </w:r>
      <w:r>
        <w:rPr>
          <w:rFonts w:ascii="Verdana" w:hAnsi="Verdana" w:cs="Arial"/>
          <w:color w:val="000000" w:themeColor="text1"/>
          <w:lang w:val="es-ES"/>
        </w:rPr>
        <w:t xml:space="preserve">por regla general, </w:t>
      </w:r>
      <w:r w:rsidRPr="00E20784">
        <w:rPr>
          <w:rFonts w:ascii="Verdana" w:hAnsi="Verdana" w:cs="Arial"/>
          <w:color w:val="000000" w:themeColor="text1"/>
          <w:lang w:val="es-ES"/>
        </w:rPr>
        <w:t xml:space="preserve">realizando un proceso competitivo, y teniendo en cuenta lo siguiente: i) no debe condicionarse el proceso de contratación a la inexistencia de oferta en el mercado de bienes y servicios; </w:t>
      </w:r>
      <w:proofErr w:type="spellStart"/>
      <w:r w:rsidRPr="00E20784">
        <w:rPr>
          <w:rFonts w:ascii="Verdana" w:hAnsi="Verdana" w:cs="Arial"/>
          <w:color w:val="000000" w:themeColor="text1"/>
          <w:lang w:val="es-ES"/>
        </w:rPr>
        <w:t>ii</w:t>
      </w:r>
      <w:proofErr w:type="spellEnd"/>
      <w:r w:rsidRPr="00E20784">
        <w:rPr>
          <w:rFonts w:ascii="Verdana" w:hAnsi="Verdana" w:cs="Arial"/>
          <w:color w:val="000000" w:themeColor="text1"/>
          <w:lang w:val="es-ES"/>
        </w:rPr>
        <w:t xml:space="preserve">) tampoco debe condicionarse a que la contratación con las ESAL garantice la optimización de los recursos públicos en términos de eficiencia, eficacia, economía y manejo del riesgo; </w:t>
      </w:r>
      <w:proofErr w:type="spellStart"/>
      <w:r w:rsidRPr="00E20784">
        <w:rPr>
          <w:rFonts w:ascii="Verdana" w:hAnsi="Verdana" w:cs="Arial"/>
          <w:color w:val="000000" w:themeColor="text1"/>
          <w:lang w:val="es-ES"/>
        </w:rPr>
        <w:t>iii</w:t>
      </w:r>
      <w:proofErr w:type="spellEnd"/>
      <w:r w:rsidRPr="00E20784">
        <w:rPr>
          <w:rFonts w:ascii="Verdana" w:hAnsi="Verdana" w:cs="Arial"/>
          <w:color w:val="000000" w:themeColor="text1"/>
          <w:lang w:val="es-ES"/>
        </w:rPr>
        <w:t xml:space="preserve">) el objeto del contrato debe estar acorde con el plan nacional o seccional de desarrollo; </w:t>
      </w:r>
      <w:proofErr w:type="spellStart"/>
      <w:r w:rsidRPr="00E20784">
        <w:rPr>
          <w:rFonts w:ascii="Verdana" w:hAnsi="Verdana" w:cs="Arial"/>
          <w:color w:val="000000" w:themeColor="text1"/>
          <w:lang w:val="es-ES"/>
        </w:rPr>
        <w:t>iv</w:t>
      </w:r>
      <w:proofErr w:type="spellEnd"/>
      <w:r w:rsidRPr="00E20784">
        <w:rPr>
          <w:rFonts w:ascii="Verdana" w:hAnsi="Verdana" w:cs="Arial"/>
          <w:color w:val="000000" w:themeColor="text1"/>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E20784">
        <w:rPr>
          <w:rFonts w:ascii="Verdana" w:hAnsi="Verdana" w:cs="Arial"/>
          <w:color w:val="000000" w:themeColor="text1"/>
          <w:lang w:val="es-ES"/>
        </w:rPr>
        <w:t>iii</w:t>
      </w:r>
      <w:proofErr w:type="spellEnd"/>
      <w:r w:rsidRPr="00E20784">
        <w:rPr>
          <w:rFonts w:ascii="Verdana" w:hAnsi="Verdana" w:cs="Arial"/>
          <w:color w:val="000000" w:themeColor="text1"/>
          <w:lang w:val="es-ES"/>
        </w:rPr>
        <w:t>); y v) el contrato no debe establecer una relación conmutativa en el cual haya una contraprestación directa a favor de la entidad, ni instrucciones precisas dadas por esta al contratista para cumplir con el objeto del contrato,</w:t>
      </w:r>
      <w:r w:rsidRPr="00E20784">
        <w:rPr>
          <w:rFonts w:ascii="Verdana" w:eastAsia="Calibri" w:hAnsi="Verdana" w:cs="Arial"/>
          <w:lang w:val="es-ES"/>
        </w:rPr>
        <w:t xml:space="preserve">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53684033"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De otro lado, los </w:t>
      </w:r>
      <w:r w:rsidRPr="00E20784">
        <w:rPr>
          <w:rFonts w:ascii="Verdana" w:hAnsi="Verdana" w:cs="Arial"/>
          <w:i/>
          <w:iCs/>
          <w:lang w:val="es-ES"/>
        </w:rPr>
        <w:t>convenios de asociación</w:t>
      </w:r>
      <w:r w:rsidRPr="00E20784">
        <w:rPr>
          <w:rFonts w:ascii="Verdana" w:hAnsi="Verdana" w:cs="Arial"/>
          <w:lang w:val="es-ES"/>
        </w:rPr>
        <w:t xml:space="preserve"> “[…] [t]</w:t>
      </w:r>
      <w:proofErr w:type="spellStart"/>
      <w:r w:rsidRPr="00E20784">
        <w:rPr>
          <w:rFonts w:ascii="Verdana" w:hAnsi="Verdana" w:cs="Arial"/>
          <w:lang w:val="es-ES"/>
        </w:rPr>
        <w:t>ienen</w:t>
      </w:r>
      <w:proofErr w:type="spellEnd"/>
      <w:r w:rsidRPr="00E20784">
        <w:rPr>
          <w:rFonts w:ascii="Verdana" w:hAnsi="Verdana" w:cs="Arial"/>
          <w:lang w:val="es-ES"/>
        </w:rPr>
        <w:t xml:space="preserve"> como finalidad que la entidad estatal, cualquiera que sea su naturaleza y orden administrativo, se </w:t>
      </w:r>
      <w:r w:rsidRPr="00E20784">
        <w:rPr>
          <w:rFonts w:ascii="Verdana" w:hAnsi="Verdana" w:cs="Arial"/>
          <w:lang w:val="es-ES"/>
        </w:rPr>
        <w:lastRenderedPageBreak/>
        <w:t>asocien con personas jurídicas particulares para el desarrollo conjunto de actividades relacionadas con los cometidos y funciones asignadas a aquellas conforme a la Constitución y a la Ley”</w:t>
      </w:r>
      <w:r w:rsidRPr="00E20784">
        <w:rPr>
          <w:rFonts w:ascii="Verdana" w:hAnsi="Verdana"/>
          <w:vertAlign w:val="superscript"/>
          <w:lang w:val="es-ES"/>
        </w:rPr>
        <w:footnoteReference w:id="11"/>
      </w:r>
      <w:r w:rsidRPr="00E20784">
        <w:rPr>
          <w:rFonts w:ascii="Verdana" w:hAnsi="Verdana" w:cs="Arial"/>
          <w:lang w:val="es-ES"/>
        </w:rPr>
        <w:t xml:space="preserve">. </w:t>
      </w:r>
      <w:r w:rsidRPr="00E20784">
        <w:rPr>
          <w:rFonts w:ascii="Verdana" w:hAnsi="Verdana" w:cs="Arial"/>
          <w:lang w:val="es-ES" w:eastAsia="es-ES_tradnl"/>
        </w:rPr>
        <w:t xml:space="preserve">De conformidad con el inciso segundo del </w:t>
      </w:r>
      <w:bookmarkStart w:id="12" w:name="_Hlk171946223"/>
      <w:r w:rsidRPr="00E20784">
        <w:rPr>
          <w:rFonts w:ascii="Verdana" w:hAnsi="Verdana" w:cs="Arial"/>
          <w:lang w:val="es-ES" w:eastAsia="es-ES_tradnl"/>
        </w:rPr>
        <w:t>artículo 96 de la Ley 489 de 1998</w:t>
      </w:r>
      <w:bookmarkEnd w:id="12"/>
      <w:r w:rsidRPr="00E20784">
        <w:rPr>
          <w:rFonts w:ascii="Verdana" w:hAnsi="Verdana" w:cs="Arial"/>
          <w:lang w:val="es-ES" w:eastAsia="es-ES_tradnl"/>
        </w:rPr>
        <w:t xml:space="preserve">, en estos convenios debe determinarse “con precisión su objeto, término, obligaciones de las partes, aportes, coordinación y todos aquellos aspectos que se consideren pertinentes”. </w:t>
      </w:r>
      <w:r w:rsidRPr="00E20784">
        <w:rPr>
          <w:rFonts w:ascii="Verdana" w:hAnsi="Verdana" w:cs="Arial"/>
          <w:lang w:val="es-ES"/>
        </w:rPr>
        <w:t xml:space="preserve">En estos convenios no existe contraprestación o pago, sino aportes, los cuales están dirigidos, exclusivamente, a lograr la ejecución del convenio no a remunerar la actividad o actuaciones del asociado. </w:t>
      </w:r>
    </w:p>
    <w:p w14:paraId="6173CD0D"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los mismos a través del convenio a celebrarse</w:t>
      </w:r>
      <w:r w:rsidRPr="00E20784">
        <w:rPr>
          <w:rFonts w:ascii="Verdana" w:hAnsi="Verdana" w:cs="Arial"/>
          <w:vertAlign w:val="superscript"/>
          <w:lang w:val="es-ES"/>
        </w:rPr>
        <w:footnoteReference w:id="12"/>
      </w:r>
      <w:r w:rsidRPr="00E20784">
        <w:rPr>
          <w:rFonts w:ascii="Verdana" w:hAnsi="Verdana" w:cs="Arial"/>
          <w:lang w:val="es-ES"/>
        </w:rPr>
        <w:t>.</w:t>
      </w:r>
    </w:p>
    <w:p w14:paraId="328E5479"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Además, la norma dispone que los convenios de asociación “[…] no estarán sujetos a competencia cuando la entidad sin ánimo de lucro comprometa recursos en dinero para la ejecución de esas actividades en una proporción no inferior al 30% del valor total del convenio”, por lo que las entidades deben asegurarse de que su contratista, es decir, una o varias ESAL, aporten al menos el treinta por ciento (30%), en dinero, del valor del convenio para celebrarlo directamente, pues de lo contrario deberá adelantarse un proceso competitivo. </w:t>
      </w:r>
      <w:r>
        <w:rPr>
          <w:rFonts w:ascii="Verdana" w:hAnsi="Verdana" w:cs="Arial"/>
          <w:lang w:val="es-ES"/>
        </w:rPr>
        <w:t>E</w:t>
      </w:r>
      <w:r w:rsidRPr="00E20784">
        <w:rPr>
          <w:rFonts w:ascii="Verdana" w:hAnsi="Verdana" w:cs="Arial"/>
          <w:lang w:val="es-ES"/>
        </w:rPr>
        <w:t xml:space="preserve">n atención al inciso 2 del artículo 5 del Decreto 092 de 2017, deben “[…] asegurarse que no haya otras ESAL que ofrezcan su compromiso de recursos en dinero en una proporción no inferior al 30% del valor total del convenio. Cuando </w:t>
      </w:r>
      <w:r w:rsidRPr="00E20784">
        <w:rPr>
          <w:rFonts w:ascii="Verdana" w:hAnsi="Verdana" w:cs="Arial"/>
          <w:lang w:val="es-ES"/>
        </w:rPr>
        <w:lastRenderedPageBreak/>
        <w:t>la entidad encuentre que más de una ESAL le ofrece al menos el 30% de recursos en dinero para el convenio de asociación, debe seleccionar objetivamente con cual asociarse”.</w:t>
      </w:r>
    </w:p>
    <w:p w14:paraId="194B7D40"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La noción “seleccionar de forma objetiva”, contenida en el artículo 5 del Decreto 092 de 2017 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w:t>
      </w:r>
      <w:r>
        <w:rPr>
          <w:rFonts w:ascii="Verdana" w:hAnsi="Verdana" w:cs="Arial"/>
          <w:lang w:val="es-ES"/>
        </w:rPr>
        <w:t xml:space="preserve">a lo regulado en </w:t>
      </w:r>
      <w:r w:rsidRPr="00E20784">
        <w:rPr>
          <w:rFonts w:ascii="Verdana" w:hAnsi="Verdana" w:cs="Arial"/>
          <w:lang w:val="es-ES"/>
        </w:rPr>
        <w:t>el inciso 2 del artículo 2 del Decreto 092 de 2017.</w:t>
      </w:r>
    </w:p>
    <w:p w14:paraId="0010CB2F" w14:textId="77777777" w:rsidR="00887898" w:rsidRPr="00E20784" w:rsidRDefault="00887898" w:rsidP="00887898">
      <w:pPr>
        <w:spacing w:after="0" w:line="276" w:lineRule="auto"/>
        <w:ind w:firstLine="709"/>
        <w:jc w:val="both"/>
        <w:rPr>
          <w:rFonts w:ascii="Verdana" w:eastAsia="Calibri" w:hAnsi="Verdana" w:cs="Arial"/>
          <w:lang w:val="es-ES"/>
        </w:rPr>
      </w:pPr>
      <w:r w:rsidRPr="00E20784">
        <w:rPr>
          <w:rFonts w:ascii="Verdana" w:hAnsi="Verdana" w:cs="Arial"/>
          <w:lang w:val="es-ES"/>
        </w:rPr>
        <w:t>En este contexto, es importante señalar que</w:t>
      </w:r>
      <w:bookmarkStart w:id="13" w:name="_Hlk171946202"/>
      <w:r>
        <w:rPr>
          <w:rFonts w:ascii="Verdana" w:hAnsi="Verdana" w:cs="Arial"/>
          <w:lang w:val="es-ES"/>
        </w:rPr>
        <w:t xml:space="preserve"> </w:t>
      </w:r>
      <w:r w:rsidRPr="00E20784">
        <w:rPr>
          <w:rFonts w:ascii="Verdana" w:hAnsi="Verdana" w:cs="Arial"/>
          <w:lang w:val="es-ES"/>
        </w:rPr>
        <w:t>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bookmarkEnd w:id="13"/>
      <w:r w:rsidRPr="00E20784">
        <w:rPr>
          <w:rFonts w:ascii="Verdana" w:hAnsi="Verdana" w:cs="Arial"/>
          <w:lang w:val="es-ES"/>
        </w:rPr>
        <w:t>”</w:t>
      </w:r>
      <w:r w:rsidRPr="00E20784">
        <w:rPr>
          <w:rFonts w:ascii="Verdana" w:hAnsi="Verdana" w:cs="Arial"/>
          <w:vertAlign w:val="superscript"/>
          <w:lang w:val="es-ES"/>
        </w:rPr>
        <w:footnoteReference w:id="13"/>
      </w:r>
      <w:r w:rsidRPr="00E20784">
        <w:rPr>
          <w:rFonts w:ascii="Verdana" w:hAnsi="Verdana" w:cs="Arial"/>
          <w:lang w:val="es-ES"/>
        </w:rPr>
        <w:t xml:space="preserve">. Así lo consideró la </w:t>
      </w:r>
      <w:bookmarkStart w:id="14" w:name="_Hlk171946251"/>
      <w:r w:rsidRPr="00E20784">
        <w:rPr>
          <w:rFonts w:ascii="Verdana" w:hAnsi="Verdana" w:cs="Arial"/>
          <w:lang w:val="es-ES"/>
        </w:rPr>
        <w:t>Sala de Consulta y Servicio Civil del Consejo de Estado</w:t>
      </w:r>
      <w:bookmarkEnd w:id="14"/>
      <w:r w:rsidRPr="00E20784">
        <w:rPr>
          <w:rFonts w:ascii="Verdana" w:hAnsi="Verdana" w:cs="Arial"/>
          <w:vertAlign w:val="superscript"/>
          <w:lang w:val="es-ES"/>
        </w:rPr>
        <w:footnoteReference w:id="14"/>
      </w:r>
      <w:r w:rsidRPr="00E20784">
        <w:rPr>
          <w:rFonts w:ascii="Verdana" w:hAnsi="Verdana" w:cs="Arial"/>
          <w:lang w:val="es-ES"/>
        </w:rPr>
        <w:t>:</w:t>
      </w:r>
    </w:p>
    <w:p w14:paraId="1F4F6FC4" w14:textId="77777777" w:rsidR="00887898" w:rsidRPr="00E20784" w:rsidRDefault="00887898" w:rsidP="00887898">
      <w:pPr>
        <w:spacing w:after="0" w:line="276" w:lineRule="auto"/>
        <w:jc w:val="both"/>
        <w:rPr>
          <w:rFonts w:ascii="Verdana" w:eastAsia="Calibri" w:hAnsi="Verdana" w:cs="Arial"/>
          <w:lang w:val="es-ES"/>
        </w:rPr>
      </w:pPr>
    </w:p>
    <w:p w14:paraId="457F73B1"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r w:rsidRPr="00E20784">
        <w:rPr>
          <w:rFonts w:ascii="Verdana" w:eastAsia="Calibri" w:hAnsi="Verdana" w:cs="Arial"/>
          <w:sz w:val="20"/>
          <w:szCs w:val="20"/>
          <w:lang w:val="es-ES"/>
        </w:rPr>
        <w:t xml:space="preserve">“Como ya se indicó, </w:t>
      </w:r>
      <w:bookmarkStart w:id="16" w:name="_Hlk171946287"/>
      <w:r w:rsidRPr="00E20784">
        <w:rPr>
          <w:rFonts w:ascii="Verdana" w:eastAsia="Calibri" w:hAnsi="Verdana" w:cs="Arial"/>
          <w:sz w:val="20"/>
          <w:szCs w:val="20"/>
          <w:lang w:val="es-ES"/>
        </w:rPr>
        <w:t xml:space="preserve">el objeto de los contratos que autoriza el inciso segundo del artículo 355 Superior, se limita a la realización de actividades o programas de interés público que, conforme a los planes de desarrollo, adelanten instituciones privadas sin ánimo de lucro. </w:t>
      </w:r>
      <w:bookmarkEnd w:id="16"/>
      <w:r w:rsidRPr="00E20784">
        <w:rPr>
          <w:rFonts w:ascii="Verdana" w:eastAsia="Calibri" w:hAnsi="Verdana" w:cs="Arial"/>
          <w:sz w:val="20"/>
          <w:szCs w:val="20"/>
          <w:lang w:val="es-ES"/>
        </w:rPr>
        <w:t>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45862B56"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p>
    <w:p w14:paraId="47395A82"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r w:rsidRPr="00E20784">
        <w:rPr>
          <w:rFonts w:ascii="Verdana" w:eastAsia="Calibri" w:hAnsi="Verdana" w:cs="Arial"/>
          <w:sz w:val="20"/>
          <w:szCs w:val="20"/>
          <w:lang w:val="es-ES"/>
        </w:rPr>
        <w:lastRenderedPageBreak/>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7E520603" w14:textId="77777777" w:rsidR="00887898" w:rsidRPr="00E20784" w:rsidRDefault="00887898" w:rsidP="00887898">
      <w:pPr>
        <w:spacing w:after="0" w:line="276" w:lineRule="auto"/>
        <w:jc w:val="both"/>
        <w:rPr>
          <w:rFonts w:ascii="Verdana" w:eastAsia="Calibri" w:hAnsi="Verdana" w:cs="Arial"/>
          <w:lang w:val="es-ES"/>
        </w:rPr>
      </w:pPr>
    </w:p>
    <w:p w14:paraId="2BBDAAA9" w14:textId="77777777" w:rsidR="00887898" w:rsidRPr="00E20784" w:rsidRDefault="00887898" w:rsidP="00887898">
      <w:pPr>
        <w:spacing w:after="0" w:line="276" w:lineRule="auto"/>
        <w:ind w:firstLine="709"/>
        <w:jc w:val="both"/>
        <w:rPr>
          <w:rFonts w:ascii="Verdana" w:hAnsi="Verdana" w:cs="Arial"/>
          <w:lang w:val="es-ES"/>
        </w:rPr>
      </w:pPr>
      <w:bookmarkStart w:id="17" w:name="_Hlk95756200"/>
      <w:r w:rsidRPr="00E20784">
        <w:rPr>
          <w:rFonts w:ascii="Verdana" w:hAnsi="Verdana" w:cs="Arial"/>
          <w:lang w:val="es-ES"/>
        </w:rPr>
        <w:t xml:space="preserve">De acuerdo con lo anterior, </w:t>
      </w:r>
      <w:bookmarkStart w:id="18" w:name="_Hlk171937920"/>
      <w:r w:rsidRPr="00E20784">
        <w:rPr>
          <w:rFonts w:ascii="Verdana" w:hAnsi="Verdana" w:cs="Arial"/>
          <w:lang w:val="es-ES"/>
        </w:rPr>
        <w:t>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bookmarkEnd w:id="18"/>
      <w:r w:rsidRPr="00E20784">
        <w:rPr>
          <w:rFonts w:ascii="Verdana" w:hAnsi="Verdana" w:cs="Arial"/>
          <w:lang w:val="es-ES"/>
        </w:rPr>
        <w:t xml:space="preserve"> </w:t>
      </w:r>
      <w:bookmarkEnd w:id="17"/>
      <w:r w:rsidRPr="00E20784">
        <w:rPr>
          <w:rFonts w:ascii="Verdana" w:hAnsi="Verdana" w:cs="Arial"/>
          <w:lang w:val="es-ES"/>
        </w:rPr>
        <w:t xml:space="preserve">Así lo reconoció la </w:t>
      </w:r>
      <w:bookmarkStart w:id="19" w:name="_Hlk171946330"/>
      <w:r w:rsidRPr="00E20784">
        <w:rPr>
          <w:rFonts w:ascii="Verdana" w:hAnsi="Verdana" w:cs="Arial"/>
          <w:lang w:val="es-ES"/>
        </w:rPr>
        <w:t>Corte Constitucional en la sentencia C-287 del 18 de abril de 2012</w:t>
      </w:r>
      <w:bookmarkEnd w:id="19"/>
      <w:r w:rsidRPr="00E20784">
        <w:rPr>
          <w:rFonts w:ascii="Verdana" w:hAnsi="Verdana" w:cs="Arial"/>
          <w:lang w:val="es-ES"/>
        </w:rPr>
        <w:t>, en la que sostuvo lo siguiente:</w:t>
      </w:r>
    </w:p>
    <w:p w14:paraId="2648DBC1" w14:textId="77777777" w:rsidR="00887898" w:rsidRPr="00E20784" w:rsidRDefault="00887898" w:rsidP="00887898">
      <w:pPr>
        <w:spacing w:after="0" w:line="276" w:lineRule="auto"/>
        <w:ind w:firstLine="708"/>
        <w:jc w:val="both"/>
        <w:rPr>
          <w:rFonts w:ascii="Verdana" w:eastAsia="Calibri" w:hAnsi="Verdana" w:cs="Arial"/>
          <w:lang w:val="es-ES"/>
        </w:rPr>
      </w:pPr>
    </w:p>
    <w:p w14:paraId="54234418"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r w:rsidRPr="00E20784">
        <w:rPr>
          <w:rFonts w:ascii="Verdana" w:eastAsia="Calibri" w:hAnsi="Verdana" w:cs="Arial"/>
          <w:sz w:val="20"/>
          <w:szCs w:val="20"/>
          <w:lang w:val="es-ES"/>
        </w:rPr>
        <w:t>“Las corporaciones o asociaciones sin ánimo de lucro han sido defin</w:t>
      </w:r>
      <w:r>
        <w:rPr>
          <w:rFonts w:ascii="Verdana" w:eastAsia="Calibri" w:hAnsi="Verdana" w:cs="Arial"/>
          <w:sz w:val="20"/>
          <w:szCs w:val="20"/>
          <w:lang w:val="es-ES"/>
        </w:rPr>
        <w:t>id</w:t>
      </w:r>
      <w:r w:rsidRPr="00E20784">
        <w:rPr>
          <w:rFonts w:ascii="Verdana" w:eastAsia="Calibri" w:hAnsi="Verdana" w:cs="Arial"/>
          <w:sz w:val="20"/>
          <w:szCs w:val="20"/>
          <w:lang w:val="es-ES"/>
        </w:rPr>
        <w:t>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67F82369"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p>
    <w:p w14:paraId="3573530E" w14:textId="77777777" w:rsidR="00887898" w:rsidRPr="00E20784" w:rsidRDefault="00887898" w:rsidP="00887898">
      <w:pPr>
        <w:spacing w:after="0" w:line="240" w:lineRule="auto"/>
        <w:ind w:left="709" w:right="709"/>
        <w:jc w:val="both"/>
        <w:rPr>
          <w:rFonts w:ascii="Verdana" w:eastAsia="Calibri" w:hAnsi="Verdana" w:cs="Arial"/>
          <w:sz w:val="20"/>
          <w:szCs w:val="20"/>
          <w:lang w:val="es-ES"/>
        </w:rPr>
      </w:pPr>
      <w:r w:rsidRPr="00E20784">
        <w:rPr>
          <w:rFonts w:ascii="Verdana" w:eastAsia="Calibri" w:hAnsi="Verdana" w:cs="Arial"/>
          <w:i/>
          <w:sz w:val="20"/>
          <w:szCs w:val="20"/>
          <w:lang w:val="es-ES"/>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E20784">
        <w:rPr>
          <w:rFonts w:ascii="Verdana" w:eastAsia="Calibri" w:hAnsi="Verdana" w:cs="Arial"/>
          <w:sz w:val="20"/>
          <w:szCs w:val="20"/>
          <w:lang w:val="es-ES"/>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[Énfasis fuera del texto original]</w:t>
      </w:r>
    </w:p>
    <w:p w14:paraId="244606BF" w14:textId="77777777" w:rsidR="00887898" w:rsidRPr="00E20784" w:rsidRDefault="00887898" w:rsidP="00887898">
      <w:pPr>
        <w:spacing w:after="0" w:line="276" w:lineRule="auto"/>
        <w:ind w:firstLine="709"/>
        <w:jc w:val="both"/>
        <w:rPr>
          <w:rFonts w:ascii="Verdana" w:eastAsia="Calibri" w:hAnsi="Verdana" w:cs="Arial"/>
          <w:lang w:val="es-ES"/>
        </w:rPr>
      </w:pPr>
    </w:p>
    <w:p w14:paraId="2D7D8BE1"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bookmarkStart w:id="20" w:name="_Hlk171937934"/>
      <w:r w:rsidRPr="00E20784">
        <w:rPr>
          <w:rFonts w:ascii="Verdana" w:eastAsia="Calibri" w:hAnsi="Verdana" w:cs="Arial"/>
          <w:color w:val="000000" w:themeColor="text1"/>
          <w:lang w:val="es-ES"/>
        </w:rPr>
        <w:t xml:space="preserve">Con todo, las ESAL pueden participar en igualdad de condiciones en procesos de contratación regidos por la Ley 80 de 1993, la Ley 1150 de 2007 y el Decreto 1082 de 2015, </w:t>
      </w:r>
      <w:r w:rsidRPr="00E20784">
        <w:rPr>
          <w:rFonts w:ascii="Verdana" w:eastAsia="Calibri" w:hAnsi="Verdana" w:cs="Arial"/>
          <w:color w:val="000000" w:themeColor="text1"/>
          <w:lang w:val="es-ES"/>
        </w:rPr>
        <w:lastRenderedPageBreak/>
        <w:t>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bookmarkEnd w:id="20"/>
      <w:r w:rsidRPr="00E20784">
        <w:rPr>
          <w:rFonts w:ascii="Verdana" w:hAnsi="Verdana" w:cs="Arial"/>
          <w:lang w:val="es-ES"/>
        </w:rPr>
        <w:t>.</w:t>
      </w:r>
    </w:p>
    <w:p w14:paraId="446BFCF2" w14:textId="77777777" w:rsidR="00887898" w:rsidRPr="00E20784" w:rsidRDefault="00887898" w:rsidP="00887898">
      <w:pPr>
        <w:spacing w:after="120" w:line="276" w:lineRule="auto"/>
        <w:ind w:firstLine="709"/>
        <w:jc w:val="both"/>
        <w:rPr>
          <w:rFonts w:ascii="Verdana" w:eastAsia="Calibri" w:hAnsi="Verdana" w:cs="Arial"/>
          <w:color w:val="000000" w:themeColor="text1"/>
          <w:lang w:val="es-ES"/>
        </w:rPr>
      </w:pPr>
      <w:r w:rsidRPr="00E20784">
        <w:rPr>
          <w:rFonts w:ascii="Verdana" w:hAnsi="Verdana" w:cs="Arial"/>
          <w:lang w:val="es-ES"/>
        </w:rPr>
        <w:t xml:space="preserve">En este sentido, </w:t>
      </w:r>
      <w:r w:rsidRPr="00E20784">
        <w:rPr>
          <w:rFonts w:ascii="Verdana" w:eastAsia="Calibri" w:hAnsi="Verdana" w:cs="Arial"/>
          <w:color w:val="000000" w:themeColor="text1"/>
          <w:lang w:val="es-ES"/>
        </w:rPr>
        <w:t xml:space="preserve">los contratos </w:t>
      </w:r>
      <w:r>
        <w:rPr>
          <w:rFonts w:ascii="Verdana" w:eastAsia="Calibri" w:hAnsi="Verdana" w:cs="Arial"/>
          <w:color w:val="000000" w:themeColor="text1"/>
          <w:lang w:val="es-ES"/>
        </w:rPr>
        <w:t>de</w:t>
      </w:r>
      <w:r w:rsidRPr="00E20784">
        <w:rPr>
          <w:rFonts w:ascii="Verdana" w:eastAsia="Calibri" w:hAnsi="Verdana" w:cs="Arial"/>
          <w:color w:val="000000" w:themeColor="text1"/>
          <w:lang w:val="es-ES"/>
        </w:rPr>
        <w:t xml:space="preserve"> colaboración y convenios de asociación, regidos por el Decreto 092 de 2017,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 </w:t>
      </w:r>
    </w:p>
    <w:p w14:paraId="7DD3B151"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De esta manera, para efectos de la celebración de estos negocios jurídicos, resulta imprescindible atender tanto a la naturaleza jurídica como al objeto específico que se persigue con su celebración, en armonía con el marco normativo aplicable. Así pues, más allá de las actividades definidas –sea una construcción o el desarrollo de un diseño– lo determinante para establecer la procedencia de la aplicación del contrato de colaboración o el convenio de asociación </w:t>
      </w:r>
      <w:r w:rsidRPr="00E20784">
        <w:rPr>
          <w:rFonts w:ascii="Verdana" w:hAnsi="Verdana" w:cs="Arial"/>
          <w:i/>
          <w:iCs/>
          <w:lang w:val="es-ES"/>
        </w:rPr>
        <w:t>es el cumplimiento de los requisitos expuestos que evidencian el propósito común en su celebración y la inexistencia de una relación conmutativa</w:t>
      </w:r>
      <w:r w:rsidRPr="00E20784">
        <w:rPr>
          <w:rFonts w:ascii="Verdana" w:hAnsi="Verdana" w:cs="Arial"/>
          <w:lang w:val="es-ES"/>
        </w:rPr>
        <w:t xml:space="preserve">, en la que se presente un intercambio de bienes y servicios entre las partes. </w:t>
      </w:r>
    </w:p>
    <w:p w14:paraId="3D4675B9" w14:textId="77777777" w:rsidR="00887898" w:rsidRPr="00E20784" w:rsidRDefault="00887898" w:rsidP="00887898">
      <w:pPr>
        <w:spacing w:after="120" w:line="276" w:lineRule="auto"/>
        <w:ind w:firstLine="709"/>
        <w:jc w:val="both"/>
        <w:rPr>
          <w:rFonts w:ascii="Verdana" w:hAnsi="Verdana" w:cs="Arial"/>
          <w:lang w:val="es-ES"/>
        </w:rPr>
      </w:pPr>
      <w:r w:rsidRPr="00E20784">
        <w:rPr>
          <w:rFonts w:ascii="Verdana" w:hAnsi="Verdana" w:cs="Arial"/>
          <w:lang w:val="es-ES"/>
        </w:rPr>
        <w:t xml:space="preserve">Por tanto, debe verificarse que el objeto del contrato no encubra una relación conmutativa, en la que una parte simplemente ejecuta una actividad y la otra retribuye económicamente, pues ello correspondería a un contrato tradicional –como por ejemplo, un contrato de obra o de consultoría–, que exige seguir los procedimientos del EGCAP. </w:t>
      </w:r>
    </w:p>
    <w:p w14:paraId="531F1971" w14:textId="77777777" w:rsidR="00887898" w:rsidRPr="00E20784" w:rsidRDefault="00887898" w:rsidP="00887898">
      <w:pPr>
        <w:spacing w:after="120" w:line="276" w:lineRule="auto"/>
        <w:ind w:firstLine="709"/>
        <w:jc w:val="both"/>
        <w:rPr>
          <w:lang w:val="es-ES"/>
        </w:rPr>
      </w:pPr>
      <w:r w:rsidRPr="00E20784">
        <w:rPr>
          <w:rFonts w:ascii="Verdana" w:eastAsia="Calibri" w:hAnsi="Verdana" w:cs="Arial"/>
          <w:lang w:val="es-ES"/>
        </w:rPr>
        <w:t xml:space="preserve">En tal sentido, ha reiterado el Consejo de Estado que “el convenio de asociación se celebra para obtener la realización de fines comunes y por ello cada participante asume una parte de lo necesario para alcanzar el propósito colectivo planteado”. De esta forma, la entrega del aporte o el cumplimiento de alguna obligación derivada del convenio no podría considerarse equivalente a lo hecho por la otra parte, </w:t>
      </w:r>
      <w:r w:rsidRPr="00E20784">
        <w:rPr>
          <w:rFonts w:ascii="Verdana" w:hAnsi="Verdana"/>
          <w:lang w:val="es-ES"/>
        </w:rPr>
        <w:t xml:space="preserve">pues todo se hace en virtud de una finalidad común. Por ello, se resalta que “si el aporte de la entidad es en dinero, esta no puede limitarse a entregarlo y transferir la ejecución de la actividad al particular, pues ello daría lugar a un contrato conmutativo, por el cual la primera paga el servicio, </w:t>
      </w:r>
      <w:r w:rsidRPr="00E20784">
        <w:rPr>
          <w:rFonts w:ascii="Verdana" w:hAnsi="Verdana"/>
          <w:lang w:val="es-ES"/>
        </w:rPr>
        <w:lastRenderedPageBreak/>
        <w:t>actividad o bien proporcionado por el segundo, lo que desdeciría la ejecución conjunta”</w:t>
      </w:r>
      <w:r w:rsidRPr="00E20784">
        <w:rPr>
          <w:rFonts w:ascii="Verdana" w:hAnsi="Verdana"/>
          <w:vertAlign w:val="superscript"/>
          <w:lang w:val="es-ES"/>
        </w:rPr>
        <w:footnoteReference w:id="15"/>
      </w:r>
      <w:r w:rsidRPr="00E20784">
        <w:rPr>
          <w:rFonts w:ascii="Verdana" w:hAnsi="Verdana"/>
          <w:lang w:val="es-ES"/>
        </w:rPr>
        <w:t>.</w:t>
      </w:r>
      <w:r w:rsidRPr="00E20784">
        <w:rPr>
          <w:lang w:val="es-ES"/>
        </w:rPr>
        <w:t xml:space="preserve"> </w:t>
      </w:r>
    </w:p>
    <w:p w14:paraId="6B1FD8B8" w14:textId="77777777" w:rsidR="00887898" w:rsidRDefault="00887898" w:rsidP="00887898">
      <w:pPr>
        <w:spacing w:after="0" w:line="276" w:lineRule="auto"/>
        <w:ind w:firstLine="709"/>
        <w:jc w:val="both"/>
        <w:rPr>
          <w:rFonts w:ascii="Verdana" w:eastAsia="Calibri" w:hAnsi="Verdana" w:cs="Arial"/>
          <w:lang w:val="es-ES"/>
        </w:rPr>
      </w:pPr>
      <w:r w:rsidRPr="00E20784">
        <w:rPr>
          <w:rFonts w:ascii="Verdana" w:hAnsi="Verdana" w:cs="Arial"/>
          <w:lang w:val="es-ES"/>
        </w:rPr>
        <w:t>Por consiguiente, si lo que pretende la entidad es la adquisición de un servicio como la realización de estudios y diseños o la ejecución de obras que involucren una</w:t>
      </w:r>
      <w:r w:rsidRPr="00E20784">
        <w:rPr>
          <w:rFonts w:ascii="Verdana" w:eastAsia="Calibri" w:hAnsi="Verdana" w:cs="Arial"/>
          <w:lang w:val="es-ES"/>
        </w:rPr>
        <w:t xml:space="preserve"> contraprestación directa a favor de la entidad y realicen actividades que correspondan al giro normal de las funciones propias de esta, no se enmarcaría en los objetos de los contratos de colaboración y convenios de asociación que se rigen por el Decreto 092 de 2017 y por tanto, deben sujetarse a los procedimientos y modalidades de contratación de la ley 80 de 1993.</w:t>
      </w:r>
    </w:p>
    <w:p w14:paraId="3FC9EE6C" w14:textId="77777777" w:rsidR="00887898" w:rsidRPr="00E20784" w:rsidRDefault="00887898" w:rsidP="00887898">
      <w:pPr>
        <w:spacing w:after="0" w:line="276" w:lineRule="auto"/>
        <w:ind w:firstLine="709"/>
        <w:jc w:val="both"/>
        <w:rPr>
          <w:rFonts w:ascii="Verdana" w:eastAsia="Calibri" w:hAnsi="Verdana" w:cs="Arial"/>
          <w:lang w:val="es-ES"/>
        </w:rPr>
      </w:pPr>
    </w:p>
    <w:p w14:paraId="40CC8E82" w14:textId="77777777" w:rsidR="00887898" w:rsidRPr="00E20784" w:rsidRDefault="00887898" w:rsidP="00887898">
      <w:pPr>
        <w:spacing w:after="120" w:line="276" w:lineRule="auto"/>
        <w:jc w:val="both"/>
        <w:rPr>
          <w:rFonts w:ascii="Verdana" w:hAnsi="Verdana" w:cs="Arial"/>
          <w:color w:val="000000" w:themeColor="text1"/>
          <w:lang w:val="es-ES"/>
        </w:rPr>
      </w:pPr>
      <w:proofErr w:type="spellStart"/>
      <w:r w:rsidRPr="00E20784">
        <w:rPr>
          <w:rFonts w:ascii="Verdana" w:eastAsia="Calibri" w:hAnsi="Verdana" w:cs="Arial"/>
          <w:lang w:val="es-ES"/>
        </w:rPr>
        <w:t>iii</w:t>
      </w:r>
      <w:proofErr w:type="spellEnd"/>
      <w:r w:rsidRPr="00E20784">
        <w:rPr>
          <w:rFonts w:ascii="Verdana" w:eastAsia="Calibri" w:hAnsi="Verdana" w:cs="Arial"/>
          <w:lang w:val="es-ES"/>
        </w:rPr>
        <w:t xml:space="preserve">. En virtud de lo expuesto, es claro que </w:t>
      </w:r>
      <w:r w:rsidRPr="00E20784">
        <w:rPr>
          <w:rFonts w:ascii="Verdana" w:hAnsi="Verdana" w:cs="Arial"/>
          <w:color w:val="000000" w:themeColor="text1"/>
          <w:lang w:val="es-ES"/>
        </w:rPr>
        <w:t xml:space="preserve">la urgencia manifiesta no habilita a las Entidades Estatales para prescindir del proceso competitivo exigido </w:t>
      </w:r>
      <w:r>
        <w:rPr>
          <w:rFonts w:ascii="Verdana" w:hAnsi="Verdana" w:cs="Arial"/>
          <w:color w:val="000000" w:themeColor="text1"/>
          <w:lang w:val="es-ES"/>
        </w:rPr>
        <w:t xml:space="preserve">en el marco del </w:t>
      </w:r>
      <w:r w:rsidRPr="00E20784">
        <w:rPr>
          <w:rFonts w:ascii="Verdana" w:hAnsi="Verdana" w:cs="Arial"/>
          <w:color w:val="000000" w:themeColor="text1"/>
          <w:lang w:val="es-ES"/>
        </w:rPr>
        <w:t>Decreto 092 de 2017. Es importante resaltar que se trata de supuestos jurídicos distintos cuya aplicación depende de que se cumplan los requisitos y el ámbito de aplicación establecido en la normativa. Así, la causal prevista en el artículo 42 de la Ley 80 de 1993 y en el literal a) del numeral 4 del artículo 2 de la Ley 1150 de 2007 es una excepción a las modalidades de selección competitivas del Estatuto General de Contratación de la Administración Pública. Su supuesto de hecho es que la continuidad del servicio exige el suministro de bienes, o la prestación de servicios, o la ejecución de obras en el inmediato futuro, o que se presenten situaciones que imposibiliten acudir a los procedimientos de selección o concurso públicos. Por su propia definición, se trata de un mecanismo para que la entidad se abastezca de manera inmediata de los bienes, obras o servicios que requiere, es decir, que es procedente para celebrar contratos en los que recibe una prestación a cambio de un precio.</w:t>
      </w:r>
    </w:p>
    <w:p w14:paraId="0283F2F0"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 xml:space="preserve">Por su parte, los contratos de colaboración y los convenios de asociación del Decreto 092 de 2017 responden a una lógica diferente, son esencialmente distintos a los contratos para la adquisición y aprovisionamiento de bienes, obras o servicios regulados por el estatuto de contratación y no hacen parte del sistema de compra pública. Su finalidad no es satisfacer una necesidad de abastecimiento de la entidad, sino impulsar programas y actividades de interés público acordes con los planes de desarrollo, en el caso del artículo 355 de la Constitución Política, o desarrollar conjuntamente actividades relacionadas con </w:t>
      </w:r>
      <w:r w:rsidRPr="00E20784">
        <w:rPr>
          <w:rFonts w:ascii="Verdana" w:hAnsi="Verdana" w:cs="Arial"/>
          <w:color w:val="000000" w:themeColor="text1"/>
          <w:lang w:val="es-ES"/>
        </w:rPr>
        <w:lastRenderedPageBreak/>
        <w:t xml:space="preserve">los cometidos y funciones de la entidad, en el caso del artículo 96 de la Ley 489 de 1998. Por ello, el reglamento previó sus propias reglas de selección: el artículo 4 ordena adelantar un proceso competitivo cuando </w:t>
      </w:r>
      <w:r>
        <w:rPr>
          <w:rFonts w:ascii="Verdana" w:hAnsi="Verdana" w:cs="Arial"/>
          <w:color w:val="000000" w:themeColor="text1"/>
          <w:lang w:val="es-ES"/>
        </w:rPr>
        <w:t xml:space="preserve">la entidad, </w:t>
      </w:r>
      <w:r w:rsidRPr="00E20784">
        <w:rPr>
          <w:rFonts w:ascii="Verdana" w:hAnsi="Verdana" w:cs="Arial"/>
          <w:color w:val="000000" w:themeColor="text1"/>
          <w:lang w:val="es-ES"/>
        </w:rPr>
        <w:t>en la etapa de planeación</w:t>
      </w:r>
      <w:r>
        <w:rPr>
          <w:rFonts w:ascii="Verdana" w:hAnsi="Verdana" w:cs="Arial"/>
          <w:color w:val="000000" w:themeColor="text1"/>
          <w:lang w:val="es-ES"/>
        </w:rPr>
        <w:t xml:space="preserve">, </w:t>
      </w:r>
      <w:r w:rsidRPr="00E20784">
        <w:rPr>
          <w:rFonts w:ascii="Verdana" w:hAnsi="Verdana" w:cs="Arial"/>
          <w:color w:val="000000" w:themeColor="text1"/>
          <w:lang w:val="es-ES"/>
        </w:rPr>
        <w:t>identifique que el programa o actividad de interés público que requiere desarrollar es ofrecido por más de una Entidad sin ánimo de lucro, y el artículo 5 exime de competencia a los convenios de asociación únicamente cuando la entidad sin ánimo de lucro comprometa recursos en dinero para la ejecución de esas actividades en una proporción no inferior al 30% del valor total del convenio.</w:t>
      </w:r>
    </w:p>
    <w:p w14:paraId="1B0B8F45"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En consecuencia, si la Entidad Estatal pretende celebrar un contrato de colaboración o un convenio de asociación porque se configuran los supuestos de hecho señalados en el Decreto 092 de 2017, debe aplicar las reglas de selección y tipologías establecidas en esta norma, aun cuando exista una declaratoria de urgencia manifiesta. Ahora bien, si la situación que motiva dicha declaratoria exige que la entidad obtenga de manera inmediata un bien, una obra o un servicio a cambio de una remuneración, el negocio no corresponde a alguno de los regulados por ese decreto, sino a un contrato conmutativo estatal sometido a las Leyes 80 de 1993 y 1150 de 2007. En este último evento será posible acudir a la urgencia manifiesta, siempre que se cumplan los requisitos del artículo 42 de la Ley 80 de 1993 y se expida el acto administrativo motivado que la declare.</w:t>
      </w:r>
    </w:p>
    <w:p w14:paraId="258418BF"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 xml:space="preserve">Es importante resaltar que la remisión del artículo 8 del Decreto 092 de 2017 no modifica lo expuesto. Esta norma dispone que “[l]a contratación a la que hace referencia el presente decreto está sujeta a las normas generales aplicables a la contratación pública </w:t>
      </w:r>
      <w:r w:rsidRPr="00E20784">
        <w:rPr>
          <w:rFonts w:ascii="Verdana" w:hAnsi="Verdana" w:cs="Arial"/>
          <w:i/>
          <w:iCs/>
          <w:color w:val="000000" w:themeColor="text1"/>
          <w:lang w:val="es-ES"/>
        </w:rPr>
        <w:t>excepto en lo reglamentado en el presente decreto</w:t>
      </w:r>
      <w:r w:rsidRPr="00E20784">
        <w:rPr>
          <w:rFonts w:ascii="Verdana" w:hAnsi="Verdana" w:cs="Arial"/>
          <w:color w:val="000000" w:themeColor="text1"/>
          <w:lang w:val="es-ES"/>
        </w:rPr>
        <w:t xml:space="preserve">” [énfasis propio]. La forma de seleccionar a la ESAL y las tipologías contractuales son, precisamente, asuntos que el decreto reglamentó de manera expresa, de modo que sobre estos no opera una remisión a las causales de contratación directa del numeral 4 del artículo 2 de la Ley 1150 de 2007. A ello se suma que, en el caso de los convenios de asociación, el artículo 5 precisa que estos “están regidos por el artículo 96 de la Ley 489 de 1998 y los artículos 5o, 6o, 7o y 8o del presente decreto”. En cualquier caso, las excepciones al proceso competitivo son de interpretación restrictiva y no pueden extenderse a supuestos que el reglamento no contempla. </w:t>
      </w:r>
    </w:p>
    <w:p w14:paraId="57B61739"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lastRenderedPageBreak/>
        <w:t>Se sigue de lo anterior que la calidad de ESAL del contratista no somete automáticamente a un contrato estatal conmutativo al régimen previsto en el Decreto 092 de 2017. Como se explicó, lo que determina la aplicación de este decreto no es únicamente el carácter de las ESAL, sino el objeto del contrato o convenio que la entidad pretende adelantar. El literal b) del artículo 2 del Decreto 092 de 2017 condiciona la procedencia de los contratos de colaboración a “[q]</w:t>
      </w:r>
      <w:proofErr w:type="spellStart"/>
      <w:r w:rsidRPr="00E20784">
        <w:rPr>
          <w:rFonts w:ascii="Verdana" w:hAnsi="Verdana" w:cs="Arial"/>
          <w:color w:val="000000" w:themeColor="text1"/>
          <w:lang w:val="es-ES"/>
        </w:rPr>
        <w:t>ue</w:t>
      </w:r>
      <w:proofErr w:type="spellEnd"/>
      <w:r w:rsidRPr="00E20784">
        <w:rPr>
          <w:rFonts w:ascii="Verdana" w:hAnsi="Verdana" w:cs="Arial"/>
          <w:color w:val="000000" w:themeColor="text1"/>
          <w:lang w:val="es-ES"/>
        </w:rPr>
        <w:t xml:space="preserve"> el contrato no comporte una relación conmutativa en el cual haya una contraprestación directa a favor de la Entidad Estatal, ni instrucciones precisas dadas por esta al contratista para cumplir con el objeto del contrato”</w:t>
      </w:r>
      <w:r w:rsidRPr="00E20784">
        <w:rPr>
          <w:rFonts w:ascii="Verdana" w:hAnsi="Verdana" w:cs="Arial"/>
          <w:vertAlign w:val="superscript"/>
          <w:lang w:val="es-ES"/>
        </w:rPr>
        <w:footnoteReference w:id="16"/>
      </w:r>
      <w:r w:rsidRPr="00E20784">
        <w:rPr>
          <w:rFonts w:ascii="Verdana" w:hAnsi="Verdana" w:cs="Arial"/>
          <w:color w:val="000000" w:themeColor="text1"/>
          <w:lang w:val="es-ES"/>
        </w:rPr>
        <w:t>. Los convenios de asociación tampoco admiten una contraprestación, pues en ellos los aportes se dirigen “exclusivamente, a lograr la ejecución del convenio no a remunerar la actividad o actuaciones del asociado”.</w:t>
      </w:r>
    </w:p>
    <w:p w14:paraId="7FA5DC9D"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Por tanto, cuando la entidad contrata un servicio que ella misma define y remunera, existe una relación conmutativa en la que recibe una prestación a cambio de un precio, aunque la contraparte resulte ser una ESAL. En ese evento, como lo sostuvo la Sala de Consulta y Servicio Civil del Consejo de Estado, los contratos “[…]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r w:rsidRPr="00E20784">
        <w:rPr>
          <w:rFonts w:ascii="Verdana" w:hAnsi="Verdana" w:cs="Arial"/>
          <w:vertAlign w:val="superscript"/>
          <w:lang w:val="es-ES"/>
        </w:rPr>
        <w:footnoteReference w:id="17"/>
      </w:r>
      <w:r w:rsidRPr="00E20784">
        <w:rPr>
          <w:rFonts w:ascii="Verdana" w:hAnsi="Verdana" w:cs="Arial"/>
          <w:color w:val="000000" w:themeColor="text1"/>
          <w:lang w:val="es-ES"/>
        </w:rPr>
        <w:t>. Por esto, si la entidad estatal adquiere o se abastece de un bien, obra o servicio en un contrato conmutativo en el cual el proveedor es una ESAL, debe aplicar el régimen contenido en las Leyes 80 de 1993 y 1150 de 2007, y no el Decreto 092 de 2017.</w:t>
      </w:r>
    </w:p>
    <w:p w14:paraId="190D7D5B"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Así, cuando una Entidad Estatal declara la urgencia manifiesta y contrata directamente con una ESAL un servicio en una relación conmutativa, ese contrato se rige por el EGCAP, y</w:t>
      </w:r>
      <w:r w:rsidRPr="00513B5B">
        <w:t xml:space="preserve"> </w:t>
      </w:r>
      <w:r w:rsidRPr="00513B5B">
        <w:rPr>
          <w:rFonts w:ascii="Verdana" w:hAnsi="Verdana" w:cs="Arial"/>
          <w:color w:val="000000" w:themeColor="text1"/>
        </w:rPr>
        <w:t>podrá acudirse a la urgencia manifiesta siempre que se cumplan los requisitos del artículo 42 de la Ley 80 de 1993</w:t>
      </w:r>
      <w:r w:rsidRPr="00E20784">
        <w:rPr>
          <w:rFonts w:ascii="Verdana" w:hAnsi="Verdana" w:cs="Arial"/>
          <w:color w:val="000000" w:themeColor="text1"/>
          <w:lang w:val="es-ES"/>
        </w:rPr>
        <w:t xml:space="preserve">. En consecuencia, no le son exigibles las condiciones propias del régimen contractual establecido en el Decreto 092 de 2017, como el proceso competitivo de los </w:t>
      </w:r>
      <w:r w:rsidRPr="00E20784">
        <w:rPr>
          <w:rFonts w:ascii="Verdana" w:hAnsi="Verdana" w:cs="Arial"/>
          <w:color w:val="000000" w:themeColor="text1"/>
          <w:lang w:val="es-ES"/>
        </w:rPr>
        <w:lastRenderedPageBreak/>
        <w:t>artículos 4 y 5 o el aporte en dinero previsto para los convenios de asociación. En todo caso, corresponde a la entidad verificar que la denominación del negocio corresponda a su contenido real, pues no puede acudirse a la figura del contrato conmutativo para eludir las reglas del Decreto 092 de 2017, ni a los contratos de colaboración o convenios de asociación para eludir los procedimientos de selección del Estatuto General de Contratación.</w:t>
      </w:r>
    </w:p>
    <w:p w14:paraId="358ECB86"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Con respecto al tercer problema jurídico planteado, el compromiso del contratista de aportar recursos o capacidades propias, pactado como una obligación del contrato</w:t>
      </w:r>
      <w:r>
        <w:rPr>
          <w:rFonts w:ascii="Verdana" w:hAnsi="Verdana" w:cs="Arial"/>
          <w:color w:val="000000" w:themeColor="text1"/>
          <w:lang w:val="es-ES"/>
        </w:rPr>
        <w:t>,</w:t>
      </w:r>
      <w:r w:rsidRPr="00E20784">
        <w:rPr>
          <w:rFonts w:ascii="Verdana" w:hAnsi="Verdana" w:cs="Arial"/>
          <w:color w:val="000000" w:themeColor="text1"/>
          <w:lang w:val="es-ES"/>
        </w:rPr>
        <w:t xml:space="preserve"> tampoco somete por sí solo ese negocio jurídico al Decreto 092 de 2017, ni hace exigible el aporte en dinero previsto en el artículo 5 ibidem. La naturaleza del negocio no depende de que el contratista ponga a disposición medios propios, sino de si existe una relación conmutativa o un propósito común, y de si se cumplen los presupuestos jurídicos que determinan la aplicación de dicho régimen de contratación. En los contratos estatales es usual que el contratista ejecute el objeto con su propio personal, equipos, conocimientos y recursos, sin que ello convierta la remuneración que recibe en un aporte ni el contrato en un convenio de asociación o contrato de</w:t>
      </w:r>
      <w:r>
        <w:rPr>
          <w:rFonts w:ascii="Verdana" w:hAnsi="Verdana" w:cs="Arial"/>
          <w:color w:val="000000" w:themeColor="text1"/>
          <w:lang w:val="es-ES"/>
        </w:rPr>
        <w:t>l</w:t>
      </w:r>
      <w:r w:rsidRPr="00E20784">
        <w:rPr>
          <w:rFonts w:ascii="Verdana" w:hAnsi="Verdana" w:cs="Arial"/>
          <w:color w:val="000000" w:themeColor="text1"/>
          <w:lang w:val="es-ES"/>
        </w:rPr>
        <w:t xml:space="preserve"> artículo 355 constitucional. Si la entidad paga un precio por un servicio, los recursos y capacidades que emplea el contratista hacen parte de la prestación a su cargo y el negocio conserva su carácter conmutativo, sujeto a las Leyes 80 de 1993 y 1150 de 2007.</w:t>
      </w:r>
    </w:p>
    <w:p w14:paraId="4222A7C0" w14:textId="77777777" w:rsidR="00887898" w:rsidRPr="00E20784" w:rsidRDefault="00887898" w:rsidP="00887898">
      <w:pPr>
        <w:spacing w:before="120" w:after="120" w:line="276" w:lineRule="auto"/>
        <w:ind w:firstLine="709"/>
        <w:jc w:val="both"/>
        <w:rPr>
          <w:rFonts w:ascii="Verdana" w:hAnsi="Verdana" w:cs="Arial"/>
          <w:color w:val="000000" w:themeColor="text1"/>
          <w:lang w:val="es-ES"/>
        </w:rPr>
      </w:pPr>
      <w:r w:rsidRPr="00E20784">
        <w:rPr>
          <w:rFonts w:ascii="Verdana" w:hAnsi="Verdana" w:cs="Arial"/>
          <w:color w:val="000000" w:themeColor="text1"/>
          <w:lang w:val="es-ES"/>
        </w:rPr>
        <w:t>En contraste, en los convenios de asociación “no existe contraprestación o pago, sino aportes”, porque, como lo ha reiterado el Consejo de Estado, “el convenio de asociación se celebra para obtener la realización de fines comunes y por ello cada participante asume una parte de lo necesario para alcanzar el propósito colectivo planteado”. Por esa razón, esa Corporación advirtió que “si el aporte de la entidad es en dinero, esta no puede limitarse a entregarlo y transferir la ejecución de la actividad al particular, pues ello daría lugar a un contrato conmutativo, por el cual la primera paga el servicio, actividad o bien proporcionado por el segundo, lo que desdeciría la ejecución conjunta”</w:t>
      </w:r>
      <w:r w:rsidRPr="00E20784">
        <w:rPr>
          <w:rFonts w:ascii="Verdana" w:hAnsi="Verdana" w:cs="Arial"/>
          <w:vertAlign w:val="superscript"/>
          <w:lang w:val="es-ES"/>
        </w:rPr>
        <w:footnoteReference w:id="18"/>
      </w:r>
      <w:r w:rsidRPr="00E20784">
        <w:rPr>
          <w:rFonts w:ascii="Verdana" w:hAnsi="Verdana" w:cs="Arial"/>
          <w:color w:val="000000" w:themeColor="text1"/>
          <w:lang w:val="es-ES"/>
        </w:rPr>
        <w:t>. De este modo, un aporte pactado formalmente no transforma en convenio de asociación un negocio en el que, en realidad, la entidad remunera una prestación en el marco de una relación conmutativa.</w:t>
      </w:r>
    </w:p>
    <w:p w14:paraId="468A42F2" w14:textId="77777777" w:rsidR="00887898" w:rsidRPr="00E20784" w:rsidRDefault="00887898" w:rsidP="00887898">
      <w:pPr>
        <w:spacing w:before="120" w:after="120" w:line="276" w:lineRule="auto"/>
        <w:jc w:val="both"/>
        <w:rPr>
          <w:rFonts w:ascii="Verdana" w:hAnsi="Verdana" w:cs="Arial"/>
          <w:color w:val="000000" w:themeColor="text1"/>
          <w:lang w:val="es-ES"/>
        </w:rPr>
      </w:pPr>
      <w:r w:rsidRPr="00E20784">
        <w:rPr>
          <w:rFonts w:ascii="Verdana" w:hAnsi="Verdana" w:cs="Arial"/>
          <w:color w:val="000000" w:themeColor="text1"/>
          <w:lang w:val="es-ES"/>
        </w:rPr>
        <w:lastRenderedPageBreak/>
        <w:t xml:space="preserve">Finalmente, el aporte en dinero no inferior al treinta por ciento (30%) del valor total </w:t>
      </w:r>
      <w:r>
        <w:rPr>
          <w:rFonts w:ascii="Verdana" w:hAnsi="Verdana" w:cs="Arial"/>
          <w:color w:val="000000" w:themeColor="text1"/>
          <w:lang w:val="es-ES"/>
        </w:rPr>
        <w:t xml:space="preserve">del convenio </w:t>
      </w:r>
      <w:r w:rsidRPr="00E20784">
        <w:rPr>
          <w:rFonts w:ascii="Verdana" w:hAnsi="Verdana" w:cs="Arial"/>
          <w:color w:val="000000" w:themeColor="text1"/>
          <w:lang w:val="es-ES"/>
        </w:rPr>
        <w:t>es un requisito que opera exclusivamente en los convenios de asociación del artículo 96 de la Ley 489 de 1998, y cuya función es eximir a la entidad del proceso competitivo para seleccionar a la ESAL. Por ello, no es exigible en un contrato estatal conmutativo sometido al EGCAP. Si, por el contrario, el negocio corresponde efectivamente a un convenio de asociación, la entidad deberá adelantar un proceso competitivo, salvo que la ESAL comprometa recursos en dinero en la proporción señalada, sin que para estos efectos los aportes en especie o en capacidades se computen dentro de dicho porcentaje. Como se explicó, la urgencia manifiesta no sustituye el proceso competitivo ni el aporte en dinero que exige el artículo 5 del Decreto 092 de 2017.</w:t>
      </w:r>
    </w:p>
    <w:p w14:paraId="413721B8" w14:textId="77777777" w:rsidR="00887898" w:rsidRPr="00E20784" w:rsidRDefault="00887898" w:rsidP="00887898">
      <w:pPr>
        <w:spacing w:after="120" w:line="276" w:lineRule="auto"/>
        <w:ind w:firstLine="709"/>
        <w:jc w:val="both"/>
        <w:rPr>
          <w:rFonts w:ascii="Verdana" w:eastAsia="Calibri" w:hAnsi="Verdana" w:cs="Arial"/>
          <w:bCs/>
          <w:color w:val="000000" w:themeColor="text1"/>
          <w:lang w:val="es-ES"/>
        </w:rPr>
      </w:pPr>
      <w:r w:rsidRPr="00E20784">
        <w:rPr>
          <w:rFonts w:ascii="Verdana" w:eastAsia="Calibri" w:hAnsi="Verdana" w:cs="Arial"/>
          <w:bCs/>
          <w:color w:val="000000" w:themeColor="text1"/>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lang w:val="es-ES"/>
        </w:rPr>
        <w:t xml:space="preserve">en </w:t>
      </w:r>
      <w:r w:rsidRPr="00E20784">
        <w:rPr>
          <w:rFonts w:ascii="Verdana" w:eastAsia="Calibri" w:hAnsi="Verdana" w:cs="Arial"/>
          <w:bCs/>
          <w:color w:val="000000" w:themeColor="text1"/>
          <w:lang w:val="es-ES"/>
        </w:rPr>
        <w:t>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156795" w14:textId="77777777" w:rsidR="00887898" w:rsidRPr="00E20784" w:rsidRDefault="00887898" w:rsidP="00887898">
      <w:pPr>
        <w:spacing w:after="120" w:line="276" w:lineRule="auto"/>
        <w:ind w:firstLine="709"/>
        <w:jc w:val="both"/>
        <w:rPr>
          <w:rFonts w:ascii="Verdana" w:eastAsia="Calibri" w:hAnsi="Verdana" w:cs="Arial"/>
          <w:lang w:val="es-ES"/>
        </w:rPr>
      </w:pPr>
      <w:r w:rsidRPr="00E20784">
        <w:rPr>
          <w:rFonts w:ascii="Verdana" w:eastAsia="Calibri" w:hAnsi="Verdana" w:cs="Arial"/>
          <w:bCs/>
          <w:color w:val="000000" w:themeColor="text1"/>
          <w:lang w:val="es-ES"/>
        </w:rPr>
        <w:t>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E20784">
        <w:rPr>
          <w:rFonts w:ascii="Verdana" w:eastAsia="Calibri" w:hAnsi="Verdana" w:cs="Arial"/>
          <w:lang w:val="es-ES"/>
        </w:rPr>
        <w:t>.</w:t>
      </w:r>
    </w:p>
    <w:p w14:paraId="7F33B3DD" w14:textId="77777777" w:rsidR="00887898" w:rsidRPr="00E20784" w:rsidRDefault="00887898" w:rsidP="00887898">
      <w:pPr>
        <w:spacing w:after="0" w:line="276" w:lineRule="auto"/>
        <w:jc w:val="both"/>
        <w:rPr>
          <w:rFonts w:ascii="Verdana" w:eastAsia="Times New Roman" w:hAnsi="Verdana" w:cs="Arial"/>
          <w:color w:val="000000" w:themeColor="text1"/>
          <w:lang w:val="es-ES"/>
        </w:rPr>
      </w:pPr>
    </w:p>
    <w:p w14:paraId="7D88257C" w14:textId="77777777" w:rsidR="00887898" w:rsidRPr="00E20784" w:rsidRDefault="00887898" w:rsidP="00887898">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20784">
        <w:rPr>
          <w:rFonts w:ascii="Verdana" w:eastAsia="Century Gothic" w:hAnsi="Verdana" w:cs="Century Gothic"/>
          <w:b/>
          <w:color w:val="000000" w:themeColor="text1"/>
        </w:rPr>
        <w:t>Referencias normativas, jurisprudenciales y otras fuentes:</w:t>
      </w:r>
    </w:p>
    <w:p w14:paraId="6B12FE28" w14:textId="77777777" w:rsidR="00887898" w:rsidRPr="00E20784" w:rsidRDefault="00887898" w:rsidP="00887898">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87898" w:rsidRPr="00E20784" w14:paraId="437126BD" w14:textId="77777777" w:rsidTr="00EA0EB1">
        <w:trPr>
          <w:trHeight w:val="297"/>
        </w:trPr>
        <w:tc>
          <w:tcPr>
            <w:tcW w:w="8647" w:type="dxa"/>
          </w:tcPr>
          <w:p w14:paraId="52AD24F7"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lastRenderedPageBreak/>
              <w:t>Constitución Política: Artículos 209, 339 a 344 y 355.</w:t>
            </w:r>
          </w:p>
          <w:p w14:paraId="576FE8E0"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Ley 80 de 1993: Artículos 3, 11, 12 y 42.</w:t>
            </w:r>
          </w:p>
          <w:p w14:paraId="7B45CEB6"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Ley 489 de 1998: Artículo 96.</w:t>
            </w:r>
          </w:p>
          <w:p w14:paraId="40180731"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Ley 1150 de 2007: Artículo 2, numeral 4, literal a).</w:t>
            </w:r>
          </w:p>
          <w:p w14:paraId="74D8AC01"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Decreto Ley 222 de 1983: Artículo 43, numeral 16 (derogado).</w:t>
            </w:r>
          </w:p>
          <w:p w14:paraId="374B8DF6"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Decreto 1082 de 2015: Artículo 2.2.1.2.1.4.2.</w:t>
            </w:r>
          </w:p>
          <w:p w14:paraId="6891E9E9"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Decreto 092 de 2017: Artículos 2, 3, 4, 5 y 8.</w:t>
            </w:r>
          </w:p>
          <w:p w14:paraId="40C77DCA"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Corte Constitucional. Sala Plena. Sentencia C-324 de 2009. M.P.: Juan Carlos Henao Pérez.</w:t>
            </w:r>
          </w:p>
          <w:p w14:paraId="403188AC"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Corte Constitucional. Sala Plena. Sentencia C-287 del 18 de abril de 2012. M.P.: María Victoria Calle Correa.</w:t>
            </w:r>
          </w:p>
          <w:p w14:paraId="4755039A"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Corte Constitucional. Sala Plena. Sentencia C-027 de 2016. M.P.: María Victoria Calle Correa.</w:t>
            </w:r>
          </w:p>
          <w:p w14:paraId="237811F9"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 xml:space="preserve">Consejo de Estado. Sala de Consulta y Servicio Civil. Concepto del 28 de enero de 1998, con radicado No. 1073. C.P.: Javier Henao </w:t>
            </w:r>
            <w:proofErr w:type="spellStart"/>
            <w:r w:rsidRPr="005C44B4">
              <w:rPr>
                <w:rFonts w:ascii="Verdana" w:hAnsi="Verdana"/>
              </w:rPr>
              <w:t>Hidrón</w:t>
            </w:r>
            <w:proofErr w:type="spellEnd"/>
            <w:r w:rsidRPr="005C44B4">
              <w:rPr>
                <w:rFonts w:ascii="Verdana" w:hAnsi="Verdana"/>
              </w:rPr>
              <w:t>.</w:t>
            </w:r>
          </w:p>
          <w:p w14:paraId="50564DEE"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Consejo de Estado. Sala de Consulta y Servicio Civil. Concepto del 24 de febrero de 2005, con radicado No. 1626. C.P.: Gloria Duque Hernández.</w:t>
            </w:r>
          </w:p>
          <w:p w14:paraId="19F88073" w14:textId="77777777" w:rsidR="00887898" w:rsidRPr="005C44B4" w:rsidRDefault="00887898" w:rsidP="00EA0EB1">
            <w:pPr>
              <w:numPr>
                <w:ilvl w:val="0"/>
                <w:numId w:val="16"/>
              </w:numPr>
              <w:spacing w:before="120" w:after="120"/>
              <w:ind w:left="714" w:hanging="357"/>
              <w:rPr>
                <w:rFonts w:ascii="Verdana" w:hAnsi="Verdana"/>
              </w:rPr>
            </w:pPr>
            <w:r w:rsidRPr="005C44B4">
              <w:rPr>
                <w:rFonts w:ascii="Verdana" w:hAnsi="Verdana"/>
              </w:rPr>
              <w:t>Consejo de Estado. Sección Tercera. Auto del 6 de agosto de 2019, radicado No. 11001-03-26-000-2018-00113-00 (62003). C.P.: Carlos Alberto Zambrano Barrera.</w:t>
            </w:r>
          </w:p>
          <w:p w14:paraId="6D647F36" w14:textId="77777777" w:rsidR="00887898" w:rsidRPr="005C44B4" w:rsidRDefault="00887898" w:rsidP="00EA0EB1">
            <w:pPr>
              <w:numPr>
                <w:ilvl w:val="0"/>
                <w:numId w:val="16"/>
              </w:numPr>
              <w:spacing w:before="120" w:after="120"/>
              <w:ind w:left="714" w:hanging="357"/>
            </w:pPr>
            <w:r w:rsidRPr="005C44B4">
              <w:rPr>
                <w:rFonts w:ascii="Verdana" w:hAnsi="Verdana"/>
              </w:rPr>
              <w:t>Consejo de Estado. Sección Tercera. Sentencia del 7 de marzo de 2025, radicado No. 63.262. C.P.: María Adriana Marín.</w:t>
            </w:r>
          </w:p>
        </w:tc>
      </w:tr>
    </w:tbl>
    <w:p w14:paraId="66E7FEB1" w14:textId="77777777" w:rsidR="00887898" w:rsidRPr="00E20784" w:rsidRDefault="00887898" w:rsidP="00887898">
      <w:pPr>
        <w:widowControl w:val="0"/>
        <w:autoSpaceDE w:val="0"/>
        <w:autoSpaceDN w:val="0"/>
        <w:spacing w:after="0" w:line="276" w:lineRule="auto"/>
        <w:jc w:val="both"/>
        <w:rPr>
          <w:rFonts w:ascii="Verdana" w:hAnsi="Verdana" w:cs="Arial"/>
          <w:color w:val="000000" w:themeColor="text1"/>
          <w:lang w:val="es-ES"/>
        </w:rPr>
      </w:pPr>
    </w:p>
    <w:p w14:paraId="6D22CAED" w14:textId="77777777" w:rsidR="00887898" w:rsidRPr="00E20784" w:rsidRDefault="00887898" w:rsidP="00887898">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20784">
        <w:rPr>
          <w:rFonts w:ascii="Verdana" w:eastAsia="Century Gothic" w:hAnsi="Verdana" w:cs="Century Gothic"/>
          <w:b/>
          <w:color w:val="000000" w:themeColor="text1"/>
        </w:rPr>
        <w:t>Doctrina de la Agencia Nacional de Contratación Pública:</w:t>
      </w:r>
    </w:p>
    <w:p w14:paraId="6ACFE540" w14:textId="77777777" w:rsidR="00887898" w:rsidRPr="00E20784" w:rsidRDefault="00887898" w:rsidP="00887898">
      <w:pPr>
        <w:widowControl w:val="0"/>
        <w:autoSpaceDE w:val="0"/>
        <w:autoSpaceDN w:val="0"/>
        <w:spacing w:after="0" w:line="276" w:lineRule="auto"/>
        <w:jc w:val="both"/>
        <w:rPr>
          <w:rFonts w:ascii="Verdana" w:hAnsi="Verdana" w:cs="Arial"/>
          <w:color w:val="000000" w:themeColor="text1"/>
          <w:lang w:val="es-ES"/>
        </w:rPr>
      </w:pPr>
    </w:p>
    <w:p w14:paraId="449AAB88" w14:textId="77777777" w:rsidR="00887898" w:rsidRPr="00E20784" w:rsidRDefault="00887898" w:rsidP="00887898">
      <w:pPr>
        <w:spacing w:line="276" w:lineRule="auto"/>
        <w:jc w:val="both"/>
        <w:rPr>
          <w:rFonts w:ascii="Verdana" w:eastAsia="Calibri" w:hAnsi="Verdana" w:cs="Arial"/>
          <w:b/>
          <w:bCs/>
          <w:color w:val="000000" w:themeColor="text1"/>
          <w:lang w:val="es-ES"/>
        </w:rPr>
      </w:pPr>
      <w:r w:rsidRPr="00E20784">
        <w:rPr>
          <w:rFonts w:ascii="Verdana" w:eastAsia="Calibri" w:hAnsi="Verdana" w:cs="Arial"/>
          <w:lang w:val="es-ES"/>
        </w:rPr>
        <w:t xml:space="preserve">La Agencia Nacional de Contratación Pública – Colombia Compra Eficiente se ha pronunciado </w:t>
      </w:r>
      <w:r>
        <w:rPr>
          <w:rFonts w:ascii="Verdana" w:eastAsia="Calibri" w:hAnsi="Verdana" w:cs="Arial"/>
          <w:lang w:val="es-ES"/>
        </w:rPr>
        <w:t xml:space="preserve">sobre </w:t>
      </w:r>
      <w:r w:rsidRPr="00E20784">
        <w:rPr>
          <w:rFonts w:ascii="Verdana" w:hAnsi="Verdana" w:cs="Arial"/>
          <w:shd w:val="clear" w:color="auto" w:fill="FFFFFF"/>
          <w:lang w:val="es-ES"/>
        </w:rPr>
        <w:t xml:space="preserve">el régimen contractual de las ESAL con fundamento en el Decreto 092 de 2017 en los Conceptos 4201912000008310 del 26 de diciembre de 2019, 4201912000007899 del 27 de diciembre de 2019, C-228 del 17 de marzo de 2020, C-014 del 24 de marzo de 2020, C-215 de 31 de marzo de 2020, C-447 del 27 de julio de 2020, C-513 del 30 de julio de 2020, C-483 del 06 de agosto de 2020, C-579 del 4 de septiembre de 2020, C-594 del 7 de septiembre </w:t>
      </w:r>
      <w:r w:rsidRPr="00E20784">
        <w:rPr>
          <w:rFonts w:ascii="Verdana" w:hAnsi="Verdana" w:cs="Arial"/>
          <w:shd w:val="clear" w:color="auto" w:fill="FFFFFF"/>
          <w:lang w:val="es-ES"/>
        </w:rPr>
        <w:lastRenderedPageBreak/>
        <w:t xml:space="preserve">de 2020, C-670 del 22 de noviembre de 2020, C-689 del 1 de diciembre de 2020, C-724 de 14 de diciembre de 2020, C-749 del 23 de diciembre de 2020, C-758 del 04 de enero de 2021, C-806 de 8 de febrero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C-073 del 22 de julio de 2024, C-281 del 29 de octubre de 2024, C-407 del 15 de mayo de 2025, </w:t>
      </w:r>
      <w:r w:rsidRPr="00E20784">
        <w:rPr>
          <w:rFonts w:ascii="Verdana" w:eastAsia="Calibri" w:hAnsi="Verdana" w:cs="Arial"/>
          <w:lang w:val="es-ES" w:eastAsia="es-ES"/>
        </w:rPr>
        <w:t xml:space="preserve">C-942 del 20 de agosto de 2025, </w:t>
      </w:r>
      <w:r w:rsidRPr="00E20784">
        <w:rPr>
          <w:rFonts w:ascii="Verdana" w:hAnsi="Verdana" w:cs="Arial"/>
          <w:shd w:val="clear" w:color="auto" w:fill="FFFFFF"/>
          <w:lang w:val="es-ES"/>
        </w:rPr>
        <w:t>entre otros</w:t>
      </w:r>
      <w:r w:rsidRPr="00E20784">
        <w:rPr>
          <w:rFonts w:ascii="Verdana" w:eastAsia="Arial" w:hAnsi="Verdana" w:cs="Arial"/>
          <w:lang w:val="es-ES"/>
        </w:rPr>
        <w:t>. Estos y</w:t>
      </w:r>
      <w:r w:rsidRPr="00E20784">
        <w:rPr>
          <w:rFonts w:ascii="Verdana" w:hAnsi="Verdana" w:cs="Arial"/>
          <w:shd w:val="clear" w:color="auto" w:fill="FFFFFF"/>
          <w:lang w:val="es-ES"/>
        </w:rPr>
        <w:t xml:space="preserve"> </w:t>
      </w:r>
      <w:r w:rsidRPr="00E20784">
        <w:rPr>
          <w:rFonts w:ascii="Verdana" w:hAnsi="Verdana"/>
          <w:lang w:val="es-ES"/>
        </w:rPr>
        <w:t>otros conceptos se encuentran disponibles para consulta en el Sistema de relatoría de la Agencia, al cual se puede acceder a través del siguiente enlace:</w:t>
      </w:r>
      <w:r w:rsidRPr="00E20784">
        <w:rPr>
          <w:rFonts w:ascii="Verdana" w:hAnsi="Verdana" w:cs="Arial"/>
          <w:shd w:val="clear" w:color="auto" w:fill="FFFFFF"/>
          <w:lang w:val="es-ES"/>
        </w:rPr>
        <w:t xml:space="preserve"> </w:t>
      </w:r>
      <w:hyperlink r:id="rId12" w:history="1">
        <w:r w:rsidRPr="00E20784">
          <w:rPr>
            <w:rStyle w:val="Hyperlink"/>
            <w:rFonts w:ascii="Verdana" w:hAnsi="Verdana"/>
            <w:lang w:val="es-ES"/>
          </w:rPr>
          <w:t>https://relatoria.colombiacompra.gov.co/busqueda/conceptos</w:t>
        </w:r>
      </w:hyperlink>
      <w:r w:rsidRPr="00E20784">
        <w:rPr>
          <w:rFonts w:ascii="Verdana" w:hAnsi="Verdana" w:cs="Arial"/>
          <w:shd w:val="clear" w:color="auto" w:fill="FFFFFF"/>
          <w:lang w:val="es-ES"/>
        </w:rPr>
        <w:t>.</w:t>
      </w:r>
      <w:r w:rsidRPr="00E20784">
        <w:rPr>
          <w:rFonts w:ascii="Verdana" w:hAnsi="Verdana" w:cs="Arial"/>
          <w:color w:val="FF0000"/>
          <w:shd w:val="clear" w:color="auto" w:fill="FFFFFF"/>
          <w:lang w:val="es-ES"/>
        </w:rPr>
        <w:t xml:space="preserve"> </w:t>
      </w:r>
      <w:r w:rsidRPr="00E20784">
        <w:rPr>
          <w:rFonts w:ascii="Verdana" w:hAnsi="Verdana" w:cs="Arial"/>
          <w:color w:val="000000" w:themeColor="text1"/>
          <w:shd w:val="clear" w:color="auto" w:fill="FFFFFF"/>
          <w:lang w:val="es-ES"/>
        </w:rPr>
        <w:t>  </w:t>
      </w:r>
    </w:p>
    <w:p w14:paraId="7CB34DCE"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  invita a consultar la nueva versión de la </w:t>
      </w:r>
      <w:r w:rsidRPr="00E20784">
        <w:rPr>
          <w:rFonts w:ascii="Verdana" w:hAnsi="Verdana"/>
          <w:b/>
          <w:bCs/>
          <w:lang w:val="es-ES"/>
        </w:rPr>
        <w:t>Guía para la Exigencia y Constitución de Garantías en los Procesos de Contratación</w:t>
      </w:r>
      <w:r w:rsidRPr="00E20784">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r w:rsidRPr="00E20784">
          <w:rPr>
            <w:rStyle w:val="Hyperlink"/>
            <w:rFonts w:ascii="Verdana" w:hAnsi="Verdana"/>
            <w:lang w:val="es-ES"/>
          </w:rPr>
          <w:t>https://www.colombiacompra.gov.co/archivos/manual/guia-de-garantias-en-procesos-de-contratacion</w:t>
        </w:r>
      </w:hyperlink>
    </w:p>
    <w:p w14:paraId="05BCCA08" w14:textId="77777777" w:rsidR="00887898" w:rsidRPr="00E20784" w:rsidRDefault="00887898" w:rsidP="00887898">
      <w:pPr>
        <w:spacing w:after="0" w:line="276" w:lineRule="auto"/>
        <w:jc w:val="both"/>
        <w:rPr>
          <w:rFonts w:ascii="Verdana" w:hAnsi="Verdana"/>
          <w:lang w:val="es-ES"/>
        </w:rPr>
      </w:pPr>
    </w:p>
    <w:p w14:paraId="369F417D"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De otro lado, le contamos que el Decreto 287 del 19 de marzo de 2026 sustituyó los artículos 2.2.1.2.4.2.6., 2.2.1.2.4.2.7. y 2.2.1.2.4.2.8. del Decreto 1082 de 2015 y estructuró el </w:t>
      </w:r>
      <w:r w:rsidRPr="00E20784">
        <w:rPr>
          <w:rFonts w:ascii="Verdana" w:hAnsi="Verdana"/>
          <w:b/>
          <w:bCs/>
          <w:lang w:val="es-ES"/>
        </w:rPr>
        <w:t>Sistema Integral de Preferencias en favor de las personas con discapacidad</w:t>
      </w:r>
      <w:r w:rsidRPr="00E20784">
        <w:rPr>
          <w:rFonts w:ascii="Verdana" w:hAnsi="Verdana"/>
          <w:lang w:val="es-ES"/>
        </w:rPr>
        <w:t>, en cumplimiento del artículo 13 de la Ley Estatutaria 1618 de 2013. Para orientar su aplicación, esta Agencia expidió la </w:t>
      </w:r>
      <w:r w:rsidRPr="00E20784">
        <w:rPr>
          <w:rFonts w:ascii="Verdana" w:hAnsi="Verdana"/>
          <w:b/>
          <w:bCs/>
          <w:lang w:val="es-ES"/>
        </w:rPr>
        <w:t>Circular Externa 003 del 12 de mayo de 2026, </w:t>
      </w:r>
      <w:r w:rsidRPr="00E20784">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Consúltela </w:t>
      </w:r>
      <w:r w:rsidRPr="00E20784">
        <w:rPr>
          <w:rFonts w:ascii="Verdana" w:hAnsi="Verdana"/>
          <w:lang w:val="es-ES"/>
        </w:rPr>
        <w:lastRenderedPageBreak/>
        <w:t>aquí: </w:t>
      </w:r>
      <w:hyperlink r:id="rId14">
        <w:r w:rsidRPr="00E20784">
          <w:rPr>
            <w:rStyle w:val="Hyperlink"/>
            <w:rFonts w:ascii="Verdana" w:hAnsi="Verdana"/>
            <w:lang w:val="es-ES"/>
          </w:rPr>
          <w:t>https://www.colombiacompra.gov.co/archivos/circular/circular-externa-003-de-2026</w:t>
        </w:r>
      </w:hyperlink>
    </w:p>
    <w:p w14:paraId="16A0352D" w14:textId="77777777" w:rsidR="00887898" w:rsidRPr="00E20784" w:rsidRDefault="00887898" w:rsidP="00887898">
      <w:pPr>
        <w:spacing w:after="0" w:line="276" w:lineRule="auto"/>
        <w:jc w:val="both"/>
        <w:rPr>
          <w:rFonts w:ascii="Verdana" w:hAnsi="Verdana"/>
          <w:lang w:val="es-ES"/>
        </w:rPr>
      </w:pPr>
    </w:p>
    <w:p w14:paraId="1B24ADE1"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Recuerde también que la</w:t>
      </w:r>
      <w:r w:rsidRPr="00E20784">
        <w:rPr>
          <w:rFonts w:ascii="Verdana" w:hAnsi="Verdana"/>
          <w:b/>
          <w:bCs/>
          <w:lang w:val="es-ES"/>
        </w:rPr>
        <w:t> información sobre sanciones e inhabilidades </w:t>
      </w:r>
      <w:r w:rsidRPr="00E20784">
        <w:rPr>
          <w:rFonts w:ascii="Verdana" w:hAnsi="Verdana"/>
          <w:lang w:val="es-ES"/>
        </w:rPr>
        <w:t>solo cumple su función preventiva si llega oportunamente a los registros públicos. Sobre este deber, esta Agencia expidió la </w:t>
      </w:r>
      <w:r w:rsidRPr="00E20784">
        <w:rPr>
          <w:rFonts w:ascii="Verdana" w:hAnsi="Verdana"/>
          <w:b/>
          <w:bCs/>
          <w:lang w:val="es-ES"/>
        </w:rPr>
        <w:t>Circular Externa 002 del 5 de mayo de 2026,</w:t>
      </w:r>
      <w:r w:rsidRPr="00E20784">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E20784">
          <w:rPr>
            <w:rStyle w:val="Hyperlink"/>
            <w:rFonts w:ascii="Verdana" w:hAnsi="Verdana"/>
            <w:lang w:val="es-ES"/>
          </w:rPr>
          <w:t>https://www.colombiacompra.gov.co/archivos/circular/circular-externa-002-de-2026</w:t>
        </w:r>
      </w:hyperlink>
    </w:p>
    <w:p w14:paraId="692F62DC" w14:textId="77777777" w:rsidR="00887898" w:rsidRPr="00E20784" w:rsidRDefault="00887898" w:rsidP="00887898">
      <w:pPr>
        <w:spacing w:after="0" w:line="276" w:lineRule="auto"/>
        <w:jc w:val="both"/>
        <w:rPr>
          <w:rFonts w:ascii="Verdana" w:hAnsi="Verdana"/>
          <w:lang w:val="es-ES"/>
        </w:rPr>
      </w:pPr>
    </w:p>
    <w:p w14:paraId="59F06EC2"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Finalmente, si quiere seguir de cerca la actividad de la Agencia, la tercera edición de 2026 del</w:t>
      </w:r>
      <w:r w:rsidRPr="00E20784">
        <w:rPr>
          <w:rFonts w:ascii="Verdana" w:hAnsi="Verdana"/>
          <w:b/>
          <w:bCs/>
          <w:lang w:val="es-ES"/>
        </w:rPr>
        <w:t> Radar de la Compra Pública</w:t>
      </w:r>
      <w:r w:rsidRPr="00E20784">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E20784">
          <w:rPr>
            <w:rStyle w:val="Hyperlink"/>
            <w:rFonts w:ascii="Verdana" w:hAnsi="Verdana"/>
            <w:lang w:val="es-ES"/>
          </w:rPr>
          <w:t>https://www.colombiacompra.gov.co/archivos/boletin/boletin-edicion-n-3-de-2026-radar-de-la-compra-publica</w:t>
        </w:r>
      </w:hyperlink>
    </w:p>
    <w:p w14:paraId="77D5E456" w14:textId="77777777" w:rsidR="00887898" w:rsidRPr="00E20784" w:rsidRDefault="00887898" w:rsidP="00887898">
      <w:pPr>
        <w:spacing w:line="276" w:lineRule="auto"/>
        <w:jc w:val="both"/>
        <w:rPr>
          <w:rFonts w:ascii="Verdana" w:hAnsi="Verdana"/>
          <w:lang w:val="es-ES"/>
        </w:rPr>
      </w:pPr>
    </w:p>
    <w:p w14:paraId="63A5AB9B"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 xml:space="preserve">Por último, le invitamos a seguirnos en las redes sociales en las cuales se difunde información institucional: </w:t>
      </w:r>
    </w:p>
    <w:p w14:paraId="65B53698" w14:textId="77777777" w:rsidR="00887898" w:rsidRPr="00E20784" w:rsidRDefault="00887898" w:rsidP="00887898">
      <w:pPr>
        <w:spacing w:after="0" w:line="276" w:lineRule="auto"/>
        <w:jc w:val="both"/>
        <w:rPr>
          <w:rFonts w:ascii="Verdana" w:hAnsi="Verdana"/>
          <w:lang w:val="es-ES"/>
        </w:rPr>
      </w:pPr>
    </w:p>
    <w:p w14:paraId="73FC4486"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 xml:space="preserve">Twitter: </w:t>
      </w:r>
      <w:r w:rsidRPr="00E20784">
        <w:rPr>
          <w:rStyle w:val="Hyperlink"/>
          <w:rFonts w:ascii="Verdana" w:hAnsi="Verdana" w:cs="Arial"/>
          <w:shd w:val="clear" w:color="auto" w:fill="FFFFFF"/>
          <w:lang w:val="es-ES"/>
        </w:rPr>
        <w:t>@colombiacompra</w:t>
      </w:r>
      <w:r w:rsidRPr="00E20784">
        <w:rPr>
          <w:rFonts w:ascii="Verdana" w:hAnsi="Verdana"/>
          <w:color w:val="4472C4" w:themeColor="accent1"/>
          <w:lang w:val="es-ES"/>
        </w:rPr>
        <w:t xml:space="preserve"> </w:t>
      </w:r>
    </w:p>
    <w:p w14:paraId="2FDDCAAE"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 xml:space="preserve">Facebook: </w:t>
      </w:r>
      <w:proofErr w:type="spellStart"/>
      <w:r w:rsidRPr="00E20784">
        <w:rPr>
          <w:rStyle w:val="Hyperlink"/>
          <w:rFonts w:ascii="Verdana" w:hAnsi="Verdana" w:cs="Arial"/>
          <w:shd w:val="clear" w:color="auto" w:fill="FFFFFF"/>
          <w:lang w:val="es-ES"/>
        </w:rPr>
        <w:t>ColombiaCompraEficiente</w:t>
      </w:r>
      <w:proofErr w:type="spellEnd"/>
    </w:p>
    <w:p w14:paraId="6AB554BE" w14:textId="77777777" w:rsidR="00887898" w:rsidRPr="00E20784" w:rsidRDefault="00887898" w:rsidP="00887898">
      <w:pPr>
        <w:spacing w:after="0" w:line="276" w:lineRule="auto"/>
        <w:jc w:val="both"/>
        <w:rPr>
          <w:rFonts w:ascii="Verdana" w:hAnsi="Verdana"/>
          <w:lang w:val="es-ES"/>
        </w:rPr>
      </w:pPr>
      <w:r w:rsidRPr="00E20784">
        <w:rPr>
          <w:rFonts w:ascii="Verdana" w:hAnsi="Verdana"/>
          <w:lang w:val="es-ES"/>
        </w:rPr>
        <w:t xml:space="preserve">LinkedIn: </w:t>
      </w:r>
      <w:r w:rsidRPr="00E20784">
        <w:rPr>
          <w:rStyle w:val="Hyperlink"/>
          <w:rFonts w:ascii="Verdana" w:hAnsi="Verdana" w:cs="Arial"/>
          <w:shd w:val="clear" w:color="auto" w:fill="FFFFFF"/>
          <w:lang w:val="es-ES"/>
        </w:rPr>
        <w:t xml:space="preserve">Agencia Nacional de Contratación Pública - Colombia Compra Eficiente </w:t>
      </w:r>
      <w:r w:rsidRPr="00E20784">
        <w:rPr>
          <w:rFonts w:ascii="Verdana" w:hAnsi="Verdana"/>
          <w:lang w:val="es-ES"/>
        </w:rPr>
        <w:t xml:space="preserve">Instagram: </w:t>
      </w:r>
      <w:r w:rsidRPr="00E20784">
        <w:rPr>
          <w:rStyle w:val="Hyperlink"/>
          <w:rFonts w:ascii="Verdana" w:hAnsi="Verdana" w:cs="Arial"/>
          <w:shd w:val="clear" w:color="auto" w:fill="FFFFFF"/>
          <w:lang w:val="es-ES"/>
        </w:rPr>
        <w:t>@colombiacompraeficiente_cce</w:t>
      </w:r>
    </w:p>
    <w:p w14:paraId="4980ED91" w14:textId="77777777" w:rsidR="00887898" w:rsidRPr="00E20784" w:rsidRDefault="00887898" w:rsidP="00887898">
      <w:pPr>
        <w:widowControl w:val="0"/>
        <w:autoSpaceDE w:val="0"/>
        <w:autoSpaceDN w:val="0"/>
        <w:spacing w:after="0" w:line="276" w:lineRule="auto"/>
        <w:jc w:val="both"/>
        <w:rPr>
          <w:rFonts w:ascii="Verdana" w:hAnsi="Verdana" w:cs="Arial"/>
          <w:lang w:val="es-ES"/>
        </w:rPr>
      </w:pPr>
    </w:p>
    <w:p w14:paraId="7226A6C5" w14:textId="77777777" w:rsidR="00887898" w:rsidRPr="00E20784" w:rsidRDefault="00887898" w:rsidP="00887898">
      <w:pPr>
        <w:widowControl w:val="0"/>
        <w:autoSpaceDE w:val="0"/>
        <w:autoSpaceDN w:val="0"/>
        <w:spacing w:after="0" w:line="276" w:lineRule="auto"/>
        <w:jc w:val="both"/>
        <w:rPr>
          <w:rFonts w:ascii="Verdana" w:hAnsi="Verdana" w:cs="Arial"/>
          <w:lang w:val="es-ES"/>
        </w:rPr>
      </w:pPr>
      <w:r w:rsidRPr="00E2078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D8BE43" w14:textId="77777777" w:rsidR="00887898" w:rsidRPr="00E20784" w:rsidRDefault="00887898" w:rsidP="00887898">
      <w:pPr>
        <w:widowControl w:val="0"/>
        <w:autoSpaceDE w:val="0"/>
        <w:autoSpaceDN w:val="0"/>
        <w:spacing w:after="0" w:line="276" w:lineRule="auto"/>
        <w:jc w:val="both"/>
        <w:rPr>
          <w:rFonts w:ascii="Verdana" w:hAnsi="Verdana" w:cs="Arial"/>
          <w:lang w:val="es-ES"/>
        </w:rPr>
      </w:pPr>
    </w:p>
    <w:p w14:paraId="4908035B" w14:textId="77777777" w:rsidR="00887898" w:rsidRPr="00E20784" w:rsidRDefault="00887898" w:rsidP="00887898">
      <w:pPr>
        <w:spacing w:after="0" w:line="276" w:lineRule="auto"/>
        <w:rPr>
          <w:rFonts w:ascii="Verdana" w:hAnsi="Verdana" w:cs="Arial"/>
          <w:color w:val="000000" w:themeColor="text1"/>
          <w:lang w:val="es-ES" w:eastAsia="es-CO"/>
        </w:rPr>
      </w:pPr>
      <w:r w:rsidRPr="00E20784">
        <w:rPr>
          <w:rFonts w:ascii="Verdana" w:eastAsia="Times New Roman" w:hAnsi="Verdana" w:cs="Arial"/>
          <w:color w:val="000000" w:themeColor="text1"/>
          <w:lang w:val="es-ES" w:eastAsia="es-CO"/>
        </w:rPr>
        <w:t>Atentamente,</w:t>
      </w:r>
      <w:r w:rsidRPr="00E20784">
        <w:rPr>
          <w:rFonts w:ascii="Verdana" w:hAnsi="Verdana" w:cs="Arial"/>
          <w:color w:val="000000" w:themeColor="text1"/>
          <w:lang w:val="es-ES" w:eastAsia="es-CO"/>
        </w:rPr>
        <w:t xml:space="preserve"> </w:t>
      </w:r>
    </w:p>
    <w:p w14:paraId="53758CEE" w14:textId="2B392F1B" w:rsidR="00887898" w:rsidRPr="00E20784" w:rsidRDefault="002C45A8" w:rsidP="00887898">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160449C7" wp14:editId="28F1847D">
            <wp:simplePos x="0" y="0"/>
            <wp:positionH relativeFrom="column">
              <wp:posOffset>982133</wp:posOffset>
            </wp:positionH>
            <wp:positionV relativeFrom="paragraph">
              <wp:posOffset>76623</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AC5C41" w14:textId="19E96E4D" w:rsidR="00887898" w:rsidRPr="00E20784" w:rsidRDefault="00887898" w:rsidP="00887898">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87898" w:rsidRPr="00E20784" w14:paraId="19035A82" w14:textId="77777777" w:rsidTr="00EA0EB1">
        <w:trPr>
          <w:trHeight w:val="315"/>
        </w:trPr>
        <w:tc>
          <w:tcPr>
            <w:tcW w:w="893" w:type="dxa"/>
            <w:vAlign w:val="center"/>
            <w:hideMark/>
          </w:tcPr>
          <w:p w14:paraId="725C02A0" w14:textId="77777777" w:rsidR="00887898" w:rsidRPr="00E20784" w:rsidRDefault="00887898" w:rsidP="00EA0EB1">
            <w:pPr>
              <w:contextualSpacing/>
              <w:rPr>
                <w:rFonts w:ascii="Verdana" w:hAnsi="Verdana" w:cs="Arial"/>
                <w:sz w:val="16"/>
                <w:szCs w:val="16"/>
                <w:lang w:val="es-ES" w:eastAsia="es-ES"/>
              </w:rPr>
            </w:pPr>
            <w:r w:rsidRPr="00E2078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EDDAC3C" w14:textId="77777777" w:rsidR="00887898" w:rsidRPr="00E20784" w:rsidRDefault="00887898" w:rsidP="00EA0EB1">
            <w:pPr>
              <w:contextualSpacing/>
              <w:rPr>
                <w:rFonts w:ascii="Verdana" w:eastAsia="Arial" w:hAnsi="Verdana" w:cs="Arial"/>
                <w:color w:val="000000" w:themeColor="text1"/>
                <w:sz w:val="16"/>
                <w:szCs w:val="16"/>
                <w:lang w:val="es-ES"/>
              </w:rPr>
            </w:pPr>
            <w:r w:rsidRPr="00E20784">
              <w:rPr>
                <w:rFonts w:ascii="Verdana" w:eastAsia="Arial" w:hAnsi="Verdana" w:cs="Arial"/>
                <w:color w:val="000000" w:themeColor="text1"/>
                <w:sz w:val="16"/>
                <w:szCs w:val="16"/>
                <w:lang w:val="es-ES"/>
              </w:rPr>
              <w:t>Anamaría Bonilla Prieto</w:t>
            </w:r>
          </w:p>
          <w:p w14:paraId="29255A3B" w14:textId="77777777" w:rsidR="00887898" w:rsidRPr="00E20784" w:rsidRDefault="00887898" w:rsidP="00EA0EB1">
            <w:pPr>
              <w:contextualSpacing/>
              <w:rPr>
                <w:rFonts w:ascii="Verdana" w:eastAsia="Arial" w:hAnsi="Verdana" w:cs="Arial"/>
                <w:sz w:val="16"/>
                <w:szCs w:val="16"/>
                <w:lang w:val="es-ES"/>
              </w:rPr>
            </w:pPr>
            <w:r w:rsidRPr="00E20784">
              <w:rPr>
                <w:rStyle w:val="normaltextrun"/>
                <w:rFonts w:ascii="Verdana" w:eastAsia="Arial" w:hAnsi="Verdana" w:cs="Arial"/>
                <w:color w:val="000000" w:themeColor="text1"/>
                <w:sz w:val="16"/>
                <w:szCs w:val="16"/>
                <w:lang w:val="es-ES"/>
              </w:rPr>
              <w:t xml:space="preserve">Contratista de la Subdirección </w:t>
            </w:r>
            <w:r w:rsidRPr="00E20784">
              <w:rPr>
                <w:rStyle w:val="normaltextrun"/>
                <w:rFonts w:ascii="Verdana" w:eastAsia="Arial" w:hAnsi="Verdana" w:cs="Arial"/>
                <w:sz w:val="16"/>
                <w:szCs w:val="16"/>
                <w:lang w:val="es-ES"/>
              </w:rPr>
              <w:t>de Gestión Contractual</w:t>
            </w:r>
          </w:p>
        </w:tc>
      </w:tr>
      <w:tr w:rsidR="00887898" w:rsidRPr="00E20784" w14:paraId="7D4716AC" w14:textId="77777777" w:rsidTr="00EA0EB1">
        <w:trPr>
          <w:trHeight w:val="330"/>
        </w:trPr>
        <w:tc>
          <w:tcPr>
            <w:tcW w:w="893" w:type="dxa"/>
            <w:vAlign w:val="center"/>
            <w:hideMark/>
          </w:tcPr>
          <w:p w14:paraId="30B3F53C" w14:textId="77777777" w:rsidR="00887898" w:rsidRPr="00E20784" w:rsidRDefault="00887898" w:rsidP="00EA0EB1">
            <w:pPr>
              <w:contextualSpacing/>
              <w:rPr>
                <w:rFonts w:ascii="Verdana" w:hAnsi="Verdana" w:cs="Arial"/>
                <w:sz w:val="16"/>
                <w:szCs w:val="16"/>
                <w:lang w:val="es-ES" w:eastAsia="es-ES"/>
              </w:rPr>
            </w:pPr>
            <w:r w:rsidRPr="00E2078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D3C7A2" w14:textId="77777777" w:rsidR="00887898" w:rsidRPr="00E20784" w:rsidRDefault="00887898" w:rsidP="00EA0EB1">
            <w:pPr>
              <w:spacing w:line="276" w:lineRule="auto"/>
              <w:contextualSpacing/>
              <w:textAlignment w:val="baseline"/>
              <w:rPr>
                <w:rStyle w:val="normaltextrun"/>
                <w:rFonts w:ascii="Verdana" w:eastAsia="Arial" w:hAnsi="Verdana"/>
                <w:color w:val="000000" w:themeColor="text1"/>
                <w:sz w:val="16"/>
                <w:szCs w:val="16"/>
                <w:lang w:val="es-ES"/>
              </w:rPr>
            </w:pPr>
            <w:r w:rsidRPr="00E20784">
              <w:rPr>
                <w:rStyle w:val="normaltextrun"/>
                <w:rFonts w:ascii="Verdana" w:eastAsia="Arial" w:hAnsi="Verdana"/>
                <w:color w:val="000000" w:themeColor="text1"/>
                <w:sz w:val="16"/>
                <w:szCs w:val="16"/>
                <w:lang w:val="es-ES"/>
              </w:rPr>
              <w:t>Alejandro Sarmiento Cantillo</w:t>
            </w:r>
          </w:p>
          <w:p w14:paraId="119E343F" w14:textId="77777777" w:rsidR="00887898" w:rsidRPr="00E20784" w:rsidRDefault="00887898" w:rsidP="00EA0EB1">
            <w:pPr>
              <w:pStyle w:val="paragraph"/>
              <w:spacing w:before="0" w:beforeAutospacing="0" w:after="0" w:afterAutospacing="0"/>
              <w:contextualSpacing/>
              <w:textAlignment w:val="baseline"/>
              <w:rPr>
                <w:rFonts w:ascii="Verdana" w:hAnsi="Verdana" w:cs="Segoe UI"/>
                <w:sz w:val="16"/>
                <w:szCs w:val="16"/>
                <w:lang w:val="es-ES"/>
              </w:rPr>
            </w:pPr>
            <w:r w:rsidRPr="00E20784">
              <w:rPr>
                <w:rStyle w:val="normaltextrun"/>
                <w:rFonts w:ascii="Verdana" w:eastAsia="Arial" w:hAnsi="Verdana"/>
                <w:color w:val="000000" w:themeColor="text1"/>
                <w:sz w:val="16"/>
                <w:szCs w:val="16"/>
                <w:lang w:val="es-ES" w:eastAsia="en-US"/>
              </w:rPr>
              <w:t xml:space="preserve">Gestor T1 – 15 </w:t>
            </w:r>
            <w:r w:rsidRPr="00E20784">
              <w:rPr>
                <w:rStyle w:val="normaltextrun"/>
                <w:rFonts w:ascii="Verdana" w:eastAsia="Arial" w:hAnsi="Verdana" w:cs="Arial"/>
                <w:color w:val="000000" w:themeColor="text1"/>
                <w:sz w:val="16"/>
                <w:szCs w:val="16"/>
                <w:lang w:val="es-ES" w:eastAsia="en-US"/>
              </w:rPr>
              <w:t>de la Subdirección de Gestión Contractual</w:t>
            </w:r>
            <w:r w:rsidRPr="00E20784">
              <w:rPr>
                <w:rStyle w:val="eop"/>
                <w:rFonts w:ascii="Verdana" w:hAnsi="Verdana" w:cs="Arial"/>
                <w:sz w:val="16"/>
                <w:szCs w:val="16"/>
                <w:lang w:val="es-ES"/>
              </w:rPr>
              <w:t> </w:t>
            </w:r>
          </w:p>
        </w:tc>
      </w:tr>
      <w:tr w:rsidR="00887898" w:rsidRPr="00E20784" w14:paraId="54546B80" w14:textId="77777777" w:rsidTr="00EA0EB1">
        <w:trPr>
          <w:trHeight w:val="300"/>
        </w:trPr>
        <w:tc>
          <w:tcPr>
            <w:tcW w:w="893" w:type="dxa"/>
            <w:vAlign w:val="center"/>
          </w:tcPr>
          <w:p w14:paraId="2B3DC7C3" w14:textId="77777777" w:rsidR="00887898" w:rsidRPr="00E20784" w:rsidRDefault="00887898" w:rsidP="00EA0EB1">
            <w:pPr>
              <w:contextualSpacing/>
              <w:rPr>
                <w:rFonts w:ascii="Verdana" w:hAnsi="Verdana" w:cs="Arial"/>
                <w:sz w:val="16"/>
                <w:szCs w:val="16"/>
                <w:lang w:val="es-ES" w:eastAsia="es-ES"/>
              </w:rPr>
            </w:pPr>
            <w:r w:rsidRPr="00E2078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25404E" w14:textId="77777777" w:rsidR="00887898" w:rsidRPr="00E20784" w:rsidRDefault="00887898" w:rsidP="00EA0EB1">
            <w:pPr>
              <w:contextualSpacing/>
              <w:rPr>
                <w:rFonts w:ascii="Verdana" w:eastAsia="Calibri" w:hAnsi="Verdana" w:cs="Arial"/>
                <w:sz w:val="16"/>
                <w:szCs w:val="16"/>
                <w:lang w:val="es-ES" w:eastAsia="es-ES"/>
              </w:rPr>
            </w:pPr>
            <w:r w:rsidRPr="00E20784">
              <w:rPr>
                <w:rFonts w:ascii="Verdana" w:eastAsia="Calibri" w:hAnsi="Verdana" w:cs="Arial"/>
                <w:sz w:val="16"/>
                <w:szCs w:val="16"/>
                <w:lang w:val="es-ES" w:eastAsia="es-ES"/>
              </w:rPr>
              <w:t>Carolina Quintero Gacharná</w:t>
            </w:r>
          </w:p>
          <w:p w14:paraId="3C20E094" w14:textId="77777777" w:rsidR="00887898" w:rsidRPr="00E20784" w:rsidRDefault="00887898" w:rsidP="00EA0EB1">
            <w:pPr>
              <w:contextualSpacing/>
              <w:rPr>
                <w:rFonts w:ascii="Verdana" w:eastAsia="Calibri" w:hAnsi="Verdana" w:cs="Arial"/>
                <w:sz w:val="16"/>
                <w:szCs w:val="16"/>
                <w:lang w:val="es-ES" w:eastAsia="es-ES"/>
              </w:rPr>
            </w:pPr>
            <w:r w:rsidRPr="00E20784">
              <w:rPr>
                <w:rFonts w:ascii="Verdana" w:eastAsia="Calibri" w:hAnsi="Verdana" w:cs="Arial"/>
                <w:sz w:val="16"/>
                <w:szCs w:val="16"/>
                <w:lang w:val="es-ES" w:eastAsia="es-ES"/>
              </w:rPr>
              <w:t>Subdirectora de Gestión Contractual ANCP – CCE</w:t>
            </w:r>
          </w:p>
        </w:tc>
      </w:tr>
    </w:tbl>
    <w:p w14:paraId="45ACF041" w14:textId="09C0EF18" w:rsidR="00887898" w:rsidRPr="00E20784" w:rsidRDefault="00887898" w:rsidP="00887898">
      <w:pPr>
        <w:spacing w:after="0" w:line="276" w:lineRule="auto"/>
        <w:jc w:val="center"/>
        <w:rPr>
          <w:lang w:val="es-ES"/>
        </w:rPr>
      </w:pPr>
    </w:p>
    <w:p w14:paraId="1689D6E4" w14:textId="77777777" w:rsidR="00887898" w:rsidRPr="00E20784" w:rsidRDefault="00887898" w:rsidP="00887898">
      <w:pPr>
        <w:spacing w:after="0" w:line="240" w:lineRule="auto"/>
        <w:textAlignment w:val="baseline"/>
        <w:rPr>
          <w:rFonts w:ascii="Verdana" w:eastAsia="Times New Roman" w:hAnsi="Verdana" w:cs="Segoe UI"/>
          <w:b/>
          <w:bCs/>
          <w:color w:val="46589C"/>
          <w:lang w:val="es-ES" w:eastAsia="es-CO"/>
        </w:rPr>
      </w:pPr>
    </w:p>
    <w:p w14:paraId="4105A42C" w14:textId="77777777" w:rsidR="00887898" w:rsidRPr="00E20784" w:rsidRDefault="00887898" w:rsidP="00887898">
      <w:pPr>
        <w:rPr>
          <w:lang w:val="es-ES"/>
        </w:rPr>
      </w:pPr>
    </w:p>
    <w:p w14:paraId="1078006F" w14:textId="77777777" w:rsidR="00887898" w:rsidRPr="00E20784" w:rsidRDefault="00887898" w:rsidP="00887898">
      <w:pPr>
        <w:rPr>
          <w:lang w:val="es-ES"/>
        </w:rPr>
      </w:pPr>
    </w:p>
    <w:p w14:paraId="66B54AA2" w14:textId="77777777" w:rsidR="00887898" w:rsidRPr="00E20784" w:rsidRDefault="00887898" w:rsidP="00887898">
      <w:pPr>
        <w:rPr>
          <w:lang w:val="es-ES"/>
        </w:rPr>
      </w:pPr>
    </w:p>
    <w:p w14:paraId="53FD1E6A" w14:textId="77777777" w:rsidR="00887898" w:rsidRPr="00E20784" w:rsidRDefault="00887898" w:rsidP="00887898">
      <w:pPr>
        <w:rPr>
          <w:lang w:val="es-ES"/>
        </w:rPr>
      </w:pPr>
    </w:p>
    <w:p w14:paraId="3084A220" w14:textId="77777777" w:rsidR="00887898" w:rsidRPr="00E20784" w:rsidRDefault="00887898" w:rsidP="00887898">
      <w:pPr>
        <w:rPr>
          <w:lang w:val="es-ES"/>
        </w:rPr>
      </w:pPr>
    </w:p>
    <w:p w14:paraId="0F293BF4" w14:textId="5F2C5CE9" w:rsidR="00127233" w:rsidRPr="00557E51" w:rsidRDefault="00127233" w:rsidP="00557E51"/>
    <w:sectPr w:rsidR="00127233" w:rsidRPr="00557E5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B2961" w14:textId="77777777" w:rsidR="00FD02DF" w:rsidRDefault="00FD02DF" w:rsidP="004A1847">
      <w:pPr>
        <w:spacing w:after="0" w:line="240" w:lineRule="auto"/>
      </w:pPr>
      <w:r>
        <w:separator/>
      </w:r>
    </w:p>
  </w:endnote>
  <w:endnote w:type="continuationSeparator" w:id="0">
    <w:p w14:paraId="62CD1E4B" w14:textId="77777777" w:rsidR="00FD02DF" w:rsidRDefault="00FD02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4818F" w14:textId="77777777" w:rsidR="00FD02DF" w:rsidRDefault="00FD02DF" w:rsidP="004A1847">
      <w:pPr>
        <w:spacing w:after="0" w:line="240" w:lineRule="auto"/>
      </w:pPr>
      <w:r>
        <w:separator/>
      </w:r>
    </w:p>
  </w:footnote>
  <w:footnote w:type="continuationSeparator" w:id="0">
    <w:p w14:paraId="46EFD33E" w14:textId="77777777" w:rsidR="00FD02DF" w:rsidRDefault="00FD02DF" w:rsidP="004A1847">
      <w:pPr>
        <w:spacing w:after="0" w:line="240" w:lineRule="auto"/>
      </w:pPr>
      <w:r>
        <w:continuationSeparator/>
      </w:r>
    </w:p>
  </w:footnote>
  <w:footnote w:id="1">
    <w:p w14:paraId="243A8855" w14:textId="77777777" w:rsidR="00887898" w:rsidRPr="000949BD" w:rsidRDefault="00887898" w:rsidP="00887898">
      <w:pPr>
        <w:pStyle w:val="FootnoteText"/>
        <w:ind w:firstLine="709"/>
        <w:jc w:val="both"/>
        <w:rPr>
          <w:rFonts w:ascii="Verdana" w:hAnsi="Verdana" w:cs="Arial"/>
          <w:sz w:val="16"/>
          <w:szCs w:val="16"/>
        </w:rPr>
      </w:pPr>
      <w:r w:rsidRPr="000949BD">
        <w:rPr>
          <w:rStyle w:val="FootnoteReference"/>
          <w:rFonts w:ascii="Verdana" w:hAnsi="Verdana" w:cs="Arial"/>
          <w:sz w:val="16"/>
          <w:szCs w:val="16"/>
        </w:rPr>
        <w:footnoteRef/>
      </w:r>
      <w:r w:rsidRPr="000949BD">
        <w:rPr>
          <w:rFonts w:ascii="Verdana" w:hAnsi="Verdana" w:cs="Arial"/>
          <w:sz w:val="16"/>
          <w:szCs w:val="16"/>
        </w:rPr>
        <w:t xml:space="preserve"> MATALLANA CAMACHO, Ernesto. Manual de contratación de la administración pública. Segunda Edición. Bogotá: Universidad Externado de Colombia, 2009. p. 705.</w:t>
      </w:r>
    </w:p>
  </w:footnote>
  <w:footnote w:id="2">
    <w:p w14:paraId="748CFCC4" w14:textId="77777777" w:rsidR="00887898" w:rsidRPr="000949BD" w:rsidRDefault="00887898" w:rsidP="00887898">
      <w:pPr>
        <w:spacing w:after="0" w:line="240" w:lineRule="auto"/>
        <w:ind w:firstLine="709"/>
        <w:jc w:val="both"/>
        <w:rPr>
          <w:rFonts w:ascii="Verdana" w:hAnsi="Verdana" w:cs="Arial"/>
          <w:sz w:val="16"/>
          <w:szCs w:val="16"/>
        </w:rPr>
      </w:pPr>
    </w:p>
    <w:p w14:paraId="5FC9EDE0" w14:textId="77777777" w:rsidR="00887898" w:rsidRPr="000949BD" w:rsidRDefault="00887898" w:rsidP="00887898">
      <w:pPr>
        <w:spacing w:after="0" w:line="240" w:lineRule="auto"/>
        <w:ind w:firstLine="709"/>
        <w:jc w:val="both"/>
        <w:rPr>
          <w:rFonts w:ascii="Verdana" w:hAnsi="Verdana" w:cs="Arial"/>
          <w:sz w:val="16"/>
          <w:szCs w:val="16"/>
        </w:rPr>
      </w:pPr>
      <w:r w:rsidRPr="000949BD">
        <w:rPr>
          <w:rStyle w:val="FootnoteReference"/>
          <w:rFonts w:ascii="Verdana" w:hAnsi="Verdana" w:cs="Arial"/>
          <w:sz w:val="16"/>
          <w:szCs w:val="16"/>
        </w:rPr>
        <w:footnoteRef/>
      </w:r>
      <w:r w:rsidRPr="000949BD">
        <w:rPr>
          <w:rFonts w:ascii="Verdana" w:hAnsi="Verdana" w:cs="Arial"/>
          <w:sz w:val="16"/>
          <w:szCs w:val="16"/>
        </w:rPr>
        <w:t xml:space="preserve"> </w:t>
      </w:r>
      <w:r w:rsidRPr="000949BD">
        <w:rPr>
          <w:rFonts w:ascii="Verdana" w:eastAsia="Calibri" w:hAnsi="Verdana" w:cs="Arial"/>
          <w:sz w:val="16"/>
          <w:szCs w:val="16"/>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0949BD">
        <w:rPr>
          <w:rFonts w:ascii="Verdana" w:hAnsi="Verdana" w:cs="Arial"/>
          <w:sz w:val="16"/>
          <w:szCs w:val="16"/>
        </w:rPr>
        <w:t>CONGRESO DE LA REPÚBLICA. Exposición de motivos de la Ley 80 de 1993. Gaceta del Congreso No. 75 del 23 de septiembre de 1992).</w:t>
      </w:r>
    </w:p>
  </w:footnote>
  <w:footnote w:id="3">
    <w:p w14:paraId="60B7A22F" w14:textId="77777777" w:rsidR="00887898" w:rsidRPr="000949BD" w:rsidRDefault="00887898" w:rsidP="00887898">
      <w:pPr>
        <w:pStyle w:val="FootnoteText"/>
        <w:ind w:left="567"/>
        <w:jc w:val="both"/>
        <w:rPr>
          <w:rFonts w:ascii="Verdana" w:hAnsi="Verdana" w:cs="Arial"/>
          <w:sz w:val="16"/>
          <w:szCs w:val="16"/>
        </w:rPr>
      </w:pPr>
      <w:r w:rsidRPr="000949BD">
        <w:rPr>
          <w:rStyle w:val="FootnoteReference"/>
          <w:rFonts w:ascii="Verdana" w:hAnsi="Verdana" w:cs="Arial"/>
          <w:sz w:val="16"/>
          <w:szCs w:val="16"/>
        </w:rPr>
        <w:footnoteRef/>
      </w:r>
      <w:r w:rsidRPr="000949BD">
        <w:rPr>
          <w:rFonts w:ascii="Verdana" w:hAnsi="Verdana" w:cs="Arial"/>
          <w:sz w:val="16"/>
          <w:szCs w:val="16"/>
        </w:rPr>
        <w:t xml:space="preserve"> DROMI, José Roberto. La licitación pública. Buenos Aires: Ciudad Argentina, 1980. p. 166-168.</w:t>
      </w:r>
    </w:p>
  </w:footnote>
  <w:footnote w:id="4">
    <w:p w14:paraId="7FD5CFEB" w14:textId="77777777" w:rsidR="00887898" w:rsidRPr="00DD760F" w:rsidRDefault="00887898" w:rsidP="00887898">
      <w:pPr>
        <w:pStyle w:val="FootnoteText"/>
        <w:ind w:left="567"/>
        <w:rPr>
          <w:lang w:val="es-ES"/>
        </w:rPr>
      </w:pPr>
      <w:r w:rsidRPr="000949BD">
        <w:rPr>
          <w:rStyle w:val="FootnoteReference"/>
          <w:rFonts w:ascii="Verdana" w:hAnsi="Verdana" w:cs="Arial"/>
          <w:sz w:val="16"/>
          <w:szCs w:val="16"/>
        </w:rPr>
        <w:footnoteRef/>
      </w:r>
      <w:r w:rsidRPr="000949BD">
        <w:rPr>
          <w:rFonts w:ascii="Verdana" w:hAnsi="Verdana" w:cs="Arial"/>
          <w:sz w:val="16"/>
          <w:szCs w:val="16"/>
        </w:rPr>
        <w:t xml:space="preserve"> CONSEJO DE ESTADO. Sala de Consulta y de Servicio Civil. Concepto del 28 de enero de 1998. Rad. 1.073. C.P. Javier Henao Hidrón.</w:t>
      </w:r>
    </w:p>
  </w:footnote>
  <w:footnote w:id="5">
    <w:p w14:paraId="48966B53" w14:textId="77777777" w:rsidR="00887898" w:rsidRPr="00662B73" w:rsidRDefault="00887898" w:rsidP="00887898">
      <w:pPr>
        <w:pStyle w:val="FootnoteText"/>
        <w:ind w:firstLine="709"/>
        <w:jc w:val="both"/>
        <w:rPr>
          <w:rFonts w:ascii="Verdana" w:hAnsi="Verdana" w:cs="Arial"/>
          <w:color w:val="000000" w:themeColor="text1"/>
          <w:sz w:val="16"/>
          <w:szCs w:val="16"/>
        </w:rPr>
      </w:pPr>
      <w:r w:rsidRPr="00662B73">
        <w:rPr>
          <w:rStyle w:val="FootnoteReferenc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 dictado por la Agencia Nacional de Contratación Pública – Colombia Compra Eficiente. </w:t>
      </w:r>
    </w:p>
  </w:footnote>
  <w:footnote w:id="6">
    <w:p w14:paraId="4DA019DB" w14:textId="77777777" w:rsidR="00887898" w:rsidRPr="00662B73" w:rsidRDefault="00887898" w:rsidP="00887898">
      <w:pPr>
        <w:pStyle w:val="FootnoteText"/>
        <w:ind w:firstLine="709"/>
        <w:jc w:val="both"/>
        <w:rPr>
          <w:rFonts w:ascii="Verdana" w:hAnsi="Verdana" w:cs="Arial"/>
          <w:color w:val="000000" w:themeColor="text1"/>
          <w:sz w:val="16"/>
          <w:szCs w:val="16"/>
        </w:rPr>
      </w:pPr>
      <w:r w:rsidRPr="00662B73">
        <w:rPr>
          <w:rStyle w:val="FootnoteReferenc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20CC412" w14:textId="77777777" w:rsidR="00887898" w:rsidRPr="00662B73" w:rsidRDefault="00887898" w:rsidP="00887898">
      <w:pPr>
        <w:pStyle w:val="FootnoteText"/>
        <w:ind w:firstLine="709"/>
        <w:jc w:val="both"/>
        <w:rPr>
          <w:rFonts w:ascii="Verdana" w:hAnsi="Verdana" w:cs="Arial"/>
          <w:color w:val="000000" w:themeColor="text1"/>
          <w:sz w:val="16"/>
          <w:szCs w:val="16"/>
        </w:rPr>
      </w:pPr>
      <w:r w:rsidRPr="00662B73">
        <w:rPr>
          <w:rFonts w:ascii="Verdana" w:hAnsi="Verdana" w:cs="Arial"/>
          <w:color w:val="000000" w:themeColor="text1"/>
          <w:sz w:val="16"/>
          <w:szCs w:val="16"/>
        </w:rPr>
        <w:t xml:space="preserve">Los convenios de asociación a que se refiere el presente artículo </w:t>
      </w:r>
      <w:bookmarkStart w:id="6" w:name="_Hlk36023315"/>
      <w:r w:rsidRPr="00662B73">
        <w:rPr>
          <w:rFonts w:ascii="Verdana" w:hAnsi="Verdana" w:cs="Arial"/>
          <w:color w:val="000000" w:themeColor="text1"/>
          <w:sz w:val="16"/>
          <w:szCs w:val="16"/>
        </w:rPr>
        <w:t>se celebrarán de conformidad con lo dispuesto en el artículo 355 de la Constitución Política</w:t>
      </w:r>
      <w:bookmarkEnd w:id="6"/>
      <w:r w:rsidRPr="00662B73">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footnote>
  <w:footnote w:id="7">
    <w:p w14:paraId="0ECAB465" w14:textId="77777777" w:rsidR="00887898" w:rsidRPr="00662B73" w:rsidRDefault="00887898" w:rsidP="00887898">
      <w:pPr>
        <w:pStyle w:val="FootnoteText"/>
        <w:ind w:firstLine="708"/>
        <w:jc w:val="both"/>
        <w:rPr>
          <w:rFonts w:ascii="Verdana" w:hAnsi="Verdana" w:cs="Arial"/>
          <w:color w:val="000000"/>
          <w:sz w:val="16"/>
          <w:szCs w:val="16"/>
        </w:rPr>
      </w:pPr>
      <w:r w:rsidRPr="00662B73">
        <w:rPr>
          <w:rStyle w:val="FootnoteReference"/>
          <w:rFonts w:ascii="Verdana" w:hAnsi="Verdana" w:cs="Arial"/>
          <w:color w:val="000000"/>
          <w:sz w:val="16"/>
          <w:szCs w:val="16"/>
        </w:rPr>
        <w:footnoteRef/>
      </w:r>
      <w:r w:rsidRPr="00662B73">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8">
    <w:p w14:paraId="11772F9B" w14:textId="77777777" w:rsidR="00887898" w:rsidRPr="00662B73" w:rsidRDefault="00887898" w:rsidP="00887898">
      <w:pPr>
        <w:spacing w:after="0" w:line="240" w:lineRule="auto"/>
        <w:ind w:firstLine="708"/>
        <w:jc w:val="both"/>
        <w:rPr>
          <w:rFonts w:ascii="Verdana" w:eastAsia="Times New Roman" w:hAnsi="Verdana" w:cs="Times New Roman"/>
          <w:color w:val="000000" w:themeColor="text1"/>
          <w:sz w:val="16"/>
          <w:szCs w:val="16"/>
          <w:shd w:val="clear" w:color="auto" w:fill="FFFFFF"/>
          <w:lang w:eastAsia="es-ES_tradnl"/>
        </w:rPr>
      </w:pPr>
      <w:r w:rsidRPr="00662B73">
        <w:rPr>
          <w:rStyle w:val="FootnoteReference"/>
          <w:rFonts w:ascii="Verdana" w:hAnsi="Verdana"/>
          <w:color w:val="000000" w:themeColor="text1"/>
          <w:sz w:val="16"/>
          <w:szCs w:val="16"/>
        </w:rPr>
        <w:footnoteRef/>
      </w:r>
      <w:r w:rsidRPr="00662B73">
        <w:rPr>
          <w:rFonts w:ascii="Verdana" w:hAnsi="Verdana"/>
          <w:color w:val="000000" w:themeColor="text1"/>
          <w:sz w:val="16"/>
          <w:szCs w:val="16"/>
        </w:rPr>
        <w:t xml:space="preserve"> </w:t>
      </w:r>
      <w:r w:rsidRPr="00662B73">
        <w:rPr>
          <w:rStyle w:val="author-name"/>
          <w:rFonts w:ascii="Verdana" w:hAnsi="Verdana"/>
          <w:color w:val="000000" w:themeColor="text1"/>
          <w:sz w:val="16"/>
          <w:szCs w:val="16"/>
        </w:rPr>
        <w:t xml:space="preserve">GÓMEZ Velásquez, Alejandro y DÍAZ Díez Cristian Andrés. </w:t>
      </w:r>
      <w:r w:rsidRPr="00662B73">
        <w:rPr>
          <w:rFonts w:ascii="Verdana" w:eastAsia="Times New Roman" w:hAnsi="Verdana"/>
          <w:i/>
          <w:iCs/>
          <w:color w:val="000000" w:themeColor="text1"/>
          <w:sz w:val="16"/>
          <w:szCs w:val="16"/>
          <w:shd w:val="clear" w:color="auto" w:fill="FFFFFF"/>
          <w:lang w:eastAsia="es-ES_tradnl"/>
        </w:rPr>
        <w:t>Los convenios de interés público y de asociación en el régimen de contratación pública colombiana.</w:t>
      </w:r>
      <w:r w:rsidRPr="00662B73">
        <w:rPr>
          <w:rFonts w:ascii="Verdana" w:eastAsia="Times New Roman" w:hAnsi="Verdana"/>
          <w:color w:val="000000" w:themeColor="text1"/>
          <w:sz w:val="16"/>
          <w:szCs w:val="16"/>
          <w:shd w:val="clear" w:color="auto" w:fill="FFFFFF"/>
          <w:lang w:eastAsia="es-ES_tradnl"/>
        </w:rPr>
        <w:t xml:space="preserve"> Revista Derecho del Estad</w:t>
      </w:r>
      <w:r>
        <w:rPr>
          <w:rFonts w:ascii="Verdana" w:eastAsia="Times New Roman" w:hAnsi="Verdana"/>
          <w:color w:val="000000" w:themeColor="text1"/>
          <w:sz w:val="16"/>
          <w:szCs w:val="16"/>
          <w:shd w:val="clear" w:color="auto" w:fill="FFFFFF"/>
          <w:lang w:eastAsia="es-ES_tradnl"/>
        </w:rPr>
        <w:t>o</w:t>
      </w:r>
      <w:r w:rsidRPr="00662B73">
        <w:rPr>
          <w:rFonts w:ascii="Verdana" w:eastAsia="Times New Roman" w:hAnsi="Verdana"/>
          <w:color w:val="000000" w:themeColor="text1"/>
          <w:sz w:val="16"/>
          <w:szCs w:val="16"/>
          <w:shd w:val="clear" w:color="auto" w:fill="FFFFFF"/>
          <w:lang w:eastAsia="es-ES_tradnl"/>
        </w:rPr>
        <w:t>. Universidad Externado de Colombia.</w:t>
      </w:r>
      <w:r w:rsidRPr="00662B73">
        <w:rPr>
          <w:rFonts w:ascii="Verdana" w:eastAsia="Times New Roman" w:hAnsi="Verdana"/>
          <w:i/>
          <w:iCs/>
          <w:color w:val="000000" w:themeColor="text1"/>
          <w:sz w:val="16"/>
          <w:szCs w:val="16"/>
          <w:shd w:val="clear" w:color="auto" w:fill="FFFFFF"/>
          <w:lang w:eastAsia="es-ES_tradnl"/>
        </w:rPr>
        <w:t xml:space="preserve"> </w:t>
      </w:r>
      <w:r w:rsidRPr="00662B73">
        <w:rPr>
          <w:rFonts w:ascii="Verdana" w:eastAsia="Times New Roman" w:hAnsi="Verdana"/>
          <w:color w:val="000000" w:themeColor="text1"/>
          <w:sz w:val="16"/>
          <w:szCs w:val="16"/>
          <w:shd w:val="clear" w:color="auto" w:fill="FFFFFF"/>
          <w:lang w:eastAsia="es-ES_tradnl"/>
        </w:rPr>
        <w:t xml:space="preserve">Se puede consultar en el siguiente enlace: </w:t>
      </w:r>
      <w:hyperlink r:id="rId1" w:anchor="figures" w:history="1">
        <w:r w:rsidRPr="00662B73">
          <w:rPr>
            <w:rStyle w:val="Hyperlink"/>
            <w:rFonts w:ascii="Verdana" w:eastAsia="Times New Roman" w:hAnsi="Verdana"/>
            <w:color w:val="000000" w:themeColor="text1"/>
            <w:sz w:val="16"/>
            <w:szCs w:val="16"/>
            <w:shd w:val="clear" w:color="auto" w:fill="FFFFFF"/>
            <w:lang w:eastAsia="es-ES_tradnl"/>
          </w:rPr>
          <w:t>https://revistas.uexternado.edu.co/index.php/derest/article/view/6151/8606#figures</w:t>
        </w:r>
      </w:hyperlink>
      <w:r w:rsidRPr="00662B73">
        <w:rPr>
          <w:rFonts w:ascii="Verdana" w:eastAsia="Times New Roman" w:hAnsi="Verdana"/>
          <w:color w:val="000000" w:themeColor="text1"/>
          <w:sz w:val="16"/>
          <w:szCs w:val="16"/>
          <w:shd w:val="clear" w:color="auto" w:fill="FFFFFF"/>
          <w:lang w:eastAsia="es-ES_tradnl"/>
        </w:rPr>
        <w:t xml:space="preserve"> </w:t>
      </w:r>
    </w:p>
  </w:footnote>
  <w:footnote w:id="9">
    <w:p w14:paraId="246A0788" w14:textId="77777777" w:rsidR="00887898" w:rsidRPr="00662B73" w:rsidRDefault="00887898" w:rsidP="00887898">
      <w:pPr>
        <w:spacing w:after="0" w:line="240" w:lineRule="auto"/>
        <w:ind w:firstLine="708"/>
        <w:jc w:val="both"/>
        <w:rPr>
          <w:rFonts w:ascii="Verdana" w:eastAsia="Times New Roman" w:hAnsi="Verdana"/>
          <w:color w:val="000000"/>
          <w:sz w:val="16"/>
          <w:szCs w:val="16"/>
          <w:shd w:val="clear" w:color="auto" w:fill="FFFFFF"/>
          <w:lang w:eastAsia="es-ES_tradnl"/>
        </w:rPr>
      </w:pPr>
      <w:r w:rsidRPr="00662B73">
        <w:rPr>
          <w:rStyle w:val="FootnoteReference"/>
          <w:rFonts w:ascii="Verdana" w:hAnsi="Verdana"/>
          <w:sz w:val="16"/>
          <w:szCs w:val="16"/>
        </w:rPr>
        <w:footnoteRef/>
      </w:r>
      <w:r w:rsidRPr="00662B73">
        <w:rPr>
          <w:rFonts w:ascii="Verdana" w:hAnsi="Verdana"/>
          <w:sz w:val="16"/>
          <w:szCs w:val="16"/>
        </w:rPr>
        <w:t xml:space="preserve"> </w:t>
      </w:r>
      <w:bookmarkStart w:id="10" w:name="_Hlk171946540"/>
      <w:r w:rsidRPr="00662B73">
        <w:rPr>
          <w:rFonts w:ascii="Verdana" w:eastAsia="Times New Roman" w:hAnsi="Verdana"/>
          <w:color w:val="000000"/>
          <w:sz w:val="16"/>
          <w:szCs w:val="16"/>
          <w:shd w:val="clear" w:color="auto" w:fill="FFFFFF"/>
          <w:lang w:eastAsia="es-ES_tradnl"/>
        </w:rPr>
        <w:t>Corte Constitucional.  Sala Plena. Sentencia C-324 de 2009. M.P.: Juan Carlos Henao Pérez. En igual sentido, véase Corte Constitucional, Sala Plena. Sentencia C-027 de 2016.</w:t>
      </w:r>
      <w:bookmarkEnd w:id="10"/>
    </w:p>
  </w:footnote>
  <w:footnote w:id="10">
    <w:p w14:paraId="12AFA50E" w14:textId="77777777" w:rsidR="00887898" w:rsidRPr="00662B73" w:rsidRDefault="00887898" w:rsidP="00887898">
      <w:pPr>
        <w:spacing w:after="0" w:line="240" w:lineRule="auto"/>
        <w:ind w:firstLine="708"/>
        <w:jc w:val="both"/>
        <w:rPr>
          <w:rFonts w:ascii="Verdana" w:eastAsia="Calibri" w:hAnsi="Verdana" w:cs="Arial"/>
          <w:color w:val="000000" w:themeColor="text1"/>
          <w:sz w:val="16"/>
          <w:szCs w:val="16"/>
        </w:rPr>
      </w:pPr>
      <w:r w:rsidRPr="00662B73">
        <w:rPr>
          <w:rStyle w:val="FootnoteReferenc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1">
    <w:p w14:paraId="775BC9D9" w14:textId="77777777" w:rsidR="00887898" w:rsidRPr="00662B73" w:rsidRDefault="00887898" w:rsidP="00887898">
      <w:pPr>
        <w:pStyle w:val="FootnoteText"/>
        <w:ind w:firstLine="709"/>
        <w:jc w:val="both"/>
        <w:rPr>
          <w:rFonts w:ascii="Verdana" w:hAnsi="Verdana" w:cs="Arial"/>
          <w:color w:val="000000" w:themeColor="text1"/>
          <w:sz w:val="16"/>
          <w:szCs w:val="16"/>
        </w:rPr>
      </w:pPr>
      <w:r w:rsidRPr="00662B73">
        <w:rPr>
          <w:rStyle w:val="FootnoteReferenc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Concepto del 3 de septiembre de 2019, con radicado No. 2201913000006512, dictado por la Agencia Nacional de Contratación Pública – Colombia Compra Eficiente.</w:t>
      </w:r>
    </w:p>
  </w:footnote>
  <w:footnote w:id="12">
    <w:p w14:paraId="175B79C7" w14:textId="77777777" w:rsidR="00887898" w:rsidRPr="00662B73" w:rsidRDefault="00887898" w:rsidP="00887898">
      <w:pPr>
        <w:pStyle w:val="FootnoteText"/>
        <w:ind w:firstLine="708"/>
        <w:jc w:val="both"/>
        <w:rPr>
          <w:rFonts w:ascii="Verdana" w:eastAsia="Times New Roman" w:hAnsi="Verdana" w:cs="Times New Roman"/>
          <w:color w:val="000000" w:themeColor="text1"/>
          <w:sz w:val="16"/>
          <w:szCs w:val="16"/>
          <w:u w:val="single"/>
          <w:shd w:val="clear" w:color="auto" w:fill="FFFFFF"/>
          <w:lang w:eastAsia="es-ES_tradnl"/>
        </w:rPr>
      </w:pPr>
      <w:r w:rsidRPr="00662B73">
        <w:rPr>
          <w:rStyle w:val="FootnoteReference"/>
          <w:rFonts w:ascii="Verdana" w:hAnsi="Verdana"/>
          <w:sz w:val="16"/>
          <w:szCs w:val="16"/>
        </w:rPr>
        <w:footnoteRef/>
      </w:r>
      <w:r w:rsidRPr="00662B73">
        <w:rPr>
          <w:rFonts w:ascii="Verdana" w:hAnsi="Verdana"/>
          <w:sz w:val="16"/>
          <w:szCs w:val="16"/>
        </w:rPr>
        <w:t xml:space="preserve"> </w:t>
      </w:r>
      <w:r w:rsidRPr="00662B73">
        <w:rPr>
          <w:rStyle w:val="author-name"/>
          <w:rFonts w:ascii="Verdana" w:hAnsi="Verdana"/>
          <w:color w:val="000000" w:themeColor="text1"/>
          <w:sz w:val="16"/>
          <w:szCs w:val="16"/>
        </w:rPr>
        <w:t xml:space="preserve">GÓMEZ Velásquez, Alejandro y DÍAZ Díez Cristian Andrés. </w:t>
      </w:r>
      <w:r w:rsidRPr="00662B73">
        <w:rPr>
          <w:rFonts w:ascii="Verdana" w:eastAsia="Times New Roman" w:hAnsi="Verdana"/>
          <w:i/>
          <w:iCs/>
          <w:color w:val="000000" w:themeColor="text1"/>
          <w:sz w:val="16"/>
          <w:szCs w:val="16"/>
          <w:shd w:val="clear" w:color="auto" w:fill="FFFFFF"/>
          <w:lang w:eastAsia="es-ES_tradnl"/>
        </w:rPr>
        <w:t>Los convenios de interés público y de asociación en el régimen de contratación pública colombiana.</w:t>
      </w:r>
      <w:r w:rsidRPr="00662B73">
        <w:rPr>
          <w:rFonts w:ascii="Verdana" w:eastAsia="Times New Roman" w:hAnsi="Verdana"/>
          <w:color w:val="000000" w:themeColor="text1"/>
          <w:sz w:val="16"/>
          <w:szCs w:val="16"/>
          <w:shd w:val="clear" w:color="auto" w:fill="FFFFFF"/>
          <w:lang w:eastAsia="es-ES_tradnl"/>
        </w:rPr>
        <w:t xml:space="preserve"> Revista Derecho del Estad</w:t>
      </w:r>
      <w:r>
        <w:rPr>
          <w:rFonts w:ascii="Verdana" w:eastAsia="Times New Roman" w:hAnsi="Verdana"/>
          <w:color w:val="000000" w:themeColor="text1"/>
          <w:sz w:val="16"/>
          <w:szCs w:val="16"/>
          <w:shd w:val="clear" w:color="auto" w:fill="FFFFFF"/>
          <w:lang w:eastAsia="es-ES_tradnl"/>
        </w:rPr>
        <w:t>o</w:t>
      </w:r>
      <w:r w:rsidRPr="00662B73">
        <w:rPr>
          <w:rFonts w:ascii="Verdana" w:eastAsia="Times New Roman" w:hAnsi="Verdana"/>
          <w:color w:val="000000" w:themeColor="text1"/>
          <w:sz w:val="16"/>
          <w:szCs w:val="16"/>
          <w:shd w:val="clear" w:color="auto" w:fill="FFFFFF"/>
          <w:lang w:eastAsia="es-ES_tradnl"/>
        </w:rPr>
        <w:t>. Universidad Externado de Colombia.</w:t>
      </w:r>
      <w:r w:rsidRPr="00662B73">
        <w:rPr>
          <w:rFonts w:ascii="Verdana" w:eastAsia="Times New Roman" w:hAnsi="Verdana"/>
          <w:i/>
          <w:iCs/>
          <w:color w:val="000000" w:themeColor="text1"/>
          <w:sz w:val="16"/>
          <w:szCs w:val="16"/>
          <w:shd w:val="clear" w:color="auto" w:fill="FFFFFF"/>
          <w:lang w:eastAsia="es-ES_tradnl"/>
        </w:rPr>
        <w:t xml:space="preserve"> </w:t>
      </w:r>
      <w:r w:rsidRPr="00662B73">
        <w:rPr>
          <w:rFonts w:ascii="Verdana" w:eastAsia="Times New Roman" w:hAnsi="Verdana"/>
          <w:color w:val="000000" w:themeColor="text1"/>
          <w:sz w:val="16"/>
          <w:szCs w:val="16"/>
          <w:shd w:val="clear" w:color="auto" w:fill="FFFFFF"/>
          <w:lang w:eastAsia="es-ES_tradnl"/>
        </w:rPr>
        <w:t xml:space="preserve">Se puede consultar en el siguiente enlace: </w:t>
      </w:r>
      <w:hyperlink r:id="rId2" w:anchor="figures" w:history="1">
        <w:r w:rsidRPr="00662B73">
          <w:rPr>
            <w:rStyle w:val="Hyperlink"/>
            <w:rFonts w:ascii="Verdana" w:eastAsia="Times New Roman" w:hAnsi="Verdana"/>
            <w:color w:val="000000" w:themeColor="text1"/>
            <w:sz w:val="16"/>
            <w:szCs w:val="16"/>
            <w:shd w:val="clear" w:color="auto" w:fill="FFFFFF"/>
            <w:lang w:eastAsia="es-ES_tradnl"/>
          </w:rPr>
          <w:t>https://revistas.uexternado.edu.co/index.php/derest/article/view/6151/8606#figures</w:t>
        </w:r>
      </w:hyperlink>
    </w:p>
  </w:footnote>
  <w:footnote w:id="13">
    <w:p w14:paraId="2B5B8928" w14:textId="77777777" w:rsidR="00887898" w:rsidRPr="00662B73" w:rsidRDefault="00887898" w:rsidP="00887898">
      <w:pPr>
        <w:pStyle w:val="FootnoteText"/>
        <w:ind w:firstLine="708"/>
        <w:jc w:val="both"/>
        <w:rPr>
          <w:rFonts w:ascii="Verdana" w:hAnsi="Verdana" w:cs="Arial"/>
          <w:color w:val="000000" w:themeColor="text1"/>
          <w:sz w:val="16"/>
          <w:szCs w:val="16"/>
        </w:rPr>
      </w:pPr>
      <w:r w:rsidRPr="00662B73">
        <w:rPr>
          <w:rStyle w:val="FootnoteReferenc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Cfr. Concepto del 21 de agosto de 2019, dictado dentro del radicado No. 2201913000006047.</w:t>
      </w:r>
    </w:p>
  </w:footnote>
  <w:footnote w:id="14">
    <w:p w14:paraId="71A99068" w14:textId="77777777" w:rsidR="00887898" w:rsidRPr="00662B73" w:rsidRDefault="00887898" w:rsidP="00887898">
      <w:pPr>
        <w:pStyle w:val="FootnoteText"/>
        <w:ind w:firstLine="708"/>
        <w:jc w:val="both"/>
        <w:rPr>
          <w:rFonts w:ascii="Verdana" w:hAnsi="Verdana" w:cs="Arial"/>
          <w:color w:val="000000" w:themeColor="text1"/>
          <w:sz w:val="16"/>
          <w:szCs w:val="16"/>
        </w:rPr>
      </w:pPr>
      <w:r w:rsidRPr="00662B73">
        <w:rPr>
          <w:rStyle w:val="FootnoteReferenc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w:t>
      </w:r>
      <w:bookmarkStart w:id="15" w:name="_Hlk171946243"/>
      <w:r w:rsidRPr="00662B73">
        <w:rPr>
          <w:rFonts w:ascii="Verdana" w:hAnsi="Verdana" w:cs="Arial"/>
          <w:color w:val="000000" w:themeColor="text1"/>
          <w:sz w:val="16"/>
          <w:szCs w:val="16"/>
        </w:rPr>
        <w:t>Consejo de Estado. Sala de Consulta y del Servicio Civil. Concepto del 24 de febrero de 2005. Radicado No. 1626. Consejera Ponente: Dra. Gloria Duque Hernández</w:t>
      </w:r>
      <w:bookmarkEnd w:id="15"/>
      <w:r w:rsidRPr="00662B73">
        <w:rPr>
          <w:rFonts w:ascii="Verdana" w:hAnsi="Verdana" w:cs="Arial"/>
          <w:color w:val="000000" w:themeColor="text1"/>
          <w:sz w:val="16"/>
          <w:szCs w:val="16"/>
        </w:rPr>
        <w:t>.</w:t>
      </w:r>
    </w:p>
  </w:footnote>
  <w:footnote w:id="15">
    <w:p w14:paraId="1115CD8F" w14:textId="77777777" w:rsidR="00887898" w:rsidRPr="00884116" w:rsidRDefault="00887898" w:rsidP="00887898">
      <w:pPr>
        <w:pStyle w:val="FootnoteText"/>
        <w:ind w:firstLine="709"/>
        <w:rPr>
          <w:lang w:val="es-CO"/>
        </w:rPr>
      </w:pPr>
      <w:r>
        <w:rPr>
          <w:rStyle w:val="FootnoteReference"/>
        </w:rPr>
        <w:footnoteRef/>
      </w:r>
      <w:r>
        <w:t xml:space="preserve"> </w:t>
      </w:r>
      <w:r w:rsidRPr="009F31C1">
        <w:rPr>
          <w:rFonts w:ascii="Verdana" w:hAnsi="Verdana"/>
          <w:sz w:val="16"/>
          <w:szCs w:val="16"/>
        </w:rPr>
        <w:t>Consejo de Estado, Sección Tercera, Sentencia del 7 de marzo del 2025. Radicación No. 63.262 CP: María Adriana Marín.</w:t>
      </w:r>
      <w:r>
        <w:t xml:space="preserve"> </w:t>
      </w:r>
    </w:p>
  </w:footnote>
  <w:footnote w:id="16">
    <w:p w14:paraId="0C7BB075" w14:textId="77777777" w:rsidR="00887898" w:rsidRDefault="00887898" w:rsidP="00887898">
      <w:pPr>
        <w:pStyle w:val="FootnoteText"/>
        <w:jc w:val="both"/>
      </w:pPr>
      <w:r>
        <w:rPr>
          <w:rStyle w:val="FootnoteReference"/>
          <w:rFonts w:ascii="Verdana" w:hAnsi="Verdana"/>
          <w:sz w:val="16"/>
          <w:szCs w:val="16"/>
        </w:rPr>
        <w:footnoteRef/>
      </w:r>
      <w:r>
        <w:rPr>
          <w:rFonts w:ascii="Verdana" w:hAnsi="Verdana"/>
          <w:color w:val="000000" w:themeColor="text1"/>
          <w:sz w:val="16"/>
          <w:szCs w:val="16"/>
          <w:lang w:val="es-ES"/>
        </w:rPr>
        <w:t xml:space="preserve"> Si bien la consulta alude al artículo 3 del Decreto 092 de 2017, la exclusión de los negocios que comportan una relación conmutativa se encuentra en el literal b) del artículo 2 ibidem. El artículo 3 regula la reconocida idoneidad de la entidad sin ánimo de lucro.</w:t>
      </w:r>
    </w:p>
  </w:footnote>
  <w:footnote w:id="17">
    <w:p w14:paraId="002D3340" w14:textId="77777777" w:rsidR="00887898" w:rsidRDefault="00887898" w:rsidP="00887898">
      <w:pPr>
        <w:pStyle w:val="FootnoteText"/>
        <w:jc w:val="both"/>
      </w:pPr>
      <w:r>
        <w:rPr>
          <w:rStyle w:val="FootnoteReference"/>
          <w:rFonts w:ascii="Verdana" w:hAnsi="Verdana"/>
          <w:sz w:val="16"/>
          <w:szCs w:val="16"/>
        </w:rPr>
        <w:footnoteRef/>
      </w:r>
      <w:r>
        <w:rPr>
          <w:rFonts w:ascii="Verdana" w:hAnsi="Verdana"/>
          <w:color w:val="000000" w:themeColor="text1"/>
          <w:sz w:val="16"/>
          <w:szCs w:val="16"/>
          <w:lang w:val="es-ES"/>
        </w:rPr>
        <w:t xml:space="preserve"> Consejo de Estado. Sala de Consulta y Servicio Civil. Concepto del 24 de febrero de 2005. Radicado No. 1626. Consejera Ponente: Gloria Duque Hernández.</w:t>
      </w:r>
    </w:p>
  </w:footnote>
  <w:footnote w:id="18">
    <w:p w14:paraId="6113E14F" w14:textId="77777777" w:rsidR="00887898" w:rsidRDefault="00887898" w:rsidP="00887898">
      <w:pPr>
        <w:pStyle w:val="FootnoteText"/>
        <w:jc w:val="both"/>
      </w:pPr>
      <w:r>
        <w:rPr>
          <w:rStyle w:val="FootnoteReference"/>
          <w:rFonts w:ascii="Verdana" w:hAnsi="Verdana"/>
          <w:sz w:val="16"/>
          <w:szCs w:val="16"/>
        </w:rPr>
        <w:footnoteRef/>
      </w:r>
      <w:r>
        <w:rPr>
          <w:rFonts w:ascii="Verdana" w:hAnsi="Verdana"/>
          <w:color w:val="000000" w:themeColor="text1"/>
          <w:sz w:val="16"/>
          <w:szCs w:val="16"/>
          <w:lang w:val="es-ES"/>
        </w:rPr>
        <w:t xml:space="preserve"> Consejo de Estado, Sección Tercera, Sentencia del 7 de marzo de 2025. Radicación No. 63.262. C.P.: 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8"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3B52"/>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45A8"/>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2FA8"/>
    <w:rsid w:val="004A1847"/>
    <w:rsid w:val="004A305D"/>
    <w:rsid w:val="004F21C4"/>
    <w:rsid w:val="004F685F"/>
    <w:rsid w:val="005566E8"/>
    <w:rsid w:val="00557E51"/>
    <w:rsid w:val="0056392B"/>
    <w:rsid w:val="00574867"/>
    <w:rsid w:val="00591460"/>
    <w:rsid w:val="005A65E0"/>
    <w:rsid w:val="005C3777"/>
    <w:rsid w:val="005C5CDC"/>
    <w:rsid w:val="005D476C"/>
    <w:rsid w:val="006200BF"/>
    <w:rsid w:val="006219F8"/>
    <w:rsid w:val="006302F7"/>
    <w:rsid w:val="00646B9F"/>
    <w:rsid w:val="00665D70"/>
    <w:rsid w:val="006900D9"/>
    <w:rsid w:val="00706C16"/>
    <w:rsid w:val="00724C1E"/>
    <w:rsid w:val="007340C3"/>
    <w:rsid w:val="007500B7"/>
    <w:rsid w:val="0075235A"/>
    <w:rsid w:val="00756841"/>
    <w:rsid w:val="007649AB"/>
    <w:rsid w:val="00771D0C"/>
    <w:rsid w:val="007833AC"/>
    <w:rsid w:val="007B268C"/>
    <w:rsid w:val="007B7171"/>
    <w:rsid w:val="007C0C0F"/>
    <w:rsid w:val="007C3DC2"/>
    <w:rsid w:val="007E5497"/>
    <w:rsid w:val="00806F5F"/>
    <w:rsid w:val="00820278"/>
    <w:rsid w:val="008258C9"/>
    <w:rsid w:val="008372E8"/>
    <w:rsid w:val="00844AE9"/>
    <w:rsid w:val="00867F95"/>
    <w:rsid w:val="008843B6"/>
    <w:rsid w:val="00887898"/>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80F35"/>
    <w:rsid w:val="00B95693"/>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4992"/>
    <w:rsid w:val="00D361FD"/>
    <w:rsid w:val="00D423A2"/>
    <w:rsid w:val="00D44C68"/>
    <w:rsid w:val="00D44E26"/>
    <w:rsid w:val="00D520D8"/>
    <w:rsid w:val="00D63AC2"/>
    <w:rsid w:val="00D6417D"/>
    <w:rsid w:val="00D7383B"/>
    <w:rsid w:val="00D7788A"/>
    <w:rsid w:val="00DA231B"/>
    <w:rsid w:val="00DC39FC"/>
    <w:rsid w:val="00DF5254"/>
    <w:rsid w:val="00E02524"/>
    <w:rsid w:val="00E16408"/>
    <w:rsid w:val="00E16DF4"/>
    <w:rsid w:val="00E20894"/>
    <w:rsid w:val="00E245AB"/>
    <w:rsid w:val="00E2764C"/>
    <w:rsid w:val="00E27F2E"/>
    <w:rsid w:val="00E50AFE"/>
    <w:rsid w:val="00E75C92"/>
    <w:rsid w:val="00E771DC"/>
    <w:rsid w:val="00E8772A"/>
    <w:rsid w:val="00E90F6B"/>
    <w:rsid w:val="00E92C27"/>
    <w:rsid w:val="00EA0E3D"/>
    <w:rsid w:val="00EB6354"/>
    <w:rsid w:val="00EC38A7"/>
    <w:rsid w:val="00EE1AA8"/>
    <w:rsid w:val="00F23FEA"/>
    <w:rsid w:val="00F31EDC"/>
    <w:rsid w:val="00F462B3"/>
    <w:rsid w:val="00F5664F"/>
    <w:rsid w:val="00F666C4"/>
    <w:rsid w:val="00F76AFC"/>
    <w:rsid w:val="00FA47C0"/>
    <w:rsid w:val="00FB5DD1"/>
    <w:rsid w:val="00FC2B5D"/>
    <w:rsid w:val="00FD02DF"/>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887898"/>
    <w:pPr>
      <w:spacing w:after="0"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87898"/>
    <w:rPr>
      <w:rFonts w:ascii="Geomanist Light" w:hAnsi="Geomanist Light"/>
      <w:lang w:val="es-ES"/>
    </w:rPr>
  </w:style>
  <w:style w:type="character" w:customStyle="1" w:styleId="author-name">
    <w:name w:val="author-name"/>
    <w:basedOn w:val="DefaultParagraphFont"/>
    <w:rsid w:val="00887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seolay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DAD2F6-B7C4-4C72-8417-98067F1F3B9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26</Pages>
  <Words>9094</Words>
  <Characters>51840</Characters>
  <Application>Microsoft Office Word</Application>
  <DocSecurity>0</DocSecurity>
  <Lines>432</Lines>
  <Paragraphs>121</Paragraphs>
  <ScaleCrop>false</ScaleCrop>
  <Company/>
  <LinksUpToDate>false</LinksUpToDate>
  <CharactersWithSpaces>60813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9</cp:revision>
  <cp:lastPrinted>2023-01-10T21:18:00Z</cp:lastPrinted>
  <dcterms:created xsi:type="dcterms:W3CDTF">2026-10-15T21:34:00Z</dcterms:created>
  <dcterms:modified xsi:type="dcterms:W3CDTF">2026-10-15T21:44:00Z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