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0CAA3" w14:textId="77777777" w:rsidR="00E65D8B" w:rsidRPr="00BA2656" w:rsidRDefault="00E65D8B" w:rsidP="00E65D8B">
      <w:pPr>
        <w:spacing w:after="0" w:line="276" w:lineRule="auto"/>
        <w:jc w:val="both"/>
        <w:rPr>
          <w:rFonts w:ascii="Verdana" w:eastAsia="Aptos" w:hAnsi="Verdana" w:cs="Times New Roman"/>
          <w:b/>
          <w:bCs/>
        </w:rPr>
      </w:pPr>
      <w:bookmarkStart w:id="0" w:name="_Hlk143780582"/>
      <w:r w:rsidRPr="00BA2656">
        <w:rPr>
          <w:rFonts w:ascii="Verdana" w:eastAsia="Aptos" w:hAnsi="Verdana" w:cs="Times New Roman"/>
          <w:b/>
          <w:bCs/>
        </w:rPr>
        <w:t xml:space="preserve">PLANEACIÓN CONTRACTUAL – Noción – Estudios previos – Deber de las entidades </w:t>
      </w:r>
    </w:p>
    <w:p w14:paraId="0E3AB545" w14:textId="77777777" w:rsidR="00E65D8B" w:rsidRPr="00BA2656" w:rsidRDefault="00E65D8B" w:rsidP="00E65D8B">
      <w:pPr>
        <w:spacing w:after="0" w:line="276" w:lineRule="auto"/>
        <w:jc w:val="both"/>
        <w:rPr>
          <w:rFonts w:ascii="Verdana" w:eastAsia="Aptos" w:hAnsi="Verdana" w:cs="Times New Roman"/>
          <w:b/>
          <w:bCs/>
        </w:rPr>
      </w:pPr>
    </w:p>
    <w:p w14:paraId="7D48DAAD" w14:textId="77777777" w:rsidR="00E65D8B" w:rsidRPr="00BA2656" w:rsidRDefault="00E65D8B" w:rsidP="00E65D8B">
      <w:pPr>
        <w:spacing w:after="0" w:line="276" w:lineRule="auto"/>
        <w:jc w:val="both"/>
        <w:rPr>
          <w:rFonts w:ascii="Verdana" w:eastAsia="Aptos" w:hAnsi="Verdana" w:cs="Times New Roman"/>
          <w:sz w:val="20"/>
          <w:szCs w:val="20"/>
        </w:rPr>
      </w:pPr>
      <w:r w:rsidRPr="00BA2656">
        <w:rPr>
          <w:rFonts w:ascii="Verdana" w:eastAsia="Aptos" w:hAnsi="Verdana" w:cs="Times New Roman"/>
          <w:sz w:val="20"/>
          <w:szCs w:val="20"/>
        </w:rPr>
        <w:t>[…] al ser la planeación contractual una herramienta de gerencia pública, que exige estructurar el proceso contractual dedicando tiempo y esfuerzos para elaborar estudios previos, su finalidad es la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el objetivo de realizar la escogencia diligente de la mejor oferta, para beneficiar los intereses y fines públicos inmersos en la contratación de las Entidades Estatales.</w:t>
      </w:r>
    </w:p>
    <w:p w14:paraId="6EFA0B0B" w14:textId="77777777" w:rsidR="00E65D8B" w:rsidRPr="00BA2656" w:rsidRDefault="00E65D8B" w:rsidP="00E65D8B">
      <w:pPr>
        <w:spacing w:after="0" w:line="276" w:lineRule="auto"/>
        <w:jc w:val="both"/>
        <w:rPr>
          <w:rFonts w:ascii="Verdana" w:eastAsia="Aptos" w:hAnsi="Verdana" w:cs="Times New Roman"/>
          <w:sz w:val="20"/>
          <w:szCs w:val="20"/>
        </w:rPr>
      </w:pPr>
      <w:r w:rsidRPr="00BA2656">
        <w:rPr>
          <w:rFonts w:ascii="Verdana" w:eastAsia="Aptos" w:hAnsi="Verdana" w:cs="Times New Roman"/>
          <w:sz w:val="20"/>
          <w:szCs w:val="20"/>
        </w:rPr>
        <w:t>[…]</w:t>
      </w:r>
    </w:p>
    <w:p w14:paraId="098689EE" w14:textId="77777777" w:rsidR="00E65D8B" w:rsidRPr="00BA2656" w:rsidRDefault="00E65D8B" w:rsidP="00E65D8B">
      <w:pPr>
        <w:spacing w:after="0" w:line="276" w:lineRule="auto"/>
        <w:jc w:val="both"/>
        <w:rPr>
          <w:rFonts w:ascii="Verdana" w:eastAsia="Aptos" w:hAnsi="Verdana" w:cs="Times New Roman"/>
          <w:sz w:val="20"/>
          <w:szCs w:val="20"/>
        </w:rPr>
      </w:pPr>
      <w:r w:rsidRPr="00BA2656">
        <w:rPr>
          <w:rFonts w:ascii="Verdana" w:eastAsia="Aptos" w:hAnsi="Verdana" w:cs="Times New Roman"/>
          <w:sz w:val="20"/>
          <w:szCs w:val="20"/>
        </w:rPr>
        <w:t>[…] los numerales 2 y 4 del artículo 2.2.1.1.2.1.1 del Decreto 1082 de 2015 exigen que en los estudios previos se determine el objeto a contratar con sus especificaciones, y se señale el valor estimado del contrato y la justificación del mismo. Para cumplir este objetivo es necesario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En este sentido, el artículo 2.2.1.1.1.6.1 del Decreto 1082 de 2015 dispone que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0966165A" w14:textId="77777777" w:rsidR="00E65D8B" w:rsidRPr="00BA2656" w:rsidRDefault="00E65D8B" w:rsidP="00E65D8B">
      <w:pPr>
        <w:spacing w:after="0" w:line="240" w:lineRule="auto"/>
        <w:jc w:val="both"/>
        <w:rPr>
          <w:rFonts w:ascii="Verdana" w:eastAsia="Aptos" w:hAnsi="Verdana" w:cs="Times New Roman"/>
          <w:sz w:val="20"/>
          <w:szCs w:val="20"/>
        </w:rPr>
      </w:pPr>
    </w:p>
    <w:p w14:paraId="2C743896" w14:textId="77777777" w:rsidR="00E65D8B" w:rsidRPr="00BA2656" w:rsidRDefault="00E65D8B" w:rsidP="00E65D8B">
      <w:pPr>
        <w:spacing w:after="0" w:line="240" w:lineRule="auto"/>
        <w:jc w:val="both"/>
        <w:rPr>
          <w:rFonts w:ascii="Verdana" w:eastAsia="Aptos" w:hAnsi="Verdana" w:cs="Times New Roman"/>
          <w:b/>
          <w:bCs/>
        </w:rPr>
      </w:pPr>
      <w:r w:rsidRPr="00BA2656">
        <w:rPr>
          <w:rFonts w:ascii="Verdana" w:eastAsia="Aptos" w:hAnsi="Verdana" w:cs="Times New Roman"/>
          <w:b/>
          <w:bCs/>
        </w:rPr>
        <w:t>CONTRATACIÓN POR URGENCIA MANIFIESTA – Excepción – Elaboración de estudios previos</w:t>
      </w:r>
    </w:p>
    <w:p w14:paraId="01ABADAF" w14:textId="77777777" w:rsidR="00E65D8B" w:rsidRPr="00BA2656" w:rsidRDefault="00E65D8B" w:rsidP="00E65D8B">
      <w:pPr>
        <w:spacing w:after="0" w:line="240" w:lineRule="auto"/>
        <w:jc w:val="both"/>
        <w:rPr>
          <w:rFonts w:ascii="Verdana" w:eastAsia="Aptos" w:hAnsi="Verdana" w:cs="Times New Roman"/>
          <w:sz w:val="20"/>
          <w:szCs w:val="20"/>
        </w:rPr>
      </w:pPr>
    </w:p>
    <w:p w14:paraId="3232C839" w14:textId="77777777" w:rsidR="00E65D8B" w:rsidRPr="00BA2656" w:rsidRDefault="00E65D8B" w:rsidP="00E65D8B">
      <w:pPr>
        <w:spacing w:after="0" w:line="240" w:lineRule="auto"/>
        <w:jc w:val="both"/>
        <w:rPr>
          <w:rFonts w:ascii="Verdana" w:eastAsia="Aptos" w:hAnsi="Verdana" w:cs="Times New Roman"/>
          <w:sz w:val="20"/>
          <w:szCs w:val="20"/>
        </w:rPr>
      </w:pPr>
      <w:r w:rsidRPr="00BA2656">
        <w:rPr>
          <w:rFonts w:ascii="Verdana" w:eastAsia="Aptos" w:hAnsi="Verdana" w:cs="Times New Roman"/>
          <w:sz w:val="20"/>
          <w:szCs w:val="20"/>
        </w:rPr>
        <w:t>[…] la obligación de realizar estudios y documentos previos, no es extensible a la contratación directa por urgencia manifiesta que realicen las Entidades Estatales. Esto, por cuanto, al definirse la urgencia manifiesta en el artículo 42 de la Ley 80 de 1993 como circunstancia que exige, con carácter apremiante, preservar la continuidad del servicio, cuando se afecta por situaciones de fuerza mayor, desastres, calamidades o hechos relacionados con los estados de excepción; la norma permite, como se observará, que el proceso de contratación se surta de manera ágil e inmediata y sin la realización de procedimientos previos a la celebración del futuro contrato.</w:t>
      </w:r>
    </w:p>
    <w:p w14:paraId="61380EA5" w14:textId="77777777" w:rsidR="00E65D8B" w:rsidRPr="00BA2656" w:rsidRDefault="00E65D8B" w:rsidP="00E65D8B">
      <w:pPr>
        <w:spacing w:after="0" w:line="240" w:lineRule="auto"/>
        <w:jc w:val="both"/>
        <w:rPr>
          <w:rFonts w:ascii="Verdana" w:eastAsia="Aptos" w:hAnsi="Verdana" w:cs="Times New Roman"/>
          <w:sz w:val="20"/>
          <w:szCs w:val="20"/>
        </w:rPr>
      </w:pPr>
    </w:p>
    <w:p w14:paraId="3E96BBEA" w14:textId="77777777" w:rsidR="00E65D8B" w:rsidRPr="00BA2656" w:rsidRDefault="00E65D8B" w:rsidP="00E65D8B">
      <w:pPr>
        <w:spacing w:after="0" w:line="240" w:lineRule="auto"/>
        <w:jc w:val="both"/>
        <w:rPr>
          <w:rFonts w:ascii="Verdana" w:eastAsia="Aptos" w:hAnsi="Verdana" w:cs="Times New Roman"/>
          <w:sz w:val="20"/>
          <w:szCs w:val="20"/>
        </w:rPr>
      </w:pPr>
      <w:r w:rsidRPr="00BA2656">
        <w:rPr>
          <w:rFonts w:ascii="Verdana" w:eastAsia="Aptos" w:hAnsi="Verdana" w:cs="Times New Roman"/>
          <w:sz w:val="20"/>
          <w:szCs w:val="20"/>
        </w:rPr>
        <w:t>En esta medida, el precitado artículo 42 ibidem contempla cuatro (4) circunstancias o hechos que configuran la urgencia manifiesta, si así lo declara la entidad […].</w:t>
      </w:r>
    </w:p>
    <w:p w14:paraId="37B3D008" w14:textId="77777777" w:rsidR="00E65D8B" w:rsidRPr="00BA2656" w:rsidRDefault="00E65D8B" w:rsidP="00E65D8B">
      <w:pPr>
        <w:spacing w:after="0" w:line="240" w:lineRule="auto"/>
        <w:jc w:val="both"/>
        <w:rPr>
          <w:rFonts w:ascii="Verdana" w:eastAsia="Aptos" w:hAnsi="Verdana" w:cs="Times New Roman"/>
          <w:sz w:val="20"/>
          <w:szCs w:val="20"/>
        </w:rPr>
      </w:pPr>
      <w:r w:rsidRPr="00BA2656">
        <w:rPr>
          <w:rFonts w:ascii="Verdana" w:eastAsia="Aptos" w:hAnsi="Verdana" w:cs="Times New Roman"/>
          <w:sz w:val="20"/>
          <w:szCs w:val="20"/>
        </w:rPr>
        <w:t>[….]</w:t>
      </w:r>
    </w:p>
    <w:p w14:paraId="08409C73" w14:textId="77777777" w:rsidR="00E65D8B" w:rsidRPr="00BA2656" w:rsidRDefault="00E65D8B" w:rsidP="00E65D8B">
      <w:pPr>
        <w:spacing w:after="0" w:line="240" w:lineRule="auto"/>
        <w:jc w:val="both"/>
        <w:rPr>
          <w:rFonts w:ascii="Verdana" w:eastAsia="Aptos" w:hAnsi="Verdana" w:cs="Times New Roman"/>
          <w:sz w:val="20"/>
          <w:szCs w:val="20"/>
        </w:rPr>
      </w:pPr>
      <w:r w:rsidRPr="00BA2656">
        <w:rPr>
          <w:rFonts w:ascii="Verdana" w:eastAsia="Aptos" w:hAnsi="Verdana" w:cs="Times New Roman"/>
          <w:sz w:val="20"/>
          <w:szCs w:val="20"/>
        </w:rPr>
        <w:t xml:space="preserve">El elemento común en los cuatro (4) eventos es que exigen atender la contingencia de manera pronta, mediante la ejecución de obras, la prestación de servicios o el suministro </w:t>
      </w:r>
      <w:r w:rsidRPr="00BA2656">
        <w:rPr>
          <w:rFonts w:ascii="Verdana" w:eastAsia="Aptos" w:hAnsi="Verdana" w:cs="Times New Roman"/>
          <w:sz w:val="20"/>
          <w:szCs w:val="20"/>
        </w:rPr>
        <w:lastRenderedPageBreak/>
        <w:t>de bienes. Por tanto, lo que permite catalogar un supuesto fáctico como urgente, en forma manifiesta, es que demanda actuaciones del Estado que no dan espera para mantener la regularidad del servicio, e impiden acudir a los procedimientos de selección ordinarios, es decir, a la licitación pública, la selección abreviada, el concurso de méritos y la contratación de mínima cuantía.</w:t>
      </w:r>
      <w:r w:rsidRPr="00BA2656">
        <w:rPr>
          <w:rFonts w:ascii="Aptos" w:eastAsia="Aptos" w:hAnsi="Aptos" w:cs="Times New Roman"/>
        </w:rPr>
        <w:t xml:space="preserve"> </w:t>
      </w:r>
      <w:r w:rsidRPr="00BA2656">
        <w:rPr>
          <w:rFonts w:ascii="Verdana" w:eastAsia="Aptos" w:hAnsi="Verdana" w:cs="Times New Roman"/>
          <w:sz w:val="20"/>
          <w:szCs w:val="20"/>
        </w:rPr>
        <w:t>Así pues, no resulta necesario realizar el estudios y documentos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 [Énfasis fuera de texto]</w:t>
      </w:r>
    </w:p>
    <w:p w14:paraId="31BE9D94" w14:textId="77777777" w:rsidR="00E65D8B" w:rsidRPr="00BA2656" w:rsidRDefault="00E65D8B" w:rsidP="00E65D8B">
      <w:pPr>
        <w:spacing w:after="0" w:line="240" w:lineRule="auto"/>
        <w:rPr>
          <w:rFonts w:ascii="Verdana" w:eastAsia="Geomanist Light" w:hAnsi="Verdana" w:cs="Arial"/>
          <w:highlight w:val="yellow"/>
          <w:lang w:val="es-MX"/>
        </w:rPr>
      </w:pPr>
    </w:p>
    <w:p w14:paraId="78AFFA46" w14:textId="77777777" w:rsidR="00E65D8B" w:rsidRPr="00BA2656" w:rsidRDefault="00E65D8B" w:rsidP="00E65D8B">
      <w:pPr>
        <w:spacing w:after="0" w:line="240" w:lineRule="auto"/>
        <w:rPr>
          <w:rFonts w:ascii="Verdana" w:eastAsia="Geomanist Light" w:hAnsi="Verdana" w:cs="Arial"/>
          <w:highlight w:val="yellow"/>
          <w:lang w:val="es-MX"/>
        </w:rPr>
      </w:pPr>
    </w:p>
    <w:p w14:paraId="12214286" w14:textId="77777777" w:rsidR="00E65D8B" w:rsidRPr="00BA2656" w:rsidRDefault="00E65D8B" w:rsidP="00E65D8B">
      <w:pPr>
        <w:spacing w:after="0" w:line="240" w:lineRule="auto"/>
        <w:rPr>
          <w:rFonts w:ascii="Verdana" w:eastAsia="Geomanist Light" w:hAnsi="Verdana" w:cs="Arial"/>
          <w:highlight w:val="yellow"/>
          <w:lang w:val="es-MX"/>
        </w:rPr>
      </w:pPr>
    </w:p>
    <w:p w14:paraId="2101C228" w14:textId="77777777" w:rsidR="00E65D8B" w:rsidRPr="00BA2656" w:rsidRDefault="00E65D8B" w:rsidP="00E65D8B">
      <w:pPr>
        <w:spacing w:after="0" w:line="240" w:lineRule="auto"/>
        <w:rPr>
          <w:rFonts w:ascii="Verdana" w:eastAsia="Geomanist Light" w:hAnsi="Verdana" w:cs="Arial"/>
          <w:highlight w:val="yellow"/>
          <w:lang w:val="es-MX"/>
        </w:rPr>
      </w:pPr>
    </w:p>
    <w:p w14:paraId="5B824A34" w14:textId="77777777" w:rsidR="00E65D8B" w:rsidRPr="00BA2656" w:rsidRDefault="00E65D8B" w:rsidP="00E65D8B">
      <w:pPr>
        <w:spacing w:after="0" w:line="240" w:lineRule="auto"/>
        <w:rPr>
          <w:rFonts w:ascii="Verdana" w:eastAsia="Geomanist Light" w:hAnsi="Verdana" w:cs="Arial"/>
          <w:highlight w:val="yellow"/>
          <w:lang w:val="es-MX"/>
        </w:rPr>
      </w:pPr>
    </w:p>
    <w:p w14:paraId="30658648" w14:textId="77777777" w:rsidR="00E65D8B" w:rsidRPr="00BA2656" w:rsidRDefault="00E65D8B" w:rsidP="00E65D8B">
      <w:pPr>
        <w:spacing w:after="0" w:line="240" w:lineRule="auto"/>
        <w:rPr>
          <w:rFonts w:ascii="Verdana" w:eastAsia="Geomanist Light" w:hAnsi="Verdana" w:cs="Arial"/>
          <w:highlight w:val="yellow"/>
          <w:lang w:val="es-MX"/>
        </w:rPr>
      </w:pPr>
    </w:p>
    <w:p w14:paraId="41DD4662" w14:textId="77777777" w:rsidR="00E65D8B" w:rsidRPr="00BA2656" w:rsidRDefault="00E65D8B" w:rsidP="00E65D8B">
      <w:pPr>
        <w:spacing w:after="0" w:line="240" w:lineRule="auto"/>
        <w:rPr>
          <w:rFonts w:ascii="Verdana" w:eastAsia="Geomanist Light" w:hAnsi="Verdana" w:cs="Arial"/>
          <w:highlight w:val="yellow"/>
          <w:lang w:val="es-MX"/>
        </w:rPr>
      </w:pPr>
    </w:p>
    <w:p w14:paraId="60E1E95A" w14:textId="77777777" w:rsidR="00E65D8B" w:rsidRPr="00BA2656" w:rsidRDefault="00E65D8B" w:rsidP="00E65D8B">
      <w:pPr>
        <w:spacing w:after="0" w:line="240" w:lineRule="auto"/>
        <w:rPr>
          <w:rFonts w:ascii="Verdana" w:eastAsia="Geomanist Light" w:hAnsi="Verdana" w:cs="Arial"/>
          <w:highlight w:val="yellow"/>
          <w:lang w:val="es-MX"/>
        </w:rPr>
      </w:pPr>
    </w:p>
    <w:p w14:paraId="55C21409" w14:textId="77777777" w:rsidR="00E65D8B" w:rsidRPr="00BA2656" w:rsidRDefault="00E65D8B" w:rsidP="00E65D8B">
      <w:pPr>
        <w:spacing w:after="0" w:line="240" w:lineRule="auto"/>
        <w:rPr>
          <w:rFonts w:ascii="Verdana" w:eastAsia="Geomanist Light" w:hAnsi="Verdana" w:cs="Arial"/>
          <w:highlight w:val="yellow"/>
          <w:lang w:val="es-MX"/>
        </w:rPr>
      </w:pPr>
    </w:p>
    <w:p w14:paraId="11877E28" w14:textId="77777777" w:rsidR="00E65D8B" w:rsidRPr="00BA2656" w:rsidRDefault="00E65D8B" w:rsidP="00E65D8B">
      <w:pPr>
        <w:spacing w:after="0" w:line="240" w:lineRule="auto"/>
        <w:rPr>
          <w:rFonts w:ascii="Verdana" w:eastAsia="Geomanist Light" w:hAnsi="Verdana" w:cs="Arial"/>
          <w:highlight w:val="yellow"/>
          <w:lang w:val="es-MX"/>
        </w:rPr>
      </w:pPr>
    </w:p>
    <w:p w14:paraId="15FF72B1" w14:textId="77777777" w:rsidR="00E65D8B" w:rsidRPr="00BA2656" w:rsidRDefault="00E65D8B" w:rsidP="00E65D8B">
      <w:pPr>
        <w:spacing w:after="0" w:line="240" w:lineRule="auto"/>
        <w:rPr>
          <w:rFonts w:ascii="Verdana" w:eastAsia="Geomanist Light" w:hAnsi="Verdana" w:cs="Arial"/>
          <w:highlight w:val="yellow"/>
          <w:lang w:val="es-MX"/>
        </w:rPr>
      </w:pPr>
    </w:p>
    <w:p w14:paraId="03DF9F96" w14:textId="77777777" w:rsidR="00E65D8B" w:rsidRPr="00BA2656" w:rsidRDefault="00E65D8B" w:rsidP="00E65D8B">
      <w:pPr>
        <w:spacing w:after="0" w:line="240" w:lineRule="auto"/>
        <w:rPr>
          <w:rFonts w:ascii="Verdana" w:eastAsia="Geomanist Light" w:hAnsi="Verdana" w:cs="Arial"/>
          <w:highlight w:val="yellow"/>
          <w:lang w:val="es-MX"/>
        </w:rPr>
      </w:pPr>
    </w:p>
    <w:p w14:paraId="34F9E235" w14:textId="77777777" w:rsidR="00E65D8B" w:rsidRPr="00BA2656" w:rsidRDefault="00E65D8B" w:rsidP="00E65D8B">
      <w:pPr>
        <w:spacing w:after="0" w:line="240" w:lineRule="auto"/>
        <w:rPr>
          <w:rFonts w:ascii="Verdana" w:eastAsia="Geomanist Light" w:hAnsi="Verdana" w:cs="Arial"/>
          <w:highlight w:val="yellow"/>
          <w:lang w:val="es-MX"/>
        </w:rPr>
      </w:pPr>
    </w:p>
    <w:p w14:paraId="7167E53D" w14:textId="77777777" w:rsidR="00E65D8B" w:rsidRPr="00BA2656" w:rsidRDefault="00E65D8B" w:rsidP="00E65D8B">
      <w:pPr>
        <w:spacing w:after="0" w:line="240" w:lineRule="auto"/>
        <w:rPr>
          <w:rFonts w:ascii="Verdana" w:eastAsia="Geomanist Light" w:hAnsi="Verdana" w:cs="Arial"/>
          <w:highlight w:val="yellow"/>
          <w:lang w:val="es-MX"/>
        </w:rPr>
      </w:pPr>
    </w:p>
    <w:p w14:paraId="39D25B22" w14:textId="77777777" w:rsidR="00E65D8B" w:rsidRPr="00BA2656" w:rsidRDefault="00E65D8B" w:rsidP="00E65D8B">
      <w:pPr>
        <w:spacing w:after="0" w:line="240" w:lineRule="auto"/>
        <w:rPr>
          <w:rFonts w:ascii="Verdana" w:eastAsia="Geomanist Light" w:hAnsi="Verdana" w:cs="Arial"/>
          <w:highlight w:val="yellow"/>
          <w:lang w:val="es-MX"/>
        </w:rPr>
      </w:pPr>
    </w:p>
    <w:p w14:paraId="55FEF87F" w14:textId="77777777" w:rsidR="00E65D8B" w:rsidRPr="00BA2656" w:rsidRDefault="00E65D8B" w:rsidP="00E65D8B">
      <w:pPr>
        <w:spacing w:after="0" w:line="240" w:lineRule="auto"/>
        <w:rPr>
          <w:rFonts w:ascii="Verdana" w:eastAsia="Geomanist Light" w:hAnsi="Verdana" w:cs="Arial"/>
          <w:highlight w:val="yellow"/>
          <w:lang w:val="es-MX"/>
        </w:rPr>
      </w:pPr>
    </w:p>
    <w:p w14:paraId="3190157A" w14:textId="77777777" w:rsidR="00E65D8B" w:rsidRPr="00BA2656" w:rsidRDefault="00E65D8B" w:rsidP="00E65D8B">
      <w:pPr>
        <w:spacing w:after="0" w:line="240" w:lineRule="auto"/>
        <w:rPr>
          <w:rFonts w:ascii="Verdana" w:eastAsia="Geomanist Light" w:hAnsi="Verdana" w:cs="Arial"/>
          <w:highlight w:val="yellow"/>
          <w:lang w:val="es-MX"/>
        </w:rPr>
      </w:pPr>
    </w:p>
    <w:p w14:paraId="7F94AE07" w14:textId="77777777" w:rsidR="00E65D8B" w:rsidRPr="00BA2656" w:rsidRDefault="00E65D8B" w:rsidP="00E65D8B">
      <w:pPr>
        <w:spacing w:after="0" w:line="240" w:lineRule="auto"/>
        <w:rPr>
          <w:rFonts w:ascii="Verdana" w:eastAsia="Geomanist Light" w:hAnsi="Verdana" w:cs="Arial"/>
          <w:highlight w:val="yellow"/>
          <w:lang w:val="es-MX"/>
        </w:rPr>
      </w:pPr>
    </w:p>
    <w:p w14:paraId="05E5320A" w14:textId="77777777" w:rsidR="00E65D8B" w:rsidRPr="00BA2656" w:rsidRDefault="00E65D8B" w:rsidP="00E65D8B">
      <w:pPr>
        <w:spacing w:after="0" w:line="240" w:lineRule="auto"/>
        <w:rPr>
          <w:rFonts w:ascii="Verdana" w:eastAsia="Geomanist Light" w:hAnsi="Verdana" w:cs="Arial"/>
          <w:highlight w:val="yellow"/>
          <w:lang w:val="es-MX"/>
        </w:rPr>
      </w:pPr>
    </w:p>
    <w:p w14:paraId="44BD67E6" w14:textId="77777777" w:rsidR="00E65D8B" w:rsidRPr="00BA2656" w:rsidRDefault="00E65D8B" w:rsidP="00E65D8B">
      <w:pPr>
        <w:spacing w:after="0" w:line="240" w:lineRule="auto"/>
        <w:rPr>
          <w:rFonts w:ascii="Verdana" w:eastAsia="Geomanist Light" w:hAnsi="Verdana" w:cs="Arial"/>
          <w:highlight w:val="yellow"/>
          <w:lang w:val="es-MX"/>
        </w:rPr>
      </w:pPr>
    </w:p>
    <w:p w14:paraId="3147BA39" w14:textId="77777777" w:rsidR="00E65D8B" w:rsidRPr="00BA2656" w:rsidRDefault="00E65D8B" w:rsidP="00E65D8B">
      <w:pPr>
        <w:spacing w:after="0" w:line="240" w:lineRule="auto"/>
        <w:rPr>
          <w:rFonts w:ascii="Verdana" w:eastAsia="Geomanist Light" w:hAnsi="Verdana" w:cs="Arial"/>
          <w:highlight w:val="yellow"/>
          <w:lang w:val="es-MX"/>
        </w:rPr>
      </w:pPr>
    </w:p>
    <w:p w14:paraId="27BFE41E" w14:textId="77777777" w:rsidR="00E65D8B" w:rsidRPr="00BA2656" w:rsidRDefault="00E65D8B" w:rsidP="00E65D8B">
      <w:pPr>
        <w:spacing w:after="0" w:line="240" w:lineRule="auto"/>
        <w:rPr>
          <w:rFonts w:ascii="Verdana" w:eastAsia="Geomanist Light" w:hAnsi="Verdana" w:cs="Arial"/>
          <w:highlight w:val="yellow"/>
          <w:lang w:val="es-MX"/>
        </w:rPr>
      </w:pPr>
    </w:p>
    <w:p w14:paraId="079F0A59" w14:textId="77777777" w:rsidR="00E65D8B" w:rsidRPr="00BA2656" w:rsidRDefault="00E65D8B" w:rsidP="00E65D8B">
      <w:pPr>
        <w:spacing w:after="0" w:line="240" w:lineRule="auto"/>
        <w:rPr>
          <w:rFonts w:ascii="Verdana" w:eastAsia="Geomanist Light" w:hAnsi="Verdana" w:cs="Arial"/>
          <w:highlight w:val="yellow"/>
          <w:lang w:val="es-MX"/>
        </w:rPr>
      </w:pPr>
    </w:p>
    <w:p w14:paraId="7B5CBBB0" w14:textId="77777777" w:rsidR="00E65D8B" w:rsidRDefault="00E65D8B" w:rsidP="00E65D8B">
      <w:pPr>
        <w:spacing w:after="0" w:line="240" w:lineRule="auto"/>
        <w:rPr>
          <w:rFonts w:ascii="Verdana" w:eastAsia="Geomanist Light" w:hAnsi="Verdana" w:cs="Arial"/>
          <w:highlight w:val="yellow"/>
          <w:lang w:val="es-MX"/>
        </w:rPr>
      </w:pPr>
    </w:p>
    <w:p w14:paraId="2F995A75" w14:textId="77777777" w:rsidR="00E65D8B" w:rsidRDefault="00E65D8B" w:rsidP="00E65D8B">
      <w:pPr>
        <w:spacing w:after="0" w:line="240" w:lineRule="auto"/>
        <w:rPr>
          <w:rFonts w:ascii="Verdana" w:eastAsia="Geomanist Light" w:hAnsi="Verdana" w:cs="Arial"/>
          <w:highlight w:val="yellow"/>
          <w:lang w:val="es-MX"/>
        </w:rPr>
      </w:pPr>
    </w:p>
    <w:p w14:paraId="292FF660" w14:textId="77777777" w:rsidR="00E65D8B" w:rsidRDefault="00E65D8B" w:rsidP="00E65D8B">
      <w:pPr>
        <w:spacing w:after="0" w:line="240" w:lineRule="auto"/>
        <w:rPr>
          <w:rFonts w:ascii="Verdana" w:eastAsia="Geomanist Light" w:hAnsi="Verdana" w:cs="Arial"/>
          <w:highlight w:val="yellow"/>
          <w:lang w:val="es-MX"/>
        </w:rPr>
      </w:pPr>
    </w:p>
    <w:p w14:paraId="300B795F" w14:textId="77777777" w:rsidR="00E65D8B" w:rsidRDefault="00E65D8B" w:rsidP="00E65D8B">
      <w:pPr>
        <w:spacing w:after="0" w:line="240" w:lineRule="auto"/>
        <w:rPr>
          <w:rFonts w:ascii="Verdana" w:eastAsia="Geomanist Light" w:hAnsi="Verdana" w:cs="Arial"/>
          <w:highlight w:val="yellow"/>
          <w:lang w:val="es-MX"/>
        </w:rPr>
      </w:pPr>
    </w:p>
    <w:p w14:paraId="433C09B4" w14:textId="77777777" w:rsidR="00E65D8B" w:rsidRDefault="00E65D8B" w:rsidP="00E65D8B">
      <w:pPr>
        <w:spacing w:after="0" w:line="240" w:lineRule="auto"/>
        <w:rPr>
          <w:rFonts w:ascii="Verdana" w:eastAsia="Geomanist Light" w:hAnsi="Verdana" w:cs="Arial"/>
          <w:highlight w:val="yellow"/>
          <w:lang w:val="es-MX"/>
        </w:rPr>
      </w:pPr>
    </w:p>
    <w:p w14:paraId="714D1036" w14:textId="77777777" w:rsidR="00E65D8B" w:rsidRDefault="00E65D8B" w:rsidP="00E65D8B">
      <w:pPr>
        <w:spacing w:after="0" w:line="240" w:lineRule="auto"/>
        <w:rPr>
          <w:rFonts w:ascii="Verdana" w:eastAsia="Geomanist Light" w:hAnsi="Verdana" w:cs="Arial"/>
          <w:highlight w:val="yellow"/>
          <w:lang w:val="es-MX"/>
        </w:rPr>
      </w:pPr>
    </w:p>
    <w:p w14:paraId="3473CEF2" w14:textId="77777777" w:rsidR="00E65D8B" w:rsidRDefault="00E65D8B" w:rsidP="00E65D8B">
      <w:pPr>
        <w:spacing w:after="0" w:line="240" w:lineRule="auto"/>
        <w:rPr>
          <w:rFonts w:ascii="Verdana" w:eastAsia="Geomanist Light" w:hAnsi="Verdana" w:cs="Arial"/>
          <w:highlight w:val="yellow"/>
          <w:lang w:val="es-MX"/>
        </w:rPr>
      </w:pPr>
    </w:p>
    <w:p w14:paraId="59D6DFF9" w14:textId="77777777" w:rsidR="00E65D8B" w:rsidRDefault="00E65D8B" w:rsidP="00E65D8B">
      <w:pPr>
        <w:spacing w:after="0" w:line="240" w:lineRule="auto"/>
        <w:rPr>
          <w:rFonts w:ascii="Verdana" w:eastAsia="Geomanist Light" w:hAnsi="Verdana" w:cs="Arial"/>
          <w:highlight w:val="yellow"/>
          <w:lang w:val="es-MX"/>
        </w:rPr>
      </w:pPr>
    </w:p>
    <w:p w14:paraId="235B26EE" w14:textId="77777777" w:rsidR="00E65D8B" w:rsidRPr="00BA2656" w:rsidRDefault="00E65D8B" w:rsidP="00E65D8B">
      <w:pPr>
        <w:spacing w:after="0" w:line="240" w:lineRule="auto"/>
        <w:rPr>
          <w:rFonts w:ascii="Verdana" w:eastAsia="Geomanist Light" w:hAnsi="Verdana" w:cs="Arial"/>
          <w:highlight w:val="yellow"/>
          <w:lang w:val="es-MX"/>
        </w:rPr>
      </w:pPr>
    </w:p>
    <w:p w14:paraId="7AF13945" w14:textId="77777777" w:rsidR="00E65D8B" w:rsidRPr="00BA2656" w:rsidRDefault="00E65D8B" w:rsidP="00E65D8B">
      <w:pPr>
        <w:spacing w:after="0" w:line="240" w:lineRule="auto"/>
        <w:rPr>
          <w:rFonts w:ascii="Verdana" w:eastAsia="Geomanist Light" w:hAnsi="Verdana" w:cs="Arial"/>
          <w:highlight w:val="yellow"/>
          <w:lang w:val="es-MX"/>
        </w:rPr>
      </w:pPr>
    </w:p>
    <w:p w14:paraId="132F10D8" w14:textId="12AC3E45" w:rsidR="00E65D8B" w:rsidRPr="00EF3275" w:rsidRDefault="00E65D8B" w:rsidP="00E65D8B">
      <w:pPr>
        <w:spacing w:after="0" w:line="240" w:lineRule="auto"/>
        <w:rPr>
          <w:rFonts w:ascii="Verdana" w:eastAsia="Geomanist Light" w:hAnsi="Verdana" w:cs="Arial"/>
          <w:lang w:val="es-MX"/>
        </w:rPr>
      </w:pPr>
      <w:r w:rsidRPr="00EF3275">
        <w:rPr>
          <w:rFonts w:ascii="Verdana" w:eastAsia="Geomanist Light" w:hAnsi="Verdana" w:cs="Arial"/>
          <w:lang w:val="es-MX"/>
        </w:rPr>
        <w:lastRenderedPageBreak/>
        <w:t>Bogotá D.C., </w:t>
      </w:r>
      <w:r w:rsidR="00FF6B9B">
        <w:rPr>
          <w:rFonts w:ascii="Verdana" w:eastAsia="Geomanist Light" w:hAnsi="Verdana" w:cs="Arial"/>
          <w:lang w:val="es-MX"/>
        </w:rPr>
        <w:t>14 de octubre de 2026</w:t>
      </w:r>
    </w:p>
    <w:p w14:paraId="0FA5DCDA" w14:textId="77777777" w:rsidR="00E65D8B" w:rsidRPr="00EF3275" w:rsidRDefault="00E65D8B" w:rsidP="00E65D8B">
      <w:pPr>
        <w:spacing w:after="0" w:line="240" w:lineRule="auto"/>
        <w:jc w:val="both"/>
        <w:rPr>
          <w:rFonts w:ascii="Verdana" w:eastAsia="Calibri" w:hAnsi="Verdana" w:cs="Arial"/>
          <w:lang w:val="es-ES"/>
        </w:rPr>
      </w:pPr>
    </w:p>
    <w:p w14:paraId="69165B61" w14:textId="77777777" w:rsidR="00E65D8B" w:rsidRPr="00EF3275" w:rsidRDefault="00E65D8B" w:rsidP="00E65D8B">
      <w:pPr>
        <w:spacing w:after="0" w:line="240" w:lineRule="auto"/>
        <w:jc w:val="both"/>
        <w:rPr>
          <w:rFonts w:ascii="Verdana" w:eastAsia="Calibri" w:hAnsi="Verdana" w:cs="Arial"/>
          <w:lang w:val="es-ES" w:eastAsia="es-ES"/>
        </w:rPr>
      </w:pPr>
      <w:r w:rsidRPr="00EF3275">
        <w:rPr>
          <w:rFonts w:ascii="Verdana" w:eastAsia="Calibri" w:hAnsi="Verdana" w:cs="Arial"/>
          <w:lang w:val="es-ES" w:eastAsia="es-ES"/>
        </w:rPr>
        <w:t>Señor</w:t>
      </w:r>
    </w:p>
    <w:p w14:paraId="19BC7D52" w14:textId="77777777" w:rsidR="00E65D8B" w:rsidRPr="00EF3275" w:rsidRDefault="00E65D8B" w:rsidP="00E65D8B">
      <w:pPr>
        <w:spacing w:after="0" w:line="240" w:lineRule="auto"/>
        <w:rPr>
          <w:rFonts w:ascii="Verdana" w:eastAsia="Calibri" w:hAnsi="Verdana" w:cs="Arial"/>
          <w:b/>
          <w:bCs/>
          <w:lang w:val="es-ES" w:eastAsia="es-ES"/>
        </w:rPr>
      </w:pPr>
      <w:r w:rsidRPr="00EF3275">
        <w:rPr>
          <w:rFonts w:ascii="Verdana" w:eastAsia="Calibri" w:hAnsi="Verdana" w:cs="Arial"/>
          <w:b/>
          <w:bCs/>
          <w:lang w:val="es-ES" w:eastAsia="es-ES"/>
        </w:rPr>
        <w:t>Juan Sebastián Olaya Perdomo</w:t>
      </w:r>
    </w:p>
    <w:p w14:paraId="6F206789" w14:textId="77777777" w:rsidR="00E65D8B" w:rsidRPr="00EF3275" w:rsidRDefault="00E65D8B" w:rsidP="00E65D8B">
      <w:pPr>
        <w:spacing w:after="0" w:line="240" w:lineRule="auto"/>
        <w:rPr>
          <w:rFonts w:ascii="Verdana" w:hAnsi="Verdana"/>
        </w:rPr>
      </w:pPr>
      <w:hyperlink r:id="rId10" w:history="1">
        <w:r w:rsidRPr="00EF3275">
          <w:rPr>
            <w:rFonts w:ascii="Verdana" w:hAnsi="Verdana"/>
            <w:color w:val="467886" w:themeColor="hyperlink"/>
            <w:u w:val="single"/>
          </w:rPr>
          <w:t>juanseolaya@gmail.com</w:t>
        </w:r>
      </w:hyperlink>
    </w:p>
    <w:p w14:paraId="4930EE2D" w14:textId="77777777" w:rsidR="00E65D8B" w:rsidRPr="00EF3275" w:rsidRDefault="00E65D8B" w:rsidP="00E65D8B">
      <w:pPr>
        <w:spacing w:after="0" w:line="240" w:lineRule="auto"/>
        <w:rPr>
          <w:rFonts w:ascii="Verdana" w:eastAsia="Calibri" w:hAnsi="Verdana" w:cs="Arial"/>
          <w:b/>
          <w:bCs/>
          <w:lang w:val="es-ES" w:eastAsia="es-ES"/>
        </w:rPr>
      </w:pPr>
      <w:r w:rsidRPr="00EF3275">
        <w:rPr>
          <w:rFonts w:ascii="Verdana" w:eastAsia="Calibri" w:hAnsi="Verdana" w:cs="Arial"/>
          <w:lang w:val="es-ES" w:eastAsia="es-ES"/>
        </w:rPr>
        <w:t>Cali, Valle del Cauca</w:t>
      </w:r>
    </w:p>
    <w:p w14:paraId="752E147A" w14:textId="77777777" w:rsidR="00E65D8B" w:rsidRPr="00EF3275" w:rsidRDefault="00E65D8B" w:rsidP="00E65D8B">
      <w:pPr>
        <w:spacing w:after="0" w:line="240" w:lineRule="auto"/>
        <w:rPr>
          <w:rFonts w:ascii="Verdana" w:eastAsia="Calibri" w:hAnsi="Verdana" w:cs="Arial"/>
          <w:b/>
          <w:bCs/>
          <w:lang w:val="es-ES_tradnl" w:eastAsia="es-ES_tradnl"/>
        </w:rPr>
      </w:pPr>
    </w:p>
    <w:p w14:paraId="03D48E40" w14:textId="367CC3A7" w:rsidR="00E65D8B" w:rsidRDefault="00F74D35" w:rsidP="00E65D8B">
      <w:pPr>
        <w:spacing w:after="0" w:line="240" w:lineRule="auto"/>
        <w:jc w:val="right"/>
        <w:rPr>
          <w:rFonts w:ascii="Verdana" w:eastAsia="Calibri" w:hAnsi="Verdana" w:cs="Arial"/>
          <w:b/>
          <w:bCs/>
          <w:lang w:val="es-ES_tradnl" w:eastAsia="es-ES_tradnl"/>
        </w:rPr>
      </w:pPr>
      <w:r w:rsidRPr="00F74D35">
        <w:rPr>
          <w:rFonts w:ascii="Verdana" w:eastAsia="Calibri" w:hAnsi="Verdana" w:cs="Arial"/>
          <w:b/>
          <w:bCs/>
          <w:lang w:val="es-ES_tradnl" w:eastAsia="es-ES_tradnl"/>
        </w:rPr>
        <w:drawing>
          <wp:inline distT="0" distB="0" distL="0" distR="0" wp14:anchorId="6B6AA167" wp14:editId="5C95063B">
            <wp:extent cx="2162698" cy="659218"/>
            <wp:effectExtent l="0" t="0" r="9525" b="7620"/>
            <wp:docPr id="3002193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19326" name=""/>
                    <pic:cNvPicPr/>
                  </pic:nvPicPr>
                  <pic:blipFill>
                    <a:blip r:embed="rId11"/>
                    <a:stretch>
                      <a:fillRect/>
                    </a:stretch>
                  </pic:blipFill>
                  <pic:spPr>
                    <a:xfrm>
                      <a:off x="0" y="0"/>
                      <a:ext cx="2169945" cy="661427"/>
                    </a:xfrm>
                    <a:prstGeom prst="rect">
                      <a:avLst/>
                    </a:prstGeom>
                  </pic:spPr>
                </pic:pic>
              </a:graphicData>
            </a:graphic>
          </wp:inline>
        </w:drawing>
      </w:r>
    </w:p>
    <w:p w14:paraId="47AE28F4" w14:textId="77777777" w:rsidR="00F74D35" w:rsidRPr="00E65BC5" w:rsidRDefault="00F74D35" w:rsidP="00E65D8B">
      <w:pPr>
        <w:spacing w:after="0" w:line="240" w:lineRule="auto"/>
        <w:jc w:val="right"/>
        <w:rPr>
          <w:rFonts w:ascii="Verdana" w:eastAsia="Calibri" w:hAnsi="Verdana" w:cs="Arial"/>
          <w:b/>
          <w:bCs/>
          <w:lang w:val="es-ES_tradnl" w:eastAsia="es-ES_tradnl"/>
        </w:rPr>
      </w:pPr>
    </w:p>
    <w:p w14:paraId="0C61DF88" w14:textId="77777777" w:rsidR="00E65D8B" w:rsidRPr="00EF3275" w:rsidRDefault="00E65D8B" w:rsidP="00E65D8B">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65D8B" w:rsidRPr="00EF3275" w14:paraId="4830EBFD" w14:textId="77777777" w:rsidTr="00733B1A">
        <w:trPr>
          <w:trHeight w:val="884"/>
        </w:trPr>
        <w:tc>
          <w:tcPr>
            <w:tcW w:w="2689" w:type="dxa"/>
          </w:tcPr>
          <w:p w14:paraId="21C91350" w14:textId="77777777" w:rsidR="00E65D8B" w:rsidRPr="00EF3275" w:rsidRDefault="00E65D8B" w:rsidP="00733B1A">
            <w:pPr>
              <w:jc w:val="both"/>
              <w:rPr>
                <w:rFonts w:ascii="Verdana" w:eastAsia="Calibri" w:hAnsi="Verdana" w:cs="Arial"/>
                <w:b/>
                <w:bCs/>
                <w:lang w:val="es-ES_tradnl" w:eastAsia="es-ES_tradnl"/>
              </w:rPr>
            </w:pPr>
          </w:p>
        </w:tc>
        <w:tc>
          <w:tcPr>
            <w:tcW w:w="6100" w:type="dxa"/>
          </w:tcPr>
          <w:p w14:paraId="39F6B2AA" w14:textId="77777777" w:rsidR="00E65D8B" w:rsidRPr="00EF3275" w:rsidRDefault="00E65D8B" w:rsidP="00733B1A">
            <w:pPr>
              <w:jc w:val="both"/>
              <w:rPr>
                <w:rFonts w:ascii="Verdana" w:eastAsia="Calibri" w:hAnsi="Verdana" w:cs="Arial"/>
                <w:b/>
                <w:bCs/>
                <w:lang w:val="es-ES" w:eastAsia="es-ES"/>
              </w:rPr>
            </w:pPr>
            <w:r w:rsidRPr="00EF3275">
              <w:rPr>
                <w:rFonts w:ascii="Verdana" w:eastAsia="Calibri" w:hAnsi="Verdana" w:cs="Arial"/>
                <w:b/>
                <w:bCs/>
                <w:lang w:val="es-ES" w:eastAsia="es-ES"/>
              </w:rPr>
              <w:t>Concepto C- 1396 de 2026</w:t>
            </w:r>
          </w:p>
        </w:tc>
      </w:tr>
      <w:tr w:rsidR="00E65D8B" w:rsidRPr="00EF3275" w14:paraId="085633E6" w14:textId="77777777" w:rsidTr="00733B1A">
        <w:trPr>
          <w:trHeight w:val="884"/>
        </w:trPr>
        <w:tc>
          <w:tcPr>
            <w:tcW w:w="2689" w:type="dxa"/>
          </w:tcPr>
          <w:p w14:paraId="17DA26A6" w14:textId="77777777" w:rsidR="00E65D8B" w:rsidRPr="00EF3275" w:rsidRDefault="00E65D8B" w:rsidP="00733B1A">
            <w:pPr>
              <w:jc w:val="both"/>
              <w:rPr>
                <w:rFonts w:ascii="Verdana" w:eastAsia="Calibri" w:hAnsi="Verdana" w:cs="Arial"/>
                <w:lang w:val="es-ES_tradnl" w:eastAsia="es-ES_tradnl"/>
              </w:rPr>
            </w:pPr>
            <w:r w:rsidRPr="00EF3275">
              <w:rPr>
                <w:rFonts w:ascii="Verdana" w:eastAsia="Calibri" w:hAnsi="Verdana" w:cs="Arial"/>
                <w:b/>
                <w:lang w:val="es-ES_tradnl" w:eastAsia="es-ES_tradnl"/>
              </w:rPr>
              <w:t>Temas:</w:t>
            </w:r>
            <w:r w:rsidRPr="00EF3275">
              <w:rPr>
                <w:rFonts w:ascii="Verdana" w:eastAsia="Calibri" w:hAnsi="Verdana" w:cs="Arial"/>
                <w:lang w:val="es-ES_tradnl" w:eastAsia="es-ES_tradnl"/>
              </w:rPr>
              <w:t xml:space="preserve">                   </w:t>
            </w:r>
          </w:p>
        </w:tc>
        <w:tc>
          <w:tcPr>
            <w:tcW w:w="6100" w:type="dxa"/>
          </w:tcPr>
          <w:p w14:paraId="27096AB3" w14:textId="77777777" w:rsidR="00E65D8B" w:rsidRDefault="00E65D8B" w:rsidP="00733B1A">
            <w:pPr>
              <w:jc w:val="both"/>
              <w:rPr>
                <w:rFonts w:ascii="Verdana" w:eastAsia="Calibri" w:hAnsi="Verdana" w:cs="Arial"/>
                <w:lang w:val="es-ES" w:eastAsia="es-ES"/>
              </w:rPr>
            </w:pPr>
            <w:r w:rsidRPr="00EF3275">
              <w:rPr>
                <w:rFonts w:ascii="Verdana" w:eastAsia="Calibri" w:hAnsi="Verdana" w:cs="Arial"/>
                <w:lang w:val="es-ES" w:eastAsia="es-ES"/>
              </w:rPr>
              <w:t>PLANEACIÓN CONTRACTUAL – Noción – Estudios previos – Deber de las entidades / CONTRATACIÓN POR URGENCIA MANIFIESTA – Excepción – Elaboración de estudios previos</w:t>
            </w:r>
          </w:p>
          <w:p w14:paraId="2F4F17F1" w14:textId="77777777" w:rsidR="00E65D8B" w:rsidRPr="00EF3275" w:rsidRDefault="00E65D8B" w:rsidP="00733B1A">
            <w:pPr>
              <w:spacing w:line="240" w:lineRule="auto"/>
              <w:jc w:val="both"/>
              <w:rPr>
                <w:rFonts w:ascii="Verdana" w:eastAsia="Calibri" w:hAnsi="Verdana" w:cs="Arial"/>
                <w:lang w:val="es-ES" w:eastAsia="es-ES"/>
              </w:rPr>
            </w:pPr>
          </w:p>
        </w:tc>
      </w:tr>
      <w:tr w:rsidR="00E65D8B" w:rsidRPr="00EF3275" w14:paraId="4A53752D" w14:textId="77777777" w:rsidTr="00733B1A">
        <w:tc>
          <w:tcPr>
            <w:tcW w:w="2689" w:type="dxa"/>
          </w:tcPr>
          <w:p w14:paraId="6E11ACA2" w14:textId="77777777" w:rsidR="00E65D8B" w:rsidRPr="00EF3275" w:rsidRDefault="00E65D8B" w:rsidP="00733B1A">
            <w:pPr>
              <w:jc w:val="both"/>
              <w:rPr>
                <w:rFonts w:ascii="Verdana" w:eastAsia="Calibri" w:hAnsi="Verdana" w:cs="Arial"/>
                <w:b/>
                <w:lang w:val="es-ES_tradnl" w:eastAsia="es-ES_tradnl"/>
              </w:rPr>
            </w:pPr>
            <w:r w:rsidRPr="00EF3275">
              <w:rPr>
                <w:rFonts w:ascii="Verdana" w:eastAsia="Calibri" w:hAnsi="Verdana" w:cs="Arial"/>
                <w:b/>
                <w:lang w:val="es-ES_tradnl" w:eastAsia="es-ES_tradnl"/>
              </w:rPr>
              <w:t>Radicación:</w:t>
            </w:r>
            <w:r w:rsidRPr="00EF3275">
              <w:rPr>
                <w:rFonts w:ascii="Verdana" w:eastAsia="Calibri" w:hAnsi="Verdana" w:cs="Arial"/>
                <w:lang w:val="es-ES_tradnl" w:eastAsia="es-ES_tradnl"/>
              </w:rPr>
              <w:t xml:space="preserve">               </w:t>
            </w:r>
          </w:p>
        </w:tc>
        <w:tc>
          <w:tcPr>
            <w:tcW w:w="6100" w:type="dxa"/>
          </w:tcPr>
          <w:p w14:paraId="3718B7E4" w14:textId="77777777" w:rsidR="00E65D8B" w:rsidRPr="001E43BB" w:rsidRDefault="00E65D8B" w:rsidP="00733B1A">
            <w:pPr>
              <w:jc w:val="both"/>
              <w:rPr>
                <w:rFonts w:ascii="Verdana" w:eastAsia="Calibri" w:hAnsi="Verdana" w:cs="Arial"/>
                <w:lang w:val="es-ES_tradnl" w:eastAsia="es-ES_tradnl"/>
              </w:rPr>
            </w:pPr>
            <w:r w:rsidRPr="00EF3275">
              <w:rPr>
                <w:rFonts w:ascii="Verdana" w:eastAsia="Calibri" w:hAnsi="Verdana" w:cs="Arial"/>
                <w:lang w:val="es-ES_tradnl" w:eastAsia="es-ES_tradnl"/>
              </w:rPr>
              <w:t>Respuesta a consulta con radicado No. 1_2026_09_06_011824</w:t>
            </w:r>
          </w:p>
        </w:tc>
      </w:tr>
    </w:tbl>
    <w:p w14:paraId="7EC326E5" w14:textId="77777777" w:rsidR="00E65D8B" w:rsidRPr="00EF3275" w:rsidRDefault="00E65D8B" w:rsidP="00E65D8B">
      <w:pPr>
        <w:spacing w:after="0" w:line="276" w:lineRule="auto"/>
        <w:jc w:val="both"/>
        <w:rPr>
          <w:rFonts w:ascii="Verdana" w:eastAsia="Calibri" w:hAnsi="Verdana" w:cs="Arial"/>
          <w:lang w:val="es-ES_tradnl" w:eastAsia="es-ES_tradnl"/>
        </w:rPr>
      </w:pPr>
    </w:p>
    <w:p w14:paraId="1FB82072" w14:textId="77777777" w:rsidR="00E65D8B" w:rsidRPr="00EF3275" w:rsidRDefault="00E65D8B" w:rsidP="00E65D8B">
      <w:pPr>
        <w:spacing w:after="0" w:line="276" w:lineRule="auto"/>
        <w:jc w:val="both"/>
        <w:rPr>
          <w:rFonts w:ascii="Verdana" w:eastAsia="Calibri" w:hAnsi="Verdana" w:cs="Arial"/>
          <w:lang w:val="es-ES_tradnl" w:eastAsia="es-ES_tradnl"/>
        </w:rPr>
      </w:pPr>
    </w:p>
    <w:p w14:paraId="75C175A0" w14:textId="77777777" w:rsidR="00E65D8B" w:rsidRPr="00BA2656" w:rsidRDefault="00E65D8B" w:rsidP="00E65D8B">
      <w:pPr>
        <w:spacing w:after="0" w:line="276" w:lineRule="auto"/>
        <w:jc w:val="both"/>
        <w:rPr>
          <w:rFonts w:ascii="Verdana" w:eastAsia="Calibri" w:hAnsi="Verdana" w:cs="Arial"/>
          <w:lang w:val="es-ES" w:eastAsia="es-ES"/>
        </w:rPr>
      </w:pPr>
      <w:r w:rsidRPr="00BA2656">
        <w:rPr>
          <w:rFonts w:ascii="Verdana" w:eastAsia="Calibri" w:hAnsi="Verdana" w:cs="Arial"/>
          <w:lang w:val="es-ES" w:eastAsia="es-ES"/>
        </w:rPr>
        <w:t xml:space="preserve">Estimado señor Olaya: </w:t>
      </w:r>
    </w:p>
    <w:p w14:paraId="19CA6E84" w14:textId="77777777" w:rsidR="00E65D8B" w:rsidRPr="00BA2656" w:rsidRDefault="00E65D8B" w:rsidP="00E65D8B">
      <w:pPr>
        <w:tabs>
          <w:tab w:val="left" w:pos="3768"/>
        </w:tabs>
        <w:spacing w:after="0" w:line="276" w:lineRule="auto"/>
        <w:jc w:val="both"/>
        <w:rPr>
          <w:rFonts w:ascii="Verdana" w:eastAsia="Calibri" w:hAnsi="Verdana" w:cs="Arial"/>
          <w:lang w:val="es-ES" w:eastAsia="es-ES"/>
        </w:rPr>
      </w:pPr>
      <w:r w:rsidRPr="00BA2656">
        <w:rPr>
          <w:rFonts w:ascii="Verdana" w:eastAsia="Calibri" w:hAnsi="Verdana" w:cs="Arial"/>
          <w:lang w:val="es-ES" w:eastAsia="es-ES"/>
        </w:rPr>
        <w:tab/>
      </w:r>
    </w:p>
    <w:p w14:paraId="05FE8D4E" w14:textId="77777777" w:rsidR="00E65D8B" w:rsidRPr="00BA2656" w:rsidRDefault="00E65D8B" w:rsidP="00E65D8B">
      <w:pPr>
        <w:spacing w:after="0" w:line="276" w:lineRule="auto"/>
        <w:jc w:val="both"/>
        <w:rPr>
          <w:rFonts w:ascii="Verdana" w:eastAsia="Calibri" w:hAnsi="Verdana" w:cs="Arial"/>
          <w:lang w:val="es-ES" w:eastAsia="es-ES"/>
        </w:rPr>
      </w:pPr>
      <w:r w:rsidRPr="00BA2656">
        <w:rPr>
          <w:rFonts w:ascii="Verdana" w:eastAsia="Calibri" w:hAnsi="Verdana" w:cs="Arial"/>
          <w:lang w:val="es-ES" w:eastAsia="es-ES"/>
        </w:rPr>
        <w:t>En ejercicio de la competencia otorgada por los artículos 3, numeral 5º, y 11, numeral 8º, del Decreto Ley 4170 de 2011,</w:t>
      </w:r>
      <w:r w:rsidRPr="00BA2656">
        <w:rPr>
          <w:rFonts w:ascii="Verdana" w:eastAsia="Arial MT" w:hAnsi="Verdana" w:cs="Arial MT"/>
          <w:lang w:val="es-ES" w:eastAsia="es-ES"/>
        </w:rPr>
        <w:t xml:space="preserve"> </w:t>
      </w:r>
      <w:r w:rsidRPr="00BA2656">
        <w:rPr>
          <w:rFonts w:ascii="Verdana" w:hAnsi="Verdana" w:cs="Arial"/>
        </w:rPr>
        <w:t xml:space="preserve">así como lo establecido en el artículo 4 de la Resolución 1707 de 2018 expedida por esta Entidad, </w:t>
      </w:r>
      <w:r w:rsidRPr="00BA2656">
        <w:rPr>
          <w:rFonts w:ascii="Verdana" w:eastAsia="Calibri" w:hAnsi="Verdana" w:cs="Arial"/>
          <w:lang w:val="es-ES" w:eastAsia="es-ES"/>
        </w:rPr>
        <w:t xml:space="preserve">la Agencia Nacional de Contratación Pública – Colombia Compra Eficiente– responde su solicitud de consulta de fecha del 06 de septiembre de 2026, en la que realiza la siguiente consulta: </w:t>
      </w:r>
    </w:p>
    <w:p w14:paraId="117FAA87" w14:textId="77777777" w:rsidR="00E65D8B" w:rsidRPr="00BA2656" w:rsidRDefault="00E65D8B" w:rsidP="00E65D8B">
      <w:pPr>
        <w:tabs>
          <w:tab w:val="left" w:pos="142"/>
          <w:tab w:val="left" w:pos="284"/>
        </w:tabs>
        <w:spacing w:after="0" w:line="276" w:lineRule="auto"/>
        <w:contextualSpacing/>
        <w:jc w:val="both"/>
        <w:rPr>
          <w:rFonts w:ascii="Verdana" w:eastAsia="Century Gothic" w:hAnsi="Verdana" w:cs="Century Gothic"/>
          <w:b/>
          <w:bCs/>
          <w:sz w:val="20"/>
          <w:szCs w:val="20"/>
          <w:lang w:val="es-ES"/>
        </w:rPr>
      </w:pPr>
    </w:p>
    <w:p w14:paraId="69BDB191" w14:textId="77777777" w:rsidR="00E65D8B" w:rsidRPr="00BA2656" w:rsidRDefault="00E65D8B" w:rsidP="00E65D8B">
      <w:pPr>
        <w:tabs>
          <w:tab w:val="left" w:pos="709"/>
        </w:tabs>
        <w:spacing w:after="0" w:line="240" w:lineRule="auto"/>
        <w:ind w:left="709" w:right="709"/>
        <w:jc w:val="both"/>
        <w:rPr>
          <w:rFonts w:ascii="Verdana" w:eastAsia="Calibri" w:hAnsi="Verdana" w:cs="Arial"/>
          <w:sz w:val="20"/>
          <w:szCs w:val="20"/>
          <w:lang w:val="es-MX"/>
        </w:rPr>
      </w:pPr>
      <w:r w:rsidRPr="00BA2656">
        <w:rPr>
          <w:rFonts w:ascii="Verdana" w:eastAsia="Calibri" w:hAnsi="Verdana" w:cs="Arial"/>
          <w:sz w:val="20"/>
          <w:szCs w:val="20"/>
          <w:lang w:val="es-MX"/>
        </w:rPr>
        <w:t>“[…]</w:t>
      </w:r>
    </w:p>
    <w:p w14:paraId="2D51EE2E" w14:textId="77777777" w:rsidR="00E65D8B" w:rsidRPr="00BA2656" w:rsidRDefault="00E65D8B" w:rsidP="00E65D8B">
      <w:pPr>
        <w:tabs>
          <w:tab w:val="left" w:pos="709"/>
        </w:tabs>
        <w:spacing w:after="0" w:line="240" w:lineRule="auto"/>
        <w:ind w:left="709" w:right="709"/>
        <w:jc w:val="both"/>
        <w:rPr>
          <w:rFonts w:ascii="Verdana" w:eastAsia="Calibri" w:hAnsi="Verdana" w:cs="Arial"/>
          <w:sz w:val="20"/>
          <w:szCs w:val="20"/>
          <w:lang w:val="es-MX"/>
        </w:rPr>
      </w:pPr>
      <w:r w:rsidRPr="00BA2656">
        <w:rPr>
          <w:rFonts w:ascii="Verdana" w:eastAsia="Calibri" w:hAnsi="Verdana" w:cs="Arial"/>
          <w:sz w:val="20"/>
          <w:szCs w:val="20"/>
          <w:lang w:val="es-MX"/>
        </w:rPr>
        <w:t>¿Subsiste el deber de análisis del sector del art. 2.2.1.1.1.6.1 en la contratación directa por urgencia manifiesta?</w:t>
      </w:r>
    </w:p>
    <w:p w14:paraId="3B2B20C5" w14:textId="77777777" w:rsidR="00E65D8B" w:rsidRPr="00BA2656" w:rsidRDefault="00E65D8B" w:rsidP="00E65D8B">
      <w:pPr>
        <w:tabs>
          <w:tab w:val="left" w:pos="709"/>
        </w:tabs>
        <w:spacing w:after="0" w:line="240" w:lineRule="auto"/>
        <w:ind w:left="709" w:right="709"/>
        <w:jc w:val="both"/>
        <w:rPr>
          <w:rFonts w:ascii="Verdana" w:eastAsia="Calibri" w:hAnsi="Verdana" w:cs="Arial"/>
          <w:sz w:val="20"/>
          <w:szCs w:val="20"/>
          <w:lang w:val="es-MX"/>
        </w:rPr>
      </w:pPr>
      <w:r w:rsidRPr="00BA2656">
        <w:rPr>
          <w:rFonts w:ascii="Verdana" w:eastAsia="Calibri" w:hAnsi="Verdana" w:cs="Arial"/>
          <w:sz w:val="20"/>
          <w:szCs w:val="20"/>
          <w:lang w:val="es-MX"/>
        </w:rPr>
        <w:t>De subsistir, ¿en qué forma y oportunidad debe cumplirse?</w:t>
      </w:r>
    </w:p>
    <w:p w14:paraId="0094F90A" w14:textId="77777777" w:rsidR="00E65D8B" w:rsidRPr="00BA2656" w:rsidRDefault="00E65D8B" w:rsidP="00E65D8B">
      <w:pPr>
        <w:tabs>
          <w:tab w:val="left" w:pos="709"/>
        </w:tabs>
        <w:spacing w:after="0" w:line="240" w:lineRule="auto"/>
        <w:ind w:left="709" w:right="709"/>
        <w:jc w:val="both"/>
        <w:rPr>
          <w:rFonts w:ascii="Verdana" w:eastAsia="Calibri" w:hAnsi="Verdana" w:cs="Arial"/>
          <w:sz w:val="20"/>
          <w:szCs w:val="20"/>
          <w:lang w:val="es-MX"/>
        </w:rPr>
      </w:pPr>
      <w:r w:rsidRPr="00BA2656">
        <w:rPr>
          <w:rFonts w:ascii="Verdana" w:eastAsia="Calibri" w:hAnsi="Verdana" w:cs="Arial"/>
          <w:sz w:val="20"/>
          <w:szCs w:val="20"/>
          <w:lang w:val="es-MX"/>
        </w:rPr>
        <w:t>¿La exoneración de estudios y documentos previos comprende el estudio de mercado necesario para estimar el valor del contrato?</w:t>
      </w:r>
    </w:p>
    <w:p w14:paraId="6E22B571" w14:textId="77777777" w:rsidR="00E65D8B" w:rsidRPr="00BA2656" w:rsidRDefault="00E65D8B" w:rsidP="00E65D8B">
      <w:pPr>
        <w:tabs>
          <w:tab w:val="left" w:pos="709"/>
        </w:tabs>
        <w:spacing w:after="0" w:line="240" w:lineRule="auto"/>
        <w:ind w:left="709" w:right="709"/>
        <w:jc w:val="both"/>
        <w:rPr>
          <w:rFonts w:ascii="Verdana" w:eastAsia="Calibri" w:hAnsi="Verdana" w:cs="Arial"/>
          <w:sz w:val="20"/>
          <w:szCs w:val="20"/>
          <w:lang w:val="es-MX"/>
        </w:rPr>
      </w:pPr>
      <w:r w:rsidRPr="00BA2656">
        <w:rPr>
          <w:rFonts w:ascii="Verdana" w:eastAsia="Calibri" w:hAnsi="Verdana" w:cs="Arial"/>
          <w:sz w:val="20"/>
          <w:szCs w:val="20"/>
          <w:lang w:val="es-MX"/>
        </w:rPr>
        <w:lastRenderedPageBreak/>
        <w:t>¿Deben esos análisis obrar en el expediente contractual aunque no se elaboren como documento previo formal?</w:t>
      </w:r>
    </w:p>
    <w:p w14:paraId="4497B4D3" w14:textId="77777777" w:rsidR="00E65D8B" w:rsidRPr="00BA2656" w:rsidRDefault="00E65D8B" w:rsidP="00E65D8B">
      <w:pPr>
        <w:tabs>
          <w:tab w:val="left" w:pos="142"/>
          <w:tab w:val="left" w:pos="284"/>
        </w:tabs>
        <w:spacing w:after="0" w:line="276" w:lineRule="auto"/>
        <w:ind w:left="709" w:right="709"/>
        <w:contextualSpacing/>
        <w:jc w:val="both"/>
        <w:rPr>
          <w:rFonts w:ascii="Verdana" w:eastAsia="Century Gothic" w:hAnsi="Verdana" w:cs="Century Gothic"/>
          <w:b/>
          <w:bCs/>
          <w:lang w:val="es-ES"/>
        </w:rPr>
      </w:pPr>
    </w:p>
    <w:p w14:paraId="0B00E2F0" w14:textId="77777777" w:rsidR="00E65D8B" w:rsidRPr="00BA2656" w:rsidRDefault="00E65D8B" w:rsidP="00E65D8B">
      <w:pPr>
        <w:spacing w:after="120" w:line="276" w:lineRule="auto"/>
        <w:ind w:firstLine="709"/>
        <w:jc w:val="both"/>
        <w:rPr>
          <w:rFonts w:ascii="Verdana" w:eastAsia="Calibri" w:hAnsi="Verdana" w:cs="Arial"/>
          <w:szCs w:val="24"/>
          <w:lang w:val="es-ES_tradnl" w:eastAsia="es-ES_tradnl"/>
        </w:rPr>
      </w:pPr>
      <w:r w:rsidRPr="00BA265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A2656">
        <w:rPr>
          <w:rFonts w:ascii="Verdana" w:eastAsia="Calibri" w:hAnsi="Verdana" w:cs="Arial"/>
          <w:szCs w:val="24"/>
          <w:lang w:val="es-ES_tradnl" w:eastAsia="es-ES_tradnl"/>
        </w:rPr>
        <w:tab/>
      </w:r>
    </w:p>
    <w:p w14:paraId="3C0ED453" w14:textId="77777777" w:rsidR="00E65D8B" w:rsidRPr="00BA2656" w:rsidRDefault="00E65D8B" w:rsidP="00E65D8B">
      <w:pPr>
        <w:spacing w:after="0" w:line="276" w:lineRule="auto"/>
        <w:ind w:firstLine="709"/>
        <w:jc w:val="both"/>
        <w:rPr>
          <w:rFonts w:ascii="Verdana" w:eastAsia="Calibri" w:hAnsi="Verdana" w:cs="Arial"/>
          <w:lang w:val="es-ES" w:eastAsia="es-ES"/>
        </w:rPr>
      </w:pPr>
      <w:r w:rsidRPr="00BA26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FF44467" w14:textId="77777777" w:rsidR="00E65D8B" w:rsidRPr="00BA2656" w:rsidRDefault="00E65D8B" w:rsidP="00E65D8B">
      <w:pPr>
        <w:spacing w:after="0" w:line="276" w:lineRule="auto"/>
        <w:ind w:firstLine="709"/>
        <w:jc w:val="both"/>
        <w:rPr>
          <w:rFonts w:ascii="Verdana" w:eastAsia="Calibri" w:hAnsi="Verdana" w:cs="Arial"/>
          <w:lang w:val="es-ES" w:eastAsia="es-ES"/>
        </w:rPr>
      </w:pPr>
    </w:p>
    <w:p w14:paraId="78F0EB7F" w14:textId="77777777" w:rsidR="00E65D8B" w:rsidRPr="00BA2656" w:rsidRDefault="00E65D8B" w:rsidP="00E65D8B">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BA2656">
        <w:rPr>
          <w:rFonts w:ascii="Verdana" w:eastAsia="Arial" w:hAnsi="Verdana" w:cs="Arial"/>
          <w:b/>
          <w:bCs/>
          <w:lang w:val="es-ES"/>
        </w:rPr>
        <w:t>1. Problema planteado:</w:t>
      </w:r>
    </w:p>
    <w:p w14:paraId="4D875D4C" w14:textId="77777777" w:rsidR="00E65D8B" w:rsidRPr="00BA2656" w:rsidRDefault="00E65D8B" w:rsidP="00E65D8B">
      <w:pPr>
        <w:tabs>
          <w:tab w:val="left" w:pos="426"/>
        </w:tabs>
        <w:spacing w:after="0" w:line="276" w:lineRule="auto"/>
        <w:jc w:val="both"/>
        <w:rPr>
          <w:rFonts w:ascii="Verdana" w:eastAsia="Century Gothic" w:hAnsi="Verdana" w:cs="Century Gothic"/>
          <w:lang w:val="es-ES"/>
        </w:rPr>
      </w:pPr>
    </w:p>
    <w:p w14:paraId="5D1317AE" w14:textId="77777777" w:rsidR="00E65D8B" w:rsidRPr="00BA2656" w:rsidRDefault="00E65D8B" w:rsidP="00E65D8B">
      <w:pPr>
        <w:spacing w:after="0" w:line="276" w:lineRule="auto"/>
        <w:jc w:val="both"/>
        <w:rPr>
          <w:rFonts w:ascii="Verdana" w:eastAsia="Century Gothic" w:hAnsi="Verdana" w:cs="Century Gothic"/>
        </w:rPr>
      </w:pPr>
      <w:r w:rsidRPr="00BA2656">
        <w:rPr>
          <w:rFonts w:ascii="Verdana" w:eastAsia="Century Gothic" w:hAnsi="Verdana" w:cs="Century Gothic"/>
        </w:rPr>
        <w:t xml:space="preserve">De acuerdo con el contenido de su solicitud, </w:t>
      </w:r>
      <w:bookmarkStart w:id="1" w:name="_Hlk171070029"/>
      <w:r w:rsidRPr="00BA2656">
        <w:rPr>
          <w:rFonts w:ascii="Verdana" w:eastAsia="Century Gothic" w:hAnsi="Verdana" w:cs="Century Gothic"/>
        </w:rPr>
        <w:t>le informamos que la misma será resuelta desde el siguiente interrogante: ¿Es obligatorio realizar estudios y documentos previos en la contratación directa por urgencia manifiesta?</w:t>
      </w:r>
    </w:p>
    <w:p w14:paraId="40805DB4" w14:textId="77777777" w:rsidR="00E65D8B" w:rsidRPr="00BA2656" w:rsidRDefault="00E65D8B" w:rsidP="00E65D8B">
      <w:pPr>
        <w:spacing w:after="0" w:line="276" w:lineRule="auto"/>
        <w:jc w:val="both"/>
        <w:rPr>
          <w:rFonts w:ascii="Verdana" w:eastAsia="Calibri" w:hAnsi="Verdana" w:cs="Arial"/>
          <w:lang w:val="es-ES"/>
        </w:rPr>
      </w:pPr>
    </w:p>
    <w:bookmarkEnd w:id="1"/>
    <w:p w14:paraId="1797A706" w14:textId="77777777" w:rsidR="00E65D8B" w:rsidRPr="00BA2656" w:rsidRDefault="00E65D8B" w:rsidP="00E65D8B">
      <w:pPr>
        <w:widowControl w:val="0"/>
        <w:autoSpaceDE w:val="0"/>
        <w:autoSpaceDN w:val="0"/>
        <w:spacing w:before="1" w:after="0" w:line="240" w:lineRule="auto"/>
        <w:jc w:val="both"/>
        <w:outlineLvl w:val="0"/>
        <w:rPr>
          <w:rFonts w:ascii="Verdana" w:eastAsia="Arial" w:hAnsi="Verdana" w:cs="Arial"/>
          <w:b/>
          <w:bCs/>
          <w:lang w:val="es-ES"/>
        </w:rPr>
      </w:pPr>
      <w:r w:rsidRPr="00BA2656">
        <w:rPr>
          <w:rFonts w:ascii="Verdana" w:eastAsia="Arial" w:hAnsi="Verdana" w:cs="Arial"/>
          <w:b/>
          <w:bCs/>
          <w:lang w:val="es-ES"/>
        </w:rPr>
        <w:t>2. Respuesta:</w:t>
      </w:r>
    </w:p>
    <w:p w14:paraId="2FEF427C" w14:textId="77777777" w:rsidR="00E65D8B" w:rsidRPr="00BA2656" w:rsidRDefault="00E65D8B" w:rsidP="00E65D8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65D8B" w:rsidRPr="00BA2656" w14:paraId="59FCF049" w14:textId="77777777" w:rsidTr="00733B1A">
        <w:tc>
          <w:tcPr>
            <w:tcW w:w="8828" w:type="dxa"/>
          </w:tcPr>
          <w:p w14:paraId="08D65675" w14:textId="77777777" w:rsidR="00E65D8B" w:rsidRPr="00BA2656" w:rsidRDefault="00E65D8B" w:rsidP="00733B1A">
            <w:pPr>
              <w:spacing w:line="276" w:lineRule="auto"/>
              <w:jc w:val="both"/>
              <w:rPr>
                <w:rFonts w:ascii="Verdana" w:hAnsi="Verdana"/>
              </w:rPr>
            </w:pPr>
            <w:bookmarkStart w:id="2" w:name="_Hlk171067516"/>
            <w:r w:rsidRPr="00BA2656">
              <w:rPr>
                <w:rFonts w:ascii="Verdana" w:hAnsi="Verdana"/>
              </w:rPr>
              <w:t xml:space="preserve">Sobre el particular, resulta a bien indicar que </w:t>
            </w:r>
            <w:r w:rsidRPr="00BA2656">
              <w:rPr>
                <w:rFonts w:ascii="Verdana" w:eastAsia="Calibri" w:hAnsi="Verdana" w:cs="Arial"/>
                <w:bCs/>
                <w:lang w:val="es-ES_tradnl"/>
              </w:rPr>
              <w:t>el artículo 2.2.1.1.1.6.1 del Decreto 1082 de 2015 dispone que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21BF7DF4" w14:textId="77777777" w:rsidR="00E65D8B" w:rsidRPr="00BA2656" w:rsidRDefault="00E65D8B" w:rsidP="00733B1A">
            <w:pPr>
              <w:spacing w:before="120" w:line="276" w:lineRule="auto"/>
              <w:jc w:val="both"/>
              <w:rPr>
                <w:rFonts w:ascii="Verdana" w:hAnsi="Verdana"/>
              </w:rPr>
            </w:pPr>
            <w:r w:rsidRPr="00BA2656">
              <w:rPr>
                <w:rFonts w:ascii="Verdana" w:hAnsi="Verdana"/>
              </w:rPr>
              <w:lastRenderedPageBreak/>
              <w:tab/>
              <w:t>Sin embargo, debe aclararse que la obligación de realizar estudios y documentos previos, no es extensible a la contratación directa por urgencia manifiesta que realicen las Entidades Estatales. Esto, por cuanto, al definirse la urgencia manifiesta en el artículo 42 de la Ley 80 de 1993 como circunstancia que exige, con carácter apremiante, preservar la continuidad del servicio, cuando se afecta por situaciones de fuerza mayor, desastres, calamidades o hechos relacionados con los estados de excepción, la norma permite, como se observará, que el proceso de contratación se surta de manera ágil e inmediata y sin la realización de procedimientos previos a la celebración del futuro contrato.</w:t>
            </w:r>
          </w:p>
          <w:p w14:paraId="4A4FBD00" w14:textId="77777777" w:rsidR="00E65D8B" w:rsidRPr="00BA2656" w:rsidRDefault="00E65D8B" w:rsidP="00733B1A">
            <w:pPr>
              <w:spacing w:before="120" w:after="120" w:line="276" w:lineRule="auto"/>
              <w:ind w:firstLine="709"/>
              <w:jc w:val="both"/>
              <w:rPr>
                <w:rFonts w:ascii="Verdana" w:eastAsia="Calibri" w:hAnsi="Verdana" w:cs="Arial"/>
                <w:lang w:val="es-ES"/>
              </w:rPr>
            </w:pPr>
            <w:r w:rsidRPr="00BA2656">
              <w:rPr>
                <w:rFonts w:ascii="Verdana" w:eastAsia="Calibri" w:hAnsi="Verdana" w:cs="Arial"/>
                <w:lang w:val="es-ES"/>
              </w:rPr>
              <w:t xml:space="preserve">En esta medida, el precitado artículo 42 </w:t>
            </w:r>
            <w:r w:rsidRPr="00BA2656">
              <w:rPr>
                <w:rFonts w:ascii="Verdana" w:eastAsia="Calibri" w:hAnsi="Verdana" w:cs="Arial"/>
                <w:i/>
                <w:lang w:val="es-ES"/>
              </w:rPr>
              <w:t>ibidem</w:t>
            </w:r>
            <w:r w:rsidRPr="00BA2656">
              <w:rPr>
                <w:rFonts w:ascii="Verdana" w:eastAsia="Calibri" w:hAnsi="Verdana" w:cs="Arial"/>
                <w:lang w:val="es-ES"/>
              </w:rPr>
              <w:t xml:space="preserve"> contempla cuatro (4) circunstancias o hechos que configuran la urgencia manifiesta, si así lo declara la entidad: i) cuando la continuidad del servicio exige el suministro de bienes, o la prestación de servicios, o la ejecución de obras en el inmediato futuro; </w:t>
            </w:r>
            <w:proofErr w:type="spellStart"/>
            <w:r w:rsidRPr="00BA2656">
              <w:rPr>
                <w:rFonts w:ascii="Verdana" w:eastAsia="Calibri" w:hAnsi="Verdana" w:cs="Arial"/>
                <w:lang w:val="es-ES"/>
              </w:rPr>
              <w:t>ii</w:t>
            </w:r>
            <w:proofErr w:type="spellEnd"/>
            <w:r w:rsidRPr="00BA2656">
              <w:rPr>
                <w:rFonts w:ascii="Verdana" w:eastAsia="Calibri" w:hAnsi="Verdana" w:cs="Arial"/>
                <w:lang w:val="es-ES"/>
              </w:rPr>
              <w:t xml:space="preserve">) cuando se presenten situaciones relacionadas con los estados de excepción; </w:t>
            </w:r>
            <w:proofErr w:type="spellStart"/>
            <w:r w:rsidRPr="00BA2656">
              <w:rPr>
                <w:rFonts w:ascii="Verdana" w:eastAsia="Calibri" w:hAnsi="Verdana" w:cs="Arial"/>
                <w:lang w:val="es-ES"/>
              </w:rPr>
              <w:t>iii</w:t>
            </w:r>
            <w:proofErr w:type="spellEnd"/>
            <w:r w:rsidRPr="00BA2656">
              <w:rPr>
                <w:rFonts w:ascii="Verdana" w:eastAsia="Calibri" w:hAnsi="Verdana" w:cs="Arial"/>
                <w:lang w:val="es-ES"/>
              </w:rPr>
              <w:t xml:space="preserve">) cuando se trate de conjurar situaciones excepcionales relacionadas con hechos de calamidad o constitutivos de fuerza mayor o desastre que demanden actuaciones inmediatas; y </w:t>
            </w:r>
            <w:proofErr w:type="spellStart"/>
            <w:r w:rsidRPr="00BA2656">
              <w:rPr>
                <w:rFonts w:ascii="Verdana" w:eastAsia="Calibri" w:hAnsi="Verdana" w:cs="Arial"/>
                <w:lang w:val="es-ES"/>
              </w:rPr>
              <w:t>iv</w:t>
            </w:r>
            <w:proofErr w:type="spellEnd"/>
            <w:r w:rsidRPr="00BA2656">
              <w:rPr>
                <w:rFonts w:ascii="Verdana" w:eastAsia="Calibri" w:hAnsi="Verdana" w:cs="Arial"/>
                <w:lang w:val="es-ES"/>
              </w:rPr>
              <w:t>) en general, cuando se trate de situaciones similares que imposibiliten acudir a los procedimientos de selección o concurso públicos.</w:t>
            </w:r>
          </w:p>
          <w:p w14:paraId="70128E27" w14:textId="77777777" w:rsidR="00E65D8B" w:rsidRPr="00BA2656" w:rsidRDefault="00E65D8B" w:rsidP="00733B1A">
            <w:pPr>
              <w:spacing w:line="276" w:lineRule="auto"/>
              <w:ind w:firstLine="708"/>
              <w:jc w:val="both"/>
              <w:rPr>
                <w:rFonts w:ascii="Verdana" w:eastAsia="Calibri" w:hAnsi="Verdana" w:cs="Arial"/>
                <w:lang w:val="es-ES_tradnl"/>
              </w:rPr>
            </w:pPr>
            <w:r w:rsidRPr="00BA2656">
              <w:rPr>
                <w:rFonts w:ascii="Verdana" w:eastAsia="Calibri" w:hAnsi="Verdana" w:cs="Arial"/>
                <w:lang w:val="es-ES_tradnl"/>
              </w:rPr>
              <w:t xml:space="preserve">El elemento común en los cuatro (4) eventos es que exigen atender la contingencia de manera pronta, mediante la ejecución de obras, la prestación de servicios o el suministro de bienes. Por tanto, lo que permite catalogar un supuesto fáctico como urgente, en forma manifiesta, es que demanda actuaciones del Estado que no dan espera para mantener la regularidad del servicio, e impiden acudir a los procedimientos de selección ordinarios, es decir, a la licitación pública, la selección abreviada, el concurso de méritos y la contratación de mínima cuantía. </w:t>
            </w:r>
          </w:p>
          <w:p w14:paraId="12E45041" w14:textId="77777777" w:rsidR="00E65D8B" w:rsidRDefault="00E65D8B" w:rsidP="00733B1A">
            <w:pPr>
              <w:spacing w:before="120" w:line="276" w:lineRule="auto"/>
              <w:ind w:firstLine="709"/>
              <w:jc w:val="both"/>
              <w:rPr>
                <w:rFonts w:ascii="Verdana" w:eastAsia="Calibri" w:hAnsi="Verdana" w:cs="Arial"/>
                <w:lang w:val="es-ES_tradnl"/>
              </w:rPr>
            </w:pPr>
            <w:r w:rsidRPr="00BA2656">
              <w:rPr>
                <w:rFonts w:ascii="Verdana" w:eastAsia="Calibri" w:hAnsi="Verdana" w:cs="Arial"/>
                <w:lang w:val="es-ES_tradnl"/>
              </w:rPr>
              <w:t>De ahí que, no resulte necesario realizar estudios y documentos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 [Énfasis fuera de texto]</w:t>
            </w:r>
          </w:p>
          <w:p w14:paraId="5BE7783F" w14:textId="77777777" w:rsidR="00E65D8B" w:rsidRPr="00BA2656" w:rsidRDefault="00E65D8B" w:rsidP="00733B1A">
            <w:pPr>
              <w:spacing w:before="120" w:line="276" w:lineRule="auto"/>
              <w:ind w:firstLine="709"/>
              <w:jc w:val="both"/>
              <w:rPr>
                <w:rFonts w:ascii="Verdana" w:hAnsi="Verdana"/>
              </w:rPr>
            </w:pPr>
            <w:r>
              <w:rPr>
                <w:rFonts w:ascii="Verdana" w:hAnsi="Verdana"/>
              </w:rPr>
              <w:lastRenderedPageBreak/>
              <w:t>No obstante lo anterior, se recuerda que e</w:t>
            </w:r>
            <w:r>
              <w:rPr>
                <w:rFonts w:ascii="Verdana" w:eastAsia="Calibri" w:hAnsi="Verdana" w:cs="Arial"/>
                <w:lang w:val="es-ES_tradnl"/>
              </w:rPr>
              <w:t xml:space="preserve">s necesario que se configure </w:t>
            </w:r>
            <w:r w:rsidRPr="00941451">
              <w:rPr>
                <w:rFonts w:ascii="Verdana" w:eastAsia="Calibri" w:hAnsi="Verdana" w:cs="Arial"/>
                <w:lang w:val="es-ES_tradnl"/>
              </w:rPr>
              <w:t>alguna de las cuatro (4) situaciones</w:t>
            </w:r>
            <w:r>
              <w:rPr>
                <w:rFonts w:ascii="Verdana" w:eastAsia="Calibri" w:hAnsi="Verdana" w:cs="Arial"/>
                <w:lang w:val="es-ES_tradnl"/>
              </w:rPr>
              <w:t xml:space="preserve"> señaladas en </w:t>
            </w:r>
            <w:r w:rsidRPr="00941451">
              <w:rPr>
                <w:rFonts w:ascii="Verdana" w:eastAsia="Calibri" w:hAnsi="Verdana" w:cs="Arial"/>
                <w:lang w:val="es-ES_tradnl"/>
              </w:rPr>
              <w:t>el artículo 42 de la Ley 80 de 1993</w:t>
            </w:r>
            <w:r>
              <w:rPr>
                <w:rFonts w:ascii="Verdana" w:eastAsia="Calibri" w:hAnsi="Verdana" w:cs="Arial"/>
                <w:lang w:val="es-ES_tradnl"/>
              </w:rPr>
              <w:t>, y que</w:t>
            </w:r>
            <w:r w:rsidRPr="00941451">
              <w:rPr>
                <w:rFonts w:ascii="Verdana" w:eastAsia="Calibri" w:hAnsi="Verdana" w:cs="Arial"/>
                <w:lang w:val="es-ES_tradnl"/>
              </w:rPr>
              <w:t xml:space="preserve"> </w:t>
            </w:r>
            <w:r>
              <w:rPr>
                <w:rFonts w:ascii="Verdana" w:eastAsia="Calibri" w:hAnsi="Verdana" w:cs="Arial"/>
                <w:lang w:val="es-ES_tradnl"/>
              </w:rPr>
              <w:t xml:space="preserve">la entidad la declare formalmente </w:t>
            </w:r>
            <w:r w:rsidRPr="00941451">
              <w:rPr>
                <w:rFonts w:ascii="Verdana" w:eastAsia="Calibri" w:hAnsi="Verdana" w:cs="Arial"/>
                <w:lang w:val="es-ES_tradnl"/>
              </w:rPr>
              <w:t xml:space="preserve">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941451">
              <w:rPr>
                <w:rFonts w:ascii="Verdana" w:eastAsia="Calibri" w:hAnsi="Verdana" w:cs="Arial"/>
                <w:i/>
                <w:iCs/>
                <w:lang w:val="es-ES_tradnl"/>
              </w:rPr>
              <w:t>ibidem</w:t>
            </w:r>
            <w:r w:rsidRPr="00941451">
              <w:rPr>
                <w:rFonts w:ascii="Verdana" w:eastAsia="Calibri" w:hAnsi="Verdana" w:cs="Arial"/>
                <w:lang w:val="es-ES_tradnl"/>
              </w:rPr>
              <w:t>.</w:t>
            </w:r>
          </w:p>
        </w:tc>
      </w:tr>
      <w:bookmarkEnd w:id="2"/>
    </w:tbl>
    <w:p w14:paraId="579B13D5" w14:textId="77777777" w:rsidR="00E65D8B" w:rsidRDefault="00E65D8B" w:rsidP="00E65D8B">
      <w:pPr>
        <w:widowControl w:val="0"/>
        <w:autoSpaceDE w:val="0"/>
        <w:autoSpaceDN w:val="0"/>
        <w:spacing w:after="0" w:line="276" w:lineRule="auto"/>
        <w:ind w:left="-357" w:hanging="357"/>
        <w:outlineLvl w:val="0"/>
        <w:rPr>
          <w:rFonts w:ascii="Verdana" w:eastAsia="Arial" w:hAnsi="Verdana" w:cs="Arial"/>
          <w:b/>
          <w:bCs/>
          <w:lang w:val="es-ES"/>
        </w:rPr>
      </w:pPr>
    </w:p>
    <w:p w14:paraId="7354C11F" w14:textId="77777777" w:rsidR="00E65D8B" w:rsidRPr="00BA2656" w:rsidRDefault="00E65D8B" w:rsidP="00E65D8B">
      <w:pPr>
        <w:widowControl w:val="0"/>
        <w:autoSpaceDE w:val="0"/>
        <w:autoSpaceDN w:val="0"/>
        <w:spacing w:after="0" w:line="276" w:lineRule="auto"/>
        <w:ind w:left="357" w:hanging="357"/>
        <w:outlineLvl w:val="0"/>
        <w:rPr>
          <w:rFonts w:ascii="Verdana" w:eastAsia="Arial" w:hAnsi="Verdana" w:cs="Arial"/>
          <w:b/>
          <w:bCs/>
          <w:lang w:val="es-ES"/>
        </w:rPr>
      </w:pPr>
      <w:r w:rsidRPr="00BA2656">
        <w:rPr>
          <w:rFonts w:ascii="Verdana" w:eastAsia="Arial" w:hAnsi="Verdana" w:cs="Arial"/>
          <w:b/>
          <w:bCs/>
          <w:lang w:val="es-ES"/>
        </w:rPr>
        <w:t>3. Razones de la respuesta</w:t>
      </w:r>
      <w:r>
        <w:rPr>
          <w:rFonts w:ascii="Verdana" w:eastAsia="Arial" w:hAnsi="Verdana" w:cs="Arial"/>
          <w:b/>
          <w:bCs/>
          <w:lang w:val="es-ES"/>
        </w:rPr>
        <w:t>:</w:t>
      </w:r>
    </w:p>
    <w:p w14:paraId="1581ADF0" w14:textId="77777777" w:rsidR="00E65D8B" w:rsidRPr="00BA2656" w:rsidRDefault="00E65D8B" w:rsidP="00E65D8B">
      <w:pPr>
        <w:spacing w:after="0" w:line="276" w:lineRule="auto"/>
        <w:ind w:left="-357"/>
        <w:jc w:val="both"/>
        <w:rPr>
          <w:rFonts w:ascii="Verdana" w:eastAsia="Calibri" w:hAnsi="Verdana" w:cs="Arial"/>
          <w:lang w:val="es-ES"/>
        </w:rPr>
      </w:pPr>
    </w:p>
    <w:p w14:paraId="2AFA846A" w14:textId="77777777" w:rsidR="00E65D8B" w:rsidRPr="00BA2656" w:rsidRDefault="00E65D8B" w:rsidP="00E65D8B">
      <w:pPr>
        <w:spacing w:after="0" w:line="276" w:lineRule="auto"/>
        <w:jc w:val="both"/>
        <w:rPr>
          <w:rFonts w:ascii="Verdana" w:eastAsia="Calibri" w:hAnsi="Verdana" w:cs="Arial"/>
          <w:lang w:val="es-ES"/>
        </w:rPr>
      </w:pPr>
      <w:r w:rsidRPr="00BA2656">
        <w:rPr>
          <w:rFonts w:ascii="Verdana" w:eastAsia="Calibri" w:hAnsi="Verdana" w:cs="Arial"/>
          <w:lang w:val="es-ES"/>
        </w:rPr>
        <w:t xml:space="preserve">Las respuestas anteriores se sustentan en las siguientes consideraciones: </w:t>
      </w:r>
    </w:p>
    <w:p w14:paraId="67B6A122" w14:textId="77777777" w:rsidR="00E65D8B" w:rsidRPr="00BA2656" w:rsidRDefault="00E65D8B" w:rsidP="00E65D8B">
      <w:pPr>
        <w:spacing w:after="0" w:line="276" w:lineRule="auto"/>
        <w:ind w:left="-357"/>
        <w:jc w:val="both"/>
        <w:rPr>
          <w:rFonts w:ascii="Verdana" w:eastAsia="Calibri" w:hAnsi="Verdana" w:cs="Arial"/>
          <w:lang w:val="es-ES"/>
        </w:rPr>
      </w:pPr>
    </w:p>
    <w:p w14:paraId="64509241" w14:textId="77777777" w:rsidR="00E65D8B" w:rsidRPr="00BA2656" w:rsidRDefault="00E65D8B" w:rsidP="00E65D8B">
      <w:pPr>
        <w:spacing w:after="120" w:line="276" w:lineRule="auto"/>
        <w:jc w:val="both"/>
        <w:rPr>
          <w:rFonts w:ascii="Verdana" w:eastAsia="Times New Roman" w:hAnsi="Verdana" w:cs="Arial"/>
          <w:color w:val="000000"/>
          <w:lang w:eastAsia="es-ES_tradnl"/>
        </w:rPr>
      </w:pPr>
      <w:r w:rsidRPr="00BA2656">
        <w:rPr>
          <w:rFonts w:ascii="Verdana" w:eastAsia="Calibri" w:hAnsi="Verdana" w:cs="Arial"/>
          <w:lang w:val="es-ES"/>
        </w:rPr>
        <w:t xml:space="preserve">De manera preliminar, debe precisarse que </w:t>
      </w:r>
      <w:r w:rsidRPr="00BA2656">
        <w:rPr>
          <w:rFonts w:ascii="Verdana" w:eastAsia="Times New Roman" w:hAnsi="Verdana" w:cs="Arial"/>
          <w:color w:val="000000"/>
          <w:lang w:eastAsia="es-ES_tradnl"/>
        </w:rPr>
        <w:t xml:space="preserve">al ser la planeación contractual una herramienta de gerencia pública, que exige estructurar el proceso contractual dedicando tiempo y esfuerzos para elaborar </w:t>
      </w:r>
      <w:r w:rsidRPr="00BA2656">
        <w:rPr>
          <w:rFonts w:ascii="Verdana" w:eastAsia="Times New Roman" w:hAnsi="Verdana" w:cs="Arial"/>
          <w:i/>
          <w:iCs/>
          <w:color w:val="000000"/>
          <w:lang w:eastAsia="es-ES_tradnl"/>
        </w:rPr>
        <w:t>estudios previos</w:t>
      </w:r>
      <w:r w:rsidRPr="00BA2656">
        <w:rPr>
          <w:rFonts w:ascii="Verdana" w:eastAsia="Times New Roman" w:hAnsi="Verdana" w:cs="Arial"/>
          <w:color w:val="000000"/>
          <w:lang w:eastAsia="es-ES_tradnl"/>
        </w:rPr>
        <w:t>, su finalidad es la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el objetivo de realizar la escogencia diligente de la mejor oferta, para beneficiar los intereses y fines públicos inmersos en la contratación de las Entidades Estatales.</w:t>
      </w:r>
    </w:p>
    <w:p w14:paraId="0207BFF4" w14:textId="77777777" w:rsidR="00E65D8B" w:rsidRPr="00BA2656" w:rsidRDefault="00E65D8B" w:rsidP="00E65D8B">
      <w:pPr>
        <w:spacing w:after="0" w:line="276" w:lineRule="auto"/>
        <w:ind w:firstLine="709"/>
        <w:jc w:val="both"/>
        <w:rPr>
          <w:rFonts w:ascii="Verdana" w:eastAsia="Calibri" w:hAnsi="Verdana" w:cs="Arial"/>
        </w:rPr>
      </w:pPr>
      <w:r w:rsidRPr="00BA2656">
        <w:rPr>
          <w:rFonts w:ascii="Verdana" w:eastAsia="Calibri" w:hAnsi="Verdana" w:cs="Arial"/>
        </w:rPr>
        <w:t>En congruencia con el artículo 25 de la Ley 80 de 1993, el Decreto 1082 de 2015 dispone en el artículo 2.2.1.1.2.1.1 el contenido mínimo de los estudios y documentos previos:</w:t>
      </w:r>
    </w:p>
    <w:p w14:paraId="7E5B9C2C" w14:textId="77777777" w:rsidR="00E65D8B" w:rsidRPr="00BA2656" w:rsidRDefault="00E65D8B" w:rsidP="00E65D8B">
      <w:pPr>
        <w:spacing w:after="0" w:line="240" w:lineRule="auto"/>
        <w:ind w:left="278" w:right="709"/>
        <w:jc w:val="both"/>
        <w:rPr>
          <w:rFonts w:ascii="Verdana" w:eastAsia="Arial" w:hAnsi="Verdana" w:cs="Arial"/>
          <w:color w:val="000000"/>
          <w:sz w:val="20"/>
          <w:szCs w:val="20"/>
          <w:lang w:val="es-ES_tradnl" w:eastAsia="es-ES_tradnl"/>
        </w:rPr>
      </w:pPr>
    </w:p>
    <w:p w14:paraId="1B834E75" w14:textId="77777777" w:rsidR="00E65D8B" w:rsidRPr="00BA2656" w:rsidRDefault="00E65D8B" w:rsidP="00E65D8B">
      <w:pPr>
        <w:spacing w:after="0" w:line="240" w:lineRule="auto"/>
        <w:ind w:left="709" w:right="709"/>
        <w:jc w:val="both"/>
        <w:rPr>
          <w:rFonts w:ascii="Verdana" w:eastAsia="Arial" w:hAnsi="Verdana" w:cs="Arial"/>
          <w:color w:val="000000"/>
          <w:sz w:val="20"/>
          <w:szCs w:val="20"/>
          <w:lang w:eastAsia="es-ES_tradnl"/>
        </w:rPr>
      </w:pPr>
      <w:r w:rsidRPr="00BA2656">
        <w:rPr>
          <w:rFonts w:ascii="Verdana" w:eastAsia="Arial" w:hAnsi="Verdana" w:cs="Arial"/>
          <w:color w:val="000000"/>
          <w:sz w:val="20"/>
          <w:szCs w:val="20"/>
          <w:lang w:eastAsia="es-ES_tradnl"/>
        </w:rPr>
        <w:t>“Artículo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w:t>
      </w:r>
    </w:p>
    <w:p w14:paraId="17659C79" w14:textId="77777777" w:rsidR="00E65D8B" w:rsidRDefault="00E65D8B" w:rsidP="00E65D8B">
      <w:pPr>
        <w:spacing w:after="0" w:line="240" w:lineRule="auto"/>
        <w:ind w:left="709" w:right="709"/>
        <w:jc w:val="both"/>
        <w:rPr>
          <w:rFonts w:ascii="Verdana" w:eastAsia="Arial" w:hAnsi="Verdana" w:cs="Arial"/>
          <w:color w:val="000000"/>
          <w:sz w:val="20"/>
          <w:szCs w:val="20"/>
          <w:lang w:eastAsia="es-ES_tradnl"/>
        </w:rPr>
      </w:pPr>
    </w:p>
    <w:p w14:paraId="303089C0" w14:textId="77777777" w:rsidR="00E65D8B" w:rsidRPr="00BA2656" w:rsidRDefault="00E65D8B" w:rsidP="00E65D8B">
      <w:pPr>
        <w:spacing w:after="0" w:line="240" w:lineRule="auto"/>
        <w:ind w:left="709" w:right="709"/>
        <w:jc w:val="both"/>
        <w:rPr>
          <w:rFonts w:ascii="Verdana" w:eastAsia="Arial" w:hAnsi="Verdana" w:cs="Arial"/>
          <w:color w:val="000000"/>
          <w:sz w:val="20"/>
          <w:szCs w:val="20"/>
          <w:lang w:eastAsia="es-ES_tradnl"/>
        </w:rPr>
      </w:pPr>
      <w:r w:rsidRPr="00BA2656">
        <w:rPr>
          <w:rFonts w:ascii="Verdana" w:eastAsia="Arial" w:hAnsi="Verdana" w:cs="Arial"/>
          <w:color w:val="000000"/>
          <w:sz w:val="20"/>
          <w:szCs w:val="20"/>
          <w:lang w:eastAsia="es-ES_tradnl"/>
        </w:rPr>
        <w:t xml:space="preserve">1. La descripción de la necesidad que la Entidad Estatal pretende satisfacer con el Proceso de Contratación. </w:t>
      </w:r>
    </w:p>
    <w:p w14:paraId="512162A4" w14:textId="77777777" w:rsidR="00E65D8B" w:rsidRDefault="00E65D8B" w:rsidP="00E65D8B">
      <w:pPr>
        <w:spacing w:after="0" w:line="240" w:lineRule="auto"/>
        <w:ind w:left="709" w:right="709"/>
        <w:jc w:val="both"/>
        <w:rPr>
          <w:rFonts w:ascii="Verdana" w:eastAsia="Arial" w:hAnsi="Verdana" w:cs="Arial"/>
          <w:color w:val="000000"/>
          <w:sz w:val="20"/>
          <w:szCs w:val="20"/>
          <w:lang w:eastAsia="es-ES_tradnl"/>
        </w:rPr>
      </w:pPr>
    </w:p>
    <w:p w14:paraId="08D209E5" w14:textId="77777777" w:rsidR="00E65D8B" w:rsidRPr="00BA2656" w:rsidRDefault="00E65D8B" w:rsidP="00E65D8B">
      <w:pPr>
        <w:spacing w:after="0" w:line="240" w:lineRule="auto"/>
        <w:ind w:left="709" w:right="709"/>
        <w:jc w:val="both"/>
        <w:rPr>
          <w:rFonts w:ascii="Verdana" w:eastAsia="Arial" w:hAnsi="Verdana" w:cs="Arial"/>
          <w:color w:val="000000"/>
          <w:sz w:val="20"/>
          <w:szCs w:val="20"/>
          <w:lang w:eastAsia="es-ES_tradnl"/>
        </w:rPr>
      </w:pPr>
      <w:r w:rsidRPr="00BA2656">
        <w:rPr>
          <w:rFonts w:ascii="Verdana" w:eastAsia="Arial" w:hAnsi="Verdana" w:cs="Arial"/>
          <w:color w:val="000000"/>
          <w:sz w:val="20"/>
          <w:szCs w:val="20"/>
          <w:lang w:eastAsia="es-ES_tradnl"/>
        </w:rPr>
        <w:t xml:space="preserve">2. El objeto a contratar, con sus especificaciones, las autorizaciones, permisos y licencias requeridos para su ejecución, y cuando el contrato incluye diseño y construcción, los documentos técnicos para el desarrollo del proyecto. </w:t>
      </w:r>
    </w:p>
    <w:p w14:paraId="7CD24146" w14:textId="77777777" w:rsidR="00E65D8B" w:rsidRDefault="00E65D8B" w:rsidP="00E65D8B">
      <w:pPr>
        <w:spacing w:after="0" w:line="240" w:lineRule="auto"/>
        <w:ind w:left="709" w:right="709"/>
        <w:jc w:val="both"/>
        <w:rPr>
          <w:rFonts w:ascii="Verdana" w:eastAsia="Arial" w:hAnsi="Verdana" w:cs="Arial"/>
          <w:color w:val="000000"/>
          <w:sz w:val="20"/>
          <w:szCs w:val="20"/>
          <w:lang w:eastAsia="es-ES_tradnl"/>
        </w:rPr>
      </w:pPr>
    </w:p>
    <w:p w14:paraId="291F0547" w14:textId="77777777" w:rsidR="00E65D8B" w:rsidRPr="00BA2656" w:rsidRDefault="00E65D8B" w:rsidP="00E65D8B">
      <w:pPr>
        <w:spacing w:after="0" w:line="240" w:lineRule="auto"/>
        <w:ind w:left="709" w:right="709"/>
        <w:jc w:val="both"/>
        <w:rPr>
          <w:rFonts w:ascii="Verdana" w:eastAsia="Arial" w:hAnsi="Verdana" w:cs="Arial"/>
          <w:color w:val="000000"/>
          <w:sz w:val="20"/>
          <w:szCs w:val="20"/>
          <w:lang w:eastAsia="es-ES_tradnl"/>
        </w:rPr>
      </w:pPr>
      <w:r w:rsidRPr="00BA2656">
        <w:rPr>
          <w:rFonts w:ascii="Verdana" w:eastAsia="Arial" w:hAnsi="Verdana" w:cs="Arial"/>
          <w:color w:val="000000"/>
          <w:sz w:val="20"/>
          <w:szCs w:val="20"/>
          <w:lang w:eastAsia="es-ES_tradnl"/>
        </w:rPr>
        <w:t xml:space="preserve">3. La modalidad de selección del contratista y su justificación, incluyendo los fundamentos jurídicos. </w:t>
      </w:r>
    </w:p>
    <w:p w14:paraId="261A4F88" w14:textId="77777777" w:rsidR="00E65D8B" w:rsidRDefault="00E65D8B" w:rsidP="00E65D8B">
      <w:pPr>
        <w:spacing w:after="0" w:line="240" w:lineRule="auto"/>
        <w:ind w:left="709" w:right="709"/>
        <w:jc w:val="both"/>
        <w:rPr>
          <w:rFonts w:ascii="Verdana" w:eastAsia="Arial" w:hAnsi="Verdana" w:cs="Arial"/>
          <w:color w:val="000000"/>
          <w:sz w:val="20"/>
          <w:szCs w:val="20"/>
          <w:lang w:eastAsia="es-ES_tradnl"/>
        </w:rPr>
      </w:pPr>
    </w:p>
    <w:p w14:paraId="5A69ECF8" w14:textId="77777777" w:rsidR="00E65D8B" w:rsidRDefault="00E65D8B" w:rsidP="00E65D8B">
      <w:pPr>
        <w:spacing w:after="0" w:line="240" w:lineRule="auto"/>
        <w:ind w:left="709" w:right="709"/>
        <w:jc w:val="both"/>
        <w:rPr>
          <w:rFonts w:ascii="Verdana" w:eastAsia="Arial" w:hAnsi="Verdana" w:cs="Arial"/>
          <w:color w:val="000000"/>
          <w:sz w:val="20"/>
          <w:szCs w:val="20"/>
          <w:lang w:eastAsia="es-ES_tradnl"/>
        </w:rPr>
      </w:pPr>
      <w:r w:rsidRPr="00BA2656">
        <w:rPr>
          <w:rFonts w:ascii="Verdana" w:eastAsia="Arial" w:hAnsi="Verdana" w:cs="Arial"/>
          <w:color w:val="000000"/>
          <w:sz w:val="20"/>
          <w:szCs w:val="20"/>
          <w:lang w:eastAsia="es-ES_tradnl"/>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2CB4DAC2" w14:textId="77777777" w:rsidR="00E65D8B" w:rsidRPr="00BA2656" w:rsidRDefault="00E65D8B" w:rsidP="00E65D8B">
      <w:pPr>
        <w:spacing w:after="0" w:line="240" w:lineRule="auto"/>
        <w:ind w:left="709" w:right="709"/>
        <w:jc w:val="both"/>
        <w:rPr>
          <w:rFonts w:ascii="Verdana" w:eastAsia="Arial" w:hAnsi="Verdana" w:cs="Arial"/>
          <w:color w:val="000000"/>
          <w:sz w:val="20"/>
          <w:szCs w:val="20"/>
          <w:lang w:eastAsia="es-ES_tradnl"/>
        </w:rPr>
      </w:pPr>
    </w:p>
    <w:p w14:paraId="31391733" w14:textId="77777777" w:rsidR="00E65D8B" w:rsidRDefault="00E65D8B" w:rsidP="00E65D8B">
      <w:pPr>
        <w:spacing w:after="0" w:line="240" w:lineRule="auto"/>
        <w:ind w:left="709" w:right="709"/>
        <w:jc w:val="both"/>
        <w:rPr>
          <w:rFonts w:ascii="Verdana" w:eastAsia="Arial" w:hAnsi="Verdana" w:cs="Arial"/>
          <w:color w:val="000000"/>
          <w:sz w:val="20"/>
          <w:szCs w:val="20"/>
          <w:lang w:eastAsia="es-ES_tradnl"/>
        </w:rPr>
      </w:pPr>
      <w:r w:rsidRPr="00BA2656">
        <w:rPr>
          <w:rFonts w:ascii="Verdana" w:eastAsia="Arial" w:hAnsi="Verdana" w:cs="Arial"/>
          <w:color w:val="000000"/>
          <w:sz w:val="20"/>
          <w:szCs w:val="20"/>
          <w:lang w:eastAsia="es-ES_tradnl"/>
        </w:rPr>
        <w:t xml:space="preserve">5. Los criterios para seleccionar la oferta más favorable. </w:t>
      </w:r>
    </w:p>
    <w:p w14:paraId="763BC761" w14:textId="77777777" w:rsidR="00E65D8B" w:rsidRPr="00BA2656" w:rsidRDefault="00E65D8B" w:rsidP="00E65D8B">
      <w:pPr>
        <w:spacing w:after="0" w:line="240" w:lineRule="auto"/>
        <w:ind w:left="709" w:right="709"/>
        <w:jc w:val="both"/>
        <w:rPr>
          <w:rFonts w:ascii="Verdana" w:eastAsia="Arial" w:hAnsi="Verdana" w:cs="Arial"/>
          <w:color w:val="000000"/>
          <w:sz w:val="20"/>
          <w:szCs w:val="20"/>
          <w:lang w:eastAsia="es-ES_tradnl"/>
        </w:rPr>
      </w:pPr>
    </w:p>
    <w:p w14:paraId="6E5CDBDB" w14:textId="77777777" w:rsidR="00E65D8B" w:rsidRDefault="00E65D8B" w:rsidP="00E65D8B">
      <w:pPr>
        <w:spacing w:after="0" w:line="240" w:lineRule="auto"/>
        <w:ind w:left="709" w:right="709"/>
        <w:jc w:val="both"/>
        <w:rPr>
          <w:rFonts w:ascii="Verdana" w:eastAsia="Arial" w:hAnsi="Verdana" w:cs="Arial"/>
          <w:color w:val="000000"/>
          <w:sz w:val="20"/>
          <w:szCs w:val="20"/>
          <w:lang w:eastAsia="es-ES_tradnl"/>
        </w:rPr>
      </w:pPr>
      <w:r w:rsidRPr="00BA2656">
        <w:rPr>
          <w:rFonts w:ascii="Verdana" w:eastAsia="Arial" w:hAnsi="Verdana" w:cs="Arial"/>
          <w:color w:val="000000"/>
          <w:sz w:val="20"/>
          <w:szCs w:val="20"/>
          <w:lang w:eastAsia="es-ES_tradnl"/>
        </w:rPr>
        <w:t xml:space="preserve">6. El análisis de Riesgo y la forma de mitigarlo. </w:t>
      </w:r>
    </w:p>
    <w:p w14:paraId="7B6B5811" w14:textId="77777777" w:rsidR="00E65D8B" w:rsidRPr="00BA2656" w:rsidRDefault="00E65D8B" w:rsidP="00E65D8B">
      <w:pPr>
        <w:spacing w:after="0" w:line="240" w:lineRule="auto"/>
        <w:ind w:left="709" w:right="709"/>
        <w:jc w:val="both"/>
        <w:rPr>
          <w:rFonts w:ascii="Verdana" w:eastAsia="Arial" w:hAnsi="Verdana" w:cs="Arial"/>
          <w:color w:val="000000"/>
          <w:sz w:val="20"/>
          <w:szCs w:val="20"/>
          <w:lang w:eastAsia="es-ES_tradnl"/>
        </w:rPr>
      </w:pPr>
    </w:p>
    <w:p w14:paraId="601E7996" w14:textId="77777777" w:rsidR="00E65D8B" w:rsidRPr="00BA2656" w:rsidRDefault="00E65D8B" w:rsidP="00E65D8B">
      <w:pPr>
        <w:spacing w:after="0" w:line="240" w:lineRule="auto"/>
        <w:ind w:left="709" w:right="709"/>
        <w:jc w:val="both"/>
        <w:rPr>
          <w:rFonts w:ascii="Verdana" w:eastAsia="Arial" w:hAnsi="Verdana" w:cs="Arial"/>
          <w:color w:val="000000"/>
          <w:sz w:val="20"/>
          <w:szCs w:val="20"/>
          <w:lang w:val="es-ES_tradnl" w:eastAsia="es-ES_tradnl"/>
        </w:rPr>
      </w:pPr>
      <w:r w:rsidRPr="00BA2656">
        <w:rPr>
          <w:rFonts w:ascii="Verdana" w:eastAsia="Arial" w:hAnsi="Verdana" w:cs="Arial"/>
          <w:color w:val="000000"/>
          <w:sz w:val="20"/>
          <w:szCs w:val="20"/>
          <w:lang w:eastAsia="es-ES_tradnl"/>
        </w:rPr>
        <w:t xml:space="preserve">7. Las garantías que la Entidad Estatal contempla exigir en el proceso de contratación”. </w:t>
      </w:r>
    </w:p>
    <w:p w14:paraId="0C2B619D" w14:textId="77777777" w:rsidR="00E65D8B" w:rsidRPr="00AD031F" w:rsidRDefault="00E65D8B" w:rsidP="00E65D8B">
      <w:pPr>
        <w:spacing w:after="0" w:line="276" w:lineRule="auto"/>
        <w:ind w:left="1559" w:right="709"/>
        <w:jc w:val="both"/>
        <w:rPr>
          <w:rFonts w:ascii="Verdana" w:eastAsia="Calibri" w:hAnsi="Verdana" w:cs="Arial"/>
        </w:rPr>
      </w:pPr>
    </w:p>
    <w:p w14:paraId="774C69A5" w14:textId="77777777" w:rsidR="00E65D8B" w:rsidRPr="00967FFD" w:rsidRDefault="00E65D8B" w:rsidP="00E65D8B">
      <w:pPr>
        <w:spacing w:after="120" w:line="276" w:lineRule="auto"/>
        <w:ind w:firstLine="708"/>
        <w:jc w:val="both"/>
        <w:rPr>
          <w:rFonts w:ascii="Verdana" w:eastAsia="Calibri" w:hAnsi="Verdana" w:cs="Arial"/>
          <w:bCs/>
          <w:lang w:val="es-ES_tradnl"/>
        </w:rPr>
      </w:pPr>
      <w:r w:rsidRPr="00967FFD">
        <w:rPr>
          <w:rFonts w:ascii="Verdana" w:eastAsia="Calibri" w:hAnsi="Verdana" w:cs="Arial"/>
        </w:rPr>
        <w:t xml:space="preserve">En consecuencia, los numerales 2 y 4 del artículo 2.2.1.1.2.1.1 del Decreto 1082 de 2015 exigen que en los estudios previos se determine el objeto a contratar con sus especificaciones, y se señale el valor estimado del contrato y la justificación del mismo. </w:t>
      </w:r>
      <w:r w:rsidRPr="00967FFD">
        <w:rPr>
          <w:rFonts w:ascii="Verdana" w:eastAsia="Calibri" w:hAnsi="Verdana" w:cs="Arial"/>
          <w:bCs/>
          <w:lang w:val="es-ES_tradnl"/>
        </w:rPr>
        <w:t xml:space="preserve">Para cumplir este objetivo es necesario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En este sentido, el artículo </w:t>
      </w:r>
      <w:bookmarkStart w:id="3" w:name="_Hlk36117416"/>
      <w:r w:rsidRPr="00967FFD">
        <w:rPr>
          <w:rFonts w:ascii="Verdana" w:eastAsia="Calibri" w:hAnsi="Verdana" w:cs="Arial"/>
          <w:bCs/>
          <w:lang w:val="es-ES_tradnl"/>
        </w:rPr>
        <w:t>2.2.1.1.1.6.1 del Decreto 1082 de 2015</w:t>
      </w:r>
      <w:bookmarkEnd w:id="3"/>
      <w:r w:rsidRPr="00967FFD">
        <w:rPr>
          <w:rFonts w:ascii="Verdana" w:eastAsia="Calibri" w:hAnsi="Verdana" w:cs="Arial"/>
          <w:bCs/>
          <w:lang w:val="es-ES_tradnl"/>
        </w:rPr>
        <w:t xml:space="preserve"> dispone que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497DE630" w14:textId="77777777" w:rsidR="00E65D8B" w:rsidRPr="00967FFD" w:rsidRDefault="00E65D8B" w:rsidP="00E65D8B">
      <w:pPr>
        <w:spacing w:after="120" w:line="276" w:lineRule="auto"/>
        <w:ind w:firstLine="709"/>
        <w:jc w:val="both"/>
        <w:rPr>
          <w:rFonts w:ascii="Verdana" w:eastAsia="Calibri" w:hAnsi="Verdana" w:cs="Arial"/>
          <w:bCs/>
          <w:lang w:val="es-ES"/>
        </w:rPr>
      </w:pPr>
      <w:r w:rsidRPr="00967FFD">
        <w:rPr>
          <w:rFonts w:ascii="Verdana" w:eastAsia="Calibri" w:hAnsi="Verdana" w:cs="Arial"/>
          <w:bCs/>
          <w:lang w:val="es-ES_tradnl"/>
        </w:rPr>
        <w:t>En este sentido, la Agencia Nacional de Contratación Pública - Colombia Compra Eficiente ha desarrollado la “Guía para la Elaboración de Estudios del Sector”, instrumento que sirve de apoyo para entender el mercado del bien, obra o servicio que la Entidad Estatal pretende adquirir y diseñar el proceso de contratación con la información necesaria para alcanzar los objetivos de eficacia, eficiencia, economía, promoción de la competencia y manejo del riesgo</w:t>
      </w:r>
      <w:r w:rsidRPr="00967FFD">
        <w:rPr>
          <w:rFonts w:ascii="Verdana" w:eastAsia="Calibri" w:hAnsi="Verdana" w:cs="Arial"/>
          <w:bCs/>
          <w:vertAlign w:val="superscript"/>
          <w:lang w:val="es-ES_tradnl"/>
        </w:rPr>
        <w:footnoteReference w:id="1"/>
      </w:r>
      <w:r w:rsidRPr="00967FFD">
        <w:rPr>
          <w:rFonts w:ascii="Verdana" w:eastAsia="Calibri" w:hAnsi="Verdana" w:cs="Arial"/>
          <w:bCs/>
          <w:lang w:val="es-ES_tradnl"/>
        </w:rPr>
        <w:t xml:space="preserve">. Esta </w:t>
      </w:r>
      <w:r w:rsidRPr="00967FFD">
        <w:rPr>
          <w:rFonts w:ascii="Verdana" w:eastAsia="Calibri" w:hAnsi="Verdana" w:cs="Arial"/>
          <w:bCs/>
          <w:lang w:val="es-ES_tradnl"/>
        </w:rPr>
        <w:lastRenderedPageBreak/>
        <w:t>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967FFD">
        <w:rPr>
          <w:rFonts w:ascii="Verdana" w:eastAsia="Calibri" w:hAnsi="Verdana" w:cs="Arial"/>
          <w:bCs/>
          <w:lang w:val="es-ES"/>
        </w:rPr>
        <w:t xml:space="preserve"> recomendaciones generales por lo que no debe aplicarse de manera mecánica, pues la profundidad del estudio del sector depende de la complejidad y particularidades de cada Proceso de Contratación. </w:t>
      </w:r>
    </w:p>
    <w:p w14:paraId="7DF49407" w14:textId="77777777" w:rsidR="00E65D8B" w:rsidRPr="00967FFD" w:rsidRDefault="00E65D8B" w:rsidP="00E65D8B">
      <w:pPr>
        <w:spacing w:after="120" w:line="276" w:lineRule="auto"/>
        <w:ind w:firstLine="708"/>
        <w:jc w:val="both"/>
        <w:rPr>
          <w:rFonts w:ascii="Verdana" w:eastAsia="Calibri" w:hAnsi="Verdana" w:cs="Arial"/>
          <w:lang w:val="es-ES"/>
        </w:rPr>
      </w:pPr>
      <w:r w:rsidRPr="00967FFD">
        <w:rPr>
          <w:rFonts w:ascii="Verdana" w:eastAsia="Calibri" w:hAnsi="Verdana" w:cs="Arial"/>
          <w:lang w:val="es-ES"/>
        </w:rPr>
        <w:t xml:space="preserve">Sin embargo, debe aclararse que la obligación de realizar estudios y documentos previos, no es extensible a la contratación directa por urgencia manifiesta que realicen las Entidades Estatales. Esto, por cuanto, al definirse la urgencia manifiesta en el artículo 42 de la Ley 80 de 1993 como circunstancia que exige, con carácter apremiante, preservar la continuidad del servicio, cuando se afecta por situaciones de fuerza mayor, desastres, calamidades o hechos relacionados con los estados de excepción; la norma permite, como se observará, que el proceso de contratación se surta de manera ágil e inmediata y sin la realización de procedimientos previos a la celebración del futuro contrato. </w:t>
      </w:r>
    </w:p>
    <w:p w14:paraId="2ADFD385" w14:textId="77777777" w:rsidR="00E65D8B" w:rsidRDefault="00E65D8B" w:rsidP="00E65D8B">
      <w:pPr>
        <w:spacing w:after="0" w:line="276" w:lineRule="auto"/>
        <w:ind w:firstLine="708"/>
        <w:jc w:val="both"/>
        <w:rPr>
          <w:rFonts w:ascii="Verdana" w:eastAsia="Calibri" w:hAnsi="Verdana" w:cs="Arial"/>
          <w:lang w:val="es-ES"/>
        </w:rPr>
      </w:pPr>
      <w:r>
        <w:rPr>
          <w:rFonts w:ascii="Verdana" w:eastAsia="Calibri" w:hAnsi="Verdana" w:cs="Arial"/>
          <w:lang w:val="es-ES"/>
        </w:rPr>
        <w:t>Para empezar el análisis de la urgencia manifiesta debe señalarse que</w:t>
      </w:r>
      <w:r w:rsidRPr="003D2382">
        <w:rPr>
          <w:rFonts w:ascii="Verdana" w:eastAsia="Calibri" w:hAnsi="Verdana" w:cs="Arial"/>
          <w:lang w:val="es-ES"/>
        </w:rPr>
        <w:t xml:space="preserve">, </w:t>
      </w:r>
      <w:r w:rsidRPr="00941451">
        <w:rPr>
          <w:rFonts w:ascii="Verdana" w:eastAsia="Calibri" w:hAnsi="Verdana" w:cs="Arial"/>
          <w:lang w:val="es-ES"/>
        </w:rPr>
        <w:t xml:space="preserve">Si bien la licitación pública es la regla general </w:t>
      </w:r>
      <w:r>
        <w:rPr>
          <w:rFonts w:ascii="Verdana" w:eastAsia="Calibri" w:hAnsi="Verdana" w:cs="Arial"/>
          <w:lang w:val="es-ES"/>
        </w:rPr>
        <w:t>en los procesos de selección de las</w:t>
      </w:r>
      <w:r w:rsidRPr="00941451">
        <w:rPr>
          <w:rFonts w:ascii="Verdana" w:eastAsia="Calibri" w:hAnsi="Verdana" w:cs="Arial"/>
          <w:lang w:val="es-ES"/>
        </w:rPr>
        <w:t xml:space="preserve"> entidades regidas por el Estatuto General de Contratación de la Administración Pública</w:t>
      </w:r>
      <w:r>
        <w:rPr>
          <w:rFonts w:ascii="Verdana" w:eastAsia="Calibri" w:hAnsi="Verdana" w:cs="Arial"/>
          <w:lang w:val="es-ES"/>
        </w:rPr>
        <w:t xml:space="preserve"> –en adelante EGCAP–</w:t>
      </w:r>
      <w:r w:rsidRPr="00941451">
        <w:rPr>
          <w:rFonts w:ascii="Verdana" w:eastAsia="Calibri" w:hAnsi="Verdana" w:cs="Arial"/>
          <w:lang w:val="es-ES"/>
        </w:rPr>
        <w:t xml:space="preserve">, el artículo 2.4 de la Ley 1150 de 2007 </w:t>
      </w:r>
      <w:r>
        <w:rPr>
          <w:rFonts w:ascii="Verdana" w:eastAsia="Calibri" w:hAnsi="Verdana" w:cs="Arial"/>
          <w:lang w:val="es-ES"/>
        </w:rPr>
        <w:t xml:space="preserve">establece </w:t>
      </w:r>
      <w:r w:rsidRPr="00941451">
        <w:rPr>
          <w:rFonts w:ascii="Verdana" w:eastAsia="Calibri" w:hAnsi="Verdana" w:cs="Arial"/>
          <w:lang w:val="es-ES"/>
        </w:rPr>
        <w:t xml:space="preserve">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 Esta causal debe leerse en concordancia con </w:t>
      </w:r>
      <w:r>
        <w:rPr>
          <w:rFonts w:ascii="Verdana" w:eastAsia="Calibri" w:hAnsi="Verdana" w:cs="Arial"/>
          <w:lang w:val="es-ES"/>
        </w:rPr>
        <w:t xml:space="preserve">el artículo </w:t>
      </w:r>
      <w:r w:rsidRPr="00941451">
        <w:rPr>
          <w:rFonts w:ascii="Verdana" w:eastAsia="Calibri" w:hAnsi="Verdana" w:cs="Arial"/>
          <w:lang w:val="es-ES"/>
        </w:rPr>
        <w:t>42 de la Ley 80 de 1993, que define el concepto y establece el procedimiento para su declaratoria, así como para la celebración de l</w:t>
      </w:r>
      <w:r>
        <w:rPr>
          <w:rFonts w:ascii="Verdana" w:eastAsia="Calibri" w:hAnsi="Verdana" w:cs="Arial"/>
          <w:lang w:val="es-ES"/>
        </w:rPr>
        <w:t>os</w:t>
      </w:r>
      <w:r w:rsidRPr="00941451">
        <w:rPr>
          <w:rFonts w:ascii="Verdana" w:eastAsia="Calibri" w:hAnsi="Verdana" w:cs="Arial"/>
          <w:lang w:val="es-ES"/>
        </w:rPr>
        <w:t xml:space="preserve"> contratos que se derivan de aquella. Esta norma dispone lo siguiente:</w:t>
      </w:r>
    </w:p>
    <w:p w14:paraId="67C25C45" w14:textId="77777777" w:rsidR="00E65D8B" w:rsidRPr="000F4FBF" w:rsidRDefault="00E65D8B" w:rsidP="00E65D8B">
      <w:pPr>
        <w:spacing w:after="0" w:line="276" w:lineRule="auto"/>
        <w:jc w:val="both"/>
        <w:rPr>
          <w:rFonts w:ascii="Verdana" w:eastAsia="Calibri" w:hAnsi="Verdana" w:cs="Arial"/>
          <w:lang w:val="es-ES"/>
        </w:rPr>
      </w:pPr>
    </w:p>
    <w:p w14:paraId="265AC3CC" w14:textId="77777777" w:rsidR="00E65D8B" w:rsidRDefault="00E65D8B" w:rsidP="00E65D8B">
      <w:pPr>
        <w:spacing w:after="0" w:line="240" w:lineRule="auto"/>
        <w:ind w:left="709" w:right="709"/>
        <w:contextualSpacing/>
        <w:jc w:val="both"/>
        <w:rPr>
          <w:rFonts w:ascii="Verdana" w:eastAsia="Calibri" w:hAnsi="Verdana" w:cs="Arial"/>
          <w:sz w:val="20"/>
          <w:szCs w:val="20"/>
          <w:lang w:val="es-ES_tradnl"/>
        </w:rPr>
      </w:pPr>
      <w:r w:rsidRPr="00941451">
        <w:rPr>
          <w:rFonts w:ascii="Verdana" w:eastAsia="Calibri" w:hAnsi="Verdana" w:cs="Arial"/>
          <w:sz w:val="20"/>
          <w:szCs w:val="20"/>
          <w:lang w:val="es-ES_tradnl"/>
        </w:rPr>
        <w:t xml:space="preserve">“Artículo 42. De la urgencia manifiesta. Existe urgencia manifiesta </w:t>
      </w:r>
      <w:bookmarkStart w:id="4" w:name="_Hlk35851184"/>
      <w:r w:rsidRPr="00941451">
        <w:rPr>
          <w:rFonts w:ascii="Verdana" w:eastAsia="Calibri" w:hAnsi="Verdana" w:cs="Arial"/>
          <w:sz w:val="20"/>
          <w:szCs w:val="20"/>
          <w:lang w:val="es-ES_tradnl"/>
        </w:rPr>
        <w:t>cuando la continuidad del servicio exige el suministro de bienes, o la prestación de servicios, o la ejecución de obras en el inmediato futuro</w:t>
      </w:r>
      <w:bookmarkEnd w:id="4"/>
      <w:r w:rsidRPr="00941451">
        <w:rPr>
          <w:rFonts w:ascii="Verdana" w:eastAsia="Calibri" w:hAnsi="Verdana" w:cs="Arial"/>
          <w:sz w:val="20"/>
          <w:szCs w:val="20"/>
          <w:lang w:val="es-ES_tradnl"/>
        </w:rPr>
        <w:t xml:space="preserve">; </w:t>
      </w:r>
      <w:bookmarkStart w:id="5" w:name="_Hlk35857288"/>
      <w:r w:rsidRPr="00941451">
        <w:rPr>
          <w:rFonts w:ascii="Verdana" w:eastAsia="Calibri" w:hAnsi="Verdana" w:cs="Arial"/>
          <w:sz w:val="20"/>
          <w:szCs w:val="20"/>
          <w:lang w:val="es-ES_tradnl"/>
        </w:rPr>
        <w:t xml:space="preserve">cuando se presenten </w:t>
      </w:r>
      <w:bookmarkStart w:id="6" w:name="_Hlk35857424"/>
      <w:r w:rsidRPr="00941451">
        <w:rPr>
          <w:rFonts w:ascii="Verdana" w:eastAsia="Calibri" w:hAnsi="Verdana" w:cs="Arial"/>
          <w:sz w:val="20"/>
          <w:szCs w:val="20"/>
          <w:lang w:val="es-ES_tradnl"/>
        </w:rPr>
        <w:t>situaciones relacionadas con los estados de excepción</w:t>
      </w:r>
      <w:bookmarkEnd w:id="5"/>
      <w:bookmarkEnd w:id="6"/>
      <w:r w:rsidRPr="00941451">
        <w:rPr>
          <w:rFonts w:ascii="Verdana" w:eastAsia="Calibri" w:hAnsi="Verdana" w:cs="Arial"/>
          <w:sz w:val="20"/>
          <w:szCs w:val="20"/>
          <w:lang w:val="es-ES_tradnl"/>
        </w:rPr>
        <w:t xml:space="preserve">; </w:t>
      </w:r>
      <w:bookmarkStart w:id="7" w:name="_Hlk35865550"/>
      <w:r w:rsidRPr="00941451">
        <w:rPr>
          <w:rFonts w:ascii="Verdana" w:eastAsia="Calibri" w:hAnsi="Verdana" w:cs="Arial"/>
          <w:sz w:val="20"/>
          <w:szCs w:val="20"/>
          <w:lang w:val="es-ES_tradnl"/>
        </w:rPr>
        <w:t xml:space="preserve">cuando se trate de conjurar situaciones excepcionales relacionadas con hechos de calamidad o constitutivos de fuerza mayor o desastre que demanden actuaciones inmediatas </w:t>
      </w:r>
      <w:bookmarkEnd w:id="7"/>
      <w:r w:rsidRPr="00941451">
        <w:rPr>
          <w:rFonts w:ascii="Verdana" w:eastAsia="Calibri" w:hAnsi="Verdana" w:cs="Arial"/>
          <w:sz w:val="20"/>
          <w:szCs w:val="20"/>
          <w:lang w:val="es-ES_tradnl"/>
        </w:rPr>
        <w:t xml:space="preserve">y, en general, cuando se trate de situaciones </w:t>
      </w:r>
      <w:r w:rsidRPr="00941451">
        <w:rPr>
          <w:rFonts w:ascii="Verdana" w:eastAsia="Calibri" w:hAnsi="Verdana" w:cs="Arial"/>
          <w:sz w:val="20"/>
          <w:szCs w:val="20"/>
          <w:lang w:val="es-ES_tradnl"/>
        </w:rPr>
        <w:lastRenderedPageBreak/>
        <w:t>similares que imposibiliten acudir a los procedimientos de selección o concurso públicos.</w:t>
      </w:r>
    </w:p>
    <w:p w14:paraId="03161ED6" w14:textId="77777777" w:rsidR="00E65D8B" w:rsidRPr="00941451" w:rsidRDefault="00E65D8B" w:rsidP="00E65D8B">
      <w:pPr>
        <w:spacing w:after="0" w:line="240" w:lineRule="auto"/>
        <w:ind w:left="709" w:right="709"/>
        <w:contextualSpacing/>
        <w:jc w:val="both"/>
        <w:rPr>
          <w:rFonts w:ascii="Verdana" w:eastAsia="Calibri" w:hAnsi="Verdana" w:cs="Arial"/>
          <w:sz w:val="20"/>
          <w:szCs w:val="20"/>
          <w:lang w:val="es-ES_tradnl"/>
        </w:rPr>
      </w:pPr>
    </w:p>
    <w:p w14:paraId="02A9B44A" w14:textId="77777777" w:rsidR="00E65D8B" w:rsidRDefault="00E65D8B" w:rsidP="00E65D8B">
      <w:pPr>
        <w:spacing w:after="0" w:line="240" w:lineRule="auto"/>
        <w:ind w:left="709" w:right="709"/>
        <w:contextualSpacing/>
        <w:jc w:val="both"/>
        <w:rPr>
          <w:rFonts w:ascii="Verdana" w:eastAsia="Calibri" w:hAnsi="Verdana" w:cs="Arial"/>
          <w:sz w:val="20"/>
          <w:szCs w:val="20"/>
          <w:lang w:val="es-ES_tradnl"/>
        </w:rPr>
      </w:pPr>
      <w:r w:rsidRPr="00941451">
        <w:rPr>
          <w:rFonts w:ascii="Verdana" w:eastAsia="Calibri" w:hAnsi="Verdana" w:cs="Arial"/>
          <w:sz w:val="20"/>
          <w:szCs w:val="20"/>
          <w:lang w:val="es-ES_tradnl"/>
        </w:rPr>
        <w:t>La urgencia manifiesta se declarará mediante acto administrativo motivado.</w:t>
      </w:r>
    </w:p>
    <w:p w14:paraId="4376255F" w14:textId="77777777" w:rsidR="00E65D8B" w:rsidRPr="00941451" w:rsidRDefault="00E65D8B" w:rsidP="00E65D8B">
      <w:pPr>
        <w:spacing w:after="0" w:line="240" w:lineRule="auto"/>
        <w:ind w:left="709" w:right="709"/>
        <w:contextualSpacing/>
        <w:jc w:val="both"/>
        <w:rPr>
          <w:rFonts w:ascii="Verdana" w:eastAsia="Calibri" w:hAnsi="Verdana" w:cs="Arial"/>
          <w:sz w:val="20"/>
          <w:szCs w:val="20"/>
          <w:lang w:val="es-ES_tradnl"/>
        </w:rPr>
      </w:pPr>
    </w:p>
    <w:p w14:paraId="2684779D" w14:textId="77777777" w:rsidR="00E65D8B" w:rsidRPr="00941451" w:rsidRDefault="00E65D8B" w:rsidP="00E65D8B">
      <w:pPr>
        <w:spacing w:after="0" w:line="240" w:lineRule="auto"/>
        <w:ind w:left="709" w:right="709"/>
        <w:contextualSpacing/>
        <w:jc w:val="both"/>
        <w:rPr>
          <w:rFonts w:ascii="Verdana" w:eastAsia="Calibri" w:hAnsi="Verdana" w:cs="Arial"/>
          <w:sz w:val="20"/>
          <w:szCs w:val="20"/>
          <w:lang w:val="es-ES"/>
        </w:rPr>
      </w:pPr>
      <w:r w:rsidRPr="00941451">
        <w:rPr>
          <w:rFonts w:ascii="Verdana" w:eastAsia="Calibri" w:hAnsi="Verdana" w:cs="Arial"/>
          <w:sz w:val="20"/>
          <w:szCs w:val="20"/>
          <w:lang w:val="es-ES"/>
        </w:rPr>
        <w:t>Parágrafo. Con el fin de atender las necesidades y los gastos propios de la urgencia manifiesta, se podrán hacer los traslados presupuestales internos que se requieran dentro del presupuesto del organismo o entidad estatal correspondiente”.</w:t>
      </w:r>
    </w:p>
    <w:p w14:paraId="42ED8685" w14:textId="77777777" w:rsidR="00E65D8B" w:rsidRPr="00941451" w:rsidRDefault="00E65D8B" w:rsidP="00E65D8B">
      <w:pPr>
        <w:spacing w:after="0" w:line="276" w:lineRule="auto"/>
        <w:ind w:left="709" w:right="709"/>
        <w:jc w:val="both"/>
        <w:rPr>
          <w:rFonts w:ascii="Verdana" w:eastAsia="Calibri" w:hAnsi="Verdana" w:cs="Arial"/>
          <w:lang w:val="es-ES_tradnl"/>
        </w:rPr>
      </w:pPr>
    </w:p>
    <w:p w14:paraId="2D4E76E8" w14:textId="77777777" w:rsidR="00E65D8B" w:rsidRDefault="00E65D8B" w:rsidP="00E65D8B">
      <w:pPr>
        <w:spacing w:after="120" w:line="276" w:lineRule="auto"/>
        <w:ind w:firstLine="708"/>
        <w:jc w:val="both"/>
        <w:rPr>
          <w:rFonts w:ascii="Verdana" w:eastAsia="Calibri" w:hAnsi="Verdana" w:cs="Arial"/>
          <w:sz w:val="21"/>
          <w:szCs w:val="21"/>
          <w:lang w:val="es-ES_tradnl"/>
        </w:rPr>
      </w:pPr>
      <w:r w:rsidRPr="00941451">
        <w:rPr>
          <w:rFonts w:ascii="Verdana" w:eastAsia="Calibri" w:hAnsi="Verdana" w:cs="Arial"/>
          <w:lang w:val="es-ES_tradnl"/>
        </w:rPr>
        <w:t xml:space="preserve">Esta causal tiene como antecedente el derogado artículo 43.16 del Decreto-Ley 222 de 1983, que autorizaba la contratación directa “Cuando hubiere urgencia evidente calificada por el Consejo de </w:t>
      </w:r>
      <w:proofErr w:type="gramStart"/>
      <w:r w:rsidRPr="00941451">
        <w:rPr>
          <w:rFonts w:ascii="Verdana" w:eastAsia="Calibri" w:hAnsi="Verdana" w:cs="Arial"/>
          <w:lang w:val="es-ES_tradnl"/>
        </w:rPr>
        <w:t>Ministros</w:t>
      </w:r>
      <w:proofErr w:type="gramEnd"/>
      <w:r w:rsidRPr="00941451">
        <w:rPr>
          <w:rFonts w:ascii="Verdana" w:eastAsia="Calibri" w:hAnsi="Verdana" w:cs="Arial"/>
          <w:lang w:val="es-ES_tradnl"/>
        </w:rPr>
        <w:t>, que no permita el tiempo necesario para la licitación o concurso”, entendiendo por tal “[…]</w:t>
      </w:r>
      <w:r w:rsidRPr="00941451">
        <w:rPr>
          <w:rFonts w:ascii="Verdana" w:eastAsia="Calibri" w:hAnsi="Verdana" w:cs="Times New Roman"/>
        </w:rPr>
        <w:t xml:space="preserve"> </w:t>
      </w:r>
      <w:r w:rsidRPr="00941451">
        <w:rPr>
          <w:rFonts w:ascii="Verdana" w:eastAsia="Calibri" w:hAnsi="Verdana" w:cs="Arial"/>
          <w:lang w:val="es-ES_tradnl"/>
        </w:rPr>
        <w:t>necesidades actuales o previsibles de orden público, seguridad nacional o calamidad pública”</w:t>
      </w:r>
      <w:r>
        <w:rPr>
          <w:rFonts w:ascii="Verdana" w:eastAsia="Calibri" w:hAnsi="Verdana" w:cs="Arial"/>
          <w:lang w:val="es-ES_tradnl"/>
        </w:rPr>
        <w:t>. L</w:t>
      </w:r>
      <w:r w:rsidRPr="00941451">
        <w:rPr>
          <w:rFonts w:ascii="Verdana" w:eastAsia="Calibri" w:hAnsi="Verdana" w:cs="Arial"/>
          <w:lang w:val="es-ES_tradnl"/>
        </w:rPr>
        <w:t>os controles para su utilización eran tan evidentes que</w:t>
      </w:r>
      <w:r>
        <w:rPr>
          <w:rFonts w:ascii="Verdana" w:eastAsia="Calibri" w:hAnsi="Verdana" w:cs="Arial"/>
          <w:lang w:val="es-ES_tradnl"/>
        </w:rPr>
        <w:t>,</w:t>
      </w:r>
      <w:r w:rsidRPr="00941451">
        <w:rPr>
          <w:rFonts w:ascii="Verdana" w:eastAsia="Calibri" w:hAnsi="Verdana" w:cs="Arial"/>
          <w:lang w:val="es-ES_tradnl"/>
        </w:rPr>
        <w:t xml:space="preserve"> al declarase por un órgano distinto, el juez debía declarar la nulidad absoluta del contrato por falta de competencia</w:t>
      </w:r>
      <w:r w:rsidRPr="00941451">
        <w:rPr>
          <w:rFonts w:ascii="Verdana" w:eastAsia="Calibri" w:hAnsi="Verdana" w:cs="Arial"/>
          <w:vertAlign w:val="superscript"/>
          <w:lang w:val="es-ES_tradnl"/>
        </w:rPr>
        <w:footnoteReference w:id="2"/>
      </w:r>
      <w:r w:rsidRPr="00941451">
        <w:rPr>
          <w:rFonts w:ascii="Verdana" w:eastAsia="Calibri" w:hAnsi="Verdana" w:cs="Arial"/>
          <w:lang w:val="es-ES_tradnl"/>
        </w:rPr>
        <w:t>. En contraste, el</w:t>
      </w:r>
      <w:r>
        <w:rPr>
          <w:rFonts w:ascii="Verdana" w:eastAsia="Calibri" w:hAnsi="Verdana" w:cs="Arial"/>
        </w:rPr>
        <w:t xml:space="preserve"> EGCAP</w:t>
      </w:r>
      <w:r w:rsidRPr="00941451">
        <w:rPr>
          <w:rFonts w:ascii="Verdana" w:eastAsia="Calibri" w:hAnsi="Verdana" w:cs="Arial"/>
          <w:lang w:val="es-ES_tradnl"/>
        </w:rPr>
        <w:t xml:space="preserve">, interpretando de manera más realista las necesidades de la Administración, autoriza al jefe o representante legal de la </w:t>
      </w:r>
      <w:r>
        <w:rPr>
          <w:rFonts w:ascii="Verdana" w:eastAsia="Calibri" w:hAnsi="Verdana" w:cs="Arial"/>
          <w:lang w:val="es-ES_tradnl"/>
        </w:rPr>
        <w:t>E</w:t>
      </w:r>
      <w:r w:rsidRPr="00941451">
        <w:rPr>
          <w:rFonts w:ascii="Verdana" w:eastAsia="Calibri" w:hAnsi="Verdana" w:cs="Arial"/>
          <w:lang w:val="es-ES_tradnl"/>
        </w:rPr>
        <w:t xml:space="preserve">ntidad </w:t>
      </w:r>
      <w:r>
        <w:rPr>
          <w:rFonts w:ascii="Verdana" w:eastAsia="Calibri" w:hAnsi="Verdana" w:cs="Arial"/>
          <w:lang w:val="es-ES_tradnl"/>
        </w:rPr>
        <w:t>E</w:t>
      </w:r>
      <w:r w:rsidRPr="00941451">
        <w:rPr>
          <w:rFonts w:ascii="Verdana" w:eastAsia="Calibri" w:hAnsi="Verdana" w:cs="Arial"/>
          <w:lang w:val="es-ES_tradnl"/>
        </w:rPr>
        <w:t xml:space="preserve">statal para declarar la urgencia, siempre que tenga el carácter de </w:t>
      </w:r>
      <w:r w:rsidRPr="00941451">
        <w:rPr>
          <w:rFonts w:ascii="Verdana" w:eastAsia="Calibri" w:hAnsi="Verdana" w:cs="Arial"/>
          <w:i/>
          <w:iCs/>
          <w:lang w:val="es-ES_tradnl"/>
        </w:rPr>
        <w:t>manifiesta</w:t>
      </w:r>
      <w:r w:rsidRPr="00941451">
        <w:rPr>
          <w:rFonts w:ascii="Verdana" w:eastAsia="Calibri" w:hAnsi="Verdana" w:cs="Arial"/>
          <w:sz w:val="21"/>
          <w:szCs w:val="21"/>
          <w:vertAlign w:val="superscript"/>
          <w:lang w:val="es-ES_tradnl"/>
        </w:rPr>
        <w:footnoteReference w:id="3"/>
      </w:r>
      <w:r>
        <w:rPr>
          <w:rFonts w:ascii="Verdana" w:eastAsia="Calibri" w:hAnsi="Verdana" w:cs="Arial"/>
          <w:sz w:val="21"/>
          <w:szCs w:val="21"/>
          <w:lang w:val="es-ES_tradnl"/>
        </w:rPr>
        <w:t>.</w:t>
      </w:r>
    </w:p>
    <w:p w14:paraId="36346CE9" w14:textId="77777777" w:rsidR="00E65D8B" w:rsidRPr="00F25911" w:rsidRDefault="00E65D8B" w:rsidP="00E65D8B">
      <w:pPr>
        <w:spacing w:after="120" w:line="276" w:lineRule="auto"/>
        <w:ind w:firstLine="708"/>
        <w:jc w:val="both"/>
        <w:rPr>
          <w:rFonts w:ascii="Verdana" w:eastAsia="Calibri" w:hAnsi="Verdana" w:cs="Arial"/>
          <w:sz w:val="21"/>
          <w:szCs w:val="21"/>
          <w:lang w:val="es-ES_tradnl"/>
        </w:rPr>
      </w:pPr>
      <w:r w:rsidRPr="00941451">
        <w:rPr>
          <w:rFonts w:ascii="Verdana" w:eastAsia="Calibri" w:hAnsi="Verdana" w:cs="Arial"/>
          <w:lang w:val="es-ES"/>
        </w:rPr>
        <w:t xml:space="preserve">De esta manera, el artículo 42 de la Ley 80 de 1993, define la urgencia manifiesta como una circunstancia que exige, con carácter apremiante, preservar la continuidad del servicio, cuando se afecta por situaciones de fuerza mayor, desastres, calamidades o hechos relacionados con los estados de excepción. Por lo que, para la doctrina, las situaciones de urgencia manifiesta deben ser concretas, inmediatas, objetivas y probadas, pues deberá tratarse de </w:t>
      </w:r>
      <w:r w:rsidRPr="00941451">
        <w:rPr>
          <w:rFonts w:ascii="Verdana" w:eastAsia="Calibri" w:hAnsi="Verdana" w:cs="Arial"/>
          <w:lang w:val="es-ES"/>
        </w:rPr>
        <w:lastRenderedPageBreak/>
        <w:t>circunstancias de hecho actuales, debidamente acreditadas y fundadas por estudios técnicos, verificadas por la autoridad competente</w:t>
      </w:r>
      <w:r w:rsidRPr="00941451">
        <w:rPr>
          <w:rFonts w:ascii="Verdana" w:eastAsia="Calibri" w:hAnsi="Verdana" w:cs="Arial"/>
          <w:vertAlign w:val="superscript"/>
          <w:lang w:val="es-ES"/>
        </w:rPr>
        <w:footnoteReference w:id="4"/>
      </w:r>
      <w:r w:rsidRPr="00941451">
        <w:rPr>
          <w:rFonts w:ascii="Verdana" w:eastAsia="Calibri" w:hAnsi="Verdana" w:cs="Arial"/>
          <w:lang w:val="es-ES"/>
        </w:rPr>
        <w:t>.</w:t>
      </w:r>
    </w:p>
    <w:p w14:paraId="1442FD31" w14:textId="77777777" w:rsidR="00E65D8B" w:rsidRPr="00AD031F" w:rsidRDefault="00E65D8B" w:rsidP="00E65D8B">
      <w:pPr>
        <w:spacing w:after="120" w:line="276" w:lineRule="auto"/>
        <w:ind w:firstLine="709"/>
        <w:jc w:val="both"/>
        <w:rPr>
          <w:rFonts w:ascii="Verdana" w:eastAsia="Calibri" w:hAnsi="Verdana" w:cs="Arial"/>
          <w:lang w:val="es-ES_tradnl"/>
        </w:rPr>
      </w:pPr>
      <w:r w:rsidRPr="00941451">
        <w:rPr>
          <w:rFonts w:ascii="Verdana" w:eastAsia="Calibri" w:hAnsi="Verdana" w:cs="Arial"/>
          <w:lang w:val="es-ES"/>
        </w:rPr>
        <w:t xml:space="preserve">En dichos casos excepcionales, que comprometen fines superiores de interés colectivo, con mayor razón son de obligatoria aplicación los objetivos de la contratación administrativa, previstos en el artículo 3 de la Ley 80 de 1993. Esto, en la medida que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w:t>
      </w:r>
      <w:r w:rsidRPr="00941451">
        <w:rPr>
          <w:rFonts w:ascii="Verdana" w:eastAsia="Calibri" w:hAnsi="Verdana" w:cs="Arial"/>
          <w:lang w:val="es-ES_tradnl"/>
        </w:rPr>
        <w:t>adicional a esta causal de contratación directa</w:t>
      </w:r>
      <w:r w:rsidRPr="00D72313">
        <w:rPr>
          <w:rFonts w:ascii="Calibri" w:eastAsia="Calibri" w:hAnsi="Calibri" w:cs="Times New Roman"/>
          <w:vertAlign w:val="superscript"/>
        </w:rPr>
        <w:footnoteReference w:id="5"/>
      </w:r>
      <w:r w:rsidRPr="00941451">
        <w:rPr>
          <w:rFonts w:ascii="Verdana" w:eastAsia="Calibri" w:hAnsi="Verdana" w:cs="Arial"/>
          <w:lang w:val="es-ES_tradnl"/>
        </w:rPr>
        <w:t>.</w:t>
      </w:r>
    </w:p>
    <w:p w14:paraId="68F7EC68" w14:textId="77777777" w:rsidR="00E65D8B" w:rsidRPr="003D2382" w:rsidRDefault="00E65D8B" w:rsidP="00E65D8B">
      <w:pPr>
        <w:spacing w:after="120" w:line="276" w:lineRule="auto"/>
        <w:ind w:firstLine="709"/>
        <w:jc w:val="both"/>
        <w:rPr>
          <w:rFonts w:ascii="Verdana" w:eastAsia="Calibri" w:hAnsi="Verdana" w:cs="Arial"/>
          <w:lang w:val="es-ES"/>
        </w:rPr>
      </w:pPr>
      <w:r>
        <w:rPr>
          <w:rFonts w:ascii="Verdana" w:eastAsia="Calibri" w:hAnsi="Verdana" w:cs="Arial"/>
          <w:lang w:val="es-ES"/>
        </w:rPr>
        <w:t>E</w:t>
      </w:r>
      <w:r w:rsidRPr="003D2382">
        <w:rPr>
          <w:rFonts w:ascii="Verdana" w:eastAsia="Calibri" w:hAnsi="Verdana" w:cs="Arial"/>
          <w:lang w:val="es-ES"/>
        </w:rPr>
        <w:t xml:space="preserve">l precitado artículo 42 </w:t>
      </w:r>
      <w:r w:rsidRPr="003D2382">
        <w:rPr>
          <w:rFonts w:ascii="Verdana" w:eastAsia="Calibri" w:hAnsi="Verdana" w:cs="Arial"/>
          <w:i/>
          <w:lang w:val="es-ES"/>
        </w:rPr>
        <w:t>ibidem</w:t>
      </w:r>
      <w:r w:rsidRPr="003D2382">
        <w:rPr>
          <w:rFonts w:ascii="Verdana" w:eastAsia="Calibri" w:hAnsi="Verdana" w:cs="Arial"/>
          <w:lang w:val="es-ES"/>
        </w:rPr>
        <w:t xml:space="preserve"> contempla cuatro (4) circunstancias o hechos que configuran la urgencia manifiesta, si así lo declara la entidad: i) cuando la continuidad del servicio exige el suministro de bienes, o la prestación de servicios, o la ejecución de obras en el inmediato futuro; </w:t>
      </w:r>
      <w:proofErr w:type="spellStart"/>
      <w:r w:rsidRPr="003D2382">
        <w:rPr>
          <w:rFonts w:ascii="Verdana" w:eastAsia="Calibri" w:hAnsi="Verdana" w:cs="Arial"/>
          <w:lang w:val="es-ES"/>
        </w:rPr>
        <w:t>ii</w:t>
      </w:r>
      <w:proofErr w:type="spellEnd"/>
      <w:r w:rsidRPr="003D2382">
        <w:rPr>
          <w:rFonts w:ascii="Verdana" w:eastAsia="Calibri" w:hAnsi="Verdana" w:cs="Arial"/>
          <w:lang w:val="es-ES"/>
        </w:rPr>
        <w:t xml:space="preserve">) cuando se presenten situaciones relacionadas con los estados de excepción; </w:t>
      </w:r>
      <w:proofErr w:type="spellStart"/>
      <w:r w:rsidRPr="003D2382">
        <w:rPr>
          <w:rFonts w:ascii="Verdana" w:eastAsia="Calibri" w:hAnsi="Verdana" w:cs="Arial"/>
          <w:lang w:val="es-ES"/>
        </w:rPr>
        <w:t>iii</w:t>
      </w:r>
      <w:proofErr w:type="spellEnd"/>
      <w:r w:rsidRPr="003D2382">
        <w:rPr>
          <w:rFonts w:ascii="Verdana" w:eastAsia="Calibri" w:hAnsi="Verdana" w:cs="Arial"/>
          <w:lang w:val="es-ES"/>
        </w:rPr>
        <w:t xml:space="preserve">) cuando se trate de conjurar situaciones excepcionales relacionadas con hechos de calamidad o constitutivos de fuerza mayor o desastre que demanden actuaciones inmediatas; y </w:t>
      </w:r>
      <w:proofErr w:type="spellStart"/>
      <w:r w:rsidRPr="003D2382">
        <w:rPr>
          <w:rFonts w:ascii="Verdana" w:eastAsia="Calibri" w:hAnsi="Verdana" w:cs="Arial"/>
          <w:lang w:val="es-ES"/>
        </w:rPr>
        <w:t>iv</w:t>
      </w:r>
      <w:proofErr w:type="spellEnd"/>
      <w:r w:rsidRPr="003D2382">
        <w:rPr>
          <w:rFonts w:ascii="Verdana" w:eastAsia="Calibri" w:hAnsi="Verdana" w:cs="Arial"/>
          <w:lang w:val="es-ES"/>
        </w:rPr>
        <w:t>) en general, cuando se trate de situaciones similares que imposibiliten acudir a los procedimientos de selección o concurso públicos.</w:t>
      </w:r>
    </w:p>
    <w:p w14:paraId="0A35470C" w14:textId="77777777" w:rsidR="00E65D8B" w:rsidRPr="00967FFD" w:rsidRDefault="00E65D8B" w:rsidP="00E65D8B">
      <w:pPr>
        <w:spacing w:after="120" w:line="276" w:lineRule="auto"/>
        <w:ind w:firstLine="708"/>
        <w:jc w:val="both"/>
        <w:rPr>
          <w:rFonts w:ascii="Verdana" w:eastAsia="Calibri" w:hAnsi="Verdana" w:cs="Arial"/>
          <w:lang w:val="es-ES"/>
        </w:rPr>
      </w:pPr>
      <w:r w:rsidRPr="00FD3FDD">
        <w:rPr>
          <w:rFonts w:ascii="Verdana" w:eastAsia="Calibri" w:hAnsi="Verdana" w:cs="Arial"/>
          <w:lang w:val="es-ES"/>
        </w:rPr>
        <w:t xml:space="preserve">La </w:t>
      </w:r>
      <w:r w:rsidRPr="00FD3FDD">
        <w:rPr>
          <w:rFonts w:ascii="Verdana" w:eastAsia="Calibri" w:hAnsi="Verdana" w:cs="Arial"/>
          <w:i/>
          <w:iCs/>
          <w:lang w:val="es-ES"/>
        </w:rPr>
        <w:t>primera circunstancia</w:t>
      </w:r>
      <w:r w:rsidRPr="00FD3FDD">
        <w:rPr>
          <w:rFonts w:ascii="Verdana" w:eastAsia="Calibri" w:hAnsi="Verdana" w:cs="Arial"/>
          <w:lang w:val="es-ES"/>
        </w:rPr>
        <w:t xml:space="preserve"> se configura cuando la continuidad del servicio exige el suministro de bienes, la prestación de servicios, o la ejecución de obras en el inmediato futuro. En este caso, se busca evitar la paralización de un servicio, pues están destinados a satisfacer necesidades colectivas en forma general, permanente y continua. En este contexto, no puede olvida</w:t>
      </w:r>
      <w:r w:rsidRPr="00967FFD">
        <w:rPr>
          <w:rFonts w:ascii="Verdana" w:eastAsia="Calibri" w:hAnsi="Verdana" w:cs="Arial"/>
          <w:lang w:val="es-ES"/>
        </w:rPr>
        <w:t xml:space="preserve">rse que el servicio público responde, por definición, a una necesidad de interés general, razón por la cual no podría ser discontinuo, pues la interrupción ocasiona problemas graves para la vida colectiva. </w:t>
      </w:r>
    </w:p>
    <w:p w14:paraId="38F3551A" w14:textId="77777777" w:rsidR="00E65D8B" w:rsidRPr="00967FFD" w:rsidRDefault="00E65D8B" w:rsidP="00E65D8B">
      <w:pPr>
        <w:spacing w:after="120" w:line="276" w:lineRule="auto"/>
        <w:ind w:firstLine="708"/>
        <w:jc w:val="both"/>
        <w:rPr>
          <w:rFonts w:ascii="Verdana" w:eastAsia="Calibri" w:hAnsi="Verdana" w:cs="Arial"/>
          <w:lang w:val="es-ES_tradnl"/>
        </w:rPr>
      </w:pPr>
      <w:r w:rsidRPr="00967FFD">
        <w:rPr>
          <w:rFonts w:ascii="Verdana" w:eastAsia="Calibri" w:hAnsi="Verdana" w:cs="Arial"/>
          <w:lang w:val="es-ES_tradnl"/>
        </w:rPr>
        <w:t xml:space="preserve">En esta causal es secundaria la previsibilidad de la situación, porque –si así fuera– se llegaría al absurdo de permitir que efectivamente se paralizara el servicio, sacrificando el interés general por causa de la inactividad de los </w:t>
      </w:r>
      <w:r w:rsidRPr="00967FFD">
        <w:rPr>
          <w:rFonts w:ascii="Verdana" w:eastAsia="Calibri" w:hAnsi="Verdana" w:cs="Arial"/>
          <w:lang w:val="es-ES_tradnl"/>
        </w:rPr>
        <w:lastRenderedPageBreak/>
        <w:t>servidores</w:t>
      </w:r>
      <w:r w:rsidRPr="00967FFD">
        <w:rPr>
          <w:rFonts w:ascii="Verdana" w:eastAsia="Calibri" w:hAnsi="Verdana" w:cs="Arial"/>
          <w:vertAlign w:val="superscript"/>
          <w:lang w:val="es-ES_tradnl"/>
        </w:rPr>
        <w:footnoteReference w:id="6"/>
      </w:r>
      <w:r w:rsidRPr="00967FFD">
        <w:rPr>
          <w:rFonts w:ascii="Verdana" w:eastAsia="Calibri" w:hAnsi="Verdana" w:cs="Arial"/>
          <w:lang w:val="es-ES_tradnl"/>
        </w:rPr>
        <w:t>. En consecuencia, “[…] 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967FFD">
        <w:rPr>
          <w:rFonts w:ascii="Verdana" w:eastAsia="Calibri" w:hAnsi="Verdana" w:cs="Arial"/>
          <w:vertAlign w:val="superscript"/>
          <w:lang w:val="es-ES_tradnl"/>
        </w:rPr>
        <w:footnoteReference w:id="7"/>
      </w:r>
      <w:r w:rsidRPr="00967FFD">
        <w:rPr>
          <w:rFonts w:ascii="Verdana" w:eastAsia="Calibri" w:hAnsi="Verdana" w:cs="Arial"/>
          <w:lang w:val="es-ES_tradnl"/>
        </w:rPr>
        <w:t xml:space="preserve">. </w:t>
      </w:r>
    </w:p>
    <w:p w14:paraId="6A1493B2" w14:textId="77777777" w:rsidR="00E65D8B" w:rsidRPr="00967FFD" w:rsidRDefault="00E65D8B" w:rsidP="00E65D8B">
      <w:pPr>
        <w:spacing w:after="120" w:line="276" w:lineRule="auto"/>
        <w:ind w:firstLine="708"/>
        <w:jc w:val="both"/>
        <w:rPr>
          <w:rFonts w:ascii="Verdana" w:eastAsia="Calibri" w:hAnsi="Verdana" w:cs="Arial"/>
          <w:lang w:val="es-ES_tradnl"/>
        </w:rPr>
      </w:pPr>
      <w:r w:rsidRPr="00FD3FDD">
        <w:rPr>
          <w:rFonts w:ascii="Verdana" w:eastAsia="Calibri" w:hAnsi="Verdana" w:cs="Arial"/>
          <w:lang w:val="es-ES_tradnl"/>
        </w:rPr>
        <w:t xml:space="preserve">La </w:t>
      </w:r>
      <w:r w:rsidRPr="00FD3FDD">
        <w:rPr>
          <w:rFonts w:ascii="Verdana" w:eastAsia="Calibri" w:hAnsi="Verdana" w:cs="Arial"/>
          <w:i/>
          <w:iCs/>
          <w:lang w:val="es-ES_tradnl"/>
        </w:rPr>
        <w:t>segunda circunstancia</w:t>
      </w:r>
      <w:r w:rsidRPr="00FD3FDD">
        <w:rPr>
          <w:rFonts w:ascii="Verdana" w:eastAsia="Calibri" w:hAnsi="Verdana" w:cs="Arial"/>
          <w:lang w:val="es-ES_tradnl"/>
        </w:rPr>
        <w:t xml:space="preserve"> se presenta en las situaciones relacionadas con los estados de excepción, siendo necesaria la remisión a los artículos 212, 213 y 215 superiores. Estas normas se refieren a la declaración de los estados de guerra exterior, conmoción interior y emergencia </w:t>
      </w:r>
      <w:r w:rsidRPr="00967FFD">
        <w:rPr>
          <w:rFonts w:ascii="Verdana" w:eastAsia="Calibri" w:hAnsi="Verdana" w:cs="Arial"/>
          <w:lang w:val="es-ES_tradnl"/>
        </w:rPr>
        <w:t>económica, social y ecológica. De hecho, el uso indiscriminado, excesivo e incontrolado del estado de sitio, durante la vigencia de la Constitución Nacional de 1886, llevó a que los supuestos fácticos, las facultades y los controles adscritos a cada uno de ellos fueran específicamente regulados tanto en la Constitución Política como en la Ley Estatutaria 137 de 1994</w:t>
      </w:r>
      <w:r w:rsidRPr="00967FFD">
        <w:rPr>
          <w:rFonts w:ascii="Verdana" w:eastAsia="Calibri" w:hAnsi="Verdana" w:cs="Arial"/>
          <w:vertAlign w:val="superscript"/>
          <w:lang w:val="es-ES_tradnl"/>
        </w:rPr>
        <w:footnoteReference w:id="8"/>
      </w:r>
      <w:r w:rsidRPr="00967FFD">
        <w:rPr>
          <w:rFonts w:ascii="Verdana" w:eastAsia="Calibri" w:hAnsi="Verdana" w:cs="Arial"/>
          <w:lang w:val="es-ES_tradnl"/>
        </w:rPr>
        <w:t xml:space="preserve">. </w:t>
      </w:r>
    </w:p>
    <w:p w14:paraId="3272F7EB" w14:textId="77777777" w:rsidR="00E65D8B" w:rsidRPr="00967FFD" w:rsidRDefault="00E65D8B" w:rsidP="00E65D8B">
      <w:pPr>
        <w:spacing w:after="120" w:line="276" w:lineRule="auto"/>
        <w:ind w:firstLine="708"/>
        <w:jc w:val="both"/>
        <w:rPr>
          <w:rFonts w:ascii="Verdana" w:eastAsia="Calibri" w:hAnsi="Verdana" w:cs="Arial"/>
          <w:lang w:val="es-ES"/>
        </w:rPr>
      </w:pPr>
      <w:r w:rsidRPr="00FD3FDD">
        <w:rPr>
          <w:rFonts w:ascii="Verdana" w:eastAsia="Calibri" w:hAnsi="Verdana" w:cs="Arial"/>
          <w:lang w:val="es-ES"/>
        </w:rPr>
        <w:t>De conformidad con las normas citadas, los estados de excepción se declaran en caso de situación de anormalidad, y están acompañados de fac</w:t>
      </w:r>
      <w:r w:rsidRPr="00967FFD">
        <w:rPr>
          <w:rFonts w:ascii="Verdana" w:eastAsia="Calibri" w:hAnsi="Verdana" w:cs="Arial"/>
          <w:lang w:val="es-ES"/>
        </w:rPr>
        <w:t xml:space="preserve">ultades y limitaciones que permiten el retorno a la regularidad. Por eso, mientras subsista la situación que la origina, y sólo en lo relacionado con la declaración previa del presidente de la república, con la firma de todos los ministros, las entidades pueden contratar directamente, por urgencia manifiesta, como medida </w:t>
      </w:r>
      <w:r w:rsidRPr="00967FFD">
        <w:rPr>
          <w:rFonts w:ascii="Verdana" w:eastAsia="Calibri" w:hAnsi="Verdana" w:cs="Arial"/>
          <w:i/>
          <w:iCs/>
          <w:lang w:val="es-ES"/>
        </w:rPr>
        <w:t>pro tempore</w:t>
      </w:r>
      <w:r w:rsidRPr="00967FFD">
        <w:rPr>
          <w:rFonts w:ascii="Verdana" w:eastAsia="Calibri" w:hAnsi="Verdana" w:cs="Arial"/>
          <w:lang w:val="es-ES"/>
        </w:rPr>
        <w:t xml:space="preserve"> para adquirir bienes y servicios que permitan superar la crisis. En contraste, cuando cesen las causas, las entidades deben contratar de conformidad con las reglas generales del Estatuto de Contratación.</w:t>
      </w:r>
    </w:p>
    <w:p w14:paraId="7F9DCD8E" w14:textId="77777777" w:rsidR="00E65D8B" w:rsidRPr="00967FFD" w:rsidRDefault="00E65D8B" w:rsidP="00E65D8B">
      <w:pPr>
        <w:spacing w:after="120" w:line="276" w:lineRule="auto"/>
        <w:ind w:firstLine="708"/>
        <w:jc w:val="both"/>
        <w:rPr>
          <w:rFonts w:ascii="Verdana" w:eastAsia="Calibri" w:hAnsi="Verdana" w:cs="Arial"/>
          <w:lang w:val="es-ES_tradnl"/>
        </w:rPr>
      </w:pPr>
      <w:r w:rsidRPr="00967FFD">
        <w:rPr>
          <w:rFonts w:ascii="Verdana" w:eastAsia="Calibri" w:hAnsi="Verdana" w:cs="Arial"/>
          <w:lang w:val="es-ES_tradnl"/>
        </w:rPr>
        <w:t xml:space="preserve">En este supuesto, cuando se declara un estado de excepción, se configura el supuesto para declarar a continuación la “urgencia manifiesta”, por parte de cualquier entidad estatal regida por la Ley 80 de 1993, por configurarse uno de los cuatro (4) supuestos del art. 42 de la Ley 80 de 1993. En este evento no es </w:t>
      </w:r>
      <w:r w:rsidRPr="00967FFD">
        <w:rPr>
          <w:rFonts w:ascii="Verdana" w:eastAsia="Calibri" w:hAnsi="Verdana" w:cs="Arial"/>
          <w:lang w:val="es-ES_tradnl"/>
        </w:rPr>
        <w:lastRenderedPageBreak/>
        <w:t>suficiente la declaración del estado de excepción, por parte del presidente y sus ministros, sino que es necesario expedir, luego, el acto que declare la urgencia manifiesta, con fundamento en la declaración previa de alguno de los tres estados de excepción.</w:t>
      </w:r>
    </w:p>
    <w:p w14:paraId="63E3C2F6" w14:textId="77777777" w:rsidR="00E65D8B" w:rsidRPr="00AD031F" w:rsidRDefault="00E65D8B" w:rsidP="00E65D8B">
      <w:pPr>
        <w:spacing w:after="120" w:line="276" w:lineRule="auto"/>
        <w:ind w:firstLine="708"/>
        <w:jc w:val="both"/>
        <w:rPr>
          <w:rFonts w:ascii="Verdana" w:eastAsia="Calibri" w:hAnsi="Verdana" w:cs="Arial"/>
          <w:lang w:val="es-ES"/>
        </w:rPr>
      </w:pPr>
      <w:r w:rsidRPr="00967FFD">
        <w:rPr>
          <w:rFonts w:ascii="Verdana" w:eastAsia="Calibri" w:hAnsi="Verdana" w:cs="Arial"/>
          <w:lang w:val="es-ES"/>
        </w:rPr>
        <w:t xml:space="preserve">La </w:t>
      </w:r>
      <w:r w:rsidRPr="00967FFD">
        <w:rPr>
          <w:rFonts w:ascii="Verdana" w:eastAsia="Calibri" w:hAnsi="Verdana" w:cs="Arial"/>
          <w:i/>
          <w:lang w:val="es-ES"/>
        </w:rPr>
        <w:t>tercera circunstancia</w:t>
      </w:r>
      <w:r w:rsidRPr="00967FFD">
        <w:rPr>
          <w:rFonts w:ascii="Verdana" w:eastAsia="Calibri" w:hAnsi="Verdana" w:cs="Arial"/>
          <w:lang w:val="es-ES"/>
        </w:rPr>
        <w:t xml:space="preserve"> surge de la necesidad de conjurar situaciones excepcionales relacionadas con </w:t>
      </w:r>
      <w:r w:rsidRPr="00967FFD">
        <w:rPr>
          <w:rFonts w:ascii="Verdana" w:eastAsia="Calibri" w:hAnsi="Verdana" w:cs="Arial"/>
          <w:i/>
          <w:lang w:val="es-ES"/>
        </w:rPr>
        <w:t>hechos de calamidad o constitutivos de fuerza mayor o desastre</w:t>
      </w:r>
      <w:r w:rsidRPr="00967FFD">
        <w:rPr>
          <w:rFonts w:ascii="Verdana" w:eastAsia="Calibri" w:hAnsi="Verdana" w:cs="Arial"/>
          <w:lang w:val="es-ES"/>
        </w:rPr>
        <w:t xml:space="preserve"> que demanden actuaciones inmediatas, causa que –conforme se analiza en el siguiente acápite– exige tener en cuenta lo previsto en la Ley 1523 de 2012. Lo anterior sin perjuicio de que, conforme a la cuarta circunstancia, surjan situaciones similares que imposibiliten acudir a los procedimientos de selección o concurso públicos. </w:t>
      </w:r>
    </w:p>
    <w:p w14:paraId="33BB334E" w14:textId="77777777" w:rsidR="00E65D8B" w:rsidRPr="00967FFD" w:rsidRDefault="00E65D8B" w:rsidP="00E65D8B">
      <w:pPr>
        <w:spacing w:after="120" w:line="276" w:lineRule="auto"/>
        <w:ind w:firstLine="708"/>
        <w:jc w:val="both"/>
        <w:rPr>
          <w:rFonts w:ascii="Verdana" w:eastAsia="Calibri" w:hAnsi="Verdana" w:cs="Arial"/>
          <w:lang w:val="es-ES_tradnl"/>
        </w:rPr>
      </w:pPr>
      <w:bookmarkStart w:id="8" w:name="_Hlk132729706"/>
      <w:r w:rsidRPr="00967FFD">
        <w:rPr>
          <w:rFonts w:ascii="Verdana" w:eastAsia="Calibri" w:hAnsi="Verdana" w:cs="Arial"/>
          <w:lang w:val="es-ES_tradnl"/>
        </w:rPr>
        <w:t xml:space="preserve">El elemento común en los cuatro (4) eventos es que exigen atender la contingencia de manera pronta, mediante la ejecución de obras, la prestación de servicios o el suministro de bienes. Por tanto, lo que permite catalogar un supuesto fáctico como </w:t>
      </w:r>
      <w:r w:rsidRPr="00FD3FDD">
        <w:rPr>
          <w:rFonts w:ascii="Verdana" w:eastAsia="Calibri" w:hAnsi="Verdana" w:cs="Arial"/>
          <w:i/>
          <w:iCs/>
          <w:lang w:val="es-ES_tradnl"/>
        </w:rPr>
        <w:t>urgente</w:t>
      </w:r>
      <w:r w:rsidRPr="00967FFD">
        <w:rPr>
          <w:rFonts w:ascii="Verdana" w:eastAsia="Calibri" w:hAnsi="Verdana" w:cs="Arial"/>
          <w:lang w:val="es-ES_tradnl"/>
        </w:rPr>
        <w:t>, en forma manifiesta, es que demanda actuaciones del Estado que no dan espera para mantener la regularidad del servicio, e impiden acudir a los procedimientos de selección ordinarios, es decir, a la licitación pública, la selección abreviada, el concurso de méritos y la contratación de mínima cuantía</w:t>
      </w:r>
      <w:r w:rsidRPr="00AD031F">
        <w:rPr>
          <w:rFonts w:ascii="Verdana" w:eastAsia="Calibri" w:hAnsi="Verdana" w:cs="Arial"/>
          <w:vertAlign w:val="superscript"/>
          <w:lang w:val="es-ES_tradnl"/>
        </w:rPr>
        <w:footnoteReference w:id="9"/>
      </w:r>
      <w:r w:rsidRPr="00AD031F">
        <w:rPr>
          <w:rFonts w:ascii="Verdana" w:eastAsia="Calibri" w:hAnsi="Verdana" w:cs="Arial"/>
          <w:lang w:val="es-ES_tradnl"/>
        </w:rPr>
        <w:t>.</w:t>
      </w:r>
      <w:r w:rsidRPr="00967FFD">
        <w:rPr>
          <w:rFonts w:ascii="Verdana" w:eastAsia="Calibri" w:hAnsi="Verdana" w:cs="Arial"/>
          <w:lang w:val="es-ES_tradnl"/>
        </w:rPr>
        <w:t xml:space="preserve"> De ahí que, no resulte necesario realizar estudios y documentos previos, como lo dispone el artículo 2.2.1.2.1.4.2 del Decreto 1082 de 2015: “[s]i la causal de contratación directa es la urgencia manifiesta, el acto administrativo que la declare hará las veces del acto administrativo de justificación, y en este caso la Entidad Estatal </w:t>
      </w:r>
      <w:r w:rsidRPr="00FD3FDD">
        <w:rPr>
          <w:rFonts w:ascii="Verdana" w:eastAsia="Calibri" w:hAnsi="Verdana" w:cs="Arial"/>
          <w:i/>
          <w:iCs/>
          <w:u w:val="single"/>
          <w:lang w:val="es-ES_tradnl"/>
        </w:rPr>
        <w:t>no está obligada a elaborar estudios y documentos previos</w:t>
      </w:r>
      <w:r w:rsidRPr="00967FFD">
        <w:rPr>
          <w:rFonts w:ascii="Verdana" w:eastAsia="Calibri" w:hAnsi="Verdana" w:cs="Arial"/>
          <w:lang w:val="es-ES_tradnl"/>
        </w:rPr>
        <w:t>”. [Énfasis fuera de texto]</w:t>
      </w:r>
    </w:p>
    <w:bookmarkEnd w:id="8"/>
    <w:p w14:paraId="2FAC0C4E" w14:textId="77777777" w:rsidR="00E65D8B" w:rsidRPr="00967FFD" w:rsidRDefault="00E65D8B" w:rsidP="00E65D8B">
      <w:pPr>
        <w:spacing w:after="120" w:line="276" w:lineRule="auto"/>
        <w:ind w:firstLine="708"/>
        <w:jc w:val="both"/>
        <w:rPr>
          <w:rFonts w:ascii="Verdana" w:eastAsia="Calibri" w:hAnsi="Verdana" w:cs="Arial"/>
          <w:lang w:val="es-ES_tradnl"/>
        </w:rPr>
      </w:pPr>
      <w:r w:rsidRPr="00967FFD">
        <w:rPr>
          <w:rFonts w:ascii="Verdana" w:eastAsia="Calibri" w:hAnsi="Verdana" w:cs="Arial"/>
          <w:lang w:val="es-ES_tradnl"/>
        </w:rPr>
        <w:t xml:space="preserve">De esta forma, cuando se configure alguna de las cuatro (4) situaciones, el artículo 42 de la Ley 80 de 1993 exige declarar formalmente la urgencia manifiesta mediante acto administrativo motivado, es decir, a través de una </w:t>
      </w:r>
      <w:r w:rsidRPr="00967FFD">
        <w:rPr>
          <w:rFonts w:ascii="Verdana" w:eastAsia="Calibri" w:hAnsi="Verdana" w:cs="Arial"/>
          <w:lang w:val="es-ES_tradnl"/>
        </w:rPr>
        <w:lastRenderedPageBreak/>
        <w:t xml:space="preserve">manifestación unilateral de voluntad razonablemente justificada, proferida por el jefe o representante legal de cada entidad –o quien sea el titular de la competencia–, según lo establecido en los artículos 11 y 12 </w:t>
      </w:r>
      <w:r w:rsidRPr="00967FFD">
        <w:rPr>
          <w:rFonts w:ascii="Verdana" w:eastAsia="Calibri" w:hAnsi="Verdana" w:cs="Arial"/>
          <w:i/>
          <w:iCs/>
          <w:lang w:val="es-ES_tradnl"/>
        </w:rPr>
        <w:t>ibidem</w:t>
      </w:r>
      <w:r w:rsidRPr="00967FFD">
        <w:rPr>
          <w:rFonts w:ascii="Verdana" w:eastAsia="Calibri" w:hAnsi="Verdana" w:cs="Arial"/>
          <w:lang w:val="es-ES_tradnl"/>
        </w:rPr>
        <w:t xml:space="preserve">. </w:t>
      </w:r>
    </w:p>
    <w:p w14:paraId="7660E56C" w14:textId="77777777" w:rsidR="00E65D8B" w:rsidRPr="00967FFD" w:rsidRDefault="00E65D8B" w:rsidP="00E65D8B">
      <w:pPr>
        <w:spacing w:after="120" w:line="276" w:lineRule="auto"/>
        <w:ind w:firstLine="708"/>
        <w:jc w:val="both"/>
        <w:rPr>
          <w:rFonts w:ascii="Verdana" w:eastAsia="Calibri" w:hAnsi="Verdana" w:cs="Arial"/>
          <w:lang w:val="es-ES"/>
        </w:rPr>
      </w:pPr>
      <w:r w:rsidRPr="00967FFD">
        <w:rPr>
          <w:rFonts w:ascii="Verdana" w:eastAsia="Calibri" w:hAnsi="Verdana" w:cs="Arial"/>
          <w:lang w:val="es-ES"/>
        </w:rPr>
        <w:t>Así pues, una vez expedido el acto administrativo, la Entidad Estatal debe realizar todos los trámites internos necesarios para contratar, entre ellos la disposición de los recursos. En tal sentido, el parágrafo del artículo 42 de la Ley 80 de 1993 señala que “[c]</w:t>
      </w:r>
      <w:proofErr w:type="spellStart"/>
      <w:r w:rsidRPr="00967FFD">
        <w:rPr>
          <w:rFonts w:ascii="Verdana" w:eastAsia="Calibri" w:hAnsi="Verdana" w:cs="Arial"/>
          <w:lang w:val="es-ES"/>
        </w:rPr>
        <w:t>on</w:t>
      </w:r>
      <w:proofErr w:type="spellEnd"/>
      <w:r w:rsidRPr="00967FFD">
        <w:rPr>
          <w:rFonts w:ascii="Verdana" w:eastAsia="Calibri" w:hAnsi="Verdana" w:cs="Arial"/>
          <w:lang w:val="es-ES"/>
        </w:rPr>
        <w:t xml:space="preserve"> el fin de atender las necesidades y los gastos propios de la urgencia manifiesta, se podrán hacer los traslados presupuestales internos que se requieran dentro del presupuesto del organismo o entidad estatal correspondiente”. Este apartado fue declarado condicionalmente exequible por la Corte Constitucional en la Sentencia C-772 de 1998, “[…] bajo el entendimiento de que los traslados presupuestales internos a que se refiere dicha norma, se efectúen afectando exclusivamente el anexo del decreto de liquidación del Presupuesto”</w:t>
      </w:r>
      <w:r w:rsidRPr="00967FFD">
        <w:rPr>
          <w:rFonts w:ascii="Verdana" w:eastAsia="Calibri" w:hAnsi="Verdana" w:cs="Arial"/>
          <w:vertAlign w:val="superscript"/>
          <w:lang w:val="es-ES"/>
        </w:rPr>
        <w:footnoteReference w:id="10"/>
      </w:r>
      <w:r w:rsidRPr="00967FFD">
        <w:rPr>
          <w:rFonts w:ascii="Verdana" w:eastAsia="Calibri" w:hAnsi="Verdana" w:cs="Arial"/>
          <w:lang w:val="es-ES"/>
        </w:rPr>
        <w:t xml:space="preserve">. </w:t>
      </w:r>
    </w:p>
    <w:p w14:paraId="7E4E5F4F" w14:textId="77777777" w:rsidR="00E65D8B" w:rsidRPr="00967FFD" w:rsidRDefault="00E65D8B" w:rsidP="00E65D8B">
      <w:pPr>
        <w:spacing w:after="120" w:line="276" w:lineRule="auto"/>
        <w:ind w:firstLine="709"/>
        <w:jc w:val="both"/>
        <w:rPr>
          <w:rFonts w:ascii="Verdana" w:hAnsi="Verdana" w:cs="Arial"/>
          <w:lang w:eastAsia="es-ES"/>
        </w:rPr>
      </w:pPr>
      <w:r w:rsidRPr="00967FFD">
        <w:rPr>
          <w:rFonts w:ascii="Verdana" w:hAnsi="Verdana" w:cs="Arial"/>
          <w:lang w:eastAsia="es-ES"/>
        </w:rPr>
        <w:t>Al margen de la explicación precedente debe advertirse que el análisis requerido para resolver problemas específicos e</w:t>
      </w:r>
      <w:r w:rsidRPr="00FD3FDD">
        <w:rPr>
          <w:rFonts w:ascii="Verdana" w:hAnsi="Verdana" w:cs="Arial"/>
          <w:lang w:eastAsia="es-ES"/>
        </w:rPr>
        <w:t>n torno a la celebración de contratos por urgencia manifiesta debe ser realizado por quienes tengan interés en ello, de acuerdo con lo explicado la aclaración preliminar del presente oficio. De esta manera, las afirmaciones aquí realizadas no pueden ser in</w:t>
      </w:r>
      <w:r w:rsidRPr="00967FFD">
        <w:rPr>
          <w:rFonts w:ascii="Verdana" w:hAnsi="Verdana" w:cs="Arial"/>
          <w:lang w:eastAsia="es-ES"/>
        </w:rPr>
        <w:t>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FAB5C4D" w14:textId="77777777" w:rsidR="00E65D8B" w:rsidRPr="00BA2656" w:rsidRDefault="00E65D8B" w:rsidP="00E65D8B">
      <w:pPr>
        <w:spacing w:before="120" w:after="0" w:line="276" w:lineRule="auto"/>
        <w:ind w:firstLine="709"/>
        <w:jc w:val="both"/>
        <w:rPr>
          <w:rFonts w:ascii="Verdana" w:hAnsi="Verdana" w:cs="Arial"/>
          <w:lang w:eastAsia="es-ES"/>
        </w:rPr>
      </w:pPr>
      <w:r w:rsidRPr="00BA2656">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C00C088" w14:textId="77777777" w:rsidR="00E65D8B" w:rsidRPr="00FD3FDD" w:rsidRDefault="00E65D8B" w:rsidP="00E65D8B">
      <w:pPr>
        <w:spacing w:after="0" w:line="276" w:lineRule="auto"/>
        <w:ind w:firstLine="708"/>
        <w:jc w:val="both"/>
        <w:rPr>
          <w:rFonts w:ascii="Verdana" w:eastAsia="Calibri" w:hAnsi="Verdana" w:cs="Arial"/>
          <w:lang w:val="es-ES"/>
        </w:rPr>
      </w:pPr>
    </w:p>
    <w:p w14:paraId="13E6CA9F" w14:textId="77777777" w:rsidR="00E65D8B" w:rsidRPr="00FD3FDD" w:rsidRDefault="00E65D8B" w:rsidP="00E65D8B">
      <w:pPr>
        <w:widowControl w:val="0"/>
        <w:autoSpaceDE w:val="0"/>
        <w:autoSpaceDN w:val="0"/>
        <w:spacing w:after="0" w:line="276" w:lineRule="auto"/>
        <w:outlineLvl w:val="0"/>
        <w:rPr>
          <w:rFonts w:ascii="Verdana" w:eastAsia="Arial" w:hAnsi="Verdana" w:cs="Arial"/>
          <w:b/>
          <w:bCs/>
          <w:lang w:val="es-ES"/>
        </w:rPr>
      </w:pPr>
      <w:r w:rsidRPr="00FD3FDD">
        <w:rPr>
          <w:rFonts w:ascii="Verdana" w:eastAsia="Arial" w:hAnsi="Verdana" w:cs="Arial"/>
          <w:b/>
          <w:bCs/>
          <w:lang w:val="es-ES"/>
        </w:rPr>
        <w:t>4.Referencias normativas, jurisprudenciales y otras fuentes:</w:t>
      </w:r>
    </w:p>
    <w:p w14:paraId="17F7E57E" w14:textId="77777777" w:rsidR="00E65D8B" w:rsidRPr="00FD3FDD" w:rsidRDefault="00E65D8B" w:rsidP="00E65D8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65D8B" w:rsidRPr="00FD3FDD" w14:paraId="681C5A19" w14:textId="77777777" w:rsidTr="00733B1A">
        <w:trPr>
          <w:trHeight w:val="870"/>
        </w:trPr>
        <w:tc>
          <w:tcPr>
            <w:tcW w:w="8647" w:type="dxa"/>
          </w:tcPr>
          <w:p w14:paraId="1C2BE14D" w14:textId="77777777" w:rsidR="00E65D8B" w:rsidRPr="00FD3FDD" w:rsidRDefault="00E65D8B" w:rsidP="00E65D8B">
            <w:pPr>
              <w:widowControl w:val="0"/>
              <w:numPr>
                <w:ilvl w:val="0"/>
                <w:numId w:val="1"/>
              </w:numPr>
              <w:autoSpaceDE w:val="0"/>
              <w:autoSpaceDN w:val="0"/>
              <w:spacing w:line="276" w:lineRule="auto"/>
              <w:ind w:left="567"/>
              <w:jc w:val="both"/>
              <w:rPr>
                <w:rFonts w:ascii="Verdana" w:hAnsi="Verdana" w:cs="Arial"/>
              </w:rPr>
            </w:pPr>
            <w:r w:rsidRPr="00FD3FDD">
              <w:rPr>
                <w:rFonts w:ascii="Verdana" w:hAnsi="Verdana" w:cs="Arial"/>
              </w:rPr>
              <w:t>Constitución Política de 1991. Artículos 212 a 215.</w:t>
            </w:r>
          </w:p>
          <w:p w14:paraId="5A6F083C" w14:textId="77777777" w:rsidR="00E65D8B" w:rsidRPr="00FD3FDD" w:rsidRDefault="00E65D8B" w:rsidP="00E65D8B">
            <w:pPr>
              <w:widowControl w:val="0"/>
              <w:numPr>
                <w:ilvl w:val="0"/>
                <w:numId w:val="1"/>
              </w:numPr>
              <w:autoSpaceDE w:val="0"/>
              <w:autoSpaceDN w:val="0"/>
              <w:spacing w:line="276" w:lineRule="auto"/>
              <w:ind w:left="567"/>
              <w:jc w:val="both"/>
              <w:rPr>
                <w:rFonts w:ascii="Verdana" w:hAnsi="Verdana" w:cs="Arial"/>
              </w:rPr>
            </w:pPr>
            <w:r w:rsidRPr="00FD3FDD">
              <w:rPr>
                <w:rFonts w:ascii="Verdana" w:hAnsi="Verdana" w:cs="Arial"/>
              </w:rPr>
              <w:t>Ley 80 de 1993. Artículos 25, 41 y 42.</w:t>
            </w:r>
          </w:p>
          <w:p w14:paraId="709BC7A7" w14:textId="77777777" w:rsidR="00E65D8B" w:rsidRPr="00FD3FDD" w:rsidRDefault="00E65D8B" w:rsidP="00E65D8B">
            <w:pPr>
              <w:widowControl w:val="0"/>
              <w:numPr>
                <w:ilvl w:val="0"/>
                <w:numId w:val="1"/>
              </w:numPr>
              <w:autoSpaceDE w:val="0"/>
              <w:autoSpaceDN w:val="0"/>
              <w:spacing w:line="276" w:lineRule="auto"/>
              <w:ind w:left="567"/>
              <w:jc w:val="both"/>
              <w:rPr>
                <w:rFonts w:ascii="Verdana" w:hAnsi="Verdana" w:cs="Arial"/>
              </w:rPr>
            </w:pPr>
            <w:r w:rsidRPr="00FD3FDD">
              <w:rPr>
                <w:rFonts w:ascii="Verdana" w:hAnsi="Verdana" w:cs="Arial"/>
              </w:rPr>
              <w:t>Ley 1150 de 2007. Artículos 2 y 7.</w:t>
            </w:r>
          </w:p>
          <w:p w14:paraId="2347340D" w14:textId="77777777" w:rsidR="00E65D8B" w:rsidRPr="00FD3FDD" w:rsidRDefault="00E65D8B" w:rsidP="00E65D8B">
            <w:pPr>
              <w:widowControl w:val="0"/>
              <w:numPr>
                <w:ilvl w:val="0"/>
                <w:numId w:val="1"/>
              </w:numPr>
              <w:autoSpaceDE w:val="0"/>
              <w:autoSpaceDN w:val="0"/>
              <w:spacing w:line="276" w:lineRule="auto"/>
              <w:ind w:left="567"/>
              <w:jc w:val="both"/>
              <w:rPr>
                <w:rFonts w:ascii="Verdana" w:hAnsi="Verdana" w:cs="Arial"/>
              </w:rPr>
            </w:pPr>
            <w:r w:rsidRPr="00FD3FDD">
              <w:rPr>
                <w:rFonts w:ascii="Verdana" w:hAnsi="Verdana" w:cs="Arial"/>
              </w:rPr>
              <w:t>Ley 1523 de 2012. Artículo 59.</w:t>
            </w:r>
          </w:p>
          <w:p w14:paraId="7DA49D3A" w14:textId="77777777" w:rsidR="00E65D8B" w:rsidRPr="00FD3FDD" w:rsidRDefault="00E65D8B" w:rsidP="00E65D8B">
            <w:pPr>
              <w:numPr>
                <w:ilvl w:val="0"/>
                <w:numId w:val="1"/>
              </w:numPr>
              <w:spacing w:line="276" w:lineRule="auto"/>
              <w:ind w:left="567"/>
              <w:rPr>
                <w:rFonts w:ascii="Verdana" w:hAnsi="Verdana" w:cs="Arial"/>
              </w:rPr>
            </w:pPr>
            <w:r w:rsidRPr="00FD3FDD">
              <w:rPr>
                <w:rFonts w:ascii="Verdana" w:hAnsi="Verdana" w:cs="Arial"/>
              </w:rPr>
              <w:t>Decreto 1082 de 2015, artículos 2.2.1.1.2.1.1 y 2.2.1.1.1.6.1</w:t>
            </w:r>
          </w:p>
          <w:p w14:paraId="2F30B75A" w14:textId="77777777" w:rsidR="00E65D8B" w:rsidRPr="00FD3FDD" w:rsidRDefault="00E65D8B" w:rsidP="00E65D8B">
            <w:pPr>
              <w:widowControl w:val="0"/>
              <w:numPr>
                <w:ilvl w:val="0"/>
                <w:numId w:val="1"/>
              </w:numPr>
              <w:autoSpaceDE w:val="0"/>
              <w:autoSpaceDN w:val="0"/>
              <w:spacing w:line="276" w:lineRule="auto"/>
              <w:ind w:left="567"/>
              <w:jc w:val="both"/>
              <w:rPr>
                <w:rFonts w:ascii="Verdana" w:hAnsi="Verdana" w:cs="Arial"/>
              </w:rPr>
            </w:pPr>
            <w:r w:rsidRPr="00FD3FDD">
              <w:rPr>
                <w:rFonts w:ascii="Verdana" w:hAnsi="Verdana" w:cs="Arial"/>
              </w:rPr>
              <w:t xml:space="preserve">2.2.1.2.1.4.2 y 2.2.1.2.3.1.1 a 2.2.1.2.3.5.1. </w:t>
            </w:r>
          </w:p>
          <w:p w14:paraId="7AF6C624" w14:textId="77777777" w:rsidR="00E65D8B" w:rsidRPr="00FD3FDD" w:rsidRDefault="00E65D8B" w:rsidP="00E65D8B">
            <w:pPr>
              <w:widowControl w:val="0"/>
              <w:numPr>
                <w:ilvl w:val="0"/>
                <w:numId w:val="1"/>
              </w:numPr>
              <w:autoSpaceDE w:val="0"/>
              <w:autoSpaceDN w:val="0"/>
              <w:spacing w:line="276" w:lineRule="auto"/>
              <w:ind w:left="567"/>
              <w:jc w:val="both"/>
              <w:rPr>
                <w:rFonts w:ascii="Verdana" w:hAnsi="Verdana" w:cs="Arial"/>
              </w:rPr>
            </w:pPr>
            <w:r w:rsidRPr="00FD3FDD">
              <w:rPr>
                <w:rFonts w:ascii="Verdana" w:hAnsi="Verdana" w:cs="Arial"/>
              </w:rPr>
              <w:t>Agencia Nacional de Contratación Pública. Guía para la Elaboración de Estudios del Sector.</w:t>
            </w:r>
          </w:p>
        </w:tc>
      </w:tr>
    </w:tbl>
    <w:p w14:paraId="22B95736" w14:textId="77777777" w:rsidR="00E65D8B" w:rsidRPr="00FD3FDD" w:rsidRDefault="00E65D8B" w:rsidP="00E65D8B">
      <w:pPr>
        <w:widowControl w:val="0"/>
        <w:autoSpaceDE w:val="0"/>
        <w:autoSpaceDN w:val="0"/>
        <w:spacing w:after="0" w:line="276" w:lineRule="auto"/>
        <w:ind w:left="567"/>
        <w:jc w:val="both"/>
        <w:rPr>
          <w:rFonts w:ascii="Verdana" w:hAnsi="Verdana" w:cs="Arial"/>
        </w:rPr>
      </w:pPr>
    </w:p>
    <w:p w14:paraId="3B537C33" w14:textId="77777777" w:rsidR="00E65D8B" w:rsidRPr="00FD3FDD" w:rsidRDefault="00E65D8B" w:rsidP="00E65D8B">
      <w:pPr>
        <w:widowControl w:val="0"/>
        <w:autoSpaceDE w:val="0"/>
        <w:autoSpaceDN w:val="0"/>
        <w:spacing w:after="0" w:line="276" w:lineRule="auto"/>
        <w:outlineLvl w:val="0"/>
        <w:rPr>
          <w:rFonts w:ascii="Verdana" w:eastAsia="Arial" w:hAnsi="Verdana" w:cs="Arial"/>
          <w:b/>
          <w:bCs/>
          <w:lang w:val="es-ES"/>
        </w:rPr>
      </w:pPr>
      <w:r w:rsidRPr="00FD3FDD">
        <w:rPr>
          <w:rFonts w:ascii="Verdana" w:eastAsia="Arial" w:hAnsi="Verdana" w:cs="Arial"/>
          <w:b/>
          <w:bCs/>
          <w:lang w:val="es-ES"/>
        </w:rPr>
        <w:t>5. Doctrina de la Agencia Nacional de Contratación Pública:</w:t>
      </w:r>
    </w:p>
    <w:p w14:paraId="0CD0723E" w14:textId="77777777" w:rsidR="00E65D8B" w:rsidRPr="00FD3FDD" w:rsidRDefault="00E65D8B" w:rsidP="00E65D8B">
      <w:pPr>
        <w:widowControl w:val="0"/>
        <w:autoSpaceDE w:val="0"/>
        <w:autoSpaceDN w:val="0"/>
        <w:spacing w:after="0" w:line="276" w:lineRule="auto"/>
        <w:jc w:val="both"/>
        <w:rPr>
          <w:rFonts w:ascii="Verdana" w:hAnsi="Verdana" w:cs="Arial"/>
        </w:rPr>
      </w:pPr>
    </w:p>
    <w:p w14:paraId="33BB7377" w14:textId="77777777" w:rsidR="00E65D8B" w:rsidRPr="00FD3FDD" w:rsidRDefault="00E65D8B" w:rsidP="00E65D8B">
      <w:pPr>
        <w:widowControl w:val="0"/>
        <w:autoSpaceDE w:val="0"/>
        <w:autoSpaceDN w:val="0"/>
        <w:spacing w:after="0" w:line="276" w:lineRule="auto"/>
        <w:jc w:val="both"/>
        <w:rPr>
          <w:rFonts w:ascii="Verdana" w:hAnsi="Verdana" w:cs="Arial"/>
          <w:shd w:val="clear" w:color="auto" w:fill="FFFFFF"/>
          <w:lang w:val="es-ES"/>
        </w:rPr>
      </w:pPr>
      <w:r w:rsidRPr="00FD3FDD">
        <w:rPr>
          <w:rFonts w:ascii="Verdana" w:hAnsi="Verdana" w:cs="Arial"/>
          <w:shd w:val="clear" w:color="auto" w:fill="FFFFFF"/>
          <w:lang w:val="es-ES"/>
        </w:rPr>
        <w:t>Esta Subdirección se ha pronunciado sobre la contratación por urgencia manifiesta en los Conceptos C-003 del 23 de abril de 2020, C-004 25 de abril de 2020, C-135 del 10 de abril de 2020, C-241 del 10 de abril de 2020, C-257 del 10 de abril de 2020, C-266 del 21 de mayo de 2020, C-269 del 10 de abril de 2020, C-275 del del 10 de abril de 2020, C-284 del 27 de mayo de 2020, C-300 del 25 de abril de 2020, C-301 del 25 de abril de 2020, C-333 del 19 de mayo de 2020, C-357 del 7 de julio de 2020, C-390 del 23 de junio de 2020, C-403 del 24 de junio de 2020, C-887 del 22 de diciembre de 2022, C-131 del 25 de mayo de 2023 y C-691 del 14 de noviembre de 2024. Es</w:t>
      </w:r>
      <w:r w:rsidRPr="00FD3FDD">
        <w:rPr>
          <w:rFonts w:ascii="Verdana" w:hAnsi="Verdana"/>
        </w:rPr>
        <w:t>tos y otros conceptos se encuentran disponibles para consulta en el Sistema de relatoría de la Agencia, al cual se puede acceder a través del siguiente enlace:</w:t>
      </w:r>
      <w:r w:rsidRPr="00FD3FDD">
        <w:rPr>
          <w:rFonts w:ascii="Verdana" w:hAnsi="Verdana" w:cs="Arial"/>
          <w:shd w:val="clear" w:color="auto" w:fill="FFFFFF"/>
          <w:lang w:val="es-ES"/>
        </w:rPr>
        <w:t xml:space="preserve"> </w:t>
      </w:r>
      <w:hyperlink r:id="rId12" w:history="1">
        <w:r w:rsidRPr="00FD3FDD">
          <w:rPr>
            <w:rFonts w:ascii="Verdana" w:hAnsi="Verdana" w:cs="Arial"/>
            <w:color w:val="467886" w:themeColor="hyperlink"/>
            <w:u w:val="single"/>
            <w:shd w:val="clear" w:color="auto" w:fill="FFFFFF"/>
            <w:lang w:val="es-ES"/>
          </w:rPr>
          <w:t>https://relatoria.colombiacompra.gov.co/busqueda/conceptos</w:t>
        </w:r>
      </w:hyperlink>
      <w:r w:rsidRPr="00FD3FDD">
        <w:rPr>
          <w:rFonts w:ascii="Verdana" w:hAnsi="Verdana" w:cs="Arial"/>
          <w:shd w:val="clear" w:color="auto" w:fill="FFFFFF"/>
          <w:lang w:val="es-ES"/>
        </w:rPr>
        <w:t>.</w:t>
      </w:r>
    </w:p>
    <w:p w14:paraId="394965E3" w14:textId="77777777" w:rsidR="00E65D8B" w:rsidRDefault="00E65D8B" w:rsidP="00E65D8B">
      <w:pPr>
        <w:spacing w:after="0" w:line="276" w:lineRule="auto"/>
        <w:jc w:val="both"/>
        <w:rPr>
          <w:rFonts w:ascii="Verdana" w:eastAsia="Times New Roman" w:hAnsi="Verdana" w:cs="Times New Roman"/>
          <w:color w:val="000000"/>
          <w:lang w:eastAsia="es-CO"/>
        </w:rPr>
      </w:pPr>
    </w:p>
    <w:p w14:paraId="4FD67E25" w14:textId="77777777" w:rsidR="00E65D8B" w:rsidRPr="00FD3FDD" w:rsidRDefault="00E65D8B" w:rsidP="00E65D8B">
      <w:pPr>
        <w:spacing w:after="0" w:line="276" w:lineRule="auto"/>
        <w:jc w:val="both"/>
        <w:rPr>
          <w:rFonts w:ascii="Verdana" w:eastAsia="Times New Roman" w:hAnsi="Verdana" w:cs="Times New Roman"/>
          <w:color w:val="000000"/>
          <w:lang w:eastAsia="es-CO"/>
        </w:rPr>
      </w:pPr>
      <w:r w:rsidRPr="00FD3FDD">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D3FDD">
        <w:rPr>
          <w:rFonts w:ascii="Verdana" w:eastAsia="Times New Roman" w:hAnsi="Verdana" w:cs="Times New Roman"/>
          <w:b/>
          <w:bCs/>
          <w:color w:val="000000"/>
          <w:lang w:eastAsia="es-CO"/>
        </w:rPr>
        <w:t>Guía para la Exigencia y Constitución de Garantías en los Procesos de Contratación</w:t>
      </w:r>
      <w:r w:rsidRPr="00FD3FDD">
        <w:rPr>
          <w:rFonts w:ascii="Verdana" w:eastAsia="Times New Roman" w:hAnsi="Verdana" w:cs="Times New Roman"/>
          <w:color w:val="000000"/>
          <w:lang w:eastAsia="es-CO"/>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w:t>
      </w:r>
      <w:r w:rsidRPr="00FD3FDD">
        <w:rPr>
          <w:rFonts w:ascii="Verdana" w:eastAsia="Times New Roman" w:hAnsi="Verdana" w:cs="Times New Roman"/>
          <w:color w:val="000000"/>
          <w:lang w:eastAsia="es-CO"/>
        </w:rPr>
        <w:lastRenderedPageBreak/>
        <w:t>aquí: </w:t>
      </w:r>
      <w:hyperlink r:id="rId13" w:tgtFrame="_blank" w:tooltip="Dirección URL original: https://www.colombiacompra.gov.co/archivos/manual/guia-de-garantias-en-procesos-de-contratacion. Haga clic o pulse si confía en este vínculo." w:history="1">
        <w:r w:rsidRPr="00FD3FDD">
          <w:rPr>
            <w:rFonts w:ascii="Verdana" w:eastAsia="Times New Roman" w:hAnsi="Verdana" w:cs="Times New Roman"/>
            <w:color w:val="467886" w:themeColor="hyperlink"/>
            <w:u w:val="single"/>
            <w:lang w:eastAsia="es-CO"/>
          </w:rPr>
          <w:t>https://www.colombiacompra.gov.co/archivos/manual/guia-de-garantias-en-procesos-de-contratacion</w:t>
        </w:r>
      </w:hyperlink>
    </w:p>
    <w:p w14:paraId="72B2329F" w14:textId="77777777" w:rsidR="00E65D8B" w:rsidRDefault="00E65D8B" w:rsidP="00E65D8B">
      <w:pPr>
        <w:spacing w:after="0" w:line="276" w:lineRule="auto"/>
        <w:jc w:val="both"/>
        <w:rPr>
          <w:rFonts w:ascii="Verdana" w:eastAsia="Times New Roman" w:hAnsi="Verdana" w:cs="Times New Roman"/>
          <w:color w:val="000000"/>
          <w:lang w:eastAsia="es-CO"/>
        </w:rPr>
      </w:pPr>
    </w:p>
    <w:p w14:paraId="394CEE28" w14:textId="77777777" w:rsidR="00E65D8B" w:rsidRPr="00FD3FDD" w:rsidRDefault="00E65D8B" w:rsidP="00E65D8B">
      <w:pPr>
        <w:spacing w:after="0" w:line="276" w:lineRule="auto"/>
        <w:jc w:val="both"/>
        <w:rPr>
          <w:rFonts w:ascii="Verdana" w:eastAsia="Times New Roman" w:hAnsi="Verdana" w:cs="Times New Roman"/>
          <w:color w:val="000000"/>
          <w:lang w:eastAsia="es-CO"/>
        </w:rPr>
      </w:pPr>
      <w:r w:rsidRPr="00FD3FDD">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FD3FDD">
        <w:rPr>
          <w:rFonts w:ascii="Verdana" w:eastAsia="Times New Roman" w:hAnsi="Verdana" w:cs="Times New Roman"/>
          <w:b/>
          <w:bCs/>
          <w:color w:val="000000"/>
          <w:lang w:eastAsia="es-CO"/>
        </w:rPr>
        <w:t>Sistema Integral de Preferencias en favor de las personas con discapacidad</w:t>
      </w:r>
      <w:r w:rsidRPr="00FD3FDD">
        <w:rPr>
          <w:rFonts w:ascii="Verdana" w:eastAsia="Times New Roman" w:hAnsi="Verdana" w:cs="Times New Roman"/>
          <w:color w:val="000000"/>
          <w:lang w:eastAsia="es-CO"/>
        </w:rPr>
        <w:t>, en cumplimiento del artículo 13 de la Ley Estatutaria 1618 de 2013. Para orientar su aplicación, esta Agencia expidió la </w:t>
      </w:r>
      <w:r w:rsidRPr="00FD3FDD">
        <w:rPr>
          <w:rFonts w:ascii="Verdana" w:eastAsia="Times New Roman" w:hAnsi="Verdana" w:cs="Times New Roman"/>
          <w:b/>
          <w:bCs/>
          <w:color w:val="000000"/>
          <w:lang w:eastAsia="es-CO"/>
        </w:rPr>
        <w:t>Circular Externa 003 del 12 de mayo de 2026, </w:t>
      </w:r>
      <w:r w:rsidRPr="00FD3FDD">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4" w:tgtFrame="_blank" w:tooltip="Dirección URL original: https://www.colombiacompra.gov.co/archivos/circular/circular-externa-003-de-2026. Haga clic o pulse si confía en este vínculo." w:history="1">
        <w:r w:rsidRPr="00FD3FDD">
          <w:rPr>
            <w:rFonts w:ascii="Verdana" w:eastAsia="Times New Roman" w:hAnsi="Verdana" w:cs="Times New Roman"/>
            <w:color w:val="467886" w:themeColor="hyperlink"/>
            <w:u w:val="single"/>
            <w:lang w:eastAsia="es-CO"/>
          </w:rPr>
          <w:t>https://www.colombiacompra.gov.co/archivos/circular/circular-externa-003-de-2026</w:t>
        </w:r>
      </w:hyperlink>
    </w:p>
    <w:p w14:paraId="575939B0" w14:textId="77777777" w:rsidR="00E65D8B" w:rsidRDefault="00E65D8B" w:rsidP="00E65D8B">
      <w:pPr>
        <w:spacing w:after="0" w:line="276" w:lineRule="auto"/>
        <w:jc w:val="both"/>
        <w:rPr>
          <w:rFonts w:ascii="Verdana" w:eastAsia="Times New Roman" w:hAnsi="Verdana" w:cs="Times New Roman"/>
          <w:color w:val="000000"/>
          <w:lang w:eastAsia="es-CO"/>
        </w:rPr>
      </w:pPr>
    </w:p>
    <w:p w14:paraId="150707E1" w14:textId="77777777" w:rsidR="00E65D8B" w:rsidRPr="00FD3FDD" w:rsidRDefault="00E65D8B" w:rsidP="00E65D8B">
      <w:pPr>
        <w:spacing w:after="0" w:line="276" w:lineRule="auto"/>
        <w:jc w:val="both"/>
        <w:rPr>
          <w:rFonts w:ascii="Verdana" w:eastAsia="Times New Roman" w:hAnsi="Verdana" w:cs="Times New Roman"/>
          <w:color w:val="000000"/>
          <w:lang w:eastAsia="es-CO"/>
        </w:rPr>
      </w:pPr>
      <w:r w:rsidRPr="00FD3FDD">
        <w:rPr>
          <w:rFonts w:ascii="Verdana" w:eastAsia="Times New Roman" w:hAnsi="Verdana" w:cs="Times New Roman"/>
          <w:color w:val="000000"/>
          <w:lang w:eastAsia="es-CO"/>
        </w:rPr>
        <w:t>Recuerda también que la</w:t>
      </w:r>
      <w:r w:rsidRPr="00FD3FDD">
        <w:rPr>
          <w:rFonts w:ascii="Verdana" w:eastAsia="Times New Roman" w:hAnsi="Verdana" w:cs="Times New Roman"/>
          <w:b/>
          <w:bCs/>
          <w:color w:val="000000"/>
          <w:lang w:eastAsia="es-CO"/>
        </w:rPr>
        <w:t> información sobre sanciones e inhabilidades </w:t>
      </w:r>
      <w:r w:rsidRPr="00FD3FDD">
        <w:rPr>
          <w:rFonts w:ascii="Verdana" w:eastAsia="Times New Roman" w:hAnsi="Verdana" w:cs="Times New Roman"/>
          <w:color w:val="000000"/>
          <w:lang w:eastAsia="es-CO"/>
        </w:rPr>
        <w:t>solo cumple su función preventiva si llega oportunamente a los registros públicos. Sobre este deber, esta Agencia expidió la </w:t>
      </w:r>
      <w:r w:rsidRPr="00FD3FDD">
        <w:rPr>
          <w:rFonts w:ascii="Verdana" w:eastAsia="Times New Roman" w:hAnsi="Verdana" w:cs="Times New Roman"/>
          <w:b/>
          <w:bCs/>
          <w:color w:val="000000"/>
          <w:lang w:eastAsia="es-CO"/>
        </w:rPr>
        <w:t>Circular Externa 002 del 5 de mayo de 2026,</w:t>
      </w:r>
      <w:r w:rsidRPr="00FD3FDD">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Dirección URL original: https://www.colombiacompra.gov.co/archivos/circular/circular-externa-002-de-2026. Haga clic o pulse si confía en este vínculo." w:history="1">
        <w:r w:rsidRPr="00FD3FDD">
          <w:rPr>
            <w:rFonts w:ascii="Verdana" w:eastAsia="Times New Roman" w:hAnsi="Verdana" w:cs="Times New Roman"/>
            <w:color w:val="467886" w:themeColor="hyperlink"/>
            <w:u w:val="single"/>
            <w:lang w:eastAsia="es-CO"/>
          </w:rPr>
          <w:t>https://www.colombiacompra.gov.co/archivos/circular/circular-externa-002-de-2026</w:t>
        </w:r>
      </w:hyperlink>
    </w:p>
    <w:p w14:paraId="49C60EA4" w14:textId="77777777" w:rsidR="00E65D8B" w:rsidRDefault="00E65D8B" w:rsidP="00E65D8B">
      <w:pPr>
        <w:spacing w:after="0" w:line="276" w:lineRule="auto"/>
        <w:jc w:val="both"/>
        <w:rPr>
          <w:rFonts w:ascii="Verdana" w:eastAsia="Times New Roman" w:hAnsi="Verdana" w:cs="Times New Roman"/>
          <w:color w:val="000000"/>
          <w:lang w:eastAsia="es-CO"/>
        </w:rPr>
      </w:pPr>
    </w:p>
    <w:p w14:paraId="4E2C837E" w14:textId="77777777" w:rsidR="00E65D8B" w:rsidRPr="00FD3FDD" w:rsidRDefault="00E65D8B" w:rsidP="00E65D8B">
      <w:pPr>
        <w:spacing w:after="0" w:line="276" w:lineRule="auto"/>
        <w:jc w:val="both"/>
        <w:rPr>
          <w:rFonts w:ascii="Verdana" w:eastAsia="Times New Roman" w:hAnsi="Verdana" w:cs="Times New Roman"/>
          <w:color w:val="000000"/>
          <w:lang w:eastAsia="es-CO"/>
        </w:rPr>
      </w:pPr>
      <w:r w:rsidRPr="00FD3FDD">
        <w:rPr>
          <w:rFonts w:ascii="Verdana" w:eastAsia="Times New Roman" w:hAnsi="Verdana" w:cs="Times New Roman"/>
          <w:color w:val="000000"/>
          <w:lang w:eastAsia="es-CO"/>
        </w:rPr>
        <w:t>De otra parte, si quieres seguir de cerca la actividad de la Agencia, la tercera edición de 2026 del</w:t>
      </w:r>
      <w:r w:rsidRPr="00FD3FDD">
        <w:rPr>
          <w:rFonts w:ascii="Verdana" w:eastAsia="Times New Roman" w:hAnsi="Verdana" w:cs="Times New Roman"/>
          <w:b/>
          <w:bCs/>
          <w:color w:val="000000"/>
          <w:lang w:eastAsia="es-CO"/>
        </w:rPr>
        <w:t> Radar de la Compra Pública</w:t>
      </w:r>
      <w:r w:rsidRPr="00FD3FDD">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history="1">
        <w:r w:rsidRPr="00FD3FDD">
          <w:rPr>
            <w:rFonts w:ascii="Verdana" w:eastAsia="Times New Roman" w:hAnsi="Verdana" w:cs="Times New Roman"/>
            <w:color w:val="467886" w:themeColor="hyperlink"/>
            <w:u w:val="single"/>
            <w:lang w:eastAsia="es-CO"/>
          </w:rPr>
          <w:t>https://www.colombiacompra.gov.co/archivos/boletin/boletin-edicion-n-3-de-2026-radar-de-la-compra-publica</w:t>
        </w:r>
      </w:hyperlink>
      <w:r w:rsidRPr="00FD3FDD">
        <w:rPr>
          <w:rFonts w:ascii="Verdana" w:eastAsia="Times New Roman" w:hAnsi="Verdana" w:cs="Times New Roman"/>
          <w:color w:val="000000"/>
          <w:lang w:eastAsia="es-CO"/>
        </w:rPr>
        <w:t>"</w:t>
      </w:r>
    </w:p>
    <w:p w14:paraId="1CBD516B" w14:textId="77777777" w:rsidR="00E65D8B" w:rsidRDefault="00E65D8B" w:rsidP="00E65D8B">
      <w:pPr>
        <w:spacing w:after="0" w:line="276" w:lineRule="auto"/>
        <w:jc w:val="both"/>
        <w:rPr>
          <w:rFonts w:ascii="Verdana" w:hAnsi="Verdana"/>
        </w:rPr>
      </w:pPr>
    </w:p>
    <w:p w14:paraId="25E924C7" w14:textId="77777777" w:rsidR="00E65D8B" w:rsidRPr="00FD3FDD" w:rsidRDefault="00E65D8B" w:rsidP="00E65D8B">
      <w:pPr>
        <w:spacing w:after="0" w:line="276" w:lineRule="auto"/>
        <w:jc w:val="both"/>
        <w:rPr>
          <w:rFonts w:ascii="Verdana" w:hAnsi="Verdana"/>
        </w:rPr>
      </w:pPr>
      <w:r w:rsidRPr="00FD3FDD">
        <w:rPr>
          <w:rFonts w:ascii="Verdana" w:hAnsi="Verdana"/>
        </w:rPr>
        <w:lastRenderedPageBreak/>
        <w:t xml:space="preserve">Por último, lo invitamos a seguirnos en las redes sociales en las cuales se difunde información institucional: </w:t>
      </w:r>
    </w:p>
    <w:p w14:paraId="7C34B4E4" w14:textId="77777777" w:rsidR="00E65D8B" w:rsidRPr="00FD3FDD" w:rsidRDefault="00E65D8B" w:rsidP="00E65D8B">
      <w:pPr>
        <w:spacing w:after="0" w:line="276" w:lineRule="auto"/>
        <w:jc w:val="both"/>
        <w:rPr>
          <w:rFonts w:ascii="Verdana" w:hAnsi="Verdana"/>
        </w:rPr>
      </w:pPr>
    </w:p>
    <w:p w14:paraId="0D0C7D6D" w14:textId="77777777" w:rsidR="00E65D8B" w:rsidRPr="00FD3FDD" w:rsidRDefault="00E65D8B" w:rsidP="00E65D8B">
      <w:pPr>
        <w:spacing w:after="0" w:line="276" w:lineRule="auto"/>
        <w:jc w:val="both"/>
        <w:rPr>
          <w:rFonts w:ascii="Verdana" w:hAnsi="Verdana"/>
        </w:rPr>
      </w:pPr>
      <w:r w:rsidRPr="00FD3FDD">
        <w:rPr>
          <w:rFonts w:ascii="Verdana" w:hAnsi="Verdana"/>
        </w:rPr>
        <w:t xml:space="preserve">Twitter: </w:t>
      </w:r>
      <w:r w:rsidRPr="00FD3FDD">
        <w:rPr>
          <w:rFonts w:ascii="Verdana" w:hAnsi="Verdana"/>
          <w:color w:val="156082" w:themeColor="accent1"/>
          <w:u w:val="single"/>
        </w:rPr>
        <w:t>@colombiacompra</w:t>
      </w:r>
      <w:r w:rsidRPr="00FD3FDD">
        <w:rPr>
          <w:rFonts w:ascii="Verdana" w:hAnsi="Verdana"/>
          <w:color w:val="156082" w:themeColor="accent1"/>
        </w:rPr>
        <w:t xml:space="preserve"> </w:t>
      </w:r>
    </w:p>
    <w:p w14:paraId="333475F9" w14:textId="77777777" w:rsidR="00E65D8B" w:rsidRPr="00FD3FDD" w:rsidRDefault="00E65D8B" w:rsidP="00E65D8B">
      <w:pPr>
        <w:spacing w:after="0" w:line="276" w:lineRule="auto"/>
        <w:jc w:val="both"/>
        <w:rPr>
          <w:rFonts w:ascii="Verdana" w:hAnsi="Verdana"/>
        </w:rPr>
      </w:pPr>
      <w:r w:rsidRPr="00FD3FDD">
        <w:rPr>
          <w:rFonts w:ascii="Verdana" w:hAnsi="Verdana"/>
        </w:rPr>
        <w:t xml:space="preserve">Facebook: </w:t>
      </w:r>
      <w:proofErr w:type="spellStart"/>
      <w:r w:rsidRPr="00FD3FDD">
        <w:rPr>
          <w:rFonts w:ascii="Verdana" w:hAnsi="Verdana"/>
          <w:color w:val="156082" w:themeColor="accent1"/>
          <w:u w:val="single"/>
        </w:rPr>
        <w:t>ColombiaCompraEficiente</w:t>
      </w:r>
      <w:proofErr w:type="spellEnd"/>
    </w:p>
    <w:p w14:paraId="7E9E8DD9" w14:textId="77777777" w:rsidR="00E65D8B" w:rsidRPr="00FD3FDD" w:rsidRDefault="00E65D8B" w:rsidP="00E65D8B">
      <w:pPr>
        <w:spacing w:after="0" w:line="276" w:lineRule="auto"/>
        <w:jc w:val="both"/>
        <w:rPr>
          <w:rFonts w:ascii="Verdana" w:hAnsi="Verdana"/>
        </w:rPr>
      </w:pPr>
      <w:r w:rsidRPr="00FD3FDD">
        <w:rPr>
          <w:rFonts w:ascii="Verdana" w:hAnsi="Verdana"/>
        </w:rPr>
        <w:t xml:space="preserve">LinkedIn: </w:t>
      </w:r>
      <w:r w:rsidRPr="00FD3FDD">
        <w:rPr>
          <w:rFonts w:ascii="Verdana" w:hAnsi="Verdana"/>
          <w:color w:val="156082" w:themeColor="accent1"/>
          <w:u w:val="single"/>
        </w:rPr>
        <w:t>Agencia Nacional de Contratación Pública - Colombia Compra Eficiente</w:t>
      </w:r>
      <w:r w:rsidRPr="00FD3FDD">
        <w:rPr>
          <w:rFonts w:ascii="Verdana" w:hAnsi="Verdana"/>
          <w:color w:val="156082" w:themeColor="accent1"/>
        </w:rPr>
        <w:t xml:space="preserve"> </w:t>
      </w:r>
      <w:r w:rsidRPr="00FD3FDD">
        <w:rPr>
          <w:rFonts w:ascii="Verdana" w:hAnsi="Verdana"/>
        </w:rPr>
        <w:t xml:space="preserve">Instagram: </w:t>
      </w:r>
      <w:r w:rsidRPr="00FD3FDD">
        <w:rPr>
          <w:rFonts w:ascii="Verdana" w:hAnsi="Verdana"/>
          <w:color w:val="156082" w:themeColor="accent1"/>
          <w:u w:val="single"/>
        </w:rPr>
        <w:t>@colombiacompraeficiente_cce</w:t>
      </w:r>
    </w:p>
    <w:p w14:paraId="23B4A71C" w14:textId="77777777" w:rsidR="00E65D8B" w:rsidRPr="00FD3FDD" w:rsidRDefault="00E65D8B" w:rsidP="00E65D8B">
      <w:pPr>
        <w:widowControl w:val="0"/>
        <w:autoSpaceDE w:val="0"/>
        <w:autoSpaceDN w:val="0"/>
        <w:spacing w:after="0" w:line="276" w:lineRule="auto"/>
        <w:jc w:val="both"/>
        <w:rPr>
          <w:rFonts w:ascii="Verdana" w:hAnsi="Verdana" w:cs="Arial"/>
        </w:rPr>
      </w:pPr>
    </w:p>
    <w:p w14:paraId="647B9897" w14:textId="77777777" w:rsidR="00E65D8B" w:rsidRPr="00FD3FDD" w:rsidRDefault="00E65D8B" w:rsidP="00E65D8B">
      <w:pPr>
        <w:widowControl w:val="0"/>
        <w:autoSpaceDE w:val="0"/>
        <w:autoSpaceDN w:val="0"/>
        <w:spacing w:after="0" w:line="276" w:lineRule="auto"/>
        <w:jc w:val="both"/>
        <w:rPr>
          <w:rFonts w:ascii="Verdana" w:hAnsi="Verdana" w:cs="Arial"/>
          <w:lang w:val="es-ES_tradnl"/>
        </w:rPr>
      </w:pPr>
      <w:r w:rsidRPr="00FD3FDD">
        <w:rPr>
          <w:rFonts w:ascii="Verdana" w:hAnsi="Verdana" w:cs="Arial"/>
        </w:rPr>
        <w:t xml:space="preserve">Este concepto tiene el alcance previsto en el artículo 28 del Código de Procedimiento Administrativo y de lo Contencioso Administrativo </w:t>
      </w:r>
      <w:r w:rsidRPr="00FD3FDD">
        <w:rPr>
          <w:rFonts w:ascii="Verdana" w:hAnsi="Verdana" w:cs="Arial"/>
          <w:lang w:val="es-ES_tradnl"/>
        </w:rPr>
        <w:t>y las expresiones aquí utilizadas con mayúscula inicial deben ser entendidas con el significado que les otorga el artículo 2.2.1.1.1.3.1. del Decreto 1082 de 2015.</w:t>
      </w:r>
    </w:p>
    <w:p w14:paraId="7499B444" w14:textId="77777777" w:rsidR="00E65D8B" w:rsidRPr="00FD3FDD" w:rsidRDefault="00E65D8B" w:rsidP="00E65D8B">
      <w:pPr>
        <w:widowControl w:val="0"/>
        <w:autoSpaceDE w:val="0"/>
        <w:autoSpaceDN w:val="0"/>
        <w:spacing w:after="0" w:line="276" w:lineRule="auto"/>
        <w:jc w:val="both"/>
        <w:rPr>
          <w:rFonts w:ascii="Verdana" w:hAnsi="Verdana" w:cs="Arial"/>
        </w:rPr>
      </w:pPr>
    </w:p>
    <w:p w14:paraId="47A5859F" w14:textId="77777777" w:rsidR="00E65D8B" w:rsidRPr="00FD3FDD" w:rsidRDefault="00E65D8B" w:rsidP="00E65D8B">
      <w:pPr>
        <w:spacing w:after="0" w:line="276" w:lineRule="auto"/>
        <w:rPr>
          <w:rFonts w:ascii="Verdana" w:hAnsi="Verdana" w:cs="Arial"/>
          <w:lang w:eastAsia="es-CO"/>
        </w:rPr>
      </w:pPr>
      <w:r w:rsidRPr="00FD3FDD">
        <w:rPr>
          <w:rFonts w:ascii="Verdana" w:eastAsia="Times New Roman" w:hAnsi="Verdana" w:cs="Arial"/>
          <w:lang w:eastAsia="es-CO"/>
        </w:rPr>
        <w:t>Atentamente,</w:t>
      </w:r>
      <w:r w:rsidRPr="00FD3FDD">
        <w:rPr>
          <w:rFonts w:ascii="Verdana" w:hAnsi="Verdana" w:cs="Arial"/>
          <w:lang w:eastAsia="es-CO"/>
        </w:rPr>
        <w:t xml:space="preserve"> </w:t>
      </w:r>
    </w:p>
    <w:p w14:paraId="3403F469" w14:textId="18FF7712" w:rsidR="00E65D8B" w:rsidRPr="00BA2656" w:rsidRDefault="00E65D8B" w:rsidP="00E65D8B">
      <w:pPr>
        <w:spacing w:line="276" w:lineRule="auto"/>
        <w:jc w:val="center"/>
        <w:rPr>
          <w:rFonts w:ascii="Verdana" w:hAnsi="Verdana" w:cs="Arial"/>
          <w:lang w:val="es-ES_tradnl" w:eastAsia="es-CO"/>
        </w:rPr>
      </w:pPr>
      <w:r w:rsidRPr="00BA2656">
        <w:rPr>
          <w:rFonts w:ascii="Verdana" w:hAnsi="Verdana" w:cs="Arial"/>
          <w:lang w:eastAsia="es-CO"/>
        </w:rPr>
        <w:br/>
      </w:r>
      <w:r w:rsidR="00801FDE">
        <w:rPr>
          <w:noProof/>
        </w:rPr>
        <w:drawing>
          <wp:inline distT="0" distB="0" distL="0" distR="0" wp14:anchorId="61DA2CAE" wp14:editId="32343C71">
            <wp:extent cx="3774440" cy="1414145"/>
            <wp:effectExtent l="0" t="0" r="0" b="0"/>
            <wp:docPr id="65234473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4440" cy="1414145"/>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E65D8B" w:rsidRPr="00BA2656" w14:paraId="3DD4B63E" w14:textId="77777777" w:rsidTr="00733B1A">
        <w:trPr>
          <w:trHeight w:val="286"/>
        </w:trPr>
        <w:tc>
          <w:tcPr>
            <w:tcW w:w="901" w:type="dxa"/>
            <w:vAlign w:val="center"/>
            <w:hideMark/>
          </w:tcPr>
          <w:p w14:paraId="16C43D35" w14:textId="77777777" w:rsidR="00E65D8B" w:rsidRPr="00BA2656" w:rsidRDefault="00E65D8B" w:rsidP="00733B1A">
            <w:pPr>
              <w:rPr>
                <w:rFonts w:ascii="Verdana" w:hAnsi="Verdana" w:cs="Arial"/>
                <w:sz w:val="14"/>
                <w:szCs w:val="14"/>
                <w:lang w:eastAsia="es-ES"/>
              </w:rPr>
            </w:pPr>
            <w:r w:rsidRPr="00BA2656">
              <w:rPr>
                <w:rFonts w:ascii="Verdana"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016CE4A9" w14:textId="77777777" w:rsidR="00E65D8B" w:rsidRPr="00BA2656" w:rsidRDefault="00E65D8B" w:rsidP="00733B1A">
            <w:pPr>
              <w:rPr>
                <w:rFonts w:ascii="Verdana" w:hAnsi="Verdana" w:cs="Arial"/>
                <w:sz w:val="14"/>
                <w:szCs w:val="14"/>
                <w:lang w:eastAsia="es-ES"/>
              </w:rPr>
            </w:pPr>
            <w:r w:rsidRPr="00BA2656">
              <w:rPr>
                <w:rFonts w:ascii="Verdana" w:hAnsi="Verdana" w:cs="Arial"/>
                <w:sz w:val="14"/>
                <w:szCs w:val="14"/>
                <w:lang w:eastAsia="es-ES"/>
              </w:rPr>
              <w:t>Nasly Yeana Mosquera Rivas</w:t>
            </w:r>
          </w:p>
          <w:p w14:paraId="498CE908" w14:textId="77777777" w:rsidR="00E65D8B" w:rsidRPr="00BA2656" w:rsidRDefault="00E65D8B" w:rsidP="00733B1A">
            <w:pPr>
              <w:rPr>
                <w:rFonts w:ascii="Verdana" w:hAnsi="Verdana" w:cs="Arial"/>
                <w:sz w:val="14"/>
                <w:szCs w:val="14"/>
                <w:lang w:eastAsia="es-ES"/>
              </w:rPr>
            </w:pPr>
            <w:r w:rsidRPr="00BA2656">
              <w:rPr>
                <w:rFonts w:ascii="Verdana" w:hAnsi="Verdana" w:cs="Arial"/>
                <w:sz w:val="14"/>
                <w:szCs w:val="14"/>
                <w:lang w:eastAsia="es-ES"/>
              </w:rPr>
              <w:t>Analista T2–06 de la Subdirección de Gestión Contractual</w:t>
            </w:r>
          </w:p>
        </w:tc>
      </w:tr>
      <w:tr w:rsidR="00E65D8B" w:rsidRPr="00BA2656" w14:paraId="342BADCC" w14:textId="77777777" w:rsidTr="00733B1A">
        <w:trPr>
          <w:trHeight w:val="299"/>
        </w:trPr>
        <w:tc>
          <w:tcPr>
            <w:tcW w:w="901" w:type="dxa"/>
            <w:vAlign w:val="center"/>
          </w:tcPr>
          <w:p w14:paraId="246041C4" w14:textId="77777777" w:rsidR="00E65D8B" w:rsidRPr="00BA2656" w:rsidRDefault="00E65D8B" w:rsidP="00733B1A">
            <w:pPr>
              <w:rPr>
                <w:rFonts w:ascii="Verdana" w:hAnsi="Verdana" w:cs="Arial"/>
                <w:sz w:val="14"/>
                <w:szCs w:val="14"/>
                <w:lang w:eastAsia="es-ES"/>
              </w:rPr>
            </w:pPr>
            <w:r w:rsidRPr="00BA2656">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1BC7BC7E" w14:textId="77777777" w:rsidR="00E65D8B" w:rsidRPr="00BA2656" w:rsidRDefault="00E65D8B" w:rsidP="00733B1A">
            <w:pPr>
              <w:rPr>
                <w:rFonts w:ascii="Verdana" w:hAnsi="Verdana" w:cs="Arial"/>
                <w:sz w:val="14"/>
                <w:szCs w:val="14"/>
                <w:lang w:eastAsia="es-ES"/>
              </w:rPr>
            </w:pPr>
            <w:r w:rsidRPr="00BA2656">
              <w:rPr>
                <w:rFonts w:ascii="Verdana" w:hAnsi="Verdana" w:cs="Arial"/>
                <w:sz w:val="14"/>
                <w:szCs w:val="14"/>
                <w:lang w:eastAsia="es-ES"/>
              </w:rPr>
              <w:t>Diana Lucía Saavedra Castañeda</w:t>
            </w:r>
          </w:p>
          <w:p w14:paraId="589701C4" w14:textId="77777777" w:rsidR="00E65D8B" w:rsidRPr="00BA2656" w:rsidRDefault="00E65D8B" w:rsidP="00733B1A">
            <w:pPr>
              <w:rPr>
                <w:rFonts w:ascii="Verdana" w:hAnsi="Verdana" w:cs="Arial"/>
                <w:sz w:val="14"/>
                <w:szCs w:val="14"/>
                <w:lang w:eastAsia="es-ES"/>
              </w:rPr>
            </w:pPr>
            <w:r w:rsidRPr="00BA2656">
              <w:rPr>
                <w:rFonts w:ascii="Verdana" w:hAnsi="Verdana" w:cs="Arial"/>
                <w:sz w:val="14"/>
                <w:szCs w:val="14"/>
                <w:lang w:eastAsia="es-ES"/>
              </w:rPr>
              <w:t>Contratista de la Subdirección de Gestión Contractual</w:t>
            </w:r>
          </w:p>
        </w:tc>
      </w:tr>
      <w:tr w:rsidR="00E65D8B" w:rsidRPr="00BA2656" w14:paraId="4552EAA6" w14:textId="77777777" w:rsidTr="00733B1A">
        <w:trPr>
          <w:trHeight w:val="272"/>
        </w:trPr>
        <w:tc>
          <w:tcPr>
            <w:tcW w:w="901" w:type="dxa"/>
            <w:vAlign w:val="center"/>
            <w:hideMark/>
          </w:tcPr>
          <w:p w14:paraId="0AB72CAD" w14:textId="77777777" w:rsidR="00E65D8B" w:rsidRPr="00BA2656" w:rsidRDefault="00E65D8B" w:rsidP="00733B1A">
            <w:pPr>
              <w:rPr>
                <w:rFonts w:ascii="Verdana" w:hAnsi="Verdana" w:cs="Arial"/>
                <w:sz w:val="14"/>
                <w:szCs w:val="14"/>
                <w:lang w:eastAsia="es-ES"/>
              </w:rPr>
            </w:pPr>
            <w:r w:rsidRPr="00BA2656">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303999DA" w14:textId="77777777" w:rsidR="00E65D8B" w:rsidRPr="00BA2656" w:rsidRDefault="00E65D8B" w:rsidP="00733B1A">
            <w:pPr>
              <w:rPr>
                <w:rFonts w:ascii="Verdana" w:hAnsi="Verdana" w:cs="Arial"/>
                <w:sz w:val="14"/>
                <w:szCs w:val="14"/>
                <w:lang w:eastAsia="es-ES"/>
              </w:rPr>
            </w:pPr>
            <w:r w:rsidRPr="00BA2656">
              <w:rPr>
                <w:rFonts w:ascii="Verdana" w:hAnsi="Verdana" w:cs="Arial"/>
                <w:sz w:val="14"/>
                <w:szCs w:val="14"/>
                <w:lang w:eastAsia="es-ES"/>
              </w:rPr>
              <w:t>Carolina Quintero Gacharná</w:t>
            </w:r>
          </w:p>
          <w:p w14:paraId="2CD01218" w14:textId="77777777" w:rsidR="00E65D8B" w:rsidRPr="00BA2656" w:rsidRDefault="00E65D8B" w:rsidP="00733B1A">
            <w:pPr>
              <w:rPr>
                <w:rFonts w:ascii="Verdana" w:hAnsi="Verdana" w:cs="Arial"/>
                <w:sz w:val="14"/>
                <w:szCs w:val="14"/>
                <w:lang w:eastAsia="es-ES"/>
              </w:rPr>
            </w:pPr>
            <w:r w:rsidRPr="00BA2656">
              <w:rPr>
                <w:rFonts w:ascii="Verdana" w:hAnsi="Verdana" w:cs="Arial"/>
                <w:sz w:val="14"/>
                <w:szCs w:val="14"/>
                <w:lang w:eastAsia="es-ES"/>
              </w:rPr>
              <w:t>Subdirectora de Gestión Contractual ANCP – CCE</w:t>
            </w:r>
          </w:p>
        </w:tc>
      </w:tr>
    </w:tbl>
    <w:p w14:paraId="1900CA88" w14:textId="77777777" w:rsidR="00E65D8B" w:rsidRPr="00BA2656" w:rsidRDefault="00E65D8B" w:rsidP="00E65D8B">
      <w:pPr>
        <w:spacing w:after="0" w:line="240" w:lineRule="auto"/>
        <w:rPr>
          <w:rFonts w:ascii="Verdana" w:eastAsia="Times New Roman" w:hAnsi="Verdana" w:cs="Arial"/>
          <w:sz w:val="24"/>
          <w:szCs w:val="24"/>
          <w:lang w:eastAsia="es-ES"/>
        </w:rPr>
      </w:pPr>
    </w:p>
    <w:p w14:paraId="4E669048" w14:textId="77777777" w:rsidR="00E65D8B" w:rsidRPr="00BA2656" w:rsidRDefault="00E65D8B" w:rsidP="00E65D8B">
      <w:pPr>
        <w:rPr>
          <w:rFonts w:ascii="Verdana" w:hAnsi="Verdana"/>
        </w:rPr>
      </w:pPr>
    </w:p>
    <w:p w14:paraId="4FBA01EE" w14:textId="77777777" w:rsidR="00E65D8B" w:rsidRPr="00BA2656" w:rsidRDefault="00E65D8B" w:rsidP="00E65D8B">
      <w:pPr>
        <w:rPr>
          <w:rFonts w:ascii="Verdana" w:hAnsi="Verdana"/>
        </w:rPr>
      </w:pPr>
    </w:p>
    <w:p w14:paraId="2DE8F741" w14:textId="1207AA18" w:rsidR="00E65D8B" w:rsidRPr="000E2B93" w:rsidRDefault="00E65D8B" w:rsidP="00E65D8B">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3CD0CD5E" w14:textId="77777777" w:rsidR="00E65D8B" w:rsidRDefault="00E65D8B"/>
    <w:sectPr w:rsidR="00E65D8B" w:rsidSect="00E65D8B">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6D960" w14:textId="77777777" w:rsidR="008F5CC3" w:rsidRDefault="008F5CC3" w:rsidP="00E65D8B">
      <w:pPr>
        <w:spacing w:after="0" w:line="240" w:lineRule="auto"/>
      </w:pPr>
      <w:r>
        <w:separator/>
      </w:r>
    </w:p>
  </w:endnote>
  <w:endnote w:type="continuationSeparator" w:id="0">
    <w:p w14:paraId="6A05E03B" w14:textId="77777777" w:rsidR="008F5CC3" w:rsidRDefault="008F5CC3" w:rsidP="00E6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EAABB" w14:textId="77777777" w:rsidR="00E65D8B" w:rsidRDefault="00E65D8B">
    <w:pPr>
      <w:pStyle w:val="Piedepgina"/>
    </w:pPr>
  </w:p>
  <w:p w14:paraId="1188D1E1" w14:textId="77777777" w:rsidR="00E65D8B" w:rsidRPr="00174B77" w:rsidRDefault="00E65D8B"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48E867A6" w14:textId="77777777" w:rsidR="00E65D8B" w:rsidRDefault="00E65D8B"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16DD2D04" w14:textId="77777777" w:rsidR="00E65D8B" w:rsidRPr="00E41027" w:rsidRDefault="00E65D8B"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3E14A089" w14:textId="77777777" w:rsidR="00E65D8B" w:rsidRDefault="00E65D8B"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F6C99" w14:textId="77777777" w:rsidR="008F5CC3" w:rsidRDefault="008F5CC3" w:rsidP="00E65D8B">
      <w:pPr>
        <w:spacing w:after="0" w:line="240" w:lineRule="auto"/>
      </w:pPr>
      <w:r>
        <w:separator/>
      </w:r>
    </w:p>
  </w:footnote>
  <w:footnote w:type="continuationSeparator" w:id="0">
    <w:p w14:paraId="037FBCCF" w14:textId="77777777" w:rsidR="008F5CC3" w:rsidRDefault="008F5CC3" w:rsidP="00E65D8B">
      <w:pPr>
        <w:spacing w:after="0" w:line="240" w:lineRule="auto"/>
      </w:pPr>
      <w:r>
        <w:continuationSeparator/>
      </w:r>
    </w:p>
  </w:footnote>
  <w:footnote w:id="1">
    <w:p w14:paraId="6FC9A8E0" w14:textId="77777777" w:rsidR="00E65D8B" w:rsidRPr="00A353F8" w:rsidRDefault="00E65D8B" w:rsidP="00E65D8B">
      <w:pPr>
        <w:pStyle w:val="Textonotapie"/>
        <w:ind w:firstLine="709"/>
        <w:jc w:val="both"/>
        <w:rPr>
          <w:rFonts w:ascii="Verdana" w:hAnsi="Verdana" w:cs="Arial"/>
          <w:color w:val="000000"/>
          <w:sz w:val="14"/>
          <w:szCs w:val="14"/>
        </w:rPr>
      </w:pPr>
      <w:r w:rsidRPr="00F914AD">
        <w:rPr>
          <w:rStyle w:val="Refdenotaalpie"/>
          <w:rFonts w:ascii="Verdana" w:hAnsi="Verdana" w:cs="Arial"/>
          <w:sz w:val="14"/>
          <w:szCs w:val="14"/>
        </w:rPr>
        <w:footnoteRef/>
      </w:r>
      <w:r w:rsidRPr="00F914AD">
        <w:rPr>
          <w:rFonts w:ascii="Verdana" w:hAnsi="Verdana" w:cs="Arial"/>
          <w:sz w:val="14"/>
          <w:szCs w:val="14"/>
        </w:rPr>
        <w:t xml:space="preserve"> </w:t>
      </w:r>
      <w:r w:rsidRPr="00F914AD">
        <w:rPr>
          <w:rFonts w:ascii="Verdana" w:hAnsi="Verdana" w:cs="Arial"/>
          <w:sz w:val="14"/>
          <w:szCs w:val="14"/>
          <w:lang w:val="es-CO"/>
        </w:rPr>
        <w:t xml:space="preserve">Disponible en </w:t>
      </w:r>
      <w:hyperlink r:id="rId1" w:history="1">
        <w:r w:rsidRPr="00792A99">
          <w:rPr>
            <w:rStyle w:val="Hipervnculo"/>
            <w:rFonts w:ascii="Verdana" w:hAnsi="Verdana" w:cs="Arial"/>
            <w:sz w:val="14"/>
            <w:szCs w:val="14"/>
            <w:lang w:val="es-CO"/>
          </w:rPr>
          <w:t>https://www.colombiacompra.gov.co/archivos/manual/guia-para-la-elaboracion-de-estudios-del-sector</w:t>
        </w:r>
      </w:hyperlink>
      <w:r>
        <w:rPr>
          <w:rFonts w:ascii="Verdana" w:hAnsi="Verdana" w:cs="Arial"/>
          <w:sz w:val="14"/>
          <w:szCs w:val="14"/>
          <w:lang w:val="es-CO"/>
        </w:rPr>
        <w:t xml:space="preserve"> </w:t>
      </w:r>
    </w:p>
  </w:footnote>
  <w:footnote w:id="2">
    <w:p w14:paraId="60053623" w14:textId="77777777" w:rsidR="00E65D8B" w:rsidRPr="0003586C" w:rsidRDefault="00E65D8B" w:rsidP="00E65D8B">
      <w:pPr>
        <w:pStyle w:val="Textonotapie"/>
        <w:ind w:firstLine="709"/>
        <w:jc w:val="both"/>
        <w:rPr>
          <w:rFonts w:ascii="Verdana" w:hAnsi="Verdana" w:cs="Arial"/>
          <w:sz w:val="16"/>
          <w:szCs w:val="16"/>
        </w:rPr>
      </w:pPr>
      <w:r w:rsidRPr="0003586C">
        <w:rPr>
          <w:rStyle w:val="Refdenotaalpie"/>
          <w:rFonts w:ascii="Verdana" w:hAnsi="Verdana" w:cs="Arial"/>
          <w:sz w:val="16"/>
          <w:szCs w:val="16"/>
        </w:rPr>
        <w:footnoteRef/>
      </w:r>
      <w:r w:rsidRPr="0003586C">
        <w:rPr>
          <w:rFonts w:ascii="Verdana" w:hAnsi="Verdana" w:cs="Arial"/>
          <w:sz w:val="16"/>
          <w:szCs w:val="16"/>
        </w:rPr>
        <w:t xml:space="preserve"> MATALLANA CAMACHO, Ernesto. Manual de contratación de la administración pública. Segunda Edición. Bogotá: Universidad Externado de Colombia, 2009. p. 705.</w:t>
      </w:r>
    </w:p>
  </w:footnote>
  <w:footnote w:id="3">
    <w:p w14:paraId="42FABA60" w14:textId="77777777" w:rsidR="00E65D8B" w:rsidRDefault="00E65D8B" w:rsidP="00E65D8B">
      <w:pPr>
        <w:spacing w:after="0" w:line="240" w:lineRule="auto"/>
        <w:ind w:firstLine="709"/>
        <w:jc w:val="both"/>
        <w:rPr>
          <w:rFonts w:ascii="Verdana" w:hAnsi="Verdana" w:cs="Arial"/>
          <w:sz w:val="16"/>
          <w:szCs w:val="16"/>
        </w:rPr>
      </w:pPr>
    </w:p>
    <w:p w14:paraId="27CCD0AA" w14:textId="77777777" w:rsidR="00E65D8B" w:rsidRPr="0003586C" w:rsidRDefault="00E65D8B" w:rsidP="00E65D8B">
      <w:pPr>
        <w:spacing w:after="0" w:line="240" w:lineRule="auto"/>
        <w:ind w:firstLine="709"/>
        <w:jc w:val="both"/>
        <w:rPr>
          <w:rFonts w:ascii="Verdana" w:hAnsi="Verdana" w:cs="Arial"/>
          <w:sz w:val="16"/>
          <w:szCs w:val="16"/>
        </w:rPr>
      </w:pPr>
      <w:r w:rsidRPr="0003586C">
        <w:rPr>
          <w:rStyle w:val="Refdenotaalpie"/>
          <w:rFonts w:ascii="Verdana" w:hAnsi="Verdana" w:cs="Arial"/>
          <w:sz w:val="16"/>
          <w:szCs w:val="16"/>
        </w:rPr>
        <w:footnoteRef/>
      </w:r>
      <w:r w:rsidRPr="0003586C">
        <w:rPr>
          <w:rFonts w:ascii="Verdana" w:hAnsi="Verdana" w:cs="Arial"/>
          <w:sz w:val="16"/>
          <w:szCs w:val="16"/>
        </w:rPr>
        <w:t xml:space="preserve"> </w:t>
      </w:r>
      <w:r w:rsidRPr="0003586C">
        <w:rPr>
          <w:rFonts w:ascii="Verdana" w:eastAsia="Calibri" w:hAnsi="Verdana" w:cs="Arial"/>
          <w:sz w:val="16"/>
          <w:szCs w:val="16"/>
          <w:lang w:val="es-ES_tradnl"/>
        </w:rPr>
        <w:t xml:space="preserve">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w:t>
      </w:r>
      <w:proofErr w:type="gramStart"/>
      <w:r w:rsidRPr="0003586C">
        <w:rPr>
          <w:rFonts w:ascii="Verdana" w:eastAsia="Calibri" w:hAnsi="Verdana" w:cs="Arial"/>
          <w:sz w:val="16"/>
          <w:szCs w:val="16"/>
          <w:lang w:val="es-ES_tradnl"/>
        </w:rPr>
        <w:t>Ministros</w:t>
      </w:r>
      <w:proofErr w:type="gramEnd"/>
      <w:r w:rsidRPr="0003586C">
        <w:rPr>
          <w:rFonts w:ascii="Verdana" w:eastAsia="Calibri" w:hAnsi="Verdana" w:cs="Arial"/>
          <w:sz w:val="16"/>
          <w:szCs w:val="16"/>
          <w:lang w:val="es-ES_tradnl"/>
        </w:rPr>
        <w:t xml:space="preserve">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03586C">
        <w:rPr>
          <w:rFonts w:ascii="Verdana" w:hAnsi="Verdana" w:cs="Arial"/>
          <w:sz w:val="16"/>
          <w:szCs w:val="16"/>
        </w:rPr>
        <w:t>CONGRESO DE LA REPÚBLICA. Exposición de motivos de la Ley 80 de 1993. Gaceta del Congreso No. 75 del 23 de septiembre de 1992).</w:t>
      </w:r>
    </w:p>
  </w:footnote>
  <w:footnote w:id="4">
    <w:p w14:paraId="776DD0C9" w14:textId="77777777" w:rsidR="00E65D8B" w:rsidRDefault="00E65D8B" w:rsidP="00E65D8B">
      <w:pPr>
        <w:pStyle w:val="Textonotapie"/>
        <w:ind w:firstLine="708"/>
        <w:jc w:val="both"/>
        <w:rPr>
          <w:rFonts w:ascii="Verdana" w:hAnsi="Verdana" w:cs="Arial"/>
          <w:sz w:val="16"/>
          <w:szCs w:val="16"/>
        </w:rPr>
      </w:pPr>
    </w:p>
    <w:p w14:paraId="4AEFB6B7" w14:textId="77777777" w:rsidR="00E65D8B" w:rsidRPr="0003586C" w:rsidRDefault="00E65D8B" w:rsidP="00E65D8B">
      <w:pPr>
        <w:pStyle w:val="Textonotapie"/>
        <w:ind w:firstLine="708"/>
        <w:jc w:val="both"/>
        <w:rPr>
          <w:rFonts w:ascii="Verdana" w:hAnsi="Verdana" w:cs="Arial"/>
          <w:sz w:val="16"/>
          <w:szCs w:val="16"/>
        </w:rPr>
      </w:pPr>
      <w:r w:rsidRPr="0003586C">
        <w:rPr>
          <w:rStyle w:val="Refdenotaalpie"/>
          <w:rFonts w:ascii="Verdana" w:hAnsi="Verdana" w:cs="Arial"/>
          <w:sz w:val="16"/>
          <w:szCs w:val="16"/>
        </w:rPr>
        <w:footnoteRef/>
      </w:r>
      <w:r w:rsidRPr="0003586C">
        <w:rPr>
          <w:rFonts w:ascii="Verdana" w:hAnsi="Verdana" w:cs="Arial"/>
          <w:sz w:val="16"/>
          <w:szCs w:val="16"/>
        </w:rPr>
        <w:t xml:space="preserve"> DROMI, José Roberto. La licitación pública. Buenos Aires: Ciudad Argentina, 1980. p. 166-168.</w:t>
      </w:r>
    </w:p>
  </w:footnote>
  <w:footnote w:id="5">
    <w:p w14:paraId="69416285" w14:textId="77777777" w:rsidR="00E65D8B" w:rsidRPr="004172E3" w:rsidRDefault="00E65D8B" w:rsidP="00E65D8B">
      <w:pPr>
        <w:pStyle w:val="Textonotapie"/>
        <w:ind w:firstLine="708"/>
        <w:jc w:val="both"/>
        <w:rPr>
          <w:rFonts w:ascii="Verdana" w:hAnsi="Verdana" w:cs="Arial"/>
          <w:sz w:val="14"/>
          <w:szCs w:val="14"/>
        </w:rPr>
      </w:pPr>
    </w:p>
    <w:p w14:paraId="0C6D7291" w14:textId="77777777" w:rsidR="00E65D8B" w:rsidRPr="00F510F0" w:rsidRDefault="00E65D8B" w:rsidP="00E65D8B">
      <w:pPr>
        <w:pStyle w:val="Textonotapie"/>
        <w:ind w:firstLine="708"/>
        <w:jc w:val="both"/>
        <w:rPr>
          <w:rFonts w:ascii="Verdana" w:hAnsi="Verdana" w:cs="Arial"/>
          <w:sz w:val="14"/>
          <w:szCs w:val="14"/>
        </w:rPr>
      </w:pPr>
      <w:r w:rsidRPr="004172E3">
        <w:rPr>
          <w:rStyle w:val="Refdenotaalpie"/>
          <w:rFonts w:ascii="Verdana" w:hAnsi="Verdana" w:cs="Arial"/>
          <w:sz w:val="14"/>
          <w:szCs w:val="14"/>
        </w:rPr>
        <w:footnoteRef/>
      </w:r>
      <w:r w:rsidRPr="004172E3">
        <w:rPr>
          <w:rFonts w:ascii="Verdana" w:hAnsi="Verdana" w:cs="Arial"/>
          <w:sz w:val="14"/>
          <w:szCs w:val="14"/>
        </w:rPr>
        <w:t xml:space="preserve"> CONSEJO DE ESTADO. Sala de Consulta y de Servicio Civil. Concepto del 28 de enero de 1998. Rad. 1.073. C.P. Javier Henao Hidrón.</w:t>
      </w:r>
    </w:p>
  </w:footnote>
  <w:footnote w:id="6">
    <w:p w14:paraId="5DD0EDE1" w14:textId="77777777" w:rsidR="00E65D8B" w:rsidRPr="0003586C" w:rsidRDefault="00E65D8B" w:rsidP="00E65D8B">
      <w:pPr>
        <w:pStyle w:val="Textonotapie"/>
        <w:ind w:firstLine="708"/>
        <w:jc w:val="both"/>
        <w:rPr>
          <w:rFonts w:ascii="Verdana" w:hAnsi="Verdana" w:cs="Arial"/>
          <w:sz w:val="16"/>
          <w:szCs w:val="16"/>
        </w:rPr>
      </w:pPr>
      <w:r w:rsidRPr="0003586C">
        <w:rPr>
          <w:rStyle w:val="Refdenotaalpie"/>
          <w:rFonts w:ascii="Verdana" w:hAnsi="Verdana" w:cs="Arial"/>
          <w:sz w:val="16"/>
          <w:szCs w:val="16"/>
        </w:rPr>
        <w:footnoteRef/>
      </w:r>
      <w:r w:rsidRPr="0003586C">
        <w:rPr>
          <w:rFonts w:ascii="Verdana" w:hAnsi="Verdana" w:cs="Arial"/>
          <w:sz w:val="16"/>
          <w:szCs w:val="16"/>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7">
    <w:p w14:paraId="3342BC56" w14:textId="77777777" w:rsidR="00E65D8B" w:rsidRPr="0003586C" w:rsidRDefault="00E65D8B" w:rsidP="00E65D8B">
      <w:pPr>
        <w:spacing w:after="0" w:line="240" w:lineRule="auto"/>
        <w:ind w:firstLine="708"/>
        <w:jc w:val="both"/>
        <w:rPr>
          <w:rFonts w:ascii="Verdana" w:hAnsi="Verdana" w:cs="Arial"/>
          <w:sz w:val="16"/>
          <w:szCs w:val="16"/>
        </w:rPr>
      </w:pPr>
      <w:r w:rsidRPr="0003586C">
        <w:rPr>
          <w:rStyle w:val="Refdenotaalpie"/>
          <w:rFonts w:ascii="Verdana" w:hAnsi="Verdana" w:cs="Arial"/>
          <w:sz w:val="16"/>
          <w:szCs w:val="16"/>
        </w:rPr>
        <w:footnoteRef/>
      </w:r>
      <w:r w:rsidRPr="0003586C">
        <w:rPr>
          <w:rStyle w:val="Refdenotaalpie"/>
          <w:rFonts w:ascii="Verdana" w:hAnsi="Verdana" w:cs="Arial"/>
          <w:sz w:val="16"/>
          <w:szCs w:val="16"/>
        </w:rPr>
        <w:t xml:space="preserve">  </w:t>
      </w:r>
      <w:r w:rsidRPr="0003586C">
        <w:rPr>
          <w:rFonts w:ascii="Verdana" w:hAnsi="Verdana" w:cs="Arial"/>
          <w:sz w:val="16"/>
          <w:szCs w:val="16"/>
        </w:rPr>
        <w:t>CONSEJO DE ESTADO. Sección Tercera. Subsección C. Sentencia del 7 de febrero de 2011. Rad. 34.425. C.P. Jaime Orlando Santofimio Gamboa.</w:t>
      </w:r>
    </w:p>
  </w:footnote>
  <w:footnote w:id="8">
    <w:p w14:paraId="224002CA" w14:textId="77777777" w:rsidR="00E65D8B" w:rsidRPr="0003586C" w:rsidRDefault="00E65D8B" w:rsidP="00E65D8B">
      <w:pPr>
        <w:pStyle w:val="Textonotapie"/>
        <w:ind w:firstLine="708"/>
        <w:jc w:val="both"/>
        <w:rPr>
          <w:rFonts w:ascii="Verdana" w:hAnsi="Verdana" w:cs="Arial"/>
          <w:sz w:val="16"/>
          <w:szCs w:val="16"/>
        </w:rPr>
      </w:pPr>
      <w:r w:rsidRPr="0003586C">
        <w:rPr>
          <w:rStyle w:val="Refdenotaalpie"/>
          <w:rFonts w:ascii="Verdana" w:hAnsi="Verdana" w:cs="Arial"/>
          <w:sz w:val="16"/>
          <w:szCs w:val="16"/>
        </w:rPr>
        <w:footnoteRef/>
      </w:r>
      <w:r w:rsidRPr="0003586C">
        <w:rPr>
          <w:rFonts w:ascii="Verdana" w:hAnsi="Verdana" w:cs="Arial"/>
          <w:sz w:val="16"/>
          <w:szCs w:val="16"/>
        </w:rPr>
        <w:t xml:space="preserve"> Cfr. ASAMBLEA NACIONAL CONSTITUYENTE. Gaceta Constitucional </w:t>
      </w:r>
      <w:proofErr w:type="spellStart"/>
      <w:r w:rsidRPr="0003586C">
        <w:rPr>
          <w:rFonts w:ascii="Verdana" w:hAnsi="Verdana" w:cs="Arial"/>
          <w:sz w:val="16"/>
          <w:szCs w:val="16"/>
        </w:rPr>
        <w:t>Nº</w:t>
      </w:r>
      <w:proofErr w:type="spellEnd"/>
      <w:r w:rsidRPr="0003586C">
        <w:rPr>
          <w:rFonts w:ascii="Verdana" w:hAnsi="Verdana" w:cs="Arial"/>
          <w:sz w:val="16"/>
          <w:szCs w:val="16"/>
        </w:rPr>
        <w:t xml:space="preserve"> 76 de mayo 18 de 1991. pp. 12-13.</w:t>
      </w:r>
    </w:p>
  </w:footnote>
  <w:footnote w:id="9">
    <w:p w14:paraId="0CB7C72B" w14:textId="77777777" w:rsidR="00E65D8B" w:rsidRPr="0003586C" w:rsidRDefault="00E65D8B" w:rsidP="00E65D8B">
      <w:pPr>
        <w:spacing w:after="0" w:line="240" w:lineRule="auto"/>
        <w:ind w:firstLine="708"/>
        <w:jc w:val="both"/>
        <w:rPr>
          <w:rFonts w:ascii="Verdana" w:eastAsia="Calibri" w:hAnsi="Verdana" w:cs="Arial"/>
          <w:sz w:val="16"/>
          <w:szCs w:val="16"/>
          <w:lang w:val="es-ES_tradnl"/>
        </w:rPr>
      </w:pPr>
      <w:r w:rsidRPr="0003586C">
        <w:rPr>
          <w:rStyle w:val="Refdenotaalpie"/>
          <w:rFonts w:ascii="Verdana" w:hAnsi="Verdana" w:cs="Arial"/>
          <w:sz w:val="16"/>
          <w:szCs w:val="16"/>
        </w:rPr>
        <w:footnoteRef/>
      </w:r>
      <w:r w:rsidRPr="0003586C">
        <w:rPr>
          <w:rFonts w:ascii="Verdana" w:hAnsi="Verdana" w:cs="Arial"/>
          <w:sz w:val="16"/>
          <w:szCs w:val="16"/>
        </w:rPr>
        <w:t xml:space="preserve"> </w:t>
      </w:r>
      <w:r w:rsidRPr="0003586C">
        <w:rPr>
          <w:rFonts w:ascii="Verdana" w:eastAsia="Calibri" w:hAnsi="Verdana" w:cs="Arial"/>
          <w:sz w:val="16"/>
          <w:szCs w:val="16"/>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03586C">
        <w:rPr>
          <w:rFonts w:ascii="Verdana" w:hAnsi="Verdana" w:cs="Arial"/>
          <w:sz w:val="16"/>
          <w:szCs w:val="16"/>
        </w:rPr>
        <w:t xml:space="preserve">CONSEJO DE ESTADO. Sección Tercera. Sentencia del 27 de abril de 2006. Rad. 5.229. C.P. Ramiro Saavedra Becerra). </w:t>
      </w:r>
    </w:p>
  </w:footnote>
  <w:footnote w:id="10">
    <w:p w14:paraId="0160708D" w14:textId="77777777" w:rsidR="00E65D8B" w:rsidRPr="0003586C" w:rsidRDefault="00E65D8B" w:rsidP="00E65D8B">
      <w:pPr>
        <w:pStyle w:val="Textonotapie"/>
        <w:ind w:firstLine="709"/>
        <w:jc w:val="both"/>
        <w:rPr>
          <w:rFonts w:ascii="Verdana" w:hAnsi="Verdana" w:cs="Arial"/>
          <w:sz w:val="16"/>
          <w:szCs w:val="16"/>
          <w:lang w:val="es-ES"/>
        </w:rPr>
      </w:pPr>
      <w:r w:rsidRPr="0003586C">
        <w:rPr>
          <w:rStyle w:val="Refdenotaalpie"/>
          <w:rFonts w:ascii="Verdana" w:hAnsi="Verdana" w:cs="Arial"/>
          <w:sz w:val="16"/>
          <w:szCs w:val="16"/>
        </w:rPr>
        <w:footnoteRef/>
      </w:r>
      <w:r w:rsidRPr="0003586C">
        <w:rPr>
          <w:rFonts w:ascii="Verdana" w:hAnsi="Verdana" w:cs="Arial"/>
          <w:sz w:val="16"/>
          <w:szCs w:val="16"/>
        </w:rPr>
        <w:t xml:space="preserve"> </w:t>
      </w:r>
      <w:r w:rsidRPr="0003586C">
        <w:rPr>
          <w:rFonts w:ascii="Verdana" w:hAnsi="Verdana" w:cs="Arial"/>
          <w:sz w:val="16"/>
          <w:szCs w:val="16"/>
          <w:lang w:val="es-ES"/>
        </w:rPr>
        <w:t>CORTE CONSTITUCIONAL. Sentencia C-772 de 1998. M.P. Fabio Morón Díaz.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A7FFA" w14:textId="77777777" w:rsidR="00E65D8B" w:rsidRDefault="00E65D8B"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215012D" wp14:editId="4ADADF75">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9BB699D" wp14:editId="35CF8B4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29C80D9" w14:textId="77777777" w:rsidR="00E65D8B" w:rsidRDefault="00E65D8B">
    <w:pPr>
      <w:pStyle w:val="Encabezado"/>
    </w:pPr>
  </w:p>
  <w:p w14:paraId="5907E0EB" w14:textId="77777777" w:rsidR="00E65D8B" w:rsidRPr="004A305D" w:rsidRDefault="00E65D8B" w:rsidP="00B01B1A">
    <w:pPr>
      <w:spacing w:after="0" w:line="120" w:lineRule="auto"/>
      <w:rPr>
        <w:rFonts w:ascii="Century Gothic" w:eastAsia="Geo" w:hAnsi="Century Gothic" w:cs="Geo"/>
        <w:sz w:val="16"/>
        <w:szCs w:val="16"/>
        <w:lang w:eastAsia="es-CO"/>
      </w:rPr>
    </w:pPr>
  </w:p>
  <w:p w14:paraId="1E4C7A47" w14:textId="77777777" w:rsidR="00E65D8B" w:rsidRDefault="00E65D8B" w:rsidP="00844AE9">
    <w:pPr>
      <w:spacing w:after="0" w:line="240" w:lineRule="auto"/>
      <w:rPr>
        <w:rFonts w:ascii="Verdana" w:hAnsi="Verdana"/>
        <w:sz w:val="24"/>
        <w:szCs w:val="24"/>
      </w:rPr>
    </w:pPr>
  </w:p>
  <w:p w14:paraId="76FBC6A3" w14:textId="77777777" w:rsidR="00E65D8B" w:rsidRPr="00C925AC" w:rsidRDefault="00E65D8B" w:rsidP="00844AE9">
    <w:pPr>
      <w:spacing w:after="0" w:line="240" w:lineRule="auto"/>
      <w:rPr>
        <w:rFonts w:ascii="Verdana" w:hAnsi="Verdana"/>
        <w:sz w:val="24"/>
        <w:szCs w:val="24"/>
      </w:rPr>
    </w:pPr>
  </w:p>
  <w:p w14:paraId="34005B0B" w14:textId="77777777" w:rsidR="00E65D8B" w:rsidRPr="00C925AC" w:rsidRDefault="00E65D8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586574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D8B"/>
    <w:rsid w:val="001A2B11"/>
    <w:rsid w:val="007B31E0"/>
    <w:rsid w:val="00801FDE"/>
    <w:rsid w:val="008F5CC3"/>
    <w:rsid w:val="0099037F"/>
    <w:rsid w:val="009E4DB9"/>
    <w:rsid w:val="00C365A6"/>
    <w:rsid w:val="00D55447"/>
    <w:rsid w:val="00E65D8B"/>
    <w:rsid w:val="00F74D35"/>
    <w:rsid w:val="00FF6B9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55EB5"/>
  <w15:chartTrackingRefBased/>
  <w15:docId w15:val="{A5534700-E00A-4259-98A5-5E7E4F18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D8B"/>
    <w:pPr>
      <w:spacing w:line="259" w:lineRule="auto"/>
    </w:pPr>
    <w:rPr>
      <w:kern w:val="0"/>
      <w:sz w:val="22"/>
      <w:szCs w:val="22"/>
      <w14:ligatures w14:val="none"/>
    </w:rPr>
  </w:style>
  <w:style w:type="paragraph" w:styleId="Ttulo1">
    <w:name w:val="heading 1"/>
    <w:basedOn w:val="Normal"/>
    <w:next w:val="Normal"/>
    <w:link w:val="Ttulo1Car"/>
    <w:uiPriority w:val="9"/>
    <w:qFormat/>
    <w:rsid w:val="00E65D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65D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65D8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65D8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65D8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65D8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65D8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65D8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65D8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65D8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65D8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65D8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65D8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65D8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65D8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65D8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65D8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65D8B"/>
    <w:rPr>
      <w:rFonts w:eastAsiaTheme="majorEastAsia" w:cstheme="majorBidi"/>
      <w:color w:val="272727" w:themeColor="text1" w:themeTint="D8"/>
    </w:rPr>
  </w:style>
  <w:style w:type="paragraph" w:styleId="Ttulo">
    <w:name w:val="Title"/>
    <w:basedOn w:val="Normal"/>
    <w:next w:val="Normal"/>
    <w:link w:val="TtuloCar"/>
    <w:uiPriority w:val="10"/>
    <w:qFormat/>
    <w:rsid w:val="00E65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65D8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65D8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65D8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65D8B"/>
    <w:pPr>
      <w:spacing w:before="160"/>
      <w:jc w:val="center"/>
    </w:pPr>
    <w:rPr>
      <w:i/>
      <w:iCs/>
      <w:color w:val="404040" w:themeColor="text1" w:themeTint="BF"/>
    </w:rPr>
  </w:style>
  <w:style w:type="character" w:customStyle="1" w:styleId="CitaCar">
    <w:name w:val="Cita Car"/>
    <w:basedOn w:val="Fuentedeprrafopredeter"/>
    <w:link w:val="Cita"/>
    <w:uiPriority w:val="29"/>
    <w:rsid w:val="00E65D8B"/>
    <w:rPr>
      <w:i/>
      <w:iCs/>
      <w:color w:val="404040" w:themeColor="text1" w:themeTint="BF"/>
    </w:rPr>
  </w:style>
  <w:style w:type="paragraph" w:styleId="Prrafodelista">
    <w:name w:val="List Paragraph"/>
    <w:basedOn w:val="Normal"/>
    <w:uiPriority w:val="34"/>
    <w:qFormat/>
    <w:rsid w:val="00E65D8B"/>
    <w:pPr>
      <w:ind w:left="720"/>
      <w:contextualSpacing/>
    </w:pPr>
  </w:style>
  <w:style w:type="character" w:styleId="nfasisintenso">
    <w:name w:val="Intense Emphasis"/>
    <w:basedOn w:val="Fuentedeprrafopredeter"/>
    <w:uiPriority w:val="21"/>
    <w:qFormat/>
    <w:rsid w:val="00E65D8B"/>
    <w:rPr>
      <w:i/>
      <w:iCs/>
      <w:color w:val="0F4761" w:themeColor="accent1" w:themeShade="BF"/>
    </w:rPr>
  </w:style>
  <w:style w:type="paragraph" w:styleId="Citadestacada">
    <w:name w:val="Intense Quote"/>
    <w:basedOn w:val="Normal"/>
    <w:next w:val="Normal"/>
    <w:link w:val="CitadestacadaCar"/>
    <w:uiPriority w:val="30"/>
    <w:qFormat/>
    <w:rsid w:val="00E65D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65D8B"/>
    <w:rPr>
      <w:i/>
      <w:iCs/>
      <w:color w:val="0F4761" w:themeColor="accent1" w:themeShade="BF"/>
    </w:rPr>
  </w:style>
  <w:style w:type="character" w:styleId="Referenciaintensa">
    <w:name w:val="Intense Reference"/>
    <w:basedOn w:val="Fuentedeprrafopredeter"/>
    <w:uiPriority w:val="32"/>
    <w:qFormat/>
    <w:rsid w:val="00E65D8B"/>
    <w:rPr>
      <w:b/>
      <w:bCs/>
      <w:smallCaps/>
      <w:color w:val="0F4761" w:themeColor="accent1" w:themeShade="BF"/>
      <w:spacing w:val="5"/>
    </w:rPr>
  </w:style>
  <w:style w:type="paragraph" w:styleId="Encabezado">
    <w:name w:val="header"/>
    <w:basedOn w:val="Normal"/>
    <w:link w:val="EncabezadoCar"/>
    <w:uiPriority w:val="99"/>
    <w:unhideWhenUsed/>
    <w:rsid w:val="00E65D8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5D8B"/>
    <w:rPr>
      <w:kern w:val="0"/>
      <w:sz w:val="22"/>
      <w:szCs w:val="22"/>
      <w14:ligatures w14:val="none"/>
    </w:rPr>
  </w:style>
  <w:style w:type="paragraph" w:styleId="Piedepgina">
    <w:name w:val="footer"/>
    <w:basedOn w:val="Normal"/>
    <w:link w:val="PiedepginaCar"/>
    <w:uiPriority w:val="99"/>
    <w:unhideWhenUsed/>
    <w:rsid w:val="00E65D8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5D8B"/>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65D8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E65D8B"/>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E65D8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E65D8B"/>
    <w:rPr>
      <w:vertAlign w:val="superscript"/>
    </w:rPr>
  </w:style>
  <w:style w:type="table" w:styleId="Tablaconcuadrcula">
    <w:name w:val="Table Grid"/>
    <w:basedOn w:val="Tablanormal"/>
    <w:uiPriority w:val="39"/>
    <w:qFormat/>
    <w:rsid w:val="00E65D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65D8B"/>
    <w:rPr>
      <w:color w:val="0000FF"/>
      <w:u w:val="single"/>
    </w:rPr>
  </w:style>
  <w:style w:type="paragraph" w:customStyle="1" w:styleId="Appelnotedebasde">
    <w:name w:val="Appel note de bas de..."/>
    <w:basedOn w:val="Normal"/>
    <w:link w:val="Refdenotaalpie"/>
    <w:uiPriority w:val="99"/>
    <w:rsid w:val="00E65D8B"/>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E65D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archivos/boletin/boletin-edicion-n-3-de-2026-radar-de-la-compra-publi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10" Type="http://schemas.openxmlformats.org/officeDocument/2006/relationships/hyperlink" Target="mailto:juanseolaya@gmail.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para-la-elaboracion-de-estudios-del-secto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_Flow_SignoffStatus xmlns="9d85dbaf-23eb-4e57-a637-93dcacc8b1a1" xsi:nil="true"/>
    <lcf76f155ced4ddcb4097134ff3c332f xmlns="9d85dbaf-23eb-4e57-a637-93dcacc8b1a1">
      <Terms xmlns="http://schemas.microsoft.com/office/infopath/2007/PartnerControls"/>
    </lcf76f155ced4ddcb4097134ff3c332f>
    <TaxCatchAll xmlns="a6cb9e4b-f1d1-4245-83ec-6cad768d538a" xsi:nil="true"/>
  </documentManagement>
</p:properties>
</file>

<file path=customXml/itemProps1.xml><?xml version="1.0" encoding="utf-8"?>
<ds:datastoreItem xmlns:ds="http://schemas.openxmlformats.org/officeDocument/2006/customXml" ds:itemID="{C927F216-9E9B-4586-8A24-1898B1120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DA8764-6A6D-4373-9608-F757E95A3B1A}">
  <ds:schemaRefs>
    <ds:schemaRef ds:uri="http://schemas.microsoft.com/sharepoint/v3/contenttype/forms"/>
  </ds:schemaRefs>
</ds:datastoreItem>
</file>

<file path=customXml/itemProps3.xml><?xml version="1.0" encoding="utf-8"?>
<ds:datastoreItem xmlns:ds="http://schemas.openxmlformats.org/officeDocument/2006/customXml" ds:itemID="{AC24D25D-564E-4484-8B56-68128DC39E7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5238</Words>
  <Characters>28814</Characters>
  <Application>Microsoft Office Word</Application>
  <DocSecurity>0</DocSecurity>
  <Lines>240</Lines>
  <Paragraphs>67</Paragraphs>
  <ScaleCrop>false</ScaleCrop>
  <Company/>
  <LinksUpToDate>false</LinksUpToDate>
  <CharactersWithSpaces>33985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2026-10-14T15:53:00Z</dcterms:created>
  <dcterms:modified xsi:type="dcterms:W3CDTF">2026-10-14T15:53:00Z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