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24143"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CONTRATO ESTATAL – Caracteres – Onerosidad y conmutatividad</w:t>
      </w:r>
    </w:p>
    <w:p w14:paraId="314E7FFB" w14:textId="77777777" w:rsidR="00F2171E" w:rsidRDefault="00F2171E" w:rsidP="00F2171E">
      <w:pPr>
        <w:spacing w:after="0" w:line="240" w:lineRule="auto"/>
        <w:jc w:val="both"/>
        <w:rPr>
          <w:rFonts w:ascii="Verdana" w:hAnsi="Verdana" w:cs="Arial"/>
          <w:b/>
          <w:bCs/>
          <w:color w:val="000000"/>
          <w:lang w:val="es-ES"/>
        </w:rPr>
      </w:pPr>
    </w:p>
    <w:p w14:paraId="2B909574"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contrato estatal es, por regla general, oneroso y conmutativo. Es oneroso porque, en los términos del artículo 1497 del Código Civil, “tiene por objeto la utilidad de ambos contratantes, gravándose cada uno a beneficio del otro”; y es conmutativo porque, conforme al artículo 1498 ibidem, “cada una de las partes se obliga a dar o hacer una cosa que se mira como equivalente a lo que la otra parte debe dar o hacer a su vez”. Esa caracterización tiene respaldo en el propio Estatuto: el artículo 3 de la Ley 80 de 1993 reconoce que los particulares que colaboran con las entidades estatales buscan la obtención de utilidades; el artículo 28 impone atender “la igualdad y equivalencia entre derechos y obligaciones surgidos al momento de proponer o de contratar”; y el inciso primero del artículo 41 supedita el perfeccionamiento al acuerdo “sobre el objeto y la contraprestación”.</w:t>
      </w:r>
    </w:p>
    <w:p w14:paraId="64C251BD" w14:textId="77777777" w:rsidR="00F2171E" w:rsidRDefault="00F2171E" w:rsidP="00F2171E">
      <w:pPr>
        <w:spacing w:after="0" w:line="240" w:lineRule="auto"/>
        <w:jc w:val="both"/>
        <w:rPr>
          <w:rFonts w:ascii="Verdana" w:hAnsi="Verdana" w:cs="Arial"/>
          <w:b/>
          <w:bCs/>
          <w:color w:val="000000"/>
          <w:lang w:val="es-ES"/>
        </w:rPr>
      </w:pPr>
    </w:p>
    <w:p w14:paraId="0DC6AE42"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CONTRATO ESTATAL – Onerosidad y conmutatividad – Consecuencias</w:t>
      </w:r>
    </w:p>
    <w:p w14:paraId="1A17D15A" w14:textId="77777777" w:rsidR="00F2171E" w:rsidRDefault="00F2171E" w:rsidP="00F2171E">
      <w:pPr>
        <w:spacing w:after="0" w:line="240" w:lineRule="auto"/>
        <w:jc w:val="both"/>
        <w:rPr>
          <w:rFonts w:ascii="Verdana" w:hAnsi="Verdana" w:cs="Arial"/>
          <w:b/>
          <w:bCs/>
          <w:color w:val="000000"/>
          <w:lang w:val="es-ES"/>
        </w:rPr>
      </w:pPr>
    </w:p>
    <w:p w14:paraId="1EC72617"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De esa premisa se siguen consecuencias prácticas que esta Subdirección ha decantado: el precio ofertado incorpora el beneficio económico del </w:t>
      </w:r>
      <w:proofErr w:type="gramStart"/>
      <w:r>
        <w:rPr>
          <w:rFonts w:ascii="Verdana" w:hAnsi="Verdana" w:cs="Arial"/>
          <w:bCs/>
          <w:color w:val="000000"/>
          <w:sz w:val="20"/>
          <w:lang w:val="es-ES"/>
        </w:rPr>
        <w:t>contratista</w:t>
      </w:r>
      <w:proofErr w:type="gramEnd"/>
      <w:r>
        <w:rPr>
          <w:rFonts w:ascii="Verdana" w:hAnsi="Verdana" w:cs="Arial"/>
          <w:bCs/>
          <w:color w:val="000000"/>
          <w:sz w:val="20"/>
          <w:lang w:val="es-ES"/>
        </w:rPr>
        <w:t xml:space="preserve"> aunque no se desagregue; el proponente no puede transgredir la conmutatividad del contrato ofreciendo una contraprestación excesivamente reducida y alejada de la realidad del mercado; y la intervención de una entidad en la gestión interna de otra puede desnaturalizar el contrato interadministrativo como negocio jurídico oneroso y conmutativo. Las excepciones a esta regla son las que el propio ordenamiento tipifica, como ocurre con los contratos del artículo 355 de la Constitución Política, en los que la Agencia ha precisado que no hay contraprestación directa ni relación conmutativa.</w:t>
      </w:r>
    </w:p>
    <w:p w14:paraId="590D0344" w14:textId="77777777" w:rsidR="00F2171E" w:rsidRDefault="00F2171E" w:rsidP="00F2171E">
      <w:pPr>
        <w:spacing w:after="0" w:line="240" w:lineRule="auto"/>
        <w:jc w:val="both"/>
        <w:rPr>
          <w:rFonts w:ascii="Verdana" w:hAnsi="Verdana" w:cs="Arial"/>
          <w:b/>
          <w:bCs/>
          <w:color w:val="000000"/>
          <w:lang w:val="es-ES"/>
        </w:rPr>
      </w:pPr>
    </w:p>
    <w:p w14:paraId="63432968"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VINCULACIONES SIN REMUNERACIÓN – Ausencia de los caracteres del contrato estatal</w:t>
      </w:r>
    </w:p>
    <w:p w14:paraId="22987597" w14:textId="77777777" w:rsidR="00F2171E" w:rsidRDefault="00F2171E" w:rsidP="00F2171E">
      <w:pPr>
        <w:spacing w:after="0" w:line="240" w:lineRule="auto"/>
        <w:jc w:val="both"/>
        <w:rPr>
          <w:rFonts w:ascii="Verdana" w:hAnsi="Verdana" w:cs="Arial"/>
          <w:b/>
          <w:bCs/>
          <w:color w:val="000000"/>
          <w:lang w:val="es-ES"/>
        </w:rPr>
      </w:pPr>
    </w:p>
    <w:p w14:paraId="4DE3F088"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Un documento mediante el cual una persona natural desarrolla actividades de aprendizaje, formación o apoyo en una entidad estatal sin remuneración, honorarios ni contraprestación económica no reúne los caracteres de onerosidad y conmutatividad propios del contrato estatal: no hay precio, no hay utilidad recíproca y no hay prestaciones que puedan mirarse como equivalentes. Tampoco hay, por tanto, acuerdo sobre el objeto y la contraprestación en los términos del inciso primero del artículo 41 de la Ley 80 de 1993. En consecuencia, no se está ante un contrato estatal ni ante un Proceso de Contratación.</w:t>
      </w:r>
    </w:p>
    <w:p w14:paraId="3C8F609B" w14:textId="77777777" w:rsidR="00F2171E" w:rsidRDefault="00F2171E" w:rsidP="00F2171E">
      <w:pPr>
        <w:spacing w:after="0" w:line="240" w:lineRule="auto"/>
        <w:jc w:val="both"/>
        <w:rPr>
          <w:rFonts w:ascii="Verdana" w:hAnsi="Verdana" w:cs="Arial"/>
          <w:b/>
          <w:bCs/>
          <w:color w:val="000000"/>
          <w:lang w:val="es-ES"/>
        </w:rPr>
      </w:pPr>
    </w:p>
    <w:p w14:paraId="6379F3EC"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VINCULACIÓN FORMATIVA – Acto administrativo – Resolución 3546 de 2018</w:t>
      </w:r>
    </w:p>
    <w:p w14:paraId="588F87DD" w14:textId="77777777" w:rsidR="00F2171E" w:rsidRDefault="00F2171E" w:rsidP="00F2171E">
      <w:pPr>
        <w:spacing w:after="0" w:line="240" w:lineRule="auto"/>
        <w:jc w:val="both"/>
        <w:rPr>
          <w:rFonts w:ascii="Verdana" w:hAnsi="Verdana" w:cs="Arial"/>
          <w:b/>
          <w:bCs/>
          <w:color w:val="000000"/>
          <w:lang w:val="es-ES"/>
        </w:rPr>
      </w:pPr>
    </w:p>
    <w:p w14:paraId="155C0F0A"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El ordenamiento no deja la cuestión al criterio de la entidad: dispone un instrumento específico. El artículo 16 de la Resolución 3546 de 2018 del Ministerio del Trabajo, modificado por el artículo 7 de la Resolución 623 de 2020, establece que las prácticas </w:t>
      </w:r>
      <w:r>
        <w:rPr>
          <w:rFonts w:ascii="Verdana" w:hAnsi="Verdana" w:cs="Arial"/>
          <w:bCs/>
          <w:color w:val="000000"/>
          <w:sz w:val="20"/>
          <w:lang w:val="es-ES"/>
        </w:rPr>
        <w:lastRenderedPageBreak/>
        <w:t>laborales que se desarrollen “en las entidades estatales regidas en sus actuaciones por el derecho público se realizarán mediante la vinculación formativa del estudiante a través de acto administrativo que deberá expedirse con anterioridad al inicio de la actividad formativa”, con un contenido mínimo que la norma enumera, seguido de un acta suscrita entre el escenario de práctica y el estudiante. El acuerdo de voluntades está reservado, por el artículo 17 ibidem, a las entidades privadas y a las estatales regidas por el derecho privado.</w:t>
      </w:r>
    </w:p>
    <w:p w14:paraId="07B9BFBD" w14:textId="77777777" w:rsidR="00F2171E" w:rsidRDefault="00F2171E" w:rsidP="00F2171E">
      <w:pPr>
        <w:spacing w:after="0" w:line="240" w:lineRule="auto"/>
        <w:jc w:val="both"/>
        <w:rPr>
          <w:rFonts w:ascii="Verdana" w:hAnsi="Verdana" w:cs="Arial"/>
          <w:b/>
          <w:bCs/>
          <w:color w:val="000000"/>
          <w:lang w:val="es-ES"/>
        </w:rPr>
      </w:pPr>
    </w:p>
    <w:p w14:paraId="7BFD659C"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JUDICATURA AD HONOREM – Acto administrativo – Régimen propio</w:t>
      </w:r>
    </w:p>
    <w:p w14:paraId="43301B77" w14:textId="77777777" w:rsidR="00F2171E" w:rsidRDefault="00F2171E" w:rsidP="00F2171E">
      <w:pPr>
        <w:spacing w:after="0" w:line="240" w:lineRule="auto"/>
        <w:jc w:val="both"/>
        <w:rPr>
          <w:rFonts w:ascii="Verdana" w:hAnsi="Verdana" w:cs="Arial"/>
          <w:b/>
          <w:bCs/>
          <w:color w:val="000000"/>
          <w:lang w:val="es-ES"/>
        </w:rPr>
      </w:pPr>
    </w:p>
    <w:p w14:paraId="279A7F92"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judicatura es un requisito académico para optar por el título de abogado que, en su modalidad ad honorem, se presta durante un término legalmente definido, de tiempo completo y con dedicación exclusiva, sin remuneración ni vínculo laboral con el Estado. El artículo noveno del Acuerdo PSAA10-7543 de 2010 de la Sala Administrativa del Consejo Superior de la Judicatura dispone que las entidades que vinculen egresados de las facultades de derecho con carácter ad honorem o remunerado “realizarán dicha vinculación mediante los correspondientes actos administrativos, o bajo cualquier otra modalidad de vinculación”. Su estructura formativa y supervisada —jornada completa, asignación de funciones por el superior inmediato, evaluación periódica— contrasta con la autonomía e independencia que caracterizan esencialmente al contrato de prestación de servicios.</w:t>
      </w:r>
    </w:p>
    <w:p w14:paraId="6D1CC79F" w14:textId="77777777" w:rsidR="00F2171E" w:rsidRDefault="00F2171E" w:rsidP="00F2171E">
      <w:pPr>
        <w:spacing w:after="0" w:line="240" w:lineRule="auto"/>
        <w:jc w:val="both"/>
        <w:rPr>
          <w:rFonts w:ascii="Verdana" w:hAnsi="Verdana" w:cs="Arial"/>
          <w:b/>
          <w:bCs/>
          <w:color w:val="000000"/>
          <w:lang w:val="es-ES"/>
        </w:rPr>
      </w:pPr>
    </w:p>
    <w:p w14:paraId="042318D3"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SECOP II – Deber de publicar – Objeto – Contratos estatales</w:t>
      </w:r>
    </w:p>
    <w:p w14:paraId="517C0615" w14:textId="77777777" w:rsidR="00F2171E" w:rsidRDefault="00F2171E" w:rsidP="00F2171E">
      <w:pPr>
        <w:spacing w:after="0" w:line="240" w:lineRule="auto"/>
        <w:jc w:val="both"/>
        <w:rPr>
          <w:rFonts w:ascii="Verdana" w:hAnsi="Verdana" w:cs="Arial"/>
          <w:b/>
          <w:bCs/>
          <w:color w:val="000000"/>
          <w:lang w:val="es-ES"/>
        </w:rPr>
      </w:pPr>
    </w:p>
    <w:p w14:paraId="1E022CA5"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deber de publicar en el SECOP recae sobre los Documentos del Proceso y los actos administrativos del Proceso de Contratación, esto es, sobre la actividad contractual de las entidades estatales. Por ello, cuando una tipología no se encuentra incorporada en la noción de contrato estatal, no queda comprendida en ese deber: así lo precisó esta Subdirección respecto del contrato de aprendizaje, al señalar que “dicha tipología contractual no se encuentra incorporada en la noción de contratos estatales”, siendo sobre estos últimos que “recae la obligación de publicar en el SECOP II”. La misma conclusión se impone frente a las vinculaciones formativas y ad honorem.</w:t>
      </w:r>
    </w:p>
    <w:p w14:paraId="547787B0" w14:textId="77777777" w:rsidR="00F2171E" w:rsidRDefault="00F2171E" w:rsidP="00F2171E">
      <w:pPr>
        <w:spacing w:after="0" w:line="240" w:lineRule="auto"/>
        <w:jc w:val="both"/>
        <w:rPr>
          <w:rFonts w:ascii="Verdana" w:hAnsi="Verdana" w:cs="Arial"/>
          <w:b/>
          <w:bCs/>
          <w:color w:val="000000"/>
          <w:lang w:val="es-ES"/>
        </w:rPr>
      </w:pPr>
    </w:p>
    <w:p w14:paraId="089D4B4D"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SECOP II – Contratos estatales sin erogación – Alcance de la regla</w:t>
      </w:r>
    </w:p>
    <w:p w14:paraId="155E6CB7" w14:textId="77777777" w:rsidR="00F2171E" w:rsidRDefault="00F2171E" w:rsidP="00F2171E">
      <w:pPr>
        <w:spacing w:after="0" w:line="240" w:lineRule="auto"/>
        <w:jc w:val="both"/>
        <w:rPr>
          <w:rFonts w:ascii="Verdana" w:hAnsi="Verdana" w:cs="Arial"/>
          <w:b/>
          <w:bCs/>
          <w:color w:val="000000"/>
          <w:lang w:val="es-ES"/>
        </w:rPr>
      </w:pPr>
    </w:p>
    <w:p w14:paraId="627D749B"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Cosa distinta es que, tratándose de contratos estatales, la ausencia de desembolso no exima del deber de publicidad: esta Subdirección tiene decantado que la publicidad de los contratos estatales debe realizarse a través del SECOP independientemente del régimen aplicable y de que impliquen o no erogación de recursos públicos. Esa regla presupone, sin embargo, que exista un contrato estatal: opera frente a tipologías de derecho privado celebradas por entidades estatales, como el comodato o el arrendamiento, y no convierte en contractual lo que por su régimen no lo es.</w:t>
      </w:r>
    </w:p>
    <w:p w14:paraId="01EF4D22" w14:textId="77777777" w:rsidR="00F2171E" w:rsidRDefault="00F2171E" w:rsidP="00F2171E">
      <w:pPr>
        <w:spacing w:after="0" w:line="240" w:lineRule="auto"/>
        <w:jc w:val="both"/>
        <w:rPr>
          <w:rFonts w:ascii="Verdana" w:hAnsi="Verdana" w:cs="Arial"/>
          <w:b/>
          <w:bCs/>
          <w:color w:val="000000"/>
          <w:lang w:val="es-ES"/>
        </w:rPr>
      </w:pPr>
    </w:p>
    <w:p w14:paraId="546EB744"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lastRenderedPageBreak/>
        <w:t>PUBLICIDAD DE LAS VINCULACIONES FORMATIVAS – Canales distintos del SECOP</w:t>
      </w:r>
    </w:p>
    <w:p w14:paraId="36798219" w14:textId="77777777" w:rsidR="00F2171E" w:rsidRDefault="00F2171E" w:rsidP="00F2171E">
      <w:pPr>
        <w:spacing w:after="0" w:line="240" w:lineRule="auto"/>
        <w:jc w:val="both"/>
        <w:rPr>
          <w:rFonts w:ascii="Verdana" w:hAnsi="Verdana" w:cs="Arial"/>
          <w:b/>
          <w:bCs/>
          <w:color w:val="000000"/>
          <w:lang w:val="es-ES"/>
        </w:rPr>
      </w:pPr>
    </w:p>
    <w:p w14:paraId="6E80D41E"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inaplicación del SECOP no sustrae estas actuaciones de la publicidad. Los artículos 10 y 15, numeral 1, de la Resolución 3546 de 2018 imponen a las entidades estatales registrar y publicar las plazas de práctica a través del Sistema de Información del Servicio Público de Empleo, y exigen dar a conocer a los estudiantes el proceso de selección para su asignación. El acto administrativo de vinculación formativa y los documentos que lo soportan son información pública y su divulgación se rige por la Ley 1712 de 2014 y el Decreto 1081 de 2015, a través del sitio web institucional y de la sección de transparencia y acceso a la información pública, con las salvaguardas que correspondan en materia de datos personales.</w:t>
      </w:r>
    </w:p>
    <w:p w14:paraId="5F567756" w14:textId="77777777" w:rsidR="00F2171E" w:rsidRDefault="00F2171E" w:rsidP="00F2171E">
      <w:pPr>
        <w:spacing w:after="0" w:line="240" w:lineRule="auto"/>
        <w:jc w:val="both"/>
        <w:rPr>
          <w:rFonts w:ascii="Verdana" w:hAnsi="Verdana" w:cs="Arial"/>
          <w:b/>
          <w:bCs/>
          <w:color w:val="000000"/>
          <w:lang w:val="es-ES"/>
        </w:rPr>
      </w:pPr>
    </w:p>
    <w:p w14:paraId="132D026D" w14:textId="77777777" w:rsidR="00F2171E" w:rsidRPr="004A0841" w:rsidRDefault="00F2171E" w:rsidP="00F2171E">
      <w:pPr>
        <w:spacing w:after="0" w:line="240" w:lineRule="auto"/>
        <w:jc w:val="both"/>
        <w:rPr>
          <w:rFonts w:ascii="Verdana" w:hAnsi="Verdana" w:cs="Arial"/>
          <w:b/>
          <w:bCs/>
          <w:color w:val="000000"/>
          <w:lang w:val="es-ES"/>
        </w:rPr>
      </w:pPr>
      <w:r w:rsidRPr="004A0841">
        <w:rPr>
          <w:rFonts w:ascii="Verdana" w:hAnsi="Verdana" w:cs="Arial"/>
          <w:b/>
          <w:bCs/>
          <w:color w:val="000000"/>
          <w:lang w:val="es-ES"/>
        </w:rPr>
        <w:t>CONTRATO DE PRESTACIÓN DE SERVICIOS – Límite – Prohibición de subvertir requisitos legales</w:t>
      </w:r>
    </w:p>
    <w:p w14:paraId="40C2BD74" w14:textId="77777777" w:rsidR="00F2171E" w:rsidRDefault="00F2171E" w:rsidP="00F2171E">
      <w:pPr>
        <w:spacing w:after="0" w:line="240" w:lineRule="auto"/>
        <w:jc w:val="both"/>
        <w:rPr>
          <w:rFonts w:ascii="Verdana" w:hAnsi="Verdana" w:cs="Arial"/>
          <w:b/>
          <w:bCs/>
          <w:color w:val="000000"/>
          <w:lang w:val="es-ES"/>
        </w:rPr>
      </w:pPr>
    </w:p>
    <w:p w14:paraId="09EAEB47" w14:textId="77777777" w:rsidR="00F2171E" w:rsidRPr="004A0841" w:rsidRDefault="00F2171E" w:rsidP="00F2171E">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entidad no puede acudir al contrato de prestación de servicios para articular lo que el ordenamiento dispone mediante otro instrumento, ni valerse de una denominación gratuita o atípica para obtener aquello que una tipología legal regula con requisitos propios. Si las actividades que la persona desarrollará corresponden al objeto propio del contrato de prestación de servicios, debe acudirse a esa tipología con el cumplimiento íntegro de sus exigencias —imposibilidad de realizarlas con personal de planta o necesidad de conocimientos especializados, término estrictamente indispensable, remuneración y autonomía e independencia del contratista—, sin que sea admisible celebrarlo a título gratuito.</w:t>
      </w:r>
    </w:p>
    <w:p w14:paraId="1450B7FF" w14:textId="77777777" w:rsidR="00F2171E" w:rsidRDefault="00F2171E" w:rsidP="00F2171E">
      <w:pPr>
        <w:spacing w:after="0" w:line="240" w:lineRule="auto"/>
        <w:jc w:val="both"/>
        <w:rPr>
          <w:rFonts w:ascii="Verdana" w:hAnsi="Verdana" w:cs="Arial"/>
          <w:b/>
          <w:bCs/>
          <w:color w:val="000000"/>
          <w:lang w:val="es-ES"/>
        </w:rPr>
      </w:pPr>
    </w:p>
    <w:p w14:paraId="7C1D25A7" w14:textId="77777777" w:rsidR="00C14B0C" w:rsidRDefault="00C14B0C" w:rsidP="00F2171E">
      <w:pPr>
        <w:spacing w:after="0" w:line="240" w:lineRule="auto"/>
        <w:jc w:val="both"/>
        <w:rPr>
          <w:rFonts w:ascii="Verdana" w:eastAsia="Geomanist Light" w:hAnsi="Verdana" w:cs="Arial"/>
          <w:color w:val="000000" w:themeColor="text1"/>
          <w:lang w:val="es-MX"/>
        </w:rPr>
      </w:pPr>
    </w:p>
    <w:p w14:paraId="2D4F4C32" w14:textId="77777777" w:rsidR="00C14B0C" w:rsidRDefault="00C14B0C" w:rsidP="00F2171E">
      <w:pPr>
        <w:spacing w:after="0" w:line="240" w:lineRule="auto"/>
        <w:jc w:val="both"/>
        <w:rPr>
          <w:rFonts w:ascii="Verdana" w:eastAsia="Geomanist Light" w:hAnsi="Verdana" w:cs="Arial"/>
          <w:color w:val="000000" w:themeColor="text1"/>
          <w:lang w:val="es-MX"/>
        </w:rPr>
      </w:pPr>
    </w:p>
    <w:p w14:paraId="43F1B4CF" w14:textId="77777777" w:rsidR="00C14B0C" w:rsidRDefault="00C14B0C" w:rsidP="00F2171E">
      <w:pPr>
        <w:spacing w:after="0" w:line="240" w:lineRule="auto"/>
        <w:jc w:val="both"/>
        <w:rPr>
          <w:rFonts w:ascii="Verdana" w:eastAsia="Geomanist Light" w:hAnsi="Verdana" w:cs="Arial"/>
          <w:color w:val="000000" w:themeColor="text1"/>
          <w:lang w:val="es-MX"/>
        </w:rPr>
      </w:pPr>
    </w:p>
    <w:p w14:paraId="149A3E9C" w14:textId="77777777" w:rsidR="00C14B0C" w:rsidRDefault="00C14B0C" w:rsidP="00F2171E">
      <w:pPr>
        <w:spacing w:after="0" w:line="240" w:lineRule="auto"/>
        <w:jc w:val="both"/>
        <w:rPr>
          <w:rFonts w:ascii="Verdana" w:eastAsia="Geomanist Light" w:hAnsi="Verdana" w:cs="Arial"/>
          <w:color w:val="000000" w:themeColor="text1"/>
          <w:lang w:val="es-MX"/>
        </w:rPr>
      </w:pPr>
    </w:p>
    <w:p w14:paraId="20A1DA01" w14:textId="77777777" w:rsidR="00C14B0C" w:rsidRDefault="00C14B0C" w:rsidP="00F2171E">
      <w:pPr>
        <w:spacing w:after="0" w:line="240" w:lineRule="auto"/>
        <w:jc w:val="both"/>
        <w:rPr>
          <w:rFonts w:ascii="Verdana" w:eastAsia="Geomanist Light" w:hAnsi="Verdana" w:cs="Arial"/>
          <w:color w:val="000000" w:themeColor="text1"/>
          <w:lang w:val="es-MX"/>
        </w:rPr>
      </w:pPr>
    </w:p>
    <w:p w14:paraId="1E63D71E" w14:textId="77777777" w:rsidR="00C14B0C" w:rsidRDefault="00C14B0C" w:rsidP="00F2171E">
      <w:pPr>
        <w:spacing w:after="0" w:line="240" w:lineRule="auto"/>
        <w:jc w:val="both"/>
        <w:rPr>
          <w:rFonts w:ascii="Verdana" w:eastAsia="Geomanist Light" w:hAnsi="Verdana" w:cs="Arial"/>
          <w:color w:val="000000" w:themeColor="text1"/>
          <w:lang w:val="es-MX"/>
        </w:rPr>
      </w:pPr>
    </w:p>
    <w:p w14:paraId="7D23BCA9" w14:textId="77777777" w:rsidR="00C14B0C" w:rsidRDefault="00C14B0C" w:rsidP="00F2171E">
      <w:pPr>
        <w:spacing w:after="0" w:line="240" w:lineRule="auto"/>
        <w:jc w:val="both"/>
        <w:rPr>
          <w:rFonts w:ascii="Verdana" w:eastAsia="Geomanist Light" w:hAnsi="Verdana" w:cs="Arial"/>
          <w:color w:val="000000" w:themeColor="text1"/>
          <w:lang w:val="es-MX"/>
        </w:rPr>
      </w:pPr>
    </w:p>
    <w:p w14:paraId="0BB02B33" w14:textId="77777777" w:rsidR="00C14B0C" w:rsidRDefault="00C14B0C" w:rsidP="00F2171E">
      <w:pPr>
        <w:spacing w:after="0" w:line="240" w:lineRule="auto"/>
        <w:jc w:val="both"/>
        <w:rPr>
          <w:rFonts w:ascii="Verdana" w:eastAsia="Geomanist Light" w:hAnsi="Verdana" w:cs="Arial"/>
          <w:color w:val="000000" w:themeColor="text1"/>
          <w:lang w:val="es-MX"/>
        </w:rPr>
      </w:pPr>
    </w:p>
    <w:p w14:paraId="493B4B68" w14:textId="77777777" w:rsidR="00C14B0C" w:rsidRDefault="00C14B0C" w:rsidP="00F2171E">
      <w:pPr>
        <w:spacing w:after="0" w:line="240" w:lineRule="auto"/>
        <w:jc w:val="both"/>
        <w:rPr>
          <w:rFonts w:ascii="Verdana" w:eastAsia="Geomanist Light" w:hAnsi="Verdana" w:cs="Arial"/>
          <w:color w:val="000000" w:themeColor="text1"/>
          <w:lang w:val="es-MX"/>
        </w:rPr>
      </w:pPr>
    </w:p>
    <w:p w14:paraId="65DD5E0C" w14:textId="77777777" w:rsidR="00C14B0C" w:rsidRDefault="00C14B0C" w:rsidP="00F2171E">
      <w:pPr>
        <w:spacing w:after="0" w:line="240" w:lineRule="auto"/>
        <w:jc w:val="both"/>
        <w:rPr>
          <w:rFonts w:ascii="Verdana" w:eastAsia="Geomanist Light" w:hAnsi="Verdana" w:cs="Arial"/>
          <w:color w:val="000000" w:themeColor="text1"/>
          <w:lang w:val="es-MX"/>
        </w:rPr>
      </w:pPr>
    </w:p>
    <w:p w14:paraId="274B28B0" w14:textId="77777777" w:rsidR="00C14B0C" w:rsidRDefault="00C14B0C" w:rsidP="00F2171E">
      <w:pPr>
        <w:spacing w:after="0" w:line="240" w:lineRule="auto"/>
        <w:jc w:val="both"/>
        <w:rPr>
          <w:rFonts w:ascii="Verdana" w:eastAsia="Geomanist Light" w:hAnsi="Verdana" w:cs="Arial"/>
          <w:color w:val="000000" w:themeColor="text1"/>
          <w:lang w:val="es-MX"/>
        </w:rPr>
      </w:pPr>
    </w:p>
    <w:p w14:paraId="75882DB5" w14:textId="77777777" w:rsidR="00C14B0C" w:rsidRDefault="00C14B0C" w:rsidP="00F2171E">
      <w:pPr>
        <w:spacing w:after="0" w:line="240" w:lineRule="auto"/>
        <w:jc w:val="both"/>
        <w:rPr>
          <w:rFonts w:ascii="Verdana" w:eastAsia="Geomanist Light" w:hAnsi="Verdana" w:cs="Arial"/>
          <w:color w:val="000000" w:themeColor="text1"/>
          <w:lang w:val="es-MX"/>
        </w:rPr>
      </w:pPr>
    </w:p>
    <w:p w14:paraId="52691667" w14:textId="77777777" w:rsidR="00C14B0C" w:rsidRDefault="00C14B0C" w:rsidP="00F2171E">
      <w:pPr>
        <w:spacing w:after="0" w:line="240" w:lineRule="auto"/>
        <w:jc w:val="both"/>
        <w:rPr>
          <w:rFonts w:ascii="Verdana" w:eastAsia="Geomanist Light" w:hAnsi="Verdana" w:cs="Arial"/>
          <w:color w:val="000000" w:themeColor="text1"/>
          <w:lang w:val="es-MX"/>
        </w:rPr>
      </w:pPr>
    </w:p>
    <w:p w14:paraId="5E437A7F" w14:textId="77777777" w:rsidR="00C14B0C" w:rsidRDefault="00C14B0C" w:rsidP="00F2171E">
      <w:pPr>
        <w:spacing w:after="0" w:line="240" w:lineRule="auto"/>
        <w:jc w:val="both"/>
        <w:rPr>
          <w:rFonts w:ascii="Verdana" w:eastAsia="Geomanist Light" w:hAnsi="Verdana" w:cs="Arial"/>
          <w:color w:val="000000" w:themeColor="text1"/>
          <w:lang w:val="es-MX"/>
        </w:rPr>
      </w:pPr>
    </w:p>
    <w:p w14:paraId="0CF19BB5" w14:textId="77777777" w:rsidR="00C14B0C" w:rsidRDefault="00C14B0C" w:rsidP="00F2171E">
      <w:pPr>
        <w:spacing w:after="0" w:line="240" w:lineRule="auto"/>
        <w:jc w:val="both"/>
        <w:rPr>
          <w:rFonts w:ascii="Verdana" w:eastAsia="Geomanist Light" w:hAnsi="Verdana" w:cs="Arial"/>
          <w:color w:val="000000" w:themeColor="text1"/>
          <w:lang w:val="es-MX"/>
        </w:rPr>
      </w:pPr>
    </w:p>
    <w:p w14:paraId="132E7E82" w14:textId="77777777" w:rsidR="00C14B0C" w:rsidRDefault="00C14B0C" w:rsidP="00F2171E">
      <w:pPr>
        <w:spacing w:after="0" w:line="240" w:lineRule="auto"/>
        <w:jc w:val="both"/>
        <w:rPr>
          <w:rFonts w:ascii="Verdana" w:eastAsia="Geomanist Light" w:hAnsi="Verdana" w:cs="Arial"/>
          <w:color w:val="000000" w:themeColor="text1"/>
          <w:lang w:val="es-MX"/>
        </w:rPr>
      </w:pPr>
    </w:p>
    <w:p w14:paraId="2494A823" w14:textId="77777777" w:rsidR="00C14B0C" w:rsidRDefault="00C14B0C" w:rsidP="00F2171E">
      <w:pPr>
        <w:spacing w:after="0" w:line="240" w:lineRule="auto"/>
        <w:jc w:val="both"/>
        <w:rPr>
          <w:rFonts w:ascii="Verdana" w:eastAsia="Geomanist Light" w:hAnsi="Verdana" w:cs="Arial"/>
          <w:color w:val="000000" w:themeColor="text1"/>
          <w:lang w:val="es-MX"/>
        </w:rPr>
      </w:pPr>
    </w:p>
    <w:p w14:paraId="77AF63C3" w14:textId="62F821EF" w:rsidR="00F2171E" w:rsidRDefault="00F2171E" w:rsidP="00F2171E">
      <w:pPr>
        <w:spacing w:after="0" w:line="240" w:lineRule="auto"/>
        <w:jc w:val="both"/>
        <w:rPr>
          <w:rFonts w:ascii="Verdana" w:eastAsia="Calibri" w:hAnsi="Verdana" w:cs="Arial"/>
          <w:color w:val="000000"/>
          <w:lang w:val="es-ES"/>
        </w:rPr>
      </w:pPr>
      <w:r w:rsidRPr="00BF7921">
        <w:rPr>
          <w:rFonts w:ascii="Verdana" w:eastAsia="Geomanist Light" w:hAnsi="Verdana" w:cs="Arial"/>
          <w:color w:val="000000" w:themeColor="text1"/>
          <w:lang w:val="es-MX"/>
        </w:rPr>
        <w:lastRenderedPageBreak/>
        <w:t xml:space="preserve">Bogotá D.C., </w:t>
      </w:r>
      <w:r w:rsidR="00256D56">
        <w:rPr>
          <w:rFonts w:ascii="Verdana" w:eastAsia="Geomanist Light" w:hAnsi="Verdana" w:cs="Arial"/>
          <w:color w:val="000000" w:themeColor="text1"/>
          <w:lang w:val="es-MX"/>
        </w:rPr>
        <w:t>19 de octubre de 2026</w:t>
      </w:r>
    </w:p>
    <w:p w14:paraId="1E931D8A" w14:textId="77777777" w:rsidR="00F2171E" w:rsidRDefault="00F2171E" w:rsidP="00F2171E">
      <w:pPr>
        <w:spacing w:after="0" w:line="240" w:lineRule="auto"/>
        <w:rPr>
          <w:rFonts w:ascii="Verdana" w:eastAsia="Verdana" w:hAnsi="Verdana" w:cs="Verdana"/>
        </w:rPr>
      </w:pPr>
    </w:p>
    <w:p w14:paraId="0CE0E79D" w14:textId="2D84308D" w:rsidR="00F2171E" w:rsidRDefault="00F2171E" w:rsidP="00256D56">
      <w:pPr>
        <w:spacing w:after="0" w:line="240" w:lineRule="auto"/>
        <w:jc w:val="right"/>
        <w:rPr>
          <w:rFonts w:ascii="Verdana" w:hAnsi="Verdana"/>
        </w:rPr>
      </w:pPr>
    </w:p>
    <w:p w14:paraId="2B223985" w14:textId="43475A0E" w:rsidR="00F2171E" w:rsidRPr="002B4BE9" w:rsidRDefault="00627285" w:rsidP="00F2171E">
      <w:pPr>
        <w:spacing w:after="0" w:line="240" w:lineRule="auto"/>
        <w:rPr>
          <w:rFonts w:ascii="Verdana" w:hAnsi="Verdana"/>
        </w:rPr>
      </w:pPr>
      <w:r w:rsidRPr="00256D56">
        <w:rPr>
          <w:rFonts w:ascii="Verdana" w:hAnsi="Verdana"/>
          <w:noProof/>
        </w:rPr>
        <w:drawing>
          <wp:anchor distT="0" distB="0" distL="114300" distR="114300" simplePos="0" relativeHeight="251658240" behindDoc="0" locked="0" layoutInCell="1" allowOverlap="1" wp14:anchorId="5127AE3D" wp14:editId="1D3F90D0">
            <wp:simplePos x="0" y="0"/>
            <wp:positionH relativeFrom="margin">
              <wp:posOffset>3133725</wp:posOffset>
            </wp:positionH>
            <wp:positionV relativeFrom="paragraph">
              <wp:posOffset>95885</wp:posOffset>
            </wp:positionV>
            <wp:extent cx="2470150" cy="906145"/>
            <wp:effectExtent l="0" t="0" r="6350" b="8255"/>
            <wp:wrapSquare wrapText="bothSides"/>
            <wp:docPr id="12285821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82105" name=""/>
                    <pic:cNvPicPr/>
                  </pic:nvPicPr>
                  <pic:blipFill>
                    <a:blip r:embed="rId11">
                      <a:extLst>
                        <a:ext uri="{28A0092B-C50C-407E-A947-70E740481C1C}">
                          <a14:useLocalDpi xmlns:a14="http://schemas.microsoft.com/office/drawing/2010/main" val="0"/>
                        </a:ext>
                      </a:extLst>
                    </a:blip>
                    <a:stretch>
                      <a:fillRect/>
                    </a:stretch>
                  </pic:blipFill>
                  <pic:spPr>
                    <a:xfrm>
                      <a:off x="0" y="0"/>
                      <a:ext cx="2470150" cy="906145"/>
                    </a:xfrm>
                    <a:prstGeom prst="rect">
                      <a:avLst/>
                    </a:prstGeom>
                  </pic:spPr>
                </pic:pic>
              </a:graphicData>
            </a:graphic>
            <wp14:sizeRelH relativeFrom="margin">
              <wp14:pctWidth>0</wp14:pctWidth>
            </wp14:sizeRelH>
            <wp14:sizeRelV relativeFrom="margin">
              <wp14:pctHeight>0</wp14:pctHeight>
            </wp14:sizeRelV>
          </wp:anchor>
        </w:drawing>
      </w:r>
    </w:p>
    <w:p w14:paraId="5B0561BB" w14:textId="77777777" w:rsidR="00F2171E" w:rsidRPr="00524422" w:rsidRDefault="00F2171E" w:rsidP="00F2171E">
      <w:pPr>
        <w:spacing w:after="0" w:line="240" w:lineRule="auto"/>
        <w:rPr>
          <w:rFonts w:ascii="Verdana" w:eastAsia="Calibri" w:hAnsi="Verdana" w:cs="Times New Roman"/>
          <w:lang w:val="es-MX"/>
        </w:rPr>
      </w:pPr>
      <w:r w:rsidRPr="00524422">
        <w:rPr>
          <w:rFonts w:ascii="Verdana" w:eastAsia="Calibri" w:hAnsi="Verdana" w:cs="Times New Roman"/>
          <w:lang w:val="es-MX"/>
        </w:rPr>
        <w:t>Señor</w:t>
      </w:r>
    </w:p>
    <w:p w14:paraId="78832889" w14:textId="77777777" w:rsidR="00F2171E" w:rsidRPr="00C14B0C" w:rsidRDefault="00F2171E" w:rsidP="00F2171E">
      <w:pPr>
        <w:spacing w:after="0" w:line="240" w:lineRule="auto"/>
        <w:rPr>
          <w:rFonts w:ascii="Verdana" w:eastAsia="Calibri" w:hAnsi="Verdana" w:cs="Times New Roman"/>
          <w:b/>
          <w:bCs/>
          <w:lang w:val="es-MX"/>
        </w:rPr>
      </w:pPr>
      <w:r w:rsidRPr="00C14B0C">
        <w:rPr>
          <w:rFonts w:ascii="Verdana" w:eastAsia="Calibri" w:hAnsi="Verdana" w:cs="Times New Roman"/>
          <w:b/>
          <w:bCs/>
          <w:lang w:val="es-MX"/>
        </w:rPr>
        <w:t>ANDRÉS FELIPE ROMERO GUTIÉRREZ</w:t>
      </w:r>
    </w:p>
    <w:p w14:paraId="5AB6F54C" w14:textId="77777777" w:rsidR="00F2171E" w:rsidRPr="00524422" w:rsidRDefault="00F2171E" w:rsidP="00F2171E">
      <w:pPr>
        <w:spacing w:after="0" w:line="240" w:lineRule="auto"/>
        <w:rPr>
          <w:rFonts w:ascii="Verdana" w:eastAsia="Calibri" w:hAnsi="Verdana" w:cs="Times New Roman"/>
          <w:lang w:val="es-MX"/>
        </w:rPr>
      </w:pPr>
      <w:r w:rsidRPr="00524422">
        <w:rPr>
          <w:rFonts w:ascii="Verdana" w:eastAsia="Calibri" w:hAnsi="Verdana" w:cs="Times New Roman"/>
          <w:lang w:val="es-MX"/>
        </w:rPr>
        <w:t>piperromero1@gmail.com</w:t>
      </w:r>
    </w:p>
    <w:p w14:paraId="37ED433F" w14:textId="77777777" w:rsidR="00F2171E" w:rsidRPr="00524422" w:rsidRDefault="00F2171E" w:rsidP="00F2171E">
      <w:pPr>
        <w:spacing w:after="0" w:line="240" w:lineRule="auto"/>
        <w:rPr>
          <w:rFonts w:ascii="Verdana" w:eastAsia="Calibri" w:hAnsi="Verdana" w:cs="Times New Roman"/>
          <w:lang w:val="es-MX"/>
        </w:rPr>
      </w:pPr>
      <w:r w:rsidRPr="00524422">
        <w:rPr>
          <w:rFonts w:ascii="Verdana" w:eastAsia="Calibri" w:hAnsi="Verdana" w:cs="Times New Roman"/>
          <w:lang w:val="es-MX"/>
        </w:rPr>
        <w:t>Bogotá D.C.</w:t>
      </w:r>
    </w:p>
    <w:p w14:paraId="24398B2D" w14:textId="77777777" w:rsidR="00F2171E" w:rsidRPr="002B4BE9" w:rsidRDefault="00F2171E" w:rsidP="00F2171E">
      <w:pPr>
        <w:spacing w:after="0" w:line="240" w:lineRule="auto"/>
        <w:rPr>
          <w:rFonts w:ascii="Verdana" w:eastAsia="Calibri" w:hAnsi="Verdana" w:cs="Times New Roman"/>
        </w:rPr>
      </w:pPr>
    </w:p>
    <w:p w14:paraId="4E9CF52B" w14:textId="77777777" w:rsidR="00F2171E" w:rsidRPr="002B4BE9" w:rsidRDefault="00F2171E" w:rsidP="00F2171E">
      <w:pPr>
        <w:spacing w:after="0" w:line="240" w:lineRule="auto"/>
        <w:rPr>
          <w:rFonts w:ascii="Verdana" w:eastAsia="Calibri" w:hAnsi="Verdana" w:cs="Times New Roman"/>
        </w:rPr>
      </w:pPr>
    </w:p>
    <w:p w14:paraId="767658D2" w14:textId="4F6ECCA8" w:rsidR="00F2171E" w:rsidRPr="002B4BE9" w:rsidRDefault="00C458FC" w:rsidP="00C458FC">
      <w:pPr>
        <w:spacing w:after="0" w:line="240" w:lineRule="auto"/>
        <w:ind w:firstLine="708"/>
        <w:rPr>
          <w:rFonts w:ascii="Verdana" w:eastAsia="Calibri" w:hAnsi="Verdana" w:cs="Times New Roman"/>
          <w:b/>
          <w:bCs/>
          <w:lang w:val="es-ES"/>
        </w:rPr>
      </w:pPr>
      <w:r>
        <w:rPr>
          <w:rFonts w:ascii="Verdana" w:eastAsia="Calibri" w:hAnsi="Verdana" w:cs="Times New Roman"/>
          <w:b/>
          <w:bCs/>
          <w:lang w:val="es-ES"/>
        </w:rPr>
        <w:tab/>
      </w:r>
      <w:r>
        <w:rPr>
          <w:rFonts w:ascii="Verdana" w:eastAsia="Calibri" w:hAnsi="Verdana" w:cs="Times New Roman"/>
          <w:b/>
          <w:bCs/>
          <w:lang w:val="es-ES"/>
        </w:rPr>
        <w:tab/>
        <w:t xml:space="preserve">       </w:t>
      </w:r>
      <w:r w:rsidR="00F2171E" w:rsidRPr="002B4BE9">
        <w:rPr>
          <w:rFonts w:ascii="Verdana" w:eastAsia="Calibri" w:hAnsi="Verdana" w:cs="Times New Roman"/>
          <w:b/>
          <w:bCs/>
          <w:lang w:val="es-ES"/>
        </w:rPr>
        <w:t xml:space="preserve">Concepto </w:t>
      </w:r>
      <w:r w:rsidRPr="00C458FC">
        <w:rPr>
          <w:rFonts w:ascii="Verdana" w:eastAsia="Calibri" w:hAnsi="Verdana" w:cs="Times New Roman"/>
          <w:b/>
          <w:bCs/>
          <w:lang w:val="es-ES"/>
        </w:rPr>
        <w:t>C-1398</w:t>
      </w:r>
      <w:r w:rsidR="00F2171E" w:rsidRPr="002B4BE9">
        <w:rPr>
          <w:rFonts w:ascii="Verdana" w:eastAsia="Calibri" w:hAnsi="Verdana" w:cs="Times New Roman"/>
          <w:b/>
          <w:bCs/>
          <w:lang w:val="es-ES"/>
        </w:rPr>
        <w:t xml:space="preserve"> de 2026</w:t>
      </w:r>
    </w:p>
    <w:p w14:paraId="353A6734" w14:textId="77777777" w:rsidR="00F2171E" w:rsidRPr="002B4BE9" w:rsidRDefault="00F2171E" w:rsidP="00F2171E">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2171E" w:rsidRPr="002B4BE9" w14:paraId="0470D604" w14:textId="77777777" w:rsidTr="002002AD">
        <w:trPr>
          <w:trHeight w:val="645"/>
        </w:trPr>
        <w:tc>
          <w:tcPr>
            <w:tcW w:w="2685" w:type="dxa"/>
            <w:hideMark/>
          </w:tcPr>
          <w:p w14:paraId="1C95F38F" w14:textId="77777777" w:rsidR="00F2171E" w:rsidRPr="00403388" w:rsidRDefault="00F2171E" w:rsidP="002002AD">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5FD91D47" w14:textId="77777777" w:rsidR="00F2171E" w:rsidRDefault="00F2171E" w:rsidP="002002AD">
            <w:pPr>
              <w:spacing w:line="276" w:lineRule="auto"/>
              <w:jc w:val="both"/>
              <w:rPr>
                <w:rFonts w:ascii="Verdana" w:hAnsi="Verdana" w:cs="Arial"/>
                <w:bCs/>
                <w:color w:val="000000"/>
                <w:lang w:val="es-ES"/>
              </w:rPr>
            </w:pPr>
            <w:r w:rsidRPr="001B49B3">
              <w:rPr>
                <w:rFonts w:ascii="Verdana" w:hAnsi="Verdana" w:cs="Arial"/>
                <w:bCs/>
                <w:color w:val="000000"/>
                <w:lang w:val="es-ES"/>
              </w:rPr>
              <w:t>CONTRATO ESTATAL – Caracteres – Onerosidad y conmutatividad / CONTRATO ESTATAL – Onerosidad y conmutatividad – Consecuencias / VINCULACIONES SIN REMUNERACIÓN – Ausencia de los caracteres del contrato estatal / VINCULACIÓN FORMATIVA – Acto administrativo – Resolución 3546 de 2018 / JUDICATURA AD HONOREM – Acto administrativo – Régimen propio / SECOP II – Deber de publicar – Objeto – Contratos estatales / SECOP II – Contratos estatales sin erogación – Alcance de la regla / PUBLICIDAD DE LAS VINCULACIONES FORMATIVAS – Canales distintos del SECOP / CONTRATO DE PRESTACIÓN DE SERVICIOS – Límite – Prohibición de subvertir requisitos legales</w:t>
            </w:r>
          </w:p>
          <w:p w14:paraId="1EE57D79" w14:textId="77777777" w:rsidR="00C14B0C" w:rsidRDefault="00C14B0C" w:rsidP="002002AD">
            <w:pPr>
              <w:spacing w:line="276" w:lineRule="auto"/>
              <w:jc w:val="both"/>
              <w:rPr>
                <w:rFonts w:ascii="Verdana" w:hAnsi="Verdana" w:cs="Arial"/>
                <w:bCs/>
                <w:color w:val="000000"/>
                <w:lang w:val="es-ES" w:eastAsia="es-ES"/>
              </w:rPr>
            </w:pPr>
          </w:p>
          <w:p w14:paraId="3FAD7B3B" w14:textId="77777777" w:rsidR="00C14B0C" w:rsidRPr="00403388" w:rsidRDefault="00C14B0C" w:rsidP="002002AD">
            <w:pPr>
              <w:spacing w:line="276" w:lineRule="auto"/>
              <w:jc w:val="both"/>
              <w:rPr>
                <w:rFonts w:ascii="Verdana" w:hAnsi="Verdana" w:cs="Arial"/>
                <w:lang w:val="es-ES" w:eastAsia="es-ES"/>
              </w:rPr>
            </w:pPr>
          </w:p>
        </w:tc>
        <w:tc>
          <w:tcPr>
            <w:tcW w:w="6237" w:type="dxa"/>
          </w:tcPr>
          <w:p w14:paraId="7D5D6ECE" w14:textId="77777777" w:rsidR="00F2171E" w:rsidRPr="002B4BE9" w:rsidRDefault="00F2171E" w:rsidP="002002AD">
            <w:pPr>
              <w:rPr>
                <w:rFonts w:ascii="Verdana" w:hAnsi="Verdana"/>
                <w:lang w:val="es-ES"/>
              </w:rPr>
            </w:pPr>
          </w:p>
        </w:tc>
      </w:tr>
      <w:tr w:rsidR="00F2171E" w:rsidRPr="00C14B0C" w14:paraId="5A41ED0B" w14:textId="77777777" w:rsidTr="002002AD">
        <w:tc>
          <w:tcPr>
            <w:tcW w:w="2685" w:type="dxa"/>
          </w:tcPr>
          <w:p w14:paraId="5DBD944D" w14:textId="77777777" w:rsidR="00F2171E" w:rsidRPr="00C14B0C" w:rsidRDefault="00F2171E" w:rsidP="002002AD">
            <w:pPr>
              <w:rPr>
                <w:rFonts w:ascii="Verdana" w:hAnsi="Verdana"/>
                <w:b/>
                <w:bCs/>
                <w:lang w:val="es-ES_tradnl"/>
              </w:rPr>
            </w:pPr>
            <w:r w:rsidRPr="00C14B0C">
              <w:rPr>
                <w:rFonts w:ascii="Verdana" w:hAnsi="Verdana"/>
                <w:b/>
                <w:bCs/>
                <w:lang w:val="es-ES_tradnl"/>
              </w:rPr>
              <w:t xml:space="preserve">Radicación:               </w:t>
            </w:r>
          </w:p>
        </w:tc>
        <w:tc>
          <w:tcPr>
            <w:tcW w:w="6241" w:type="dxa"/>
          </w:tcPr>
          <w:p w14:paraId="2CF12D80" w14:textId="77777777" w:rsidR="00F2171E" w:rsidRDefault="00F2171E" w:rsidP="002002AD">
            <w:pPr>
              <w:spacing w:line="276" w:lineRule="auto"/>
              <w:jc w:val="both"/>
              <w:rPr>
                <w:rFonts w:ascii="Verdana" w:hAnsi="Verdana"/>
              </w:rPr>
            </w:pPr>
            <w:r w:rsidRPr="00C14B0C">
              <w:rPr>
                <w:rFonts w:ascii="Verdana" w:hAnsi="Verdana"/>
              </w:rPr>
              <w:t>Respuesta a consulta con radicado No. 1_2026_09_07_011831</w:t>
            </w:r>
          </w:p>
          <w:p w14:paraId="4CEF476E" w14:textId="77777777" w:rsidR="00C14B0C" w:rsidRPr="00C14B0C" w:rsidRDefault="00C14B0C" w:rsidP="002002AD">
            <w:pPr>
              <w:spacing w:line="276" w:lineRule="auto"/>
              <w:jc w:val="both"/>
              <w:rPr>
                <w:rFonts w:ascii="Verdana" w:hAnsi="Verdana"/>
                <w:lang w:val="es-ES_tradnl"/>
              </w:rPr>
            </w:pPr>
          </w:p>
        </w:tc>
        <w:tc>
          <w:tcPr>
            <w:tcW w:w="6237" w:type="dxa"/>
          </w:tcPr>
          <w:p w14:paraId="129431A9" w14:textId="77777777" w:rsidR="00F2171E" w:rsidRPr="00C14B0C" w:rsidRDefault="00F2171E" w:rsidP="002002AD">
            <w:pPr>
              <w:rPr>
                <w:rFonts w:ascii="Verdana" w:hAnsi="Verdana"/>
              </w:rPr>
            </w:pPr>
          </w:p>
        </w:tc>
      </w:tr>
    </w:tbl>
    <w:p w14:paraId="2E2FB83B" w14:textId="77777777" w:rsidR="00F2171E" w:rsidRPr="00C14B0C" w:rsidRDefault="00F2171E" w:rsidP="00F2171E">
      <w:pPr>
        <w:spacing w:after="0" w:line="276" w:lineRule="auto"/>
        <w:rPr>
          <w:rFonts w:ascii="Verdana" w:eastAsia="Calibri" w:hAnsi="Verdana" w:cs="Times New Roman"/>
          <w:lang w:val="es-ES"/>
        </w:rPr>
      </w:pPr>
      <w:r w:rsidRPr="00C14B0C">
        <w:rPr>
          <w:rFonts w:ascii="Verdana" w:eastAsia="Calibri" w:hAnsi="Verdana" w:cs="Times New Roman"/>
          <w:lang w:val="es-ES"/>
        </w:rPr>
        <w:t>Estimado señor Romero:</w:t>
      </w:r>
    </w:p>
    <w:p w14:paraId="77BB8539" w14:textId="77777777" w:rsidR="00F2171E" w:rsidRPr="009037F6" w:rsidRDefault="00F2171E" w:rsidP="00F2171E">
      <w:pPr>
        <w:spacing w:after="0" w:line="276" w:lineRule="auto"/>
        <w:rPr>
          <w:rFonts w:ascii="Verdana" w:eastAsia="Calibri" w:hAnsi="Verdana" w:cs="Times New Roman"/>
          <w:lang w:val="es-ES"/>
        </w:rPr>
      </w:pPr>
    </w:p>
    <w:p w14:paraId="6FF2DB15" w14:textId="77777777" w:rsidR="00F2171E" w:rsidRDefault="00F2171E" w:rsidP="00F2171E">
      <w:pPr>
        <w:spacing w:after="0" w:line="276" w:lineRule="auto"/>
        <w:jc w:val="both"/>
        <w:rPr>
          <w:rFonts w:ascii="Verdana" w:eastAsia="Calibri" w:hAnsi="Verdana" w:cs="Times New Roman"/>
          <w:bCs/>
          <w:lang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el numeral 5 del artículo 3 y el numeral 8 del artículo 11 del Decreto Ley 4170 de 2011, así como lo establecido en la Resolución 469 de 2025 expedida por esta Entidad, responde su solicitud del 4 de septiembre de 2026, dirigida simultáneamente al Departamento Administrativo de la Función Pública y a esta Agencia, sobre las modalidades de </w:t>
      </w:r>
      <w:r w:rsidRPr="009037F6">
        <w:rPr>
          <w:rFonts w:ascii="Verdana" w:eastAsia="Calibri" w:hAnsi="Verdana" w:cs="Times New Roman"/>
          <w:bCs/>
          <w:lang w:bidi="es-ES"/>
        </w:rPr>
        <w:lastRenderedPageBreak/>
        <w:t>vinculación sin remuneración en entidades públicas y su eventual publicidad en el SECOP II. Se transcriben los interrogantes del acápite III, formulados a esta Entidad, y los numerales 8 y 9 del acápite IV, que guardan relación con la contratación estatal:</w:t>
      </w:r>
    </w:p>
    <w:p w14:paraId="11E739EA" w14:textId="77777777" w:rsidR="00C14B0C" w:rsidRDefault="00C14B0C" w:rsidP="00F2171E">
      <w:pPr>
        <w:spacing w:after="0" w:line="276" w:lineRule="auto"/>
        <w:jc w:val="both"/>
        <w:rPr>
          <w:rFonts w:ascii="Verdana" w:eastAsia="Calibri" w:hAnsi="Verdana" w:cs="Times New Roman"/>
          <w:lang w:bidi="es-ES"/>
        </w:rPr>
      </w:pPr>
    </w:p>
    <w:p w14:paraId="52CBACBD"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“5.1. Desde el punto de vista de la contratación estatal, ¿un acuerdo mediante el cual una persona natural desarrolla voluntariamente actividades de apoyo o formación en una entidad pública, sin recibir remuneración, honorarios ni contraprestación económica, constituye un contrato estatal?</w:t>
      </w:r>
    </w:p>
    <w:p w14:paraId="6AAEAF17"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4A7FFCCA"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5.2. ¿Un documento de voluntariado, convenio o acuerdo de colaboración sin remuneración celebrado por una entidad pública con una persona natural se encuentra sometido al Estatuto General de Contratación de la Administración Pública?</w:t>
      </w:r>
    </w:p>
    <w:p w14:paraId="2B11BFC1"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62F617F1"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5.3. ¿La inexistencia de una contraprestación económica y de ejecución de recursos públicos determina que la actuación no tenga naturaleza contractual?</w:t>
      </w:r>
    </w:p>
    <w:p w14:paraId="160167AC"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4EF2F345"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6.1. En el evento en que una entidad pública […] formalice una vinculación de una persona natural bajo una modalidad de voluntariado o ad honorem, sin remuneración ni ejecución de recursos públicos, ¿existe obligación de publicar dicha actuación en SECOP II? 6.2. En caso afirmativo, ¿qué procedimiento debe adelantar la entidad […]? 6.3. ¿Qué tipo de proceso, modalidad o categoría debería utilizarse en SECOP II […]? 6.4. ¿Qué documentos deberían publicarse? […]</w:t>
      </w:r>
    </w:p>
    <w:p w14:paraId="596B8A56"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0DA6F124"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6.5. En caso de que no exista obligación de publicar este tipo de actuaciones en SECOP II, ¿cuál es el fundamento jurídico que sustenta dicha conclusión? 6.6. ¿La ausencia de remuneración, honorarios o ejecución de recursos públicos excluye por sí misma la obligación de publicación en SECOP II? 6.7. ¿Existe alguna obligación de publicidad o registro en SECOP II cuando la actuación no constituye contrato estatal, pero existe un documento formal suscrito entre la entidad pública y la persona natural?</w:t>
      </w:r>
    </w:p>
    <w:p w14:paraId="587DBB22"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6A80E502"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7.1. Cuando una Personería Municipal recibe estudiantes para realizar prácticas profesionales o pasantías mediante convenio con una universidad, ¿dicho convenio debe ser publicado en SECOP II? 7.2. ¿Debe publicarse también cada documento de vinculación individual del estudiante? 7.3. ¿La respuesta cambia cuando la práctica es ad honorem y no genera erogación presupuestal para la entidad?</w:t>
      </w:r>
    </w:p>
    <w:p w14:paraId="6DDE7FE0" w14:textId="77777777" w:rsidR="00F2171E" w:rsidRPr="007972DD" w:rsidRDefault="00F2171E" w:rsidP="00F2171E">
      <w:pPr>
        <w:tabs>
          <w:tab w:val="left" w:pos="709"/>
        </w:tabs>
        <w:spacing w:after="0" w:line="240" w:lineRule="auto"/>
        <w:ind w:left="709" w:right="709"/>
        <w:jc w:val="both"/>
        <w:rPr>
          <w:rFonts w:ascii="Verdana" w:hAnsi="Verdana" w:cs="Arial"/>
          <w:sz w:val="20"/>
          <w:szCs w:val="20"/>
          <w:lang w:val="es-ES" w:eastAsia="es-ES"/>
        </w:rPr>
      </w:pPr>
    </w:p>
    <w:p w14:paraId="0BDCA1C6" w14:textId="77777777" w:rsidR="00F2171E" w:rsidRDefault="00F2171E" w:rsidP="00F2171E">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lastRenderedPageBreak/>
        <w:t>8.1. Si una persona ya graduada pretende desarrollar actividades de aprendizaje o adquisición de experiencia en una entidad pública sin remuneración, ¿la formalización de dicha situación mediante un documento suscrito entre las partes genera un contrato estatal sujeto a publicación en SECOP II? […] 8.3. ¿Puede utilizarse un convenio o acuerdo de colaboración sin remuneración para este propósito o ello implicaría una modalidad contractual no contemplada legalmente?”.</w:t>
      </w:r>
    </w:p>
    <w:p w14:paraId="60711658" w14:textId="77777777" w:rsidR="00C14B0C" w:rsidRDefault="00C14B0C" w:rsidP="00F2171E">
      <w:pPr>
        <w:tabs>
          <w:tab w:val="left" w:pos="709"/>
        </w:tabs>
        <w:spacing w:after="0" w:line="240" w:lineRule="auto"/>
        <w:ind w:left="709" w:right="709"/>
        <w:jc w:val="both"/>
        <w:rPr>
          <w:rFonts w:ascii="Verdana" w:hAnsi="Verdana" w:cs="Arial"/>
          <w:sz w:val="20"/>
          <w:szCs w:val="20"/>
          <w:lang w:val="es-ES" w:eastAsia="es-ES"/>
        </w:rPr>
      </w:pPr>
    </w:p>
    <w:p w14:paraId="2A36E3E6" w14:textId="77777777" w:rsidR="00F2171E" w:rsidRPr="009037F6" w:rsidRDefault="00F2171E" w:rsidP="00F2171E">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6D1C686" w14:textId="77777777" w:rsidR="00F2171E" w:rsidRPr="009037F6" w:rsidRDefault="00F2171E" w:rsidP="00F2171E">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08B9BF9A" w14:textId="77777777" w:rsidR="00F2171E" w:rsidRPr="009037F6" w:rsidRDefault="00F2171E" w:rsidP="00F2171E">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Esa delimitación obliga a precisar qué se resuelve y qué no. Los interrogantes del acápite II de su escrito —sobre la viabilidad del voluntariado en entidades públicas, la existencia de una figura general de vinculación ad honorem, la posibilidad de recibir como practicante a una persona ya graduada, los límites para evitar que se configure una relación laboral encubierta y las obligaciones en materia de seguridad social y riesgos laborales— corresponden al régimen del empleo público y a la regulación de las prácticas laborales y demás modalidades de vinculación formativa, materias que competen al Departamento Administrativo de la Función Pública y al Ministerio del Trabajo, </w:t>
      </w:r>
      <w:r w:rsidRPr="009037F6">
        <w:rPr>
          <w:rFonts w:ascii="Verdana" w:eastAsia="Calibri" w:hAnsi="Verdana" w:cs="Times New Roman"/>
          <w:lang w:val="es-ES"/>
        </w:rPr>
        <w:lastRenderedPageBreak/>
        <w:t>y, tratándose de la judicatura, al Consejo Superior de la Judicatura. Lo mismo ocurre con los numerales 1 a 7 y 10 del acápite IV. Esta Agencia no es competente para pronunciarse sobre ellos y, por tanto, no determina si la vinculación que usted describe es o no jurídicamente viable ni cuál sería la figura procedente.</w:t>
      </w:r>
    </w:p>
    <w:p w14:paraId="58F81DE8" w14:textId="587BA505" w:rsidR="00F2171E" w:rsidRPr="009037F6" w:rsidRDefault="00F2171E" w:rsidP="00F2171E">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Lo que sí corresponde absolver son los interrogantes del acápite III y los numerales 8 y 9 del acápite IV, que plantean dos cuestiones propias del régimen de la contratación estatal: si un documento sin remuneración suscrito por una entidad estatal constituye contrato estatal sometido al Estatuto General de Contratación de la Administración Pública, y si existe el deber de publicarlo en el SECOP. Para absolver la segunda es preciso referirse al instrumento que el ordenamiento prevé para esas vinculaciones; ello se hace únicamente en cuanto resulta indispensable para delimitar el ámbito del Sistema Electrónico para la Contratación Pública, sin que constituya interpretación de un régimen ajeno a esta competencia. Por la misma razón, el acápite orientativo final no tiene carácter vinculante. </w:t>
      </w:r>
    </w:p>
    <w:p w14:paraId="41A03881" w14:textId="77777777" w:rsidR="00F2171E" w:rsidRPr="009037F6" w:rsidRDefault="00F2171E" w:rsidP="00F2171E">
      <w:pPr>
        <w:spacing w:after="0" w:line="276" w:lineRule="auto"/>
        <w:rPr>
          <w:rFonts w:ascii="Verdana" w:eastAsia="Calibri" w:hAnsi="Verdana" w:cs="Times New Roman"/>
          <w:lang w:val="es-ES"/>
        </w:rPr>
      </w:pPr>
    </w:p>
    <w:p w14:paraId="3AA483EE" w14:textId="77777777" w:rsidR="00F2171E" w:rsidRPr="009037F6" w:rsidRDefault="00F2171E" w:rsidP="00F2171E">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54661DD9" w14:textId="77777777" w:rsidR="00F2171E" w:rsidRPr="009037F6" w:rsidRDefault="00F2171E" w:rsidP="00F2171E">
      <w:pPr>
        <w:spacing w:after="0" w:line="276" w:lineRule="auto"/>
        <w:rPr>
          <w:rFonts w:ascii="Verdana" w:eastAsia="Calibri" w:hAnsi="Verdana" w:cs="Times New Roman"/>
        </w:rPr>
      </w:pPr>
    </w:p>
    <w:p w14:paraId="6C93E63F" w14:textId="77777777" w:rsidR="00F2171E" w:rsidRPr="00D1210B" w:rsidRDefault="00F2171E" w:rsidP="00F2171E">
      <w:pPr>
        <w:spacing w:after="0" w:line="276" w:lineRule="auto"/>
        <w:jc w:val="both"/>
        <w:rPr>
          <w:rFonts w:ascii="Verdana" w:eastAsia="Calibri" w:hAnsi="Verdana" w:cs="Times New Roman"/>
        </w:rPr>
      </w:pPr>
      <w:r w:rsidRPr="009037F6">
        <w:rPr>
          <w:rFonts w:ascii="Verdana" w:eastAsia="Calibri" w:hAnsi="Verdana" w:cs="Times New Roman"/>
        </w:rPr>
        <w:t>De acuerdo con el contenido de su solicitud, y sintetizando los interrogantes de su competencia en los problemas jurídicos que efectivamente los comprenden, la Agencia procede a resolver: i) ¿Un documento mediante el cual una persona natural desarrolla actividades de formación, aprendizaje o apoyo en una entidad estatal sin recibir remuneración, honorarios ni contraprestación económica constituye contrato estatal sometido al Estatuto General de Contratación de la Administración Pública? ii) ¿Existe obligación de publicar esa actuación en el SECOP II y, de no existir, cuál es el fundamento jurídico de esa conclusión y cuál el canal de publicidad que corresponde? iii) ¿Deben publicarse en el SECOP II los convenios celebrados con instituciones de educación superior para la realización de prácticas y los documentos individuales de vinculación de los estudiantes?</w:t>
      </w:r>
    </w:p>
    <w:p w14:paraId="00F4E59E" w14:textId="77777777" w:rsidR="00F2171E" w:rsidRPr="00E27EDD" w:rsidRDefault="00F2171E" w:rsidP="00F2171E">
      <w:pPr>
        <w:spacing w:after="0" w:line="276" w:lineRule="auto"/>
        <w:jc w:val="both"/>
        <w:rPr>
          <w:rFonts w:ascii="Verdana" w:eastAsia="Calibri" w:hAnsi="Verdana" w:cs="Times New Roman"/>
          <w:i/>
          <w:iCs/>
        </w:rPr>
      </w:pPr>
    </w:p>
    <w:p w14:paraId="4E199313" w14:textId="77777777" w:rsidR="00F2171E" w:rsidRPr="009037F6" w:rsidRDefault="00F2171E" w:rsidP="00F2171E">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462C0DFB" w14:textId="77777777" w:rsidR="00F2171E" w:rsidRPr="009037F6" w:rsidRDefault="00F2171E" w:rsidP="00F2171E">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2171E" w:rsidRPr="009037F6" w14:paraId="5D850052" w14:textId="77777777" w:rsidTr="002002AD">
        <w:trPr>
          <w:trHeight w:val="345"/>
          <w:jc w:val="center"/>
        </w:trPr>
        <w:tc>
          <w:tcPr>
            <w:tcW w:w="8784" w:type="dxa"/>
            <w:tcBorders>
              <w:bottom w:val="single" w:sz="4" w:space="0" w:color="auto"/>
            </w:tcBorders>
          </w:tcPr>
          <w:p w14:paraId="23211F77" w14:textId="4D1F2265" w:rsidR="00F2171E" w:rsidRDefault="00F2171E" w:rsidP="002002AD">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lastRenderedPageBreak/>
              <w:t xml:space="preserve">i) </w:t>
            </w:r>
            <w:r w:rsidRPr="00991E94">
              <w:rPr>
                <w:rFonts w:ascii="Verdana" w:eastAsia="Times New Roman" w:hAnsi="Verdana" w:cs="Arial"/>
                <w:bCs/>
                <w:color w:val="000000" w:themeColor="text1"/>
                <w:lang w:val="es-ES" w:eastAsia="es-ES"/>
              </w:rPr>
              <w:t>Un documento de esa naturaleza no constituye contrato estatal, porque carece de los caracteres de onerosidad y conmutatividad propios del contrato estatal.</w:t>
            </w:r>
            <w:r w:rsidRPr="004F3256">
              <w:rPr>
                <w:rFonts w:ascii="Verdana" w:eastAsia="Times New Roman" w:hAnsi="Verdana" w:cs="Arial"/>
                <w:color w:val="000000" w:themeColor="text1"/>
                <w:lang w:val="es-ES" w:eastAsia="es-ES"/>
              </w:rPr>
              <w:t xml:space="preserve"> Esta Subdirección ha precisado que las adquisiciones de las entidades deben respetar “el carácter oneroso y conmutativo propio de los contratos estatales, los cuales requieren que el acuerdo sobre el objeto y el precio se eleven por escrito en los términos del inciso primero del artículo 41 de la Ley 80 de 1993”, remitiendo para ello a los artículos 1497 y 1498 del Código Civil</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48C0E46F" w14:textId="77777777" w:rsidR="00F2171E" w:rsidRDefault="00F2171E" w:rsidP="002002AD">
            <w:pPr>
              <w:spacing w:after="120" w:line="276" w:lineRule="auto"/>
              <w:jc w:val="both"/>
              <w:rPr>
                <w:rFonts w:ascii="Verdana" w:hAnsi="Verdana" w:cs="Arial"/>
                <w:lang w:val="es-ES" w:eastAsia="es-ES"/>
              </w:rPr>
            </w:pPr>
            <w:r w:rsidRPr="00792BA3">
              <w:rPr>
                <w:rFonts w:ascii="Verdana" w:eastAsia="Times New Roman" w:hAnsi="Verdana" w:cs="Arial"/>
                <w:bCs/>
                <w:color w:val="000000" w:themeColor="text1"/>
                <w:lang w:val="es-ES" w:eastAsia="es-ES"/>
              </w:rPr>
              <w:t>Esa caracterización es reiterada y tiene anclaje en el propio Estatuto.</w:t>
            </w:r>
            <w:r w:rsidRPr="004F3256">
              <w:rPr>
                <w:rFonts w:ascii="Verdana" w:eastAsia="Times New Roman" w:hAnsi="Verdana" w:cs="Arial"/>
                <w:color w:val="000000" w:themeColor="text1"/>
                <w:lang w:val="es-ES" w:eastAsia="es-ES"/>
              </w:rPr>
              <w:t xml:space="preserve"> La Agencia ha sostenido que “el contrato estatal es oneroso y conmutativo” y que los particulares que colaboran con las entidades estatales “tienen derecho a obtener utilidades en los términos del artículo 3 de la Ley 80 de 1993”; ha advertido que el proponente no puede “transgredir la conmutatividad del contrato estatal ofreciendo una contraprestación excesivamente reducida”; y ha señalado que ciertas conductas pueden “desnaturalizar el contrato interadministrativo como negocio jurídico oneroso y conmutativo”. A ello se suma el deber del artículo 28 de la Ley 80 de 1993 de atender “la igualdad y equivalencia entre derechos y obligaciones surgidos al momento de proponer o de contratar”</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p>
          <w:p w14:paraId="2B0845C0" w14:textId="77777777" w:rsidR="00F2171E" w:rsidRDefault="00F2171E" w:rsidP="002002AD">
            <w:pPr>
              <w:spacing w:after="120" w:line="276" w:lineRule="auto"/>
              <w:jc w:val="both"/>
              <w:rPr>
                <w:rFonts w:ascii="Verdana" w:hAnsi="Verdana" w:cs="Arial"/>
                <w:lang w:val="es-ES" w:eastAsia="es-ES"/>
              </w:rPr>
            </w:pPr>
            <w:r w:rsidRPr="00792BA3">
              <w:rPr>
                <w:rFonts w:ascii="Verdana" w:eastAsia="Times New Roman" w:hAnsi="Verdana" w:cs="Arial"/>
                <w:bCs/>
                <w:color w:val="000000" w:themeColor="text1"/>
                <w:lang w:val="es-ES" w:eastAsia="es-ES"/>
              </w:rPr>
              <w:t>Aplicada al supuesto de su consulta, la premisa conduce a una conclusión directa —y responde sus interrogantes 5.1, 5.2, 5.3 y 8.1—.</w:t>
            </w:r>
            <w:r w:rsidRPr="004F3256">
              <w:rPr>
                <w:rFonts w:ascii="Verdana" w:eastAsia="Times New Roman" w:hAnsi="Verdana" w:cs="Arial"/>
                <w:color w:val="000000" w:themeColor="text1"/>
                <w:lang w:val="es-ES" w:eastAsia="es-ES"/>
              </w:rPr>
              <w:t xml:space="preserve"> Cuando una persona acude a una entidad estatal a desarrollar actividades de aprendizaje, formación o apoyo sin recibir remuneración, honorarios ni contraprestación económica, no hay precio, no hay utilidad recíproca y no hay prestaciones que puedan mirarse como equivalentes; falta, por tanto, el acuerdo sobre el objeto y la contraprestación que el inciso primero del artículo 41 exige para el perfeccionamiento. No se está, en consecuencia, ante un contrato estatal, ni </w:t>
            </w:r>
            <w:r w:rsidRPr="004F3256">
              <w:rPr>
                <w:rFonts w:ascii="Verdana" w:eastAsia="Times New Roman" w:hAnsi="Verdana" w:cs="Arial"/>
                <w:color w:val="000000" w:themeColor="text1"/>
                <w:lang w:val="es-ES" w:eastAsia="es-ES"/>
              </w:rPr>
              <w:lastRenderedPageBreak/>
              <w:t>le resulta aplicable el Estatuto General de Contratación de la Administración Pública</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77689EE7" w14:textId="77777777" w:rsidR="00F2171E" w:rsidRDefault="00F2171E" w:rsidP="002002AD">
            <w:pPr>
              <w:spacing w:after="120" w:line="276" w:lineRule="auto"/>
              <w:jc w:val="both"/>
              <w:rPr>
                <w:rFonts w:ascii="Verdana" w:hAnsi="Verdana" w:cs="Arial"/>
                <w:lang w:val="es-ES" w:eastAsia="es-ES"/>
              </w:rPr>
            </w:pPr>
            <w:r w:rsidRPr="00792BA3">
              <w:rPr>
                <w:rFonts w:ascii="Verdana" w:eastAsia="Times New Roman" w:hAnsi="Verdana" w:cs="Arial"/>
                <w:bCs/>
                <w:color w:val="000000" w:themeColor="text1"/>
                <w:lang w:val="es-ES" w:eastAsia="es-ES"/>
              </w:rPr>
              <w:t>La conclusión no depende únicamente de la gratuidad: el ordenamiento dispone para estas vinculaciones un instrumento distinto del contrato.</w:t>
            </w:r>
            <w:r w:rsidRPr="004F3256">
              <w:rPr>
                <w:rFonts w:ascii="Verdana" w:eastAsia="Times New Roman" w:hAnsi="Verdana" w:cs="Arial"/>
                <w:color w:val="000000" w:themeColor="text1"/>
                <w:lang w:val="es-ES" w:eastAsia="es-ES"/>
              </w:rPr>
              <w:t xml:space="preserve"> El artículo 16 de la Resolución 3546 de 2018 del Ministerio del Trabajo, modificado por el artículo 7 de la Resolución 623 de 2020, establece que las prácticas laborales que se desarrollen “en las entidades estatales regidas en sus actuaciones por el derecho público se realizarán mediante la vinculación formativa del estudiante a través de </w:t>
            </w:r>
            <w:r w:rsidRPr="00792BA3">
              <w:rPr>
                <w:rFonts w:ascii="Verdana" w:eastAsia="Times New Roman" w:hAnsi="Verdana" w:cs="Arial"/>
                <w:bCs/>
                <w:color w:val="000000" w:themeColor="text1"/>
                <w:lang w:val="es-ES" w:eastAsia="es-ES"/>
              </w:rPr>
              <w:t>acto administrativo</w:t>
            </w:r>
            <w:r w:rsidRPr="004F3256">
              <w:rPr>
                <w:rFonts w:ascii="Verdana" w:eastAsia="Times New Roman" w:hAnsi="Verdana" w:cs="Arial"/>
                <w:color w:val="000000" w:themeColor="text1"/>
                <w:lang w:val="es-ES" w:eastAsia="es-ES"/>
              </w:rPr>
              <w:t xml:space="preserve"> que deberá expedirse con anterioridad al inicio de la actividad formativa”, seguido de un acta suscrita entre el escenario de práctica y el estudiante. El acuerdo de voluntades queda reservado, por el artículo 17 ibidem, a las entidades privadas y a las estatales regidas por el derecho privado</w:t>
            </w:r>
            <w:r w:rsidRPr="004F3256">
              <w:rPr>
                <w:rStyle w:val="Refdenotaalpie"/>
                <w:rFonts w:ascii="Verdana" w:hAnsi="Verdana"/>
                <w:sz w:val="20"/>
              </w:rPr>
              <w:footnoteReference w:id="4"/>
            </w:r>
            <w:r w:rsidRPr="004F3256">
              <w:rPr>
                <w:rFonts w:ascii="Verdana" w:eastAsia="Times New Roman" w:hAnsi="Verdana" w:cs="Arial"/>
                <w:color w:val="000000" w:themeColor="text1"/>
                <w:lang w:val="es-ES" w:eastAsia="es-ES"/>
              </w:rPr>
              <w:t>.</w:t>
            </w:r>
          </w:p>
          <w:p w14:paraId="03A5010D" w14:textId="51F03696" w:rsidR="00F2171E" w:rsidRDefault="00F2171E" w:rsidP="002002AD">
            <w:pPr>
              <w:spacing w:after="120" w:line="276" w:lineRule="auto"/>
              <w:jc w:val="both"/>
              <w:rPr>
                <w:rFonts w:ascii="Verdana" w:hAnsi="Verdana" w:cs="Arial"/>
                <w:lang w:val="es-ES" w:eastAsia="es-ES"/>
              </w:rPr>
            </w:pPr>
            <w:r w:rsidRPr="00E26507">
              <w:rPr>
                <w:rFonts w:ascii="Verdana" w:eastAsia="Times New Roman" w:hAnsi="Verdana" w:cs="Arial"/>
                <w:bCs/>
                <w:color w:val="000000" w:themeColor="text1"/>
                <w:lang w:val="es-ES" w:eastAsia="es-ES"/>
              </w:rPr>
              <w:t>Lo propio ocurre con la judicatura ad honorem.</w:t>
            </w:r>
            <w:r w:rsidRPr="004F3256">
              <w:rPr>
                <w:rFonts w:ascii="Verdana" w:eastAsia="Times New Roman" w:hAnsi="Verdana" w:cs="Arial"/>
                <w:color w:val="000000" w:themeColor="text1"/>
                <w:lang w:val="es-ES" w:eastAsia="es-ES"/>
              </w:rPr>
              <w:t xml:space="preserve"> El artículo </w:t>
            </w:r>
            <w:r w:rsidR="00E26507">
              <w:rPr>
                <w:rFonts w:ascii="Verdana" w:eastAsia="Times New Roman" w:hAnsi="Verdana" w:cs="Arial"/>
                <w:color w:val="000000" w:themeColor="text1"/>
                <w:lang w:val="es-ES" w:eastAsia="es-ES"/>
              </w:rPr>
              <w:t>décimo</w:t>
            </w:r>
            <w:r w:rsidRPr="004F3256">
              <w:rPr>
                <w:rFonts w:ascii="Verdana" w:eastAsia="Times New Roman" w:hAnsi="Verdana" w:cs="Arial"/>
                <w:color w:val="000000" w:themeColor="text1"/>
                <w:lang w:val="es-ES" w:eastAsia="es-ES"/>
              </w:rPr>
              <w:t xml:space="preserve"> del Acuerdo PSAA10-7543 de 2010 de la Sala Administrativa del Consejo Superior de la Judicatura dispone que las entidades que vinculen egresados de las facultades de derecho con carácter ad honorem o remunerado “realizarán dicha vinculación mediante los correspondientes </w:t>
            </w:r>
            <w:r w:rsidRPr="00E26507">
              <w:rPr>
                <w:rFonts w:ascii="Verdana" w:eastAsia="Times New Roman" w:hAnsi="Verdana" w:cs="Arial"/>
                <w:bCs/>
                <w:color w:val="000000" w:themeColor="text1"/>
                <w:lang w:val="es-ES" w:eastAsia="es-ES"/>
              </w:rPr>
              <w:t>actos administrativos,</w:t>
            </w:r>
            <w:r w:rsidRPr="004F3256">
              <w:rPr>
                <w:rFonts w:ascii="Verdana" w:eastAsia="Times New Roman" w:hAnsi="Verdana" w:cs="Arial"/>
                <w:color w:val="000000" w:themeColor="text1"/>
                <w:lang w:val="es-ES" w:eastAsia="es-ES"/>
              </w:rPr>
              <w:t xml:space="preserve"> o bajo cualquier otra modalidad de vinculación”. Esta Subdirección ha destacado, además, que la estructura formativa y supervisada de la judicatura —jornada completa, dedicación exclusiva, asignación de funciones por el superior inmediato y evaluación periódica— “puede contrastar con el requisito de autonomía e independencia que caracteriza esencialmente el contrato de prestación de servicios”</w:t>
            </w:r>
            <w:r w:rsidRPr="004F3256">
              <w:rPr>
                <w:rStyle w:val="Refdenotaalpie"/>
                <w:rFonts w:ascii="Verdana" w:hAnsi="Verdana"/>
                <w:sz w:val="20"/>
              </w:rPr>
              <w:footnoteReference w:id="5"/>
            </w:r>
            <w:r w:rsidRPr="004F3256">
              <w:rPr>
                <w:rFonts w:ascii="Verdana" w:eastAsia="Times New Roman" w:hAnsi="Verdana" w:cs="Arial"/>
                <w:color w:val="000000" w:themeColor="text1"/>
                <w:lang w:val="es-ES" w:eastAsia="es-ES"/>
              </w:rPr>
              <w:t>.</w:t>
            </w:r>
          </w:p>
          <w:p w14:paraId="6C26103C" w14:textId="77777777" w:rsidR="00F2171E" w:rsidRDefault="00F2171E" w:rsidP="002002AD">
            <w:pPr>
              <w:spacing w:after="120" w:line="276" w:lineRule="auto"/>
              <w:jc w:val="both"/>
              <w:rPr>
                <w:rFonts w:ascii="Verdana" w:hAnsi="Verdana" w:cs="Arial"/>
                <w:lang w:val="es-ES" w:eastAsia="es-ES"/>
              </w:rPr>
            </w:pPr>
            <w:r w:rsidRPr="00005F59">
              <w:rPr>
                <w:rFonts w:ascii="Verdana" w:eastAsia="Times New Roman" w:hAnsi="Verdana" w:cs="Arial"/>
                <w:bCs/>
                <w:color w:val="000000" w:themeColor="text1"/>
                <w:lang w:val="es-ES" w:eastAsia="es-ES"/>
              </w:rPr>
              <w:lastRenderedPageBreak/>
              <w:t xml:space="preserve">Respondiendo su interrogante 8.3: no es admisible acudir a un convenio o acuerdo de colaboración gratuito para este propósito. De un lado, porque el régimen aplicable prevé el acto administrativo como instrumento de la vinculación formativa; de otro, porque la entidad no puede valerse de una denominación atípica o gratuita para obtener aquello que una tipología legal regula con requisitos propios. </w:t>
            </w:r>
            <w:r w:rsidRPr="004F3256">
              <w:rPr>
                <w:rFonts w:ascii="Verdana" w:eastAsia="Times New Roman" w:hAnsi="Verdana" w:cs="Arial"/>
                <w:color w:val="000000" w:themeColor="text1"/>
                <w:lang w:val="es-ES" w:eastAsia="es-ES"/>
              </w:rPr>
              <w:t>Si las actividades corresponden al objeto del contrato de prestación de servicios, debe acudirse a esa tipología con el cumplimiento íntegro de sus exigencias —incluida la remuneración y la autonomía e independencia del contratista—, y no a título gratuito</w:t>
            </w:r>
            <w:r w:rsidRPr="004F3256">
              <w:rPr>
                <w:rStyle w:val="Refdenotaalpie"/>
                <w:rFonts w:ascii="Verdana" w:hAnsi="Verdana"/>
                <w:sz w:val="20"/>
              </w:rPr>
              <w:footnoteReference w:id="6"/>
            </w:r>
            <w:r w:rsidRPr="004F3256">
              <w:rPr>
                <w:rFonts w:ascii="Verdana" w:eastAsia="Times New Roman" w:hAnsi="Verdana" w:cs="Arial"/>
                <w:color w:val="000000" w:themeColor="text1"/>
                <w:lang w:val="es-ES" w:eastAsia="es-ES"/>
              </w:rPr>
              <w:t>.</w:t>
            </w:r>
          </w:p>
          <w:p w14:paraId="0B49B6B3" w14:textId="77777777" w:rsidR="00F2171E" w:rsidRDefault="00F2171E" w:rsidP="002002AD">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ii) </w:t>
            </w:r>
            <w:r w:rsidRPr="00E93D57">
              <w:rPr>
                <w:rFonts w:ascii="Verdana" w:eastAsia="Times New Roman" w:hAnsi="Verdana" w:cs="Arial"/>
                <w:bCs/>
                <w:color w:val="000000" w:themeColor="text1"/>
                <w:lang w:val="es-ES" w:eastAsia="es-ES"/>
              </w:rPr>
              <w:t>No existe obligación de publicar estas actuaciones en el SECOP II, y ese es el fundamento jurídico que responde su interrogante 6.5.</w:t>
            </w:r>
            <w:r w:rsidRPr="004F3256">
              <w:rPr>
                <w:rFonts w:ascii="Verdana" w:eastAsia="Times New Roman" w:hAnsi="Verdana" w:cs="Arial"/>
                <w:color w:val="000000" w:themeColor="text1"/>
                <w:lang w:val="es-ES" w:eastAsia="es-ES"/>
              </w:rPr>
              <w:t xml:space="preserve"> El deber de publicidad del artículo 3 de la Ley 1150 de 2007 y del artículo 2.2.1.1.1.7.1 del Decreto 1082 de 2015 recae sobre “los Documentos del Proceso y los actos administrativos del Proceso de Contratación”, es decir, sobre la actividad contractual de las entidades estatales. Si la actuación no constituye contrato estatal, no hay Proceso de Contratación y el SECOP II no es el sistema que corresponde. Quedan así respondidos también sus interrogantes 6.1, 6.2, 6.3, 6.4 y 6.7</w:t>
            </w:r>
            <w:r w:rsidRPr="004F3256">
              <w:rPr>
                <w:rStyle w:val="Refdenotaalpie"/>
                <w:rFonts w:ascii="Verdana" w:hAnsi="Verdana"/>
                <w:sz w:val="20"/>
              </w:rPr>
              <w:footnoteReference w:id="7"/>
            </w:r>
            <w:r w:rsidRPr="004F3256">
              <w:rPr>
                <w:rFonts w:ascii="Verdana" w:eastAsia="Times New Roman" w:hAnsi="Verdana" w:cs="Arial"/>
                <w:color w:val="000000" w:themeColor="text1"/>
                <w:lang w:val="es-ES" w:eastAsia="es-ES"/>
              </w:rPr>
              <w:t>.</w:t>
            </w:r>
          </w:p>
          <w:p w14:paraId="25F2AFE5" w14:textId="77777777" w:rsidR="00F2171E" w:rsidRDefault="00F2171E" w:rsidP="002002AD">
            <w:pPr>
              <w:spacing w:after="120" w:line="276" w:lineRule="auto"/>
              <w:jc w:val="both"/>
              <w:rPr>
                <w:rFonts w:ascii="Verdana" w:hAnsi="Verdana" w:cs="Arial"/>
                <w:lang w:val="es-ES" w:eastAsia="es-ES"/>
              </w:rPr>
            </w:pPr>
            <w:r w:rsidRPr="00E93D57">
              <w:rPr>
                <w:rFonts w:ascii="Verdana" w:eastAsia="Times New Roman" w:hAnsi="Verdana" w:cs="Arial"/>
                <w:bCs/>
                <w:color w:val="000000" w:themeColor="text1"/>
                <w:lang w:val="es-ES" w:eastAsia="es-ES"/>
              </w:rPr>
              <w:t>Esta Subdirección ya aplicó ese razonamiento a una figura análoga.</w:t>
            </w:r>
            <w:r w:rsidRPr="004F3256">
              <w:rPr>
                <w:rFonts w:ascii="Verdana" w:eastAsia="Times New Roman" w:hAnsi="Verdana" w:cs="Arial"/>
                <w:color w:val="000000" w:themeColor="text1"/>
                <w:lang w:val="es-ES" w:eastAsia="es-ES"/>
              </w:rPr>
              <w:t xml:space="preserve"> Al preguntársele si los contratos de aprendizaje debían publicarse en el SECOP II, precisó que, por tratarse de “una forma especial de vinculación del Derecho Laboral”, “dicha tipología contractual no se encuentra incorporada en la noción de contratos estatales”, y que es sobre los contratos estatales que “recae la obligación de publicar en el SECOP II”. El mismo criterio gobierna las vinculaciones formativas y ad honorem, que ni siquiera se articulan mediante negocio jurídico sino mediante acto administrativo</w:t>
            </w:r>
            <w:r w:rsidRPr="004F3256">
              <w:rPr>
                <w:rStyle w:val="Refdenotaalpie"/>
                <w:rFonts w:ascii="Verdana" w:hAnsi="Verdana"/>
                <w:sz w:val="20"/>
              </w:rPr>
              <w:footnoteReference w:id="8"/>
            </w:r>
            <w:r w:rsidRPr="004F3256">
              <w:rPr>
                <w:rFonts w:ascii="Verdana" w:eastAsia="Times New Roman" w:hAnsi="Verdana" w:cs="Arial"/>
                <w:color w:val="000000" w:themeColor="text1"/>
                <w:lang w:val="es-ES" w:eastAsia="es-ES"/>
              </w:rPr>
              <w:t>.</w:t>
            </w:r>
          </w:p>
          <w:p w14:paraId="6A52A6E0" w14:textId="4E83B477" w:rsidR="00F2171E" w:rsidRDefault="00E93D57" w:rsidP="002002AD">
            <w:pPr>
              <w:spacing w:after="120" w:line="276" w:lineRule="auto"/>
              <w:jc w:val="both"/>
              <w:rPr>
                <w:rFonts w:ascii="Verdana" w:hAnsi="Verdana" w:cs="Arial"/>
                <w:lang w:val="es-ES" w:eastAsia="es-ES"/>
              </w:rPr>
            </w:pPr>
            <w:r>
              <w:rPr>
                <w:rFonts w:ascii="Verdana" w:eastAsia="Times New Roman" w:hAnsi="Verdana" w:cs="Arial"/>
                <w:bCs/>
                <w:color w:val="000000" w:themeColor="text1"/>
                <w:lang w:val="es-ES" w:eastAsia="es-ES"/>
              </w:rPr>
              <w:lastRenderedPageBreak/>
              <w:t>Se requiere</w:t>
            </w:r>
            <w:r w:rsidR="00F2171E" w:rsidRPr="00E93D57">
              <w:rPr>
                <w:rFonts w:ascii="Verdana" w:eastAsia="Times New Roman" w:hAnsi="Verdana" w:cs="Arial"/>
                <w:bCs/>
                <w:color w:val="000000" w:themeColor="text1"/>
                <w:lang w:val="es-ES" w:eastAsia="es-ES"/>
              </w:rPr>
              <w:t xml:space="preserve"> precisar el alcance de una regla que podría invocarse en sentido contrario —y con ello responder su interrogante 6.6—.</w:t>
            </w:r>
            <w:r w:rsidR="00F2171E" w:rsidRPr="004F3256">
              <w:rPr>
                <w:rFonts w:ascii="Verdana" w:eastAsia="Times New Roman" w:hAnsi="Verdana" w:cs="Arial"/>
                <w:color w:val="000000" w:themeColor="text1"/>
                <w:lang w:val="es-ES" w:eastAsia="es-ES"/>
              </w:rPr>
              <w:t xml:space="preserve"> Es cierto que, tratándose de contratos estatales, esta Subdirección tiene decantado que la publicidad debe realizarse a través del SECOP “independientemente de cual sea el régimen aplicable al contrato o que este implique o no la erogación de recursos públicos”. Pero esa regla presupone que exista un contrato estatal: </w:t>
            </w:r>
            <w:r w:rsidR="00D13017">
              <w:rPr>
                <w:rFonts w:ascii="Verdana" w:eastAsia="Times New Roman" w:hAnsi="Verdana" w:cs="Arial"/>
                <w:color w:val="000000" w:themeColor="text1"/>
                <w:lang w:val="es-ES" w:eastAsia="es-ES"/>
              </w:rPr>
              <w:t xml:space="preserve">esa regla </w:t>
            </w:r>
            <w:r w:rsidR="00F2171E" w:rsidRPr="004F3256">
              <w:rPr>
                <w:rFonts w:ascii="Verdana" w:eastAsia="Times New Roman" w:hAnsi="Verdana" w:cs="Arial"/>
                <w:color w:val="000000" w:themeColor="text1"/>
                <w:lang w:val="es-ES" w:eastAsia="es-ES"/>
              </w:rPr>
              <w:t>se construyó a propósito de tipologías de derecho privado celebradas por entidades estatales, como el comodato y el arrendamiento, y no convierte en contractual lo que por su régimen no lo es. La ausencia de remuneración no excluye el deber de publicar un contrato estatal; lo que ocurre en el supuesto de su consulta es que no hay contrato estatal</w:t>
            </w:r>
            <w:r w:rsidR="00F2171E" w:rsidRPr="004F3256">
              <w:rPr>
                <w:rStyle w:val="Refdenotaalpie"/>
                <w:rFonts w:ascii="Verdana" w:hAnsi="Verdana"/>
                <w:sz w:val="20"/>
              </w:rPr>
              <w:footnoteReference w:id="9"/>
            </w:r>
            <w:r w:rsidR="00F2171E" w:rsidRPr="004F3256">
              <w:rPr>
                <w:rFonts w:ascii="Verdana" w:eastAsia="Times New Roman" w:hAnsi="Verdana" w:cs="Arial"/>
                <w:color w:val="000000" w:themeColor="text1"/>
                <w:lang w:val="es-ES" w:eastAsia="es-ES"/>
              </w:rPr>
              <w:t>.</w:t>
            </w:r>
          </w:p>
          <w:p w14:paraId="7FD8D289" w14:textId="0AB9E311" w:rsidR="00F2171E" w:rsidRDefault="00F2171E" w:rsidP="002002AD">
            <w:pPr>
              <w:spacing w:after="120" w:line="276" w:lineRule="auto"/>
              <w:jc w:val="both"/>
              <w:rPr>
                <w:rFonts w:ascii="Verdana" w:hAnsi="Verdana" w:cs="Arial"/>
                <w:lang w:val="es-ES" w:eastAsia="es-ES"/>
              </w:rPr>
            </w:pPr>
            <w:r w:rsidRPr="00D13017">
              <w:rPr>
                <w:rFonts w:ascii="Verdana" w:eastAsia="Times New Roman" w:hAnsi="Verdana" w:cs="Arial"/>
                <w:bCs/>
                <w:color w:val="000000" w:themeColor="text1"/>
                <w:lang w:val="es-ES" w:eastAsia="es-ES"/>
              </w:rPr>
              <w:t xml:space="preserve">La inaplicación del SECOP no sustrae la actuación de la publicidad, </w:t>
            </w:r>
            <w:r w:rsidR="00D13017">
              <w:rPr>
                <w:rFonts w:ascii="Verdana" w:eastAsia="Times New Roman" w:hAnsi="Verdana" w:cs="Arial"/>
                <w:bCs/>
                <w:color w:val="000000" w:themeColor="text1"/>
                <w:lang w:val="es-ES" w:eastAsia="es-ES"/>
              </w:rPr>
              <w:t xml:space="preserve">por lo que </w:t>
            </w:r>
            <w:r w:rsidRPr="00D13017">
              <w:rPr>
                <w:rFonts w:ascii="Verdana" w:eastAsia="Times New Roman" w:hAnsi="Verdana" w:cs="Arial"/>
                <w:bCs/>
                <w:color w:val="000000" w:themeColor="text1"/>
                <w:lang w:val="es-ES" w:eastAsia="es-ES"/>
              </w:rPr>
              <w:t>se indica el canal que corresponde</w:t>
            </w:r>
            <w:r w:rsidRPr="004F3256">
              <w:rPr>
                <w:rFonts w:ascii="Verdana" w:eastAsia="Times New Roman" w:hAnsi="Verdana" w:cs="Arial"/>
                <w:b/>
                <w:color w:val="000000" w:themeColor="text1"/>
                <w:lang w:val="es-ES" w:eastAsia="es-ES"/>
              </w:rPr>
              <w:t>.</w:t>
            </w:r>
            <w:r w:rsidRPr="004F3256">
              <w:rPr>
                <w:rFonts w:ascii="Verdana" w:eastAsia="Times New Roman" w:hAnsi="Verdana" w:cs="Arial"/>
                <w:color w:val="000000" w:themeColor="text1"/>
                <w:lang w:val="es-ES" w:eastAsia="es-ES"/>
              </w:rPr>
              <w:t xml:space="preserve"> Los artículos 10 y 15, numeral 1, de la Resolución 3546 de 2018 imponen a las entidades estatales registrar y publicar las plazas de práctica a través del </w:t>
            </w:r>
            <w:r w:rsidRPr="00D13017">
              <w:rPr>
                <w:rFonts w:ascii="Verdana" w:eastAsia="Times New Roman" w:hAnsi="Verdana" w:cs="Arial"/>
                <w:bCs/>
                <w:color w:val="000000" w:themeColor="text1"/>
                <w:lang w:val="es-ES" w:eastAsia="es-ES"/>
              </w:rPr>
              <w:t>Sistema de Información del Servicio Público de Empleo</w:t>
            </w:r>
            <w:r w:rsidRPr="004F3256">
              <w:rPr>
                <w:rFonts w:ascii="Verdana" w:eastAsia="Times New Roman" w:hAnsi="Verdana" w:cs="Arial"/>
                <w:color w:val="000000" w:themeColor="text1"/>
                <w:lang w:val="es-ES" w:eastAsia="es-ES"/>
              </w:rPr>
              <w:t>, así como establecer y dar a conocer el proceso de selección para su asignación. El acto administrativo de vinculación formativa, el acta y los demás documentos son información pública, y su divulgación se rige por la Ley 1712 de 2014 y el Decreto 1081 de 2015, a través del sitio web institucional y de la sección de transparencia y acceso a la información pública</w:t>
            </w:r>
            <w:r w:rsidRPr="004F3256">
              <w:rPr>
                <w:rStyle w:val="Refdenotaalpie"/>
                <w:rFonts w:ascii="Verdana" w:hAnsi="Verdana"/>
                <w:sz w:val="20"/>
              </w:rPr>
              <w:footnoteReference w:id="10"/>
            </w:r>
            <w:r w:rsidRPr="004F3256">
              <w:rPr>
                <w:rFonts w:ascii="Verdana" w:eastAsia="Times New Roman" w:hAnsi="Verdana" w:cs="Arial"/>
                <w:color w:val="000000" w:themeColor="text1"/>
                <w:lang w:val="es-ES" w:eastAsia="es-ES"/>
              </w:rPr>
              <w:t>.</w:t>
            </w:r>
            <w:r w:rsidR="00D13017">
              <w:rPr>
                <w:rFonts w:ascii="Verdana" w:eastAsia="Times New Roman" w:hAnsi="Verdana" w:cs="Arial"/>
                <w:color w:val="000000" w:themeColor="text1"/>
                <w:lang w:val="es-ES" w:eastAsia="es-ES"/>
              </w:rPr>
              <w:t xml:space="preserve"> </w:t>
            </w:r>
          </w:p>
          <w:p w14:paraId="3C11D8F1" w14:textId="77777777" w:rsidR="00F2171E" w:rsidRDefault="00F2171E" w:rsidP="002002AD">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iii) </w:t>
            </w:r>
            <w:r w:rsidRPr="00D13017">
              <w:rPr>
                <w:rFonts w:ascii="Verdana" w:eastAsia="Times New Roman" w:hAnsi="Verdana" w:cs="Arial"/>
                <w:bCs/>
                <w:color w:val="000000" w:themeColor="text1"/>
                <w:lang w:val="es-ES" w:eastAsia="es-ES"/>
              </w:rPr>
              <w:t>Los convenios y documentos de vinculación de practicantes tampoco se publican en el SECOP II, por la misma razón.</w:t>
            </w:r>
            <w:r w:rsidRPr="004F3256">
              <w:rPr>
                <w:rFonts w:ascii="Verdana" w:eastAsia="Times New Roman" w:hAnsi="Verdana" w:cs="Arial"/>
                <w:color w:val="000000" w:themeColor="text1"/>
                <w:lang w:val="es-ES" w:eastAsia="es-ES"/>
              </w:rPr>
              <w:t xml:space="preserve"> Tratándose de una Personería Municipal —entidad estatal regida en sus actuaciones por el derecho público—, el instrumento que el ordenamiento prevé es el acto administrativo de vinculación formativa, no un contrato estatal; y el documento que articule la relación con la institución de educación superior, cuando no comporta </w:t>
            </w:r>
            <w:r w:rsidRPr="004F3256">
              <w:rPr>
                <w:rFonts w:ascii="Verdana" w:eastAsia="Times New Roman" w:hAnsi="Verdana" w:cs="Arial"/>
                <w:color w:val="000000" w:themeColor="text1"/>
                <w:lang w:val="es-ES" w:eastAsia="es-ES"/>
              </w:rPr>
              <w:lastRenderedPageBreak/>
              <w:t>obligaciones onerosas y conmutativas recíprocas, tampoco reúne los caracteres del contrato estatal. Queda así respondido su interrogante 7.1, y también el 7.3: la respuesta no cambia cuando la práctica es ad honorem, porque la gratuidad confirma —no excepciona— la ausencia de los caracteres del contrato estatal</w:t>
            </w:r>
            <w:r w:rsidRPr="004F3256">
              <w:rPr>
                <w:rStyle w:val="Refdenotaalpie"/>
                <w:rFonts w:ascii="Verdana" w:hAnsi="Verdana"/>
                <w:sz w:val="20"/>
              </w:rPr>
              <w:footnoteReference w:id="11"/>
            </w:r>
            <w:r w:rsidRPr="004F3256">
              <w:rPr>
                <w:rFonts w:ascii="Verdana" w:eastAsia="Times New Roman" w:hAnsi="Verdana" w:cs="Arial"/>
                <w:color w:val="000000" w:themeColor="text1"/>
                <w:lang w:val="es-ES" w:eastAsia="es-ES"/>
              </w:rPr>
              <w:t>.</w:t>
            </w:r>
          </w:p>
          <w:p w14:paraId="13BC631B" w14:textId="77777777" w:rsidR="00F2171E" w:rsidRDefault="00F2171E" w:rsidP="002002AD">
            <w:pPr>
              <w:spacing w:after="120" w:line="276" w:lineRule="auto"/>
              <w:jc w:val="both"/>
              <w:rPr>
                <w:rFonts w:ascii="Verdana" w:hAnsi="Verdana" w:cs="Arial"/>
                <w:lang w:val="es-ES" w:eastAsia="es-ES"/>
              </w:rPr>
            </w:pPr>
            <w:r w:rsidRPr="00D13017">
              <w:rPr>
                <w:rFonts w:ascii="Verdana" w:eastAsia="Times New Roman" w:hAnsi="Verdana" w:cs="Arial"/>
                <w:bCs/>
                <w:color w:val="000000" w:themeColor="text1"/>
                <w:lang w:val="es-ES" w:eastAsia="es-ES"/>
              </w:rPr>
              <w:t>En cuanto a los documentos individuales de vinculación de cada practicante —su interrogante 7.2—,</w:t>
            </w:r>
            <w:r w:rsidRPr="004F3256">
              <w:rPr>
                <w:rFonts w:ascii="Verdana" w:eastAsia="Times New Roman" w:hAnsi="Verdana" w:cs="Arial"/>
                <w:color w:val="000000" w:themeColor="text1"/>
                <w:lang w:val="es-ES" w:eastAsia="es-ES"/>
              </w:rPr>
              <w:t xml:space="preserve"> por no integrar un Proceso de Contratación no son Documentos del Proceso y no se publican en el SECOP II. Su divulgación se rige por el régimen de transparencia y acceso a la información pública, con las salvaguardas que correspondan en materia de datos personales, cuya determinación compete al sujeto obligado que administra la información y no a esta Agencia. La situación sería distinta si la entidad celebrara con la institución de educación superior un contrato estatal propiamente dicho —con obligaciones onerosas y conmutativas recíprocas—, caso en el cual sí operaría el deber de publicidad contractual</w:t>
            </w:r>
            <w:r w:rsidRPr="004F3256">
              <w:rPr>
                <w:rStyle w:val="Refdenotaalpie"/>
                <w:rFonts w:ascii="Verdana" w:hAnsi="Verdana"/>
                <w:sz w:val="20"/>
              </w:rPr>
              <w:footnoteReference w:id="12"/>
            </w:r>
            <w:r w:rsidRPr="004F3256">
              <w:rPr>
                <w:rFonts w:ascii="Verdana" w:eastAsia="Times New Roman" w:hAnsi="Verdana" w:cs="Arial"/>
                <w:color w:val="000000" w:themeColor="text1"/>
                <w:lang w:val="es-ES" w:eastAsia="es-ES"/>
              </w:rPr>
              <w:t>.</w:t>
            </w:r>
          </w:p>
          <w:p w14:paraId="3D32B636" w14:textId="77777777" w:rsidR="00F2171E" w:rsidRDefault="00F2171E" w:rsidP="002002AD">
            <w:pPr>
              <w:spacing w:after="120" w:line="276" w:lineRule="auto"/>
              <w:jc w:val="both"/>
              <w:rPr>
                <w:rFonts w:ascii="Verdana" w:hAnsi="Verdana" w:cs="Arial"/>
                <w:lang w:val="es-ES" w:eastAsia="es-ES"/>
              </w:rPr>
            </w:pPr>
            <w:r w:rsidRPr="00D13017">
              <w:rPr>
                <w:rFonts w:ascii="Verdana" w:eastAsia="Times New Roman" w:hAnsi="Verdana" w:cs="Arial"/>
                <w:bCs/>
                <w:color w:val="000000" w:themeColor="text1"/>
                <w:lang w:val="es-ES" w:eastAsia="es-ES"/>
              </w:rPr>
              <w:t>Finalmente, y a título estrictamente orientativo, se deja constancia de los regímenes que gobiernan estas vinculaciones,</w:t>
            </w:r>
            <w:r w:rsidRPr="004F3256">
              <w:rPr>
                <w:rFonts w:ascii="Verdana" w:eastAsia="Times New Roman" w:hAnsi="Verdana" w:cs="Arial"/>
                <w:color w:val="000000" w:themeColor="text1"/>
                <w:lang w:val="es-ES" w:eastAsia="es-ES"/>
              </w:rPr>
              <w:t xml:space="preserve"> sin que ello constituya interpretación vinculante ni invada la competencia de las autoridades llamadas a pronunciarse: las prácticas laborales se rigen por la Ley 1780 de 2016 y la Resolución 3546 de 2018; la judicatura, por sus propias disposiciones, expresamente excluidas de aquella resolución; y el voluntariado, por la Ley 720 de 2001 y el Decreto 4290 de 2005. En las razones de la respuesta se desarrolla este acápite</w:t>
            </w:r>
            <w:r w:rsidRPr="004F3256">
              <w:rPr>
                <w:rStyle w:val="Refdenotaalpie"/>
                <w:rFonts w:ascii="Verdana" w:hAnsi="Verdana"/>
                <w:sz w:val="20"/>
              </w:rPr>
              <w:footnoteReference w:id="13"/>
            </w:r>
            <w:r w:rsidRPr="004F3256">
              <w:rPr>
                <w:rFonts w:ascii="Verdana" w:eastAsia="Times New Roman" w:hAnsi="Verdana" w:cs="Arial"/>
                <w:color w:val="000000" w:themeColor="text1"/>
                <w:lang w:val="es-ES" w:eastAsia="es-ES"/>
              </w:rPr>
              <w:t>.</w:t>
            </w:r>
          </w:p>
        </w:tc>
      </w:tr>
    </w:tbl>
    <w:p w14:paraId="526A274C" w14:textId="77777777" w:rsidR="00F2171E" w:rsidRPr="00B57A1B" w:rsidRDefault="00F2171E" w:rsidP="00F2171E">
      <w:pPr>
        <w:spacing w:after="0" w:line="276" w:lineRule="auto"/>
        <w:jc w:val="both"/>
        <w:rPr>
          <w:rFonts w:ascii="Verdana" w:eastAsia="Calibri" w:hAnsi="Verdana" w:cs="Arial"/>
          <w:bCs/>
          <w:color w:val="000000" w:themeColor="text1"/>
        </w:rPr>
      </w:pPr>
      <w:bookmarkStart w:id="0" w:name="_Hlk37703813"/>
    </w:p>
    <w:p w14:paraId="4D7282D3" w14:textId="77777777" w:rsidR="00F2171E" w:rsidRPr="00B57A1B" w:rsidRDefault="00F2171E" w:rsidP="00F2171E">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3D11A7ED" w14:textId="77777777" w:rsidR="00F2171E" w:rsidRPr="003C0ED7" w:rsidRDefault="00F2171E" w:rsidP="00F2171E">
      <w:pPr>
        <w:spacing w:after="0" w:line="276" w:lineRule="auto"/>
        <w:jc w:val="both"/>
        <w:rPr>
          <w:rFonts w:ascii="Verdana" w:eastAsia="Calibri" w:hAnsi="Verdana" w:cs="Arial"/>
          <w:lang w:val="es-ES"/>
        </w:rPr>
      </w:pPr>
    </w:p>
    <w:p w14:paraId="69640FAE" w14:textId="77777777" w:rsidR="00F2171E" w:rsidRDefault="00F2171E" w:rsidP="00F2171E">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3EBA6538" w14:textId="77777777" w:rsidR="00F2171E" w:rsidRPr="00C22134" w:rsidRDefault="00F2171E" w:rsidP="00F2171E">
      <w:pPr>
        <w:spacing w:after="0" w:line="276" w:lineRule="auto"/>
        <w:jc w:val="both"/>
        <w:rPr>
          <w:rFonts w:ascii="Verdana" w:eastAsia="Calibri" w:hAnsi="Verdana" w:cs="Arial"/>
          <w:lang w:val="es-ES"/>
        </w:rPr>
      </w:pPr>
    </w:p>
    <w:p w14:paraId="0FC9FB79"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i) La consulta parte de una premisa que conviene examinar antes que ninguna otra: la de que la sola existencia de un documento suscrito entre la entidad y el particular bastaría para configurar un contrato estatal, de modo que el problema se reduciría a determinar si la gratuidad lo desvirtúa. El punto de partida correcto es otro, y es el de los caracteres que esta Subdirección reconoce al contrato estatal.</w:t>
      </w:r>
    </w:p>
    <w:p w14:paraId="52C11A89" w14:textId="77777777" w:rsidR="00F2171E" w:rsidRPr="00C22134" w:rsidRDefault="00F2171E" w:rsidP="00F2171E">
      <w:pPr>
        <w:spacing w:after="0" w:line="276" w:lineRule="auto"/>
        <w:jc w:val="both"/>
        <w:rPr>
          <w:rFonts w:ascii="Verdana" w:eastAsia="Calibri" w:hAnsi="Verdana" w:cs="Arial"/>
          <w:lang w:val="es-ES"/>
        </w:rPr>
      </w:pPr>
    </w:p>
    <w:p w14:paraId="5523E1D8"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contrato estatal es, por regla general, oneroso y conmutativo. Así lo ha afirmado esta Subdirección de manera expresa: al examinar ciertas adquisiciones precisó que ellas respetan “el carácter oneroso y conmutativo propio de los contratos estatales, los cuales requieren que el acuerdo sobre el objeto y el precio se eleven por escrito en los términos del inciso primero del artículo 41 de la Ley 80 de 1993”</w:t>
      </w:r>
      <w:r>
        <w:rPr>
          <w:rStyle w:val="Refdenotaalpie"/>
          <w:rFonts w:ascii="Verdana" w:hAnsi="Verdana"/>
          <w:sz w:val="20"/>
        </w:rPr>
        <w:footnoteReference w:id="14"/>
      </w:r>
      <w:r>
        <w:rPr>
          <w:rFonts w:ascii="Verdana" w:hAnsi="Verdana" w:cs="Arial"/>
          <w:bCs/>
          <w:szCs w:val="24"/>
          <w:lang w:val="es-ES_tradnl" w:eastAsia="es-ES_tradnl"/>
        </w:rPr>
        <w:t>.</w:t>
      </w:r>
    </w:p>
    <w:p w14:paraId="5C9C00C5" w14:textId="77777777" w:rsidR="00F2171E" w:rsidRPr="00C22134" w:rsidRDefault="00F2171E" w:rsidP="00F2171E">
      <w:pPr>
        <w:spacing w:after="0" w:line="276" w:lineRule="auto"/>
        <w:jc w:val="both"/>
        <w:rPr>
          <w:rFonts w:ascii="Verdana" w:eastAsia="Calibri" w:hAnsi="Verdana" w:cs="Arial"/>
          <w:lang w:val="es-ES"/>
        </w:rPr>
      </w:pPr>
    </w:p>
    <w:p w14:paraId="67D67595" w14:textId="4115DE1D"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mismo concepto precisó el contenido de ambas nociones acudiendo al Código Civil: el contrato es oneroso “cuando tiene por objeto la utilidad de ambos contratantes, gravándose cada uno a beneficio del otro”, y “el contrato oneroso es conmutativo, cuando cada una de las partes se obliga a dar o hacer una cosa que se mira como equivalente a lo que la otra parte debe dar o hacer a su vez”. Onerosidad y conmutatividad no son</w:t>
      </w:r>
      <w:r w:rsidR="00DE7876">
        <w:rPr>
          <w:rFonts w:ascii="Verdana" w:hAnsi="Verdana" w:cs="Arial"/>
          <w:bCs/>
          <w:szCs w:val="24"/>
          <w:lang w:val="es-ES_tradnl" w:eastAsia="es-ES_tradnl"/>
        </w:rPr>
        <w:t xml:space="preserve"> </w:t>
      </w:r>
      <w:r>
        <w:rPr>
          <w:rFonts w:ascii="Verdana" w:hAnsi="Verdana" w:cs="Arial"/>
          <w:bCs/>
          <w:szCs w:val="24"/>
          <w:lang w:val="es-ES_tradnl" w:eastAsia="es-ES_tradnl"/>
        </w:rPr>
        <w:t xml:space="preserve">rasgos </w:t>
      </w:r>
      <w:proofErr w:type="gramStart"/>
      <w:r>
        <w:rPr>
          <w:rFonts w:ascii="Verdana" w:hAnsi="Verdana" w:cs="Arial"/>
          <w:bCs/>
          <w:szCs w:val="24"/>
          <w:lang w:val="es-ES_tradnl" w:eastAsia="es-ES_tradnl"/>
        </w:rPr>
        <w:t>accidentales</w:t>
      </w:r>
      <w:proofErr w:type="gramEnd"/>
      <w:r w:rsidR="00DE7876">
        <w:rPr>
          <w:rFonts w:ascii="Verdana" w:hAnsi="Verdana" w:cs="Arial"/>
          <w:bCs/>
          <w:szCs w:val="24"/>
          <w:lang w:val="es-ES_tradnl" w:eastAsia="es-ES_tradnl"/>
        </w:rPr>
        <w:t xml:space="preserve"> sino que </w:t>
      </w:r>
      <w:r>
        <w:rPr>
          <w:rFonts w:ascii="Verdana" w:hAnsi="Verdana" w:cs="Arial"/>
          <w:bCs/>
          <w:szCs w:val="24"/>
          <w:lang w:val="es-ES_tradnl" w:eastAsia="es-ES_tradnl"/>
        </w:rPr>
        <w:t>describen la estructura económica del negocio</w:t>
      </w:r>
      <w:r>
        <w:rPr>
          <w:rStyle w:val="Refdenotaalpie"/>
          <w:rFonts w:ascii="Verdana" w:hAnsi="Verdana"/>
          <w:sz w:val="20"/>
        </w:rPr>
        <w:footnoteReference w:id="15"/>
      </w:r>
      <w:r>
        <w:rPr>
          <w:rFonts w:ascii="Verdana" w:hAnsi="Verdana" w:cs="Arial"/>
          <w:bCs/>
          <w:szCs w:val="24"/>
          <w:lang w:val="es-ES_tradnl" w:eastAsia="es-ES_tradnl"/>
        </w:rPr>
        <w:t>.</w:t>
      </w:r>
    </w:p>
    <w:p w14:paraId="67781F58" w14:textId="77777777" w:rsidR="00DE7876" w:rsidRDefault="00DE7876" w:rsidP="00F2171E">
      <w:pPr>
        <w:spacing w:after="0" w:line="276" w:lineRule="auto"/>
        <w:jc w:val="both"/>
        <w:rPr>
          <w:rFonts w:ascii="Verdana" w:hAnsi="Verdana" w:cs="Arial"/>
          <w:bCs/>
          <w:szCs w:val="24"/>
          <w:lang w:val="es-ES_tradnl" w:eastAsia="es-ES_tradnl"/>
        </w:rPr>
      </w:pPr>
    </w:p>
    <w:p w14:paraId="5997AD2A" w14:textId="602ADD49"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Subdirección ha señalado que “como el contrato estatal es oneroso y conmutativo, y en tanto los particulares que colaboran con las entidades estatales tienen derecho a obtener utilidades en los términos del artículo 3 de la Ley 80 de 1993, el beneficio económico del contratista y las contingencias propias del área normal quedan incorporados en los precios ofertados”</w:t>
      </w:r>
      <w:r>
        <w:rPr>
          <w:rStyle w:val="Refdenotaalpie"/>
          <w:rFonts w:ascii="Verdana" w:hAnsi="Verdana"/>
          <w:sz w:val="20"/>
        </w:rPr>
        <w:footnoteReference w:id="16"/>
      </w:r>
      <w:r>
        <w:rPr>
          <w:rFonts w:ascii="Verdana" w:hAnsi="Verdana" w:cs="Arial"/>
          <w:bCs/>
          <w:szCs w:val="24"/>
          <w:lang w:val="es-ES_tradnl" w:eastAsia="es-ES_tradnl"/>
        </w:rPr>
        <w:t>.</w:t>
      </w:r>
    </w:p>
    <w:p w14:paraId="2ADB14A7" w14:textId="77777777" w:rsidR="00F2171E" w:rsidRPr="00C22134" w:rsidRDefault="00F2171E" w:rsidP="00F2171E">
      <w:pPr>
        <w:spacing w:after="0" w:line="276" w:lineRule="auto"/>
        <w:jc w:val="both"/>
        <w:rPr>
          <w:rFonts w:ascii="Verdana" w:eastAsia="Calibri" w:hAnsi="Verdana" w:cs="Arial"/>
          <w:lang w:val="es-ES"/>
        </w:rPr>
      </w:pPr>
    </w:p>
    <w:p w14:paraId="31B40FD4"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Ha advertido también que la respuesta a una solicitud de aclaración no es oportunidad para que los proponentes “transgredan la conmutatividad del contrato estatal ofreciendo una contraprestación excesivamente reducida alejada de la realidad del mercado”; y, en materia de contratos interadministrativos, que ciertas injerencias de la entidad contratante pueden “desnaturalizar el contrato interadministrativo como negocio jurídico oneroso y conmutativo”. Los acuerdos accesorios que las partes pacten participan de los mismos caracteres</w:t>
      </w:r>
      <w:r>
        <w:rPr>
          <w:rStyle w:val="Refdenotaalpie"/>
          <w:rFonts w:ascii="Verdana" w:hAnsi="Verdana"/>
          <w:sz w:val="20"/>
        </w:rPr>
        <w:footnoteReference w:id="17"/>
      </w:r>
      <w:r>
        <w:rPr>
          <w:rFonts w:ascii="Verdana" w:hAnsi="Verdana" w:cs="Arial"/>
          <w:bCs/>
          <w:szCs w:val="24"/>
          <w:lang w:val="es-ES_tradnl" w:eastAsia="es-ES_tradnl"/>
        </w:rPr>
        <w:t>.</w:t>
      </w:r>
    </w:p>
    <w:p w14:paraId="63D00497" w14:textId="77777777" w:rsidR="00F2171E" w:rsidRPr="00C22134" w:rsidRDefault="00F2171E" w:rsidP="00F2171E">
      <w:pPr>
        <w:spacing w:after="0" w:line="276" w:lineRule="auto"/>
        <w:jc w:val="both"/>
        <w:rPr>
          <w:rFonts w:ascii="Verdana" w:eastAsia="Calibri" w:hAnsi="Verdana" w:cs="Arial"/>
          <w:lang w:val="es-ES"/>
        </w:rPr>
      </w:pPr>
    </w:p>
    <w:p w14:paraId="3E4D071F"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Estatuto respalda esa lectura en tres disposiciones. El artículo 3 de la Ley 80 de 1993 reconoce que los particulares, al celebrar contratos con el Estado, “tendrán en cuenta al colaborar con ellas en el logro de sus fines […] la obtención de utilidades cuya protección garantiza el Estado”. El artículo 28 ordena atender, en la interpretación de las normas contractuales, “la igualdad y equivalencia entre derechos y obligaciones surgidos al momento de proponer o de contratar”. Y el inciso primero del artículo 41 supedita el perfeccionamiento al acuerdo “sobre el objeto y la contraprestación”, elevado a escrito</w:t>
      </w:r>
      <w:r>
        <w:rPr>
          <w:rStyle w:val="Refdenotaalpie"/>
          <w:rFonts w:ascii="Verdana" w:hAnsi="Verdana"/>
          <w:sz w:val="20"/>
        </w:rPr>
        <w:footnoteReference w:id="18"/>
      </w:r>
      <w:r>
        <w:rPr>
          <w:rFonts w:ascii="Verdana" w:hAnsi="Verdana" w:cs="Arial"/>
          <w:bCs/>
          <w:szCs w:val="24"/>
          <w:lang w:val="es-ES_tradnl" w:eastAsia="es-ES_tradnl"/>
        </w:rPr>
        <w:t>.</w:t>
      </w:r>
    </w:p>
    <w:p w14:paraId="2C170A2D" w14:textId="77777777" w:rsidR="00F2171E" w:rsidRPr="00C22134" w:rsidRDefault="00F2171E" w:rsidP="00F2171E">
      <w:pPr>
        <w:spacing w:after="0" w:line="276" w:lineRule="auto"/>
        <w:jc w:val="both"/>
        <w:rPr>
          <w:rFonts w:ascii="Verdana" w:eastAsia="Calibri" w:hAnsi="Verdana" w:cs="Arial"/>
          <w:lang w:val="es-ES"/>
        </w:rPr>
      </w:pPr>
    </w:p>
    <w:p w14:paraId="0AEE38FE"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Las excepciones a la regla son las que el propio ordenamiento tipifica, y su existencia la confirma. Esta Subdirección ha precisado, por ejemplo, que los contratos del artículo 355 de la Constitución Política “no dan lugar a una contraprestación directa a favor de la entidad y tampoco a una relación conmutativa entre esta y la ESAL”, precisamente porque el beneficio lo reciben los sectores destinatarios del fomento. Se trata de un régimen especial, dispuesto por la Constitución y reglamentado por el Decreto 092 de 2017, y no de una habilitación general para celebrar contratos estatales a título gratuito</w:t>
      </w:r>
      <w:r>
        <w:rPr>
          <w:rStyle w:val="Refdenotaalpie"/>
          <w:rFonts w:ascii="Verdana" w:hAnsi="Verdana"/>
          <w:sz w:val="20"/>
        </w:rPr>
        <w:footnoteReference w:id="19"/>
      </w:r>
      <w:r>
        <w:rPr>
          <w:rFonts w:ascii="Verdana" w:hAnsi="Verdana" w:cs="Arial"/>
          <w:bCs/>
          <w:szCs w:val="24"/>
          <w:lang w:val="es-ES_tradnl" w:eastAsia="es-ES_tradnl"/>
        </w:rPr>
        <w:t>.</w:t>
      </w:r>
    </w:p>
    <w:p w14:paraId="700D172D" w14:textId="77777777" w:rsidR="00F2171E" w:rsidRPr="00C22134" w:rsidRDefault="00F2171E" w:rsidP="00F2171E">
      <w:pPr>
        <w:spacing w:after="0" w:line="276" w:lineRule="auto"/>
        <w:jc w:val="both"/>
        <w:rPr>
          <w:rFonts w:ascii="Verdana" w:eastAsia="Calibri" w:hAnsi="Verdana" w:cs="Arial"/>
          <w:lang w:val="es-ES"/>
        </w:rPr>
      </w:pPr>
    </w:p>
    <w:p w14:paraId="413F0E50" w14:textId="51FE7AB9"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 xml:space="preserve">Aplicada la premisa al supuesto que </w:t>
      </w:r>
      <w:r w:rsidR="00DE7876">
        <w:rPr>
          <w:rFonts w:ascii="Verdana" w:hAnsi="Verdana" w:cs="Arial"/>
          <w:bCs/>
          <w:szCs w:val="24"/>
          <w:lang w:val="es-ES_tradnl" w:eastAsia="es-ES_tradnl"/>
        </w:rPr>
        <w:t>la consulta plantea</w:t>
      </w:r>
      <w:r>
        <w:rPr>
          <w:rFonts w:ascii="Verdana" w:hAnsi="Verdana" w:cs="Arial"/>
          <w:bCs/>
          <w:szCs w:val="24"/>
          <w:lang w:val="es-ES_tradnl" w:eastAsia="es-ES_tradnl"/>
        </w:rPr>
        <w:t>, la conclusión se impone. Cuando una persona acude a una entidad estatal para aprender, adquirir experiencia o apoyar actividades sin recibir remuneración, honorarios ni contraprestación económica, no existe precio; no hay utilidad para ambos extremos de la relación; y no hay prestaciones que puedan mirarse como equivalentes. Falta, en consecuencia, el acuerdo sobre el objeto y la contraprestación que el artículo 41 exige para el perfeccionamiento. No hay contrato estatal y no resulta aplicable el Estatuto General de Contratación de la Administración Pública</w:t>
      </w:r>
      <w:r>
        <w:rPr>
          <w:rStyle w:val="Refdenotaalpie"/>
          <w:rFonts w:ascii="Verdana" w:hAnsi="Verdana"/>
          <w:sz w:val="20"/>
        </w:rPr>
        <w:footnoteReference w:id="20"/>
      </w:r>
      <w:r>
        <w:rPr>
          <w:rFonts w:ascii="Verdana" w:hAnsi="Verdana" w:cs="Arial"/>
          <w:bCs/>
          <w:szCs w:val="24"/>
          <w:lang w:val="es-ES_tradnl" w:eastAsia="es-ES_tradnl"/>
        </w:rPr>
        <w:t>.</w:t>
      </w:r>
    </w:p>
    <w:p w14:paraId="2B14DB5F" w14:textId="77777777" w:rsidR="00F2171E" w:rsidRPr="00C22134" w:rsidRDefault="00F2171E" w:rsidP="00F2171E">
      <w:pPr>
        <w:spacing w:after="0" w:line="276" w:lineRule="auto"/>
        <w:jc w:val="both"/>
        <w:rPr>
          <w:rFonts w:ascii="Verdana" w:eastAsia="Calibri" w:hAnsi="Verdana" w:cs="Arial"/>
          <w:lang w:val="es-ES"/>
        </w:rPr>
      </w:pPr>
    </w:p>
    <w:p w14:paraId="5A3089DA" w14:textId="7E94223B" w:rsidR="00F2171E" w:rsidRPr="00A0389A" w:rsidRDefault="19DEE09E" w:rsidP="1A795C4B">
      <w:pPr>
        <w:spacing w:after="0" w:line="276" w:lineRule="auto"/>
        <w:jc w:val="both"/>
        <w:rPr>
          <w:rFonts w:ascii="Verdana" w:hAnsi="Verdana" w:cs="Arial"/>
          <w:lang w:val="es-ES" w:eastAsia="es-ES"/>
        </w:rPr>
      </w:pPr>
      <w:r w:rsidRPr="1A795C4B">
        <w:rPr>
          <w:rFonts w:ascii="Verdana" w:hAnsi="Verdana" w:cs="Arial"/>
          <w:lang w:val="es-ES" w:eastAsia="es-ES"/>
        </w:rPr>
        <w:t xml:space="preserve">A esa conclusión, que se obtiene del régimen contractual, se suma otra que proviene del régimen propio de estas vinculaciones y que conviene exponer porque delimita el ámbito del Sistema Electrónico para la Contratación Pública: el ordenamiento </w:t>
      </w:r>
      <w:r w:rsidR="195A46B7" w:rsidRPr="1A795C4B">
        <w:rPr>
          <w:rFonts w:ascii="Verdana" w:hAnsi="Verdana" w:cs="Arial"/>
          <w:lang w:val="es-ES" w:eastAsia="es-ES"/>
        </w:rPr>
        <w:t xml:space="preserve">jurídico </w:t>
      </w:r>
      <w:r w:rsidRPr="1A795C4B">
        <w:rPr>
          <w:rFonts w:ascii="Verdana" w:hAnsi="Verdana" w:cs="Arial"/>
          <w:lang w:val="es-ES" w:eastAsia="es-ES"/>
        </w:rPr>
        <w:t xml:space="preserve">no entrega a la entidad la elección del </w:t>
      </w:r>
      <w:proofErr w:type="gramStart"/>
      <w:r w:rsidRPr="1A795C4B">
        <w:rPr>
          <w:rFonts w:ascii="Verdana" w:hAnsi="Verdana" w:cs="Arial"/>
          <w:lang w:val="es-ES" w:eastAsia="es-ES"/>
        </w:rPr>
        <w:t>instrumento</w:t>
      </w:r>
      <w:proofErr w:type="gramEnd"/>
      <w:r w:rsidR="195A46B7" w:rsidRPr="1A795C4B">
        <w:rPr>
          <w:rFonts w:ascii="Verdana" w:hAnsi="Verdana" w:cs="Arial"/>
          <w:lang w:val="es-ES" w:eastAsia="es-ES"/>
        </w:rPr>
        <w:t xml:space="preserve"> </w:t>
      </w:r>
      <w:r w:rsidRPr="1A795C4B">
        <w:rPr>
          <w:rFonts w:ascii="Verdana" w:hAnsi="Verdana" w:cs="Arial"/>
          <w:lang w:val="es-ES" w:eastAsia="es-ES"/>
        </w:rPr>
        <w:t>sino que lo determina</w:t>
      </w:r>
      <w:r w:rsidR="195A46B7" w:rsidRPr="1A795C4B">
        <w:rPr>
          <w:rFonts w:ascii="Verdana" w:hAnsi="Verdana" w:cs="Arial"/>
          <w:lang w:val="es-ES" w:eastAsia="es-ES"/>
        </w:rPr>
        <w:t xml:space="preserve"> de ante mano</w:t>
      </w:r>
      <w:r w:rsidRPr="1A795C4B">
        <w:rPr>
          <w:rFonts w:ascii="Verdana" w:hAnsi="Verdana" w:cs="Arial"/>
          <w:lang w:val="es-ES" w:eastAsia="es-ES"/>
        </w:rPr>
        <w:t>, y el instrumento que determina no es un contrato</w:t>
      </w:r>
      <w:r w:rsidR="195A46B7" w:rsidRPr="1A795C4B">
        <w:rPr>
          <w:rFonts w:ascii="Verdana" w:hAnsi="Verdana" w:cs="Arial"/>
          <w:lang w:val="es-ES" w:eastAsia="es-ES"/>
        </w:rPr>
        <w:t xml:space="preserve">. </w:t>
      </w:r>
    </w:p>
    <w:p w14:paraId="13254ED5" w14:textId="77777777" w:rsidR="00F2171E" w:rsidRPr="00C22134" w:rsidRDefault="00F2171E" w:rsidP="00F2171E">
      <w:pPr>
        <w:spacing w:after="0" w:line="276" w:lineRule="auto"/>
        <w:jc w:val="both"/>
        <w:rPr>
          <w:rFonts w:ascii="Verdana" w:eastAsia="Calibri" w:hAnsi="Verdana" w:cs="Arial"/>
          <w:lang w:val="es-ES"/>
        </w:rPr>
      </w:pPr>
    </w:p>
    <w:p w14:paraId="194E04AB"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artículo 16 de la Resolución 3546 de 2018 del Ministerio del Trabajo, en la redacción que le dio el artículo 7 de la Resolución 623 de 2020, dispone: “Las prácticas laborales por desarrollarse en las entidades estatales regidas en sus actuaciones por el derecho público se realizarán mediante la vinculación formativa del estudiante a través de acto administrativo que deberá expedirse con anterioridad al inicio de la actividad formativa”, y enumera su contenido mínimo. Su parágrafo añade que, expedido el acto, “el escenario de práctica y el estudiante deberán suscribir un acta donde señalen las fechas de inicio y terminación de la actividad formativa”</w:t>
      </w:r>
      <w:r>
        <w:rPr>
          <w:rStyle w:val="Refdenotaalpie"/>
          <w:rFonts w:ascii="Verdana" w:hAnsi="Verdana"/>
          <w:sz w:val="20"/>
        </w:rPr>
        <w:footnoteReference w:id="21"/>
      </w:r>
      <w:r>
        <w:rPr>
          <w:rFonts w:ascii="Verdana" w:hAnsi="Verdana" w:cs="Arial"/>
          <w:bCs/>
          <w:szCs w:val="24"/>
          <w:lang w:val="es-ES_tradnl" w:eastAsia="es-ES_tradnl"/>
        </w:rPr>
        <w:t>.</w:t>
      </w:r>
    </w:p>
    <w:p w14:paraId="6115CBF1" w14:textId="77777777" w:rsidR="00F2171E" w:rsidRPr="00C22134" w:rsidRDefault="00F2171E" w:rsidP="00F2171E">
      <w:pPr>
        <w:spacing w:after="0" w:line="276" w:lineRule="auto"/>
        <w:jc w:val="both"/>
        <w:rPr>
          <w:rFonts w:ascii="Verdana" w:eastAsia="Calibri" w:hAnsi="Verdana" w:cs="Arial"/>
          <w:lang w:val="es-ES"/>
        </w:rPr>
      </w:pPr>
    </w:p>
    <w:p w14:paraId="1C3DC2C1"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La lectura por contraste despeja cualquier duda: el artículo 17 ibidem reserva el acuerdo de voluntades a “las entidades privadas y […] las entidades estatales regidas en sus actuaciones por el derecho privado”. El reglamento distingue, entonces, entre entidades que se vinculan por acto administrativo y entidades </w:t>
      </w:r>
      <w:r>
        <w:rPr>
          <w:rFonts w:ascii="Verdana" w:hAnsi="Verdana" w:cs="Arial"/>
          <w:bCs/>
          <w:szCs w:val="24"/>
          <w:lang w:val="es-ES_tradnl" w:eastAsia="es-ES_tradnl"/>
        </w:rPr>
        <w:lastRenderedPageBreak/>
        <w:t>que lo hacen por acuerdo de voluntades, y sitúa a las primeras —entre ellas las Personerías Municipales— en el terreno del acto unilateral</w:t>
      </w:r>
      <w:r>
        <w:rPr>
          <w:rStyle w:val="Refdenotaalpie"/>
          <w:rFonts w:ascii="Verdana" w:hAnsi="Verdana"/>
          <w:sz w:val="20"/>
        </w:rPr>
        <w:footnoteReference w:id="22"/>
      </w:r>
      <w:r>
        <w:rPr>
          <w:rFonts w:ascii="Verdana" w:hAnsi="Verdana" w:cs="Arial"/>
          <w:bCs/>
          <w:szCs w:val="24"/>
          <w:lang w:val="es-ES_tradnl" w:eastAsia="es-ES_tradnl"/>
        </w:rPr>
        <w:t>.</w:t>
      </w:r>
    </w:p>
    <w:p w14:paraId="086536AA" w14:textId="77777777" w:rsidR="00F2171E" w:rsidRPr="00C22134" w:rsidRDefault="00F2171E" w:rsidP="00F2171E">
      <w:pPr>
        <w:spacing w:after="0" w:line="276" w:lineRule="auto"/>
        <w:jc w:val="both"/>
        <w:rPr>
          <w:rFonts w:ascii="Verdana" w:eastAsia="Calibri" w:hAnsi="Verdana" w:cs="Arial"/>
          <w:lang w:val="es-ES"/>
        </w:rPr>
      </w:pPr>
    </w:p>
    <w:p w14:paraId="2DEED55A"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misma regulación confirma que la práctica no es un negocio oneroso: la califica como “actividad pedagógica” que “no constituye relación de trabajo”, la concibe como relación tripartita entre estudiante, escenario de práctica e institución educativa, y prevé que sea “con auxilio o gratuita”, precisando que el auxilio “se destina a apoyar al practicante en el desarrollo de su actividad formativa y en ningún caso constituye salario”. El auxilio, cuando se pacta, es un apoyo a la formación y no la contraprestación de un servicio</w:t>
      </w:r>
      <w:r>
        <w:rPr>
          <w:rStyle w:val="Refdenotaalpie"/>
          <w:rFonts w:ascii="Verdana" w:hAnsi="Verdana"/>
          <w:sz w:val="20"/>
        </w:rPr>
        <w:footnoteReference w:id="23"/>
      </w:r>
      <w:r>
        <w:rPr>
          <w:rFonts w:ascii="Verdana" w:hAnsi="Verdana" w:cs="Arial"/>
          <w:bCs/>
          <w:szCs w:val="24"/>
          <w:lang w:val="es-ES_tradnl" w:eastAsia="es-ES_tradnl"/>
        </w:rPr>
        <w:t>.</w:t>
      </w:r>
    </w:p>
    <w:p w14:paraId="3E7B9D03" w14:textId="77777777" w:rsidR="00F2171E" w:rsidRPr="00C22134" w:rsidRDefault="00F2171E" w:rsidP="00F2171E">
      <w:pPr>
        <w:spacing w:after="0" w:line="276" w:lineRule="auto"/>
        <w:jc w:val="both"/>
        <w:rPr>
          <w:rFonts w:ascii="Verdana" w:eastAsia="Calibri" w:hAnsi="Verdana" w:cs="Arial"/>
          <w:lang w:val="es-ES"/>
        </w:rPr>
      </w:pPr>
    </w:p>
    <w:p w14:paraId="27434239"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Tratándose de la judicatura la respuesta es equivalente y proviene de su propio régimen, que la citada resolución excluye expresamente de su ámbito. El artículo noveno del Acuerdo PSAA10-7543 de 2010 de la Sala Administrativa del Consejo Superior de la Judicatura dispone que las entidades que vinculen egresados de las facultades de derecho con carácter ad honorem o remunerado “realizarán dicha vinculación mediante los correspondientes actos administrativos, o bajo cualquier otra modalidad de vinculación”</w:t>
      </w:r>
      <w:r>
        <w:rPr>
          <w:rStyle w:val="Refdenotaalpie"/>
          <w:rFonts w:ascii="Verdana" w:hAnsi="Verdana"/>
          <w:sz w:val="20"/>
        </w:rPr>
        <w:footnoteReference w:id="24"/>
      </w:r>
      <w:r>
        <w:rPr>
          <w:rFonts w:ascii="Verdana" w:hAnsi="Verdana" w:cs="Arial"/>
          <w:bCs/>
          <w:szCs w:val="24"/>
          <w:lang w:val="es-ES_tradnl" w:eastAsia="es-ES_tradnl"/>
        </w:rPr>
        <w:t>.</w:t>
      </w:r>
    </w:p>
    <w:p w14:paraId="5A505F25" w14:textId="77777777" w:rsidR="00F2171E" w:rsidRPr="00C22134" w:rsidRDefault="00F2171E" w:rsidP="00F2171E">
      <w:pPr>
        <w:spacing w:after="0" w:line="276" w:lineRule="auto"/>
        <w:jc w:val="both"/>
        <w:rPr>
          <w:rFonts w:ascii="Verdana" w:eastAsia="Calibri" w:hAnsi="Verdana" w:cs="Arial"/>
          <w:lang w:val="es-ES"/>
        </w:rPr>
      </w:pPr>
    </w:p>
    <w:p w14:paraId="585EF17F"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Esta Subdirección ha descrito esa modalidad señalando que en ella “el egresado presta servicios jurídicos durante nueve meses de tiempo completo y con dedicación exclusiva, sin recibir remuneración ni establecer vínculo laboral con el Estado”, y ha advertido que su estructura —jornada completa, asignación de funciones por el superior inmediato y evaluación periódica, en los términos de la Ley 1322 de 2009— “puede contrastar con el requisito de autonomía e independencia que caracteriza esencialmente el contrato de prestación de servicios”. Ha precisado también que las entidades “no pueden subvertir los </w:t>
      </w:r>
      <w:r>
        <w:rPr>
          <w:rFonts w:ascii="Verdana" w:hAnsi="Verdana" w:cs="Arial"/>
          <w:bCs/>
          <w:szCs w:val="24"/>
          <w:lang w:val="es-ES_tradnl" w:eastAsia="es-ES_tradnl"/>
        </w:rPr>
        <w:lastRenderedPageBreak/>
        <w:t>requisitos que exige la ley para el ejercicio del derecho optando por celebrar un contrato de apoyo a la gestión”</w:t>
      </w:r>
      <w:r>
        <w:rPr>
          <w:rStyle w:val="Refdenotaalpie"/>
          <w:rFonts w:ascii="Verdana" w:hAnsi="Verdana"/>
          <w:sz w:val="20"/>
        </w:rPr>
        <w:footnoteReference w:id="25"/>
      </w:r>
      <w:r>
        <w:rPr>
          <w:rFonts w:ascii="Verdana" w:hAnsi="Verdana" w:cs="Arial"/>
          <w:bCs/>
          <w:szCs w:val="24"/>
          <w:lang w:val="es-ES_tradnl" w:eastAsia="es-ES_tradnl"/>
        </w:rPr>
        <w:t>.</w:t>
      </w:r>
    </w:p>
    <w:p w14:paraId="4D6373EC" w14:textId="77777777" w:rsidR="00F2171E" w:rsidRPr="00C22134" w:rsidRDefault="00F2171E" w:rsidP="00F2171E">
      <w:pPr>
        <w:spacing w:after="0" w:line="276" w:lineRule="auto"/>
        <w:jc w:val="both"/>
        <w:rPr>
          <w:rFonts w:ascii="Verdana" w:eastAsia="Calibri" w:hAnsi="Verdana" w:cs="Arial"/>
          <w:lang w:val="es-ES"/>
        </w:rPr>
      </w:pPr>
    </w:p>
    <w:p w14:paraId="7B62F5F4"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 lo anterior se desprende la respuesta al interrogante sobre la procedencia de un convenio o acuerdo de colaboración gratuito. No es admisible, por dos razones concurrentes: porque el régimen aplicable dispone un instrumento distinto, y porque la entidad no puede valerse de una denominación atípica o gratuita para obtener aquello que una tipología legal regula con requisitos propios. Si las actividades corresponden al objeto del contrato de prestación de servicios, debe acudirse a esa tipología con el cumplimiento íntegro de sus exigencias, lo que excluye por definición su celebración a título gratuito</w:t>
      </w:r>
      <w:r>
        <w:rPr>
          <w:rStyle w:val="Refdenotaalpie"/>
          <w:rFonts w:ascii="Verdana" w:hAnsi="Verdana"/>
          <w:sz w:val="20"/>
        </w:rPr>
        <w:footnoteReference w:id="26"/>
      </w:r>
      <w:r>
        <w:rPr>
          <w:rFonts w:ascii="Verdana" w:hAnsi="Verdana" w:cs="Arial"/>
          <w:bCs/>
          <w:szCs w:val="24"/>
          <w:lang w:val="es-ES_tradnl" w:eastAsia="es-ES_tradnl"/>
        </w:rPr>
        <w:t>.</w:t>
      </w:r>
    </w:p>
    <w:p w14:paraId="1E828DF3" w14:textId="77777777" w:rsidR="00F2171E" w:rsidRPr="00C22134" w:rsidRDefault="00F2171E" w:rsidP="00F2171E">
      <w:pPr>
        <w:spacing w:after="0" w:line="276" w:lineRule="auto"/>
        <w:jc w:val="both"/>
        <w:rPr>
          <w:rFonts w:ascii="Verdana" w:eastAsia="Calibri" w:hAnsi="Verdana" w:cs="Arial"/>
          <w:lang w:val="es-ES"/>
        </w:rPr>
      </w:pPr>
    </w:p>
    <w:p w14:paraId="118C63F2"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ii) Establecido que no hay contrato estatal, la respuesta sobre la publicidad en el SECOP II se sigue del objeto mismo del deber. El artículo 3 de la Ley 1150 de 2007 y el artículo 2.2.1.1.1.7.1 del Decreto 1082 de 2015 imponen publicar “los Documentos del Proceso y los actos administrativos del Proceso de Contratación”; y el artículo 2.2.1.1.1.3.1 define el Proceso de Contratación como el conjunto de actos y actividades que la entidad adelanta desde la planeación hasta el vencimiento de las garantías o la liquidación. Sin contrato estatal no hay Proceso de Contratación, y sin Proceso de Contratación el SECOP II no es el sistema que corresponde</w:t>
      </w:r>
      <w:r>
        <w:rPr>
          <w:rStyle w:val="Refdenotaalpie"/>
          <w:rFonts w:ascii="Verdana" w:hAnsi="Verdana"/>
          <w:sz w:val="20"/>
        </w:rPr>
        <w:footnoteReference w:id="27"/>
      </w:r>
      <w:r>
        <w:rPr>
          <w:rFonts w:ascii="Verdana" w:hAnsi="Verdana" w:cs="Arial"/>
          <w:bCs/>
          <w:szCs w:val="24"/>
          <w:lang w:val="es-ES_tradnl" w:eastAsia="es-ES_tradnl"/>
        </w:rPr>
        <w:t>.</w:t>
      </w:r>
    </w:p>
    <w:p w14:paraId="51E2E506" w14:textId="77777777" w:rsidR="00F2171E" w:rsidRPr="00C22134" w:rsidRDefault="00F2171E" w:rsidP="00F2171E">
      <w:pPr>
        <w:spacing w:after="0" w:line="276" w:lineRule="auto"/>
        <w:jc w:val="both"/>
        <w:rPr>
          <w:rFonts w:ascii="Verdana" w:eastAsia="Calibri" w:hAnsi="Verdana" w:cs="Arial"/>
          <w:lang w:val="es-ES"/>
        </w:rPr>
      </w:pPr>
    </w:p>
    <w:p w14:paraId="0878F42B"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Esta Subdirección ya resolvió un caso análogo. Consultada sobre la publicación de los contratos de aprendizaje en el SECOP II, señaló que se trata de “una forma especial de vinculación del Derecho Laboral” y concluyó que “dicha tipología contractual no se encuentra incorporada en la noción de contratos estatales, puesto que, de acuerdo con lo indicado en el artículo 32 de la Ley 80 </w:t>
      </w:r>
      <w:r>
        <w:rPr>
          <w:rFonts w:ascii="Verdana" w:hAnsi="Verdana" w:cs="Arial"/>
          <w:bCs/>
          <w:szCs w:val="24"/>
          <w:lang w:val="es-ES_tradnl" w:eastAsia="es-ES_tradnl"/>
        </w:rPr>
        <w:lastRenderedPageBreak/>
        <w:t>de 1993, estos últimos corresponden a todos los actos jurídicos […] que celebren las entidades a las que se refiere el Estatuto General de Contratación de la Administración Pública […] sobre los que, recae la obligación de publicar en el SECOP II”</w:t>
      </w:r>
      <w:r>
        <w:rPr>
          <w:rStyle w:val="Refdenotaalpie"/>
          <w:rFonts w:ascii="Verdana" w:hAnsi="Verdana"/>
          <w:sz w:val="20"/>
        </w:rPr>
        <w:footnoteReference w:id="28"/>
      </w:r>
      <w:r>
        <w:rPr>
          <w:rFonts w:ascii="Verdana" w:hAnsi="Verdana" w:cs="Arial"/>
          <w:bCs/>
          <w:szCs w:val="24"/>
          <w:lang w:val="es-ES_tradnl" w:eastAsia="es-ES_tradnl"/>
        </w:rPr>
        <w:t>.</w:t>
      </w:r>
    </w:p>
    <w:p w14:paraId="233BD90F" w14:textId="77777777" w:rsidR="00F2171E" w:rsidRPr="00C22134" w:rsidRDefault="00F2171E" w:rsidP="00F2171E">
      <w:pPr>
        <w:spacing w:after="0" w:line="276" w:lineRule="auto"/>
        <w:jc w:val="both"/>
        <w:rPr>
          <w:rFonts w:ascii="Verdana" w:eastAsia="Calibri" w:hAnsi="Verdana" w:cs="Arial"/>
          <w:lang w:val="es-ES"/>
        </w:rPr>
      </w:pPr>
    </w:p>
    <w:p w14:paraId="4A02DA35"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El argumento se aplica con mayor razón a las vinculaciones formativas y ad honorem. Si una tipología que el ordenamiento denomina contrato queda fuera del deber por no ser contrato estatal, con mayor razón queda fuera una vinculación que ni siquiera se articula mediante negocio jurídico, sino mediante acto administrativo unilateral expedido por la entidad en ejercicio de una competencia que le confiere un régimen ajeno al contractual.</w:t>
      </w:r>
    </w:p>
    <w:p w14:paraId="6A7A0136" w14:textId="77777777" w:rsidR="00F2171E" w:rsidRPr="00C22134" w:rsidRDefault="00F2171E" w:rsidP="00F2171E">
      <w:pPr>
        <w:spacing w:after="0" w:line="276" w:lineRule="auto"/>
        <w:jc w:val="both"/>
        <w:rPr>
          <w:rFonts w:ascii="Verdana" w:eastAsia="Calibri" w:hAnsi="Verdana" w:cs="Arial"/>
          <w:lang w:val="es-ES"/>
        </w:rPr>
      </w:pPr>
    </w:p>
    <w:p w14:paraId="658D6C47"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Conviene precisar, para evitar una lectura equivocada, el alcance de una regla que podría invocarse en sentido contrario. Esta Subdirección tiene decantado, desde hace varios años, que “la publicidad de los contratos estatales debe realizarse a través de SECOP, independientemente de cual sea el régimen aplicable al contrato o que este implique o no la erogación de recursos públicos”. Pero el supuesto de esa regla está en su propio enunciado: ella se predica de los </w:t>
      </w:r>
      <w:r>
        <w:rPr>
          <w:rFonts w:ascii="Verdana" w:hAnsi="Verdana" w:cs="Arial"/>
          <w:bCs/>
          <w:i/>
          <w:szCs w:val="24"/>
          <w:lang w:val="es-ES_tradnl" w:eastAsia="es-ES_tradnl"/>
        </w:rPr>
        <w:t>contratos estatales</w:t>
      </w:r>
      <w:r>
        <w:rPr>
          <w:rStyle w:val="Refdenotaalpie"/>
          <w:rFonts w:ascii="Verdana" w:hAnsi="Verdana"/>
          <w:sz w:val="20"/>
        </w:rPr>
        <w:footnoteReference w:id="29"/>
      </w:r>
    </w:p>
    <w:p w14:paraId="7D7FBCB3" w14:textId="77777777" w:rsidR="00F2171E" w:rsidRPr="00C22134" w:rsidRDefault="00F2171E" w:rsidP="00F2171E">
      <w:pPr>
        <w:spacing w:after="0" w:line="276" w:lineRule="auto"/>
        <w:jc w:val="both"/>
        <w:rPr>
          <w:rFonts w:ascii="Verdana" w:eastAsia="Calibri" w:hAnsi="Verdana" w:cs="Arial"/>
          <w:lang w:val="es-ES"/>
        </w:rPr>
      </w:pPr>
    </w:p>
    <w:p w14:paraId="28772839" w14:textId="244C1595"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La regla se construyó, en efecto, a propósito de tipologías de derecho privado que las entidades estatales celebran al amparo de la remisión del artículo 13 de la Ley 80 de 1993 —señaladamente el comodato y el arrendamiento en el que la entidad es arrendadora—, en las que sí hay negocio jurídico y sí hay contrato estatal, aunque no haya desembolso de recursos públicos. Su función es impedir que la ausencia de erogación sirva de excusa para no publicar un contrato; no la de convertir en contractual una actuación que por su régimen no lo es. Respondiendo con precisión su interrogante 6.6: la ausencia de remuneración </w:t>
      </w:r>
      <w:r>
        <w:rPr>
          <w:rFonts w:ascii="Verdana" w:hAnsi="Verdana" w:cs="Arial"/>
          <w:bCs/>
          <w:szCs w:val="24"/>
          <w:lang w:val="es-ES_tradnl" w:eastAsia="es-ES_tradnl"/>
        </w:rPr>
        <w:lastRenderedPageBreak/>
        <w:t>no excluye el deber de publicar un contrato estatal; lo que ocurre en el supuesto de</w:t>
      </w:r>
      <w:r w:rsidR="009C1CA3">
        <w:rPr>
          <w:rFonts w:ascii="Verdana" w:hAnsi="Verdana" w:cs="Arial"/>
          <w:bCs/>
          <w:szCs w:val="24"/>
          <w:lang w:val="es-ES_tradnl" w:eastAsia="es-ES_tradnl"/>
        </w:rPr>
        <w:t xml:space="preserve"> la</w:t>
      </w:r>
      <w:r>
        <w:rPr>
          <w:rFonts w:ascii="Verdana" w:hAnsi="Verdana" w:cs="Arial"/>
          <w:bCs/>
          <w:szCs w:val="24"/>
          <w:lang w:val="es-ES_tradnl" w:eastAsia="es-ES_tradnl"/>
        </w:rPr>
        <w:t xml:space="preserve"> consulta es que no hay contrato estatal</w:t>
      </w:r>
      <w:r>
        <w:rPr>
          <w:rStyle w:val="Refdenotaalpie"/>
          <w:rFonts w:ascii="Verdana" w:hAnsi="Verdana"/>
          <w:sz w:val="20"/>
        </w:rPr>
        <w:footnoteReference w:id="30"/>
      </w:r>
      <w:r>
        <w:rPr>
          <w:rFonts w:ascii="Verdana" w:hAnsi="Verdana" w:cs="Arial"/>
          <w:bCs/>
          <w:szCs w:val="24"/>
          <w:lang w:val="es-ES_tradnl" w:eastAsia="es-ES_tradnl"/>
        </w:rPr>
        <w:t>.</w:t>
      </w:r>
    </w:p>
    <w:p w14:paraId="7E4EDCA8" w14:textId="77777777" w:rsidR="00F2171E" w:rsidRPr="00C22134" w:rsidRDefault="00F2171E" w:rsidP="00F2171E">
      <w:pPr>
        <w:spacing w:after="0" w:line="276" w:lineRule="auto"/>
        <w:jc w:val="both"/>
        <w:rPr>
          <w:rFonts w:ascii="Verdana" w:eastAsia="Calibri" w:hAnsi="Verdana" w:cs="Arial"/>
          <w:lang w:val="es-ES"/>
        </w:rPr>
      </w:pPr>
    </w:p>
    <w:p w14:paraId="327423F3"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Queda por indicar el canal que sí corresponde, pues la inaplicación del SECOP no sustrae estas actuaciones de la publicidad. La propia regulación de las prácticas laborales dispone un mecanismo específico: el artículo 10 de la Resolución 3546 de 2018 establece que “tanto las entidades privadas como estatales, reportarán sus plazas de práctica laboral al Sistema de Información del Servicio Público de Empleo”, y el numeral 1 del artículo 15 ibidem impone a los escenarios de práctica “registrar y publicar las plazas de práctica a través del Sistema de Información del Servicio Público de Empleo”. El numeral 2 del mismo artículo añade el deber de “establecer, aplicar y dar a conocer a los estudiantes que se postulen, el proceso de selección para la asignación de plazas de práctica”</w:t>
      </w:r>
      <w:r>
        <w:rPr>
          <w:rStyle w:val="Refdenotaalpie"/>
          <w:rFonts w:ascii="Verdana" w:hAnsi="Verdana"/>
          <w:sz w:val="20"/>
        </w:rPr>
        <w:footnoteReference w:id="31"/>
      </w:r>
      <w:r>
        <w:rPr>
          <w:rFonts w:ascii="Verdana" w:hAnsi="Verdana" w:cs="Arial"/>
          <w:bCs/>
          <w:szCs w:val="24"/>
          <w:lang w:val="es-ES_tradnl" w:eastAsia="es-ES_tradnl"/>
        </w:rPr>
        <w:t>.</w:t>
      </w:r>
    </w:p>
    <w:p w14:paraId="2C93F1FA" w14:textId="77777777" w:rsidR="00F2171E" w:rsidRPr="00C22134" w:rsidRDefault="00F2171E" w:rsidP="00F2171E">
      <w:pPr>
        <w:spacing w:after="0" w:line="276" w:lineRule="auto"/>
        <w:jc w:val="both"/>
        <w:rPr>
          <w:rFonts w:ascii="Verdana" w:eastAsia="Calibri" w:hAnsi="Verdana" w:cs="Arial"/>
          <w:lang w:val="es-ES"/>
        </w:rPr>
      </w:pPr>
    </w:p>
    <w:p w14:paraId="42B6CF59"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Respecto del acto administrativo de vinculación formativa, del acta y de los demás documentos que soporten la actuación, su divulgación se rige por el régimen general de transparencia: son información pública en los términos de la Ley 1712 de 2014 y del Decreto 1081 de 2015, y se divulgan a través del sitio web institucional y de la sección de transparencia y acceso a la información pública, conforme a los estándares que para el efecto fijó el Ministerio de Tecnologías de la Información y las Comunicaciones. La determinación concreta del medio y de las salvaguardas aplicables en materia de datos personales compete al sujeto obligado que administra la información, y su vigilancia a las autoridades competentes en esa materia</w:t>
      </w:r>
      <w:r>
        <w:rPr>
          <w:rStyle w:val="Refdenotaalpie"/>
          <w:rFonts w:ascii="Verdana" w:hAnsi="Verdana"/>
          <w:sz w:val="20"/>
        </w:rPr>
        <w:footnoteReference w:id="32"/>
      </w:r>
      <w:r>
        <w:rPr>
          <w:rFonts w:ascii="Verdana" w:hAnsi="Verdana" w:cs="Arial"/>
          <w:bCs/>
          <w:szCs w:val="24"/>
          <w:lang w:val="es-ES_tradnl" w:eastAsia="es-ES_tradnl"/>
        </w:rPr>
        <w:t>.</w:t>
      </w:r>
    </w:p>
    <w:p w14:paraId="7A3D66C4" w14:textId="77777777" w:rsidR="00F2171E" w:rsidRPr="00C22134" w:rsidRDefault="00F2171E" w:rsidP="00F2171E">
      <w:pPr>
        <w:spacing w:after="0" w:line="276" w:lineRule="auto"/>
        <w:jc w:val="both"/>
        <w:rPr>
          <w:rFonts w:ascii="Verdana" w:eastAsia="Calibri" w:hAnsi="Verdana" w:cs="Arial"/>
          <w:lang w:val="es-ES"/>
        </w:rPr>
      </w:pPr>
    </w:p>
    <w:p w14:paraId="209C5A73"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iii) Los convenios y documentos relativos a practicantes de instituciones de educación superior siguen la misma suerte. Tratándose de una Personería Municipal, entidad estatal regida en sus actuaciones por el derecho público, el </w:t>
      </w:r>
      <w:r>
        <w:rPr>
          <w:rFonts w:ascii="Verdana" w:hAnsi="Verdana" w:cs="Arial"/>
          <w:bCs/>
          <w:szCs w:val="24"/>
          <w:lang w:val="es-ES_tradnl" w:eastAsia="es-ES_tradnl"/>
        </w:rPr>
        <w:lastRenderedPageBreak/>
        <w:t>instrumento que el reglamento prevé es el acto administrativo de vinculación formativa, y no un contrato estatal. El documento que articule la relación con la institución educativa, cuando se limita a ordenar la relación tripartita y no comporta obligaciones onerosas y conmutativas recíprocas, tampoco reúne los caracteres del contrato estatal y, por tanto, no se publica en el SECOP II</w:t>
      </w:r>
      <w:r>
        <w:rPr>
          <w:rStyle w:val="Refdenotaalpie"/>
          <w:rFonts w:ascii="Verdana" w:hAnsi="Verdana"/>
          <w:sz w:val="20"/>
        </w:rPr>
        <w:footnoteReference w:id="33"/>
      </w:r>
      <w:r>
        <w:rPr>
          <w:rFonts w:ascii="Verdana" w:hAnsi="Verdana" w:cs="Arial"/>
          <w:bCs/>
          <w:szCs w:val="24"/>
          <w:lang w:val="es-ES_tradnl" w:eastAsia="es-ES_tradnl"/>
        </w:rPr>
        <w:t>.</w:t>
      </w:r>
    </w:p>
    <w:p w14:paraId="2946C12D" w14:textId="77777777" w:rsidR="00F2171E" w:rsidRPr="00C22134" w:rsidRDefault="00F2171E" w:rsidP="00F2171E">
      <w:pPr>
        <w:spacing w:after="0" w:line="276" w:lineRule="auto"/>
        <w:jc w:val="both"/>
        <w:rPr>
          <w:rFonts w:ascii="Verdana" w:eastAsia="Calibri" w:hAnsi="Verdana" w:cs="Arial"/>
          <w:lang w:val="es-ES"/>
        </w:rPr>
      </w:pPr>
    </w:p>
    <w:p w14:paraId="1A6D9532"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Por la misma razón, los documentos individuales de vinculación de cada practicante no son Documentos del Proceso, pues no existe Proceso de Contratación al cual puedan integrarse. Su divulgación se rige por el régimen de transparencia y acceso a la información pública, con las salvaguardas que correspondan en materia de datos personales. Y la respuesta no cambia cuando la práctica es ad honorem: la gratuidad confirma, antes que excepciona, la ausencia de los caracteres propios del contrato estatal</w:t>
      </w:r>
      <w:r>
        <w:rPr>
          <w:rStyle w:val="Refdenotaalpie"/>
          <w:rFonts w:ascii="Verdana" w:hAnsi="Verdana"/>
          <w:sz w:val="20"/>
        </w:rPr>
        <w:footnoteReference w:id="34"/>
      </w:r>
      <w:r>
        <w:rPr>
          <w:rFonts w:ascii="Verdana" w:hAnsi="Verdana" w:cs="Arial"/>
          <w:bCs/>
          <w:szCs w:val="24"/>
          <w:lang w:val="es-ES_tradnl" w:eastAsia="es-ES_tradnl"/>
        </w:rPr>
        <w:t>.</w:t>
      </w:r>
    </w:p>
    <w:p w14:paraId="79015B54" w14:textId="77777777" w:rsidR="00F2171E" w:rsidRPr="00C22134" w:rsidRDefault="00F2171E" w:rsidP="00F2171E">
      <w:pPr>
        <w:spacing w:after="0" w:line="276" w:lineRule="auto"/>
        <w:jc w:val="both"/>
        <w:rPr>
          <w:rFonts w:ascii="Verdana" w:eastAsia="Calibri" w:hAnsi="Verdana" w:cs="Arial"/>
          <w:lang w:val="es-ES"/>
        </w:rPr>
      </w:pPr>
    </w:p>
    <w:p w14:paraId="4419A040"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Debe precisarse, eso sí, el límite de esta conclusión. Si la entidad y la institución de educación superior celebraran un negocio jurídico del que surgieran obligaciones onerosas y conmutativas recíprocas —por ejemplo, la prestación de un servicio de capacitación a cambio de un precio—, ese negocio sí sería un contrato estatal y quedaría sometido al Estatuto General de Contratación de la Administración Pública y al deber de publicidad en el SECOP II. La calificación de un documento concreto corresponde, en todo caso, a la entidad, a los organismos de control y, en último término, al juez del contrato</w:t>
      </w:r>
      <w:r>
        <w:rPr>
          <w:rStyle w:val="Refdenotaalpie"/>
          <w:rFonts w:ascii="Verdana" w:hAnsi="Verdana"/>
          <w:sz w:val="20"/>
        </w:rPr>
        <w:footnoteReference w:id="35"/>
      </w:r>
      <w:r>
        <w:rPr>
          <w:rFonts w:ascii="Verdana" w:hAnsi="Verdana" w:cs="Arial"/>
          <w:bCs/>
          <w:szCs w:val="24"/>
          <w:lang w:val="es-ES_tradnl" w:eastAsia="es-ES_tradnl"/>
        </w:rPr>
        <w:t>.</w:t>
      </w:r>
    </w:p>
    <w:p w14:paraId="26257EF5" w14:textId="77777777" w:rsidR="00F2171E" w:rsidRPr="00C22134" w:rsidRDefault="00F2171E" w:rsidP="00F2171E">
      <w:pPr>
        <w:spacing w:after="0" w:line="276" w:lineRule="auto"/>
        <w:jc w:val="both"/>
        <w:rPr>
          <w:rFonts w:ascii="Verdana" w:eastAsia="Calibri" w:hAnsi="Verdana" w:cs="Arial"/>
          <w:lang w:val="es-ES"/>
        </w:rPr>
      </w:pPr>
    </w:p>
    <w:p w14:paraId="07845054" w14:textId="77777777" w:rsidR="00F2171E" w:rsidRPr="00A0389A" w:rsidRDefault="19DEE09E" w:rsidP="1A795C4B">
      <w:pPr>
        <w:spacing w:after="0" w:line="276" w:lineRule="auto"/>
        <w:jc w:val="both"/>
        <w:rPr>
          <w:rFonts w:ascii="Verdana" w:hAnsi="Verdana" w:cs="Arial"/>
          <w:lang w:val="es-ES" w:eastAsia="es-ES"/>
        </w:rPr>
      </w:pPr>
      <w:r w:rsidRPr="1A795C4B">
        <w:rPr>
          <w:rFonts w:ascii="Verdana" w:hAnsi="Verdana" w:cs="Arial"/>
          <w:lang w:val="es-ES" w:eastAsia="es-ES"/>
        </w:rPr>
        <w:t xml:space="preserve">iv) Acápite orientativo. Lo que sigue se ofrece como orientación y no como interpretación vinculante, pues se refiere a regímenes cuya aplicación corresponde a autoridades distintas de esta Agencia. Se incluye porque el peticionario pregunta, en varios de sus interrogantes, por el instrumento que </w:t>
      </w:r>
      <w:r w:rsidRPr="1A795C4B">
        <w:rPr>
          <w:rFonts w:ascii="Verdana" w:hAnsi="Verdana" w:cs="Arial"/>
          <w:lang w:val="es-ES" w:eastAsia="es-ES"/>
        </w:rPr>
        <w:lastRenderedPageBreak/>
        <w:t>debería emplearse, y porque la ubicación de cada figura en su régimen explica por qué ninguna de ellas transita por el SECOP II.</w:t>
      </w:r>
    </w:p>
    <w:p w14:paraId="7A0A5964" w14:textId="77777777" w:rsidR="00F2171E" w:rsidRPr="00C22134" w:rsidRDefault="00F2171E" w:rsidP="00F2171E">
      <w:pPr>
        <w:spacing w:after="0" w:line="276" w:lineRule="auto"/>
        <w:jc w:val="both"/>
        <w:rPr>
          <w:rFonts w:ascii="Verdana" w:eastAsia="Calibri" w:hAnsi="Verdana" w:cs="Arial"/>
          <w:lang w:val="es-ES"/>
        </w:rPr>
      </w:pPr>
    </w:p>
    <w:p w14:paraId="7A1437FA"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Las prácticas laborales se rigen por los artículos 13, 15, 16 y 17 de la Ley 1780 de 2016, por el artículo 192 de la Ley 1955 de 2019 y por la Resolución 3546 de 2018 del Ministerio del Trabajo, modificada por la Resolución 623 de 2020. La práctica es una actividad formativa desarrollada por un </w:t>
      </w:r>
      <w:r>
        <w:rPr>
          <w:rFonts w:ascii="Verdana" w:hAnsi="Verdana" w:cs="Arial"/>
          <w:bCs/>
          <w:i/>
          <w:szCs w:val="24"/>
          <w:lang w:val="es-ES_tradnl" w:eastAsia="es-ES_tradnl"/>
        </w:rPr>
        <w:t>estudiante</w:t>
      </w:r>
      <w:r>
        <w:rPr>
          <w:rFonts w:ascii="Verdana" w:hAnsi="Verdana" w:cs="Arial"/>
          <w:bCs/>
          <w:szCs w:val="24"/>
          <w:lang w:val="es-ES_tradnl" w:eastAsia="es-ES_tradnl"/>
        </w:rPr>
        <w:t xml:space="preserve"> de programas de formación complementaria, de educación superior de pregrado o posgrado, de educación para el trabajo y el desarrollo humano o de formación profesional integral del SENA, en un ambiente laboral real y con supervisión. La exigencia de la condición de estudiante es un dato relevante para los interrogantes del peticionario relativos a personas ya graduadas, cuya determinación corresponde, en todo caso, a las autoridades competentes en la materia</w:t>
      </w:r>
      <w:r>
        <w:rPr>
          <w:rStyle w:val="Refdenotaalpie"/>
          <w:rFonts w:ascii="Verdana" w:hAnsi="Verdana"/>
          <w:sz w:val="20"/>
        </w:rPr>
        <w:footnoteReference w:id="36"/>
      </w:r>
      <w:r>
        <w:rPr>
          <w:rFonts w:ascii="Verdana" w:hAnsi="Verdana" w:cs="Arial"/>
          <w:bCs/>
          <w:szCs w:val="24"/>
          <w:lang w:val="es-ES_tradnl" w:eastAsia="es-ES_tradnl"/>
        </w:rPr>
        <w:t>.</w:t>
      </w:r>
    </w:p>
    <w:p w14:paraId="74B46C2D" w14:textId="77777777" w:rsidR="00F2171E" w:rsidRPr="00C22134" w:rsidRDefault="00F2171E" w:rsidP="00F2171E">
      <w:pPr>
        <w:spacing w:after="0" w:line="276" w:lineRule="auto"/>
        <w:jc w:val="both"/>
        <w:rPr>
          <w:rFonts w:ascii="Verdana" w:eastAsia="Calibri" w:hAnsi="Verdana" w:cs="Arial"/>
          <w:lang w:val="es-ES"/>
        </w:rPr>
      </w:pPr>
    </w:p>
    <w:p w14:paraId="48A6EC04"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La judicatura se rige por su propio régimen, expresamente excluido del ámbito de la citada resolución: el artículo 2 de la Ley 552 de 1999, el Decreto 3200 de 1979 y los Acuerdos PSAA10-7543 de 2010 y PSAA12-9338 de 2012 de la Sala Administrativa del Consejo Superior de la Judicatura, a lo que se suma, para los auxiliares jurídicos ad honorem de la Rama Ejecutiva, la Ley 1322 de 2009. La autoridad competente para interpretar ese régimen es el Consejo Superior de la Judicatura</w:t>
      </w:r>
      <w:r>
        <w:rPr>
          <w:rStyle w:val="Refdenotaalpie"/>
          <w:rFonts w:ascii="Verdana" w:hAnsi="Verdana"/>
          <w:sz w:val="20"/>
        </w:rPr>
        <w:footnoteReference w:id="37"/>
      </w:r>
      <w:r>
        <w:rPr>
          <w:rFonts w:ascii="Verdana" w:hAnsi="Verdana" w:cs="Arial"/>
          <w:bCs/>
          <w:szCs w:val="24"/>
          <w:lang w:val="es-ES_tradnl" w:eastAsia="es-ES_tradnl"/>
        </w:rPr>
        <w:t>.</w:t>
      </w:r>
    </w:p>
    <w:p w14:paraId="46B91E0F" w14:textId="77777777" w:rsidR="00F2171E" w:rsidRPr="00C22134" w:rsidRDefault="00F2171E" w:rsidP="00F2171E">
      <w:pPr>
        <w:spacing w:after="0" w:line="276" w:lineRule="auto"/>
        <w:jc w:val="both"/>
        <w:rPr>
          <w:rFonts w:ascii="Verdana" w:eastAsia="Calibri" w:hAnsi="Verdana" w:cs="Arial"/>
          <w:lang w:val="es-ES"/>
        </w:rPr>
      </w:pPr>
    </w:p>
    <w:p w14:paraId="46C2FFAA" w14:textId="77777777" w:rsidR="00F2171E" w:rsidRPr="00A0389A"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El voluntariado, por su parte, cuenta con un régimen propio en la Ley 720 de 2001, reglamentada por el Decreto 4290 de 2005. Esa ley tiene por objeto, entre otros, “reglamentar la acción de los voluntarios en las entidades públicas o privadas y regular sus relaciones”, define el voluntariado como el conjunto de acciones de interés general ejercidas “en virtud de una relación de carácter civil y voluntario” y al voluntario como quien actúa “sin recibir remuneración de carácter laboral”; y su reglamento exige a las entidades con acción voluntaria contar con un reglamento de voluntariado y con un sistema de registro, </w:t>
      </w:r>
      <w:r>
        <w:rPr>
          <w:rFonts w:ascii="Verdana" w:hAnsi="Verdana" w:cs="Arial"/>
          <w:bCs/>
          <w:szCs w:val="24"/>
          <w:lang w:val="es-ES_tradnl" w:eastAsia="es-ES_tradnl"/>
        </w:rPr>
        <w:lastRenderedPageBreak/>
        <w:t>contemplando expresamente que las entidades del Estado desarrollen programas y proyectos con voluntarios. Su interpretación corresponde a las autoridades que esas normas señalan</w:t>
      </w:r>
      <w:r>
        <w:rPr>
          <w:rStyle w:val="Refdenotaalpie"/>
          <w:rFonts w:ascii="Verdana" w:hAnsi="Verdana"/>
          <w:sz w:val="20"/>
        </w:rPr>
        <w:footnoteReference w:id="38"/>
      </w:r>
      <w:r>
        <w:rPr>
          <w:rFonts w:ascii="Verdana" w:hAnsi="Verdana" w:cs="Arial"/>
          <w:bCs/>
          <w:szCs w:val="24"/>
          <w:lang w:val="es-ES_tradnl" w:eastAsia="es-ES_tradnl"/>
        </w:rPr>
        <w:t>.</w:t>
      </w:r>
    </w:p>
    <w:p w14:paraId="41D6EAE9" w14:textId="77777777" w:rsidR="00F2171E" w:rsidRPr="00C22134" w:rsidRDefault="00F2171E" w:rsidP="00F2171E">
      <w:pPr>
        <w:spacing w:after="0" w:line="276" w:lineRule="auto"/>
        <w:jc w:val="both"/>
        <w:rPr>
          <w:rFonts w:ascii="Verdana" w:eastAsia="Calibri" w:hAnsi="Verdana" w:cs="Arial"/>
          <w:lang w:val="es-ES"/>
        </w:rPr>
      </w:pPr>
    </w:p>
    <w:p w14:paraId="6CFEB16D" w14:textId="6FA0446B" w:rsidR="00F2171E" w:rsidRDefault="00F2171E" w:rsidP="00F2171E">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Se reitera, para cerrar, que lo expuesto en este acápite se ofrece a título orientativo; que la viabilidad de cada una de estas modalidades, sus requisitos y el instrumento concreto que deba emplearse son materias del régimen del empleo público, de la regulación de las prácticas laborales y del régimen de la judicatura, ajenas a la competencia de esta Agencia; y que lo que aquí se resuelve con carácter </w:t>
      </w:r>
      <w:r w:rsidR="00892606">
        <w:rPr>
          <w:rFonts w:ascii="Verdana" w:hAnsi="Verdana" w:cs="Arial"/>
          <w:bCs/>
          <w:szCs w:val="24"/>
          <w:lang w:val="es-ES_tradnl" w:eastAsia="es-ES_tradnl"/>
        </w:rPr>
        <w:t>de concepto</w:t>
      </w:r>
      <w:r>
        <w:rPr>
          <w:rFonts w:ascii="Verdana" w:hAnsi="Verdana" w:cs="Arial"/>
          <w:bCs/>
          <w:szCs w:val="24"/>
          <w:lang w:val="es-ES_tradnl" w:eastAsia="es-ES_tradnl"/>
        </w:rPr>
        <w:t xml:space="preserve"> se limita a que tales vinculaciones no constituyen contratos estatales y, por tanto, no son objeto de publicación en el SECOP II.</w:t>
      </w:r>
    </w:p>
    <w:p w14:paraId="0235FC30" w14:textId="77777777" w:rsidR="009C1CA3" w:rsidRPr="00A0389A" w:rsidRDefault="009C1CA3" w:rsidP="00F2171E">
      <w:pPr>
        <w:spacing w:after="0" w:line="276" w:lineRule="auto"/>
        <w:jc w:val="both"/>
        <w:rPr>
          <w:rFonts w:ascii="Verdana" w:hAnsi="Verdana" w:cs="Arial"/>
          <w:bCs/>
          <w:szCs w:val="24"/>
          <w:lang w:val="es-ES_tradnl" w:eastAsia="es-ES_tradnl"/>
        </w:rPr>
      </w:pPr>
    </w:p>
    <w:bookmarkEnd w:id="0"/>
    <w:p w14:paraId="01E99910" w14:textId="77777777" w:rsidR="00F2171E" w:rsidRDefault="00F2171E" w:rsidP="00F2171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79A1B507" w14:textId="77777777" w:rsidR="00F2171E" w:rsidRPr="00215B71" w:rsidRDefault="00F2171E" w:rsidP="00F2171E">
      <w:pPr>
        <w:tabs>
          <w:tab w:val="left" w:pos="142"/>
          <w:tab w:val="left" w:pos="284"/>
        </w:tabs>
        <w:spacing w:after="0" w:line="276" w:lineRule="auto"/>
        <w:ind w:left="720"/>
        <w:contextualSpacing/>
        <w:jc w:val="both"/>
        <w:rPr>
          <w:rFonts w:ascii="Verdana" w:eastAsia="Century Gothic" w:hAnsi="Verdana" w:cs="Century Gothic"/>
          <w:b/>
          <w:bCs/>
          <w:lang w:val="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2171E" w:rsidRPr="009037F6" w14:paraId="7D69A8DC" w14:textId="77777777" w:rsidTr="002002AD">
        <w:trPr>
          <w:trHeight w:val="487"/>
          <w:jc w:val="center"/>
        </w:trPr>
        <w:tc>
          <w:tcPr>
            <w:tcW w:w="8647" w:type="dxa"/>
          </w:tcPr>
          <w:p w14:paraId="4BAAD2EB" w14:textId="77777777" w:rsidR="00F2171E" w:rsidRDefault="00F2171E" w:rsidP="002002A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23, 209 y 355. Código Civil, artículos 1497 y 1498. Decreto 3200 de 1979, artículo 23. Ley 80 de 1993, artículos 2, 3, 13, 24 —numeral 8—, 28, 32 —inciso primero y numeral 3— y 41. Ley 552 de 1999, artículo 2. Ley 720 de 2001, artículos 1, 3 y 7. Ley 1150 de 2007, artículo 3. Ley 1322 de 2009. Ley 1437 de 2011, artículo 28, sustituido por el artículo 1 de la Ley 1755 de 2015. Ley 1581 de 2012. Ley 1712 de 2014, artículos 2, 3, 5, 6, 9, 11, 18 y 19. Ley 1780 de 2016, artículos 13, 15, 16 y 17. Ley 1955 de 2019, artículo 192. Decreto Ley 4170 de 2011, artículos 3 —numeral 5— y 11 —numeral 8—. Decreto 4290 de 2005, artículos 2, 3 y 6. Decreto 092 de 2017. Decreto 1081 de 2015, artículo 2.1.1.2.1.1. Decreto 1082 de 2015, artículos 2.2.1.1.1.3.1 y 2.2.1.1.1.7.1. Resolución 3546 de 2018 del Ministerio del Trabajo, modificada por la Resolución 623 de 2020. Resolución 1519 de 2020 del Ministerio de Tecnologías de la Información y las Comunicaciones. Acuerdos PSAA10-7543 de 2010 y PSAA12-9338 de 2012 del Consejo Superior de la Judicatura. Resolución 469 de 2025 de la ANCP-CCE.</w:t>
            </w:r>
          </w:p>
          <w:p w14:paraId="736A580F" w14:textId="77777777" w:rsidR="00F2171E" w:rsidRDefault="00F2171E" w:rsidP="002002A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lastRenderedPageBreak/>
              <w:t>Documentos de la ANCP-CCE: Circular Externa Única de la Agencia Nacional de Contratación Pública – Colombia Compra Eficiente.</w:t>
            </w:r>
          </w:p>
          <w:p w14:paraId="51C13DB8" w14:textId="77777777" w:rsidR="00F2171E" w:rsidRDefault="00F2171E" w:rsidP="002002AD">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Conceptos C-780 de 2020, C-229 de 2022, C-260 de 2023, C-464 de 2024, C-476 de 2024, C-699 de 2024, C-080 de 2025, C-1033 de 2025, C-1099 de 2025, C-1545 de 2025, C-1618 de 2025, C-069 de 2026, C-297 de 2026, C-541 de 2026, C-636 de 2026, C-967 de 2026, C-1025 de 2026, C-1031 de 2026, C-1078 de 2026 y C-1172 de 2026.</w:t>
            </w:r>
          </w:p>
        </w:tc>
      </w:tr>
    </w:tbl>
    <w:p w14:paraId="59800B23" w14:textId="77777777" w:rsidR="00F2171E" w:rsidRPr="009037F6" w:rsidRDefault="00F2171E" w:rsidP="00F2171E">
      <w:pPr>
        <w:widowControl w:val="0"/>
        <w:autoSpaceDE w:val="0"/>
        <w:autoSpaceDN w:val="0"/>
        <w:spacing w:after="0" w:line="276" w:lineRule="auto"/>
        <w:jc w:val="both"/>
        <w:rPr>
          <w:rFonts w:ascii="Verdana" w:hAnsi="Verdana" w:cs="Arial"/>
        </w:rPr>
      </w:pPr>
    </w:p>
    <w:p w14:paraId="20382A4A" w14:textId="77777777" w:rsidR="00F2171E" w:rsidRPr="009037F6" w:rsidRDefault="00F2171E" w:rsidP="00F2171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25BB13EE" w14:textId="77777777" w:rsidR="00F2171E" w:rsidRPr="009037F6" w:rsidRDefault="00F2171E" w:rsidP="00F2171E">
      <w:pPr>
        <w:widowControl w:val="0"/>
        <w:autoSpaceDE w:val="0"/>
        <w:autoSpaceDN w:val="0"/>
        <w:spacing w:after="0" w:line="276" w:lineRule="auto"/>
        <w:jc w:val="both"/>
        <w:rPr>
          <w:rFonts w:ascii="Verdana" w:hAnsi="Verdana" w:cs="Arial"/>
        </w:rPr>
      </w:pPr>
    </w:p>
    <w:p w14:paraId="14F84A09" w14:textId="77777777" w:rsidR="00F2171E" w:rsidRDefault="00F2171E" w:rsidP="00F2171E">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Esta Subdirección se ha pronunciado sobre el carácter oneroso y conmutativo del contrato estatal en los Conceptos C-541 de 2026, C-1025 de 2026, C-1031 de 2026, C-069 de 2026, C-636 de 2026 y C-1078 de 2026; sobre la ausencia de relación conmutativa en los contratos del artículo 355 de la Constitución Política, en los Conceptos C-476 de 2024, C-1545 de 2025 y C-1618 de 2025; sobre la exclusión de los contratos de aprendizaje de la noción de contrato estatal y, por ello, del deber de publicar en el SECOP II, en el Concepto C-699 de 2024; sobre el deber de publicar los contratos estatales que no comportan erogación presupuestal, en los Conceptos C-780 de 2020, C-229 de 2022, C-260 de 2023, C-464 de 2024 y C-080 de 2025; sobre la judicatura ad honorem, su régimen y su relación con el contrato de prestación de servicios, en los Conceptos C-297 de 2026, C-1033 de 2025 y C-1099 de 2025; sobre el alcance enunciativo de la noción de Documentos del Proceso, en el Concepto C-967 de 2026; y sobre la irrelevancia de la denominación que las partes den al acuerdo, en el Concepto C-1172 de 2026. Los conceptos emitidos por la Agencia pueden consultarse en el siguiente enlace:</w:t>
      </w:r>
    </w:p>
    <w:p w14:paraId="143CF411" w14:textId="77777777" w:rsidR="00F2171E" w:rsidRDefault="00F2171E" w:rsidP="00F2171E">
      <w:pPr>
        <w:widowControl w:val="0"/>
        <w:autoSpaceDE w:val="0"/>
        <w:autoSpaceDN w:val="0"/>
        <w:spacing w:after="0" w:line="276" w:lineRule="auto"/>
        <w:jc w:val="both"/>
        <w:rPr>
          <w:rStyle w:val="normaltextrun"/>
          <w:rFonts w:ascii="Verdana" w:hAnsi="Verdana" w:cs="Arial"/>
          <w:shd w:val="clear" w:color="auto" w:fill="FFFFFF"/>
        </w:rPr>
      </w:pPr>
    </w:p>
    <w:p w14:paraId="016BFDE1" w14:textId="77777777" w:rsidR="00F2171E" w:rsidRPr="009037F6" w:rsidRDefault="00F2171E" w:rsidP="00F2171E">
      <w:pPr>
        <w:spacing w:after="0" w:line="256" w:lineRule="auto"/>
        <w:jc w:val="both"/>
        <w:rPr>
          <w:rFonts w:ascii="Verdana" w:eastAsia="Calibri" w:hAnsi="Verdana" w:cs="Times New Roman"/>
        </w:rPr>
      </w:pPr>
      <w:hyperlink r:id="rId12" w:history="1">
        <w:r w:rsidRPr="009037F6">
          <w:rPr>
            <w:rFonts w:ascii="Verdana" w:eastAsia="Calibri" w:hAnsi="Verdana" w:cs="Times New Roman"/>
            <w:color w:val="0000FF"/>
            <w:u w:val="single"/>
            <w:lang w:val="es-ES"/>
          </w:rPr>
          <w:t>https://relatoria.colombiacompra.gov.co/busqueda/conceptos</w:t>
        </w:r>
      </w:hyperlink>
    </w:p>
    <w:p w14:paraId="26F76214" w14:textId="77777777" w:rsidR="00F2171E" w:rsidRPr="009037F6" w:rsidRDefault="00F2171E" w:rsidP="00F2171E">
      <w:pPr>
        <w:spacing w:after="0"/>
        <w:jc w:val="both"/>
        <w:rPr>
          <w:rFonts w:ascii="Verdana" w:hAnsi="Verdana"/>
        </w:rPr>
      </w:pPr>
    </w:p>
    <w:p w14:paraId="7B7A5BBA" w14:textId="77777777" w:rsidR="00F2171E" w:rsidRDefault="00F2171E" w:rsidP="00F2171E">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w:t>
      </w:r>
      <w:r w:rsidRPr="00215B71">
        <w:rPr>
          <w:rFonts w:ascii="Verdana" w:hAnsi="Verdana"/>
        </w:rPr>
        <w:t>Nacional de Contratación Pública –Colombia Compra Eficiente– te invita a realizar el Curso de Contratación Pública Sostenible y Socialmente Responsable, una herramienta clave para fortalecer las capacidades de todos</w:t>
      </w:r>
      <w:r w:rsidRPr="009A385A">
        <w:rPr>
          <w:rFonts w:ascii="Verdana" w:hAnsi="Verdana"/>
        </w:rPr>
        <w:t xml:space="preserve"> los </w:t>
      </w:r>
      <w:r>
        <w:rPr>
          <w:rFonts w:ascii="Verdana" w:hAnsi="Verdana"/>
        </w:rPr>
        <w:t xml:space="preserve">compradores públicos, proveedores, servidores públicos v para </w:t>
      </w:r>
      <w:r w:rsidRPr="009A385A">
        <w:rPr>
          <w:rFonts w:ascii="Verdana" w:hAnsi="Verdana"/>
        </w:rPr>
        <w:t xml:space="preserve">generar mayor valor público. </w:t>
      </w:r>
      <w:r w:rsidRPr="009A385A">
        <w:rPr>
          <w:rFonts w:ascii="Verdana" w:hAnsi="Verdana"/>
        </w:rPr>
        <w:lastRenderedPageBreak/>
        <w:t>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201DD855" w14:textId="77777777" w:rsidR="00F2171E" w:rsidRPr="009A385A" w:rsidRDefault="00F2171E" w:rsidP="00F2171E">
      <w:pPr>
        <w:spacing w:after="0"/>
        <w:jc w:val="both"/>
        <w:rPr>
          <w:rFonts w:ascii="Verdana" w:hAnsi="Verdana"/>
        </w:rPr>
      </w:pPr>
    </w:p>
    <w:p w14:paraId="34010A60" w14:textId="77777777" w:rsidR="00F2171E" w:rsidRDefault="00F2171E" w:rsidP="00F2171E">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w:t>
      </w:r>
      <w:r w:rsidRPr="00215B71">
        <w:rPr>
          <w:rFonts w:ascii="Verdana" w:hAnsi="Verdana"/>
        </w:rPr>
        <w:t>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w:t>
      </w:r>
      <w:r w:rsidRPr="00635F16">
        <w:rPr>
          <w:rFonts w:ascii="Verdana" w:hAnsi="Verdana"/>
        </w:rPr>
        <w:t xml:space="preserve">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26F7C205" w14:textId="77777777" w:rsidR="00F2171E" w:rsidRDefault="00F2171E" w:rsidP="00F2171E">
      <w:pPr>
        <w:spacing w:after="0"/>
        <w:jc w:val="both"/>
        <w:rPr>
          <w:rFonts w:ascii="Verdana" w:hAnsi="Verdana"/>
        </w:rPr>
      </w:pPr>
    </w:p>
    <w:p w14:paraId="09DAF5B0" w14:textId="77777777" w:rsidR="00F2171E" w:rsidRPr="008E1CD7" w:rsidRDefault="00F2171E" w:rsidP="00F2171E">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w:t>
      </w:r>
      <w:r w:rsidRPr="00215B71">
        <w:rPr>
          <w:rFonts w:ascii="Verdana" w:hAnsi="Verdana"/>
        </w:rPr>
        <w:t>la última versión de la Guía para la comprensión e implementación de los Documentos Tipo de obra pública de infraestructura de transporte. En</w:t>
      </w:r>
      <w:r w:rsidRPr="00797327">
        <w:rPr>
          <w:rFonts w:ascii="Verdana" w:hAnsi="Verdana"/>
        </w:rPr>
        <w:t xml:space="preserve">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010196F" w14:textId="77777777" w:rsidR="00F2171E" w:rsidRDefault="00F2171E" w:rsidP="00F2171E">
      <w:pPr>
        <w:shd w:val="clear" w:color="auto" w:fill="FFFFFF"/>
        <w:spacing w:after="0" w:line="276" w:lineRule="auto"/>
        <w:jc w:val="both"/>
        <w:rPr>
          <w:rFonts w:ascii="Verdana" w:hAnsi="Verdana"/>
          <w:color w:val="000000"/>
          <w:u w:val="single"/>
        </w:rPr>
      </w:pPr>
    </w:p>
    <w:p w14:paraId="74AC8F83" w14:textId="77777777" w:rsidR="00F2171E" w:rsidRPr="0038088D" w:rsidRDefault="00F2171E" w:rsidP="00F2171E">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1B0A8CC7" w14:textId="77777777" w:rsidR="00F2171E" w:rsidRPr="0038088D" w:rsidRDefault="00F2171E" w:rsidP="00F2171E">
      <w:pPr>
        <w:spacing w:after="0"/>
        <w:jc w:val="both"/>
        <w:rPr>
          <w:rFonts w:ascii="Verdana" w:hAnsi="Verdana"/>
        </w:rPr>
      </w:pPr>
    </w:p>
    <w:p w14:paraId="7EC76F41" w14:textId="77777777" w:rsidR="00F2171E" w:rsidRPr="0038088D" w:rsidRDefault="00F2171E" w:rsidP="00F2171E">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4403FCF6" w14:textId="77777777" w:rsidR="00F2171E" w:rsidRPr="0038088D" w:rsidRDefault="00F2171E" w:rsidP="00F2171E">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680C35DE" w14:textId="77777777" w:rsidR="00F2171E" w:rsidRPr="0038088D" w:rsidRDefault="00F2171E" w:rsidP="00F2171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lastRenderedPageBreak/>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377B70F2" w14:textId="77777777" w:rsidR="00F2171E" w:rsidRPr="0038088D" w:rsidRDefault="00F2171E" w:rsidP="00F2171E">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15A8D1F4" w14:textId="77777777" w:rsidR="00F2171E" w:rsidRPr="0038088D" w:rsidRDefault="00F2171E" w:rsidP="00F2171E">
      <w:pPr>
        <w:spacing w:after="0" w:line="240" w:lineRule="auto"/>
        <w:ind w:left="720"/>
        <w:jc w:val="both"/>
        <w:rPr>
          <w:rFonts w:ascii="Verdana" w:hAnsi="Verdana"/>
        </w:rPr>
      </w:pPr>
    </w:p>
    <w:p w14:paraId="088B2F8C" w14:textId="77777777" w:rsidR="00F2171E" w:rsidRPr="0038088D" w:rsidRDefault="00F2171E" w:rsidP="00F2171E">
      <w:pPr>
        <w:spacing w:after="0" w:line="240" w:lineRule="auto"/>
        <w:rPr>
          <w:rFonts w:ascii="Verdana" w:hAnsi="Verdana"/>
        </w:rPr>
      </w:pPr>
      <w:r w:rsidRPr="0038088D">
        <w:rPr>
          <w:rFonts w:ascii="Verdana" w:hAnsi="Verdana"/>
        </w:rPr>
        <w:t xml:space="preserve">Evalúa el servicio que ofrece la Agencia por el canal de atención de PQRSD en el siguiente </w:t>
      </w:r>
      <w:proofErr w:type="gramStart"/>
      <w:r w:rsidRPr="0038088D">
        <w:rPr>
          <w:rFonts w:ascii="Verdana" w:hAnsi="Verdana"/>
        </w:rPr>
        <w:t>enlace :</w:t>
      </w:r>
      <w:proofErr w:type="gramEnd"/>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5EABC049" w14:textId="77777777" w:rsidR="00F2171E" w:rsidRPr="0038088D" w:rsidRDefault="00F2171E" w:rsidP="00F2171E">
      <w:pPr>
        <w:spacing w:after="0" w:line="240" w:lineRule="auto"/>
        <w:rPr>
          <w:rFonts w:ascii="Verdana" w:hAnsi="Verdana"/>
        </w:rPr>
      </w:pPr>
    </w:p>
    <w:p w14:paraId="7DFC93B9" w14:textId="77777777" w:rsidR="00F2171E" w:rsidRPr="0038088D" w:rsidRDefault="00F2171E" w:rsidP="00F2171E">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5DBC0CED" w14:textId="77777777" w:rsidR="00F2171E" w:rsidRPr="00116940" w:rsidRDefault="00F2171E" w:rsidP="00F2171E">
      <w:pPr>
        <w:spacing w:after="0" w:line="240" w:lineRule="auto"/>
        <w:jc w:val="both"/>
        <w:rPr>
          <w:rFonts w:ascii="Verdana" w:hAnsi="Verdana"/>
        </w:rPr>
      </w:pPr>
    </w:p>
    <w:p w14:paraId="1248CF85" w14:textId="77777777" w:rsidR="00F2171E" w:rsidRPr="00116940" w:rsidRDefault="00F2171E" w:rsidP="00F2171E">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E4DD89E" w14:textId="77777777" w:rsidR="00F2171E" w:rsidRPr="00116940" w:rsidRDefault="00F2171E" w:rsidP="00F2171E">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B7BDAD2" w14:textId="77777777" w:rsidR="00F2171E" w:rsidRPr="00E22E6E" w:rsidRDefault="00F2171E" w:rsidP="00F2171E">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98697AF" w14:textId="77777777" w:rsidR="00F2171E" w:rsidRPr="009C4035" w:rsidRDefault="00F2171E" w:rsidP="00F2171E">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7B75F5E7" w14:textId="77777777" w:rsidR="00F2171E" w:rsidRPr="00593A5F" w:rsidRDefault="00F2171E" w:rsidP="00F2171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77679D3E" w14:textId="77777777" w:rsidR="00F2171E" w:rsidRDefault="00F2171E" w:rsidP="00F2171E">
      <w:pPr>
        <w:widowControl w:val="0"/>
        <w:autoSpaceDE w:val="0"/>
        <w:autoSpaceDN w:val="0"/>
        <w:spacing w:after="0" w:line="276" w:lineRule="auto"/>
        <w:jc w:val="both"/>
        <w:rPr>
          <w:rFonts w:ascii="Verdana" w:hAnsi="Verdana" w:cs="Arial"/>
        </w:rPr>
      </w:pPr>
    </w:p>
    <w:p w14:paraId="5D085D2A" w14:textId="559DE8FE" w:rsidR="00F2171E" w:rsidRDefault="00F2171E" w:rsidP="00F2171E">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71DFA513" w14:textId="77777777" w:rsidR="00C458FC" w:rsidRPr="00215B71" w:rsidRDefault="00C458FC" w:rsidP="00F2171E">
      <w:pPr>
        <w:spacing w:after="0" w:line="276" w:lineRule="auto"/>
        <w:rPr>
          <w:rFonts w:ascii="Verdana" w:eastAsia="Calibri" w:hAnsi="Verdana" w:cs="Arial"/>
          <w:lang w:val="es-ES" w:eastAsia="es-CO"/>
        </w:rPr>
      </w:pPr>
    </w:p>
    <w:p w14:paraId="24EB0806" w14:textId="68AE3A65" w:rsidR="00F2171E" w:rsidRDefault="00F2171E" w:rsidP="00F2171E">
      <w:pPr>
        <w:spacing w:after="0" w:line="254" w:lineRule="auto"/>
        <w:jc w:val="center"/>
        <w:rPr>
          <w:rFonts w:ascii="Verdana" w:eastAsia="Times New Roman" w:hAnsi="Verdana" w:cs="Arial"/>
          <w:lang w:eastAsia="es-ES"/>
        </w:rPr>
      </w:pPr>
    </w:p>
    <w:p w14:paraId="413BFB7D" w14:textId="4374D671" w:rsidR="00C458FC" w:rsidRDefault="5A37D406" w:rsidP="1A795C4B">
      <w:pPr>
        <w:spacing w:after="0" w:line="254" w:lineRule="auto"/>
      </w:pPr>
      <w:r>
        <w:rPr>
          <w:noProof/>
        </w:rPr>
        <w:drawing>
          <wp:anchor distT="0" distB="0" distL="114300" distR="114300" simplePos="0" relativeHeight="251659264" behindDoc="0" locked="0" layoutInCell="1" allowOverlap="1" wp14:anchorId="29AFA4EB" wp14:editId="5D7F1AEB">
            <wp:simplePos x="0" y="0"/>
            <wp:positionH relativeFrom="margin">
              <wp:posOffset>1289050</wp:posOffset>
            </wp:positionH>
            <wp:positionV relativeFrom="paragraph">
              <wp:posOffset>5080</wp:posOffset>
            </wp:positionV>
            <wp:extent cx="3180080" cy="1168400"/>
            <wp:effectExtent l="0" t="0" r="1270" b="0"/>
            <wp:wrapSquare wrapText="bothSides"/>
            <wp:docPr id="20658232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823233" name="Picture 2065823233"/>
                    <pic:cNvPicPr/>
                  </pic:nvPicPr>
                  <pic:blipFill>
                    <a:blip r:embed="rId19">
                      <a:extLst>
                        <a:ext uri="{28A0092B-C50C-407E-A947-70E740481C1C}">
                          <a14:useLocalDpi xmlns:a14="http://schemas.microsoft.com/office/drawing/2010/main" val="0"/>
                        </a:ext>
                      </a:extLst>
                    </a:blip>
                    <a:stretch>
                      <a:fillRect/>
                    </a:stretch>
                  </pic:blipFill>
                  <pic:spPr>
                    <a:xfrm>
                      <a:off x="0" y="0"/>
                      <a:ext cx="3180080" cy="1168400"/>
                    </a:xfrm>
                    <a:prstGeom prst="rect">
                      <a:avLst/>
                    </a:prstGeom>
                  </pic:spPr>
                </pic:pic>
              </a:graphicData>
            </a:graphic>
            <wp14:sizeRelH relativeFrom="margin">
              <wp14:pctWidth>0</wp14:pctWidth>
            </wp14:sizeRelH>
            <wp14:sizeRelV relativeFrom="margin">
              <wp14:pctHeight>0</wp14:pctHeight>
            </wp14:sizeRelV>
          </wp:anchor>
        </w:drawing>
      </w:r>
    </w:p>
    <w:p w14:paraId="7AC08EDE" w14:textId="77777777" w:rsidR="00C458FC" w:rsidRDefault="00C458FC" w:rsidP="00C458FC">
      <w:pPr>
        <w:spacing w:after="0" w:line="254" w:lineRule="auto"/>
        <w:rPr>
          <w:rFonts w:ascii="Verdana" w:eastAsia="Times New Roman" w:hAnsi="Verdana" w:cs="Arial"/>
          <w:lang w:eastAsia="es-ES"/>
        </w:rPr>
      </w:pPr>
    </w:p>
    <w:p w14:paraId="0A107C1B" w14:textId="77777777" w:rsidR="004E4B2C" w:rsidRDefault="004E4B2C" w:rsidP="00C458FC">
      <w:pPr>
        <w:spacing w:after="0" w:line="254" w:lineRule="auto"/>
        <w:rPr>
          <w:rFonts w:ascii="Verdana" w:eastAsia="Times New Roman" w:hAnsi="Verdana" w:cs="Arial"/>
          <w:b/>
          <w:bCs/>
          <w:lang w:eastAsia="es-ES"/>
        </w:rPr>
      </w:pPr>
    </w:p>
    <w:p w14:paraId="02078C93" w14:textId="77777777" w:rsidR="004E4B2C" w:rsidRDefault="004E4B2C" w:rsidP="00C458FC">
      <w:pPr>
        <w:spacing w:after="0" w:line="254" w:lineRule="auto"/>
        <w:rPr>
          <w:rFonts w:ascii="Verdana" w:eastAsia="Times New Roman" w:hAnsi="Verdana" w:cs="Arial"/>
          <w:b/>
          <w:bCs/>
          <w:lang w:eastAsia="es-ES"/>
        </w:rPr>
      </w:pPr>
    </w:p>
    <w:p w14:paraId="4721F158" w14:textId="77777777" w:rsidR="004E4B2C" w:rsidRDefault="004E4B2C" w:rsidP="00C458FC">
      <w:pPr>
        <w:spacing w:after="0" w:line="254" w:lineRule="auto"/>
        <w:rPr>
          <w:rFonts w:ascii="Verdana" w:eastAsia="Times New Roman" w:hAnsi="Verdana" w:cs="Arial"/>
          <w:b/>
          <w:bCs/>
          <w:lang w:eastAsia="es-ES"/>
        </w:rPr>
      </w:pPr>
    </w:p>
    <w:p w14:paraId="08849522" w14:textId="77777777" w:rsidR="004E4B2C" w:rsidRDefault="004E4B2C" w:rsidP="00C458FC">
      <w:pPr>
        <w:spacing w:after="0" w:line="254" w:lineRule="auto"/>
        <w:rPr>
          <w:rFonts w:ascii="Verdana" w:eastAsia="Times New Roman" w:hAnsi="Verdana" w:cs="Arial"/>
          <w:b/>
          <w:bCs/>
          <w:lang w:eastAsia="es-ES"/>
        </w:rPr>
      </w:pPr>
    </w:p>
    <w:p w14:paraId="530A453D" w14:textId="77777777" w:rsidR="004E4B2C" w:rsidRDefault="004E4B2C" w:rsidP="00C458FC">
      <w:pPr>
        <w:spacing w:after="0" w:line="254" w:lineRule="auto"/>
        <w:rPr>
          <w:rFonts w:ascii="Verdana" w:eastAsia="Times New Roman" w:hAnsi="Verdana" w:cs="Arial"/>
          <w:b/>
          <w:bCs/>
          <w:lang w:eastAsia="es-ES"/>
        </w:rPr>
      </w:pPr>
    </w:p>
    <w:p w14:paraId="48A94CE4" w14:textId="6159F49E" w:rsidR="00C458FC" w:rsidRPr="00C458FC" w:rsidRDefault="00C458FC" w:rsidP="004E4B2C">
      <w:pPr>
        <w:spacing w:after="0" w:line="254" w:lineRule="auto"/>
        <w:jc w:val="center"/>
        <w:rPr>
          <w:rFonts w:ascii="Verdana" w:eastAsia="Times New Roman" w:hAnsi="Verdana" w:cs="Arial"/>
          <w:b/>
          <w:bCs/>
          <w:lang w:eastAsia="es-ES"/>
        </w:rPr>
      </w:pPr>
      <w:r w:rsidRPr="00C458FC">
        <w:rPr>
          <w:rFonts w:ascii="Verdana" w:eastAsia="Times New Roman" w:hAnsi="Verdana" w:cs="Arial"/>
          <w:b/>
          <w:bCs/>
          <w:lang w:eastAsia="es-ES"/>
        </w:rPr>
        <w:t>WILLIAM JAVIER MURCIA ACEVEDO</w:t>
      </w:r>
    </w:p>
    <w:p w14:paraId="759F3254" w14:textId="2A476C8B" w:rsidR="00C458FC" w:rsidRDefault="00C458FC" w:rsidP="004E4B2C">
      <w:pPr>
        <w:spacing w:after="0" w:line="254" w:lineRule="auto"/>
        <w:jc w:val="center"/>
        <w:rPr>
          <w:rFonts w:ascii="Verdana" w:eastAsia="Times New Roman" w:hAnsi="Verdana" w:cs="Arial"/>
          <w:b/>
          <w:bCs/>
          <w:lang w:eastAsia="es-ES"/>
        </w:rPr>
      </w:pPr>
      <w:r w:rsidRPr="00C458FC">
        <w:rPr>
          <w:rFonts w:ascii="Verdana" w:eastAsia="Times New Roman" w:hAnsi="Verdana" w:cs="Arial"/>
          <w:b/>
          <w:bCs/>
          <w:lang w:eastAsia="es-ES"/>
        </w:rPr>
        <w:t xml:space="preserve">Subdirectora de Gestión Contractual </w:t>
      </w:r>
      <w:r>
        <w:rPr>
          <w:rFonts w:ascii="Verdana" w:eastAsia="Times New Roman" w:hAnsi="Verdana" w:cs="Arial"/>
          <w:b/>
          <w:bCs/>
          <w:lang w:eastAsia="es-ES"/>
        </w:rPr>
        <w:t>(E)</w:t>
      </w:r>
    </w:p>
    <w:p w14:paraId="712AECC0" w14:textId="77777777" w:rsidR="00C458FC" w:rsidRPr="00C458FC" w:rsidRDefault="00C458FC" w:rsidP="00C458FC">
      <w:pPr>
        <w:spacing w:after="0" w:line="254" w:lineRule="auto"/>
        <w:rPr>
          <w:rFonts w:ascii="Verdana" w:eastAsia="Times New Roman" w:hAnsi="Verdana" w:cs="Arial"/>
          <w:b/>
          <w:bCs/>
          <w:lang w:eastAsia="es-ES"/>
        </w:rPr>
      </w:pPr>
    </w:p>
    <w:p w14:paraId="35FC80C9" w14:textId="6F4BE9D2" w:rsidR="00C458FC" w:rsidRPr="008D539F" w:rsidRDefault="00C458FC" w:rsidP="00C458FC">
      <w:pPr>
        <w:spacing w:after="0" w:line="254" w:lineRule="auto"/>
        <w:rPr>
          <w:rFonts w:ascii="Verdana" w:eastAsia="Times New Roman" w:hAnsi="Verdana" w:cs="Arial"/>
          <w:lang w:eastAsia="es-ES"/>
        </w:rPr>
      </w:pPr>
    </w:p>
    <w:p w14:paraId="679F9A01" w14:textId="77777777" w:rsidR="00F2171E" w:rsidRPr="008D539F" w:rsidRDefault="00F2171E" w:rsidP="00F2171E">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F2171E" w:rsidRPr="008D539F" w14:paraId="19E92BDB" w14:textId="77777777" w:rsidTr="002002AD">
        <w:trPr>
          <w:trHeight w:val="322"/>
        </w:trPr>
        <w:tc>
          <w:tcPr>
            <w:tcW w:w="733" w:type="dxa"/>
            <w:tcBorders>
              <w:top w:val="nil"/>
              <w:left w:val="nil"/>
              <w:bottom w:val="nil"/>
              <w:right w:val="nil"/>
            </w:tcBorders>
            <w:vAlign w:val="center"/>
            <w:hideMark/>
          </w:tcPr>
          <w:p w14:paraId="70E411AB" w14:textId="77777777" w:rsidR="00F2171E" w:rsidRPr="008D539F" w:rsidRDefault="00F2171E"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lastRenderedPageBreak/>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886D03E" w14:textId="77777777" w:rsidR="00F2171E" w:rsidRPr="008D539F" w:rsidRDefault="00F2171E" w:rsidP="002002AD">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 xml:space="preserve">Camilo José Martínez </w:t>
            </w:r>
            <w:proofErr w:type="spellStart"/>
            <w:r w:rsidRPr="008D539F">
              <w:rPr>
                <w:rFonts w:ascii="Verdana" w:eastAsia="Times New Roman" w:hAnsi="Verdana" w:cs="Arial"/>
                <w:sz w:val="16"/>
                <w:szCs w:val="16"/>
                <w:lang w:val="es-ES_tradnl" w:eastAsia="es-ES"/>
              </w:rPr>
              <w:t>Martínez</w:t>
            </w:r>
            <w:proofErr w:type="spellEnd"/>
          </w:p>
          <w:p w14:paraId="66EFD5C7" w14:textId="5AB82132" w:rsidR="00F2171E" w:rsidRPr="008D539F" w:rsidRDefault="009E4983" w:rsidP="002002AD">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F2171E" w:rsidRPr="008D539F" w14:paraId="0EB9A2BF" w14:textId="77777777" w:rsidTr="002002AD">
        <w:trPr>
          <w:trHeight w:val="322"/>
        </w:trPr>
        <w:tc>
          <w:tcPr>
            <w:tcW w:w="733" w:type="dxa"/>
            <w:tcBorders>
              <w:top w:val="nil"/>
              <w:left w:val="nil"/>
              <w:bottom w:val="nil"/>
              <w:right w:val="nil"/>
            </w:tcBorders>
            <w:vAlign w:val="center"/>
            <w:hideMark/>
          </w:tcPr>
          <w:p w14:paraId="21442E01" w14:textId="77777777" w:rsidR="00F2171E" w:rsidRPr="008D539F" w:rsidRDefault="00F2171E"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FA58DBE" w14:textId="42C42FF0" w:rsidR="00F2171E" w:rsidRPr="008D539F" w:rsidRDefault="00C458FC" w:rsidP="002002AD">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Juan David Cárdenas </w:t>
            </w:r>
          </w:p>
          <w:p w14:paraId="1D3B8067" w14:textId="77777777" w:rsidR="00F2171E" w:rsidRPr="008D539F" w:rsidRDefault="00F2171E"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F2171E" w:rsidRPr="008D539F" w14:paraId="104AD6EC" w14:textId="77777777" w:rsidTr="002002AD">
        <w:trPr>
          <w:trHeight w:val="307"/>
        </w:trPr>
        <w:tc>
          <w:tcPr>
            <w:tcW w:w="733" w:type="dxa"/>
            <w:tcBorders>
              <w:top w:val="nil"/>
              <w:left w:val="nil"/>
              <w:bottom w:val="nil"/>
              <w:right w:val="nil"/>
            </w:tcBorders>
            <w:vAlign w:val="center"/>
            <w:hideMark/>
          </w:tcPr>
          <w:p w14:paraId="02A53D20" w14:textId="77777777" w:rsidR="00F2171E" w:rsidRPr="008D539F" w:rsidRDefault="00F2171E" w:rsidP="002002AD">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826AFE5" w14:textId="2973A1E0" w:rsidR="00F2171E" w:rsidRPr="008D539F" w:rsidRDefault="00C458FC" w:rsidP="002002AD">
            <w:pPr>
              <w:spacing w:after="0" w:line="254" w:lineRule="auto"/>
              <w:rPr>
                <w:rFonts w:ascii="Verdana" w:eastAsia="Times New Roman" w:hAnsi="Verdana" w:cs="Arial"/>
                <w:sz w:val="16"/>
                <w:szCs w:val="16"/>
                <w:lang w:eastAsia="es-ES"/>
              </w:rPr>
            </w:pPr>
            <w:r>
              <w:rPr>
                <w:rFonts w:ascii="Verdana" w:eastAsia="Times New Roman" w:hAnsi="Verdana" w:cs="Arial"/>
                <w:sz w:val="16"/>
                <w:szCs w:val="16"/>
                <w:lang w:eastAsia="es-ES"/>
              </w:rPr>
              <w:t xml:space="preserve">William Javier Murcia Acevedo </w:t>
            </w:r>
          </w:p>
          <w:p w14:paraId="1F36B1AC" w14:textId="50CBF00D" w:rsidR="00F2171E" w:rsidRPr="008D539F" w:rsidRDefault="00F2171E" w:rsidP="002002AD">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 xml:space="preserve">Subdirectora de Gestión Contractual </w:t>
            </w:r>
            <w:r w:rsidR="00C458FC">
              <w:rPr>
                <w:rFonts w:ascii="Verdana" w:eastAsia="Times New Roman" w:hAnsi="Verdana" w:cs="Arial"/>
                <w:sz w:val="16"/>
                <w:szCs w:val="16"/>
                <w:lang w:eastAsia="es-ES"/>
              </w:rPr>
              <w:t>(e)</w:t>
            </w:r>
          </w:p>
        </w:tc>
      </w:tr>
    </w:tbl>
    <w:p w14:paraId="7100E921" w14:textId="77777777" w:rsidR="008D539F" w:rsidRPr="00F2171E" w:rsidRDefault="008D539F" w:rsidP="00C458FC"/>
    <w:sectPr w:rsidR="008D539F" w:rsidRPr="00F2171E"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2D8A2" w14:textId="77777777" w:rsidR="00FD0FAE" w:rsidRDefault="00FD0FAE" w:rsidP="004A1847">
      <w:pPr>
        <w:spacing w:after="0" w:line="240" w:lineRule="auto"/>
      </w:pPr>
      <w:r>
        <w:separator/>
      </w:r>
    </w:p>
  </w:endnote>
  <w:endnote w:type="continuationSeparator" w:id="0">
    <w:p w14:paraId="5FE231A7" w14:textId="77777777" w:rsidR="00FD0FAE" w:rsidRDefault="00FD0FA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36B7" w14:textId="77777777" w:rsidR="003332A8" w:rsidRDefault="003332A8">
    <w:pPr>
      <w:pStyle w:val="Piedepgina"/>
    </w:pPr>
  </w:p>
  <w:p w14:paraId="752AEE0F" w14:textId="77777777"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FB9EA7"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202210A"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56BA7B8F" w14:textId="77777777"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30223" w14:textId="77777777" w:rsidR="00FD0FAE" w:rsidRDefault="00FD0FAE" w:rsidP="004A1847">
      <w:pPr>
        <w:spacing w:after="0" w:line="240" w:lineRule="auto"/>
      </w:pPr>
      <w:r>
        <w:separator/>
      </w:r>
    </w:p>
  </w:footnote>
  <w:footnote w:type="continuationSeparator" w:id="0">
    <w:p w14:paraId="706B2D58" w14:textId="77777777" w:rsidR="00FD0FAE" w:rsidRDefault="00FD0FAE" w:rsidP="004A1847">
      <w:pPr>
        <w:spacing w:after="0" w:line="240" w:lineRule="auto"/>
      </w:pPr>
      <w:r>
        <w:continuationSeparator/>
      </w:r>
    </w:p>
  </w:footnote>
  <w:footnote w:id="1">
    <w:p w14:paraId="6DA98855"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C-541 de 2026. Código Civil, artículos 1497 y 1498; Ley 80 de 1993, artículo 41, inciso primero.</w:t>
      </w:r>
    </w:p>
  </w:footnote>
  <w:footnote w:id="2">
    <w:p w14:paraId="1BE00623"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3, 28 y 41. AGENCIA NACIONAL DE CONTRATACIÓN PÚBLICA – COLOMBIA COMPRA EFICIENTE. Subdirección de Gestión Contractual. Conceptos C-1025 de 2026, C-1031 de 2026, C-069 de 2026, C-636 de 2026 y C-1078 de 2026.</w:t>
      </w:r>
    </w:p>
  </w:footnote>
  <w:footnote w:id="3">
    <w:p w14:paraId="7C583DB5"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32 —inciso primero— y 41, inciso primero. AGENCIA NACIONAL DE CONTRATACIÓN PÚBLICA – COLOMBIA COMPRA EFICIENTE. Subdirección de Gestión Contractual. Concepto C-541 de 2026.</w:t>
      </w:r>
    </w:p>
  </w:footnote>
  <w:footnote w:id="4">
    <w:p w14:paraId="60445684"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3546 de 2018 del Ministerio del Trabajo, artículos 4 —numerales 1 y 3—, 16 y 17, modificados por los artículos 4, 7 y 8 de la Resolución 623 de 2020. Ley 1780 de 2016, artículos 13, 15, 16 y 17; Ley 1955 de 2019, artículo 192.</w:t>
      </w:r>
    </w:p>
  </w:footnote>
  <w:footnote w:id="5">
    <w:p w14:paraId="38B7F945"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Acuerdo PSAA10-7543 de 2010 del Consejo Superior de la Judicatura, artículos tercero y noveno; Acuerdo PSAA12-9338 de 2012, artículo 1, numeral 2; Ley 1322 de 2009; Ley 552 de 1999, artículo 2; Decreto 3200 de 1979, artículo 23. AGENCIA NACIONAL DE CONTRATACIÓN PÚBLICA – COLOMBIA COMPRA EFICIENTE. Subdirección de Gestión Contractual. Conceptos C-297 de 2026, C-1033 de 2025 y C-1099 de 2025.</w:t>
      </w:r>
    </w:p>
  </w:footnote>
  <w:footnote w:id="6">
    <w:p w14:paraId="04E29473"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24 —numeral 8— y 32, numeral 3. AGENCIA NACIONAL DE CONTRATACIÓN PÚBLICA – COLOMBIA COMPRA EFICIENTE. Subdirección de Gestión Contractual. Conceptos C-297 de 2026, C-1033 de 2025 y C-1172 de 2026.</w:t>
      </w:r>
    </w:p>
  </w:footnote>
  <w:footnote w:id="7">
    <w:p w14:paraId="0365C517"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3; Decreto 1082 de 2015, artículos 2.2.1.1.1.3.1 y 2.2.1.1.1.7.1.</w:t>
      </w:r>
    </w:p>
  </w:footnote>
  <w:footnote w:id="8">
    <w:p w14:paraId="7246B781"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C-699 de 2024, descriptor “CONTRATOS DE APRENDIZAJE – Noción – Derecho laboral – Publicación en </w:t>
      </w:r>
      <w:proofErr w:type="spellStart"/>
      <w:r>
        <w:rPr>
          <w:rFonts w:ascii="Verdana" w:hAnsi="Verdana"/>
          <w:lang w:val="es-ES_tradnl"/>
        </w:rPr>
        <w:t>secop</w:t>
      </w:r>
      <w:proofErr w:type="spellEnd"/>
      <w:r>
        <w:rPr>
          <w:rFonts w:ascii="Verdana" w:hAnsi="Verdana"/>
          <w:lang w:val="es-ES_tradnl"/>
        </w:rPr>
        <w:t xml:space="preserve"> </w:t>
      </w:r>
      <w:proofErr w:type="spellStart"/>
      <w:r>
        <w:rPr>
          <w:rFonts w:ascii="Verdana" w:hAnsi="Verdana"/>
          <w:lang w:val="es-ES_tradnl"/>
        </w:rPr>
        <w:t>ii</w:t>
      </w:r>
      <w:proofErr w:type="spellEnd"/>
      <w:r>
        <w:rPr>
          <w:rFonts w:ascii="Verdana" w:hAnsi="Verdana"/>
          <w:lang w:val="es-ES_tradnl"/>
        </w:rPr>
        <w:t>”.</w:t>
      </w:r>
    </w:p>
  </w:footnote>
  <w:footnote w:id="9">
    <w:p w14:paraId="1DFAB9E4"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C-780 de 2020, C-229 de 2022, C-260 de 2023, C-464 de 2024 y C-080 de 2025, bajo el descriptor “SECOP – Publicación – Contratos sin erogación presupuestal”.</w:t>
      </w:r>
    </w:p>
  </w:footnote>
  <w:footnote w:id="10">
    <w:p w14:paraId="36BA1434"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3546 de 2018 del Ministerio del Trabajo, artículos 10 y 15 —numeral 1—, este último modificado por el artículo 6 de la Resolución 623 de 2020. Ley 1712 de 2014, artículos 2, 3, 9 y 11; Decreto 1081 de 2015, artículo 2.1.1.2.1.1; Resolución 1519 de 2020 del Ministerio de Tecnologías de la Información y las Comunicaciones.</w:t>
      </w:r>
    </w:p>
  </w:footnote>
  <w:footnote w:id="11">
    <w:p w14:paraId="1BA5E775"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3546 de 2018 del Ministerio del Trabajo, artículos 4 —numeral 2— y 16. AGENCIA NACIONAL DE CONTRATACIÓN PÚBLICA – COLOMBIA COMPRA EFICIENTE. Subdirección de Gestión Contractual. Concepto C-541 de 2026.</w:t>
      </w:r>
    </w:p>
  </w:footnote>
  <w:footnote w:id="12">
    <w:p w14:paraId="46AD41CE"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2.2.1.1.1.3.1. Ley 1712 de 2014, artículos 5, 6, 18 y 19; Ley 1581 de 2012.</w:t>
      </w:r>
    </w:p>
  </w:footnote>
  <w:footnote w:id="13">
    <w:p w14:paraId="7FC24E8E"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3546 de 2018 del Ministerio del Trabajo, artículo 2, parágrafo 1, modificado por el artículo 2 de la Resolución 623 de 2020; Ley 720 de 2001, artículos 1 y 3; Decreto 4290 de 2005, artículos 2 y 6.</w:t>
      </w:r>
    </w:p>
  </w:footnote>
  <w:footnote w:id="14">
    <w:p w14:paraId="5C4C8BCE"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C-541 de 2026.</w:t>
      </w:r>
    </w:p>
  </w:footnote>
  <w:footnote w:id="15">
    <w:p w14:paraId="7F9C3F2A"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Código Civil, artículos 1497 y 1498. AGENCIA NACIONAL DE CONTRATACIÓN PÚBLICA – COLOMBIA COMPRA EFICIENTE. Subdirección de Gestión Contractual. Concepto C-541 de 2026.</w:t>
      </w:r>
    </w:p>
  </w:footnote>
  <w:footnote w:id="16">
    <w:p w14:paraId="28302C97"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C-1025 de 2026. Ley 80 de 1993, artículo 3.</w:t>
      </w:r>
    </w:p>
  </w:footnote>
  <w:footnote w:id="17">
    <w:p w14:paraId="5B2B59C5"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C-1031 de 2026, C-069 de 2026, C-636 de 2026 y C-1078 de 2026.</w:t>
      </w:r>
    </w:p>
  </w:footnote>
  <w:footnote w:id="18">
    <w:p w14:paraId="291FCE42"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3, 28 y 41, inciso primero.</w:t>
      </w:r>
    </w:p>
  </w:footnote>
  <w:footnote w:id="19">
    <w:p w14:paraId="44387ED6"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Constitución Política, artículo 355; Decreto 092 de 2017. AGENCIA NACIONAL DE CONTRATACIÓN PÚBLICA – COLOMBIA COMPRA EFICIENTE. Subdirección de Gestión Contractual. Conceptos C-1545 de 2025, C-1618 de 2025 y C-476 de 2024.</w:t>
      </w:r>
    </w:p>
  </w:footnote>
  <w:footnote w:id="20">
    <w:p w14:paraId="4666AECF"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41, inciso primero. AGENCIA NACIONAL DE CONTRATACIÓN PÚBLICA – COLOMBIA COMPRA EFICIENTE. Subdirección de Gestión Contractual. Concepto C-541 de 2026.</w:t>
      </w:r>
    </w:p>
  </w:footnote>
  <w:footnote w:id="21">
    <w:p w14:paraId="6C4D1795"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3546 de 2018 del Ministerio del Trabajo, artículo 16, modificado por el artículo 7 de la Resolución 623 de 2020.</w:t>
      </w:r>
    </w:p>
  </w:footnote>
  <w:footnote w:id="22">
    <w:p w14:paraId="648EADE8"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3546 de 2018 del Ministerio del Trabajo, artículo 17, modificado por el artículo 8 de la Resolución 623 de 2020.</w:t>
      </w:r>
    </w:p>
  </w:footnote>
  <w:footnote w:id="23">
    <w:p w14:paraId="50B28402"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3546 de 2018 del Ministerio del Trabajo, artículo 4 —numerales 1, 2 y 3—, modificado por el artículo 4 de la Resolución 623 de 2020.</w:t>
      </w:r>
    </w:p>
  </w:footnote>
  <w:footnote w:id="24">
    <w:p w14:paraId="6B7F1BB0"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Acuerdo PSAA10-7543 de 2010 del Consejo Superior de la Judicatura, artículos tercero y noveno. Resolución 3546 de 2018 del Ministerio del Trabajo, artículo 2, parágrafo 1, modificado por el artículo 2 de la Resolución 623 de 2020. AGENCIA NACIONAL DE CONTRATACIÓN PÚBLICA – COLOMBIA COMPRA EFICIENTE. Subdirección de Gestión Contractual. Concepto C-297 de 2026.</w:t>
      </w:r>
    </w:p>
  </w:footnote>
  <w:footnote w:id="25">
    <w:p w14:paraId="06561C69"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C-297 de 2026, C-1033 de 2025 y C-1099 de 2025. Ley 1322 de 2009; Acuerdo PSAA12-9338 de 2012 del Consejo Superior de la Judicatura, artículo 1, numeral 2.</w:t>
      </w:r>
    </w:p>
  </w:footnote>
  <w:footnote w:id="26">
    <w:p w14:paraId="308CAA28"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24 —numeral 8— y 32, numeral 3. AGENCIA NACIONAL DE CONTRATACIÓN PÚBLICA – COLOMBIA COMPRA EFICIENTE. Subdirección de Gestión Contractual. Conceptos C-297 de 2026 y C-1033 de 2025.</w:t>
      </w:r>
    </w:p>
  </w:footnote>
  <w:footnote w:id="27">
    <w:p w14:paraId="1F689B59"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3; Decreto 1082 de 2015, artículos 2.2.1.1.1.3.1 y 2.2.1.1.1.7.1. AGENCIA NACIONAL DE CONTRATACIÓN PÚBLICA – COLOMBIA COMPRA EFICIENTE. Subdirección de Gestión Contractual. Concepto C-967 de 2026.</w:t>
      </w:r>
    </w:p>
  </w:footnote>
  <w:footnote w:id="28">
    <w:p w14:paraId="0B1C5E82"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C-699 de 2024.</w:t>
      </w:r>
    </w:p>
  </w:footnote>
  <w:footnote w:id="29">
    <w:p w14:paraId="5A62450A"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Conceptos C-780 de 2020, C-229 de 2022, C-260 de 2023, C-464 de 2024 y C-080 de 2025.</w:t>
      </w:r>
    </w:p>
  </w:footnote>
  <w:footnote w:id="30">
    <w:p w14:paraId="06FF8A18"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13. AGENCIA NACIONAL DE CONTRATACIÓN PÚBLICA – COLOMBIA COMPRA EFICIENTE. Subdirección de Gestión Contractual. Conceptos C-080 de 2025 y C-229 de 2022.</w:t>
      </w:r>
    </w:p>
  </w:footnote>
  <w:footnote w:id="31">
    <w:p w14:paraId="14617F0E"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3546 de 2018 del Ministerio del Trabajo, artículos 10 y 15 —numerales 1 y 2—, este último modificado por el artículo 6 de la Resolución 623 de 2020.</w:t>
      </w:r>
    </w:p>
  </w:footnote>
  <w:footnote w:id="32">
    <w:p w14:paraId="7B5408BC"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1712 de 2014, artículos 2, 3, 9 y 11; Decreto 1081 de 2015, artículo 2.1.1.2.1.1; Resolución 1519 de 2020 del Ministerio de Tecnologías de la Información y las Comunicaciones. Ley 1581 de 2012.</w:t>
      </w:r>
    </w:p>
  </w:footnote>
  <w:footnote w:id="33">
    <w:p w14:paraId="61E00D87"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Resolución 3546 de 2018 del Ministerio del Trabajo, artículos 4 —numeral 2— y 16. AGENCIA NACIONAL DE CONTRATACIÓN PÚBLICA – COLOMBIA COMPRA EFICIENTE. Subdirección de Gestión Contractual. Concepto C-541 de 2026.</w:t>
      </w:r>
    </w:p>
  </w:footnote>
  <w:footnote w:id="34">
    <w:p w14:paraId="6B73F032"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2.2.1.1.1.3.1. Ley 1712 de 2014, artículos 5, 6, 18 y 19; Ley 1581 de 2012.</w:t>
      </w:r>
    </w:p>
  </w:footnote>
  <w:footnote w:id="35">
    <w:p w14:paraId="59D2AD8A"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32 y 41. AGENCIA NACIONAL DE CONTRATACIÓN PÚBLICA – COLOMBIA COMPRA EFICIENTE. Subdirección de Gestión Contractual. Concepto C-1172 de 2026, sobre la irrelevancia de la denominación que las partes den al acuerdo.</w:t>
      </w:r>
    </w:p>
  </w:footnote>
  <w:footnote w:id="36">
    <w:p w14:paraId="02587F3F"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1780 de 2016, artículos 13, 15, 16 y 17; Ley 1955 de 2019, artículo 192; Resolución 3546 de 2018 del Ministerio del Trabajo, artículos 2, 3 y 4, modificados por los artículos 2, 3 y 4 de la Resolución 623 de 2020.</w:t>
      </w:r>
    </w:p>
  </w:footnote>
  <w:footnote w:id="37">
    <w:p w14:paraId="18164DE2"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552 de 1999, artículo 2; Decreto 3200 de 1979, artículo 23; Acuerdos PSAA10-7543 de 2010 y PSAA12-9338 de 2012 del Consejo Superior de la Judicatura; Ley 1322 de 2009. Resolución 3546 de 2018, artículo 2, parágrafo 1.</w:t>
      </w:r>
    </w:p>
  </w:footnote>
  <w:footnote w:id="38">
    <w:p w14:paraId="2AB6A136" w14:textId="77777777" w:rsidR="0053798F"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720 de 2001, artículos 1, 3 —numerales 1, 2 y 4— y 7; Decreto 4290 de 2005, artículos 2, 3 y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5B51" w14:textId="77777777"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1B80A3E" w14:textId="77777777" w:rsidR="003332A8" w:rsidRDefault="003332A8">
    <w:pPr>
      <w:pStyle w:val="Encabezado"/>
    </w:pPr>
  </w:p>
  <w:p w14:paraId="1C6DC1DF" w14:textId="77777777" w:rsidR="003332A8" w:rsidRPr="004A305D" w:rsidRDefault="003332A8" w:rsidP="00B01B1A">
    <w:pPr>
      <w:spacing w:after="0" w:line="120" w:lineRule="auto"/>
      <w:rPr>
        <w:rFonts w:ascii="Century Gothic" w:eastAsia="Geo" w:hAnsi="Century Gothic" w:cs="Geo"/>
        <w:sz w:val="16"/>
        <w:szCs w:val="16"/>
        <w:lang w:eastAsia="es-CO"/>
      </w:rPr>
    </w:pPr>
  </w:p>
  <w:p w14:paraId="39B33738" w14:textId="77777777" w:rsidR="003332A8" w:rsidRDefault="003332A8" w:rsidP="00844AE9">
    <w:pPr>
      <w:spacing w:after="0" w:line="240" w:lineRule="auto"/>
      <w:rPr>
        <w:rFonts w:ascii="Verdana" w:hAnsi="Verdana"/>
        <w:sz w:val="24"/>
        <w:szCs w:val="24"/>
      </w:rPr>
    </w:pPr>
  </w:p>
  <w:p w14:paraId="2B5A2375" w14:textId="77777777" w:rsidR="003332A8" w:rsidRPr="00C925AC" w:rsidRDefault="003332A8" w:rsidP="00844AE9">
    <w:pPr>
      <w:spacing w:after="0" w:line="240" w:lineRule="auto"/>
      <w:rPr>
        <w:rFonts w:ascii="Verdana" w:hAnsi="Verdana"/>
        <w:sz w:val="24"/>
        <w:szCs w:val="24"/>
      </w:rPr>
    </w:pPr>
  </w:p>
  <w:p w14:paraId="3C0EF740" w14:textId="77777777"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28CEAC70"/>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5F59"/>
    <w:rsid w:val="000063E0"/>
    <w:rsid w:val="0001083E"/>
    <w:rsid w:val="000134D5"/>
    <w:rsid w:val="00016F78"/>
    <w:rsid w:val="00017729"/>
    <w:rsid w:val="00030B1D"/>
    <w:rsid w:val="000353BD"/>
    <w:rsid w:val="000401ED"/>
    <w:rsid w:val="000468A1"/>
    <w:rsid w:val="00046945"/>
    <w:rsid w:val="00061B2A"/>
    <w:rsid w:val="000711CF"/>
    <w:rsid w:val="00076D52"/>
    <w:rsid w:val="00080B1D"/>
    <w:rsid w:val="00082362"/>
    <w:rsid w:val="00085031"/>
    <w:rsid w:val="000866ED"/>
    <w:rsid w:val="00087566"/>
    <w:rsid w:val="0009079C"/>
    <w:rsid w:val="000A1514"/>
    <w:rsid w:val="000A1642"/>
    <w:rsid w:val="000A66E5"/>
    <w:rsid w:val="000A683E"/>
    <w:rsid w:val="000B0D04"/>
    <w:rsid w:val="000B0FAA"/>
    <w:rsid w:val="000B19B9"/>
    <w:rsid w:val="000B27F0"/>
    <w:rsid w:val="000C013D"/>
    <w:rsid w:val="000C5A9E"/>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61CA"/>
    <w:rsid w:val="001168F2"/>
    <w:rsid w:val="00116940"/>
    <w:rsid w:val="00125105"/>
    <w:rsid w:val="00127233"/>
    <w:rsid w:val="001328F3"/>
    <w:rsid w:val="00134724"/>
    <w:rsid w:val="001428DC"/>
    <w:rsid w:val="00151D59"/>
    <w:rsid w:val="001521B3"/>
    <w:rsid w:val="0015699B"/>
    <w:rsid w:val="00165609"/>
    <w:rsid w:val="00171640"/>
    <w:rsid w:val="00174D6E"/>
    <w:rsid w:val="00180954"/>
    <w:rsid w:val="00183D9D"/>
    <w:rsid w:val="0018679F"/>
    <w:rsid w:val="0019045D"/>
    <w:rsid w:val="00192805"/>
    <w:rsid w:val="0019787F"/>
    <w:rsid w:val="001A33BF"/>
    <w:rsid w:val="001A35A7"/>
    <w:rsid w:val="001A5968"/>
    <w:rsid w:val="001B24C7"/>
    <w:rsid w:val="001B49B3"/>
    <w:rsid w:val="001C1EB2"/>
    <w:rsid w:val="001C5AE4"/>
    <w:rsid w:val="001C61B3"/>
    <w:rsid w:val="001D02CC"/>
    <w:rsid w:val="001D16E0"/>
    <w:rsid w:val="001D64AE"/>
    <w:rsid w:val="001E2E05"/>
    <w:rsid w:val="001E4177"/>
    <w:rsid w:val="001F0B24"/>
    <w:rsid w:val="001F5903"/>
    <w:rsid w:val="001F5DD0"/>
    <w:rsid w:val="001F7DC6"/>
    <w:rsid w:val="002022E0"/>
    <w:rsid w:val="00207466"/>
    <w:rsid w:val="00211A12"/>
    <w:rsid w:val="00211E12"/>
    <w:rsid w:val="00212AD1"/>
    <w:rsid w:val="00215B71"/>
    <w:rsid w:val="00216E4C"/>
    <w:rsid w:val="00217FCA"/>
    <w:rsid w:val="002209DE"/>
    <w:rsid w:val="0022400B"/>
    <w:rsid w:val="0023515D"/>
    <w:rsid w:val="002421BB"/>
    <w:rsid w:val="00242F3E"/>
    <w:rsid w:val="00253436"/>
    <w:rsid w:val="002543AD"/>
    <w:rsid w:val="00256D56"/>
    <w:rsid w:val="0025796E"/>
    <w:rsid w:val="0026018C"/>
    <w:rsid w:val="00261EDF"/>
    <w:rsid w:val="0026324D"/>
    <w:rsid w:val="00265065"/>
    <w:rsid w:val="0026579C"/>
    <w:rsid w:val="002707A2"/>
    <w:rsid w:val="00275482"/>
    <w:rsid w:val="00277C07"/>
    <w:rsid w:val="0028778F"/>
    <w:rsid w:val="00291AD4"/>
    <w:rsid w:val="00294ADE"/>
    <w:rsid w:val="002951A0"/>
    <w:rsid w:val="002962BC"/>
    <w:rsid w:val="002975A4"/>
    <w:rsid w:val="002A093D"/>
    <w:rsid w:val="002A0DD0"/>
    <w:rsid w:val="002A49AC"/>
    <w:rsid w:val="002A64FD"/>
    <w:rsid w:val="002B730F"/>
    <w:rsid w:val="002C7A84"/>
    <w:rsid w:val="002E05EF"/>
    <w:rsid w:val="002E2BF8"/>
    <w:rsid w:val="002E4FD9"/>
    <w:rsid w:val="002F0847"/>
    <w:rsid w:val="002F2B42"/>
    <w:rsid w:val="0030657A"/>
    <w:rsid w:val="00311FF5"/>
    <w:rsid w:val="003136DC"/>
    <w:rsid w:val="003156BF"/>
    <w:rsid w:val="00316053"/>
    <w:rsid w:val="00322A85"/>
    <w:rsid w:val="00322C00"/>
    <w:rsid w:val="00322D77"/>
    <w:rsid w:val="00324168"/>
    <w:rsid w:val="00330834"/>
    <w:rsid w:val="003332A8"/>
    <w:rsid w:val="003448F4"/>
    <w:rsid w:val="003475FC"/>
    <w:rsid w:val="00351F93"/>
    <w:rsid w:val="0037228E"/>
    <w:rsid w:val="00374F5E"/>
    <w:rsid w:val="003769E1"/>
    <w:rsid w:val="00377E3E"/>
    <w:rsid w:val="00381BAB"/>
    <w:rsid w:val="003878B3"/>
    <w:rsid w:val="003A26B0"/>
    <w:rsid w:val="003A779E"/>
    <w:rsid w:val="003B0DFC"/>
    <w:rsid w:val="003C0ED7"/>
    <w:rsid w:val="003D0F4D"/>
    <w:rsid w:val="003D3FF4"/>
    <w:rsid w:val="003D494E"/>
    <w:rsid w:val="003D5B0D"/>
    <w:rsid w:val="003E0499"/>
    <w:rsid w:val="003E4915"/>
    <w:rsid w:val="003E4C37"/>
    <w:rsid w:val="003E4F80"/>
    <w:rsid w:val="003E6439"/>
    <w:rsid w:val="003F18C5"/>
    <w:rsid w:val="003F1FD8"/>
    <w:rsid w:val="003F3941"/>
    <w:rsid w:val="00403388"/>
    <w:rsid w:val="00403EFA"/>
    <w:rsid w:val="0040494E"/>
    <w:rsid w:val="00406575"/>
    <w:rsid w:val="004140B3"/>
    <w:rsid w:val="00414C74"/>
    <w:rsid w:val="00416706"/>
    <w:rsid w:val="0042722E"/>
    <w:rsid w:val="00440961"/>
    <w:rsid w:val="0044528D"/>
    <w:rsid w:val="00451137"/>
    <w:rsid w:val="00452650"/>
    <w:rsid w:val="004555EA"/>
    <w:rsid w:val="0045785F"/>
    <w:rsid w:val="00464ACB"/>
    <w:rsid w:val="00466E39"/>
    <w:rsid w:val="004768AE"/>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B6F"/>
    <w:rsid w:val="004E2B92"/>
    <w:rsid w:val="004E4B2C"/>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3798F"/>
    <w:rsid w:val="0055262A"/>
    <w:rsid w:val="00553040"/>
    <w:rsid w:val="005566E8"/>
    <w:rsid w:val="00560892"/>
    <w:rsid w:val="005648EC"/>
    <w:rsid w:val="00570B00"/>
    <w:rsid w:val="00572622"/>
    <w:rsid w:val="00573280"/>
    <w:rsid w:val="005746D5"/>
    <w:rsid w:val="00574867"/>
    <w:rsid w:val="00591460"/>
    <w:rsid w:val="00592C94"/>
    <w:rsid w:val="005A2CAB"/>
    <w:rsid w:val="005A4AF9"/>
    <w:rsid w:val="005A5114"/>
    <w:rsid w:val="005A52A7"/>
    <w:rsid w:val="005A57A5"/>
    <w:rsid w:val="005A65E0"/>
    <w:rsid w:val="005C0881"/>
    <w:rsid w:val="005C3777"/>
    <w:rsid w:val="005C5CDC"/>
    <w:rsid w:val="005D2566"/>
    <w:rsid w:val="005D476C"/>
    <w:rsid w:val="005D7628"/>
    <w:rsid w:val="005F20A4"/>
    <w:rsid w:val="00600D92"/>
    <w:rsid w:val="00603C5B"/>
    <w:rsid w:val="00611CE6"/>
    <w:rsid w:val="006137E1"/>
    <w:rsid w:val="00615105"/>
    <w:rsid w:val="00617200"/>
    <w:rsid w:val="00617E91"/>
    <w:rsid w:val="006200BF"/>
    <w:rsid w:val="0062143E"/>
    <w:rsid w:val="006219F8"/>
    <w:rsid w:val="00622E0A"/>
    <w:rsid w:val="00624A89"/>
    <w:rsid w:val="00624EEC"/>
    <w:rsid w:val="00627285"/>
    <w:rsid w:val="006302F7"/>
    <w:rsid w:val="00640441"/>
    <w:rsid w:val="00646B9F"/>
    <w:rsid w:val="00646F24"/>
    <w:rsid w:val="006547C3"/>
    <w:rsid w:val="00660C46"/>
    <w:rsid w:val="00662087"/>
    <w:rsid w:val="00663A04"/>
    <w:rsid w:val="00665D70"/>
    <w:rsid w:val="00672499"/>
    <w:rsid w:val="00684F67"/>
    <w:rsid w:val="0068758B"/>
    <w:rsid w:val="006900D9"/>
    <w:rsid w:val="00696960"/>
    <w:rsid w:val="0069741A"/>
    <w:rsid w:val="006A2BE4"/>
    <w:rsid w:val="006A6BF4"/>
    <w:rsid w:val="006B3801"/>
    <w:rsid w:val="006B4707"/>
    <w:rsid w:val="006C38A9"/>
    <w:rsid w:val="006D13BA"/>
    <w:rsid w:val="006D1D21"/>
    <w:rsid w:val="006D2B34"/>
    <w:rsid w:val="006D591D"/>
    <w:rsid w:val="006D64EE"/>
    <w:rsid w:val="006E3854"/>
    <w:rsid w:val="006F2238"/>
    <w:rsid w:val="006F4199"/>
    <w:rsid w:val="007009D7"/>
    <w:rsid w:val="007025D7"/>
    <w:rsid w:val="00706C16"/>
    <w:rsid w:val="0071557C"/>
    <w:rsid w:val="00720597"/>
    <w:rsid w:val="00722A5A"/>
    <w:rsid w:val="00723639"/>
    <w:rsid w:val="00731F30"/>
    <w:rsid w:val="00733C96"/>
    <w:rsid w:val="007340C3"/>
    <w:rsid w:val="007344B2"/>
    <w:rsid w:val="007345D5"/>
    <w:rsid w:val="0073510E"/>
    <w:rsid w:val="00741631"/>
    <w:rsid w:val="007458D3"/>
    <w:rsid w:val="00751DE8"/>
    <w:rsid w:val="0075235A"/>
    <w:rsid w:val="00752CDB"/>
    <w:rsid w:val="0075557D"/>
    <w:rsid w:val="00756841"/>
    <w:rsid w:val="00757043"/>
    <w:rsid w:val="007649AB"/>
    <w:rsid w:val="0076653D"/>
    <w:rsid w:val="00771AEF"/>
    <w:rsid w:val="00771D0C"/>
    <w:rsid w:val="00782ED2"/>
    <w:rsid w:val="007833AC"/>
    <w:rsid w:val="007853FB"/>
    <w:rsid w:val="00792BA3"/>
    <w:rsid w:val="00792C10"/>
    <w:rsid w:val="00795086"/>
    <w:rsid w:val="007A037B"/>
    <w:rsid w:val="007A1830"/>
    <w:rsid w:val="007A2615"/>
    <w:rsid w:val="007B268C"/>
    <w:rsid w:val="007B7171"/>
    <w:rsid w:val="007C0C0F"/>
    <w:rsid w:val="007C3DC2"/>
    <w:rsid w:val="007C4353"/>
    <w:rsid w:val="007D3058"/>
    <w:rsid w:val="007D4B12"/>
    <w:rsid w:val="007E43AC"/>
    <w:rsid w:val="007E5497"/>
    <w:rsid w:val="00803584"/>
    <w:rsid w:val="00806F5F"/>
    <w:rsid w:val="008103F6"/>
    <w:rsid w:val="00820278"/>
    <w:rsid w:val="00820488"/>
    <w:rsid w:val="0082071A"/>
    <w:rsid w:val="008258C9"/>
    <w:rsid w:val="00830893"/>
    <w:rsid w:val="00833286"/>
    <w:rsid w:val="00836232"/>
    <w:rsid w:val="00841E29"/>
    <w:rsid w:val="008440A2"/>
    <w:rsid w:val="00844AE9"/>
    <w:rsid w:val="00845EF6"/>
    <w:rsid w:val="0085545E"/>
    <w:rsid w:val="00857CF9"/>
    <w:rsid w:val="00867E8A"/>
    <w:rsid w:val="00867F95"/>
    <w:rsid w:val="00871AAC"/>
    <w:rsid w:val="00875356"/>
    <w:rsid w:val="008753FD"/>
    <w:rsid w:val="00876B28"/>
    <w:rsid w:val="008843B6"/>
    <w:rsid w:val="00886410"/>
    <w:rsid w:val="00891928"/>
    <w:rsid w:val="00891A0E"/>
    <w:rsid w:val="00892606"/>
    <w:rsid w:val="008A2B6F"/>
    <w:rsid w:val="008A3BF4"/>
    <w:rsid w:val="008A446D"/>
    <w:rsid w:val="008B0D0F"/>
    <w:rsid w:val="008B25F1"/>
    <w:rsid w:val="008C11FD"/>
    <w:rsid w:val="008C4DD5"/>
    <w:rsid w:val="008C517A"/>
    <w:rsid w:val="008C6AE5"/>
    <w:rsid w:val="008C7B44"/>
    <w:rsid w:val="008D1660"/>
    <w:rsid w:val="008D180B"/>
    <w:rsid w:val="008D1C25"/>
    <w:rsid w:val="008D475B"/>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500D5"/>
    <w:rsid w:val="0095685E"/>
    <w:rsid w:val="00961B09"/>
    <w:rsid w:val="00963E12"/>
    <w:rsid w:val="00964321"/>
    <w:rsid w:val="00965334"/>
    <w:rsid w:val="0097093E"/>
    <w:rsid w:val="009722DE"/>
    <w:rsid w:val="00982C25"/>
    <w:rsid w:val="00984DB3"/>
    <w:rsid w:val="00991E94"/>
    <w:rsid w:val="00992E19"/>
    <w:rsid w:val="00997AFF"/>
    <w:rsid w:val="009A0486"/>
    <w:rsid w:val="009A0DFA"/>
    <w:rsid w:val="009A3A4C"/>
    <w:rsid w:val="009B200B"/>
    <w:rsid w:val="009B28B9"/>
    <w:rsid w:val="009B2D26"/>
    <w:rsid w:val="009B304B"/>
    <w:rsid w:val="009B4B7C"/>
    <w:rsid w:val="009C1CA3"/>
    <w:rsid w:val="009C71FA"/>
    <w:rsid w:val="009C72E7"/>
    <w:rsid w:val="009C7F7E"/>
    <w:rsid w:val="009D10AE"/>
    <w:rsid w:val="009D23F2"/>
    <w:rsid w:val="009D3058"/>
    <w:rsid w:val="009E1F28"/>
    <w:rsid w:val="009E4983"/>
    <w:rsid w:val="009E6924"/>
    <w:rsid w:val="009E7AED"/>
    <w:rsid w:val="009F3A13"/>
    <w:rsid w:val="009F4B67"/>
    <w:rsid w:val="009F7A6E"/>
    <w:rsid w:val="00A0334B"/>
    <w:rsid w:val="00A0526C"/>
    <w:rsid w:val="00A05BC5"/>
    <w:rsid w:val="00A06E95"/>
    <w:rsid w:val="00A076A6"/>
    <w:rsid w:val="00A122D3"/>
    <w:rsid w:val="00A14468"/>
    <w:rsid w:val="00A17F13"/>
    <w:rsid w:val="00A20739"/>
    <w:rsid w:val="00A23AF9"/>
    <w:rsid w:val="00A31A76"/>
    <w:rsid w:val="00A32D67"/>
    <w:rsid w:val="00A32E64"/>
    <w:rsid w:val="00A33C78"/>
    <w:rsid w:val="00A3513E"/>
    <w:rsid w:val="00A42320"/>
    <w:rsid w:val="00A53338"/>
    <w:rsid w:val="00A53EB1"/>
    <w:rsid w:val="00A54DC9"/>
    <w:rsid w:val="00A61436"/>
    <w:rsid w:val="00A73F45"/>
    <w:rsid w:val="00A8776C"/>
    <w:rsid w:val="00AA1511"/>
    <w:rsid w:val="00AA1E47"/>
    <w:rsid w:val="00AB0ADB"/>
    <w:rsid w:val="00AB436E"/>
    <w:rsid w:val="00AD173A"/>
    <w:rsid w:val="00AD6FC3"/>
    <w:rsid w:val="00AD7D5F"/>
    <w:rsid w:val="00AE0641"/>
    <w:rsid w:val="00AE1F6E"/>
    <w:rsid w:val="00AE3513"/>
    <w:rsid w:val="00AE5023"/>
    <w:rsid w:val="00AE5DD2"/>
    <w:rsid w:val="00AF5A10"/>
    <w:rsid w:val="00AF6D39"/>
    <w:rsid w:val="00B00C0E"/>
    <w:rsid w:val="00B01B1A"/>
    <w:rsid w:val="00B04DA1"/>
    <w:rsid w:val="00B107DB"/>
    <w:rsid w:val="00B11075"/>
    <w:rsid w:val="00B206B6"/>
    <w:rsid w:val="00B234CF"/>
    <w:rsid w:val="00B35656"/>
    <w:rsid w:val="00B35DDD"/>
    <w:rsid w:val="00B37EB5"/>
    <w:rsid w:val="00B44A47"/>
    <w:rsid w:val="00B54271"/>
    <w:rsid w:val="00B5550F"/>
    <w:rsid w:val="00B6149C"/>
    <w:rsid w:val="00B63FC5"/>
    <w:rsid w:val="00B64484"/>
    <w:rsid w:val="00B71FD5"/>
    <w:rsid w:val="00B72CD3"/>
    <w:rsid w:val="00B72FFF"/>
    <w:rsid w:val="00B74092"/>
    <w:rsid w:val="00B74CF7"/>
    <w:rsid w:val="00B759AB"/>
    <w:rsid w:val="00B95DAC"/>
    <w:rsid w:val="00BA0806"/>
    <w:rsid w:val="00BA2EB9"/>
    <w:rsid w:val="00BA4084"/>
    <w:rsid w:val="00BA703D"/>
    <w:rsid w:val="00BC330F"/>
    <w:rsid w:val="00BC3D36"/>
    <w:rsid w:val="00BC5D42"/>
    <w:rsid w:val="00BC70CB"/>
    <w:rsid w:val="00BD13AC"/>
    <w:rsid w:val="00BD54A6"/>
    <w:rsid w:val="00BD7F72"/>
    <w:rsid w:val="00BF056C"/>
    <w:rsid w:val="00BF112D"/>
    <w:rsid w:val="00BF3B66"/>
    <w:rsid w:val="00BF4FD2"/>
    <w:rsid w:val="00BF5C08"/>
    <w:rsid w:val="00BF7425"/>
    <w:rsid w:val="00C04FB3"/>
    <w:rsid w:val="00C11D8B"/>
    <w:rsid w:val="00C1215D"/>
    <w:rsid w:val="00C1350D"/>
    <w:rsid w:val="00C14B0C"/>
    <w:rsid w:val="00C22134"/>
    <w:rsid w:val="00C2359C"/>
    <w:rsid w:val="00C251B0"/>
    <w:rsid w:val="00C330EB"/>
    <w:rsid w:val="00C33F4F"/>
    <w:rsid w:val="00C4112A"/>
    <w:rsid w:val="00C419DF"/>
    <w:rsid w:val="00C458FC"/>
    <w:rsid w:val="00C45A56"/>
    <w:rsid w:val="00C50D69"/>
    <w:rsid w:val="00C5365C"/>
    <w:rsid w:val="00C619D4"/>
    <w:rsid w:val="00C61D93"/>
    <w:rsid w:val="00C738EE"/>
    <w:rsid w:val="00C7520B"/>
    <w:rsid w:val="00C754BE"/>
    <w:rsid w:val="00C76B1C"/>
    <w:rsid w:val="00C82667"/>
    <w:rsid w:val="00C83BA0"/>
    <w:rsid w:val="00C90C96"/>
    <w:rsid w:val="00C925AC"/>
    <w:rsid w:val="00C94828"/>
    <w:rsid w:val="00C963BE"/>
    <w:rsid w:val="00C96B64"/>
    <w:rsid w:val="00CA2858"/>
    <w:rsid w:val="00CB02F1"/>
    <w:rsid w:val="00CB4CE6"/>
    <w:rsid w:val="00CB6357"/>
    <w:rsid w:val="00CB6FF3"/>
    <w:rsid w:val="00CC1B26"/>
    <w:rsid w:val="00CC2F6F"/>
    <w:rsid w:val="00CD47CD"/>
    <w:rsid w:val="00CD4C85"/>
    <w:rsid w:val="00CD4D52"/>
    <w:rsid w:val="00CD7FA1"/>
    <w:rsid w:val="00CE3C1C"/>
    <w:rsid w:val="00CE4026"/>
    <w:rsid w:val="00D05ED6"/>
    <w:rsid w:val="00D06146"/>
    <w:rsid w:val="00D0673A"/>
    <w:rsid w:val="00D0699E"/>
    <w:rsid w:val="00D1210B"/>
    <w:rsid w:val="00D13017"/>
    <w:rsid w:val="00D222C0"/>
    <w:rsid w:val="00D22D2B"/>
    <w:rsid w:val="00D334DD"/>
    <w:rsid w:val="00D34EA3"/>
    <w:rsid w:val="00D361FD"/>
    <w:rsid w:val="00D423A2"/>
    <w:rsid w:val="00D44E26"/>
    <w:rsid w:val="00D51A5D"/>
    <w:rsid w:val="00D520D8"/>
    <w:rsid w:val="00D532D4"/>
    <w:rsid w:val="00D552A0"/>
    <w:rsid w:val="00D56F8A"/>
    <w:rsid w:val="00D62B9C"/>
    <w:rsid w:val="00D63AC2"/>
    <w:rsid w:val="00D64111"/>
    <w:rsid w:val="00D64AFC"/>
    <w:rsid w:val="00D72D0B"/>
    <w:rsid w:val="00D7383B"/>
    <w:rsid w:val="00D73DBD"/>
    <w:rsid w:val="00D7541C"/>
    <w:rsid w:val="00D76E7C"/>
    <w:rsid w:val="00D7788A"/>
    <w:rsid w:val="00D82A30"/>
    <w:rsid w:val="00D85F06"/>
    <w:rsid w:val="00D936A2"/>
    <w:rsid w:val="00DA1F04"/>
    <w:rsid w:val="00DA231B"/>
    <w:rsid w:val="00DB13F4"/>
    <w:rsid w:val="00DB55DA"/>
    <w:rsid w:val="00DB6DDE"/>
    <w:rsid w:val="00DC1EFB"/>
    <w:rsid w:val="00DC39FC"/>
    <w:rsid w:val="00DC7CCB"/>
    <w:rsid w:val="00DE0870"/>
    <w:rsid w:val="00DE18D0"/>
    <w:rsid w:val="00DE6EC3"/>
    <w:rsid w:val="00DE7692"/>
    <w:rsid w:val="00DE7876"/>
    <w:rsid w:val="00DF5254"/>
    <w:rsid w:val="00E02524"/>
    <w:rsid w:val="00E05E98"/>
    <w:rsid w:val="00E1159D"/>
    <w:rsid w:val="00E1449C"/>
    <w:rsid w:val="00E1451E"/>
    <w:rsid w:val="00E16408"/>
    <w:rsid w:val="00E20894"/>
    <w:rsid w:val="00E22DC2"/>
    <w:rsid w:val="00E23233"/>
    <w:rsid w:val="00E245AB"/>
    <w:rsid w:val="00E26507"/>
    <w:rsid w:val="00E27341"/>
    <w:rsid w:val="00E2764C"/>
    <w:rsid w:val="00E27EDD"/>
    <w:rsid w:val="00E27F2E"/>
    <w:rsid w:val="00E306D6"/>
    <w:rsid w:val="00E31225"/>
    <w:rsid w:val="00E501E7"/>
    <w:rsid w:val="00E50AFE"/>
    <w:rsid w:val="00E523D5"/>
    <w:rsid w:val="00E57176"/>
    <w:rsid w:val="00E577E2"/>
    <w:rsid w:val="00E615C4"/>
    <w:rsid w:val="00E71E1B"/>
    <w:rsid w:val="00E75C92"/>
    <w:rsid w:val="00E771DC"/>
    <w:rsid w:val="00E8772A"/>
    <w:rsid w:val="00E90C80"/>
    <w:rsid w:val="00E90F6B"/>
    <w:rsid w:val="00E91AED"/>
    <w:rsid w:val="00E92C27"/>
    <w:rsid w:val="00E93D57"/>
    <w:rsid w:val="00E96B5C"/>
    <w:rsid w:val="00EA0E3D"/>
    <w:rsid w:val="00EA0EC9"/>
    <w:rsid w:val="00EA0FBD"/>
    <w:rsid w:val="00EA2DC0"/>
    <w:rsid w:val="00EA426C"/>
    <w:rsid w:val="00EA677F"/>
    <w:rsid w:val="00EB224C"/>
    <w:rsid w:val="00EB7BC0"/>
    <w:rsid w:val="00EC006D"/>
    <w:rsid w:val="00EC0844"/>
    <w:rsid w:val="00EC297F"/>
    <w:rsid w:val="00EC38A7"/>
    <w:rsid w:val="00ED44D6"/>
    <w:rsid w:val="00ED4980"/>
    <w:rsid w:val="00ED5120"/>
    <w:rsid w:val="00EE0E1C"/>
    <w:rsid w:val="00EE1AA8"/>
    <w:rsid w:val="00EE265D"/>
    <w:rsid w:val="00EE3D99"/>
    <w:rsid w:val="00EF1D4F"/>
    <w:rsid w:val="00EF4E4B"/>
    <w:rsid w:val="00EF4E7D"/>
    <w:rsid w:val="00EF5E13"/>
    <w:rsid w:val="00EF647F"/>
    <w:rsid w:val="00F03314"/>
    <w:rsid w:val="00F0580C"/>
    <w:rsid w:val="00F124E5"/>
    <w:rsid w:val="00F2171E"/>
    <w:rsid w:val="00F23FEA"/>
    <w:rsid w:val="00F27B7B"/>
    <w:rsid w:val="00F3172F"/>
    <w:rsid w:val="00F31EDC"/>
    <w:rsid w:val="00F34294"/>
    <w:rsid w:val="00F3642F"/>
    <w:rsid w:val="00F462B3"/>
    <w:rsid w:val="00F5664F"/>
    <w:rsid w:val="00F602E0"/>
    <w:rsid w:val="00F666C4"/>
    <w:rsid w:val="00F76AFC"/>
    <w:rsid w:val="00F81BF0"/>
    <w:rsid w:val="00F825DA"/>
    <w:rsid w:val="00F82E88"/>
    <w:rsid w:val="00F85CEC"/>
    <w:rsid w:val="00F86E11"/>
    <w:rsid w:val="00F86E3E"/>
    <w:rsid w:val="00F95C74"/>
    <w:rsid w:val="00FA1B40"/>
    <w:rsid w:val="00FA47C0"/>
    <w:rsid w:val="00FA5FFD"/>
    <w:rsid w:val="00FB33A2"/>
    <w:rsid w:val="00FB5DD1"/>
    <w:rsid w:val="00FC2B5D"/>
    <w:rsid w:val="00FD0FAE"/>
    <w:rsid w:val="00FD1DDC"/>
    <w:rsid w:val="00FD2D1F"/>
    <w:rsid w:val="00FD3AD2"/>
    <w:rsid w:val="00FD4AD8"/>
    <w:rsid w:val="00FD59D3"/>
    <w:rsid w:val="00FF1449"/>
    <w:rsid w:val="00FF227D"/>
    <w:rsid w:val="00FF7963"/>
    <w:rsid w:val="09908A09"/>
    <w:rsid w:val="195A46B7"/>
    <w:rsid w:val="19A2EC2C"/>
    <w:rsid w:val="19DEE09E"/>
    <w:rsid w:val="1A795C4B"/>
    <w:rsid w:val="2859CA1B"/>
    <w:rsid w:val="5A37D406"/>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F3D37"/>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customXml/itemProps4.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7636</Words>
  <Characters>42001</Characters>
  <Application>Microsoft Office Word</Application>
  <DocSecurity>0</DocSecurity>
  <Lines>350</Lines>
  <Paragraphs>99</Paragraphs>
  <ScaleCrop>false</ScaleCrop>
  <Company/>
  <LinksUpToDate>false</LinksUpToDate>
  <CharactersWithSpaces>49538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2026-10-16T23:14:00Z</dcterms:created>
  <dcterms:modified xsi:type="dcterms:W3CDTF">2026-10-23T15:23:00Z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